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1"/>
        <w:gridCol w:w="1043"/>
        <w:gridCol w:w="6620"/>
      </w:tblGrid>
      <w:tr w14:paraId="362A1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14:paraId="7FF7FAA0">
            <w:pPr>
              <w:pStyle w:val="4"/>
            </w:pPr>
            <w:r>
              <w:rPr>
                <w:rFonts w:ascii="仿宋_GB2312" w:hAnsi="仿宋_GB2312" w:eastAsia="仿宋_GB2312" w:cs="仿宋_GB2312"/>
              </w:rPr>
              <w:t>序号</w:t>
            </w:r>
          </w:p>
        </w:tc>
        <w:tc>
          <w:tcPr>
            <w:tcW w:w="1043" w:type="dxa"/>
          </w:tcPr>
          <w:p w14:paraId="731C7386">
            <w:pPr>
              <w:pStyle w:val="4"/>
            </w:pPr>
            <w:r>
              <w:rPr>
                <w:rFonts w:ascii="仿宋_GB2312" w:hAnsi="仿宋_GB2312" w:eastAsia="仿宋_GB2312" w:cs="仿宋_GB2312"/>
              </w:rPr>
              <w:t>参数性质</w:t>
            </w:r>
          </w:p>
        </w:tc>
        <w:tc>
          <w:tcPr>
            <w:tcW w:w="6620" w:type="dxa"/>
          </w:tcPr>
          <w:p w14:paraId="5809BC78">
            <w:pPr>
              <w:pStyle w:val="4"/>
            </w:pPr>
            <w:r>
              <w:rPr>
                <w:rFonts w:ascii="仿宋_GB2312" w:hAnsi="仿宋_GB2312" w:eastAsia="仿宋_GB2312" w:cs="仿宋_GB2312"/>
              </w:rPr>
              <w:t xml:space="preserve"> 技术参数与性能指标</w:t>
            </w:r>
          </w:p>
        </w:tc>
      </w:tr>
      <w:tr w14:paraId="65F2D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14:paraId="3D61027E">
            <w:pPr>
              <w:pStyle w:val="4"/>
            </w:pPr>
            <w:r>
              <w:rPr>
                <w:rFonts w:ascii="仿宋_GB2312" w:hAnsi="仿宋_GB2312" w:eastAsia="仿宋_GB2312" w:cs="仿宋_GB2312"/>
              </w:rPr>
              <w:t>1</w:t>
            </w:r>
          </w:p>
        </w:tc>
        <w:tc>
          <w:tcPr>
            <w:tcW w:w="1043" w:type="dxa"/>
          </w:tcPr>
          <w:p w14:paraId="56FE220B">
            <w:pPr>
              <w:pStyle w:val="4"/>
            </w:pPr>
            <w:r>
              <w:rPr>
                <w:rFonts w:ascii="仿宋_GB2312" w:hAnsi="仿宋_GB2312" w:eastAsia="仿宋_GB2312" w:cs="仿宋_GB2312"/>
              </w:rPr>
              <w:t>★</w:t>
            </w:r>
          </w:p>
        </w:tc>
        <w:tc>
          <w:tcPr>
            <w:tcW w:w="6620" w:type="dxa"/>
          </w:tcPr>
          <w:p w14:paraId="001CDB3B">
            <w:pPr>
              <w:pStyle w:val="4"/>
              <w:jc w:val="both"/>
            </w:pPr>
            <w:r>
              <w:rPr>
                <w:rFonts w:ascii="仿宋_GB2312" w:hAnsi="仿宋_GB2312" w:eastAsia="仿宋_GB2312" w:cs="仿宋_GB2312"/>
                <w:color w:val="000000"/>
                <w:sz w:val="24"/>
              </w:rPr>
              <w:t>一、招标要求</w:t>
            </w:r>
          </w:p>
          <w:p w14:paraId="5D7C5D98">
            <w:pPr>
              <w:pStyle w:val="4"/>
              <w:jc w:val="both"/>
            </w:pPr>
            <w:r>
              <w:rPr>
                <w:rFonts w:ascii="仿宋_GB2312" w:hAnsi="仿宋_GB2312" w:eastAsia="仿宋_GB2312" w:cs="仿宋_GB2312"/>
                <w:color w:val="000000"/>
                <w:sz w:val="24"/>
              </w:rPr>
              <w:t>1、项目名称：陕西省教育考试院2025年网络安全等级保护测评服务项目</w:t>
            </w:r>
          </w:p>
          <w:p w14:paraId="6FCF59ED">
            <w:pPr>
              <w:pStyle w:val="4"/>
              <w:jc w:val="both"/>
            </w:pPr>
            <w:r>
              <w:rPr>
                <w:rFonts w:ascii="仿宋_GB2312" w:hAnsi="仿宋_GB2312" w:eastAsia="仿宋_GB2312" w:cs="仿宋_GB2312"/>
                <w:color w:val="000000"/>
                <w:sz w:val="24"/>
              </w:rPr>
              <w:t>2、完工期：合同签订后，在采购单位同意进场实施后的60个自然日内交付。</w:t>
            </w:r>
          </w:p>
          <w:p w14:paraId="3DB01490">
            <w:pPr>
              <w:pStyle w:val="4"/>
              <w:jc w:val="both"/>
            </w:pPr>
            <w:r>
              <w:rPr>
                <w:rFonts w:ascii="仿宋_GB2312" w:hAnsi="仿宋_GB2312" w:eastAsia="仿宋_GB2312" w:cs="仿宋_GB2312"/>
                <w:color w:val="000000"/>
                <w:sz w:val="24"/>
              </w:rPr>
              <w:t>3、测评系统：三级 2个</w:t>
            </w:r>
          </w:p>
          <w:p w14:paraId="09B1F7D1">
            <w:pPr>
              <w:pStyle w:val="4"/>
              <w:jc w:val="both"/>
            </w:pPr>
            <w:r>
              <w:rPr>
                <w:rFonts w:ascii="仿宋_GB2312" w:hAnsi="仿宋_GB2312" w:eastAsia="仿宋_GB2312" w:cs="仿宋_GB2312"/>
                <w:color w:val="000000"/>
                <w:sz w:val="24"/>
              </w:rPr>
              <w:t>4、人员要求：供应商</w:t>
            </w:r>
            <w:bookmarkStart w:id="0" w:name="_GoBack"/>
            <w:bookmarkEnd w:id="0"/>
            <w:r>
              <w:rPr>
                <w:rFonts w:ascii="仿宋_GB2312" w:hAnsi="仿宋_GB2312" w:eastAsia="仿宋_GB2312" w:cs="仿宋_GB2312"/>
                <w:color w:val="000000"/>
                <w:sz w:val="24"/>
              </w:rPr>
              <w:t>参与此项目不少于9人，其中包括管理人员及现场测评人员，确保人员稳定，其中至少包含（1名高级测评师），（3名中级测评师），（5名初级测评师），提供等保测评相应资质证明材料。</w:t>
            </w:r>
          </w:p>
          <w:p w14:paraId="7636DA77">
            <w:pPr>
              <w:pStyle w:val="4"/>
              <w:jc w:val="both"/>
            </w:pPr>
            <w:r>
              <w:rPr>
                <w:rFonts w:ascii="仿宋_GB2312" w:hAnsi="仿宋_GB2312" w:eastAsia="仿宋_GB2312" w:cs="仿宋_GB2312"/>
                <w:color w:val="000000"/>
                <w:sz w:val="24"/>
              </w:rPr>
              <w:t>5、项目成果：</w:t>
            </w:r>
          </w:p>
          <w:p w14:paraId="7FCC5637">
            <w:pPr>
              <w:pStyle w:val="4"/>
              <w:jc w:val="both"/>
            </w:pPr>
            <w:r>
              <w:rPr>
                <w:rFonts w:ascii="仿宋_GB2312" w:hAnsi="仿宋_GB2312" w:eastAsia="仿宋_GB2312" w:cs="仿宋_GB2312"/>
                <w:color w:val="000000"/>
                <w:sz w:val="24"/>
              </w:rPr>
              <w:t>《等级保护测评项目系统测评方案》</w:t>
            </w:r>
          </w:p>
          <w:p w14:paraId="4D1700F9">
            <w:pPr>
              <w:pStyle w:val="4"/>
              <w:jc w:val="both"/>
            </w:pPr>
            <w:r>
              <w:rPr>
                <w:rFonts w:ascii="仿宋_GB2312" w:hAnsi="仿宋_GB2312" w:eastAsia="仿宋_GB2312" w:cs="仿宋_GB2312"/>
                <w:color w:val="000000"/>
                <w:sz w:val="24"/>
              </w:rPr>
              <w:t>《等级保护测评项目系统等级保护整改建议书》</w:t>
            </w:r>
          </w:p>
          <w:p w14:paraId="2F8780D6">
            <w:pPr>
              <w:pStyle w:val="4"/>
              <w:jc w:val="both"/>
            </w:pPr>
            <w:r>
              <w:rPr>
                <w:rFonts w:ascii="仿宋_GB2312" w:hAnsi="仿宋_GB2312" w:eastAsia="仿宋_GB2312" w:cs="仿宋_GB2312"/>
                <w:color w:val="000000"/>
                <w:sz w:val="24"/>
              </w:rPr>
              <w:t>《等级保护测评项目系统等级保护测评报告》</w:t>
            </w:r>
          </w:p>
          <w:p w14:paraId="2F91380A">
            <w:pPr>
              <w:pStyle w:val="4"/>
              <w:jc w:val="both"/>
            </w:pPr>
            <w:r>
              <w:rPr>
                <w:rFonts w:ascii="仿宋_GB2312" w:hAnsi="仿宋_GB2312" w:eastAsia="仿宋_GB2312" w:cs="仿宋_GB2312"/>
                <w:color w:val="000000"/>
                <w:sz w:val="24"/>
              </w:rPr>
              <w:t>《代码审计报告》</w:t>
            </w:r>
          </w:p>
          <w:p w14:paraId="29623E06">
            <w:pPr>
              <w:pStyle w:val="4"/>
              <w:jc w:val="both"/>
            </w:pPr>
            <w:r>
              <w:rPr>
                <w:rFonts w:ascii="仿宋_GB2312" w:hAnsi="仿宋_GB2312" w:eastAsia="仿宋_GB2312" w:cs="仿宋_GB2312"/>
                <w:color w:val="000000"/>
                <w:sz w:val="24"/>
              </w:rPr>
              <w:t>《安全规划方案》</w:t>
            </w:r>
          </w:p>
          <w:p w14:paraId="5A06C9F2">
            <w:pPr>
              <w:pStyle w:val="4"/>
            </w:pPr>
            <w:r>
              <w:rPr>
                <w:rFonts w:ascii="仿宋_GB2312" w:hAnsi="仿宋_GB2312" w:eastAsia="仿宋_GB2312" w:cs="仿宋_GB2312"/>
                <w:color w:val="000000"/>
                <w:sz w:val="24"/>
              </w:rPr>
              <w:t>最终完成项目系统的测评及整改工作</w:t>
            </w:r>
          </w:p>
        </w:tc>
      </w:tr>
      <w:tr w14:paraId="32FA9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14:paraId="33974135">
            <w:pPr>
              <w:pStyle w:val="4"/>
            </w:pPr>
            <w:r>
              <w:rPr>
                <w:rFonts w:ascii="仿宋_GB2312" w:hAnsi="仿宋_GB2312" w:eastAsia="仿宋_GB2312" w:cs="仿宋_GB2312"/>
              </w:rPr>
              <w:t>2</w:t>
            </w:r>
          </w:p>
        </w:tc>
        <w:tc>
          <w:tcPr>
            <w:tcW w:w="1043" w:type="dxa"/>
          </w:tcPr>
          <w:p w14:paraId="2D532738"/>
        </w:tc>
        <w:tc>
          <w:tcPr>
            <w:tcW w:w="6620" w:type="dxa"/>
          </w:tcPr>
          <w:p w14:paraId="4B6D5109">
            <w:pPr>
              <w:pStyle w:val="4"/>
            </w:pPr>
            <w:r>
              <w:rPr>
                <w:rFonts w:ascii="仿宋_GB2312" w:hAnsi="仿宋_GB2312" w:eastAsia="仿宋_GB2312" w:cs="仿宋_GB2312"/>
                <w:b/>
                <w:color w:val="000000"/>
                <w:sz w:val="24"/>
              </w:rPr>
              <w:t>二、技术要求</w:t>
            </w:r>
          </w:p>
          <w:p w14:paraId="44FEE911">
            <w:pPr>
              <w:pStyle w:val="4"/>
            </w:pPr>
            <w:r>
              <w:rPr>
                <w:rFonts w:ascii="仿宋_GB2312" w:hAnsi="仿宋_GB2312" w:eastAsia="仿宋_GB2312" w:cs="仿宋_GB2312"/>
                <w:b/>
                <w:color w:val="000000"/>
                <w:sz w:val="24"/>
              </w:rPr>
              <w:t>1、项目概况</w:t>
            </w:r>
            <w:r>
              <w:rPr>
                <w:rFonts w:ascii="仿宋_GB2312" w:hAnsi="仿宋_GB2312" w:eastAsia="仿宋_GB2312" w:cs="仿宋_GB2312"/>
                <w:color w:val="000000"/>
                <w:sz w:val="24"/>
              </w:rPr>
              <w:t>：</w:t>
            </w:r>
          </w:p>
          <w:p w14:paraId="605D21B4">
            <w:pPr>
              <w:pStyle w:val="4"/>
              <w:ind w:firstLine="480"/>
            </w:pPr>
            <w:r>
              <w:rPr>
                <w:rFonts w:ascii="仿宋_GB2312" w:hAnsi="仿宋_GB2312" w:eastAsia="仿宋_GB2312" w:cs="仿宋_GB2312"/>
                <w:color w:val="000000"/>
                <w:sz w:val="24"/>
              </w:rPr>
              <w:t>为保障陕西省教育考试院的重要网络安全运行，落实《中华人民共和国网络安全法》《信息安全等级保护管理办法》等国家法律法规要求，结合我单位的实际情况，现对2个信息系统开展等级保护测评服务工作。</w:t>
            </w:r>
          </w:p>
          <w:p w14:paraId="77BCA9DD">
            <w:pPr>
              <w:pStyle w:val="4"/>
            </w:pPr>
            <w:r>
              <w:rPr>
                <w:rFonts w:ascii="仿宋_GB2312" w:hAnsi="仿宋_GB2312" w:eastAsia="仿宋_GB2312" w:cs="仿宋_GB2312"/>
                <w:b/>
                <w:color w:val="000000"/>
                <w:sz w:val="24"/>
              </w:rPr>
              <w:t>2、服务总体要求：</w:t>
            </w:r>
          </w:p>
          <w:p w14:paraId="79B874D0">
            <w:pPr>
              <w:pStyle w:val="4"/>
              <w:ind w:firstLine="480"/>
            </w:pPr>
            <w:r>
              <w:rPr>
                <w:rFonts w:ascii="仿宋_GB2312" w:hAnsi="仿宋_GB2312" w:eastAsia="仿宋_GB2312" w:cs="仿宋_GB2312"/>
                <w:color w:val="000000"/>
                <w:sz w:val="24"/>
              </w:rPr>
              <w:t>（1）测评服务要求：依据《基本要求》（GB/T 22239-2019）、测评要求》（GB/T 28448-2019）和《测评过程指南》（GB/T 28449-2018）等国家关于网络安全等级保护2.0的相关标准和规范要求，为陕西省教育考试院提供相应级别信息系统协助定级备案工作、等级保护测评实施及整改工作，包括安全物理环境、安全通信网络、安全区域边界、安全计算环境、安全管理中心测评，以及安全管理制度、安全管理机构、安全管理人员、安全建设管理、安全运维管理测评及整改。</w:t>
            </w:r>
          </w:p>
          <w:p w14:paraId="2D6CC3A0">
            <w:pPr>
              <w:pStyle w:val="4"/>
              <w:ind w:firstLine="480"/>
              <w:jc w:val="both"/>
            </w:pPr>
            <w:r>
              <w:rPr>
                <w:rFonts w:ascii="仿宋_GB2312" w:hAnsi="仿宋_GB2312" w:eastAsia="仿宋_GB2312" w:cs="仿宋_GB2312"/>
                <w:color w:val="000000"/>
                <w:sz w:val="24"/>
              </w:rPr>
              <w:t>（2）▲渗透测试服务要求：渗透测试通过模拟恶意黑客的攻击方法，对陕西省教育考试院各类信息系统进行内网及互联网安全性渗透测试，服务期内不少于2次。对系统和网络进行非破坏性质的攻击性测试，尝试侵入系统，获取系统控制权并将入侵的过程和细节产生报告给用户，由此证实用户系统所存在的安全威胁和风险，及时提示开发人员修复安全漏洞，提醒安全管理员完善安全策略，提升系统安全防护能力。通过这种方法，可以发现系统面临和暴露的安全问题，同时渗透测试也是对安全措施有效性的重要验证。</w:t>
            </w:r>
          </w:p>
          <w:p w14:paraId="2F195198">
            <w:pPr>
              <w:pStyle w:val="4"/>
              <w:ind w:firstLine="480"/>
              <w:jc w:val="both"/>
            </w:pPr>
            <w:r>
              <w:rPr>
                <w:rFonts w:ascii="仿宋_GB2312" w:hAnsi="仿宋_GB2312" w:eastAsia="仿宋_GB2312" w:cs="仿宋_GB2312"/>
                <w:color w:val="000000"/>
                <w:sz w:val="24"/>
              </w:rPr>
              <w:t>（3）▲代码审计服务要求：运用工具对指定系统进行不超过50万行的代码审计，其中包括审核应用流程中是否存在可被绕过的隐患；审核应用代码中是否有一般性的漏洞类型；审核应用代码中因需要开放给管理员或用户而可能导致的隐蔽漏洞；审核应用系统中三方组件及产品的漏洞隐患；结合黑盒渗透测试方法，对应用代码审计结果验证；发现安全隐患，确定后给出加固解决方案；对应用代码中不符合安全规范的部分进行规范；对今后应用代码编写的安全措施给出指导意见并出具正式报告。</w:t>
            </w:r>
          </w:p>
          <w:p w14:paraId="50700367">
            <w:pPr>
              <w:pStyle w:val="4"/>
              <w:jc w:val="both"/>
            </w:pPr>
            <w:r>
              <w:rPr>
                <w:rFonts w:ascii="仿宋_GB2312" w:hAnsi="仿宋_GB2312" w:eastAsia="仿宋_GB2312" w:cs="仿宋_GB2312"/>
                <w:color w:val="000000"/>
                <w:sz w:val="24"/>
              </w:rPr>
              <w:t>（4）安全检测采用专业工具扫描（漏洞扫描采用产品必须为商业化产品）、人工评估、渗透测试三种相结合的方式，对目标系统进行评估，包括但不限于：帐户与口令安全、网络服务安全、内核参数安全、文件系统安全、日志安全等；从应用系统相关硬件、软件和数据等方面。其他评估内容应至少包括网络设备与防火墙、Web服务、文件服务、数据库问题、跨站脚本攻击、其他服务、其他问题等。根据陕西省教育考试院的实际需要，在重大考试活动、重要会议召开前等关键时间点提供专业漏洞扫描服务不少于 4 次。</w:t>
            </w:r>
          </w:p>
          <w:p w14:paraId="76489485">
            <w:pPr>
              <w:pStyle w:val="4"/>
              <w:ind w:firstLine="480"/>
              <w:jc w:val="both"/>
            </w:pPr>
            <w:r>
              <w:rPr>
                <w:rFonts w:ascii="仿宋_GB2312" w:hAnsi="仿宋_GB2312" w:eastAsia="仿宋_GB2312" w:cs="仿宋_GB2312"/>
                <w:color w:val="000000"/>
                <w:sz w:val="24"/>
              </w:rPr>
              <w:t>（5）重点时段、网络安全攻防演练期间保障：</w:t>
            </w:r>
          </w:p>
          <w:p w14:paraId="1856567E">
            <w:pPr>
              <w:pStyle w:val="4"/>
              <w:ind w:firstLine="480"/>
              <w:jc w:val="both"/>
            </w:pPr>
            <w:r>
              <w:rPr>
                <w:rFonts w:ascii="仿宋_GB2312" w:hAnsi="仿宋_GB2312" w:eastAsia="仿宋_GB2312" w:cs="仿宋_GB2312"/>
                <w:color w:val="000000"/>
                <w:sz w:val="24"/>
              </w:rPr>
              <w:t>前期，安全体检：将业务系统摸清家底、漏洞体检，协助考试院进行网络风险加固，降低被攻击的风险；</w:t>
            </w:r>
          </w:p>
          <w:p w14:paraId="009927BE">
            <w:pPr>
              <w:pStyle w:val="4"/>
              <w:ind w:firstLine="480"/>
              <w:jc w:val="both"/>
            </w:pPr>
            <w:r>
              <w:rPr>
                <w:rFonts w:ascii="仿宋_GB2312" w:hAnsi="仿宋_GB2312" w:eastAsia="仿宋_GB2312" w:cs="仿宋_GB2312"/>
                <w:color w:val="000000"/>
                <w:sz w:val="24"/>
              </w:rPr>
              <w:t>过程中，防御响应：重保中通过部署安全防护能力，提升业务防护水平，并结合网络安全设备防御防守日志进行全时分析监测，并做出及时响应；</w:t>
            </w:r>
          </w:p>
          <w:p w14:paraId="560FFECF">
            <w:pPr>
              <w:pStyle w:val="4"/>
              <w:ind w:firstLine="480"/>
              <w:jc w:val="both"/>
            </w:pPr>
            <w:r>
              <w:rPr>
                <w:rFonts w:ascii="仿宋_GB2312" w:hAnsi="仿宋_GB2312" w:eastAsia="仿宋_GB2312" w:cs="仿宋_GB2312"/>
                <w:color w:val="000000"/>
                <w:sz w:val="24"/>
              </w:rPr>
              <w:t>重保后，复盘改进：全面总结本次重保及防守各阶段的工作情况，形成行汇报总结，并加以改进；</w:t>
            </w:r>
          </w:p>
          <w:p w14:paraId="5A7AAB78">
            <w:pPr>
              <w:pStyle w:val="4"/>
              <w:ind w:firstLine="480"/>
            </w:pPr>
            <w:r>
              <w:rPr>
                <w:rFonts w:ascii="仿宋_GB2312" w:hAnsi="仿宋_GB2312" w:eastAsia="仿宋_GB2312" w:cs="仿宋_GB2312"/>
                <w:color w:val="000000"/>
                <w:sz w:val="24"/>
              </w:rPr>
              <w:t>（6）安全需求分析及设计服务要求：为保障陕西省教育考试院重要信息系统的安全防护能力，服务商需对其信息系统提供安全需求分析，并且能对陕西省教育考试院的信息系统做安全方案设计，提出正式的安全规划方案。同时对陕西省教育考试院现有的安全管理制度进行梳理和修订。</w:t>
            </w:r>
          </w:p>
          <w:p w14:paraId="1BE81462">
            <w:pPr>
              <w:pStyle w:val="4"/>
              <w:ind w:firstLine="480"/>
            </w:pPr>
            <w:r>
              <w:rPr>
                <w:rFonts w:ascii="仿宋_GB2312" w:hAnsi="仿宋_GB2312" w:eastAsia="仿宋_GB2312" w:cs="仿宋_GB2312"/>
                <w:color w:val="000000"/>
                <w:sz w:val="24"/>
              </w:rPr>
              <w:t>（7）▲应急响应及应急处理要求：服务商在测评项目结束后，要提供至少一年的信息安全应急处理保障，同时陕西省教育考试院应急预案提出修订意见。一旦被测系统出现紧急重大安全事件，收到陕西省教育考试院的服务请求，测评单位工程师在3小时内到达用户现场，提供服务。</w:t>
            </w:r>
          </w:p>
          <w:p w14:paraId="2491D410">
            <w:pPr>
              <w:pStyle w:val="4"/>
              <w:ind w:firstLine="480"/>
            </w:pPr>
            <w:r>
              <w:rPr>
                <w:rFonts w:ascii="仿宋_GB2312" w:hAnsi="仿宋_GB2312" w:eastAsia="仿宋_GB2312" w:cs="仿宋_GB2312"/>
                <w:color w:val="000000"/>
                <w:sz w:val="24"/>
              </w:rPr>
              <w:t>（8）安全咨询服务：服务商在测评项目结束后，要提供至少一年的安全咨询服务，包括但不限于安全技术咨询、安全整改建设咨询、管理制度及国家法规等，服务商需提供咨询建议和方案建议。</w:t>
            </w:r>
          </w:p>
          <w:p w14:paraId="6FE824E1">
            <w:pPr>
              <w:pStyle w:val="4"/>
              <w:ind w:firstLine="480"/>
            </w:pPr>
            <w:r>
              <w:rPr>
                <w:rFonts w:ascii="仿宋_GB2312" w:hAnsi="仿宋_GB2312" w:eastAsia="仿宋_GB2312" w:cs="仿宋_GB2312"/>
                <w:color w:val="000000"/>
                <w:sz w:val="24"/>
              </w:rPr>
              <w:t>（9）▲安全培训服务：服务商需提供网络安全培训服务总费用不低于5万元，培训内容由陕西省教育考试院指定。</w:t>
            </w:r>
          </w:p>
          <w:p w14:paraId="37D900D7">
            <w:pPr>
              <w:pStyle w:val="4"/>
              <w:ind w:firstLine="480"/>
            </w:pPr>
            <w:r>
              <w:rPr>
                <w:rFonts w:ascii="仿宋_GB2312" w:hAnsi="仿宋_GB2312" w:eastAsia="仿宋_GB2312" w:cs="仿宋_GB2312"/>
                <w:color w:val="000000"/>
                <w:sz w:val="24"/>
              </w:rPr>
              <w:t>（10）数据资产整理跟数据分类分级服务：为贯彻落实《中华人民共和国网络安全法》、《中华人民共和国数据安全法》、《个人信息保护法》以及教育部关于教育数据管理的相关要求，构建科学、规范、安全的数据治理体系已成为考试院的当务之急，服务商需需提供系统的数据资产整理与分类分级工作服务，盘点和梳理考试院现有的数据资产，形成统一的数据资产清单，协助我单位形成一套可持续运行的数据分类分级管理规范和工作流程。分级标准：参考国家标准，结合考试院业务影响，建议将数据分为以下四级，服务商可根据自身丰富经验落实：</w:t>
            </w:r>
          </w:p>
          <w:p w14:paraId="46C47D0C">
            <w:pPr>
              <w:pStyle w:val="4"/>
              <w:ind w:firstLine="960"/>
            </w:pPr>
            <w:r>
              <w:rPr>
                <w:rFonts w:ascii="仿宋_GB2312" w:hAnsi="仿宋_GB2312" w:eastAsia="仿宋_GB2312" w:cs="仿宋_GB2312"/>
                <w:color w:val="000000"/>
                <w:sz w:val="24"/>
              </w:rPr>
              <w:t>4级（核心数据）：一旦泄露或篡改会对国家安全、教育公平和社会稳定造成特别严重危害。例如：国家教育考试命题期间使用的原始试题及答案、未解密的涉密考生信息等。</w:t>
            </w:r>
          </w:p>
          <w:p w14:paraId="06EA3E2C">
            <w:pPr>
              <w:pStyle w:val="4"/>
              <w:ind w:firstLine="480"/>
            </w:pPr>
            <w:r>
              <w:rPr>
                <w:rFonts w:ascii="仿宋_GB2312" w:hAnsi="仿宋_GB2312" w:eastAsia="仿宋_GB2312" w:cs="仿宋_GB2312"/>
                <w:color w:val="000000"/>
                <w:sz w:val="24"/>
              </w:rPr>
              <w:t xml:space="preserve">  3级（敏感数据）：一旦泄露或篡改会对个人合法权益或社会秩序造成严重危害。例如：考生身份证号、准考证号、高考/研考等成绩（未公布前）、体检隐私信息、系统核心密钥等。</w:t>
            </w:r>
          </w:p>
          <w:p w14:paraId="3A15B6D7">
            <w:pPr>
              <w:pStyle w:val="4"/>
              <w:ind w:firstLine="480"/>
            </w:pPr>
            <w:r>
              <w:rPr>
                <w:rFonts w:ascii="仿宋_GB2312" w:hAnsi="仿宋_GB2312" w:eastAsia="仿宋_GB2312" w:cs="仿宋_GB2312"/>
                <w:color w:val="000000"/>
                <w:sz w:val="24"/>
              </w:rPr>
              <w:t xml:space="preserve">  2级（重要数据）：一旦泄露或篡改可能对个人或组织造成一定损害。例如：考生姓名、联系方式、学校信息、已公布的历史成绩统计报表、内部管理文件等。</w:t>
            </w:r>
          </w:p>
          <w:p w14:paraId="7B3BE0CD">
            <w:pPr>
              <w:pStyle w:val="4"/>
              <w:ind w:firstLine="480"/>
            </w:pPr>
            <w:r>
              <w:rPr>
                <w:rFonts w:ascii="仿宋_GB2312" w:hAnsi="仿宋_GB2312" w:eastAsia="仿宋_GB2312" w:cs="仿宋_GB2312"/>
                <w:color w:val="000000"/>
                <w:sz w:val="24"/>
              </w:rPr>
              <w:t xml:space="preserve">  1级（公开数据）：可向社会公开的数据。例如：公开的招生政策、考试时间安排、已脱敏的宏观统计数据分析报告等。</w:t>
            </w:r>
          </w:p>
          <w:p w14:paraId="54DC2F57">
            <w:pPr>
              <w:pStyle w:val="4"/>
              <w:ind w:firstLine="480"/>
            </w:pPr>
            <w:r>
              <w:rPr>
                <w:rFonts w:ascii="仿宋_GB2312" w:hAnsi="仿宋_GB2312" w:eastAsia="仿宋_GB2312" w:cs="仿宋_GB2312"/>
                <w:color w:val="000000"/>
                <w:sz w:val="24"/>
              </w:rPr>
              <w:t>通过此次数据资产整理跟数据分类分级服务，提升我单位数据安全水位：实现数据安全的精细化管理，有效防范数据泄露、滥用风险。保障我单位业务合规运营：满足国家法律法规和行业监管要求，降低合规风险。促进我单位数据有序共享：明确哪些数据可以共享、以何种方式共享，打破数据孤岛。夯实我单位数据决策基础：为未来数据统计分析、考生服务优化、教育决策支持提供高质量的数据基础。</w:t>
            </w:r>
          </w:p>
          <w:p w14:paraId="79698723">
            <w:pPr>
              <w:pStyle w:val="4"/>
              <w:ind w:firstLine="480"/>
            </w:pPr>
            <w:r>
              <w:rPr>
                <w:rFonts w:ascii="仿宋_GB2312" w:hAnsi="仿宋_GB2312" w:eastAsia="仿宋_GB2312" w:cs="仿宋_GB2312"/>
                <w:color w:val="000000"/>
                <w:sz w:val="24"/>
              </w:rPr>
              <w:t>（11）服务商须服从陕西省教育考试院业务信息系统的统一协调，且必须在项目实施期间由服务商派驻有丰富实施经验的信息安全等级保护测评中级及以上测评师为项目实施团队主要负责人和核心成员，全程参与项目实施。</w:t>
            </w:r>
          </w:p>
          <w:p w14:paraId="3223AE43">
            <w:pPr>
              <w:pStyle w:val="4"/>
              <w:ind w:firstLine="480"/>
              <w:jc w:val="both"/>
            </w:pPr>
            <w:r>
              <w:rPr>
                <w:rFonts w:ascii="仿宋_GB2312" w:hAnsi="仿宋_GB2312" w:eastAsia="仿宋_GB2312" w:cs="仿宋_GB2312"/>
                <w:color w:val="000000"/>
                <w:sz w:val="24"/>
              </w:rPr>
              <w:t>（12）服务商须提供正式的测评实施方案和计划、测评方案，经我单位审核通过后实施，完成我单位对安全管理制度的补充完善和整理工作，配合对我单位信息系统进行整改测评服务。</w:t>
            </w:r>
          </w:p>
          <w:p w14:paraId="47DF53E1">
            <w:pPr>
              <w:pStyle w:val="4"/>
              <w:ind w:firstLine="480"/>
            </w:pPr>
            <w:r>
              <w:rPr>
                <w:rFonts w:ascii="仿宋_GB2312" w:hAnsi="仿宋_GB2312" w:eastAsia="仿宋_GB2312" w:cs="仿宋_GB2312"/>
                <w:color w:val="000000"/>
                <w:sz w:val="24"/>
              </w:rPr>
              <w:t>（13）服务商须与我单位签订项目合同、保密协议和现场评测授权书、风险预判告知书，核实驻场测评师资质与投标时对本项目配备的测评师是否一致。确因工作调配需更换测评师，需提前10 个工作日向我单位信息部门负责人员书面报备，并提供更换测评师资质证明。</w:t>
            </w:r>
          </w:p>
          <w:p w14:paraId="1152DC84">
            <w:pPr>
              <w:pStyle w:val="4"/>
              <w:ind w:firstLine="480"/>
            </w:pPr>
            <w:r>
              <w:rPr>
                <w:rFonts w:ascii="仿宋_GB2312" w:hAnsi="仿宋_GB2312" w:eastAsia="仿宋_GB2312" w:cs="仿宋_GB2312"/>
                <w:color w:val="000000"/>
                <w:sz w:val="24"/>
              </w:rPr>
              <w:t>（14）测评结束后，服务方需提供整改咨询服务和质保服务，并提供为期一年的售后服务，就本项目成果中的具体内容提供解释，提供信息系统等级保护相关工作的技术支持和咨询服务，以帮助陕西省教育考试院提高安全防护能力。</w:t>
            </w:r>
          </w:p>
          <w:p w14:paraId="5D0CFBD3">
            <w:pPr>
              <w:pStyle w:val="4"/>
            </w:pPr>
            <w:r>
              <w:rPr>
                <w:rFonts w:ascii="仿宋_GB2312" w:hAnsi="仿宋_GB2312" w:eastAsia="仿宋_GB2312" w:cs="仿宋_GB2312"/>
                <w:b/>
                <w:color w:val="000000"/>
                <w:sz w:val="24"/>
              </w:rPr>
              <w:t>3、实施流程及工作内容要求</w:t>
            </w:r>
          </w:p>
          <w:p w14:paraId="58CC57B8">
            <w:pPr>
              <w:pStyle w:val="4"/>
            </w:pPr>
            <w:r>
              <w:rPr>
                <w:rFonts w:ascii="仿宋_GB2312" w:hAnsi="仿宋_GB2312" w:eastAsia="仿宋_GB2312" w:cs="仿宋_GB2312"/>
                <w:color w:val="000000"/>
                <w:sz w:val="24"/>
              </w:rPr>
              <w:t>信息安全等级保护测评工作的流程如下图所示，在开展信息安全等级保护测评工作过程中要求严格遵循如下流程：</w:t>
            </w:r>
          </w:p>
        </w:tc>
      </w:tr>
      <w:tr w14:paraId="2C4ED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14:paraId="1FBAF575">
            <w:pPr>
              <w:pStyle w:val="4"/>
            </w:pPr>
            <w:r>
              <w:rPr>
                <w:rFonts w:ascii="仿宋_GB2312" w:hAnsi="仿宋_GB2312" w:eastAsia="仿宋_GB2312" w:cs="仿宋_GB2312"/>
              </w:rPr>
              <w:t>3</w:t>
            </w:r>
          </w:p>
        </w:tc>
        <w:tc>
          <w:tcPr>
            <w:tcW w:w="1043" w:type="dxa"/>
          </w:tcPr>
          <w:p w14:paraId="0DD58AF5"/>
        </w:tc>
        <w:tc>
          <w:tcPr>
            <w:tcW w:w="6620" w:type="dxa"/>
          </w:tcPr>
          <w:p w14:paraId="35BE256D">
            <w:pPr>
              <w:pStyle w:val="4"/>
            </w:pPr>
            <w:r>
              <w:drawing>
                <wp:inline distT="0" distB="0" distL="0" distR="0">
                  <wp:extent cx="1621155" cy="2586990"/>
                  <wp:effectExtent l="0" t="0" r="17145" b="3810"/>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1621155" cy="2587521"/>
                          </a:xfrm>
                          <a:prstGeom prst="rect">
                            <a:avLst/>
                          </a:prstGeom>
                        </pic:spPr>
                      </pic:pic>
                    </a:graphicData>
                  </a:graphic>
                </wp:inline>
              </w:drawing>
            </w:r>
          </w:p>
          <w:p w14:paraId="66AB5064">
            <w:pPr>
              <w:pStyle w:val="4"/>
              <w:ind w:firstLine="480"/>
            </w:pPr>
            <w:r>
              <w:rPr>
                <w:rFonts w:ascii="仿宋_GB2312" w:hAnsi="仿宋_GB2312" w:eastAsia="仿宋_GB2312" w:cs="仿宋_GB2312"/>
                <w:color w:val="000000"/>
                <w:sz w:val="24"/>
              </w:rPr>
              <w:t>①测评准备活动</w:t>
            </w:r>
          </w:p>
          <w:p w14:paraId="2E2887D1">
            <w:pPr>
              <w:pStyle w:val="4"/>
            </w:pPr>
            <w:r>
              <w:rPr>
                <w:rFonts w:ascii="仿宋_GB2312" w:hAnsi="仿宋_GB2312" w:eastAsia="仿宋_GB2312" w:cs="仿宋_GB2312"/>
                <w:color w:val="000000"/>
                <w:sz w:val="24"/>
              </w:rPr>
              <w:t>本活动是开展等级测评工作的前提和基础，是整个等级测评过程有效性的保证。测评准备工作是否充分直接关系到后续工作能否顺利开展。本活动的主要任务是掌握被测评系统的详细情况，准备测评工具，为编制测评方案做好准备。</w:t>
            </w:r>
          </w:p>
          <w:p w14:paraId="515FDB08">
            <w:pPr>
              <w:pStyle w:val="4"/>
              <w:ind w:firstLine="480"/>
            </w:pPr>
            <w:r>
              <w:rPr>
                <w:rFonts w:ascii="仿宋_GB2312" w:hAnsi="仿宋_GB2312" w:eastAsia="仿宋_GB2312" w:cs="仿宋_GB2312"/>
                <w:color w:val="000000"/>
                <w:sz w:val="24"/>
              </w:rPr>
              <w:t>②方案编制活动</w:t>
            </w:r>
          </w:p>
          <w:p w14:paraId="66BFB08C">
            <w:pPr>
              <w:pStyle w:val="4"/>
            </w:pPr>
            <w:r>
              <w:rPr>
                <w:rFonts w:ascii="仿宋_GB2312" w:hAnsi="仿宋_GB2312" w:eastAsia="仿宋_GB2312" w:cs="仿宋_GB2312"/>
                <w:color w:val="000000"/>
                <w:sz w:val="24"/>
              </w:rPr>
              <w:t>本活动是开展等级测评工作的关键活动，为现场测评提供最基本的文档和指导方案。本活动的主要任务是确定与被测评信息系统相适应的测评对象、测评指标及测评内容等，并根据需要开发测评指导书，形成测评方案。</w:t>
            </w:r>
          </w:p>
          <w:p w14:paraId="443AA5C2">
            <w:pPr>
              <w:pStyle w:val="4"/>
              <w:ind w:firstLine="480"/>
            </w:pPr>
            <w:r>
              <w:rPr>
                <w:rFonts w:ascii="仿宋_GB2312" w:hAnsi="仿宋_GB2312" w:eastAsia="仿宋_GB2312" w:cs="仿宋_GB2312"/>
                <w:color w:val="000000"/>
                <w:sz w:val="24"/>
              </w:rPr>
              <w:t>③现场测评活动</w:t>
            </w:r>
          </w:p>
          <w:p w14:paraId="75899164">
            <w:pPr>
              <w:pStyle w:val="4"/>
            </w:pPr>
            <w:r>
              <w:rPr>
                <w:rFonts w:ascii="仿宋_GB2312" w:hAnsi="仿宋_GB2312" w:eastAsia="仿宋_GB2312" w:cs="仿宋_GB2312"/>
                <w:color w:val="000000"/>
                <w:sz w:val="24"/>
              </w:rPr>
              <w:t>本活动是开展等级测评工作的核心活动。本活动的主要任务是按照测评方案的总体要求，严格执行测评指导书，分步实施所有测评项目，包括单位测评和整体测评两个方面，以了解系统的真实保护情况，获取足够证据，发现系统存在的安全问题。</w:t>
            </w:r>
          </w:p>
          <w:p w14:paraId="6C77A66B">
            <w:pPr>
              <w:pStyle w:val="4"/>
              <w:ind w:firstLine="480"/>
            </w:pPr>
            <w:r>
              <w:rPr>
                <w:rFonts w:ascii="仿宋_GB2312" w:hAnsi="仿宋_GB2312" w:eastAsia="仿宋_GB2312" w:cs="仿宋_GB2312"/>
                <w:color w:val="000000"/>
                <w:sz w:val="24"/>
              </w:rPr>
              <w:t>④分析与报告编制活动</w:t>
            </w:r>
          </w:p>
          <w:p w14:paraId="379D3132">
            <w:pPr>
              <w:pStyle w:val="4"/>
            </w:pPr>
            <w:r>
              <w:rPr>
                <w:rFonts w:ascii="仿宋_GB2312" w:hAnsi="仿宋_GB2312" w:eastAsia="仿宋_GB2312" w:cs="仿宋_GB2312"/>
                <w:color w:val="000000"/>
                <w:sz w:val="24"/>
              </w:rPr>
              <w:t>本活动是给出等级测评工作结果的活动，是总结被测系统整体安全保护能力的综合评价活动。本活动的主要任务是根据现场测评结果和行标的有关要求，通过单项测评结果判定、单元测评结果判定、整体测评和风险分析等方法，找出整个系统的安全保护现状与相应等级的保护要求之间的差距，并分析这些差距导致被测评系统面临的风险，提出整改意见并配合被测评单位完成整改，从而给出等级测评结论，形成测评报告文本。</w:t>
            </w:r>
          </w:p>
          <w:p w14:paraId="56B5EC00">
            <w:pPr>
              <w:pStyle w:val="4"/>
            </w:pPr>
            <w:r>
              <w:rPr>
                <w:rFonts w:ascii="仿宋_GB2312" w:hAnsi="仿宋_GB2312" w:eastAsia="仿宋_GB2312" w:cs="仿宋_GB2312"/>
                <w:color w:val="000000"/>
                <w:sz w:val="24"/>
              </w:rPr>
              <w:t>测评指标：</w:t>
            </w:r>
          </w:p>
          <w:p w14:paraId="56C45F4F">
            <w:pPr>
              <w:pStyle w:val="4"/>
            </w:pPr>
            <w:r>
              <w:rPr>
                <w:rFonts w:ascii="仿宋_GB2312" w:hAnsi="仿宋_GB2312" w:eastAsia="仿宋_GB2312" w:cs="仿宋_GB2312"/>
                <w:color w:val="000000"/>
                <w:sz w:val="24"/>
              </w:rPr>
              <w:t>三级要求指标：</w:t>
            </w:r>
          </w:p>
          <w:tbl>
            <w:tblPr>
              <w:tblStyle w:val="2"/>
              <w:tblW w:w="0" w:type="auto"/>
              <w:tblInd w:w="7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451"/>
              <w:gridCol w:w="2054"/>
            </w:tblGrid>
            <w:tr w14:paraId="343EDF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510688">
                  <w:pPr>
                    <w:pStyle w:val="4"/>
                    <w:jc w:val="center"/>
                  </w:pPr>
                  <w:r>
                    <w:rPr>
                      <w:rFonts w:ascii="仿宋_GB2312" w:hAnsi="仿宋_GB2312" w:eastAsia="仿宋_GB2312" w:cs="仿宋_GB2312"/>
                      <w:b/>
                      <w:color w:val="000000"/>
                      <w:sz w:val="24"/>
                    </w:rPr>
                    <w:t>安全层面</w:t>
                  </w:r>
                </w:p>
              </w:tc>
              <w:tc>
                <w:tcPr>
                  <w:tcW w:w="2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6E9D55">
                  <w:pPr>
                    <w:pStyle w:val="4"/>
                    <w:jc w:val="center"/>
                  </w:pPr>
                  <w:r>
                    <w:rPr>
                      <w:rFonts w:ascii="仿宋_GB2312" w:hAnsi="仿宋_GB2312" w:eastAsia="仿宋_GB2312" w:cs="仿宋_GB2312"/>
                      <w:b/>
                      <w:color w:val="000000"/>
                      <w:sz w:val="24"/>
                    </w:rPr>
                    <w:t>安全控制点</w:t>
                  </w:r>
                </w:p>
              </w:tc>
              <w:tc>
                <w:tcPr>
                  <w:tcW w:w="20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42AFD4">
                  <w:pPr>
                    <w:pStyle w:val="4"/>
                    <w:jc w:val="center"/>
                  </w:pPr>
                  <w:r>
                    <w:rPr>
                      <w:rFonts w:ascii="仿宋_GB2312" w:hAnsi="仿宋_GB2312" w:eastAsia="仿宋_GB2312" w:cs="仿宋_GB2312"/>
                      <w:b/>
                      <w:color w:val="000000"/>
                      <w:sz w:val="24"/>
                    </w:rPr>
                    <w:t>测评指标（2.0）</w:t>
                  </w:r>
                </w:p>
              </w:tc>
            </w:tr>
            <w:tr w14:paraId="5819AA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F08DF5">
                  <w:pPr>
                    <w:pStyle w:val="4"/>
                    <w:jc w:val="center"/>
                  </w:pPr>
                  <w:r>
                    <w:rPr>
                      <w:rFonts w:ascii="仿宋_GB2312" w:hAnsi="仿宋_GB2312" w:eastAsia="仿宋_GB2312" w:cs="仿宋_GB2312"/>
                      <w:color w:val="000000"/>
                      <w:sz w:val="24"/>
                    </w:rPr>
                    <w:t>安全物理环境</w:t>
                  </w:r>
                </w:p>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C9515A">
                  <w:pPr>
                    <w:pStyle w:val="4"/>
                    <w:jc w:val="center"/>
                  </w:pPr>
                  <w:r>
                    <w:rPr>
                      <w:rFonts w:ascii="仿宋_GB2312" w:hAnsi="仿宋_GB2312" w:eastAsia="仿宋_GB2312" w:cs="仿宋_GB2312"/>
                      <w:color w:val="000000"/>
                      <w:sz w:val="24"/>
                    </w:rPr>
                    <w:t>物理位置选择</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D718B0">
                  <w:pPr>
                    <w:pStyle w:val="4"/>
                    <w:jc w:val="left"/>
                  </w:pPr>
                  <w:r>
                    <w:rPr>
                      <w:rFonts w:ascii="仿宋_GB2312" w:hAnsi="仿宋_GB2312" w:eastAsia="仿宋_GB2312" w:cs="仿宋_GB2312"/>
                      <w:color w:val="000000"/>
                      <w:sz w:val="24"/>
                    </w:rPr>
                    <w:t>a)机房和办公场地应选择在具有防震、防风和防雨等能力的建筑内；</w:t>
                  </w:r>
                </w:p>
              </w:tc>
            </w:tr>
            <w:tr w14:paraId="76506F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194F8B33"/>
              </w:tc>
              <w:tc>
                <w:tcPr>
                  <w:tcW w:w="266" w:type="dxa"/>
                  <w:vMerge w:val="continue"/>
                  <w:tcBorders>
                    <w:top w:val="nil"/>
                    <w:left w:val="single" w:color="000000" w:sz="4" w:space="0"/>
                    <w:bottom w:val="single" w:color="000000" w:sz="4" w:space="0"/>
                    <w:right w:val="single" w:color="000000" w:sz="4" w:space="0"/>
                  </w:tcBorders>
                </w:tcPr>
                <w:p w14:paraId="3D7BD43F"/>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0E4C61">
                  <w:pPr>
                    <w:pStyle w:val="4"/>
                    <w:jc w:val="left"/>
                  </w:pPr>
                  <w:r>
                    <w:rPr>
                      <w:rFonts w:ascii="仿宋_GB2312" w:hAnsi="仿宋_GB2312" w:eastAsia="仿宋_GB2312" w:cs="仿宋_GB2312"/>
                      <w:color w:val="000000"/>
                      <w:sz w:val="24"/>
                    </w:rPr>
                    <w:t>b)机房场地应避免设在建筑物的高层或地下室，否则应加强防水和防潮措施。</w:t>
                  </w:r>
                </w:p>
              </w:tc>
            </w:tr>
            <w:tr w14:paraId="024B24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20CA6D15"/>
              </w:tc>
              <w:tc>
                <w:tcPr>
                  <w:tcW w:w="2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A3A17B">
                  <w:pPr>
                    <w:pStyle w:val="4"/>
                    <w:jc w:val="center"/>
                  </w:pPr>
                  <w:r>
                    <w:rPr>
                      <w:rFonts w:ascii="仿宋_GB2312" w:hAnsi="仿宋_GB2312" w:eastAsia="仿宋_GB2312" w:cs="仿宋_GB2312"/>
                      <w:color w:val="000000"/>
                      <w:sz w:val="24"/>
                    </w:rPr>
                    <w:t>物理访问控制</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EB0FCF">
                  <w:pPr>
                    <w:pStyle w:val="4"/>
                    <w:jc w:val="left"/>
                  </w:pPr>
                  <w:r>
                    <w:rPr>
                      <w:rFonts w:ascii="仿宋_GB2312" w:hAnsi="仿宋_GB2312" w:eastAsia="仿宋_GB2312" w:cs="仿宋_GB2312"/>
                      <w:color w:val="000000"/>
                      <w:sz w:val="24"/>
                    </w:rPr>
                    <w:t>a)机房出入口应配置电子门禁系统，控制、鉴别和记录进入的人员。</w:t>
                  </w:r>
                </w:p>
              </w:tc>
            </w:tr>
            <w:tr w14:paraId="23A31B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24AD8452"/>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E1D1BE">
                  <w:pPr>
                    <w:pStyle w:val="4"/>
                    <w:jc w:val="center"/>
                  </w:pPr>
                  <w:r>
                    <w:rPr>
                      <w:rFonts w:ascii="仿宋_GB2312" w:hAnsi="仿宋_GB2312" w:eastAsia="仿宋_GB2312" w:cs="仿宋_GB2312"/>
                      <w:color w:val="000000"/>
                      <w:sz w:val="24"/>
                    </w:rPr>
                    <w:t>防盗窃和防破坏</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ECA0C6">
                  <w:pPr>
                    <w:pStyle w:val="4"/>
                    <w:jc w:val="left"/>
                  </w:pPr>
                  <w:r>
                    <w:rPr>
                      <w:rFonts w:ascii="仿宋_GB2312" w:hAnsi="仿宋_GB2312" w:eastAsia="仿宋_GB2312" w:cs="仿宋_GB2312"/>
                      <w:color w:val="000000"/>
                      <w:sz w:val="24"/>
                    </w:rPr>
                    <w:t>a)应将设备或主要部件进行固定，并设置明显的不易除去的标识；</w:t>
                  </w:r>
                </w:p>
              </w:tc>
            </w:tr>
            <w:tr w14:paraId="643FF0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98F362C"/>
              </w:tc>
              <w:tc>
                <w:tcPr>
                  <w:tcW w:w="266" w:type="dxa"/>
                  <w:vMerge w:val="continue"/>
                  <w:tcBorders>
                    <w:top w:val="nil"/>
                    <w:left w:val="single" w:color="000000" w:sz="4" w:space="0"/>
                    <w:bottom w:val="single" w:color="000000" w:sz="4" w:space="0"/>
                    <w:right w:val="single" w:color="000000" w:sz="4" w:space="0"/>
                  </w:tcBorders>
                </w:tcPr>
                <w:p w14:paraId="7E929DD4"/>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112B57">
                  <w:pPr>
                    <w:pStyle w:val="4"/>
                    <w:jc w:val="left"/>
                  </w:pPr>
                  <w:r>
                    <w:rPr>
                      <w:rFonts w:ascii="仿宋_GB2312" w:hAnsi="仿宋_GB2312" w:eastAsia="仿宋_GB2312" w:cs="仿宋_GB2312"/>
                      <w:color w:val="000000"/>
                      <w:sz w:val="24"/>
                    </w:rPr>
                    <w:t>b)应将通信线缆铺设在隐蔽安全处；</w:t>
                  </w:r>
                </w:p>
              </w:tc>
            </w:tr>
            <w:tr w14:paraId="0FEF70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19D37DEA"/>
              </w:tc>
              <w:tc>
                <w:tcPr>
                  <w:tcW w:w="266" w:type="dxa"/>
                  <w:vMerge w:val="continue"/>
                  <w:tcBorders>
                    <w:top w:val="nil"/>
                    <w:left w:val="single" w:color="000000" w:sz="4" w:space="0"/>
                    <w:bottom w:val="single" w:color="000000" w:sz="4" w:space="0"/>
                    <w:right w:val="single" w:color="000000" w:sz="4" w:space="0"/>
                  </w:tcBorders>
                </w:tcPr>
                <w:p w14:paraId="0B144430"/>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4FC42B">
                  <w:pPr>
                    <w:pStyle w:val="4"/>
                    <w:jc w:val="left"/>
                  </w:pPr>
                  <w:r>
                    <w:rPr>
                      <w:rFonts w:ascii="仿宋_GB2312" w:hAnsi="仿宋_GB2312" w:eastAsia="仿宋_GB2312" w:cs="仿宋_GB2312"/>
                      <w:color w:val="000000"/>
                      <w:sz w:val="24"/>
                    </w:rPr>
                    <w:t>c)应设置机房防盗报警系统或设置有专人值守的视频监控巡查系统。</w:t>
                  </w:r>
                </w:p>
              </w:tc>
            </w:tr>
            <w:tr w14:paraId="02979A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EFD5127"/>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332956">
                  <w:pPr>
                    <w:pStyle w:val="4"/>
                    <w:jc w:val="center"/>
                  </w:pPr>
                  <w:r>
                    <w:rPr>
                      <w:rFonts w:ascii="仿宋_GB2312" w:hAnsi="仿宋_GB2312" w:eastAsia="仿宋_GB2312" w:cs="仿宋_GB2312"/>
                      <w:color w:val="000000"/>
                      <w:sz w:val="24"/>
                    </w:rPr>
                    <w:t>防雷击</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555AF">
                  <w:pPr>
                    <w:pStyle w:val="4"/>
                    <w:jc w:val="left"/>
                  </w:pPr>
                  <w:r>
                    <w:rPr>
                      <w:rFonts w:ascii="仿宋_GB2312" w:hAnsi="仿宋_GB2312" w:eastAsia="仿宋_GB2312" w:cs="仿宋_GB2312"/>
                      <w:color w:val="000000"/>
                      <w:sz w:val="24"/>
                    </w:rPr>
                    <w:t>a)应将各类机柜、设施和设备等通过接地系统安全接地；</w:t>
                  </w:r>
                </w:p>
              </w:tc>
            </w:tr>
            <w:tr w14:paraId="3BC099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540F65A9"/>
              </w:tc>
              <w:tc>
                <w:tcPr>
                  <w:tcW w:w="266" w:type="dxa"/>
                  <w:vMerge w:val="continue"/>
                  <w:tcBorders>
                    <w:top w:val="nil"/>
                    <w:left w:val="single" w:color="000000" w:sz="4" w:space="0"/>
                    <w:bottom w:val="single" w:color="000000" w:sz="4" w:space="0"/>
                    <w:right w:val="single" w:color="000000" w:sz="4" w:space="0"/>
                  </w:tcBorders>
                </w:tcPr>
                <w:p w14:paraId="269FD521"/>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9059BD">
                  <w:pPr>
                    <w:pStyle w:val="4"/>
                    <w:jc w:val="left"/>
                  </w:pPr>
                  <w:r>
                    <w:rPr>
                      <w:rFonts w:ascii="仿宋_GB2312" w:hAnsi="仿宋_GB2312" w:eastAsia="仿宋_GB2312" w:cs="仿宋_GB2312"/>
                      <w:color w:val="000000"/>
                      <w:sz w:val="24"/>
                    </w:rPr>
                    <w:t>b)应采取措施防止感应雷，例如设置防雷保安器或过压保护装置等。</w:t>
                  </w:r>
                </w:p>
              </w:tc>
            </w:tr>
            <w:tr w14:paraId="302DAB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3EFB077"/>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B8A14E">
                  <w:pPr>
                    <w:pStyle w:val="4"/>
                    <w:jc w:val="center"/>
                  </w:pPr>
                  <w:r>
                    <w:rPr>
                      <w:rFonts w:ascii="仿宋_GB2312" w:hAnsi="仿宋_GB2312" w:eastAsia="仿宋_GB2312" w:cs="仿宋_GB2312"/>
                      <w:color w:val="000000"/>
                      <w:sz w:val="24"/>
                    </w:rPr>
                    <w:t>防火</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43ECC">
                  <w:pPr>
                    <w:pStyle w:val="4"/>
                    <w:jc w:val="left"/>
                  </w:pPr>
                  <w:r>
                    <w:rPr>
                      <w:rFonts w:ascii="仿宋_GB2312" w:hAnsi="仿宋_GB2312" w:eastAsia="仿宋_GB2312" w:cs="仿宋_GB2312"/>
                      <w:color w:val="000000"/>
                      <w:sz w:val="24"/>
                    </w:rPr>
                    <w:t>a)机房应设置火灾自动消防系统，能够自动检测火情、自动报警，并自动灭火；</w:t>
                  </w:r>
                </w:p>
              </w:tc>
            </w:tr>
            <w:tr w14:paraId="58B688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254A42F2"/>
              </w:tc>
              <w:tc>
                <w:tcPr>
                  <w:tcW w:w="266" w:type="dxa"/>
                  <w:vMerge w:val="continue"/>
                  <w:tcBorders>
                    <w:top w:val="nil"/>
                    <w:left w:val="single" w:color="000000" w:sz="4" w:space="0"/>
                    <w:bottom w:val="single" w:color="000000" w:sz="4" w:space="0"/>
                    <w:right w:val="single" w:color="000000" w:sz="4" w:space="0"/>
                  </w:tcBorders>
                </w:tcPr>
                <w:p w14:paraId="3B4BB3C6"/>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0B493D">
                  <w:pPr>
                    <w:pStyle w:val="4"/>
                    <w:jc w:val="left"/>
                  </w:pPr>
                  <w:r>
                    <w:rPr>
                      <w:rFonts w:ascii="仿宋_GB2312" w:hAnsi="仿宋_GB2312" w:eastAsia="仿宋_GB2312" w:cs="仿宋_GB2312"/>
                      <w:color w:val="000000"/>
                      <w:sz w:val="24"/>
                    </w:rPr>
                    <w:t>b)机房及相关的工作房间和辅助房应采用具有耐火等级的建筑材料；</w:t>
                  </w:r>
                </w:p>
              </w:tc>
            </w:tr>
            <w:tr w14:paraId="6284BA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03EDE42"/>
              </w:tc>
              <w:tc>
                <w:tcPr>
                  <w:tcW w:w="266" w:type="dxa"/>
                  <w:vMerge w:val="continue"/>
                  <w:tcBorders>
                    <w:top w:val="nil"/>
                    <w:left w:val="single" w:color="000000" w:sz="4" w:space="0"/>
                    <w:bottom w:val="single" w:color="000000" w:sz="4" w:space="0"/>
                    <w:right w:val="single" w:color="000000" w:sz="4" w:space="0"/>
                  </w:tcBorders>
                </w:tcPr>
                <w:p w14:paraId="586221F8"/>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30CAB1">
                  <w:pPr>
                    <w:pStyle w:val="4"/>
                    <w:jc w:val="left"/>
                  </w:pPr>
                  <w:r>
                    <w:rPr>
                      <w:rFonts w:ascii="仿宋_GB2312" w:hAnsi="仿宋_GB2312" w:eastAsia="仿宋_GB2312" w:cs="仿宋_GB2312"/>
                      <w:color w:val="000000"/>
                      <w:sz w:val="24"/>
                    </w:rPr>
                    <w:t>c)应对机房划分区域进行管理，区域和区域之间设置隔离防火措施。</w:t>
                  </w:r>
                </w:p>
              </w:tc>
            </w:tr>
            <w:tr w14:paraId="1A47F7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985CB52"/>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6A5974">
                  <w:pPr>
                    <w:pStyle w:val="4"/>
                    <w:jc w:val="center"/>
                  </w:pPr>
                  <w:r>
                    <w:rPr>
                      <w:rFonts w:ascii="仿宋_GB2312" w:hAnsi="仿宋_GB2312" w:eastAsia="仿宋_GB2312" w:cs="仿宋_GB2312"/>
                      <w:color w:val="000000"/>
                      <w:sz w:val="24"/>
                    </w:rPr>
                    <w:t>防水防潮</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433FA0">
                  <w:pPr>
                    <w:pStyle w:val="4"/>
                    <w:jc w:val="left"/>
                  </w:pPr>
                  <w:r>
                    <w:rPr>
                      <w:rFonts w:ascii="仿宋_GB2312" w:hAnsi="仿宋_GB2312" w:eastAsia="仿宋_GB2312" w:cs="仿宋_GB2312"/>
                      <w:color w:val="000000"/>
                      <w:sz w:val="24"/>
                    </w:rPr>
                    <w:t>a)应采取措施防止雨水通过机房窗户、屋顶和墙壁渗透；</w:t>
                  </w:r>
                </w:p>
              </w:tc>
            </w:tr>
            <w:tr w14:paraId="0589FA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BAC76A4"/>
              </w:tc>
              <w:tc>
                <w:tcPr>
                  <w:tcW w:w="266" w:type="dxa"/>
                  <w:vMerge w:val="continue"/>
                  <w:tcBorders>
                    <w:top w:val="nil"/>
                    <w:left w:val="single" w:color="000000" w:sz="4" w:space="0"/>
                    <w:bottom w:val="single" w:color="000000" w:sz="4" w:space="0"/>
                    <w:right w:val="single" w:color="000000" w:sz="4" w:space="0"/>
                  </w:tcBorders>
                </w:tcPr>
                <w:p w14:paraId="4C654AB5"/>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D961B">
                  <w:pPr>
                    <w:pStyle w:val="4"/>
                    <w:jc w:val="left"/>
                  </w:pPr>
                  <w:r>
                    <w:rPr>
                      <w:rFonts w:ascii="仿宋_GB2312" w:hAnsi="仿宋_GB2312" w:eastAsia="仿宋_GB2312" w:cs="仿宋_GB2312"/>
                      <w:color w:val="000000"/>
                      <w:sz w:val="24"/>
                    </w:rPr>
                    <w:t>b)应采取措施防止机房内水蒸气结露和地下积水的转移与渗透；</w:t>
                  </w:r>
                </w:p>
              </w:tc>
            </w:tr>
            <w:tr w14:paraId="67B9F3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60E14AB"/>
              </w:tc>
              <w:tc>
                <w:tcPr>
                  <w:tcW w:w="266" w:type="dxa"/>
                  <w:vMerge w:val="continue"/>
                  <w:tcBorders>
                    <w:top w:val="nil"/>
                    <w:left w:val="single" w:color="000000" w:sz="4" w:space="0"/>
                    <w:bottom w:val="single" w:color="000000" w:sz="4" w:space="0"/>
                    <w:right w:val="single" w:color="000000" w:sz="4" w:space="0"/>
                  </w:tcBorders>
                </w:tcPr>
                <w:p w14:paraId="685FB7BD"/>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6A5F8B">
                  <w:pPr>
                    <w:pStyle w:val="4"/>
                    <w:jc w:val="left"/>
                  </w:pPr>
                  <w:r>
                    <w:rPr>
                      <w:rFonts w:ascii="仿宋_GB2312" w:hAnsi="仿宋_GB2312" w:eastAsia="仿宋_GB2312" w:cs="仿宋_GB2312"/>
                      <w:color w:val="000000"/>
                      <w:sz w:val="24"/>
                    </w:rPr>
                    <w:t>c)应安装对水敏感的检测仪表或元件，对机房进行防水检测和报警。</w:t>
                  </w:r>
                </w:p>
              </w:tc>
            </w:tr>
            <w:tr w14:paraId="654502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F341F76"/>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1F4F6A">
                  <w:pPr>
                    <w:pStyle w:val="4"/>
                    <w:jc w:val="center"/>
                  </w:pPr>
                  <w:r>
                    <w:rPr>
                      <w:rFonts w:ascii="仿宋_GB2312" w:hAnsi="仿宋_GB2312" w:eastAsia="仿宋_GB2312" w:cs="仿宋_GB2312"/>
                      <w:color w:val="000000"/>
                      <w:sz w:val="24"/>
                    </w:rPr>
                    <w:t>防静电</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D3A04">
                  <w:pPr>
                    <w:pStyle w:val="4"/>
                    <w:jc w:val="left"/>
                  </w:pPr>
                  <w:r>
                    <w:rPr>
                      <w:rFonts w:ascii="仿宋_GB2312" w:hAnsi="仿宋_GB2312" w:eastAsia="仿宋_GB2312" w:cs="仿宋_GB2312"/>
                      <w:color w:val="000000"/>
                      <w:sz w:val="24"/>
                    </w:rPr>
                    <w:t>a)应采用防静电地板或地面并采用必要的接地防静电措施；</w:t>
                  </w:r>
                </w:p>
              </w:tc>
            </w:tr>
            <w:tr w14:paraId="4E0128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4C3A5868"/>
              </w:tc>
              <w:tc>
                <w:tcPr>
                  <w:tcW w:w="266" w:type="dxa"/>
                  <w:vMerge w:val="continue"/>
                  <w:tcBorders>
                    <w:top w:val="nil"/>
                    <w:left w:val="single" w:color="000000" w:sz="4" w:space="0"/>
                    <w:bottom w:val="single" w:color="000000" w:sz="4" w:space="0"/>
                    <w:right w:val="single" w:color="000000" w:sz="4" w:space="0"/>
                  </w:tcBorders>
                </w:tcPr>
                <w:p w14:paraId="400D9643"/>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BE386C">
                  <w:pPr>
                    <w:pStyle w:val="4"/>
                    <w:jc w:val="left"/>
                  </w:pPr>
                  <w:r>
                    <w:rPr>
                      <w:rFonts w:ascii="仿宋_GB2312" w:hAnsi="仿宋_GB2312" w:eastAsia="仿宋_GB2312" w:cs="仿宋_GB2312"/>
                      <w:color w:val="000000"/>
                      <w:sz w:val="24"/>
                    </w:rPr>
                    <w:t>b)应采取措施防止静电的产生，例如采用静电消除器、佩戴防静电手环等。</w:t>
                  </w:r>
                </w:p>
              </w:tc>
            </w:tr>
            <w:tr w14:paraId="2E8B7D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48A3819"/>
              </w:tc>
              <w:tc>
                <w:tcPr>
                  <w:tcW w:w="2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CFC7BB">
                  <w:pPr>
                    <w:pStyle w:val="4"/>
                    <w:jc w:val="center"/>
                  </w:pPr>
                  <w:r>
                    <w:rPr>
                      <w:rFonts w:ascii="仿宋_GB2312" w:hAnsi="仿宋_GB2312" w:eastAsia="仿宋_GB2312" w:cs="仿宋_GB2312"/>
                      <w:color w:val="000000"/>
                      <w:sz w:val="24"/>
                    </w:rPr>
                    <w:t>温湿度控制</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68D834">
                  <w:pPr>
                    <w:pStyle w:val="4"/>
                    <w:jc w:val="left"/>
                  </w:pPr>
                  <w:r>
                    <w:rPr>
                      <w:rFonts w:ascii="仿宋_GB2312" w:hAnsi="仿宋_GB2312" w:eastAsia="仿宋_GB2312" w:cs="仿宋_GB2312"/>
                      <w:color w:val="000000"/>
                      <w:sz w:val="24"/>
                    </w:rPr>
                    <w:t>a)应设置温湿度自动调节设施，使机房温湿度的变化在设备运行所允许的范围之内。</w:t>
                  </w:r>
                </w:p>
              </w:tc>
            </w:tr>
            <w:tr w14:paraId="441780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745B859"/>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18BBD1">
                  <w:pPr>
                    <w:pStyle w:val="4"/>
                    <w:jc w:val="center"/>
                  </w:pPr>
                  <w:r>
                    <w:rPr>
                      <w:rFonts w:ascii="仿宋_GB2312" w:hAnsi="仿宋_GB2312" w:eastAsia="仿宋_GB2312" w:cs="仿宋_GB2312"/>
                      <w:color w:val="000000"/>
                      <w:sz w:val="24"/>
                    </w:rPr>
                    <w:t>电力供应</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95FCD">
                  <w:pPr>
                    <w:pStyle w:val="4"/>
                    <w:jc w:val="left"/>
                  </w:pPr>
                  <w:r>
                    <w:rPr>
                      <w:rFonts w:ascii="仿宋_GB2312" w:hAnsi="仿宋_GB2312" w:eastAsia="仿宋_GB2312" w:cs="仿宋_GB2312"/>
                      <w:color w:val="000000"/>
                      <w:sz w:val="24"/>
                    </w:rPr>
                    <w:t>a)应在机房供电线路上配置稳压器和过电压防护设备；</w:t>
                  </w:r>
                </w:p>
              </w:tc>
            </w:tr>
            <w:tr w14:paraId="40C231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244BF6C"/>
              </w:tc>
              <w:tc>
                <w:tcPr>
                  <w:tcW w:w="266" w:type="dxa"/>
                  <w:vMerge w:val="continue"/>
                  <w:tcBorders>
                    <w:top w:val="nil"/>
                    <w:left w:val="single" w:color="000000" w:sz="4" w:space="0"/>
                    <w:bottom w:val="single" w:color="000000" w:sz="4" w:space="0"/>
                    <w:right w:val="single" w:color="000000" w:sz="4" w:space="0"/>
                  </w:tcBorders>
                </w:tcPr>
                <w:p w14:paraId="210A7D51"/>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1848B6">
                  <w:pPr>
                    <w:pStyle w:val="4"/>
                    <w:jc w:val="left"/>
                  </w:pPr>
                  <w:r>
                    <w:rPr>
                      <w:rFonts w:ascii="仿宋_GB2312" w:hAnsi="仿宋_GB2312" w:eastAsia="仿宋_GB2312" w:cs="仿宋_GB2312"/>
                      <w:color w:val="000000"/>
                      <w:sz w:val="24"/>
                    </w:rPr>
                    <w:t>b)应提供短期的备用电力供应，至少满足设备在断电情况下的正常运行要求；</w:t>
                  </w:r>
                </w:p>
              </w:tc>
            </w:tr>
            <w:tr w14:paraId="693594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576D835"/>
              </w:tc>
              <w:tc>
                <w:tcPr>
                  <w:tcW w:w="266" w:type="dxa"/>
                  <w:vMerge w:val="continue"/>
                  <w:tcBorders>
                    <w:top w:val="nil"/>
                    <w:left w:val="single" w:color="000000" w:sz="4" w:space="0"/>
                    <w:bottom w:val="single" w:color="000000" w:sz="4" w:space="0"/>
                    <w:right w:val="single" w:color="000000" w:sz="4" w:space="0"/>
                  </w:tcBorders>
                </w:tcPr>
                <w:p w14:paraId="2FB41BD0"/>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5C706">
                  <w:pPr>
                    <w:pStyle w:val="4"/>
                    <w:jc w:val="left"/>
                  </w:pPr>
                  <w:r>
                    <w:rPr>
                      <w:rFonts w:ascii="仿宋_GB2312" w:hAnsi="仿宋_GB2312" w:eastAsia="仿宋_GB2312" w:cs="仿宋_GB2312"/>
                      <w:color w:val="000000"/>
                      <w:sz w:val="24"/>
                    </w:rPr>
                    <w:t>c)应设置冗余或并行的电力电缆线路为计算机系统供电。</w:t>
                  </w:r>
                </w:p>
              </w:tc>
            </w:tr>
            <w:tr w14:paraId="66FAB5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9AE7CD6"/>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08B85">
                  <w:pPr>
                    <w:pStyle w:val="4"/>
                    <w:jc w:val="center"/>
                  </w:pPr>
                  <w:r>
                    <w:rPr>
                      <w:rFonts w:ascii="仿宋_GB2312" w:hAnsi="仿宋_GB2312" w:eastAsia="仿宋_GB2312" w:cs="仿宋_GB2312"/>
                      <w:color w:val="000000"/>
                      <w:sz w:val="24"/>
                    </w:rPr>
                    <w:t>电磁防护</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54414F">
                  <w:pPr>
                    <w:pStyle w:val="4"/>
                    <w:jc w:val="left"/>
                  </w:pPr>
                  <w:r>
                    <w:rPr>
                      <w:rFonts w:ascii="仿宋_GB2312" w:hAnsi="仿宋_GB2312" w:eastAsia="仿宋_GB2312" w:cs="仿宋_GB2312"/>
                      <w:color w:val="000000"/>
                      <w:sz w:val="24"/>
                    </w:rPr>
                    <w:t>a)电源线和通信线缆应隔离铺设，避免互相干扰；</w:t>
                  </w:r>
                </w:p>
              </w:tc>
            </w:tr>
            <w:tr w14:paraId="6D13CC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6ED6655"/>
              </w:tc>
              <w:tc>
                <w:tcPr>
                  <w:tcW w:w="266" w:type="dxa"/>
                  <w:vMerge w:val="continue"/>
                  <w:tcBorders>
                    <w:top w:val="nil"/>
                    <w:left w:val="single" w:color="000000" w:sz="4" w:space="0"/>
                    <w:bottom w:val="single" w:color="000000" w:sz="4" w:space="0"/>
                    <w:right w:val="single" w:color="000000" w:sz="4" w:space="0"/>
                  </w:tcBorders>
                </w:tcPr>
                <w:p w14:paraId="6D095C71"/>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38DB97">
                  <w:pPr>
                    <w:pStyle w:val="4"/>
                    <w:jc w:val="left"/>
                  </w:pPr>
                  <w:r>
                    <w:rPr>
                      <w:rFonts w:ascii="仿宋_GB2312" w:hAnsi="仿宋_GB2312" w:eastAsia="仿宋_GB2312" w:cs="仿宋_GB2312"/>
                      <w:color w:val="000000"/>
                      <w:sz w:val="24"/>
                    </w:rPr>
                    <w:t>b)应对关键设备实施电磁屏蔽。</w:t>
                  </w:r>
                </w:p>
              </w:tc>
            </w:tr>
            <w:tr w14:paraId="4F785A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24A88">
                  <w:pPr>
                    <w:pStyle w:val="4"/>
                    <w:jc w:val="center"/>
                  </w:pPr>
                  <w:r>
                    <w:rPr>
                      <w:rFonts w:ascii="仿宋_GB2312" w:hAnsi="仿宋_GB2312" w:eastAsia="仿宋_GB2312" w:cs="仿宋_GB2312"/>
                      <w:color w:val="000000"/>
                      <w:sz w:val="24"/>
                    </w:rPr>
                    <w:t>安全通信网络</w:t>
                  </w:r>
                </w:p>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CBA989">
                  <w:pPr>
                    <w:pStyle w:val="4"/>
                    <w:jc w:val="center"/>
                  </w:pPr>
                  <w:r>
                    <w:rPr>
                      <w:rFonts w:ascii="仿宋_GB2312" w:hAnsi="仿宋_GB2312" w:eastAsia="仿宋_GB2312" w:cs="仿宋_GB2312"/>
                      <w:color w:val="000000"/>
                      <w:sz w:val="24"/>
                    </w:rPr>
                    <w:t>网络架构</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637E04">
                  <w:pPr>
                    <w:pStyle w:val="4"/>
                    <w:jc w:val="left"/>
                  </w:pPr>
                  <w:r>
                    <w:rPr>
                      <w:rFonts w:ascii="仿宋_GB2312" w:hAnsi="仿宋_GB2312" w:eastAsia="仿宋_GB2312" w:cs="仿宋_GB2312"/>
                      <w:color w:val="000000"/>
                      <w:sz w:val="24"/>
                    </w:rPr>
                    <w:t>a)应保证网络设备的业务处理能力满足业务高峰期需要；</w:t>
                  </w:r>
                </w:p>
              </w:tc>
            </w:tr>
            <w:tr w14:paraId="4FAA9C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3DCC696"/>
              </w:tc>
              <w:tc>
                <w:tcPr>
                  <w:tcW w:w="266" w:type="dxa"/>
                  <w:vMerge w:val="continue"/>
                  <w:tcBorders>
                    <w:top w:val="nil"/>
                    <w:left w:val="single" w:color="000000" w:sz="4" w:space="0"/>
                    <w:bottom w:val="single" w:color="000000" w:sz="4" w:space="0"/>
                    <w:right w:val="single" w:color="000000" w:sz="4" w:space="0"/>
                  </w:tcBorders>
                </w:tcPr>
                <w:p w14:paraId="37FD030A"/>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FF06A0">
                  <w:pPr>
                    <w:pStyle w:val="4"/>
                    <w:jc w:val="left"/>
                  </w:pPr>
                  <w:r>
                    <w:rPr>
                      <w:rFonts w:ascii="仿宋_GB2312" w:hAnsi="仿宋_GB2312" w:eastAsia="仿宋_GB2312" w:cs="仿宋_GB2312"/>
                      <w:color w:val="000000"/>
                      <w:sz w:val="24"/>
                    </w:rPr>
                    <w:t>b)应保证网络各个部分的带宽满足业务高峰期需要；</w:t>
                  </w:r>
                </w:p>
              </w:tc>
            </w:tr>
            <w:tr w14:paraId="13941C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2D7F96EC"/>
              </w:tc>
              <w:tc>
                <w:tcPr>
                  <w:tcW w:w="266" w:type="dxa"/>
                  <w:vMerge w:val="continue"/>
                  <w:tcBorders>
                    <w:top w:val="nil"/>
                    <w:left w:val="single" w:color="000000" w:sz="4" w:space="0"/>
                    <w:bottom w:val="single" w:color="000000" w:sz="4" w:space="0"/>
                    <w:right w:val="single" w:color="000000" w:sz="4" w:space="0"/>
                  </w:tcBorders>
                </w:tcPr>
                <w:p w14:paraId="57164D4F"/>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585603">
                  <w:pPr>
                    <w:pStyle w:val="4"/>
                    <w:jc w:val="left"/>
                  </w:pPr>
                  <w:r>
                    <w:rPr>
                      <w:rFonts w:ascii="仿宋_GB2312" w:hAnsi="仿宋_GB2312" w:eastAsia="仿宋_GB2312" w:cs="仿宋_GB2312"/>
                      <w:color w:val="000000"/>
                      <w:sz w:val="24"/>
                    </w:rPr>
                    <w:t>c)应划分不同的网络区域，并按照方便管理和控制的原则为各网络区域分配地址；</w:t>
                  </w:r>
                </w:p>
              </w:tc>
            </w:tr>
            <w:tr w14:paraId="71DAF0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2D6FF60"/>
              </w:tc>
              <w:tc>
                <w:tcPr>
                  <w:tcW w:w="266" w:type="dxa"/>
                  <w:vMerge w:val="continue"/>
                  <w:tcBorders>
                    <w:top w:val="nil"/>
                    <w:left w:val="single" w:color="000000" w:sz="4" w:space="0"/>
                    <w:bottom w:val="single" w:color="000000" w:sz="4" w:space="0"/>
                    <w:right w:val="single" w:color="000000" w:sz="4" w:space="0"/>
                  </w:tcBorders>
                </w:tcPr>
                <w:p w14:paraId="36AA2243"/>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B37C41">
                  <w:pPr>
                    <w:pStyle w:val="4"/>
                    <w:jc w:val="left"/>
                  </w:pPr>
                  <w:r>
                    <w:rPr>
                      <w:rFonts w:ascii="仿宋_GB2312" w:hAnsi="仿宋_GB2312" w:eastAsia="仿宋_GB2312" w:cs="仿宋_GB2312"/>
                      <w:color w:val="000000"/>
                      <w:sz w:val="24"/>
                    </w:rPr>
                    <w:t>d)应避免将重要网络区域部署在边界处，重要网络区域与其他网络区域之间应采取可靠的技术隔离手段；</w:t>
                  </w:r>
                </w:p>
              </w:tc>
            </w:tr>
            <w:tr w14:paraId="61DBEB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AB35E8D"/>
              </w:tc>
              <w:tc>
                <w:tcPr>
                  <w:tcW w:w="266" w:type="dxa"/>
                  <w:vMerge w:val="continue"/>
                  <w:tcBorders>
                    <w:top w:val="nil"/>
                    <w:left w:val="single" w:color="000000" w:sz="4" w:space="0"/>
                    <w:bottom w:val="single" w:color="000000" w:sz="4" w:space="0"/>
                    <w:right w:val="single" w:color="000000" w:sz="4" w:space="0"/>
                  </w:tcBorders>
                </w:tcPr>
                <w:p w14:paraId="12676EAA"/>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360122">
                  <w:pPr>
                    <w:pStyle w:val="4"/>
                    <w:jc w:val="left"/>
                  </w:pPr>
                  <w:r>
                    <w:rPr>
                      <w:rFonts w:ascii="仿宋_GB2312" w:hAnsi="仿宋_GB2312" w:eastAsia="仿宋_GB2312" w:cs="仿宋_GB2312"/>
                      <w:color w:val="000000"/>
                      <w:sz w:val="24"/>
                    </w:rPr>
                    <w:t>e)应提供通信线路、关键网络设备和关键计算设备的硬件冗余，保证系统的可用性。</w:t>
                  </w:r>
                </w:p>
              </w:tc>
            </w:tr>
            <w:tr w14:paraId="1BCCD1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CDCA934"/>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FE3B2E">
                  <w:pPr>
                    <w:pStyle w:val="4"/>
                    <w:jc w:val="center"/>
                  </w:pPr>
                  <w:r>
                    <w:rPr>
                      <w:rFonts w:ascii="仿宋_GB2312" w:hAnsi="仿宋_GB2312" w:eastAsia="仿宋_GB2312" w:cs="仿宋_GB2312"/>
                      <w:color w:val="000000"/>
                      <w:sz w:val="24"/>
                    </w:rPr>
                    <w:t>通信传输</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ECEFD2">
                  <w:pPr>
                    <w:pStyle w:val="4"/>
                    <w:jc w:val="left"/>
                  </w:pPr>
                  <w:r>
                    <w:rPr>
                      <w:rFonts w:ascii="仿宋_GB2312" w:hAnsi="仿宋_GB2312" w:eastAsia="仿宋_GB2312" w:cs="仿宋_GB2312"/>
                      <w:color w:val="000000"/>
                      <w:sz w:val="24"/>
                    </w:rPr>
                    <w:t>a)应采用校验技术或密码技术保证通信过程中数据的完整性；</w:t>
                  </w:r>
                </w:p>
              </w:tc>
            </w:tr>
            <w:tr w14:paraId="701760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4EF57FF"/>
              </w:tc>
              <w:tc>
                <w:tcPr>
                  <w:tcW w:w="266" w:type="dxa"/>
                  <w:vMerge w:val="continue"/>
                  <w:tcBorders>
                    <w:top w:val="nil"/>
                    <w:left w:val="single" w:color="000000" w:sz="4" w:space="0"/>
                    <w:bottom w:val="single" w:color="000000" w:sz="4" w:space="0"/>
                    <w:right w:val="single" w:color="000000" w:sz="4" w:space="0"/>
                  </w:tcBorders>
                </w:tcPr>
                <w:p w14:paraId="7E880C64"/>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0541D7">
                  <w:pPr>
                    <w:pStyle w:val="4"/>
                    <w:jc w:val="left"/>
                  </w:pPr>
                  <w:r>
                    <w:rPr>
                      <w:rFonts w:ascii="仿宋_GB2312" w:hAnsi="仿宋_GB2312" w:eastAsia="仿宋_GB2312" w:cs="仿宋_GB2312"/>
                      <w:color w:val="000000"/>
                      <w:sz w:val="24"/>
                    </w:rPr>
                    <w:t>b)应采用密码技术保证通信过程中数据的保密性。</w:t>
                  </w:r>
                </w:p>
              </w:tc>
            </w:tr>
            <w:tr w14:paraId="34F48A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7DD0D3F"/>
              </w:tc>
              <w:tc>
                <w:tcPr>
                  <w:tcW w:w="2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E2F157">
                  <w:pPr>
                    <w:pStyle w:val="4"/>
                    <w:jc w:val="center"/>
                  </w:pPr>
                  <w:r>
                    <w:rPr>
                      <w:rFonts w:ascii="仿宋_GB2312" w:hAnsi="仿宋_GB2312" w:eastAsia="仿宋_GB2312" w:cs="仿宋_GB2312"/>
                      <w:color w:val="000000"/>
                      <w:sz w:val="24"/>
                    </w:rPr>
                    <w:t>可信验证</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67F863">
                  <w:pPr>
                    <w:pStyle w:val="4"/>
                    <w:jc w:val="left"/>
                  </w:pPr>
                  <w:r>
                    <w:rPr>
                      <w:rFonts w:ascii="仿宋_GB2312" w:hAnsi="仿宋_GB2312" w:eastAsia="仿宋_GB2312" w:cs="仿宋_GB2312"/>
                      <w:color w:val="000000"/>
                      <w:sz w:val="24"/>
                    </w:rPr>
                    <w:t>a)可基于可信根对通信设备的系统引导程序、系统程序、重要配置参数和通信应用程序等进行可信验证，并在应用程序的关键执行环节进行动态可信验证，在监测到其可信性受到破坏后进行报警，并将验证结果形成审计记录送至安全管理中心。</w:t>
                  </w:r>
                </w:p>
              </w:tc>
            </w:tr>
            <w:tr w14:paraId="1CEDAE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99F36A">
                  <w:pPr>
                    <w:pStyle w:val="4"/>
                    <w:jc w:val="center"/>
                  </w:pPr>
                  <w:r>
                    <w:rPr>
                      <w:rFonts w:ascii="仿宋_GB2312" w:hAnsi="仿宋_GB2312" w:eastAsia="仿宋_GB2312" w:cs="仿宋_GB2312"/>
                      <w:color w:val="000000"/>
                      <w:sz w:val="24"/>
                    </w:rPr>
                    <w:t>安全区域边界</w:t>
                  </w:r>
                </w:p>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1A227">
                  <w:pPr>
                    <w:pStyle w:val="4"/>
                    <w:jc w:val="center"/>
                  </w:pPr>
                  <w:r>
                    <w:rPr>
                      <w:rFonts w:ascii="仿宋_GB2312" w:hAnsi="仿宋_GB2312" w:eastAsia="仿宋_GB2312" w:cs="仿宋_GB2312"/>
                      <w:color w:val="000000"/>
                      <w:sz w:val="24"/>
                    </w:rPr>
                    <w:t>边界防护</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A8605B">
                  <w:pPr>
                    <w:pStyle w:val="4"/>
                    <w:jc w:val="left"/>
                  </w:pPr>
                  <w:r>
                    <w:rPr>
                      <w:rFonts w:ascii="仿宋_GB2312" w:hAnsi="仿宋_GB2312" w:eastAsia="仿宋_GB2312" w:cs="仿宋_GB2312"/>
                      <w:color w:val="000000"/>
                      <w:sz w:val="24"/>
                    </w:rPr>
                    <w:t>a)应保证跨越边界的访问和数据流通过边界设备提供的受控接口进行通信；</w:t>
                  </w:r>
                </w:p>
              </w:tc>
            </w:tr>
            <w:tr w14:paraId="2AB29D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AE03B6C"/>
              </w:tc>
              <w:tc>
                <w:tcPr>
                  <w:tcW w:w="266" w:type="dxa"/>
                  <w:vMerge w:val="continue"/>
                  <w:tcBorders>
                    <w:top w:val="nil"/>
                    <w:left w:val="single" w:color="000000" w:sz="4" w:space="0"/>
                    <w:bottom w:val="single" w:color="000000" w:sz="4" w:space="0"/>
                    <w:right w:val="single" w:color="000000" w:sz="4" w:space="0"/>
                  </w:tcBorders>
                </w:tcPr>
                <w:p w14:paraId="7DA05C55"/>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251095">
                  <w:pPr>
                    <w:pStyle w:val="4"/>
                    <w:jc w:val="left"/>
                  </w:pPr>
                  <w:r>
                    <w:rPr>
                      <w:rFonts w:ascii="仿宋_GB2312" w:hAnsi="仿宋_GB2312" w:eastAsia="仿宋_GB2312" w:cs="仿宋_GB2312"/>
                      <w:color w:val="000000"/>
                      <w:sz w:val="24"/>
                    </w:rPr>
                    <w:t>b)应能够对非授权设备私自联到内部网络的行为进行检测或限制；</w:t>
                  </w:r>
                </w:p>
              </w:tc>
            </w:tr>
            <w:tr w14:paraId="74FF88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294F0D57"/>
              </w:tc>
              <w:tc>
                <w:tcPr>
                  <w:tcW w:w="266" w:type="dxa"/>
                  <w:vMerge w:val="continue"/>
                  <w:tcBorders>
                    <w:top w:val="nil"/>
                    <w:left w:val="single" w:color="000000" w:sz="4" w:space="0"/>
                    <w:bottom w:val="single" w:color="000000" w:sz="4" w:space="0"/>
                    <w:right w:val="single" w:color="000000" w:sz="4" w:space="0"/>
                  </w:tcBorders>
                </w:tcPr>
                <w:p w14:paraId="61D46494"/>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CD04B1">
                  <w:pPr>
                    <w:pStyle w:val="4"/>
                    <w:jc w:val="left"/>
                  </w:pPr>
                  <w:r>
                    <w:rPr>
                      <w:rFonts w:ascii="仿宋_GB2312" w:hAnsi="仿宋_GB2312" w:eastAsia="仿宋_GB2312" w:cs="仿宋_GB2312"/>
                      <w:color w:val="000000"/>
                      <w:sz w:val="24"/>
                    </w:rPr>
                    <w:t>c)应能够对内部用户非授权联到外部网络的行为进行检查或限制；</w:t>
                  </w:r>
                </w:p>
              </w:tc>
            </w:tr>
            <w:tr w14:paraId="5DCFAF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9E39983"/>
              </w:tc>
              <w:tc>
                <w:tcPr>
                  <w:tcW w:w="266" w:type="dxa"/>
                  <w:vMerge w:val="continue"/>
                  <w:tcBorders>
                    <w:top w:val="nil"/>
                    <w:left w:val="single" w:color="000000" w:sz="4" w:space="0"/>
                    <w:bottom w:val="single" w:color="000000" w:sz="4" w:space="0"/>
                    <w:right w:val="single" w:color="000000" w:sz="4" w:space="0"/>
                  </w:tcBorders>
                </w:tcPr>
                <w:p w14:paraId="186276E2"/>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1D0376">
                  <w:pPr>
                    <w:pStyle w:val="4"/>
                    <w:jc w:val="left"/>
                  </w:pPr>
                  <w:r>
                    <w:rPr>
                      <w:rFonts w:ascii="仿宋_GB2312" w:hAnsi="仿宋_GB2312" w:eastAsia="仿宋_GB2312" w:cs="仿宋_GB2312"/>
                      <w:color w:val="000000"/>
                      <w:sz w:val="24"/>
                    </w:rPr>
                    <w:t>d)应限制无线网络的使用，保证无线网络通过受控的边界设备接入内部网络。</w:t>
                  </w:r>
                </w:p>
              </w:tc>
            </w:tr>
            <w:tr w14:paraId="53BB47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75A7E15"/>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05E25C">
                  <w:pPr>
                    <w:pStyle w:val="4"/>
                    <w:jc w:val="center"/>
                  </w:pPr>
                  <w:r>
                    <w:rPr>
                      <w:rFonts w:ascii="仿宋_GB2312" w:hAnsi="仿宋_GB2312" w:eastAsia="仿宋_GB2312" w:cs="仿宋_GB2312"/>
                      <w:color w:val="000000"/>
                      <w:sz w:val="24"/>
                    </w:rPr>
                    <w:t>访问控制</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2EB2A1">
                  <w:pPr>
                    <w:pStyle w:val="4"/>
                    <w:jc w:val="left"/>
                  </w:pPr>
                  <w:r>
                    <w:rPr>
                      <w:rFonts w:ascii="仿宋_GB2312" w:hAnsi="仿宋_GB2312" w:eastAsia="仿宋_GB2312" w:cs="仿宋_GB2312"/>
                      <w:color w:val="000000"/>
                      <w:sz w:val="24"/>
                    </w:rPr>
                    <w:t>a)应在网络边界或区域之间根据访问控制策略设置访问控制规则，默认情况下除允许通信外受控接口拒绝所有通信；</w:t>
                  </w:r>
                </w:p>
              </w:tc>
            </w:tr>
            <w:tr w14:paraId="77979F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16F718CD"/>
              </w:tc>
              <w:tc>
                <w:tcPr>
                  <w:tcW w:w="266" w:type="dxa"/>
                  <w:vMerge w:val="continue"/>
                  <w:tcBorders>
                    <w:top w:val="nil"/>
                    <w:left w:val="single" w:color="000000" w:sz="4" w:space="0"/>
                    <w:bottom w:val="single" w:color="000000" w:sz="4" w:space="0"/>
                    <w:right w:val="single" w:color="000000" w:sz="4" w:space="0"/>
                  </w:tcBorders>
                </w:tcPr>
                <w:p w14:paraId="5069629D"/>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210D09">
                  <w:pPr>
                    <w:pStyle w:val="4"/>
                    <w:jc w:val="left"/>
                  </w:pPr>
                  <w:r>
                    <w:rPr>
                      <w:rFonts w:ascii="仿宋_GB2312" w:hAnsi="仿宋_GB2312" w:eastAsia="仿宋_GB2312" w:cs="仿宋_GB2312"/>
                      <w:color w:val="000000"/>
                      <w:sz w:val="24"/>
                    </w:rPr>
                    <w:t>b)应删除多余或无效的控制规则，优化访问控制列表，并保证访问控制规则数量最小化；</w:t>
                  </w:r>
                </w:p>
              </w:tc>
            </w:tr>
            <w:tr w14:paraId="55AD5F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28B7F69F"/>
              </w:tc>
              <w:tc>
                <w:tcPr>
                  <w:tcW w:w="266" w:type="dxa"/>
                  <w:vMerge w:val="continue"/>
                  <w:tcBorders>
                    <w:top w:val="nil"/>
                    <w:left w:val="single" w:color="000000" w:sz="4" w:space="0"/>
                    <w:bottom w:val="single" w:color="000000" w:sz="4" w:space="0"/>
                    <w:right w:val="single" w:color="000000" w:sz="4" w:space="0"/>
                  </w:tcBorders>
                </w:tcPr>
                <w:p w14:paraId="0EC8908F"/>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96B613">
                  <w:pPr>
                    <w:pStyle w:val="4"/>
                    <w:jc w:val="left"/>
                  </w:pPr>
                  <w:r>
                    <w:rPr>
                      <w:rFonts w:ascii="仿宋_GB2312" w:hAnsi="仿宋_GB2312" w:eastAsia="仿宋_GB2312" w:cs="仿宋_GB2312"/>
                      <w:color w:val="000000"/>
                      <w:sz w:val="24"/>
                    </w:rPr>
                    <w:t>c)应对源地址、目的地址、源端口、目的端口和协议等进行检查，以允许/拒绝数据包进出；</w:t>
                  </w:r>
                </w:p>
              </w:tc>
            </w:tr>
            <w:tr w14:paraId="3C5622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2CF4B283"/>
              </w:tc>
              <w:tc>
                <w:tcPr>
                  <w:tcW w:w="266" w:type="dxa"/>
                  <w:vMerge w:val="continue"/>
                  <w:tcBorders>
                    <w:top w:val="nil"/>
                    <w:left w:val="single" w:color="000000" w:sz="4" w:space="0"/>
                    <w:bottom w:val="single" w:color="000000" w:sz="4" w:space="0"/>
                    <w:right w:val="single" w:color="000000" w:sz="4" w:space="0"/>
                  </w:tcBorders>
                </w:tcPr>
                <w:p w14:paraId="0AB27E0F"/>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490AA4">
                  <w:pPr>
                    <w:pStyle w:val="4"/>
                    <w:jc w:val="left"/>
                  </w:pPr>
                  <w:r>
                    <w:rPr>
                      <w:rFonts w:ascii="仿宋_GB2312" w:hAnsi="仿宋_GB2312" w:eastAsia="仿宋_GB2312" w:cs="仿宋_GB2312"/>
                      <w:color w:val="000000"/>
                      <w:sz w:val="24"/>
                    </w:rPr>
                    <w:t>d)应能根据会话状态信息为进出数据流提供明确的允许/拒绝访问的能力；</w:t>
                  </w:r>
                </w:p>
              </w:tc>
            </w:tr>
            <w:tr w14:paraId="586C5F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2B19026"/>
              </w:tc>
              <w:tc>
                <w:tcPr>
                  <w:tcW w:w="266" w:type="dxa"/>
                  <w:vMerge w:val="continue"/>
                  <w:tcBorders>
                    <w:top w:val="nil"/>
                    <w:left w:val="single" w:color="000000" w:sz="4" w:space="0"/>
                    <w:bottom w:val="single" w:color="000000" w:sz="4" w:space="0"/>
                    <w:right w:val="single" w:color="000000" w:sz="4" w:space="0"/>
                  </w:tcBorders>
                </w:tcPr>
                <w:p w14:paraId="65F73F9D"/>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69F11">
                  <w:pPr>
                    <w:pStyle w:val="4"/>
                    <w:jc w:val="left"/>
                  </w:pPr>
                  <w:r>
                    <w:rPr>
                      <w:rFonts w:ascii="仿宋_GB2312" w:hAnsi="仿宋_GB2312" w:eastAsia="仿宋_GB2312" w:cs="仿宋_GB2312"/>
                      <w:color w:val="000000"/>
                      <w:sz w:val="24"/>
                    </w:rPr>
                    <w:t>e)应对进出网络的数据流实现基于应用协议和应用内容的访问控制。</w:t>
                  </w:r>
                </w:p>
              </w:tc>
            </w:tr>
            <w:tr w14:paraId="453978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238B5394"/>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2F0E9C">
                  <w:pPr>
                    <w:pStyle w:val="4"/>
                    <w:jc w:val="center"/>
                  </w:pPr>
                  <w:r>
                    <w:rPr>
                      <w:rFonts w:ascii="仿宋_GB2312" w:hAnsi="仿宋_GB2312" w:eastAsia="仿宋_GB2312" w:cs="仿宋_GB2312"/>
                      <w:color w:val="000000"/>
                      <w:sz w:val="24"/>
                    </w:rPr>
                    <w:t>入侵防范</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D82812">
                  <w:pPr>
                    <w:pStyle w:val="4"/>
                    <w:jc w:val="left"/>
                  </w:pPr>
                  <w:r>
                    <w:rPr>
                      <w:rFonts w:ascii="仿宋_GB2312" w:hAnsi="仿宋_GB2312" w:eastAsia="仿宋_GB2312" w:cs="仿宋_GB2312"/>
                      <w:color w:val="000000"/>
                      <w:sz w:val="24"/>
                    </w:rPr>
                    <w:t>a)应在关键网络节点处检测、防止或限制从外部发起的网络攻击行为；</w:t>
                  </w:r>
                </w:p>
              </w:tc>
            </w:tr>
            <w:tr w14:paraId="1E46BB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23982B8B"/>
              </w:tc>
              <w:tc>
                <w:tcPr>
                  <w:tcW w:w="266" w:type="dxa"/>
                  <w:vMerge w:val="continue"/>
                  <w:tcBorders>
                    <w:top w:val="nil"/>
                    <w:left w:val="single" w:color="000000" w:sz="4" w:space="0"/>
                    <w:bottom w:val="single" w:color="000000" w:sz="4" w:space="0"/>
                    <w:right w:val="single" w:color="000000" w:sz="4" w:space="0"/>
                  </w:tcBorders>
                </w:tcPr>
                <w:p w14:paraId="7ABF2BAE"/>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302C86">
                  <w:pPr>
                    <w:pStyle w:val="4"/>
                    <w:jc w:val="left"/>
                  </w:pPr>
                  <w:r>
                    <w:rPr>
                      <w:rFonts w:ascii="仿宋_GB2312" w:hAnsi="仿宋_GB2312" w:eastAsia="仿宋_GB2312" w:cs="仿宋_GB2312"/>
                      <w:color w:val="000000"/>
                      <w:sz w:val="24"/>
                    </w:rPr>
                    <w:t>b)应在关键网络节点处检测、防止或限制从内部发起的网络攻击行为；</w:t>
                  </w:r>
                </w:p>
              </w:tc>
            </w:tr>
            <w:tr w14:paraId="4B9BC7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D5931EA"/>
              </w:tc>
              <w:tc>
                <w:tcPr>
                  <w:tcW w:w="266" w:type="dxa"/>
                  <w:vMerge w:val="continue"/>
                  <w:tcBorders>
                    <w:top w:val="nil"/>
                    <w:left w:val="single" w:color="000000" w:sz="4" w:space="0"/>
                    <w:bottom w:val="single" w:color="000000" w:sz="4" w:space="0"/>
                    <w:right w:val="single" w:color="000000" w:sz="4" w:space="0"/>
                  </w:tcBorders>
                </w:tcPr>
                <w:p w14:paraId="5DF97064"/>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27EA99">
                  <w:pPr>
                    <w:pStyle w:val="4"/>
                    <w:jc w:val="left"/>
                  </w:pPr>
                  <w:r>
                    <w:rPr>
                      <w:rFonts w:ascii="仿宋_GB2312" w:hAnsi="仿宋_GB2312" w:eastAsia="仿宋_GB2312" w:cs="仿宋_GB2312"/>
                      <w:color w:val="000000"/>
                      <w:sz w:val="24"/>
                    </w:rPr>
                    <w:t>c)应采取技术措施对网络行为进行分析，实现对网络攻击特别是新型网络攻击行为的分析；</w:t>
                  </w:r>
                </w:p>
              </w:tc>
            </w:tr>
            <w:tr w14:paraId="60AA3F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39D86CF9"/>
              </w:tc>
              <w:tc>
                <w:tcPr>
                  <w:tcW w:w="266" w:type="dxa"/>
                  <w:vMerge w:val="continue"/>
                  <w:tcBorders>
                    <w:top w:val="nil"/>
                    <w:left w:val="single" w:color="000000" w:sz="4" w:space="0"/>
                    <w:bottom w:val="single" w:color="000000" w:sz="4" w:space="0"/>
                    <w:right w:val="single" w:color="000000" w:sz="4" w:space="0"/>
                  </w:tcBorders>
                </w:tcPr>
                <w:p w14:paraId="6EC6A0CF"/>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11320B">
                  <w:pPr>
                    <w:pStyle w:val="4"/>
                    <w:jc w:val="left"/>
                  </w:pPr>
                  <w:r>
                    <w:rPr>
                      <w:rFonts w:ascii="仿宋_GB2312" w:hAnsi="仿宋_GB2312" w:eastAsia="仿宋_GB2312" w:cs="仿宋_GB2312"/>
                      <w:color w:val="000000"/>
                      <w:sz w:val="24"/>
                    </w:rPr>
                    <w:t>d)当检测到攻击行为时，记录攻击源IP、攻击类型、攻击目的、攻击时间，在发生严重入侵事件时应提供报警。</w:t>
                  </w:r>
                </w:p>
              </w:tc>
            </w:tr>
            <w:tr w14:paraId="59BE0F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87AB0B2"/>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EB93A7">
                  <w:pPr>
                    <w:pStyle w:val="4"/>
                    <w:jc w:val="center"/>
                  </w:pPr>
                  <w:r>
                    <w:rPr>
                      <w:rFonts w:ascii="仿宋_GB2312" w:hAnsi="仿宋_GB2312" w:eastAsia="仿宋_GB2312" w:cs="仿宋_GB2312"/>
                      <w:color w:val="000000"/>
                      <w:sz w:val="24"/>
                    </w:rPr>
                    <w:t>恶意代码和垃圾邮件防范</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52D3E7">
                  <w:pPr>
                    <w:pStyle w:val="4"/>
                    <w:jc w:val="left"/>
                  </w:pPr>
                  <w:r>
                    <w:rPr>
                      <w:rFonts w:ascii="仿宋_GB2312" w:hAnsi="仿宋_GB2312" w:eastAsia="仿宋_GB2312" w:cs="仿宋_GB2312"/>
                      <w:color w:val="000000"/>
                      <w:sz w:val="24"/>
                    </w:rPr>
                    <w:t>a)应在关键网络节点处对恶意代码进行检测和清除，并维护恶意代码防护机制的升级和更新；</w:t>
                  </w:r>
                </w:p>
              </w:tc>
            </w:tr>
            <w:tr w14:paraId="4B6A17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26C99C2"/>
              </w:tc>
              <w:tc>
                <w:tcPr>
                  <w:tcW w:w="266" w:type="dxa"/>
                  <w:vMerge w:val="continue"/>
                  <w:tcBorders>
                    <w:top w:val="nil"/>
                    <w:left w:val="single" w:color="000000" w:sz="4" w:space="0"/>
                    <w:bottom w:val="single" w:color="000000" w:sz="4" w:space="0"/>
                    <w:right w:val="single" w:color="000000" w:sz="4" w:space="0"/>
                  </w:tcBorders>
                </w:tcPr>
                <w:p w14:paraId="03665519"/>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CF4A27">
                  <w:pPr>
                    <w:pStyle w:val="4"/>
                    <w:jc w:val="left"/>
                  </w:pPr>
                  <w:r>
                    <w:rPr>
                      <w:rFonts w:ascii="仿宋_GB2312" w:hAnsi="仿宋_GB2312" w:eastAsia="仿宋_GB2312" w:cs="仿宋_GB2312"/>
                      <w:color w:val="000000"/>
                      <w:sz w:val="24"/>
                    </w:rPr>
                    <w:t>b)应在关键网络节点处对垃圾邮件进行检测和防护，并维护垃圾邮件防护机制的升级和更新。</w:t>
                  </w:r>
                </w:p>
              </w:tc>
            </w:tr>
            <w:tr w14:paraId="5AE2A6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5370828"/>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CB1629">
                  <w:pPr>
                    <w:pStyle w:val="4"/>
                    <w:jc w:val="center"/>
                  </w:pPr>
                  <w:r>
                    <w:rPr>
                      <w:rFonts w:ascii="仿宋_GB2312" w:hAnsi="仿宋_GB2312" w:eastAsia="仿宋_GB2312" w:cs="仿宋_GB2312"/>
                      <w:color w:val="000000"/>
                      <w:sz w:val="24"/>
                    </w:rPr>
                    <w:t>安全审计</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EEBD9C">
                  <w:pPr>
                    <w:pStyle w:val="4"/>
                    <w:jc w:val="left"/>
                  </w:pPr>
                  <w:r>
                    <w:rPr>
                      <w:rFonts w:ascii="仿宋_GB2312" w:hAnsi="仿宋_GB2312" w:eastAsia="仿宋_GB2312" w:cs="仿宋_GB2312"/>
                      <w:color w:val="000000"/>
                      <w:sz w:val="24"/>
                    </w:rPr>
                    <w:t>a)应在网络边界，重要网络节点进行安全审计，审计覆盖到每个用户，对重要的用户行为和重要安全事件进行审计；</w:t>
                  </w:r>
                </w:p>
              </w:tc>
            </w:tr>
            <w:tr w14:paraId="4F898B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2198F34A"/>
              </w:tc>
              <w:tc>
                <w:tcPr>
                  <w:tcW w:w="266" w:type="dxa"/>
                  <w:vMerge w:val="continue"/>
                  <w:tcBorders>
                    <w:top w:val="nil"/>
                    <w:left w:val="single" w:color="000000" w:sz="4" w:space="0"/>
                    <w:bottom w:val="single" w:color="000000" w:sz="4" w:space="0"/>
                    <w:right w:val="single" w:color="000000" w:sz="4" w:space="0"/>
                  </w:tcBorders>
                </w:tcPr>
                <w:p w14:paraId="7EF1CF22"/>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D91999">
                  <w:pPr>
                    <w:pStyle w:val="4"/>
                    <w:jc w:val="left"/>
                  </w:pPr>
                  <w:r>
                    <w:rPr>
                      <w:rFonts w:ascii="仿宋_GB2312" w:hAnsi="仿宋_GB2312" w:eastAsia="仿宋_GB2312" w:cs="仿宋_GB2312"/>
                      <w:color w:val="000000"/>
                      <w:sz w:val="24"/>
                    </w:rPr>
                    <w:t>b)审计记录应包括事件的日期、用户、事件类型、事件是否成功及其他与审计相关的信息；</w:t>
                  </w:r>
                </w:p>
              </w:tc>
            </w:tr>
            <w:tr w14:paraId="3EF661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89A7F89"/>
              </w:tc>
              <w:tc>
                <w:tcPr>
                  <w:tcW w:w="266" w:type="dxa"/>
                  <w:vMerge w:val="continue"/>
                  <w:tcBorders>
                    <w:top w:val="nil"/>
                    <w:left w:val="single" w:color="000000" w:sz="4" w:space="0"/>
                    <w:bottom w:val="single" w:color="000000" w:sz="4" w:space="0"/>
                    <w:right w:val="single" w:color="000000" w:sz="4" w:space="0"/>
                  </w:tcBorders>
                </w:tcPr>
                <w:p w14:paraId="6AAC637E"/>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660FCC">
                  <w:pPr>
                    <w:pStyle w:val="4"/>
                    <w:jc w:val="left"/>
                  </w:pPr>
                  <w:r>
                    <w:rPr>
                      <w:rFonts w:ascii="仿宋_GB2312" w:hAnsi="仿宋_GB2312" w:eastAsia="仿宋_GB2312" w:cs="仿宋_GB2312"/>
                      <w:color w:val="000000"/>
                      <w:sz w:val="24"/>
                    </w:rPr>
                    <w:t>c)应对审计记录进行保护，定期备份，避免受到未预期的删除、修改或覆盖等；</w:t>
                  </w:r>
                </w:p>
              </w:tc>
            </w:tr>
            <w:tr w14:paraId="5C6A8F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68D83CD"/>
              </w:tc>
              <w:tc>
                <w:tcPr>
                  <w:tcW w:w="266" w:type="dxa"/>
                  <w:vMerge w:val="continue"/>
                  <w:tcBorders>
                    <w:top w:val="nil"/>
                    <w:left w:val="single" w:color="000000" w:sz="4" w:space="0"/>
                    <w:bottom w:val="single" w:color="000000" w:sz="4" w:space="0"/>
                    <w:right w:val="single" w:color="000000" w:sz="4" w:space="0"/>
                  </w:tcBorders>
                </w:tcPr>
                <w:p w14:paraId="4BE06024"/>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D6BE9">
                  <w:pPr>
                    <w:pStyle w:val="4"/>
                    <w:jc w:val="left"/>
                  </w:pPr>
                  <w:r>
                    <w:rPr>
                      <w:rFonts w:ascii="仿宋_GB2312" w:hAnsi="仿宋_GB2312" w:eastAsia="仿宋_GB2312" w:cs="仿宋_GB2312"/>
                      <w:color w:val="000000"/>
                      <w:sz w:val="24"/>
                    </w:rPr>
                    <w:t>d)应能对远程访问的用户行为、访问互联网的用户行为等单独进行行为审计和数据分析。</w:t>
                  </w:r>
                </w:p>
              </w:tc>
            </w:tr>
            <w:tr w14:paraId="46A63C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12B481F6"/>
              </w:tc>
              <w:tc>
                <w:tcPr>
                  <w:tcW w:w="2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8F7668">
                  <w:pPr>
                    <w:pStyle w:val="4"/>
                    <w:jc w:val="center"/>
                  </w:pPr>
                  <w:r>
                    <w:rPr>
                      <w:rFonts w:ascii="仿宋_GB2312" w:hAnsi="仿宋_GB2312" w:eastAsia="仿宋_GB2312" w:cs="仿宋_GB2312"/>
                      <w:color w:val="000000"/>
                      <w:sz w:val="24"/>
                    </w:rPr>
                    <w:t>可信验证</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0DF33D">
                  <w:pPr>
                    <w:pStyle w:val="4"/>
                    <w:jc w:val="left"/>
                  </w:pPr>
                  <w:r>
                    <w:rPr>
                      <w:rFonts w:ascii="仿宋_GB2312" w:hAnsi="仿宋_GB2312" w:eastAsia="仿宋_GB2312" w:cs="仿宋_GB2312"/>
                      <w:color w:val="000000"/>
                      <w:sz w:val="24"/>
                    </w:rPr>
                    <w:t>a)可基于可信根对边界设备的系统引导程序、系统程序、重要配置参数和边界防护应用程序等进行可信验证，并在应用程序的关键执行环节进行动态可信验证，在检测到其可信性受到破坏后进行报警，并将验证结果形成审计记录送至安全管理中心。</w:t>
                  </w:r>
                </w:p>
              </w:tc>
            </w:tr>
            <w:tr w14:paraId="03CC2B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5990A0">
                  <w:pPr>
                    <w:pStyle w:val="4"/>
                    <w:jc w:val="center"/>
                  </w:pPr>
                  <w:r>
                    <w:rPr>
                      <w:rFonts w:ascii="仿宋_GB2312" w:hAnsi="仿宋_GB2312" w:eastAsia="仿宋_GB2312" w:cs="仿宋_GB2312"/>
                      <w:color w:val="000000"/>
                      <w:sz w:val="24"/>
                    </w:rPr>
                    <w:t>安全计算环境</w:t>
                  </w:r>
                </w:p>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AD06B">
                  <w:pPr>
                    <w:pStyle w:val="4"/>
                    <w:jc w:val="center"/>
                  </w:pPr>
                  <w:r>
                    <w:rPr>
                      <w:rFonts w:ascii="仿宋_GB2312" w:hAnsi="仿宋_GB2312" w:eastAsia="仿宋_GB2312" w:cs="仿宋_GB2312"/>
                      <w:color w:val="000000"/>
                      <w:sz w:val="24"/>
                    </w:rPr>
                    <w:t>身份鉴别</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91640F">
                  <w:pPr>
                    <w:pStyle w:val="4"/>
                    <w:jc w:val="left"/>
                  </w:pPr>
                  <w:r>
                    <w:rPr>
                      <w:rFonts w:ascii="仿宋_GB2312" w:hAnsi="仿宋_GB2312" w:eastAsia="仿宋_GB2312" w:cs="仿宋_GB2312"/>
                      <w:color w:val="000000"/>
                      <w:sz w:val="24"/>
                    </w:rPr>
                    <w:t>a)应对登录的用户进行身份标识和鉴别，身份标识具有唯一性，身份鉴别信息具有复杂度要求并定期更换；</w:t>
                  </w:r>
                </w:p>
              </w:tc>
            </w:tr>
            <w:tr w14:paraId="259D28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2A90D57D"/>
              </w:tc>
              <w:tc>
                <w:tcPr>
                  <w:tcW w:w="266" w:type="dxa"/>
                  <w:vMerge w:val="continue"/>
                  <w:tcBorders>
                    <w:top w:val="nil"/>
                    <w:left w:val="single" w:color="000000" w:sz="4" w:space="0"/>
                    <w:bottom w:val="single" w:color="000000" w:sz="4" w:space="0"/>
                    <w:right w:val="single" w:color="000000" w:sz="4" w:space="0"/>
                  </w:tcBorders>
                </w:tcPr>
                <w:p w14:paraId="5BD8887B"/>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1929B">
                  <w:pPr>
                    <w:pStyle w:val="4"/>
                    <w:jc w:val="left"/>
                  </w:pPr>
                  <w:r>
                    <w:rPr>
                      <w:rFonts w:ascii="仿宋_GB2312" w:hAnsi="仿宋_GB2312" w:eastAsia="仿宋_GB2312" w:cs="仿宋_GB2312"/>
                      <w:color w:val="000000"/>
                      <w:sz w:val="24"/>
                    </w:rPr>
                    <w:t>b)应启用登陆失败处理功能，应配置并启用结束会话、限制非法登录次数和当登录连接超时时自动退出等相关措施；</w:t>
                  </w:r>
                </w:p>
              </w:tc>
            </w:tr>
            <w:tr w14:paraId="6DCA40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F433AE6"/>
              </w:tc>
              <w:tc>
                <w:tcPr>
                  <w:tcW w:w="266" w:type="dxa"/>
                  <w:vMerge w:val="continue"/>
                  <w:tcBorders>
                    <w:top w:val="nil"/>
                    <w:left w:val="single" w:color="000000" w:sz="4" w:space="0"/>
                    <w:bottom w:val="single" w:color="000000" w:sz="4" w:space="0"/>
                    <w:right w:val="single" w:color="000000" w:sz="4" w:space="0"/>
                  </w:tcBorders>
                </w:tcPr>
                <w:p w14:paraId="6A9E61D8"/>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68CF0A">
                  <w:pPr>
                    <w:pStyle w:val="4"/>
                    <w:jc w:val="left"/>
                  </w:pPr>
                  <w:r>
                    <w:rPr>
                      <w:rFonts w:ascii="仿宋_GB2312" w:hAnsi="仿宋_GB2312" w:eastAsia="仿宋_GB2312" w:cs="仿宋_GB2312"/>
                      <w:color w:val="000000"/>
                      <w:sz w:val="24"/>
                    </w:rPr>
                    <w:t>c)当进行远程管理时，应采取必要措施防止鉴别信息在网络传输过程中被窃听；</w:t>
                  </w:r>
                </w:p>
              </w:tc>
            </w:tr>
            <w:tr w14:paraId="0933D9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A542B74"/>
              </w:tc>
              <w:tc>
                <w:tcPr>
                  <w:tcW w:w="266" w:type="dxa"/>
                  <w:vMerge w:val="continue"/>
                  <w:tcBorders>
                    <w:top w:val="nil"/>
                    <w:left w:val="single" w:color="000000" w:sz="4" w:space="0"/>
                    <w:bottom w:val="single" w:color="000000" w:sz="4" w:space="0"/>
                    <w:right w:val="single" w:color="000000" w:sz="4" w:space="0"/>
                  </w:tcBorders>
                </w:tcPr>
                <w:p w14:paraId="67C67BBE"/>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C84F77">
                  <w:pPr>
                    <w:pStyle w:val="4"/>
                    <w:jc w:val="left"/>
                  </w:pPr>
                  <w:r>
                    <w:rPr>
                      <w:rFonts w:ascii="仿宋_GB2312" w:hAnsi="仿宋_GB2312" w:eastAsia="仿宋_GB2312" w:cs="仿宋_GB2312"/>
                      <w:color w:val="000000"/>
                      <w:sz w:val="24"/>
                    </w:rPr>
                    <w:t>d)应采用口令、密码技术、生物技术等两种或两种以上组合的鉴别技术对用户进行身份鉴别，且其中一种鉴别技术至少应使用密码技术实现。</w:t>
                  </w:r>
                </w:p>
              </w:tc>
            </w:tr>
            <w:tr w14:paraId="1ED372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B16C073"/>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446E72">
                  <w:pPr>
                    <w:pStyle w:val="4"/>
                    <w:jc w:val="center"/>
                  </w:pPr>
                  <w:r>
                    <w:rPr>
                      <w:rFonts w:ascii="仿宋_GB2312" w:hAnsi="仿宋_GB2312" w:eastAsia="仿宋_GB2312" w:cs="仿宋_GB2312"/>
                      <w:color w:val="000000"/>
                      <w:sz w:val="24"/>
                    </w:rPr>
                    <w:t>访问控制</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D0A12F">
                  <w:pPr>
                    <w:pStyle w:val="4"/>
                    <w:jc w:val="left"/>
                  </w:pPr>
                  <w:r>
                    <w:rPr>
                      <w:rFonts w:ascii="仿宋_GB2312" w:hAnsi="仿宋_GB2312" w:eastAsia="仿宋_GB2312" w:cs="仿宋_GB2312"/>
                      <w:color w:val="000000"/>
                      <w:sz w:val="24"/>
                    </w:rPr>
                    <w:t>a)应对登录的用户分配账户和权限；</w:t>
                  </w:r>
                </w:p>
              </w:tc>
            </w:tr>
            <w:tr w14:paraId="2C6F1C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E0C6E18"/>
              </w:tc>
              <w:tc>
                <w:tcPr>
                  <w:tcW w:w="266" w:type="dxa"/>
                  <w:vMerge w:val="continue"/>
                  <w:tcBorders>
                    <w:top w:val="nil"/>
                    <w:left w:val="single" w:color="000000" w:sz="4" w:space="0"/>
                    <w:bottom w:val="single" w:color="000000" w:sz="4" w:space="0"/>
                    <w:right w:val="single" w:color="000000" w:sz="4" w:space="0"/>
                  </w:tcBorders>
                </w:tcPr>
                <w:p w14:paraId="1074AB39"/>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58B3EB">
                  <w:pPr>
                    <w:pStyle w:val="4"/>
                    <w:jc w:val="left"/>
                  </w:pPr>
                  <w:r>
                    <w:rPr>
                      <w:rFonts w:ascii="仿宋_GB2312" w:hAnsi="仿宋_GB2312" w:eastAsia="仿宋_GB2312" w:cs="仿宋_GB2312"/>
                      <w:color w:val="000000"/>
                      <w:sz w:val="24"/>
                    </w:rPr>
                    <w:t>b)应重命名或删除默认账户，修改默认账户的默认口令；</w:t>
                  </w:r>
                </w:p>
              </w:tc>
            </w:tr>
            <w:tr w14:paraId="266036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1B6D47D9"/>
              </w:tc>
              <w:tc>
                <w:tcPr>
                  <w:tcW w:w="266" w:type="dxa"/>
                  <w:vMerge w:val="continue"/>
                  <w:tcBorders>
                    <w:top w:val="nil"/>
                    <w:left w:val="single" w:color="000000" w:sz="4" w:space="0"/>
                    <w:bottom w:val="single" w:color="000000" w:sz="4" w:space="0"/>
                    <w:right w:val="single" w:color="000000" w:sz="4" w:space="0"/>
                  </w:tcBorders>
                </w:tcPr>
                <w:p w14:paraId="65567588"/>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F2FCCB">
                  <w:pPr>
                    <w:pStyle w:val="4"/>
                    <w:jc w:val="left"/>
                  </w:pPr>
                  <w:r>
                    <w:rPr>
                      <w:rFonts w:ascii="仿宋_GB2312" w:hAnsi="仿宋_GB2312" w:eastAsia="仿宋_GB2312" w:cs="仿宋_GB2312"/>
                      <w:color w:val="000000"/>
                      <w:sz w:val="24"/>
                    </w:rPr>
                    <w:t>c)应及时删除或停用多余的，过期的账户，避免共享账户的存在；</w:t>
                  </w:r>
                </w:p>
              </w:tc>
            </w:tr>
            <w:tr w14:paraId="277FBB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D1FA15E"/>
              </w:tc>
              <w:tc>
                <w:tcPr>
                  <w:tcW w:w="266" w:type="dxa"/>
                  <w:vMerge w:val="continue"/>
                  <w:tcBorders>
                    <w:top w:val="nil"/>
                    <w:left w:val="single" w:color="000000" w:sz="4" w:space="0"/>
                    <w:bottom w:val="single" w:color="000000" w:sz="4" w:space="0"/>
                    <w:right w:val="single" w:color="000000" w:sz="4" w:space="0"/>
                  </w:tcBorders>
                </w:tcPr>
                <w:p w14:paraId="46EE7B9E"/>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6915BA">
                  <w:pPr>
                    <w:pStyle w:val="4"/>
                    <w:jc w:val="left"/>
                  </w:pPr>
                  <w:r>
                    <w:rPr>
                      <w:rFonts w:ascii="仿宋_GB2312" w:hAnsi="仿宋_GB2312" w:eastAsia="仿宋_GB2312" w:cs="仿宋_GB2312"/>
                      <w:color w:val="000000"/>
                      <w:sz w:val="24"/>
                    </w:rPr>
                    <w:t>d)应授予管理用户所需的最小权限，实现管理用户的权限分离；</w:t>
                  </w:r>
                </w:p>
              </w:tc>
            </w:tr>
            <w:tr w14:paraId="423193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CF54B4A"/>
              </w:tc>
              <w:tc>
                <w:tcPr>
                  <w:tcW w:w="266" w:type="dxa"/>
                  <w:vMerge w:val="continue"/>
                  <w:tcBorders>
                    <w:top w:val="nil"/>
                    <w:left w:val="single" w:color="000000" w:sz="4" w:space="0"/>
                    <w:bottom w:val="single" w:color="000000" w:sz="4" w:space="0"/>
                    <w:right w:val="single" w:color="000000" w:sz="4" w:space="0"/>
                  </w:tcBorders>
                </w:tcPr>
                <w:p w14:paraId="5EBCEBF6"/>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BB6BC5">
                  <w:pPr>
                    <w:pStyle w:val="4"/>
                    <w:jc w:val="left"/>
                  </w:pPr>
                  <w:r>
                    <w:rPr>
                      <w:rFonts w:ascii="仿宋_GB2312" w:hAnsi="仿宋_GB2312" w:eastAsia="仿宋_GB2312" w:cs="仿宋_GB2312"/>
                      <w:color w:val="000000"/>
                      <w:sz w:val="24"/>
                    </w:rPr>
                    <w:t>e）应由授权主体配置访问控制策略，访问控制策略规定主体对客体的访问规则；</w:t>
                  </w:r>
                </w:p>
              </w:tc>
            </w:tr>
            <w:tr w14:paraId="7460E0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EC872B5"/>
              </w:tc>
              <w:tc>
                <w:tcPr>
                  <w:tcW w:w="266" w:type="dxa"/>
                  <w:vMerge w:val="continue"/>
                  <w:tcBorders>
                    <w:top w:val="nil"/>
                    <w:left w:val="single" w:color="000000" w:sz="4" w:space="0"/>
                    <w:bottom w:val="single" w:color="000000" w:sz="4" w:space="0"/>
                    <w:right w:val="single" w:color="000000" w:sz="4" w:space="0"/>
                  </w:tcBorders>
                </w:tcPr>
                <w:p w14:paraId="7B0B81FD"/>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2657B">
                  <w:pPr>
                    <w:pStyle w:val="4"/>
                    <w:jc w:val="left"/>
                  </w:pPr>
                  <w:r>
                    <w:rPr>
                      <w:rFonts w:ascii="仿宋_GB2312" w:hAnsi="仿宋_GB2312" w:eastAsia="仿宋_GB2312" w:cs="仿宋_GB2312"/>
                      <w:color w:val="000000"/>
                      <w:sz w:val="24"/>
                    </w:rPr>
                    <w:t>f)访问控制的粒度应达到主体为用户级或进程级，客体为文件、数据库表级；</w:t>
                  </w:r>
                </w:p>
              </w:tc>
            </w:tr>
            <w:tr w14:paraId="383FCC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88F040B"/>
              </w:tc>
              <w:tc>
                <w:tcPr>
                  <w:tcW w:w="266" w:type="dxa"/>
                  <w:vMerge w:val="continue"/>
                  <w:tcBorders>
                    <w:top w:val="nil"/>
                    <w:left w:val="single" w:color="000000" w:sz="4" w:space="0"/>
                    <w:bottom w:val="single" w:color="000000" w:sz="4" w:space="0"/>
                    <w:right w:val="single" w:color="000000" w:sz="4" w:space="0"/>
                  </w:tcBorders>
                </w:tcPr>
                <w:p w14:paraId="67199CCB"/>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711FA5">
                  <w:pPr>
                    <w:pStyle w:val="4"/>
                    <w:jc w:val="left"/>
                  </w:pPr>
                  <w:r>
                    <w:rPr>
                      <w:rFonts w:ascii="仿宋_GB2312" w:hAnsi="仿宋_GB2312" w:eastAsia="仿宋_GB2312" w:cs="仿宋_GB2312"/>
                      <w:color w:val="000000"/>
                      <w:sz w:val="24"/>
                    </w:rPr>
                    <w:t>g)应对重要主体和客体设置安全标记，并控制主体对有安全标记信息资源的访问。</w:t>
                  </w:r>
                </w:p>
              </w:tc>
            </w:tr>
            <w:tr w14:paraId="013CCD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4CF543F7"/>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7ADFFB">
                  <w:pPr>
                    <w:pStyle w:val="4"/>
                    <w:jc w:val="center"/>
                  </w:pPr>
                  <w:r>
                    <w:rPr>
                      <w:rFonts w:ascii="仿宋_GB2312" w:hAnsi="仿宋_GB2312" w:eastAsia="仿宋_GB2312" w:cs="仿宋_GB2312"/>
                      <w:color w:val="000000"/>
                      <w:sz w:val="24"/>
                    </w:rPr>
                    <w:t>安全审计</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4EEFB6">
                  <w:pPr>
                    <w:pStyle w:val="4"/>
                    <w:jc w:val="left"/>
                  </w:pPr>
                  <w:r>
                    <w:rPr>
                      <w:rFonts w:ascii="仿宋_GB2312" w:hAnsi="仿宋_GB2312" w:eastAsia="仿宋_GB2312" w:cs="仿宋_GB2312"/>
                      <w:color w:val="000000"/>
                      <w:sz w:val="24"/>
                    </w:rPr>
                    <w:t>a)应启用安全审计功能，审计覆盖到每个用户，对重要的用户行为和重要安全事件进行审计；</w:t>
                  </w:r>
                </w:p>
              </w:tc>
            </w:tr>
            <w:tr w14:paraId="142A32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1C2C65EA"/>
              </w:tc>
              <w:tc>
                <w:tcPr>
                  <w:tcW w:w="266" w:type="dxa"/>
                  <w:vMerge w:val="continue"/>
                  <w:tcBorders>
                    <w:top w:val="nil"/>
                    <w:left w:val="single" w:color="000000" w:sz="4" w:space="0"/>
                    <w:bottom w:val="single" w:color="000000" w:sz="4" w:space="0"/>
                    <w:right w:val="single" w:color="000000" w:sz="4" w:space="0"/>
                  </w:tcBorders>
                </w:tcPr>
                <w:p w14:paraId="33A4DE85"/>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B1108E">
                  <w:pPr>
                    <w:pStyle w:val="4"/>
                    <w:jc w:val="left"/>
                  </w:pPr>
                  <w:r>
                    <w:rPr>
                      <w:rFonts w:ascii="仿宋_GB2312" w:hAnsi="仿宋_GB2312" w:eastAsia="仿宋_GB2312" w:cs="仿宋_GB2312"/>
                      <w:color w:val="000000"/>
                      <w:sz w:val="24"/>
                    </w:rPr>
                    <w:t>b)审计记录应包括事件的日期、时间、事件类型、事件是否成功及其他与审计相关的工作；</w:t>
                  </w:r>
                </w:p>
              </w:tc>
            </w:tr>
            <w:tr w14:paraId="7013DE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2E764DE5"/>
              </w:tc>
              <w:tc>
                <w:tcPr>
                  <w:tcW w:w="266" w:type="dxa"/>
                  <w:vMerge w:val="continue"/>
                  <w:tcBorders>
                    <w:top w:val="nil"/>
                    <w:left w:val="single" w:color="000000" w:sz="4" w:space="0"/>
                    <w:bottom w:val="single" w:color="000000" w:sz="4" w:space="0"/>
                    <w:right w:val="single" w:color="000000" w:sz="4" w:space="0"/>
                  </w:tcBorders>
                </w:tcPr>
                <w:p w14:paraId="313ACD08"/>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5A2011">
                  <w:pPr>
                    <w:pStyle w:val="4"/>
                    <w:jc w:val="left"/>
                  </w:pPr>
                  <w:r>
                    <w:rPr>
                      <w:rFonts w:ascii="仿宋_GB2312" w:hAnsi="仿宋_GB2312" w:eastAsia="仿宋_GB2312" w:cs="仿宋_GB2312"/>
                      <w:color w:val="000000"/>
                      <w:sz w:val="24"/>
                    </w:rPr>
                    <w:t>c)应对审计记录进行保护，定期备份、避免受到未预期的删除、修改或覆盖等；</w:t>
                  </w:r>
                </w:p>
              </w:tc>
            </w:tr>
            <w:tr w14:paraId="18479B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DB72148"/>
              </w:tc>
              <w:tc>
                <w:tcPr>
                  <w:tcW w:w="266" w:type="dxa"/>
                  <w:vMerge w:val="continue"/>
                  <w:tcBorders>
                    <w:top w:val="nil"/>
                    <w:left w:val="single" w:color="000000" w:sz="4" w:space="0"/>
                    <w:bottom w:val="single" w:color="000000" w:sz="4" w:space="0"/>
                    <w:right w:val="single" w:color="000000" w:sz="4" w:space="0"/>
                  </w:tcBorders>
                </w:tcPr>
                <w:p w14:paraId="3B7D0A81"/>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DE4F0">
                  <w:pPr>
                    <w:pStyle w:val="4"/>
                    <w:jc w:val="left"/>
                  </w:pPr>
                  <w:r>
                    <w:rPr>
                      <w:rFonts w:ascii="仿宋_GB2312" w:hAnsi="仿宋_GB2312" w:eastAsia="仿宋_GB2312" w:cs="仿宋_GB2312"/>
                      <w:color w:val="000000"/>
                      <w:sz w:val="24"/>
                    </w:rPr>
                    <w:t>d)应对审计进程进行保护，防止未经授权的中断。</w:t>
                  </w:r>
                </w:p>
              </w:tc>
            </w:tr>
            <w:tr w14:paraId="2E3B1C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E7979B8"/>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0F1C80">
                  <w:pPr>
                    <w:pStyle w:val="4"/>
                    <w:jc w:val="center"/>
                  </w:pPr>
                  <w:r>
                    <w:rPr>
                      <w:rFonts w:ascii="仿宋_GB2312" w:hAnsi="仿宋_GB2312" w:eastAsia="仿宋_GB2312" w:cs="仿宋_GB2312"/>
                      <w:color w:val="000000"/>
                      <w:sz w:val="24"/>
                    </w:rPr>
                    <w:t>入侵防范</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6C20FD">
                  <w:pPr>
                    <w:pStyle w:val="4"/>
                    <w:jc w:val="left"/>
                  </w:pPr>
                  <w:r>
                    <w:rPr>
                      <w:rFonts w:ascii="仿宋_GB2312" w:hAnsi="仿宋_GB2312" w:eastAsia="仿宋_GB2312" w:cs="仿宋_GB2312"/>
                      <w:color w:val="000000"/>
                      <w:sz w:val="24"/>
                    </w:rPr>
                    <w:t>a)应遵循最小安装的原则，仅安装需要的组件和应用程序；</w:t>
                  </w:r>
                </w:p>
              </w:tc>
            </w:tr>
            <w:tr w14:paraId="5184CC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200975DE"/>
              </w:tc>
              <w:tc>
                <w:tcPr>
                  <w:tcW w:w="266" w:type="dxa"/>
                  <w:vMerge w:val="continue"/>
                  <w:tcBorders>
                    <w:top w:val="nil"/>
                    <w:left w:val="single" w:color="000000" w:sz="4" w:space="0"/>
                    <w:bottom w:val="single" w:color="000000" w:sz="4" w:space="0"/>
                    <w:right w:val="single" w:color="000000" w:sz="4" w:space="0"/>
                  </w:tcBorders>
                </w:tcPr>
                <w:p w14:paraId="2D9669D8"/>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7DAE1B">
                  <w:pPr>
                    <w:pStyle w:val="4"/>
                    <w:jc w:val="left"/>
                  </w:pPr>
                  <w:r>
                    <w:rPr>
                      <w:rFonts w:ascii="仿宋_GB2312" w:hAnsi="仿宋_GB2312" w:eastAsia="仿宋_GB2312" w:cs="仿宋_GB2312"/>
                      <w:color w:val="000000"/>
                      <w:sz w:val="24"/>
                    </w:rPr>
                    <w:t>b)应关闭不需要的系统服务、默认共享和高危端口；</w:t>
                  </w:r>
                </w:p>
              </w:tc>
            </w:tr>
            <w:tr w14:paraId="30AC7E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861A70B"/>
              </w:tc>
              <w:tc>
                <w:tcPr>
                  <w:tcW w:w="266" w:type="dxa"/>
                  <w:vMerge w:val="continue"/>
                  <w:tcBorders>
                    <w:top w:val="nil"/>
                    <w:left w:val="single" w:color="000000" w:sz="4" w:space="0"/>
                    <w:bottom w:val="single" w:color="000000" w:sz="4" w:space="0"/>
                    <w:right w:val="single" w:color="000000" w:sz="4" w:space="0"/>
                  </w:tcBorders>
                </w:tcPr>
                <w:p w14:paraId="6E4C6F54"/>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1EB35D">
                  <w:pPr>
                    <w:pStyle w:val="4"/>
                    <w:jc w:val="left"/>
                  </w:pPr>
                  <w:r>
                    <w:rPr>
                      <w:rFonts w:ascii="仿宋_GB2312" w:hAnsi="仿宋_GB2312" w:eastAsia="仿宋_GB2312" w:cs="仿宋_GB2312"/>
                      <w:color w:val="000000"/>
                      <w:sz w:val="24"/>
                    </w:rPr>
                    <w:t>c)应通过设定终端接入方式或网络地址范围对通过网络进行管理的管理终端进行限制；</w:t>
                  </w:r>
                </w:p>
              </w:tc>
            </w:tr>
            <w:tr w14:paraId="169065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C7B92FD"/>
              </w:tc>
              <w:tc>
                <w:tcPr>
                  <w:tcW w:w="266" w:type="dxa"/>
                  <w:vMerge w:val="continue"/>
                  <w:tcBorders>
                    <w:top w:val="nil"/>
                    <w:left w:val="single" w:color="000000" w:sz="4" w:space="0"/>
                    <w:bottom w:val="single" w:color="000000" w:sz="4" w:space="0"/>
                    <w:right w:val="single" w:color="000000" w:sz="4" w:space="0"/>
                  </w:tcBorders>
                </w:tcPr>
                <w:p w14:paraId="0D767DF2"/>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8AAC9A">
                  <w:pPr>
                    <w:pStyle w:val="4"/>
                    <w:jc w:val="left"/>
                  </w:pPr>
                  <w:r>
                    <w:rPr>
                      <w:rFonts w:ascii="仿宋_GB2312" w:hAnsi="仿宋_GB2312" w:eastAsia="仿宋_GB2312" w:cs="仿宋_GB2312"/>
                      <w:color w:val="000000"/>
                      <w:sz w:val="24"/>
                    </w:rPr>
                    <w:t>d）应提供数据有效性检验功能，保证通过人机接口输入或通过通信接口输入的内容符合系统设定要求。</w:t>
                  </w:r>
                </w:p>
              </w:tc>
            </w:tr>
            <w:tr w14:paraId="37BE87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B600D9C"/>
              </w:tc>
              <w:tc>
                <w:tcPr>
                  <w:tcW w:w="266" w:type="dxa"/>
                  <w:vMerge w:val="continue"/>
                  <w:tcBorders>
                    <w:top w:val="nil"/>
                    <w:left w:val="single" w:color="000000" w:sz="4" w:space="0"/>
                    <w:bottom w:val="single" w:color="000000" w:sz="4" w:space="0"/>
                    <w:right w:val="single" w:color="000000" w:sz="4" w:space="0"/>
                  </w:tcBorders>
                </w:tcPr>
                <w:p w14:paraId="3E734F4B"/>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E84F8F">
                  <w:pPr>
                    <w:pStyle w:val="4"/>
                    <w:jc w:val="left"/>
                  </w:pPr>
                  <w:r>
                    <w:rPr>
                      <w:rFonts w:ascii="仿宋_GB2312" w:hAnsi="仿宋_GB2312" w:eastAsia="仿宋_GB2312" w:cs="仿宋_GB2312"/>
                      <w:color w:val="000000"/>
                      <w:sz w:val="24"/>
                    </w:rPr>
                    <w:t>e)应能发现可能存在的已知漏洞，并在经过充分测试评估后，及时修补漏洞；</w:t>
                  </w:r>
                </w:p>
              </w:tc>
            </w:tr>
            <w:tr w14:paraId="616B50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6E3F2E3"/>
              </w:tc>
              <w:tc>
                <w:tcPr>
                  <w:tcW w:w="266" w:type="dxa"/>
                  <w:vMerge w:val="continue"/>
                  <w:tcBorders>
                    <w:top w:val="nil"/>
                    <w:left w:val="single" w:color="000000" w:sz="4" w:space="0"/>
                    <w:bottom w:val="single" w:color="000000" w:sz="4" w:space="0"/>
                    <w:right w:val="single" w:color="000000" w:sz="4" w:space="0"/>
                  </w:tcBorders>
                </w:tcPr>
                <w:p w14:paraId="671DDA7F"/>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FC2E66">
                  <w:pPr>
                    <w:pStyle w:val="4"/>
                    <w:jc w:val="left"/>
                  </w:pPr>
                  <w:r>
                    <w:rPr>
                      <w:rFonts w:ascii="仿宋_GB2312" w:hAnsi="仿宋_GB2312" w:eastAsia="仿宋_GB2312" w:cs="仿宋_GB2312"/>
                      <w:color w:val="000000"/>
                      <w:sz w:val="24"/>
                    </w:rPr>
                    <w:t>f)应能检测到对重要节点进行入侵的行为，并在发生严重入侵事件时提供报警。</w:t>
                  </w:r>
                </w:p>
              </w:tc>
            </w:tr>
            <w:tr w14:paraId="1C392C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D41B5AD"/>
              </w:tc>
              <w:tc>
                <w:tcPr>
                  <w:tcW w:w="2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CEC99">
                  <w:pPr>
                    <w:pStyle w:val="4"/>
                    <w:jc w:val="center"/>
                  </w:pPr>
                  <w:r>
                    <w:rPr>
                      <w:rFonts w:ascii="仿宋_GB2312" w:hAnsi="仿宋_GB2312" w:eastAsia="仿宋_GB2312" w:cs="仿宋_GB2312"/>
                      <w:color w:val="000000"/>
                      <w:sz w:val="24"/>
                    </w:rPr>
                    <w:t>恶意代码防范</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5AEA98">
                  <w:pPr>
                    <w:pStyle w:val="4"/>
                    <w:jc w:val="left"/>
                  </w:pPr>
                  <w:r>
                    <w:rPr>
                      <w:rFonts w:ascii="仿宋_GB2312" w:hAnsi="仿宋_GB2312" w:eastAsia="仿宋_GB2312" w:cs="仿宋_GB2312"/>
                      <w:color w:val="000000"/>
                      <w:sz w:val="24"/>
                    </w:rPr>
                    <w:t>a)应采用免受恶意代码攻击的技术措施，或主动免疫可信验证机制及时识别入侵和病毒行为，并将其有效阻断。</w:t>
                  </w:r>
                </w:p>
              </w:tc>
            </w:tr>
            <w:tr w14:paraId="334294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4E31E97"/>
              </w:tc>
              <w:tc>
                <w:tcPr>
                  <w:tcW w:w="2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D6E161">
                  <w:pPr>
                    <w:pStyle w:val="4"/>
                    <w:jc w:val="center"/>
                  </w:pPr>
                  <w:r>
                    <w:rPr>
                      <w:rFonts w:ascii="仿宋_GB2312" w:hAnsi="仿宋_GB2312" w:eastAsia="仿宋_GB2312" w:cs="仿宋_GB2312"/>
                      <w:color w:val="000000"/>
                      <w:sz w:val="24"/>
                    </w:rPr>
                    <w:t>可信验证</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02D2F1">
                  <w:pPr>
                    <w:pStyle w:val="4"/>
                    <w:jc w:val="left"/>
                  </w:pPr>
                  <w:r>
                    <w:rPr>
                      <w:rFonts w:ascii="仿宋_GB2312" w:hAnsi="仿宋_GB2312" w:eastAsia="仿宋_GB2312" w:cs="仿宋_GB2312"/>
                      <w:color w:val="000000"/>
                      <w:sz w:val="24"/>
                    </w:rPr>
                    <w:t>a)可基于可信根对计算设备的系统引导程序、系统程序、重要配置参数和通信应用程序等进行可信验证，并在应用程序的关键执行环节进行动态可信验证，在检测到其可信性受到破坏后进行报警，并将验证结果形成审计记录送至安全管理中心。</w:t>
                  </w:r>
                </w:p>
              </w:tc>
            </w:tr>
            <w:tr w14:paraId="3183F0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7E4FEDA"/>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B41D57">
                  <w:pPr>
                    <w:pStyle w:val="4"/>
                    <w:jc w:val="center"/>
                  </w:pPr>
                  <w:r>
                    <w:rPr>
                      <w:rFonts w:ascii="仿宋_GB2312" w:hAnsi="仿宋_GB2312" w:eastAsia="仿宋_GB2312" w:cs="仿宋_GB2312"/>
                      <w:color w:val="000000"/>
                      <w:sz w:val="24"/>
                    </w:rPr>
                    <w:t>数据完整性</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23A09">
                  <w:pPr>
                    <w:pStyle w:val="4"/>
                    <w:jc w:val="left"/>
                  </w:pPr>
                  <w:r>
                    <w:rPr>
                      <w:rFonts w:ascii="仿宋_GB2312" w:hAnsi="仿宋_GB2312" w:eastAsia="仿宋_GB2312" w:cs="仿宋_GB2312"/>
                      <w:color w:val="000000"/>
                      <w:sz w:val="24"/>
                    </w:rPr>
                    <w:t>a)应采用校验技术或密码技术保证重要数据在传输过程中的完整性，包括但不限于数据鉴别、重要业务数据、重要审计数据、重要配置数据、重要视频数据和重要个人信息等；</w:t>
                  </w:r>
                </w:p>
              </w:tc>
            </w:tr>
            <w:tr w14:paraId="71CD80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2421985"/>
              </w:tc>
              <w:tc>
                <w:tcPr>
                  <w:tcW w:w="266" w:type="dxa"/>
                  <w:vMerge w:val="continue"/>
                  <w:tcBorders>
                    <w:top w:val="nil"/>
                    <w:left w:val="single" w:color="000000" w:sz="4" w:space="0"/>
                    <w:bottom w:val="single" w:color="000000" w:sz="4" w:space="0"/>
                    <w:right w:val="single" w:color="000000" w:sz="4" w:space="0"/>
                  </w:tcBorders>
                </w:tcPr>
                <w:p w14:paraId="4BC91A31"/>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849F99">
                  <w:pPr>
                    <w:pStyle w:val="4"/>
                    <w:jc w:val="left"/>
                  </w:pPr>
                  <w:r>
                    <w:rPr>
                      <w:rFonts w:ascii="仿宋_GB2312" w:hAnsi="仿宋_GB2312" w:eastAsia="仿宋_GB2312" w:cs="仿宋_GB2312"/>
                      <w:color w:val="000000"/>
                      <w:sz w:val="24"/>
                    </w:rPr>
                    <w:t>b)应采用校验技术或密码技术保证重要数据在存储过程中的完整性，包括但不限于数据鉴别、重要业务数据、重要审计数据、重要配置数据、重要视频数据和重要个人信息等。</w:t>
                  </w:r>
                </w:p>
              </w:tc>
            </w:tr>
            <w:tr w14:paraId="555A5C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4D9C88FF"/>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533C8">
                  <w:pPr>
                    <w:pStyle w:val="4"/>
                    <w:jc w:val="center"/>
                  </w:pPr>
                  <w:r>
                    <w:rPr>
                      <w:rFonts w:ascii="仿宋_GB2312" w:hAnsi="仿宋_GB2312" w:eastAsia="仿宋_GB2312" w:cs="仿宋_GB2312"/>
                      <w:color w:val="000000"/>
                      <w:sz w:val="24"/>
                    </w:rPr>
                    <w:t>数据保密性</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CB0381">
                  <w:pPr>
                    <w:pStyle w:val="4"/>
                    <w:jc w:val="left"/>
                  </w:pPr>
                  <w:r>
                    <w:rPr>
                      <w:rFonts w:ascii="仿宋_GB2312" w:hAnsi="仿宋_GB2312" w:eastAsia="仿宋_GB2312" w:cs="仿宋_GB2312"/>
                      <w:color w:val="000000"/>
                      <w:sz w:val="24"/>
                    </w:rPr>
                    <w:t>a)应采用密码技术保证重要数据在传输过程中的保密性，包括但不限于数据鉴别、重要业务数据和重要个人信息等；</w:t>
                  </w:r>
                </w:p>
              </w:tc>
            </w:tr>
            <w:tr w14:paraId="7A64B8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2AA284D"/>
              </w:tc>
              <w:tc>
                <w:tcPr>
                  <w:tcW w:w="266" w:type="dxa"/>
                  <w:vMerge w:val="continue"/>
                  <w:tcBorders>
                    <w:top w:val="nil"/>
                    <w:left w:val="single" w:color="000000" w:sz="4" w:space="0"/>
                    <w:bottom w:val="single" w:color="000000" w:sz="4" w:space="0"/>
                    <w:right w:val="single" w:color="000000" w:sz="4" w:space="0"/>
                  </w:tcBorders>
                </w:tcPr>
                <w:p w14:paraId="3588EEEE"/>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1F8094">
                  <w:pPr>
                    <w:pStyle w:val="4"/>
                    <w:jc w:val="left"/>
                  </w:pPr>
                  <w:r>
                    <w:rPr>
                      <w:rFonts w:ascii="仿宋_GB2312" w:hAnsi="仿宋_GB2312" w:eastAsia="仿宋_GB2312" w:cs="仿宋_GB2312"/>
                      <w:color w:val="000000"/>
                      <w:sz w:val="24"/>
                    </w:rPr>
                    <w:t>b)应采用密码技术保证重要数据在存储过程中的保密性，包括但不限于数据鉴别、重要业务数据和重要个人信息等。</w:t>
                  </w:r>
                </w:p>
              </w:tc>
            </w:tr>
            <w:tr w14:paraId="2BFBCB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DEF377C"/>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76525A">
                  <w:pPr>
                    <w:pStyle w:val="4"/>
                    <w:jc w:val="center"/>
                  </w:pPr>
                  <w:r>
                    <w:rPr>
                      <w:rFonts w:ascii="仿宋_GB2312" w:hAnsi="仿宋_GB2312" w:eastAsia="仿宋_GB2312" w:cs="仿宋_GB2312"/>
                      <w:color w:val="000000"/>
                      <w:sz w:val="24"/>
                    </w:rPr>
                    <w:t>数据备份和恢复</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246678">
                  <w:pPr>
                    <w:pStyle w:val="4"/>
                    <w:jc w:val="left"/>
                  </w:pPr>
                  <w:r>
                    <w:rPr>
                      <w:rFonts w:ascii="仿宋_GB2312" w:hAnsi="仿宋_GB2312" w:eastAsia="仿宋_GB2312" w:cs="仿宋_GB2312"/>
                      <w:color w:val="000000"/>
                      <w:sz w:val="24"/>
                    </w:rPr>
                    <w:t>a)应提供重要数据的本地数据备份与恢复功能；</w:t>
                  </w:r>
                </w:p>
              </w:tc>
            </w:tr>
            <w:tr w14:paraId="6A993B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A47A486"/>
              </w:tc>
              <w:tc>
                <w:tcPr>
                  <w:tcW w:w="266" w:type="dxa"/>
                  <w:vMerge w:val="continue"/>
                  <w:tcBorders>
                    <w:top w:val="nil"/>
                    <w:left w:val="single" w:color="000000" w:sz="4" w:space="0"/>
                    <w:bottom w:val="single" w:color="000000" w:sz="4" w:space="0"/>
                    <w:right w:val="single" w:color="000000" w:sz="4" w:space="0"/>
                  </w:tcBorders>
                </w:tcPr>
                <w:p w14:paraId="40067386"/>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8E8193">
                  <w:pPr>
                    <w:pStyle w:val="4"/>
                    <w:jc w:val="left"/>
                  </w:pPr>
                  <w:r>
                    <w:rPr>
                      <w:rFonts w:ascii="仿宋_GB2312" w:hAnsi="仿宋_GB2312" w:eastAsia="仿宋_GB2312" w:cs="仿宋_GB2312"/>
                      <w:color w:val="000000"/>
                      <w:sz w:val="24"/>
                    </w:rPr>
                    <w:t>b)应提供异地实时备份功能，利用通信网络将重要数据实时备份至备用场地；</w:t>
                  </w:r>
                </w:p>
              </w:tc>
            </w:tr>
            <w:tr w14:paraId="6F81E1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0E7A78F4"/>
              </w:tc>
              <w:tc>
                <w:tcPr>
                  <w:tcW w:w="266" w:type="dxa"/>
                  <w:vMerge w:val="continue"/>
                  <w:tcBorders>
                    <w:top w:val="nil"/>
                    <w:left w:val="single" w:color="000000" w:sz="4" w:space="0"/>
                    <w:bottom w:val="single" w:color="000000" w:sz="4" w:space="0"/>
                    <w:right w:val="single" w:color="000000" w:sz="4" w:space="0"/>
                  </w:tcBorders>
                </w:tcPr>
                <w:p w14:paraId="335AAD36"/>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D09517">
                  <w:pPr>
                    <w:pStyle w:val="4"/>
                    <w:jc w:val="left"/>
                  </w:pPr>
                  <w:r>
                    <w:rPr>
                      <w:rFonts w:ascii="仿宋_GB2312" w:hAnsi="仿宋_GB2312" w:eastAsia="仿宋_GB2312" w:cs="仿宋_GB2312"/>
                      <w:color w:val="000000"/>
                      <w:sz w:val="24"/>
                    </w:rPr>
                    <w:t>c)应提供重要数据处理系统的热冗余，保证系统的高可用性。</w:t>
                  </w:r>
                </w:p>
              </w:tc>
            </w:tr>
            <w:tr w14:paraId="3B19F8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A841A10"/>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7A9601">
                  <w:pPr>
                    <w:pStyle w:val="4"/>
                    <w:jc w:val="center"/>
                  </w:pPr>
                  <w:r>
                    <w:rPr>
                      <w:rFonts w:ascii="仿宋_GB2312" w:hAnsi="仿宋_GB2312" w:eastAsia="仿宋_GB2312" w:cs="仿宋_GB2312"/>
                      <w:color w:val="000000"/>
                      <w:sz w:val="24"/>
                    </w:rPr>
                    <w:t>剩余信息保护</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936B38">
                  <w:pPr>
                    <w:pStyle w:val="4"/>
                    <w:jc w:val="left"/>
                  </w:pPr>
                  <w:r>
                    <w:rPr>
                      <w:rFonts w:ascii="仿宋_GB2312" w:hAnsi="仿宋_GB2312" w:eastAsia="仿宋_GB2312" w:cs="仿宋_GB2312"/>
                      <w:color w:val="000000"/>
                      <w:sz w:val="24"/>
                    </w:rPr>
                    <w:t>a)应保证鉴别信息所在的存储空间被释放或重新分配前得到完全清除；</w:t>
                  </w:r>
                </w:p>
              </w:tc>
            </w:tr>
            <w:tr w14:paraId="415297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C5F4D03"/>
              </w:tc>
              <w:tc>
                <w:tcPr>
                  <w:tcW w:w="266" w:type="dxa"/>
                  <w:vMerge w:val="continue"/>
                  <w:tcBorders>
                    <w:top w:val="nil"/>
                    <w:left w:val="single" w:color="000000" w:sz="4" w:space="0"/>
                    <w:bottom w:val="single" w:color="000000" w:sz="4" w:space="0"/>
                    <w:right w:val="single" w:color="000000" w:sz="4" w:space="0"/>
                  </w:tcBorders>
                </w:tcPr>
                <w:p w14:paraId="432EECED"/>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6F401">
                  <w:pPr>
                    <w:pStyle w:val="4"/>
                    <w:jc w:val="left"/>
                  </w:pPr>
                  <w:r>
                    <w:rPr>
                      <w:rFonts w:ascii="仿宋_GB2312" w:hAnsi="仿宋_GB2312" w:eastAsia="仿宋_GB2312" w:cs="仿宋_GB2312"/>
                      <w:color w:val="000000"/>
                      <w:sz w:val="24"/>
                    </w:rPr>
                    <w:t>b)应保证存有敏感数据的存储空间被释放或重新分配前得到完全清除。</w:t>
                  </w:r>
                </w:p>
              </w:tc>
            </w:tr>
            <w:tr w14:paraId="4890DA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EB237F2"/>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87010D">
                  <w:pPr>
                    <w:pStyle w:val="4"/>
                    <w:jc w:val="center"/>
                  </w:pPr>
                  <w:r>
                    <w:rPr>
                      <w:rFonts w:ascii="仿宋_GB2312" w:hAnsi="仿宋_GB2312" w:eastAsia="仿宋_GB2312" w:cs="仿宋_GB2312"/>
                      <w:color w:val="000000"/>
                      <w:sz w:val="24"/>
                    </w:rPr>
                    <w:t>个人信息保护</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E22629">
                  <w:pPr>
                    <w:pStyle w:val="4"/>
                    <w:jc w:val="left"/>
                  </w:pPr>
                  <w:r>
                    <w:rPr>
                      <w:rFonts w:ascii="仿宋_GB2312" w:hAnsi="仿宋_GB2312" w:eastAsia="仿宋_GB2312" w:cs="仿宋_GB2312"/>
                      <w:color w:val="000000"/>
                      <w:sz w:val="24"/>
                    </w:rPr>
                    <w:t>a)应仅采集和保存业务必需的用户个人信息；</w:t>
                  </w:r>
                </w:p>
              </w:tc>
            </w:tr>
            <w:tr w14:paraId="4C5E69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24D8E63"/>
              </w:tc>
              <w:tc>
                <w:tcPr>
                  <w:tcW w:w="266" w:type="dxa"/>
                  <w:vMerge w:val="continue"/>
                  <w:tcBorders>
                    <w:top w:val="nil"/>
                    <w:left w:val="single" w:color="000000" w:sz="4" w:space="0"/>
                    <w:bottom w:val="single" w:color="000000" w:sz="4" w:space="0"/>
                    <w:right w:val="single" w:color="000000" w:sz="4" w:space="0"/>
                  </w:tcBorders>
                </w:tcPr>
                <w:p w14:paraId="4FAB1704"/>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F2CFB">
                  <w:pPr>
                    <w:pStyle w:val="4"/>
                    <w:jc w:val="left"/>
                  </w:pPr>
                  <w:r>
                    <w:rPr>
                      <w:rFonts w:ascii="仿宋_GB2312" w:hAnsi="仿宋_GB2312" w:eastAsia="仿宋_GB2312" w:cs="仿宋_GB2312"/>
                      <w:color w:val="000000"/>
                      <w:sz w:val="24"/>
                    </w:rPr>
                    <w:t>b)应禁止未授权访问和非法使用用户个人信息。</w:t>
                  </w:r>
                </w:p>
              </w:tc>
            </w:tr>
            <w:tr w14:paraId="46073C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86D9EF">
                  <w:pPr>
                    <w:pStyle w:val="4"/>
                    <w:jc w:val="center"/>
                  </w:pPr>
                  <w:r>
                    <w:rPr>
                      <w:rFonts w:ascii="仿宋_GB2312" w:hAnsi="仿宋_GB2312" w:eastAsia="仿宋_GB2312" w:cs="仿宋_GB2312"/>
                      <w:color w:val="000000"/>
                      <w:sz w:val="24"/>
                    </w:rPr>
                    <w:t>安全管理中心</w:t>
                  </w:r>
                </w:p>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1A4DCB">
                  <w:pPr>
                    <w:pStyle w:val="4"/>
                    <w:jc w:val="center"/>
                  </w:pPr>
                  <w:r>
                    <w:rPr>
                      <w:rFonts w:ascii="仿宋_GB2312" w:hAnsi="仿宋_GB2312" w:eastAsia="仿宋_GB2312" w:cs="仿宋_GB2312"/>
                      <w:color w:val="000000"/>
                      <w:sz w:val="24"/>
                    </w:rPr>
                    <w:t>系统管理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9E1023">
                  <w:pPr>
                    <w:pStyle w:val="4"/>
                    <w:jc w:val="left"/>
                  </w:pPr>
                  <w:r>
                    <w:rPr>
                      <w:rFonts w:ascii="仿宋_GB2312" w:hAnsi="仿宋_GB2312" w:eastAsia="仿宋_GB2312" w:cs="仿宋_GB2312"/>
                      <w:color w:val="000000"/>
                      <w:sz w:val="24"/>
                    </w:rPr>
                    <w:t>a)应对系统管理员进行身份鉴别，只允许其通过特定的命令或操作界面进行系统管理操作，并对这些操作进行审计；</w:t>
                  </w:r>
                </w:p>
              </w:tc>
            </w:tr>
            <w:tr w14:paraId="3DF316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BE9A441"/>
              </w:tc>
              <w:tc>
                <w:tcPr>
                  <w:tcW w:w="266" w:type="dxa"/>
                  <w:vMerge w:val="continue"/>
                  <w:tcBorders>
                    <w:top w:val="nil"/>
                    <w:left w:val="single" w:color="000000" w:sz="4" w:space="0"/>
                    <w:bottom w:val="single" w:color="000000" w:sz="4" w:space="0"/>
                    <w:right w:val="single" w:color="000000" w:sz="4" w:space="0"/>
                  </w:tcBorders>
                </w:tcPr>
                <w:p w14:paraId="66FDF4CA"/>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B03B37">
                  <w:pPr>
                    <w:pStyle w:val="4"/>
                    <w:jc w:val="left"/>
                  </w:pPr>
                  <w:r>
                    <w:rPr>
                      <w:rFonts w:ascii="仿宋_GB2312" w:hAnsi="仿宋_GB2312" w:eastAsia="仿宋_GB2312" w:cs="仿宋_GB2312"/>
                      <w:color w:val="000000"/>
                      <w:sz w:val="24"/>
                    </w:rPr>
                    <w:t>b）应通过系统管理员对系统的资源和运行进行配置、控制和管理，包括用户身份，系统资源配置、系统加载和启动、系统运行的异常处理、数据和设备的备份与恢复等。</w:t>
                  </w:r>
                </w:p>
              </w:tc>
            </w:tr>
            <w:tr w14:paraId="0D822F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A4BA178"/>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CAB32C">
                  <w:pPr>
                    <w:pStyle w:val="4"/>
                    <w:jc w:val="center"/>
                  </w:pPr>
                  <w:r>
                    <w:rPr>
                      <w:rFonts w:ascii="仿宋_GB2312" w:hAnsi="仿宋_GB2312" w:eastAsia="仿宋_GB2312" w:cs="仿宋_GB2312"/>
                      <w:color w:val="000000"/>
                      <w:sz w:val="24"/>
                    </w:rPr>
                    <w:t>审计管理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88E55C">
                  <w:pPr>
                    <w:pStyle w:val="4"/>
                    <w:jc w:val="left"/>
                  </w:pPr>
                  <w:r>
                    <w:rPr>
                      <w:rFonts w:ascii="仿宋_GB2312" w:hAnsi="仿宋_GB2312" w:eastAsia="仿宋_GB2312" w:cs="仿宋_GB2312"/>
                      <w:color w:val="000000"/>
                      <w:sz w:val="24"/>
                    </w:rPr>
                    <w:t>a) 应对审计管理员进行身份鉴别，只允许其通过特定的命令或操作界面进行安全审计操作，并对这些操作进行审计；</w:t>
                  </w:r>
                </w:p>
              </w:tc>
            </w:tr>
            <w:tr w14:paraId="478C77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2CD9613"/>
              </w:tc>
              <w:tc>
                <w:tcPr>
                  <w:tcW w:w="266" w:type="dxa"/>
                  <w:vMerge w:val="continue"/>
                  <w:tcBorders>
                    <w:top w:val="nil"/>
                    <w:left w:val="single" w:color="000000" w:sz="4" w:space="0"/>
                    <w:bottom w:val="single" w:color="000000" w:sz="4" w:space="0"/>
                    <w:right w:val="single" w:color="000000" w:sz="4" w:space="0"/>
                  </w:tcBorders>
                </w:tcPr>
                <w:p w14:paraId="453A1669"/>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610679">
                  <w:pPr>
                    <w:pStyle w:val="4"/>
                    <w:jc w:val="left"/>
                  </w:pPr>
                  <w:r>
                    <w:rPr>
                      <w:rFonts w:ascii="仿宋_GB2312" w:hAnsi="仿宋_GB2312" w:eastAsia="仿宋_GB2312" w:cs="仿宋_GB2312"/>
                      <w:color w:val="000000"/>
                      <w:sz w:val="24"/>
                    </w:rPr>
                    <w:t>b)应通过审计管理员对审计记录进行分析，并根据分析结果进行处理，包括根据安全审计策略对审计记录进行存储、管理和查询。</w:t>
                  </w:r>
                </w:p>
              </w:tc>
            </w:tr>
            <w:tr w14:paraId="6D8C05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678EB05"/>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1967E">
                  <w:pPr>
                    <w:pStyle w:val="4"/>
                    <w:jc w:val="center"/>
                  </w:pPr>
                  <w:r>
                    <w:rPr>
                      <w:rFonts w:ascii="仿宋_GB2312" w:hAnsi="仿宋_GB2312" w:eastAsia="仿宋_GB2312" w:cs="仿宋_GB2312"/>
                      <w:color w:val="000000"/>
                      <w:sz w:val="24"/>
                    </w:rPr>
                    <w:t>安全管理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26EC55">
                  <w:pPr>
                    <w:pStyle w:val="4"/>
                    <w:jc w:val="left"/>
                  </w:pPr>
                  <w:r>
                    <w:rPr>
                      <w:rFonts w:ascii="仿宋_GB2312" w:hAnsi="仿宋_GB2312" w:eastAsia="仿宋_GB2312" w:cs="仿宋_GB2312"/>
                      <w:color w:val="000000"/>
                      <w:sz w:val="24"/>
                    </w:rPr>
                    <w:t>a) 应对安全管理员进行身份鉴别，只允许通过特定的命令或操作界面进行安全管理操作，并对这些操作进行审计；</w:t>
                  </w:r>
                </w:p>
              </w:tc>
            </w:tr>
            <w:tr w14:paraId="31FB2F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1C33D69"/>
              </w:tc>
              <w:tc>
                <w:tcPr>
                  <w:tcW w:w="266" w:type="dxa"/>
                  <w:vMerge w:val="continue"/>
                  <w:tcBorders>
                    <w:top w:val="nil"/>
                    <w:left w:val="single" w:color="000000" w:sz="4" w:space="0"/>
                    <w:bottom w:val="single" w:color="000000" w:sz="4" w:space="0"/>
                    <w:right w:val="single" w:color="000000" w:sz="4" w:space="0"/>
                  </w:tcBorders>
                </w:tcPr>
                <w:p w14:paraId="0B554B69"/>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8D0E9">
                  <w:pPr>
                    <w:pStyle w:val="4"/>
                    <w:jc w:val="left"/>
                  </w:pPr>
                  <w:r>
                    <w:rPr>
                      <w:rFonts w:ascii="仿宋_GB2312" w:hAnsi="仿宋_GB2312" w:eastAsia="仿宋_GB2312" w:cs="仿宋_GB2312"/>
                      <w:color w:val="000000"/>
                      <w:sz w:val="24"/>
                    </w:rPr>
                    <w:t>b)应通过安全管理员对系统中的安全策略进行配置，包括安全参数的设置，主体，客体进行统一安全标识，对主体进行授权，配置安全可信验证策略等。</w:t>
                  </w:r>
                </w:p>
              </w:tc>
            </w:tr>
            <w:tr w14:paraId="06236B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75EC742"/>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E2A510">
                  <w:pPr>
                    <w:pStyle w:val="4"/>
                    <w:jc w:val="center"/>
                  </w:pPr>
                  <w:r>
                    <w:rPr>
                      <w:rFonts w:ascii="仿宋_GB2312" w:hAnsi="仿宋_GB2312" w:eastAsia="仿宋_GB2312" w:cs="仿宋_GB2312"/>
                      <w:color w:val="000000"/>
                      <w:sz w:val="24"/>
                    </w:rPr>
                    <w:t>集中管控</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E7D860">
                  <w:pPr>
                    <w:pStyle w:val="4"/>
                    <w:jc w:val="left"/>
                  </w:pPr>
                  <w:r>
                    <w:rPr>
                      <w:rFonts w:ascii="仿宋_GB2312" w:hAnsi="仿宋_GB2312" w:eastAsia="仿宋_GB2312" w:cs="仿宋_GB2312"/>
                      <w:color w:val="000000"/>
                      <w:sz w:val="24"/>
                    </w:rPr>
                    <w:t>a) 应划分特定的管理区域，对分布在网络中的安全设备或安全组件进行管控；</w:t>
                  </w:r>
                </w:p>
              </w:tc>
            </w:tr>
            <w:tr w14:paraId="391FFD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B73FE51"/>
              </w:tc>
              <w:tc>
                <w:tcPr>
                  <w:tcW w:w="266" w:type="dxa"/>
                  <w:vMerge w:val="continue"/>
                  <w:tcBorders>
                    <w:top w:val="nil"/>
                    <w:left w:val="single" w:color="000000" w:sz="4" w:space="0"/>
                    <w:bottom w:val="single" w:color="000000" w:sz="4" w:space="0"/>
                    <w:right w:val="single" w:color="000000" w:sz="4" w:space="0"/>
                  </w:tcBorders>
                </w:tcPr>
                <w:p w14:paraId="0AB81930"/>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4AD63A">
                  <w:pPr>
                    <w:pStyle w:val="4"/>
                    <w:jc w:val="left"/>
                  </w:pPr>
                  <w:r>
                    <w:rPr>
                      <w:rFonts w:ascii="仿宋_GB2312" w:hAnsi="仿宋_GB2312" w:eastAsia="仿宋_GB2312" w:cs="仿宋_GB2312"/>
                      <w:color w:val="000000"/>
                      <w:sz w:val="24"/>
                    </w:rPr>
                    <w:t>b)应能够建立一条安全的信息传输路径，对网络中的安全设备或安全组件进行管理；</w:t>
                  </w:r>
                </w:p>
              </w:tc>
            </w:tr>
            <w:tr w14:paraId="0EEC1A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6AA8A93"/>
              </w:tc>
              <w:tc>
                <w:tcPr>
                  <w:tcW w:w="266" w:type="dxa"/>
                  <w:vMerge w:val="continue"/>
                  <w:tcBorders>
                    <w:top w:val="nil"/>
                    <w:left w:val="single" w:color="000000" w:sz="4" w:space="0"/>
                    <w:bottom w:val="single" w:color="000000" w:sz="4" w:space="0"/>
                    <w:right w:val="single" w:color="000000" w:sz="4" w:space="0"/>
                  </w:tcBorders>
                </w:tcPr>
                <w:p w14:paraId="65739920"/>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D43D91">
                  <w:pPr>
                    <w:pStyle w:val="4"/>
                    <w:jc w:val="left"/>
                  </w:pPr>
                  <w:r>
                    <w:rPr>
                      <w:rFonts w:ascii="仿宋_GB2312" w:hAnsi="仿宋_GB2312" w:eastAsia="仿宋_GB2312" w:cs="仿宋_GB2312"/>
                      <w:color w:val="000000"/>
                      <w:sz w:val="24"/>
                    </w:rPr>
                    <w:t>c）应对网络链路、安全设备、网络设备和服务器等的运行状况进行集中监测；</w:t>
                  </w:r>
                </w:p>
              </w:tc>
            </w:tr>
            <w:tr w14:paraId="5DE9AD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16A2C047"/>
              </w:tc>
              <w:tc>
                <w:tcPr>
                  <w:tcW w:w="266" w:type="dxa"/>
                  <w:vMerge w:val="continue"/>
                  <w:tcBorders>
                    <w:top w:val="nil"/>
                    <w:left w:val="single" w:color="000000" w:sz="4" w:space="0"/>
                    <w:bottom w:val="single" w:color="000000" w:sz="4" w:space="0"/>
                    <w:right w:val="single" w:color="000000" w:sz="4" w:space="0"/>
                  </w:tcBorders>
                </w:tcPr>
                <w:p w14:paraId="3CC09495"/>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B26683">
                  <w:pPr>
                    <w:pStyle w:val="4"/>
                    <w:jc w:val="left"/>
                  </w:pPr>
                  <w:r>
                    <w:rPr>
                      <w:rFonts w:ascii="仿宋_GB2312" w:hAnsi="仿宋_GB2312" w:eastAsia="仿宋_GB2312" w:cs="仿宋_GB2312"/>
                      <w:color w:val="000000"/>
                      <w:sz w:val="24"/>
                    </w:rPr>
                    <w:t>d)应对分散在各个设备上的审计数据进行收集汇总和集中分析，并保证审计记录的留存时间符合法律法规要求；</w:t>
                  </w:r>
                </w:p>
              </w:tc>
            </w:tr>
            <w:tr w14:paraId="799A1B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1F3FBE7"/>
              </w:tc>
              <w:tc>
                <w:tcPr>
                  <w:tcW w:w="266" w:type="dxa"/>
                  <w:vMerge w:val="continue"/>
                  <w:tcBorders>
                    <w:top w:val="nil"/>
                    <w:left w:val="single" w:color="000000" w:sz="4" w:space="0"/>
                    <w:bottom w:val="single" w:color="000000" w:sz="4" w:space="0"/>
                    <w:right w:val="single" w:color="000000" w:sz="4" w:space="0"/>
                  </w:tcBorders>
                </w:tcPr>
                <w:p w14:paraId="3B879663"/>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9CC11E">
                  <w:pPr>
                    <w:pStyle w:val="4"/>
                    <w:jc w:val="left"/>
                  </w:pPr>
                  <w:r>
                    <w:rPr>
                      <w:rFonts w:ascii="仿宋_GB2312" w:hAnsi="仿宋_GB2312" w:eastAsia="仿宋_GB2312" w:cs="仿宋_GB2312"/>
                      <w:color w:val="000000"/>
                      <w:sz w:val="24"/>
                    </w:rPr>
                    <w:t>e）应对安全策略、安全代码、补丁升级等安全事项进行集中管理；</w:t>
                  </w:r>
                </w:p>
              </w:tc>
            </w:tr>
            <w:tr w14:paraId="14E634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7EC5BE0"/>
              </w:tc>
              <w:tc>
                <w:tcPr>
                  <w:tcW w:w="266" w:type="dxa"/>
                  <w:vMerge w:val="continue"/>
                  <w:tcBorders>
                    <w:top w:val="nil"/>
                    <w:left w:val="single" w:color="000000" w:sz="4" w:space="0"/>
                    <w:bottom w:val="single" w:color="000000" w:sz="4" w:space="0"/>
                    <w:right w:val="single" w:color="000000" w:sz="4" w:space="0"/>
                  </w:tcBorders>
                </w:tcPr>
                <w:p w14:paraId="1B5E6029"/>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452222">
                  <w:pPr>
                    <w:pStyle w:val="4"/>
                    <w:jc w:val="left"/>
                  </w:pPr>
                  <w:r>
                    <w:rPr>
                      <w:rFonts w:ascii="仿宋_GB2312" w:hAnsi="仿宋_GB2312" w:eastAsia="仿宋_GB2312" w:cs="仿宋_GB2312"/>
                      <w:color w:val="000000"/>
                      <w:sz w:val="24"/>
                    </w:rPr>
                    <w:t>f）应能对网络中发生的各类安全事件进行识别报警和分析。</w:t>
                  </w:r>
                </w:p>
              </w:tc>
            </w:tr>
            <w:tr w14:paraId="133680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95549B">
                  <w:pPr>
                    <w:pStyle w:val="4"/>
                    <w:jc w:val="center"/>
                  </w:pPr>
                  <w:r>
                    <w:rPr>
                      <w:rFonts w:ascii="仿宋_GB2312" w:hAnsi="仿宋_GB2312" w:eastAsia="仿宋_GB2312" w:cs="仿宋_GB2312"/>
                      <w:color w:val="000000"/>
                      <w:sz w:val="24"/>
                    </w:rPr>
                    <w:t>安全管理制度</w:t>
                  </w:r>
                </w:p>
              </w:tc>
              <w:tc>
                <w:tcPr>
                  <w:tcW w:w="2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A36A8">
                  <w:pPr>
                    <w:pStyle w:val="4"/>
                    <w:jc w:val="center"/>
                  </w:pPr>
                  <w:r>
                    <w:rPr>
                      <w:rFonts w:ascii="仿宋_GB2312" w:hAnsi="仿宋_GB2312" w:eastAsia="仿宋_GB2312" w:cs="仿宋_GB2312"/>
                      <w:color w:val="000000"/>
                      <w:sz w:val="24"/>
                    </w:rPr>
                    <w:t>安全策略</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7EFEFB">
                  <w:pPr>
                    <w:pStyle w:val="4"/>
                    <w:jc w:val="left"/>
                  </w:pPr>
                  <w:r>
                    <w:rPr>
                      <w:rFonts w:ascii="仿宋_GB2312" w:hAnsi="仿宋_GB2312" w:eastAsia="仿宋_GB2312" w:cs="仿宋_GB2312"/>
                      <w:color w:val="000000"/>
                      <w:sz w:val="24"/>
                    </w:rPr>
                    <w:t>a）应制定网络安全工作的总体方针和安全策略，阐明机构安全工作的总体目标、范围、原则和安全框架等。</w:t>
                  </w:r>
                </w:p>
              </w:tc>
            </w:tr>
            <w:tr w14:paraId="486F68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292BB85E"/>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2994B4">
                  <w:pPr>
                    <w:pStyle w:val="4"/>
                    <w:jc w:val="center"/>
                  </w:pPr>
                  <w:r>
                    <w:rPr>
                      <w:rFonts w:ascii="仿宋_GB2312" w:hAnsi="仿宋_GB2312" w:eastAsia="仿宋_GB2312" w:cs="仿宋_GB2312"/>
                      <w:color w:val="000000"/>
                      <w:sz w:val="24"/>
                    </w:rPr>
                    <w:t>管理制度</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0ACEB">
                  <w:pPr>
                    <w:pStyle w:val="4"/>
                    <w:jc w:val="left"/>
                  </w:pPr>
                  <w:r>
                    <w:rPr>
                      <w:rFonts w:ascii="仿宋_GB2312" w:hAnsi="仿宋_GB2312" w:eastAsia="仿宋_GB2312" w:cs="仿宋_GB2312"/>
                      <w:color w:val="000000"/>
                      <w:sz w:val="24"/>
                    </w:rPr>
                    <w:t>a）应对安全管理活动中的各类管理内容建立安全管理制度;</w:t>
                  </w:r>
                </w:p>
              </w:tc>
            </w:tr>
            <w:tr w14:paraId="25080E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1FFEB4D"/>
              </w:tc>
              <w:tc>
                <w:tcPr>
                  <w:tcW w:w="266" w:type="dxa"/>
                  <w:vMerge w:val="continue"/>
                  <w:tcBorders>
                    <w:top w:val="nil"/>
                    <w:left w:val="single" w:color="000000" w:sz="4" w:space="0"/>
                    <w:bottom w:val="single" w:color="000000" w:sz="4" w:space="0"/>
                    <w:right w:val="single" w:color="000000" w:sz="4" w:space="0"/>
                  </w:tcBorders>
                </w:tcPr>
                <w:p w14:paraId="50460AFB"/>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DB09CE">
                  <w:pPr>
                    <w:pStyle w:val="4"/>
                    <w:jc w:val="left"/>
                  </w:pPr>
                  <w:r>
                    <w:rPr>
                      <w:rFonts w:ascii="仿宋_GB2312" w:hAnsi="仿宋_GB2312" w:eastAsia="仿宋_GB2312" w:cs="仿宋_GB2312"/>
                      <w:color w:val="000000"/>
                      <w:sz w:val="24"/>
                    </w:rPr>
                    <w:t>b）应对要求管理人员或操作人员执行的日常管理操作建立操作规程;</w:t>
                  </w:r>
                </w:p>
              </w:tc>
            </w:tr>
            <w:tr w14:paraId="40DEBD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76AF5F4"/>
              </w:tc>
              <w:tc>
                <w:tcPr>
                  <w:tcW w:w="266" w:type="dxa"/>
                  <w:vMerge w:val="continue"/>
                  <w:tcBorders>
                    <w:top w:val="nil"/>
                    <w:left w:val="single" w:color="000000" w:sz="4" w:space="0"/>
                    <w:bottom w:val="single" w:color="000000" w:sz="4" w:space="0"/>
                    <w:right w:val="single" w:color="000000" w:sz="4" w:space="0"/>
                  </w:tcBorders>
                </w:tcPr>
                <w:p w14:paraId="3FF3F249"/>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63C039">
                  <w:pPr>
                    <w:pStyle w:val="4"/>
                    <w:jc w:val="left"/>
                  </w:pPr>
                  <w:r>
                    <w:rPr>
                      <w:rFonts w:ascii="仿宋_GB2312" w:hAnsi="仿宋_GB2312" w:eastAsia="仿宋_GB2312" w:cs="仿宋_GB2312"/>
                      <w:color w:val="000000"/>
                      <w:sz w:val="24"/>
                    </w:rPr>
                    <w:t>c）应形成由安全策略，管理制度，操作规程，记录表单等构成安全管理制度体系。</w:t>
                  </w:r>
                </w:p>
              </w:tc>
            </w:tr>
            <w:tr w14:paraId="2068D7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20276FB1"/>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816065">
                  <w:pPr>
                    <w:pStyle w:val="4"/>
                    <w:jc w:val="center"/>
                  </w:pPr>
                  <w:r>
                    <w:rPr>
                      <w:rFonts w:ascii="仿宋_GB2312" w:hAnsi="仿宋_GB2312" w:eastAsia="仿宋_GB2312" w:cs="仿宋_GB2312"/>
                      <w:color w:val="000000"/>
                      <w:sz w:val="24"/>
                    </w:rPr>
                    <w:t>制定和发布</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0830BD">
                  <w:pPr>
                    <w:pStyle w:val="4"/>
                    <w:jc w:val="left"/>
                  </w:pPr>
                  <w:r>
                    <w:rPr>
                      <w:rFonts w:ascii="仿宋_GB2312" w:hAnsi="仿宋_GB2312" w:eastAsia="仿宋_GB2312" w:cs="仿宋_GB2312"/>
                      <w:color w:val="000000"/>
                      <w:sz w:val="24"/>
                    </w:rPr>
                    <w:t>a）应指定或授权专门的部门或人员负责安全管理制度的制定;</w:t>
                  </w:r>
                </w:p>
              </w:tc>
            </w:tr>
            <w:tr w14:paraId="340AF3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1DB6D23A"/>
              </w:tc>
              <w:tc>
                <w:tcPr>
                  <w:tcW w:w="266" w:type="dxa"/>
                  <w:vMerge w:val="continue"/>
                  <w:tcBorders>
                    <w:top w:val="nil"/>
                    <w:left w:val="single" w:color="000000" w:sz="4" w:space="0"/>
                    <w:bottom w:val="single" w:color="000000" w:sz="4" w:space="0"/>
                    <w:right w:val="single" w:color="000000" w:sz="4" w:space="0"/>
                  </w:tcBorders>
                </w:tcPr>
                <w:p w14:paraId="1D69297C"/>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329383">
                  <w:pPr>
                    <w:pStyle w:val="4"/>
                    <w:jc w:val="left"/>
                  </w:pPr>
                  <w:r>
                    <w:rPr>
                      <w:rFonts w:ascii="仿宋_GB2312" w:hAnsi="仿宋_GB2312" w:eastAsia="仿宋_GB2312" w:cs="仿宋_GB2312"/>
                      <w:color w:val="000000"/>
                      <w:sz w:val="24"/>
                    </w:rPr>
                    <w:t>d）安全管理制度应通过正式、有效的方式发布，并进行版本控制.</w:t>
                  </w:r>
                </w:p>
              </w:tc>
            </w:tr>
            <w:tr w14:paraId="7E8BCB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194318E7"/>
              </w:tc>
              <w:tc>
                <w:tcPr>
                  <w:tcW w:w="2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E4C96">
                  <w:pPr>
                    <w:pStyle w:val="4"/>
                    <w:jc w:val="center"/>
                  </w:pPr>
                  <w:r>
                    <w:rPr>
                      <w:rFonts w:ascii="仿宋_GB2312" w:hAnsi="仿宋_GB2312" w:eastAsia="仿宋_GB2312" w:cs="仿宋_GB2312"/>
                      <w:color w:val="000000"/>
                      <w:sz w:val="24"/>
                    </w:rPr>
                    <w:t>评审和修订</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6381C8">
                  <w:pPr>
                    <w:pStyle w:val="4"/>
                    <w:jc w:val="left"/>
                  </w:pPr>
                  <w:r>
                    <w:rPr>
                      <w:rFonts w:ascii="仿宋_GB2312" w:hAnsi="仿宋_GB2312" w:eastAsia="仿宋_GB2312" w:cs="仿宋_GB2312"/>
                      <w:color w:val="000000"/>
                      <w:sz w:val="24"/>
                    </w:rPr>
                    <w:t>a）应定期对安全管理制度的合理性和适用性进行论证和审定，对存在不足或需要改进的安全管理制度进行修订。</w:t>
                  </w:r>
                </w:p>
              </w:tc>
            </w:tr>
            <w:tr w14:paraId="10D7C6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180B43">
                  <w:pPr>
                    <w:pStyle w:val="4"/>
                    <w:jc w:val="center"/>
                  </w:pPr>
                  <w:r>
                    <w:rPr>
                      <w:rFonts w:ascii="仿宋_GB2312" w:hAnsi="仿宋_GB2312" w:eastAsia="仿宋_GB2312" w:cs="仿宋_GB2312"/>
                      <w:color w:val="000000"/>
                      <w:sz w:val="24"/>
                    </w:rPr>
                    <w:t>安全管理机构</w:t>
                  </w:r>
                </w:p>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53B1E8">
                  <w:pPr>
                    <w:pStyle w:val="4"/>
                    <w:jc w:val="center"/>
                  </w:pPr>
                  <w:r>
                    <w:rPr>
                      <w:rFonts w:ascii="仿宋_GB2312" w:hAnsi="仿宋_GB2312" w:eastAsia="仿宋_GB2312" w:cs="仿宋_GB2312"/>
                      <w:color w:val="000000"/>
                      <w:sz w:val="24"/>
                    </w:rPr>
                    <w:t>岗位设置</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29CCD">
                  <w:pPr>
                    <w:pStyle w:val="4"/>
                    <w:jc w:val="left"/>
                  </w:pPr>
                  <w:r>
                    <w:rPr>
                      <w:rFonts w:ascii="仿宋_GB2312" w:hAnsi="仿宋_GB2312" w:eastAsia="仿宋_GB2312" w:cs="仿宋_GB2312"/>
                      <w:color w:val="000000"/>
                      <w:sz w:val="24"/>
                    </w:rPr>
                    <w:t>a）应成立指导和管理网络安全工作的委员会或领导小组，其最高领导由单位主管领导担任或授权 ；</w:t>
                  </w:r>
                </w:p>
              </w:tc>
            </w:tr>
            <w:tr w14:paraId="17F564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2D4CC7FD"/>
              </w:tc>
              <w:tc>
                <w:tcPr>
                  <w:tcW w:w="266" w:type="dxa"/>
                  <w:vMerge w:val="continue"/>
                  <w:tcBorders>
                    <w:top w:val="nil"/>
                    <w:left w:val="single" w:color="000000" w:sz="4" w:space="0"/>
                    <w:bottom w:val="single" w:color="000000" w:sz="4" w:space="0"/>
                    <w:right w:val="single" w:color="000000" w:sz="4" w:space="0"/>
                  </w:tcBorders>
                </w:tcPr>
                <w:p w14:paraId="73C01DE5"/>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A943F4">
                  <w:pPr>
                    <w:pStyle w:val="4"/>
                    <w:jc w:val="left"/>
                  </w:pPr>
                  <w:r>
                    <w:rPr>
                      <w:rFonts w:ascii="仿宋_GB2312" w:hAnsi="仿宋_GB2312" w:eastAsia="仿宋_GB2312" w:cs="仿宋_GB2312"/>
                      <w:color w:val="000000"/>
                      <w:sz w:val="24"/>
                    </w:rPr>
                    <w:t>b）应设立网络安全管理工作的职能部门，设立安全主管、安全管理各个方面的负责人岗位，并定义各负责人的职责；</w:t>
                  </w:r>
                </w:p>
              </w:tc>
            </w:tr>
            <w:tr w14:paraId="018E73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83F7EB9"/>
              </w:tc>
              <w:tc>
                <w:tcPr>
                  <w:tcW w:w="266" w:type="dxa"/>
                  <w:vMerge w:val="continue"/>
                  <w:tcBorders>
                    <w:top w:val="nil"/>
                    <w:left w:val="single" w:color="000000" w:sz="4" w:space="0"/>
                    <w:bottom w:val="single" w:color="000000" w:sz="4" w:space="0"/>
                    <w:right w:val="single" w:color="000000" w:sz="4" w:space="0"/>
                  </w:tcBorders>
                </w:tcPr>
                <w:p w14:paraId="5082E0F8"/>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B962AA">
                  <w:pPr>
                    <w:pStyle w:val="4"/>
                    <w:jc w:val="left"/>
                  </w:pPr>
                  <w:r>
                    <w:rPr>
                      <w:rFonts w:ascii="仿宋_GB2312" w:hAnsi="仿宋_GB2312" w:eastAsia="仿宋_GB2312" w:cs="仿宋_GB2312"/>
                      <w:color w:val="000000"/>
                      <w:sz w:val="24"/>
                    </w:rPr>
                    <w:t>c）应设立系统管理员、审计管理员、安全管理员等岗位，并定义部门及各个工作岗位的职责。</w:t>
                  </w:r>
                </w:p>
              </w:tc>
            </w:tr>
            <w:tr w14:paraId="793D18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52D96598"/>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53D13B">
                  <w:pPr>
                    <w:pStyle w:val="4"/>
                    <w:jc w:val="center"/>
                  </w:pPr>
                  <w:r>
                    <w:rPr>
                      <w:rFonts w:ascii="仿宋_GB2312" w:hAnsi="仿宋_GB2312" w:eastAsia="仿宋_GB2312" w:cs="仿宋_GB2312"/>
                      <w:color w:val="000000"/>
                      <w:sz w:val="24"/>
                    </w:rPr>
                    <w:t>人员配备</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05D921">
                  <w:pPr>
                    <w:pStyle w:val="4"/>
                    <w:jc w:val="left"/>
                  </w:pPr>
                  <w:r>
                    <w:rPr>
                      <w:rFonts w:ascii="仿宋_GB2312" w:hAnsi="仿宋_GB2312" w:eastAsia="仿宋_GB2312" w:cs="仿宋_GB2312"/>
                      <w:color w:val="000000"/>
                      <w:sz w:val="24"/>
                    </w:rPr>
                    <w:t>a）应配备一定数量的系统管理员、审计管理员、安全管理员等；</w:t>
                  </w:r>
                </w:p>
              </w:tc>
            </w:tr>
            <w:tr w14:paraId="1EFC24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1F292A7"/>
              </w:tc>
              <w:tc>
                <w:tcPr>
                  <w:tcW w:w="266" w:type="dxa"/>
                  <w:vMerge w:val="continue"/>
                  <w:tcBorders>
                    <w:top w:val="nil"/>
                    <w:left w:val="single" w:color="000000" w:sz="4" w:space="0"/>
                    <w:bottom w:val="single" w:color="000000" w:sz="4" w:space="0"/>
                    <w:right w:val="single" w:color="000000" w:sz="4" w:space="0"/>
                  </w:tcBorders>
                </w:tcPr>
                <w:p w14:paraId="448F98CE"/>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2783FE">
                  <w:pPr>
                    <w:pStyle w:val="4"/>
                    <w:jc w:val="left"/>
                  </w:pPr>
                  <w:r>
                    <w:rPr>
                      <w:rFonts w:ascii="仿宋_GB2312" w:hAnsi="仿宋_GB2312" w:eastAsia="仿宋_GB2312" w:cs="仿宋_GB2312"/>
                      <w:color w:val="000000"/>
                      <w:sz w:val="24"/>
                    </w:rPr>
                    <w:t>b）应配备专职的安全管理员，不可兼任。</w:t>
                  </w:r>
                </w:p>
              </w:tc>
            </w:tr>
            <w:tr w14:paraId="227315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6EA4997"/>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6DC20">
                  <w:pPr>
                    <w:pStyle w:val="4"/>
                    <w:jc w:val="center"/>
                  </w:pPr>
                  <w:r>
                    <w:rPr>
                      <w:rFonts w:ascii="仿宋_GB2312" w:hAnsi="仿宋_GB2312" w:eastAsia="仿宋_GB2312" w:cs="仿宋_GB2312"/>
                      <w:color w:val="000000"/>
                      <w:sz w:val="24"/>
                    </w:rPr>
                    <w:t>授权和审批</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629DB3">
                  <w:pPr>
                    <w:pStyle w:val="4"/>
                    <w:jc w:val="left"/>
                  </w:pPr>
                  <w:r>
                    <w:rPr>
                      <w:rFonts w:ascii="仿宋_GB2312" w:hAnsi="仿宋_GB2312" w:eastAsia="仿宋_GB2312" w:cs="仿宋_GB2312"/>
                      <w:color w:val="000000"/>
                      <w:sz w:val="24"/>
                    </w:rPr>
                    <w:t>a）应根据各个部门和岗位的职责明确授权审批事项、审批部门和批准人等；</w:t>
                  </w:r>
                </w:p>
              </w:tc>
            </w:tr>
            <w:tr w14:paraId="4D8C26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9D2019D"/>
              </w:tc>
              <w:tc>
                <w:tcPr>
                  <w:tcW w:w="266" w:type="dxa"/>
                  <w:vMerge w:val="continue"/>
                  <w:tcBorders>
                    <w:top w:val="nil"/>
                    <w:left w:val="single" w:color="000000" w:sz="4" w:space="0"/>
                    <w:bottom w:val="single" w:color="000000" w:sz="4" w:space="0"/>
                    <w:right w:val="single" w:color="000000" w:sz="4" w:space="0"/>
                  </w:tcBorders>
                </w:tcPr>
                <w:p w14:paraId="54BDEE0D"/>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C067B5">
                  <w:pPr>
                    <w:pStyle w:val="4"/>
                    <w:jc w:val="left"/>
                  </w:pPr>
                  <w:r>
                    <w:rPr>
                      <w:rFonts w:ascii="仿宋_GB2312" w:hAnsi="仿宋_GB2312" w:eastAsia="仿宋_GB2312" w:cs="仿宋_GB2312"/>
                      <w:color w:val="000000"/>
                      <w:sz w:val="24"/>
                    </w:rPr>
                    <w:t>b）应针对系统变更、重要操作、物理访问和系统接入等事项建立审批程序，按照审批程序执行审批过程，对重要活动建立逐级审批制度；</w:t>
                  </w:r>
                </w:p>
              </w:tc>
            </w:tr>
            <w:tr w14:paraId="74AEEC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3D24BEF"/>
              </w:tc>
              <w:tc>
                <w:tcPr>
                  <w:tcW w:w="266" w:type="dxa"/>
                  <w:vMerge w:val="continue"/>
                  <w:tcBorders>
                    <w:top w:val="nil"/>
                    <w:left w:val="single" w:color="000000" w:sz="4" w:space="0"/>
                    <w:bottom w:val="single" w:color="000000" w:sz="4" w:space="0"/>
                    <w:right w:val="single" w:color="000000" w:sz="4" w:space="0"/>
                  </w:tcBorders>
                </w:tcPr>
                <w:p w14:paraId="3783B5BF"/>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307F67">
                  <w:pPr>
                    <w:pStyle w:val="4"/>
                    <w:jc w:val="left"/>
                  </w:pPr>
                  <w:r>
                    <w:rPr>
                      <w:rFonts w:ascii="仿宋_GB2312" w:hAnsi="仿宋_GB2312" w:eastAsia="仿宋_GB2312" w:cs="仿宋_GB2312"/>
                      <w:color w:val="000000"/>
                      <w:sz w:val="24"/>
                    </w:rPr>
                    <w:t>c）应定期审查审批事项，及时更新授权和审批的项目、审批部门和审批人等信息。</w:t>
                  </w:r>
                </w:p>
              </w:tc>
            </w:tr>
            <w:tr w14:paraId="19CFFA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187C2643"/>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EAEA7">
                  <w:pPr>
                    <w:pStyle w:val="4"/>
                    <w:jc w:val="center"/>
                  </w:pPr>
                  <w:r>
                    <w:rPr>
                      <w:rFonts w:ascii="仿宋_GB2312" w:hAnsi="仿宋_GB2312" w:eastAsia="仿宋_GB2312" w:cs="仿宋_GB2312"/>
                      <w:color w:val="000000"/>
                      <w:sz w:val="24"/>
                    </w:rPr>
                    <w:t>沟通和合作</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984E7C">
                  <w:pPr>
                    <w:pStyle w:val="4"/>
                    <w:jc w:val="left"/>
                  </w:pPr>
                  <w:r>
                    <w:rPr>
                      <w:rFonts w:ascii="仿宋_GB2312" w:hAnsi="仿宋_GB2312" w:eastAsia="仿宋_GB2312" w:cs="仿宋_GB2312"/>
                      <w:color w:val="000000"/>
                      <w:sz w:val="24"/>
                    </w:rPr>
                    <w:t>a）应加强各类管理人员、组织内部机构和网络安全管理部门之间的合作与沟通，定期召开协调会议，共同协作处理网络安全问题。；</w:t>
                  </w:r>
                </w:p>
              </w:tc>
            </w:tr>
            <w:tr w14:paraId="1284D2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2807B07"/>
              </w:tc>
              <w:tc>
                <w:tcPr>
                  <w:tcW w:w="266" w:type="dxa"/>
                  <w:vMerge w:val="continue"/>
                  <w:tcBorders>
                    <w:top w:val="nil"/>
                    <w:left w:val="single" w:color="000000" w:sz="4" w:space="0"/>
                    <w:bottom w:val="single" w:color="000000" w:sz="4" w:space="0"/>
                    <w:right w:val="single" w:color="000000" w:sz="4" w:space="0"/>
                  </w:tcBorders>
                </w:tcPr>
                <w:p w14:paraId="35B72306"/>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4D002F">
                  <w:pPr>
                    <w:pStyle w:val="4"/>
                    <w:jc w:val="left"/>
                  </w:pPr>
                  <w:r>
                    <w:rPr>
                      <w:rFonts w:ascii="仿宋_GB2312" w:hAnsi="仿宋_GB2312" w:eastAsia="仿宋_GB2312" w:cs="仿宋_GB2312"/>
                      <w:color w:val="000000"/>
                      <w:sz w:val="24"/>
                    </w:rPr>
                    <w:t>b）应加强与网络安全职能部门、各类供应商、业界专家及安全组织的合作与沟通；</w:t>
                  </w:r>
                </w:p>
              </w:tc>
            </w:tr>
            <w:tr w14:paraId="1B2CB6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D3EC258"/>
              </w:tc>
              <w:tc>
                <w:tcPr>
                  <w:tcW w:w="266" w:type="dxa"/>
                  <w:vMerge w:val="continue"/>
                  <w:tcBorders>
                    <w:top w:val="nil"/>
                    <w:left w:val="single" w:color="000000" w:sz="4" w:space="0"/>
                    <w:bottom w:val="single" w:color="000000" w:sz="4" w:space="0"/>
                    <w:right w:val="single" w:color="000000" w:sz="4" w:space="0"/>
                  </w:tcBorders>
                </w:tcPr>
                <w:p w14:paraId="74FEE8B7"/>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745A3">
                  <w:pPr>
                    <w:pStyle w:val="4"/>
                    <w:jc w:val="left"/>
                  </w:pPr>
                  <w:r>
                    <w:rPr>
                      <w:rFonts w:ascii="仿宋_GB2312" w:hAnsi="仿宋_GB2312" w:eastAsia="仿宋_GB2312" w:cs="仿宋_GB2312"/>
                      <w:color w:val="000000"/>
                      <w:sz w:val="24"/>
                    </w:rPr>
                    <w:t>c）应建立外联单位联系列表，包括外联单位名称、合作内容、联系人和联系方式等信息。</w:t>
                  </w:r>
                </w:p>
              </w:tc>
            </w:tr>
            <w:tr w14:paraId="770E87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86E267B"/>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FDA8EF">
                  <w:pPr>
                    <w:pStyle w:val="4"/>
                    <w:jc w:val="center"/>
                  </w:pPr>
                  <w:r>
                    <w:rPr>
                      <w:rFonts w:ascii="仿宋_GB2312" w:hAnsi="仿宋_GB2312" w:eastAsia="仿宋_GB2312" w:cs="仿宋_GB2312"/>
                      <w:color w:val="000000"/>
                      <w:sz w:val="24"/>
                    </w:rPr>
                    <w:t>审核和检查</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1D02F">
                  <w:pPr>
                    <w:pStyle w:val="4"/>
                    <w:jc w:val="left"/>
                  </w:pPr>
                  <w:r>
                    <w:rPr>
                      <w:rFonts w:ascii="仿宋_GB2312" w:hAnsi="仿宋_GB2312" w:eastAsia="仿宋_GB2312" w:cs="仿宋_GB2312"/>
                      <w:color w:val="000000"/>
                      <w:sz w:val="24"/>
                    </w:rPr>
                    <w:t>a）应定期进行常规安全检查，检查内容包括系统日常运行、系统漏洞和数据备份等情况；</w:t>
                  </w:r>
                </w:p>
              </w:tc>
            </w:tr>
            <w:tr w14:paraId="219F04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302FB57"/>
              </w:tc>
              <w:tc>
                <w:tcPr>
                  <w:tcW w:w="266" w:type="dxa"/>
                  <w:vMerge w:val="continue"/>
                  <w:tcBorders>
                    <w:top w:val="nil"/>
                    <w:left w:val="single" w:color="000000" w:sz="4" w:space="0"/>
                    <w:bottom w:val="single" w:color="000000" w:sz="4" w:space="0"/>
                    <w:right w:val="single" w:color="000000" w:sz="4" w:space="0"/>
                  </w:tcBorders>
                </w:tcPr>
                <w:p w14:paraId="611BB0E8"/>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1EE4DF">
                  <w:pPr>
                    <w:pStyle w:val="4"/>
                    <w:jc w:val="left"/>
                  </w:pPr>
                  <w:r>
                    <w:rPr>
                      <w:rFonts w:ascii="仿宋_GB2312" w:hAnsi="仿宋_GB2312" w:eastAsia="仿宋_GB2312" w:cs="仿宋_GB2312"/>
                      <w:color w:val="000000"/>
                      <w:sz w:val="24"/>
                    </w:rPr>
                    <w:t>b）应定期进行全面安全检查，检查内容包括现有安全技术措施的有效性、安全配置和安全策略的一致性，安全管理制度的执行情况等；</w:t>
                  </w:r>
                </w:p>
              </w:tc>
            </w:tr>
            <w:tr w14:paraId="19E2DE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1D8E8A3D"/>
              </w:tc>
              <w:tc>
                <w:tcPr>
                  <w:tcW w:w="266" w:type="dxa"/>
                  <w:vMerge w:val="continue"/>
                  <w:tcBorders>
                    <w:top w:val="nil"/>
                    <w:left w:val="single" w:color="000000" w:sz="4" w:space="0"/>
                    <w:bottom w:val="single" w:color="000000" w:sz="4" w:space="0"/>
                    <w:right w:val="single" w:color="000000" w:sz="4" w:space="0"/>
                  </w:tcBorders>
                </w:tcPr>
                <w:p w14:paraId="4157CB16"/>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784D99">
                  <w:pPr>
                    <w:pStyle w:val="4"/>
                    <w:jc w:val="left"/>
                  </w:pPr>
                  <w:r>
                    <w:rPr>
                      <w:rFonts w:ascii="仿宋_GB2312" w:hAnsi="仿宋_GB2312" w:eastAsia="仿宋_GB2312" w:cs="仿宋_GB2312"/>
                      <w:color w:val="000000"/>
                      <w:sz w:val="24"/>
                    </w:rPr>
                    <w:t>c）应制定安全检查表格实施安全检查，汇总安全检查数据，形成安全检查报告，并对安全检查结果进行通报。</w:t>
                  </w:r>
                </w:p>
              </w:tc>
            </w:tr>
            <w:tr w14:paraId="64B438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F709A0">
                  <w:pPr>
                    <w:pStyle w:val="4"/>
                    <w:jc w:val="center"/>
                  </w:pPr>
                  <w:r>
                    <w:rPr>
                      <w:rFonts w:ascii="仿宋_GB2312" w:hAnsi="仿宋_GB2312" w:eastAsia="仿宋_GB2312" w:cs="仿宋_GB2312"/>
                      <w:color w:val="000000"/>
                      <w:sz w:val="24"/>
                    </w:rPr>
                    <w:t>安全管理人员</w:t>
                  </w:r>
                </w:p>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C3353">
                  <w:pPr>
                    <w:pStyle w:val="4"/>
                    <w:jc w:val="center"/>
                  </w:pPr>
                  <w:r>
                    <w:rPr>
                      <w:rFonts w:ascii="仿宋_GB2312" w:hAnsi="仿宋_GB2312" w:eastAsia="仿宋_GB2312" w:cs="仿宋_GB2312"/>
                      <w:color w:val="000000"/>
                      <w:sz w:val="24"/>
                    </w:rPr>
                    <w:t>人员录用</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C9AB53">
                  <w:pPr>
                    <w:pStyle w:val="4"/>
                    <w:jc w:val="left"/>
                  </w:pPr>
                  <w:r>
                    <w:rPr>
                      <w:rFonts w:ascii="仿宋_GB2312" w:hAnsi="仿宋_GB2312" w:eastAsia="仿宋_GB2312" w:cs="仿宋_GB2312"/>
                      <w:color w:val="000000"/>
                      <w:sz w:val="24"/>
                    </w:rPr>
                    <w:t>a）应指定或授权专门的部门或人员负责人员录用;</w:t>
                  </w:r>
                </w:p>
              </w:tc>
            </w:tr>
            <w:tr w14:paraId="69498F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8E1B020"/>
              </w:tc>
              <w:tc>
                <w:tcPr>
                  <w:tcW w:w="266" w:type="dxa"/>
                  <w:vMerge w:val="continue"/>
                  <w:tcBorders>
                    <w:top w:val="nil"/>
                    <w:left w:val="single" w:color="000000" w:sz="4" w:space="0"/>
                    <w:bottom w:val="single" w:color="000000" w:sz="4" w:space="0"/>
                    <w:right w:val="single" w:color="000000" w:sz="4" w:space="0"/>
                  </w:tcBorders>
                </w:tcPr>
                <w:p w14:paraId="44FCAF23"/>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4A30E2">
                  <w:pPr>
                    <w:pStyle w:val="4"/>
                    <w:jc w:val="left"/>
                  </w:pPr>
                  <w:r>
                    <w:rPr>
                      <w:rFonts w:ascii="仿宋_GB2312" w:hAnsi="仿宋_GB2312" w:eastAsia="仿宋_GB2312" w:cs="仿宋_GB2312"/>
                      <w:color w:val="000000"/>
                      <w:sz w:val="24"/>
                    </w:rPr>
                    <w:t>b）应对被录用人的身份、安全背景、专业资格或资质等进行审查，对其所有的技术技能进行考核；</w:t>
                  </w:r>
                </w:p>
              </w:tc>
            </w:tr>
            <w:tr w14:paraId="70E5F0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B05AA61"/>
              </w:tc>
              <w:tc>
                <w:tcPr>
                  <w:tcW w:w="266" w:type="dxa"/>
                  <w:vMerge w:val="continue"/>
                  <w:tcBorders>
                    <w:top w:val="nil"/>
                    <w:left w:val="single" w:color="000000" w:sz="4" w:space="0"/>
                    <w:bottom w:val="single" w:color="000000" w:sz="4" w:space="0"/>
                    <w:right w:val="single" w:color="000000" w:sz="4" w:space="0"/>
                  </w:tcBorders>
                </w:tcPr>
                <w:p w14:paraId="6ACD1ADA"/>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EEFC37">
                  <w:pPr>
                    <w:pStyle w:val="4"/>
                    <w:jc w:val="left"/>
                  </w:pPr>
                  <w:r>
                    <w:rPr>
                      <w:rFonts w:ascii="仿宋_GB2312" w:hAnsi="仿宋_GB2312" w:eastAsia="仿宋_GB2312" w:cs="仿宋_GB2312"/>
                      <w:color w:val="000000"/>
                      <w:sz w:val="24"/>
                    </w:rPr>
                    <w:t>c）应与被录用人员签署保密协议，与关键岗位人员签署岗位责任协议。</w:t>
                  </w:r>
                </w:p>
              </w:tc>
            </w:tr>
            <w:tr w14:paraId="6DAA4F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DD3A7FC"/>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2CB4BE">
                  <w:pPr>
                    <w:pStyle w:val="4"/>
                    <w:jc w:val="center"/>
                  </w:pPr>
                  <w:r>
                    <w:rPr>
                      <w:rFonts w:ascii="仿宋_GB2312" w:hAnsi="仿宋_GB2312" w:eastAsia="仿宋_GB2312" w:cs="仿宋_GB2312"/>
                      <w:color w:val="000000"/>
                      <w:sz w:val="24"/>
                    </w:rPr>
                    <w:t>人员离岗</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019D93">
                  <w:pPr>
                    <w:pStyle w:val="4"/>
                    <w:jc w:val="left"/>
                  </w:pPr>
                  <w:r>
                    <w:rPr>
                      <w:rFonts w:ascii="仿宋_GB2312" w:hAnsi="仿宋_GB2312" w:eastAsia="仿宋_GB2312" w:cs="仿宋_GB2312"/>
                      <w:color w:val="000000"/>
                      <w:sz w:val="24"/>
                    </w:rPr>
                    <w:t>a）应及时终止离岗人员的所有访问权限，取回各种身份证件、钥匙、徽章等以及机构提供的软硬件设备；</w:t>
                  </w:r>
                </w:p>
              </w:tc>
            </w:tr>
            <w:tr w14:paraId="744E48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DBBF296"/>
              </w:tc>
              <w:tc>
                <w:tcPr>
                  <w:tcW w:w="266" w:type="dxa"/>
                  <w:vMerge w:val="continue"/>
                  <w:tcBorders>
                    <w:top w:val="nil"/>
                    <w:left w:val="single" w:color="000000" w:sz="4" w:space="0"/>
                    <w:bottom w:val="single" w:color="000000" w:sz="4" w:space="0"/>
                    <w:right w:val="single" w:color="000000" w:sz="4" w:space="0"/>
                  </w:tcBorders>
                </w:tcPr>
                <w:p w14:paraId="21ED87E8"/>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A4E6F2">
                  <w:pPr>
                    <w:pStyle w:val="4"/>
                    <w:jc w:val="left"/>
                  </w:pPr>
                  <w:r>
                    <w:rPr>
                      <w:rFonts w:ascii="仿宋_GB2312" w:hAnsi="仿宋_GB2312" w:eastAsia="仿宋_GB2312" w:cs="仿宋_GB2312"/>
                      <w:color w:val="000000"/>
                      <w:sz w:val="24"/>
                    </w:rPr>
                    <w:t>b）应办理严格的调离手续，并承诺调离后的保密义务方可离开。</w:t>
                  </w:r>
                </w:p>
              </w:tc>
            </w:tr>
            <w:tr w14:paraId="6D12CC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24740928"/>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EE5B6A">
                  <w:pPr>
                    <w:pStyle w:val="4"/>
                    <w:jc w:val="center"/>
                  </w:pPr>
                  <w:r>
                    <w:rPr>
                      <w:rFonts w:ascii="仿宋_GB2312" w:hAnsi="仿宋_GB2312" w:eastAsia="仿宋_GB2312" w:cs="仿宋_GB2312"/>
                      <w:color w:val="000000"/>
                      <w:sz w:val="24"/>
                    </w:rPr>
                    <w:t>安全意识教育和培训</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022C73">
                  <w:pPr>
                    <w:pStyle w:val="4"/>
                    <w:jc w:val="left"/>
                  </w:pPr>
                  <w:r>
                    <w:rPr>
                      <w:rFonts w:ascii="仿宋_GB2312" w:hAnsi="仿宋_GB2312" w:eastAsia="仿宋_GB2312" w:cs="仿宋_GB2312"/>
                      <w:color w:val="000000"/>
                      <w:sz w:val="24"/>
                    </w:rPr>
                    <w:t>a）应对各类人员进行安全意识教育和岗位技能培训，并告知相关的安全责任和惩戒措施；</w:t>
                  </w:r>
                </w:p>
              </w:tc>
            </w:tr>
            <w:tr w14:paraId="66AAB7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E921DED"/>
              </w:tc>
              <w:tc>
                <w:tcPr>
                  <w:tcW w:w="266" w:type="dxa"/>
                  <w:vMerge w:val="continue"/>
                  <w:tcBorders>
                    <w:top w:val="nil"/>
                    <w:left w:val="single" w:color="000000" w:sz="4" w:space="0"/>
                    <w:bottom w:val="single" w:color="000000" w:sz="4" w:space="0"/>
                    <w:right w:val="single" w:color="000000" w:sz="4" w:space="0"/>
                  </w:tcBorders>
                </w:tcPr>
                <w:p w14:paraId="1331DB32"/>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29F536">
                  <w:pPr>
                    <w:pStyle w:val="4"/>
                    <w:jc w:val="left"/>
                  </w:pPr>
                  <w:r>
                    <w:rPr>
                      <w:rFonts w:ascii="仿宋_GB2312" w:hAnsi="仿宋_GB2312" w:eastAsia="仿宋_GB2312" w:cs="仿宋_GB2312"/>
                      <w:color w:val="000000"/>
                      <w:sz w:val="24"/>
                    </w:rPr>
                    <w:t>b）应针对不同岗位制定不同的培训计划，对安全基础知识，岗位操作规程等进行培训；</w:t>
                  </w:r>
                </w:p>
              </w:tc>
            </w:tr>
            <w:tr w14:paraId="4F51F0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D120FEF"/>
              </w:tc>
              <w:tc>
                <w:tcPr>
                  <w:tcW w:w="266" w:type="dxa"/>
                  <w:vMerge w:val="continue"/>
                  <w:tcBorders>
                    <w:top w:val="nil"/>
                    <w:left w:val="single" w:color="000000" w:sz="4" w:space="0"/>
                    <w:bottom w:val="single" w:color="000000" w:sz="4" w:space="0"/>
                    <w:right w:val="single" w:color="000000" w:sz="4" w:space="0"/>
                  </w:tcBorders>
                </w:tcPr>
                <w:p w14:paraId="10D6AA90"/>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39C0CE">
                  <w:pPr>
                    <w:pStyle w:val="4"/>
                    <w:jc w:val="left"/>
                  </w:pPr>
                  <w:r>
                    <w:rPr>
                      <w:rFonts w:ascii="仿宋_GB2312" w:hAnsi="仿宋_GB2312" w:eastAsia="仿宋_GB2312" w:cs="仿宋_GB2312"/>
                      <w:color w:val="000000"/>
                      <w:sz w:val="24"/>
                    </w:rPr>
                    <w:t>c）应定期对不同岗位的人员进行技能考核。</w:t>
                  </w:r>
                </w:p>
              </w:tc>
            </w:tr>
            <w:tr w14:paraId="0D01CF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2C2EBCF"/>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F8C17">
                  <w:pPr>
                    <w:pStyle w:val="4"/>
                    <w:jc w:val="center"/>
                  </w:pPr>
                  <w:r>
                    <w:rPr>
                      <w:rFonts w:ascii="仿宋_GB2312" w:hAnsi="仿宋_GB2312" w:eastAsia="仿宋_GB2312" w:cs="仿宋_GB2312"/>
                      <w:color w:val="000000"/>
                      <w:sz w:val="24"/>
                    </w:rPr>
                    <w:t>外部人员访问</w:t>
                  </w:r>
                  <w:r>
                    <w:br w:type="textWrapping"/>
                  </w:r>
                  <w:r>
                    <w:rPr>
                      <w:rFonts w:ascii="仿宋_GB2312" w:hAnsi="仿宋_GB2312" w:eastAsia="仿宋_GB2312" w:cs="仿宋_GB2312"/>
                      <w:color w:val="000000"/>
                      <w:sz w:val="24"/>
                    </w:rPr>
                    <w:t>管理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12DDB7">
                  <w:pPr>
                    <w:pStyle w:val="4"/>
                    <w:jc w:val="left"/>
                  </w:pPr>
                  <w:r>
                    <w:rPr>
                      <w:rFonts w:ascii="仿宋_GB2312" w:hAnsi="仿宋_GB2312" w:eastAsia="仿宋_GB2312" w:cs="仿宋_GB2312"/>
                      <w:color w:val="000000"/>
                      <w:sz w:val="24"/>
                    </w:rPr>
                    <w:t>a）应在外部人员物理访问受控区域前先提出书面申请，批准后由专人全程陪同，并登记备案；</w:t>
                  </w:r>
                </w:p>
              </w:tc>
            </w:tr>
            <w:tr w14:paraId="26EAFB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05A23CD"/>
              </w:tc>
              <w:tc>
                <w:tcPr>
                  <w:tcW w:w="266" w:type="dxa"/>
                  <w:vMerge w:val="continue"/>
                  <w:tcBorders>
                    <w:top w:val="nil"/>
                    <w:left w:val="single" w:color="000000" w:sz="4" w:space="0"/>
                    <w:bottom w:val="single" w:color="000000" w:sz="4" w:space="0"/>
                    <w:right w:val="single" w:color="000000" w:sz="4" w:space="0"/>
                  </w:tcBorders>
                </w:tcPr>
                <w:p w14:paraId="6A0C6A0F"/>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AFE2D0">
                  <w:pPr>
                    <w:pStyle w:val="4"/>
                    <w:jc w:val="left"/>
                  </w:pPr>
                  <w:r>
                    <w:rPr>
                      <w:rFonts w:ascii="仿宋_GB2312" w:hAnsi="仿宋_GB2312" w:eastAsia="仿宋_GB2312" w:cs="仿宋_GB2312"/>
                      <w:color w:val="000000"/>
                      <w:sz w:val="24"/>
                    </w:rPr>
                    <w:t>b）应在外部人员接入受控网络访问系统前先提出书面申请，批准后由专人开设账户，分配权限，并登记备案；</w:t>
                  </w:r>
                </w:p>
              </w:tc>
            </w:tr>
            <w:tr w14:paraId="670E8D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31D2B86"/>
              </w:tc>
              <w:tc>
                <w:tcPr>
                  <w:tcW w:w="266" w:type="dxa"/>
                  <w:vMerge w:val="continue"/>
                  <w:tcBorders>
                    <w:top w:val="nil"/>
                    <w:left w:val="single" w:color="000000" w:sz="4" w:space="0"/>
                    <w:bottom w:val="single" w:color="000000" w:sz="4" w:space="0"/>
                    <w:right w:val="single" w:color="000000" w:sz="4" w:space="0"/>
                  </w:tcBorders>
                </w:tcPr>
                <w:p w14:paraId="44BDF2E9"/>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771D2">
                  <w:pPr>
                    <w:pStyle w:val="4"/>
                    <w:jc w:val="left"/>
                  </w:pPr>
                  <w:r>
                    <w:rPr>
                      <w:rFonts w:ascii="仿宋_GB2312" w:hAnsi="仿宋_GB2312" w:eastAsia="仿宋_GB2312" w:cs="仿宋_GB2312"/>
                      <w:color w:val="000000"/>
                      <w:sz w:val="24"/>
                    </w:rPr>
                    <w:t>c）外部人员离场后应及时清除其所有的访问权限；</w:t>
                  </w:r>
                </w:p>
              </w:tc>
            </w:tr>
            <w:tr w14:paraId="34229E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589B818"/>
              </w:tc>
              <w:tc>
                <w:tcPr>
                  <w:tcW w:w="266" w:type="dxa"/>
                  <w:vMerge w:val="continue"/>
                  <w:tcBorders>
                    <w:top w:val="nil"/>
                    <w:left w:val="single" w:color="000000" w:sz="4" w:space="0"/>
                    <w:bottom w:val="single" w:color="000000" w:sz="4" w:space="0"/>
                    <w:right w:val="single" w:color="000000" w:sz="4" w:space="0"/>
                  </w:tcBorders>
                </w:tcPr>
                <w:p w14:paraId="1A3AA832"/>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0EB453">
                  <w:pPr>
                    <w:pStyle w:val="4"/>
                    <w:jc w:val="left"/>
                  </w:pPr>
                  <w:r>
                    <w:rPr>
                      <w:rFonts w:ascii="仿宋_GB2312" w:hAnsi="仿宋_GB2312" w:eastAsia="仿宋_GB2312" w:cs="仿宋_GB2312"/>
                      <w:color w:val="000000"/>
                      <w:sz w:val="24"/>
                    </w:rPr>
                    <w:t>d）获得系统访问授权的外部人员签署保密协议，不得进行非授权操作，不得复制和泄露敏感信息。</w:t>
                  </w:r>
                </w:p>
              </w:tc>
            </w:tr>
            <w:tr w14:paraId="5B3916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967158">
                  <w:pPr>
                    <w:pStyle w:val="4"/>
                    <w:jc w:val="center"/>
                  </w:pPr>
                  <w:r>
                    <w:rPr>
                      <w:rFonts w:ascii="仿宋_GB2312" w:hAnsi="仿宋_GB2312" w:eastAsia="仿宋_GB2312" w:cs="仿宋_GB2312"/>
                      <w:color w:val="000000"/>
                      <w:sz w:val="24"/>
                    </w:rPr>
                    <w:t>安全建设管理</w:t>
                  </w:r>
                </w:p>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EA4598">
                  <w:pPr>
                    <w:pStyle w:val="4"/>
                    <w:jc w:val="center"/>
                  </w:pPr>
                  <w:r>
                    <w:rPr>
                      <w:rFonts w:ascii="仿宋_GB2312" w:hAnsi="仿宋_GB2312" w:eastAsia="仿宋_GB2312" w:cs="仿宋_GB2312"/>
                      <w:color w:val="000000"/>
                      <w:sz w:val="24"/>
                    </w:rPr>
                    <w:t>定级和备案</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3172E0">
                  <w:pPr>
                    <w:pStyle w:val="4"/>
                    <w:jc w:val="left"/>
                  </w:pPr>
                  <w:r>
                    <w:rPr>
                      <w:rFonts w:ascii="仿宋_GB2312" w:hAnsi="仿宋_GB2312" w:eastAsia="仿宋_GB2312" w:cs="仿宋_GB2312"/>
                      <w:color w:val="000000"/>
                      <w:sz w:val="24"/>
                    </w:rPr>
                    <w:t>a）应以书面的形式说明保护对象的安全保护等级及确定安全保护等级的方法和理由；</w:t>
                  </w:r>
                </w:p>
              </w:tc>
            </w:tr>
            <w:tr w14:paraId="3FBF4D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A8C725E"/>
              </w:tc>
              <w:tc>
                <w:tcPr>
                  <w:tcW w:w="266" w:type="dxa"/>
                  <w:vMerge w:val="continue"/>
                  <w:tcBorders>
                    <w:top w:val="nil"/>
                    <w:left w:val="single" w:color="000000" w:sz="4" w:space="0"/>
                    <w:bottom w:val="single" w:color="000000" w:sz="4" w:space="0"/>
                    <w:right w:val="single" w:color="000000" w:sz="4" w:space="0"/>
                  </w:tcBorders>
                </w:tcPr>
                <w:p w14:paraId="634E8427"/>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924EC0">
                  <w:pPr>
                    <w:pStyle w:val="4"/>
                    <w:jc w:val="left"/>
                  </w:pPr>
                  <w:r>
                    <w:rPr>
                      <w:rFonts w:ascii="仿宋_GB2312" w:hAnsi="仿宋_GB2312" w:eastAsia="仿宋_GB2312" w:cs="仿宋_GB2312"/>
                      <w:color w:val="000000"/>
                      <w:sz w:val="24"/>
                    </w:rPr>
                    <w:t>b）应组织相关部门和有关安全技术专家对定级结果的合理性和正确性进行论证和审定；</w:t>
                  </w:r>
                </w:p>
              </w:tc>
            </w:tr>
            <w:tr w14:paraId="0403AD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7E33503"/>
              </w:tc>
              <w:tc>
                <w:tcPr>
                  <w:tcW w:w="266" w:type="dxa"/>
                  <w:vMerge w:val="continue"/>
                  <w:tcBorders>
                    <w:top w:val="nil"/>
                    <w:left w:val="single" w:color="000000" w:sz="4" w:space="0"/>
                    <w:bottom w:val="single" w:color="000000" w:sz="4" w:space="0"/>
                    <w:right w:val="single" w:color="000000" w:sz="4" w:space="0"/>
                  </w:tcBorders>
                </w:tcPr>
                <w:p w14:paraId="196338B1"/>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87C0D1">
                  <w:pPr>
                    <w:pStyle w:val="4"/>
                    <w:jc w:val="left"/>
                  </w:pPr>
                  <w:r>
                    <w:rPr>
                      <w:rFonts w:ascii="仿宋_GB2312" w:hAnsi="仿宋_GB2312" w:eastAsia="仿宋_GB2312" w:cs="仿宋_GB2312"/>
                      <w:color w:val="000000"/>
                      <w:sz w:val="24"/>
                    </w:rPr>
                    <w:t>c）应保证定级结果经过相关部门的批准；</w:t>
                  </w:r>
                </w:p>
              </w:tc>
            </w:tr>
            <w:tr w14:paraId="7F48A0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82D29E5"/>
              </w:tc>
              <w:tc>
                <w:tcPr>
                  <w:tcW w:w="266" w:type="dxa"/>
                  <w:vMerge w:val="continue"/>
                  <w:tcBorders>
                    <w:top w:val="nil"/>
                    <w:left w:val="single" w:color="000000" w:sz="4" w:space="0"/>
                    <w:bottom w:val="single" w:color="000000" w:sz="4" w:space="0"/>
                    <w:right w:val="single" w:color="000000" w:sz="4" w:space="0"/>
                  </w:tcBorders>
                </w:tcPr>
                <w:p w14:paraId="2FBE2FAF"/>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FDF4AE">
                  <w:pPr>
                    <w:pStyle w:val="4"/>
                    <w:jc w:val="left"/>
                  </w:pPr>
                  <w:r>
                    <w:rPr>
                      <w:rFonts w:ascii="仿宋_GB2312" w:hAnsi="仿宋_GB2312" w:eastAsia="仿宋_GB2312" w:cs="仿宋_GB2312"/>
                      <w:color w:val="000000"/>
                      <w:sz w:val="24"/>
                    </w:rPr>
                    <w:t>d)应将备案材料报主管部门和相应公安机关备案</w:t>
                  </w:r>
                </w:p>
              </w:tc>
            </w:tr>
            <w:tr w14:paraId="7C12D5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63E1E01"/>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4F0ED">
                  <w:pPr>
                    <w:pStyle w:val="4"/>
                    <w:jc w:val="center"/>
                  </w:pPr>
                  <w:r>
                    <w:rPr>
                      <w:rFonts w:ascii="仿宋_GB2312" w:hAnsi="仿宋_GB2312" w:eastAsia="仿宋_GB2312" w:cs="仿宋_GB2312"/>
                      <w:color w:val="000000"/>
                      <w:sz w:val="24"/>
                    </w:rPr>
                    <w:t>安全方案设计</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48A37D">
                  <w:pPr>
                    <w:pStyle w:val="4"/>
                    <w:jc w:val="left"/>
                  </w:pPr>
                  <w:r>
                    <w:rPr>
                      <w:rFonts w:ascii="仿宋_GB2312" w:hAnsi="仿宋_GB2312" w:eastAsia="仿宋_GB2312" w:cs="仿宋_GB2312"/>
                      <w:color w:val="000000"/>
                      <w:sz w:val="24"/>
                    </w:rPr>
                    <w:t>a）应根据安全保护等级选择基本安全措施，依据风险分析的结果补充和调整安全措施；</w:t>
                  </w:r>
                </w:p>
              </w:tc>
            </w:tr>
            <w:tr w14:paraId="201BF6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1ED6D2E9"/>
              </w:tc>
              <w:tc>
                <w:tcPr>
                  <w:tcW w:w="266" w:type="dxa"/>
                  <w:vMerge w:val="continue"/>
                  <w:tcBorders>
                    <w:top w:val="nil"/>
                    <w:left w:val="single" w:color="000000" w:sz="4" w:space="0"/>
                    <w:bottom w:val="single" w:color="000000" w:sz="4" w:space="0"/>
                    <w:right w:val="single" w:color="000000" w:sz="4" w:space="0"/>
                  </w:tcBorders>
                </w:tcPr>
                <w:p w14:paraId="46819479"/>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753A1F">
                  <w:pPr>
                    <w:pStyle w:val="4"/>
                    <w:jc w:val="left"/>
                  </w:pPr>
                  <w:r>
                    <w:rPr>
                      <w:rFonts w:ascii="仿宋_GB2312" w:hAnsi="仿宋_GB2312" w:eastAsia="仿宋_GB2312" w:cs="仿宋_GB2312"/>
                      <w:color w:val="000000"/>
                      <w:sz w:val="24"/>
                    </w:rPr>
                    <w:t>b）应根据保护对象的安全保护等级及与其他级别对象的关系进行安全整体规划和安全方案设计，设计内容应包含密码技术相关内容、并形成配套文件；</w:t>
                  </w:r>
                </w:p>
              </w:tc>
            </w:tr>
            <w:tr w14:paraId="01263C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B375552"/>
              </w:tc>
              <w:tc>
                <w:tcPr>
                  <w:tcW w:w="266" w:type="dxa"/>
                  <w:vMerge w:val="continue"/>
                  <w:tcBorders>
                    <w:top w:val="nil"/>
                    <w:left w:val="single" w:color="000000" w:sz="4" w:space="0"/>
                    <w:bottom w:val="single" w:color="000000" w:sz="4" w:space="0"/>
                    <w:right w:val="single" w:color="000000" w:sz="4" w:space="0"/>
                  </w:tcBorders>
                </w:tcPr>
                <w:p w14:paraId="5AACE5D2"/>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ECB0E">
                  <w:pPr>
                    <w:pStyle w:val="4"/>
                    <w:jc w:val="left"/>
                  </w:pPr>
                  <w:r>
                    <w:rPr>
                      <w:rFonts w:ascii="仿宋_GB2312" w:hAnsi="仿宋_GB2312" w:eastAsia="仿宋_GB2312" w:cs="仿宋_GB2312"/>
                      <w:color w:val="000000"/>
                      <w:sz w:val="24"/>
                    </w:rPr>
                    <w:t>c）应组织相关部门和有关安全技术专家对整体安全规划及其配套文件的合理性和正确性进行论证和审定，经过批准后才能正式实施。</w:t>
                  </w:r>
                </w:p>
              </w:tc>
            </w:tr>
            <w:tr w14:paraId="4F5564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6F7A1C5"/>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6721B4">
                  <w:pPr>
                    <w:pStyle w:val="4"/>
                    <w:jc w:val="center"/>
                  </w:pPr>
                  <w:r>
                    <w:rPr>
                      <w:rFonts w:ascii="仿宋_GB2312" w:hAnsi="仿宋_GB2312" w:eastAsia="仿宋_GB2312" w:cs="仿宋_GB2312"/>
                      <w:color w:val="000000"/>
                      <w:sz w:val="24"/>
                    </w:rPr>
                    <w:t>产品采购和使用</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4259C5">
                  <w:pPr>
                    <w:pStyle w:val="4"/>
                    <w:jc w:val="left"/>
                  </w:pPr>
                  <w:r>
                    <w:rPr>
                      <w:rFonts w:ascii="仿宋_GB2312" w:hAnsi="仿宋_GB2312" w:eastAsia="仿宋_GB2312" w:cs="仿宋_GB2312"/>
                      <w:color w:val="000000"/>
                      <w:sz w:val="24"/>
                    </w:rPr>
                    <w:t>a）应确保网络安全产品采购和使用符合国家的有关规定；</w:t>
                  </w:r>
                </w:p>
              </w:tc>
            </w:tr>
            <w:tr w14:paraId="140321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14AF915"/>
              </w:tc>
              <w:tc>
                <w:tcPr>
                  <w:tcW w:w="266" w:type="dxa"/>
                  <w:vMerge w:val="continue"/>
                  <w:tcBorders>
                    <w:top w:val="nil"/>
                    <w:left w:val="single" w:color="000000" w:sz="4" w:space="0"/>
                    <w:bottom w:val="single" w:color="000000" w:sz="4" w:space="0"/>
                    <w:right w:val="single" w:color="000000" w:sz="4" w:space="0"/>
                  </w:tcBorders>
                </w:tcPr>
                <w:p w14:paraId="374950E2"/>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7E43B">
                  <w:pPr>
                    <w:pStyle w:val="4"/>
                    <w:jc w:val="left"/>
                  </w:pPr>
                  <w:r>
                    <w:rPr>
                      <w:rFonts w:ascii="仿宋_GB2312" w:hAnsi="仿宋_GB2312" w:eastAsia="仿宋_GB2312" w:cs="仿宋_GB2312"/>
                      <w:color w:val="000000"/>
                      <w:sz w:val="24"/>
                    </w:rPr>
                    <w:t>b）应确保密码产品与服务的采购和使用符合国家密码管理主管部门的要求；</w:t>
                  </w:r>
                </w:p>
              </w:tc>
            </w:tr>
            <w:tr w14:paraId="62ED22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FE43609"/>
              </w:tc>
              <w:tc>
                <w:tcPr>
                  <w:tcW w:w="266" w:type="dxa"/>
                  <w:vMerge w:val="continue"/>
                  <w:tcBorders>
                    <w:top w:val="nil"/>
                    <w:left w:val="single" w:color="000000" w:sz="4" w:space="0"/>
                    <w:bottom w:val="single" w:color="000000" w:sz="4" w:space="0"/>
                    <w:right w:val="single" w:color="000000" w:sz="4" w:space="0"/>
                  </w:tcBorders>
                </w:tcPr>
                <w:p w14:paraId="0BE0AA9E"/>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6B3A22">
                  <w:pPr>
                    <w:pStyle w:val="4"/>
                    <w:jc w:val="left"/>
                  </w:pPr>
                  <w:r>
                    <w:rPr>
                      <w:rFonts w:ascii="仿宋_GB2312" w:hAnsi="仿宋_GB2312" w:eastAsia="仿宋_GB2312" w:cs="仿宋_GB2312"/>
                      <w:color w:val="000000"/>
                      <w:sz w:val="24"/>
                    </w:rPr>
                    <w:t>c)应预先对产品进行选型测试，确定产品的候选范围，并定期审定和更新产品候选名单。</w:t>
                  </w:r>
                </w:p>
              </w:tc>
            </w:tr>
            <w:tr w14:paraId="340579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0140C72"/>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0B3E0A">
                  <w:pPr>
                    <w:pStyle w:val="4"/>
                    <w:jc w:val="center"/>
                  </w:pPr>
                  <w:r>
                    <w:rPr>
                      <w:rFonts w:ascii="仿宋_GB2312" w:hAnsi="仿宋_GB2312" w:eastAsia="仿宋_GB2312" w:cs="仿宋_GB2312"/>
                      <w:color w:val="000000"/>
                      <w:sz w:val="24"/>
                    </w:rPr>
                    <w:t>自行软件开发</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A735C">
                  <w:pPr>
                    <w:pStyle w:val="4"/>
                    <w:jc w:val="left"/>
                  </w:pPr>
                  <w:r>
                    <w:rPr>
                      <w:rFonts w:ascii="仿宋_GB2312" w:hAnsi="仿宋_GB2312" w:eastAsia="仿宋_GB2312" w:cs="仿宋_GB2312"/>
                      <w:color w:val="000000"/>
                      <w:sz w:val="24"/>
                    </w:rPr>
                    <w:t>a）应将开发环境与实际运行环境物理分开，测试数据和测试结果受到控制；</w:t>
                  </w:r>
                </w:p>
              </w:tc>
            </w:tr>
            <w:tr w14:paraId="3C3A59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1240CFEC"/>
              </w:tc>
              <w:tc>
                <w:tcPr>
                  <w:tcW w:w="266" w:type="dxa"/>
                  <w:vMerge w:val="continue"/>
                  <w:tcBorders>
                    <w:top w:val="nil"/>
                    <w:left w:val="single" w:color="000000" w:sz="4" w:space="0"/>
                    <w:bottom w:val="single" w:color="000000" w:sz="4" w:space="0"/>
                    <w:right w:val="single" w:color="000000" w:sz="4" w:space="0"/>
                  </w:tcBorders>
                </w:tcPr>
                <w:p w14:paraId="7169890B"/>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24C859">
                  <w:pPr>
                    <w:pStyle w:val="4"/>
                    <w:jc w:val="left"/>
                  </w:pPr>
                  <w:r>
                    <w:rPr>
                      <w:rFonts w:ascii="仿宋_GB2312" w:hAnsi="仿宋_GB2312" w:eastAsia="仿宋_GB2312" w:cs="仿宋_GB2312"/>
                      <w:color w:val="000000"/>
                      <w:sz w:val="24"/>
                    </w:rPr>
                    <w:t>b）应制定软件开发管理制度，明确说明开发过程的控制方法和人员行为准则；</w:t>
                  </w:r>
                </w:p>
              </w:tc>
            </w:tr>
            <w:tr w14:paraId="1A8FDF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17046540"/>
              </w:tc>
              <w:tc>
                <w:tcPr>
                  <w:tcW w:w="266" w:type="dxa"/>
                  <w:vMerge w:val="continue"/>
                  <w:tcBorders>
                    <w:top w:val="nil"/>
                    <w:left w:val="single" w:color="000000" w:sz="4" w:space="0"/>
                    <w:bottom w:val="single" w:color="000000" w:sz="4" w:space="0"/>
                    <w:right w:val="single" w:color="000000" w:sz="4" w:space="0"/>
                  </w:tcBorders>
                </w:tcPr>
                <w:p w14:paraId="50643FE4"/>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C39A34">
                  <w:pPr>
                    <w:pStyle w:val="4"/>
                    <w:jc w:val="left"/>
                  </w:pPr>
                  <w:r>
                    <w:rPr>
                      <w:rFonts w:ascii="仿宋_GB2312" w:hAnsi="仿宋_GB2312" w:eastAsia="仿宋_GB2312" w:cs="仿宋_GB2312"/>
                      <w:color w:val="000000"/>
                      <w:sz w:val="24"/>
                    </w:rPr>
                    <w:t>c）应制定代码编写安全规范，要求开发人员参照规范编写代码；</w:t>
                  </w:r>
                </w:p>
              </w:tc>
            </w:tr>
            <w:tr w14:paraId="4DB8EE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3CFB356"/>
              </w:tc>
              <w:tc>
                <w:tcPr>
                  <w:tcW w:w="266" w:type="dxa"/>
                  <w:vMerge w:val="continue"/>
                  <w:tcBorders>
                    <w:top w:val="nil"/>
                    <w:left w:val="single" w:color="000000" w:sz="4" w:space="0"/>
                    <w:bottom w:val="single" w:color="000000" w:sz="4" w:space="0"/>
                    <w:right w:val="single" w:color="000000" w:sz="4" w:space="0"/>
                  </w:tcBorders>
                </w:tcPr>
                <w:p w14:paraId="614350F7"/>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F3ECF">
                  <w:pPr>
                    <w:pStyle w:val="4"/>
                    <w:jc w:val="left"/>
                  </w:pPr>
                  <w:r>
                    <w:rPr>
                      <w:rFonts w:ascii="仿宋_GB2312" w:hAnsi="仿宋_GB2312" w:eastAsia="仿宋_GB2312" w:cs="仿宋_GB2312"/>
                      <w:color w:val="000000"/>
                      <w:sz w:val="24"/>
                    </w:rPr>
                    <w:t>d）应具备软件设计的相关文档和使用指南，并对文档使用进行控制；</w:t>
                  </w:r>
                </w:p>
              </w:tc>
            </w:tr>
            <w:tr w14:paraId="12E0BE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2D359C3C"/>
              </w:tc>
              <w:tc>
                <w:tcPr>
                  <w:tcW w:w="266" w:type="dxa"/>
                  <w:vMerge w:val="continue"/>
                  <w:tcBorders>
                    <w:top w:val="nil"/>
                    <w:left w:val="single" w:color="000000" w:sz="4" w:space="0"/>
                    <w:bottom w:val="single" w:color="000000" w:sz="4" w:space="0"/>
                    <w:right w:val="single" w:color="000000" w:sz="4" w:space="0"/>
                  </w:tcBorders>
                </w:tcPr>
                <w:p w14:paraId="61AE74A2"/>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F1830">
                  <w:pPr>
                    <w:pStyle w:val="4"/>
                    <w:jc w:val="left"/>
                  </w:pPr>
                  <w:r>
                    <w:rPr>
                      <w:rFonts w:ascii="仿宋_GB2312" w:hAnsi="仿宋_GB2312" w:eastAsia="仿宋_GB2312" w:cs="仿宋_GB2312"/>
                      <w:color w:val="000000"/>
                      <w:sz w:val="24"/>
                    </w:rPr>
                    <w:t>e）应保证在软件开发过程中对安全性进行测试，在软件安装前对可能存在的恶意代码进行检测；</w:t>
                  </w:r>
                </w:p>
              </w:tc>
            </w:tr>
            <w:tr w14:paraId="683BC4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1A8E9619"/>
              </w:tc>
              <w:tc>
                <w:tcPr>
                  <w:tcW w:w="266" w:type="dxa"/>
                  <w:vMerge w:val="continue"/>
                  <w:tcBorders>
                    <w:top w:val="nil"/>
                    <w:left w:val="single" w:color="000000" w:sz="4" w:space="0"/>
                    <w:bottom w:val="single" w:color="000000" w:sz="4" w:space="0"/>
                    <w:right w:val="single" w:color="000000" w:sz="4" w:space="0"/>
                  </w:tcBorders>
                </w:tcPr>
                <w:p w14:paraId="06CF4793"/>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C5CE4D">
                  <w:pPr>
                    <w:pStyle w:val="4"/>
                    <w:jc w:val="left"/>
                  </w:pPr>
                  <w:r>
                    <w:rPr>
                      <w:rFonts w:ascii="仿宋_GB2312" w:hAnsi="仿宋_GB2312" w:eastAsia="仿宋_GB2312" w:cs="仿宋_GB2312"/>
                      <w:color w:val="000000"/>
                      <w:sz w:val="24"/>
                    </w:rPr>
                    <w:t>f）应对程序资源库的修改、更新，发布进行授权和批准，并严格进行版本控制；</w:t>
                  </w:r>
                </w:p>
              </w:tc>
            </w:tr>
            <w:tr w14:paraId="21D1E3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6A9CA44"/>
              </w:tc>
              <w:tc>
                <w:tcPr>
                  <w:tcW w:w="266" w:type="dxa"/>
                  <w:vMerge w:val="continue"/>
                  <w:tcBorders>
                    <w:top w:val="nil"/>
                    <w:left w:val="single" w:color="000000" w:sz="4" w:space="0"/>
                    <w:bottom w:val="single" w:color="000000" w:sz="4" w:space="0"/>
                    <w:right w:val="single" w:color="000000" w:sz="4" w:space="0"/>
                  </w:tcBorders>
                </w:tcPr>
                <w:p w14:paraId="3ED43F7F"/>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BFB0AA">
                  <w:pPr>
                    <w:pStyle w:val="4"/>
                    <w:jc w:val="left"/>
                  </w:pPr>
                  <w:r>
                    <w:rPr>
                      <w:rFonts w:ascii="仿宋_GB2312" w:hAnsi="仿宋_GB2312" w:eastAsia="仿宋_GB2312" w:cs="仿宋_GB2312"/>
                      <w:color w:val="000000"/>
                      <w:sz w:val="24"/>
                    </w:rPr>
                    <w:t>g）应保证开发人员为专职人员，开发人员的开发活动受到控制，监视和审查。</w:t>
                  </w:r>
                </w:p>
              </w:tc>
            </w:tr>
            <w:tr w14:paraId="46C5CD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6C2A626"/>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B5E90E">
                  <w:pPr>
                    <w:pStyle w:val="4"/>
                    <w:jc w:val="center"/>
                  </w:pPr>
                  <w:r>
                    <w:rPr>
                      <w:rFonts w:ascii="仿宋_GB2312" w:hAnsi="仿宋_GB2312" w:eastAsia="仿宋_GB2312" w:cs="仿宋_GB2312"/>
                      <w:color w:val="000000"/>
                      <w:sz w:val="24"/>
                    </w:rPr>
                    <w:t>外包软件开发</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DD19EF">
                  <w:pPr>
                    <w:pStyle w:val="4"/>
                    <w:jc w:val="left"/>
                  </w:pPr>
                  <w:r>
                    <w:rPr>
                      <w:rFonts w:ascii="仿宋_GB2312" w:hAnsi="仿宋_GB2312" w:eastAsia="仿宋_GB2312" w:cs="仿宋_GB2312"/>
                      <w:color w:val="000000"/>
                      <w:sz w:val="24"/>
                    </w:rPr>
                    <w:t>a）应在软件交付前检测其中可能存在的恶意代码；</w:t>
                  </w:r>
                </w:p>
              </w:tc>
            </w:tr>
            <w:tr w14:paraId="1623A0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7E99771"/>
              </w:tc>
              <w:tc>
                <w:tcPr>
                  <w:tcW w:w="266" w:type="dxa"/>
                  <w:vMerge w:val="continue"/>
                  <w:tcBorders>
                    <w:top w:val="nil"/>
                    <w:left w:val="single" w:color="000000" w:sz="4" w:space="0"/>
                    <w:bottom w:val="single" w:color="000000" w:sz="4" w:space="0"/>
                    <w:right w:val="single" w:color="000000" w:sz="4" w:space="0"/>
                  </w:tcBorders>
                </w:tcPr>
                <w:p w14:paraId="0BC8D4CB"/>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2A139B">
                  <w:pPr>
                    <w:pStyle w:val="4"/>
                    <w:jc w:val="left"/>
                  </w:pPr>
                  <w:r>
                    <w:rPr>
                      <w:rFonts w:ascii="仿宋_GB2312" w:hAnsi="仿宋_GB2312" w:eastAsia="仿宋_GB2312" w:cs="仿宋_GB2312"/>
                      <w:color w:val="000000"/>
                      <w:sz w:val="24"/>
                    </w:rPr>
                    <w:t>b）应保证开发单位提供软件设计文档和使用指南；</w:t>
                  </w:r>
                </w:p>
              </w:tc>
            </w:tr>
            <w:tr w14:paraId="4420B4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97F828B"/>
              </w:tc>
              <w:tc>
                <w:tcPr>
                  <w:tcW w:w="266" w:type="dxa"/>
                  <w:vMerge w:val="continue"/>
                  <w:tcBorders>
                    <w:top w:val="nil"/>
                    <w:left w:val="single" w:color="000000" w:sz="4" w:space="0"/>
                    <w:bottom w:val="single" w:color="000000" w:sz="4" w:space="0"/>
                    <w:right w:val="single" w:color="000000" w:sz="4" w:space="0"/>
                  </w:tcBorders>
                </w:tcPr>
                <w:p w14:paraId="603D0A06"/>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C3EB30">
                  <w:pPr>
                    <w:pStyle w:val="4"/>
                    <w:jc w:val="left"/>
                  </w:pPr>
                  <w:r>
                    <w:rPr>
                      <w:rFonts w:ascii="仿宋_GB2312" w:hAnsi="仿宋_GB2312" w:eastAsia="仿宋_GB2312" w:cs="仿宋_GB2312"/>
                      <w:color w:val="000000"/>
                      <w:sz w:val="24"/>
                    </w:rPr>
                    <w:t>c）应保证开发单位提供软件源代码，并审查软件中可能存在的后面和隐蔽信道。</w:t>
                  </w:r>
                </w:p>
              </w:tc>
            </w:tr>
            <w:tr w14:paraId="374E4E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1493E884"/>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BFD19A">
                  <w:pPr>
                    <w:pStyle w:val="4"/>
                    <w:jc w:val="center"/>
                  </w:pPr>
                  <w:r>
                    <w:rPr>
                      <w:rFonts w:ascii="仿宋_GB2312" w:hAnsi="仿宋_GB2312" w:eastAsia="仿宋_GB2312" w:cs="仿宋_GB2312"/>
                      <w:color w:val="000000"/>
                      <w:sz w:val="24"/>
                    </w:rPr>
                    <w:t>工程实施</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78642">
                  <w:pPr>
                    <w:pStyle w:val="4"/>
                    <w:jc w:val="left"/>
                  </w:pPr>
                  <w:r>
                    <w:rPr>
                      <w:rFonts w:ascii="仿宋_GB2312" w:hAnsi="仿宋_GB2312" w:eastAsia="仿宋_GB2312" w:cs="仿宋_GB2312"/>
                      <w:color w:val="000000"/>
                      <w:sz w:val="24"/>
                    </w:rPr>
                    <w:t>a）应指定或授权专门的部门或人员负责工程实施过程的管理；</w:t>
                  </w:r>
                </w:p>
              </w:tc>
            </w:tr>
            <w:tr w14:paraId="54D94C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076C61B"/>
              </w:tc>
              <w:tc>
                <w:tcPr>
                  <w:tcW w:w="266" w:type="dxa"/>
                  <w:vMerge w:val="continue"/>
                  <w:tcBorders>
                    <w:top w:val="nil"/>
                    <w:left w:val="single" w:color="000000" w:sz="4" w:space="0"/>
                    <w:bottom w:val="single" w:color="000000" w:sz="4" w:space="0"/>
                    <w:right w:val="single" w:color="000000" w:sz="4" w:space="0"/>
                  </w:tcBorders>
                </w:tcPr>
                <w:p w14:paraId="5F84BCA3"/>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0AE11B">
                  <w:pPr>
                    <w:pStyle w:val="4"/>
                    <w:jc w:val="left"/>
                  </w:pPr>
                  <w:r>
                    <w:rPr>
                      <w:rFonts w:ascii="仿宋_GB2312" w:hAnsi="仿宋_GB2312" w:eastAsia="仿宋_GB2312" w:cs="仿宋_GB2312"/>
                      <w:color w:val="000000"/>
                      <w:sz w:val="24"/>
                    </w:rPr>
                    <w:t>b）应制定安全工程实施方案控制实施过程；</w:t>
                  </w:r>
                </w:p>
              </w:tc>
            </w:tr>
            <w:tr w14:paraId="0384F4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1B06922B"/>
              </w:tc>
              <w:tc>
                <w:tcPr>
                  <w:tcW w:w="266" w:type="dxa"/>
                  <w:vMerge w:val="continue"/>
                  <w:tcBorders>
                    <w:top w:val="nil"/>
                    <w:left w:val="single" w:color="000000" w:sz="4" w:space="0"/>
                    <w:bottom w:val="single" w:color="000000" w:sz="4" w:space="0"/>
                    <w:right w:val="single" w:color="000000" w:sz="4" w:space="0"/>
                  </w:tcBorders>
                </w:tcPr>
                <w:p w14:paraId="77195C82"/>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70A4AE">
                  <w:pPr>
                    <w:pStyle w:val="4"/>
                    <w:jc w:val="left"/>
                  </w:pPr>
                  <w:r>
                    <w:rPr>
                      <w:rFonts w:ascii="仿宋_GB2312" w:hAnsi="仿宋_GB2312" w:eastAsia="仿宋_GB2312" w:cs="仿宋_GB2312"/>
                      <w:color w:val="000000"/>
                      <w:sz w:val="24"/>
                    </w:rPr>
                    <w:t>c）应通过第三方工程监理控制项目的实施过程。</w:t>
                  </w:r>
                </w:p>
              </w:tc>
            </w:tr>
            <w:tr w14:paraId="62EA70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BE724A1"/>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0AC56D">
                  <w:pPr>
                    <w:pStyle w:val="4"/>
                    <w:jc w:val="center"/>
                  </w:pPr>
                  <w:r>
                    <w:rPr>
                      <w:rFonts w:ascii="仿宋_GB2312" w:hAnsi="仿宋_GB2312" w:eastAsia="仿宋_GB2312" w:cs="仿宋_GB2312"/>
                      <w:color w:val="000000"/>
                      <w:sz w:val="24"/>
                    </w:rPr>
                    <w:t>测试验收</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87E264">
                  <w:pPr>
                    <w:pStyle w:val="4"/>
                    <w:jc w:val="left"/>
                  </w:pPr>
                  <w:r>
                    <w:rPr>
                      <w:rFonts w:ascii="仿宋_GB2312" w:hAnsi="仿宋_GB2312" w:eastAsia="仿宋_GB2312" w:cs="仿宋_GB2312"/>
                      <w:color w:val="000000"/>
                      <w:sz w:val="24"/>
                    </w:rPr>
                    <w:t>a）应制订测试验收方案，并依据测试验收方案实施测试验收，形成测试验收报告；</w:t>
                  </w:r>
                </w:p>
              </w:tc>
            </w:tr>
            <w:tr w14:paraId="7B9918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5B11AC72"/>
              </w:tc>
              <w:tc>
                <w:tcPr>
                  <w:tcW w:w="266" w:type="dxa"/>
                  <w:vMerge w:val="continue"/>
                  <w:tcBorders>
                    <w:top w:val="nil"/>
                    <w:left w:val="single" w:color="000000" w:sz="4" w:space="0"/>
                    <w:bottom w:val="single" w:color="000000" w:sz="4" w:space="0"/>
                    <w:right w:val="single" w:color="000000" w:sz="4" w:space="0"/>
                  </w:tcBorders>
                </w:tcPr>
                <w:p w14:paraId="7993D8E6"/>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E7E519">
                  <w:pPr>
                    <w:pStyle w:val="4"/>
                    <w:jc w:val="left"/>
                  </w:pPr>
                  <w:r>
                    <w:rPr>
                      <w:rFonts w:ascii="仿宋_GB2312" w:hAnsi="仿宋_GB2312" w:eastAsia="仿宋_GB2312" w:cs="仿宋_GB2312"/>
                      <w:color w:val="000000"/>
                      <w:sz w:val="24"/>
                    </w:rPr>
                    <w:t>b）应进行上线前的安全性测试，并出具安全测试报告，安全测试报告应包含密码应用安全性安全测试内容。</w:t>
                  </w:r>
                </w:p>
              </w:tc>
            </w:tr>
            <w:tr w14:paraId="1AE7D0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1B23634E"/>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85382A">
                  <w:pPr>
                    <w:pStyle w:val="4"/>
                    <w:jc w:val="center"/>
                  </w:pPr>
                  <w:r>
                    <w:rPr>
                      <w:rFonts w:ascii="仿宋_GB2312" w:hAnsi="仿宋_GB2312" w:eastAsia="仿宋_GB2312" w:cs="仿宋_GB2312"/>
                      <w:color w:val="000000"/>
                      <w:sz w:val="24"/>
                    </w:rPr>
                    <w:t>系统交付</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02EE7F">
                  <w:pPr>
                    <w:pStyle w:val="4"/>
                    <w:jc w:val="left"/>
                  </w:pPr>
                  <w:r>
                    <w:rPr>
                      <w:rFonts w:ascii="仿宋_GB2312" w:hAnsi="仿宋_GB2312" w:eastAsia="仿宋_GB2312" w:cs="仿宋_GB2312"/>
                      <w:color w:val="000000"/>
                      <w:sz w:val="24"/>
                    </w:rPr>
                    <w:t>a）应制定交付清单，并根据交付清单对所交接的设备、软件和文档等进行清点；</w:t>
                  </w:r>
                </w:p>
              </w:tc>
            </w:tr>
            <w:tr w14:paraId="0117D3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3CB764C"/>
              </w:tc>
              <w:tc>
                <w:tcPr>
                  <w:tcW w:w="266" w:type="dxa"/>
                  <w:vMerge w:val="continue"/>
                  <w:tcBorders>
                    <w:top w:val="nil"/>
                    <w:left w:val="single" w:color="000000" w:sz="4" w:space="0"/>
                    <w:bottom w:val="single" w:color="000000" w:sz="4" w:space="0"/>
                    <w:right w:val="single" w:color="000000" w:sz="4" w:space="0"/>
                  </w:tcBorders>
                </w:tcPr>
                <w:p w14:paraId="42C50669"/>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C0EE3">
                  <w:pPr>
                    <w:pStyle w:val="4"/>
                    <w:jc w:val="left"/>
                  </w:pPr>
                  <w:r>
                    <w:rPr>
                      <w:rFonts w:ascii="仿宋_GB2312" w:hAnsi="仿宋_GB2312" w:eastAsia="仿宋_GB2312" w:cs="仿宋_GB2312"/>
                      <w:color w:val="000000"/>
                      <w:sz w:val="24"/>
                    </w:rPr>
                    <w:t>b）应对负责系统运行维护的技术人员进行相应的技能培训；</w:t>
                  </w:r>
                </w:p>
              </w:tc>
            </w:tr>
            <w:tr w14:paraId="0EE274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3C5A375C"/>
              </w:tc>
              <w:tc>
                <w:tcPr>
                  <w:tcW w:w="266" w:type="dxa"/>
                  <w:vMerge w:val="continue"/>
                  <w:tcBorders>
                    <w:top w:val="nil"/>
                    <w:left w:val="single" w:color="000000" w:sz="4" w:space="0"/>
                    <w:bottom w:val="single" w:color="000000" w:sz="4" w:space="0"/>
                    <w:right w:val="single" w:color="000000" w:sz="4" w:space="0"/>
                  </w:tcBorders>
                </w:tcPr>
                <w:p w14:paraId="09F2DF72"/>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6B1E96">
                  <w:pPr>
                    <w:pStyle w:val="4"/>
                    <w:jc w:val="left"/>
                  </w:pPr>
                  <w:r>
                    <w:rPr>
                      <w:rFonts w:ascii="仿宋_GB2312" w:hAnsi="仿宋_GB2312" w:eastAsia="仿宋_GB2312" w:cs="仿宋_GB2312"/>
                      <w:color w:val="000000"/>
                      <w:sz w:val="24"/>
                    </w:rPr>
                    <w:t>c）应提供建设过程文档和运行维护文档。</w:t>
                  </w:r>
                </w:p>
              </w:tc>
            </w:tr>
            <w:tr w14:paraId="24C106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46D1A72"/>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4CFD15">
                  <w:pPr>
                    <w:pStyle w:val="4"/>
                    <w:jc w:val="center"/>
                  </w:pPr>
                  <w:r>
                    <w:rPr>
                      <w:rFonts w:ascii="仿宋_GB2312" w:hAnsi="仿宋_GB2312" w:eastAsia="仿宋_GB2312" w:cs="仿宋_GB2312"/>
                      <w:color w:val="000000"/>
                      <w:sz w:val="24"/>
                    </w:rPr>
                    <w:t>等级测评</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6E619F">
                  <w:pPr>
                    <w:pStyle w:val="4"/>
                    <w:jc w:val="left"/>
                  </w:pPr>
                  <w:r>
                    <w:rPr>
                      <w:rFonts w:ascii="仿宋_GB2312" w:hAnsi="仿宋_GB2312" w:eastAsia="仿宋_GB2312" w:cs="仿宋_GB2312"/>
                      <w:color w:val="000000"/>
                      <w:sz w:val="24"/>
                    </w:rPr>
                    <w:t>a）应定期进行等级测评，发现不符合相应等级保护标准要求的及时整改；</w:t>
                  </w:r>
                </w:p>
              </w:tc>
            </w:tr>
            <w:tr w14:paraId="10565A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28BC11F"/>
              </w:tc>
              <w:tc>
                <w:tcPr>
                  <w:tcW w:w="266" w:type="dxa"/>
                  <w:vMerge w:val="continue"/>
                  <w:tcBorders>
                    <w:top w:val="nil"/>
                    <w:left w:val="single" w:color="000000" w:sz="4" w:space="0"/>
                    <w:bottom w:val="single" w:color="000000" w:sz="4" w:space="0"/>
                    <w:right w:val="single" w:color="000000" w:sz="4" w:space="0"/>
                  </w:tcBorders>
                </w:tcPr>
                <w:p w14:paraId="481582B7"/>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A27FB2">
                  <w:pPr>
                    <w:pStyle w:val="4"/>
                    <w:jc w:val="left"/>
                  </w:pPr>
                  <w:r>
                    <w:rPr>
                      <w:rFonts w:ascii="仿宋_GB2312" w:hAnsi="仿宋_GB2312" w:eastAsia="仿宋_GB2312" w:cs="仿宋_GB2312"/>
                      <w:color w:val="000000"/>
                      <w:sz w:val="24"/>
                    </w:rPr>
                    <w:t>b）在发生重大变化或级别发生时进行等级测评；</w:t>
                  </w:r>
                </w:p>
              </w:tc>
            </w:tr>
            <w:tr w14:paraId="3080C7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6C5C43A"/>
              </w:tc>
              <w:tc>
                <w:tcPr>
                  <w:tcW w:w="266" w:type="dxa"/>
                  <w:vMerge w:val="continue"/>
                  <w:tcBorders>
                    <w:top w:val="nil"/>
                    <w:left w:val="single" w:color="000000" w:sz="4" w:space="0"/>
                    <w:bottom w:val="single" w:color="000000" w:sz="4" w:space="0"/>
                    <w:right w:val="single" w:color="000000" w:sz="4" w:space="0"/>
                  </w:tcBorders>
                </w:tcPr>
                <w:p w14:paraId="2DBB5915"/>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D4B7A1">
                  <w:pPr>
                    <w:pStyle w:val="4"/>
                    <w:jc w:val="left"/>
                  </w:pPr>
                  <w:r>
                    <w:rPr>
                      <w:rFonts w:ascii="仿宋_GB2312" w:hAnsi="仿宋_GB2312" w:eastAsia="仿宋_GB2312" w:cs="仿宋_GB2312"/>
                      <w:color w:val="000000"/>
                      <w:sz w:val="24"/>
                    </w:rPr>
                    <w:t>c）应确保测评机构的选择符合国家相关规定。</w:t>
                  </w:r>
                </w:p>
              </w:tc>
            </w:tr>
            <w:tr w14:paraId="37BF6D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DA8858E"/>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2C423B">
                  <w:pPr>
                    <w:pStyle w:val="4"/>
                    <w:jc w:val="center"/>
                  </w:pPr>
                  <w:r>
                    <w:rPr>
                      <w:rFonts w:ascii="仿宋_GB2312" w:hAnsi="仿宋_GB2312" w:eastAsia="仿宋_GB2312" w:cs="仿宋_GB2312"/>
                      <w:color w:val="000000"/>
                      <w:sz w:val="24"/>
                    </w:rPr>
                    <w:t>服务供应商管理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3A7D10">
                  <w:pPr>
                    <w:pStyle w:val="4"/>
                    <w:jc w:val="left"/>
                  </w:pPr>
                  <w:r>
                    <w:rPr>
                      <w:rFonts w:ascii="仿宋_GB2312" w:hAnsi="仿宋_GB2312" w:eastAsia="仿宋_GB2312" w:cs="仿宋_GB2312"/>
                      <w:color w:val="000000"/>
                      <w:sz w:val="24"/>
                    </w:rPr>
                    <w:t>a）应确保服务供应商的选择符合国家的有关规定；</w:t>
                  </w:r>
                </w:p>
              </w:tc>
            </w:tr>
            <w:tr w14:paraId="01B9D9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10B397F3"/>
              </w:tc>
              <w:tc>
                <w:tcPr>
                  <w:tcW w:w="266" w:type="dxa"/>
                  <w:vMerge w:val="continue"/>
                  <w:tcBorders>
                    <w:top w:val="nil"/>
                    <w:left w:val="single" w:color="000000" w:sz="4" w:space="0"/>
                    <w:bottom w:val="single" w:color="000000" w:sz="4" w:space="0"/>
                    <w:right w:val="single" w:color="000000" w:sz="4" w:space="0"/>
                  </w:tcBorders>
                </w:tcPr>
                <w:p w14:paraId="425A6BFE"/>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63C68B">
                  <w:pPr>
                    <w:pStyle w:val="4"/>
                    <w:jc w:val="left"/>
                  </w:pPr>
                  <w:r>
                    <w:rPr>
                      <w:rFonts w:ascii="仿宋_GB2312" w:hAnsi="仿宋_GB2312" w:eastAsia="仿宋_GB2312" w:cs="仿宋_GB2312"/>
                      <w:color w:val="000000"/>
                      <w:sz w:val="24"/>
                    </w:rPr>
                    <w:t>b）应与选定的服务商签订相关协议，明确整个服务供应链各方需履行的网络安全相关义务；</w:t>
                  </w:r>
                </w:p>
              </w:tc>
            </w:tr>
            <w:tr w14:paraId="6D7FD3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24BC357"/>
              </w:tc>
              <w:tc>
                <w:tcPr>
                  <w:tcW w:w="266" w:type="dxa"/>
                  <w:vMerge w:val="continue"/>
                  <w:tcBorders>
                    <w:top w:val="nil"/>
                    <w:left w:val="single" w:color="000000" w:sz="4" w:space="0"/>
                    <w:bottom w:val="single" w:color="000000" w:sz="4" w:space="0"/>
                    <w:right w:val="single" w:color="000000" w:sz="4" w:space="0"/>
                  </w:tcBorders>
                </w:tcPr>
                <w:p w14:paraId="507A3871"/>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13ABF5">
                  <w:pPr>
                    <w:pStyle w:val="4"/>
                    <w:jc w:val="left"/>
                  </w:pPr>
                  <w:r>
                    <w:rPr>
                      <w:rFonts w:ascii="仿宋_GB2312" w:hAnsi="仿宋_GB2312" w:eastAsia="仿宋_GB2312" w:cs="仿宋_GB2312"/>
                      <w:color w:val="000000"/>
                      <w:sz w:val="24"/>
                    </w:rPr>
                    <w:t>c）应定期监督、评审和审核服务供应商提供的服务，并对其变更服务进行控制。</w:t>
                  </w:r>
                </w:p>
              </w:tc>
            </w:tr>
            <w:tr w14:paraId="18D42B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8D7D82">
                  <w:pPr>
                    <w:pStyle w:val="4"/>
                    <w:jc w:val="center"/>
                  </w:pPr>
                  <w:r>
                    <w:rPr>
                      <w:rFonts w:ascii="仿宋_GB2312" w:hAnsi="仿宋_GB2312" w:eastAsia="仿宋_GB2312" w:cs="仿宋_GB2312"/>
                      <w:color w:val="000000"/>
                      <w:sz w:val="24"/>
                    </w:rPr>
                    <w:t>安全运维管理</w:t>
                  </w:r>
                </w:p>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9CB09">
                  <w:pPr>
                    <w:pStyle w:val="4"/>
                    <w:jc w:val="center"/>
                  </w:pPr>
                  <w:r>
                    <w:rPr>
                      <w:rFonts w:ascii="仿宋_GB2312" w:hAnsi="仿宋_GB2312" w:eastAsia="仿宋_GB2312" w:cs="仿宋_GB2312"/>
                      <w:color w:val="000000"/>
                      <w:sz w:val="24"/>
                    </w:rPr>
                    <w:t>环境管理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FC64D8">
                  <w:pPr>
                    <w:pStyle w:val="4"/>
                    <w:jc w:val="left"/>
                  </w:pPr>
                  <w:r>
                    <w:rPr>
                      <w:rFonts w:ascii="仿宋_GB2312" w:hAnsi="仿宋_GB2312" w:eastAsia="仿宋_GB2312" w:cs="仿宋_GB2312"/>
                      <w:color w:val="000000"/>
                      <w:sz w:val="24"/>
                    </w:rPr>
                    <w:t>a）应指定专门的部门或人员负责机房安全，对机房出入进行管理，定期对机房供配电、空调、温湿度控制、消防等设施进行维护管理；</w:t>
                  </w:r>
                </w:p>
              </w:tc>
            </w:tr>
            <w:tr w14:paraId="33E020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339096A"/>
              </w:tc>
              <w:tc>
                <w:tcPr>
                  <w:tcW w:w="266" w:type="dxa"/>
                  <w:vMerge w:val="continue"/>
                  <w:tcBorders>
                    <w:top w:val="nil"/>
                    <w:left w:val="single" w:color="000000" w:sz="4" w:space="0"/>
                    <w:bottom w:val="single" w:color="000000" w:sz="4" w:space="0"/>
                    <w:right w:val="single" w:color="000000" w:sz="4" w:space="0"/>
                  </w:tcBorders>
                </w:tcPr>
                <w:p w14:paraId="05376381"/>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1369C0">
                  <w:pPr>
                    <w:pStyle w:val="4"/>
                    <w:jc w:val="left"/>
                  </w:pPr>
                  <w:r>
                    <w:rPr>
                      <w:rFonts w:ascii="仿宋_GB2312" w:hAnsi="仿宋_GB2312" w:eastAsia="仿宋_GB2312" w:cs="仿宋_GB2312"/>
                      <w:color w:val="000000"/>
                      <w:sz w:val="24"/>
                    </w:rPr>
                    <w:t>b）应建立机房安全管理制度，对有关物理访问，物品带进带出和环境安全等方面的管理作出规定；</w:t>
                  </w:r>
                </w:p>
              </w:tc>
            </w:tr>
            <w:tr w14:paraId="708A9B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9B05D40"/>
              </w:tc>
              <w:tc>
                <w:tcPr>
                  <w:tcW w:w="266" w:type="dxa"/>
                  <w:vMerge w:val="continue"/>
                  <w:tcBorders>
                    <w:top w:val="nil"/>
                    <w:left w:val="single" w:color="000000" w:sz="4" w:space="0"/>
                    <w:bottom w:val="single" w:color="000000" w:sz="4" w:space="0"/>
                    <w:right w:val="single" w:color="000000" w:sz="4" w:space="0"/>
                  </w:tcBorders>
                </w:tcPr>
                <w:p w14:paraId="68007FAE"/>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2C275E">
                  <w:pPr>
                    <w:pStyle w:val="4"/>
                    <w:jc w:val="left"/>
                  </w:pPr>
                  <w:r>
                    <w:rPr>
                      <w:rFonts w:ascii="仿宋_GB2312" w:hAnsi="仿宋_GB2312" w:eastAsia="仿宋_GB2312" w:cs="仿宋_GB2312"/>
                      <w:color w:val="000000"/>
                      <w:sz w:val="24"/>
                    </w:rPr>
                    <w:t>c）应不在重要区域接待来访人员，不随意放置包含敏感信息的纸质文件和移动介质。</w:t>
                  </w:r>
                </w:p>
              </w:tc>
            </w:tr>
            <w:tr w14:paraId="14B453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BE72002"/>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B744CD">
                  <w:pPr>
                    <w:pStyle w:val="4"/>
                    <w:jc w:val="center"/>
                  </w:pPr>
                  <w:r>
                    <w:rPr>
                      <w:rFonts w:ascii="仿宋_GB2312" w:hAnsi="仿宋_GB2312" w:eastAsia="仿宋_GB2312" w:cs="仿宋_GB2312"/>
                      <w:color w:val="000000"/>
                      <w:sz w:val="24"/>
                    </w:rPr>
                    <w:t>资产管理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AC2B93">
                  <w:pPr>
                    <w:pStyle w:val="4"/>
                    <w:jc w:val="left"/>
                  </w:pPr>
                  <w:r>
                    <w:rPr>
                      <w:rFonts w:ascii="仿宋_GB2312" w:hAnsi="仿宋_GB2312" w:eastAsia="仿宋_GB2312" w:cs="仿宋_GB2312"/>
                      <w:color w:val="000000"/>
                      <w:sz w:val="24"/>
                    </w:rPr>
                    <w:t>a）应编制并保存与信息系统相关的资产清单，包括资产责任部门、重要程度和所处位置等内容；</w:t>
                  </w:r>
                </w:p>
              </w:tc>
            </w:tr>
            <w:tr w14:paraId="2B889C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E5BD81B"/>
              </w:tc>
              <w:tc>
                <w:tcPr>
                  <w:tcW w:w="266" w:type="dxa"/>
                  <w:vMerge w:val="continue"/>
                  <w:tcBorders>
                    <w:top w:val="nil"/>
                    <w:left w:val="single" w:color="000000" w:sz="4" w:space="0"/>
                    <w:bottom w:val="single" w:color="000000" w:sz="4" w:space="0"/>
                    <w:right w:val="single" w:color="000000" w:sz="4" w:space="0"/>
                  </w:tcBorders>
                </w:tcPr>
                <w:p w14:paraId="22B78558"/>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E88E3">
                  <w:pPr>
                    <w:pStyle w:val="4"/>
                    <w:jc w:val="left"/>
                  </w:pPr>
                  <w:r>
                    <w:rPr>
                      <w:rFonts w:ascii="仿宋_GB2312" w:hAnsi="仿宋_GB2312" w:eastAsia="仿宋_GB2312" w:cs="仿宋_GB2312"/>
                      <w:color w:val="000000"/>
                      <w:sz w:val="24"/>
                    </w:rPr>
                    <w:t>b）应根据资产的重要程度对资产进行标识管理，根据资产的价值选择相应的管理措施；</w:t>
                  </w:r>
                </w:p>
              </w:tc>
            </w:tr>
            <w:tr w14:paraId="3E5C40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87D7216"/>
              </w:tc>
              <w:tc>
                <w:tcPr>
                  <w:tcW w:w="266" w:type="dxa"/>
                  <w:vMerge w:val="continue"/>
                  <w:tcBorders>
                    <w:top w:val="nil"/>
                    <w:left w:val="single" w:color="000000" w:sz="4" w:space="0"/>
                    <w:bottom w:val="single" w:color="000000" w:sz="4" w:space="0"/>
                    <w:right w:val="single" w:color="000000" w:sz="4" w:space="0"/>
                  </w:tcBorders>
                </w:tcPr>
                <w:p w14:paraId="6814A40A"/>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F7C3A9">
                  <w:pPr>
                    <w:pStyle w:val="4"/>
                    <w:jc w:val="left"/>
                  </w:pPr>
                  <w:r>
                    <w:rPr>
                      <w:rFonts w:ascii="仿宋_GB2312" w:hAnsi="仿宋_GB2312" w:eastAsia="仿宋_GB2312" w:cs="仿宋_GB2312"/>
                      <w:color w:val="000000"/>
                      <w:sz w:val="24"/>
                    </w:rPr>
                    <w:t>c）应对信息分类与标识方法做出规定，并对信息的使用，传输和存储等进行规范化管理。</w:t>
                  </w:r>
                </w:p>
              </w:tc>
            </w:tr>
            <w:tr w14:paraId="7B51B3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6EB207BD"/>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4CF4FF">
                  <w:pPr>
                    <w:pStyle w:val="4"/>
                    <w:jc w:val="center"/>
                  </w:pPr>
                  <w:r>
                    <w:rPr>
                      <w:rFonts w:ascii="仿宋_GB2312" w:hAnsi="仿宋_GB2312" w:eastAsia="仿宋_GB2312" w:cs="仿宋_GB2312"/>
                      <w:color w:val="000000"/>
                      <w:sz w:val="24"/>
                    </w:rPr>
                    <w:t>介质管理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D25D5">
                  <w:pPr>
                    <w:pStyle w:val="4"/>
                    <w:jc w:val="left"/>
                  </w:pPr>
                  <w:r>
                    <w:rPr>
                      <w:rFonts w:ascii="仿宋_GB2312" w:hAnsi="仿宋_GB2312" w:eastAsia="仿宋_GB2312" w:cs="仿宋_GB2312"/>
                      <w:color w:val="000000"/>
                      <w:sz w:val="24"/>
                    </w:rPr>
                    <w:t>a）应将介质存放在安全的环境中，对各类介质进行控制和保护，实行存储环境专人管理并根据存档介质的目录清单定期盘点；</w:t>
                  </w:r>
                </w:p>
              </w:tc>
            </w:tr>
            <w:tr w14:paraId="1773FD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248443E3"/>
              </w:tc>
              <w:tc>
                <w:tcPr>
                  <w:tcW w:w="266" w:type="dxa"/>
                  <w:vMerge w:val="continue"/>
                  <w:tcBorders>
                    <w:top w:val="nil"/>
                    <w:left w:val="single" w:color="000000" w:sz="4" w:space="0"/>
                    <w:bottom w:val="single" w:color="000000" w:sz="4" w:space="0"/>
                    <w:right w:val="single" w:color="000000" w:sz="4" w:space="0"/>
                  </w:tcBorders>
                </w:tcPr>
                <w:p w14:paraId="288DCFEF"/>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E17D6A">
                  <w:pPr>
                    <w:pStyle w:val="4"/>
                    <w:jc w:val="left"/>
                  </w:pPr>
                  <w:r>
                    <w:rPr>
                      <w:rFonts w:ascii="仿宋_GB2312" w:hAnsi="仿宋_GB2312" w:eastAsia="仿宋_GB2312" w:cs="仿宋_GB2312"/>
                      <w:color w:val="000000"/>
                      <w:sz w:val="24"/>
                    </w:rPr>
                    <w:t>b）应对介质在物理传输过程中的人员选择、打包、交付等情况进行控制，并对介质归档和查询等进行登记记录。</w:t>
                  </w:r>
                </w:p>
              </w:tc>
            </w:tr>
            <w:tr w14:paraId="753F41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771B422"/>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083593">
                  <w:pPr>
                    <w:pStyle w:val="4"/>
                    <w:jc w:val="center"/>
                  </w:pPr>
                  <w:r>
                    <w:rPr>
                      <w:rFonts w:ascii="仿宋_GB2312" w:hAnsi="仿宋_GB2312" w:eastAsia="仿宋_GB2312" w:cs="仿宋_GB2312"/>
                      <w:color w:val="000000"/>
                      <w:sz w:val="24"/>
                    </w:rPr>
                    <w:t>设备维护管理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68DC45">
                  <w:pPr>
                    <w:pStyle w:val="4"/>
                    <w:jc w:val="left"/>
                  </w:pPr>
                  <w:r>
                    <w:rPr>
                      <w:rFonts w:ascii="仿宋_GB2312" w:hAnsi="仿宋_GB2312" w:eastAsia="仿宋_GB2312" w:cs="仿宋_GB2312"/>
                      <w:color w:val="000000"/>
                      <w:sz w:val="24"/>
                    </w:rPr>
                    <w:t>a）应对各种设备（包括备份和冗余设备）、线路等指定专门的部门或人员定期进行维护管理；</w:t>
                  </w:r>
                </w:p>
              </w:tc>
            </w:tr>
            <w:tr w14:paraId="023EDD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EEB31A5"/>
              </w:tc>
              <w:tc>
                <w:tcPr>
                  <w:tcW w:w="266" w:type="dxa"/>
                  <w:vMerge w:val="continue"/>
                  <w:tcBorders>
                    <w:top w:val="nil"/>
                    <w:left w:val="single" w:color="000000" w:sz="4" w:space="0"/>
                    <w:bottom w:val="single" w:color="000000" w:sz="4" w:space="0"/>
                    <w:right w:val="single" w:color="000000" w:sz="4" w:space="0"/>
                  </w:tcBorders>
                </w:tcPr>
                <w:p w14:paraId="4E9C63F6"/>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DA42C">
                  <w:pPr>
                    <w:pStyle w:val="4"/>
                    <w:jc w:val="left"/>
                  </w:pPr>
                  <w:r>
                    <w:rPr>
                      <w:rFonts w:ascii="仿宋_GB2312" w:hAnsi="仿宋_GB2312" w:eastAsia="仿宋_GB2312" w:cs="仿宋_GB2312"/>
                      <w:color w:val="000000"/>
                      <w:sz w:val="24"/>
                    </w:rPr>
                    <w:t>b）应建立配套设施、软硬件维护方面的管理制度，对其维护进行有效的管理，包括明确维护人员的责任、维修和服务的审批、维修过程的监督控制等；</w:t>
                  </w:r>
                </w:p>
              </w:tc>
            </w:tr>
            <w:tr w14:paraId="3B9B27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0CF1D2C"/>
              </w:tc>
              <w:tc>
                <w:tcPr>
                  <w:tcW w:w="266" w:type="dxa"/>
                  <w:vMerge w:val="continue"/>
                  <w:tcBorders>
                    <w:top w:val="nil"/>
                    <w:left w:val="single" w:color="000000" w:sz="4" w:space="0"/>
                    <w:bottom w:val="single" w:color="000000" w:sz="4" w:space="0"/>
                    <w:right w:val="single" w:color="000000" w:sz="4" w:space="0"/>
                  </w:tcBorders>
                </w:tcPr>
                <w:p w14:paraId="52419CF4"/>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D20F34">
                  <w:pPr>
                    <w:pStyle w:val="4"/>
                    <w:jc w:val="left"/>
                  </w:pPr>
                  <w:r>
                    <w:rPr>
                      <w:rFonts w:ascii="仿宋_GB2312" w:hAnsi="仿宋_GB2312" w:eastAsia="仿宋_GB2312" w:cs="仿宋_GB2312"/>
                      <w:color w:val="000000"/>
                      <w:sz w:val="24"/>
                    </w:rPr>
                    <w:t>c）信息处理设备应经过审批才能带离机房或办公地点，含有储存介质的设备带出工作环境时其重要数据应加密；</w:t>
                  </w:r>
                </w:p>
              </w:tc>
            </w:tr>
            <w:tr w14:paraId="23E046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57F29BB"/>
              </w:tc>
              <w:tc>
                <w:tcPr>
                  <w:tcW w:w="266" w:type="dxa"/>
                  <w:vMerge w:val="continue"/>
                  <w:tcBorders>
                    <w:top w:val="nil"/>
                    <w:left w:val="single" w:color="000000" w:sz="4" w:space="0"/>
                    <w:bottom w:val="single" w:color="000000" w:sz="4" w:space="0"/>
                    <w:right w:val="single" w:color="000000" w:sz="4" w:space="0"/>
                  </w:tcBorders>
                </w:tcPr>
                <w:p w14:paraId="72E0AE17"/>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920F3F">
                  <w:pPr>
                    <w:pStyle w:val="4"/>
                    <w:jc w:val="left"/>
                  </w:pPr>
                  <w:r>
                    <w:rPr>
                      <w:rFonts w:ascii="仿宋_GB2312" w:hAnsi="仿宋_GB2312" w:eastAsia="仿宋_GB2312" w:cs="仿宋_GB2312"/>
                      <w:color w:val="000000"/>
                      <w:sz w:val="24"/>
                    </w:rPr>
                    <w:t>d）含有存储介质的设备在报废或重用前，应进行完全清除或完全覆盖，保证该设备上的敏感数据和授权软件无法被恢复重用。</w:t>
                  </w:r>
                </w:p>
              </w:tc>
            </w:tr>
            <w:tr w14:paraId="236A69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0816072"/>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27B3CC">
                  <w:pPr>
                    <w:pStyle w:val="4"/>
                    <w:jc w:val="center"/>
                  </w:pPr>
                  <w:r>
                    <w:rPr>
                      <w:rFonts w:ascii="仿宋_GB2312" w:hAnsi="仿宋_GB2312" w:eastAsia="仿宋_GB2312" w:cs="仿宋_GB2312"/>
                      <w:color w:val="000000"/>
                      <w:sz w:val="24"/>
                    </w:rPr>
                    <w:t>漏洞和风险管理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8E301B">
                  <w:pPr>
                    <w:pStyle w:val="4"/>
                    <w:jc w:val="left"/>
                  </w:pPr>
                  <w:r>
                    <w:rPr>
                      <w:rFonts w:ascii="仿宋_GB2312" w:hAnsi="仿宋_GB2312" w:eastAsia="仿宋_GB2312" w:cs="仿宋_GB2312"/>
                      <w:color w:val="000000"/>
                      <w:sz w:val="24"/>
                    </w:rPr>
                    <w:t>a）应采取必要的措施识别安全漏洞和隐患，对发现的安全漏洞和隐患及时进行修补或评估可能的影响后进行修补；</w:t>
                  </w:r>
                </w:p>
              </w:tc>
            </w:tr>
            <w:tr w14:paraId="668F7C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6CAC748"/>
              </w:tc>
              <w:tc>
                <w:tcPr>
                  <w:tcW w:w="266" w:type="dxa"/>
                  <w:vMerge w:val="continue"/>
                  <w:tcBorders>
                    <w:top w:val="nil"/>
                    <w:left w:val="single" w:color="000000" w:sz="4" w:space="0"/>
                    <w:bottom w:val="single" w:color="000000" w:sz="4" w:space="0"/>
                    <w:right w:val="single" w:color="000000" w:sz="4" w:space="0"/>
                  </w:tcBorders>
                </w:tcPr>
                <w:p w14:paraId="21CB33BB"/>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97F40B">
                  <w:pPr>
                    <w:pStyle w:val="4"/>
                    <w:jc w:val="left"/>
                  </w:pPr>
                  <w:r>
                    <w:rPr>
                      <w:rFonts w:ascii="仿宋_GB2312" w:hAnsi="仿宋_GB2312" w:eastAsia="仿宋_GB2312" w:cs="仿宋_GB2312"/>
                      <w:color w:val="000000"/>
                      <w:sz w:val="24"/>
                    </w:rPr>
                    <w:t>b)应定期开展安全测评，形成安全测评报告，采取措施应对发现的安全问题。</w:t>
                  </w:r>
                </w:p>
              </w:tc>
            </w:tr>
            <w:tr w14:paraId="00E02B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253E3589"/>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06CF25">
                  <w:pPr>
                    <w:pStyle w:val="4"/>
                    <w:jc w:val="center"/>
                  </w:pPr>
                  <w:r>
                    <w:rPr>
                      <w:rFonts w:ascii="仿宋_GB2312" w:hAnsi="仿宋_GB2312" w:eastAsia="仿宋_GB2312" w:cs="仿宋_GB2312"/>
                      <w:color w:val="000000"/>
                      <w:sz w:val="24"/>
                    </w:rPr>
                    <w:t>网络和系统安全管理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B75C06">
                  <w:pPr>
                    <w:pStyle w:val="4"/>
                    <w:jc w:val="left"/>
                  </w:pPr>
                  <w:r>
                    <w:rPr>
                      <w:rFonts w:ascii="仿宋_GB2312" w:hAnsi="仿宋_GB2312" w:eastAsia="仿宋_GB2312" w:cs="仿宋_GB2312"/>
                      <w:color w:val="000000"/>
                      <w:sz w:val="24"/>
                    </w:rPr>
                    <w:t>a）应划分不同的管理员角色进行网络和系统的运维管理，明确各个角色的责任和权限；</w:t>
                  </w:r>
                </w:p>
              </w:tc>
            </w:tr>
            <w:tr w14:paraId="0DE7F3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DC1BC25"/>
              </w:tc>
              <w:tc>
                <w:tcPr>
                  <w:tcW w:w="266" w:type="dxa"/>
                  <w:vMerge w:val="continue"/>
                  <w:tcBorders>
                    <w:top w:val="nil"/>
                    <w:left w:val="single" w:color="000000" w:sz="4" w:space="0"/>
                    <w:bottom w:val="single" w:color="000000" w:sz="4" w:space="0"/>
                    <w:right w:val="single" w:color="000000" w:sz="4" w:space="0"/>
                  </w:tcBorders>
                </w:tcPr>
                <w:p w14:paraId="3408D232"/>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53C292">
                  <w:pPr>
                    <w:pStyle w:val="4"/>
                    <w:jc w:val="left"/>
                  </w:pPr>
                  <w:r>
                    <w:rPr>
                      <w:rFonts w:ascii="仿宋_GB2312" w:hAnsi="仿宋_GB2312" w:eastAsia="仿宋_GB2312" w:cs="仿宋_GB2312"/>
                      <w:color w:val="000000"/>
                      <w:sz w:val="24"/>
                    </w:rPr>
                    <w:t>b）应指定专门的部门或人员进行账户管理，对申请账户，建立账户、删除账户等进行控制；</w:t>
                  </w:r>
                </w:p>
              </w:tc>
            </w:tr>
            <w:tr w14:paraId="62EFE5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0AE2DBC"/>
              </w:tc>
              <w:tc>
                <w:tcPr>
                  <w:tcW w:w="266" w:type="dxa"/>
                  <w:vMerge w:val="continue"/>
                  <w:tcBorders>
                    <w:top w:val="nil"/>
                    <w:left w:val="single" w:color="000000" w:sz="4" w:space="0"/>
                    <w:bottom w:val="single" w:color="000000" w:sz="4" w:space="0"/>
                    <w:right w:val="single" w:color="000000" w:sz="4" w:space="0"/>
                  </w:tcBorders>
                </w:tcPr>
                <w:p w14:paraId="00AC0B49"/>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6FE5A1">
                  <w:pPr>
                    <w:pStyle w:val="4"/>
                    <w:jc w:val="left"/>
                  </w:pPr>
                  <w:r>
                    <w:rPr>
                      <w:rFonts w:ascii="仿宋_GB2312" w:hAnsi="仿宋_GB2312" w:eastAsia="仿宋_GB2312" w:cs="仿宋_GB2312"/>
                      <w:color w:val="000000"/>
                      <w:sz w:val="24"/>
                    </w:rPr>
                    <w:t>c）应建立网络和系统安全管理制度，对安全策略、账户管理、配置管理、日志管理、日常操作、升级与打补丁、口令更新周期等方面作出规定；</w:t>
                  </w:r>
                </w:p>
              </w:tc>
            </w:tr>
            <w:tr w14:paraId="70A937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92683F5"/>
              </w:tc>
              <w:tc>
                <w:tcPr>
                  <w:tcW w:w="266" w:type="dxa"/>
                  <w:vMerge w:val="continue"/>
                  <w:tcBorders>
                    <w:top w:val="nil"/>
                    <w:left w:val="single" w:color="000000" w:sz="4" w:space="0"/>
                    <w:bottom w:val="single" w:color="000000" w:sz="4" w:space="0"/>
                    <w:right w:val="single" w:color="000000" w:sz="4" w:space="0"/>
                  </w:tcBorders>
                </w:tcPr>
                <w:p w14:paraId="59AC4990"/>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8A8FA6">
                  <w:pPr>
                    <w:pStyle w:val="4"/>
                    <w:jc w:val="left"/>
                  </w:pPr>
                  <w:r>
                    <w:rPr>
                      <w:rFonts w:ascii="仿宋_GB2312" w:hAnsi="仿宋_GB2312" w:eastAsia="仿宋_GB2312" w:cs="仿宋_GB2312"/>
                      <w:color w:val="000000"/>
                      <w:sz w:val="24"/>
                    </w:rPr>
                    <w:t>d）应制定重要设备的配置和操作手册，依据手册对设备进行安全配置和优化配置等；</w:t>
                  </w:r>
                </w:p>
              </w:tc>
            </w:tr>
            <w:tr w14:paraId="4444CD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5C257B9"/>
              </w:tc>
              <w:tc>
                <w:tcPr>
                  <w:tcW w:w="266" w:type="dxa"/>
                  <w:vMerge w:val="continue"/>
                  <w:tcBorders>
                    <w:top w:val="nil"/>
                    <w:left w:val="single" w:color="000000" w:sz="4" w:space="0"/>
                    <w:bottom w:val="single" w:color="000000" w:sz="4" w:space="0"/>
                    <w:right w:val="single" w:color="000000" w:sz="4" w:space="0"/>
                  </w:tcBorders>
                </w:tcPr>
                <w:p w14:paraId="3F02170C"/>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B8A9B">
                  <w:pPr>
                    <w:pStyle w:val="4"/>
                    <w:jc w:val="left"/>
                  </w:pPr>
                  <w:r>
                    <w:rPr>
                      <w:rFonts w:ascii="仿宋_GB2312" w:hAnsi="仿宋_GB2312" w:eastAsia="仿宋_GB2312" w:cs="仿宋_GB2312"/>
                      <w:color w:val="000000"/>
                      <w:sz w:val="24"/>
                    </w:rPr>
                    <w:t>e）应详细记录运维操作日志，包括日常巡检工作，运行维护记录、参数的设置和修改的内容；</w:t>
                  </w:r>
                </w:p>
              </w:tc>
            </w:tr>
            <w:tr w14:paraId="504DA2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EA63B3C"/>
              </w:tc>
              <w:tc>
                <w:tcPr>
                  <w:tcW w:w="266" w:type="dxa"/>
                  <w:vMerge w:val="continue"/>
                  <w:tcBorders>
                    <w:top w:val="nil"/>
                    <w:left w:val="single" w:color="000000" w:sz="4" w:space="0"/>
                    <w:bottom w:val="single" w:color="000000" w:sz="4" w:space="0"/>
                    <w:right w:val="single" w:color="000000" w:sz="4" w:space="0"/>
                  </w:tcBorders>
                </w:tcPr>
                <w:p w14:paraId="154A36B4"/>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79AC8F">
                  <w:pPr>
                    <w:pStyle w:val="4"/>
                    <w:jc w:val="left"/>
                  </w:pPr>
                  <w:r>
                    <w:rPr>
                      <w:rFonts w:ascii="仿宋_GB2312" w:hAnsi="仿宋_GB2312" w:eastAsia="仿宋_GB2312" w:cs="仿宋_GB2312"/>
                      <w:color w:val="000000"/>
                      <w:sz w:val="24"/>
                    </w:rPr>
                    <w:t>f）应指定专门的部门或人员对日志、监测和报警数据等进行分析、统计，及时发现可疑行为；</w:t>
                  </w:r>
                </w:p>
              </w:tc>
            </w:tr>
            <w:tr w14:paraId="53485E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21A8AB8"/>
              </w:tc>
              <w:tc>
                <w:tcPr>
                  <w:tcW w:w="266" w:type="dxa"/>
                  <w:vMerge w:val="continue"/>
                  <w:tcBorders>
                    <w:top w:val="nil"/>
                    <w:left w:val="single" w:color="000000" w:sz="4" w:space="0"/>
                    <w:bottom w:val="single" w:color="000000" w:sz="4" w:space="0"/>
                    <w:right w:val="single" w:color="000000" w:sz="4" w:space="0"/>
                  </w:tcBorders>
                </w:tcPr>
                <w:p w14:paraId="73984858"/>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796EF0">
                  <w:pPr>
                    <w:pStyle w:val="4"/>
                    <w:jc w:val="left"/>
                  </w:pPr>
                  <w:r>
                    <w:rPr>
                      <w:rFonts w:ascii="仿宋_GB2312" w:hAnsi="仿宋_GB2312" w:eastAsia="仿宋_GB2312" w:cs="仿宋_GB2312"/>
                      <w:color w:val="000000"/>
                      <w:sz w:val="24"/>
                    </w:rPr>
                    <w:t>g）应严格控制变更性运维，经过审批后才可改变连接，安装系统组件或调整配置参数，操作过程中应保留不可更改的审计日志，操作结束后应同步配置更新配置信息库；</w:t>
                  </w:r>
                </w:p>
              </w:tc>
            </w:tr>
            <w:tr w14:paraId="0C0134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11141E17"/>
              </w:tc>
              <w:tc>
                <w:tcPr>
                  <w:tcW w:w="266" w:type="dxa"/>
                  <w:vMerge w:val="continue"/>
                  <w:tcBorders>
                    <w:top w:val="nil"/>
                    <w:left w:val="single" w:color="000000" w:sz="4" w:space="0"/>
                    <w:bottom w:val="single" w:color="000000" w:sz="4" w:space="0"/>
                    <w:right w:val="single" w:color="000000" w:sz="4" w:space="0"/>
                  </w:tcBorders>
                </w:tcPr>
                <w:p w14:paraId="24A729B3"/>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57E2E8">
                  <w:pPr>
                    <w:pStyle w:val="4"/>
                    <w:jc w:val="left"/>
                  </w:pPr>
                  <w:r>
                    <w:rPr>
                      <w:rFonts w:ascii="仿宋_GB2312" w:hAnsi="仿宋_GB2312" w:eastAsia="仿宋_GB2312" w:cs="仿宋_GB2312"/>
                      <w:color w:val="000000"/>
                      <w:sz w:val="24"/>
                    </w:rPr>
                    <w:t>H）应严格控制运维工具的使用，经过审批后才可接入进行操作，操作过程中应保留不可更改的审计日志，操作结束后应删除工具中的敏感数据；</w:t>
                  </w:r>
                </w:p>
              </w:tc>
            </w:tr>
            <w:tr w14:paraId="2E736A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303428F4"/>
              </w:tc>
              <w:tc>
                <w:tcPr>
                  <w:tcW w:w="266" w:type="dxa"/>
                  <w:vMerge w:val="continue"/>
                  <w:tcBorders>
                    <w:top w:val="nil"/>
                    <w:left w:val="single" w:color="000000" w:sz="4" w:space="0"/>
                    <w:bottom w:val="single" w:color="000000" w:sz="4" w:space="0"/>
                    <w:right w:val="single" w:color="000000" w:sz="4" w:space="0"/>
                  </w:tcBorders>
                </w:tcPr>
                <w:p w14:paraId="568A9991"/>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3A90E">
                  <w:pPr>
                    <w:pStyle w:val="4"/>
                    <w:jc w:val="left"/>
                  </w:pPr>
                  <w:r>
                    <w:rPr>
                      <w:rFonts w:ascii="仿宋_GB2312" w:hAnsi="仿宋_GB2312" w:eastAsia="仿宋_GB2312" w:cs="仿宋_GB2312"/>
                      <w:color w:val="000000"/>
                      <w:sz w:val="24"/>
                    </w:rPr>
                    <w:t>i）应严格控制远程运维的开通，经过审批后才可开通远程运维接口或通道，操作过程中应保留不可更改的审计日志，操作结束后立即关闭接口或通道；</w:t>
                  </w:r>
                </w:p>
              </w:tc>
            </w:tr>
            <w:tr w14:paraId="352754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2F9D34AA"/>
              </w:tc>
              <w:tc>
                <w:tcPr>
                  <w:tcW w:w="266" w:type="dxa"/>
                  <w:vMerge w:val="continue"/>
                  <w:tcBorders>
                    <w:top w:val="nil"/>
                    <w:left w:val="single" w:color="000000" w:sz="4" w:space="0"/>
                    <w:bottom w:val="single" w:color="000000" w:sz="4" w:space="0"/>
                    <w:right w:val="single" w:color="000000" w:sz="4" w:space="0"/>
                  </w:tcBorders>
                </w:tcPr>
                <w:p w14:paraId="1A45E78E"/>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F176A6">
                  <w:pPr>
                    <w:pStyle w:val="4"/>
                    <w:jc w:val="left"/>
                  </w:pPr>
                  <w:r>
                    <w:rPr>
                      <w:rFonts w:ascii="仿宋_GB2312" w:hAnsi="仿宋_GB2312" w:eastAsia="仿宋_GB2312" w:cs="仿宋_GB2312"/>
                      <w:color w:val="000000"/>
                      <w:sz w:val="24"/>
                    </w:rPr>
                    <w:t>j）应保证所有与外部的连接均得到授权和批准，应定期检查违反规定无线上网及其他违反网络安全策略行为。</w:t>
                  </w:r>
                </w:p>
              </w:tc>
            </w:tr>
            <w:tr w14:paraId="144650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D2260A4"/>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7C50F">
                  <w:pPr>
                    <w:pStyle w:val="4"/>
                    <w:jc w:val="center"/>
                  </w:pPr>
                  <w:r>
                    <w:rPr>
                      <w:rFonts w:ascii="仿宋_GB2312" w:hAnsi="仿宋_GB2312" w:eastAsia="仿宋_GB2312" w:cs="仿宋_GB2312"/>
                      <w:color w:val="000000"/>
                      <w:sz w:val="24"/>
                    </w:rPr>
                    <w:t>恶意代码防范管理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BEF25">
                  <w:pPr>
                    <w:pStyle w:val="4"/>
                    <w:jc w:val="left"/>
                  </w:pPr>
                  <w:r>
                    <w:rPr>
                      <w:rFonts w:ascii="仿宋_GB2312" w:hAnsi="仿宋_GB2312" w:eastAsia="仿宋_GB2312" w:cs="仿宋_GB2312"/>
                      <w:color w:val="000000"/>
                      <w:sz w:val="24"/>
                    </w:rPr>
                    <w:t>a）应提高所有用户的防恶意代码意识，对外来计算机或存储设备接入系统前进行恶意代码检查等；</w:t>
                  </w:r>
                </w:p>
              </w:tc>
            </w:tr>
            <w:tr w14:paraId="736D82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51B8495"/>
              </w:tc>
              <w:tc>
                <w:tcPr>
                  <w:tcW w:w="266" w:type="dxa"/>
                  <w:vMerge w:val="continue"/>
                  <w:tcBorders>
                    <w:top w:val="nil"/>
                    <w:left w:val="single" w:color="000000" w:sz="4" w:space="0"/>
                    <w:bottom w:val="single" w:color="000000" w:sz="4" w:space="0"/>
                    <w:right w:val="single" w:color="000000" w:sz="4" w:space="0"/>
                  </w:tcBorders>
                </w:tcPr>
                <w:p w14:paraId="2C92C6D7"/>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5F9FD1">
                  <w:pPr>
                    <w:pStyle w:val="4"/>
                    <w:jc w:val="left"/>
                  </w:pPr>
                  <w:r>
                    <w:rPr>
                      <w:rFonts w:ascii="仿宋_GB2312" w:hAnsi="仿宋_GB2312" w:eastAsia="仿宋_GB2312" w:cs="仿宋_GB2312"/>
                      <w:color w:val="000000"/>
                      <w:sz w:val="24"/>
                    </w:rPr>
                    <w:t>b）应定期验证防范恶意代码攻击的技术措施的有效性。</w:t>
                  </w:r>
                </w:p>
              </w:tc>
            </w:tr>
            <w:tr w14:paraId="60264C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27479D2"/>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1ECBE7">
                  <w:pPr>
                    <w:pStyle w:val="4"/>
                    <w:jc w:val="center"/>
                  </w:pPr>
                  <w:r>
                    <w:rPr>
                      <w:rFonts w:ascii="仿宋_GB2312" w:hAnsi="仿宋_GB2312" w:eastAsia="仿宋_GB2312" w:cs="仿宋_GB2312"/>
                      <w:color w:val="000000"/>
                      <w:sz w:val="24"/>
                    </w:rPr>
                    <w:t>配置管理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2F7BCA">
                  <w:pPr>
                    <w:pStyle w:val="4"/>
                    <w:jc w:val="left"/>
                  </w:pPr>
                  <w:r>
                    <w:rPr>
                      <w:rFonts w:ascii="仿宋_GB2312" w:hAnsi="仿宋_GB2312" w:eastAsia="仿宋_GB2312" w:cs="仿宋_GB2312"/>
                      <w:color w:val="000000"/>
                      <w:sz w:val="24"/>
                    </w:rPr>
                    <w:t>a）应记录和保存基本配置信息，包括网络拓扑结构、各类设备安装的软件组件、软件组件的版本和补丁信息、各个设备或软件组件的配置参数等；</w:t>
                  </w:r>
                </w:p>
              </w:tc>
            </w:tr>
            <w:tr w14:paraId="3AF66D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18EBF18"/>
              </w:tc>
              <w:tc>
                <w:tcPr>
                  <w:tcW w:w="266" w:type="dxa"/>
                  <w:vMerge w:val="continue"/>
                  <w:tcBorders>
                    <w:top w:val="nil"/>
                    <w:left w:val="single" w:color="000000" w:sz="4" w:space="0"/>
                    <w:bottom w:val="single" w:color="000000" w:sz="4" w:space="0"/>
                    <w:right w:val="single" w:color="000000" w:sz="4" w:space="0"/>
                  </w:tcBorders>
                </w:tcPr>
                <w:p w14:paraId="77D4848B"/>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D74DD7">
                  <w:pPr>
                    <w:pStyle w:val="4"/>
                    <w:jc w:val="left"/>
                  </w:pPr>
                  <w:r>
                    <w:rPr>
                      <w:rFonts w:ascii="仿宋_GB2312" w:hAnsi="仿宋_GB2312" w:eastAsia="仿宋_GB2312" w:cs="仿宋_GB2312"/>
                      <w:color w:val="000000"/>
                      <w:sz w:val="24"/>
                    </w:rPr>
                    <w:t>b)应将基本信息改变纳入变更范畴，实施对配置信息改变的控制，并及时更新基本配置信息库。</w:t>
                  </w:r>
                </w:p>
              </w:tc>
            </w:tr>
            <w:tr w14:paraId="410040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16E66113"/>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19D649">
                  <w:pPr>
                    <w:pStyle w:val="4"/>
                    <w:jc w:val="center"/>
                  </w:pPr>
                  <w:r>
                    <w:rPr>
                      <w:rFonts w:ascii="仿宋_GB2312" w:hAnsi="仿宋_GB2312" w:eastAsia="仿宋_GB2312" w:cs="仿宋_GB2312"/>
                      <w:color w:val="000000"/>
                      <w:sz w:val="24"/>
                    </w:rPr>
                    <w:t>密码管理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138564">
                  <w:pPr>
                    <w:pStyle w:val="4"/>
                    <w:jc w:val="left"/>
                  </w:pPr>
                  <w:r>
                    <w:rPr>
                      <w:rFonts w:ascii="仿宋_GB2312" w:hAnsi="仿宋_GB2312" w:eastAsia="仿宋_GB2312" w:cs="仿宋_GB2312"/>
                      <w:color w:val="000000"/>
                      <w:sz w:val="24"/>
                    </w:rPr>
                    <w:t>a）应遵循密码相关国家标准和行业标准；</w:t>
                  </w:r>
                </w:p>
              </w:tc>
            </w:tr>
            <w:tr w14:paraId="65A323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ECD21D4"/>
              </w:tc>
              <w:tc>
                <w:tcPr>
                  <w:tcW w:w="266" w:type="dxa"/>
                  <w:vMerge w:val="continue"/>
                  <w:tcBorders>
                    <w:top w:val="nil"/>
                    <w:left w:val="single" w:color="000000" w:sz="4" w:space="0"/>
                    <w:bottom w:val="single" w:color="000000" w:sz="4" w:space="0"/>
                    <w:right w:val="single" w:color="000000" w:sz="4" w:space="0"/>
                  </w:tcBorders>
                </w:tcPr>
                <w:p w14:paraId="7EF16598"/>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6789BB">
                  <w:pPr>
                    <w:pStyle w:val="4"/>
                    <w:jc w:val="left"/>
                  </w:pPr>
                  <w:r>
                    <w:rPr>
                      <w:rFonts w:ascii="仿宋_GB2312" w:hAnsi="仿宋_GB2312" w:eastAsia="仿宋_GB2312" w:cs="仿宋_GB2312"/>
                      <w:color w:val="000000"/>
                      <w:sz w:val="24"/>
                    </w:rPr>
                    <w:t>b）应使用国家密码管理主管部门认证核准的密码技术和产品。</w:t>
                  </w:r>
                </w:p>
              </w:tc>
            </w:tr>
            <w:tr w14:paraId="6FB306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1692692"/>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D3C095">
                  <w:pPr>
                    <w:pStyle w:val="4"/>
                    <w:jc w:val="center"/>
                  </w:pPr>
                  <w:r>
                    <w:rPr>
                      <w:rFonts w:ascii="仿宋_GB2312" w:hAnsi="仿宋_GB2312" w:eastAsia="仿宋_GB2312" w:cs="仿宋_GB2312"/>
                      <w:color w:val="000000"/>
                      <w:sz w:val="24"/>
                    </w:rPr>
                    <w:t>变更管理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24977A">
                  <w:pPr>
                    <w:pStyle w:val="4"/>
                    <w:jc w:val="left"/>
                  </w:pPr>
                  <w:r>
                    <w:rPr>
                      <w:rFonts w:ascii="仿宋_GB2312" w:hAnsi="仿宋_GB2312" w:eastAsia="仿宋_GB2312" w:cs="仿宋_GB2312"/>
                      <w:color w:val="000000"/>
                      <w:sz w:val="24"/>
                    </w:rPr>
                    <w:t>a）应明确变更需求，变更前根据变更需求制定变更方案、变更方案经过评审、审批后方可实施；</w:t>
                  </w:r>
                </w:p>
              </w:tc>
            </w:tr>
            <w:tr w14:paraId="534BE8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0BC83A9"/>
              </w:tc>
              <w:tc>
                <w:tcPr>
                  <w:tcW w:w="266" w:type="dxa"/>
                  <w:vMerge w:val="continue"/>
                  <w:tcBorders>
                    <w:top w:val="nil"/>
                    <w:left w:val="single" w:color="000000" w:sz="4" w:space="0"/>
                    <w:bottom w:val="single" w:color="000000" w:sz="4" w:space="0"/>
                    <w:right w:val="single" w:color="000000" w:sz="4" w:space="0"/>
                  </w:tcBorders>
                </w:tcPr>
                <w:p w14:paraId="65A4359D"/>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1045E">
                  <w:pPr>
                    <w:pStyle w:val="4"/>
                    <w:jc w:val="left"/>
                  </w:pPr>
                  <w:r>
                    <w:rPr>
                      <w:rFonts w:ascii="仿宋_GB2312" w:hAnsi="仿宋_GB2312" w:eastAsia="仿宋_GB2312" w:cs="仿宋_GB2312"/>
                      <w:color w:val="000000"/>
                      <w:sz w:val="24"/>
                    </w:rPr>
                    <w:t>b）应建立变更的申报和审批控制程序，依据程序控制所有的变更，记录变更实施过程；</w:t>
                  </w:r>
                </w:p>
              </w:tc>
            </w:tr>
            <w:tr w14:paraId="72517E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31C0557"/>
              </w:tc>
              <w:tc>
                <w:tcPr>
                  <w:tcW w:w="266" w:type="dxa"/>
                  <w:vMerge w:val="continue"/>
                  <w:tcBorders>
                    <w:top w:val="nil"/>
                    <w:left w:val="single" w:color="000000" w:sz="4" w:space="0"/>
                    <w:bottom w:val="single" w:color="000000" w:sz="4" w:space="0"/>
                    <w:right w:val="single" w:color="000000" w:sz="4" w:space="0"/>
                  </w:tcBorders>
                </w:tcPr>
                <w:p w14:paraId="6CF14D95"/>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2407C6">
                  <w:pPr>
                    <w:pStyle w:val="4"/>
                    <w:jc w:val="left"/>
                  </w:pPr>
                  <w:r>
                    <w:rPr>
                      <w:rFonts w:ascii="仿宋_GB2312" w:hAnsi="仿宋_GB2312" w:eastAsia="仿宋_GB2312" w:cs="仿宋_GB2312"/>
                      <w:color w:val="000000"/>
                      <w:sz w:val="24"/>
                    </w:rPr>
                    <w:t>c）应建立终止变更并从失败的变更中恢复的程序，明确过程控制方法和人员职责，必要时对恢复过程进行演练。</w:t>
                  </w:r>
                </w:p>
              </w:tc>
            </w:tr>
            <w:tr w14:paraId="081E70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F74E605"/>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803FB">
                  <w:pPr>
                    <w:pStyle w:val="4"/>
                    <w:jc w:val="center"/>
                  </w:pPr>
                  <w:r>
                    <w:rPr>
                      <w:rFonts w:ascii="仿宋_GB2312" w:hAnsi="仿宋_GB2312" w:eastAsia="仿宋_GB2312" w:cs="仿宋_GB2312"/>
                      <w:color w:val="000000"/>
                      <w:sz w:val="24"/>
                    </w:rPr>
                    <w:t>备份与恢复管理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D3C50A">
                  <w:pPr>
                    <w:pStyle w:val="4"/>
                    <w:jc w:val="left"/>
                  </w:pPr>
                  <w:r>
                    <w:rPr>
                      <w:rFonts w:ascii="仿宋_GB2312" w:hAnsi="仿宋_GB2312" w:eastAsia="仿宋_GB2312" w:cs="仿宋_GB2312"/>
                      <w:color w:val="000000"/>
                      <w:sz w:val="24"/>
                    </w:rPr>
                    <w:t>a）应识别需要定期备份的重要业务信息、系统数据及软件系统等；</w:t>
                  </w:r>
                </w:p>
              </w:tc>
            </w:tr>
            <w:tr w14:paraId="688302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3580AA38"/>
              </w:tc>
              <w:tc>
                <w:tcPr>
                  <w:tcW w:w="266" w:type="dxa"/>
                  <w:vMerge w:val="continue"/>
                  <w:tcBorders>
                    <w:top w:val="nil"/>
                    <w:left w:val="single" w:color="000000" w:sz="4" w:space="0"/>
                    <w:bottom w:val="single" w:color="000000" w:sz="4" w:space="0"/>
                    <w:right w:val="single" w:color="000000" w:sz="4" w:space="0"/>
                  </w:tcBorders>
                </w:tcPr>
                <w:p w14:paraId="2FFDCDA0"/>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C07991">
                  <w:pPr>
                    <w:pStyle w:val="4"/>
                    <w:jc w:val="left"/>
                  </w:pPr>
                  <w:r>
                    <w:rPr>
                      <w:rFonts w:ascii="仿宋_GB2312" w:hAnsi="仿宋_GB2312" w:eastAsia="仿宋_GB2312" w:cs="仿宋_GB2312"/>
                      <w:color w:val="000000"/>
                      <w:sz w:val="24"/>
                    </w:rPr>
                    <w:t>b）应规定备份信息的备份方式、备份频度、存储介质和保存期等；</w:t>
                  </w:r>
                </w:p>
              </w:tc>
            </w:tr>
            <w:tr w14:paraId="6BE37F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65E9C82E"/>
              </w:tc>
              <w:tc>
                <w:tcPr>
                  <w:tcW w:w="266" w:type="dxa"/>
                  <w:vMerge w:val="continue"/>
                  <w:tcBorders>
                    <w:top w:val="nil"/>
                    <w:left w:val="single" w:color="000000" w:sz="4" w:space="0"/>
                    <w:bottom w:val="single" w:color="000000" w:sz="4" w:space="0"/>
                    <w:right w:val="single" w:color="000000" w:sz="4" w:space="0"/>
                  </w:tcBorders>
                </w:tcPr>
                <w:p w14:paraId="0448E0C8"/>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AECF4A">
                  <w:pPr>
                    <w:pStyle w:val="4"/>
                    <w:jc w:val="left"/>
                  </w:pPr>
                  <w:r>
                    <w:rPr>
                      <w:rFonts w:ascii="仿宋_GB2312" w:hAnsi="仿宋_GB2312" w:eastAsia="仿宋_GB2312" w:cs="仿宋_GB2312"/>
                      <w:color w:val="000000"/>
                      <w:sz w:val="24"/>
                    </w:rPr>
                    <w:t>c）应根据数据的重要性和数据对系统运行的影响，制定数据的备份策略和恢复策略，备份程序和恢复程序等。</w:t>
                  </w:r>
                </w:p>
              </w:tc>
            </w:tr>
            <w:tr w14:paraId="7293D4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2C8C89B"/>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FAAB3D">
                  <w:pPr>
                    <w:pStyle w:val="4"/>
                    <w:jc w:val="center"/>
                  </w:pPr>
                  <w:r>
                    <w:rPr>
                      <w:rFonts w:ascii="仿宋_GB2312" w:hAnsi="仿宋_GB2312" w:eastAsia="仿宋_GB2312" w:cs="仿宋_GB2312"/>
                      <w:color w:val="000000"/>
                      <w:sz w:val="24"/>
                    </w:rPr>
                    <w:t>安全事件处置</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D3887F">
                  <w:pPr>
                    <w:pStyle w:val="4"/>
                    <w:jc w:val="left"/>
                  </w:pPr>
                  <w:r>
                    <w:rPr>
                      <w:rFonts w:ascii="仿宋_GB2312" w:hAnsi="仿宋_GB2312" w:eastAsia="仿宋_GB2312" w:cs="仿宋_GB2312"/>
                      <w:color w:val="000000"/>
                      <w:sz w:val="24"/>
                    </w:rPr>
                    <w:t>a）应及时向安全管理部门报告所发现的安全弱点和可疑事件；</w:t>
                  </w:r>
                </w:p>
              </w:tc>
            </w:tr>
            <w:tr w14:paraId="609C86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25C508C1"/>
              </w:tc>
              <w:tc>
                <w:tcPr>
                  <w:tcW w:w="266" w:type="dxa"/>
                  <w:vMerge w:val="continue"/>
                  <w:tcBorders>
                    <w:top w:val="nil"/>
                    <w:left w:val="single" w:color="000000" w:sz="4" w:space="0"/>
                    <w:bottom w:val="single" w:color="000000" w:sz="4" w:space="0"/>
                    <w:right w:val="single" w:color="000000" w:sz="4" w:space="0"/>
                  </w:tcBorders>
                </w:tcPr>
                <w:p w14:paraId="29F3102D"/>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5792C">
                  <w:pPr>
                    <w:pStyle w:val="4"/>
                    <w:jc w:val="left"/>
                  </w:pPr>
                  <w:r>
                    <w:rPr>
                      <w:rFonts w:ascii="仿宋_GB2312" w:hAnsi="仿宋_GB2312" w:eastAsia="仿宋_GB2312" w:cs="仿宋_GB2312"/>
                      <w:color w:val="000000"/>
                      <w:sz w:val="24"/>
                    </w:rPr>
                    <w:t>b）应制定安全事件报告和处置管理制度，明确不同安全事件的报告、处置和响应流程，规定安全事件的现场处理、事件报告和后期恢复的管理职责等；</w:t>
                  </w:r>
                </w:p>
              </w:tc>
            </w:tr>
            <w:tr w14:paraId="5C96F6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5F5898F0"/>
              </w:tc>
              <w:tc>
                <w:tcPr>
                  <w:tcW w:w="266" w:type="dxa"/>
                  <w:vMerge w:val="continue"/>
                  <w:tcBorders>
                    <w:top w:val="nil"/>
                    <w:left w:val="single" w:color="000000" w:sz="4" w:space="0"/>
                    <w:bottom w:val="single" w:color="000000" w:sz="4" w:space="0"/>
                    <w:right w:val="single" w:color="000000" w:sz="4" w:space="0"/>
                  </w:tcBorders>
                </w:tcPr>
                <w:p w14:paraId="57B1F56D"/>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56162">
                  <w:pPr>
                    <w:pStyle w:val="4"/>
                    <w:jc w:val="left"/>
                  </w:pPr>
                  <w:r>
                    <w:rPr>
                      <w:rFonts w:ascii="仿宋_GB2312" w:hAnsi="仿宋_GB2312" w:eastAsia="仿宋_GB2312" w:cs="仿宋_GB2312"/>
                      <w:color w:val="000000"/>
                      <w:sz w:val="24"/>
                    </w:rPr>
                    <w:t>c）应在安全事件和响应处理过程中，分析和鉴定事件产生的原因，收集证据，记录处理过程，总结经验教训；</w:t>
                  </w:r>
                </w:p>
              </w:tc>
            </w:tr>
            <w:tr w14:paraId="50F1A8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8" w:type="dxa"/>
                  <w:vMerge w:val="continue"/>
                  <w:tcBorders>
                    <w:top w:val="nil"/>
                    <w:left w:val="single" w:color="000000" w:sz="4" w:space="0"/>
                    <w:bottom w:val="single" w:color="000000" w:sz="4" w:space="0"/>
                    <w:right w:val="single" w:color="000000" w:sz="4" w:space="0"/>
                  </w:tcBorders>
                </w:tcPr>
                <w:p w14:paraId="3EBE560E"/>
              </w:tc>
              <w:tc>
                <w:tcPr>
                  <w:tcW w:w="266" w:type="dxa"/>
                  <w:vMerge w:val="continue"/>
                  <w:tcBorders>
                    <w:top w:val="nil"/>
                    <w:left w:val="single" w:color="000000" w:sz="4" w:space="0"/>
                    <w:bottom w:val="single" w:color="000000" w:sz="4" w:space="0"/>
                    <w:right w:val="single" w:color="000000" w:sz="4" w:space="0"/>
                  </w:tcBorders>
                </w:tcPr>
                <w:p w14:paraId="58FFFCAA"/>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97C802">
                  <w:pPr>
                    <w:pStyle w:val="4"/>
                    <w:jc w:val="left"/>
                  </w:pPr>
                  <w:r>
                    <w:rPr>
                      <w:rFonts w:ascii="仿宋_GB2312" w:hAnsi="仿宋_GB2312" w:eastAsia="仿宋_GB2312" w:cs="仿宋_GB2312"/>
                      <w:color w:val="000000"/>
                      <w:sz w:val="24"/>
                    </w:rPr>
                    <w:t>D）对造成系统中断和造成信息泄露的重大安全事件应采用不同的处理程序和报告程序。</w:t>
                  </w:r>
                </w:p>
              </w:tc>
            </w:tr>
            <w:tr w14:paraId="684F76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8EE5C6B"/>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CE914">
                  <w:pPr>
                    <w:pStyle w:val="4"/>
                    <w:jc w:val="center"/>
                  </w:pPr>
                  <w:r>
                    <w:rPr>
                      <w:rFonts w:ascii="仿宋_GB2312" w:hAnsi="仿宋_GB2312" w:eastAsia="仿宋_GB2312" w:cs="仿宋_GB2312"/>
                      <w:color w:val="000000"/>
                      <w:sz w:val="24"/>
                    </w:rPr>
                    <w:t>应急预案管理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0EEEA0">
                  <w:pPr>
                    <w:pStyle w:val="4"/>
                    <w:jc w:val="left"/>
                  </w:pPr>
                  <w:r>
                    <w:rPr>
                      <w:rFonts w:ascii="仿宋_GB2312" w:hAnsi="仿宋_GB2312" w:eastAsia="仿宋_GB2312" w:cs="仿宋_GB2312"/>
                      <w:color w:val="000000"/>
                      <w:sz w:val="24"/>
                    </w:rPr>
                    <w:t>a)应规定统一的应急预案框架，包括启动预案的条件，应急组织构成，应急资源保障，事后教育和培训等内容；</w:t>
                  </w:r>
                </w:p>
              </w:tc>
            </w:tr>
            <w:tr w14:paraId="03E128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4845F8E"/>
              </w:tc>
              <w:tc>
                <w:tcPr>
                  <w:tcW w:w="266" w:type="dxa"/>
                  <w:vMerge w:val="continue"/>
                  <w:tcBorders>
                    <w:top w:val="nil"/>
                    <w:left w:val="single" w:color="000000" w:sz="4" w:space="0"/>
                    <w:bottom w:val="single" w:color="000000" w:sz="4" w:space="0"/>
                    <w:right w:val="single" w:color="000000" w:sz="4" w:space="0"/>
                  </w:tcBorders>
                </w:tcPr>
                <w:p w14:paraId="5BAC4051"/>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18424F">
                  <w:pPr>
                    <w:pStyle w:val="4"/>
                    <w:jc w:val="left"/>
                  </w:pPr>
                  <w:r>
                    <w:rPr>
                      <w:rFonts w:ascii="仿宋_GB2312" w:hAnsi="仿宋_GB2312" w:eastAsia="仿宋_GB2312" w:cs="仿宋_GB2312"/>
                      <w:color w:val="000000"/>
                      <w:sz w:val="24"/>
                    </w:rPr>
                    <w:t>b）应制定重要事件的应急预案，包括应急处理流程、系统恢复流程等内容；</w:t>
                  </w:r>
                </w:p>
              </w:tc>
            </w:tr>
            <w:tr w14:paraId="5DFFF2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63A183B"/>
              </w:tc>
              <w:tc>
                <w:tcPr>
                  <w:tcW w:w="266" w:type="dxa"/>
                  <w:vMerge w:val="continue"/>
                  <w:tcBorders>
                    <w:top w:val="nil"/>
                    <w:left w:val="single" w:color="000000" w:sz="4" w:space="0"/>
                    <w:bottom w:val="single" w:color="000000" w:sz="4" w:space="0"/>
                    <w:right w:val="single" w:color="000000" w:sz="4" w:space="0"/>
                  </w:tcBorders>
                </w:tcPr>
                <w:p w14:paraId="74E98B64"/>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E8A914">
                  <w:pPr>
                    <w:pStyle w:val="4"/>
                    <w:jc w:val="left"/>
                  </w:pPr>
                  <w:r>
                    <w:rPr>
                      <w:rFonts w:ascii="仿宋_GB2312" w:hAnsi="仿宋_GB2312" w:eastAsia="仿宋_GB2312" w:cs="仿宋_GB2312"/>
                      <w:color w:val="000000"/>
                      <w:sz w:val="24"/>
                    </w:rPr>
                    <w:t>c）应定期对系统相关的人员进行应急预案培训，并进行应急预案的演练；</w:t>
                  </w:r>
                </w:p>
              </w:tc>
            </w:tr>
            <w:tr w14:paraId="47FAD5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0F4EA4C7"/>
              </w:tc>
              <w:tc>
                <w:tcPr>
                  <w:tcW w:w="266" w:type="dxa"/>
                  <w:vMerge w:val="continue"/>
                  <w:tcBorders>
                    <w:top w:val="nil"/>
                    <w:left w:val="single" w:color="000000" w:sz="4" w:space="0"/>
                    <w:bottom w:val="single" w:color="000000" w:sz="4" w:space="0"/>
                    <w:right w:val="single" w:color="000000" w:sz="4" w:space="0"/>
                  </w:tcBorders>
                </w:tcPr>
                <w:p w14:paraId="6862BAB1"/>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8BA6F">
                  <w:pPr>
                    <w:pStyle w:val="4"/>
                    <w:jc w:val="left"/>
                  </w:pPr>
                  <w:r>
                    <w:rPr>
                      <w:rFonts w:ascii="仿宋_GB2312" w:hAnsi="仿宋_GB2312" w:eastAsia="仿宋_GB2312" w:cs="仿宋_GB2312"/>
                      <w:color w:val="000000"/>
                      <w:sz w:val="24"/>
                    </w:rPr>
                    <w:t>d)应定期对原有的应急预案重新评估，修订完善。</w:t>
                  </w:r>
                </w:p>
              </w:tc>
            </w:tr>
            <w:tr w14:paraId="732D8B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42086EE6"/>
              </w:tc>
              <w:tc>
                <w:tcPr>
                  <w:tcW w:w="2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A8169F">
                  <w:pPr>
                    <w:pStyle w:val="4"/>
                    <w:jc w:val="center"/>
                  </w:pPr>
                  <w:r>
                    <w:rPr>
                      <w:rFonts w:ascii="仿宋_GB2312" w:hAnsi="仿宋_GB2312" w:eastAsia="仿宋_GB2312" w:cs="仿宋_GB2312"/>
                      <w:color w:val="000000"/>
                      <w:sz w:val="24"/>
                    </w:rPr>
                    <w:t>外包运维管理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9CA51">
                  <w:pPr>
                    <w:pStyle w:val="4"/>
                    <w:jc w:val="left"/>
                  </w:pPr>
                  <w:r>
                    <w:rPr>
                      <w:rFonts w:ascii="仿宋_GB2312" w:hAnsi="仿宋_GB2312" w:eastAsia="仿宋_GB2312" w:cs="仿宋_GB2312"/>
                      <w:color w:val="000000"/>
                      <w:sz w:val="24"/>
                    </w:rPr>
                    <w:t>a）应确保外包运维服务商的选择符合国家有关规定；</w:t>
                  </w:r>
                </w:p>
              </w:tc>
            </w:tr>
            <w:tr w14:paraId="5756F9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1AF1DBA0"/>
              </w:tc>
              <w:tc>
                <w:tcPr>
                  <w:tcW w:w="266" w:type="dxa"/>
                  <w:vMerge w:val="continue"/>
                  <w:tcBorders>
                    <w:top w:val="nil"/>
                    <w:left w:val="single" w:color="000000" w:sz="4" w:space="0"/>
                    <w:bottom w:val="single" w:color="000000" w:sz="4" w:space="0"/>
                    <w:right w:val="single" w:color="000000" w:sz="4" w:space="0"/>
                  </w:tcBorders>
                </w:tcPr>
                <w:p w14:paraId="6E38F885"/>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DD721">
                  <w:pPr>
                    <w:pStyle w:val="4"/>
                    <w:jc w:val="left"/>
                  </w:pPr>
                  <w:r>
                    <w:rPr>
                      <w:rFonts w:ascii="仿宋_GB2312" w:hAnsi="仿宋_GB2312" w:eastAsia="仿宋_GB2312" w:cs="仿宋_GB2312"/>
                      <w:color w:val="000000"/>
                      <w:sz w:val="24"/>
                    </w:rPr>
                    <w:t>b）应与选定的外包运维服务商签订相关的协议，明确约定外包运维的范围、工作内容；</w:t>
                  </w:r>
                </w:p>
              </w:tc>
            </w:tr>
            <w:tr w14:paraId="6DD781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5A17E939"/>
              </w:tc>
              <w:tc>
                <w:tcPr>
                  <w:tcW w:w="266" w:type="dxa"/>
                  <w:vMerge w:val="continue"/>
                  <w:tcBorders>
                    <w:top w:val="nil"/>
                    <w:left w:val="single" w:color="000000" w:sz="4" w:space="0"/>
                    <w:bottom w:val="single" w:color="000000" w:sz="4" w:space="0"/>
                    <w:right w:val="single" w:color="000000" w:sz="4" w:space="0"/>
                  </w:tcBorders>
                </w:tcPr>
                <w:p w14:paraId="26647F02"/>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B31473">
                  <w:pPr>
                    <w:pStyle w:val="4"/>
                    <w:jc w:val="left"/>
                  </w:pPr>
                  <w:r>
                    <w:rPr>
                      <w:rFonts w:ascii="仿宋_GB2312" w:hAnsi="仿宋_GB2312" w:eastAsia="仿宋_GB2312" w:cs="仿宋_GB2312"/>
                      <w:color w:val="000000"/>
                      <w:sz w:val="24"/>
                    </w:rPr>
                    <w:t>d）应保证选择的外包运维服务商在技术和管理方面均应具有按照等级保护要求开展安全运维工作的能力，并将能力在签订的协议中明确；</w:t>
                  </w:r>
                </w:p>
              </w:tc>
            </w:tr>
            <w:tr w14:paraId="7C9C08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8" w:type="dxa"/>
                  <w:vMerge w:val="continue"/>
                  <w:tcBorders>
                    <w:top w:val="nil"/>
                    <w:left w:val="single" w:color="000000" w:sz="4" w:space="0"/>
                    <w:bottom w:val="single" w:color="000000" w:sz="4" w:space="0"/>
                    <w:right w:val="single" w:color="000000" w:sz="4" w:space="0"/>
                  </w:tcBorders>
                </w:tcPr>
                <w:p w14:paraId="73ADF2D4"/>
              </w:tc>
              <w:tc>
                <w:tcPr>
                  <w:tcW w:w="266" w:type="dxa"/>
                  <w:vMerge w:val="continue"/>
                  <w:tcBorders>
                    <w:top w:val="nil"/>
                    <w:left w:val="single" w:color="000000" w:sz="4" w:space="0"/>
                    <w:bottom w:val="single" w:color="000000" w:sz="4" w:space="0"/>
                    <w:right w:val="single" w:color="000000" w:sz="4" w:space="0"/>
                  </w:tcBorders>
                </w:tcPr>
                <w:p w14:paraId="2145CD1C"/>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F3FE3C">
                  <w:pPr>
                    <w:pStyle w:val="4"/>
                    <w:jc w:val="left"/>
                  </w:pPr>
                  <w:r>
                    <w:rPr>
                      <w:rFonts w:ascii="仿宋_GB2312" w:hAnsi="仿宋_GB2312" w:eastAsia="仿宋_GB2312" w:cs="仿宋_GB2312"/>
                      <w:color w:val="000000"/>
                      <w:sz w:val="24"/>
                    </w:rPr>
                    <w:t>d）应在与外包运维服务商签订的协议中明确所有相关的安全要求，如可能涉及对敏感信息的访问、处理、储存要求，对IT基础设施中断服务的应急保障要求等。</w:t>
                  </w:r>
                </w:p>
              </w:tc>
            </w:tr>
          </w:tbl>
          <w:p w14:paraId="20112C85"/>
        </w:tc>
      </w:tr>
      <w:tr w14:paraId="50C98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tcPr>
          <w:p w14:paraId="0919AF5F">
            <w:pPr>
              <w:pStyle w:val="4"/>
            </w:pPr>
            <w:r>
              <w:rPr>
                <w:rFonts w:ascii="仿宋_GB2312" w:hAnsi="仿宋_GB2312" w:eastAsia="仿宋_GB2312" w:cs="仿宋_GB2312"/>
              </w:rPr>
              <w:t>4</w:t>
            </w:r>
          </w:p>
        </w:tc>
        <w:tc>
          <w:tcPr>
            <w:tcW w:w="1043" w:type="dxa"/>
          </w:tcPr>
          <w:p w14:paraId="3448D765"/>
        </w:tc>
        <w:tc>
          <w:tcPr>
            <w:tcW w:w="6620" w:type="dxa"/>
          </w:tcPr>
          <w:p w14:paraId="36FECE5B">
            <w:pPr>
              <w:pStyle w:val="4"/>
            </w:pPr>
            <w:r>
              <w:rPr>
                <w:rFonts w:ascii="仿宋_GB2312" w:hAnsi="仿宋_GB2312" w:eastAsia="仿宋_GB2312" w:cs="仿宋_GB2312"/>
                <w:b/>
                <w:color w:val="000000"/>
                <w:sz w:val="24"/>
              </w:rPr>
              <w:t>三、项目管理要求</w:t>
            </w:r>
          </w:p>
          <w:p w14:paraId="41DB6728">
            <w:pPr>
              <w:pStyle w:val="4"/>
              <w:ind w:left="540"/>
            </w:pPr>
            <w:r>
              <w:rPr>
                <w:rFonts w:ascii="仿宋_GB2312" w:hAnsi="仿宋_GB2312" w:eastAsia="仿宋_GB2312" w:cs="仿宋_GB2312"/>
                <w:b/>
                <w:color w:val="000000"/>
                <w:sz w:val="24"/>
              </w:rPr>
              <w:t>1、项目管理总体要求</w:t>
            </w:r>
          </w:p>
          <w:p w14:paraId="43A0B4B8">
            <w:pPr>
              <w:pStyle w:val="4"/>
              <w:ind w:firstLine="480"/>
            </w:pPr>
            <w:r>
              <w:rPr>
                <w:rFonts w:ascii="仿宋_GB2312" w:hAnsi="仿宋_GB2312" w:eastAsia="仿宋_GB2312" w:cs="仿宋_GB2312"/>
                <w:color w:val="000000"/>
                <w:sz w:val="24"/>
              </w:rPr>
              <w:t>服务商应在被陕西省教育考试院统一组织协调下，开展好前期调研、现场实施和报告撰写等工作。测评机构所提供的项目经理和实施人员应是具有丰富经验和专业技能的技术骨干，应有同类项目经验。在测评机构以往参与的项目中，应具有项目实施、熟悉项目需求和团队建设方面的优势。测评机构应在项目全过程中严格遵循各项管理制度的要求，确保项目顺利开展。</w:t>
            </w:r>
          </w:p>
          <w:p w14:paraId="36C22FCA">
            <w:pPr>
              <w:pStyle w:val="4"/>
              <w:ind w:firstLine="480"/>
            </w:pPr>
            <w:r>
              <w:rPr>
                <w:rFonts w:ascii="仿宋_GB2312" w:hAnsi="仿宋_GB2312" w:eastAsia="仿宋_GB2312" w:cs="仿宋_GB2312"/>
                <w:color w:val="000000"/>
                <w:sz w:val="24"/>
              </w:rPr>
              <w:t>本项目测评驻场人员要求：供应商参与此项目不少于9人，其中包括管理人员及现场测评人员，确保人员稳定，其中至少包含（1名高级测评师），（3名中级测评师），（5名初级测评师），提供等保测评相应资质证明材料，提供等保测评相应资质证明材料。本次等保测评服务不得转包或者分包，所有驻场测评师必须是测评机构自己的正式在职员工,所有驻场测评师必须持证上岗，响应文件中应提供项目组驻场人员名单以及社保主管部门出具的响应单位为其缴纳社保的证明、驻场人员信息安全等级测评师证书复印件及原件，未经采购方同意，项目组成员不得更改。</w:t>
            </w:r>
          </w:p>
          <w:p w14:paraId="1DFCEDEB">
            <w:pPr>
              <w:pStyle w:val="4"/>
              <w:ind w:left="540"/>
            </w:pPr>
            <w:r>
              <w:rPr>
                <w:rFonts w:ascii="仿宋_GB2312" w:hAnsi="仿宋_GB2312" w:eastAsia="仿宋_GB2312" w:cs="仿宋_GB2312"/>
                <w:b/>
                <w:color w:val="000000"/>
                <w:sz w:val="24"/>
              </w:rPr>
              <w:t>2、项目管理保密要求</w:t>
            </w:r>
          </w:p>
          <w:p w14:paraId="3A882D25">
            <w:pPr>
              <w:pStyle w:val="4"/>
              <w:ind w:firstLine="480"/>
            </w:pPr>
            <w:r>
              <w:rPr>
                <w:rFonts w:ascii="仿宋_GB2312" w:hAnsi="仿宋_GB2312" w:eastAsia="仿宋_GB2312" w:cs="仿宋_GB2312"/>
                <w:color w:val="000000"/>
                <w:sz w:val="24"/>
              </w:rPr>
              <w:t>测评机构应与被测评单位签订正式保密协议，并在工作中坚持保密原则，确保应答人及其员工严格规范执行各项保密制度，杜绝任何泄密事件的发生。测评机构需明确将采取的保密措施，对员工的保密管理措施，以及一旦发生泄密事件将采取的措施、需承担的责任。</w:t>
            </w:r>
          </w:p>
          <w:p w14:paraId="7CD9A7C8">
            <w:pPr>
              <w:pStyle w:val="4"/>
              <w:ind w:left="540"/>
            </w:pPr>
            <w:r>
              <w:rPr>
                <w:rFonts w:ascii="仿宋_GB2312" w:hAnsi="仿宋_GB2312" w:eastAsia="仿宋_GB2312" w:cs="仿宋_GB2312"/>
                <w:b/>
                <w:color w:val="000000"/>
                <w:sz w:val="24"/>
              </w:rPr>
              <w:t>3、项目风险控制</w:t>
            </w:r>
          </w:p>
          <w:p w14:paraId="5D84EDC9">
            <w:pPr>
              <w:pStyle w:val="4"/>
            </w:pPr>
            <w:r>
              <w:rPr>
                <w:rFonts w:ascii="仿宋_GB2312" w:hAnsi="仿宋_GB2312" w:eastAsia="仿宋_GB2312" w:cs="仿宋_GB2312"/>
                <w:color w:val="000000"/>
                <w:sz w:val="24"/>
              </w:rPr>
              <w:t>测评机构应能够对信息安全等级测评项目过程进行充分的风险考虑，并制定相应的风险规避措施和控制方法。在项目实施过程中，应做好计划与安排，不影响被测评单位正常业务工作的开展。</w:t>
            </w:r>
          </w:p>
        </w:tc>
      </w:tr>
    </w:tbl>
    <w:p w14:paraId="041DCF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50674"/>
    <w:rsid w:val="07050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2025-10-28T07:18:00Z</dcterms:created>
  <dc:creator>-7</dc:creator>
  <cp:lastModifiedBy>-7</cp:lastModifiedBy>
  <dcterms:modified xsi:type="dcterms:W3CDTF">2025-10-28T07:19:45Z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A953FADE433B45DDAC384B3589BA4988_11</vt:lpwstr>
  </property>
  <property fmtid="{D5CDD505-2E9C-101B-9397-08002B2CF9AE}" pid="4" name="KSOTemplateDocerSaveRecord">
    <vt:lpwstr>eyJoZGlkIjoiYzA1MTFjMGE5NjMwY2U1ODU1MGFhN2UxMjk1NDdlZjEiLCJ1c2VySWQiOiI0MDcxMjAzOTgifQ==</vt:lpwstr>
  </property>
</Properties>
</file>