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3CBD6">
      <w:pPr>
        <w:autoSpaceDE w:val="0"/>
        <w:autoSpaceDN w:val="0"/>
        <w:adjustRightInd w:val="0"/>
        <w:snapToGrid w:val="0"/>
        <w:spacing w:line="360" w:lineRule="auto"/>
        <w:jc w:val="left"/>
        <w:rPr>
          <w:rFonts w:eastAsia="仿宋_GB2312"/>
          <w:b/>
          <w:bCs/>
          <w:color w:val="auto"/>
          <w:sz w:val="30"/>
          <w:szCs w:val="30"/>
          <w:highlight w:val="none"/>
          <w:lang w:val="zh-CN"/>
        </w:rPr>
      </w:pPr>
    </w:p>
    <w:p w14:paraId="5229F509">
      <w:pPr>
        <w:autoSpaceDE w:val="0"/>
        <w:autoSpaceDN w:val="0"/>
        <w:adjustRightInd w:val="0"/>
        <w:snapToGrid w:val="0"/>
        <w:spacing w:line="360" w:lineRule="auto"/>
        <w:jc w:val="left"/>
        <w:rPr>
          <w:rFonts w:ascii="仿宋_GB2312" w:eastAsia="仿宋_GB2312"/>
          <w:b/>
          <w:bCs/>
          <w:color w:val="auto"/>
          <w:sz w:val="30"/>
          <w:szCs w:val="30"/>
          <w:highlight w:val="none"/>
          <w:lang w:val="zh-CN"/>
        </w:rPr>
      </w:pPr>
      <w:r>
        <w:rPr>
          <w:rFonts w:eastAsia="仿宋_GB2312"/>
          <w:b/>
          <w:bCs/>
          <w:color w:val="auto"/>
          <w:sz w:val="30"/>
          <w:szCs w:val="30"/>
          <w:highlight w:val="none"/>
          <w:lang w:val="zh-CN"/>
        </w:rPr>
        <w:t>政</w:t>
      </w:r>
      <w:r>
        <w:rPr>
          <w:rFonts w:hint="eastAsia" w:ascii="仿宋_GB2312" w:eastAsia="仿宋_GB2312"/>
          <w:b/>
          <w:bCs/>
          <w:color w:val="auto"/>
          <w:sz w:val="30"/>
          <w:szCs w:val="30"/>
          <w:highlight w:val="none"/>
          <w:lang w:val="zh-CN"/>
        </w:rPr>
        <w:t>府采购项目</w:t>
      </w:r>
    </w:p>
    <w:p w14:paraId="03D484DC">
      <w:pPr>
        <w:autoSpaceDE w:val="0"/>
        <w:autoSpaceDN w:val="0"/>
        <w:adjustRightInd w:val="0"/>
        <w:snapToGrid w:val="0"/>
        <w:spacing w:line="360" w:lineRule="auto"/>
        <w:jc w:val="left"/>
        <w:rPr>
          <w:rFonts w:ascii="仿宋_GB2312" w:eastAsia="仿宋_GB2312"/>
          <w:b/>
          <w:bCs/>
          <w:color w:val="auto"/>
          <w:sz w:val="30"/>
          <w:szCs w:val="30"/>
          <w:highlight w:val="none"/>
          <w:lang w:val="zh-CN"/>
        </w:rPr>
      </w:pPr>
      <w:r>
        <w:rPr>
          <w:rFonts w:hint="eastAsia" w:ascii="仿宋_GB2312" w:eastAsia="仿宋_GB2312"/>
          <w:b/>
          <w:bCs/>
          <w:color w:val="auto"/>
          <w:sz w:val="30"/>
          <w:szCs w:val="30"/>
          <w:highlight w:val="none"/>
          <w:lang w:val="zh-CN"/>
        </w:rPr>
        <w:t>采购项目编号</w:t>
      </w:r>
      <w:r>
        <w:rPr>
          <w:rFonts w:hint="eastAsia" w:ascii="仿宋_GB2312" w:eastAsia="仿宋_GB2312"/>
          <w:b/>
          <w:bCs/>
          <w:color w:val="auto"/>
          <w:sz w:val="30"/>
          <w:szCs w:val="30"/>
          <w:highlight w:val="none"/>
          <w:lang w:val="zh-CN" w:eastAsia="zh-CN"/>
        </w:rPr>
        <w:t>：SCZC2025-CS-2162-001R</w:t>
      </w:r>
    </w:p>
    <w:p w14:paraId="5FAE4383">
      <w:pPr>
        <w:tabs>
          <w:tab w:val="left" w:pos="5670"/>
        </w:tabs>
        <w:autoSpaceDE w:val="0"/>
        <w:autoSpaceDN w:val="0"/>
        <w:adjustRightInd w:val="0"/>
        <w:snapToGrid w:val="0"/>
        <w:spacing w:line="360" w:lineRule="auto"/>
        <w:jc w:val="center"/>
        <w:rPr>
          <w:rFonts w:eastAsia="仿宋_GB2312"/>
          <w:color w:val="auto"/>
          <w:sz w:val="30"/>
          <w:szCs w:val="30"/>
          <w:highlight w:val="none"/>
        </w:rPr>
      </w:pPr>
    </w:p>
    <w:p w14:paraId="6C3F216D">
      <w:pPr>
        <w:tabs>
          <w:tab w:val="left" w:pos="5670"/>
        </w:tabs>
        <w:autoSpaceDE w:val="0"/>
        <w:autoSpaceDN w:val="0"/>
        <w:adjustRightInd w:val="0"/>
        <w:snapToGrid w:val="0"/>
        <w:spacing w:line="360" w:lineRule="auto"/>
        <w:jc w:val="center"/>
        <w:rPr>
          <w:rFonts w:eastAsia="仿宋_GB2312"/>
          <w:color w:val="auto"/>
          <w:sz w:val="32"/>
          <w:szCs w:val="32"/>
          <w:highlight w:val="none"/>
        </w:rPr>
      </w:pPr>
      <w:r>
        <w:rPr>
          <w:rFonts w:eastAsia="仿宋_GB2312"/>
          <w:color w:val="auto"/>
          <w:sz w:val="32"/>
          <w:szCs w:val="32"/>
          <w:highlight w:val="none"/>
        </w:rPr>
        <w:t xml:space="preserve"> </w:t>
      </w:r>
    </w:p>
    <w:p w14:paraId="7190298D">
      <w:pPr>
        <w:tabs>
          <w:tab w:val="left" w:pos="5670"/>
        </w:tabs>
        <w:autoSpaceDE w:val="0"/>
        <w:autoSpaceDN w:val="0"/>
        <w:adjustRightInd w:val="0"/>
        <w:snapToGrid w:val="0"/>
        <w:spacing w:line="360" w:lineRule="auto"/>
        <w:jc w:val="center"/>
        <w:rPr>
          <w:rFonts w:eastAsia="仿宋_GB2312"/>
          <w:color w:val="auto"/>
          <w:sz w:val="32"/>
          <w:szCs w:val="32"/>
          <w:highlight w:val="none"/>
        </w:rPr>
      </w:pPr>
    </w:p>
    <w:p w14:paraId="25430AAE">
      <w:pPr>
        <w:autoSpaceDE w:val="0"/>
        <w:autoSpaceDN w:val="0"/>
        <w:adjustRightInd w:val="0"/>
        <w:snapToGrid w:val="0"/>
        <w:spacing w:line="360" w:lineRule="auto"/>
        <w:jc w:val="center"/>
        <w:rPr>
          <w:rFonts w:hint="eastAsia" w:eastAsia="仿宋_GB2312"/>
          <w:b/>
          <w:bCs/>
          <w:color w:val="auto"/>
          <w:sz w:val="44"/>
          <w:szCs w:val="44"/>
          <w:highlight w:val="none"/>
          <w:lang w:eastAsia="zh-CN"/>
        </w:rPr>
      </w:pPr>
      <w:r>
        <w:rPr>
          <w:rFonts w:hint="eastAsia" w:eastAsia="仿宋_GB2312"/>
          <w:b/>
          <w:bCs/>
          <w:color w:val="auto"/>
          <w:sz w:val="44"/>
          <w:szCs w:val="44"/>
          <w:highlight w:val="none"/>
          <w:lang w:val="en-US" w:eastAsia="zh-CN"/>
        </w:rPr>
        <w:t>沣东大队驻地食堂服务（二次）</w:t>
      </w:r>
    </w:p>
    <w:p w14:paraId="379CBDC6">
      <w:pPr>
        <w:tabs>
          <w:tab w:val="left" w:pos="5670"/>
        </w:tabs>
        <w:autoSpaceDE w:val="0"/>
        <w:autoSpaceDN w:val="0"/>
        <w:adjustRightInd w:val="0"/>
        <w:snapToGrid w:val="0"/>
        <w:spacing w:line="360" w:lineRule="auto"/>
        <w:jc w:val="center"/>
        <w:rPr>
          <w:rFonts w:eastAsia="仿宋_GB2312"/>
          <w:b/>
          <w:bCs/>
          <w:color w:val="auto"/>
          <w:sz w:val="36"/>
          <w:szCs w:val="36"/>
          <w:highlight w:val="none"/>
          <w:lang w:val="zh-CN"/>
        </w:rPr>
      </w:pPr>
    </w:p>
    <w:p w14:paraId="21C5E880">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p>
    <w:p w14:paraId="35B6F95D">
      <w:pPr>
        <w:tabs>
          <w:tab w:val="left" w:pos="5670"/>
        </w:tabs>
        <w:autoSpaceDE w:val="0"/>
        <w:autoSpaceDN w:val="0"/>
        <w:adjustRightInd w:val="0"/>
        <w:snapToGrid w:val="0"/>
        <w:spacing w:line="360" w:lineRule="auto"/>
        <w:jc w:val="center"/>
        <w:rPr>
          <w:rFonts w:eastAsia="仿宋_GB2312"/>
          <w:b/>
          <w:bCs/>
          <w:color w:val="auto"/>
          <w:sz w:val="52"/>
          <w:szCs w:val="52"/>
          <w:highlight w:val="none"/>
          <w:lang w:val="zh-CN"/>
        </w:rPr>
      </w:pPr>
      <w:r>
        <w:rPr>
          <w:rFonts w:eastAsia="仿宋_GB2312"/>
          <w:b/>
          <w:bCs/>
          <w:color w:val="auto"/>
          <w:sz w:val="52"/>
          <w:szCs w:val="52"/>
          <w:highlight w:val="none"/>
          <w:lang w:val="zh-CN"/>
        </w:rPr>
        <w:t>竞争性磋商文件</w:t>
      </w:r>
    </w:p>
    <w:p w14:paraId="2099BB2E">
      <w:pPr>
        <w:tabs>
          <w:tab w:val="left" w:pos="5670"/>
        </w:tabs>
        <w:autoSpaceDE w:val="0"/>
        <w:autoSpaceDN w:val="0"/>
        <w:adjustRightInd w:val="0"/>
        <w:snapToGrid w:val="0"/>
        <w:spacing w:line="360" w:lineRule="auto"/>
        <w:jc w:val="center"/>
        <w:rPr>
          <w:rFonts w:eastAsia="仿宋_GB2312"/>
          <w:color w:val="auto"/>
          <w:sz w:val="50"/>
          <w:szCs w:val="50"/>
          <w:highlight w:val="none"/>
        </w:rPr>
      </w:pPr>
    </w:p>
    <w:p w14:paraId="5BFAC7DD">
      <w:pPr>
        <w:tabs>
          <w:tab w:val="left" w:pos="5670"/>
        </w:tabs>
        <w:autoSpaceDE w:val="0"/>
        <w:autoSpaceDN w:val="0"/>
        <w:adjustRightInd w:val="0"/>
        <w:snapToGrid w:val="0"/>
        <w:spacing w:line="360" w:lineRule="auto"/>
        <w:jc w:val="center"/>
        <w:rPr>
          <w:rFonts w:eastAsia="仿宋_GB2312"/>
          <w:color w:val="auto"/>
          <w:sz w:val="50"/>
          <w:szCs w:val="50"/>
          <w:highlight w:val="none"/>
        </w:rPr>
      </w:pPr>
    </w:p>
    <w:p w14:paraId="4F90A504">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p>
    <w:p w14:paraId="246A62D4">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p>
    <w:p w14:paraId="27401380">
      <w:pPr>
        <w:pStyle w:val="2"/>
        <w:rPr>
          <w:rFonts w:ascii="Times New Roman" w:hAnsi="Times New Roman" w:eastAsia="仿宋_GB2312"/>
          <w:b/>
          <w:bCs/>
          <w:color w:val="auto"/>
          <w:sz w:val="30"/>
          <w:szCs w:val="30"/>
          <w:highlight w:val="none"/>
        </w:rPr>
      </w:pPr>
    </w:p>
    <w:p w14:paraId="44206DCA">
      <w:pPr>
        <w:pStyle w:val="2"/>
        <w:rPr>
          <w:rFonts w:ascii="Times New Roman" w:hAnsi="Times New Roman" w:eastAsia="仿宋_GB2312"/>
          <w:b/>
          <w:bCs/>
          <w:color w:val="auto"/>
          <w:sz w:val="30"/>
          <w:szCs w:val="30"/>
          <w:highlight w:val="none"/>
        </w:rPr>
      </w:pPr>
    </w:p>
    <w:p w14:paraId="58ADA5C4">
      <w:pPr>
        <w:pStyle w:val="2"/>
        <w:rPr>
          <w:rFonts w:ascii="Times New Roman" w:hAnsi="Times New Roman" w:eastAsia="仿宋_GB2312"/>
          <w:b/>
          <w:bCs/>
          <w:color w:val="auto"/>
          <w:sz w:val="30"/>
          <w:szCs w:val="30"/>
          <w:highlight w:val="none"/>
        </w:rPr>
      </w:pPr>
    </w:p>
    <w:p w14:paraId="4D549040">
      <w:pPr>
        <w:tabs>
          <w:tab w:val="left" w:pos="5670"/>
        </w:tabs>
        <w:autoSpaceDE w:val="0"/>
        <w:autoSpaceDN w:val="0"/>
        <w:adjustRightInd w:val="0"/>
        <w:snapToGrid w:val="0"/>
        <w:spacing w:line="360" w:lineRule="auto"/>
        <w:jc w:val="center"/>
        <w:rPr>
          <w:rFonts w:eastAsia="仿宋_GB2312"/>
          <w:b/>
          <w:bCs/>
          <w:color w:val="auto"/>
          <w:sz w:val="30"/>
          <w:szCs w:val="30"/>
          <w:highlight w:val="none"/>
        </w:rPr>
      </w:pPr>
      <w:r>
        <w:rPr>
          <w:rFonts w:eastAsia="仿宋_GB2312"/>
          <w:b/>
          <w:bCs/>
          <w:color w:val="auto"/>
          <w:sz w:val="30"/>
          <w:szCs w:val="30"/>
          <w:highlight w:val="none"/>
          <w:lang w:val="zh-CN"/>
        </w:rPr>
        <w:t xml:space="preserve"> 陕西省采购招标有限责任公司</w:t>
      </w:r>
      <w:r>
        <w:rPr>
          <w:rFonts w:eastAsia="仿宋_GB2312"/>
          <w:b/>
          <w:bCs/>
          <w:color w:val="auto"/>
          <w:sz w:val="30"/>
          <w:szCs w:val="30"/>
          <w:highlight w:val="none"/>
        </w:rPr>
        <w:t xml:space="preserve"> </w:t>
      </w:r>
    </w:p>
    <w:p w14:paraId="10D2B176">
      <w:pPr>
        <w:tabs>
          <w:tab w:val="left" w:pos="5460"/>
        </w:tabs>
        <w:autoSpaceDE w:val="0"/>
        <w:autoSpaceDN w:val="0"/>
        <w:adjustRightInd w:val="0"/>
        <w:snapToGrid w:val="0"/>
        <w:spacing w:line="360" w:lineRule="auto"/>
        <w:jc w:val="center"/>
        <w:rPr>
          <w:rFonts w:eastAsia="仿宋_GB2312"/>
          <w:color w:val="auto"/>
          <w:sz w:val="32"/>
          <w:szCs w:val="32"/>
          <w:highlight w:val="none"/>
        </w:rPr>
      </w:pPr>
      <w:r>
        <w:rPr>
          <w:rFonts w:eastAsia="仿宋_GB2312"/>
          <w:b/>
          <w:bCs/>
          <w:color w:val="auto"/>
          <w:sz w:val="30"/>
          <w:szCs w:val="30"/>
          <w:highlight w:val="none"/>
          <w:lang w:val="zh-CN"/>
        </w:rPr>
        <w:t>二</w:t>
      </w:r>
      <w:r>
        <w:rPr>
          <w:rFonts w:ascii="仿宋" w:hAnsi="仿宋" w:eastAsia="仿宋"/>
          <w:b/>
          <w:bCs/>
          <w:color w:val="auto"/>
          <w:sz w:val="30"/>
          <w:szCs w:val="30"/>
          <w:highlight w:val="none"/>
          <w:lang w:val="zh-CN"/>
        </w:rPr>
        <w:t>〇</w:t>
      </w:r>
      <w:r>
        <w:rPr>
          <w:rFonts w:hint="eastAsia" w:eastAsia="仿宋_GB2312"/>
          <w:b/>
          <w:bCs/>
          <w:color w:val="auto"/>
          <w:sz w:val="30"/>
          <w:szCs w:val="30"/>
          <w:highlight w:val="none"/>
        </w:rPr>
        <w:t>二</w:t>
      </w:r>
      <w:r>
        <w:rPr>
          <w:rFonts w:hint="eastAsia" w:eastAsia="仿宋_GB2312"/>
          <w:b/>
          <w:bCs/>
          <w:color w:val="auto"/>
          <w:sz w:val="30"/>
          <w:szCs w:val="30"/>
          <w:highlight w:val="none"/>
          <w:lang w:val="en-US" w:eastAsia="zh-CN"/>
        </w:rPr>
        <w:t>五</w:t>
      </w:r>
      <w:r>
        <w:rPr>
          <w:rFonts w:eastAsia="仿宋_GB2312"/>
          <w:b/>
          <w:bCs/>
          <w:color w:val="auto"/>
          <w:sz w:val="30"/>
          <w:szCs w:val="30"/>
          <w:highlight w:val="none"/>
          <w:lang w:val="zh-CN"/>
        </w:rPr>
        <w:t>年</w:t>
      </w:r>
      <w:r>
        <w:rPr>
          <w:rFonts w:hint="eastAsia" w:eastAsia="仿宋_GB2312"/>
          <w:b/>
          <w:bCs/>
          <w:color w:val="auto"/>
          <w:sz w:val="30"/>
          <w:szCs w:val="30"/>
          <w:highlight w:val="none"/>
          <w:lang w:val="en-US" w:eastAsia="zh-CN"/>
        </w:rPr>
        <w:t>十</w:t>
      </w:r>
      <w:r>
        <w:rPr>
          <w:rFonts w:eastAsia="仿宋_GB2312"/>
          <w:b/>
          <w:bCs/>
          <w:color w:val="auto"/>
          <w:sz w:val="30"/>
          <w:szCs w:val="30"/>
          <w:highlight w:val="none"/>
          <w:lang w:val="zh-CN"/>
        </w:rPr>
        <w:t>月</w:t>
      </w:r>
    </w:p>
    <w:p w14:paraId="009E1B9F">
      <w:pPr>
        <w:rPr>
          <w:rFonts w:eastAsia="仿宋_GB2312"/>
          <w:color w:val="auto"/>
          <w:sz w:val="32"/>
          <w:szCs w:val="32"/>
          <w:highlight w:val="none"/>
        </w:rPr>
      </w:pPr>
      <w:r>
        <w:rPr>
          <w:rFonts w:eastAsia="仿宋_GB2312"/>
          <w:color w:val="auto"/>
          <w:sz w:val="32"/>
          <w:szCs w:val="32"/>
          <w:highlight w:val="none"/>
        </w:rPr>
        <w:br w:type="page"/>
      </w:r>
    </w:p>
    <w:p w14:paraId="21312B4E">
      <w:pPr>
        <w:pStyle w:val="2"/>
        <w:rPr>
          <w:rFonts w:ascii="Times New Roman" w:hAnsi="Times New Roman"/>
          <w:color w:val="auto"/>
          <w:highlight w:val="none"/>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5628BDD9">
      <w:pPr>
        <w:pStyle w:val="6"/>
        <w:ind w:firstLine="0" w:firstLineChars="0"/>
        <w:jc w:val="center"/>
        <w:rPr>
          <w:rFonts w:eastAsia="仿宋_GB2312"/>
          <w:b/>
          <w:color w:val="auto"/>
          <w:sz w:val="32"/>
          <w:szCs w:val="32"/>
          <w:highlight w:val="none"/>
        </w:rPr>
      </w:pPr>
      <w:r>
        <w:rPr>
          <w:rFonts w:eastAsia="仿宋_GB2312"/>
          <w:b/>
          <w:color w:val="auto"/>
          <w:sz w:val="32"/>
          <w:szCs w:val="32"/>
          <w:highlight w:val="none"/>
        </w:rPr>
        <w:t>目  录</w:t>
      </w:r>
    </w:p>
    <w:p w14:paraId="17FB57C6">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rPr>
        <w:fldChar w:fldCharType="begin"/>
      </w:r>
      <w:r>
        <w:rPr>
          <w:rFonts w:hint="eastAsia" w:ascii="仿宋" w:hAnsi="仿宋" w:eastAsia="仿宋" w:cs="仿宋"/>
          <w:b w:val="0"/>
          <w:bCs w:val="0"/>
          <w:color w:val="auto"/>
          <w:sz w:val="28"/>
          <w:szCs w:val="28"/>
          <w:highlight w:val="none"/>
        </w:rPr>
        <w:instrText xml:space="preserve"> TOC \o "1-2" \h \z \u </w:instrText>
      </w:r>
      <w:r>
        <w:rPr>
          <w:rFonts w:hint="eastAsia" w:ascii="仿宋" w:hAnsi="仿宋" w:eastAsia="仿宋" w:cs="仿宋"/>
          <w:b w:val="0"/>
          <w:bCs w:val="0"/>
          <w:color w:val="auto"/>
          <w:sz w:val="28"/>
          <w:szCs w:val="28"/>
          <w:highlight w:val="none"/>
        </w:rPr>
        <w:fldChar w:fldCharType="separate"/>
      </w:r>
      <w:r>
        <w:rPr>
          <w:rFonts w:hint="eastAsia" w:ascii="仿宋" w:hAnsi="仿宋" w:eastAsia="仿宋" w:cs="仿宋"/>
          <w:bCs w:val="0"/>
          <w:color w:val="auto"/>
          <w:sz w:val="28"/>
          <w:szCs w:val="28"/>
          <w:highlight w:val="none"/>
        </w:rPr>
        <w:fldChar w:fldCharType="begin"/>
      </w:r>
      <w:r>
        <w:rPr>
          <w:rFonts w:hint="eastAsia" w:ascii="仿宋" w:hAnsi="仿宋" w:eastAsia="仿宋" w:cs="仿宋"/>
          <w:bCs w:val="0"/>
          <w:color w:val="auto"/>
          <w:sz w:val="28"/>
          <w:szCs w:val="28"/>
          <w:highlight w:val="none"/>
        </w:rPr>
        <w:instrText xml:space="preserve"> HYPERLINK \l _Toc1107 </w:instrText>
      </w:r>
      <w:r>
        <w:rPr>
          <w:rFonts w:hint="eastAsia" w:ascii="仿宋" w:hAnsi="仿宋" w:eastAsia="仿宋" w:cs="仿宋"/>
          <w:bCs w:val="0"/>
          <w:color w:val="auto"/>
          <w:sz w:val="28"/>
          <w:szCs w:val="28"/>
          <w:highlight w:val="none"/>
        </w:rPr>
        <w:fldChar w:fldCharType="separate"/>
      </w:r>
      <w:r>
        <w:rPr>
          <w:rFonts w:hint="eastAsia" w:ascii="仿宋" w:hAnsi="仿宋" w:eastAsia="仿宋" w:cs="仿宋"/>
          <w:color w:val="auto"/>
          <w:sz w:val="28"/>
          <w:szCs w:val="28"/>
          <w:highlight w:val="none"/>
        </w:rPr>
        <w:t>第一章  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_Toc1107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bCs w:val="0"/>
          <w:color w:val="auto"/>
          <w:sz w:val="28"/>
          <w:szCs w:val="28"/>
          <w:highlight w:val="none"/>
        </w:rPr>
        <w:fldChar w:fldCharType="end"/>
      </w:r>
    </w:p>
    <w:p w14:paraId="18B816FF">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_Toc10957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_Toc10957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1DAA290">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_Toc1149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（一）供应商须知前附表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_Toc1149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1CEC287">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_Toc1409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（二）供应商须知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_Toc1409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5319D9E">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_Toc14314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一、总  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_Toc14314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D232060">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_Toc8516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二、磋商文件说明</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_Toc8516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805D5E1">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_Toc16549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三、响应文件的编写</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_Toc16549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F2ACED4">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_Toc30883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四、响应文件的</w:t>
      </w:r>
      <w:r>
        <w:rPr>
          <w:rFonts w:hint="eastAsia" w:ascii="仿宋" w:hAnsi="仿宋" w:eastAsia="仿宋" w:cs="仿宋"/>
          <w:color w:val="auto"/>
          <w:sz w:val="28"/>
          <w:szCs w:val="28"/>
          <w:highlight w:val="none"/>
          <w:lang w:val="en-US" w:eastAsia="zh-CN"/>
        </w:rPr>
        <w:t>加密</w:t>
      </w:r>
      <w:r>
        <w:rPr>
          <w:rFonts w:hint="eastAsia" w:ascii="仿宋" w:hAnsi="仿宋" w:eastAsia="仿宋" w:cs="仿宋"/>
          <w:color w:val="auto"/>
          <w:sz w:val="28"/>
          <w:szCs w:val="28"/>
          <w:highlight w:val="none"/>
        </w:rPr>
        <w:t>和递交</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_Toc30883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9B95662">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_Toc21748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五、评审与磋商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_Toc21748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47C9AF">
      <w:pPr>
        <w:pStyle w:val="40"/>
        <w:keepNext w:val="0"/>
        <w:keepLines w:val="0"/>
        <w:pageBreakBefore w:val="0"/>
        <w:tabs>
          <w:tab w:val="right" w:leader="dot" w:pos="8306"/>
        </w:tabs>
        <w:kinsoku/>
        <w:wordWrap/>
        <w:overflowPunct/>
        <w:topLinePunct w:val="0"/>
        <w:autoSpaceDE/>
        <w:autoSpaceDN/>
        <w:bidi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_Toc7954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六、确定成交单位、授予合同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_Toc7954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CD80142">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_Toc8116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评审办法和标准</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_Toc8116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5E58CEF">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_Toc15821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拟签订的合同文本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_Toc15821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A869F6C">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_Toc24029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采购内容及要求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_Toc24029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919D0CE">
      <w:pPr>
        <w:pStyle w:val="35"/>
        <w:keepNext w:val="0"/>
        <w:keepLines w:val="0"/>
        <w:pageBreakBefore w:val="0"/>
        <w:tabs>
          <w:tab w:val="right" w:leader="dot" w:pos="8306"/>
          <w:tab w:val="clear" w:pos="9344"/>
        </w:tabs>
        <w:kinsoku/>
        <w:wordWrap/>
        <w:overflowPunct/>
        <w:topLinePunct w:val="0"/>
        <w:autoSpaceDE/>
        <w:autoSpaceDN/>
        <w:bidi w:val="0"/>
        <w:spacing w:before="0" w:after="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_Toc5559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磋商响应文件格式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_Toc5559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546D85A">
      <w:pPr>
        <w:keepNext w:val="0"/>
        <w:keepLines w:val="0"/>
        <w:pageBreakBefore w:val="0"/>
        <w:tabs>
          <w:tab w:val="center" w:pos="4677"/>
          <w:tab w:val="left" w:pos="5040"/>
        </w:tabs>
        <w:kinsoku/>
        <w:wordWrap/>
        <w:overflowPunct/>
        <w:topLinePunct w:val="0"/>
        <w:autoSpaceDE/>
        <w:autoSpaceDN/>
        <w:bidi w:val="0"/>
        <w:adjustRightInd w:val="0"/>
        <w:snapToGrid w:val="0"/>
        <w:spacing w:line="360" w:lineRule="auto"/>
        <w:jc w:val="left"/>
        <w:textAlignment w:val="auto"/>
        <w:rPr>
          <w:rFonts w:eastAsia="仿宋_GB2312"/>
          <w:color w:val="auto"/>
          <w:szCs w:val="20"/>
          <w:highlight w:val="none"/>
        </w:rPr>
      </w:pPr>
      <w:r>
        <w:rPr>
          <w:rFonts w:hint="eastAsia" w:ascii="仿宋" w:hAnsi="仿宋" w:eastAsia="仿宋" w:cs="仿宋"/>
          <w:color w:val="auto"/>
          <w:sz w:val="28"/>
          <w:szCs w:val="28"/>
          <w:highlight w:val="none"/>
        </w:rPr>
        <w:fldChar w:fldCharType="end"/>
      </w:r>
      <w:r>
        <w:rPr>
          <w:rFonts w:eastAsia="仿宋_GB2312"/>
          <w:color w:val="auto"/>
          <w:szCs w:val="20"/>
          <w:highlight w:val="none"/>
        </w:rPr>
        <w:br w:type="page"/>
      </w:r>
    </w:p>
    <w:p w14:paraId="20138ADF">
      <w:pPr>
        <w:pStyle w:val="2"/>
        <w:rPr>
          <w:rFonts w:ascii="Times New Roman" w:hAnsi="Times New Roman"/>
          <w:color w:val="auto"/>
          <w:highlight w:val="none"/>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4B90D033">
      <w:pPr>
        <w:pStyle w:val="46"/>
        <w:spacing w:line="360" w:lineRule="auto"/>
        <w:rPr>
          <w:rStyle w:val="207"/>
          <w:rFonts w:ascii="Times New Roman" w:hAnsi="Times New Roman" w:eastAsia="宋体"/>
          <w:color w:val="auto"/>
          <w:sz w:val="36"/>
          <w:szCs w:val="36"/>
          <w:highlight w:val="none"/>
        </w:rPr>
      </w:pPr>
      <w:bookmarkStart w:id="0" w:name="_Toc58504445"/>
      <w:bookmarkStart w:id="1" w:name="_Toc415499894"/>
      <w:bookmarkStart w:id="2" w:name="_Toc1107"/>
      <w:bookmarkStart w:id="3" w:name="_Toc21755"/>
      <w:bookmarkStart w:id="4" w:name="_Toc492955413"/>
      <w:bookmarkStart w:id="5" w:name="_Toc496324577"/>
      <w:bookmarkStart w:id="6" w:name="_Toc499711041"/>
      <w:bookmarkStart w:id="7" w:name="_Toc177817333"/>
      <w:bookmarkStart w:id="8" w:name="_Toc500747187"/>
      <w:bookmarkStart w:id="9" w:name="_Toc176882541"/>
      <w:bookmarkStart w:id="10" w:name="_Toc500746964"/>
      <w:bookmarkStart w:id="11" w:name="_Toc500747060"/>
      <w:bookmarkStart w:id="12" w:name="_Toc177995472"/>
      <w:bookmarkStart w:id="13" w:name="_Toc499711882"/>
      <w:bookmarkStart w:id="14" w:name="_Toc177189234"/>
      <w:bookmarkStart w:id="15" w:name="_Toc503063420"/>
      <w:bookmarkStart w:id="16" w:name="_Toc70687138"/>
      <w:bookmarkStart w:id="17" w:name="_Toc53722839"/>
      <w:bookmarkStart w:id="18" w:name="_Toc385992325"/>
      <w:bookmarkStart w:id="19" w:name="_Toc385992324"/>
      <w:r>
        <w:rPr>
          <w:rStyle w:val="207"/>
          <w:rFonts w:ascii="Times New Roman" w:hAnsi="Times New Roman" w:eastAsia="宋体"/>
          <w:color w:val="auto"/>
          <w:sz w:val="36"/>
          <w:szCs w:val="36"/>
          <w:highlight w:val="none"/>
        </w:rPr>
        <w:t>第一章  磋商公告</w:t>
      </w:r>
      <w:bookmarkEnd w:id="0"/>
      <w:bookmarkEnd w:id="1"/>
      <w:bookmarkEnd w:id="2"/>
      <w:bookmarkEnd w:id="3"/>
    </w:p>
    <w:p w14:paraId="61D20D9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项目概况</w:t>
      </w:r>
    </w:p>
    <w:p w14:paraId="45957FD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沣东大队驻地食堂服务（二次）采购项目的潜在供应商应在全国公共资源交易平台（陕西省·西咸新区）（http://ggzyjy.xixianxinqu.gov.cn/）获取采购文件，并于 2025年10月24日 09时30分 （北京时间）前提交响应文件。</w:t>
      </w:r>
    </w:p>
    <w:p w14:paraId="3606C4F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一、项目基本情况</w:t>
      </w:r>
    </w:p>
    <w:p w14:paraId="0A2AB92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项目编号：SCZC2025-CS-2162-001R</w:t>
      </w:r>
    </w:p>
    <w:p w14:paraId="55420B9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项目名称：沣东大队驻地食堂服务（二次）</w:t>
      </w:r>
    </w:p>
    <w:p w14:paraId="2A0287F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采购方式：竞争性磋商</w:t>
      </w:r>
      <w:bookmarkStart w:id="516" w:name="_GoBack"/>
      <w:bookmarkEnd w:id="516"/>
    </w:p>
    <w:p w14:paraId="4A3853B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预算金额：1,414,740.00元</w:t>
      </w:r>
    </w:p>
    <w:p w14:paraId="6F184C0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采购需求：</w:t>
      </w:r>
    </w:p>
    <w:p w14:paraId="148B6B6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合同包1(沣东大队驻地食堂服务):</w:t>
      </w:r>
    </w:p>
    <w:p w14:paraId="318B343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合同包预算金额：1,414,740.00元</w:t>
      </w:r>
    </w:p>
    <w:p w14:paraId="62CE712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合同包最高限价：1,414,740.00元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2"/>
        <w:gridCol w:w="1146"/>
        <w:gridCol w:w="1440"/>
        <w:gridCol w:w="1617"/>
        <w:gridCol w:w="2495"/>
        <w:gridCol w:w="1680"/>
      </w:tblGrid>
      <w:tr w14:paraId="2D6C3D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4839D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D4061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85E51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96384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389D7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1183A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品目预算(元)</w:t>
            </w:r>
          </w:p>
        </w:tc>
      </w:tr>
      <w:tr w14:paraId="1ABD4D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D396C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053D0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4691F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1414740.00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72569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1(年)</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4BD85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929B9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1,414,740.00</w:t>
            </w:r>
          </w:p>
        </w:tc>
      </w:tr>
    </w:tbl>
    <w:p w14:paraId="3D1FE9A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本合同包不接受联合体投标</w:t>
      </w:r>
    </w:p>
    <w:p w14:paraId="6B7CEDB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合同履行期限：自合同签订后1年</w:t>
      </w:r>
    </w:p>
    <w:p w14:paraId="2A17F9D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二、申请人的资格要求：</w:t>
      </w:r>
    </w:p>
    <w:p w14:paraId="32B03FC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p>
    <w:p w14:paraId="1EAFD4C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2.落实政府采购政策需满足的资格要求：</w:t>
      </w:r>
    </w:p>
    <w:p w14:paraId="7C2938F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合同包1(沣东大队驻地食堂服务)落实政府采购政策需满足的资格要求如下:</w:t>
      </w:r>
    </w:p>
    <w:p w14:paraId="78836B1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本项目为专门面向中小企业的项目，供应商应为中小微企业、监狱企业或残疾人福利性单位。</w:t>
      </w:r>
    </w:p>
    <w:p w14:paraId="5656B88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3.本项目的特定资格要求：</w:t>
      </w:r>
    </w:p>
    <w:p w14:paraId="1F0AFFC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合同包1(沣东大队驻地食堂服务)特定资格要求如下:</w:t>
      </w:r>
    </w:p>
    <w:p w14:paraId="39E9EED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3.1根据《陕西省西咸新区财政金融局关于全面推行政府采购供应商基本资格条件承诺制的通知》（陕西咸财金发〔2023〕119号），供应商须提供基本资格条件承诺函；</w:t>
      </w:r>
    </w:p>
    <w:p w14:paraId="0E57DB3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3.2供应商不得存在下列情形之一：</w:t>
      </w:r>
    </w:p>
    <w:p w14:paraId="474C12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（1）单位负责人为同一人或者存在直接控股、管理关系的不同供应商，不得参加同一合同项下的政府采购活动；</w:t>
      </w:r>
    </w:p>
    <w:p w14:paraId="70C372B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（2）为本项目提供整体设计、规范编制或者项目管理、监理、检测等服务的供应商，不得再参加该采购项目的其他采购活动；</w:t>
      </w:r>
    </w:p>
    <w:p w14:paraId="36F8430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供应商应授权合法的人员参加磋商，其中法定代表人（或单位负责人）直接参加磋商的，须出具法定代表人（或单位负责人）身份证明，并与营业执照上信息一致。委托代理人参加磋商的，须出具法定代表人（或单位负责人）身份证明、授权委托书及授权代表在本单位缴纳养老保险证明。</w:t>
      </w:r>
    </w:p>
    <w:p w14:paraId="7BD01FE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三、获取采购文件</w:t>
      </w:r>
    </w:p>
    <w:p w14:paraId="01738F5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 2025年10月14日 至 2025年10月20日 ，每天上午 00:00:00 至 12:00:00 ，下午 12:00:00 至 23:59:59 （北京时间）</w:t>
      </w:r>
    </w:p>
    <w:p w14:paraId="32784CD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途径：全国公共资源交易平台（陕西省·西咸新区）（http://ggzyjy.xixianxinqu.gov.cn/）</w:t>
      </w:r>
    </w:p>
    <w:p w14:paraId="114E631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方式：在线获取</w:t>
      </w:r>
    </w:p>
    <w:p w14:paraId="1328596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售价： 0元</w:t>
      </w:r>
    </w:p>
    <w:p w14:paraId="7846EAB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四、响应文件提交</w:t>
      </w:r>
    </w:p>
    <w:p w14:paraId="3398CCA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截止时间： 2025年10月24日 09时30分00秒 （北京时间）</w:t>
      </w:r>
    </w:p>
    <w:p w14:paraId="4C5BA76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地点：全国公共资源交易平台（陕西省·西咸新区）（http://ggzyjy.xixianxinqu.gov.cn/）</w:t>
      </w:r>
    </w:p>
    <w:p w14:paraId="0A522CD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五、开启</w:t>
      </w:r>
    </w:p>
    <w:p w14:paraId="671E5A2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时间： 2025年10月24日 09时30分00秒 （北京时间）</w:t>
      </w:r>
    </w:p>
    <w:p w14:paraId="79CEEB6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地点：全国公共资源交易平台（陕西省·西咸新区）-电子交易平台-西咸新区公共资源交易不见面开标系统</w:t>
      </w:r>
    </w:p>
    <w:p w14:paraId="47505EF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六、公告期限</w:t>
      </w:r>
    </w:p>
    <w:p w14:paraId="2C224DA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自本公告发布之日起3个工作日。</w:t>
      </w:r>
    </w:p>
    <w:p w14:paraId="6584EB5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七、其他补充事宜</w:t>
      </w:r>
    </w:p>
    <w:p w14:paraId="5CAA140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1、落实政府采购政策：</w:t>
      </w:r>
    </w:p>
    <w:p w14:paraId="56377CB3">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0E4689F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国务院办公厅《关于建立政府强制采购节能产品制度的通知》（国办发〔2007〕51号）、财政部、发展改革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2A2F7AD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2DA73F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1.4《财政部 工业和信息化部 质检总局 认监委关于信息安全产品实施政府采购的通知》（财库〔2010〕48号）。</w:t>
      </w:r>
    </w:p>
    <w:p w14:paraId="599A4CC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若享受以上政策优惠的企业，提供相应声明函或品目清单范围内产品的有效认证证书。</w:t>
      </w:r>
    </w:p>
    <w:p w14:paraId="5A2ABCB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2.开标形式：本项目将采用“不见面开标”形式。操作说明详见平台〖首页·〉服务指南·〉下载专区〗中的《西咸新区公共资源交易政府采购不见面开标大厅供应商操作手册》。</w:t>
      </w:r>
    </w:p>
    <w:p w14:paraId="2056576D">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3.其他</w:t>
      </w:r>
    </w:p>
    <w:p w14:paraId="61847DFC">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 办理CA认证:电子交易平台现已接入陕西 CA、深圳 CA、西部 CA、北京CA四家数字证书公司,各供应商在交易过程中登录系统、加密/解密响应文件、文件签章等均可使用上述四家CA公司签发的数字证书。办理须知及所需资料详见:http://www.sxggzyjy.cn/fwzn/004003/20220701/6972fe02-f996-4928-951e-545dab02e53c.html</w:t>
      </w:r>
    </w:p>
    <w:p w14:paraId="2637235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请供应商务必及时下载项目磋商文件并做好备份,否则会影响响应文件编制及后续投标活动。</w:t>
      </w:r>
    </w:p>
    <w:p w14:paraId="6EA94B7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 提交响应文件截止时间前，供应商应随时留意【陕西省政府采购网】、【全国公共资源交易平台（陕西省·西咸新区）】上可能发布的变更公告。若本项目提供有变更文件的，供应商应登录企业端后，从〖项目流程·〉项目管理·〉答疑文件下载〗获取更新后的电子招标文件（*.SXSCF），使用旧版电子招标文件制作的电子响应文件（*.SXSTF），系统将拒绝接收。</w:t>
      </w:r>
    </w:p>
    <w:p w14:paraId="356377E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 提交响应文件的方式：从全国公共资源交易平台（陕西省·西咸新区）〖首页·〉电子交易平台·〉陕西政府采购交易系统·〉企业端〗登录，登录后切换到〖我的项目〗模块，依次点选〖项目流程·〉项目管理·〉上传投标文件〗上传加密后的电子响应文件（*.SXSTF），逾期提交的，系统将拒绝接收。</w:t>
      </w:r>
    </w:p>
    <w:p w14:paraId="218445B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3.5按照陕西省财政厅《关于政府采购供应商注册登记有关事项的通知》中的要求,供应商应通过陕西省政府采购网(http://www.ccgp-shaanxi.gov.cn/)注册登记 ,加入陕西省政府采购供应商库。</w:t>
      </w:r>
    </w:p>
    <w:p w14:paraId="33CF666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八、对本次招标提出询问，请按以下方式联系。</w:t>
      </w:r>
    </w:p>
    <w:p w14:paraId="3E5CBDB0">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1.采购人信息</w:t>
      </w:r>
    </w:p>
    <w:p w14:paraId="4BF8433A">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名称：陕西省西咸新区沣东新城管理委员会</w:t>
      </w:r>
    </w:p>
    <w:p w14:paraId="4E3C9F0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地址：西安市长安区红光路沣东大道沣东城市广场（经办单位：陕西省西咸新区综合行政执法支队沣东大队，经办单位地址：天台八路4号）</w:t>
      </w:r>
    </w:p>
    <w:p w14:paraId="0AB3595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联系方式：029-89301361</w:t>
      </w:r>
    </w:p>
    <w:p w14:paraId="55A3AF0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2.采购代理机构信息</w:t>
      </w:r>
    </w:p>
    <w:p w14:paraId="1BC6028B">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名称：陕西省采购招标有限责任公司</w:t>
      </w:r>
    </w:p>
    <w:p w14:paraId="548044D5">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地址：西安市高新区锦业路1号都市之门C座9层</w:t>
      </w:r>
    </w:p>
    <w:p w14:paraId="3D871516">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联系方式：029-85257505</w:t>
      </w:r>
    </w:p>
    <w:p w14:paraId="6D3019EF">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3.项目联系方式</w:t>
      </w:r>
    </w:p>
    <w:p w14:paraId="5CDB8897">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项目联系人：李峻豪、王莉</w:t>
      </w:r>
    </w:p>
    <w:p w14:paraId="39CB2581">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电话：029-85257505</w:t>
      </w:r>
    </w:p>
    <w:p w14:paraId="16372624">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仿宋_GB2312" w:hAnsi="仿宋_GB2312" w:eastAsia="仿宋_GB2312" w:cs="仿宋_GB2312"/>
          <w:color w:val="auto"/>
          <w:sz w:val="24"/>
          <w:szCs w:val="24"/>
          <w:highlight w:val="none"/>
        </w:rPr>
      </w:pPr>
    </w:p>
    <w:p w14:paraId="3FC310A9">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陕西省采购招标有限责任公司</w:t>
      </w:r>
    </w:p>
    <w:p w14:paraId="725CCB28">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Style w:val="207"/>
          <w:rFonts w:ascii="Times New Roman" w:hAnsi="Times New Roman" w:eastAsia="宋体"/>
          <w:color w:val="auto"/>
          <w:sz w:val="36"/>
          <w:szCs w:val="36"/>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日</w:t>
      </w:r>
      <w:bookmarkEnd w:id="4"/>
      <w:bookmarkEnd w:id="5"/>
      <w:bookmarkEnd w:id="6"/>
      <w:bookmarkEnd w:id="7"/>
      <w:bookmarkEnd w:id="8"/>
      <w:bookmarkEnd w:id="9"/>
      <w:bookmarkEnd w:id="10"/>
      <w:bookmarkEnd w:id="11"/>
      <w:bookmarkEnd w:id="12"/>
      <w:bookmarkEnd w:id="13"/>
      <w:bookmarkEnd w:id="14"/>
      <w:bookmarkEnd w:id="15"/>
      <w:bookmarkEnd w:id="16"/>
      <w:bookmarkEnd w:id="17"/>
      <w:bookmarkStart w:id="20" w:name="_Toc232395211"/>
      <w:bookmarkStart w:id="21" w:name="_Toc21126"/>
      <w:bookmarkStart w:id="22" w:name="_Toc249525158"/>
      <w:bookmarkStart w:id="23" w:name="_Toc415499895"/>
      <w:bookmarkStart w:id="24" w:name="_Toc232176271"/>
      <w:bookmarkStart w:id="25" w:name="_Toc256342142"/>
      <w:bookmarkStart w:id="26" w:name="_Toc230013631"/>
      <w:bookmarkStart w:id="27" w:name="_Toc184043011"/>
      <w:bookmarkStart w:id="28" w:name="_Toc230583540"/>
      <w:bookmarkStart w:id="29" w:name="_Toc249515277"/>
      <w:bookmarkStart w:id="30" w:name="_Toc230099796"/>
      <w:bookmarkStart w:id="31" w:name="_Toc249515389"/>
      <w:bookmarkStart w:id="32" w:name="_Toc58504446"/>
      <w:bookmarkStart w:id="33" w:name="_Toc184043012"/>
      <w:bookmarkStart w:id="34" w:name="_Toc249525159"/>
      <w:bookmarkStart w:id="35" w:name="_Toc256342143"/>
      <w:bookmarkStart w:id="36" w:name="_Toc176882542"/>
      <w:bookmarkStart w:id="37" w:name="_Toc500747061"/>
      <w:bookmarkStart w:id="38" w:name="_Toc500747188"/>
      <w:bookmarkStart w:id="39" w:name="_Toc230013632"/>
      <w:bookmarkStart w:id="40" w:name="_Toc70687139"/>
      <w:bookmarkStart w:id="41" w:name="_Toc53722840"/>
      <w:bookmarkStart w:id="42" w:name="_Toc177189235"/>
      <w:bookmarkStart w:id="43" w:name="_Toc499711042"/>
      <w:bookmarkStart w:id="44" w:name="_Toc503063421"/>
      <w:bookmarkStart w:id="45" w:name="_Toc232395212"/>
      <w:bookmarkStart w:id="46" w:name="_Toc177817334"/>
      <w:bookmarkStart w:id="47" w:name="_Toc249515390"/>
      <w:bookmarkStart w:id="48" w:name="_Toc496324578"/>
      <w:bookmarkStart w:id="49" w:name="_Toc249515278"/>
      <w:bookmarkStart w:id="50" w:name="_Toc177995473"/>
      <w:bookmarkStart w:id="51" w:name="_Toc500746965"/>
      <w:bookmarkStart w:id="52" w:name="_Toc492955414"/>
      <w:bookmarkStart w:id="53" w:name="_Toc230583541"/>
      <w:bookmarkStart w:id="54" w:name="_Toc232176272"/>
      <w:bookmarkStart w:id="55" w:name="_Toc230099797"/>
      <w:bookmarkStart w:id="56" w:name="_Toc499711883"/>
      <w:r>
        <w:rPr>
          <w:rStyle w:val="207"/>
          <w:rFonts w:ascii="Times New Roman" w:hAnsi="Times New Roman" w:eastAsia="宋体"/>
          <w:color w:val="auto"/>
          <w:sz w:val="36"/>
          <w:szCs w:val="36"/>
          <w:highlight w:val="none"/>
        </w:rPr>
        <w:br w:type="page"/>
      </w:r>
    </w:p>
    <w:p w14:paraId="2CBD53D3">
      <w:pPr>
        <w:pStyle w:val="46"/>
        <w:spacing w:line="360" w:lineRule="auto"/>
        <w:rPr>
          <w:rStyle w:val="207"/>
          <w:rFonts w:ascii="Times New Roman" w:hAnsi="Times New Roman" w:eastAsia="宋体"/>
          <w:color w:val="auto"/>
          <w:sz w:val="36"/>
          <w:szCs w:val="36"/>
          <w:highlight w:val="none"/>
        </w:rPr>
      </w:pPr>
      <w:bookmarkStart w:id="57" w:name="_Toc10957"/>
      <w:r>
        <w:rPr>
          <w:rStyle w:val="207"/>
          <w:rFonts w:ascii="Times New Roman" w:hAnsi="Times New Roman" w:eastAsia="宋体"/>
          <w:color w:val="auto"/>
          <w:sz w:val="36"/>
          <w:szCs w:val="36"/>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57"/>
    </w:p>
    <w:p w14:paraId="5397A8FA">
      <w:pPr>
        <w:pStyle w:val="81"/>
        <w:spacing w:beforeLines="100" w:after="24"/>
        <w:jc w:val="center"/>
        <w:rPr>
          <w:rFonts w:eastAsia="仿宋_GB2312"/>
          <w:color w:val="auto"/>
          <w:sz w:val="28"/>
          <w:szCs w:val="28"/>
          <w:highlight w:val="none"/>
        </w:rPr>
      </w:pPr>
      <w:bookmarkStart w:id="58" w:name="_Toc1149"/>
      <w:r>
        <w:rPr>
          <w:rFonts w:eastAsia="仿宋_GB2312"/>
          <w:color w:val="auto"/>
          <w:sz w:val="28"/>
          <w:szCs w:val="28"/>
          <w:highlight w:val="none"/>
        </w:rPr>
        <w:t>（一）供应商须知前附表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p>
    <w:p w14:paraId="7A2B3A37">
      <w:pPr>
        <w:rPr>
          <w:rFonts w:eastAsia="仿宋_GB2312"/>
          <w:color w:val="auto"/>
          <w:highlight w:val="none"/>
        </w:rPr>
      </w:pPr>
    </w:p>
    <w:p w14:paraId="4D44038C">
      <w:pPr>
        <w:rPr>
          <w:rFonts w:eastAsia="仿宋_GB2312"/>
          <w:color w:val="auto"/>
          <w:sz w:val="24"/>
          <w:highlight w:val="none"/>
        </w:rPr>
      </w:pPr>
      <w:r>
        <w:rPr>
          <w:rFonts w:eastAsia="仿宋_GB2312"/>
          <w:color w:val="auto"/>
          <w:sz w:val="24"/>
          <w:highlight w:val="none"/>
        </w:rPr>
        <w:t>本表是对供应商须知的具体补充和修改，如有矛盾，均以本表为准。</w:t>
      </w:r>
    </w:p>
    <w:p w14:paraId="16F289CF">
      <w:pPr>
        <w:ind w:left="720" w:hanging="720" w:hangingChars="343"/>
        <w:rPr>
          <w:rFonts w:eastAsia="仿宋_GB2312"/>
          <w:b/>
          <w:color w:val="auto"/>
          <w:sz w:val="20"/>
          <w:szCs w:val="20"/>
          <w:highlight w:val="none"/>
        </w:rPr>
      </w:pPr>
      <w:r>
        <w:rPr>
          <w:rFonts w:eastAsia="仿宋_GB2312"/>
          <w:color w:val="auto"/>
          <w:szCs w:val="21"/>
          <w:highlight w:val="none"/>
        </w:rPr>
        <w:t xml:space="preserve">   </w:t>
      </w:r>
    </w:p>
    <w:bookmarkEnd w:id="18"/>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730"/>
        <w:gridCol w:w="7556"/>
      </w:tblGrid>
      <w:tr w14:paraId="4F10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0E85168A">
            <w:pPr>
              <w:pStyle w:val="28"/>
              <w:adjustRightInd w:val="0"/>
              <w:snapToGrid w:val="0"/>
              <w:spacing w:line="240" w:lineRule="auto"/>
              <w:jc w:val="center"/>
              <w:rPr>
                <w:rFonts w:hint="eastAsia" w:ascii="Times New Roman" w:hAnsi="Times New Roman" w:eastAsia="仿宋_GB2312"/>
                <w:b/>
                <w:color w:val="auto"/>
                <w:sz w:val="24"/>
                <w:szCs w:val="24"/>
                <w:highlight w:val="none"/>
                <w:lang w:eastAsia="zh-CN"/>
              </w:rPr>
            </w:pPr>
            <w:bookmarkStart w:id="59" w:name="_Hlt14560610"/>
            <w:bookmarkEnd w:id="59"/>
            <w:bookmarkStart w:id="60" w:name="_Toc499711885"/>
            <w:bookmarkStart w:id="61" w:name="_Toc503063423"/>
            <w:bookmarkStart w:id="62" w:name="_Toc385992326"/>
            <w:bookmarkStart w:id="63" w:name="_Toc500747190"/>
            <w:bookmarkStart w:id="64" w:name="_Toc500747063"/>
            <w:bookmarkStart w:id="65" w:name="_Toc499711044"/>
            <w:bookmarkStart w:id="66" w:name="_Toc492955416"/>
            <w:bookmarkStart w:id="67" w:name="_Toc500746967"/>
            <w:bookmarkStart w:id="68" w:name="_Toc496324580"/>
            <w:bookmarkStart w:id="69" w:name="_Toc389620165"/>
            <w:r>
              <w:rPr>
                <w:rFonts w:hint="eastAsia" w:ascii="Times New Roman" w:hAnsi="Times New Roman" w:eastAsia="仿宋_GB2312"/>
                <w:b/>
                <w:color w:val="auto"/>
                <w:sz w:val="24"/>
                <w:szCs w:val="24"/>
                <w:highlight w:val="none"/>
                <w:lang w:eastAsia="zh-CN"/>
              </w:rPr>
              <w:t>条款号</w:t>
            </w:r>
          </w:p>
        </w:tc>
        <w:tc>
          <w:tcPr>
            <w:tcW w:w="7556" w:type="dxa"/>
            <w:vAlign w:val="center"/>
          </w:tcPr>
          <w:p w14:paraId="453736D3">
            <w:pPr>
              <w:pStyle w:val="28"/>
              <w:adjustRightInd w:val="0"/>
              <w:snapToGrid w:val="0"/>
              <w:spacing w:line="240" w:lineRule="auto"/>
              <w:jc w:val="center"/>
              <w:rPr>
                <w:rFonts w:hint="eastAsia" w:ascii="Times New Roman" w:hAnsi="Times New Roman" w:eastAsia="仿宋_GB2312"/>
                <w:b/>
                <w:color w:val="auto"/>
                <w:sz w:val="24"/>
                <w:szCs w:val="24"/>
                <w:highlight w:val="none"/>
                <w:lang w:eastAsia="zh-CN"/>
              </w:rPr>
            </w:pPr>
            <w:r>
              <w:rPr>
                <w:rFonts w:hint="eastAsia" w:ascii="Times New Roman" w:hAnsi="Times New Roman" w:eastAsia="仿宋_GB2312"/>
                <w:b/>
                <w:color w:val="auto"/>
                <w:sz w:val="24"/>
                <w:szCs w:val="24"/>
                <w:highlight w:val="none"/>
                <w:lang w:eastAsia="zh-CN"/>
              </w:rPr>
              <w:t>内容说明</w:t>
            </w:r>
          </w:p>
        </w:tc>
      </w:tr>
      <w:tr w14:paraId="457E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49A91172">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1.1</w:t>
            </w:r>
          </w:p>
        </w:tc>
        <w:tc>
          <w:tcPr>
            <w:tcW w:w="7556" w:type="dxa"/>
            <w:vAlign w:val="center"/>
          </w:tcPr>
          <w:p w14:paraId="786FB114">
            <w:pPr>
              <w:pStyle w:val="28"/>
              <w:adjustRightInd w:val="0"/>
              <w:snapToGrid w:val="0"/>
              <w:spacing w:line="240" w:lineRule="auto"/>
              <w:jc w:val="lef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项目名称：</w:t>
            </w:r>
            <w:r>
              <w:rPr>
                <w:rFonts w:hint="eastAsia" w:ascii="Times New Roman" w:hAnsi="Times New Roman" w:eastAsia="仿宋_GB2312"/>
                <w:color w:val="auto"/>
                <w:sz w:val="24"/>
                <w:szCs w:val="24"/>
                <w:highlight w:val="none"/>
                <w:lang w:eastAsia="zh-CN"/>
              </w:rPr>
              <w:t>沣东大队驻地食堂服务（二次）</w:t>
            </w:r>
          </w:p>
          <w:p w14:paraId="09B57C9A">
            <w:pPr>
              <w:pStyle w:val="28"/>
              <w:adjustRightInd w:val="0"/>
              <w:snapToGrid w:val="0"/>
              <w:spacing w:line="240" w:lineRule="auto"/>
              <w:jc w:val="lef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项目编</w:t>
            </w:r>
            <w:r>
              <w:rPr>
                <w:rFonts w:hint="eastAsia" w:ascii="Times New Roman" w:hAnsi="Times New Roman" w:eastAsia="仿宋_GB2312"/>
                <w:color w:val="auto"/>
                <w:sz w:val="24"/>
                <w:szCs w:val="24"/>
                <w:highlight w:val="none"/>
              </w:rPr>
              <w:t>号</w:t>
            </w:r>
            <w:r>
              <w:rPr>
                <w:rFonts w:hint="eastAsia" w:ascii="Times New Roman" w:hAnsi="Times New Roman" w:eastAsia="仿宋_GB2312"/>
                <w:color w:val="auto"/>
                <w:sz w:val="24"/>
                <w:szCs w:val="24"/>
                <w:highlight w:val="none"/>
                <w:lang w:eastAsia="zh-CN"/>
              </w:rPr>
              <w:t>SCZC2025-CS-2162-001R</w:t>
            </w:r>
          </w:p>
          <w:p w14:paraId="4692EC74">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资金来源：财政资金</w:t>
            </w:r>
          </w:p>
          <w:p w14:paraId="2BC9089F">
            <w:pPr>
              <w:pStyle w:val="28"/>
              <w:adjustRightInd w:val="0"/>
              <w:snapToGrid w:val="0"/>
              <w:spacing w:line="240" w:lineRule="auto"/>
              <w:jc w:val="left"/>
              <w:rPr>
                <w:rFonts w:hint="default" w:ascii="Times New Roman" w:hAnsi="Times New Roman" w:eastAsia="仿宋_GB2312"/>
                <w:color w:val="auto"/>
                <w:sz w:val="24"/>
                <w:szCs w:val="24"/>
                <w:highlight w:val="none"/>
                <w:lang w:val="en-US"/>
              </w:rPr>
            </w:pPr>
            <w:r>
              <w:rPr>
                <w:rFonts w:ascii="Times New Roman" w:hAnsi="Times New Roman" w:eastAsia="仿宋_GB2312"/>
                <w:color w:val="auto"/>
                <w:sz w:val="24"/>
                <w:szCs w:val="24"/>
                <w:highlight w:val="none"/>
              </w:rPr>
              <w:t>预算金额：</w:t>
            </w:r>
            <w:r>
              <w:rPr>
                <w:rFonts w:hint="eastAsia" w:ascii="Times New Roman" w:hAnsi="Times New Roman" w:eastAsia="仿宋_GB2312"/>
                <w:color w:val="auto"/>
                <w:sz w:val="24"/>
                <w:szCs w:val="24"/>
                <w:highlight w:val="none"/>
                <w:lang w:val="en-US" w:eastAsia="zh-CN"/>
              </w:rPr>
              <w:t>详见磋商公告</w:t>
            </w:r>
          </w:p>
          <w:p w14:paraId="3E37FECA">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采购方式：竞争性磋商</w:t>
            </w:r>
          </w:p>
          <w:p w14:paraId="6A3B70BA">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采购内容：详见本磋商文件第五章</w:t>
            </w:r>
          </w:p>
          <w:p w14:paraId="388654F5">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项目所属行业：</w:t>
            </w:r>
            <w:r>
              <w:rPr>
                <w:rFonts w:hint="eastAsia" w:ascii="Times New Roman" w:hAnsi="Times New Roman" w:eastAsia="仿宋_GB2312"/>
                <w:color w:val="auto"/>
                <w:sz w:val="24"/>
                <w:szCs w:val="24"/>
                <w:highlight w:val="none"/>
                <w:lang w:val="en-US" w:eastAsia="zh-CN"/>
              </w:rPr>
              <w:t>餐饮业</w:t>
            </w:r>
            <w:r>
              <w:rPr>
                <w:rFonts w:hint="eastAsia" w:ascii="Times New Roman" w:hAnsi="Times New Roman" w:eastAsia="仿宋_GB2312"/>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olor w:val="auto"/>
                <w:sz w:val="24"/>
                <w:szCs w:val="24"/>
                <w:highlight w:val="none"/>
              </w:rPr>
              <w:t>。</w:t>
            </w:r>
          </w:p>
        </w:tc>
      </w:tr>
      <w:tr w14:paraId="0B6A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43FF76C1">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w:t>
            </w:r>
          </w:p>
        </w:tc>
        <w:tc>
          <w:tcPr>
            <w:tcW w:w="7556" w:type="dxa"/>
            <w:vAlign w:val="center"/>
          </w:tcPr>
          <w:p w14:paraId="2CBDE164">
            <w:pPr>
              <w:pStyle w:val="28"/>
              <w:adjustRightInd w:val="0"/>
              <w:snapToGrid w:val="0"/>
              <w:spacing w:line="240" w:lineRule="auto"/>
              <w:jc w:val="left"/>
              <w:rPr>
                <w:rFonts w:hint="eastAsia" w:ascii="Times New Roman" w:hAnsi="Times New Roman" w:eastAsia="仿宋_GB2312"/>
                <w:color w:val="auto"/>
                <w:sz w:val="24"/>
                <w:szCs w:val="24"/>
                <w:highlight w:val="none"/>
                <w:lang w:eastAsia="zh-CN"/>
              </w:rPr>
            </w:pPr>
            <w:r>
              <w:rPr>
                <w:rFonts w:ascii="Times New Roman" w:hAnsi="Times New Roman" w:eastAsia="仿宋_GB2312"/>
                <w:color w:val="auto"/>
                <w:sz w:val="24"/>
                <w:szCs w:val="24"/>
                <w:highlight w:val="none"/>
              </w:rPr>
              <w:t>采购人：</w:t>
            </w:r>
            <w:r>
              <w:rPr>
                <w:rFonts w:hint="eastAsia" w:ascii="Times New Roman" w:eastAsia="仿宋_GB2312"/>
                <w:color w:val="auto"/>
                <w:kern w:val="0"/>
                <w:sz w:val="24"/>
                <w:highlight w:val="none"/>
                <w:lang w:eastAsia="zh-CN"/>
              </w:rPr>
              <w:t>陕西省西咸新区沣东新城管理委员会</w:t>
            </w:r>
          </w:p>
        </w:tc>
      </w:tr>
      <w:tr w14:paraId="587E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66A052FD">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2.2</w:t>
            </w:r>
          </w:p>
        </w:tc>
        <w:tc>
          <w:tcPr>
            <w:tcW w:w="7556" w:type="dxa"/>
            <w:vAlign w:val="center"/>
          </w:tcPr>
          <w:p w14:paraId="5F419931">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采购代理机构：陕西省采购招标有限责任公司</w:t>
            </w:r>
          </w:p>
        </w:tc>
      </w:tr>
      <w:tr w14:paraId="4482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2C71930D">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2.3</w:t>
            </w:r>
          </w:p>
        </w:tc>
        <w:tc>
          <w:tcPr>
            <w:tcW w:w="7556" w:type="dxa"/>
            <w:vAlign w:val="center"/>
          </w:tcPr>
          <w:p w14:paraId="2BFD9831">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邀请供应商的方式：发布磋商公告</w:t>
            </w:r>
          </w:p>
        </w:tc>
      </w:tr>
      <w:tr w14:paraId="1CE8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1F7B4A0">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3.1</w:t>
            </w:r>
          </w:p>
        </w:tc>
        <w:tc>
          <w:tcPr>
            <w:tcW w:w="7556" w:type="dxa"/>
            <w:vAlign w:val="center"/>
          </w:tcPr>
          <w:p w14:paraId="2A326905">
            <w:pPr>
              <w:pStyle w:val="15"/>
              <w:snapToGrid w:val="0"/>
              <w:spacing w:line="360" w:lineRule="auto"/>
              <w:jc w:val="left"/>
              <w:rPr>
                <w:rFonts w:ascii="Times New Roman" w:eastAsia="仿宋_GB2312" w:cs="Times New Roman"/>
                <w:color w:val="auto"/>
                <w:kern w:val="2"/>
                <w:sz w:val="24"/>
                <w:highlight w:val="none"/>
              </w:rPr>
            </w:pPr>
            <w:r>
              <w:rPr>
                <w:rFonts w:ascii="Times New Roman" w:eastAsia="仿宋_GB2312" w:cs="Times New Roman"/>
                <w:color w:val="auto"/>
                <w:kern w:val="2"/>
                <w:sz w:val="24"/>
                <w:highlight w:val="none"/>
              </w:rPr>
              <w:t>对供应商的资格要求：见磋商公告</w:t>
            </w:r>
          </w:p>
        </w:tc>
      </w:tr>
      <w:tr w14:paraId="2C89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01B6461D">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5</w:t>
            </w:r>
          </w:p>
        </w:tc>
        <w:tc>
          <w:tcPr>
            <w:tcW w:w="7556" w:type="dxa"/>
            <w:vAlign w:val="center"/>
          </w:tcPr>
          <w:p w14:paraId="5F878E0E">
            <w:pPr>
              <w:pStyle w:val="15"/>
              <w:snapToGrid w:val="0"/>
              <w:spacing w:line="360" w:lineRule="auto"/>
              <w:jc w:val="left"/>
              <w:rPr>
                <w:rFonts w:ascii="Times New Roman" w:eastAsia="仿宋_GB2312" w:cs="Times New Roman"/>
                <w:color w:val="auto"/>
                <w:kern w:val="2"/>
                <w:sz w:val="24"/>
                <w:highlight w:val="none"/>
              </w:rPr>
            </w:pPr>
            <w:r>
              <w:rPr>
                <w:rFonts w:ascii="Times New Roman" w:eastAsia="仿宋_GB2312" w:cs="Times New Roman"/>
                <w:color w:val="auto"/>
                <w:kern w:val="2"/>
                <w:sz w:val="24"/>
                <w:highlight w:val="none"/>
              </w:rPr>
              <w:t>是否允许采购进口产品：</w:t>
            </w:r>
            <w:r>
              <w:rPr>
                <w:rFonts w:ascii="Times New Roman" w:eastAsia="仿宋_GB2312" w:cs="Times New Roman"/>
                <w:color w:val="auto"/>
                <w:kern w:val="2"/>
                <w:sz w:val="24"/>
                <w:highlight w:val="none"/>
                <w:u w:val="single"/>
              </w:rPr>
              <w:t xml:space="preserve">  </w:t>
            </w:r>
            <w:r>
              <w:rPr>
                <w:rFonts w:hint="eastAsia" w:ascii="Times New Roman" w:eastAsia="仿宋_GB2312" w:cs="Times New Roman"/>
                <w:color w:val="auto"/>
                <w:kern w:val="2"/>
                <w:sz w:val="24"/>
                <w:highlight w:val="none"/>
                <w:u w:val="single"/>
              </w:rPr>
              <w:t>不涉及</w:t>
            </w:r>
          </w:p>
        </w:tc>
      </w:tr>
      <w:tr w14:paraId="7C0D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9FDED89">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6</w:t>
            </w:r>
          </w:p>
        </w:tc>
        <w:tc>
          <w:tcPr>
            <w:tcW w:w="7556" w:type="dxa"/>
            <w:vAlign w:val="center"/>
          </w:tcPr>
          <w:p w14:paraId="42495653">
            <w:pPr>
              <w:pStyle w:val="15"/>
              <w:snapToGrid w:val="0"/>
              <w:spacing w:line="360" w:lineRule="auto"/>
              <w:jc w:val="left"/>
              <w:rPr>
                <w:rFonts w:ascii="Times New Roman" w:eastAsia="仿宋_GB2312" w:cs="Times New Roman"/>
                <w:color w:val="auto"/>
                <w:kern w:val="2"/>
                <w:sz w:val="24"/>
                <w:highlight w:val="none"/>
              </w:rPr>
            </w:pPr>
            <w:r>
              <w:rPr>
                <w:rFonts w:ascii="Times New Roman" w:eastAsia="仿宋_GB2312" w:cs="Times New Roman"/>
                <w:color w:val="auto"/>
                <w:kern w:val="2"/>
                <w:sz w:val="24"/>
                <w:highlight w:val="none"/>
              </w:rPr>
              <w:t>是否允许联合体磋商：</w:t>
            </w:r>
            <w:r>
              <w:rPr>
                <w:rFonts w:ascii="Times New Roman" w:eastAsia="仿宋_GB2312" w:cs="Times New Roman"/>
                <w:color w:val="auto"/>
                <w:kern w:val="2"/>
                <w:sz w:val="24"/>
                <w:highlight w:val="none"/>
                <w:u w:val="single"/>
              </w:rPr>
              <w:t xml:space="preserve">  </w:t>
            </w:r>
            <w:r>
              <w:rPr>
                <w:rFonts w:hint="eastAsia" w:ascii="Times New Roman" w:eastAsia="仿宋_GB2312" w:cs="Times New Roman"/>
                <w:color w:val="auto"/>
                <w:kern w:val="2"/>
                <w:sz w:val="24"/>
                <w:highlight w:val="none"/>
                <w:u w:val="single"/>
              </w:rPr>
              <w:t>否</w:t>
            </w:r>
          </w:p>
        </w:tc>
      </w:tr>
      <w:tr w14:paraId="3735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66675C1">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w:t>
            </w:r>
            <w:r>
              <w:rPr>
                <w:rFonts w:hint="eastAsia" w:ascii="Times New Roman" w:hAnsi="Times New Roman" w:eastAsia="仿宋_GB2312"/>
                <w:color w:val="auto"/>
                <w:sz w:val="24"/>
                <w:szCs w:val="24"/>
                <w:highlight w:val="none"/>
              </w:rPr>
              <w:t>7</w:t>
            </w:r>
          </w:p>
        </w:tc>
        <w:tc>
          <w:tcPr>
            <w:tcW w:w="7556" w:type="dxa"/>
            <w:vAlign w:val="center"/>
          </w:tcPr>
          <w:p w14:paraId="02F58DC7">
            <w:pPr>
              <w:pStyle w:val="15"/>
              <w:snapToGrid w:val="0"/>
              <w:spacing w:line="360" w:lineRule="auto"/>
              <w:jc w:val="left"/>
              <w:rPr>
                <w:rFonts w:ascii="Times New Roman" w:eastAsia="仿宋_GB2312" w:cs="Times New Roman"/>
                <w:color w:val="auto"/>
                <w:kern w:val="2"/>
                <w:sz w:val="24"/>
                <w:highlight w:val="none"/>
              </w:rPr>
            </w:pPr>
            <w:r>
              <w:rPr>
                <w:rFonts w:ascii="Times New Roman" w:eastAsia="仿宋_GB2312" w:cs="Times New Roman"/>
                <w:color w:val="auto"/>
                <w:sz w:val="24"/>
                <w:highlight w:val="none"/>
              </w:rPr>
              <w:t>是否为专门面向</w:t>
            </w:r>
            <w:r>
              <w:rPr>
                <w:rFonts w:hint="eastAsia" w:ascii="Times New Roman" w:eastAsia="仿宋_GB2312" w:cs="Times New Roman"/>
                <w:color w:val="auto"/>
                <w:sz w:val="24"/>
                <w:highlight w:val="none"/>
                <w:lang w:val="en-US" w:eastAsia="zh-CN"/>
              </w:rPr>
              <w:t>中小</w:t>
            </w:r>
            <w:r>
              <w:rPr>
                <w:rFonts w:ascii="Times New Roman" w:eastAsia="仿宋_GB2312" w:cs="Times New Roman"/>
                <w:color w:val="auto"/>
                <w:sz w:val="24"/>
                <w:highlight w:val="none"/>
              </w:rPr>
              <w:t>企业采购：</w:t>
            </w:r>
            <w:r>
              <w:rPr>
                <w:rFonts w:ascii="Times New Roman" w:eastAsia="仿宋_GB2312" w:cs="Times New Roman"/>
                <w:color w:val="auto"/>
                <w:sz w:val="24"/>
                <w:highlight w:val="none"/>
                <w:u w:val="single"/>
              </w:rPr>
              <w:t xml:space="preserve"> </w:t>
            </w:r>
            <w:r>
              <w:rPr>
                <w:rFonts w:hint="eastAsia" w:ascii="Times New Roman" w:eastAsia="仿宋_GB2312" w:cs="Times New Roman"/>
                <w:color w:val="auto"/>
                <w:sz w:val="24"/>
                <w:highlight w:val="none"/>
                <w:u w:val="single"/>
                <w:lang w:val="en-US" w:eastAsia="zh-CN"/>
              </w:rPr>
              <w:t>是</w:t>
            </w:r>
            <w:r>
              <w:rPr>
                <w:rFonts w:ascii="Times New Roman" w:eastAsia="仿宋_GB2312" w:cs="Times New Roman"/>
                <w:color w:val="auto"/>
                <w:sz w:val="24"/>
                <w:highlight w:val="none"/>
                <w:u w:val="single"/>
              </w:rPr>
              <w:t xml:space="preserve">  </w:t>
            </w:r>
            <w:r>
              <w:rPr>
                <w:rFonts w:ascii="Times New Roman" w:eastAsia="仿宋_GB2312" w:cs="Times New Roman"/>
                <w:color w:val="auto"/>
                <w:sz w:val="24"/>
                <w:highlight w:val="none"/>
              </w:rPr>
              <w:t>（</w:t>
            </w:r>
            <w:r>
              <w:rPr>
                <w:rFonts w:hint="eastAsia" w:ascii="Times New Roman" w:eastAsia="仿宋_GB2312" w:cs="Times New Roman"/>
                <w:color w:val="auto"/>
                <w:sz w:val="24"/>
                <w:highlight w:val="none"/>
              </w:rPr>
              <w:t>预留份额</w:t>
            </w:r>
            <w:r>
              <w:rPr>
                <w:rFonts w:hint="eastAsia" w:ascii="Times New Roman" w:eastAsia="仿宋_GB2312" w:cs="Times New Roman"/>
                <w:color w:val="auto"/>
                <w:sz w:val="24"/>
                <w:highlight w:val="none"/>
                <w:u w:val="single"/>
              </w:rPr>
              <w:t xml:space="preserve"> </w:t>
            </w:r>
            <w:r>
              <w:rPr>
                <w:rFonts w:hint="eastAsia" w:ascii="Times New Roman" w:eastAsia="仿宋_GB2312" w:cs="Times New Roman"/>
                <w:color w:val="auto"/>
                <w:sz w:val="24"/>
                <w:highlight w:val="none"/>
                <w:u w:val="single"/>
                <w:lang w:val="en-US" w:eastAsia="zh-CN"/>
              </w:rPr>
              <w:t xml:space="preserve"> /  </w:t>
            </w:r>
            <w:r>
              <w:rPr>
                <w:rFonts w:ascii="Times New Roman" w:eastAsia="仿宋_GB2312" w:cs="Times New Roman"/>
                <w:color w:val="auto"/>
                <w:sz w:val="24"/>
                <w:highlight w:val="none"/>
              </w:rPr>
              <w:t>）</w:t>
            </w:r>
          </w:p>
        </w:tc>
      </w:tr>
      <w:tr w14:paraId="60C4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85774C1">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12.1</w:t>
            </w:r>
          </w:p>
        </w:tc>
        <w:tc>
          <w:tcPr>
            <w:tcW w:w="7556" w:type="dxa"/>
            <w:vAlign w:val="center"/>
          </w:tcPr>
          <w:p w14:paraId="193DB314">
            <w:pPr>
              <w:snapToGrid w:val="0"/>
              <w:spacing w:line="312" w:lineRule="auto"/>
              <w:jc w:val="left"/>
              <w:rPr>
                <w:rFonts w:ascii="Times New Roman" w:eastAsia="仿宋_GB2312"/>
                <w:color w:val="auto"/>
                <w:sz w:val="24"/>
                <w:highlight w:val="none"/>
              </w:rPr>
            </w:pPr>
            <w:r>
              <w:rPr>
                <w:rFonts w:ascii="Times New Roman" w:eastAsia="仿宋_GB2312"/>
                <w:color w:val="auto"/>
                <w:sz w:val="24"/>
                <w:highlight w:val="none"/>
              </w:rPr>
              <w:t>成交响应报价为提供磋商文件要求服务的所有费用，包括但不限于项目实施费、</w:t>
            </w:r>
            <w:r>
              <w:rPr>
                <w:rFonts w:hint="eastAsia" w:ascii="Times New Roman" w:eastAsia="仿宋_GB2312"/>
                <w:color w:val="auto"/>
                <w:sz w:val="24"/>
                <w:highlight w:val="none"/>
                <w:lang w:val="en-US" w:eastAsia="zh-CN"/>
              </w:rPr>
              <w:t>人员工资</w:t>
            </w:r>
            <w:r>
              <w:rPr>
                <w:rFonts w:ascii="Times New Roman" w:eastAsia="仿宋_GB2312"/>
                <w:color w:val="auto"/>
                <w:sz w:val="24"/>
                <w:highlight w:val="none"/>
              </w:rPr>
              <w:t>、</w:t>
            </w:r>
            <w:r>
              <w:rPr>
                <w:rFonts w:hint="eastAsia" w:ascii="Times New Roman" w:eastAsia="仿宋_GB2312"/>
                <w:color w:val="auto"/>
                <w:sz w:val="24"/>
                <w:highlight w:val="none"/>
                <w:lang w:val="en-US" w:eastAsia="zh-CN"/>
              </w:rPr>
              <w:t>社保、福利、</w:t>
            </w:r>
            <w:r>
              <w:rPr>
                <w:rFonts w:ascii="Times New Roman" w:eastAsia="仿宋_GB2312"/>
                <w:color w:val="auto"/>
                <w:sz w:val="24"/>
                <w:highlight w:val="none"/>
              </w:rPr>
              <w:t>管理费、供应商应缴纳的所有税费等全部费用。</w:t>
            </w:r>
          </w:p>
          <w:p w14:paraId="2CC3C59C">
            <w:pPr>
              <w:pStyle w:val="28"/>
              <w:adjustRightInd w:val="0"/>
              <w:snapToGrid w:val="0"/>
              <w:spacing w:line="240" w:lineRule="auto"/>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（1）报价货币：人民币；</w:t>
            </w:r>
          </w:p>
          <w:p w14:paraId="1538AC61">
            <w:pPr>
              <w:pStyle w:val="28"/>
              <w:adjustRightInd w:val="0"/>
              <w:snapToGrid w:val="0"/>
              <w:spacing w:line="240" w:lineRule="auto"/>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（2）严格按照分项报价表进行分项报价。</w:t>
            </w:r>
          </w:p>
        </w:tc>
      </w:tr>
      <w:tr w14:paraId="5C65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190248BA">
            <w:pPr>
              <w:pStyle w:val="28"/>
              <w:adjustRightInd w:val="0"/>
              <w:snapToGrid w:val="0"/>
              <w:spacing w:line="240" w:lineRule="auto"/>
              <w:jc w:val="center"/>
              <w:rPr>
                <w:rFonts w:ascii="Times New Roman" w:hAnsi="Times New Roman" w:eastAsia="仿宋_GB2312"/>
                <w:color w:val="auto"/>
                <w:sz w:val="24"/>
                <w:szCs w:val="24"/>
                <w:highlight w:val="none"/>
              </w:rPr>
            </w:pPr>
          </w:p>
          <w:p w14:paraId="2A1545D3">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14.1</w:t>
            </w:r>
          </w:p>
          <w:p w14:paraId="392630A4">
            <w:pPr>
              <w:pStyle w:val="28"/>
              <w:adjustRightInd w:val="0"/>
              <w:snapToGrid w:val="0"/>
              <w:spacing w:line="240" w:lineRule="auto"/>
              <w:jc w:val="center"/>
              <w:rPr>
                <w:rFonts w:ascii="Times New Roman" w:hAnsi="Times New Roman" w:eastAsia="仿宋_GB2312"/>
                <w:color w:val="auto"/>
                <w:sz w:val="24"/>
                <w:szCs w:val="24"/>
                <w:highlight w:val="none"/>
              </w:rPr>
            </w:pPr>
          </w:p>
        </w:tc>
        <w:tc>
          <w:tcPr>
            <w:tcW w:w="7556" w:type="dxa"/>
            <w:vAlign w:val="center"/>
          </w:tcPr>
          <w:p w14:paraId="5E9F2420">
            <w:pPr>
              <w:pStyle w:val="28"/>
              <w:adjustRightInd w:val="0"/>
              <w:snapToGrid w:val="0"/>
              <w:spacing w:line="240" w:lineRule="auto"/>
              <w:jc w:val="left"/>
              <w:rPr>
                <w:rFonts w:ascii="Times New Roman" w:hAnsi="Times New Roman" w:eastAsia="仿宋_GB2312"/>
                <w:color w:val="auto"/>
                <w:sz w:val="24"/>
                <w:highlight w:val="none"/>
              </w:rPr>
            </w:pPr>
            <w:r>
              <w:rPr>
                <w:rFonts w:ascii="Times New Roman" w:hAnsi="Times New Roman" w:eastAsia="仿宋_GB2312"/>
                <w:color w:val="auto"/>
                <w:sz w:val="24"/>
                <w:szCs w:val="24"/>
                <w:highlight w:val="none"/>
              </w:rPr>
              <w:t>本项目</w:t>
            </w:r>
            <w:r>
              <w:rPr>
                <w:rFonts w:hint="eastAsia" w:ascii="Times New Roman" w:hAnsi="Times New Roman" w:eastAsia="仿宋_GB2312"/>
                <w:color w:val="auto"/>
                <w:sz w:val="24"/>
                <w:szCs w:val="24"/>
                <w:highlight w:val="none"/>
                <w:lang w:eastAsia="zh-CN"/>
              </w:rPr>
              <w:t>无</w:t>
            </w:r>
            <w:r>
              <w:rPr>
                <w:rFonts w:ascii="Times New Roman" w:hAnsi="Times New Roman" w:eastAsia="仿宋_GB2312"/>
                <w:color w:val="auto"/>
                <w:sz w:val="24"/>
                <w:szCs w:val="24"/>
                <w:highlight w:val="none"/>
              </w:rPr>
              <w:t>须提供磋商保证金</w:t>
            </w:r>
          </w:p>
        </w:tc>
      </w:tr>
      <w:tr w14:paraId="32E0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06B28369">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15.1</w:t>
            </w:r>
          </w:p>
        </w:tc>
        <w:tc>
          <w:tcPr>
            <w:tcW w:w="7556" w:type="dxa"/>
            <w:vAlign w:val="center"/>
          </w:tcPr>
          <w:p w14:paraId="71EE1441">
            <w:pPr>
              <w:pStyle w:val="28"/>
              <w:adjustRightInd w:val="0"/>
              <w:snapToGrid w:val="0"/>
              <w:spacing w:line="240" w:lineRule="auto"/>
              <w:jc w:val="lef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磋商有效期：自响应文件递交之日起</w:t>
            </w:r>
            <w:r>
              <w:rPr>
                <w:rFonts w:ascii="Times New Roman" w:hAnsi="Times New Roman" w:eastAsia="仿宋_GB2312"/>
                <w:color w:val="auto"/>
                <w:sz w:val="24"/>
                <w:szCs w:val="24"/>
                <w:highlight w:val="none"/>
                <w:u w:val="single"/>
              </w:rPr>
              <w:t xml:space="preserve">  60  </w:t>
            </w:r>
            <w:r>
              <w:rPr>
                <w:rFonts w:ascii="Times New Roman" w:hAnsi="Times New Roman" w:eastAsia="仿宋_GB2312"/>
                <w:color w:val="auto"/>
                <w:sz w:val="24"/>
                <w:szCs w:val="24"/>
                <w:highlight w:val="none"/>
              </w:rPr>
              <w:t>日历天。</w:t>
            </w:r>
          </w:p>
        </w:tc>
      </w:tr>
      <w:tr w14:paraId="0175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1AB9A1E4">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16.1</w:t>
            </w:r>
          </w:p>
        </w:tc>
        <w:tc>
          <w:tcPr>
            <w:tcW w:w="7556" w:type="dxa"/>
            <w:vAlign w:val="center"/>
          </w:tcPr>
          <w:p w14:paraId="211F245C">
            <w:pPr>
              <w:pStyle w:val="28"/>
              <w:adjustRightInd w:val="0"/>
              <w:snapToGrid w:val="0"/>
              <w:spacing w:line="240" w:lineRule="auto"/>
              <w:jc w:val="lef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响应文件的份数：</w:t>
            </w:r>
          </w:p>
          <w:p w14:paraId="02031819">
            <w:pPr>
              <w:pStyle w:val="28"/>
              <w:adjustRightInd w:val="0"/>
              <w:snapToGrid w:val="0"/>
              <w:spacing w:line="240" w:lineRule="auto"/>
              <w:jc w:val="left"/>
              <w:rPr>
                <w:rFonts w:hint="eastAsia"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供应商须</w:t>
            </w:r>
            <w:r>
              <w:rPr>
                <w:rFonts w:hint="eastAsia" w:ascii="Times New Roman" w:hAnsi="Times New Roman" w:eastAsia="仿宋_GB2312"/>
                <w:color w:val="auto"/>
                <w:sz w:val="24"/>
                <w:szCs w:val="24"/>
                <w:highlight w:val="none"/>
              </w:rPr>
              <w:t>在</w:t>
            </w:r>
            <w:r>
              <w:rPr>
                <w:rFonts w:hint="eastAsia" w:ascii="Times New Roman" w:hAnsi="Times New Roman" w:eastAsia="仿宋_GB2312"/>
                <w:color w:val="auto"/>
                <w:sz w:val="24"/>
                <w:szCs w:val="24"/>
                <w:highlight w:val="none"/>
                <w:lang w:eastAsia="zh-CN"/>
              </w:rPr>
              <w:t>磋商</w:t>
            </w:r>
            <w:r>
              <w:rPr>
                <w:rFonts w:hint="eastAsia" w:ascii="Times New Roman" w:hAnsi="Times New Roman" w:eastAsia="仿宋_GB2312"/>
                <w:color w:val="auto"/>
                <w:sz w:val="24"/>
                <w:szCs w:val="24"/>
                <w:highlight w:val="none"/>
              </w:rPr>
              <w:t>截止时间前上传电子版</w:t>
            </w:r>
            <w:r>
              <w:rPr>
                <w:rFonts w:hint="eastAsia" w:ascii="Times New Roman" w:hAnsi="Times New Roman" w:eastAsia="仿宋_GB2312"/>
                <w:color w:val="auto"/>
                <w:sz w:val="24"/>
                <w:szCs w:val="24"/>
                <w:highlight w:val="none"/>
                <w:lang w:eastAsia="zh-CN"/>
              </w:rPr>
              <w:t>响应</w:t>
            </w:r>
            <w:r>
              <w:rPr>
                <w:rFonts w:hint="eastAsia" w:ascii="Times New Roman" w:hAnsi="Times New Roman" w:eastAsia="仿宋_GB2312"/>
                <w:color w:val="auto"/>
                <w:sz w:val="24"/>
                <w:szCs w:val="24"/>
                <w:highlight w:val="none"/>
              </w:rPr>
              <w:t>文件，并于</w:t>
            </w:r>
            <w:r>
              <w:rPr>
                <w:rFonts w:hint="eastAsia" w:ascii="Times New Roman" w:hAnsi="Times New Roman" w:eastAsia="仿宋_GB2312"/>
                <w:color w:val="auto"/>
                <w:sz w:val="24"/>
                <w:szCs w:val="24"/>
                <w:highlight w:val="none"/>
                <w:lang w:eastAsia="zh-CN"/>
              </w:rPr>
              <w:t>磋商截止</w:t>
            </w:r>
            <w:r>
              <w:rPr>
                <w:rFonts w:hint="eastAsia" w:ascii="Times New Roman" w:hAnsi="Times New Roman" w:eastAsia="仿宋_GB2312"/>
                <w:color w:val="auto"/>
                <w:sz w:val="24"/>
                <w:szCs w:val="24"/>
                <w:highlight w:val="none"/>
              </w:rPr>
              <w:t>时间前</w:t>
            </w:r>
            <w:r>
              <w:rPr>
                <w:rFonts w:hint="eastAsia" w:ascii="Times New Roman" w:hAnsi="Times New Roman" w:eastAsia="仿宋_GB2312"/>
                <w:color w:val="auto"/>
                <w:sz w:val="24"/>
                <w:szCs w:val="24"/>
                <w:highlight w:val="none"/>
                <w:lang w:eastAsia="zh-CN"/>
              </w:rPr>
              <w:t>在</w:t>
            </w:r>
            <w:r>
              <w:rPr>
                <w:rFonts w:hint="eastAsia" w:ascii="Times New Roman" w:eastAsia="仿宋_GB2312"/>
                <w:b/>
                <w:bCs/>
                <w:color w:val="auto"/>
                <w:kern w:val="0"/>
                <w:sz w:val="24"/>
                <w:highlight w:val="none"/>
              </w:rPr>
              <w:t>全国公共资源交易平台（陕西省·西咸新区）-电子交易平台-西咸新区公共资源交易不见面开标系统</w:t>
            </w:r>
            <w:r>
              <w:rPr>
                <w:rFonts w:hint="eastAsia" w:ascii="Times New Roman" w:hAnsi="Times New Roman" w:eastAsia="仿宋_GB2312"/>
                <w:color w:val="auto"/>
                <w:sz w:val="24"/>
                <w:szCs w:val="24"/>
                <w:highlight w:val="none"/>
              </w:rPr>
              <w:t>进行电子签到</w:t>
            </w:r>
            <w:r>
              <w:rPr>
                <w:rFonts w:hint="eastAsia" w:ascii="Times New Roman" w:hAnsi="Times New Roman" w:eastAsia="仿宋_GB2312"/>
                <w:color w:val="auto"/>
                <w:sz w:val="24"/>
                <w:szCs w:val="24"/>
                <w:highlight w:val="none"/>
                <w:lang w:eastAsia="zh-CN"/>
              </w:rPr>
              <w:t>（磋商截止时间前</w:t>
            </w:r>
            <w:r>
              <w:rPr>
                <w:rFonts w:hint="eastAsia" w:ascii="Times New Roman" w:hAnsi="Times New Roman" w:eastAsia="仿宋_GB2312"/>
                <w:color w:val="auto"/>
                <w:sz w:val="24"/>
                <w:szCs w:val="24"/>
                <w:highlight w:val="none"/>
                <w:lang w:val="en-US" w:eastAsia="zh-CN"/>
              </w:rPr>
              <w:t>1小时均可签到</w:t>
            </w:r>
            <w:r>
              <w:rPr>
                <w:rFonts w:hint="eastAsia" w:ascii="Times New Roman" w:hAnsi="Times New Roman" w:eastAsia="仿宋_GB2312"/>
                <w:color w:val="auto"/>
                <w:sz w:val="24"/>
                <w:szCs w:val="24"/>
                <w:highlight w:val="none"/>
                <w:lang w:eastAsia="zh-CN"/>
              </w:rPr>
              <w:t>）</w:t>
            </w:r>
            <w:r>
              <w:rPr>
                <w:rFonts w:hint="eastAsia" w:ascii="Times New Roman" w:hAnsi="Times New Roman" w:eastAsia="仿宋_GB2312"/>
                <w:color w:val="auto"/>
                <w:sz w:val="24"/>
                <w:szCs w:val="24"/>
                <w:highlight w:val="none"/>
              </w:rPr>
              <w:t>，</w:t>
            </w:r>
            <w:r>
              <w:rPr>
                <w:rFonts w:hint="eastAsia" w:ascii="Times New Roman" w:hAnsi="Times New Roman" w:eastAsia="仿宋_GB2312"/>
                <w:color w:val="auto"/>
                <w:sz w:val="24"/>
                <w:szCs w:val="24"/>
                <w:highlight w:val="none"/>
                <w:lang w:eastAsia="zh-CN"/>
              </w:rPr>
              <w:t>后续在响应文件解密阶段，须于</w:t>
            </w:r>
            <w:r>
              <w:rPr>
                <w:rFonts w:hint="eastAsia" w:ascii="Times New Roman" w:hAnsi="Times New Roman" w:eastAsia="仿宋_GB2312"/>
                <w:color w:val="auto"/>
                <w:sz w:val="24"/>
                <w:szCs w:val="24"/>
                <w:highlight w:val="none"/>
                <w:lang w:val="en-US" w:eastAsia="zh-CN"/>
              </w:rPr>
              <w:t>1小时内，</w:t>
            </w:r>
            <w:r>
              <w:rPr>
                <w:rFonts w:hint="eastAsia" w:ascii="Times New Roman" w:hAnsi="Times New Roman" w:eastAsia="仿宋_GB2312"/>
                <w:color w:val="auto"/>
                <w:sz w:val="24"/>
                <w:szCs w:val="24"/>
                <w:highlight w:val="none"/>
              </w:rPr>
              <w:t>使用制作</w:t>
            </w:r>
            <w:r>
              <w:rPr>
                <w:rFonts w:hint="eastAsia" w:ascii="Times New Roman" w:hAnsi="Times New Roman" w:eastAsia="仿宋_GB2312"/>
                <w:color w:val="auto"/>
                <w:sz w:val="24"/>
                <w:szCs w:val="24"/>
                <w:highlight w:val="none"/>
                <w:lang w:eastAsia="zh-CN"/>
              </w:rPr>
              <w:t>响应</w:t>
            </w:r>
            <w:r>
              <w:rPr>
                <w:rFonts w:hint="eastAsia" w:ascii="Times New Roman" w:hAnsi="Times New Roman" w:eastAsia="仿宋_GB2312"/>
                <w:color w:val="auto"/>
                <w:sz w:val="24"/>
                <w:szCs w:val="24"/>
                <w:highlight w:val="none"/>
              </w:rPr>
              <w:t>文件时的加密锁（CA锁），对上传的</w:t>
            </w:r>
            <w:r>
              <w:rPr>
                <w:rFonts w:hint="eastAsia" w:ascii="Times New Roman" w:hAnsi="Times New Roman" w:eastAsia="仿宋_GB2312"/>
                <w:color w:val="auto"/>
                <w:sz w:val="24"/>
                <w:szCs w:val="24"/>
                <w:highlight w:val="none"/>
                <w:lang w:eastAsia="zh-CN"/>
              </w:rPr>
              <w:t>响应</w:t>
            </w:r>
            <w:r>
              <w:rPr>
                <w:rFonts w:hint="eastAsia" w:ascii="Times New Roman" w:hAnsi="Times New Roman" w:eastAsia="仿宋_GB2312"/>
                <w:color w:val="auto"/>
                <w:sz w:val="24"/>
                <w:szCs w:val="24"/>
                <w:highlight w:val="none"/>
              </w:rPr>
              <w:t>文件进行解密，因供应商原因</w:t>
            </w:r>
            <w:r>
              <w:rPr>
                <w:rFonts w:hint="eastAsia" w:ascii="Times New Roman" w:hAnsi="Times New Roman" w:eastAsia="仿宋_GB2312"/>
                <w:color w:val="auto"/>
                <w:sz w:val="24"/>
                <w:szCs w:val="24"/>
                <w:highlight w:val="none"/>
                <w:lang w:eastAsia="zh-CN"/>
              </w:rPr>
              <w:t>导致响应</w:t>
            </w:r>
            <w:r>
              <w:rPr>
                <w:rFonts w:hint="eastAsia" w:ascii="Times New Roman" w:hAnsi="Times New Roman" w:eastAsia="仿宋_GB2312"/>
                <w:color w:val="auto"/>
                <w:sz w:val="24"/>
                <w:szCs w:val="24"/>
                <w:highlight w:val="none"/>
              </w:rPr>
              <w:t>文件无法解密或无法打开的，按无效</w:t>
            </w:r>
            <w:r>
              <w:rPr>
                <w:rFonts w:hint="eastAsia" w:ascii="Times New Roman" w:hAnsi="Times New Roman" w:eastAsia="仿宋_GB2312"/>
                <w:color w:val="auto"/>
                <w:sz w:val="24"/>
                <w:szCs w:val="24"/>
                <w:highlight w:val="none"/>
                <w:lang w:eastAsia="zh-CN"/>
              </w:rPr>
              <w:t>响应文件</w:t>
            </w:r>
            <w:r>
              <w:rPr>
                <w:rFonts w:hint="eastAsia" w:ascii="Times New Roman" w:hAnsi="Times New Roman" w:eastAsia="仿宋_GB2312"/>
                <w:color w:val="auto"/>
                <w:sz w:val="24"/>
                <w:szCs w:val="24"/>
                <w:highlight w:val="none"/>
              </w:rPr>
              <w:t>处理。</w:t>
            </w:r>
            <w:r>
              <w:rPr>
                <w:rFonts w:hint="eastAsia" w:ascii="Times New Roman" w:hAnsi="Times New Roman" w:eastAsia="仿宋_GB2312"/>
                <w:color w:val="auto"/>
                <w:sz w:val="24"/>
                <w:szCs w:val="24"/>
                <w:highlight w:val="none"/>
                <w:lang w:eastAsia="zh-CN"/>
              </w:rPr>
              <w:t>（后续在评审过程中，须使用</w:t>
            </w:r>
            <w:r>
              <w:rPr>
                <w:rFonts w:hint="eastAsia" w:ascii="Times New Roman" w:hAnsi="Times New Roman" w:eastAsia="仿宋_GB2312"/>
                <w:color w:val="auto"/>
                <w:sz w:val="24"/>
                <w:szCs w:val="24"/>
                <w:highlight w:val="none"/>
                <w:lang w:val="en-US" w:eastAsia="zh-CN"/>
              </w:rPr>
              <w:t>CA锁进行远程二次报价，请在下载磋商文件处进行报价</w:t>
            </w:r>
            <w:r>
              <w:rPr>
                <w:rFonts w:hint="eastAsia" w:ascii="Times New Roman" w:hAnsi="Times New Roman" w:eastAsia="仿宋_GB2312"/>
                <w:color w:val="auto"/>
                <w:sz w:val="24"/>
                <w:szCs w:val="24"/>
                <w:highlight w:val="none"/>
                <w:lang w:eastAsia="zh-CN"/>
              </w:rPr>
              <w:t>）。</w:t>
            </w:r>
          </w:p>
        </w:tc>
      </w:tr>
      <w:tr w14:paraId="7452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0A2BFCCC">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17.3</w:t>
            </w:r>
          </w:p>
        </w:tc>
        <w:tc>
          <w:tcPr>
            <w:tcW w:w="7556" w:type="dxa"/>
            <w:vAlign w:val="center"/>
          </w:tcPr>
          <w:p w14:paraId="55278F92">
            <w:pPr>
              <w:pStyle w:val="28"/>
              <w:adjustRightInd w:val="0"/>
              <w:snapToGrid w:val="0"/>
              <w:ind w:firstLine="120" w:firstLineChars="50"/>
              <w:jc w:val="left"/>
              <w:rPr>
                <w:rFonts w:ascii="Times New Roman" w:hAnsi="Times New Roman" w:eastAsia="仿宋_GB2312"/>
                <w:color w:val="auto"/>
                <w:sz w:val="24"/>
                <w:szCs w:val="24"/>
                <w:highlight w:val="none"/>
              </w:rPr>
            </w:pPr>
            <w:r>
              <w:rPr>
                <w:rFonts w:hint="eastAsia" w:ascii="Times New Roman" w:hAnsi="仿宋_GB2312" w:eastAsia="仿宋_GB2312" w:cs="仿宋_GB2312"/>
                <w:color w:val="auto"/>
                <w:sz w:val="24"/>
                <w:highlight w:val="none"/>
              </w:rPr>
              <w:t>■</w:t>
            </w:r>
            <w:r>
              <w:rPr>
                <w:rFonts w:ascii="Times New Roman" w:hAnsi="Times New Roman" w:eastAsia="仿宋_GB2312"/>
                <w:color w:val="auto"/>
                <w:sz w:val="24"/>
                <w:szCs w:val="24"/>
                <w:highlight w:val="none"/>
              </w:rPr>
              <w:t xml:space="preserve"> 本项目不要求提交样品。</w:t>
            </w:r>
          </w:p>
        </w:tc>
      </w:tr>
      <w:tr w14:paraId="6474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A883734">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18.1</w:t>
            </w:r>
          </w:p>
        </w:tc>
        <w:tc>
          <w:tcPr>
            <w:tcW w:w="7556" w:type="dxa"/>
            <w:vAlign w:val="center"/>
          </w:tcPr>
          <w:p w14:paraId="06BB0041">
            <w:pPr>
              <w:tabs>
                <w:tab w:val="left" w:pos="588"/>
              </w:tabs>
              <w:snapToGrid w:val="0"/>
              <w:spacing w:line="360" w:lineRule="auto"/>
              <w:jc w:val="left"/>
              <w:rPr>
                <w:rFonts w:ascii="Times New Roman" w:eastAsia="仿宋_GB2312"/>
                <w:color w:val="auto"/>
                <w:kern w:val="24"/>
                <w:sz w:val="24"/>
                <w:szCs w:val="21"/>
                <w:highlight w:val="none"/>
              </w:rPr>
            </w:pPr>
            <w:r>
              <w:rPr>
                <w:rFonts w:ascii="Times New Roman" w:eastAsia="仿宋_GB2312"/>
                <w:color w:val="auto"/>
                <w:kern w:val="24"/>
                <w:sz w:val="24"/>
                <w:szCs w:val="21"/>
                <w:highlight w:val="none"/>
              </w:rPr>
              <w:t>响应文件</w:t>
            </w:r>
            <w:r>
              <w:rPr>
                <w:rFonts w:hint="eastAsia" w:ascii="Times New Roman" w:eastAsia="仿宋_GB2312"/>
                <w:color w:val="auto"/>
                <w:kern w:val="24"/>
                <w:sz w:val="24"/>
                <w:szCs w:val="21"/>
                <w:highlight w:val="none"/>
                <w:lang w:eastAsia="zh-CN"/>
              </w:rPr>
              <w:t>上传</w:t>
            </w:r>
            <w:r>
              <w:rPr>
                <w:rFonts w:ascii="Times New Roman" w:eastAsia="仿宋_GB2312"/>
                <w:color w:val="auto"/>
                <w:kern w:val="24"/>
                <w:sz w:val="24"/>
                <w:szCs w:val="21"/>
                <w:highlight w:val="none"/>
              </w:rPr>
              <w:t>截止时间：20</w:t>
            </w:r>
            <w:r>
              <w:rPr>
                <w:rFonts w:hint="eastAsia" w:ascii="Times New Roman" w:eastAsia="仿宋_GB2312"/>
                <w:color w:val="auto"/>
                <w:kern w:val="24"/>
                <w:sz w:val="24"/>
                <w:szCs w:val="21"/>
                <w:highlight w:val="none"/>
              </w:rPr>
              <w:t>2</w:t>
            </w:r>
            <w:r>
              <w:rPr>
                <w:rFonts w:hint="eastAsia" w:ascii="Times New Roman" w:eastAsia="仿宋_GB2312"/>
                <w:color w:val="auto"/>
                <w:kern w:val="24"/>
                <w:sz w:val="24"/>
                <w:szCs w:val="21"/>
                <w:highlight w:val="none"/>
                <w:lang w:val="en-US" w:eastAsia="zh-CN"/>
              </w:rPr>
              <w:t>5</w:t>
            </w:r>
            <w:r>
              <w:rPr>
                <w:rFonts w:ascii="Times New Roman" w:eastAsia="仿宋_GB2312"/>
                <w:color w:val="auto"/>
                <w:kern w:val="24"/>
                <w:sz w:val="24"/>
                <w:szCs w:val="21"/>
                <w:highlight w:val="none"/>
              </w:rPr>
              <w:t>年</w:t>
            </w:r>
            <w:r>
              <w:rPr>
                <w:rFonts w:hint="eastAsia" w:eastAsia="仿宋_GB2312"/>
                <w:color w:val="auto"/>
                <w:kern w:val="24"/>
                <w:sz w:val="24"/>
                <w:szCs w:val="21"/>
                <w:highlight w:val="none"/>
                <w:lang w:val="en-US" w:eastAsia="zh-CN"/>
              </w:rPr>
              <w:t>10</w:t>
            </w:r>
            <w:r>
              <w:rPr>
                <w:rFonts w:hint="eastAsia" w:ascii="Times New Roman" w:eastAsia="仿宋_GB2312"/>
                <w:color w:val="auto"/>
                <w:kern w:val="24"/>
                <w:sz w:val="24"/>
                <w:szCs w:val="21"/>
                <w:highlight w:val="none"/>
                <w:lang w:val="en-US" w:eastAsia="zh-CN"/>
              </w:rPr>
              <w:t>月</w:t>
            </w:r>
            <w:r>
              <w:rPr>
                <w:rFonts w:hint="eastAsia" w:eastAsia="仿宋_GB2312"/>
                <w:color w:val="auto"/>
                <w:kern w:val="24"/>
                <w:sz w:val="24"/>
                <w:szCs w:val="21"/>
                <w:highlight w:val="none"/>
                <w:lang w:val="en-US" w:eastAsia="zh-CN"/>
              </w:rPr>
              <w:t>24</w:t>
            </w:r>
            <w:r>
              <w:rPr>
                <w:rFonts w:hint="eastAsia" w:ascii="Times New Roman" w:eastAsia="仿宋_GB2312"/>
                <w:color w:val="auto"/>
                <w:kern w:val="24"/>
                <w:sz w:val="24"/>
                <w:szCs w:val="21"/>
                <w:highlight w:val="none"/>
                <w:lang w:val="en-US" w:eastAsia="zh-CN"/>
              </w:rPr>
              <w:t>日</w:t>
            </w:r>
            <w:r>
              <w:rPr>
                <w:rFonts w:hint="eastAsia" w:ascii="Times New Roman" w:eastAsia="仿宋_GB2312"/>
                <w:color w:val="auto"/>
                <w:kern w:val="24"/>
                <w:sz w:val="24"/>
                <w:szCs w:val="21"/>
                <w:highlight w:val="none"/>
              </w:rPr>
              <w:t>09</w:t>
            </w:r>
            <w:r>
              <w:rPr>
                <w:rFonts w:hint="eastAsia" w:ascii="Times New Roman" w:eastAsia="仿宋_GB2312"/>
                <w:color w:val="auto"/>
                <w:kern w:val="24"/>
                <w:sz w:val="24"/>
                <w:szCs w:val="21"/>
                <w:highlight w:val="none"/>
                <w:lang w:val="en-US" w:eastAsia="zh-CN"/>
              </w:rPr>
              <w:t>:</w:t>
            </w:r>
            <w:r>
              <w:rPr>
                <w:rFonts w:hint="eastAsia" w:ascii="Times New Roman" w:eastAsia="仿宋_GB2312"/>
                <w:color w:val="auto"/>
                <w:kern w:val="24"/>
                <w:sz w:val="24"/>
                <w:szCs w:val="21"/>
                <w:highlight w:val="none"/>
              </w:rPr>
              <w:t>3</w:t>
            </w:r>
            <w:r>
              <w:rPr>
                <w:rFonts w:ascii="Times New Roman" w:eastAsia="仿宋_GB2312"/>
                <w:color w:val="auto"/>
                <w:kern w:val="24"/>
                <w:sz w:val="24"/>
                <w:szCs w:val="21"/>
                <w:highlight w:val="none"/>
              </w:rPr>
              <w:t>0（北京时间）。</w:t>
            </w:r>
          </w:p>
          <w:p w14:paraId="02639E82">
            <w:pPr>
              <w:tabs>
                <w:tab w:val="left" w:pos="588"/>
              </w:tabs>
              <w:snapToGrid w:val="0"/>
              <w:spacing w:line="360" w:lineRule="auto"/>
              <w:jc w:val="left"/>
              <w:rPr>
                <w:rFonts w:ascii="Times New Roman" w:eastAsia="仿宋_GB2312"/>
                <w:color w:val="auto"/>
                <w:sz w:val="24"/>
                <w:highlight w:val="none"/>
              </w:rPr>
            </w:pPr>
            <w:r>
              <w:rPr>
                <w:rFonts w:ascii="Times New Roman" w:eastAsia="仿宋_GB2312"/>
                <w:color w:val="auto"/>
                <w:kern w:val="24"/>
                <w:sz w:val="24"/>
                <w:szCs w:val="21"/>
                <w:highlight w:val="none"/>
              </w:rPr>
              <w:t>响应文件递交地点：</w:t>
            </w:r>
            <w:r>
              <w:rPr>
                <w:rFonts w:hint="eastAsia" w:ascii="Times New Roman" w:eastAsia="仿宋_GB2312"/>
                <w:color w:val="auto"/>
                <w:kern w:val="24"/>
                <w:sz w:val="24"/>
                <w:szCs w:val="21"/>
                <w:highlight w:val="none"/>
              </w:rPr>
              <w:t>全国公共资源交易平台（陕西省·西咸新区）（http://ggzyjy.xixianxinqu.gov.cn/）</w:t>
            </w:r>
          </w:p>
        </w:tc>
      </w:tr>
      <w:tr w14:paraId="596D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5F92C66E">
            <w:pPr>
              <w:pStyle w:val="28"/>
              <w:adjustRightInd w:val="0"/>
              <w:snapToGrid w:val="0"/>
              <w:spacing w:line="240" w:lineRule="auto"/>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21.1</w:t>
            </w:r>
          </w:p>
        </w:tc>
        <w:tc>
          <w:tcPr>
            <w:tcW w:w="7556" w:type="dxa"/>
            <w:vAlign w:val="center"/>
          </w:tcPr>
          <w:p w14:paraId="6DEDA16B">
            <w:pPr>
              <w:snapToGrid w:val="0"/>
              <w:spacing w:line="360" w:lineRule="exact"/>
              <w:jc w:val="left"/>
              <w:rPr>
                <w:rFonts w:ascii="Times New Roman" w:eastAsia="仿宋_GB2312"/>
                <w:color w:val="auto"/>
                <w:sz w:val="24"/>
                <w:highlight w:val="none"/>
              </w:rPr>
            </w:pPr>
            <w:r>
              <w:rPr>
                <w:rFonts w:ascii="Times New Roman" w:eastAsia="仿宋_GB2312"/>
                <w:color w:val="auto"/>
                <w:sz w:val="24"/>
                <w:highlight w:val="none"/>
              </w:rPr>
              <w:t>磋商小组由</w:t>
            </w:r>
            <w:r>
              <w:rPr>
                <w:rFonts w:ascii="Times New Roman" w:eastAsia="仿宋_GB2312"/>
                <w:bCs/>
                <w:color w:val="auto"/>
                <w:sz w:val="24"/>
                <w:highlight w:val="none"/>
                <w:u w:val="single"/>
              </w:rPr>
              <w:t xml:space="preserve"> </w:t>
            </w:r>
            <w:r>
              <w:rPr>
                <w:rFonts w:hint="eastAsia" w:ascii="Times New Roman" w:eastAsia="仿宋_GB2312"/>
                <w:bCs/>
                <w:color w:val="auto"/>
                <w:sz w:val="24"/>
                <w:highlight w:val="none"/>
                <w:u w:val="single"/>
              </w:rPr>
              <w:t xml:space="preserve"> </w:t>
            </w:r>
            <w:r>
              <w:rPr>
                <w:rFonts w:ascii="Times New Roman" w:eastAsia="仿宋_GB2312"/>
                <w:bCs/>
                <w:color w:val="auto"/>
                <w:sz w:val="24"/>
                <w:highlight w:val="none"/>
                <w:u w:val="single"/>
              </w:rPr>
              <w:t>3</w:t>
            </w:r>
            <w:r>
              <w:rPr>
                <w:rFonts w:hint="eastAsia" w:ascii="Times New Roman" w:eastAsia="仿宋_GB2312"/>
                <w:bCs/>
                <w:color w:val="auto"/>
                <w:sz w:val="24"/>
                <w:highlight w:val="none"/>
                <w:u w:val="single"/>
              </w:rPr>
              <w:t xml:space="preserve">  </w:t>
            </w:r>
            <w:r>
              <w:rPr>
                <w:rFonts w:ascii="Times New Roman" w:eastAsia="仿宋_GB2312"/>
                <w:color w:val="auto"/>
                <w:sz w:val="24"/>
                <w:highlight w:val="none"/>
              </w:rPr>
              <w:t>人组成，其中评审专家</w:t>
            </w:r>
            <w:r>
              <w:rPr>
                <w:rFonts w:ascii="Times New Roman" w:eastAsia="仿宋_GB2312"/>
                <w:color w:val="auto"/>
                <w:sz w:val="24"/>
                <w:highlight w:val="none"/>
                <w:u w:val="single"/>
              </w:rPr>
              <w:t xml:space="preserve">  </w:t>
            </w:r>
            <w:r>
              <w:rPr>
                <w:rFonts w:hint="eastAsia" w:ascii="Times New Roman" w:eastAsia="仿宋_GB2312"/>
                <w:color w:val="auto"/>
                <w:sz w:val="24"/>
                <w:highlight w:val="none"/>
                <w:u w:val="single"/>
              </w:rPr>
              <w:t>2</w:t>
            </w:r>
            <w:r>
              <w:rPr>
                <w:rFonts w:ascii="Times New Roman" w:eastAsia="仿宋_GB2312"/>
                <w:color w:val="auto"/>
                <w:sz w:val="24"/>
                <w:highlight w:val="none"/>
                <w:u w:val="single"/>
              </w:rPr>
              <w:t xml:space="preserve">  </w:t>
            </w:r>
            <w:r>
              <w:rPr>
                <w:rFonts w:ascii="Times New Roman" w:eastAsia="仿宋_GB2312"/>
                <w:color w:val="auto"/>
                <w:sz w:val="24"/>
                <w:highlight w:val="none"/>
              </w:rPr>
              <w:t>人，采购人代表</w:t>
            </w:r>
            <w:r>
              <w:rPr>
                <w:rFonts w:ascii="Times New Roman" w:eastAsia="仿宋_GB2312"/>
                <w:color w:val="auto"/>
                <w:sz w:val="24"/>
                <w:highlight w:val="none"/>
                <w:u w:val="single"/>
              </w:rPr>
              <w:t xml:space="preserve"> </w:t>
            </w:r>
            <w:r>
              <w:rPr>
                <w:rFonts w:hint="eastAsia" w:ascii="Times New Roman" w:eastAsia="仿宋_GB2312"/>
                <w:color w:val="auto"/>
                <w:sz w:val="24"/>
                <w:highlight w:val="none"/>
                <w:u w:val="single"/>
              </w:rPr>
              <w:t>1</w:t>
            </w:r>
            <w:r>
              <w:rPr>
                <w:rFonts w:ascii="Times New Roman" w:eastAsia="仿宋_GB2312"/>
                <w:color w:val="auto"/>
                <w:sz w:val="24"/>
                <w:highlight w:val="none"/>
                <w:u w:val="single"/>
              </w:rPr>
              <w:t xml:space="preserve"> </w:t>
            </w:r>
            <w:r>
              <w:rPr>
                <w:rFonts w:ascii="Times New Roman" w:eastAsia="仿宋_GB2312"/>
                <w:color w:val="auto"/>
                <w:sz w:val="24"/>
                <w:highlight w:val="none"/>
              </w:rPr>
              <w:t>人。</w:t>
            </w:r>
          </w:p>
        </w:tc>
      </w:tr>
      <w:tr w14:paraId="2FD0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shd w:val="clear" w:color="auto" w:fill="auto"/>
            <w:vAlign w:val="center"/>
          </w:tcPr>
          <w:p w14:paraId="174645BC">
            <w:pPr>
              <w:pStyle w:val="28"/>
              <w:adjustRightInd w:val="0"/>
              <w:snapToGrid w:val="0"/>
              <w:spacing w:line="24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23.2.2</w:t>
            </w:r>
          </w:p>
        </w:tc>
        <w:tc>
          <w:tcPr>
            <w:tcW w:w="7556" w:type="dxa"/>
            <w:shd w:val="clear" w:color="auto" w:fill="auto"/>
            <w:vAlign w:val="center"/>
          </w:tcPr>
          <w:p w14:paraId="24872618">
            <w:pPr>
              <w:spacing w:line="360" w:lineRule="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本项目涉及的政府强制采购产品：</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无</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none"/>
                <w:lang w:val="en-US" w:eastAsia="zh-CN"/>
              </w:rPr>
              <w:t xml:space="preserve">  </w:t>
            </w:r>
          </w:p>
          <w:p w14:paraId="00DC545F">
            <w:pPr>
              <w:spacing w:line="360" w:lineRule="exac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本项目涉及的网络关键设备和网络安全专用产品：</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u w:val="single"/>
                <w:lang w:val="en-US" w:eastAsia="zh-CN"/>
              </w:rPr>
              <w:t>无</w:t>
            </w:r>
          </w:p>
        </w:tc>
      </w:tr>
      <w:tr w14:paraId="3FFA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1EFC2E1A">
            <w:pPr>
              <w:snapToGrid w:val="0"/>
              <w:jc w:val="center"/>
              <w:rPr>
                <w:rFonts w:ascii="Times New Roman" w:eastAsia="仿宋_GB2312"/>
                <w:color w:val="auto"/>
                <w:sz w:val="24"/>
                <w:highlight w:val="none"/>
              </w:rPr>
            </w:pPr>
            <w:r>
              <w:rPr>
                <w:rFonts w:ascii="Times New Roman" w:eastAsia="仿宋_GB2312"/>
                <w:color w:val="auto"/>
                <w:sz w:val="24"/>
                <w:highlight w:val="none"/>
              </w:rPr>
              <w:t>28.1</w:t>
            </w:r>
          </w:p>
        </w:tc>
        <w:tc>
          <w:tcPr>
            <w:tcW w:w="7556" w:type="dxa"/>
            <w:vAlign w:val="center"/>
          </w:tcPr>
          <w:p w14:paraId="5317A170">
            <w:pPr>
              <w:snapToGrid w:val="0"/>
              <w:jc w:val="left"/>
              <w:rPr>
                <w:rFonts w:ascii="Times New Roman" w:eastAsia="仿宋_GB2312"/>
                <w:color w:val="auto"/>
                <w:sz w:val="24"/>
                <w:highlight w:val="none"/>
              </w:rPr>
            </w:pPr>
            <w:r>
              <w:rPr>
                <w:rFonts w:hint="eastAsia" w:ascii="Times New Roman" w:hAnsi="仿宋_GB2312" w:eastAsia="仿宋_GB2312" w:cs="仿宋_GB2312"/>
                <w:color w:val="auto"/>
                <w:sz w:val="24"/>
                <w:highlight w:val="none"/>
              </w:rPr>
              <w:t>■</w:t>
            </w:r>
            <w:r>
              <w:rPr>
                <w:rFonts w:ascii="Times New Roman" w:eastAsia="仿宋_GB2312"/>
                <w:color w:val="auto"/>
                <w:sz w:val="24"/>
                <w:highlight w:val="none"/>
              </w:rPr>
              <w:t>本项目不要求履约保证金。</w:t>
            </w:r>
          </w:p>
        </w:tc>
      </w:tr>
      <w:tr w14:paraId="570F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1CD342F0">
            <w:pPr>
              <w:snapToGrid w:val="0"/>
              <w:jc w:val="center"/>
              <w:rPr>
                <w:rFonts w:hint="default" w:ascii="Times New Roman" w:eastAsia="仿宋_GB2312"/>
                <w:color w:val="auto"/>
                <w:sz w:val="24"/>
                <w:highlight w:val="none"/>
                <w:lang w:val="en-US" w:eastAsia="zh-CN"/>
              </w:rPr>
            </w:pPr>
            <w:bookmarkStart w:id="70" w:name="_Toc177817335"/>
            <w:bookmarkStart w:id="71" w:name="_Toc230099798"/>
            <w:bookmarkStart w:id="72" w:name="_Toc176882543"/>
            <w:bookmarkStart w:id="73" w:name="_Toc249515391"/>
            <w:bookmarkStart w:id="74" w:name="_Toc177189236"/>
            <w:bookmarkStart w:id="75" w:name="_Toc53722841"/>
            <w:bookmarkStart w:id="76" w:name="_Toc70687140"/>
            <w:bookmarkStart w:id="77" w:name="_Toc232176273"/>
            <w:bookmarkStart w:id="78" w:name="_Toc249525160"/>
            <w:bookmarkStart w:id="79" w:name="_Toc184043013"/>
            <w:bookmarkStart w:id="80" w:name="_Toc230583542"/>
            <w:bookmarkStart w:id="81" w:name="_Toc249515279"/>
            <w:bookmarkStart w:id="82" w:name="_Toc230013633"/>
            <w:bookmarkStart w:id="83" w:name="_Toc232395213"/>
            <w:bookmarkStart w:id="84" w:name="_Toc256342144"/>
            <w:bookmarkStart w:id="85" w:name="_Toc177995474"/>
            <w:r>
              <w:rPr>
                <w:rFonts w:hint="eastAsia" w:ascii="Times New Roman" w:eastAsia="仿宋_GB2312"/>
                <w:color w:val="auto"/>
                <w:sz w:val="24"/>
                <w:highlight w:val="none"/>
                <w:lang w:val="en-US" w:eastAsia="zh-CN"/>
              </w:rPr>
              <w:t>技术支持电话</w:t>
            </w:r>
          </w:p>
        </w:tc>
        <w:tc>
          <w:tcPr>
            <w:tcW w:w="7556" w:type="dxa"/>
            <w:vAlign w:val="center"/>
          </w:tcPr>
          <w:p w14:paraId="1C6B5757">
            <w:pPr>
              <w:snapToGrid w:val="0"/>
              <w:jc w:val="left"/>
              <w:rPr>
                <w:rFonts w:hint="eastAsia" w:ascii="Times New Roman" w:hAnsi="仿宋_GB2312" w:eastAsia="仿宋_GB2312" w:cs="仿宋_GB2312"/>
                <w:color w:val="auto"/>
                <w:sz w:val="24"/>
                <w:highlight w:val="none"/>
              </w:rPr>
            </w:pPr>
            <w:r>
              <w:rPr>
                <w:rFonts w:hint="eastAsia" w:ascii="Times New Roman" w:hAnsi="仿宋_GB2312" w:eastAsia="仿宋_GB2312" w:cs="仿宋_GB2312"/>
                <w:color w:val="auto"/>
                <w:sz w:val="24"/>
                <w:highlight w:val="none"/>
              </w:rPr>
              <w:t>电子化政府采购系统技术支持（软件开发商）</w:t>
            </w:r>
          </w:p>
          <w:p w14:paraId="5DC2D58F">
            <w:pPr>
              <w:snapToGrid w:val="0"/>
              <w:jc w:val="left"/>
              <w:rPr>
                <w:rFonts w:hint="eastAsia" w:ascii="Times New Roman" w:hAnsi="仿宋_GB2312" w:eastAsia="仿宋_GB2312" w:cs="仿宋_GB2312"/>
                <w:color w:val="auto"/>
                <w:sz w:val="24"/>
                <w:highlight w:val="none"/>
              </w:rPr>
            </w:pPr>
            <w:r>
              <w:rPr>
                <w:rFonts w:hint="eastAsia" w:ascii="Times New Roman" w:hAnsi="仿宋_GB2312" w:eastAsia="仿宋_GB2312" w:cs="仿宋_GB2312"/>
                <w:color w:val="auto"/>
                <w:sz w:val="24"/>
                <w:highlight w:val="none"/>
              </w:rPr>
              <w:t>国泰新点软件股份有限公司</w:t>
            </w:r>
          </w:p>
          <w:p w14:paraId="35FD3E30">
            <w:pPr>
              <w:snapToGrid w:val="0"/>
              <w:jc w:val="left"/>
              <w:rPr>
                <w:rFonts w:hint="eastAsia" w:ascii="Times New Roman" w:hAnsi="仿宋_GB2312" w:eastAsia="仿宋_GB2312" w:cs="仿宋_GB2312"/>
                <w:color w:val="auto"/>
                <w:sz w:val="24"/>
                <w:highlight w:val="none"/>
              </w:rPr>
            </w:pPr>
            <w:r>
              <w:rPr>
                <w:rFonts w:hint="eastAsia" w:ascii="Times New Roman" w:hAnsi="仿宋_GB2312" w:eastAsia="仿宋_GB2312" w:cs="仿宋_GB2312"/>
                <w:color w:val="auto"/>
                <w:sz w:val="24"/>
                <w:highlight w:val="none"/>
              </w:rPr>
              <w:t>技术支持热线：400-998-0000/400-928-0095</w:t>
            </w:r>
          </w:p>
        </w:tc>
      </w:tr>
      <w:tr w14:paraId="643D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730" w:type="dxa"/>
            <w:vAlign w:val="center"/>
          </w:tcPr>
          <w:p w14:paraId="4E95FDF6">
            <w:pPr>
              <w:snapToGrid w:val="0"/>
              <w:jc w:val="center"/>
              <w:rPr>
                <w:rFonts w:hint="eastAsia" w:eastAsia="仿宋_GB2312"/>
                <w:color w:val="auto"/>
                <w:sz w:val="24"/>
                <w:highlight w:val="none"/>
                <w:lang w:eastAsia="zh-CN"/>
              </w:rPr>
            </w:pPr>
            <w:r>
              <w:rPr>
                <w:rFonts w:hint="eastAsia" w:eastAsia="仿宋_GB2312"/>
                <w:color w:val="auto"/>
                <w:sz w:val="24"/>
                <w:highlight w:val="none"/>
                <w:lang w:eastAsia="zh-CN"/>
              </w:rPr>
              <w:t>补充说明</w:t>
            </w:r>
          </w:p>
        </w:tc>
        <w:tc>
          <w:tcPr>
            <w:tcW w:w="7556" w:type="dxa"/>
            <w:vAlign w:val="center"/>
          </w:tcPr>
          <w:p w14:paraId="3859013C">
            <w:pPr>
              <w:snapToGrid w:val="0"/>
              <w:jc w:val="both"/>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补充内容：根据《西咸新区财政局关于促进政府采购公平竞争优化营商环境的通知》（陕西咸财函〔2021〕359号），供应商登记免费领取采购文件的，如不参与项目投标，应在递交响应文件截止时间前一日以书面形式告知采购代理机构。否则采购代理机构可以向财政部门反映情况并提供相应的佐证。</w:t>
            </w:r>
            <w:r>
              <w:rPr>
                <w:rFonts w:hint="eastAsia" w:ascii="仿宋_GB2312" w:hAnsi="仿宋_GB2312" w:eastAsia="仿宋_GB2312" w:cs="仿宋_GB2312"/>
                <w:b/>
                <w:color w:val="auto"/>
                <w:sz w:val="24"/>
                <w:highlight w:val="none"/>
              </w:rPr>
              <w:t>供应商一年内累计出现三次该情形，将被监管部门记录为失信行为。</w:t>
            </w:r>
            <w:r>
              <w:rPr>
                <w:rFonts w:hint="eastAsia" w:ascii="仿宋_GB2312" w:hAnsi="仿宋_GB2312" w:eastAsia="仿宋_GB2312" w:cs="仿宋_GB2312"/>
                <w:b w:val="0"/>
                <w:bCs/>
                <w:color w:val="auto"/>
                <w:sz w:val="24"/>
                <w:highlight w:val="none"/>
                <w:lang w:eastAsia="zh-CN"/>
              </w:rPr>
              <w:t>（若不参与磋商，请将弃标函加盖公章发送至</w:t>
            </w:r>
            <w:r>
              <w:rPr>
                <w:rFonts w:hint="eastAsia" w:ascii="仿宋_GB2312" w:hAnsi="仿宋_GB2312" w:eastAsia="仿宋_GB2312" w:cs="仿宋_GB2312"/>
                <w:b w:val="0"/>
                <w:bCs/>
                <w:color w:val="auto"/>
                <w:sz w:val="24"/>
                <w:highlight w:val="none"/>
                <w:lang w:val="en-US" w:eastAsia="zh-CN"/>
              </w:rPr>
              <w:t>490786920</w:t>
            </w:r>
            <w:r>
              <w:rPr>
                <w:rFonts w:hint="eastAsia" w:ascii="宋体" w:hAnsi="宋体" w:eastAsia="宋体" w:cs="宋体"/>
                <w:b w:val="0"/>
                <w:bCs/>
                <w:color w:val="auto"/>
                <w:sz w:val="24"/>
                <w:highlight w:val="none"/>
                <w:lang w:val="en-US" w:eastAsia="zh-CN"/>
              </w:rPr>
              <w:t>@</w:t>
            </w:r>
            <w:r>
              <w:rPr>
                <w:rFonts w:hint="eastAsia" w:ascii="仿宋_GB2312" w:hAnsi="仿宋_GB2312" w:eastAsia="仿宋_GB2312" w:cs="仿宋_GB2312"/>
                <w:b w:val="0"/>
                <w:bCs/>
                <w:color w:val="auto"/>
                <w:sz w:val="24"/>
                <w:highlight w:val="none"/>
                <w:lang w:val="en-US" w:eastAsia="zh-CN"/>
              </w:rPr>
              <w:t>qq.com邮箱</w:t>
            </w:r>
            <w:r>
              <w:rPr>
                <w:rFonts w:hint="eastAsia" w:ascii="仿宋_GB2312" w:hAnsi="仿宋_GB2312" w:eastAsia="仿宋_GB2312" w:cs="仿宋_GB2312"/>
                <w:b w:val="0"/>
                <w:bCs/>
                <w:color w:val="auto"/>
                <w:sz w:val="24"/>
                <w:highlight w:val="none"/>
                <w:lang w:eastAsia="zh-CN"/>
              </w:rPr>
              <w:t>）</w:t>
            </w:r>
          </w:p>
        </w:tc>
      </w:tr>
    </w:tbl>
    <w:p w14:paraId="33BCFD5E">
      <w:pPr>
        <w:rPr>
          <w:rFonts w:eastAsia="仿宋_GB2312"/>
          <w:color w:val="auto"/>
          <w:sz w:val="30"/>
          <w:szCs w:val="30"/>
          <w:highlight w:val="none"/>
        </w:rPr>
      </w:pPr>
      <w:r>
        <w:rPr>
          <w:rFonts w:eastAsia="仿宋_GB2312"/>
          <w:color w:val="auto"/>
          <w:sz w:val="30"/>
          <w:szCs w:val="30"/>
          <w:highlight w:val="none"/>
        </w:rPr>
        <w:br w:type="page"/>
      </w:r>
    </w:p>
    <w:p w14:paraId="5475311E">
      <w:pPr>
        <w:pStyle w:val="81"/>
        <w:spacing w:before="24" w:after="24"/>
        <w:jc w:val="center"/>
        <w:rPr>
          <w:rFonts w:eastAsia="仿宋_GB2312"/>
          <w:color w:val="auto"/>
          <w:szCs w:val="32"/>
          <w:highlight w:val="none"/>
        </w:rPr>
      </w:pPr>
      <w:bookmarkStart w:id="86" w:name="_Toc1409"/>
      <w:r>
        <w:rPr>
          <w:rFonts w:eastAsia="仿宋_GB2312"/>
          <w:color w:val="auto"/>
          <w:szCs w:val="32"/>
          <w:highlight w:val="none"/>
        </w:rPr>
        <w:t>（二）供应商须知</w:t>
      </w:r>
      <w:bookmarkEnd w:id="86"/>
    </w:p>
    <w:p w14:paraId="5940C630">
      <w:pPr>
        <w:pStyle w:val="81"/>
        <w:spacing w:before="24" w:after="24"/>
        <w:jc w:val="center"/>
        <w:rPr>
          <w:rFonts w:eastAsia="仿宋_GB2312"/>
          <w:color w:val="auto"/>
          <w:sz w:val="30"/>
          <w:szCs w:val="30"/>
          <w:highlight w:val="none"/>
        </w:rPr>
      </w:pPr>
      <w:bookmarkStart w:id="87" w:name="_Toc14314"/>
      <w:r>
        <w:rPr>
          <w:rFonts w:eastAsia="仿宋_GB2312"/>
          <w:color w:val="auto"/>
          <w:sz w:val="30"/>
          <w:szCs w:val="30"/>
          <w:highlight w:val="none"/>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1DB9B4BB">
      <w:pPr>
        <w:rPr>
          <w:rFonts w:eastAsia="仿宋_GB2312"/>
          <w:color w:val="auto"/>
          <w:highlight w:val="none"/>
        </w:rPr>
      </w:pPr>
    </w:p>
    <w:p w14:paraId="66DD6B2D">
      <w:pPr>
        <w:pStyle w:val="5"/>
        <w:rPr>
          <w:rFonts w:ascii="Times New Roman" w:hAnsi="Times New Roman" w:eastAsia="仿宋_GB2312"/>
          <w:b/>
          <w:color w:val="auto"/>
          <w:sz w:val="24"/>
          <w:szCs w:val="21"/>
          <w:highlight w:val="none"/>
        </w:rPr>
      </w:pPr>
      <w:bookmarkStart w:id="88" w:name="_Hlt14560612"/>
      <w:bookmarkEnd w:id="88"/>
      <w:bookmarkStart w:id="89" w:name="_Toc249515392"/>
      <w:bookmarkStart w:id="90" w:name="_Toc249525161"/>
      <w:bookmarkStart w:id="91" w:name="_Toc25504"/>
      <w:bookmarkStart w:id="92" w:name="_Toc184043014"/>
      <w:bookmarkStart w:id="93" w:name="_Toc249515280"/>
      <w:r>
        <w:rPr>
          <w:rFonts w:ascii="Times New Roman" w:hAnsi="Times New Roman" w:eastAsia="仿宋_GB2312"/>
          <w:b/>
          <w:color w:val="auto"/>
          <w:sz w:val="24"/>
          <w:szCs w:val="21"/>
          <w:highlight w:val="none"/>
        </w:rPr>
        <w:t>1.     项目说明</w:t>
      </w:r>
      <w:bookmarkEnd w:id="89"/>
      <w:bookmarkEnd w:id="90"/>
      <w:bookmarkEnd w:id="91"/>
      <w:bookmarkEnd w:id="92"/>
      <w:bookmarkEnd w:id="93"/>
    </w:p>
    <w:p w14:paraId="76ECE1B5">
      <w:pPr>
        <w:pStyle w:val="67"/>
        <w:widowControl w:val="0"/>
        <w:tabs>
          <w:tab w:val="left" w:pos="588"/>
        </w:tabs>
        <w:spacing w:before="0" w:beforeAutospacing="0" w:after="0" w:afterAutospacing="0"/>
        <w:textAlignment w:val="auto"/>
        <w:rPr>
          <w:rFonts w:eastAsia="仿宋_GB2312"/>
          <w:color w:val="auto"/>
          <w:kern w:val="24"/>
          <w:szCs w:val="21"/>
          <w:highlight w:val="none"/>
        </w:rPr>
      </w:pPr>
      <w:r>
        <w:rPr>
          <w:rFonts w:eastAsia="仿宋_GB2312"/>
          <w:color w:val="auto"/>
          <w:kern w:val="24"/>
          <w:szCs w:val="21"/>
          <w:highlight w:val="none"/>
        </w:rPr>
        <w:t>1.1    项目说明：</w:t>
      </w:r>
      <w:r>
        <w:rPr>
          <w:rFonts w:eastAsia="仿宋_GB2312"/>
          <w:b/>
          <w:color w:val="auto"/>
          <w:kern w:val="24"/>
          <w:szCs w:val="21"/>
          <w:highlight w:val="none"/>
        </w:rPr>
        <w:t>见供应商须知前附表</w:t>
      </w:r>
      <w:r>
        <w:rPr>
          <w:rFonts w:eastAsia="仿宋_GB2312"/>
          <w:color w:val="auto"/>
          <w:kern w:val="24"/>
          <w:szCs w:val="21"/>
          <w:highlight w:val="none"/>
        </w:rPr>
        <w:t>。</w:t>
      </w:r>
    </w:p>
    <w:p w14:paraId="5735813B">
      <w:pPr>
        <w:pStyle w:val="5"/>
        <w:rPr>
          <w:rFonts w:ascii="Times New Roman" w:hAnsi="Times New Roman" w:eastAsia="仿宋_GB2312"/>
          <w:b/>
          <w:color w:val="auto"/>
          <w:sz w:val="24"/>
          <w:szCs w:val="21"/>
          <w:highlight w:val="none"/>
        </w:rPr>
      </w:pPr>
      <w:bookmarkStart w:id="94" w:name="_Toc249515393"/>
      <w:bookmarkStart w:id="95" w:name="_Toc70687142"/>
      <w:bookmarkStart w:id="96" w:name="_Toc184043015"/>
      <w:bookmarkStart w:id="97" w:name="_Toc249525162"/>
      <w:bookmarkStart w:id="98" w:name="_Toc249515281"/>
      <w:bookmarkStart w:id="99" w:name="_Toc31509"/>
      <w:r>
        <w:rPr>
          <w:rFonts w:ascii="Times New Roman" w:hAnsi="Times New Roman" w:eastAsia="仿宋_GB2312"/>
          <w:b/>
          <w:color w:val="auto"/>
          <w:sz w:val="24"/>
          <w:szCs w:val="21"/>
          <w:highlight w:val="none"/>
        </w:rPr>
        <w:t>2.     定义</w:t>
      </w:r>
      <w:bookmarkEnd w:id="94"/>
      <w:bookmarkEnd w:id="95"/>
      <w:bookmarkEnd w:id="96"/>
      <w:bookmarkEnd w:id="97"/>
      <w:bookmarkEnd w:id="98"/>
      <w:bookmarkEnd w:id="99"/>
    </w:p>
    <w:p w14:paraId="583AF6DA">
      <w:pPr>
        <w:tabs>
          <w:tab w:val="left" w:pos="588"/>
        </w:tabs>
        <w:spacing w:line="360" w:lineRule="auto"/>
        <w:rPr>
          <w:rFonts w:eastAsia="仿宋_GB2312"/>
          <w:color w:val="auto"/>
          <w:sz w:val="24"/>
          <w:highlight w:val="none"/>
        </w:rPr>
      </w:pPr>
      <w:r>
        <w:rPr>
          <w:rFonts w:eastAsia="仿宋_GB2312"/>
          <w:color w:val="auto"/>
          <w:sz w:val="24"/>
          <w:highlight w:val="none"/>
        </w:rPr>
        <w:t>2.1    采购人：</w:t>
      </w:r>
      <w:r>
        <w:rPr>
          <w:rFonts w:eastAsia="仿宋_GB2312"/>
          <w:b/>
          <w:color w:val="auto"/>
          <w:sz w:val="24"/>
          <w:highlight w:val="none"/>
        </w:rPr>
        <w:t>见供应商须知前附表</w:t>
      </w:r>
      <w:r>
        <w:rPr>
          <w:rFonts w:eastAsia="仿宋_GB2312"/>
          <w:color w:val="auto"/>
          <w:sz w:val="24"/>
          <w:highlight w:val="none"/>
        </w:rPr>
        <w:t>。</w:t>
      </w:r>
    </w:p>
    <w:p w14:paraId="2F38BD5B">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2.2    采购代理机构：</w:t>
      </w:r>
      <w:r>
        <w:rPr>
          <w:rFonts w:ascii="Times New Roman" w:hAnsi="Times New Roman" w:eastAsia="仿宋_GB2312"/>
          <w:b/>
          <w:color w:val="auto"/>
          <w:kern w:val="24"/>
          <w:sz w:val="24"/>
          <w:szCs w:val="21"/>
          <w:highlight w:val="none"/>
        </w:rPr>
        <w:t>见供应商须知前附表</w:t>
      </w:r>
      <w:r>
        <w:rPr>
          <w:rFonts w:ascii="Times New Roman" w:hAnsi="Times New Roman" w:eastAsia="仿宋_GB2312"/>
          <w:color w:val="auto"/>
          <w:kern w:val="24"/>
          <w:sz w:val="24"/>
          <w:szCs w:val="21"/>
          <w:highlight w:val="none"/>
        </w:rPr>
        <w:t>。</w:t>
      </w:r>
    </w:p>
    <w:p w14:paraId="74F6C7FA">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    供应商：指响应磋商文件要求、参加竞争性磋商采购的法人、其他组织或者自然人。本次政府采购项目邀请供应商方式见</w:t>
      </w:r>
      <w:r>
        <w:rPr>
          <w:rFonts w:ascii="Times New Roman" w:hAnsi="Times New Roman" w:eastAsia="仿宋_GB2312"/>
          <w:b/>
          <w:color w:val="auto"/>
          <w:sz w:val="24"/>
          <w:highlight w:val="none"/>
        </w:rPr>
        <w:t>供应商须知前附表。</w:t>
      </w:r>
    </w:p>
    <w:p w14:paraId="421BC28B">
      <w:pPr>
        <w:pStyle w:val="2"/>
        <w:tabs>
          <w:tab w:val="left" w:pos="360"/>
        </w:tabs>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2.4    磋商小组：指依据《中华人民共和国政府采购法》和财政部《政府采购竞争性磋商采购方式管理暂行办法》有关规定组建，依法依规履行其职责和义务的机构。</w:t>
      </w:r>
    </w:p>
    <w:p w14:paraId="7469C710">
      <w:pPr>
        <w:pStyle w:val="5"/>
        <w:rPr>
          <w:rFonts w:ascii="Times New Roman" w:hAnsi="Times New Roman" w:eastAsia="仿宋_GB2312"/>
          <w:b/>
          <w:color w:val="auto"/>
          <w:sz w:val="24"/>
          <w:szCs w:val="21"/>
          <w:highlight w:val="none"/>
        </w:rPr>
      </w:pPr>
      <w:bookmarkStart w:id="100" w:name="_Toc389620168"/>
      <w:bookmarkStart w:id="101" w:name="_Toc184043016"/>
      <w:bookmarkStart w:id="102" w:name="_Toc249515282"/>
      <w:bookmarkStart w:id="103" w:name="_Toc249515394"/>
      <w:bookmarkStart w:id="104" w:name="_Toc249525163"/>
      <w:bookmarkStart w:id="105" w:name="_Toc385992329"/>
      <w:bookmarkStart w:id="106" w:name="_Toc23705"/>
      <w:bookmarkStart w:id="107" w:name="_Toc70687143"/>
      <w:r>
        <w:rPr>
          <w:rFonts w:ascii="Times New Roman" w:hAnsi="Times New Roman" w:eastAsia="仿宋_GB2312"/>
          <w:b/>
          <w:color w:val="auto"/>
          <w:sz w:val="24"/>
          <w:szCs w:val="21"/>
          <w:highlight w:val="none"/>
        </w:rPr>
        <w:t>3.     合格的供应商</w:t>
      </w:r>
      <w:bookmarkEnd w:id="100"/>
      <w:bookmarkEnd w:id="101"/>
      <w:bookmarkEnd w:id="102"/>
      <w:bookmarkEnd w:id="103"/>
      <w:bookmarkEnd w:id="104"/>
      <w:bookmarkEnd w:id="105"/>
      <w:bookmarkEnd w:id="106"/>
      <w:bookmarkEnd w:id="107"/>
    </w:p>
    <w:p w14:paraId="0C8DB187">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3.1    供应商基本资质要求详见</w:t>
      </w:r>
      <w:r>
        <w:rPr>
          <w:rFonts w:eastAsia="仿宋_GB2312"/>
          <w:b/>
          <w:color w:val="auto"/>
          <w:kern w:val="24"/>
          <w:sz w:val="24"/>
          <w:szCs w:val="21"/>
          <w:highlight w:val="none"/>
        </w:rPr>
        <w:t>供应商须知前附表</w:t>
      </w:r>
      <w:r>
        <w:rPr>
          <w:rFonts w:eastAsia="仿宋_GB2312"/>
          <w:color w:val="auto"/>
          <w:kern w:val="24"/>
          <w:sz w:val="24"/>
          <w:szCs w:val="21"/>
          <w:highlight w:val="none"/>
        </w:rPr>
        <w:t>。</w:t>
      </w:r>
    </w:p>
    <w:p w14:paraId="7CC380DB">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    本项目将执行在政府采购活动中查询及使用信用记录的规定，具体要求为：</w:t>
      </w:r>
    </w:p>
    <w:p w14:paraId="49A49311">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3.2.1  供应商应当未被列入失信被执行人、</w:t>
      </w:r>
      <w:r>
        <w:rPr>
          <w:rFonts w:hint="eastAsia" w:eastAsia="仿宋_GB2312"/>
          <w:color w:val="auto"/>
          <w:kern w:val="24"/>
          <w:sz w:val="24"/>
          <w:szCs w:val="21"/>
          <w:highlight w:val="none"/>
        </w:rPr>
        <w:t>重大</w:t>
      </w:r>
      <w:r>
        <w:rPr>
          <w:rFonts w:eastAsia="仿宋_GB2312"/>
          <w:color w:val="auto"/>
          <w:sz w:val="24"/>
          <w:highlight w:val="none"/>
        </w:rPr>
        <w:t>税收违法</w:t>
      </w:r>
      <w:r>
        <w:rPr>
          <w:rFonts w:hint="eastAsia" w:eastAsia="仿宋_GB2312"/>
          <w:color w:val="auto"/>
          <w:sz w:val="24"/>
          <w:highlight w:val="none"/>
        </w:rPr>
        <w:t>失信主体</w:t>
      </w:r>
      <w:r>
        <w:rPr>
          <w:rFonts w:eastAsia="仿宋_GB2312"/>
          <w:color w:val="auto"/>
          <w:kern w:val="24"/>
          <w:sz w:val="24"/>
          <w:szCs w:val="21"/>
          <w:highlight w:val="none"/>
        </w:rPr>
        <w:t>、政府采购严重违法失信行为记录名单，否则不得参与政府采购活动。</w:t>
      </w:r>
    </w:p>
    <w:p w14:paraId="79FCA3FB">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3.2.2  信用信息查询的时间：</w:t>
      </w:r>
      <w:r>
        <w:rPr>
          <w:rFonts w:hint="eastAsia" w:eastAsia="仿宋_GB2312"/>
          <w:color w:val="auto"/>
          <w:kern w:val="24"/>
          <w:sz w:val="24"/>
          <w:szCs w:val="21"/>
          <w:highlight w:val="none"/>
        </w:rPr>
        <w:t>自采购文件发售之日起至资格审查结束之前。</w:t>
      </w:r>
      <w:r>
        <w:rPr>
          <w:rFonts w:eastAsia="仿宋_GB2312"/>
          <w:color w:val="auto"/>
          <w:kern w:val="24"/>
          <w:sz w:val="24"/>
          <w:szCs w:val="21"/>
          <w:highlight w:val="none"/>
        </w:rPr>
        <w:t xml:space="preserve"> </w:t>
      </w:r>
    </w:p>
    <w:p w14:paraId="7A3B1E5E">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 xml:space="preserve">3.2.3  查询渠道：“信用中国”网站（www.creditchina.gov.cn）和中国政府采购网（www.ccgp.gov.cn）； </w:t>
      </w:r>
    </w:p>
    <w:p w14:paraId="74B0D732">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14:paraId="35350DF8">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2</w:t>
      </w:r>
      <w:r>
        <w:rPr>
          <w:rFonts w:eastAsia="仿宋_GB2312"/>
          <w:color w:val="auto"/>
          <w:kern w:val="24"/>
          <w:sz w:val="24"/>
          <w:szCs w:val="21"/>
          <w:highlight w:val="none"/>
        </w:rPr>
        <w:t>.5  信用信息的使用规则：采购人或采购代理机构若发现参与本项目政府采购活动的供应商在存在不良信用记录的，将信用信息查询记录提交给磋商小组，作无效文件进行处理。</w:t>
      </w:r>
    </w:p>
    <w:p w14:paraId="7A061F01">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3</w:t>
      </w:r>
      <w:r>
        <w:rPr>
          <w:rFonts w:eastAsia="仿宋_GB2312"/>
          <w:color w:val="auto"/>
          <w:kern w:val="24"/>
          <w:sz w:val="24"/>
          <w:szCs w:val="21"/>
          <w:highlight w:val="none"/>
        </w:rPr>
        <w:t xml:space="preserve">    供应商必须向采购人或采购代理机构</w:t>
      </w:r>
      <w:r>
        <w:rPr>
          <w:rFonts w:hint="eastAsia" w:eastAsia="仿宋_GB2312"/>
          <w:color w:val="auto"/>
          <w:kern w:val="24"/>
          <w:sz w:val="24"/>
          <w:szCs w:val="21"/>
          <w:highlight w:val="none"/>
        </w:rPr>
        <w:t>获取</w:t>
      </w:r>
      <w:r>
        <w:rPr>
          <w:rFonts w:eastAsia="仿宋_GB2312"/>
          <w:color w:val="auto"/>
          <w:kern w:val="24"/>
          <w:sz w:val="24"/>
          <w:szCs w:val="21"/>
          <w:highlight w:val="none"/>
        </w:rPr>
        <w:t>磋商文件，未向采购人或采购代理机构</w:t>
      </w:r>
      <w:r>
        <w:rPr>
          <w:rFonts w:hint="eastAsia" w:eastAsia="仿宋_GB2312"/>
          <w:color w:val="auto"/>
          <w:kern w:val="24"/>
          <w:sz w:val="24"/>
          <w:szCs w:val="21"/>
          <w:highlight w:val="none"/>
        </w:rPr>
        <w:t>获取</w:t>
      </w:r>
      <w:r>
        <w:rPr>
          <w:rFonts w:eastAsia="仿宋_GB2312"/>
          <w:color w:val="auto"/>
          <w:kern w:val="24"/>
          <w:sz w:val="24"/>
          <w:szCs w:val="21"/>
          <w:highlight w:val="none"/>
        </w:rPr>
        <w:t>磋商文件的潜在供应商均无资格参加本次采购。</w:t>
      </w:r>
    </w:p>
    <w:p w14:paraId="6F48D796">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3.</w:t>
      </w:r>
      <w:r>
        <w:rPr>
          <w:rFonts w:hint="eastAsia" w:eastAsia="仿宋_GB2312"/>
          <w:color w:val="auto"/>
          <w:kern w:val="24"/>
          <w:sz w:val="24"/>
          <w:szCs w:val="21"/>
          <w:highlight w:val="none"/>
        </w:rPr>
        <w:t>4</w:t>
      </w:r>
      <w:r>
        <w:rPr>
          <w:rFonts w:eastAsia="仿宋_GB2312"/>
          <w:color w:val="auto"/>
          <w:kern w:val="24"/>
          <w:sz w:val="24"/>
          <w:szCs w:val="21"/>
          <w:highlight w:val="none"/>
        </w:rPr>
        <w:t xml:space="preserve">    供应商应遵守《中华人民共和国政府采购法》及其它有关的中国法律和法规。</w:t>
      </w:r>
    </w:p>
    <w:p w14:paraId="6D5F37A9">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5</w:t>
      </w:r>
      <w:r>
        <w:rPr>
          <w:rFonts w:ascii="Times New Roman" w:hAnsi="Times New Roman" w:eastAsia="仿宋_GB2312"/>
          <w:color w:val="auto"/>
          <w:kern w:val="24"/>
          <w:sz w:val="24"/>
          <w:szCs w:val="21"/>
          <w:highlight w:val="none"/>
        </w:rPr>
        <w:t xml:space="preserve">    若前附表中写明允许采购进口产品，供应商应保证所投产品可履行合法报通关手续进入中国关境内。</w:t>
      </w:r>
    </w:p>
    <w:p w14:paraId="61C1293B">
      <w:pPr>
        <w:pStyle w:val="2"/>
        <w:ind w:left="838" w:leftChars="399"/>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若前附表中不允许采购进口产品，如供应商所投产品为进口产品，其响应文件将被认定为无效。</w:t>
      </w:r>
    </w:p>
    <w:p w14:paraId="3B4241E0">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 xml:space="preserve">    如须知前附表中允许联合体投标，对联合体规定如下：</w:t>
      </w:r>
    </w:p>
    <w:p w14:paraId="74589F89">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.1  两个及以上供应商可以组成一个投标联合体，以一个供应商的身份投标。</w:t>
      </w:r>
    </w:p>
    <w:p w14:paraId="7807DFD9">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.2  联合体各方均应符合本须知规定。</w:t>
      </w:r>
    </w:p>
    <w:p w14:paraId="5AB73682">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.3  采购人根据采购项目对供应商的特殊要求，联合体中至少应当有一方符合相关规定。</w:t>
      </w:r>
    </w:p>
    <w:p w14:paraId="18DDF342">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.4  联合体各方应签订共同磋商响应协议，明确约定联合体各方承担的工作和相应的责任，并将共同响应协议作为响应文件的内容提交。</w:t>
      </w:r>
    </w:p>
    <w:p w14:paraId="21292A86">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.5  大中型企业、其他自然人、法人或者其他组织与小型、微型企业组成联合体共同参加磋商，共同响应协议中应写明小型、微型企业的协议合同金额占到共同响应协议报价总金额的比例。</w:t>
      </w:r>
    </w:p>
    <w:p w14:paraId="15D41C08">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.6  以联合体形式参加政府采购活动的，联合体各方不得再单独参加或者与其他供应商另外组成联合体参加本项目同一合同项下的磋商，否则相关响应文件将被认定为无效。</w:t>
      </w:r>
    </w:p>
    <w:p w14:paraId="063CA1B2">
      <w:pPr>
        <w:pStyle w:val="2"/>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6</w:t>
      </w:r>
      <w:r>
        <w:rPr>
          <w:rFonts w:ascii="Times New Roman" w:hAnsi="Times New Roman" w:eastAsia="仿宋_GB2312"/>
          <w:color w:val="auto"/>
          <w:kern w:val="24"/>
          <w:sz w:val="24"/>
          <w:szCs w:val="21"/>
          <w:highlight w:val="none"/>
        </w:rPr>
        <w:t>.7  对联合体磋商的其他资格要求见须知前附表。</w:t>
      </w:r>
    </w:p>
    <w:p w14:paraId="3A1151C0">
      <w:pPr>
        <w:pStyle w:val="2"/>
        <w:ind w:left="840" w:hanging="840" w:hangingChars="350"/>
        <w:rPr>
          <w:rFonts w:ascii="Times New Roman" w:hAnsi="Times New Roman" w:eastAsia="仿宋_GB2312"/>
          <w:color w:val="auto"/>
          <w:kern w:val="24"/>
          <w:sz w:val="24"/>
          <w:szCs w:val="21"/>
          <w:highlight w:val="none"/>
        </w:rPr>
      </w:pPr>
      <w:r>
        <w:rPr>
          <w:rFonts w:ascii="Times New Roman" w:hAnsi="Times New Roman" w:eastAsia="仿宋_GB2312"/>
          <w:color w:val="auto"/>
          <w:kern w:val="24"/>
          <w:sz w:val="24"/>
          <w:szCs w:val="21"/>
          <w:highlight w:val="none"/>
        </w:rPr>
        <w:t>3.</w:t>
      </w:r>
      <w:r>
        <w:rPr>
          <w:rFonts w:hint="eastAsia" w:ascii="Times New Roman" w:hAnsi="Times New Roman" w:eastAsia="仿宋_GB2312"/>
          <w:color w:val="auto"/>
          <w:kern w:val="24"/>
          <w:sz w:val="24"/>
          <w:szCs w:val="21"/>
          <w:highlight w:val="none"/>
        </w:rPr>
        <w:t>7</w:t>
      </w:r>
      <w:r>
        <w:rPr>
          <w:rFonts w:ascii="Times New Roman" w:hAnsi="Times New Roman" w:eastAsia="仿宋_GB2312"/>
          <w:color w:val="auto"/>
          <w:kern w:val="24"/>
          <w:sz w:val="24"/>
          <w:szCs w:val="21"/>
          <w:highlight w:val="none"/>
        </w:rPr>
        <w:t xml:space="preserve">    </w:t>
      </w:r>
      <w:r>
        <w:rPr>
          <w:rFonts w:ascii="Times New Roman" w:hAnsi="Times New Roman" w:eastAsia="仿宋_GB2312"/>
          <w:color w:val="auto"/>
          <w:sz w:val="24"/>
          <w:highlight w:val="none"/>
        </w:rPr>
        <w:t>若前附表中写明专门面向中小企业采购的，如供应商为非中小企业或所投产品为非中小企业产品，其响应文件将被认定为无效。</w:t>
      </w:r>
    </w:p>
    <w:p w14:paraId="5D648B9E">
      <w:pPr>
        <w:pStyle w:val="5"/>
        <w:rPr>
          <w:rFonts w:ascii="Times New Roman" w:hAnsi="Times New Roman" w:eastAsia="仿宋_GB2312"/>
          <w:b/>
          <w:color w:val="auto"/>
          <w:sz w:val="24"/>
          <w:szCs w:val="21"/>
          <w:highlight w:val="none"/>
        </w:rPr>
      </w:pPr>
      <w:bookmarkStart w:id="108" w:name="_Toc249525164"/>
      <w:bookmarkStart w:id="109" w:name="_Toc385992330"/>
      <w:bookmarkStart w:id="110" w:name="_Toc249515283"/>
      <w:bookmarkStart w:id="111" w:name="_Toc184043017"/>
      <w:bookmarkStart w:id="112" w:name="_Toc249515395"/>
      <w:bookmarkStart w:id="113" w:name="_Toc389620169"/>
      <w:bookmarkStart w:id="114" w:name="_Toc70687144"/>
      <w:bookmarkStart w:id="115" w:name="_Toc26580"/>
      <w:r>
        <w:rPr>
          <w:rFonts w:ascii="Times New Roman" w:hAnsi="Times New Roman" w:eastAsia="仿宋_GB2312"/>
          <w:b/>
          <w:color w:val="auto"/>
          <w:sz w:val="24"/>
          <w:szCs w:val="21"/>
          <w:highlight w:val="none"/>
        </w:rPr>
        <w:t>4.     磋商费用</w:t>
      </w:r>
      <w:bookmarkEnd w:id="108"/>
      <w:bookmarkEnd w:id="109"/>
      <w:bookmarkEnd w:id="110"/>
      <w:bookmarkEnd w:id="111"/>
      <w:bookmarkEnd w:id="112"/>
      <w:bookmarkEnd w:id="113"/>
      <w:bookmarkEnd w:id="114"/>
      <w:bookmarkEnd w:id="115"/>
    </w:p>
    <w:p w14:paraId="554D6173">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4.1    供应商应承担所有与编写和提交响应文件有关的费用，无论磋商过程和结果如何，采购人在任何情况下均无义务和责任承担这些费用。</w:t>
      </w:r>
    </w:p>
    <w:p w14:paraId="45750507">
      <w:pPr>
        <w:pStyle w:val="2"/>
        <w:rPr>
          <w:rFonts w:ascii="Times New Roman" w:hAnsi="Times New Roman" w:eastAsia="仿宋_GB2312"/>
          <w:color w:val="auto"/>
          <w:highlight w:val="none"/>
        </w:rPr>
      </w:pPr>
    </w:p>
    <w:p w14:paraId="7F32AD8F">
      <w:pPr>
        <w:pStyle w:val="81"/>
        <w:spacing w:before="24" w:after="24"/>
        <w:ind w:left="3313"/>
        <w:rPr>
          <w:rFonts w:eastAsia="仿宋_GB2312"/>
          <w:color w:val="auto"/>
          <w:sz w:val="30"/>
          <w:szCs w:val="30"/>
          <w:highlight w:val="none"/>
        </w:rPr>
      </w:pPr>
      <w:bookmarkStart w:id="116" w:name="_Toc8516"/>
      <w:r>
        <w:rPr>
          <w:rFonts w:eastAsia="仿宋_GB2312"/>
          <w:color w:val="auto"/>
          <w:sz w:val="30"/>
          <w:szCs w:val="30"/>
          <w:highlight w:val="none"/>
        </w:rPr>
        <w:t>二、磋商文件说明</w:t>
      </w:r>
      <w:bookmarkEnd w:id="116"/>
    </w:p>
    <w:p w14:paraId="6379B6B4">
      <w:pPr>
        <w:rPr>
          <w:rFonts w:eastAsia="仿宋_GB2312"/>
          <w:color w:val="auto"/>
          <w:highlight w:val="none"/>
        </w:rPr>
      </w:pPr>
    </w:p>
    <w:p w14:paraId="2D23B98F">
      <w:pPr>
        <w:pStyle w:val="5"/>
        <w:numPr>
          <w:ilvl w:val="0"/>
          <w:numId w:val="6"/>
        </w:numPr>
        <w:rPr>
          <w:rFonts w:ascii="Times New Roman" w:hAnsi="Times New Roman" w:eastAsia="仿宋_GB2312"/>
          <w:b/>
          <w:color w:val="auto"/>
          <w:sz w:val="24"/>
          <w:szCs w:val="21"/>
          <w:highlight w:val="none"/>
        </w:rPr>
      </w:pPr>
      <w:bookmarkStart w:id="117" w:name="_Toc128"/>
      <w:bookmarkStart w:id="118" w:name="_Toc249515397"/>
      <w:bookmarkStart w:id="119" w:name="_Toc249515285"/>
      <w:bookmarkStart w:id="120" w:name="_Toc70687146"/>
      <w:bookmarkStart w:id="121" w:name="_Toc389620171"/>
      <w:bookmarkStart w:id="122" w:name="_Toc184043019"/>
      <w:bookmarkStart w:id="123" w:name="_Toc249525166"/>
      <w:bookmarkStart w:id="124" w:name="_Toc385992332"/>
      <w:r>
        <w:rPr>
          <w:rFonts w:ascii="Times New Roman" w:hAnsi="Times New Roman" w:eastAsia="仿宋_GB2312"/>
          <w:b/>
          <w:color w:val="auto"/>
          <w:sz w:val="24"/>
          <w:szCs w:val="21"/>
          <w:highlight w:val="none"/>
        </w:rPr>
        <w:t xml:space="preserve">    通知</w:t>
      </w:r>
      <w:bookmarkEnd w:id="117"/>
    </w:p>
    <w:p w14:paraId="4D231738">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5.1    对与本项目有关的通知，采购人或采购代理机构将以书面（包括书面材料、信函、传真、电子邮件等，下同）的形式，送达所有与通知有关的已</w:t>
      </w:r>
      <w:r>
        <w:rPr>
          <w:rFonts w:hint="eastAsia" w:eastAsia="仿宋_GB2312"/>
          <w:color w:val="auto"/>
          <w:kern w:val="24"/>
          <w:sz w:val="24"/>
          <w:szCs w:val="21"/>
          <w:highlight w:val="none"/>
        </w:rPr>
        <w:t>获取</w:t>
      </w:r>
      <w:r>
        <w:rPr>
          <w:rFonts w:eastAsia="仿宋_GB2312"/>
          <w:color w:val="auto"/>
          <w:kern w:val="24"/>
          <w:sz w:val="24"/>
          <w:szCs w:val="21"/>
          <w:highlight w:val="none"/>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56566E5C">
      <w:pPr>
        <w:pStyle w:val="5"/>
        <w:rPr>
          <w:rFonts w:ascii="Times New Roman" w:hAnsi="Times New Roman" w:eastAsia="仿宋_GB2312"/>
          <w:b/>
          <w:color w:val="auto"/>
          <w:sz w:val="24"/>
          <w:szCs w:val="21"/>
          <w:highlight w:val="none"/>
        </w:rPr>
      </w:pPr>
      <w:bookmarkStart w:id="125" w:name="_Toc27223"/>
      <w:r>
        <w:rPr>
          <w:rFonts w:ascii="Times New Roman" w:hAnsi="Times New Roman" w:eastAsia="仿宋_GB2312"/>
          <w:b/>
          <w:color w:val="auto"/>
          <w:sz w:val="24"/>
          <w:szCs w:val="21"/>
          <w:highlight w:val="none"/>
        </w:rPr>
        <w:t>6.     磋商文件的构成</w:t>
      </w:r>
      <w:bookmarkEnd w:id="118"/>
      <w:bookmarkEnd w:id="119"/>
      <w:bookmarkEnd w:id="120"/>
      <w:bookmarkEnd w:id="121"/>
      <w:bookmarkEnd w:id="122"/>
      <w:bookmarkEnd w:id="123"/>
      <w:bookmarkEnd w:id="124"/>
      <w:bookmarkEnd w:id="125"/>
    </w:p>
    <w:p w14:paraId="710299C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6.1    磋商文件用以阐明供应商所需提供的服务、工程或货物以及其它类似的义务、采购响应程序和合同条款。磋商文件包括如下五章内容：</w:t>
      </w:r>
    </w:p>
    <w:p w14:paraId="1546377B">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第一章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磋商公告</w:t>
      </w:r>
    </w:p>
    <w:p w14:paraId="2BE30176">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第二章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供应商须知</w:t>
      </w:r>
    </w:p>
    <w:p w14:paraId="4BE89268">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第三章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评审办法和标准</w:t>
      </w:r>
    </w:p>
    <w:p w14:paraId="7167423C">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第四章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拟签订的合同文本</w:t>
      </w:r>
    </w:p>
    <w:p w14:paraId="2123FDEA">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第五章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采购内容及要求</w:t>
      </w:r>
    </w:p>
    <w:p w14:paraId="4E095989">
      <w:pPr>
        <w:pStyle w:val="2"/>
        <w:ind w:left="838" w:leftChars="399"/>
        <w:rPr>
          <w:rFonts w:ascii="Times New Roman" w:hAnsi="Times New Roman" w:eastAsia="仿宋_GB2312"/>
          <w:color w:val="auto"/>
          <w:sz w:val="24"/>
          <w:highlight w:val="none"/>
        </w:rPr>
      </w:pPr>
      <w:r>
        <w:rPr>
          <w:rFonts w:ascii="Times New Roman" w:hAnsi="Times New Roman" w:eastAsia="仿宋_GB2312"/>
          <w:color w:val="auto"/>
          <w:sz w:val="24"/>
          <w:highlight w:val="none"/>
        </w:rPr>
        <w:t>第六章</w:t>
      </w:r>
      <w:r>
        <w:rPr>
          <w:rFonts w:ascii="Times New Roman" w:hAnsi="Times New Roman" w:eastAsia="仿宋_GB2312"/>
          <w:color w:val="auto"/>
          <w:sz w:val="24"/>
          <w:highlight w:val="none"/>
        </w:rPr>
        <w:tab/>
      </w:r>
      <w:r>
        <w:rPr>
          <w:rFonts w:ascii="Times New Roman" w:hAnsi="Times New Roman" w:eastAsia="仿宋_GB2312"/>
          <w:color w:val="auto"/>
          <w:sz w:val="24"/>
          <w:highlight w:val="none"/>
        </w:rPr>
        <w:t>磋商响应文件格式</w:t>
      </w:r>
    </w:p>
    <w:p w14:paraId="218CA10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07989C60">
      <w:pPr>
        <w:pStyle w:val="5"/>
        <w:rPr>
          <w:rFonts w:ascii="Times New Roman" w:hAnsi="Times New Roman" w:eastAsia="仿宋_GB2312"/>
          <w:b/>
          <w:color w:val="auto"/>
          <w:sz w:val="24"/>
          <w:szCs w:val="21"/>
          <w:highlight w:val="none"/>
        </w:rPr>
      </w:pPr>
      <w:bookmarkStart w:id="126" w:name="_Toc249515286"/>
      <w:bookmarkStart w:id="127" w:name="_Toc389620172"/>
      <w:bookmarkStart w:id="128" w:name="_Toc70687147"/>
      <w:bookmarkStart w:id="129" w:name="_Toc249515398"/>
      <w:bookmarkStart w:id="130" w:name="_Toc249525167"/>
      <w:bookmarkStart w:id="131" w:name="_Toc385992333"/>
      <w:bookmarkStart w:id="132" w:name="_Toc184043020"/>
      <w:bookmarkStart w:id="133" w:name="_Toc10350"/>
      <w:r>
        <w:rPr>
          <w:rFonts w:ascii="Times New Roman" w:hAnsi="Times New Roman" w:eastAsia="仿宋_GB2312"/>
          <w:b/>
          <w:color w:val="auto"/>
          <w:sz w:val="24"/>
          <w:szCs w:val="21"/>
          <w:highlight w:val="none"/>
        </w:rPr>
        <w:t>7.     磋商文件的澄清</w:t>
      </w:r>
      <w:bookmarkEnd w:id="126"/>
      <w:bookmarkEnd w:id="127"/>
      <w:bookmarkEnd w:id="128"/>
      <w:bookmarkEnd w:id="129"/>
      <w:bookmarkEnd w:id="130"/>
      <w:bookmarkEnd w:id="131"/>
      <w:bookmarkEnd w:id="132"/>
      <w:r>
        <w:rPr>
          <w:rFonts w:ascii="Times New Roman" w:hAnsi="Times New Roman" w:eastAsia="仿宋_GB2312"/>
          <w:b/>
          <w:color w:val="auto"/>
          <w:sz w:val="24"/>
          <w:szCs w:val="21"/>
          <w:highlight w:val="none"/>
        </w:rPr>
        <w:t>和修改</w:t>
      </w:r>
      <w:bookmarkEnd w:id="133"/>
    </w:p>
    <w:p w14:paraId="300E560F">
      <w:pPr>
        <w:tabs>
          <w:tab w:val="left" w:pos="588"/>
        </w:tabs>
        <w:spacing w:line="360" w:lineRule="auto"/>
        <w:ind w:left="840" w:hanging="840" w:hangingChars="350"/>
        <w:rPr>
          <w:rFonts w:eastAsia="仿宋_GB2312"/>
          <w:color w:val="auto"/>
          <w:sz w:val="24"/>
          <w:highlight w:val="none"/>
        </w:rPr>
      </w:pPr>
      <w:bookmarkStart w:id="134" w:name="_Toc70687148"/>
      <w:bookmarkStart w:id="135" w:name="_Toc385992334"/>
      <w:bookmarkStart w:id="136" w:name="_Toc389620173"/>
      <w:r>
        <w:rPr>
          <w:rFonts w:eastAsia="仿宋_GB2312"/>
          <w:color w:val="auto"/>
          <w:sz w:val="24"/>
          <w:highlight w:val="none"/>
        </w:rPr>
        <w:t xml:space="preserve">7.1    </w:t>
      </w:r>
      <w:bookmarkEnd w:id="134"/>
      <w:bookmarkEnd w:id="135"/>
      <w:bookmarkEnd w:id="136"/>
      <w:bookmarkStart w:id="137" w:name="_Toc496324582"/>
      <w:bookmarkStart w:id="138" w:name="_Toc500747065"/>
      <w:bookmarkStart w:id="139" w:name="_Toc70687149"/>
      <w:bookmarkStart w:id="140" w:name="_Toc389620174"/>
      <w:bookmarkStart w:id="141" w:name="_Toc500747192"/>
      <w:bookmarkStart w:id="142" w:name="_Toc503063425"/>
      <w:bookmarkStart w:id="143" w:name="_Toc385992335"/>
      <w:bookmarkStart w:id="144" w:name="_Toc500746969"/>
      <w:bookmarkStart w:id="145" w:name="_Toc492955418"/>
      <w:bookmarkStart w:id="146" w:name="_Toc53722843"/>
      <w:bookmarkStart w:id="147" w:name="_Toc499711046"/>
      <w:bookmarkStart w:id="148" w:name="_Toc499711887"/>
      <w:r>
        <w:rPr>
          <w:rFonts w:eastAsia="仿宋_GB2312"/>
          <w:color w:val="auto"/>
          <w:sz w:val="24"/>
          <w:highlight w:val="none"/>
        </w:rPr>
        <w:t>在首次响应文件递交截止时间前，采购人或采购代理机构可以对已发出的磋商文件进行必要的澄清或修改，澄清或修改的内容为磋商文件的组成部分。</w:t>
      </w:r>
    </w:p>
    <w:p w14:paraId="7085889B">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7.2    磋商文件的修改将以书面形式通知所有</w:t>
      </w:r>
      <w:r>
        <w:rPr>
          <w:rFonts w:hint="eastAsia" w:eastAsia="仿宋_GB2312"/>
          <w:color w:val="auto"/>
          <w:sz w:val="24"/>
          <w:highlight w:val="none"/>
        </w:rPr>
        <w:t>获取</w:t>
      </w:r>
      <w:r>
        <w:rPr>
          <w:rFonts w:eastAsia="仿宋_GB2312"/>
          <w:color w:val="auto"/>
          <w:sz w:val="24"/>
          <w:highlight w:val="none"/>
        </w:rPr>
        <w:t>磋商文件的供应商，并对其具有约束力。供应商在收到上述通知后，应立即向采购人回函确认。</w:t>
      </w:r>
    </w:p>
    <w:p w14:paraId="41B8ADC8">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7.3    澄清或修改的内容可能影响响应文件编制的，采购人或采购代理机构可适当延长首次响应文件递交截止时间，并以书面形式通知所有</w:t>
      </w:r>
      <w:r>
        <w:rPr>
          <w:rFonts w:hint="eastAsia" w:eastAsia="仿宋_GB2312"/>
          <w:color w:val="auto"/>
          <w:sz w:val="24"/>
          <w:highlight w:val="none"/>
        </w:rPr>
        <w:t>获取</w:t>
      </w:r>
      <w:r>
        <w:rPr>
          <w:rFonts w:eastAsia="仿宋_GB2312"/>
          <w:color w:val="auto"/>
          <w:sz w:val="24"/>
          <w:highlight w:val="none"/>
        </w:rPr>
        <w:t>磋商文件的供应商。</w:t>
      </w:r>
    </w:p>
    <w:p w14:paraId="597A8256">
      <w:pPr>
        <w:pStyle w:val="2"/>
        <w:rPr>
          <w:color w:val="auto"/>
          <w:highlight w:val="none"/>
        </w:rPr>
      </w:pPr>
    </w:p>
    <w:p w14:paraId="0BF002F7">
      <w:pPr>
        <w:pStyle w:val="81"/>
        <w:spacing w:before="24" w:after="24"/>
        <w:ind w:left="3313"/>
        <w:rPr>
          <w:rFonts w:eastAsia="仿宋_GB2312"/>
          <w:color w:val="auto"/>
          <w:sz w:val="30"/>
          <w:szCs w:val="30"/>
          <w:highlight w:val="none"/>
        </w:rPr>
      </w:pPr>
      <w:bookmarkStart w:id="149" w:name="_Toc177995476"/>
      <w:bookmarkStart w:id="150" w:name="_Toc176882545"/>
      <w:bookmarkStart w:id="151" w:name="_Toc16549"/>
      <w:bookmarkStart w:id="152" w:name="_Toc249515288"/>
      <w:bookmarkStart w:id="153" w:name="_Toc232176275"/>
      <w:bookmarkStart w:id="154" w:name="_Toc249525169"/>
      <w:bookmarkStart w:id="155" w:name="_Toc184043022"/>
      <w:bookmarkStart w:id="156" w:name="_Toc249515400"/>
      <w:bookmarkStart w:id="157" w:name="_Toc177817337"/>
      <w:bookmarkStart w:id="158" w:name="_Toc230013635"/>
      <w:bookmarkStart w:id="159" w:name="_Toc177189238"/>
      <w:bookmarkStart w:id="160" w:name="_Toc232395215"/>
      <w:bookmarkStart w:id="161" w:name="_Toc256342146"/>
      <w:bookmarkStart w:id="162" w:name="_Toc230583544"/>
      <w:bookmarkStart w:id="163" w:name="_Toc230099800"/>
      <w:r>
        <w:rPr>
          <w:rFonts w:eastAsia="仿宋_GB2312"/>
          <w:color w:val="auto"/>
          <w:sz w:val="30"/>
          <w:szCs w:val="30"/>
          <w:highlight w:val="none"/>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0D15078">
      <w:pPr>
        <w:pStyle w:val="5"/>
        <w:rPr>
          <w:rFonts w:ascii="Times New Roman" w:hAnsi="Times New Roman" w:eastAsia="仿宋_GB2312"/>
          <w:b/>
          <w:color w:val="auto"/>
          <w:sz w:val="24"/>
          <w:szCs w:val="21"/>
          <w:highlight w:val="none"/>
        </w:rPr>
      </w:pPr>
      <w:bookmarkStart w:id="164" w:name="_Toc249515401"/>
      <w:bookmarkStart w:id="165" w:name="_Toc249525170"/>
      <w:bookmarkStart w:id="166" w:name="_Toc184043023"/>
      <w:bookmarkStart w:id="167" w:name="_Toc30150"/>
      <w:bookmarkStart w:id="168" w:name="_Toc70687150"/>
      <w:bookmarkStart w:id="169" w:name="_Toc249515289"/>
      <w:bookmarkStart w:id="170" w:name="_Toc389620176"/>
      <w:bookmarkStart w:id="171" w:name="_Toc385992337"/>
      <w:r>
        <w:rPr>
          <w:rFonts w:ascii="Times New Roman" w:hAnsi="Times New Roman" w:eastAsia="仿宋_GB2312"/>
          <w:b/>
          <w:color w:val="auto"/>
          <w:sz w:val="24"/>
          <w:szCs w:val="21"/>
          <w:highlight w:val="none"/>
        </w:rPr>
        <w:t>8.     响应文件语言</w:t>
      </w:r>
      <w:bookmarkEnd w:id="164"/>
      <w:bookmarkEnd w:id="165"/>
      <w:bookmarkEnd w:id="166"/>
      <w:bookmarkEnd w:id="167"/>
      <w:bookmarkEnd w:id="168"/>
      <w:bookmarkEnd w:id="169"/>
    </w:p>
    <w:p w14:paraId="2A98F030">
      <w:pPr>
        <w:tabs>
          <w:tab w:val="left" w:pos="588"/>
        </w:tabs>
        <w:spacing w:line="360" w:lineRule="auto"/>
        <w:rPr>
          <w:rFonts w:eastAsia="仿宋_GB2312"/>
          <w:color w:val="auto"/>
          <w:sz w:val="24"/>
          <w:highlight w:val="none"/>
        </w:rPr>
      </w:pPr>
      <w:r>
        <w:rPr>
          <w:rFonts w:eastAsia="仿宋_GB2312"/>
          <w:color w:val="auto"/>
          <w:sz w:val="24"/>
          <w:highlight w:val="none"/>
        </w:rPr>
        <w:t>8.1    响应文件及与响应相关的所有文件均应以中文书写。</w:t>
      </w:r>
    </w:p>
    <w:p w14:paraId="7CA76EB6">
      <w:pPr>
        <w:pStyle w:val="5"/>
        <w:rPr>
          <w:rFonts w:ascii="Times New Roman" w:hAnsi="Times New Roman" w:eastAsia="仿宋_GB2312"/>
          <w:b/>
          <w:color w:val="auto"/>
          <w:sz w:val="24"/>
          <w:szCs w:val="21"/>
          <w:highlight w:val="none"/>
        </w:rPr>
      </w:pPr>
      <w:bookmarkStart w:id="172" w:name="_Toc249515402"/>
      <w:bookmarkStart w:id="173" w:name="_Toc70687151"/>
      <w:bookmarkStart w:id="174" w:name="_Toc249515290"/>
      <w:bookmarkStart w:id="175" w:name="_Toc18327"/>
      <w:bookmarkStart w:id="176" w:name="_Toc249525171"/>
      <w:bookmarkStart w:id="177" w:name="_Toc184043024"/>
      <w:r>
        <w:rPr>
          <w:rFonts w:ascii="Times New Roman" w:hAnsi="Times New Roman" w:eastAsia="仿宋_GB2312"/>
          <w:b/>
          <w:color w:val="auto"/>
          <w:sz w:val="24"/>
          <w:szCs w:val="21"/>
          <w:highlight w:val="none"/>
        </w:rPr>
        <w:t>9.     计量单位</w:t>
      </w:r>
      <w:bookmarkEnd w:id="170"/>
      <w:bookmarkEnd w:id="171"/>
      <w:bookmarkEnd w:id="172"/>
      <w:bookmarkEnd w:id="173"/>
      <w:bookmarkEnd w:id="174"/>
      <w:bookmarkEnd w:id="175"/>
      <w:bookmarkEnd w:id="176"/>
      <w:bookmarkEnd w:id="177"/>
    </w:p>
    <w:p w14:paraId="1D17C9DD">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9.1    除在磋商文件的技术规格中另有规定外，计量单位应使用中华人民共和国法定计量单位。</w:t>
      </w:r>
    </w:p>
    <w:p w14:paraId="6D2EDF46">
      <w:pPr>
        <w:pStyle w:val="5"/>
        <w:rPr>
          <w:rFonts w:ascii="Times New Roman" w:hAnsi="Times New Roman" w:eastAsia="仿宋_GB2312"/>
          <w:b/>
          <w:color w:val="auto"/>
          <w:sz w:val="24"/>
          <w:szCs w:val="21"/>
          <w:highlight w:val="none"/>
        </w:rPr>
      </w:pPr>
      <w:bookmarkStart w:id="178" w:name="_Toc389620177"/>
      <w:bookmarkStart w:id="179" w:name="_Toc385992338"/>
      <w:bookmarkStart w:id="180" w:name="_Toc184043025"/>
      <w:bookmarkStart w:id="181" w:name="_Toc249515403"/>
      <w:bookmarkStart w:id="182" w:name="_Toc249515291"/>
      <w:bookmarkStart w:id="183" w:name="_Toc70687152"/>
      <w:bookmarkStart w:id="184" w:name="_Toc29318"/>
      <w:bookmarkStart w:id="185" w:name="_Toc249525172"/>
      <w:r>
        <w:rPr>
          <w:rFonts w:ascii="Times New Roman" w:hAnsi="Times New Roman" w:eastAsia="仿宋_GB2312"/>
          <w:b/>
          <w:color w:val="auto"/>
          <w:sz w:val="24"/>
          <w:szCs w:val="21"/>
          <w:highlight w:val="none"/>
        </w:rPr>
        <w:t>10.    响应文件的组成</w:t>
      </w:r>
      <w:bookmarkEnd w:id="178"/>
      <w:bookmarkEnd w:id="179"/>
      <w:bookmarkEnd w:id="180"/>
      <w:bookmarkEnd w:id="181"/>
      <w:bookmarkEnd w:id="182"/>
      <w:bookmarkEnd w:id="183"/>
      <w:bookmarkEnd w:id="184"/>
      <w:bookmarkEnd w:id="185"/>
    </w:p>
    <w:p w14:paraId="4B636FAB">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10.1   供应商编写的响应文件</w:t>
      </w:r>
      <w:r>
        <w:rPr>
          <w:rFonts w:eastAsia="仿宋_GB2312"/>
          <w:b/>
          <w:color w:val="auto"/>
          <w:sz w:val="24"/>
          <w:highlight w:val="none"/>
        </w:rPr>
        <w:t>由《资格证明文件》、《商务及技术文件》两部分</w:t>
      </w:r>
      <w:r>
        <w:rPr>
          <w:rFonts w:eastAsia="仿宋_GB2312"/>
          <w:color w:val="auto"/>
          <w:sz w:val="24"/>
          <w:highlight w:val="none"/>
        </w:rPr>
        <w:t>组成。供应商应完整地按照磋商文件提供的响应文件格式及要求编写响应文件。响应文件中资格审查和符合性审查涉及的事项不满足要求的，其响应文件将被认定为无效。</w:t>
      </w:r>
    </w:p>
    <w:p w14:paraId="24C6CB56">
      <w:pPr>
        <w:tabs>
          <w:tab w:val="left" w:pos="588"/>
        </w:tabs>
        <w:spacing w:line="360" w:lineRule="auto"/>
        <w:rPr>
          <w:rFonts w:eastAsia="仿宋_GB2312"/>
          <w:color w:val="auto"/>
          <w:sz w:val="24"/>
          <w:highlight w:val="none"/>
        </w:rPr>
      </w:pPr>
      <w:r>
        <w:rPr>
          <w:rFonts w:eastAsia="仿宋_GB2312"/>
          <w:color w:val="auto"/>
          <w:sz w:val="24"/>
          <w:highlight w:val="none"/>
        </w:rPr>
        <w:t>10.2   供应商提供的以上材料必须真实有效，任何一项的虚假将导致其响应被拒绝。</w:t>
      </w:r>
    </w:p>
    <w:p w14:paraId="16447C1B">
      <w:pPr>
        <w:pStyle w:val="5"/>
        <w:rPr>
          <w:rFonts w:ascii="Times New Roman" w:hAnsi="Times New Roman" w:eastAsia="仿宋_GB2312"/>
          <w:b/>
          <w:color w:val="auto"/>
          <w:sz w:val="24"/>
          <w:szCs w:val="21"/>
          <w:highlight w:val="none"/>
        </w:rPr>
      </w:pPr>
      <w:bookmarkStart w:id="186" w:name="_Toc249525173"/>
      <w:bookmarkStart w:id="187" w:name="_Toc249515292"/>
      <w:bookmarkStart w:id="188" w:name="_Toc70687153"/>
      <w:bookmarkStart w:id="189" w:name="_Toc26312"/>
      <w:bookmarkStart w:id="190" w:name="_Toc184043026"/>
      <w:bookmarkStart w:id="191" w:name="_Toc389620178"/>
      <w:bookmarkStart w:id="192" w:name="_Toc249515404"/>
      <w:bookmarkStart w:id="193" w:name="_Toc385992339"/>
      <w:r>
        <w:rPr>
          <w:rFonts w:ascii="Times New Roman" w:hAnsi="Times New Roman" w:eastAsia="仿宋_GB2312"/>
          <w:b/>
          <w:color w:val="auto"/>
          <w:sz w:val="24"/>
          <w:highlight w:val="none"/>
        </w:rPr>
        <w:t>11.    响应文件格式</w:t>
      </w:r>
      <w:bookmarkEnd w:id="186"/>
      <w:bookmarkEnd w:id="187"/>
      <w:bookmarkEnd w:id="188"/>
      <w:bookmarkEnd w:id="189"/>
      <w:bookmarkEnd w:id="190"/>
      <w:bookmarkEnd w:id="191"/>
      <w:bookmarkEnd w:id="192"/>
      <w:bookmarkEnd w:id="193"/>
    </w:p>
    <w:p w14:paraId="0C5BE469">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11.1   对于磋商文件第六章中已经提供了格式的响应文件内容，供应商必须按提供的响应文件格式进行填写和编制，没有提供格式的可自行设计。</w:t>
      </w:r>
    </w:p>
    <w:p w14:paraId="60C52126">
      <w:pPr>
        <w:pStyle w:val="5"/>
        <w:rPr>
          <w:rFonts w:ascii="Times New Roman" w:hAnsi="Times New Roman" w:eastAsia="仿宋_GB2312"/>
          <w:b/>
          <w:color w:val="auto"/>
          <w:sz w:val="24"/>
          <w:szCs w:val="21"/>
          <w:highlight w:val="none"/>
        </w:rPr>
      </w:pPr>
      <w:bookmarkStart w:id="194" w:name="_Toc26688"/>
      <w:r>
        <w:rPr>
          <w:rFonts w:ascii="Times New Roman" w:hAnsi="Times New Roman" w:eastAsia="仿宋_GB2312"/>
          <w:b/>
          <w:color w:val="auto"/>
          <w:sz w:val="24"/>
          <w:szCs w:val="21"/>
          <w:highlight w:val="none"/>
        </w:rPr>
        <w:t>12.    响应报价</w:t>
      </w:r>
      <w:bookmarkEnd w:id="194"/>
    </w:p>
    <w:p w14:paraId="5B95BBBC">
      <w:pPr>
        <w:tabs>
          <w:tab w:val="left" w:pos="0"/>
          <w:tab w:val="left" w:pos="540"/>
          <w:tab w:val="left" w:pos="720"/>
        </w:tabs>
        <w:spacing w:line="360" w:lineRule="auto"/>
        <w:ind w:left="840" w:hanging="840" w:hangingChars="350"/>
        <w:rPr>
          <w:rFonts w:eastAsia="仿宋_GB2312"/>
          <w:color w:val="auto"/>
          <w:highlight w:val="none"/>
        </w:rPr>
      </w:pPr>
      <w:r>
        <w:rPr>
          <w:rFonts w:eastAsia="仿宋_GB2312"/>
          <w:color w:val="auto"/>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color w:val="auto"/>
          <w:kern w:val="24"/>
          <w:sz w:val="24"/>
          <w:szCs w:val="21"/>
          <w:highlight w:val="none"/>
        </w:rPr>
        <w:t>供应商须知前附表。</w:t>
      </w:r>
    </w:p>
    <w:p w14:paraId="70EF0C5B">
      <w:pPr>
        <w:tabs>
          <w:tab w:val="left" w:pos="540"/>
          <w:tab w:val="left" w:pos="8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12.2   供应商应在响应分项报价表中详细列出所报货物和</w:t>
      </w:r>
      <w:r>
        <w:rPr>
          <w:rFonts w:eastAsia="仿宋_GB2312"/>
          <w:color w:val="auto"/>
          <w:sz w:val="24"/>
          <w:highlight w:val="none"/>
        </w:rPr>
        <w:t>服务</w:t>
      </w:r>
      <w:r>
        <w:rPr>
          <w:rFonts w:eastAsia="仿宋_GB2312"/>
          <w:color w:val="auto"/>
          <w:kern w:val="24"/>
          <w:sz w:val="24"/>
          <w:szCs w:val="21"/>
          <w:highlight w:val="none"/>
        </w:rPr>
        <w:t>的单价（如适用）和总价，并由法定代表人或其授权代表签署并加盖公章。响应分项报价表上的价格应按磋商文件第六章的格式填写。</w:t>
      </w:r>
    </w:p>
    <w:p w14:paraId="2B43873A">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5083B8E0">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79785126">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12.5   供应商每次对每种</w:t>
      </w:r>
      <w:r>
        <w:rPr>
          <w:rFonts w:eastAsia="仿宋_GB2312"/>
          <w:color w:val="auto"/>
          <w:kern w:val="24"/>
          <w:sz w:val="24"/>
          <w:szCs w:val="21"/>
          <w:highlight w:val="none"/>
          <w:u w:val="single"/>
        </w:rPr>
        <w:t xml:space="preserve"> 服务（或工程、或产品）</w:t>
      </w:r>
      <w:r>
        <w:rPr>
          <w:rFonts w:eastAsia="仿宋_GB2312"/>
          <w:color w:val="auto"/>
          <w:kern w:val="24"/>
          <w:sz w:val="24"/>
          <w:szCs w:val="21"/>
          <w:highlight w:val="none"/>
        </w:rPr>
        <w:t>只允许有一个报价，采购人不接受有任何选择的报价。</w:t>
      </w:r>
    </w:p>
    <w:p w14:paraId="4F0EAD95">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sz w:val="24"/>
          <w:highlight w:val="none"/>
        </w:rPr>
        <w:t>12.6   供应商根据本须知12.2条规定将响应报价分成几部分并按</w:t>
      </w:r>
      <w:r>
        <w:rPr>
          <w:rFonts w:eastAsia="仿宋_GB2312"/>
          <w:color w:val="auto"/>
          <w:kern w:val="24"/>
          <w:sz w:val="24"/>
          <w:szCs w:val="21"/>
          <w:highlight w:val="none"/>
        </w:rPr>
        <w:t>磋商文件第六章提供的格式填写“响应分项报价表”，只是为了方便采购人对响应文件进行比较，并不限制采购人以其它方式签订合同的权力。</w:t>
      </w:r>
    </w:p>
    <w:p w14:paraId="3F0D41C8">
      <w:pPr>
        <w:pStyle w:val="5"/>
        <w:rPr>
          <w:rFonts w:ascii="Times New Roman" w:hAnsi="Times New Roman" w:eastAsia="仿宋_GB2312"/>
          <w:b/>
          <w:color w:val="auto"/>
          <w:sz w:val="24"/>
          <w:szCs w:val="21"/>
          <w:highlight w:val="none"/>
        </w:rPr>
      </w:pPr>
      <w:bookmarkStart w:id="195" w:name="_Toc20687"/>
      <w:bookmarkStart w:id="196" w:name="_Toc70687155"/>
      <w:bookmarkStart w:id="197" w:name="_Toc385992341"/>
      <w:bookmarkStart w:id="198" w:name="_Toc184043028"/>
      <w:bookmarkStart w:id="199" w:name="_Toc389620180"/>
      <w:bookmarkStart w:id="200" w:name="_Toc249525175"/>
      <w:bookmarkStart w:id="201" w:name="_Toc249515294"/>
      <w:bookmarkStart w:id="202" w:name="_Toc249515406"/>
      <w:r>
        <w:rPr>
          <w:rFonts w:ascii="Times New Roman" w:hAnsi="Times New Roman" w:eastAsia="仿宋_GB2312"/>
          <w:b/>
          <w:color w:val="auto"/>
          <w:sz w:val="24"/>
          <w:szCs w:val="21"/>
          <w:highlight w:val="none"/>
        </w:rPr>
        <w:t>13.    报价货币</w:t>
      </w:r>
      <w:bookmarkEnd w:id="195"/>
      <w:bookmarkEnd w:id="196"/>
      <w:bookmarkEnd w:id="197"/>
      <w:bookmarkEnd w:id="198"/>
      <w:bookmarkEnd w:id="199"/>
      <w:bookmarkEnd w:id="200"/>
      <w:bookmarkEnd w:id="201"/>
      <w:bookmarkEnd w:id="202"/>
    </w:p>
    <w:p w14:paraId="0F8DDA08">
      <w:pPr>
        <w:tabs>
          <w:tab w:val="left" w:pos="180"/>
          <w:tab w:val="left" w:pos="540"/>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640DC7F9">
      <w:pPr>
        <w:pStyle w:val="5"/>
        <w:rPr>
          <w:rFonts w:ascii="Times New Roman" w:hAnsi="Times New Roman" w:eastAsia="仿宋_GB2312"/>
          <w:b/>
          <w:color w:val="auto"/>
          <w:kern w:val="24"/>
          <w:sz w:val="24"/>
          <w:szCs w:val="21"/>
          <w:highlight w:val="none"/>
        </w:rPr>
      </w:pPr>
      <w:bookmarkStart w:id="205" w:name="止观"/>
      <w:bookmarkEnd w:id="205"/>
      <w:r>
        <w:rPr>
          <w:rFonts w:ascii="Times New Roman" w:hAnsi="Times New Roman" w:eastAsia="仿宋_GB2312"/>
          <w:b/>
          <w:color w:val="auto"/>
          <w:sz w:val="24"/>
          <w:szCs w:val="21"/>
          <w:highlight w:val="none"/>
        </w:rPr>
        <w:t>14.    磋商保证金</w:t>
      </w:r>
    </w:p>
    <w:p w14:paraId="7044C392">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sz w:val="24"/>
          <w:szCs w:val="21"/>
          <w:highlight w:val="none"/>
        </w:rPr>
        <w:t>14.1   本项目须在磋商前向采购代理机构提供</w:t>
      </w:r>
      <w:r>
        <w:rPr>
          <w:rFonts w:eastAsia="仿宋_GB2312"/>
          <w:b/>
          <w:color w:val="auto"/>
          <w:sz w:val="24"/>
          <w:szCs w:val="21"/>
          <w:highlight w:val="none"/>
        </w:rPr>
        <w:t>供应商须知前附表</w:t>
      </w:r>
      <w:r>
        <w:rPr>
          <w:rFonts w:eastAsia="仿宋_GB2312"/>
          <w:color w:val="auto"/>
          <w:sz w:val="24"/>
          <w:szCs w:val="21"/>
          <w:highlight w:val="none"/>
        </w:rPr>
        <w:t>规定金额的保证金，并作为其响应文件的一部分。</w:t>
      </w:r>
    </w:p>
    <w:p w14:paraId="37D82C40">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14.2   保证金的货币为人民币，并采用下列任何一种非现金形式向采购代理机构递交：</w:t>
      </w:r>
    </w:p>
    <w:p w14:paraId="23A6E3F2">
      <w:pPr>
        <w:numPr>
          <w:ilvl w:val="0"/>
          <w:numId w:val="7"/>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电汇；</w:t>
      </w:r>
    </w:p>
    <w:p w14:paraId="208BE332">
      <w:pPr>
        <w:numPr>
          <w:ilvl w:val="0"/>
          <w:numId w:val="7"/>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银行转账；</w:t>
      </w:r>
    </w:p>
    <w:p w14:paraId="3BC6F780">
      <w:pPr>
        <w:numPr>
          <w:ilvl w:val="0"/>
          <w:numId w:val="7"/>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支票、汇票、本票、金融机构或担保机构出具的保函等非现金形式。</w:t>
      </w:r>
    </w:p>
    <w:p w14:paraId="51A53D9E">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14.3   保证金以保函形式交纳的，供应商须按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54A2BA37">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14.4   凡没有根据本须知第14.1条的规定随附保证金的响应文件，将被视为非响应性予以拒绝。</w:t>
      </w:r>
    </w:p>
    <w:p w14:paraId="0CCC8C78">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14.5   未成交供应商的保证金, 采购代理机构将在成交通知书发出后5个工作日内退还。</w:t>
      </w:r>
    </w:p>
    <w:p w14:paraId="35EB7D66">
      <w:pPr>
        <w:tabs>
          <w:tab w:val="left" w:pos="588"/>
        </w:tabs>
        <w:spacing w:line="360" w:lineRule="auto"/>
        <w:rPr>
          <w:rFonts w:eastAsia="仿宋_GB2312"/>
          <w:color w:val="auto"/>
          <w:kern w:val="24"/>
          <w:sz w:val="24"/>
          <w:szCs w:val="21"/>
          <w:highlight w:val="none"/>
        </w:rPr>
      </w:pPr>
      <w:r>
        <w:rPr>
          <w:rFonts w:eastAsia="仿宋_GB2312"/>
          <w:color w:val="auto"/>
          <w:kern w:val="24"/>
          <w:sz w:val="24"/>
          <w:szCs w:val="21"/>
          <w:highlight w:val="none"/>
        </w:rPr>
        <w:t>14.6   成交供应商的保证金在按本须知第26条规定签订合同后5个工作日退还。</w:t>
      </w:r>
    </w:p>
    <w:p w14:paraId="52EA2014">
      <w:pPr>
        <w:tabs>
          <w:tab w:val="left" w:pos="588"/>
        </w:tabs>
        <w:spacing w:line="360" w:lineRule="auto"/>
        <w:ind w:left="840" w:hanging="840" w:hangingChars="350"/>
        <w:rPr>
          <w:rFonts w:eastAsia="仿宋_GB2312"/>
          <w:color w:val="auto"/>
          <w:kern w:val="24"/>
          <w:sz w:val="24"/>
          <w:szCs w:val="21"/>
          <w:highlight w:val="none"/>
        </w:rPr>
      </w:pPr>
      <w:r>
        <w:rPr>
          <w:rFonts w:eastAsia="仿宋_GB2312"/>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1D1BB397">
      <w:pPr>
        <w:numPr>
          <w:ilvl w:val="0"/>
          <w:numId w:val="8"/>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供应商在提交响应文件截止时间后撤销响应文件的；</w:t>
      </w:r>
    </w:p>
    <w:p w14:paraId="10684AF4">
      <w:pPr>
        <w:numPr>
          <w:ilvl w:val="0"/>
          <w:numId w:val="8"/>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供应商在响应文件中提供虚假材料的；</w:t>
      </w:r>
    </w:p>
    <w:p w14:paraId="38C28F47">
      <w:pPr>
        <w:numPr>
          <w:ilvl w:val="0"/>
          <w:numId w:val="8"/>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 xml:space="preserve">除因不可抗力外，成交供应商在规定期限内未能根据本须知第26条规定签订合同； </w:t>
      </w:r>
    </w:p>
    <w:p w14:paraId="2C01A78E">
      <w:pPr>
        <w:numPr>
          <w:ilvl w:val="0"/>
          <w:numId w:val="8"/>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供应商与采购人、其他供应商或者采购代理机构恶意串通的；</w:t>
      </w:r>
    </w:p>
    <w:p w14:paraId="12D51EB1">
      <w:pPr>
        <w:numPr>
          <w:ilvl w:val="0"/>
          <w:numId w:val="8"/>
        </w:numPr>
        <w:tabs>
          <w:tab w:val="left" w:pos="588"/>
        </w:tabs>
        <w:spacing w:line="360" w:lineRule="auto"/>
        <w:ind w:hanging="5"/>
        <w:rPr>
          <w:rFonts w:eastAsia="仿宋_GB2312"/>
          <w:color w:val="auto"/>
          <w:kern w:val="24"/>
          <w:sz w:val="24"/>
          <w:szCs w:val="21"/>
          <w:highlight w:val="none"/>
        </w:rPr>
      </w:pPr>
      <w:r>
        <w:rPr>
          <w:rFonts w:eastAsia="仿宋_GB2312"/>
          <w:color w:val="auto"/>
          <w:kern w:val="24"/>
          <w:sz w:val="24"/>
          <w:szCs w:val="21"/>
          <w:highlight w:val="none"/>
        </w:rPr>
        <w:t>成交供应商未按本须知第29条规定缴纳服务费。</w:t>
      </w:r>
    </w:p>
    <w:p w14:paraId="544D584C">
      <w:pPr>
        <w:pStyle w:val="5"/>
        <w:rPr>
          <w:rFonts w:ascii="Times New Roman" w:hAnsi="Times New Roman" w:eastAsia="仿宋_GB2312"/>
          <w:b/>
          <w:color w:val="auto"/>
          <w:sz w:val="24"/>
          <w:szCs w:val="21"/>
          <w:highlight w:val="none"/>
        </w:rPr>
      </w:pPr>
      <w:bookmarkStart w:id="206" w:name="_Toc249525177"/>
      <w:bookmarkStart w:id="207" w:name="_Toc249515408"/>
      <w:bookmarkStart w:id="208" w:name="_Toc249515296"/>
      <w:bookmarkStart w:id="209" w:name="_Toc7949"/>
      <w:r>
        <w:rPr>
          <w:rFonts w:ascii="Times New Roman" w:hAnsi="Times New Roman" w:eastAsia="仿宋_GB2312"/>
          <w:b/>
          <w:color w:val="auto"/>
          <w:sz w:val="24"/>
          <w:szCs w:val="21"/>
          <w:highlight w:val="none"/>
        </w:rPr>
        <w:t>15.    磋商有效期</w:t>
      </w:r>
      <w:bookmarkEnd w:id="206"/>
      <w:bookmarkEnd w:id="207"/>
      <w:bookmarkEnd w:id="208"/>
      <w:bookmarkEnd w:id="209"/>
    </w:p>
    <w:p w14:paraId="6216934F">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15.1   磋商有效期见</w:t>
      </w:r>
      <w:r>
        <w:rPr>
          <w:rFonts w:eastAsia="仿宋_GB2312"/>
          <w:b/>
          <w:color w:val="auto"/>
          <w:sz w:val="24"/>
          <w:highlight w:val="none"/>
        </w:rPr>
        <w:t>本须知前附表</w:t>
      </w:r>
      <w:r>
        <w:rPr>
          <w:rFonts w:eastAsia="仿宋_GB2312"/>
          <w:color w:val="auto"/>
          <w:sz w:val="24"/>
          <w:highlight w:val="none"/>
        </w:rPr>
        <w:t>。在磋商有效期内，所有响应文件均保持有效。响应文件的有效期比本须知规定的有效期短的，将被视为非实质响应，采购人有权拒绝。</w:t>
      </w:r>
    </w:p>
    <w:p w14:paraId="1B4EBD3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74FE0FEC">
      <w:pPr>
        <w:pStyle w:val="5"/>
        <w:rPr>
          <w:rFonts w:ascii="Times New Roman" w:hAnsi="Times New Roman" w:eastAsia="仿宋_GB2312"/>
          <w:b/>
          <w:color w:val="auto"/>
          <w:sz w:val="24"/>
          <w:szCs w:val="21"/>
          <w:highlight w:val="none"/>
        </w:rPr>
      </w:pPr>
      <w:bookmarkStart w:id="210" w:name="_Toc249525178"/>
      <w:bookmarkStart w:id="211" w:name="_Toc184043033"/>
      <w:bookmarkStart w:id="212" w:name="_Toc385992346"/>
      <w:bookmarkStart w:id="213" w:name="_Toc389620185"/>
      <w:bookmarkStart w:id="214" w:name="_Toc70687160"/>
      <w:bookmarkStart w:id="215" w:name="_Toc249515409"/>
      <w:bookmarkStart w:id="216" w:name="_Toc249515297"/>
      <w:bookmarkStart w:id="217" w:name="_Toc16612"/>
      <w:r>
        <w:rPr>
          <w:rFonts w:ascii="Times New Roman" w:hAnsi="Times New Roman" w:eastAsia="仿宋_GB2312"/>
          <w:b/>
          <w:color w:val="auto"/>
          <w:sz w:val="24"/>
          <w:szCs w:val="21"/>
          <w:highlight w:val="none"/>
        </w:rPr>
        <w:t>16.    响应文件的制作和签署</w:t>
      </w:r>
      <w:bookmarkEnd w:id="210"/>
      <w:bookmarkEnd w:id="211"/>
      <w:bookmarkEnd w:id="212"/>
      <w:bookmarkEnd w:id="213"/>
      <w:bookmarkEnd w:id="214"/>
      <w:bookmarkEnd w:id="215"/>
      <w:bookmarkEnd w:id="216"/>
      <w:bookmarkEnd w:id="217"/>
    </w:p>
    <w:p w14:paraId="5A0D3317">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16.1   供应商应准备“</w:t>
      </w:r>
      <w:r>
        <w:rPr>
          <w:rFonts w:eastAsia="仿宋_GB2312"/>
          <w:b/>
          <w:color w:val="auto"/>
          <w:sz w:val="24"/>
          <w:highlight w:val="none"/>
        </w:rPr>
        <w:t>供应商须知前附表</w:t>
      </w:r>
      <w:r>
        <w:rPr>
          <w:rFonts w:eastAsia="仿宋_GB2312"/>
          <w:color w:val="auto"/>
          <w:sz w:val="24"/>
          <w:highlight w:val="none"/>
        </w:rPr>
        <w:t>”中规定数目的</w:t>
      </w:r>
      <w:r>
        <w:rPr>
          <w:rFonts w:hint="eastAsia" w:eastAsia="仿宋_GB2312"/>
          <w:color w:val="auto"/>
          <w:sz w:val="24"/>
          <w:highlight w:val="none"/>
          <w:lang w:eastAsia="zh-CN"/>
        </w:rPr>
        <w:t>文件。</w:t>
      </w:r>
    </w:p>
    <w:p w14:paraId="6DCFE51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16.2   响应文件须用中文编写，并采用A4纸张装订成册。装订须牢固，不易拆散和换页，采用软胶装，不得采用活页方式装订，封面不建议硬装。</w:t>
      </w:r>
    </w:p>
    <w:p w14:paraId="690B213D">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16.3   响应文件的正本，一律用不褪色的墨水书写或打印，签字页加盖供应商单位公章，并由供应商的法定代表人或其授权的代理人签署。响应文件的副本可采用正本的复印件。</w:t>
      </w:r>
    </w:p>
    <w:p w14:paraId="2212D929">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16.4   任何行间插字、涂改或增删，必须由响应文件签字人将姓或首字母在旁边签字才有效。</w:t>
      </w:r>
    </w:p>
    <w:p w14:paraId="6051D6B3">
      <w:pPr>
        <w:tabs>
          <w:tab w:val="left" w:pos="588"/>
        </w:tabs>
        <w:spacing w:line="360" w:lineRule="auto"/>
        <w:rPr>
          <w:rFonts w:eastAsia="仿宋_GB2312"/>
          <w:color w:val="auto"/>
          <w:sz w:val="24"/>
          <w:highlight w:val="none"/>
        </w:rPr>
      </w:pPr>
      <w:r>
        <w:rPr>
          <w:rFonts w:eastAsia="仿宋_GB2312"/>
          <w:color w:val="auto"/>
          <w:sz w:val="24"/>
          <w:highlight w:val="none"/>
        </w:rPr>
        <w:t>16.5   采购人不接受以电报、电话、传真、电子邮件形式递交的响应文件。</w:t>
      </w:r>
    </w:p>
    <w:p w14:paraId="67B4CBB6">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0E219611">
      <w:pPr>
        <w:tabs>
          <w:tab w:val="left" w:pos="588"/>
        </w:tabs>
        <w:spacing w:line="360" w:lineRule="auto"/>
        <w:ind w:left="840" w:hanging="840" w:hangingChars="350"/>
        <w:rPr>
          <w:rFonts w:eastAsia="仿宋_GB2312"/>
          <w:color w:val="auto"/>
          <w:sz w:val="24"/>
          <w:highlight w:val="none"/>
        </w:rPr>
      </w:pPr>
      <w:bookmarkStart w:id="218" w:name="_Hlt491765640"/>
      <w:bookmarkEnd w:id="218"/>
      <w:bookmarkStart w:id="219" w:name="_Toc385992347"/>
      <w:bookmarkStart w:id="220" w:name="_Toc230013636"/>
      <w:bookmarkStart w:id="221" w:name="_Toc503063426"/>
      <w:bookmarkStart w:id="222" w:name="_Toc230099801"/>
      <w:bookmarkStart w:id="223" w:name="_Toc499711047"/>
      <w:bookmarkStart w:id="224" w:name="_Toc500746970"/>
      <w:bookmarkStart w:id="225" w:name="_Toc53722844"/>
      <w:bookmarkStart w:id="226" w:name="_Toc177995477"/>
      <w:bookmarkStart w:id="227" w:name="_Toc256342147"/>
      <w:bookmarkStart w:id="228" w:name="_Toc177817338"/>
      <w:bookmarkStart w:id="229" w:name="_Toc230583545"/>
      <w:bookmarkStart w:id="230" w:name="_Toc184043034"/>
      <w:bookmarkStart w:id="231" w:name="_Toc232395216"/>
      <w:bookmarkStart w:id="232" w:name="_Toc496324583"/>
      <w:bookmarkStart w:id="233" w:name="_Toc500747193"/>
      <w:bookmarkStart w:id="234" w:name="_Toc177189239"/>
      <w:bookmarkStart w:id="235" w:name="_Toc176882546"/>
      <w:bookmarkStart w:id="236" w:name="_Toc492955419"/>
      <w:bookmarkStart w:id="237" w:name="_Toc389620186"/>
      <w:bookmarkStart w:id="238" w:name="_Toc249515410"/>
      <w:bookmarkStart w:id="239" w:name="_Toc232176276"/>
      <w:bookmarkStart w:id="240" w:name="_Toc500747066"/>
      <w:bookmarkStart w:id="241" w:name="_Toc499711888"/>
      <w:bookmarkStart w:id="242" w:name="_Toc249515298"/>
      <w:bookmarkStart w:id="243" w:name="_Toc70687161"/>
      <w:bookmarkStart w:id="244" w:name="_Toc249525179"/>
      <w:r>
        <w:rPr>
          <w:rFonts w:eastAsia="仿宋_GB2312"/>
          <w:color w:val="auto"/>
          <w:sz w:val="24"/>
          <w:highlight w:val="none"/>
        </w:rPr>
        <w:t xml:space="preserve">16.7   </w:t>
      </w:r>
      <w:r>
        <w:rPr>
          <w:rFonts w:hint="eastAsia" w:eastAsia="仿宋_GB2312"/>
          <w:color w:val="auto"/>
          <w:sz w:val="24"/>
          <w:highlight w:val="none"/>
        </w:rPr>
        <w:t>上述文件应按照</w:t>
      </w:r>
      <w:r>
        <w:rPr>
          <w:rFonts w:hint="eastAsia" w:eastAsia="仿宋_GB2312"/>
          <w:color w:val="auto"/>
          <w:sz w:val="24"/>
          <w:highlight w:val="none"/>
          <w:lang w:val="en-US" w:eastAsia="zh-CN"/>
        </w:rPr>
        <w:t>磋商</w:t>
      </w:r>
      <w:r>
        <w:rPr>
          <w:rFonts w:hint="eastAsia" w:eastAsia="仿宋_GB2312"/>
          <w:color w:val="auto"/>
          <w:sz w:val="24"/>
          <w:highlight w:val="none"/>
        </w:rPr>
        <w:t>文件的规定签署和盖公章。电子</w:t>
      </w:r>
      <w:r>
        <w:rPr>
          <w:rFonts w:hint="eastAsia" w:eastAsia="仿宋_GB2312"/>
          <w:color w:val="auto"/>
          <w:sz w:val="24"/>
          <w:highlight w:val="none"/>
          <w:lang w:val="en-US" w:eastAsia="zh-CN"/>
        </w:rPr>
        <w:t>响应</w:t>
      </w:r>
      <w:r>
        <w:rPr>
          <w:rFonts w:hint="eastAsia" w:eastAsia="仿宋_GB2312"/>
          <w:color w:val="auto"/>
          <w:sz w:val="24"/>
          <w:highlight w:val="none"/>
        </w:rPr>
        <w:t>文件制作过程中，需要法定代表人签字或盖章的地方，请使用“法人CA锁”进行签章；需要加盖</w:t>
      </w:r>
      <w:r>
        <w:rPr>
          <w:rFonts w:hint="eastAsia" w:eastAsia="仿宋_GB2312"/>
          <w:color w:val="auto"/>
          <w:sz w:val="24"/>
          <w:highlight w:val="none"/>
          <w:lang w:eastAsia="zh-CN"/>
        </w:rPr>
        <w:t>供应商</w:t>
      </w:r>
      <w:r>
        <w:rPr>
          <w:rFonts w:hint="eastAsia" w:eastAsia="仿宋_GB2312"/>
          <w:color w:val="auto"/>
          <w:sz w:val="24"/>
          <w:highlight w:val="none"/>
        </w:rPr>
        <w:t>公章的地方，请使用“企业CA锁”进行签章。</w:t>
      </w:r>
      <w:r>
        <w:rPr>
          <w:rFonts w:eastAsia="仿宋_GB2312"/>
          <w:color w:val="auto"/>
          <w:sz w:val="24"/>
          <w:highlight w:val="none"/>
        </w:rPr>
        <w:t>。</w:t>
      </w:r>
    </w:p>
    <w:p w14:paraId="55AAE422">
      <w:pPr>
        <w:pStyle w:val="2"/>
        <w:rPr>
          <w:color w:val="auto"/>
          <w:highlight w:val="none"/>
        </w:rPr>
      </w:pPr>
    </w:p>
    <w:p w14:paraId="62E4051F">
      <w:pPr>
        <w:pStyle w:val="81"/>
        <w:spacing w:before="24" w:after="24"/>
        <w:jc w:val="center"/>
        <w:rPr>
          <w:rFonts w:eastAsia="仿宋_GB2312"/>
          <w:color w:val="auto"/>
          <w:sz w:val="30"/>
          <w:szCs w:val="30"/>
          <w:highlight w:val="none"/>
        </w:rPr>
      </w:pPr>
      <w:bookmarkStart w:id="245" w:name="_Toc30883"/>
      <w:r>
        <w:rPr>
          <w:rFonts w:eastAsia="仿宋_GB2312"/>
          <w:color w:val="auto"/>
          <w:sz w:val="30"/>
          <w:szCs w:val="30"/>
          <w:highlight w:val="none"/>
        </w:rPr>
        <w:t>四、响应文件的</w:t>
      </w:r>
      <w:r>
        <w:rPr>
          <w:rFonts w:hint="eastAsia" w:eastAsia="仿宋_GB2312"/>
          <w:color w:val="auto"/>
          <w:sz w:val="30"/>
          <w:szCs w:val="30"/>
          <w:highlight w:val="none"/>
          <w:lang w:val="en-US" w:eastAsia="zh-CN"/>
        </w:rPr>
        <w:t>加密</w:t>
      </w:r>
      <w:r>
        <w:rPr>
          <w:rFonts w:eastAsia="仿宋_GB2312"/>
          <w:color w:val="auto"/>
          <w:sz w:val="30"/>
          <w:szCs w:val="30"/>
          <w:highlight w:val="none"/>
        </w:rPr>
        <w:t>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129A4719">
      <w:pPr>
        <w:rPr>
          <w:rFonts w:eastAsia="仿宋_GB2312"/>
          <w:color w:val="auto"/>
          <w:highlight w:val="none"/>
        </w:rPr>
      </w:pPr>
    </w:p>
    <w:p w14:paraId="49696874">
      <w:pPr>
        <w:pStyle w:val="5"/>
        <w:rPr>
          <w:rFonts w:ascii="Times New Roman" w:hAnsi="Times New Roman" w:eastAsia="仿宋_GB2312"/>
          <w:b/>
          <w:color w:val="auto"/>
          <w:sz w:val="24"/>
          <w:szCs w:val="21"/>
          <w:highlight w:val="none"/>
        </w:rPr>
      </w:pPr>
      <w:bookmarkStart w:id="246" w:name="_Toc249525180"/>
      <w:bookmarkStart w:id="247" w:name="_Toc389620187"/>
      <w:bookmarkStart w:id="248" w:name="_Toc385992348"/>
      <w:bookmarkStart w:id="249" w:name="_Toc70687162"/>
      <w:bookmarkStart w:id="250" w:name="_Toc249515299"/>
      <w:bookmarkStart w:id="251" w:name="_Toc249515411"/>
      <w:bookmarkStart w:id="252" w:name="_Toc4042"/>
      <w:bookmarkStart w:id="253" w:name="_Toc184043035"/>
      <w:r>
        <w:rPr>
          <w:rFonts w:ascii="Times New Roman" w:hAnsi="Times New Roman" w:eastAsia="仿宋_GB2312"/>
          <w:b/>
          <w:color w:val="auto"/>
          <w:sz w:val="24"/>
          <w:szCs w:val="21"/>
          <w:highlight w:val="none"/>
        </w:rPr>
        <w:t>17.    响应文件的密封和标记</w:t>
      </w:r>
      <w:bookmarkEnd w:id="246"/>
      <w:bookmarkEnd w:id="247"/>
      <w:bookmarkEnd w:id="248"/>
      <w:bookmarkEnd w:id="249"/>
      <w:bookmarkEnd w:id="250"/>
      <w:bookmarkEnd w:id="251"/>
      <w:bookmarkEnd w:id="252"/>
      <w:bookmarkEnd w:id="253"/>
    </w:p>
    <w:p w14:paraId="3265EF84">
      <w:pPr>
        <w:tabs>
          <w:tab w:val="left" w:pos="588"/>
        </w:tabs>
        <w:spacing w:line="360" w:lineRule="auto"/>
        <w:ind w:left="840" w:hanging="840" w:hangingChars="350"/>
        <w:rPr>
          <w:rFonts w:hint="eastAsia" w:eastAsia="仿宋_GB2312"/>
          <w:color w:val="auto"/>
          <w:kern w:val="0"/>
          <w:sz w:val="24"/>
          <w:szCs w:val="21"/>
          <w:highlight w:val="none"/>
        </w:rPr>
      </w:pPr>
      <w:bookmarkStart w:id="254" w:name="_Toc385992349"/>
      <w:bookmarkStart w:id="255" w:name="_Toc389620188"/>
      <w:bookmarkStart w:id="256" w:name="_Toc70687163"/>
      <w:bookmarkStart w:id="257" w:name="_Toc184043036"/>
      <w:r>
        <w:rPr>
          <w:rFonts w:eastAsia="仿宋_GB2312"/>
          <w:color w:val="auto"/>
          <w:kern w:val="0"/>
          <w:sz w:val="24"/>
          <w:szCs w:val="21"/>
          <w:highlight w:val="none"/>
        </w:rPr>
        <w:t xml:space="preserve">17.1   </w:t>
      </w:r>
      <w:r>
        <w:rPr>
          <w:rFonts w:hint="eastAsia" w:eastAsia="仿宋_GB2312"/>
          <w:color w:val="auto"/>
          <w:kern w:val="0"/>
          <w:sz w:val="24"/>
          <w:szCs w:val="21"/>
          <w:highlight w:val="none"/>
        </w:rPr>
        <w:t>电子</w:t>
      </w:r>
      <w:r>
        <w:rPr>
          <w:rFonts w:hint="eastAsia" w:eastAsia="仿宋_GB2312"/>
          <w:color w:val="auto"/>
          <w:kern w:val="0"/>
          <w:sz w:val="24"/>
          <w:szCs w:val="21"/>
          <w:highlight w:val="none"/>
          <w:lang w:val="en-US" w:eastAsia="zh-CN"/>
        </w:rPr>
        <w:t>响应</w:t>
      </w:r>
      <w:r>
        <w:rPr>
          <w:rFonts w:hint="eastAsia" w:eastAsia="仿宋_GB2312"/>
          <w:color w:val="auto"/>
          <w:kern w:val="0"/>
          <w:sz w:val="24"/>
          <w:szCs w:val="21"/>
          <w:highlight w:val="none"/>
        </w:rPr>
        <w:t>文件可于提交</w:t>
      </w:r>
      <w:r>
        <w:rPr>
          <w:rFonts w:hint="eastAsia" w:eastAsia="仿宋_GB2312"/>
          <w:color w:val="auto"/>
          <w:kern w:val="0"/>
          <w:sz w:val="24"/>
          <w:szCs w:val="21"/>
          <w:highlight w:val="none"/>
          <w:lang w:val="en-US" w:eastAsia="zh-CN"/>
        </w:rPr>
        <w:t>响应</w:t>
      </w:r>
      <w:r>
        <w:rPr>
          <w:rFonts w:hint="eastAsia" w:eastAsia="仿宋_GB2312"/>
          <w:color w:val="auto"/>
          <w:kern w:val="0"/>
          <w:sz w:val="24"/>
          <w:szCs w:val="21"/>
          <w:highlight w:val="none"/>
        </w:rPr>
        <w:t>文件截止时间前任意时段，登录</w:t>
      </w:r>
      <w:r>
        <w:rPr>
          <w:rFonts w:hint="eastAsia" w:eastAsia="仿宋_GB2312"/>
          <w:color w:val="auto"/>
          <w:kern w:val="0"/>
          <w:sz w:val="24"/>
          <w:szCs w:val="21"/>
          <w:highlight w:val="none"/>
          <w:lang w:val="en-US" w:eastAsia="zh-CN"/>
        </w:rPr>
        <w:t>西咸新区</w:t>
      </w:r>
      <w:r>
        <w:rPr>
          <w:rFonts w:hint="eastAsia" w:eastAsia="仿宋_GB2312"/>
          <w:color w:val="auto"/>
          <w:kern w:val="0"/>
          <w:sz w:val="24"/>
          <w:szCs w:val="21"/>
          <w:highlight w:val="none"/>
        </w:rPr>
        <w:t>公共资源交易平台〖首页·〉电子交易平台·〉企业端〗，登录后切换到〖我的项目〗模块下，依次点选〖项目流程·〉项目管理·〉上传投标文件〗，上传加密后的电子</w:t>
      </w:r>
      <w:r>
        <w:rPr>
          <w:rFonts w:hint="eastAsia" w:eastAsia="仿宋_GB2312"/>
          <w:color w:val="auto"/>
          <w:kern w:val="0"/>
          <w:sz w:val="24"/>
          <w:szCs w:val="21"/>
          <w:highlight w:val="none"/>
          <w:lang w:val="en-US" w:eastAsia="zh-CN"/>
        </w:rPr>
        <w:t>响应</w:t>
      </w:r>
      <w:r>
        <w:rPr>
          <w:rFonts w:hint="eastAsia" w:eastAsia="仿宋_GB2312"/>
          <w:color w:val="auto"/>
          <w:kern w:val="0"/>
          <w:sz w:val="24"/>
          <w:szCs w:val="21"/>
          <w:highlight w:val="none"/>
        </w:rPr>
        <w:t>文件（*.SXSTF）。上传成功后，</w:t>
      </w:r>
      <w:r>
        <w:rPr>
          <w:rFonts w:hint="eastAsia" w:eastAsia="仿宋_GB2312"/>
          <w:color w:val="auto"/>
          <w:kern w:val="0"/>
          <w:sz w:val="24"/>
          <w:szCs w:val="21"/>
          <w:highlight w:val="none"/>
          <w:lang w:eastAsia="zh-CN"/>
        </w:rPr>
        <w:t>西咸新区</w:t>
      </w:r>
      <w:r>
        <w:rPr>
          <w:rFonts w:hint="eastAsia" w:eastAsia="仿宋_GB2312"/>
          <w:color w:val="auto"/>
          <w:kern w:val="0"/>
          <w:sz w:val="24"/>
          <w:szCs w:val="21"/>
          <w:highlight w:val="none"/>
        </w:rPr>
        <w:t>公共资源交易平台政府采购系统将予以记录。</w:t>
      </w:r>
    </w:p>
    <w:p w14:paraId="0EE2E01C">
      <w:pPr>
        <w:tabs>
          <w:tab w:val="left" w:pos="588"/>
        </w:tabs>
        <w:autoSpaceDE w:val="0"/>
        <w:autoSpaceDN w:val="0"/>
        <w:adjustRightInd w:val="0"/>
        <w:spacing w:line="360" w:lineRule="auto"/>
        <w:ind w:left="840" w:hanging="840" w:hangingChars="350"/>
        <w:rPr>
          <w:rFonts w:eastAsia="仿宋_GB2312"/>
          <w:color w:val="auto"/>
          <w:sz w:val="24"/>
          <w:szCs w:val="21"/>
          <w:highlight w:val="none"/>
        </w:rPr>
      </w:pPr>
      <w:r>
        <w:rPr>
          <w:rFonts w:eastAsia="仿宋_GB2312"/>
          <w:color w:val="auto"/>
          <w:kern w:val="0"/>
          <w:sz w:val="24"/>
          <w:szCs w:val="21"/>
          <w:highlight w:val="none"/>
        </w:rPr>
        <w:t xml:space="preserve">17.2   </w:t>
      </w:r>
      <w:r>
        <w:rPr>
          <w:rFonts w:hint="eastAsia" w:eastAsia="仿宋_GB2312"/>
          <w:color w:val="auto"/>
          <w:kern w:val="0"/>
          <w:sz w:val="24"/>
          <w:szCs w:val="21"/>
          <w:highlight w:val="none"/>
          <w:lang w:val="en-US" w:eastAsia="zh-CN"/>
        </w:rPr>
        <w:t>文件加密要求按照全国公共资源交易平台（陕西省·西咸新区）平台有关要求进行</w:t>
      </w:r>
      <w:r>
        <w:rPr>
          <w:rFonts w:eastAsia="仿宋_GB2312"/>
          <w:color w:val="auto"/>
          <w:sz w:val="24"/>
          <w:szCs w:val="21"/>
          <w:highlight w:val="none"/>
        </w:rPr>
        <w:t>。</w:t>
      </w:r>
    </w:p>
    <w:p w14:paraId="2450FC0B">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color w:val="auto"/>
          <w:sz w:val="24"/>
          <w:highlight w:val="none"/>
        </w:rPr>
        <w:t>供应商须知前附表</w:t>
      </w:r>
      <w:r>
        <w:rPr>
          <w:rFonts w:ascii="Times New Roman" w:hAnsi="Times New Roman" w:eastAsia="仿宋_GB2312"/>
          <w:color w:val="auto"/>
          <w:sz w:val="24"/>
          <w:highlight w:val="none"/>
        </w:rPr>
        <w:t>。</w:t>
      </w:r>
    </w:p>
    <w:bookmarkEnd w:id="254"/>
    <w:bookmarkEnd w:id="255"/>
    <w:p w14:paraId="54817662">
      <w:pPr>
        <w:pStyle w:val="5"/>
        <w:rPr>
          <w:rFonts w:ascii="Times New Roman" w:hAnsi="Times New Roman" w:eastAsia="仿宋_GB2312"/>
          <w:b/>
          <w:color w:val="auto"/>
          <w:sz w:val="24"/>
          <w:szCs w:val="21"/>
          <w:highlight w:val="none"/>
        </w:rPr>
      </w:pPr>
      <w:bookmarkStart w:id="258" w:name="_Toc249525181"/>
      <w:bookmarkStart w:id="259" w:name="_Toc249515412"/>
      <w:bookmarkStart w:id="260" w:name="_Toc31171"/>
      <w:bookmarkStart w:id="261" w:name="_Toc249515300"/>
      <w:r>
        <w:rPr>
          <w:rFonts w:ascii="Times New Roman" w:hAnsi="Times New Roman" w:eastAsia="仿宋_GB2312"/>
          <w:b/>
          <w:color w:val="auto"/>
          <w:sz w:val="24"/>
          <w:szCs w:val="21"/>
          <w:highlight w:val="none"/>
        </w:rPr>
        <w:t>18.    响应文件递交截止时间</w:t>
      </w:r>
      <w:bookmarkEnd w:id="256"/>
      <w:bookmarkEnd w:id="257"/>
      <w:bookmarkEnd w:id="258"/>
      <w:bookmarkEnd w:id="259"/>
      <w:bookmarkEnd w:id="260"/>
      <w:bookmarkEnd w:id="261"/>
    </w:p>
    <w:p w14:paraId="1E695C92">
      <w:pPr>
        <w:tabs>
          <w:tab w:val="left" w:pos="588"/>
        </w:tabs>
        <w:spacing w:line="360" w:lineRule="auto"/>
        <w:rPr>
          <w:rFonts w:eastAsia="仿宋_GB2312"/>
          <w:color w:val="auto"/>
          <w:sz w:val="24"/>
          <w:highlight w:val="none"/>
        </w:rPr>
      </w:pPr>
      <w:bookmarkStart w:id="262" w:name="_Toc184043037"/>
      <w:bookmarkStart w:id="263" w:name="_Toc389620189"/>
      <w:bookmarkStart w:id="264" w:name="_Toc70687164"/>
      <w:bookmarkStart w:id="265" w:name="_Toc385992350"/>
      <w:r>
        <w:rPr>
          <w:rFonts w:eastAsia="仿宋_GB2312"/>
          <w:color w:val="auto"/>
          <w:sz w:val="24"/>
          <w:highlight w:val="none"/>
        </w:rPr>
        <w:t>18.1   响应文件递交截止时间和地点见</w:t>
      </w:r>
      <w:r>
        <w:rPr>
          <w:rFonts w:eastAsia="仿宋_GB2312"/>
          <w:b/>
          <w:color w:val="auto"/>
          <w:sz w:val="24"/>
          <w:highlight w:val="none"/>
        </w:rPr>
        <w:t>供应商须知前附表</w:t>
      </w:r>
      <w:r>
        <w:rPr>
          <w:rFonts w:eastAsia="仿宋_GB2312"/>
          <w:color w:val="auto"/>
          <w:sz w:val="24"/>
          <w:highlight w:val="none"/>
        </w:rPr>
        <w:t>。</w:t>
      </w:r>
    </w:p>
    <w:p w14:paraId="46D0A505">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 xml:space="preserve">18.2   </w:t>
      </w:r>
      <w:r>
        <w:rPr>
          <w:rFonts w:hint="eastAsia" w:eastAsia="仿宋_GB2312"/>
          <w:color w:val="auto"/>
          <w:sz w:val="24"/>
          <w:highlight w:val="none"/>
          <w:lang w:eastAsia="zh-CN"/>
        </w:rPr>
        <w:t>供应商</w:t>
      </w:r>
      <w:r>
        <w:rPr>
          <w:rFonts w:hint="eastAsia" w:eastAsia="仿宋_GB2312"/>
          <w:color w:val="auto"/>
          <w:sz w:val="24"/>
          <w:highlight w:val="none"/>
        </w:rPr>
        <w:t>在提交</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文件截止时间前，可以对所提交的</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文件进行补充、修改或者撤回，并书面通知采购人、采购代理机构。补充、修改的内容作为</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文件的组成部分。补充、修改的内容与</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文件不一致的，以补充、修改的内容为准。对已提交的电子</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文件进行补充、修改的，应先从电子交易平台上撤回旧文件，再重新提交新文件；提交的纸质文件（备案用）应从专用制作软件中直接打印，与电子</w:t>
      </w:r>
      <w:r>
        <w:rPr>
          <w:rFonts w:hint="eastAsia" w:eastAsia="仿宋_GB2312"/>
          <w:color w:val="auto"/>
          <w:kern w:val="0"/>
          <w:sz w:val="24"/>
          <w:szCs w:val="21"/>
          <w:highlight w:val="none"/>
          <w:lang w:val="en-US" w:eastAsia="zh-CN"/>
        </w:rPr>
        <w:t>响应</w:t>
      </w:r>
      <w:r>
        <w:rPr>
          <w:rFonts w:hint="eastAsia" w:eastAsia="仿宋_GB2312"/>
          <w:color w:val="auto"/>
          <w:sz w:val="24"/>
          <w:highlight w:val="none"/>
        </w:rPr>
        <w:t>文件保持一致，不允许补充和修改。</w:t>
      </w:r>
      <w:r>
        <w:rPr>
          <w:rFonts w:eastAsia="仿宋_GB2312"/>
          <w:color w:val="auto"/>
          <w:sz w:val="24"/>
          <w:highlight w:val="none"/>
        </w:rPr>
        <w:t>。</w:t>
      </w:r>
    </w:p>
    <w:p w14:paraId="1559EED0">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4B6AAE08">
      <w:pPr>
        <w:pStyle w:val="5"/>
        <w:rPr>
          <w:rFonts w:ascii="Times New Roman" w:hAnsi="Times New Roman" w:eastAsia="仿宋_GB2312"/>
          <w:b/>
          <w:color w:val="auto"/>
          <w:sz w:val="24"/>
          <w:szCs w:val="21"/>
          <w:highlight w:val="none"/>
        </w:rPr>
      </w:pPr>
      <w:bookmarkStart w:id="266" w:name="_Toc249515413"/>
      <w:bookmarkStart w:id="267" w:name="_Toc7175"/>
      <w:bookmarkStart w:id="268" w:name="_Toc249525182"/>
      <w:bookmarkStart w:id="269" w:name="_Toc249515301"/>
      <w:r>
        <w:rPr>
          <w:rFonts w:ascii="Times New Roman" w:hAnsi="Times New Roman" w:eastAsia="仿宋_GB2312"/>
          <w:b/>
          <w:color w:val="auto"/>
          <w:sz w:val="24"/>
          <w:szCs w:val="21"/>
          <w:highlight w:val="none"/>
        </w:rPr>
        <w:t>19.    迟交的响应文件</w:t>
      </w:r>
      <w:bookmarkEnd w:id="262"/>
      <w:bookmarkEnd w:id="263"/>
      <w:bookmarkEnd w:id="264"/>
      <w:bookmarkEnd w:id="265"/>
      <w:bookmarkEnd w:id="266"/>
      <w:bookmarkEnd w:id="267"/>
      <w:bookmarkEnd w:id="268"/>
      <w:bookmarkEnd w:id="269"/>
    </w:p>
    <w:p w14:paraId="2C54A2E1">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19.1   采购人将拒绝接收第18条规定的响应文件递交截止时间后递交的任何响应文件。</w:t>
      </w:r>
    </w:p>
    <w:p w14:paraId="6B2D9E24">
      <w:pPr>
        <w:pStyle w:val="5"/>
        <w:rPr>
          <w:rFonts w:ascii="Times New Roman" w:hAnsi="Times New Roman" w:eastAsia="仿宋_GB2312"/>
          <w:b/>
          <w:color w:val="auto"/>
          <w:sz w:val="24"/>
          <w:szCs w:val="21"/>
          <w:highlight w:val="none"/>
        </w:rPr>
      </w:pPr>
      <w:bookmarkStart w:id="270" w:name="_Toc249515302"/>
      <w:bookmarkStart w:id="271" w:name="_Toc249515414"/>
      <w:bookmarkStart w:id="272" w:name="_Toc249525183"/>
      <w:bookmarkStart w:id="273" w:name="_Toc385992351"/>
      <w:bookmarkStart w:id="274" w:name="_Toc70687165"/>
      <w:bookmarkStart w:id="275" w:name="_Toc389620190"/>
      <w:bookmarkStart w:id="276" w:name="_Toc184043038"/>
      <w:bookmarkStart w:id="277" w:name="_Toc10272"/>
      <w:r>
        <w:rPr>
          <w:rFonts w:ascii="Times New Roman" w:hAnsi="Times New Roman" w:eastAsia="仿宋_GB2312"/>
          <w:b/>
          <w:color w:val="auto"/>
          <w:sz w:val="24"/>
          <w:szCs w:val="21"/>
          <w:highlight w:val="none"/>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color w:val="auto"/>
          <w:sz w:val="24"/>
          <w:szCs w:val="21"/>
          <w:highlight w:val="none"/>
        </w:rPr>
        <w:t>回</w:t>
      </w:r>
    </w:p>
    <w:p w14:paraId="052ED1D3">
      <w:pPr>
        <w:pStyle w:val="5"/>
        <w:keepNext w:val="0"/>
        <w:keepLines w:val="0"/>
        <w:pageBreakBefore w:val="0"/>
        <w:widowControl w:val="0"/>
        <w:kinsoku/>
        <w:wordWrap/>
        <w:overflowPunct/>
        <w:topLinePunct w:val="0"/>
        <w:autoSpaceDE/>
        <w:autoSpaceDN/>
        <w:bidi w:val="0"/>
        <w:adjustRightInd/>
        <w:snapToGrid/>
        <w:textAlignment w:val="auto"/>
        <w:rPr>
          <w:rFonts w:eastAsia="仿宋_GB2312"/>
          <w:color w:val="auto"/>
          <w:sz w:val="24"/>
          <w:highlight w:val="none"/>
        </w:rPr>
      </w:pPr>
      <w:r>
        <w:rPr>
          <w:rFonts w:eastAsia="仿宋_GB2312"/>
          <w:color w:val="auto"/>
          <w:sz w:val="24"/>
          <w:highlight w:val="none"/>
        </w:rPr>
        <w:t>供应商在提交响应文件后可对其响应文件进行修改或撤回，</w:t>
      </w:r>
      <w:r>
        <w:rPr>
          <w:rFonts w:hint="eastAsia" w:eastAsia="仿宋_GB2312"/>
          <w:color w:val="auto"/>
          <w:sz w:val="24"/>
          <w:highlight w:val="none"/>
          <w:lang w:val="en-US" w:eastAsia="zh-CN"/>
        </w:rPr>
        <w:t>相关程序按公共资源交易中心有关规定执行</w:t>
      </w:r>
      <w:r>
        <w:rPr>
          <w:rFonts w:eastAsia="仿宋_GB2312"/>
          <w:color w:val="auto"/>
          <w:sz w:val="24"/>
          <w:highlight w:val="none"/>
        </w:rPr>
        <w:t>。</w:t>
      </w:r>
    </w:p>
    <w:p w14:paraId="4466F772">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20.1   供应商对响应文件修改的书面材料或撤回的通知应按第16和17条规定进行编写、密封、标注和递送，并注明“修改响应文件”或“撤回响应文件”字样。</w:t>
      </w:r>
    </w:p>
    <w:p w14:paraId="4C148CBE">
      <w:pPr>
        <w:tabs>
          <w:tab w:val="left" w:pos="588"/>
        </w:tabs>
        <w:spacing w:line="360" w:lineRule="auto"/>
        <w:rPr>
          <w:rFonts w:eastAsia="仿宋_GB2312"/>
          <w:color w:val="auto"/>
          <w:sz w:val="24"/>
          <w:highlight w:val="none"/>
        </w:rPr>
      </w:pPr>
      <w:r>
        <w:rPr>
          <w:rFonts w:eastAsia="仿宋_GB2312"/>
          <w:color w:val="auto"/>
          <w:sz w:val="24"/>
          <w:highlight w:val="none"/>
        </w:rPr>
        <w:t>20.2   在响应文件递交截止时间之后，供应商不得对其响应文件做任何修改。</w:t>
      </w:r>
    </w:p>
    <w:p w14:paraId="6C0F1544">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20.3   供应商不得在响应文件递交截止时间起至响应文件有效期期满前撤销其响应文件。</w:t>
      </w:r>
    </w:p>
    <w:p w14:paraId="0977D83E">
      <w:pPr>
        <w:pStyle w:val="2"/>
        <w:rPr>
          <w:color w:val="auto"/>
          <w:highlight w:val="none"/>
        </w:rPr>
      </w:pPr>
    </w:p>
    <w:p w14:paraId="2EDA4340">
      <w:pPr>
        <w:pStyle w:val="81"/>
        <w:spacing w:before="24" w:after="24"/>
        <w:ind w:left="3313"/>
        <w:rPr>
          <w:rFonts w:eastAsia="仿宋_GB2312"/>
          <w:color w:val="auto"/>
          <w:sz w:val="30"/>
          <w:szCs w:val="30"/>
          <w:highlight w:val="none"/>
        </w:rPr>
      </w:pPr>
      <w:bookmarkStart w:id="278" w:name="_Hlt491765712"/>
      <w:bookmarkEnd w:id="278"/>
      <w:bookmarkStart w:id="279" w:name="_Hlt497729441"/>
      <w:bookmarkEnd w:id="279"/>
      <w:bookmarkStart w:id="280" w:name="_Toc249515415"/>
      <w:bookmarkStart w:id="281" w:name="_Toc256342148"/>
      <w:bookmarkStart w:id="282" w:name="_Toc249525184"/>
      <w:bookmarkStart w:id="283" w:name="_Toc249515303"/>
      <w:bookmarkStart w:id="284" w:name="_Toc21748"/>
      <w:bookmarkStart w:id="285" w:name="_Toc53722845"/>
      <w:bookmarkStart w:id="286" w:name="_Toc500746971"/>
      <w:bookmarkStart w:id="287" w:name="_Toc496324584"/>
      <w:bookmarkStart w:id="288" w:name="_Toc70687166"/>
      <w:bookmarkStart w:id="289" w:name="_Toc389620191"/>
      <w:bookmarkStart w:id="290" w:name="_Toc503063427"/>
      <w:bookmarkStart w:id="291" w:name="_Toc499711048"/>
      <w:bookmarkStart w:id="292" w:name="_Toc184043039"/>
      <w:bookmarkStart w:id="293" w:name="_Toc176882547"/>
      <w:bookmarkStart w:id="294" w:name="_Toc177995478"/>
      <w:bookmarkStart w:id="295" w:name="_Toc177817339"/>
      <w:bookmarkStart w:id="296" w:name="_Toc385992352"/>
      <w:bookmarkStart w:id="297" w:name="_Toc499711889"/>
      <w:bookmarkStart w:id="298" w:name="_Toc500747067"/>
      <w:bookmarkStart w:id="299" w:name="_Toc500747194"/>
      <w:bookmarkStart w:id="300" w:name="_Toc492955420"/>
      <w:bookmarkStart w:id="301" w:name="_Toc177189240"/>
      <w:r>
        <w:rPr>
          <w:rFonts w:eastAsia="仿宋_GB2312"/>
          <w:color w:val="auto"/>
          <w:sz w:val="30"/>
          <w:szCs w:val="30"/>
          <w:highlight w:val="none"/>
        </w:rPr>
        <w:t>五、评审与</w:t>
      </w:r>
      <w:bookmarkEnd w:id="280"/>
      <w:bookmarkEnd w:id="281"/>
      <w:bookmarkEnd w:id="282"/>
      <w:bookmarkEnd w:id="283"/>
      <w:r>
        <w:rPr>
          <w:rFonts w:eastAsia="仿宋_GB2312"/>
          <w:color w:val="auto"/>
          <w:sz w:val="30"/>
          <w:szCs w:val="30"/>
          <w:highlight w:val="none"/>
        </w:rPr>
        <w:t>磋商</w:t>
      </w:r>
      <w:bookmarkEnd w:id="284"/>
    </w:p>
    <w:p w14:paraId="57E14219">
      <w:pPr>
        <w:pStyle w:val="5"/>
        <w:numPr>
          <w:ilvl w:val="0"/>
          <w:numId w:val="9"/>
        </w:numPr>
        <w:rPr>
          <w:rFonts w:ascii="Times New Roman" w:hAnsi="Times New Roman" w:eastAsia="仿宋_GB2312"/>
          <w:b/>
          <w:color w:val="auto"/>
          <w:sz w:val="24"/>
          <w:highlight w:val="none"/>
        </w:rPr>
      </w:pPr>
      <w:bookmarkStart w:id="302" w:name="_Toc16042"/>
      <w:bookmarkStart w:id="303" w:name="_Toc249515417"/>
      <w:bookmarkStart w:id="304" w:name="_Toc249515305"/>
      <w:bookmarkStart w:id="305" w:name="_Toc249525186"/>
      <w:r>
        <w:rPr>
          <w:rFonts w:ascii="Times New Roman" w:hAnsi="Times New Roman" w:eastAsia="仿宋_GB2312"/>
          <w:b/>
          <w:color w:val="auto"/>
          <w:sz w:val="24"/>
          <w:highlight w:val="none"/>
        </w:rPr>
        <w:t xml:space="preserve">   磋商小组</w:t>
      </w:r>
      <w:bookmarkEnd w:id="302"/>
      <w:bookmarkEnd w:id="303"/>
      <w:bookmarkEnd w:id="304"/>
      <w:bookmarkEnd w:id="305"/>
    </w:p>
    <w:p w14:paraId="2AFA7811">
      <w:pPr>
        <w:pStyle w:val="28"/>
        <w:adjustRightInd w:val="0"/>
        <w:snapToGrid w:val="0"/>
        <w:ind w:left="840" w:hanging="840" w:hangingChars="350"/>
        <w:rPr>
          <w:rFonts w:ascii="Times New Roman" w:hAnsi="Times New Roman" w:eastAsia="仿宋_GB2312"/>
          <w:b/>
          <w:color w:val="auto"/>
          <w:sz w:val="24"/>
          <w:highlight w:val="none"/>
        </w:rPr>
      </w:pPr>
      <w:r>
        <w:rPr>
          <w:rFonts w:ascii="Times New Roman" w:hAnsi="Times New Roman" w:eastAsia="仿宋_GB2312"/>
          <w:color w:val="auto"/>
          <w:sz w:val="24"/>
          <w:szCs w:val="24"/>
          <w:highlight w:val="none"/>
        </w:rPr>
        <w:t>21.1   在磋商开始前组建磋商小组，磋商小组由采购人代表和有关专家组成。专家从政府采购评审专家库相关专业中随机抽取。磋商小组组成见</w:t>
      </w:r>
      <w:r>
        <w:rPr>
          <w:rFonts w:ascii="Times New Roman" w:hAnsi="Times New Roman" w:eastAsia="仿宋_GB2312"/>
          <w:b/>
          <w:color w:val="auto"/>
          <w:sz w:val="24"/>
          <w:highlight w:val="none"/>
        </w:rPr>
        <w:t>供应商须知前附表。</w:t>
      </w:r>
    </w:p>
    <w:p w14:paraId="0959887B">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21.2   磋商小组职责</w:t>
      </w:r>
    </w:p>
    <w:p w14:paraId="35976835">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（1）确认竞争性磋商文件；</w:t>
      </w:r>
    </w:p>
    <w:p w14:paraId="3BD6C697">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（2）审查通过了资格审查的供应商响应文件并做出评价；</w:t>
      </w:r>
    </w:p>
    <w:p w14:paraId="40CED1E6">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（3）要求供应商解释或者澄清其响应文件；</w:t>
      </w:r>
    </w:p>
    <w:p w14:paraId="12CCAB13">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（4）编写评审报告；</w:t>
      </w:r>
    </w:p>
    <w:p w14:paraId="33E7C515">
      <w:pPr>
        <w:pStyle w:val="28"/>
        <w:adjustRightInd w:val="0"/>
        <w:snapToGrid w:val="0"/>
        <w:ind w:left="840" w:leftChars="4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（5）告知采购人、采购代理机构在评审过程中发现的供应商的违法违规行为。</w:t>
      </w:r>
    </w:p>
    <w:p w14:paraId="124B26C0">
      <w:pPr>
        <w:pStyle w:val="28"/>
        <w:adjustRightInd w:val="0"/>
        <w:snapToGrid w:val="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21.3   磋商小组义务</w:t>
      </w:r>
    </w:p>
    <w:p w14:paraId="012DB47A">
      <w:pPr>
        <w:pStyle w:val="28"/>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（1）遵纪客观、公正、审慎的原则；</w:t>
      </w:r>
    </w:p>
    <w:p w14:paraId="1C5EE1A7">
      <w:pPr>
        <w:pStyle w:val="28"/>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（2）根据磋商文件的规定评审程序、评审方法和评审标准独立进行评审，对个人的评审意见承担法律责任；</w:t>
      </w:r>
    </w:p>
    <w:p w14:paraId="5382B171">
      <w:pPr>
        <w:pStyle w:val="28"/>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（3）参与评审报告的起草；</w:t>
      </w:r>
    </w:p>
    <w:p w14:paraId="0D9C6430">
      <w:pPr>
        <w:pStyle w:val="28"/>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（4）配合采购人、采购代理机构答复供应商提出的质疑；</w:t>
      </w:r>
    </w:p>
    <w:p w14:paraId="61F8F934">
      <w:pPr>
        <w:pStyle w:val="28"/>
        <w:adjustRightInd w:val="0"/>
        <w:snapToGrid w:val="0"/>
        <w:ind w:left="838" w:leftChars="399"/>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（5）配合财政部门的投诉处理和监督检查工作。</w:t>
      </w:r>
    </w:p>
    <w:p w14:paraId="757C86C2">
      <w:pPr>
        <w:pStyle w:val="28"/>
        <w:adjustRightInd w:val="0"/>
        <w:snapToGrid w:val="0"/>
        <w:ind w:left="840" w:hanging="840" w:hangingChars="35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21.4   确认磋商文件：磋商小组对磋商文件进行审阅，无修改进行签字确认，有修改，修改内容经采购人确认后，磋商小组以书面形式通知所有供应商。</w:t>
      </w:r>
    </w:p>
    <w:p w14:paraId="7CC4E922">
      <w:pPr>
        <w:pStyle w:val="5"/>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22.    磋商小组成员有下列情形之一的，应当回避：</w:t>
      </w:r>
    </w:p>
    <w:p w14:paraId="66A37E47">
      <w:pPr>
        <w:pStyle w:val="5"/>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22.1   参加采购活动前3年内与供应商存在劳动关系；</w:t>
      </w:r>
    </w:p>
    <w:p w14:paraId="0B466BB9">
      <w:pPr>
        <w:pStyle w:val="5"/>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22.2   参加采购活动前3年内担任供应商的董事、监事；</w:t>
      </w:r>
    </w:p>
    <w:p w14:paraId="7A856191">
      <w:pPr>
        <w:pStyle w:val="5"/>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22.3   参加采购活动前3年内是供应商的控股股东或者实际控制人；</w:t>
      </w:r>
    </w:p>
    <w:p w14:paraId="0CAE5583">
      <w:pPr>
        <w:pStyle w:val="5"/>
        <w:tabs>
          <w:tab w:val="left" w:pos="360"/>
        </w:tabs>
        <w:ind w:left="840" w:hanging="840" w:hangingChars="350"/>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22.4   与供应商的法定代表人或者负责人有夫妻、直系血亲、三代以内旁系血亲或者近姻亲关系；</w:t>
      </w:r>
    </w:p>
    <w:p w14:paraId="2C0A3FC8">
      <w:pPr>
        <w:pStyle w:val="5"/>
        <w:tabs>
          <w:tab w:val="left" w:pos="360"/>
        </w:tabs>
        <w:rPr>
          <w:rFonts w:ascii="Times New Roman" w:hAnsi="Times New Roman" w:eastAsia="仿宋_GB2312"/>
          <w:color w:val="auto"/>
          <w:sz w:val="24"/>
          <w:szCs w:val="21"/>
          <w:highlight w:val="none"/>
        </w:rPr>
      </w:pPr>
      <w:r>
        <w:rPr>
          <w:rFonts w:ascii="Times New Roman" w:hAnsi="Times New Roman" w:eastAsia="仿宋_GB2312"/>
          <w:color w:val="auto"/>
          <w:sz w:val="24"/>
          <w:szCs w:val="21"/>
          <w:highlight w:val="none"/>
        </w:rPr>
        <w:t>22.5   与供应商有其他可能影响政府采购活动公平、公正进行的关系。</w:t>
      </w:r>
    </w:p>
    <w:p w14:paraId="114128AD">
      <w:pPr>
        <w:pStyle w:val="5"/>
        <w:rPr>
          <w:rFonts w:ascii="Times New Roman" w:hAnsi="Times New Roman" w:eastAsia="仿宋_GB2312"/>
          <w:b/>
          <w:color w:val="auto"/>
          <w:sz w:val="24"/>
          <w:szCs w:val="21"/>
          <w:highlight w:val="none"/>
        </w:rPr>
      </w:pPr>
      <w:bookmarkStart w:id="306" w:name="_Toc20608"/>
      <w:bookmarkStart w:id="307" w:name="_Toc83547667"/>
      <w:bookmarkStart w:id="308" w:name="_Toc249515418"/>
      <w:bookmarkStart w:id="309" w:name="_Toc249525187"/>
      <w:bookmarkStart w:id="310" w:name="_Toc249515306"/>
      <w:r>
        <w:rPr>
          <w:rFonts w:ascii="Times New Roman" w:hAnsi="Times New Roman" w:eastAsia="仿宋_GB2312"/>
          <w:b/>
          <w:color w:val="auto"/>
          <w:sz w:val="24"/>
          <w:szCs w:val="21"/>
          <w:highlight w:val="none"/>
        </w:rPr>
        <w:t>23.    磋商程序</w:t>
      </w:r>
    </w:p>
    <w:p w14:paraId="3184651D">
      <w:pPr>
        <w:pStyle w:val="5"/>
        <w:tabs>
          <w:tab w:val="left" w:pos="360"/>
        </w:tabs>
        <w:rPr>
          <w:rFonts w:ascii="Times New Roman" w:hAnsi="Times New Roman" w:eastAsia="仿宋_GB2312"/>
          <w:b/>
          <w:color w:val="auto"/>
          <w:sz w:val="24"/>
          <w:szCs w:val="21"/>
          <w:highlight w:val="none"/>
        </w:rPr>
      </w:pPr>
      <w:bookmarkStart w:id="311" w:name="_Toc58504507"/>
      <w:r>
        <w:rPr>
          <w:rFonts w:ascii="Times New Roman" w:hAnsi="Times New Roman" w:eastAsia="仿宋_GB2312"/>
          <w:b/>
          <w:color w:val="auto"/>
          <w:sz w:val="24"/>
          <w:szCs w:val="21"/>
          <w:highlight w:val="none"/>
        </w:rPr>
        <w:t>23.1   磋商会议</w:t>
      </w:r>
      <w:bookmarkEnd w:id="311"/>
    </w:p>
    <w:p w14:paraId="4E4E00E7">
      <w:pPr>
        <w:pStyle w:val="2"/>
        <w:ind w:left="840" w:leftChars="400"/>
        <w:rPr>
          <w:rFonts w:ascii="Times New Roman" w:hAnsi="Times New Roman" w:eastAsia="仿宋_GB2312"/>
          <w:color w:val="auto"/>
          <w:sz w:val="24"/>
          <w:szCs w:val="32"/>
          <w:highlight w:val="none"/>
        </w:rPr>
      </w:pPr>
      <w:bookmarkStart w:id="312" w:name="_Toc58504508"/>
      <w:r>
        <w:rPr>
          <w:rFonts w:ascii="Times New Roman" w:hAnsi="Times New Roman" w:eastAsia="仿宋_GB2312"/>
          <w:color w:val="auto"/>
          <w:sz w:val="24"/>
          <w:szCs w:val="32"/>
          <w:highlight w:val="none"/>
        </w:rPr>
        <w:t>（1）在磋商文件规定的时间和地点，由采购代理机构组织磋商工作，供应商须委派代表参加，签名以证明其出席。</w:t>
      </w:r>
      <w:bookmarkEnd w:id="312"/>
    </w:p>
    <w:p w14:paraId="571F6264">
      <w:pPr>
        <w:pStyle w:val="2"/>
        <w:ind w:left="840" w:leftChars="400"/>
        <w:rPr>
          <w:rFonts w:ascii="Times New Roman" w:hAnsi="Times New Roman" w:eastAsia="仿宋_GB2312"/>
          <w:color w:val="auto"/>
          <w:sz w:val="24"/>
          <w:szCs w:val="32"/>
          <w:highlight w:val="none"/>
        </w:rPr>
      </w:pPr>
      <w:bookmarkStart w:id="313" w:name="_Toc58504509"/>
      <w:r>
        <w:rPr>
          <w:rFonts w:ascii="Times New Roman" w:hAnsi="Times New Roman" w:eastAsia="仿宋_GB2312"/>
          <w:color w:val="auto"/>
          <w:sz w:val="24"/>
          <w:szCs w:val="32"/>
          <w:highlight w:val="none"/>
        </w:rPr>
        <w:t>（2）各供应商或其推荐的代表与采购监督人共同检查响应文件的密封情况，经检查无误后，签字确认。</w:t>
      </w:r>
      <w:bookmarkEnd w:id="313"/>
    </w:p>
    <w:p w14:paraId="76964BDB">
      <w:pPr>
        <w:pStyle w:val="2"/>
        <w:ind w:left="840" w:leftChars="400"/>
        <w:rPr>
          <w:rFonts w:ascii="Times New Roman" w:hAnsi="Times New Roman" w:eastAsia="仿宋_GB2312"/>
          <w:color w:val="auto"/>
          <w:sz w:val="24"/>
          <w:szCs w:val="32"/>
          <w:highlight w:val="none"/>
        </w:rPr>
      </w:pPr>
      <w:bookmarkStart w:id="314" w:name="_Toc58504510"/>
      <w:r>
        <w:rPr>
          <w:rFonts w:ascii="Times New Roman" w:hAnsi="Times New Roman" w:eastAsia="仿宋_GB2312"/>
          <w:color w:val="auto"/>
          <w:sz w:val="24"/>
          <w:szCs w:val="32"/>
          <w:highlight w:val="none"/>
        </w:rPr>
        <w:t>（3）采购代理机构工作人员按照顺序，将各供应商首次响应文件的份数等内容公布，无异议后，由供应商法定代表人（或授权代表人）和监督人签字确认。</w:t>
      </w:r>
      <w:bookmarkEnd w:id="314"/>
    </w:p>
    <w:p w14:paraId="10329BEA">
      <w:pPr>
        <w:pStyle w:val="5"/>
        <w:tabs>
          <w:tab w:val="left" w:pos="360"/>
        </w:tabs>
        <w:rPr>
          <w:rFonts w:ascii="Times New Roman" w:hAnsi="Times New Roman" w:eastAsia="仿宋_GB2312"/>
          <w:b/>
          <w:color w:val="auto"/>
          <w:sz w:val="24"/>
          <w:szCs w:val="21"/>
          <w:highlight w:val="none"/>
        </w:rPr>
      </w:pPr>
      <w:bookmarkStart w:id="315" w:name="_Toc58504511"/>
      <w:r>
        <w:rPr>
          <w:rFonts w:ascii="Times New Roman" w:hAnsi="Times New Roman" w:eastAsia="仿宋_GB2312"/>
          <w:b/>
          <w:color w:val="auto"/>
          <w:sz w:val="24"/>
          <w:szCs w:val="21"/>
          <w:highlight w:val="none"/>
        </w:rPr>
        <w:t>23.2   响应文件</w:t>
      </w:r>
      <w:bookmarkEnd w:id="306"/>
      <w:bookmarkEnd w:id="307"/>
      <w:bookmarkEnd w:id="308"/>
      <w:bookmarkEnd w:id="309"/>
      <w:bookmarkEnd w:id="310"/>
      <w:r>
        <w:rPr>
          <w:rFonts w:ascii="Times New Roman" w:hAnsi="Times New Roman" w:eastAsia="仿宋_GB2312"/>
          <w:b/>
          <w:color w:val="auto"/>
          <w:sz w:val="24"/>
          <w:szCs w:val="21"/>
          <w:highlight w:val="none"/>
        </w:rPr>
        <w:t>评审</w:t>
      </w:r>
      <w:bookmarkEnd w:id="315"/>
    </w:p>
    <w:p w14:paraId="199C05FF">
      <w:pPr>
        <w:tabs>
          <w:tab w:val="left" w:pos="360"/>
          <w:tab w:val="left" w:pos="588"/>
        </w:tabs>
        <w:spacing w:line="360" w:lineRule="auto"/>
        <w:ind w:left="840" w:hanging="843" w:hangingChars="350"/>
        <w:rPr>
          <w:rFonts w:eastAsia="仿宋_GB2312"/>
          <w:color w:val="auto"/>
          <w:sz w:val="24"/>
          <w:highlight w:val="none"/>
        </w:rPr>
      </w:pPr>
      <w:bookmarkStart w:id="316" w:name="_Toc83547671"/>
      <w:r>
        <w:rPr>
          <w:rFonts w:eastAsia="仿宋_GB2312"/>
          <w:b/>
          <w:color w:val="auto"/>
          <w:sz w:val="24"/>
          <w:highlight w:val="none"/>
        </w:rPr>
        <w:t>23.2.1 响应文件的资格性审查</w:t>
      </w:r>
      <w:r>
        <w:rPr>
          <w:rFonts w:eastAsia="仿宋_GB2312"/>
          <w:color w:val="auto"/>
          <w:sz w:val="24"/>
          <w:highlight w:val="none"/>
        </w:rPr>
        <w:t>。</w:t>
      </w:r>
      <w:r>
        <w:rPr>
          <w:rFonts w:hint="eastAsia" w:eastAsia="仿宋_GB2312"/>
          <w:color w:val="auto"/>
          <w:sz w:val="24"/>
          <w:highlight w:val="none"/>
        </w:rPr>
        <w:t>采购人或采购代理机构负责或磋商小组对响应文件中的资格证明文件、信用查询记录等进行审查，以确认供应商具备相应资格。资格性审查出现下列情况者（但不限于），按无效文件处理</w:t>
      </w:r>
      <w:r>
        <w:rPr>
          <w:rFonts w:eastAsia="仿宋_GB2312"/>
          <w:color w:val="auto"/>
          <w:sz w:val="24"/>
          <w:highlight w:val="none"/>
        </w:rPr>
        <w:t>：</w:t>
      </w:r>
    </w:p>
    <w:p w14:paraId="2596A12E">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highlight w:val="none"/>
        </w:rPr>
        <w:t>（</w:t>
      </w:r>
      <w:r>
        <w:rPr>
          <w:rFonts w:ascii="Times New Roman" w:hAnsi="Times New Roman" w:eastAsia="仿宋_GB2312"/>
          <w:color w:val="auto"/>
          <w:sz w:val="24"/>
          <w:highlight w:val="none"/>
        </w:rPr>
        <w:t>1）供应商不符合《中华人民共和国政府采购法》第二十二条的规定和特定资格条件要求的。</w:t>
      </w:r>
    </w:p>
    <w:p w14:paraId="25B746A4">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（2）供应商没有经过正常渠道购买或免费领取磋商文件或供应商的名称与</w:t>
      </w:r>
      <w:r>
        <w:rPr>
          <w:rFonts w:hint="eastAsia" w:ascii="Times New Roman" w:hAnsi="Times New Roman" w:eastAsia="仿宋_GB2312"/>
          <w:color w:val="auto"/>
          <w:sz w:val="24"/>
          <w:highlight w:val="none"/>
        </w:rPr>
        <w:t>获取</w:t>
      </w:r>
      <w:r>
        <w:rPr>
          <w:rFonts w:ascii="Times New Roman" w:hAnsi="Times New Roman" w:eastAsia="仿宋_GB2312"/>
          <w:color w:val="auto"/>
          <w:sz w:val="24"/>
          <w:highlight w:val="none"/>
        </w:rPr>
        <w:t>磋商文件单位的名称不符。</w:t>
      </w:r>
    </w:p>
    <w:p w14:paraId="0830A546">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06608CE9">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（4）信用查询中列入失信被执行人、重大税收违法</w:t>
      </w:r>
      <w:r>
        <w:rPr>
          <w:rFonts w:hint="eastAsia" w:ascii="Times New Roman" w:hAnsi="Times New Roman" w:eastAsia="仿宋_GB2312"/>
          <w:color w:val="auto"/>
          <w:sz w:val="24"/>
          <w:highlight w:val="none"/>
        </w:rPr>
        <w:t>失信主体</w:t>
      </w:r>
      <w:r>
        <w:rPr>
          <w:rFonts w:ascii="Times New Roman" w:hAnsi="Times New Roman" w:eastAsia="仿宋_GB2312"/>
          <w:color w:val="auto"/>
          <w:sz w:val="24"/>
          <w:highlight w:val="none"/>
        </w:rPr>
        <w:t>、政府采购严重违法失信行为记录名单及其他不符合《中华人民共和国政府采购法》第二十二条规定条件的供应商。</w:t>
      </w:r>
    </w:p>
    <w:p w14:paraId="57439A75">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（5）采购人或采购代理机构通过“信用中国”网站(www.creditchina.gov.cn)、中国政府采购网(www.ccgp.gov.cn) 等查询相关主体信用记录，并将查询网页打印、存档备查。</w:t>
      </w:r>
    </w:p>
    <w:p w14:paraId="1DCD8A28">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（6）查询时间为磋商文件发售期至评审截止时间前，此段时间段外，网站信息发生的任何变更均不作为资格审查依据。</w:t>
      </w:r>
    </w:p>
    <w:p w14:paraId="5F014A5A">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供应商不良信用记录以采购人或采购代理机构查询结果为准。供应商自行提供的与网站信息不一致的其他证明材料亦不作为资格审查依据。</w:t>
      </w:r>
    </w:p>
    <w:p w14:paraId="1C3854FB">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6492F8F">
      <w:pPr>
        <w:pStyle w:val="2"/>
        <w:ind w:left="840" w:leftChars="400"/>
        <w:rPr>
          <w:rFonts w:hint="eastAsia" w:ascii="Times New Roman" w:hAnsi="Times New Roman" w:eastAsia="仿宋_GB2312"/>
          <w:color w:val="auto"/>
          <w:sz w:val="24"/>
          <w:highlight w:val="none"/>
        </w:rPr>
      </w:pPr>
      <w:r>
        <w:rPr>
          <w:rFonts w:ascii="Times New Roman" w:hAnsi="Times New Roman" w:eastAsia="仿宋_GB2312"/>
          <w:b/>
          <w:color w:val="auto"/>
          <w:sz w:val="24"/>
          <w:highlight w:val="none"/>
        </w:rPr>
        <w:t>23.2.2 磋商响应文件有效性、完整性和响应程度审查：</w:t>
      </w:r>
      <w:r>
        <w:rPr>
          <w:rFonts w:hint="eastAsia" w:ascii="Times New Roman" w:hAnsi="Times New Roman" w:eastAsia="仿宋_GB2312"/>
          <w:color w:val="auto"/>
          <w:sz w:val="24"/>
          <w:highlight w:val="none"/>
        </w:rPr>
        <w:t>磋商小组负责对通过资格审查的响应文件的有效性、完整性和响应性进行审查，以确定是否满足磋商文件要求，出现下列情况者（但不限于），按无效文件处理。</w:t>
      </w:r>
    </w:p>
    <w:p w14:paraId="21E24A11">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（1）供应商未按磋商文件要求加盖单位公章。</w:t>
      </w:r>
    </w:p>
    <w:p w14:paraId="48C87ED5">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（2）磋商响应文件未按磋商文件要求进行法定代表人或其委托代理人签字。</w:t>
      </w:r>
    </w:p>
    <w:p w14:paraId="2EE38CFB">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（3）无有效期或有效期达不到磋商文件的要求。</w:t>
      </w:r>
    </w:p>
    <w:p w14:paraId="489FB395">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（4）供应商首次磋商报价出现选择性报价。</w:t>
      </w:r>
    </w:p>
    <w:p w14:paraId="3F49E677">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（5）首次磋商报价超出采购预算或最高限价。</w:t>
      </w:r>
    </w:p>
    <w:p w14:paraId="121D3E1C">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（6）响应文件中对合同草案条款附加了采购人难以接受的条件。</w:t>
      </w:r>
    </w:p>
    <w:p w14:paraId="2DF68112">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（7）磋商内容出现漏项或数量与要求不符，出现重大负偏差。</w:t>
      </w:r>
    </w:p>
    <w:p w14:paraId="5C352B0B">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（8）响应文件中技术指标达不到采购要求，降低了产品档次或影响产品性能、功能。</w:t>
      </w:r>
    </w:p>
    <w:p w14:paraId="46FAA778">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（9）响应报价与市场价偏离较大，低于成本，形成不正当竞争。</w:t>
      </w:r>
    </w:p>
    <w:p w14:paraId="47D9853D">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（10）供应商提供虚假证明，开具虚假资质，出现虚假应答或故意隐瞒行为。</w:t>
      </w:r>
    </w:p>
    <w:p w14:paraId="4EDDC057">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 xml:space="preserve">（11）保证金未提交或未提交至指定账户、或提交保证金不符合磋商文件要求的。 </w:t>
      </w:r>
    </w:p>
    <w:p w14:paraId="6550A2B0">
      <w:pPr>
        <w:pStyle w:val="2"/>
        <w:ind w:left="840" w:leftChars="400"/>
        <w:rPr>
          <w:rFonts w:hint="eastAsia" w:ascii="Times New Roman" w:hAnsi="Times New Roman" w:eastAsia="仿宋_GB2312"/>
          <w:color w:val="auto"/>
          <w:sz w:val="24"/>
          <w:highlight w:val="none"/>
        </w:rPr>
      </w:pPr>
      <w:r>
        <w:rPr>
          <w:rFonts w:hint="eastAsia" w:ascii="Times New Roman" w:hAnsi="Times New Roman" w:eastAsia="仿宋_GB2312"/>
          <w:color w:val="auto"/>
          <w:sz w:val="24"/>
          <w:highlight w:val="none"/>
        </w:rPr>
        <w:t>（12）如供应商为提供服务所伴随的货物为政府强制采购的产品，供应商所投产品应属于品目清单的强制采购部分。供应商应提供有效期内的认证证书或相关证明，否则其响应文件将被认定为无效；</w:t>
      </w:r>
    </w:p>
    <w:p w14:paraId="35FEC718">
      <w:pPr>
        <w:pStyle w:val="2"/>
        <w:ind w:left="840" w:leftChars="400"/>
        <w:rPr>
          <w:rFonts w:ascii="Times New Roman" w:hAnsi="Times New Roman" w:eastAsia="仿宋_GB2312"/>
          <w:color w:val="auto"/>
          <w:sz w:val="24"/>
          <w:highlight w:val="none"/>
        </w:rPr>
      </w:pPr>
      <w:r>
        <w:rPr>
          <w:rFonts w:hint="eastAsia" w:ascii="Times New Roman" w:hAnsi="Times New Roman" w:eastAsia="仿宋_GB2312"/>
          <w:color w:val="auto"/>
          <w:sz w:val="24"/>
          <w:highlight w:val="none"/>
        </w:rPr>
        <w:t>（13）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r>
        <w:rPr>
          <w:rFonts w:ascii="Times New Roman" w:hAnsi="Times New Roman" w:eastAsia="仿宋_GB2312"/>
          <w:color w:val="auto"/>
          <w:sz w:val="24"/>
          <w:highlight w:val="none"/>
        </w:rPr>
        <w:t xml:space="preserve"> </w:t>
      </w:r>
    </w:p>
    <w:p w14:paraId="263C6FF3">
      <w:pPr>
        <w:pStyle w:val="5"/>
        <w:tabs>
          <w:tab w:val="left" w:pos="360"/>
        </w:tabs>
        <w:rPr>
          <w:rFonts w:ascii="Times New Roman" w:hAnsi="Times New Roman" w:eastAsia="仿宋_GB2312"/>
          <w:b/>
          <w:color w:val="auto"/>
          <w:sz w:val="24"/>
          <w:szCs w:val="21"/>
          <w:highlight w:val="none"/>
        </w:rPr>
      </w:pPr>
      <w:bookmarkStart w:id="317" w:name="_Toc58504512"/>
      <w:r>
        <w:rPr>
          <w:rFonts w:ascii="Times New Roman" w:hAnsi="Times New Roman" w:eastAsia="仿宋_GB2312"/>
          <w:b/>
          <w:color w:val="auto"/>
          <w:sz w:val="24"/>
          <w:szCs w:val="21"/>
          <w:highlight w:val="none"/>
        </w:rPr>
        <w:t>23.3   磋商</w:t>
      </w:r>
      <w:bookmarkEnd w:id="317"/>
    </w:p>
    <w:p w14:paraId="15BA91D5">
      <w:pPr>
        <w:pStyle w:val="2"/>
        <w:ind w:left="840" w:hanging="840" w:hangingChars="350"/>
        <w:rPr>
          <w:rFonts w:ascii="Times New Roman" w:hAnsi="Times New Roman" w:eastAsia="仿宋_GB2312"/>
          <w:color w:val="auto"/>
          <w:sz w:val="24"/>
          <w:highlight w:val="none"/>
        </w:rPr>
      </w:pPr>
      <w:bookmarkStart w:id="318" w:name="_Toc58504513"/>
      <w:r>
        <w:rPr>
          <w:rFonts w:ascii="Times New Roman" w:hAnsi="Times New Roman" w:eastAsia="仿宋_GB2312"/>
          <w:color w:val="auto"/>
          <w:sz w:val="24"/>
          <w:highlight w:val="none"/>
        </w:rPr>
        <w:t>23.3.1 磋商小组集中与各供应商分别进行磋商，并给所有参加磋商供应商平等的磋商机会。</w:t>
      </w:r>
      <w:bookmarkEnd w:id="318"/>
    </w:p>
    <w:p w14:paraId="18F4C2D5">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23.3.2 磋商小组在对响应文件的有效性、完整性和响应程度进行审核时，以</w:t>
      </w:r>
      <w:r>
        <w:rPr>
          <w:rFonts w:ascii="Times New Roman" w:hAnsi="Times New Roman" w:eastAsia="仿宋_GB2312"/>
          <w:b/>
          <w:color w:val="auto"/>
          <w:sz w:val="24"/>
          <w:highlight w:val="none"/>
        </w:rPr>
        <w:t>书面形式</w:t>
      </w:r>
      <w:r>
        <w:rPr>
          <w:rFonts w:ascii="Times New Roman" w:hAnsi="Times New Roman" w:eastAsia="仿宋_GB2312"/>
          <w:color w:val="auto"/>
          <w:sz w:val="24"/>
          <w:highlight w:val="none"/>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24AF1549">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1F903A0F">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23.3.4 如出现下述情形之一的，视为供应商主动退出磋商，其响应将被拒绝：</w:t>
      </w:r>
    </w:p>
    <w:p w14:paraId="57CF842F">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（1）供应商未按要求确认磋商小组确定的本项目最终技术需求的；</w:t>
      </w:r>
    </w:p>
    <w:p w14:paraId="5CEC0405">
      <w:pPr>
        <w:pStyle w:val="2"/>
        <w:ind w:left="840" w:leftChars="400"/>
        <w:rPr>
          <w:rFonts w:ascii="Times New Roman" w:hAnsi="Times New Roman" w:eastAsia="仿宋_GB2312"/>
          <w:color w:val="auto"/>
          <w:sz w:val="24"/>
          <w:highlight w:val="none"/>
        </w:rPr>
      </w:pPr>
      <w:r>
        <w:rPr>
          <w:rFonts w:ascii="Times New Roman" w:hAnsi="Times New Roman" w:eastAsia="仿宋_GB2312"/>
          <w:color w:val="auto"/>
          <w:sz w:val="24"/>
          <w:highlight w:val="none"/>
        </w:rPr>
        <w:t>（2）最后报价未实质性响应磋商小组确定的本项目最终技术需求的，或附有采购人无法接受的条件的。</w:t>
      </w:r>
    </w:p>
    <w:p w14:paraId="33442785">
      <w:pPr>
        <w:pStyle w:val="2"/>
        <w:rPr>
          <w:rFonts w:ascii="Times New Roman" w:hAnsi="Times New Roman" w:eastAsia="仿宋_GB2312"/>
          <w:b/>
          <w:color w:val="auto"/>
          <w:sz w:val="24"/>
          <w:szCs w:val="21"/>
          <w:highlight w:val="none"/>
        </w:rPr>
      </w:pPr>
      <w:r>
        <w:rPr>
          <w:rFonts w:ascii="Times New Roman" w:hAnsi="Times New Roman" w:eastAsia="仿宋_GB2312"/>
          <w:b/>
          <w:color w:val="auto"/>
          <w:sz w:val="24"/>
          <w:szCs w:val="21"/>
          <w:highlight w:val="none"/>
        </w:rPr>
        <w:t>23.4   最后报价</w:t>
      </w:r>
    </w:p>
    <w:p w14:paraId="7C3FC25E">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23.4.1 磋商结束后，磋商小组要求所有实质性响应的供应商在规定时间内提交最后报价，提交最后报价的供应商不少于3家。最后报价是供应商响应文件的有效组成部分。</w:t>
      </w:r>
    </w:p>
    <w:p w14:paraId="4A57A8B4">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 xml:space="preserve">23.4.2 </w:t>
      </w:r>
      <w:r>
        <w:rPr>
          <w:rFonts w:ascii="Times New Roman" w:hAnsi="Times New Roman" w:eastAsia="仿宋_GB2312"/>
          <w:b/>
          <w:bCs/>
          <w:color w:val="auto"/>
          <w:sz w:val="24"/>
          <w:highlight w:val="none"/>
        </w:rPr>
        <w:t>最后报价应</w:t>
      </w:r>
      <w:r>
        <w:rPr>
          <w:rFonts w:hint="eastAsia" w:ascii="Times New Roman" w:hAnsi="Times New Roman" w:eastAsia="仿宋_GB2312"/>
          <w:b/>
          <w:bCs/>
          <w:color w:val="auto"/>
          <w:sz w:val="24"/>
          <w:szCs w:val="24"/>
          <w:highlight w:val="none"/>
          <w:lang w:eastAsia="zh-CN"/>
        </w:rPr>
        <w:t>使用</w:t>
      </w:r>
      <w:r>
        <w:rPr>
          <w:rFonts w:hint="eastAsia" w:ascii="Times New Roman" w:hAnsi="Times New Roman" w:eastAsia="仿宋_GB2312"/>
          <w:b/>
          <w:bCs/>
          <w:color w:val="auto"/>
          <w:sz w:val="24"/>
          <w:szCs w:val="24"/>
          <w:highlight w:val="none"/>
          <w:lang w:val="en-US" w:eastAsia="zh-CN"/>
        </w:rPr>
        <w:t>CA锁进行远程二次报价</w:t>
      </w:r>
      <w:r>
        <w:rPr>
          <w:rFonts w:ascii="Times New Roman" w:hAnsi="Times New Roman" w:eastAsia="仿宋_GB2312"/>
          <w:b/>
          <w:bCs/>
          <w:color w:val="auto"/>
          <w:sz w:val="24"/>
          <w:highlight w:val="none"/>
        </w:rPr>
        <w:t>按报价。</w:t>
      </w:r>
    </w:p>
    <w:p w14:paraId="6C0E0078">
      <w:pPr>
        <w:pStyle w:val="5"/>
        <w:rPr>
          <w:rFonts w:ascii="Times New Roman" w:hAnsi="Times New Roman" w:eastAsia="仿宋_GB2312"/>
          <w:b/>
          <w:bCs/>
          <w:color w:val="auto"/>
          <w:sz w:val="24"/>
          <w:szCs w:val="21"/>
          <w:highlight w:val="none"/>
        </w:rPr>
      </w:pPr>
      <w:bookmarkStart w:id="319" w:name="_Toc13753"/>
      <w:bookmarkStart w:id="320" w:name="_Toc520356170"/>
      <w:bookmarkStart w:id="321" w:name="_Toc151193644"/>
      <w:bookmarkStart w:id="322" w:name="_Toc164229241"/>
      <w:bookmarkStart w:id="323" w:name="_Toc249515310"/>
      <w:bookmarkStart w:id="324" w:name="_Toc127151546"/>
      <w:bookmarkStart w:id="325" w:name="_Toc164608660"/>
      <w:bookmarkStart w:id="326" w:name="_Toc164351640"/>
      <w:bookmarkStart w:id="327" w:name="_Toc151193860"/>
      <w:bookmarkStart w:id="328" w:name="_Toc150509297"/>
      <w:bookmarkStart w:id="329" w:name="_Toc127151747"/>
      <w:bookmarkStart w:id="330" w:name="_Toc151193716"/>
      <w:bookmarkStart w:id="331" w:name="_Toc150774646"/>
      <w:bookmarkStart w:id="332" w:name="_Toc151190173"/>
      <w:bookmarkStart w:id="333" w:name="_Toc151193934"/>
      <w:bookmarkStart w:id="334" w:name="_Toc142311048"/>
      <w:bookmarkStart w:id="335" w:name="_Ref467307010"/>
      <w:bookmarkStart w:id="336" w:name="_Toc249515422"/>
      <w:bookmarkStart w:id="337" w:name="_Toc151193788"/>
      <w:bookmarkStart w:id="338" w:name="_Toc149720839"/>
      <w:bookmarkStart w:id="339" w:name="_Toc195842911"/>
      <w:bookmarkStart w:id="340" w:name="_Toc249525191"/>
      <w:bookmarkStart w:id="341" w:name="_Toc164608815"/>
      <w:bookmarkStart w:id="342" w:name="_Toc127161460"/>
      <w:bookmarkStart w:id="343" w:name="_Toc150774751"/>
      <w:bookmarkStart w:id="344" w:name="_Toc150480784"/>
      <w:bookmarkStart w:id="345" w:name="_Toc164229387"/>
      <w:r>
        <w:rPr>
          <w:rFonts w:ascii="Times New Roman" w:hAnsi="Times New Roman" w:eastAsia="仿宋_GB2312"/>
          <w:b/>
          <w:bCs/>
          <w:color w:val="auto"/>
          <w:sz w:val="24"/>
          <w:szCs w:val="21"/>
          <w:highlight w:val="none"/>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color w:val="auto"/>
          <w:sz w:val="24"/>
          <w:szCs w:val="21"/>
          <w:highlight w:val="none"/>
        </w:rPr>
        <w:t>落实政府采购政策，详见第三章。</w:t>
      </w:r>
    </w:p>
    <w:p w14:paraId="5F5013E8">
      <w:pPr>
        <w:rPr>
          <w:rFonts w:eastAsia="仿宋_GB2312"/>
          <w:color w:val="auto"/>
          <w:highlight w:val="none"/>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7795FE1D">
      <w:pPr>
        <w:rPr>
          <w:rFonts w:eastAsia="仿宋_GB2312"/>
          <w:color w:val="auto"/>
          <w:sz w:val="30"/>
          <w:szCs w:val="30"/>
          <w:highlight w:val="none"/>
        </w:rPr>
      </w:pPr>
      <w:bookmarkStart w:id="346" w:name="_Hlt491765714"/>
      <w:bookmarkEnd w:id="346"/>
      <w:bookmarkStart w:id="347" w:name="_Hlt497729446"/>
      <w:bookmarkEnd w:id="347"/>
      <w:bookmarkStart w:id="348" w:name="_Toc232395218"/>
      <w:bookmarkStart w:id="349" w:name="_Toc249525192"/>
      <w:bookmarkStart w:id="350" w:name="_Toc232176278"/>
      <w:bookmarkStart w:id="351" w:name="_Toc249515311"/>
      <w:bookmarkStart w:id="352" w:name="_Toc256342149"/>
      <w:bookmarkStart w:id="353" w:name="_Toc249515423"/>
      <w:bookmarkStart w:id="354" w:name="_Toc176882548"/>
      <w:bookmarkStart w:id="355" w:name="_Toc177817340"/>
      <w:bookmarkStart w:id="356" w:name="_Toc496324585"/>
      <w:bookmarkStart w:id="357" w:name="_Toc177189241"/>
      <w:bookmarkStart w:id="358" w:name="_Toc500747068"/>
      <w:bookmarkStart w:id="359" w:name="_Toc177995479"/>
      <w:bookmarkStart w:id="360" w:name="_Toc499711049"/>
      <w:bookmarkStart w:id="361" w:name="_Toc389620199"/>
      <w:bookmarkStart w:id="362" w:name="_Toc503063428"/>
      <w:bookmarkStart w:id="363" w:name="_Toc70687174"/>
      <w:bookmarkStart w:id="364" w:name="_Toc492955421"/>
      <w:bookmarkStart w:id="365" w:name="_Toc499711890"/>
      <w:bookmarkStart w:id="366" w:name="_Toc385992360"/>
      <w:bookmarkStart w:id="367" w:name="_Toc500746972"/>
      <w:bookmarkStart w:id="368" w:name="_Toc500747195"/>
      <w:bookmarkStart w:id="369" w:name="_Toc184043047"/>
      <w:bookmarkStart w:id="370" w:name="_Toc53722846"/>
      <w:r>
        <w:rPr>
          <w:rFonts w:eastAsia="仿宋_GB2312"/>
          <w:color w:val="auto"/>
          <w:sz w:val="30"/>
          <w:szCs w:val="30"/>
          <w:highlight w:val="none"/>
        </w:rPr>
        <w:br w:type="page"/>
      </w:r>
    </w:p>
    <w:p w14:paraId="1C48BA93">
      <w:pPr>
        <w:pStyle w:val="81"/>
        <w:spacing w:before="24" w:after="24"/>
        <w:jc w:val="center"/>
        <w:rPr>
          <w:rFonts w:eastAsia="仿宋_GB2312"/>
          <w:color w:val="auto"/>
          <w:sz w:val="30"/>
          <w:szCs w:val="30"/>
          <w:highlight w:val="none"/>
        </w:rPr>
      </w:pPr>
      <w:bookmarkStart w:id="371" w:name="_Toc7954"/>
      <w:r>
        <w:rPr>
          <w:rFonts w:eastAsia="仿宋_GB2312"/>
          <w:color w:val="auto"/>
          <w:sz w:val="30"/>
          <w:szCs w:val="30"/>
          <w:highlight w:val="none"/>
        </w:rPr>
        <w:t>六、确定成交单位、授予合同</w:t>
      </w:r>
      <w:bookmarkEnd w:id="348"/>
      <w:bookmarkEnd w:id="349"/>
      <w:bookmarkEnd w:id="350"/>
      <w:bookmarkEnd w:id="351"/>
      <w:bookmarkEnd w:id="352"/>
      <w:bookmarkEnd w:id="353"/>
      <w:bookmarkEnd w:id="371"/>
    </w:p>
    <w:p w14:paraId="34238722">
      <w:pPr>
        <w:rPr>
          <w:rFonts w:eastAsia="仿宋_GB2312"/>
          <w:color w:val="auto"/>
          <w:highlight w:val="none"/>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5E0DFF5D">
      <w:pPr>
        <w:pStyle w:val="5"/>
        <w:numPr>
          <w:ilvl w:val="0"/>
          <w:numId w:val="10"/>
        </w:numPr>
        <w:rPr>
          <w:rFonts w:ascii="Times New Roman" w:hAnsi="Times New Roman" w:eastAsia="仿宋_GB2312"/>
          <w:b/>
          <w:bCs/>
          <w:color w:val="auto"/>
          <w:sz w:val="24"/>
          <w:szCs w:val="21"/>
          <w:highlight w:val="none"/>
        </w:rPr>
      </w:pPr>
      <w:bookmarkStart w:id="372" w:name="_Toc385992361"/>
      <w:bookmarkStart w:id="373" w:name="_Toc70687175"/>
      <w:bookmarkStart w:id="374" w:name="_Toc249515312"/>
      <w:bookmarkStart w:id="375" w:name="_Toc389620200"/>
      <w:bookmarkStart w:id="376" w:name="_Toc249525193"/>
      <w:bookmarkStart w:id="377" w:name="_Toc249515424"/>
      <w:bookmarkStart w:id="378" w:name="_Toc27151"/>
      <w:bookmarkStart w:id="379" w:name="_Toc184043048"/>
      <w:r>
        <w:rPr>
          <w:rFonts w:ascii="Times New Roman" w:hAnsi="Times New Roman" w:eastAsia="仿宋_GB2312"/>
          <w:b/>
          <w:bCs/>
          <w:color w:val="auto"/>
          <w:sz w:val="24"/>
          <w:szCs w:val="21"/>
          <w:highlight w:val="none"/>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color w:val="auto"/>
          <w:sz w:val="24"/>
          <w:szCs w:val="21"/>
          <w:highlight w:val="none"/>
        </w:rPr>
        <w:t>单位</w:t>
      </w:r>
    </w:p>
    <w:p w14:paraId="39ED7FB6">
      <w:pPr>
        <w:tabs>
          <w:tab w:val="left" w:pos="588"/>
        </w:tabs>
        <w:spacing w:line="360" w:lineRule="auto"/>
        <w:rPr>
          <w:rFonts w:eastAsia="仿宋_GB2312"/>
          <w:color w:val="auto"/>
          <w:sz w:val="24"/>
          <w:highlight w:val="none"/>
        </w:rPr>
      </w:pPr>
      <w:r>
        <w:rPr>
          <w:rFonts w:eastAsia="仿宋_GB2312"/>
          <w:color w:val="auto"/>
          <w:sz w:val="24"/>
          <w:highlight w:val="none"/>
        </w:rPr>
        <w:t>25.1   采购代理机构应在评审结束后两个工作日内，将评审报告送采购人。</w:t>
      </w:r>
    </w:p>
    <w:p w14:paraId="0847DDAE">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25.2   采购人在收到评审报告后五个工作日内，根据评审报告对评审过程及结果进行严格审核后确定成交供应商，复函采购代理机构。</w:t>
      </w:r>
    </w:p>
    <w:p w14:paraId="3DF6FA99">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25.3   采购代理机构在接到采购人的成交复函后，</w:t>
      </w:r>
      <w:r>
        <w:rPr>
          <w:rFonts w:hint="eastAsia" w:eastAsia="仿宋_GB2312"/>
          <w:color w:val="auto"/>
          <w:sz w:val="24"/>
          <w:highlight w:val="none"/>
        </w:rPr>
        <w:t>两个工作日内</w:t>
      </w:r>
      <w:r>
        <w:rPr>
          <w:rFonts w:eastAsia="仿宋_GB2312"/>
          <w:color w:val="auto"/>
          <w:sz w:val="24"/>
          <w:highlight w:val="none"/>
        </w:rPr>
        <w:t>在财政部门指定的政府采购信息发布媒体上公告，公告期限为一个工作日，并向成交供应商发出成交通知书。成交通知书是合同文件的组成部分。</w:t>
      </w:r>
    </w:p>
    <w:p w14:paraId="6EE393EB">
      <w:pPr>
        <w:tabs>
          <w:tab w:val="left" w:pos="588"/>
        </w:tabs>
        <w:spacing w:line="360" w:lineRule="auto"/>
        <w:rPr>
          <w:rFonts w:eastAsia="仿宋_GB2312"/>
          <w:color w:val="auto"/>
          <w:sz w:val="24"/>
          <w:highlight w:val="none"/>
        </w:rPr>
      </w:pPr>
      <w:r>
        <w:rPr>
          <w:rFonts w:eastAsia="仿宋_GB2312"/>
          <w:color w:val="auto"/>
          <w:sz w:val="24"/>
          <w:highlight w:val="none"/>
        </w:rPr>
        <w:t>25.4   采购代理机构将评审过程及成交供应商情况书面报监督机构备案。</w:t>
      </w:r>
      <w:bookmarkStart w:id="380" w:name="_Toc385992364"/>
      <w:bookmarkStart w:id="381" w:name="_Toc389620203"/>
    </w:p>
    <w:bookmarkEnd w:id="380"/>
    <w:bookmarkEnd w:id="381"/>
    <w:p w14:paraId="0323D6B8">
      <w:pPr>
        <w:pStyle w:val="5"/>
        <w:rPr>
          <w:rFonts w:ascii="Times New Roman" w:hAnsi="Times New Roman" w:eastAsia="仿宋_GB2312"/>
          <w:b/>
          <w:bCs/>
          <w:color w:val="auto"/>
          <w:sz w:val="24"/>
          <w:szCs w:val="21"/>
          <w:highlight w:val="none"/>
        </w:rPr>
      </w:pPr>
      <w:bookmarkStart w:id="382" w:name="_Toc389620204"/>
      <w:bookmarkStart w:id="383" w:name="_Toc385992365"/>
      <w:r>
        <w:rPr>
          <w:rFonts w:ascii="Times New Roman" w:hAnsi="Times New Roman" w:eastAsia="仿宋_GB2312"/>
          <w:b/>
          <w:bCs/>
          <w:color w:val="auto"/>
          <w:sz w:val="24"/>
          <w:szCs w:val="21"/>
          <w:highlight w:val="none"/>
        </w:rPr>
        <w:t>26.    合同</w:t>
      </w:r>
    </w:p>
    <w:p w14:paraId="2E7B7ED5">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26.1   自成交通知书发出后三十日内，按照磋商文件和成交供应商响应文件的约定，采购人与成交供应商洽谈合同条款，并签订合同。磋商文件及成交供应商的响应文件均作为合同的组成部分。</w:t>
      </w:r>
    </w:p>
    <w:p w14:paraId="4B1D6168">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A5C9AE3">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26.3   成交供应商签订合同后，持合同原件到采购代理机构，或采购代理机构根据陕西省政府采购网合同备案结果办理保证金退还手续。</w:t>
      </w:r>
    </w:p>
    <w:p w14:paraId="25A0E1DD">
      <w:pPr>
        <w:pStyle w:val="5"/>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27.    询问与质疑 </w:t>
      </w:r>
    </w:p>
    <w:p w14:paraId="255FED1B">
      <w:pPr>
        <w:tabs>
          <w:tab w:val="left" w:pos="588"/>
        </w:tabs>
        <w:spacing w:line="360" w:lineRule="auto"/>
        <w:rPr>
          <w:rFonts w:eastAsia="仿宋_GB2312"/>
          <w:color w:val="auto"/>
          <w:sz w:val="24"/>
          <w:highlight w:val="none"/>
        </w:rPr>
      </w:pPr>
      <w:r>
        <w:rPr>
          <w:rFonts w:eastAsia="仿宋_GB2312"/>
          <w:color w:val="auto"/>
          <w:sz w:val="24"/>
          <w:highlight w:val="none"/>
        </w:rPr>
        <w:t>27.1   供应商对政府采购活动事项有疑问的，可以向采购人提出询问。</w:t>
      </w:r>
    </w:p>
    <w:p w14:paraId="2880C197">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27.2   供应商认为采购文件、采购过程和中标、成交结果使自己的权益受到损害的，可以在知道或者应知其权益受到损害之日起七个工作日内，以书面形式向采购人提出质疑。</w:t>
      </w:r>
    </w:p>
    <w:p w14:paraId="3457720B">
      <w:pPr>
        <w:tabs>
          <w:tab w:val="left" w:pos="588"/>
        </w:tabs>
        <w:spacing w:line="360" w:lineRule="auto"/>
        <w:rPr>
          <w:rFonts w:eastAsia="仿宋_GB2312"/>
          <w:color w:val="auto"/>
          <w:sz w:val="24"/>
          <w:highlight w:val="none"/>
        </w:rPr>
      </w:pPr>
      <w:r>
        <w:rPr>
          <w:rFonts w:eastAsia="仿宋_GB2312"/>
          <w:color w:val="auto"/>
          <w:sz w:val="24"/>
          <w:highlight w:val="none"/>
        </w:rPr>
        <w:t>27.3   质疑供应商在法定质疑期内须一次性提出针对同一采购程序环节的质疑。</w:t>
      </w:r>
    </w:p>
    <w:p w14:paraId="7C897772">
      <w:pPr>
        <w:tabs>
          <w:tab w:val="left" w:pos="588"/>
        </w:tabs>
        <w:spacing w:line="360" w:lineRule="auto"/>
        <w:rPr>
          <w:rFonts w:eastAsia="仿宋_GB2312"/>
          <w:color w:val="auto"/>
          <w:sz w:val="24"/>
          <w:highlight w:val="none"/>
        </w:rPr>
      </w:pPr>
      <w:r>
        <w:rPr>
          <w:rFonts w:eastAsia="仿宋_GB2312"/>
          <w:color w:val="auto"/>
          <w:sz w:val="24"/>
          <w:highlight w:val="none"/>
        </w:rPr>
        <w:t>27.4   供应商提出质疑应当提交质疑函和必要的证明材料。质疑函应当包括下列内容：</w:t>
      </w:r>
    </w:p>
    <w:p w14:paraId="46CCC5D4">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供应商的姓名或者名称、地址、邮编、联系人及联系电话；</w:t>
      </w:r>
    </w:p>
    <w:p w14:paraId="5FA49A42">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质疑项目的名称、编号；</w:t>
      </w:r>
    </w:p>
    <w:p w14:paraId="6BDDA5DF">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具体、明确的质疑事项和与质疑事项相关的请求；</w:t>
      </w:r>
    </w:p>
    <w:p w14:paraId="4A85F2B9">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事实依据；</w:t>
      </w:r>
    </w:p>
    <w:p w14:paraId="579BABFB">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必要的法律依据；</w:t>
      </w:r>
    </w:p>
    <w:p w14:paraId="0F8910FA">
      <w:pPr>
        <w:pStyle w:val="71"/>
        <w:numPr>
          <w:ilvl w:val="0"/>
          <w:numId w:val="11"/>
        </w:numPr>
        <w:tabs>
          <w:tab w:val="left" w:pos="588"/>
        </w:tabs>
        <w:spacing w:line="360" w:lineRule="auto"/>
        <w:ind w:left="846" w:hanging="6" w:firstLineChars="0"/>
        <w:jc w:val="left"/>
        <w:rPr>
          <w:rFonts w:ascii="Times New Roman" w:hAnsi="Times New Roman" w:eastAsia="仿宋_GB2312"/>
          <w:color w:val="auto"/>
          <w:sz w:val="24"/>
          <w:highlight w:val="none"/>
        </w:rPr>
      </w:pPr>
      <w:r>
        <w:rPr>
          <w:rFonts w:ascii="Times New Roman" w:hAnsi="Times New Roman" w:eastAsia="仿宋_GB2312"/>
          <w:color w:val="auto"/>
          <w:sz w:val="24"/>
          <w:highlight w:val="none"/>
        </w:rPr>
        <w:t>提出质疑的日期。</w:t>
      </w:r>
    </w:p>
    <w:p w14:paraId="07381AE9">
      <w:pPr>
        <w:pStyle w:val="71"/>
        <w:tabs>
          <w:tab w:val="left" w:pos="588"/>
        </w:tabs>
        <w:spacing w:line="360" w:lineRule="auto"/>
        <w:ind w:left="838" w:leftChars="399" w:firstLine="0" w:firstLineChars="0"/>
        <w:rPr>
          <w:rFonts w:ascii="Times New Roman" w:hAnsi="Times New Roman" w:eastAsia="仿宋_GB2312"/>
          <w:color w:val="auto"/>
          <w:sz w:val="24"/>
          <w:highlight w:val="none"/>
        </w:rPr>
      </w:pPr>
      <w:r>
        <w:rPr>
          <w:rFonts w:ascii="Times New Roman" w:hAnsi="Times New Roman" w:eastAsia="仿宋_GB2312"/>
          <w:color w:val="auto"/>
          <w:sz w:val="24"/>
          <w:highlight w:val="none"/>
        </w:rPr>
        <w:t>供应商为自然人的，应当由本人签字；供应商为法人或者其他组织的，应当由法定代表人或负责人签字或盖章，同时其授权代表签字，并加盖公章。</w:t>
      </w:r>
    </w:p>
    <w:p w14:paraId="18F2E7EB">
      <w:pPr>
        <w:tabs>
          <w:tab w:val="left" w:pos="588"/>
        </w:tabs>
        <w:spacing w:line="360" w:lineRule="auto"/>
        <w:ind w:left="960" w:hanging="960" w:hangingChars="400"/>
        <w:rPr>
          <w:rFonts w:eastAsia="仿宋_GB2312"/>
          <w:color w:val="auto"/>
          <w:sz w:val="24"/>
          <w:highlight w:val="none"/>
        </w:rPr>
      </w:pPr>
      <w:r>
        <w:rPr>
          <w:rFonts w:eastAsia="仿宋_GB2312"/>
          <w:color w:val="auto"/>
          <w:sz w:val="24"/>
          <w:highlight w:val="none"/>
        </w:rPr>
        <w:t>27.5   符合要求的质疑，采购代理机构将予以受理并答复。</w:t>
      </w:r>
    </w:p>
    <w:p w14:paraId="7E77CD0E">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联系人：李萍、王亚宁，联系电话：029-85235014</w:t>
      </w:r>
    </w:p>
    <w:p w14:paraId="73FC587A">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27.6   供应商进行虚假和恶意质疑的，采购代理机构将提供相关资料报监督机构，按其情况进行相应处理。</w:t>
      </w:r>
    </w:p>
    <w:bookmarkEnd w:id="382"/>
    <w:bookmarkEnd w:id="383"/>
    <w:p w14:paraId="0FF75437">
      <w:pPr>
        <w:pStyle w:val="5"/>
        <w:rPr>
          <w:rFonts w:ascii="Times New Roman" w:hAnsi="Times New Roman" w:eastAsia="仿宋_GB2312"/>
          <w:b/>
          <w:bCs/>
          <w:color w:val="auto"/>
          <w:sz w:val="24"/>
          <w:szCs w:val="21"/>
          <w:highlight w:val="none"/>
        </w:rPr>
      </w:pPr>
      <w:bookmarkStart w:id="384" w:name="_Toc25547"/>
      <w:r>
        <w:rPr>
          <w:rFonts w:ascii="Times New Roman" w:hAnsi="Times New Roman" w:eastAsia="仿宋_GB2312"/>
          <w:b/>
          <w:bCs/>
          <w:color w:val="auto"/>
          <w:sz w:val="24"/>
          <w:szCs w:val="21"/>
          <w:highlight w:val="none"/>
        </w:rPr>
        <w:t>28.    履约保证金</w:t>
      </w:r>
    </w:p>
    <w:p w14:paraId="2085D4DC">
      <w:pPr>
        <w:tabs>
          <w:tab w:val="left" w:pos="588"/>
        </w:tabs>
        <w:spacing w:line="360" w:lineRule="auto"/>
        <w:rPr>
          <w:rFonts w:eastAsia="仿宋_GB2312"/>
          <w:color w:val="auto"/>
          <w:sz w:val="24"/>
          <w:highlight w:val="none"/>
        </w:rPr>
      </w:pPr>
      <w:r>
        <w:rPr>
          <w:rFonts w:eastAsia="仿宋_GB2312"/>
          <w:color w:val="auto"/>
          <w:sz w:val="24"/>
          <w:highlight w:val="none"/>
        </w:rPr>
        <w:t>28.1   履约保证金金额见</w:t>
      </w:r>
      <w:r>
        <w:rPr>
          <w:rFonts w:eastAsia="仿宋_GB2312"/>
          <w:b/>
          <w:color w:val="auto"/>
          <w:sz w:val="24"/>
          <w:highlight w:val="none"/>
        </w:rPr>
        <w:t>供应商须知前附表</w:t>
      </w:r>
      <w:r>
        <w:rPr>
          <w:rFonts w:eastAsia="仿宋_GB2312"/>
          <w:color w:val="auto"/>
          <w:sz w:val="24"/>
          <w:highlight w:val="none"/>
        </w:rPr>
        <w:t>。</w:t>
      </w:r>
    </w:p>
    <w:p w14:paraId="2A7EA2A4">
      <w:pPr>
        <w:tabs>
          <w:tab w:val="left" w:pos="588"/>
        </w:tabs>
        <w:spacing w:line="360" w:lineRule="auto"/>
        <w:rPr>
          <w:rFonts w:eastAsia="仿宋_GB2312"/>
          <w:color w:val="auto"/>
          <w:sz w:val="24"/>
          <w:highlight w:val="none"/>
        </w:rPr>
      </w:pPr>
      <w:r>
        <w:rPr>
          <w:rFonts w:eastAsia="仿宋_GB2312"/>
          <w:color w:val="auto"/>
          <w:sz w:val="24"/>
          <w:highlight w:val="none"/>
        </w:rPr>
        <w:t>28.2   履约保证金缴纳时间：合同签订前必须交纳至（采购人）。</w:t>
      </w:r>
    </w:p>
    <w:p w14:paraId="73CE14C5">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28.3   履约保证金缴纳形式：成交供应商应当以支票、汇票、本票、保函等非现金形式缴纳。</w:t>
      </w:r>
    </w:p>
    <w:p w14:paraId="232908E2">
      <w:pPr>
        <w:tabs>
          <w:tab w:val="left" w:pos="588"/>
        </w:tabs>
        <w:spacing w:line="360" w:lineRule="auto"/>
        <w:rPr>
          <w:rFonts w:eastAsia="仿宋_GB2312"/>
          <w:color w:val="auto"/>
          <w:sz w:val="24"/>
          <w:highlight w:val="none"/>
        </w:rPr>
      </w:pPr>
      <w:r>
        <w:rPr>
          <w:rFonts w:eastAsia="仿宋_GB2312"/>
          <w:color w:val="auto"/>
          <w:sz w:val="24"/>
          <w:highlight w:val="none"/>
        </w:rPr>
        <w:t>28.4   履约保证金收取单位名称：</w:t>
      </w:r>
    </w:p>
    <w:p w14:paraId="4888EE25">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开户银行：</w:t>
      </w:r>
    </w:p>
    <w:p w14:paraId="772B57E7">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账号：</w:t>
      </w:r>
    </w:p>
    <w:p w14:paraId="73727837">
      <w:pPr>
        <w:tabs>
          <w:tab w:val="left" w:pos="588"/>
        </w:tabs>
        <w:spacing w:line="360" w:lineRule="auto"/>
        <w:ind w:left="840" w:leftChars="400"/>
        <w:rPr>
          <w:rFonts w:eastAsia="仿宋_GB2312"/>
          <w:color w:val="auto"/>
          <w:sz w:val="24"/>
          <w:highlight w:val="none"/>
        </w:rPr>
      </w:pPr>
      <w:r>
        <w:rPr>
          <w:rFonts w:eastAsia="仿宋_GB2312"/>
          <w:color w:val="auto"/>
          <w:sz w:val="24"/>
          <w:highlight w:val="none"/>
        </w:rPr>
        <w:t>联系人：               联系电话：</w:t>
      </w:r>
    </w:p>
    <w:p w14:paraId="2469BE48">
      <w:pPr>
        <w:tabs>
          <w:tab w:val="left" w:pos="588"/>
        </w:tabs>
        <w:spacing w:line="360" w:lineRule="auto"/>
        <w:rPr>
          <w:rFonts w:eastAsia="仿宋_GB2312"/>
          <w:color w:val="auto"/>
          <w:sz w:val="24"/>
          <w:highlight w:val="none"/>
        </w:rPr>
      </w:pPr>
      <w:r>
        <w:rPr>
          <w:rFonts w:eastAsia="仿宋_GB2312"/>
          <w:color w:val="auto"/>
          <w:sz w:val="24"/>
          <w:highlight w:val="none"/>
        </w:rPr>
        <w:t>28.5   履约保证金退还的方式、时间、条件：*****</w:t>
      </w:r>
    </w:p>
    <w:p w14:paraId="6245FDB9">
      <w:pPr>
        <w:tabs>
          <w:tab w:val="left" w:pos="588"/>
        </w:tabs>
        <w:spacing w:line="360" w:lineRule="auto"/>
        <w:rPr>
          <w:rFonts w:eastAsia="仿宋_GB2312"/>
          <w:color w:val="auto"/>
          <w:sz w:val="24"/>
          <w:highlight w:val="none"/>
        </w:rPr>
      </w:pPr>
      <w:r>
        <w:rPr>
          <w:rFonts w:eastAsia="仿宋_GB2312"/>
          <w:color w:val="auto"/>
          <w:sz w:val="24"/>
          <w:highlight w:val="none"/>
        </w:rPr>
        <w:t>28.6   履约保证金不予退还的情况：****</w:t>
      </w:r>
    </w:p>
    <w:p w14:paraId="0C58E8DA">
      <w:pPr>
        <w:tabs>
          <w:tab w:val="left" w:pos="588"/>
        </w:tabs>
        <w:spacing w:line="360" w:lineRule="auto"/>
        <w:rPr>
          <w:rFonts w:eastAsia="仿宋_GB2312"/>
          <w:color w:val="auto"/>
          <w:sz w:val="24"/>
          <w:highlight w:val="none"/>
        </w:rPr>
      </w:pPr>
      <w:r>
        <w:rPr>
          <w:rFonts w:eastAsia="仿宋_GB2312"/>
          <w:color w:val="auto"/>
          <w:sz w:val="24"/>
          <w:highlight w:val="none"/>
        </w:rPr>
        <w:t>28.7   逾期退还履约保证金的违约责任：****</w:t>
      </w:r>
    </w:p>
    <w:p w14:paraId="663A0647">
      <w:pPr>
        <w:pStyle w:val="5"/>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29.    成交服务费</w:t>
      </w:r>
      <w:bookmarkEnd w:id="384"/>
    </w:p>
    <w:p w14:paraId="57823AA3">
      <w:pPr>
        <w:tabs>
          <w:tab w:val="left" w:pos="588"/>
        </w:tabs>
        <w:spacing w:line="360" w:lineRule="auto"/>
        <w:ind w:left="840" w:hanging="840" w:hangingChars="350"/>
        <w:rPr>
          <w:rFonts w:eastAsia="仿宋_GB2312"/>
          <w:color w:val="auto"/>
          <w:sz w:val="24"/>
          <w:highlight w:val="none"/>
        </w:rPr>
      </w:pPr>
      <w:r>
        <w:rPr>
          <w:rFonts w:eastAsia="仿宋_GB2312"/>
          <w:color w:val="auto"/>
          <w:sz w:val="24"/>
          <w:highlight w:val="none"/>
        </w:rPr>
        <w:t>29.1   成交供应商在领取成交通知书前，须向采购代理机构支付成交服务费，服务费由采购人与采购代理机构约定：</w:t>
      </w:r>
    </w:p>
    <w:p w14:paraId="65F77C81">
      <w:pPr>
        <w:snapToGrid w:val="0"/>
        <w:spacing w:line="360" w:lineRule="auto"/>
        <w:ind w:left="840" w:leftChars="400"/>
        <w:rPr>
          <w:rFonts w:eastAsia="仿宋_GB2312"/>
          <w:color w:val="auto"/>
          <w:sz w:val="24"/>
          <w:highlight w:val="none"/>
        </w:rPr>
      </w:pPr>
      <w:r>
        <w:rPr>
          <w:rFonts w:hint="eastAsia" w:eastAsia="仿宋_GB2312"/>
          <w:color w:val="auto"/>
          <w:sz w:val="24"/>
          <w:highlight w:val="none"/>
          <w:lang w:val="en-US" w:eastAsia="zh-CN"/>
        </w:rPr>
        <w:t>参照</w:t>
      </w:r>
      <w:r>
        <w:rPr>
          <w:rFonts w:hint="eastAsia" w:eastAsia="仿宋_GB2312"/>
          <w:color w:val="auto"/>
          <w:sz w:val="24"/>
          <w:highlight w:val="none"/>
        </w:rPr>
        <w:t>《国家计委关于印发&lt;招标代理服务收费管理暂行办法&gt;的通知》（计价格</w:t>
      </w:r>
      <w:r>
        <w:rPr>
          <w:rFonts w:hint="eastAsia" w:eastAsia="仿宋_GB2312"/>
          <w:color w:val="auto"/>
          <w:sz w:val="24"/>
          <w:highlight w:val="none"/>
          <w:lang w:eastAsia="zh-CN"/>
        </w:rPr>
        <w:t>〔2002〕1980号</w:t>
      </w:r>
      <w:r>
        <w:rPr>
          <w:rFonts w:hint="eastAsia" w:eastAsia="仿宋_GB2312"/>
          <w:color w:val="auto"/>
          <w:sz w:val="24"/>
          <w:highlight w:val="none"/>
        </w:rPr>
        <w:t>）</w:t>
      </w:r>
      <w:r>
        <w:rPr>
          <w:rFonts w:hint="eastAsia" w:eastAsia="仿宋_GB2312"/>
          <w:color w:val="auto"/>
          <w:sz w:val="24"/>
          <w:highlight w:val="none"/>
          <w:lang w:val="en-US" w:eastAsia="zh-CN"/>
        </w:rPr>
        <w:t>的</w:t>
      </w:r>
      <w:r>
        <w:rPr>
          <w:rFonts w:hint="eastAsia" w:eastAsia="仿宋_GB2312"/>
          <w:color w:val="auto"/>
          <w:sz w:val="24"/>
          <w:highlight w:val="none"/>
        </w:rPr>
        <w:t>规定</w:t>
      </w:r>
      <w:r>
        <w:rPr>
          <w:rFonts w:hint="eastAsia" w:eastAsia="仿宋_GB2312"/>
          <w:color w:val="auto"/>
          <w:sz w:val="24"/>
          <w:highlight w:val="none"/>
          <w:lang w:eastAsia="zh-CN"/>
        </w:rPr>
        <w:t>进行</w:t>
      </w:r>
      <w:r>
        <w:rPr>
          <w:rFonts w:hint="eastAsia" w:eastAsia="仿宋_GB2312"/>
          <w:color w:val="auto"/>
          <w:sz w:val="24"/>
          <w:highlight w:val="none"/>
        </w:rPr>
        <w:t>收取</w:t>
      </w:r>
      <w:r>
        <w:rPr>
          <w:rFonts w:eastAsia="仿宋_GB2312"/>
          <w:color w:val="auto"/>
          <w:sz w:val="24"/>
          <w:highlight w:val="none"/>
        </w:rPr>
        <w:t>。</w:t>
      </w:r>
    </w:p>
    <w:p w14:paraId="7439BD22">
      <w:pPr>
        <w:snapToGrid w:val="0"/>
        <w:spacing w:line="360" w:lineRule="auto"/>
        <w:rPr>
          <w:rFonts w:eastAsia="仿宋_GB2312"/>
          <w:color w:val="auto"/>
          <w:sz w:val="24"/>
          <w:highlight w:val="none"/>
        </w:rPr>
      </w:pPr>
      <w:r>
        <w:rPr>
          <w:rFonts w:eastAsia="仿宋_GB2312"/>
          <w:color w:val="auto"/>
          <w:sz w:val="24"/>
          <w:highlight w:val="none"/>
        </w:rPr>
        <w:t>29.2   成交单位的代理服务费交纳信息</w:t>
      </w:r>
    </w:p>
    <w:p w14:paraId="1EAB0378">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银行户名：陕西省采购招标有限责任公司</w:t>
      </w:r>
    </w:p>
    <w:p w14:paraId="6EC2EE9A">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开户银行：中国光大银行西安友谊路支行</w:t>
      </w:r>
    </w:p>
    <w:p w14:paraId="58209C4F">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账    号：78560188000095264</w:t>
      </w:r>
    </w:p>
    <w:p w14:paraId="7DF039BB">
      <w:pPr>
        <w:snapToGrid w:val="0"/>
        <w:spacing w:line="360" w:lineRule="auto"/>
        <w:ind w:firstLine="840" w:firstLineChars="350"/>
        <w:rPr>
          <w:rFonts w:eastAsia="仿宋_GB2312"/>
          <w:color w:val="auto"/>
          <w:sz w:val="24"/>
          <w:highlight w:val="none"/>
        </w:rPr>
      </w:pPr>
      <w:r>
        <w:rPr>
          <w:rFonts w:eastAsia="仿宋_GB2312"/>
          <w:color w:val="auto"/>
          <w:sz w:val="24"/>
          <w:highlight w:val="none"/>
        </w:rPr>
        <w:t>联 系 人：张婕   联系电话：029-85263975</w:t>
      </w:r>
    </w:p>
    <w:p w14:paraId="02C7B4CE">
      <w:pPr>
        <w:pStyle w:val="5"/>
        <w:numPr>
          <w:ilvl w:val="0"/>
          <w:numId w:val="12"/>
        </w:numPr>
        <w:rPr>
          <w:rFonts w:ascii="Times New Roman" w:hAnsi="Times New Roman" w:eastAsia="仿宋_GB2312"/>
          <w:b/>
          <w:bCs/>
          <w:color w:val="auto"/>
          <w:sz w:val="24"/>
          <w:szCs w:val="21"/>
          <w:highlight w:val="none"/>
        </w:rPr>
      </w:pPr>
      <w:bookmarkStart w:id="385" w:name="_Toc1585"/>
      <w:r>
        <w:rPr>
          <w:rFonts w:ascii="Times New Roman" w:hAnsi="Times New Roman" w:eastAsia="仿宋_GB2312"/>
          <w:b/>
          <w:bCs/>
          <w:color w:val="auto"/>
          <w:sz w:val="24"/>
          <w:szCs w:val="21"/>
          <w:highlight w:val="none"/>
        </w:rPr>
        <w:t xml:space="preserve">  采购人追加采购数量的权力</w:t>
      </w:r>
      <w:bookmarkEnd w:id="385"/>
    </w:p>
    <w:p w14:paraId="23E3697B">
      <w:pPr>
        <w:tabs>
          <w:tab w:val="left" w:pos="588"/>
        </w:tabs>
        <w:spacing w:line="360" w:lineRule="auto"/>
        <w:ind w:left="840" w:leftChars="400"/>
        <w:rPr>
          <w:rFonts w:eastAsia="仿宋_GB2312"/>
          <w:color w:val="auto"/>
          <w:sz w:val="24"/>
          <w:highlight w:val="none"/>
        </w:rPr>
      </w:pPr>
      <w:bookmarkStart w:id="386" w:name="_Toc389620205"/>
      <w:bookmarkStart w:id="387" w:name="_Toc385992366"/>
      <w:r>
        <w:rPr>
          <w:rFonts w:eastAsia="仿宋_GB2312"/>
          <w:color w:val="auto"/>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6E0976CF">
      <w:pPr>
        <w:pStyle w:val="5"/>
        <w:numPr>
          <w:ilvl w:val="0"/>
          <w:numId w:val="12"/>
        </w:numPr>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其他情况</w:t>
      </w:r>
    </w:p>
    <w:p w14:paraId="79BA2127">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18A50894">
      <w:pPr>
        <w:pStyle w:val="2"/>
        <w:ind w:left="840" w:hanging="840" w:hangingChars="350"/>
        <w:rPr>
          <w:rFonts w:ascii="Times New Roman" w:hAnsi="Times New Roman" w:eastAsia="仿宋_GB2312"/>
          <w:color w:val="auto"/>
          <w:sz w:val="24"/>
          <w:highlight w:val="none"/>
        </w:rPr>
      </w:pPr>
      <w:r>
        <w:rPr>
          <w:rFonts w:ascii="Times New Roman" w:hAnsi="Times New Roman" w:eastAsia="仿宋_GB2312"/>
          <w:color w:val="auto"/>
          <w:sz w:val="24"/>
          <w:highlight w:val="none"/>
        </w:rPr>
        <w:t>31.2   连续两次进行竞争性磋商活动，因符合磋商要求供应商不足3家，经请示政府采购管理部门同意后，可继续进行竞争性磋商活动。</w:t>
      </w:r>
    </w:p>
    <w:p w14:paraId="6C6C3EC2">
      <w:pPr>
        <w:pStyle w:val="5"/>
        <w:numPr>
          <w:ilvl w:val="0"/>
          <w:numId w:val="12"/>
        </w:numPr>
        <w:rPr>
          <w:rFonts w:ascii="Times New Roman" w:hAnsi="Times New Roman" w:eastAsia="仿宋_GB2312"/>
          <w:b/>
          <w:bCs/>
          <w:color w:val="auto"/>
          <w:sz w:val="24"/>
          <w:szCs w:val="21"/>
          <w:highlight w:val="none"/>
        </w:rPr>
      </w:pPr>
      <w:r>
        <w:rPr>
          <w:rFonts w:ascii="Times New Roman" w:hAnsi="Times New Roman" w:eastAsia="仿宋_GB2312"/>
          <w:b/>
          <w:bCs/>
          <w:color w:val="auto"/>
          <w:sz w:val="24"/>
          <w:szCs w:val="21"/>
          <w:highlight w:val="none"/>
        </w:rPr>
        <w:t xml:space="preserve">   政府采购信用担保及融资</w:t>
      </w:r>
    </w:p>
    <w:bookmarkEnd w:id="386"/>
    <w:bookmarkEnd w:id="387"/>
    <w:p w14:paraId="06E7F71B">
      <w:pPr>
        <w:pStyle w:val="2"/>
        <w:ind w:left="840" w:hanging="840" w:hangingChars="350"/>
        <w:rPr>
          <w:rFonts w:ascii="Times New Roman" w:hAnsi="Times New Roman" w:eastAsia="仿宋_GB2312"/>
          <w:sz w:val="24"/>
        </w:rPr>
      </w:pPr>
      <w:bookmarkStart w:id="388" w:name="_Toc184025279"/>
      <w:bookmarkStart w:id="389" w:name="_Toc184114070"/>
      <w:bookmarkStart w:id="390" w:name="_Toc230013637"/>
      <w:bookmarkStart w:id="391" w:name="_Toc230099802"/>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2F480A9">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57968745">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78BBC65A">
      <w:pPr>
        <w:pStyle w:val="2"/>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6F47E3AA">
      <w:pPr>
        <w:pStyle w:val="2"/>
        <w:ind w:left="772"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A100A62">
      <w:pPr>
        <w:pStyle w:val="2"/>
        <w:tabs>
          <w:tab w:val="left" w:pos="567"/>
        </w:tabs>
        <w:rPr>
          <w:rFonts w:ascii="Times New Roman" w:hAnsi="Times New Roman" w:eastAsia="仿宋_GB2312"/>
          <w:sz w:val="24"/>
          <w:szCs w:val="32"/>
        </w:rPr>
      </w:pPr>
    </w:p>
    <w:p w14:paraId="0ACAD94B">
      <w:pPr>
        <w:pStyle w:val="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1D1E94A9">
      <w:pPr>
        <w:rPr>
          <w:rFonts w:eastAsia="仿宋_GB2312"/>
          <w:b/>
          <w:szCs w:val="21"/>
        </w:rPr>
      </w:pPr>
      <w:r>
        <w:rPr>
          <w:rFonts w:eastAsia="仿宋_GB2312"/>
        </w:rPr>
        <w:t xml:space="preserve"> </w:t>
      </w:r>
      <w:r>
        <w:rPr>
          <w:rFonts w:eastAsia="仿宋_GB2312"/>
          <w:b/>
          <w:szCs w:val="21"/>
        </w:rPr>
        <w:t>一、陕西建行（E政通）</w:t>
      </w:r>
    </w:p>
    <w:p w14:paraId="1B423FAB">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2F37CE06">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A3ABEF4">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1777E14E">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5C8B2C3A">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0D3459FA">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2CD4FF04">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7FB63205">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53652D74">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7DD23C9E">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73E760C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E0B27F7">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280EF819">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232320E6">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F2751D6">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5D548A89">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6D36D61A">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7BE4D594">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3801A8D9">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2EB7BAD2">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7282D76E">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5243E0F3">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3185F77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4EDDFA8">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2EA497F5">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0494BC88">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2EE5EAD">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6FDC423">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20E3675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4F7110CA">
      <w:pPr>
        <w:rPr>
          <w:rFonts w:eastAsia="仿宋_GB2312"/>
          <w:b/>
          <w:szCs w:val="21"/>
        </w:rPr>
      </w:pPr>
      <w:r>
        <w:rPr>
          <w:rFonts w:eastAsia="仿宋_GB2312"/>
          <w:b/>
          <w:szCs w:val="21"/>
        </w:rPr>
        <w:t>三、工商银行（政采贷）</w:t>
      </w:r>
    </w:p>
    <w:p w14:paraId="7390CF9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2CCE57A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45BD1556">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998AB29">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0F21FF17">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236F053F">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3CC5CA23">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77636BF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1382678B">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3AD0609">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167AE1A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58EB9B5">
      <w:pPr>
        <w:rPr>
          <w:rFonts w:eastAsia="仿宋_GB2312"/>
          <w:b/>
          <w:szCs w:val="21"/>
        </w:rPr>
      </w:pPr>
      <w:r>
        <w:rPr>
          <w:rFonts w:eastAsia="仿宋_GB2312"/>
          <w:b/>
          <w:szCs w:val="21"/>
        </w:rPr>
        <w:t>四、中信银行 （政采e贷）</w:t>
      </w:r>
    </w:p>
    <w:p w14:paraId="5AF4E3D9">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42B96E3">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6B377DCE">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56B490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522F2291">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7103D7C1">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09EF0273">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46B5F569">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2FDAC06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73ED101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367D8A39">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2DBE1804">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2EC2C13B">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14AD40A8">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2049CC5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794C9F5F">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7FD7E5D4">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58F47668">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334AEE44">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37A45F2D">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77EFB76F">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717610F1">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171EC3A4">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5A40C964">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6E66C9FB">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7CDA63D2">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20FC0094">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346C2BD3">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21B6D8A3">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1E8B2760">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6E4EC985">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38F40D41">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11F3AC33">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5E67FD5F">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0B10866A">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19CFD66C">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5D46D4BF">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397177F">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3AFE8BDB">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6E1F69B3">
      <w:pPr>
        <w:rPr>
          <w:rFonts w:eastAsia="仿宋_GB2312"/>
          <w:b/>
          <w:szCs w:val="21"/>
        </w:rPr>
      </w:pPr>
      <w:r>
        <w:rPr>
          <w:rFonts w:eastAsia="仿宋_GB2312"/>
          <w:b/>
          <w:szCs w:val="21"/>
        </w:rPr>
        <w:t>六、浦发银行 （政采e贷）</w:t>
      </w:r>
    </w:p>
    <w:p w14:paraId="58D5FE0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6236DB8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625BA76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1C8F5F0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D3363B5">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2DE61FD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40A0B0A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710606C3">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7BD1CCA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7847825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09003BF">
      <w:pPr>
        <w:rPr>
          <w:rFonts w:eastAsia="仿宋_GB2312"/>
          <w:szCs w:val="21"/>
        </w:rPr>
      </w:pPr>
    </w:p>
    <w:p w14:paraId="55AB6FFD">
      <w:pPr>
        <w:rPr>
          <w:rFonts w:eastAsia="仿宋_GB2312"/>
          <w:b/>
          <w:szCs w:val="21"/>
        </w:rPr>
      </w:pPr>
      <w:r>
        <w:rPr>
          <w:rFonts w:eastAsia="仿宋_GB2312"/>
          <w:b/>
          <w:szCs w:val="21"/>
        </w:rPr>
        <w:t>七、兴业银行（政采贷）</w:t>
      </w:r>
    </w:p>
    <w:p w14:paraId="4125576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06AE2B52">
      <w:pPr>
        <w:rPr>
          <w:rFonts w:eastAsia="仿宋_GB2312"/>
          <w:b/>
          <w:szCs w:val="21"/>
        </w:rPr>
      </w:pPr>
      <w:r>
        <w:rPr>
          <w:rFonts w:eastAsia="仿宋_GB2312"/>
          <w:b/>
          <w:szCs w:val="21"/>
        </w:rPr>
        <w:t>八、中国民生银行（政采贷）</w:t>
      </w:r>
    </w:p>
    <w:p w14:paraId="7712A88E">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47967329">
      <w:pPr>
        <w:ind w:left="2310" w:leftChars="200" w:hanging="1890" w:hangingChars="900"/>
        <w:rPr>
          <w:rFonts w:eastAsia="仿宋_GB2312"/>
          <w:szCs w:val="21"/>
        </w:rPr>
      </w:pPr>
      <w:r>
        <w:rPr>
          <w:rFonts w:eastAsia="仿宋_GB2312"/>
          <w:szCs w:val="21"/>
        </w:rPr>
        <w:t xml:space="preserve">联系人：王经理 联系电话：61815280 /18591953690 </w:t>
      </w:r>
    </w:p>
    <w:p w14:paraId="4AA9CB89">
      <w:pPr>
        <w:rPr>
          <w:rFonts w:eastAsia="仿宋_GB2312"/>
          <w:b/>
          <w:szCs w:val="21"/>
        </w:rPr>
      </w:pPr>
      <w:r>
        <w:rPr>
          <w:rFonts w:eastAsia="仿宋_GB2312"/>
          <w:b/>
          <w:szCs w:val="21"/>
        </w:rPr>
        <w:t>九、浙商银行 （政采贷）</w:t>
      </w:r>
    </w:p>
    <w:p w14:paraId="5752B7A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2F1AD2A7">
      <w:pPr>
        <w:rPr>
          <w:rFonts w:eastAsia="仿宋_GB2312"/>
          <w:b/>
          <w:szCs w:val="21"/>
        </w:rPr>
      </w:pPr>
      <w:r>
        <w:rPr>
          <w:rFonts w:eastAsia="仿宋_GB2312"/>
          <w:b/>
          <w:szCs w:val="21"/>
        </w:rPr>
        <w:t xml:space="preserve">十、 招商银行（政采贷） </w:t>
      </w:r>
    </w:p>
    <w:p w14:paraId="2E4D7F3D">
      <w:pPr>
        <w:ind w:firstLine="420" w:firstLineChars="200"/>
        <w:rPr>
          <w:rFonts w:eastAsia="仿宋_GB2312"/>
          <w:szCs w:val="21"/>
        </w:rPr>
      </w:pPr>
      <w:r>
        <w:rPr>
          <w:rFonts w:eastAsia="仿宋_GB2312"/>
          <w:szCs w:val="21"/>
        </w:rPr>
        <w:t>招商银行西安分行   联系人：任瑾；85438988</w:t>
      </w:r>
    </w:p>
    <w:p w14:paraId="0445F2FB">
      <w:pPr>
        <w:rPr>
          <w:rFonts w:eastAsia="仿宋_GB2312"/>
          <w:b/>
          <w:szCs w:val="21"/>
        </w:rPr>
      </w:pPr>
      <w:r>
        <w:rPr>
          <w:rFonts w:eastAsia="仿宋_GB2312"/>
          <w:b/>
          <w:szCs w:val="21"/>
        </w:rPr>
        <w:t xml:space="preserve">十一、 长安银行（小微贷） </w:t>
      </w:r>
    </w:p>
    <w:p w14:paraId="105D2853">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5226A68B">
      <w:pPr>
        <w:ind w:firstLine="420" w:firstLineChars="200"/>
        <w:rPr>
          <w:rFonts w:eastAsia="仿宋_GB2312"/>
          <w:szCs w:val="21"/>
        </w:rPr>
      </w:pPr>
      <w:r>
        <w:rPr>
          <w:rFonts w:eastAsia="仿宋_GB2312"/>
          <w:szCs w:val="21"/>
        </w:rPr>
        <w:t xml:space="preserve">联系人：陈瑶 13629266833 </w:t>
      </w:r>
    </w:p>
    <w:p w14:paraId="5DFA04A7">
      <w:pPr>
        <w:rPr>
          <w:rFonts w:ascii="仿宋_GB2312" w:hAnsi="仿宋_GB2312" w:eastAsia="仿宋_GB2312" w:cs="仿宋_GB2312"/>
          <w:b/>
          <w:szCs w:val="21"/>
        </w:rPr>
      </w:pPr>
      <w:r>
        <w:rPr>
          <w:rFonts w:hint="eastAsia" w:ascii="仿宋_GB2312" w:hAnsi="仿宋_GB2312" w:eastAsia="仿宋_GB2312" w:cs="仿宋_GB2312"/>
          <w:b/>
          <w:szCs w:val="21"/>
        </w:rPr>
        <w:t>十二、网商银行（合同贷）</w:t>
      </w:r>
    </w:p>
    <w:p w14:paraId="15C7C1A5">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59533A26">
      <w:pPr>
        <w:pStyle w:val="2"/>
        <w:tabs>
          <w:tab w:val="left" w:pos="567"/>
        </w:tabs>
        <w:rPr>
          <w:rFonts w:ascii="仿宋_GB2312" w:hAnsi="仿宋_GB2312" w:eastAsia="仿宋_GB2312" w:cs="仿宋_GB2312"/>
          <w:szCs w:val="21"/>
        </w:rPr>
      </w:pPr>
    </w:p>
    <w:p w14:paraId="6A1F82EA">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500ED337">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ascii="仿宋_GB2312" w:hAnsi="仿宋_GB2312" w:eastAsia="仿宋_GB2312" w:cs="仿宋_GB2312"/>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79D706A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ascii="仿宋_GB2312" w:hAnsi="仿宋_GB2312" w:eastAsia="仿宋_GB2312" w:cs="仿宋_GB2312"/>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18C4D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ascii="仿宋_GB2312" w:hAnsi="仿宋_GB2312" w:eastAsia="仿宋_GB2312" w:cs="仿宋_GB2312"/>
                <w:szCs w:val="21"/>
              </w:rPr>
            </w:pPr>
          </w:p>
        </w:tc>
      </w:tr>
      <w:tr w14:paraId="6B3A57B4">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ascii="仿宋_GB2312" w:hAnsi="仿宋_GB2312" w:eastAsia="仿宋_GB2312" w:cs="仿宋_GB2312"/>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5C523ED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ascii="仿宋_GB2312" w:hAnsi="仿宋_GB2312" w:eastAsia="仿宋_GB2312" w:cs="仿宋_GB2312"/>
                <w:szCs w:val="21"/>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ascii="仿宋_GB2312" w:hAnsi="仿宋_GB2312" w:eastAsia="仿宋_GB2312" w:cs="仿宋_GB2312"/>
                <w:szCs w:val="21"/>
              </w:rPr>
            </w:pPr>
          </w:p>
        </w:tc>
      </w:tr>
      <w:tr w14:paraId="7DA8C0C2">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3F7B5B8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6629081D">
      <w:pPr>
        <w:pStyle w:val="2"/>
        <w:tabs>
          <w:tab w:val="left" w:pos="567"/>
        </w:tabs>
        <w:rPr>
          <w:rFonts w:ascii="仿宋_GB2312" w:hAnsi="仿宋_GB2312" w:eastAsia="仿宋_GB2312" w:cs="仿宋_GB2312"/>
          <w:szCs w:val="21"/>
        </w:rPr>
      </w:pPr>
    </w:p>
    <w:p w14:paraId="0DBA4DB1">
      <w:pPr>
        <w:pStyle w:val="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73A6E4F9">
      <w:pPr>
        <w:tabs>
          <w:tab w:val="left" w:pos="588"/>
        </w:tabs>
        <w:spacing w:line="360" w:lineRule="auto"/>
        <w:rPr>
          <w:rFonts w:eastAsia="仿宋_GB2312"/>
          <w:color w:val="auto"/>
          <w:sz w:val="24"/>
          <w:highlight w:val="none"/>
        </w:rPr>
      </w:pPr>
      <w:r>
        <w:rPr>
          <w:rFonts w:eastAsia="仿宋_GB2312"/>
          <w:color w:val="auto"/>
          <w:sz w:val="24"/>
          <w:highlight w:val="none"/>
        </w:rPr>
        <w:br w:type="page"/>
      </w:r>
    </w:p>
    <w:bookmarkEnd w:id="388"/>
    <w:bookmarkEnd w:id="389"/>
    <w:bookmarkEnd w:id="390"/>
    <w:bookmarkEnd w:id="391"/>
    <w:p w14:paraId="795ED559">
      <w:pPr>
        <w:pStyle w:val="46"/>
        <w:spacing w:line="360" w:lineRule="auto"/>
        <w:rPr>
          <w:rStyle w:val="207"/>
          <w:rFonts w:ascii="Times New Roman" w:hAnsi="Times New Roman" w:eastAsia="宋体"/>
          <w:color w:val="auto"/>
          <w:sz w:val="36"/>
          <w:szCs w:val="36"/>
          <w:highlight w:val="none"/>
        </w:rPr>
      </w:pPr>
      <w:bookmarkStart w:id="392" w:name="_Toc8116"/>
      <w:bookmarkStart w:id="393" w:name="_Toc58504447"/>
      <w:bookmarkStart w:id="394" w:name="_Toc17469"/>
      <w:r>
        <w:rPr>
          <w:rStyle w:val="207"/>
          <w:rFonts w:ascii="Times New Roman" w:hAnsi="Times New Roman" w:eastAsia="宋体"/>
          <w:color w:val="auto"/>
          <w:sz w:val="36"/>
          <w:szCs w:val="36"/>
          <w:highlight w:val="none"/>
        </w:rPr>
        <w:t>第三章  评审办法和标准</w:t>
      </w:r>
      <w:bookmarkEnd w:id="392"/>
    </w:p>
    <w:p w14:paraId="451647B4">
      <w:pPr>
        <w:tabs>
          <w:tab w:val="left" w:pos="360"/>
          <w:tab w:val="left" w:pos="588"/>
        </w:tabs>
        <w:spacing w:line="360" w:lineRule="auto"/>
        <w:ind w:left="840"/>
        <w:rPr>
          <w:rFonts w:eastAsia="仿宋_GB2312"/>
          <w:color w:val="auto"/>
          <w:sz w:val="24"/>
          <w:highlight w:val="none"/>
        </w:rPr>
      </w:pPr>
    </w:p>
    <w:p w14:paraId="40BF1E9A">
      <w:pPr>
        <w:pStyle w:val="81"/>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rFonts w:hint="eastAsia" w:ascii="仿宋_GB2312" w:hAnsi="仿宋_GB2312" w:eastAsia="仿宋_GB2312" w:cs="仿宋_GB2312"/>
          <w:color w:val="auto"/>
          <w:sz w:val="24"/>
          <w:szCs w:val="24"/>
          <w:highlight w:val="none"/>
        </w:rPr>
      </w:pPr>
      <w:bookmarkStart w:id="395" w:name="_Toc7005040"/>
      <w:bookmarkStart w:id="396" w:name="_Toc29700"/>
      <w:r>
        <w:rPr>
          <w:rFonts w:hint="eastAsia" w:ascii="仿宋_GB2312" w:hAnsi="仿宋_GB2312" w:eastAsia="仿宋_GB2312" w:cs="仿宋_GB2312"/>
          <w:color w:val="auto"/>
          <w:sz w:val="24"/>
          <w:szCs w:val="24"/>
          <w:highlight w:val="none"/>
        </w:rPr>
        <w:t>1.评审方法</w:t>
      </w:r>
      <w:bookmarkEnd w:id="395"/>
      <w:bookmarkEnd w:id="396"/>
    </w:p>
    <w:p w14:paraId="44C5C8CC">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538FB2BF">
      <w:pPr>
        <w:pStyle w:val="81"/>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rFonts w:hint="eastAsia" w:ascii="仿宋_GB2312" w:hAnsi="仿宋_GB2312" w:eastAsia="仿宋_GB2312" w:cs="仿宋_GB2312"/>
          <w:color w:val="auto"/>
          <w:sz w:val="24"/>
          <w:szCs w:val="24"/>
          <w:highlight w:val="none"/>
        </w:rPr>
      </w:pPr>
      <w:bookmarkStart w:id="397" w:name="_Toc7005041"/>
      <w:bookmarkStart w:id="398" w:name="_Toc18133"/>
      <w:r>
        <w:rPr>
          <w:rFonts w:hint="eastAsia" w:ascii="仿宋_GB2312" w:hAnsi="仿宋_GB2312" w:eastAsia="仿宋_GB2312" w:cs="仿宋_GB2312"/>
          <w:color w:val="auto"/>
          <w:sz w:val="24"/>
          <w:szCs w:val="24"/>
          <w:highlight w:val="none"/>
        </w:rPr>
        <w:t>2.评审标准</w:t>
      </w:r>
      <w:bookmarkEnd w:id="397"/>
      <w:bookmarkEnd w:id="398"/>
    </w:p>
    <w:p w14:paraId="2C70CD8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 资格审查和符合性评审标准：见附表一和附表二。</w:t>
      </w:r>
    </w:p>
    <w:p w14:paraId="5BC9B338">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 分值构成：总分100分</w:t>
      </w:r>
    </w:p>
    <w:p w14:paraId="6C9D0C9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bookmarkStart w:id="399" w:name="_Ref426362114"/>
      <w:r>
        <w:rPr>
          <w:rFonts w:hint="eastAsia" w:ascii="仿宋_GB2312" w:hAnsi="仿宋_GB2312" w:eastAsia="仿宋_GB2312" w:cs="仿宋_GB2312"/>
          <w:color w:val="auto"/>
          <w:sz w:val="24"/>
          <w:szCs w:val="24"/>
          <w:highlight w:val="none"/>
        </w:rPr>
        <w:t>2.3 商务和技术评审标准</w:t>
      </w:r>
      <w:bookmarkEnd w:id="399"/>
    </w:p>
    <w:p w14:paraId="284F9CE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bookmarkStart w:id="400" w:name="_Ref426362140"/>
      <w:r>
        <w:rPr>
          <w:rFonts w:hint="eastAsia" w:ascii="仿宋_GB2312" w:hAnsi="仿宋_GB2312" w:eastAsia="仿宋_GB2312" w:cs="仿宋_GB2312"/>
          <w:color w:val="auto"/>
          <w:sz w:val="24"/>
          <w:szCs w:val="24"/>
          <w:highlight w:val="none"/>
        </w:rPr>
        <w:t>2.3.1商务部分评分标准：见附表</w:t>
      </w:r>
      <w:bookmarkEnd w:id="400"/>
    </w:p>
    <w:p w14:paraId="34987713">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bookmarkStart w:id="401" w:name="_Ref426362158"/>
      <w:r>
        <w:rPr>
          <w:rFonts w:hint="eastAsia" w:ascii="仿宋_GB2312" w:hAnsi="仿宋_GB2312" w:eastAsia="仿宋_GB2312" w:cs="仿宋_GB2312"/>
          <w:color w:val="auto"/>
          <w:sz w:val="24"/>
          <w:szCs w:val="24"/>
          <w:highlight w:val="none"/>
        </w:rPr>
        <w:t>2.3.2技术部分评分标准：见附表</w:t>
      </w:r>
      <w:bookmarkEnd w:id="401"/>
    </w:p>
    <w:p w14:paraId="1C752DF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bookmarkStart w:id="402" w:name="_Ref426362176"/>
      <w:r>
        <w:rPr>
          <w:rFonts w:hint="eastAsia" w:ascii="仿宋_GB2312" w:hAnsi="仿宋_GB2312" w:eastAsia="仿宋_GB2312" w:cs="仿宋_GB2312"/>
          <w:color w:val="auto"/>
          <w:sz w:val="24"/>
          <w:szCs w:val="24"/>
          <w:highlight w:val="none"/>
        </w:rPr>
        <w:t>2.3.3报价评分标准：</w:t>
      </w:r>
      <w:bookmarkEnd w:id="402"/>
      <w:r>
        <w:rPr>
          <w:rFonts w:hint="eastAsia" w:ascii="仿宋_GB2312" w:hAnsi="仿宋_GB2312" w:eastAsia="仿宋_GB2312" w:cs="仿宋_GB2312"/>
          <w:color w:val="auto"/>
          <w:sz w:val="24"/>
          <w:szCs w:val="24"/>
          <w:highlight w:val="none"/>
        </w:rPr>
        <w:t>见附表</w:t>
      </w:r>
    </w:p>
    <w:p w14:paraId="2D792413">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（1）根据《关于进一步加大政府采购支持中小企业力度的通知》（财库〔2022〕19号）、《政府采购促进中小企业发展管理办法》（财库〔2020〕46号）、《财政部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文件中提交了《中小企业声明函》、《残疾人福利性单位声明函》或省级以上监狱管理局、戒毒管理局（含新疆生产建设兵团）出具的属于监狱企业的证明文件的</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，其</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报价扣除</w:t>
      </w:r>
      <w:r>
        <w:rPr>
          <w:rFonts w:hint="eastAsia" w:ascii="仿宋_GB2312" w:hAnsi="仿宋_GB2312" w:eastAsia="仿宋_GB2312" w:cs="仿宋_GB2312"/>
          <w:color w:val="auto"/>
          <w:sz w:val="24"/>
          <w:szCs w:val="24"/>
          <w:highlight w:val="none"/>
          <w:u w:val="single"/>
        </w:rPr>
        <w:t xml:space="preserve"> 10% </w:t>
      </w:r>
      <w:r>
        <w:rPr>
          <w:rFonts w:hint="eastAsia" w:ascii="仿宋_GB2312" w:hAnsi="仿宋_GB2312" w:eastAsia="仿宋_GB2312" w:cs="仿宋_GB2312"/>
          <w:color w:val="auto"/>
          <w:sz w:val="24"/>
          <w:szCs w:val="24"/>
          <w:highlight w:val="none"/>
        </w:rPr>
        <w:t>后参与评审。对于同时属于小微企业、监狱企业或残疾人福利性单位的，不重复进行</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报价扣除。</w:t>
      </w:r>
    </w:p>
    <w:p w14:paraId="6D9750CE">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（2）评审基准价：有效响应文件最后报价中的最低报价为评审基准价。</w:t>
      </w:r>
    </w:p>
    <w:p w14:paraId="21D9E968">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（3）供应商报价得分=(评审基准价</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最后报价)×价格分满分分值</w:t>
      </w:r>
    </w:p>
    <w:p w14:paraId="67F4C02F">
      <w:pPr>
        <w:keepNext w:val="0"/>
        <w:keepLines w:val="0"/>
        <w:pageBreakBefore w:val="0"/>
        <w:tabs>
          <w:tab w:val="left" w:pos="588"/>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2.3.4 响应文件出现下列情况之一者，磋商小组在评审过程中按以下原则修正：</w:t>
      </w:r>
    </w:p>
    <w:p w14:paraId="1FAF3E60">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（1）大写金额与小写金额不一致的，以大写金额为准；</w:t>
      </w:r>
    </w:p>
    <w:p w14:paraId="4BEADA38">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（2）总价金额与按单价汇总金额不一致的，以单价金额计算结果为准；</w:t>
      </w:r>
    </w:p>
    <w:p w14:paraId="1D2ED939">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（3）单价金额小数点有明显错位的，应以总价为准，并修改单价；</w:t>
      </w:r>
    </w:p>
    <w:p w14:paraId="2EE03106">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（4）对不同文字文本响应文件的解释发生异议的，以中文文本为准；</w:t>
      </w:r>
    </w:p>
    <w:p w14:paraId="5F2A8A1A">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（5）文字与图表不一致的，以文字为准；</w:t>
      </w:r>
    </w:p>
    <w:p w14:paraId="2731F940">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（6）正本与副本不一致的，以正本为准；</w:t>
      </w:r>
    </w:p>
    <w:p w14:paraId="2BB21667">
      <w:pPr>
        <w:keepNext w:val="0"/>
        <w:keepLines w:val="0"/>
        <w:pageBreakBefore w:val="0"/>
        <w:tabs>
          <w:tab w:val="left" w:pos="588"/>
        </w:tabs>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（7）响应文件的文字叙述与制造厂商的产品样本/检测报告不符时，以产品样本/检测报告为准。</w:t>
      </w:r>
    </w:p>
    <w:p w14:paraId="4ACFD8DD">
      <w:pPr>
        <w:pStyle w:val="81"/>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rFonts w:hint="eastAsia" w:ascii="仿宋_GB2312" w:hAnsi="仿宋_GB2312" w:eastAsia="仿宋_GB2312" w:cs="仿宋_GB2312"/>
          <w:color w:val="auto"/>
          <w:sz w:val="24"/>
          <w:szCs w:val="24"/>
          <w:highlight w:val="none"/>
        </w:rPr>
      </w:pPr>
      <w:bookmarkStart w:id="403" w:name="_Toc7005042"/>
      <w:bookmarkStart w:id="404" w:name="_Toc3575"/>
      <w:r>
        <w:rPr>
          <w:rFonts w:hint="eastAsia" w:ascii="仿宋_GB2312" w:hAnsi="仿宋_GB2312" w:eastAsia="仿宋_GB2312" w:cs="仿宋_GB2312"/>
          <w:color w:val="auto"/>
          <w:sz w:val="24"/>
          <w:szCs w:val="24"/>
          <w:highlight w:val="none"/>
        </w:rPr>
        <w:t>3.评审程序</w:t>
      </w:r>
      <w:bookmarkEnd w:id="403"/>
      <w:bookmarkEnd w:id="404"/>
    </w:p>
    <w:p w14:paraId="49FCD57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bookmarkStart w:id="405" w:name="_Toc7005043"/>
      <w:r>
        <w:rPr>
          <w:rFonts w:hint="eastAsia" w:ascii="仿宋_GB2312" w:hAnsi="仿宋_GB2312" w:eastAsia="仿宋_GB2312" w:cs="仿宋_GB2312"/>
          <w:b/>
          <w:color w:val="auto"/>
          <w:sz w:val="24"/>
          <w:szCs w:val="24"/>
          <w:highlight w:val="none"/>
        </w:rPr>
        <w:t>3.1资格审查及符合性审查</w:t>
      </w:r>
      <w:bookmarkEnd w:id="405"/>
    </w:p>
    <w:p w14:paraId="6B8257E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 采购人或采购代理机构按附表一所列审查标准对供应商资格进行审查，以确定供应商是否具备磋商资格。</w:t>
      </w:r>
    </w:p>
    <w:p w14:paraId="4FEB09E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3.1.2 磋商小组对符合资格要求的响应文件按附表二进行符合性审查，以确定其是否满足磋商文件的实质性要求（见本章内的符合性审查表）。</w:t>
      </w:r>
    </w:p>
    <w:p w14:paraId="4EBDF89C">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4EE5D05D">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磋商小组不接受供应商主动提出的澄清、说明或补正。</w:t>
      </w:r>
    </w:p>
    <w:p w14:paraId="07DDCABB">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供应商的书面澄清、说明和补正属于响应文件的组成部分。</w:t>
      </w:r>
    </w:p>
    <w:p w14:paraId="4C84B17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磋商小组对供应商提交的澄清、说明或补正有疑问的，可以要求供应商进一步澄清、说明或补正，直至满足评审小组的要求。</w:t>
      </w:r>
    </w:p>
    <w:p w14:paraId="216AA1A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3.1.4 不具备磋商文件要求的资格或未通过符合性审查的供应商，不参与磋商，由磋商小组告知该供应商。</w:t>
      </w:r>
    </w:p>
    <w:p w14:paraId="4CCC187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3.1.5 通过资格审查和符合性审查的合格供应商不足3家的，不再进行评审和磋商。</w:t>
      </w:r>
    </w:p>
    <w:p w14:paraId="2C53714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bookmarkStart w:id="406" w:name="_Toc7005044"/>
      <w:r>
        <w:rPr>
          <w:rFonts w:hint="eastAsia" w:ascii="仿宋_GB2312" w:hAnsi="仿宋_GB2312" w:eastAsia="仿宋_GB2312" w:cs="仿宋_GB2312"/>
          <w:b/>
          <w:color w:val="auto"/>
          <w:sz w:val="24"/>
          <w:szCs w:val="24"/>
          <w:highlight w:val="none"/>
        </w:rPr>
        <w:t>3.2 磋商</w:t>
      </w:r>
      <w:bookmarkEnd w:id="406"/>
    </w:p>
    <w:p w14:paraId="51D33B3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3.2.1按“供应商须知”第五条规定，由磋商小组与供应商进行磋商。</w:t>
      </w:r>
    </w:p>
    <w:p w14:paraId="42E9A68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5BA4B944">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3.2.3 磋商结束后，磋商小组可以要求所有继续参加磋商的供应商在规定时间内提交最后报价函，提交最后报价函的供应商不得少于3家。</w:t>
      </w:r>
    </w:p>
    <w:p w14:paraId="7E4BFA1D">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bookmarkStart w:id="407" w:name="_Toc7005045"/>
      <w:r>
        <w:rPr>
          <w:rFonts w:hint="eastAsia" w:ascii="仿宋_GB2312" w:hAnsi="仿宋_GB2312" w:eastAsia="仿宋_GB2312" w:cs="仿宋_GB2312"/>
          <w:b/>
          <w:color w:val="auto"/>
          <w:sz w:val="24"/>
          <w:szCs w:val="24"/>
          <w:highlight w:val="none"/>
        </w:rPr>
        <w:t>3.3评审</w:t>
      </w:r>
      <w:bookmarkEnd w:id="407"/>
    </w:p>
    <w:p w14:paraId="1AFD91D0">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3.3.1 比较与评价</w:t>
      </w:r>
    </w:p>
    <w:p w14:paraId="5D9C3A3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磋商小组按本章第2.3款[商务和技术评审标准]对供应商提交的响应文件（包括最后报价函）进行商务和技术评估，综合比较与评价。</w:t>
      </w:r>
    </w:p>
    <w:p w14:paraId="2DB78B1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197CE805">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3.3.2 磋商小组按本章第2.3款规定的量化因素和分值进行打分，并计算出综合评估得分。</w:t>
      </w:r>
    </w:p>
    <w:p w14:paraId="7973842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（1）按本章第2.3.1项规定的评审因素和分值对商务部分计算出得分A；</w:t>
      </w:r>
    </w:p>
    <w:p w14:paraId="70F69676">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（2）按本章第2.3.2项规定的评审因素和分值对技术部分计算出得分B；</w:t>
      </w:r>
    </w:p>
    <w:p w14:paraId="2FB10281">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（3）按本章第2.3.3项规定的评审因素和分值对报价部分计算出得分C。</w:t>
      </w:r>
    </w:p>
    <w:p w14:paraId="146222C9">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3.3.3评分分值计算保留小数点后两位，小数点后第三位“四舍五入”。</w:t>
      </w:r>
    </w:p>
    <w:p w14:paraId="60106483">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3.3.4供应商得分=A＋B＋C</w:t>
      </w:r>
    </w:p>
    <w:p w14:paraId="20AEE7F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3.4 评审结果</w:t>
      </w:r>
    </w:p>
    <w:p w14:paraId="2C2EDA47">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3.4.1 除第二章“供应商须知”前附表授权直接确定成交供应商外，磋商小组按照得分由高到低的顺序推荐3名成交候选人。</w:t>
      </w:r>
    </w:p>
    <w:p w14:paraId="5A509EA2">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3.4.2 磋商小组完成评审后，应当向采购人提交书面评审报告。</w:t>
      </w:r>
    </w:p>
    <w:p w14:paraId="03C90FAB">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br w:type="page"/>
      </w:r>
    </w:p>
    <w:p w14:paraId="47413E24">
      <w:pPr>
        <w:spacing w:line="360" w:lineRule="auto"/>
        <w:jc w:val="cente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附表一 资格审查表</w:t>
      </w:r>
    </w:p>
    <w:tbl>
      <w:tblPr>
        <w:tblStyle w:val="50"/>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7684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noWrap w:val="0"/>
            <w:vAlign w:val="center"/>
          </w:tcPr>
          <w:p w14:paraId="055FF20B">
            <w:pPr>
              <w:pStyle w:val="307"/>
              <w:ind w:left="117" w:right="111" w:firstLine="17"/>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pacing w:val="-17"/>
                <w:sz w:val="21"/>
                <w:szCs w:val="21"/>
                <w:highlight w:val="none"/>
                <w:lang w:eastAsia="zh-CN"/>
              </w:rPr>
              <w:t>序号</w:t>
            </w:r>
          </w:p>
        </w:tc>
        <w:tc>
          <w:tcPr>
            <w:tcW w:w="2228" w:type="dxa"/>
            <w:noWrap w:val="0"/>
            <w:vAlign w:val="center"/>
          </w:tcPr>
          <w:p w14:paraId="22789CFE">
            <w:pPr>
              <w:pStyle w:val="307"/>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pacing w:val="-5"/>
                <w:sz w:val="21"/>
                <w:szCs w:val="21"/>
                <w:highlight w:val="none"/>
                <w:lang w:eastAsia="zh-CN"/>
              </w:rPr>
              <w:t>审查要素</w:t>
            </w:r>
          </w:p>
        </w:tc>
        <w:tc>
          <w:tcPr>
            <w:tcW w:w="4966" w:type="dxa"/>
            <w:noWrap w:val="0"/>
            <w:vAlign w:val="center"/>
          </w:tcPr>
          <w:p w14:paraId="03F2F974">
            <w:pPr>
              <w:pStyle w:val="307"/>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pacing w:val="-4"/>
                <w:sz w:val="21"/>
                <w:szCs w:val="21"/>
                <w:highlight w:val="none"/>
                <w:lang w:eastAsia="zh-CN"/>
              </w:rPr>
              <w:t>审查</w:t>
            </w:r>
            <w:r>
              <w:rPr>
                <w:rFonts w:hint="eastAsia" w:ascii="仿宋_GB2312" w:hAnsi="仿宋_GB2312" w:eastAsia="仿宋_GB2312" w:cs="仿宋_GB2312"/>
                <w:b/>
                <w:bCs/>
                <w:color w:val="auto"/>
                <w:spacing w:val="-4"/>
                <w:sz w:val="21"/>
                <w:szCs w:val="21"/>
                <w:highlight w:val="none"/>
              </w:rPr>
              <w:t>标准</w:t>
            </w:r>
          </w:p>
        </w:tc>
        <w:tc>
          <w:tcPr>
            <w:tcW w:w="1122" w:type="dxa"/>
            <w:noWrap w:val="0"/>
            <w:vAlign w:val="center"/>
          </w:tcPr>
          <w:p w14:paraId="6FEC933B">
            <w:pPr>
              <w:pStyle w:val="307"/>
              <w:jc w:val="center"/>
              <w:rPr>
                <w:rFonts w:hint="eastAsia" w:ascii="仿宋_GB2312" w:hAnsi="仿宋_GB2312" w:eastAsia="仿宋_GB2312" w:cs="仿宋_GB2312"/>
                <w:b/>
                <w:bCs/>
                <w:color w:val="auto"/>
                <w:spacing w:val="-4"/>
                <w:sz w:val="21"/>
                <w:szCs w:val="21"/>
                <w:highlight w:val="none"/>
                <w:lang w:eastAsia="zh-CN"/>
              </w:rPr>
            </w:pPr>
            <w:r>
              <w:rPr>
                <w:rFonts w:hint="eastAsia" w:ascii="仿宋_GB2312" w:hAnsi="仿宋_GB2312" w:eastAsia="仿宋_GB2312" w:cs="仿宋_GB2312"/>
                <w:b/>
                <w:bCs/>
                <w:color w:val="auto"/>
                <w:spacing w:val="-4"/>
                <w:sz w:val="21"/>
                <w:szCs w:val="21"/>
                <w:highlight w:val="none"/>
                <w:lang w:eastAsia="zh-CN"/>
              </w:rPr>
              <w:t>审查结论</w:t>
            </w:r>
          </w:p>
        </w:tc>
      </w:tr>
      <w:tr w14:paraId="179A2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noWrap w:val="0"/>
            <w:vAlign w:val="center"/>
          </w:tcPr>
          <w:p w14:paraId="5CCCBD4F">
            <w:pPr>
              <w:pStyle w:val="307"/>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w:t>
            </w:r>
          </w:p>
        </w:tc>
        <w:tc>
          <w:tcPr>
            <w:tcW w:w="2228" w:type="dxa"/>
            <w:noWrap w:val="0"/>
            <w:vAlign w:val="center"/>
          </w:tcPr>
          <w:p w14:paraId="257D49FB">
            <w:pPr>
              <w:pStyle w:val="307"/>
              <w:ind w:right="27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pacing w:val="-2"/>
                <w:sz w:val="21"/>
                <w:szCs w:val="21"/>
                <w:highlight w:val="none"/>
                <w:lang w:eastAsia="zh-CN"/>
              </w:rPr>
              <w:t>主体证明文件</w:t>
            </w:r>
          </w:p>
        </w:tc>
        <w:tc>
          <w:tcPr>
            <w:tcW w:w="4966" w:type="dxa"/>
            <w:noWrap w:val="0"/>
            <w:vAlign w:val="top"/>
          </w:tcPr>
          <w:p w14:paraId="5059191E">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（1）供应商是企业（包括合伙企业）的，应提供其在市场监督管理部门注册的有效“营业执照”的复印件；</w:t>
            </w:r>
          </w:p>
          <w:p w14:paraId="1A422AC3">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（2）供应商是事业单位的，应提供其有效的“事业单位法人证书”复印件；</w:t>
            </w:r>
          </w:p>
          <w:p w14:paraId="2258FC01">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（3）供应商是非企业专业服务机构的，应提供其有效的“执业许可证”复印件；</w:t>
            </w:r>
          </w:p>
          <w:p w14:paraId="17247428">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（4）供应商是民办非企业单位的，应提供其有效的登记证书复印件；</w:t>
            </w:r>
          </w:p>
          <w:p w14:paraId="6109D864">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（5）供应商是个体工商户的，应提供其有效的“营 业执照”复印件；</w:t>
            </w:r>
          </w:p>
          <w:p w14:paraId="727B2A0C">
            <w:pPr>
              <w:pStyle w:val="307"/>
              <w:ind w:left="131" w:right="239" w:hanging="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（6）供应商是自然人的，应提供其有效的自然人身份证明复印件。</w:t>
            </w:r>
          </w:p>
        </w:tc>
        <w:tc>
          <w:tcPr>
            <w:tcW w:w="1122" w:type="dxa"/>
            <w:noWrap w:val="0"/>
            <w:vAlign w:val="top"/>
          </w:tcPr>
          <w:p w14:paraId="2AEB8C09">
            <w:pPr>
              <w:pStyle w:val="307"/>
              <w:ind w:left="531" w:right="239" w:hanging="409"/>
              <w:rPr>
                <w:rFonts w:hint="eastAsia" w:ascii="仿宋_GB2312" w:hAnsi="仿宋_GB2312" w:eastAsia="仿宋_GB2312" w:cs="仿宋_GB2312"/>
                <w:color w:val="auto"/>
                <w:position w:val="-5"/>
                <w:sz w:val="21"/>
                <w:szCs w:val="21"/>
                <w:highlight w:val="none"/>
                <w:lang w:eastAsia="zh-CN"/>
              </w:rPr>
            </w:pPr>
          </w:p>
        </w:tc>
      </w:tr>
      <w:tr w14:paraId="63AD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noWrap w:val="0"/>
            <w:vAlign w:val="center"/>
          </w:tcPr>
          <w:p w14:paraId="3A515717">
            <w:pPr>
              <w:pStyle w:val="307"/>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2228" w:type="dxa"/>
            <w:shd w:val="clear" w:color="auto" w:fill="auto"/>
            <w:noWrap w:val="0"/>
            <w:vAlign w:val="center"/>
          </w:tcPr>
          <w:p w14:paraId="007A49C0">
            <w:pPr>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基本资格条件承诺函</w:t>
            </w:r>
          </w:p>
        </w:tc>
        <w:tc>
          <w:tcPr>
            <w:tcW w:w="4966" w:type="dxa"/>
            <w:shd w:val="clear" w:color="auto" w:fill="auto"/>
            <w:noWrap w:val="0"/>
            <w:vAlign w:val="center"/>
          </w:tcPr>
          <w:p w14:paraId="35112AEF">
            <w:pPr>
              <w:snapToGrid w:val="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根据《陕西省西咸新区财政金融局</w:t>
            </w:r>
            <w:r>
              <w:rPr>
                <w:rFonts w:hint="eastAsia" w:ascii="仿宋_GB2312" w:hAnsi="仿宋_GB2312" w:eastAsia="仿宋_GB2312" w:cs="仿宋_GB2312"/>
                <w:color w:val="auto"/>
                <w:szCs w:val="21"/>
                <w:highlight w:val="none"/>
              </w:rPr>
              <w:t>关于全面推行政府采购供应商基本资格条件承诺制的通知</w:t>
            </w:r>
            <w:r>
              <w:rPr>
                <w:rFonts w:hint="eastAsia" w:ascii="仿宋_GB2312" w:hAnsi="仿宋_GB2312" w:eastAsia="仿宋_GB2312" w:cs="仿宋_GB2312"/>
                <w:color w:val="auto"/>
                <w:szCs w:val="21"/>
                <w:highlight w:val="none"/>
                <w:lang w:val="en-US" w:eastAsia="zh-CN"/>
              </w:rPr>
              <w:t>》（陕西咸财金发〔2023〕119号），供应商须提供基本资格条件承诺函。</w:t>
            </w:r>
          </w:p>
        </w:tc>
        <w:tc>
          <w:tcPr>
            <w:tcW w:w="1122" w:type="dxa"/>
            <w:noWrap w:val="0"/>
            <w:vAlign w:val="top"/>
          </w:tcPr>
          <w:p w14:paraId="46640F7C">
            <w:pPr>
              <w:pStyle w:val="307"/>
              <w:ind w:left="111" w:right="237"/>
              <w:rPr>
                <w:rFonts w:hint="eastAsia" w:ascii="仿宋_GB2312" w:hAnsi="仿宋_GB2312" w:eastAsia="仿宋_GB2312" w:cs="仿宋_GB2312"/>
                <w:color w:val="auto"/>
                <w:sz w:val="21"/>
                <w:szCs w:val="21"/>
                <w:highlight w:val="none"/>
              </w:rPr>
            </w:pPr>
          </w:p>
        </w:tc>
      </w:tr>
      <w:tr w14:paraId="66C53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708" w:type="dxa"/>
            <w:noWrap w:val="0"/>
            <w:vAlign w:val="center"/>
          </w:tcPr>
          <w:p w14:paraId="7BCC63C4">
            <w:pPr>
              <w:pStyle w:val="307"/>
              <w:jc w:val="center"/>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3</w:t>
            </w:r>
          </w:p>
        </w:tc>
        <w:tc>
          <w:tcPr>
            <w:tcW w:w="2228" w:type="dxa"/>
            <w:noWrap w:val="0"/>
            <w:vAlign w:val="center"/>
          </w:tcPr>
          <w:p w14:paraId="32E74D3A">
            <w:pPr>
              <w:pStyle w:val="307"/>
              <w:ind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供应商不得存在的情形</w:t>
            </w:r>
          </w:p>
        </w:tc>
        <w:tc>
          <w:tcPr>
            <w:tcW w:w="4966" w:type="dxa"/>
            <w:noWrap w:val="0"/>
            <w:vAlign w:val="top"/>
          </w:tcPr>
          <w:p w14:paraId="17AEA056">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（1）单位负责人为同一人或者存在直接控股、管理关系的不同供应商，不得参加同一合同项下的政府采购活动；</w:t>
            </w:r>
          </w:p>
          <w:p w14:paraId="786957C9">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（2）为本项目提供整体设计、规范编制或者项目管理、监理、检测等服务的供应商，不得再参加该采购项目的其他采购活动。</w:t>
            </w:r>
          </w:p>
          <w:p w14:paraId="7A6CCBA1">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（3）本项目不接受联合体投标。</w:t>
            </w:r>
          </w:p>
        </w:tc>
        <w:tc>
          <w:tcPr>
            <w:tcW w:w="1122" w:type="dxa"/>
            <w:noWrap w:val="0"/>
            <w:vAlign w:val="top"/>
          </w:tcPr>
          <w:p w14:paraId="60422E84">
            <w:pPr>
              <w:pStyle w:val="307"/>
              <w:ind w:left="111" w:right="237"/>
              <w:rPr>
                <w:rFonts w:hint="eastAsia" w:ascii="仿宋_GB2312" w:hAnsi="仿宋_GB2312" w:eastAsia="仿宋_GB2312" w:cs="仿宋_GB2312"/>
                <w:color w:val="auto"/>
                <w:sz w:val="21"/>
                <w:szCs w:val="21"/>
                <w:highlight w:val="none"/>
                <w:lang w:eastAsia="zh-CN"/>
              </w:rPr>
            </w:pPr>
          </w:p>
        </w:tc>
      </w:tr>
      <w:tr w14:paraId="69FA6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trPr>
        <w:tc>
          <w:tcPr>
            <w:tcW w:w="708" w:type="dxa"/>
            <w:noWrap w:val="0"/>
            <w:vAlign w:val="center"/>
          </w:tcPr>
          <w:p w14:paraId="60FD4645">
            <w:pPr>
              <w:pStyle w:val="307"/>
              <w:jc w:val="center"/>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4</w:t>
            </w:r>
          </w:p>
        </w:tc>
        <w:tc>
          <w:tcPr>
            <w:tcW w:w="2228" w:type="dxa"/>
            <w:noWrap w:val="0"/>
            <w:vAlign w:val="center"/>
          </w:tcPr>
          <w:p w14:paraId="430F50B4">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法定代表人/单位负责人身份证明书、授权委托书及委托代理人在本单位缴纳养老保险证明</w:t>
            </w:r>
          </w:p>
        </w:tc>
        <w:tc>
          <w:tcPr>
            <w:tcW w:w="4966" w:type="dxa"/>
            <w:noWrap w:val="0"/>
            <w:vAlign w:val="center"/>
          </w:tcPr>
          <w:p w14:paraId="397052DB">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（1）法定代表人或单位负责人参加磋商的，应提供法定代表人或单位负责人身份证明；</w:t>
            </w:r>
          </w:p>
          <w:p w14:paraId="3885F8E3">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（2）委托代理人参加磋商的，应提供法定代表人或单位负责人身份证明、授权委托书及委托代理人在本单位缴纳养老保险证明。</w:t>
            </w:r>
          </w:p>
        </w:tc>
        <w:tc>
          <w:tcPr>
            <w:tcW w:w="1122" w:type="dxa"/>
            <w:noWrap w:val="0"/>
            <w:vAlign w:val="top"/>
          </w:tcPr>
          <w:p w14:paraId="28FC9595">
            <w:pPr>
              <w:pStyle w:val="307"/>
              <w:ind w:left="111" w:right="237"/>
              <w:rPr>
                <w:rFonts w:hint="eastAsia" w:ascii="仿宋_GB2312" w:hAnsi="仿宋_GB2312" w:eastAsia="仿宋_GB2312" w:cs="仿宋_GB2312"/>
                <w:color w:val="auto"/>
                <w:sz w:val="21"/>
                <w:szCs w:val="21"/>
                <w:highlight w:val="none"/>
                <w:lang w:eastAsia="zh-CN"/>
              </w:rPr>
            </w:pPr>
          </w:p>
        </w:tc>
      </w:tr>
      <w:tr w14:paraId="4B3D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708" w:type="dxa"/>
            <w:noWrap w:val="0"/>
            <w:vAlign w:val="center"/>
          </w:tcPr>
          <w:p w14:paraId="0B4AF828">
            <w:pPr>
              <w:pStyle w:val="307"/>
              <w:jc w:val="center"/>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5</w:t>
            </w:r>
          </w:p>
        </w:tc>
        <w:tc>
          <w:tcPr>
            <w:tcW w:w="2228" w:type="dxa"/>
            <w:shd w:val="clear" w:color="auto" w:fill="auto"/>
            <w:noWrap w:val="0"/>
            <w:vAlign w:val="center"/>
          </w:tcPr>
          <w:p w14:paraId="2592789F">
            <w:pPr>
              <w:snapToGrid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Cs w:val="21"/>
                <w:highlight w:val="none"/>
                <w:lang w:val="en-US" w:eastAsia="zh-CN"/>
              </w:rPr>
              <w:t>中小企业</w:t>
            </w:r>
          </w:p>
        </w:tc>
        <w:tc>
          <w:tcPr>
            <w:tcW w:w="4966" w:type="dxa"/>
            <w:shd w:val="clear" w:color="auto" w:fill="auto"/>
            <w:noWrap w:val="0"/>
            <w:vAlign w:val="center"/>
          </w:tcPr>
          <w:p w14:paraId="340F249A">
            <w:pPr>
              <w:snapToGrid w:val="0"/>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本项目为专门面向中小企业的项目，供应商应为中小微企业、监狱企业或残疾人福利性单位。</w:t>
            </w:r>
          </w:p>
        </w:tc>
        <w:tc>
          <w:tcPr>
            <w:tcW w:w="1122" w:type="dxa"/>
            <w:noWrap w:val="0"/>
            <w:vAlign w:val="center"/>
          </w:tcPr>
          <w:p w14:paraId="1BDCBA7D">
            <w:pPr>
              <w:pStyle w:val="307"/>
              <w:ind w:left="111" w:right="237"/>
              <w:rPr>
                <w:rFonts w:hint="eastAsia" w:ascii="仿宋_GB2312" w:hAnsi="仿宋_GB2312" w:eastAsia="仿宋_GB2312" w:cs="仿宋_GB2312"/>
                <w:color w:val="auto"/>
                <w:sz w:val="21"/>
                <w:szCs w:val="21"/>
                <w:highlight w:val="none"/>
                <w:lang w:eastAsia="zh-CN"/>
              </w:rPr>
            </w:pPr>
          </w:p>
        </w:tc>
      </w:tr>
      <w:tr w14:paraId="3C31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708" w:type="dxa"/>
            <w:noWrap w:val="0"/>
            <w:vAlign w:val="center"/>
          </w:tcPr>
          <w:p w14:paraId="0A61D064">
            <w:pPr>
              <w:pStyle w:val="307"/>
              <w:jc w:val="center"/>
              <w:rPr>
                <w:rFonts w:hint="eastAsia" w:ascii="仿宋_GB2312" w:hAnsi="仿宋_GB2312" w:eastAsia="仿宋_GB2312" w:cs="仿宋_GB2312"/>
                <w:color w:val="auto"/>
                <w:spacing w:val="-4"/>
                <w:sz w:val="21"/>
                <w:szCs w:val="21"/>
                <w:highlight w:val="none"/>
                <w:lang w:val="en-US" w:eastAsia="zh-CN"/>
              </w:rPr>
            </w:pPr>
            <w:r>
              <w:rPr>
                <w:rFonts w:hint="eastAsia" w:ascii="仿宋_GB2312" w:hAnsi="仿宋_GB2312" w:eastAsia="仿宋_GB2312" w:cs="仿宋_GB2312"/>
                <w:color w:val="auto"/>
                <w:spacing w:val="-4"/>
                <w:sz w:val="21"/>
                <w:szCs w:val="21"/>
                <w:highlight w:val="none"/>
                <w:lang w:val="en-US" w:eastAsia="zh-CN"/>
              </w:rPr>
              <w:t>6</w:t>
            </w:r>
          </w:p>
        </w:tc>
        <w:tc>
          <w:tcPr>
            <w:tcW w:w="2228" w:type="dxa"/>
            <w:noWrap w:val="0"/>
            <w:vAlign w:val="center"/>
          </w:tcPr>
          <w:p w14:paraId="0776B394">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法律、行政法规规定的其他条件</w:t>
            </w:r>
          </w:p>
        </w:tc>
        <w:tc>
          <w:tcPr>
            <w:tcW w:w="4966" w:type="dxa"/>
            <w:noWrap w:val="0"/>
            <w:vAlign w:val="center"/>
          </w:tcPr>
          <w:p w14:paraId="32139202">
            <w:pPr>
              <w:pStyle w:val="307"/>
              <w:ind w:left="111" w:right="237"/>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不存在违反法律法规的情况</w:t>
            </w:r>
          </w:p>
        </w:tc>
        <w:tc>
          <w:tcPr>
            <w:tcW w:w="1122" w:type="dxa"/>
            <w:noWrap w:val="0"/>
            <w:vAlign w:val="center"/>
          </w:tcPr>
          <w:p w14:paraId="73E7FA24">
            <w:pPr>
              <w:pStyle w:val="307"/>
              <w:ind w:left="111" w:right="237"/>
              <w:rPr>
                <w:rFonts w:hint="eastAsia" w:ascii="仿宋_GB2312" w:hAnsi="仿宋_GB2312" w:eastAsia="仿宋_GB2312" w:cs="仿宋_GB2312"/>
                <w:color w:val="auto"/>
                <w:sz w:val="21"/>
                <w:szCs w:val="21"/>
                <w:highlight w:val="none"/>
                <w:lang w:eastAsia="zh-CN"/>
              </w:rPr>
            </w:pPr>
          </w:p>
        </w:tc>
      </w:tr>
    </w:tbl>
    <w:p w14:paraId="69D8337F">
      <w:pPr>
        <w:spacing w:line="360" w:lineRule="auto"/>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Cs w:val="21"/>
          <w:highlight w:val="none"/>
        </w:rPr>
        <w:br w:type="page"/>
      </w:r>
      <w:r>
        <w:rPr>
          <w:rFonts w:hint="eastAsia" w:ascii="仿宋_GB2312" w:hAnsi="仿宋_GB2312" w:eastAsia="仿宋_GB2312" w:cs="仿宋_GB2312"/>
          <w:b/>
          <w:color w:val="auto"/>
          <w:sz w:val="30"/>
          <w:szCs w:val="30"/>
          <w:highlight w:val="none"/>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41E1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09D96B3">
            <w:pPr>
              <w:pStyle w:val="2"/>
              <w:tabs>
                <w:tab w:val="left" w:pos="567"/>
              </w:tabs>
              <w:spacing w:line="240" w:lineRule="auto"/>
              <w:jc w:val="center"/>
              <w:rPr>
                <w:rFonts w:hint="eastAsia" w:ascii="仿宋_GB2312" w:hAnsi="仿宋_GB2312" w:eastAsia="仿宋_GB2312" w:cs="仿宋_GB2312"/>
                <w:b/>
                <w:bCs/>
                <w:color w:val="auto"/>
                <w:sz w:val="21"/>
                <w:szCs w:val="21"/>
                <w:highlight w:val="none"/>
              </w:rPr>
            </w:pPr>
            <w:bookmarkStart w:id="408" w:name="_Toc414446034"/>
            <w:bookmarkStart w:id="409" w:name="_Toc410631198"/>
            <w:bookmarkStart w:id="410" w:name="_Toc7005048"/>
            <w:r>
              <w:rPr>
                <w:rFonts w:hint="eastAsia" w:ascii="仿宋_GB2312" w:hAnsi="仿宋_GB2312" w:eastAsia="仿宋_GB2312" w:cs="仿宋_GB2312"/>
                <w:b/>
                <w:bCs/>
                <w:color w:val="auto"/>
                <w:sz w:val="21"/>
                <w:szCs w:val="21"/>
                <w:highlight w:val="none"/>
              </w:rPr>
              <w:t>序号</w:t>
            </w:r>
          </w:p>
        </w:tc>
        <w:tc>
          <w:tcPr>
            <w:tcW w:w="1512" w:type="dxa"/>
            <w:noWrap w:val="0"/>
            <w:vAlign w:val="center"/>
          </w:tcPr>
          <w:p w14:paraId="4E0FD076">
            <w:pPr>
              <w:pStyle w:val="2"/>
              <w:tabs>
                <w:tab w:val="left" w:pos="567"/>
              </w:tabs>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审查要素</w:t>
            </w:r>
          </w:p>
        </w:tc>
        <w:tc>
          <w:tcPr>
            <w:tcW w:w="5370" w:type="dxa"/>
            <w:noWrap w:val="0"/>
            <w:vAlign w:val="center"/>
          </w:tcPr>
          <w:p w14:paraId="1012C672">
            <w:pPr>
              <w:pStyle w:val="2"/>
              <w:tabs>
                <w:tab w:val="left" w:pos="567"/>
              </w:tabs>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审查标准</w:t>
            </w:r>
          </w:p>
        </w:tc>
        <w:tc>
          <w:tcPr>
            <w:tcW w:w="1623" w:type="dxa"/>
            <w:noWrap w:val="0"/>
            <w:vAlign w:val="center"/>
          </w:tcPr>
          <w:p w14:paraId="16D79B76">
            <w:pPr>
              <w:pStyle w:val="2"/>
              <w:tabs>
                <w:tab w:val="left" w:pos="567"/>
              </w:tabs>
              <w:spacing w:line="240" w:lineRule="auto"/>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审查结果</w:t>
            </w:r>
          </w:p>
        </w:tc>
      </w:tr>
      <w:tr w14:paraId="5EB5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58D07E60">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512" w:type="dxa"/>
            <w:noWrap w:val="0"/>
            <w:vAlign w:val="center"/>
          </w:tcPr>
          <w:p w14:paraId="0CD4E6C7">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响应文件签署、盖章</w:t>
            </w:r>
          </w:p>
        </w:tc>
        <w:tc>
          <w:tcPr>
            <w:tcW w:w="5370" w:type="dxa"/>
            <w:noWrap w:val="0"/>
            <w:vAlign w:val="center"/>
          </w:tcPr>
          <w:p w14:paraId="312A2F9B">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响应文件按采购文件要求签署、盖章</w:t>
            </w:r>
          </w:p>
        </w:tc>
        <w:tc>
          <w:tcPr>
            <w:tcW w:w="1623" w:type="dxa"/>
            <w:noWrap w:val="0"/>
            <w:vAlign w:val="center"/>
          </w:tcPr>
          <w:p w14:paraId="47EF31CD">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17CF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C8D1903">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512" w:type="dxa"/>
            <w:noWrap w:val="0"/>
            <w:vAlign w:val="center"/>
          </w:tcPr>
          <w:p w14:paraId="4E6D132C">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响应文件有效期</w:t>
            </w:r>
          </w:p>
        </w:tc>
        <w:tc>
          <w:tcPr>
            <w:tcW w:w="5370" w:type="dxa"/>
            <w:noWrap w:val="0"/>
            <w:vAlign w:val="center"/>
          </w:tcPr>
          <w:p w14:paraId="284E54E2">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响应文件有效期有效期满足采购文件要求</w:t>
            </w:r>
          </w:p>
        </w:tc>
        <w:tc>
          <w:tcPr>
            <w:tcW w:w="1623" w:type="dxa"/>
            <w:noWrap w:val="0"/>
            <w:vAlign w:val="center"/>
          </w:tcPr>
          <w:p w14:paraId="25A39290">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580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BEC48B0">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512" w:type="dxa"/>
            <w:noWrap w:val="0"/>
            <w:vAlign w:val="center"/>
          </w:tcPr>
          <w:p w14:paraId="287596EF">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首次磋商报价</w:t>
            </w:r>
          </w:p>
        </w:tc>
        <w:tc>
          <w:tcPr>
            <w:tcW w:w="5370" w:type="dxa"/>
            <w:noWrap w:val="0"/>
            <w:vAlign w:val="center"/>
          </w:tcPr>
          <w:p w14:paraId="1AF7A30A">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供应商首次磋商报价没有超出采购预算或最高限价</w:t>
            </w:r>
          </w:p>
        </w:tc>
        <w:tc>
          <w:tcPr>
            <w:tcW w:w="1623" w:type="dxa"/>
            <w:noWrap w:val="0"/>
            <w:vAlign w:val="center"/>
          </w:tcPr>
          <w:p w14:paraId="77EB8C19">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30A6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80" w:type="dxa"/>
            <w:noWrap w:val="0"/>
            <w:vAlign w:val="center"/>
          </w:tcPr>
          <w:p w14:paraId="30279EFA">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512" w:type="dxa"/>
            <w:noWrap w:val="0"/>
            <w:vAlign w:val="center"/>
          </w:tcPr>
          <w:p w14:paraId="6770A40A">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预防不正当竞争</w:t>
            </w:r>
          </w:p>
        </w:tc>
        <w:tc>
          <w:tcPr>
            <w:tcW w:w="5370" w:type="dxa"/>
            <w:noWrap w:val="0"/>
            <w:vAlign w:val="center"/>
          </w:tcPr>
          <w:p w14:paraId="02752316">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供应商的报价不存在明显低于其他</w:t>
            </w:r>
            <w:r>
              <w:rPr>
                <w:rFonts w:hint="eastAsia" w:ascii="仿宋_GB2312" w:hAnsi="仿宋_GB2312" w:eastAsia="仿宋_GB2312" w:cs="仿宋_GB2312"/>
                <w:color w:val="auto"/>
                <w:sz w:val="21"/>
                <w:szCs w:val="21"/>
                <w:highlight w:val="none"/>
                <w:lang w:eastAsia="zh-CN"/>
              </w:rPr>
              <w:t>合格</w:t>
            </w:r>
            <w:r>
              <w:rPr>
                <w:rFonts w:hint="eastAsia" w:ascii="仿宋_GB2312" w:hAnsi="仿宋_GB2312" w:eastAsia="仿宋_GB2312" w:cs="仿宋_GB2312"/>
                <w:color w:val="auto"/>
                <w:sz w:val="21"/>
                <w:szCs w:val="21"/>
                <w:highlight w:val="none"/>
              </w:rPr>
              <w:t>符合性审查供应商的报价，有可能影响产品质量或者不能诚信履约的，且供应商不能证明其报价合理性的情况</w:t>
            </w:r>
          </w:p>
        </w:tc>
        <w:tc>
          <w:tcPr>
            <w:tcW w:w="1623" w:type="dxa"/>
            <w:noWrap w:val="0"/>
            <w:vAlign w:val="center"/>
          </w:tcPr>
          <w:p w14:paraId="576FBCFE">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3EDA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780" w:type="dxa"/>
            <w:noWrap w:val="0"/>
            <w:vAlign w:val="center"/>
          </w:tcPr>
          <w:p w14:paraId="16A51590">
            <w:pPr>
              <w:pStyle w:val="2"/>
              <w:tabs>
                <w:tab w:val="left" w:pos="567"/>
              </w:tabs>
              <w:spacing w:line="24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5</w:t>
            </w:r>
          </w:p>
        </w:tc>
        <w:tc>
          <w:tcPr>
            <w:tcW w:w="1512" w:type="dxa"/>
            <w:noWrap w:val="0"/>
            <w:vAlign w:val="center"/>
          </w:tcPr>
          <w:p w14:paraId="76D986BE">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响应内容</w:t>
            </w:r>
          </w:p>
        </w:tc>
        <w:tc>
          <w:tcPr>
            <w:tcW w:w="5370" w:type="dxa"/>
            <w:noWrap w:val="0"/>
            <w:vAlign w:val="center"/>
          </w:tcPr>
          <w:p w14:paraId="68B9FFBA">
            <w:pPr>
              <w:pStyle w:val="2"/>
              <w:tabs>
                <w:tab w:val="left" w:pos="567"/>
              </w:tabs>
              <w:spacing w:line="240" w:lineRule="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响应内容不存在漏项或数量与要求不符合采购文件规定情形，响应内容满足采购文件的商务、技术等实质性要求</w:t>
            </w:r>
            <w:r>
              <w:rPr>
                <w:rFonts w:hint="eastAsia" w:ascii="仿宋_GB2312" w:hAnsi="仿宋_GB2312" w:eastAsia="仿宋_GB2312" w:cs="仿宋_GB2312"/>
                <w:color w:val="auto"/>
                <w:sz w:val="21"/>
                <w:szCs w:val="21"/>
                <w:highlight w:val="none"/>
                <w:lang w:eastAsia="zh-CN"/>
              </w:rPr>
              <w:t>。</w:t>
            </w:r>
          </w:p>
        </w:tc>
        <w:tc>
          <w:tcPr>
            <w:tcW w:w="1623" w:type="dxa"/>
            <w:noWrap w:val="0"/>
            <w:vAlign w:val="center"/>
          </w:tcPr>
          <w:p w14:paraId="2F88E500">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0A8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D055C23">
            <w:pPr>
              <w:pStyle w:val="2"/>
              <w:tabs>
                <w:tab w:val="left" w:pos="567"/>
              </w:tabs>
              <w:spacing w:line="24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p>
        </w:tc>
        <w:tc>
          <w:tcPr>
            <w:tcW w:w="1512" w:type="dxa"/>
            <w:noWrap w:val="0"/>
            <w:vAlign w:val="center"/>
          </w:tcPr>
          <w:p w14:paraId="120529F8">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附加条件</w:t>
            </w:r>
          </w:p>
        </w:tc>
        <w:tc>
          <w:tcPr>
            <w:tcW w:w="5370" w:type="dxa"/>
            <w:noWrap w:val="0"/>
            <w:vAlign w:val="center"/>
          </w:tcPr>
          <w:p w14:paraId="2A4405B2">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响应文件不含有采购人不能接受的附加条件。</w:t>
            </w:r>
          </w:p>
        </w:tc>
        <w:tc>
          <w:tcPr>
            <w:tcW w:w="1623" w:type="dxa"/>
            <w:noWrap w:val="0"/>
            <w:vAlign w:val="center"/>
          </w:tcPr>
          <w:p w14:paraId="4CC4DAD2">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787D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2485C61">
            <w:pPr>
              <w:pStyle w:val="2"/>
              <w:tabs>
                <w:tab w:val="left" w:pos="567"/>
              </w:tabs>
              <w:spacing w:line="24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7</w:t>
            </w:r>
          </w:p>
        </w:tc>
        <w:tc>
          <w:tcPr>
            <w:tcW w:w="1512" w:type="dxa"/>
            <w:noWrap w:val="0"/>
            <w:vAlign w:val="center"/>
          </w:tcPr>
          <w:p w14:paraId="744D9638">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公平竞争</w:t>
            </w:r>
          </w:p>
        </w:tc>
        <w:tc>
          <w:tcPr>
            <w:tcW w:w="5370" w:type="dxa"/>
            <w:noWrap w:val="0"/>
            <w:vAlign w:val="center"/>
          </w:tcPr>
          <w:p w14:paraId="0DD087FA">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遵循公平竞争的原则，没有弄虚作假、恶意串通或妨碍其他供应商的竞争行为，损害采购人或者其他供应商的合法权益。</w:t>
            </w:r>
          </w:p>
          <w:p w14:paraId="2CA86620">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（弄虚作假、串通投标的情形见附注）</w:t>
            </w:r>
          </w:p>
        </w:tc>
        <w:tc>
          <w:tcPr>
            <w:tcW w:w="1623" w:type="dxa"/>
            <w:noWrap w:val="0"/>
            <w:vAlign w:val="center"/>
          </w:tcPr>
          <w:p w14:paraId="13513265">
            <w:pPr>
              <w:pStyle w:val="2"/>
              <w:tabs>
                <w:tab w:val="left" w:pos="567"/>
              </w:tabs>
              <w:spacing w:line="240" w:lineRule="auto"/>
              <w:rPr>
                <w:rFonts w:hint="eastAsia" w:ascii="仿宋_GB2312" w:hAnsi="仿宋_GB2312" w:eastAsia="仿宋_GB2312" w:cs="仿宋_GB2312"/>
                <w:color w:val="auto"/>
                <w:sz w:val="21"/>
                <w:szCs w:val="21"/>
                <w:highlight w:val="none"/>
              </w:rPr>
            </w:pPr>
          </w:p>
        </w:tc>
      </w:tr>
      <w:tr w14:paraId="2A00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A34A3AC">
            <w:pPr>
              <w:pStyle w:val="2"/>
              <w:tabs>
                <w:tab w:val="left" w:pos="567"/>
              </w:tabs>
              <w:spacing w:line="24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8</w:t>
            </w:r>
          </w:p>
        </w:tc>
        <w:tc>
          <w:tcPr>
            <w:tcW w:w="1512" w:type="dxa"/>
            <w:noWrap w:val="0"/>
            <w:vAlign w:val="center"/>
          </w:tcPr>
          <w:p w14:paraId="1B3AA3CD">
            <w:pPr>
              <w:pStyle w:val="2"/>
              <w:tabs>
                <w:tab w:val="left" w:pos="567"/>
              </w:tabs>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其它</w:t>
            </w:r>
          </w:p>
        </w:tc>
        <w:tc>
          <w:tcPr>
            <w:tcW w:w="5370" w:type="dxa"/>
            <w:noWrap w:val="0"/>
            <w:vAlign w:val="center"/>
          </w:tcPr>
          <w:p w14:paraId="5987345A">
            <w:pPr>
              <w:pStyle w:val="2"/>
              <w:tabs>
                <w:tab w:val="left" w:pos="567"/>
              </w:tabs>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不存在其它不符合法律法规或采购文件规定的响应无效条款的情形</w:t>
            </w:r>
          </w:p>
        </w:tc>
        <w:tc>
          <w:tcPr>
            <w:tcW w:w="1623" w:type="dxa"/>
            <w:noWrap w:val="0"/>
            <w:vAlign w:val="center"/>
          </w:tcPr>
          <w:p w14:paraId="6E374292">
            <w:pPr>
              <w:pStyle w:val="2"/>
              <w:tabs>
                <w:tab w:val="left" w:pos="567"/>
              </w:tabs>
              <w:spacing w:line="240" w:lineRule="auto"/>
              <w:rPr>
                <w:rFonts w:hint="eastAsia" w:ascii="仿宋_GB2312" w:hAnsi="仿宋_GB2312" w:eastAsia="仿宋_GB2312" w:cs="仿宋_GB2312"/>
                <w:color w:val="auto"/>
                <w:sz w:val="21"/>
                <w:szCs w:val="21"/>
                <w:highlight w:val="none"/>
              </w:rPr>
            </w:pPr>
          </w:p>
        </w:tc>
      </w:tr>
    </w:tbl>
    <w:p w14:paraId="109BE98E">
      <w:pPr>
        <w:pStyle w:val="2"/>
        <w:keepNext w:val="0"/>
        <w:keepLines w:val="0"/>
        <w:pageBreakBefore w:val="0"/>
        <w:widowControl w:val="0"/>
        <w:tabs>
          <w:tab w:val="left" w:pos="567"/>
        </w:tabs>
        <w:kinsoku/>
        <w:wordWrap/>
        <w:overflowPunct/>
        <w:topLinePunct w:val="0"/>
        <w:autoSpaceDE/>
        <w:autoSpaceDN/>
        <w:bidi w:val="0"/>
        <w:snapToGrid/>
        <w:spacing w:line="360" w:lineRule="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注：</w:t>
      </w:r>
    </w:p>
    <w:p w14:paraId="1F232631">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Cs/>
          <w:color w:val="auto"/>
          <w:sz w:val="21"/>
          <w:szCs w:val="21"/>
          <w:highlight w:val="none"/>
        </w:rPr>
        <w:t>、有下列情形之一的，视为供应商相互串通：</w:t>
      </w:r>
    </w:p>
    <w:p w14:paraId="0722518E">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（1）不同供应商的响应文件由同一单位或者个人编制；</w:t>
      </w:r>
    </w:p>
    <w:p w14:paraId="4CAAC226">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（2）不同供应商委托同一单位或者个人办理参与磋商事宜；</w:t>
      </w:r>
    </w:p>
    <w:p w14:paraId="33FCDD7D">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（3）不同供应商的响应文件载明的项目管理成员或者联系人员为同一人；</w:t>
      </w:r>
    </w:p>
    <w:p w14:paraId="760BEAA7">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（4）不同供应商的响应文件异常一致或者报价呈规律性差异；</w:t>
      </w:r>
    </w:p>
    <w:p w14:paraId="275D86CD">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（5）不同供应商的响应文件相互混装；</w:t>
      </w:r>
    </w:p>
    <w:p w14:paraId="570AEB99">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（6）不同供应商的磋商保证金从同一单位或者个人的账户转出。</w:t>
      </w:r>
    </w:p>
    <w:p w14:paraId="1CF1771F">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2</w:t>
      </w:r>
      <w:r>
        <w:rPr>
          <w:rFonts w:hint="eastAsia" w:ascii="仿宋_GB2312" w:hAnsi="仿宋_GB2312" w:eastAsia="仿宋_GB2312" w:cs="仿宋_GB2312"/>
          <w:bCs/>
          <w:color w:val="auto"/>
          <w:sz w:val="21"/>
          <w:szCs w:val="21"/>
          <w:highlight w:val="none"/>
        </w:rPr>
        <w:t>、有下列情形之一的，属于提供虚假材料谋取成交的行为：</w:t>
      </w:r>
    </w:p>
    <w:p w14:paraId="50AB8B7E">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（1）使用伪造、变造的许可证件；</w:t>
      </w:r>
    </w:p>
    <w:p w14:paraId="4671D18E">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（2）提供虚假的财务状况或者业绩；</w:t>
      </w:r>
    </w:p>
    <w:p w14:paraId="0C84D144">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（3）提供虚假的项目负责人或者主要技术人员简历、劳动关系证明；</w:t>
      </w:r>
    </w:p>
    <w:p w14:paraId="08AC05D0">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（4）提供虚假的信用状况；</w:t>
      </w:r>
    </w:p>
    <w:p w14:paraId="577495CD">
      <w:pPr>
        <w:keepNext w:val="0"/>
        <w:keepLines w:val="0"/>
        <w:pageBreakBefore w:val="0"/>
        <w:widowControl w:val="0"/>
        <w:tabs>
          <w:tab w:val="left" w:pos="1260"/>
          <w:tab w:val="left" w:pos="1620"/>
        </w:tabs>
        <w:kinsoku/>
        <w:wordWrap/>
        <w:overflowPunct/>
        <w:topLinePunct w:val="0"/>
        <w:autoSpaceDE/>
        <w:autoSpaceDN/>
        <w:bidi w:val="0"/>
        <w:adjustRightInd w:val="0"/>
        <w:snapToGrid/>
        <w:spacing w:line="360" w:lineRule="auto"/>
        <w:jc w:val="left"/>
        <w:textAlignment w:val="baseline"/>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（5）其他弄虚作假的行为。</w:t>
      </w:r>
    </w:p>
    <w:p w14:paraId="10AC5A36">
      <w:pPr>
        <w:rPr>
          <w:rFonts w:eastAsia="仿宋_GB2312"/>
          <w:b/>
          <w:color w:val="auto"/>
          <w:sz w:val="30"/>
          <w:szCs w:val="30"/>
          <w:highlight w:val="none"/>
        </w:rPr>
      </w:pPr>
      <w:r>
        <w:rPr>
          <w:rFonts w:eastAsia="仿宋_GB2312"/>
          <w:b/>
          <w:color w:val="auto"/>
          <w:sz w:val="30"/>
          <w:szCs w:val="30"/>
          <w:highlight w:val="none"/>
        </w:rPr>
        <w:br w:type="page"/>
      </w:r>
    </w:p>
    <w:p w14:paraId="22300EE0">
      <w:pPr>
        <w:jc w:val="center"/>
        <w:rPr>
          <w:rFonts w:eastAsia="仿宋_GB2312"/>
          <w:b/>
          <w:color w:val="auto"/>
          <w:sz w:val="30"/>
          <w:szCs w:val="30"/>
          <w:highlight w:val="none"/>
        </w:rPr>
      </w:pPr>
      <w:r>
        <w:rPr>
          <w:rFonts w:eastAsia="仿宋_GB2312"/>
          <w:b/>
          <w:color w:val="auto"/>
          <w:sz w:val="30"/>
          <w:szCs w:val="30"/>
          <w:highlight w:val="none"/>
        </w:rPr>
        <w:t>附表三 评审因素及分值分配表</w:t>
      </w:r>
      <w:bookmarkEnd w:id="408"/>
      <w:bookmarkEnd w:id="409"/>
      <w:bookmarkEnd w:id="410"/>
    </w:p>
    <w:tbl>
      <w:tblPr>
        <w:tblStyle w:val="5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50"/>
        <w:gridCol w:w="983"/>
        <w:gridCol w:w="5874"/>
      </w:tblGrid>
      <w:tr w14:paraId="570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343" w:type="dxa"/>
            <w:gridSpan w:val="2"/>
            <w:tcBorders>
              <w:top w:val="single" w:color="auto" w:sz="4" w:space="0"/>
              <w:left w:val="single" w:color="auto" w:sz="4" w:space="0"/>
              <w:bottom w:val="single" w:color="auto" w:sz="4" w:space="0"/>
              <w:right w:val="single" w:color="auto" w:sz="4" w:space="0"/>
            </w:tcBorders>
            <w:noWrap w:val="0"/>
            <w:vAlign w:val="center"/>
          </w:tcPr>
          <w:p w14:paraId="10E3BB7D">
            <w:pPr>
              <w:adjustRightInd w:val="0"/>
              <w:snapToGrid w:val="0"/>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评标要素</w:t>
            </w:r>
          </w:p>
        </w:tc>
        <w:tc>
          <w:tcPr>
            <w:tcW w:w="983" w:type="dxa"/>
            <w:tcBorders>
              <w:top w:val="single" w:color="auto" w:sz="4" w:space="0"/>
              <w:left w:val="single" w:color="auto" w:sz="4" w:space="0"/>
              <w:right w:val="single" w:color="auto" w:sz="4" w:space="0"/>
            </w:tcBorders>
            <w:noWrap w:val="0"/>
            <w:vAlign w:val="center"/>
          </w:tcPr>
          <w:p w14:paraId="621348E9">
            <w:pPr>
              <w:adjustRightInd w:val="0"/>
              <w:snapToGrid w:val="0"/>
              <w:jc w:val="center"/>
              <w:rPr>
                <w:rFonts w:hint="eastAsia" w:ascii="仿宋_GB2312" w:hAnsi="仿宋_GB2312" w:eastAsia="仿宋_GB2312" w:cs="仿宋_GB2312"/>
                <w:i w:val="0"/>
                <w:iCs w:val="0"/>
                <w:sz w:val="21"/>
                <w:szCs w:val="21"/>
                <w:lang w:eastAsia="zh-CN"/>
              </w:rPr>
            </w:pPr>
            <w:r>
              <w:rPr>
                <w:rFonts w:hint="eastAsia" w:ascii="仿宋_GB2312" w:hAnsi="仿宋_GB2312" w:eastAsia="仿宋_GB2312" w:cs="仿宋_GB2312"/>
                <w:i w:val="0"/>
                <w:iCs w:val="0"/>
                <w:sz w:val="21"/>
                <w:szCs w:val="21"/>
                <w:lang w:val="en-US" w:eastAsia="zh-CN"/>
              </w:rPr>
              <w:t>分值</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F321C30">
            <w:pPr>
              <w:adjustRightInd w:val="0"/>
              <w:snapToGrid w:val="0"/>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评标标准</w:t>
            </w:r>
          </w:p>
        </w:tc>
      </w:tr>
      <w:tr w14:paraId="464A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43" w:type="dxa"/>
            <w:gridSpan w:val="2"/>
            <w:tcBorders>
              <w:top w:val="single" w:color="auto" w:sz="4" w:space="0"/>
              <w:left w:val="single" w:color="auto" w:sz="4" w:space="0"/>
              <w:bottom w:val="single" w:color="auto" w:sz="4" w:space="0"/>
              <w:right w:val="single" w:color="auto" w:sz="4" w:space="0"/>
            </w:tcBorders>
            <w:noWrap w:val="0"/>
            <w:vAlign w:val="center"/>
          </w:tcPr>
          <w:p w14:paraId="1403436C">
            <w:pPr>
              <w:adjustRightInd w:val="0"/>
              <w:snapToGrid w:val="0"/>
              <w:spacing w:line="360" w:lineRule="auto"/>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价格</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906786A">
            <w:pPr>
              <w:adjustRightInd w:val="0"/>
              <w:snapToGrid w:val="0"/>
              <w:spacing w:line="360" w:lineRule="auto"/>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E957DA4">
            <w:pPr>
              <w:adjustRightInd w:val="0"/>
              <w:snapToGrid w:val="0"/>
              <w:spacing w:line="276" w:lineRule="auto"/>
              <w:jc w:val="left"/>
              <w:rPr>
                <w:rFonts w:hint="eastAsia" w:ascii="仿宋_GB2312" w:hAnsi="仿宋_GB2312" w:eastAsia="仿宋_GB2312" w:cs="仿宋_GB2312"/>
                <w:i w:val="0"/>
                <w:iCs w:val="0"/>
                <w:sz w:val="21"/>
                <w:szCs w:val="21"/>
                <w:highlight w:val="none"/>
              </w:rPr>
            </w:pPr>
            <w:r>
              <w:rPr>
                <w:rFonts w:hint="eastAsia" w:ascii="仿宋_GB2312" w:hAnsi="仿宋_GB2312" w:eastAsia="仿宋_GB2312" w:cs="仿宋_GB2312"/>
                <w:i w:val="0"/>
                <w:iCs w:val="0"/>
                <w:sz w:val="21"/>
                <w:szCs w:val="21"/>
                <w:highlight w:val="none"/>
              </w:rPr>
              <w:t>满足</w:t>
            </w:r>
            <w:r>
              <w:rPr>
                <w:rFonts w:hint="eastAsia" w:ascii="仿宋_GB2312" w:hAnsi="仿宋_GB2312" w:eastAsia="仿宋_GB2312" w:cs="仿宋_GB2312"/>
                <w:i w:val="0"/>
                <w:iCs w:val="0"/>
                <w:sz w:val="21"/>
                <w:szCs w:val="21"/>
                <w:highlight w:val="none"/>
                <w:lang w:val="en-US" w:eastAsia="zh-CN"/>
              </w:rPr>
              <w:t>采购</w:t>
            </w:r>
            <w:r>
              <w:rPr>
                <w:rFonts w:hint="eastAsia" w:ascii="仿宋_GB2312" w:hAnsi="仿宋_GB2312" w:eastAsia="仿宋_GB2312" w:cs="仿宋_GB2312"/>
                <w:i w:val="0"/>
                <w:iCs w:val="0"/>
                <w:sz w:val="21"/>
                <w:szCs w:val="21"/>
                <w:highlight w:val="none"/>
              </w:rPr>
              <w:t>文件要求</w:t>
            </w:r>
            <w:r>
              <w:rPr>
                <w:rFonts w:hint="eastAsia" w:ascii="仿宋_GB2312" w:hAnsi="仿宋_GB2312" w:eastAsia="仿宋_GB2312" w:cs="仿宋_GB2312"/>
                <w:i w:val="0"/>
                <w:iCs w:val="0"/>
                <w:sz w:val="21"/>
                <w:szCs w:val="21"/>
                <w:highlight w:val="none"/>
                <w:lang w:val="en-US" w:eastAsia="zh-CN"/>
              </w:rPr>
              <w:t>且</w:t>
            </w:r>
            <w:r>
              <w:rPr>
                <w:rFonts w:hint="eastAsia" w:ascii="仿宋_GB2312" w:hAnsi="仿宋_GB2312" w:eastAsia="仿宋_GB2312" w:cs="仿宋_GB2312"/>
                <w:i w:val="0"/>
                <w:iCs w:val="0"/>
                <w:sz w:val="21"/>
                <w:szCs w:val="21"/>
                <w:highlight w:val="none"/>
              </w:rPr>
              <w:t>有效响应文件的</w:t>
            </w:r>
            <w:r>
              <w:rPr>
                <w:rFonts w:hint="eastAsia" w:ascii="仿宋_GB2312" w:hAnsi="仿宋_GB2312" w:eastAsia="仿宋_GB2312" w:cs="仿宋_GB2312"/>
                <w:i w:val="0"/>
                <w:iCs w:val="0"/>
                <w:sz w:val="21"/>
                <w:szCs w:val="21"/>
                <w:highlight w:val="none"/>
                <w:lang w:val="en-US" w:eastAsia="zh-CN"/>
              </w:rPr>
              <w:t>最后</w:t>
            </w:r>
            <w:r>
              <w:rPr>
                <w:rFonts w:hint="eastAsia" w:ascii="仿宋_GB2312" w:hAnsi="仿宋_GB2312" w:eastAsia="仿宋_GB2312" w:cs="仿宋_GB2312"/>
                <w:i w:val="0"/>
                <w:iCs w:val="0"/>
                <w:sz w:val="21"/>
                <w:szCs w:val="21"/>
                <w:highlight w:val="none"/>
              </w:rPr>
              <w:t>报价并按本章2.3.3（1）进行调整的最低报价为评审基准价，其价格分为满分。其他</w:t>
            </w:r>
            <w:r>
              <w:rPr>
                <w:rFonts w:hint="eastAsia" w:ascii="仿宋_GB2312" w:hAnsi="仿宋_GB2312" w:eastAsia="仿宋_GB2312" w:cs="仿宋_GB2312"/>
                <w:i w:val="0"/>
                <w:iCs w:val="0"/>
                <w:sz w:val="21"/>
                <w:szCs w:val="21"/>
                <w:highlight w:val="none"/>
                <w:lang w:val="en-US" w:eastAsia="zh-CN"/>
              </w:rPr>
              <w:t>供应商</w:t>
            </w:r>
            <w:r>
              <w:rPr>
                <w:rFonts w:hint="eastAsia" w:ascii="仿宋_GB2312" w:hAnsi="仿宋_GB2312" w:eastAsia="仿宋_GB2312" w:cs="仿宋_GB2312"/>
                <w:i w:val="0"/>
                <w:iCs w:val="0"/>
                <w:sz w:val="21"/>
                <w:szCs w:val="21"/>
                <w:highlight w:val="none"/>
              </w:rPr>
              <w:t>的价格分统一按照下列公式计算：投标报价得分=（评标基准价/</w:t>
            </w:r>
            <w:r>
              <w:rPr>
                <w:rFonts w:hint="eastAsia" w:ascii="仿宋_GB2312" w:hAnsi="仿宋_GB2312" w:eastAsia="仿宋_GB2312" w:cs="仿宋_GB2312"/>
                <w:i w:val="0"/>
                <w:iCs w:val="0"/>
                <w:sz w:val="21"/>
                <w:szCs w:val="21"/>
                <w:highlight w:val="none"/>
                <w:lang w:val="en-US" w:eastAsia="zh-CN"/>
              </w:rPr>
              <w:t>最后</w:t>
            </w:r>
            <w:r>
              <w:rPr>
                <w:rFonts w:hint="eastAsia" w:ascii="仿宋_GB2312" w:hAnsi="仿宋_GB2312" w:eastAsia="仿宋_GB2312" w:cs="仿宋_GB2312"/>
                <w:i w:val="0"/>
                <w:iCs w:val="0"/>
                <w:sz w:val="21"/>
                <w:szCs w:val="21"/>
                <w:highlight w:val="none"/>
              </w:rPr>
              <w:t>报价）×价格权值</w:t>
            </w:r>
          </w:p>
          <w:p w14:paraId="30E0913A">
            <w:pPr>
              <w:adjustRightInd w:val="0"/>
              <w:snapToGrid w:val="0"/>
              <w:spacing w:line="276" w:lineRule="auto"/>
              <w:jc w:val="left"/>
              <w:rPr>
                <w:rFonts w:hint="eastAsia" w:ascii="仿宋_GB2312" w:hAnsi="仿宋_GB2312" w:eastAsia="仿宋_GB2312" w:cs="仿宋_GB2312"/>
                <w:i w:val="0"/>
                <w:iCs w:val="0"/>
                <w:sz w:val="21"/>
                <w:szCs w:val="21"/>
                <w:highlight w:val="none"/>
                <w:u w:val="single"/>
              </w:rPr>
            </w:pPr>
            <w:r>
              <w:rPr>
                <w:rFonts w:hint="eastAsia" w:ascii="仿宋_GB2312" w:hAnsi="仿宋_GB2312" w:eastAsia="仿宋_GB2312" w:cs="仿宋_GB2312"/>
                <w:i w:val="0"/>
                <w:iCs w:val="0"/>
                <w:sz w:val="21"/>
                <w:szCs w:val="21"/>
                <w:highlight w:val="none"/>
              </w:rPr>
              <w:t>（小微企业、监狱企业或残疾人福利性单位</w:t>
            </w:r>
            <w:r>
              <w:rPr>
                <w:rFonts w:hint="eastAsia" w:ascii="仿宋_GB2312" w:hAnsi="仿宋_GB2312" w:eastAsia="仿宋_GB2312" w:cs="仿宋_GB2312"/>
                <w:i w:val="0"/>
                <w:iCs w:val="0"/>
                <w:sz w:val="21"/>
                <w:szCs w:val="21"/>
                <w:highlight w:val="none"/>
                <w:lang w:val="en-US" w:eastAsia="zh-CN"/>
              </w:rPr>
              <w:t>用投标报价</w:t>
            </w:r>
            <w:r>
              <w:rPr>
                <w:rFonts w:hint="eastAsia" w:ascii="仿宋_GB2312" w:hAnsi="仿宋_GB2312" w:eastAsia="仿宋_GB2312" w:cs="仿宋_GB2312"/>
                <w:i w:val="0"/>
                <w:iCs w:val="0"/>
                <w:sz w:val="21"/>
                <w:szCs w:val="21"/>
                <w:highlight w:val="none"/>
              </w:rPr>
              <w:t>扣除</w:t>
            </w:r>
            <w:r>
              <w:rPr>
                <w:rFonts w:hint="eastAsia" w:ascii="仿宋_GB2312" w:hAnsi="仿宋_GB2312" w:eastAsia="仿宋_GB2312" w:cs="仿宋_GB2312"/>
                <w:i w:val="0"/>
                <w:iCs w:val="0"/>
                <w:sz w:val="21"/>
                <w:szCs w:val="21"/>
                <w:highlight w:val="none"/>
                <w:lang w:val="en-US" w:eastAsia="zh-CN"/>
              </w:rPr>
              <w:t>后</w:t>
            </w:r>
            <w:r>
              <w:rPr>
                <w:rFonts w:hint="eastAsia" w:ascii="仿宋_GB2312" w:hAnsi="仿宋_GB2312" w:eastAsia="仿宋_GB2312" w:cs="仿宋_GB2312"/>
                <w:i w:val="0"/>
                <w:iCs w:val="0"/>
                <w:sz w:val="21"/>
                <w:szCs w:val="21"/>
                <w:highlight w:val="none"/>
                <w:lang w:eastAsia="zh-CN"/>
              </w:rPr>
              <w:t>的</w:t>
            </w:r>
            <w:r>
              <w:rPr>
                <w:rFonts w:hint="eastAsia" w:ascii="仿宋_GB2312" w:hAnsi="仿宋_GB2312" w:eastAsia="仿宋_GB2312" w:cs="仿宋_GB2312"/>
                <w:i w:val="0"/>
                <w:iCs w:val="0"/>
                <w:sz w:val="21"/>
                <w:szCs w:val="21"/>
                <w:highlight w:val="none"/>
                <w:lang w:val="en-US" w:eastAsia="zh-CN"/>
              </w:rPr>
              <w:t>价格参加评审。专门面向中小企业采购的项目不进行价格扣除。</w:t>
            </w:r>
            <w:r>
              <w:rPr>
                <w:rFonts w:hint="eastAsia" w:ascii="仿宋_GB2312" w:hAnsi="仿宋_GB2312" w:eastAsia="仿宋_GB2312" w:cs="仿宋_GB2312"/>
                <w:i w:val="0"/>
                <w:iCs w:val="0"/>
                <w:sz w:val="21"/>
                <w:szCs w:val="21"/>
                <w:highlight w:val="none"/>
              </w:rPr>
              <w:t>）</w:t>
            </w:r>
          </w:p>
        </w:tc>
      </w:tr>
      <w:tr w14:paraId="4617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restart"/>
            <w:tcBorders>
              <w:left w:val="single" w:color="auto" w:sz="4" w:space="0"/>
              <w:right w:val="single" w:color="auto" w:sz="4" w:space="0"/>
            </w:tcBorders>
            <w:noWrap w:val="0"/>
            <w:vAlign w:val="center"/>
          </w:tcPr>
          <w:p w14:paraId="1928AED5">
            <w:pPr>
              <w:adjustRightInd w:val="0"/>
              <w:snapToGrid w:val="0"/>
              <w:spacing w:line="360" w:lineRule="auto"/>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技术评审</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D94EA2F">
            <w:pPr>
              <w:adjustRightInd w:val="0"/>
              <w:snapToGrid w:val="0"/>
              <w:spacing w:line="360" w:lineRule="auto"/>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color w:val="auto"/>
                <w:sz w:val="21"/>
                <w:szCs w:val="21"/>
                <w:highlight w:val="none"/>
                <w:lang w:val="en-US" w:eastAsia="zh-CN"/>
              </w:rPr>
              <w:t>食品质量方案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2BB31C3">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7D3AB104">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default" w:ascii="仿宋_GB2312" w:hAnsi="仿宋_GB2312" w:eastAsia="仿宋_GB2312" w:cs="仿宋_GB2312"/>
                <w:iCs/>
                <w:color w:val="auto"/>
                <w:sz w:val="21"/>
                <w:szCs w:val="21"/>
                <w:highlight w:val="none"/>
                <w:lang w:val="en-US" w:eastAsia="zh-CN"/>
              </w:rPr>
              <w:t>食品质量方案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49EBCA8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33706286">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7F0F014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29A05D19">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00E9C6E9">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3715428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6126F883">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244DA12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2D3FD51D">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628F4AAE">
            <w:pPr>
              <w:adjustRightInd w:val="0"/>
              <w:snapToGrid w:val="0"/>
              <w:spacing w:line="276" w:lineRule="auto"/>
              <w:jc w:val="left"/>
              <w:rPr>
                <w:rFonts w:hint="eastAsia" w:ascii="仿宋_GB2312" w:hAnsi="仿宋_GB2312" w:eastAsia="仿宋_GB2312" w:cs="仿宋_GB2312"/>
                <w:i w:val="0"/>
                <w:iCs w:val="0"/>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5CFB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0FB002FA">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28056AD">
            <w:pPr>
              <w:adjustRightInd w:val="0"/>
              <w:snapToGrid w:val="0"/>
              <w:spacing w:line="360" w:lineRule="auto"/>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color w:val="auto"/>
                <w:sz w:val="21"/>
                <w:szCs w:val="21"/>
                <w:highlight w:val="none"/>
                <w:lang w:val="en-US" w:eastAsia="zh-CN"/>
              </w:rPr>
              <w:t>食品安全方案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6922ED03">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B1866D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食品安全方案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5976DDCA">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3B974598">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61B37B6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26930E5C">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310871CC">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4214C31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1BC5B20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6F2EA43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22395FCA">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1D6D73A2">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3BEC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4A068CC9">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C1C2854">
            <w:pPr>
              <w:adjustRightInd w:val="0"/>
              <w:snapToGrid w:val="0"/>
              <w:spacing w:line="360" w:lineRule="auto"/>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color w:val="auto"/>
                <w:sz w:val="21"/>
                <w:szCs w:val="21"/>
                <w:highlight w:val="none"/>
                <w:lang w:val="en-US" w:eastAsia="zh-CN"/>
              </w:rPr>
              <w:t>卫生管理控制方案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69D9371">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2C193DF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卫生管理控制方案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7C5E1D3A">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67BF672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54FC5DDA">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48C18BFE">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4A8291F0">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681C075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6C240D60">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3C7F8A94">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726F13A4">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2F27991C">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3BE8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34AEE2C2">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261D468">
            <w:pPr>
              <w:adjustRightInd w:val="0"/>
              <w:snapToGrid w:val="0"/>
              <w:spacing w:line="360" w:lineRule="auto"/>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color w:val="auto"/>
                <w:sz w:val="21"/>
                <w:szCs w:val="21"/>
                <w:highlight w:val="none"/>
                <w:lang w:val="en-US" w:eastAsia="zh-CN"/>
              </w:rPr>
              <w:t>餐厅环境管理方案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62CAC5D9">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641DB714">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餐厅环境管理方案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6096FE5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4BB97CC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0648EDE8">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0F3E771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58779B4F">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4A9E98B3">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309BDC1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154EB173">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5A00020F">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2A3A3813">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186C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723D9D4E">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746E83C">
            <w:pPr>
              <w:adjustRightInd w:val="0"/>
              <w:snapToGrid w:val="0"/>
              <w:spacing w:line="360" w:lineRule="auto"/>
              <w:jc w:val="center"/>
              <w:rPr>
                <w:rFonts w:hint="eastAsia" w:ascii="仿宋_GB2312" w:hAnsi="仿宋_GB2312" w:eastAsia="仿宋_GB2312" w:cs="仿宋_GB2312"/>
                <w:i w:val="0"/>
                <w:iCs w:val="0"/>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原材料采购管理方案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617A7302">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0489A41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原材料采购管理方案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1743DFA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3A132BCF">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5FF8904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2B00A20A">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473E20F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68D2A8A7">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1DDC890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284C65C7">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63DAC1A8">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22415D4F">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145B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4074B04D">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2EB6A70B">
            <w:pPr>
              <w:adjustRightInd w:val="0"/>
              <w:snapToGrid w:val="0"/>
              <w:spacing w:line="360" w:lineRule="auto"/>
              <w:jc w:val="center"/>
              <w:rPr>
                <w:rFonts w:hint="eastAsia" w:ascii="仿宋_GB2312" w:hAnsi="仿宋_GB2312" w:eastAsia="仿宋_GB2312" w:cs="仿宋_GB2312"/>
                <w:i w:val="0"/>
                <w:iCs w:val="0"/>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操作规程控制管理方案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9B31454">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71D80109">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操作规程控制管理方案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7BFB9D50">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1409083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2486989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7973DDD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37749D5C">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07B184BF">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44D54D5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50DF55B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22DE0AC1">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6A51CBAE">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2A11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right w:val="single" w:color="auto" w:sz="4" w:space="0"/>
            </w:tcBorders>
            <w:noWrap w:val="0"/>
            <w:vAlign w:val="center"/>
          </w:tcPr>
          <w:p w14:paraId="6BADEB50">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084EC33">
            <w:pPr>
              <w:adjustRightInd w:val="0"/>
              <w:snapToGrid w:val="0"/>
              <w:spacing w:line="360" w:lineRule="auto"/>
              <w:jc w:val="center"/>
              <w:rPr>
                <w:rFonts w:hint="eastAsia" w:ascii="仿宋_GB2312" w:hAnsi="仿宋_GB2312" w:eastAsia="仿宋_GB2312" w:cs="仿宋_GB2312"/>
                <w:i w:val="0"/>
                <w:iCs w:val="0"/>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人员职责与管理方案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B83B687">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2C31CF26">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人员职责与管理方案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11EDB250">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5E844F46">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418514CC">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0F07129D">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2F1CE76B">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6EFE203F">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2D007353">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3681DC60">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3D2787A9">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3E9C14D3">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0FD1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vMerge w:val="continue"/>
            <w:tcBorders>
              <w:left w:val="single" w:color="auto" w:sz="4" w:space="0"/>
              <w:bottom w:val="single" w:color="auto" w:sz="4" w:space="0"/>
              <w:right w:val="single" w:color="auto" w:sz="4" w:space="0"/>
            </w:tcBorders>
            <w:noWrap w:val="0"/>
            <w:vAlign w:val="center"/>
          </w:tcPr>
          <w:p w14:paraId="326FA0D3">
            <w:pPr>
              <w:adjustRightInd w:val="0"/>
              <w:snapToGrid w:val="0"/>
              <w:spacing w:line="360" w:lineRule="auto"/>
              <w:jc w:val="center"/>
              <w:rPr>
                <w:rFonts w:hint="eastAsia" w:ascii="仿宋_GB2312" w:hAnsi="仿宋_GB2312" w:eastAsia="仿宋_GB2312" w:cs="仿宋_GB2312"/>
                <w:i w:val="0"/>
                <w:iCs w:val="0"/>
                <w:sz w:val="21"/>
                <w:szCs w:val="21"/>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7E13FAD">
            <w:pPr>
              <w:adjustRightInd w:val="0"/>
              <w:snapToGrid w:val="0"/>
              <w:spacing w:line="360" w:lineRule="auto"/>
              <w:jc w:val="center"/>
              <w:rPr>
                <w:rFonts w:hint="eastAsia" w:ascii="仿宋_GB2312" w:hAnsi="仿宋_GB2312" w:eastAsia="仿宋_GB2312" w:cs="仿宋_GB2312"/>
                <w:i w:val="0"/>
                <w:iCs w:val="0"/>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消防、治安及意外事故处理方案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7D9C1FC9">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5B0AEEA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 w:val="0"/>
                <w:iCs w:val="0"/>
                <w:color w:val="auto"/>
                <w:sz w:val="21"/>
                <w:szCs w:val="21"/>
                <w:highlight w:val="none"/>
                <w:lang w:val="en-US" w:eastAsia="zh-CN"/>
              </w:rPr>
              <w:t>消防、治安及意外事故处理方案</w:t>
            </w:r>
            <w:r>
              <w:rPr>
                <w:rFonts w:hint="eastAsia" w:ascii="仿宋_GB2312" w:hAnsi="仿宋_GB2312" w:eastAsia="仿宋_GB2312" w:cs="仿宋_GB2312"/>
                <w:iCs/>
                <w:color w:val="auto"/>
                <w:sz w:val="21"/>
                <w:szCs w:val="21"/>
                <w:highlight w:val="none"/>
                <w:lang w:val="en-US" w:eastAsia="zh-CN"/>
              </w:rPr>
              <w:t>全面、合理、切实可行，内容无缺陷得10分，若上述内容存在缺陷，每出现一处缺陷扣1分，扣完为止。</w:t>
            </w:r>
          </w:p>
          <w:p w14:paraId="1D4D3B2D">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注：内容存在缺陷是指：</w:t>
            </w:r>
          </w:p>
          <w:p w14:paraId="55C03072">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①方案生搬硬套，与实际情况明显不符；</w:t>
            </w:r>
          </w:p>
          <w:p w14:paraId="408DD6AD">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②存在与项目明显无关的文字内容；</w:t>
            </w:r>
          </w:p>
          <w:p w14:paraId="2C0AED48">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③内容不适用项目的实际情况；</w:t>
            </w:r>
          </w:p>
          <w:p w14:paraId="745728A5">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④对采购需求理解缺位混乱；</w:t>
            </w:r>
          </w:p>
          <w:p w14:paraId="4EC9ED2D">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⑤描述的内容混乱，重点不突出；</w:t>
            </w:r>
          </w:p>
          <w:p w14:paraId="27C3C2FE">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⑥内容缺失不完善，可操作性较差；</w:t>
            </w:r>
          </w:p>
          <w:p w14:paraId="1F439326">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⑦凭空编造，内容矛盾，前后逻辑错误；</w:t>
            </w:r>
          </w:p>
          <w:p w14:paraId="44B75547">
            <w:pPr>
              <w:adjustRightInd w:val="0"/>
              <w:snapToGrid w:val="0"/>
              <w:spacing w:line="276" w:lineRule="auto"/>
              <w:jc w:val="left"/>
              <w:rPr>
                <w:rFonts w:hint="eastAsia" w:ascii="仿宋_GB2312" w:hAnsi="仿宋_GB2312" w:eastAsia="仿宋_GB2312" w:cs="仿宋_GB2312"/>
                <w:iCs/>
                <w:color w:val="auto"/>
                <w:sz w:val="21"/>
                <w:szCs w:val="21"/>
                <w:highlight w:val="none"/>
                <w:lang w:val="en-US" w:eastAsia="zh-CN"/>
              </w:rPr>
            </w:pPr>
            <w:r>
              <w:rPr>
                <w:rFonts w:hint="eastAsia" w:ascii="仿宋_GB2312" w:hAnsi="仿宋_GB2312" w:eastAsia="仿宋_GB2312" w:cs="仿宋_GB2312"/>
                <w:iCs/>
                <w:color w:val="auto"/>
                <w:sz w:val="21"/>
                <w:szCs w:val="21"/>
                <w:highlight w:val="none"/>
                <w:lang w:val="en-US" w:eastAsia="zh-CN"/>
              </w:rPr>
              <w:t>⑧适用（引用）的规范及标准错误或已废止；</w:t>
            </w:r>
          </w:p>
          <w:p w14:paraId="200DA1EA">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lang w:val="en-US" w:eastAsia="zh-CN"/>
              </w:rPr>
              <w:t>⑨地点区域错误，或项名称错误等。</w:t>
            </w:r>
          </w:p>
        </w:tc>
      </w:tr>
      <w:tr w14:paraId="0E33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93" w:type="dxa"/>
            <w:tcBorders>
              <w:top w:val="single" w:color="auto" w:sz="4" w:space="0"/>
              <w:left w:val="single" w:color="auto" w:sz="4" w:space="0"/>
              <w:right w:val="single" w:color="auto" w:sz="4" w:space="0"/>
            </w:tcBorders>
            <w:noWrap w:val="0"/>
            <w:vAlign w:val="center"/>
          </w:tcPr>
          <w:p w14:paraId="4DFE26A4">
            <w:pPr>
              <w:adjustRightInd w:val="0"/>
              <w:snapToGrid w:val="0"/>
              <w:spacing w:line="360" w:lineRule="auto"/>
              <w:jc w:val="center"/>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rPr>
              <w:t>商务</w:t>
            </w:r>
            <w:r>
              <w:rPr>
                <w:rFonts w:hint="eastAsia" w:ascii="仿宋_GB2312" w:hAnsi="仿宋_GB2312" w:eastAsia="仿宋_GB2312" w:cs="仿宋_GB2312"/>
                <w:i w:val="0"/>
                <w:iCs w:val="0"/>
                <w:sz w:val="21"/>
                <w:szCs w:val="21"/>
                <w:lang w:val="en-US" w:eastAsia="zh-CN"/>
              </w:rPr>
              <w:t>评审</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29A1A80">
            <w:pPr>
              <w:adjustRightInd w:val="0"/>
              <w:snapToGrid w:val="0"/>
              <w:spacing w:line="360" w:lineRule="auto"/>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rPr>
              <w:t>类似业绩</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8376279">
            <w:pPr>
              <w:adjustRightInd w:val="0"/>
              <w:snapToGrid w:val="0"/>
              <w:spacing w:line="360" w:lineRule="auto"/>
              <w:jc w:val="center"/>
              <w:rPr>
                <w:rFonts w:hint="default"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074A2C03">
            <w:pPr>
              <w:adjustRightInd w:val="0"/>
              <w:snapToGrid w:val="0"/>
              <w:spacing w:line="276" w:lineRule="auto"/>
              <w:jc w:val="left"/>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Cs/>
                <w:color w:val="auto"/>
                <w:sz w:val="21"/>
                <w:szCs w:val="21"/>
                <w:highlight w:val="none"/>
              </w:rPr>
              <w:t>供应商提供自20</w:t>
            </w:r>
            <w:r>
              <w:rPr>
                <w:rFonts w:hint="eastAsia" w:ascii="仿宋_GB2312" w:hAnsi="仿宋_GB2312" w:eastAsia="仿宋_GB2312" w:cs="仿宋_GB2312"/>
                <w:iCs/>
                <w:color w:val="auto"/>
                <w:sz w:val="21"/>
                <w:szCs w:val="21"/>
                <w:highlight w:val="none"/>
                <w:lang w:val="en-US" w:eastAsia="zh-CN"/>
              </w:rPr>
              <w:t>21</w:t>
            </w:r>
            <w:r>
              <w:rPr>
                <w:rFonts w:hint="eastAsia" w:ascii="仿宋_GB2312" w:hAnsi="仿宋_GB2312" w:eastAsia="仿宋_GB2312" w:cs="仿宋_GB2312"/>
                <w:iCs/>
                <w:color w:val="auto"/>
                <w:sz w:val="21"/>
                <w:szCs w:val="21"/>
                <w:highlight w:val="none"/>
              </w:rPr>
              <w:t>年1月1日至今承担过的类似项目业绩，每个业绩得</w:t>
            </w:r>
            <w:r>
              <w:rPr>
                <w:rFonts w:hint="eastAsia" w:ascii="仿宋_GB2312" w:hAnsi="仿宋_GB2312" w:eastAsia="仿宋_GB2312" w:cs="仿宋_GB2312"/>
                <w:iCs/>
                <w:color w:val="auto"/>
                <w:sz w:val="21"/>
                <w:szCs w:val="21"/>
                <w:highlight w:val="none"/>
                <w:lang w:val="en-US" w:eastAsia="zh-CN"/>
              </w:rPr>
              <w:t>2</w:t>
            </w:r>
            <w:r>
              <w:rPr>
                <w:rFonts w:hint="eastAsia" w:ascii="仿宋_GB2312" w:hAnsi="仿宋_GB2312" w:eastAsia="仿宋_GB2312" w:cs="仿宋_GB2312"/>
                <w:iCs/>
                <w:color w:val="auto"/>
                <w:sz w:val="21"/>
                <w:szCs w:val="21"/>
                <w:highlight w:val="none"/>
              </w:rPr>
              <w:t>分，最高得</w:t>
            </w:r>
            <w:r>
              <w:rPr>
                <w:rFonts w:hint="eastAsia" w:ascii="仿宋_GB2312" w:hAnsi="仿宋_GB2312" w:eastAsia="仿宋_GB2312" w:cs="仿宋_GB2312"/>
                <w:iCs/>
                <w:color w:val="auto"/>
                <w:sz w:val="21"/>
                <w:szCs w:val="21"/>
                <w:highlight w:val="none"/>
                <w:lang w:val="en-US" w:eastAsia="zh-CN"/>
              </w:rPr>
              <w:t>10</w:t>
            </w:r>
            <w:r>
              <w:rPr>
                <w:rFonts w:hint="eastAsia" w:ascii="仿宋_GB2312" w:hAnsi="仿宋_GB2312" w:eastAsia="仿宋_GB2312" w:cs="仿宋_GB2312"/>
                <w:iCs/>
                <w:color w:val="auto"/>
                <w:sz w:val="21"/>
                <w:szCs w:val="21"/>
                <w:highlight w:val="none"/>
              </w:rPr>
              <w:t>分。（提供合同复印件</w:t>
            </w:r>
            <w:r>
              <w:rPr>
                <w:rFonts w:hint="eastAsia" w:ascii="仿宋_GB2312" w:hAnsi="仿宋_GB2312" w:eastAsia="仿宋_GB2312" w:cs="仿宋_GB2312"/>
                <w:iCs/>
                <w:color w:val="auto"/>
                <w:sz w:val="21"/>
                <w:szCs w:val="21"/>
                <w:highlight w:val="none"/>
                <w:lang w:eastAsia="zh-CN"/>
              </w:rPr>
              <w:t>，</w:t>
            </w:r>
            <w:r>
              <w:rPr>
                <w:rFonts w:hint="eastAsia" w:ascii="仿宋_GB2312" w:hAnsi="仿宋_GB2312" w:eastAsia="仿宋_GB2312" w:cs="仿宋_GB2312"/>
                <w:iCs/>
                <w:color w:val="auto"/>
                <w:sz w:val="21"/>
                <w:szCs w:val="21"/>
                <w:highlight w:val="none"/>
                <w:lang w:val="en-US" w:eastAsia="zh-CN"/>
              </w:rPr>
              <w:t>时间以合同签订时间为准</w:t>
            </w:r>
            <w:r>
              <w:rPr>
                <w:rFonts w:hint="eastAsia" w:ascii="仿宋_GB2312" w:hAnsi="仿宋_GB2312" w:eastAsia="仿宋_GB2312" w:cs="仿宋_GB2312"/>
                <w:iCs/>
                <w:color w:val="auto"/>
                <w:sz w:val="21"/>
                <w:szCs w:val="21"/>
                <w:highlight w:val="none"/>
              </w:rPr>
              <w:t>）</w:t>
            </w:r>
          </w:p>
        </w:tc>
      </w:tr>
      <w:tr w14:paraId="00FF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26" w:type="dxa"/>
            <w:gridSpan w:val="3"/>
            <w:tcBorders>
              <w:top w:val="single" w:color="auto" w:sz="4" w:space="0"/>
              <w:left w:val="single" w:color="auto" w:sz="4" w:space="0"/>
              <w:bottom w:val="single" w:color="auto" w:sz="4" w:space="0"/>
              <w:right w:val="single" w:color="auto" w:sz="4" w:space="0"/>
            </w:tcBorders>
            <w:noWrap w:val="0"/>
            <w:vAlign w:val="center"/>
          </w:tcPr>
          <w:p w14:paraId="29B68E9A">
            <w:pPr>
              <w:adjustRightInd w:val="0"/>
              <w:snapToGrid w:val="0"/>
              <w:spacing w:line="360" w:lineRule="auto"/>
              <w:jc w:val="center"/>
              <w:rPr>
                <w:rFonts w:hint="eastAsia" w:ascii="仿宋_GB2312" w:hAnsi="仿宋_GB2312" w:eastAsia="仿宋_GB2312" w:cs="仿宋_GB2312"/>
                <w:i w:val="0"/>
                <w:iCs w:val="0"/>
                <w:sz w:val="21"/>
                <w:szCs w:val="21"/>
              </w:rPr>
            </w:pPr>
            <w:r>
              <w:rPr>
                <w:rFonts w:hint="eastAsia" w:ascii="仿宋_GB2312" w:hAnsi="仿宋_GB2312" w:eastAsia="仿宋_GB2312" w:cs="仿宋_GB2312"/>
                <w:i w:val="0"/>
                <w:iCs w:val="0"/>
                <w:sz w:val="21"/>
                <w:szCs w:val="21"/>
                <w:lang w:val="en-US" w:eastAsia="zh-CN"/>
              </w:rPr>
              <w:t>满</w:t>
            </w:r>
            <w:r>
              <w:rPr>
                <w:rFonts w:hint="eastAsia" w:ascii="仿宋_GB2312" w:hAnsi="仿宋_GB2312" w:eastAsia="仿宋_GB2312" w:cs="仿宋_GB2312"/>
                <w:i w:val="0"/>
                <w:iCs w:val="0"/>
                <w:sz w:val="21"/>
                <w:szCs w:val="21"/>
              </w:rPr>
              <w:t>分</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541DA4AD">
            <w:pPr>
              <w:adjustRightInd w:val="0"/>
              <w:snapToGrid w:val="0"/>
              <w:spacing w:line="276" w:lineRule="auto"/>
              <w:jc w:val="center"/>
              <w:rPr>
                <w:rFonts w:hint="eastAsia" w:ascii="仿宋_GB2312" w:hAnsi="仿宋_GB2312" w:eastAsia="仿宋_GB2312" w:cs="仿宋_GB2312"/>
                <w:i w:val="0"/>
                <w:iCs w:val="0"/>
                <w:sz w:val="21"/>
                <w:szCs w:val="21"/>
                <w:lang w:val="zh-CN"/>
              </w:rPr>
            </w:pPr>
            <w:r>
              <w:rPr>
                <w:rFonts w:hint="eastAsia" w:ascii="仿宋_GB2312" w:hAnsi="仿宋_GB2312" w:eastAsia="仿宋_GB2312" w:cs="仿宋_GB2312"/>
                <w:i w:val="0"/>
                <w:iCs w:val="0"/>
                <w:sz w:val="21"/>
                <w:szCs w:val="21"/>
                <w:lang w:val="zh-CN"/>
              </w:rPr>
              <w:t>100分</w:t>
            </w:r>
          </w:p>
        </w:tc>
      </w:tr>
    </w:tbl>
    <w:p w14:paraId="36621D9F">
      <w:pPr>
        <w:pStyle w:val="2"/>
        <w:rPr>
          <w:color w:val="auto"/>
          <w:highlight w:val="none"/>
        </w:rPr>
      </w:pPr>
    </w:p>
    <w:p w14:paraId="767D0D86">
      <w:pPr>
        <w:rPr>
          <w:rStyle w:val="207"/>
          <w:rFonts w:ascii="Times New Roman" w:hAnsi="Times New Roman" w:eastAsia="宋体"/>
          <w:color w:val="auto"/>
          <w:sz w:val="36"/>
          <w:szCs w:val="36"/>
          <w:highlight w:val="none"/>
        </w:rPr>
      </w:pPr>
      <w:r>
        <w:rPr>
          <w:rStyle w:val="207"/>
          <w:rFonts w:ascii="Times New Roman" w:hAnsi="Times New Roman" w:eastAsia="宋体"/>
          <w:color w:val="auto"/>
          <w:sz w:val="36"/>
          <w:szCs w:val="36"/>
          <w:highlight w:val="none"/>
        </w:rPr>
        <w:br w:type="page"/>
      </w:r>
    </w:p>
    <w:p w14:paraId="11A21559">
      <w:pPr>
        <w:pStyle w:val="46"/>
        <w:spacing w:line="360" w:lineRule="auto"/>
        <w:rPr>
          <w:rStyle w:val="207"/>
          <w:rFonts w:ascii="Times New Roman" w:hAnsi="Times New Roman" w:eastAsia="宋体"/>
          <w:color w:val="auto"/>
          <w:sz w:val="36"/>
          <w:szCs w:val="36"/>
          <w:highlight w:val="none"/>
        </w:rPr>
      </w:pPr>
      <w:bookmarkStart w:id="411" w:name="_Toc15821"/>
      <w:r>
        <w:rPr>
          <w:rStyle w:val="207"/>
          <w:rFonts w:ascii="Times New Roman" w:hAnsi="Times New Roman" w:eastAsia="宋体"/>
          <w:color w:val="auto"/>
          <w:sz w:val="36"/>
          <w:szCs w:val="36"/>
          <w:highlight w:val="none"/>
        </w:rPr>
        <w:t xml:space="preserve">第四章  </w:t>
      </w:r>
      <w:bookmarkEnd w:id="19"/>
      <w:bookmarkEnd w:id="393"/>
      <w:bookmarkEnd w:id="394"/>
      <w:bookmarkStart w:id="412" w:name="_Toc230583552"/>
      <w:bookmarkStart w:id="413" w:name="_Toc256342152"/>
      <w:bookmarkStart w:id="414" w:name="_Toc53722865"/>
      <w:bookmarkStart w:id="415" w:name="_Toc500747010"/>
      <w:bookmarkStart w:id="416" w:name="_Toc28450"/>
      <w:bookmarkStart w:id="417" w:name="_Toc500747233"/>
      <w:bookmarkStart w:id="418" w:name="_Toc499711087"/>
      <w:bookmarkStart w:id="419" w:name="_Toc177189245"/>
      <w:bookmarkStart w:id="420" w:name="_Toc415499897"/>
      <w:bookmarkStart w:id="421" w:name="_Toc230099803"/>
      <w:bookmarkStart w:id="422" w:name="_Toc492955459"/>
      <w:bookmarkStart w:id="423" w:name="_Toc176882552"/>
      <w:bookmarkStart w:id="424" w:name="_Toc177817344"/>
      <w:bookmarkStart w:id="425" w:name="_Toc500747106"/>
      <w:bookmarkStart w:id="426" w:name="_Toc230013638"/>
      <w:bookmarkStart w:id="427" w:name="_Toc503063458"/>
      <w:bookmarkStart w:id="428" w:name="_Toc249525250"/>
      <w:bookmarkStart w:id="429" w:name="_Toc232176282"/>
      <w:bookmarkStart w:id="430" w:name="_Toc184043058"/>
      <w:bookmarkStart w:id="431" w:name="_Toc249515482"/>
      <w:bookmarkStart w:id="432" w:name="_Toc249515369"/>
      <w:bookmarkStart w:id="433" w:name="_Toc496324623"/>
      <w:bookmarkStart w:id="434" w:name="_Toc70687202"/>
      <w:bookmarkStart w:id="435" w:name="_Toc499711928"/>
      <w:bookmarkStart w:id="436" w:name="_Toc232395222"/>
      <w:bookmarkStart w:id="437" w:name="_Toc177995483"/>
      <w:r>
        <w:rPr>
          <w:rStyle w:val="207"/>
          <w:rFonts w:ascii="Times New Roman" w:hAnsi="Times New Roman" w:eastAsia="宋体"/>
          <w:color w:val="auto"/>
          <w:sz w:val="36"/>
          <w:szCs w:val="36"/>
          <w:highlight w:val="none"/>
        </w:rPr>
        <w:t>拟签订的合同文本</w:t>
      </w:r>
      <w:bookmarkEnd w:id="411"/>
    </w:p>
    <w:p w14:paraId="27234D9E">
      <w:pPr>
        <w:keepNext w:val="0"/>
        <w:keepLines w:val="0"/>
        <w:pageBreakBefore w:val="0"/>
        <w:kinsoku/>
        <w:wordWrap/>
        <w:overflowPunct/>
        <w:topLinePunct w:val="0"/>
        <w:bidi w:val="0"/>
        <w:adjustRightInd w:val="0"/>
        <w:snapToGrid w:val="0"/>
        <w:spacing w:line="336" w:lineRule="auto"/>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甲方：（前款所称采购人）         </w:t>
      </w:r>
    </w:p>
    <w:p w14:paraId="0AF97251">
      <w:pPr>
        <w:keepNext w:val="0"/>
        <w:keepLines w:val="0"/>
        <w:pageBreakBefore w:val="0"/>
        <w:kinsoku/>
        <w:wordWrap/>
        <w:overflowPunct/>
        <w:topLinePunct w:val="0"/>
        <w:bidi w:val="0"/>
        <w:adjustRightInd w:val="0"/>
        <w:snapToGrid w:val="0"/>
        <w:spacing w:line="336" w:lineRule="auto"/>
        <w:ind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 xml:space="preserve">乙方：（前款所称成交供应商）     </w:t>
      </w:r>
    </w:p>
    <w:p w14:paraId="2083DD15">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38" w:name="_Toc19515384"/>
      <w:r>
        <w:rPr>
          <w:rFonts w:hint="eastAsia" w:ascii="仿宋_GB2312" w:hAnsi="仿宋" w:eastAsia="仿宋_GB2312"/>
          <w:color w:val="auto"/>
          <w:sz w:val="24"/>
          <w:highlight w:val="none"/>
        </w:rPr>
        <w:t>一、合同内容（标的、范围、质量等）:</w:t>
      </w:r>
      <w:bookmarkEnd w:id="438"/>
      <w:r>
        <w:rPr>
          <w:rFonts w:hint="eastAsia" w:ascii="仿宋_GB2312" w:hAnsi="仿宋" w:eastAsia="仿宋_GB2312"/>
          <w:color w:val="auto"/>
          <w:sz w:val="24"/>
          <w:highlight w:val="none"/>
        </w:rPr>
        <w:t>本次采购需求包含的全部内容。</w:t>
      </w:r>
    </w:p>
    <w:p w14:paraId="72F43ED3">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39" w:name="_Toc19515385"/>
      <w:r>
        <w:rPr>
          <w:rFonts w:hint="eastAsia" w:ascii="仿宋_GB2312" w:hAnsi="仿宋" w:eastAsia="仿宋_GB2312"/>
          <w:color w:val="auto"/>
          <w:sz w:val="24"/>
          <w:highlight w:val="none"/>
        </w:rPr>
        <w:t>二、合同价款</w:t>
      </w:r>
      <w:bookmarkEnd w:id="439"/>
    </w:p>
    <w:p w14:paraId="048B9392">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1、合同总价：</w:t>
      </w:r>
    </w:p>
    <w:p w14:paraId="073FCBA0">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2、合同总价包括：完成服务要求所需的一切费用。</w:t>
      </w:r>
    </w:p>
    <w:p w14:paraId="01C9014A">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3、合同总价一次包死，不受市场价变化的影响。</w:t>
      </w:r>
    </w:p>
    <w:p w14:paraId="1E6642FD">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0" w:name="_Toc19515386"/>
      <w:r>
        <w:rPr>
          <w:rFonts w:hint="eastAsia" w:ascii="仿宋_GB2312" w:hAnsi="仿宋" w:eastAsia="仿宋_GB2312"/>
          <w:color w:val="auto"/>
          <w:sz w:val="24"/>
          <w:highlight w:val="none"/>
        </w:rPr>
        <w:t>三、合同结算</w:t>
      </w:r>
      <w:bookmarkEnd w:id="440"/>
    </w:p>
    <w:p w14:paraId="3105F6F2">
      <w:pPr>
        <w:keepNext w:val="0"/>
        <w:keepLines w:val="0"/>
        <w:pageBreakBefore w:val="0"/>
        <w:kinsoku/>
        <w:wordWrap/>
        <w:overflowPunct/>
        <w:topLinePunct w:val="0"/>
        <w:bidi w:val="0"/>
        <w:adjustRightInd w:val="0"/>
        <w:snapToGrid w:val="0"/>
        <w:spacing w:line="336" w:lineRule="auto"/>
        <w:ind w:firstLine="480" w:firstLineChars="200"/>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1、付款</w:t>
      </w:r>
      <w:r>
        <w:rPr>
          <w:rFonts w:hint="eastAsia" w:ascii="仿宋_GB2312" w:hAnsi="仿宋" w:eastAsia="仿宋_GB2312"/>
          <w:color w:val="auto"/>
          <w:sz w:val="24"/>
          <w:highlight w:val="none"/>
          <w:lang w:val="en-US" w:eastAsia="zh-CN"/>
        </w:rPr>
        <w:t>方式</w:t>
      </w:r>
      <w:r>
        <w:rPr>
          <w:rFonts w:hint="eastAsia" w:ascii="仿宋_GB2312" w:hAnsi="仿宋" w:eastAsia="仿宋_GB2312"/>
          <w:color w:val="auto"/>
          <w:sz w:val="24"/>
          <w:highlight w:val="none"/>
        </w:rPr>
        <w:t>：</w:t>
      </w:r>
      <w:r>
        <w:rPr>
          <w:rFonts w:hint="eastAsia" w:ascii="仿宋_GB2312" w:hAnsi="仿宋" w:eastAsia="仿宋_GB2312"/>
          <w:color w:val="auto"/>
          <w:sz w:val="24"/>
          <w:highlight w:val="none"/>
          <w:lang w:val="en-US" w:eastAsia="zh-CN"/>
        </w:rPr>
        <w:t>按照实际用餐人数*全年天数*19元/人•天进行结算。</w:t>
      </w:r>
    </w:p>
    <w:p w14:paraId="7C26BA39">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lang w:val="en-US" w:eastAsia="zh-CN"/>
        </w:rPr>
        <w:t>2</w:t>
      </w:r>
      <w:r>
        <w:rPr>
          <w:rFonts w:hint="eastAsia" w:ascii="仿宋_GB2312" w:hAnsi="仿宋" w:eastAsia="仿宋_GB2312"/>
          <w:color w:val="auto"/>
          <w:sz w:val="24"/>
          <w:highlight w:val="none"/>
        </w:rPr>
        <w:t>、结算单位：由</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负责结算，乙方开具合同总价数的全额发票交采购人。</w:t>
      </w:r>
    </w:p>
    <w:p w14:paraId="79B794A4">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1" w:name="_Toc19515387"/>
      <w:r>
        <w:rPr>
          <w:rFonts w:hint="eastAsia" w:ascii="仿宋_GB2312" w:hAnsi="仿宋" w:eastAsia="仿宋_GB2312"/>
          <w:color w:val="auto"/>
          <w:sz w:val="24"/>
          <w:highlight w:val="none"/>
        </w:rPr>
        <w:t>四、服务期、服务地点及方式:</w:t>
      </w:r>
      <w:bookmarkEnd w:id="441"/>
    </w:p>
    <w:p w14:paraId="6C7DF0F9">
      <w:pPr>
        <w:keepNext w:val="0"/>
        <w:keepLines w:val="0"/>
        <w:pageBreakBefore w:val="0"/>
        <w:kinsoku/>
        <w:wordWrap/>
        <w:overflowPunct/>
        <w:topLinePunct w:val="0"/>
        <w:bidi w:val="0"/>
        <w:adjustRightInd w:val="0"/>
        <w:snapToGrid w:val="0"/>
        <w:spacing w:line="336" w:lineRule="auto"/>
        <w:ind w:firstLine="480" w:firstLineChars="200"/>
        <w:rPr>
          <w:rFonts w:hint="eastAsia" w:ascii="仿宋_GB2312" w:hAnsi="仿宋" w:eastAsia="仿宋_GB2312"/>
          <w:color w:val="auto"/>
          <w:sz w:val="24"/>
          <w:highlight w:val="none"/>
          <w:lang w:eastAsia="zh-CN"/>
        </w:rPr>
      </w:pPr>
      <w:r>
        <w:rPr>
          <w:rFonts w:hint="eastAsia" w:ascii="仿宋_GB2312" w:hAnsi="仿宋" w:eastAsia="仿宋_GB2312"/>
          <w:color w:val="auto"/>
          <w:sz w:val="24"/>
          <w:highlight w:val="none"/>
        </w:rPr>
        <w:t>1、服务期：</w:t>
      </w:r>
      <w:r>
        <w:rPr>
          <w:rFonts w:hint="eastAsia" w:ascii="仿宋_GB2312" w:hAnsi="仿宋_GB2312" w:eastAsia="仿宋_GB2312" w:cs="仿宋_GB2312"/>
          <w:color w:val="auto"/>
          <w:sz w:val="24"/>
          <w:szCs w:val="24"/>
          <w:highlight w:val="none"/>
        </w:rPr>
        <w:t>自合同签订后1年</w:t>
      </w:r>
    </w:p>
    <w:p w14:paraId="74FE7B88">
      <w:pPr>
        <w:keepNext w:val="0"/>
        <w:keepLines w:val="0"/>
        <w:pageBreakBefore w:val="0"/>
        <w:kinsoku/>
        <w:wordWrap/>
        <w:overflowPunct/>
        <w:topLinePunct w:val="0"/>
        <w:bidi w:val="0"/>
        <w:adjustRightInd w:val="0"/>
        <w:snapToGrid w:val="0"/>
        <w:spacing w:line="336" w:lineRule="auto"/>
        <w:ind w:firstLine="480" w:firstLineChars="200"/>
        <w:rPr>
          <w:rFonts w:hint="default" w:ascii="仿宋_GB2312" w:hAnsi="仿宋" w:eastAsia="仿宋_GB2312"/>
          <w:color w:val="auto"/>
          <w:sz w:val="24"/>
          <w:highlight w:val="none"/>
          <w:lang w:val="en-US" w:eastAsia="zh-CN"/>
        </w:rPr>
      </w:pPr>
      <w:r>
        <w:rPr>
          <w:rFonts w:hint="eastAsia" w:ascii="仿宋_GB2312" w:hAnsi="仿宋" w:eastAsia="仿宋_GB2312"/>
          <w:color w:val="auto"/>
          <w:sz w:val="24"/>
          <w:highlight w:val="none"/>
        </w:rPr>
        <w:t>2、服务地点：</w:t>
      </w:r>
      <w:r>
        <w:rPr>
          <w:rFonts w:hint="eastAsia" w:ascii="仿宋_GB2312" w:hAnsi="仿宋" w:eastAsia="仿宋_GB2312"/>
          <w:color w:val="auto"/>
          <w:sz w:val="24"/>
          <w:highlight w:val="none"/>
          <w:lang w:val="en-US" w:eastAsia="zh-CN"/>
        </w:rPr>
        <w:t>采购人指定地点</w:t>
      </w:r>
    </w:p>
    <w:p w14:paraId="0E6A16BE">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3、方式：按照采购人要求</w:t>
      </w:r>
    </w:p>
    <w:p w14:paraId="4BEB579D">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2" w:name="_Toc19515391"/>
      <w:r>
        <w:rPr>
          <w:rFonts w:hint="eastAsia" w:ascii="仿宋_GB2312" w:hAnsi="仿宋" w:eastAsia="仿宋_GB2312"/>
          <w:color w:val="auto"/>
          <w:sz w:val="24"/>
          <w:highlight w:val="none"/>
        </w:rPr>
        <w:t>五、服务工作要求和质量保证</w:t>
      </w:r>
    </w:p>
    <w:p w14:paraId="0017C464">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各项具体工作的质量标准和作业规范，按国家相关标准、规范及磋商文件、磋商响应文件制定的内容执行。</w:t>
      </w:r>
    </w:p>
    <w:p w14:paraId="33AA08F4">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六、验收</w:t>
      </w:r>
      <w:bookmarkEnd w:id="442"/>
    </w:p>
    <w:p w14:paraId="48C5EF7C">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1、验收依据：</w:t>
      </w:r>
    </w:p>
    <w:p w14:paraId="599C7875">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1-1、合同文本、合同附件、磋商文件、响应文件。</w:t>
      </w:r>
    </w:p>
    <w:p w14:paraId="46F385AD">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1-2、国内相应的标准、规范。</w:t>
      </w:r>
    </w:p>
    <w:p w14:paraId="3F178125">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3" w:name="_Toc19515392"/>
      <w:bookmarkStart w:id="444" w:name="_Toc19515393"/>
      <w:r>
        <w:rPr>
          <w:rFonts w:hint="eastAsia" w:ascii="仿宋_GB2312" w:hAnsi="仿宋" w:eastAsia="仿宋_GB2312"/>
          <w:color w:val="auto"/>
          <w:sz w:val="24"/>
          <w:highlight w:val="none"/>
        </w:rPr>
        <w:t>七、违约责任</w:t>
      </w:r>
      <w:bookmarkEnd w:id="443"/>
    </w:p>
    <w:p w14:paraId="34675CB0">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1、按《中华人民共和国民法典》中的相关条款执行。</w:t>
      </w:r>
    </w:p>
    <w:p w14:paraId="71E8C9FF">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2、乙方履约延误</w:t>
      </w:r>
    </w:p>
    <w:p w14:paraId="593FDB03">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2-1、如乙方事先未征得甲方同意并得到甲方的谅解而单方面延迟执行合同，将按违约终止合同。</w:t>
      </w:r>
    </w:p>
    <w:p w14:paraId="7F73AEE2">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付时间或对乙方加收误期赔偿金。</w:t>
      </w:r>
    </w:p>
    <w:p w14:paraId="60608D99">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3、违约终止合同：未按合同要求提供服务或不能满足技术要求，甲方会同监督机构有权终止合同，对乙方违约行为进行追究，同时按政府采购法的有关规定进行相应的处罚。</w:t>
      </w:r>
    </w:p>
    <w:p w14:paraId="724D3D5F">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八、合同组成</w:t>
      </w:r>
      <w:bookmarkEnd w:id="444"/>
    </w:p>
    <w:p w14:paraId="5BE5B589">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1、成交通知书</w:t>
      </w:r>
    </w:p>
    <w:p w14:paraId="7E410EC3">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2、合同文件</w:t>
      </w:r>
    </w:p>
    <w:p w14:paraId="05180128">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3、国家相关规范及标准</w:t>
      </w:r>
    </w:p>
    <w:p w14:paraId="4B9BF629">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4、磋商文件</w:t>
      </w:r>
    </w:p>
    <w:p w14:paraId="158400A3">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5、响应文件</w:t>
      </w:r>
    </w:p>
    <w:p w14:paraId="738043DB">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5" w:name="_Toc19515394"/>
      <w:r>
        <w:rPr>
          <w:rFonts w:hint="eastAsia" w:ascii="仿宋_GB2312" w:hAnsi="仿宋" w:eastAsia="仿宋_GB2312"/>
          <w:color w:val="auto"/>
          <w:sz w:val="24"/>
          <w:highlight w:val="none"/>
        </w:rPr>
        <w:t>九、解决争议的方法</w:t>
      </w:r>
      <w:bookmarkEnd w:id="445"/>
    </w:p>
    <w:p w14:paraId="1AA29773">
      <w:pPr>
        <w:keepNext w:val="0"/>
        <w:keepLines w:val="0"/>
        <w:pageBreakBefore w:val="0"/>
        <w:widowControl/>
        <w:kinsoku/>
        <w:wordWrap/>
        <w:overflowPunct/>
        <w:topLinePunct w:val="0"/>
        <w:autoSpaceDE w:val="0"/>
        <w:autoSpaceDN w:val="0"/>
        <w:bidi w:val="0"/>
        <w:snapToGrid w:val="0"/>
        <w:spacing w:line="336"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凡因本合同引起的或与本合同有关的争议，双方应友好协商解决。协商不成时，双方均同意采用以下第（ 1 ）种争议解决方式：</w:t>
      </w:r>
    </w:p>
    <w:p w14:paraId="1005522E">
      <w:pPr>
        <w:keepNext w:val="0"/>
        <w:keepLines w:val="0"/>
        <w:pageBreakBefore w:val="0"/>
        <w:widowControl/>
        <w:kinsoku/>
        <w:wordWrap/>
        <w:overflowPunct/>
        <w:topLinePunct w:val="0"/>
        <w:autoSpaceDE w:val="0"/>
        <w:autoSpaceDN w:val="0"/>
        <w:bidi w:val="0"/>
        <w:snapToGrid w:val="0"/>
        <w:spacing w:line="336"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（1）甲、乙双方均同意向（甲方所在地人民法院）提起诉讼。</w:t>
      </w:r>
    </w:p>
    <w:p w14:paraId="60EAA380">
      <w:pPr>
        <w:keepNext w:val="0"/>
        <w:keepLines w:val="0"/>
        <w:pageBreakBefore w:val="0"/>
        <w:widowControl/>
        <w:kinsoku/>
        <w:wordWrap/>
        <w:overflowPunct/>
        <w:topLinePunct w:val="0"/>
        <w:autoSpaceDE w:val="0"/>
        <w:autoSpaceDN w:val="0"/>
        <w:bidi w:val="0"/>
        <w:snapToGrid w:val="0"/>
        <w:spacing w:line="336"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（2）甲、乙双方均同意向（</w:t>
      </w:r>
      <w:r>
        <w:rPr>
          <w:rFonts w:hint="eastAsia" w:ascii="仿宋_GB2312" w:hAnsi="仿宋" w:eastAsia="仿宋_GB2312"/>
          <w:color w:val="auto"/>
          <w:kern w:val="0"/>
          <w:sz w:val="24"/>
          <w:highlight w:val="none"/>
          <w:u w:val="none"/>
        </w:rPr>
        <w:t>仲裁委员会</w:t>
      </w:r>
      <w:r>
        <w:rPr>
          <w:rFonts w:hint="eastAsia" w:ascii="仿宋_GB2312" w:hAnsi="仿宋" w:eastAsia="仿宋_GB2312"/>
          <w:color w:val="auto"/>
          <w:kern w:val="0"/>
          <w:sz w:val="24"/>
          <w:highlight w:val="none"/>
        </w:rPr>
        <w:t>）提起仲裁。</w:t>
      </w:r>
    </w:p>
    <w:p w14:paraId="70BE8F78">
      <w:pPr>
        <w:keepNext w:val="0"/>
        <w:keepLines w:val="0"/>
        <w:pageBreakBefore w:val="0"/>
        <w:kinsoku/>
        <w:wordWrap/>
        <w:overflowPunct/>
        <w:topLinePunct w:val="0"/>
        <w:bidi w:val="0"/>
        <w:adjustRightInd w:val="0"/>
        <w:snapToGrid w:val="0"/>
        <w:spacing w:line="336" w:lineRule="auto"/>
        <w:ind w:firstLine="480" w:firstLineChars="200"/>
        <w:rPr>
          <w:rFonts w:ascii="仿宋_GB2312" w:hAnsi="仿宋" w:eastAsia="仿宋_GB2312"/>
          <w:color w:val="auto"/>
          <w:sz w:val="24"/>
          <w:highlight w:val="none"/>
        </w:rPr>
      </w:pPr>
      <w:bookmarkStart w:id="446" w:name="_Toc19515395"/>
      <w:r>
        <w:rPr>
          <w:rFonts w:hint="eastAsia" w:ascii="仿宋_GB2312" w:hAnsi="仿宋" w:eastAsia="仿宋_GB2312"/>
          <w:color w:val="auto"/>
          <w:sz w:val="24"/>
          <w:highlight w:val="none"/>
        </w:rPr>
        <w:t>十、合同生效及其它</w:t>
      </w:r>
      <w:bookmarkEnd w:id="446"/>
    </w:p>
    <w:p w14:paraId="22E70C0C">
      <w:pPr>
        <w:keepNext w:val="0"/>
        <w:keepLines w:val="0"/>
        <w:pageBreakBefore w:val="0"/>
        <w:widowControl/>
        <w:kinsoku/>
        <w:wordWrap/>
        <w:overflowPunct/>
        <w:topLinePunct w:val="0"/>
        <w:autoSpaceDE w:val="0"/>
        <w:autoSpaceDN w:val="0"/>
        <w:bidi w:val="0"/>
        <w:snapToGrid w:val="0"/>
        <w:spacing w:line="336"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1、合同未尽事宜、由甲、乙双方协商，作为合同补充，与原合同具有同等法律效力。</w:t>
      </w:r>
    </w:p>
    <w:p w14:paraId="7C373898">
      <w:pPr>
        <w:keepNext w:val="0"/>
        <w:keepLines w:val="0"/>
        <w:pageBreakBefore w:val="0"/>
        <w:widowControl/>
        <w:tabs>
          <w:tab w:val="left" w:pos="8391"/>
        </w:tabs>
        <w:kinsoku/>
        <w:wordWrap/>
        <w:overflowPunct/>
        <w:topLinePunct w:val="0"/>
        <w:autoSpaceDE w:val="0"/>
        <w:autoSpaceDN w:val="0"/>
        <w:bidi w:val="0"/>
        <w:snapToGrid w:val="0"/>
        <w:spacing w:line="336" w:lineRule="auto"/>
        <w:ind w:right="-69"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2、 本合同正本一式</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份，甲方、乙方双方分别执</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备案</w:t>
      </w:r>
      <w:r>
        <w:rPr>
          <w:rFonts w:hint="eastAsia" w:ascii="仿宋_GB2312" w:hAnsi="仿宋" w:eastAsia="仿宋_GB2312"/>
          <w:color w:val="auto"/>
          <w:kern w:val="0"/>
          <w:sz w:val="24"/>
          <w:highlight w:val="none"/>
          <w:u w:val="single"/>
        </w:rPr>
        <w:t xml:space="preserve">  </w:t>
      </w:r>
      <w:r>
        <w:rPr>
          <w:rFonts w:hint="eastAsia" w:ascii="仿宋_GB2312" w:hAnsi="仿宋" w:eastAsia="仿宋_GB2312"/>
          <w:color w:val="auto"/>
          <w:kern w:val="0"/>
          <w:sz w:val="24"/>
          <w:highlight w:val="none"/>
        </w:rPr>
        <w:t>份。</w:t>
      </w:r>
    </w:p>
    <w:p w14:paraId="505E9FA5">
      <w:pPr>
        <w:keepNext w:val="0"/>
        <w:keepLines w:val="0"/>
        <w:pageBreakBefore w:val="0"/>
        <w:widowControl/>
        <w:kinsoku/>
        <w:wordWrap/>
        <w:overflowPunct/>
        <w:topLinePunct w:val="0"/>
        <w:autoSpaceDE w:val="0"/>
        <w:autoSpaceDN w:val="0"/>
        <w:bidi w:val="0"/>
        <w:snapToGrid w:val="0"/>
        <w:spacing w:line="336" w:lineRule="auto"/>
        <w:ind w:right="-110" w:firstLine="480" w:firstLineChars="200"/>
        <w:textAlignment w:val="bottom"/>
        <w:rPr>
          <w:rFonts w:ascii="仿宋_GB2312" w:hAnsi="仿宋" w:eastAsia="仿宋_GB2312"/>
          <w:color w:val="auto"/>
          <w:kern w:val="0"/>
          <w:sz w:val="24"/>
          <w:highlight w:val="none"/>
        </w:rPr>
      </w:pPr>
      <w:r>
        <w:rPr>
          <w:rFonts w:hint="eastAsia" w:ascii="仿宋_GB2312" w:hAnsi="仿宋" w:eastAsia="仿宋_GB2312"/>
          <w:color w:val="auto"/>
          <w:kern w:val="0"/>
          <w:sz w:val="24"/>
          <w:highlight w:val="none"/>
        </w:rPr>
        <w:t>3、合同经甲乙双方盖章、签字后生效，合同签订地点为   。</w:t>
      </w:r>
    </w:p>
    <w:p w14:paraId="4643BCC5">
      <w:pPr>
        <w:keepNext w:val="0"/>
        <w:keepLines w:val="0"/>
        <w:pageBreakBefore w:val="0"/>
        <w:widowControl/>
        <w:tabs>
          <w:tab w:val="left" w:pos="8391"/>
        </w:tabs>
        <w:kinsoku/>
        <w:wordWrap/>
        <w:overflowPunct/>
        <w:topLinePunct w:val="0"/>
        <w:autoSpaceDE w:val="0"/>
        <w:autoSpaceDN w:val="0"/>
        <w:bidi w:val="0"/>
        <w:snapToGrid w:val="0"/>
        <w:spacing w:line="336" w:lineRule="auto"/>
        <w:ind w:right="-69" w:firstLine="480" w:firstLineChars="200"/>
        <w:textAlignment w:val="bottom"/>
        <w:rPr>
          <w:rFonts w:eastAsia="仿宋_GB2312"/>
          <w:color w:val="auto"/>
          <w:kern w:val="0"/>
          <w:sz w:val="24"/>
          <w:highlight w:val="none"/>
        </w:rPr>
      </w:pPr>
      <w:r>
        <w:rPr>
          <w:rFonts w:hint="eastAsia" w:ascii="仿宋_GB2312" w:hAnsi="仿宋" w:eastAsia="仿宋_GB2312"/>
          <w:color w:val="auto"/>
          <w:kern w:val="0"/>
          <w:sz w:val="24"/>
          <w:highlight w:val="none"/>
        </w:rPr>
        <w:t>4、生效时间：   年  月  日</w:t>
      </w:r>
    </w:p>
    <w:tbl>
      <w:tblPr>
        <w:tblStyle w:val="50"/>
        <w:tblW w:w="0" w:type="auto"/>
        <w:jc w:val="center"/>
        <w:tblLayout w:type="fixed"/>
        <w:tblCellMar>
          <w:top w:w="0" w:type="dxa"/>
          <w:left w:w="108" w:type="dxa"/>
          <w:bottom w:w="0" w:type="dxa"/>
          <w:right w:w="108" w:type="dxa"/>
        </w:tblCellMar>
      </w:tblPr>
      <w:tblGrid>
        <w:gridCol w:w="4643"/>
        <w:gridCol w:w="4643"/>
      </w:tblGrid>
      <w:tr w14:paraId="2D70F1C4">
        <w:tblPrEx>
          <w:tblCellMar>
            <w:top w:w="0" w:type="dxa"/>
            <w:left w:w="108" w:type="dxa"/>
            <w:bottom w:w="0" w:type="dxa"/>
            <w:right w:w="108" w:type="dxa"/>
          </w:tblCellMar>
        </w:tblPrEx>
        <w:trPr>
          <w:trHeight w:val="90" w:hRule="atLeast"/>
          <w:jc w:val="center"/>
        </w:trPr>
        <w:tc>
          <w:tcPr>
            <w:tcW w:w="4643" w:type="dxa"/>
            <w:noWrap w:val="0"/>
            <w:vAlign w:val="top"/>
          </w:tcPr>
          <w:p w14:paraId="3567AC60">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甲方名称</w:t>
            </w:r>
            <w:r>
              <w:rPr>
                <w:rFonts w:eastAsia="仿宋_GB2312"/>
                <w:color w:val="auto"/>
                <w:spacing w:val="-20"/>
                <w:kern w:val="0"/>
                <w:sz w:val="24"/>
                <w:highlight w:val="none"/>
              </w:rPr>
              <w:t>（盖章）</w:t>
            </w:r>
            <w:r>
              <w:rPr>
                <w:rFonts w:eastAsia="仿宋_GB2312"/>
                <w:color w:val="auto"/>
                <w:kern w:val="0"/>
                <w:sz w:val="24"/>
                <w:highlight w:val="none"/>
              </w:rPr>
              <w:t>:</w:t>
            </w:r>
          </w:p>
          <w:p w14:paraId="5BC831FF">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14:paraId="450E3135">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14:paraId="4C06F483">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14:paraId="52F48B95">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14:paraId="33524DE1">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c>
          <w:tcPr>
            <w:tcW w:w="4643" w:type="dxa"/>
            <w:noWrap w:val="0"/>
            <w:vAlign w:val="top"/>
          </w:tcPr>
          <w:p w14:paraId="02DF94B7">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乙方名称</w:t>
            </w:r>
            <w:r>
              <w:rPr>
                <w:rFonts w:eastAsia="仿宋_GB2312"/>
                <w:color w:val="auto"/>
                <w:spacing w:val="-20"/>
                <w:kern w:val="0"/>
                <w:sz w:val="24"/>
                <w:highlight w:val="none"/>
              </w:rPr>
              <w:t>（盖章）</w:t>
            </w:r>
            <w:r>
              <w:rPr>
                <w:rFonts w:eastAsia="仿宋_GB2312"/>
                <w:color w:val="auto"/>
                <w:kern w:val="0"/>
                <w:sz w:val="24"/>
                <w:highlight w:val="none"/>
              </w:rPr>
              <w:t>:</w:t>
            </w:r>
          </w:p>
          <w:p w14:paraId="79E5016C">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地址：</w:t>
            </w:r>
          </w:p>
          <w:p w14:paraId="7B9D0A58">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代表人（签字）：</w:t>
            </w:r>
          </w:p>
          <w:p w14:paraId="076206BD">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电话：</w:t>
            </w:r>
          </w:p>
          <w:p w14:paraId="4950D66C">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开户银行：</w:t>
            </w:r>
          </w:p>
          <w:p w14:paraId="1BFEE65A">
            <w:pPr>
              <w:widowControl/>
              <w:autoSpaceDE w:val="0"/>
              <w:autoSpaceDN w:val="0"/>
              <w:snapToGrid w:val="0"/>
              <w:spacing w:line="360" w:lineRule="auto"/>
              <w:ind w:right="-154"/>
              <w:textAlignment w:val="bottom"/>
              <w:rPr>
                <w:rFonts w:eastAsia="仿宋_GB2312"/>
                <w:color w:val="auto"/>
                <w:kern w:val="0"/>
                <w:sz w:val="24"/>
                <w:highlight w:val="none"/>
              </w:rPr>
            </w:pPr>
            <w:r>
              <w:rPr>
                <w:rFonts w:eastAsia="仿宋_GB2312"/>
                <w:color w:val="auto"/>
                <w:kern w:val="0"/>
                <w:sz w:val="24"/>
                <w:highlight w:val="none"/>
              </w:rPr>
              <w:t>账号：</w:t>
            </w:r>
          </w:p>
        </w:tc>
      </w:tr>
    </w:tbl>
    <w:p w14:paraId="2285CF8F">
      <w:pPr>
        <w:ind w:firstLine="480" w:firstLineChars="200"/>
        <w:rPr>
          <w:rFonts w:eastAsia="仿宋_GB2312"/>
          <w:color w:val="auto"/>
          <w:sz w:val="24"/>
          <w:highlight w:val="none"/>
        </w:rPr>
      </w:pPr>
      <w:r>
        <w:rPr>
          <w:rFonts w:eastAsia="仿宋_GB2312"/>
          <w:color w:val="auto"/>
          <w:sz w:val="24"/>
          <w:highlight w:val="none"/>
        </w:rPr>
        <w:br w:type="page"/>
      </w:r>
    </w:p>
    <w:p w14:paraId="58FBA0C9">
      <w:pPr>
        <w:spacing w:line="360" w:lineRule="auto"/>
        <w:ind w:firstLine="480" w:firstLineChars="200"/>
        <w:rPr>
          <w:rFonts w:eastAsia="仿宋_GB2312"/>
          <w:color w:val="auto"/>
          <w:sz w:val="24"/>
          <w:highlight w:val="none"/>
        </w:rPr>
      </w:pPr>
      <w:r>
        <w:rPr>
          <w:rFonts w:eastAsia="仿宋_GB2312"/>
          <w:color w:val="auto"/>
          <w:sz w:val="24"/>
          <w:highlight w:val="none"/>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14:paraId="1470D414">
        <w:trPr>
          <w:trHeight w:val="900" w:hRule="atLeast"/>
        </w:trPr>
        <w:tc>
          <w:tcPr>
            <w:tcW w:w="5000" w:type="pct"/>
            <w:gridSpan w:val="4"/>
            <w:tcBorders>
              <w:top w:val="nil"/>
              <w:left w:val="nil"/>
              <w:bottom w:val="nil"/>
              <w:right w:val="nil"/>
            </w:tcBorders>
            <w:noWrap/>
            <w:vAlign w:val="center"/>
          </w:tcPr>
          <w:p w14:paraId="461CC74D">
            <w:pPr>
              <w:widowControl/>
              <w:jc w:val="center"/>
              <w:rPr>
                <w:rFonts w:eastAsia="仿宋_GB2312"/>
                <w:b/>
                <w:bCs/>
                <w:color w:val="auto"/>
                <w:kern w:val="0"/>
                <w:sz w:val="32"/>
                <w:szCs w:val="32"/>
                <w:highlight w:val="none"/>
              </w:rPr>
            </w:pPr>
            <w:r>
              <w:rPr>
                <w:rFonts w:eastAsia="仿宋_GB2312"/>
                <w:b/>
                <w:bCs/>
                <w:color w:val="auto"/>
                <w:kern w:val="0"/>
                <w:sz w:val="32"/>
                <w:szCs w:val="32"/>
                <w:highlight w:val="none"/>
              </w:rPr>
              <w:t>政府采购项目货物（服务）验收入库报告单</w:t>
            </w:r>
          </w:p>
        </w:tc>
      </w:tr>
      <w:tr w14:paraId="23ECAA01">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10557D4E">
            <w:pPr>
              <w:widowControl/>
              <w:jc w:val="center"/>
              <w:rPr>
                <w:rFonts w:eastAsia="仿宋_GB2312"/>
                <w:b/>
                <w:bCs/>
                <w:color w:val="auto"/>
                <w:kern w:val="0"/>
                <w:sz w:val="24"/>
                <w:highlight w:val="none"/>
              </w:rPr>
            </w:pPr>
            <w:r>
              <w:rPr>
                <w:rFonts w:eastAsia="仿宋_GB2312"/>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7D8C794A">
            <w:pPr>
              <w:widowControl/>
              <w:jc w:val="center"/>
              <w:rPr>
                <w:rFonts w:eastAsia="仿宋_GB2312"/>
                <w:color w:val="auto"/>
                <w:kern w:val="0"/>
                <w:sz w:val="24"/>
                <w:highlight w:val="none"/>
              </w:rPr>
            </w:pPr>
            <w:r>
              <w:rPr>
                <w:rFonts w:eastAsia="仿宋_GB2312"/>
                <w:color w:val="auto"/>
                <w:kern w:val="0"/>
                <w:sz w:val="24"/>
                <w:highlight w:val="none"/>
              </w:rPr>
              <w:t>　</w:t>
            </w:r>
          </w:p>
        </w:tc>
      </w:tr>
      <w:tr w14:paraId="792F348C">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49D09397">
            <w:pPr>
              <w:widowControl/>
              <w:jc w:val="center"/>
              <w:rPr>
                <w:rFonts w:eastAsia="仿宋_GB2312"/>
                <w:b/>
                <w:bCs/>
                <w:color w:val="auto"/>
                <w:kern w:val="0"/>
                <w:sz w:val="24"/>
                <w:highlight w:val="none"/>
              </w:rPr>
            </w:pPr>
            <w:r>
              <w:rPr>
                <w:rFonts w:eastAsia="仿宋_GB2312"/>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6F86A0D2">
            <w:pPr>
              <w:widowControl/>
              <w:jc w:val="center"/>
              <w:rPr>
                <w:rFonts w:eastAsia="仿宋_GB2312"/>
                <w:color w:val="auto"/>
                <w:kern w:val="0"/>
                <w:sz w:val="24"/>
                <w:highlight w:val="none"/>
              </w:rPr>
            </w:pPr>
            <w:r>
              <w:rPr>
                <w:rFonts w:eastAsia="仿宋_GB2312"/>
                <w:color w:val="auto"/>
                <w:kern w:val="0"/>
                <w:sz w:val="24"/>
                <w:highlight w:val="none"/>
              </w:rPr>
              <w:t>　</w:t>
            </w:r>
          </w:p>
        </w:tc>
      </w:tr>
      <w:tr w14:paraId="40FE11A3">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65BEA376">
            <w:pPr>
              <w:widowControl/>
              <w:jc w:val="center"/>
              <w:rPr>
                <w:rFonts w:eastAsia="仿宋_GB2312"/>
                <w:b/>
                <w:bCs/>
                <w:color w:val="auto"/>
                <w:kern w:val="0"/>
                <w:sz w:val="24"/>
                <w:highlight w:val="none"/>
              </w:rPr>
            </w:pPr>
            <w:r>
              <w:rPr>
                <w:rFonts w:eastAsia="仿宋_GB2312"/>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04243E4E">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14:paraId="4A04EBED">
            <w:pPr>
              <w:widowControl/>
              <w:jc w:val="center"/>
              <w:rPr>
                <w:rFonts w:eastAsia="仿宋_GB2312"/>
                <w:b/>
                <w:bCs/>
                <w:color w:val="auto"/>
                <w:kern w:val="0"/>
                <w:sz w:val="24"/>
                <w:highlight w:val="none"/>
              </w:rPr>
            </w:pPr>
            <w:r>
              <w:rPr>
                <w:rFonts w:eastAsia="仿宋_GB2312"/>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14:paraId="439C1975">
            <w:pPr>
              <w:widowControl/>
              <w:jc w:val="left"/>
              <w:rPr>
                <w:rFonts w:eastAsia="仿宋_GB2312"/>
                <w:b/>
                <w:bCs/>
                <w:color w:val="auto"/>
                <w:kern w:val="0"/>
                <w:sz w:val="24"/>
                <w:highlight w:val="none"/>
              </w:rPr>
            </w:pPr>
            <w:r>
              <w:rPr>
                <w:rFonts w:eastAsia="仿宋_GB2312"/>
                <w:b/>
                <w:bCs/>
                <w:color w:val="auto"/>
                <w:kern w:val="0"/>
                <w:sz w:val="24"/>
                <w:highlight w:val="none"/>
              </w:rPr>
              <w:t>¥:</w:t>
            </w:r>
          </w:p>
        </w:tc>
      </w:tr>
      <w:tr w14:paraId="63A8B7DE">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6D2376EE">
            <w:pPr>
              <w:widowControl/>
              <w:jc w:val="left"/>
              <w:rPr>
                <w:rFonts w:eastAsia="仿宋_GB2312"/>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14:paraId="3C565F44">
            <w:pPr>
              <w:widowControl/>
              <w:jc w:val="left"/>
              <w:rPr>
                <w:rFonts w:eastAsia="仿宋_GB2312"/>
                <w:color w:val="auto"/>
                <w:kern w:val="0"/>
                <w:sz w:val="24"/>
                <w:highlight w:val="none"/>
              </w:rPr>
            </w:pPr>
          </w:p>
        </w:tc>
        <w:tc>
          <w:tcPr>
            <w:tcW w:w="1481" w:type="pct"/>
            <w:tcBorders>
              <w:top w:val="nil"/>
              <w:left w:val="nil"/>
              <w:bottom w:val="single" w:color="auto" w:sz="4" w:space="0"/>
              <w:right w:val="single" w:color="auto" w:sz="4" w:space="0"/>
            </w:tcBorders>
            <w:noWrap/>
            <w:vAlign w:val="center"/>
          </w:tcPr>
          <w:p w14:paraId="5BEEFD7E">
            <w:pPr>
              <w:widowControl/>
              <w:jc w:val="center"/>
              <w:rPr>
                <w:rFonts w:eastAsia="仿宋_GB2312"/>
                <w:b/>
                <w:bCs/>
                <w:color w:val="auto"/>
                <w:kern w:val="0"/>
                <w:sz w:val="24"/>
                <w:highlight w:val="none"/>
              </w:rPr>
            </w:pPr>
            <w:r>
              <w:rPr>
                <w:rFonts w:eastAsia="仿宋_GB2312"/>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14:paraId="7C689229">
            <w:pPr>
              <w:widowControl/>
              <w:jc w:val="center"/>
              <w:rPr>
                <w:rFonts w:eastAsia="仿宋_GB2312"/>
                <w:color w:val="auto"/>
                <w:kern w:val="0"/>
                <w:sz w:val="24"/>
                <w:highlight w:val="none"/>
              </w:rPr>
            </w:pPr>
            <w:r>
              <w:rPr>
                <w:rFonts w:eastAsia="仿宋_GB2312"/>
                <w:color w:val="auto"/>
                <w:kern w:val="0"/>
                <w:sz w:val="24"/>
                <w:highlight w:val="none"/>
              </w:rPr>
              <w:t>　</w:t>
            </w:r>
          </w:p>
        </w:tc>
      </w:tr>
      <w:tr w14:paraId="5EC4A67F">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6C98D410">
            <w:pPr>
              <w:widowControl/>
              <w:jc w:val="center"/>
              <w:rPr>
                <w:rFonts w:eastAsia="仿宋_GB2312"/>
                <w:b/>
                <w:bCs/>
                <w:color w:val="auto"/>
                <w:kern w:val="0"/>
                <w:sz w:val="24"/>
                <w:highlight w:val="none"/>
              </w:rPr>
            </w:pPr>
            <w:r>
              <w:rPr>
                <w:rFonts w:eastAsia="仿宋_GB2312"/>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1AE4260D">
            <w:pPr>
              <w:widowControl/>
              <w:jc w:val="center"/>
              <w:rPr>
                <w:rFonts w:eastAsia="仿宋_GB2312"/>
                <w:color w:val="auto"/>
                <w:kern w:val="0"/>
                <w:sz w:val="24"/>
                <w:highlight w:val="none"/>
              </w:rPr>
            </w:pPr>
            <w:r>
              <w:rPr>
                <w:rFonts w:eastAsia="仿宋_GB2312"/>
                <w:color w:val="auto"/>
                <w:kern w:val="0"/>
                <w:sz w:val="24"/>
                <w:highlight w:val="none"/>
              </w:rPr>
              <w:t>　</w:t>
            </w:r>
          </w:p>
        </w:tc>
      </w:tr>
      <w:tr w14:paraId="2AA01168">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408927BE">
            <w:pPr>
              <w:widowControl/>
              <w:jc w:val="center"/>
              <w:rPr>
                <w:rFonts w:eastAsia="仿宋_GB2312"/>
                <w:b/>
                <w:bCs/>
                <w:color w:val="auto"/>
                <w:kern w:val="0"/>
                <w:sz w:val="24"/>
                <w:highlight w:val="none"/>
              </w:rPr>
            </w:pPr>
            <w:r>
              <w:rPr>
                <w:rFonts w:eastAsia="仿宋_GB2312"/>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14:paraId="3B334389">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14:paraId="1440F111">
            <w:pPr>
              <w:widowControl/>
              <w:jc w:val="center"/>
              <w:rPr>
                <w:rFonts w:eastAsia="仿宋_GB2312"/>
                <w:b/>
                <w:bCs/>
                <w:color w:val="auto"/>
                <w:kern w:val="0"/>
                <w:sz w:val="24"/>
                <w:highlight w:val="none"/>
              </w:rPr>
            </w:pPr>
            <w:r>
              <w:rPr>
                <w:rFonts w:eastAsia="仿宋_GB2312"/>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14:paraId="37A46562">
            <w:pPr>
              <w:widowControl/>
              <w:jc w:val="center"/>
              <w:rPr>
                <w:rFonts w:eastAsia="仿宋_GB2312"/>
                <w:color w:val="auto"/>
                <w:kern w:val="0"/>
                <w:sz w:val="24"/>
                <w:highlight w:val="none"/>
              </w:rPr>
            </w:pPr>
            <w:r>
              <w:rPr>
                <w:rFonts w:eastAsia="仿宋_GB2312"/>
                <w:color w:val="auto"/>
                <w:kern w:val="0"/>
                <w:sz w:val="24"/>
                <w:highlight w:val="none"/>
              </w:rPr>
              <w:t>　</w:t>
            </w:r>
          </w:p>
        </w:tc>
      </w:tr>
      <w:tr w14:paraId="1DF0A47A">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65D6A55F">
            <w:pPr>
              <w:widowControl/>
              <w:jc w:val="center"/>
              <w:rPr>
                <w:rFonts w:eastAsia="仿宋_GB2312"/>
                <w:b/>
                <w:bCs/>
                <w:color w:val="auto"/>
                <w:kern w:val="0"/>
                <w:sz w:val="24"/>
                <w:highlight w:val="none"/>
              </w:rPr>
            </w:pPr>
            <w:r>
              <w:rPr>
                <w:rFonts w:eastAsia="仿宋_GB2312"/>
                <w:b/>
                <w:bCs/>
                <w:color w:val="auto"/>
                <w:kern w:val="0"/>
                <w:sz w:val="24"/>
                <w:highlight w:val="none"/>
              </w:rPr>
              <w:t>联系人</w:t>
            </w:r>
          </w:p>
        </w:tc>
        <w:tc>
          <w:tcPr>
            <w:tcW w:w="1349" w:type="pct"/>
            <w:tcBorders>
              <w:top w:val="nil"/>
              <w:left w:val="nil"/>
              <w:bottom w:val="nil"/>
              <w:right w:val="single" w:color="auto" w:sz="4" w:space="0"/>
            </w:tcBorders>
            <w:noWrap/>
            <w:vAlign w:val="center"/>
          </w:tcPr>
          <w:p w14:paraId="1CC445B2">
            <w:pPr>
              <w:widowControl/>
              <w:jc w:val="center"/>
              <w:rPr>
                <w:rFonts w:eastAsia="仿宋_GB2312"/>
                <w:color w:val="auto"/>
                <w:kern w:val="0"/>
                <w:sz w:val="24"/>
                <w:highlight w:val="none"/>
              </w:rPr>
            </w:pPr>
            <w:r>
              <w:rPr>
                <w:rFonts w:eastAsia="仿宋_GB2312"/>
                <w:color w:val="auto"/>
                <w:kern w:val="0"/>
                <w:sz w:val="24"/>
                <w:highlight w:val="none"/>
              </w:rPr>
              <w:t>　</w:t>
            </w:r>
          </w:p>
        </w:tc>
        <w:tc>
          <w:tcPr>
            <w:tcW w:w="1481" w:type="pct"/>
            <w:tcBorders>
              <w:top w:val="nil"/>
              <w:left w:val="nil"/>
              <w:bottom w:val="nil"/>
              <w:right w:val="single" w:color="auto" w:sz="4" w:space="0"/>
            </w:tcBorders>
            <w:noWrap/>
            <w:vAlign w:val="center"/>
          </w:tcPr>
          <w:p w14:paraId="725C56A2">
            <w:pPr>
              <w:widowControl/>
              <w:jc w:val="center"/>
              <w:rPr>
                <w:rFonts w:eastAsia="仿宋_GB2312"/>
                <w:b/>
                <w:bCs/>
                <w:color w:val="auto"/>
                <w:kern w:val="0"/>
                <w:sz w:val="24"/>
                <w:highlight w:val="none"/>
              </w:rPr>
            </w:pPr>
            <w:r>
              <w:rPr>
                <w:rFonts w:eastAsia="仿宋_GB2312"/>
                <w:b/>
                <w:bCs/>
                <w:color w:val="auto"/>
                <w:kern w:val="0"/>
                <w:sz w:val="24"/>
                <w:highlight w:val="none"/>
              </w:rPr>
              <w:t>电话</w:t>
            </w:r>
          </w:p>
        </w:tc>
        <w:tc>
          <w:tcPr>
            <w:tcW w:w="1248" w:type="pct"/>
            <w:tcBorders>
              <w:top w:val="nil"/>
              <w:left w:val="nil"/>
              <w:bottom w:val="nil"/>
              <w:right w:val="single" w:color="auto" w:sz="8" w:space="0"/>
            </w:tcBorders>
            <w:noWrap/>
            <w:vAlign w:val="center"/>
          </w:tcPr>
          <w:p w14:paraId="51DD0D11">
            <w:pPr>
              <w:widowControl/>
              <w:jc w:val="center"/>
              <w:rPr>
                <w:rFonts w:eastAsia="仿宋_GB2312"/>
                <w:color w:val="auto"/>
                <w:kern w:val="0"/>
                <w:sz w:val="24"/>
                <w:highlight w:val="none"/>
              </w:rPr>
            </w:pPr>
            <w:r>
              <w:rPr>
                <w:rFonts w:eastAsia="仿宋_GB2312"/>
                <w:color w:val="auto"/>
                <w:kern w:val="0"/>
                <w:sz w:val="24"/>
                <w:highlight w:val="none"/>
              </w:rPr>
              <w:t>　</w:t>
            </w:r>
          </w:p>
        </w:tc>
      </w:tr>
      <w:tr w14:paraId="3A995B35">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576A5E2E">
            <w:pPr>
              <w:widowControl/>
              <w:jc w:val="left"/>
              <w:rPr>
                <w:rFonts w:eastAsia="仿宋_GB2312"/>
                <w:b/>
                <w:bCs/>
                <w:color w:val="auto"/>
                <w:kern w:val="0"/>
                <w:sz w:val="24"/>
                <w:highlight w:val="none"/>
              </w:rPr>
            </w:pPr>
            <w:r>
              <w:rPr>
                <w:rFonts w:eastAsia="仿宋_GB2312"/>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3F76DF25">
            <w:pPr>
              <w:widowControl/>
              <w:jc w:val="left"/>
              <w:rPr>
                <w:rFonts w:eastAsia="仿宋_GB2312"/>
                <w:b/>
                <w:bCs/>
                <w:color w:val="auto"/>
                <w:kern w:val="0"/>
                <w:sz w:val="24"/>
                <w:highlight w:val="none"/>
              </w:rPr>
            </w:pPr>
            <w:r>
              <w:rPr>
                <w:rFonts w:eastAsia="仿宋_GB2312"/>
                <w:b/>
                <w:bCs/>
                <w:color w:val="auto"/>
                <w:kern w:val="0"/>
                <w:sz w:val="24"/>
                <w:highlight w:val="none"/>
              </w:rPr>
              <w:t xml:space="preserve">   使用单位验收意见：（盖章）</w:t>
            </w:r>
          </w:p>
          <w:p w14:paraId="0BB5316B">
            <w:pPr>
              <w:rPr>
                <w:rFonts w:eastAsia="仿宋_GB2312"/>
                <w:color w:val="auto"/>
                <w:sz w:val="24"/>
                <w:highlight w:val="none"/>
              </w:rPr>
            </w:pPr>
          </w:p>
        </w:tc>
      </w:tr>
      <w:tr w14:paraId="155D180F">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7A50E343">
            <w:pPr>
              <w:widowControl/>
              <w:jc w:val="center"/>
              <w:rPr>
                <w:rFonts w:eastAsia="仿宋_GB2312"/>
                <w:b/>
                <w:bCs/>
                <w:color w:val="auto"/>
                <w:kern w:val="0"/>
                <w:sz w:val="24"/>
                <w:highlight w:val="none"/>
              </w:rPr>
            </w:pPr>
            <w:r>
              <w:rPr>
                <w:rFonts w:eastAsia="仿宋_GB2312"/>
                <w:b/>
                <w:bCs/>
                <w:color w:val="auto"/>
                <w:kern w:val="0"/>
                <w:sz w:val="24"/>
                <w:highlight w:val="none"/>
              </w:rPr>
              <w:t xml:space="preserve"> 签字：</w:t>
            </w:r>
          </w:p>
        </w:tc>
        <w:tc>
          <w:tcPr>
            <w:tcW w:w="1349" w:type="pct"/>
            <w:tcBorders>
              <w:top w:val="nil"/>
              <w:left w:val="nil"/>
              <w:bottom w:val="nil"/>
              <w:right w:val="nil"/>
            </w:tcBorders>
            <w:noWrap/>
            <w:vAlign w:val="center"/>
          </w:tcPr>
          <w:p w14:paraId="76C1AF7E">
            <w:pPr>
              <w:widowControl/>
              <w:jc w:val="center"/>
              <w:rPr>
                <w:rFonts w:eastAsia="仿宋_GB2312"/>
                <w:b/>
                <w:bCs/>
                <w:color w:val="auto"/>
                <w:kern w:val="0"/>
                <w:sz w:val="24"/>
                <w:highlight w:val="none"/>
              </w:rPr>
            </w:pPr>
          </w:p>
        </w:tc>
        <w:tc>
          <w:tcPr>
            <w:tcW w:w="1481" w:type="pct"/>
            <w:tcBorders>
              <w:top w:val="nil"/>
              <w:left w:val="single" w:color="auto" w:sz="4" w:space="0"/>
              <w:bottom w:val="nil"/>
              <w:right w:val="nil"/>
            </w:tcBorders>
            <w:noWrap/>
            <w:vAlign w:val="center"/>
          </w:tcPr>
          <w:p w14:paraId="5028D7C6">
            <w:pPr>
              <w:widowControl/>
              <w:jc w:val="center"/>
              <w:rPr>
                <w:rFonts w:eastAsia="仿宋_GB2312"/>
                <w:b/>
                <w:bCs/>
                <w:color w:val="auto"/>
                <w:kern w:val="0"/>
                <w:sz w:val="24"/>
                <w:highlight w:val="none"/>
              </w:rPr>
            </w:pPr>
            <w:r>
              <w:rPr>
                <w:rFonts w:eastAsia="仿宋_GB2312"/>
                <w:b/>
                <w:bCs/>
                <w:color w:val="auto"/>
                <w:kern w:val="0"/>
                <w:sz w:val="24"/>
                <w:highlight w:val="none"/>
              </w:rPr>
              <w:t>签字：</w:t>
            </w:r>
          </w:p>
        </w:tc>
        <w:tc>
          <w:tcPr>
            <w:tcW w:w="1248" w:type="pct"/>
            <w:tcBorders>
              <w:top w:val="nil"/>
              <w:left w:val="nil"/>
              <w:bottom w:val="nil"/>
              <w:right w:val="single" w:color="auto" w:sz="8" w:space="0"/>
            </w:tcBorders>
          </w:tcPr>
          <w:p w14:paraId="5115C718">
            <w:pPr>
              <w:widowControl/>
              <w:jc w:val="left"/>
              <w:rPr>
                <w:rFonts w:eastAsia="仿宋_GB2312"/>
                <w:b/>
                <w:bCs/>
                <w:color w:val="auto"/>
                <w:kern w:val="0"/>
                <w:sz w:val="24"/>
                <w:highlight w:val="none"/>
              </w:rPr>
            </w:pPr>
            <w:r>
              <w:rPr>
                <w:rFonts w:eastAsia="仿宋_GB2312"/>
                <w:b/>
                <w:bCs/>
                <w:color w:val="auto"/>
                <w:kern w:val="0"/>
                <w:sz w:val="24"/>
                <w:highlight w:val="none"/>
              </w:rPr>
              <w:t>　</w:t>
            </w:r>
          </w:p>
        </w:tc>
      </w:tr>
      <w:tr w14:paraId="49315216">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33140770">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349" w:type="pct"/>
            <w:tcBorders>
              <w:top w:val="nil"/>
              <w:left w:val="nil"/>
              <w:bottom w:val="single" w:color="auto" w:sz="4" w:space="0"/>
              <w:right w:val="nil"/>
            </w:tcBorders>
            <w:vAlign w:val="bottom"/>
          </w:tcPr>
          <w:p w14:paraId="56D116C1">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14:paraId="1450DAED">
            <w:pPr>
              <w:widowControl/>
              <w:jc w:val="left"/>
              <w:rPr>
                <w:rFonts w:eastAsia="仿宋_GB2312"/>
                <w:color w:val="auto"/>
                <w:kern w:val="0"/>
                <w:sz w:val="22"/>
                <w:szCs w:val="22"/>
                <w:highlight w:val="none"/>
              </w:rPr>
            </w:pPr>
            <w:r>
              <w:rPr>
                <w:rFonts w:eastAsia="仿宋_GB2312"/>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14:paraId="3ED30D3A">
            <w:pPr>
              <w:widowControl/>
              <w:jc w:val="right"/>
              <w:rPr>
                <w:rFonts w:eastAsia="仿宋_GB2312"/>
                <w:color w:val="auto"/>
                <w:kern w:val="0"/>
                <w:sz w:val="22"/>
                <w:szCs w:val="22"/>
                <w:highlight w:val="none"/>
              </w:rPr>
            </w:pPr>
            <w:r>
              <w:rPr>
                <w:rFonts w:eastAsia="仿宋_GB2312"/>
                <w:color w:val="auto"/>
                <w:kern w:val="0"/>
                <w:sz w:val="22"/>
                <w:szCs w:val="22"/>
                <w:highlight w:val="none"/>
              </w:rPr>
              <w:t>年   月   日</w:t>
            </w:r>
          </w:p>
        </w:tc>
      </w:tr>
      <w:tr w14:paraId="69035510">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6E31747D">
            <w:pPr>
              <w:widowControl/>
              <w:jc w:val="center"/>
              <w:rPr>
                <w:rFonts w:eastAsia="仿宋_GB2312"/>
                <w:b/>
                <w:bCs/>
                <w:color w:val="auto"/>
                <w:kern w:val="0"/>
                <w:sz w:val="22"/>
                <w:szCs w:val="22"/>
                <w:highlight w:val="none"/>
              </w:rPr>
            </w:pPr>
            <w:r>
              <w:rPr>
                <w:rFonts w:eastAsia="仿宋_GB2312"/>
                <w:b/>
                <w:bCs/>
                <w:color w:val="auto"/>
                <w:kern w:val="0"/>
                <w:sz w:val="22"/>
                <w:szCs w:val="22"/>
                <w:highlight w:val="none"/>
              </w:rPr>
              <w:t>采购内容</w:t>
            </w:r>
          </w:p>
        </w:tc>
      </w:tr>
      <w:tr w14:paraId="29E78E97">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664A6513">
            <w:pPr>
              <w:widowControl/>
              <w:jc w:val="center"/>
              <w:rPr>
                <w:rFonts w:eastAsia="仿宋_GB2312"/>
                <w:b/>
                <w:bCs/>
                <w:color w:val="auto"/>
                <w:kern w:val="0"/>
                <w:sz w:val="28"/>
                <w:szCs w:val="28"/>
                <w:highlight w:val="none"/>
              </w:rPr>
            </w:pPr>
            <w:r>
              <w:rPr>
                <w:rFonts w:eastAsia="仿宋_GB2312"/>
                <w:b/>
                <w:bCs/>
                <w:color w:val="auto"/>
                <w:kern w:val="0"/>
                <w:sz w:val="28"/>
                <w:szCs w:val="28"/>
                <w:highlight w:val="none"/>
              </w:rPr>
              <w:t>采购内容请列明品目、规格、型号、数量、单价、总价</w:t>
            </w:r>
          </w:p>
        </w:tc>
      </w:tr>
    </w:tbl>
    <w:p w14:paraId="3C88CC48">
      <w:pPr>
        <w:pStyle w:val="2"/>
        <w:rPr>
          <w:rFonts w:ascii="Times New Roman" w:hAnsi="Times New Roman" w:eastAsia="仿宋_GB2312"/>
          <w:color w:val="auto"/>
          <w:highlight w:val="none"/>
        </w:rPr>
      </w:pPr>
      <w:r>
        <w:rPr>
          <w:rFonts w:ascii="Times New Roman" w:hAnsi="Times New Roman" w:eastAsia="仿宋_GB2312"/>
          <w:color w:val="auto"/>
          <w:sz w:val="24"/>
          <w:highlight w:val="none"/>
        </w:rPr>
        <w:br w:type="page"/>
      </w:r>
    </w:p>
    <w:p w14:paraId="6CB16CB7">
      <w:pPr>
        <w:pStyle w:val="46"/>
        <w:spacing w:line="360" w:lineRule="auto"/>
        <w:rPr>
          <w:rStyle w:val="207"/>
          <w:rFonts w:ascii="Times New Roman" w:hAnsi="Times New Roman" w:eastAsia="宋体"/>
          <w:color w:val="auto"/>
          <w:sz w:val="36"/>
          <w:szCs w:val="36"/>
          <w:highlight w:val="none"/>
        </w:rPr>
      </w:pPr>
      <w:bookmarkStart w:id="447" w:name="_Toc58504448"/>
      <w:bookmarkStart w:id="448" w:name="_Toc24029"/>
      <w:r>
        <w:rPr>
          <w:rStyle w:val="207"/>
          <w:rFonts w:ascii="Times New Roman" w:hAnsi="Times New Roman" w:eastAsia="宋体"/>
          <w:color w:val="auto"/>
          <w:sz w:val="36"/>
          <w:szCs w:val="36"/>
          <w:highlight w:val="none"/>
        </w:rPr>
        <w:t>第五章  采购内容及要求</w:t>
      </w:r>
      <w:bookmarkEnd w:id="447"/>
      <w:bookmarkEnd w:id="448"/>
    </w:p>
    <w:p w14:paraId="2550BE33">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1.承包方式</w:t>
      </w:r>
    </w:p>
    <w:p w14:paraId="08A782BB">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采购人将单位食堂管理业务按照相应标准的经费</w:t>
      </w:r>
      <w:r>
        <w:rPr>
          <w:rFonts w:hint="eastAsia" w:ascii="仿宋_GB2312" w:hAnsi="仿宋_GB2312" w:eastAsia="仿宋_GB2312" w:cs="仿宋_GB2312"/>
          <w:color w:val="auto"/>
          <w:sz w:val="24"/>
          <w:szCs w:val="24"/>
          <w:highlight w:val="none"/>
          <w:lang w:val="en-US" w:eastAsia="zh-CN"/>
        </w:rPr>
        <w:t>支付</w:t>
      </w:r>
      <w:r>
        <w:rPr>
          <w:rFonts w:hint="eastAsia" w:ascii="仿宋_GB2312" w:hAnsi="仿宋_GB2312" w:eastAsia="仿宋_GB2312" w:cs="仿宋_GB2312"/>
          <w:color w:val="auto"/>
          <w:sz w:val="24"/>
          <w:szCs w:val="24"/>
          <w:highlight w:val="none"/>
        </w:rPr>
        <w:t>给</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单位，</w:t>
      </w:r>
      <w:r>
        <w:rPr>
          <w:rFonts w:hint="eastAsia" w:ascii="仿宋_GB2312" w:hAnsi="仿宋_GB2312" w:eastAsia="仿宋_GB2312" w:cs="仿宋_GB2312"/>
          <w:color w:val="auto"/>
          <w:sz w:val="24"/>
          <w:szCs w:val="24"/>
          <w:highlight w:val="none"/>
          <w:lang w:val="en-US" w:eastAsia="zh-CN"/>
        </w:rPr>
        <w:t>成交</w:t>
      </w:r>
      <w:r>
        <w:rPr>
          <w:rFonts w:hint="eastAsia" w:ascii="仿宋_GB2312" w:hAnsi="仿宋_GB2312" w:eastAsia="仿宋_GB2312" w:cs="仿宋_GB2312"/>
          <w:color w:val="auto"/>
          <w:sz w:val="24"/>
          <w:szCs w:val="24"/>
          <w:highlight w:val="none"/>
        </w:rPr>
        <w:t>单位按要求组织餐饮服务工作，并接受就餐单位的监督和检查，不得将业务转包或分包。</w:t>
      </w:r>
    </w:p>
    <w:p w14:paraId="6E747010">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用餐人数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约204人</w:t>
      </w:r>
      <w:r>
        <w:rPr>
          <w:rFonts w:hint="eastAsia" w:ascii="仿宋_GB2312" w:hAnsi="仿宋_GB2312" w:eastAsia="仿宋_GB2312" w:cs="仿宋_GB2312"/>
          <w:color w:val="auto"/>
          <w:sz w:val="24"/>
          <w:szCs w:val="24"/>
          <w:highlight w:val="none"/>
          <w:lang w:eastAsia="zh-CN"/>
        </w:rPr>
        <w:t>。</w:t>
      </w:r>
    </w:p>
    <w:p w14:paraId="3FA741E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餐费按19元/人*天的标准执行。按照自助餐形式，一日三餐，早餐标准不低于2道小菜，2道主食，鸡蛋，</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道粥；午餐标准分两类（米饭或花样面食），其中米饭类标准为4道菜（其中1道主荤1道副荤2道素菜），1道汤，1种时令水果；晚餐标准不低于2道小菜，1道主食（稀饭或花样面食）。根据工作特点，就餐天数按照年度365天核算。</w:t>
      </w:r>
    </w:p>
    <w:p w14:paraId="7B291328">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费用核算方式：实际用餐人数*全年天数*</w:t>
      </w:r>
      <w:r>
        <w:rPr>
          <w:rFonts w:hint="eastAsia" w:ascii="仿宋_GB2312" w:hAnsi="仿宋_GB2312" w:eastAsia="仿宋_GB2312" w:cs="仿宋_GB2312"/>
          <w:b/>
          <w:bCs/>
          <w:color w:val="auto"/>
          <w:sz w:val="24"/>
          <w:szCs w:val="24"/>
          <w:highlight w:val="none"/>
          <w:lang w:val="en-US" w:eastAsia="zh-CN"/>
        </w:rPr>
        <w:t>19</w:t>
      </w:r>
      <w:r>
        <w:rPr>
          <w:rFonts w:hint="eastAsia" w:ascii="仿宋_GB2312" w:hAnsi="仿宋_GB2312" w:eastAsia="仿宋_GB2312" w:cs="仿宋_GB2312"/>
          <w:b/>
          <w:bCs/>
          <w:color w:val="auto"/>
          <w:sz w:val="24"/>
          <w:szCs w:val="24"/>
          <w:highlight w:val="none"/>
        </w:rPr>
        <w:t>元/人•天</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结算到供应商的成交价为止不再进行结算</w:t>
      </w:r>
      <w:r>
        <w:rPr>
          <w:rFonts w:hint="eastAsia" w:ascii="仿宋_GB2312" w:hAnsi="仿宋_GB2312" w:eastAsia="仿宋_GB2312" w:cs="仿宋_GB2312"/>
          <w:b/>
          <w:bCs/>
          <w:color w:val="auto"/>
          <w:sz w:val="24"/>
          <w:szCs w:val="24"/>
          <w:highlight w:val="none"/>
        </w:rPr>
        <w:t>。</w:t>
      </w:r>
    </w:p>
    <w:p w14:paraId="5117E2F9">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承担餐厅管理人员的工资、奖金、福利、保险和餐厅工作人员的培训、服装、员工体检、健康证等其他一切费用，并负责餐厅工作人员日常考核工作。</w:t>
      </w:r>
    </w:p>
    <w:p w14:paraId="6B4DFC4D">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总报价须</w:t>
      </w:r>
      <w:r>
        <w:rPr>
          <w:rFonts w:hint="eastAsia" w:ascii="仿宋_GB2312" w:hAnsi="仿宋_GB2312" w:eastAsia="仿宋_GB2312" w:cs="仿宋_GB2312"/>
          <w:b w:val="0"/>
          <w:bCs w:val="0"/>
          <w:color w:val="auto"/>
          <w:sz w:val="24"/>
          <w:szCs w:val="24"/>
          <w:highlight w:val="none"/>
        </w:rPr>
        <w:t>包含餐费、管理服务费、其他费用。</w:t>
      </w:r>
    </w:p>
    <w:p w14:paraId="4C3C1DCC">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5.服务标准</w:t>
      </w:r>
    </w:p>
    <w:p w14:paraId="1B709C64">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5.1严格执行《食品安全法》和甲方的规章制度。</w:t>
      </w:r>
    </w:p>
    <w:p w14:paraId="76E2090F">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5.2早餐、中餐、晚餐均须按照规定标准提供每日菜单，不得擅自降低伙食标准。</w:t>
      </w:r>
    </w:p>
    <w:p w14:paraId="320AAA44">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5.3食堂操作间须执行“卫生五四制”，做到卫生无死角，干净整洁。</w:t>
      </w:r>
    </w:p>
    <w:p w14:paraId="205A5917">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5.4食堂工作人员须注重仪容仪表，规范服务，使用文明用语。</w:t>
      </w:r>
    </w:p>
    <w:p w14:paraId="63C53CF9">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5.5食堂内部管理须有完善的规章制度及各类应急预案。</w:t>
      </w:r>
    </w:p>
    <w:p w14:paraId="26BAF664">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5.6食堂工作人员要做好留样、消毒、机械保养等各项记录。</w:t>
      </w:r>
    </w:p>
    <w:p w14:paraId="2DA412B9">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5.7所有原材料需从正规供应商处采购，且要索证索票齐全，按月提供给采购人，入库、出库、加工前都要进行仔细验收。</w:t>
      </w:r>
    </w:p>
    <w:p w14:paraId="22FCBA45">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5.8在有接待或者活动时，中标方须积极配合，保质保量完成任务。</w:t>
      </w:r>
    </w:p>
    <w:p w14:paraId="310EF132">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5.9所有菜品出品前，要试吃，确保质量。</w:t>
      </w:r>
    </w:p>
    <w:p w14:paraId="3C2816A8">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5.10食堂应定期对工作人员进行食品安全等方面的培训，加强管理，确保食品安全零事故。</w:t>
      </w:r>
    </w:p>
    <w:p w14:paraId="0854CD59">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6.相关要求</w:t>
      </w:r>
    </w:p>
    <w:p w14:paraId="56CC02E0">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6.1每周变换菜谱，做到荤素搭配（提供餐单食谱）；厨房、餐厅、储物室等工作区域保持清洁；厨房用品不能人为损坏，如损坏照价赔偿。</w:t>
      </w:r>
    </w:p>
    <w:p w14:paraId="033F8367">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必须提出明确的用于本项目的运营服务方案，运营服务方案应包括但不限于以下内容：总体方案、食品质量方案、食品安全方案、服务质量方案、卫生管理控制方案（食品卫生，人员卫生，环境卫生，垃圾处理方案等）、餐厅环境管理方案、原材料采购管理方案、成本控制方案、操作规程控制管理方案、食品保存管理方案、人员职责与管理方案、投诉处理方案、消防、治安及意外事故处理、以及其他服务内容、服务规范、服务标准、服务措施、质量管理、监控体系及说明材料。服务人员组成结构、名单，及主要服务人员的资历及其证明文件。</w:t>
      </w:r>
    </w:p>
    <w:p w14:paraId="6F78E4D7">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须配备足够的工作人员，经营服务所需用工必须符合《劳动合同法》要求，依法用工，如发生用工纠纷，由</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自行承担责任。其工作人员必须经过体检合格，持有健康证、上岗证、身份证及卫生知识培训证并报采购人备案。</w:t>
      </w:r>
    </w:p>
    <w:p w14:paraId="7DB7511E">
      <w:pPr>
        <w:keepNext w:val="0"/>
        <w:keepLines w:val="0"/>
        <w:pageBreakBefore w:val="0"/>
        <w:widowControl w:val="0"/>
        <w:kinsoku/>
        <w:overflowPunct/>
        <w:topLinePunct w:val="0"/>
        <w:autoSpaceDE/>
        <w:autoSpaceDN/>
        <w:bidi w:val="0"/>
        <w:adjustRightInd/>
        <w:snapToGrid/>
        <w:spacing w:line="360" w:lineRule="auto"/>
        <w:ind w:firstLine="470" w:firstLineChars="196"/>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须在餐厅显著地方公布菜谱花色品种和价格，并接受采购人监督，按照采购人规定的时间，保证饭菜足量、优质，做到品种多样、价格合理，不得出现少餐、缺餐。</w:t>
      </w:r>
    </w:p>
    <w:p w14:paraId="4196C2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仿宋_GB2312"/>
          <w:bCs/>
          <w:color w:val="auto"/>
          <w:highlight w:val="none"/>
        </w:rPr>
      </w:pPr>
      <w:r>
        <w:rPr>
          <w:rFonts w:hint="eastAsia" w:ascii="仿宋_GB2312" w:hAnsi="仿宋_GB2312" w:eastAsia="仿宋_GB2312" w:cs="仿宋_GB2312"/>
          <w:color w:val="auto"/>
          <w:sz w:val="24"/>
          <w:szCs w:val="24"/>
          <w:highlight w:val="none"/>
        </w:rPr>
        <w:t>6.5</w:t>
      </w:r>
      <w:r>
        <w:rPr>
          <w:rFonts w:hint="eastAsia" w:ascii="仿宋_GB2312" w:hAnsi="仿宋_GB2312" w:eastAsia="仿宋_GB2312" w:cs="仿宋_GB2312"/>
          <w:color w:val="auto"/>
          <w:sz w:val="24"/>
          <w:szCs w:val="24"/>
          <w:highlight w:val="none"/>
          <w:lang w:eastAsia="zh-CN"/>
        </w:rPr>
        <w:t>供应商</w:t>
      </w:r>
      <w:r>
        <w:rPr>
          <w:rFonts w:hint="eastAsia" w:ascii="仿宋_GB2312" w:hAnsi="仿宋_GB2312" w:eastAsia="仿宋_GB2312" w:cs="仿宋_GB2312"/>
          <w:color w:val="auto"/>
          <w:sz w:val="24"/>
          <w:szCs w:val="24"/>
          <w:highlight w:val="none"/>
        </w:rPr>
        <w:t>所采购、制作的食品质量要求必须符合国家的卫生、安全标准，并确保随时接受招标人对餐厅食品质量检查与监督。并按照国家有关餐具卫生管理要求，做好公共餐具消毒工作和灶具、厨具的日常维修保养工作。</w:t>
      </w:r>
      <w:r>
        <w:rPr>
          <w:rFonts w:eastAsia="仿宋_GB2312"/>
          <w:bCs/>
          <w:color w:val="auto"/>
          <w:highlight w:val="none"/>
        </w:rPr>
        <w:br w:type="page"/>
      </w:r>
    </w:p>
    <w:p w14:paraId="05E10CCF">
      <w:pPr>
        <w:pStyle w:val="46"/>
        <w:spacing w:line="360" w:lineRule="auto"/>
        <w:rPr>
          <w:rFonts w:ascii="Times New Roman" w:hAnsi="Times New Roman" w:eastAsiaTheme="minorEastAsia"/>
          <w:color w:val="auto"/>
          <w:highlight w:val="none"/>
        </w:rPr>
      </w:pPr>
      <w:bookmarkStart w:id="449" w:name="_Toc415499899"/>
      <w:bookmarkStart w:id="450" w:name="_Toc385992401"/>
      <w:bookmarkStart w:id="451" w:name="_Toc31008"/>
      <w:bookmarkStart w:id="452" w:name="_Toc58504449"/>
      <w:bookmarkStart w:id="453" w:name="_Toc389620241"/>
      <w:bookmarkStart w:id="454" w:name="_Toc5559"/>
      <w:r>
        <w:rPr>
          <w:rStyle w:val="207"/>
          <w:rFonts w:ascii="Times New Roman" w:hAnsi="Times New Roman" w:eastAsia="宋体"/>
          <w:color w:val="auto"/>
          <w:sz w:val="36"/>
          <w:szCs w:val="36"/>
          <w:highlight w:val="none"/>
        </w:rPr>
        <w:t>第六章  磋商响应文件格式</w:t>
      </w:r>
      <w:bookmarkEnd w:id="449"/>
      <w:bookmarkEnd w:id="450"/>
      <w:bookmarkEnd w:id="451"/>
      <w:bookmarkEnd w:id="452"/>
      <w:bookmarkEnd w:id="453"/>
      <w:r>
        <w:rPr>
          <w:rFonts w:ascii="Times New Roman" w:hAnsi="Times New Roman" w:eastAsiaTheme="minorEastAsia"/>
          <w:color w:val="auto"/>
          <w:highlight w:val="none"/>
        </w:rPr>
        <w:br w:type="page"/>
      </w:r>
      <w:bookmarkEnd w:id="454"/>
      <w:r>
        <w:rPr>
          <w:rFonts w:ascii="Times New Roman" w:hAnsi="Times New Roman" w:eastAsiaTheme="minorEastAsia"/>
          <w:color w:val="auto"/>
          <w:highlight w:val="none"/>
        </w:rPr>
        <w:t xml:space="preserve">  </w:t>
      </w:r>
    </w:p>
    <w:p w14:paraId="76EBAC32">
      <w:pPr>
        <w:autoSpaceDE w:val="0"/>
        <w:autoSpaceDN w:val="0"/>
        <w:adjustRightInd w:val="0"/>
        <w:snapToGrid w:val="0"/>
        <w:spacing w:line="360" w:lineRule="auto"/>
        <w:jc w:val="left"/>
        <w:rPr>
          <w:rFonts w:ascii="仿宋" w:hAnsi="仿宋" w:eastAsia="仿宋" w:cs="仿宋"/>
          <w:b/>
          <w:bCs/>
          <w:color w:val="auto"/>
          <w:sz w:val="32"/>
          <w:szCs w:val="32"/>
          <w:highlight w:val="none"/>
          <w:lang w:val="zh-CN"/>
        </w:rPr>
      </w:pPr>
    </w:p>
    <w:p w14:paraId="4DBF79BB">
      <w:pPr>
        <w:autoSpaceDE w:val="0"/>
        <w:autoSpaceDN w:val="0"/>
        <w:adjustRightInd w:val="0"/>
        <w:snapToGrid w:val="0"/>
        <w:spacing w:line="360" w:lineRule="auto"/>
        <w:jc w:val="left"/>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14:paraId="5CDB2D61">
      <w:pPr>
        <w:autoSpaceDE w:val="0"/>
        <w:autoSpaceDN w:val="0"/>
        <w:adjustRightInd w:val="0"/>
        <w:snapToGrid w:val="0"/>
        <w:spacing w:line="360" w:lineRule="auto"/>
        <w:jc w:val="left"/>
        <w:rPr>
          <w:rFonts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采购项目编号：SCZC2025-CS-2162-001R</w:t>
      </w:r>
    </w:p>
    <w:p w14:paraId="118F9B4E">
      <w:pPr>
        <w:tabs>
          <w:tab w:val="left" w:pos="5670"/>
        </w:tabs>
        <w:autoSpaceDE w:val="0"/>
        <w:autoSpaceDN w:val="0"/>
        <w:adjustRightInd w:val="0"/>
        <w:snapToGrid w:val="0"/>
        <w:spacing w:line="360" w:lineRule="auto"/>
        <w:jc w:val="center"/>
        <w:rPr>
          <w:rFonts w:ascii="仿宋" w:hAnsi="仿宋" w:eastAsia="仿宋" w:cs="仿宋"/>
          <w:color w:val="auto"/>
          <w:sz w:val="19"/>
          <w:szCs w:val="19"/>
          <w:highlight w:val="none"/>
        </w:rPr>
      </w:pPr>
    </w:p>
    <w:p w14:paraId="719DF0A4">
      <w:pPr>
        <w:tabs>
          <w:tab w:val="left" w:pos="5670"/>
        </w:tabs>
        <w:autoSpaceDE w:val="0"/>
        <w:autoSpaceDN w:val="0"/>
        <w:adjustRightInd w:val="0"/>
        <w:snapToGrid w:val="0"/>
        <w:spacing w:line="360" w:lineRule="auto"/>
        <w:jc w:val="center"/>
        <w:rPr>
          <w:rFonts w:ascii="仿宋" w:hAnsi="仿宋" w:eastAsia="仿宋" w:cs="仿宋"/>
          <w:color w:val="auto"/>
          <w:sz w:val="19"/>
          <w:szCs w:val="19"/>
          <w:highlight w:val="none"/>
        </w:rPr>
      </w:pPr>
    </w:p>
    <w:p w14:paraId="1042EBCD">
      <w:pPr>
        <w:tabs>
          <w:tab w:val="left" w:pos="5670"/>
        </w:tabs>
        <w:autoSpaceDE w:val="0"/>
        <w:autoSpaceDN w:val="0"/>
        <w:adjustRightInd w:val="0"/>
        <w:snapToGrid w:val="0"/>
        <w:spacing w:line="360" w:lineRule="auto"/>
        <w:jc w:val="center"/>
        <w:rPr>
          <w:rFonts w:ascii="仿宋" w:hAnsi="仿宋" w:eastAsia="仿宋" w:cs="仿宋"/>
          <w:color w:val="auto"/>
          <w:sz w:val="19"/>
          <w:szCs w:val="19"/>
          <w:highlight w:val="none"/>
        </w:rPr>
      </w:pPr>
    </w:p>
    <w:p w14:paraId="43CB78CF">
      <w:pPr>
        <w:autoSpaceDE w:val="0"/>
        <w:autoSpaceDN w:val="0"/>
        <w:adjustRightInd w:val="0"/>
        <w:snapToGrid w:val="0"/>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沣东大队驻地食堂服务（二次）</w:t>
      </w:r>
    </w:p>
    <w:p w14:paraId="7D86A16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highlight w:val="none"/>
          <w:lang w:val="zh-CN"/>
        </w:rPr>
      </w:pPr>
    </w:p>
    <w:p w14:paraId="5F5E0281">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磋商响应文件</w:t>
      </w:r>
    </w:p>
    <w:p w14:paraId="60D57B91">
      <w:pPr>
        <w:pStyle w:val="199"/>
        <w:ind w:firstLine="2891" w:firstLineChars="1200"/>
        <w:rPr>
          <w:rFonts w:ascii="仿宋" w:hAnsi="仿宋" w:eastAsia="仿宋" w:cs="仿宋"/>
          <w:b/>
          <w:color w:val="auto"/>
          <w:sz w:val="30"/>
          <w:szCs w:val="30"/>
          <w:highlight w:val="none"/>
        </w:rPr>
      </w:pPr>
      <w:r>
        <w:rPr>
          <w:rFonts w:hint="eastAsia" w:ascii="仿宋" w:hAnsi="仿宋" w:eastAsia="仿宋" w:cs="仿宋"/>
          <w:b/>
          <w:bCs/>
          <w:color w:val="auto"/>
          <w:highlight w:val="none"/>
          <w:lang w:val="zh-CN"/>
        </w:rPr>
        <w:t xml:space="preserve"> </w:t>
      </w:r>
      <w:r>
        <w:rPr>
          <w:rFonts w:hint="eastAsia" w:ascii="仿宋" w:hAnsi="仿宋" w:eastAsia="仿宋" w:cs="仿宋"/>
          <w:b/>
          <w:bCs/>
          <w:color w:val="auto"/>
          <w:highlight w:val="none"/>
          <w:lang w:val="en-US" w:eastAsia="zh-CN"/>
        </w:rPr>
        <w:t xml:space="preserve">   </w:t>
      </w:r>
      <w:r>
        <w:rPr>
          <w:rFonts w:hint="eastAsia" w:ascii="仿宋" w:hAnsi="仿宋" w:eastAsia="仿宋" w:cs="仿宋"/>
          <w:b/>
          <w:color w:val="auto"/>
          <w:sz w:val="30"/>
          <w:szCs w:val="30"/>
          <w:highlight w:val="none"/>
        </w:rPr>
        <w:t>（资格证明文件）</w:t>
      </w:r>
    </w:p>
    <w:p w14:paraId="51DB5761">
      <w:pPr>
        <w:rPr>
          <w:rFonts w:ascii="仿宋" w:hAnsi="仿宋" w:eastAsia="仿宋" w:cs="仿宋"/>
          <w:color w:val="auto"/>
          <w:highlight w:val="none"/>
        </w:rPr>
      </w:pPr>
    </w:p>
    <w:p w14:paraId="0CDF751F">
      <w:pPr>
        <w:pStyle w:val="2"/>
        <w:rPr>
          <w:rFonts w:ascii="仿宋" w:hAnsi="仿宋" w:eastAsia="仿宋" w:cs="仿宋"/>
          <w:color w:val="auto"/>
          <w:highlight w:val="none"/>
        </w:rPr>
      </w:pPr>
    </w:p>
    <w:p w14:paraId="59D97614">
      <w:pPr>
        <w:pStyle w:val="2"/>
        <w:rPr>
          <w:rFonts w:ascii="仿宋" w:hAnsi="仿宋" w:eastAsia="仿宋" w:cs="仿宋"/>
          <w:color w:val="auto"/>
          <w:highlight w:val="none"/>
        </w:rPr>
      </w:pPr>
    </w:p>
    <w:p w14:paraId="5F337C81">
      <w:pPr>
        <w:pStyle w:val="2"/>
        <w:rPr>
          <w:rFonts w:ascii="仿宋" w:hAnsi="仿宋" w:eastAsia="仿宋" w:cs="仿宋"/>
          <w:color w:val="auto"/>
          <w:highlight w:val="none"/>
        </w:rPr>
      </w:pPr>
    </w:p>
    <w:p w14:paraId="6251AA7B">
      <w:pPr>
        <w:autoSpaceDE w:val="0"/>
        <w:autoSpaceDN w:val="0"/>
        <w:adjustRightInd w:val="0"/>
        <w:snapToGrid w:val="0"/>
        <w:spacing w:line="360" w:lineRule="auto"/>
        <w:ind w:firstLine="964" w:firstLineChars="300"/>
        <w:rPr>
          <w:rFonts w:hint="eastAsia" w:ascii="仿宋" w:hAnsi="仿宋" w:eastAsia="仿宋" w:cs="仿宋"/>
          <w:b/>
          <w:bCs/>
          <w:color w:val="auto"/>
          <w:sz w:val="32"/>
          <w:szCs w:val="32"/>
          <w:highlight w:val="none"/>
          <w:lang w:val="en-US" w:eastAsia="zh-CN"/>
        </w:rPr>
      </w:pPr>
    </w:p>
    <w:p w14:paraId="195096DE">
      <w:pPr>
        <w:autoSpaceDE w:val="0"/>
        <w:autoSpaceDN w:val="0"/>
        <w:adjustRightInd w:val="0"/>
        <w:snapToGrid w:val="0"/>
        <w:spacing w:line="360" w:lineRule="auto"/>
        <w:ind w:firstLine="964" w:firstLineChars="300"/>
        <w:rPr>
          <w:rFonts w:hint="eastAsia" w:ascii="仿宋" w:hAnsi="仿宋" w:eastAsia="仿宋" w:cs="仿宋"/>
          <w:b/>
          <w:bCs/>
          <w:color w:val="auto"/>
          <w:sz w:val="32"/>
          <w:szCs w:val="32"/>
          <w:highlight w:val="none"/>
          <w:lang w:val="en-US" w:eastAsia="zh-CN"/>
        </w:rPr>
      </w:pPr>
    </w:p>
    <w:p w14:paraId="22360A6F">
      <w:pPr>
        <w:autoSpaceDE w:val="0"/>
        <w:autoSpaceDN w:val="0"/>
        <w:adjustRightInd w:val="0"/>
        <w:snapToGrid w:val="0"/>
        <w:spacing w:line="360" w:lineRule="auto"/>
        <w:ind w:firstLine="964" w:firstLineChars="30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供应商：</w:t>
      </w:r>
    </w:p>
    <w:p w14:paraId="7E876BBB">
      <w:pPr>
        <w:autoSpaceDE w:val="0"/>
        <w:autoSpaceDN w:val="0"/>
        <w:adjustRightInd w:val="0"/>
        <w:snapToGrid w:val="0"/>
        <w:spacing w:line="360" w:lineRule="auto"/>
        <w:ind w:firstLine="964" w:firstLineChars="300"/>
        <w:rPr>
          <w:rFonts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14:paraId="412D6618">
      <w:pPr>
        <w:rPr>
          <w:rFonts w:ascii="仿宋" w:hAnsi="仿宋" w:eastAsia="仿宋" w:cs="仿宋"/>
          <w:b/>
          <w:bCs/>
          <w:color w:val="auto"/>
          <w:highlight w:val="none"/>
        </w:rPr>
      </w:pPr>
      <w:r>
        <w:rPr>
          <w:rFonts w:hint="eastAsia" w:ascii="仿宋" w:hAnsi="仿宋" w:eastAsia="仿宋" w:cs="仿宋"/>
          <w:b/>
          <w:bCs/>
          <w:color w:val="auto"/>
          <w:highlight w:val="none"/>
        </w:rPr>
        <w:br w:type="page"/>
      </w:r>
    </w:p>
    <w:p w14:paraId="5F3E9D2B">
      <w:pPr>
        <w:pStyle w:val="4"/>
        <w:jc w:val="center"/>
        <w:rPr>
          <w:rFonts w:ascii="仿宋" w:hAnsi="仿宋" w:eastAsia="仿宋" w:cs="仿宋"/>
          <w:b/>
          <w:bCs/>
          <w:color w:val="auto"/>
          <w:highlight w:val="none"/>
        </w:rPr>
      </w:pPr>
      <w:bookmarkStart w:id="455" w:name="_Toc1894"/>
      <w:bookmarkStart w:id="456" w:name="_Toc30912"/>
      <w:bookmarkStart w:id="457" w:name="_Toc30711"/>
      <w:r>
        <w:rPr>
          <w:rFonts w:hint="eastAsia" w:ascii="仿宋" w:hAnsi="仿宋" w:eastAsia="仿宋" w:cs="仿宋"/>
          <w:b/>
          <w:bCs/>
          <w:color w:val="auto"/>
          <w:highlight w:val="none"/>
        </w:rPr>
        <w:t>第一部分  身份证明文件</w:t>
      </w:r>
      <w:bookmarkEnd w:id="455"/>
      <w:bookmarkEnd w:id="456"/>
      <w:bookmarkEnd w:id="457"/>
    </w:p>
    <w:p w14:paraId="2385F308">
      <w:pPr>
        <w:spacing w:after="120"/>
        <w:rPr>
          <w:rFonts w:ascii="仿宋" w:hAnsi="仿宋" w:eastAsia="仿宋" w:cs="仿宋"/>
          <w:color w:val="auto"/>
          <w:highlight w:val="none"/>
        </w:rPr>
      </w:pPr>
    </w:p>
    <w:p w14:paraId="0DA62537">
      <w:pPr>
        <w:widowControl/>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1、法定代表人（或单位负责人）授权</w:t>
      </w:r>
      <w:r>
        <w:rPr>
          <w:rFonts w:hint="eastAsia" w:ascii="仿宋" w:hAnsi="仿宋" w:eastAsia="仿宋" w:cs="仿宋"/>
          <w:b/>
          <w:bCs/>
          <w:color w:val="auto"/>
          <w:sz w:val="28"/>
          <w:szCs w:val="28"/>
          <w:highlight w:val="none"/>
        </w:rPr>
        <w:t>委托</w:t>
      </w:r>
      <w:r>
        <w:rPr>
          <w:rFonts w:hint="eastAsia" w:ascii="仿宋" w:hAnsi="仿宋" w:eastAsia="仿宋" w:cs="仿宋"/>
          <w:b/>
          <w:bCs/>
          <w:color w:val="auto"/>
          <w:sz w:val="28"/>
          <w:szCs w:val="28"/>
          <w:highlight w:val="none"/>
          <w:lang w:val="zh-CN"/>
        </w:rPr>
        <w:t>书</w:t>
      </w:r>
    </w:p>
    <w:p w14:paraId="44559A1D">
      <w:pPr>
        <w:autoSpaceDE w:val="0"/>
        <w:autoSpaceDN w:val="0"/>
        <w:adjustRightInd w:val="0"/>
        <w:spacing w:line="348" w:lineRule="auto"/>
        <w:ind w:firstLine="400"/>
        <w:rPr>
          <w:rFonts w:ascii="仿宋" w:hAnsi="仿宋" w:eastAsia="仿宋" w:cs="仿宋"/>
          <w:b/>
          <w:bCs/>
          <w:color w:val="auto"/>
          <w:sz w:val="20"/>
          <w:highlight w:val="none"/>
        </w:rPr>
      </w:pPr>
    </w:p>
    <w:p w14:paraId="43446598">
      <w:pPr>
        <w:autoSpaceDE w:val="0"/>
        <w:autoSpaceDN w:val="0"/>
        <w:adjustRightInd w:val="0"/>
        <w:spacing w:line="348" w:lineRule="auto"/>
        <w:rPr>
          <w:rFonts w:ascii="仿宋" w:hAnsi="仿宋" w:eastAsia="仿宋" w:cs="仿宋"/>
          <w:color w:val="auto"/>
          <w:sz w:val="24"/>
          <w:highlight w:val="none"/>
        </w:rPr>
      </w:pPr>
      <w:r>
        <w:rPr>
          <w:rFonts w:hint="eastAsia" w:ascii="仿宋" w:hAnsi="仿宋" w:eastAsia="仿宋" w:cs="仿宋"/>
          <w:color w:val="auto"/>
          <w:sz w:val="24"/>
          <w:highlight w:val="none"/>
          <w:lang w:val="zh-CN"/>
        </w:rPr>
        <w:t>陕西省采购招标有限责任公司：</w:t>
      </w:r>
    </w:p>
    <w:p w14:paraId="31134E7A">
      <w:pPr>
        <w:autoSpaceDE w:val="0"/>
        <w:autoSpaceDN w:val="0"/>
        <w:adjustRightInd w:val="0"/>
        <w:spacing w:line="348" w:lineRule="auto"/>
        <w:ind w:firstLine="640"/>
        <w:rPr>
          <w:rFonts w:ascii="仿宋" w:hAnsi="仿宋" w:eastAsia="仿宋" w:cs="仿宋"/>
          <w:color w:val="auto"/>
          <w:sz w:val="24"/>
          <w:highlight w:val="none"/>
        </w:rPr>
      </w:pPr>
      <w:r>
        <w:rPr>
          <w:rFonts w:hint="eastAsia" w:ascii="仿宋" w:hAnsi="仿宋" w:eastAsia="仿宋" w:cs="仿宋"/>
          <w:color w:val="auto"/>
          <w:sz w:val="24"/>
          <w:highlight w:val="none"/>
          <w:lang w:val="zh-CN"/>
        </w:rPr>
        <w:t>注册于</w:t>
      </w:r>
      <w:r>
        <w:rPr>
          <w:rFonts w:hint="eastAsia" w:ascii="仿宋" w:hAnsi="仿宋" w:eastAsia="仿宋" w:cs="仿宋"/>
          <w:color w:val="auto"/>
          <w:sz w:val="24"/>
          <w:highlight w:val="none"/>
          <w:u w:val="single"/>
          <w:lang w:val="zh-CN"/>
        </w:rPr>
        <w:t>（工商行政管理局名称）</w:t>
      </w:r>
      <w:r>
        <w:rPr>
          <w:rFonts w:hint="eastAsia" w:ascii="仿宋" w:hAnsi="仿宋" w:eastAsia="仿宋" w:cs="仿宋"/>
          <w:color w:val="auto"/>
          <w:sz w:val="24"/>
          <w:highlight w:val="none"/>
          <w:lang w:val="zh-CN"/>
        </w:rPr>
        <w:t>之</w:t>
      </w:r>
      <w:r>
        <w:rPr>
          <w:rFonts w:hint="eastAsia" w:ascii="仿宋" w:hAnsi="仿宋" w:eastAsia="仿宋" w:cs="仿宋"/>
          <w:color w:val="auto"/>
          <w:sz w:val="24"/>
          <w:highlight w:val="none"/>
          <w:u w:val="single"/>
          <w:lang w:val="zh-CN"/>
        </w:rPr>
        <w:t>（供应商全称）</w:t>
      </w:r>
      <w:r>
        <w:rPr>
          <w:rFonts w:hint="eastAsia" w:ascii="仿宋" w:hAnsi="仿宋" w:eastAsia="仿宋" w:cs="仿宋"/>
          <w:color w:val="auto"/>
          <w:sz w:val="24"/>
          <w:highlight w:val="none"/>
          <w:lang w:val="zh-CN"/>
        </w:rPr>
        <w:t>法人代表</w:t>
      </w:r>
      <w:r>
        <w:rPr>
          <w:rFonts w:hint="eastAsia" w:ascii="仿宋" w:hAnsi="仿宋" w:eastAsia="仿宋" w:cs="仿宋"/>
          <w:color w:val="auto"/>
          <w:sz w:val="24"/>
          <w:highlight w:val="none"/>
          <w:u w:val="single"/>
          <w:lang w:val="zh-CN"/>
        </w:rPr>
        <w:t>（姓名、职务）</w:t>
      </w:r>
      <w:r>
        <w:rPr>
          <w:rFonts w:hint="eastAsia" w:ascii="仿宋" w:hAnsi="仿宋" w:eastAsia="仿宋" w:cs="仿宋"/>
          <w:color w:val="auto"/>
          <w:sz w:val="24"/>
          <w:highlight w:val="none"/>
          <w:lang w:val="zh-CN"/>
        </w:rPr>
        <w:t>授权</w:t>
      </w:r>
      <w:r>
        <w:rPr>
          <w:rFonts w:hint="eastAsia" w:ascii="仿宋" w:hAnsi="仿宋" w:eastAsia="仿宋" w:cs="仿宋"/>
          <w:color w:val="auto"/>
          <w:sz w:val="24"/>
          <w:highlight w:val="none"/>
          <w:u w:val="single"/>
          <w:lang w:val="zh-CN"/>
        </w:rPr>
        <w:t>（被授权人姓名、职务）</w:t>
      </w:r>
      <w:r>
        <w:rPr>
          <w:rFonts w:hint="eastAsia" w:ascii="仿宋" w:hAnsi="仿宋" w:eastAsia="仿宋" w:cs="仿宋"/>
          <w:color w:val="auto"/>
          <w:sz w:val="24"/>
          <w:highlight w:val="none"/>
          <w:lang w:val="zh-CN"/>
        </w:rPr>
        <w:t>为本公司的合法代理人，就</w:t>
      </w:r>
      <w:r>
        <w:rPr>
          <w:rFonts w:hint="eastAsia" w:ascii="仿宋" w:hAnsi="仿宋" w:eastAsia="仿宋" w:cs="仿宋"/>
          <w:color w:val="auto"/>
          <w:sz w:val="24"/>
          <w:highlight w:val="none"/>
          <w:u w:val="single"/>
          <w:lang w:val="zh-CN"/>
        </w:rPr>
        <w:t>沣东大队驻地食堂服务（二次）（项目编号：SCZC2025-CS-2162-001R）</w:t>
      </w:r>
      <w:r>
        <w:rPr>
          <w:rFonts w:hint="eastAsia" w:ascii="仿宋" w:hAnsi="仿宋" w:eastAsia="仿宋" w:cs="仿宋"/>
          <w:color w:val="auto"/>
          <w:sz w:val="24"/>
          <w:highlight w:val="none"/>
          <w:lang w:val="zh-CN"/>
        </w:rPr>
        <w:t>的磋商及合同的执行和完成，以本公司的名义处理一切与之有关的事宜。</w:t>
      </w:r>
    </w:p>
    <w:p w14:paraId="3648AA35">
      <w:pPr>
        <w:snapToGrid w:val="0"/>
        <w:spacing w:line="360" w:lineRule="auto"/>
        <w:ind w:firstLine="480" w:firstLineChars="200"/>
        <w:rPr>
          <w:rFonts w:ascii="仿宋" w:hAnsi="仿宋" w:eastAsia="仿宋" w:cs="仿宋"/>
          <w:b/>
          <w:bCs/>
          <w:color w:val="auto"/>
          <w:sz w:val="24"/>
          <w:highlight w:val="none"/>
          <w:lang w:val="zh-CN"/>
        </w:rPr>
      </w:pPr>
      <w:r>
        <w:rPr>
          <w:rFonts w:hint="eastAsia" w:ascii="仿宋" w:hAnsi="仿宋" w:eastAsia="仿宋" w:cs="仿宋"/>
          <w:color w:val="auto"/>
          <w:sz w:val="24"/>
          <w:highlight w:val="none"/>
          <w:lang w:val="zh-CN"/>
        </w:rPr>
        <w:t>本授权自    年   月  日起生效。（</w:t>
      </w:r>
      <w:r>
        <w:rPr>
          <w:rFonts w:hint="eastAsia" w:ascii="仿宋" w:hAnsi="仿宋" w:eastAsia="仿宋" w:cs="仿宋"/>
          <w:b/>
          <w:color w:val="auto"/>
          <w:sz w:val="24"/>
          <w:highlight w:val="none"/>
          <w:lang w:val="zh-CN"/>
        </w:rPr>
        <w:t>提示：此日期不应晚于磋商响应函签署日期</w:t>
      </w:r>
      <w:r>
        <w:rPr>
          <w:rFonts w:hint="eastAsia" w:ascii="仿宋" w:hAnsi="仿宋" w:eastAsia="仿宋" w:cs="仿宋"/>
          <w:color w:val="auto"/>
          <w:sz w:val="24"/>
          <w:highlight w:val="none"/>
          <w:lang w:val="zh-CN"/>
        </w:rPr>
        <w:t>）</w:t>
      </w:r>
    </w:p>
    <w:p w14:paraId="5E0ECF0F">
      <w:pPr>
        <w:autoSpaceDE w:val="0"/>
        <w:autoSpaceDN w:val="0"/>
        <w:adjustRightInd w:val="0"/>
        <w:spacing w:line="348" w:lineRule="auto"/>
        <w:rPr>
          <w:rFonts w:ascii="仿宋" w:hAnsi="仿宋" w:eastAsia="仿宋" w:cs="仿宋"/>
          <w:color w:val="auto"/>
          <w:sz w:val="24"/>
          <w:highlight w:val="none"/>
        </w:rPr>
      </w:pPr>
    </w:p>
    <w:p w14:paraId="20FD3E72">
      <w:pPr>
        <w:autoSpaceDE w:val="0"/>
        <w:autoSpaceDN w:val="0"/>
        <w:adjustRightInd w:val="0"/>
        <w:spacing w:line="348"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附：被授权人姓名：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14:paraId="786F4697">
      <w:pPr>
        <w:autoSpaceDE w:val="0"/>
        <w:autoSpaceDN w:val="0"/>
        <w:adjustRightInd w:val="0"/>
        <w:spacing w:line="348" w:lineRule="auto"/>
        <w:ind w:firstLine="630"/>
        <w:rPr>
          <w:rFonts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14:paraId="2FA37D2B">
      <w:pPr>
        <w:autoSpaceDE w:val="0"/>
        <w:autoSpaceDN w:val="0"/>
        <w:adjustRightInd w:val="0"/>
        <w:spacing w:line="348" w:lineRule="auto"/>
        <w:ind w:firstLine="630"/>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14:paraId="0CD835F6">
      <w:pPr>
        <w:autoSpaceDE w:val="0"/>
        <w:autoSpaceDN w:val="0"/>
        <w:adjustRightInd w:val="0"/>
        <w:spacing w:line="348" w:lineRule="auto"/>
        <w:ind w:firstLine="630"/>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p>
    <w:p w14:paraId="739FD2EC">
      <w:pPr>
        <w:autoSpaceDE w:val="0"/>
        <w:autoSpaceDN w:val="0"/>
        <w:adjustRightInd w:val="0"/>
        <w:spacing w:line="348" w:lineRule="auto"/>
        <w:ind w:firstLine="630"/>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u w:val="single"/>
        </w:rPr>
        <w:t xml:space="preserve">           </w:t>
      </w:r>
    </w:p>
    <w:p w14:paraId="4505964C">
      <w:pPr>
        <w:autoSpaceDE w:val="0"/>
        <w:autoSpaceDN w:val="0"/>
        <w:adjustRightInd w:val="0"/>
        <w:spacing w:line="348" w:lineRule="auto"/>
        <w:rPr>
          <w:rFonts w:ascii="仿宋" w:hAnsi="仿宋" w:eastAsia="仿宋" w:cs="仿宋"/>
          <w:color w:val="auto"/>
          <w:sz w:val="24"/>
          <w:highlight w:val="none"/>
        </w:rPr>
      </w:pPr>
    </w:p>
    <w:p w14:paraId="512A101F">
      <w:pPr>
        <w:autoSpaceDE w:val="0"/>
        <w:autoSpaceDN w:val="0"/>
        <w:adjustRightInd w:val="0"/>
        <w:spacing w:line="348" w:lineRule="auto"/>
        <w:ind w:firstLine="480" w:firstLineChars="200"/>
        <w:rPr>
          <w:rFonts w:ascii="仿宋" w:hAnsi="仿宋" w:eastAsia="仿宋" w:cs="仿宋"/>
          <w:color w:val="auto"/>
          <w:sz w:val="24"/>
          <w:highlight w:val="none"/>
        </w:rPr>
      </w:pPr>
      <w:r>
        <w:rPr>
          <w:rFonts w:ascii="仿宋" w:hAnsi="仿宋" w:eastAsia="仿宋" w:cs="仿宋"/>
          <w:color w:val="auto"/>
          <w:sz w:val="24"/>
          <w:highlight w:val="none"/>
          <w:lang w:val="zh-CN"/>
        </w:rPr>
        <w:t>法定代表人</w:t>
      </w:r>
      <w:r>
        <w:rPr>
          <w:rFonts w:ascii="仿宋" w:hAnsi="仿宋" w:eastAsia="仿宋" w:cs="仿宋"/>
          <w:color w:val="auto"/>
          <w:sz w:val="24"/>
          <w:highlight w:val="none"/>
        </w:rPr>
        <w:t>及</w:t>
      </w:r>
      <w:r>
        <w:rPr>
          <w:rFonts w:hint="eastAsia" w:ascii="仿宋" w:hAnsi="仿宋" w:eastAsia="仿宋" w:cs="仿宋"/>
          <w:color w:val="auto"/>
          <w:sz w:val="24"/>
          <w:highlight w:val="none"/>
          <w:lang w:val="zh-CN"/>
        </w:rPr>
        <w:t>委托代理人</w:t>
      </w:r>
      <w:r>
        <w:rPr>
          <w:rFonts w:ascii="仿宋" w:hAnsi="仿宋" w:eastAsia="仿宋" w:cs="仿宋"/>
          <w:color w:val="auto"/>
          <w:sz w:val="24"/>
          <w:highlight w:val="none"/>
          <w:lang w:val="zh-CN"/>
        </w:rPr>
        <w:t>身份证复印件</w:t>
      </w:r>
    </w:p>
    <w:p w14:paraId="6D118245">
      <w:pPr>
        <w:autoSpaceDE w:val="0"/>
        <w:autoSpaceDN w:val="0"/>
        <w:adjustRightInd w:val="0"/>
        <w:spacing w:line="348" w:lineRule="auto"/>
        <w:ind w:firstLine="480" w:firstLineChars="200"/>
        <w:rPr>
          <w:rFonts w:ascii="仿宋" w:hAnsi="仿宋" w:eastAsia="仿宋" w:cs="仿宋"/>
          <w:color w:val="auto"/>
          <w:sz w:val="24"/>
          <w:highlight w:val="none"/>
        </w:rPr>
      </w:pPr>
    </w:p>
    <w:tbl>
      <w:tblPr>
        <w:tblStyle w:val="50"/>
        <w:tblW w:w="0" w:type="auto"/>
        <w:tblInd w:w="679" w:type="dxa"/>
        <w:tblLayout w:type="fixed"/>
        <w:tblCellMar>
          <w:top w:w="0" w:type="dxa"/>
          <w:left w:w="108" w:type="dxa"/>
          <w:bottom w:w="0" w:type="dxa"/>
          <w:right w:w="108" w:type="dxa"/>
        </w:tblCellMar>
      </w:tblPr>
      <w:tblGrid>
        <w:gridCol w:w="4049"/>
        <w:gridCol w:w="3885"/>
      </w:tblGrid>
      <w:tr w14:paraId="6F540B1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5F9B60BF">
            <w:pPr>
              <w:autoSpaceDE w:val="0"/>
              <w:autoSpaceDN w:val="0"/>
              <w:adjustRightInd w:val="0"/>
              <w:spacing w:line="348"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（或单位负责人）</w:t>
            </w:r>
            <w:r>
              <w:rPr>
                <w:rFonts w:hint="eastAsia" w:ascii="仿宋" w:hAnsi="仿宋" w:eastAsia="仿宋" w:cs="仿宋"/>
                <w:color w:val="auto"/>
                <w:sz w:val="24"/>
                <w:highlight w:val="none"/>
                <w:lang w:val="zh-CN"/>
              </w:rPr>
              <w:t>身份证复印件</w:t>
            </w:r>
          </w:p>
          <w:p w14:paraId="161B2217">
            <w:pPr>
              <w:autoSpaceDE w:val="0"/>
              <w:autoSpaceDN w:val="0"/>
              <w:adjustRightInd w:val="0"/>
              <w:spacing w:line="348" w:lineRule="auto"/>
              <w:jc w:val="center"/>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DD7CBE8">
            <w:pPr>
              <w:autoSpaceDE w:val="0"/>
              <w:autoSpaceDN w:val="0"/>
              <w:adjustRightInd w:val="0"/>
              <w:spacing w:line="348"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委托代理人</w:t>
            </w:r>
            <w:r>
              <w:rPr>
                <w:rFonts w:ascii="仿宋" w:hAnsi="仿宋" w:eastAsia="仿宋" w:cs="仿宋"/>
                <w:color w:val="auto"/>
                <w:sz w:val="24"/>
                <w:highlight w:val="none"/>
                <w:lang w:val="zh-CN"/>
              </w:rPr>
              <w:t>身份证复印件</w:t>
            </w:r>
          </w:p>
          <w:p w14:paraId="4E6F5B62">
            <w:pPr>
              <w:autoSpaceDE w:val="0"/>
              <w:autoSpaceDN w:val="0"/>
              <w:adjustRightInd w:val="0"/>
              <w:spacing w:line="348" w:lineRule="auto"/>
              <w:jc w:val="center"/>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129BEAF1">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6F9E7C9">
      <w:pPr>
        <w:adjustRightInd w:val="0"/>
        <w:snapToGrid w:val="0"/>
        <w:spacing w:line="360" w:lineRule="auto"/>
        <w:rPr>
          <w:rFonts w:ascii="仿宋" w:hAnsi="仿宋" w:eastAsia="仿宋" w:cs="仿宋"/>
          <w:color w:val="auto"/>
          <w:sz w:val="24"/>
          <w:highlight w:val="none"/>
        </w:rPr>
      </w:pPr>
    </w:p>
    <w:p w14:paraId="081EB04A">
      <w:pPr>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                         法定代表人（或单位负责人）</w:t>
      </w:r>
    </w:p>
    <w:p w14:paraId="7F208E7E">
      <w:pP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（公章）：                  （签字或盖章）：</w:t>
      </w:r>
    </w:p>
    <w:p w14:paraId="7C983350">
      <w:pPr>
        <w:spacing w:after="120"/>
        <w:rPr>
          <w:rFonts w:ascii="仿宋" w:hAnsi="仿宋" w:eastAsia="仿宋" w:cs="仿宋"/>
          <w:color w:val="auto"/>
          <w:highlight w:val="none"/>
        </w:rPr>
      </w:pPr>
      <w:r>
        <w:rPr>
          <w:rFonts w:hint="eastAsia" w:ascii="仿宋" w:hAnsi="仿宋" w:eastAsia="仿宋" w:cs="仿宋"/>
          <w:b/>
          <w:bCs/>
          <w:i/>
          <w:iCs/>
          <w:color w:val="auto"/>
          <w:sz w:val="24"/>
          <w:highlight w:val="none"/>
        </w:rPr>
        <w:t>注：</w:t>
      </w:r>
      <w:r>
        <w:rPr>
          <w:rFonts w:hint="eastAsia" w:ascii="仿宋" w:hAnsi="仿宋" w:eastAsia="仿宋" w:cs="仿宋"/>
          <w:b/>
          <w:bCs/>
          <w:i/>
          <w:iCs/>
          <w:color w:val="auto"/>
          <w:sz w:val="24"/>
          <w:highlight w:val="none"/>
          <w:lang w:val="zh-CN"/>
        </w:rPr>
        <w:t>法定代表人（或单位负责人）直接参加磋商时，无需提供此授权</w:t>
      </w:r>
      <w:r>
        <w:rPr>
          <w:rFonts w:hint="eastAsia" w:ascii="仿宋" w:hAnsi="仿宋" w:eastAsia="仿宋" w:cs="仿宋"/>
          <w:b/>
          <w:bCs/>
          <w:i/>
          <w:iCs/>
          <w:color w:val="auto"/>
          <w:sz w:val="24"/>
          <w:highlight w:val="none"/>
        </w:rPr>
        <w:t>委托</w:t>
      </w:r>
      <w:r>
        <w:rPr>
          <w:rFonts w:hint="eastAsia" w:ascii="仿宋" w:hAnsi="仿宋" w:eastAsia="仿宋" w:cs="仿宋"/>
          <w:b/>
          <w:bCs/>
          <w:i/>
          <w:iCs/>
          <w:color w:val="auto"/>
          <w:sz w:val="24"/>
          <w:highlight w:val="none"/>
          <w:lang w:val="zh-CN"/>
        </w:rPr>
        <w:t>书，只需提供法定代表人（或单位负责人）身份证明。</w:t>
      </w:r>
      <w:r>
        <w:rPr>
          <w:rFonts w:hint="eastAsia" w:ascii="仿宋" w:hAnsi="仿宋" w:eastAsia="仿宋" w:cs="仿宋"/>
          <w:color w:val="auto"/>
          <w:highlight w:val="none"/>
        </w:rPr>
        <w:br w:type="page"/>
      </w:r>
    </w:p>
    <w:p w14:paraId="57C4C4D1">
      <w:pPr>
        <w:widowControl/>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w:t>
      </w:r>
      <w:r>
        <w:rPr>
          <w:rFonts w:hint="eastAsia" w:ascii="仿宋" w:hAnsi="仿宋" w:eastAsia="仿宋" w:cs="仿宋"/>
          <w:b/>
          <w:bCs/>
          <w:color w:val="auto"/>
          <w:sz w:val="28"/>
          <w:szCs w:val="28"/>
          <w:highlight w:val="none"/>
          <w:lang w:val="zh-CN" w:eastAsia="zh-CN"/>
        </w:rPr>
        <w:t>委托代理人</w:t>
      </w:r>
      <w:r>
        <w:rPr>
          <w:rFonts w:hint="eastAsia" w:ascii="仿宋" w:hAnsi="仿宋" w:eastAsia="仿宋" w:cs="仿宋"/>
          <w:b/>
          <w:bCs/>
          <w:color w:val="auto"/>
          <w:sz w:val="28"/>
          <w:szCs w:val="28"/>
          <w:highlight w:val="none"/>
          <w:lang w:val="zh-CN"/>
        </w:rPr>
        <w:t>本单位证明</w:t>
      </w:r>
    </w:p>
    <w:p w14:paraId="24DA1EA6">
      <w:pPr>
        <w:jc w:val="center"/>
        <w:rPr>
          <w:rFonts w:hint="eastAsia" w:ascii="仿宋" w:hAnsi="仿宋" w:eastAsia="仿宋"/>
          <w:sz w:val="28"/>
          <w:szCs w:val="28"/>
          <w:lang w:val="zh-CN"/>
        </w:rPr>
      </w:pPr>
    </w:p>
    <w:p w14:paraId="42AA9B3B">
      <w:pPr>
        <w:jc w:val="center"/>
        <w:rPr>
          <w:rFonts w:hint="eastAsia" w:ascii="仿宋" w:hAnsi="仿宋" w:eastAsia="仿宋" w:cs="仿宋"/>
          <w:b/>
          <w:color w:val="auto"/>
          <w:kern w:val="0"/>
          <w:sz w:val="28"/>
          <w:szCs w:val="28"/>
          <w:highlight w:val="none"/>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zh-CN"/>
        </w:rPr>
        <w:t>）</w:t>
      </w:r>
    </w:p>
    <w:p w14:paraId="479CB0C5">
      <w:pP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br w:type="page"/>
      </w:r>
    </w:p>
    <w:p w14:paraId="53F89133">
      <w:pPr>
        <w:autoSpaceDE w:val="0"/>
        <w:autoSpaceDN w:val="0"/>
        <w:adjustRightInd w:val="0"/>
        <w:jc w:val="center"/>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3</w:t>
      </w:r>
      <w:r>
        <w:rPr>
          <w:rFonts w:hint="eastAsia" w:ascii="仿宋" w:hAnsi="仿宋" w:eastAsia="仿宋" w:cs="仿宋"/>
          <w:b/>
          <w:color w:val="auto"/>
          <w:kern w:val="0"/>
          <w:sz w:val="28"/>
          <w:szCs w:val="28"/>
          <w:highlight w:val="none"/>
        </w:rPr>
        <w:t>、法定代表人（或单位负责人）身份证明</w:t>
      </w:r>
    </w:p>
    <w:p w14:paraId="14B7DD23">
      <w:pPr>
        <w:autoSpaceDE w:val="0"/>
        <w:autoSpaceDN w:val="0"/>
        <w:adjustRightInd w:val="0"/>
        <w:spacing w:line="360" w:lineRule="auto"/>
        <w:jc w:val="left"/>
        <w:rPr>
          <w:rFonts w:ascii="仿宋" w:hAnsi="仿宋" w:eastAsia="仿宋" w:cs="仿宋"/>
          <w:color w:val="auto"/>
          <w:kern w:val="0"/>
          <w:sz w:val="24"/>
          <w:highlight w:val="none"/>
        </w:rPr>
      </w:pPr>
    </w:p>
    <w:p w14:paraId="3481C2A8">
      <w:pPr>
        <w:autoSpaceDE w:val="0"/>
        <w:autoSpaceDN w:val="0"/>
        <w:adjustRightInd w:val="0"/>
        <w:spacing w:line="360" w:lineRule="auto"/>
        <w:jc w:val="left"/>
        <w:rPr>
          <w:rFonts w:ascii="仿宋" w:hAnsi="仿宋" w:eastAsia="仿宋" w:cs="仿宋"/>
          <w:color w:val="auto"/>
          <w:kern w:val="0"/>
          <w:sz w:val="24"/>
          <w:highlight w:val="none"/>
        </w:rPr>
      </w:pPr>
    </w:p>
    <w:p w14:paraId="71F00E88">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218AE3F5">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单位性质：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14:paraId="5759AD3D">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    址： </w:t>
      </w:r>
      <w:r>
        <w:rPr>
          <w:rFonts w:hint="eastAsia" w:ascii="仿宋" w:hAnsi="仿宋" w:eastAsia="仿宋" w:cs="仿宋"/>
          <w:color w:val="auto"/>
          <w:kern w:val="0"/>
          <w:sz w:val="24"/>
          <w:highlight w:val="none"/>
          <w:u w:val="single"/>
        </w:rPr>
        <w:t xml:space="preserve">                       </w:t>
      </w:r>
    </w:p>
    <w:p w14:paraId="7A4E9492">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4E060C3F">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经营期限：</w:t>
      </w:r>
    </w:p>
    <w:p w14:paraId="3D3E447E">
      <w:pPr>
        <w:autoSpaceDE w:val="0"/>
        <w:autoSpaceDN w:val="0"/>
        <w:adjustRightInd w:val="0"/>
        <w:spacing w:line="360" w:lineRule="auto"/>
        <w:jc w:val="left"/>
        <w:rPr>
          <w:rFonts w:ascii="仿宋" w:hAnsi="仿宋" w:eastAsia="仿宋" w:cs="仿宋"/>
          <w:color w:val="auto"/>
          <w:kern w:val="0"/>
          <w:sz w:val="24"/>
          <w:highlight w:val="none"/>
        </w:rPr>
      </w:pPr>
    </w:p>
    <w:p w14:paraId="08107001">
      <w:pPr>
        <w:autoSpaceDE w:val="0"/>
        <w:autoSpaceDN w:val="0"/>
        <w:adjustRightInd w:val="0"/>
        <w:spacing w:line="360" w:lineRule="auto"/>
        <w:jc w:val="left"/>
        <w:rPr>
          <w:rFonts w:ascii="仿宋" w:hAnsi="仿宋" w:eastAsia="仿宋" w:cs="仿宋"/>
          <w:color w:val="auto"/>
          <w:kern w:val="0"/>
          <w:sz w:val="24"/>
          <w:highlight w:val="none"/>
        </w:rPr>
      </w:pPr>
    </w:p>
    <w:p w14:paraId="6AA75CFE">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（供应商名称）的法定代表人</w:t>
      </w:r>
      <w:r>
        <w:rPr>
          <w:rFonts w:hint="eastAsia" w:ascii="仿宋" w:hAnsi="仿宋" w:eastAsia="仿宋" w:cs="仿宋"/>
          <w:color w:val="auto"/>
          <w:sz w:val="24"/>
          <w:highlight w:val="none"/>
        </w:rPr>
        <w:t>（或单位负责人）</w:t>
      </w:r>
      <w:r>
        <w:rPr>
          <w:rFonts w:hint="eastAsia" w:ascii="仿宋" w:hAnsi="仿宋" w:eastAsia="仿宋" w:cs="仿宋"/>
          <w:color w:val="auto"/>
          <w:kern w:val="0"/>
          <w:sz w:val="24"/>
          <w:highlight w:val="none"/>
        </w:rPr>
        <w:t>。</w:t>
      </w:r>
    </w:p>
    <w:p w14:paraId="2C2410DC">
      <w:pPr>
        <w:autoSpaceDE w:val="0"/>
        <w:autoSpaceDN w:val="0"/>
        <w:adjustRightInd w:val="0"/>
        <w:spacing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14:paraId="435C2A35">
      <w:pPr>
        <w:autoSpaceDE w:val="0"/>
        <w:autoSpaceDN w:val="0"/>
        <w:adjustRightInd w:val="0"/>
        <w:spacing w:line="360" w:lineRule="auto"/>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附：法定代表人（或单位负责人）身份证复印件</w:t>
      </w:r>
    </w:p>
    <w:tbl>
      <w:tblPr>
        <w:tblStyle w:val="50"/>
        <w:tblW w:w="0" w:type="auto"/>
        <w:tblInd w:w="679" w:type="dxa"/>
        <w:tblLayout w:type="fixed"/>
        <w:tblCellMar>
          <w:top w:w="0" w:type="dxa"/>
          <w:left w:w="108" w:type="dxa"/>
          <w:bottom w:w="0" w:type="dxa"/>
          <w:right w:w="108" w:type="dxa"/>
        </w:tblCellMar>
      </w:tblPr>
      <w:tblGrid>
        <w:gridCol w:w="4049"/>
      </w:tblGrid>
      <w:tr w14:paraId="3838D70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3ED9FE29">
            <w:pPr>
              <w:autoSpaceDE w:val="0"/>
              <w:autoSpaceDN w:val="0"/>
              <w:adjustRightInd w:val="0"/>
              <w:spacing w:line="348" w:lineRule="auto"/>
              <w:jc w:val="cente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法定代表人（或单位负责人）身份证复印件</w:t>
            </w:r>
          </w:p>
          <w:p w14:paraId="796E02E1">
            <w:pPr>
              <w:autoSpaceDE w:val="0"/>
              <w:autoSpaceDN w:val="0"/>
              <w:adjustRightInd w:val="0"/>
              <w:spacing w:line="348" w:lineRule="auto"/>
              <w:jc w:val="center"/>
              <w:rPr>
                <w:rFonts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43188B6A">
      <w:pPr>
        <w:autoSpaceDE w:val="0"/>
        <w:autoSpaceDN w:val="0"/>
        <w:adjustRightInd w:val="0"/>
        <w:spacing w:line="360" w:lineRule="auto"/>
        <w:jc w:val="left"/>
        <w:rPr>
          <w:rFonts w:ascii="仿宋" w:hAnsi="仿宋" w:eastAsia="仿宋" w:cs="仿宋"/>
          <w:color w:val="auto"/>
          <w:kern w:val="0"/>
          <w:sz w:val="24"/>
          <w:highlight w:val="none"/>
        </w:rPr>
      </w:pPr>
    </w:p>
    <w:p w14:paraId="6B969F25">
      <w:pPr>
        <w:autoSpaceDE w:val="0"/>
        <w:autoSpaceDN w:val="0"/>
        <w:adjustRightInd w:val="0"/>
        <w:spacing w:line="360" w:lineRule="auto"/>
        <w:jc w:val="left"/>
        <w:rPr>
          <w:rFonts w:ascii="仿宋" w:hAnsi="仿宋" w:eastAsia="仿宋" w:cs="仿宋"/>
          <w:color w:val="auto"/>
          <w:kern w:val="0"/>
          <w:sz w:val="24"/>
          <w:highlight w:val="none"/>
        </w:rPr>
      </w:pPr>
    </w:p>
    <w:p w14:paraId="2D8DA854">
      <w:pPr>
        <w:autoSpaceDE w:val="0"/>
        <w:autoSpaceDN w:val="0"/>
        <w:adjustRightInd w:val="0"/>
        <w:spacing w:line="360" w:lineRule="auto"/>
        <w:jc w:val="left"/>
        <w:rPr>
          <w:rFonts w:ascii="仿宋" w:hAnsi="仿宋" w:eastAsia="仿宋" w:cs="仿宋"/>
          <w:color w:val="auto"/>
          <w:kern w:val="0"/>
          <w:sz w:val="24"/>
          <w:highlight w:val="none"/>
        </w:rPr>
      </w:pPr>
    </w:p>
    <w:p w14:paraId="3CC2D5EB">
      <w:pPr>
        <w:autoSpaceDE w:val="0"/>
        <w:autoSpaceDN w:val="0"/>
        <w:adjustRightInd w:val="0"/>
        <w:spacing w:line="360" w:lineRule="auto"/>
        <w:jc w:val="left"/>
        <w:rPr>
          <w:rFonts w:ascii="仿宋" w:hAnsi="仿宋" w:eastAsia="仿宋" w:cs="仿宋"/>
          <w:color w:val="auto"/>
          <w:kern w:val="0"/>
          <w:sz w:val="24"/>
          <w:highlight w:val="none"/>
        </w:rPr>
      </w:pPr>
    </w:p>
    <w:p w14:paraId="3823AE7E">
      <w:pPr>
        <w:autoSpaceDE w:val="0"/>
        <w:autoSpaceDN w:val="0"/>
        <w:adjustRightInd w:val="0"/>
        <w:spacing w:line="360" w:lineRule="auto"/>
        <w:ind w:left="5399" w:leftChars="2571"/>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供应商：</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（公章）</w:t>
      </w:r>
    </w:p>
    <w:p w14:paraId="3ABE414E">
      <w:pPr>
        <w:autoSpaceDE w:val="0"/>
        <w:autoSpaceDN w:val="0"/>
        <w:adjustRightInd w:val="0"/>
        <w:spacing w:line="360" w:lineRule="auto"/>
        <w:ind w:left="5399" w:leftChars="2571"/>
        <w:jc w:val="left"/>
        <w:rPr>
          <w:rFonts w:ascii="仿宋" w:hAnsi="仿宋" w:eastAsia="仿宋" w:cs="仿宋"/>
          <w:color w:val="auto"/>
          <w:kern w:val="0"/>
          <w:sz w:val="24"/>
          <w:highlight w:val="none"/>
        </w:rPr>
      </w:pPr>
    </w:p>
    <w:p w14:paraId="172D2E26">
      <w:pPr>
        <w:autoSpaceDE w:val="0"/>
        <w:autoSpaceDN w:val="0"/>
        <w:adjustRightInd w:val="0"/>
        <w:spacing w:line="360" w:lineRule="auto"/>
        <w:ind w:left="6659" w:leftChars="3171"/>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p w14:paraId="3AC45714">
      <w:pPr>
        <w:rPr>
          <w:rFonts w:ascii="仿宋" w:hAnsi="仿宋" w:eastAsia="仿宋" w:cs="仿宋"/>
          <w:color w:val="auto"/>
          <w:highlight w:val="none"/>
        </w:rPr>
      </w:pPr>
      <w:r>
        <w:rPr>
          <w:rFonts w:hint="eastAsia" w:ascii="仿宋" w:hAnsi="仿宋" w:eastAsia="仿宋" w:cs="仿宋"/>
          <w:color w:val="auto"/>
          <w:highlight w:val="none"/>
        </w:rPr>
        <w:br w:type="page"/>
      </w:r>
    </w:p>
    <w:p w14:paraId="49EF8E07">
      <w:pPr>
        <w:pStyle w:val="4"/>
        <w:jc w:val="center"/>
        <w:rPr>
          <w:rFonts w:ascii="仿宋" w:hAnsi="仿宋" w:eastAsia="仿宋" w:cs="仿宋"/>
          <w:b/>
          <w:bCs/>
          <w:color w:val="auto"/>
          <w:highlight w:val="none"/>
        </w:rPr>
      </w:pPr>
      <w:bookmarkStart w:id="458" w:name="_Toc8054"/>
      <w:bookmarkStart w:id="459" w:name="_Toc32256"/>
      <w:bookmarkStart w:id="460" w:name="_Toc5421"/>
      <w:r>
        <w:rPr>
          <w:rFonts w:hint="eastAsia" w:ascii="仿宋" w:hAnsi="仿宋" w:eastAsia="仿宋" w:cs="仿宋"/>
          <w:b/>
          <w:bCs/>
          <w:color w:val="auto"/>
          <w:highlight w:val="none"/>
        </w:rPr>
        <w:t>第二部分  资格证明文件</w:t>
      </w:r>
      <w:bookmarkEnd w:id="458"/>
      <w:bookmarkEnd w:id="459"/>
      <w:bookmarkEnd w:id="460"/>
    </w:p>
    <w:p w14:paraId="0AAF55EE">
      <w:pPr>
        <w:spacing w:after="120"/>
        <w:rPr>
          <w:rFonts w:ascii="仿宋" w:hAnsi="仿宋" w:eastAsia="仿宋" w:cs="仿宋"/>
          <w:color w:val="auto"/>
          <w:highlight w:val="none"/>
        </w:rPr>
      </w:pPr>
    </w:p>
    <w:p w14:paraId="42F3CCE4">
      <w:pPr>
        <w:keepNext w:val="0"/>
        <w:keepLines w:val="0"/>
        <w:pageBreakBefore w:val="0"/>
        <w:widowControl w:val="0"/>
        <w:numPr>
          <w:ilvl w:val="0"/>
          <w:numId w:val="13"/>
        </w:numPr>
        <w:tabs>
          <w:tab w:val="left" w:pos="993"/>
          <w:tab w:val="left" w:pos="1030"/>
          <w:tab w:val="left" w:pos="8364"/>
          <w:tab w:val="clear" w:pos="0"/>
        </w:tabs>
        <w:kinsoku/>
        <w:wordWrap/>
        <w:overflowPunct/>
        <w:topLinePunct w:val="0"/>
        <w:autoSpaceDE/>
        <w:autoSpaceDN/>
        <w:bidi w:val="0"/>
        <w:snapToGrid w:val="0"/>
        <w:spacing w:line="360" w:lineRule="auto"/>
        <w:ind w:right="-57" w:rightChars="-27"/>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供应商的企业法人营业执照复印件（格式要求见附件1）；</w:t>
      </w:r>
    </w:p>
    <w:p w14:paraId="531B9509">
      <w:pPr>
        <w:keepNext w:val="0"/>
        <w:keepLines w:val="0"/>
        <w:pageBreakBefore w:val="0"/>
        <w:widowControl w:val="0"/>
        <w:numPr>
          <w:ilvl w:val="0"/>
          <w:numId w:val="13"/>
        </w:numPr>
        <w:tabs>
          <w:tab w:val="left" w:pos="993"/>
          <w:tab w:val="left" w:pos="1030"/>
          <w:tab w:val="left" w:pos="8364"/>
          <w:tab w:val="clear" w:pos="0"/>
        </w:tabs>
        <w:kinsoku/>
        <w:wordWrap/>
        <w:overflowPunct/>
        <w:topLinePunct w:val="0"/>
        <w:autoSpaceDE/>
        <w:autoSpaceDN/>
        <w:bidi w:val="0"/>
        <w:snapToGrid w:val="0"/>
        <w:spacing w:line="360" w:lineRule="auto"/>
        <w:ind w:right="-57" w:rightChars="-27"/>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供应商提供</w:t>
      </w:r>
      <w:r>
        <w:rPr>
          <w:rFonts w:hint="eastAsia" w:ascii="仿宋" w:hAnsi="仿宋" w:eastAsia="仿宋" w:cs="仿宋"/>
          <w:color w:val="auto"/>
          <w:sz w:val="24"/>
          <w:highlight w:val="none"/>
          <w:lang w:val="en-US" w:eastAsia="zh-CN"/>
        </w:rPr>
        <w:t>基本资格条件承诺函</w:t>
      </w:r>
      <w:r>
        <w:rPr>
          <w:rFonts w:hint="eastAsia" w:ascii="仿宋" w:hAnsi="仿宋" w:eastAsia="仿宋" w:cs="仿宋"/>
          <w:color w:val="auto"/>
          <w:sz w:val="24"/>
          <w:highlight w:val="none"/>
        </w:rPr>
        <w:t>（格式见附件</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p>
    <w:p w14:paraId="6313BDC4">
      <w:pPr>
        <w:keepNext w:val="0"/>
        <w:keepLines w:val="0"/>
        <w:pageBreakBefore w:val="0"/>
        <w:widowControl w:val="0"/>
        <w:numPr>
          <w:ilvl w:val="0"/>
          <w:numId w:val="13"/>
        </w:numPr>
        <w:tabs>
          <w:tab w:val="left" w:pos="200"/>
          <w:tab w:val="left" w:pos="8364"/>
          <w:tab w:val="clear" w:pos="0"/>
        </w:tabs>
        <w:kinsoku/>
        <w:wordWrap/>
        <w:overflowPunct/>
        <w:topLinePunct w:val="0"/>
        <w:autoSpaceDE/>
        <w:autoSpaceDN/>
        <w:bidi w:val="0"/>
        <w:snapToGrid w:val="0"/>
        <w:spacing w:line="360" w:lineRule="auto"/>
        <w:ind w:right="-57" w:rightChars="-27"/>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供应商控股股东名称、控股公司的名称和存在管理、被管理关系的单位名称说明（格式见附件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3C57CC87">
      <w:pPr>
        <w:keepNext w:val="0"/>
        <w:keepLines w:val="0"/>
        <w:pageBreakBefore w:val="0"/>
        <w:widowControl w:val="0"/>
        <w:numPr>
          <w:ilvl w:val="0"/>
          <w:numId w:val="13"/>
        </w:numPr>
        <w:tabs>
          <w:tab w:val="left" w:pos="220"/>
          <w:tab w:val="left" w:pos="420"/>
          <w:tab w:val="left" w:pos="8364"/>
          <w:tab w:val="clear" w:pos="0"/>
        </w:tabs>
        <w:kinsoku/>
        <w:wordWrap/>
        <w:overflowPunct/>
        <w:topLinePunct w:val="0"/>
        <w:autoSpaceDE/>
        <w:autoSpaceDN/>
        <w:bidi w:val="0"/>
        <w:snapToGrid w:val="0"/>
        <w:spacing w:line="360" w:lineRule="auto"/>
        <w:ind w:right="-57" w:rightChars="-27"/>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供应商是否属于为本项目提供整体设计、规范编制或者项目管理、监理、检测等服务的供应商声明原件（格式见附件</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p>
    <w:p w14:paraId="1EA27529">
      <w:pPr>
        <w:keepNext w:val="0"/>
        <w:keepLines w:val="0"/>
        <w:pageBreakBefore w:val="0"/>
        <w:widowControl w:val="0"/>
        <w:numPr>
          <w:ilvl w:val="0"/>
          <w:numId w:val="13"/>
        </w:numPr>
        <w:tabs>
          <w:tab w:val="left" w:pos="220"/>
          <w:tab w:val="left" w:pos="8364"/>
          <w:tab w:val="clear" w:pos="0"/>
        </w:tabs>
        <w:kinsoku/>
        <w:wordWrap/>
        <w:overflowPunct/>
        <w:topLinePunct w:val="0"/>
        <w:autoSpaceDE/>
        <w:autoSpaceDN/>
        <w:bidi w:val="0"/>
        <w:snapToGrid w:val="0"/>
        <w:spacing w:line="360" w:lineRule="auto"/>
        <w:ind w:right="-57" w:rightChars="-27"/>
        <w:jc w:val="left"/>
        <w:rPr>
          <w:rFonts w:ascii="仿宋" w:hAnsi="仿宋" w:eastAsia="仿宋" w:cs="仿宋"/>
          <w:color w:val="auto"/>
          <w:sz w:val="24"/>
          <w:highlight w:val="none"/>
        </w:rPr>
      </w:pPr>
      <w:r>
        <w:rPr>
          <w:rFonts w:hint="eastAsia" w:ascii="仿宋" w:hAnsi="仿宋" w:eastAsia="仿宋" w:cs="仿宋"/>
          <w:color w:val="auto"/>
          <w:sz w:val="24"/>
          <w:highlight w:val="none"/>
        </w:rPr>
        <w:t>证明供应商符合特定资格条件的证明材料（格式见附件</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p>
    <w:p w14:paraId="5E127707">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hint="eastAsia" w:ascii="仿宋" w:hAnsi="仿宋" w:eastAsia="仿宋" w:cs="仿宋"/>
          <w:color w:val="auto"/>
          <w:sz w:val="24"/>
          <w:highlight w:val="none"/>
        </w:rPr>
      </w:pPr>
    </w:p>
    <w:p w14:paraId="5A27E23E">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以上提供的扫描件、复印件必须加盖供应商公章。</w:t>
      </w:r>
    </w:p>
    <w:p w14:paraId="5EBECC24">
      <w:pPr>
        <w:spacing w:after="120"/>
        <w:rPr>
          <w:rFonts w:ascii="仿宋" w:hAnsi="仿宋" w:eastAsia="仿宋" w:cs="仿宋"/>
          <w:color w:val="auto"/>
          <w:highlight w:val="none"/>
        </w:rPr>
      </w:pPr>
      <w:r>
        <w:rPr>
          <w:rFonts w:hint="eastAsia" w:ascii="仿宋" w:hAnsi="仿宋" w:eastAsia="仿宋" w:cs="仿宋"/>
          <w:color w:val="auto"/>
          <w:highlight w:val="none"/>
        </w:rPr>
        <w:br w:type="page"/>
      </w:r>
    </w:p>
    <w:p w14:paraId="5EE56CE1">
      <w:pPr>
        <w:adjustRightInd w:val="0"/>
        <w:spacing w:line="360" w:lineRule="auto"/>
        <w:ind w:firstLine="480" w:firstLineChars="200"/>
        <w:jc w:val="left"/>
        <w:textAlignment w:val="baseline"/>
        <w:rPr>
          <w:rFonts w:ascii="仿宋" w:hAnsi="仿宋" w:eastAsia="仿宋" w:cs="仿宋"/>
          <w:color w:val="auto"/>
          <w:sz w:val="24"/>
          <w:highlight w:val="none"/>
        </w:rPr>
      </w:pPr>
    </w:p>
    <w:p w14:paraId="25052B5F">
      <w:pPr>
        <w:jc w:val="left"/>
        <w:outlineLvl w:val="9"/>
        <w:rPr>
          <w:rFonts w:ascii="仿宋" w:hAnsi="仿宋" w:eastAsia="仿宋" w:cs="仿宋"/>
          <w:b/>
          <w:color w:val="auto"/>
          <w:sz w:val="24"/>
          <w:highlight w:val="none"/>
        </w:rPr>
      </w:pPr>
      <w:bookmarkStart w:id="461" w:name="_Toc7005120"/>
      <w:r>
        <w:rPr>
          <w:rFonts w:hint="eastAsia" w:ascii="仿宋" w:hAnsi="仿宋" w:eastAsia="仿宋" w:cs="仿宋"/>
          <w:b/>
          <w:color w:val="auto"/>
          <w:sz w:val="24"/>
          <w:highlight w:val="none"/>
        </w:rPr>
        <w:t>1  供应商的企业法人营业执照复印件（加盖公章）</w:t>
      </w:r>
      <w:bookmarkEnd w:id="461"/>
    </w:p>
    <w:p w14:paraId="6864DCA7">
      <w:pPr>
        <w:jc w:val="left"/>
        <w:rPr>
          <w:rFonts w:ascii="仿宋" w:hAnsi="仿宋" w:eastAsia="仿宋" w:cs="仿宋"/>
          <w:color w:val="auto"/>
          <w:sz w:val="24"/>
          <w:highlight w:val="none"/>
        </w:rPr>
      </w:pPr>
    </w:p>
    <w:p w14:paraId="42320042">
      <w:pPr>
        <w:tabs>
          <w:tab w:val="left" w:pos="993"/>
          <w:tab w:val="left" w:pos="1030"/>
          <w:tab w:val="left" w:pos="8364"/>
        </w:tabs>
        <w:snapToGrid w:val="0"/>
        <w:spacing w:after="120" w:afterLines="50"/>
        <w:ind w:right="-57" w:rightChars="-27"/>
        <w:rPr>
          <w:rFonts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（注：根据项目实际情况，本项内容可能要求提供“事业单位法人证书”、自然人身份证明等证明材料）</w:t>
      </w:r>
    </w:p>
    <w:p w14:paraId="69B1C32D">
      <w:pPr>
        <w:adjustRightInd w:val="0"/>
        <w:spacing w:line="360" w:lineRule="atLeast"/>
        <w:jc w:val="left"/>
        <w:textAlignment w:val="baseline"/>
        <w:rPr>
          <w:rFonts w:ascii="仿宋" w:hAnsi="仿宋" w:eastAsia="仿宋" w:cs="仿宋"/>
          <w:b/>
          <w:color w:val="auto"/>
          <w:sz w:val="28"/>
          <w:highlight w:val="none"/>
        </w:rPr>
      </w:pPr>
    </w:p>
    <w:p w14:paraId="3DBC49DF">
      <w:pPr>
        <w:adjustRightInd w:val="0"/>
        <w:spacing w:line="360" w:lineRule="atLeast"/>
        <w:jc w:val="left"/>
        <w:textAlignment w:val="baseline"/>
        <w:rPr>
          <w:rFonts w:ascii="仿宋" w:hAnsi="仿宋" w:eastAsia="仿宋" w:cs="仿宋"/>
          <w:b/>
          <w:color w:val="auto"/>
          <w:sz w:val="28"/>
          <w:highlight w:val="none"/>
        </w:rPr>
      </w:pPr>
      <w:r>
        <w:rPr>
          <w:rFonts w:hint="eastAsia" w:ascii="仿宋" w:hAnsi="仿宋" w:eastAsia="仿宋" w:cs="仿宋"/>
          <w:b/>
          <w:color w:val="auto"/>
          <w:sz w:val="28"/>
          <w:highlight w:val="none"/>
        </w:rPr>
        <w:t xml:space="preserve"> </w:t>
      </w:r>
    </w:p>
    <w:p w14:paraId="3D8C7F99">
      <w:pPr>
        <w:rPr>
          <w:rFonts w:hint="eastAsia" w:ascii="仿宋" w:hAnsi="仿宋" w:eastAsia="仿宋" w:cs="仿宋"/>
          <w:b/>
          <w:color w:val="auto"/>
          <w:sz w:val="24"/>
          <w:highlight w:val="none"/>
          <w:lang w:val="en-US" w:eastAsia="zh-CN"/>
        </w:rPr>
      </w:pPr>
      <w:bookmarkStart w:id="462" w:name="_Ref527015333"/>
      <w:bookmarkStart w:id="463" w:name="_Toc7005121"/>
      <w:r>
        <w:rPr>
          <w:rFonts w:hint="eastAsia" w:ascii="仿宋" w:hAnsi="仿宋" w:eastAsia="仿宋" w:cs="仿宋"/>
          <w:b/>
          <w:color w:val="auto"/>
          <w:sz w:val="24"/>
          <w:highlight w:val="none"/>
        </w:rPr>
        <w:t xml:space="preserve">2  </w:t>
      </w:r>
      <w:bookmarkEnd w:id="462"/>
      <w:bookmarkEnd w:id="463"/>
      <w:r>
        <w:rPr>
          <w:rFonts w:hint="eastAsia" w:ascii="仿宋" w:hAnsi="仿宋" w:eastAsia="仿宋" w:cs="仿宋"/>
          <w:b/>
          <w:color w:val="auto"/>
          <w:sz w:val="24"/>
          <w:highlight w:val="none"/>
          <w:lang w:val="en-US" w:eastAsia="zh-CN"/>
        </w:rPr>
        <w:t>基本资格条件承诺函</w:t>
      </w:r>
    </w:p>
    <w:p w14:paraId="453BE283">
      <w:pPr>
        <w:pStyle w:val="306"/>
        <w:keepNext w:val="0"/>
        <w:keepLines w:val="0"/>
        <w:pageBreakBefore w:val="0"/>
        <w:widowControl w:val="0"/>
        <w:shd w:val="clear" w:color="auto" w:fill="auto"/>
        <w:tabs>
          <w:tab w:val="left" w:pos="2851"/>
        </w:tabs>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仿宋" w:hAnsi="仿宋" w:eastAsia="仿宋" w:cs="仿宋"/>
          <w:color w:val="auto"/>
          <w:spacing w:val="0"/>
          <w:w w:val="100"/>
          <w:position w:val="0"/>
          <w:sz w:val="24"/>
          <w:szCs w:val="24"/>
          <w:highlight w:val="none"/>
        </w:rPr>
      </w:pPr>
    </w:p>
    <w:p w14:paraId="0A291F5D">
      <w:pPr>
        <w:pStyle w:val="306"/>
        <w:keepNext w:val="0"/>
        <w:keepLines w:val="0"/>
        <w:pageBreakBefore w:val="0"/>
        <w:widowControl w:val="0"/>
        <w:shd w:val="clear" w:color="auto" w:fill="auto"/>
        <w:tabs>
          <w:tab w:val="left" w:pos="2851"/>
        </w:tabs>
        <w:kinsoku/>
        <w:wordWrap/>
        <w:overflowPunct/>
        <w:topLinePunct w:val="0"/>
        <w:autoSpaceDE/>
        <w:autoSpaceDN/>
        <w:bidi w:val="0"/>
        <w:adjustRightInd/>
        <w:snapToGrid/>
        <w:spacing w:before="0" w:line="480" w:lineRule="auto"/>
        <w:ind w:left="0" w:leftChars="0" w:right="0" w:firstLine="0" w:firstLineChars="0"/>
        <w:jc w:val="left"/>
        <w:textAlignment w:val="auto"/>
        <w:rPr>
          <w:rFonts w:hint="eastAsia" w:ascii="仿宋" w:hAnsi="仿宋" w:eastAsia="仿宋" w:cs="仿宋"/>
          <w:color w:val="auto"/>
          <w:spacing w:val="0"/>
          <w:w w:val="100"/>
          <w:position w:val="0"/>
          <w:sz w:val="24"/>
          <w:szCs w:val="24"/>
          <w:highlight w:val="none"/>
        </w:rPr>
      </w:pPr>
      <w:r>
        <w:rPr>
          <w:rFonts w:hint="eastAsia" w:ascii="仿宋" w:hAnsi="仿宋" w:eastAsia="仿宋" w:cs="仿宋"/>
          <w:color w:val="auto"/>
          <w:spacing w:val="0"/>
          <w:w w:val="100"/>
          <w:position w:val="0"/>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0"/>
          <w:w w:val="100"/>
          <w:position w:val="0"/>
          <w:sz w:val="24"/>
          <w:szCs w:val="24"/>
          <w:highlight w:val="none"/>
        </w:rPr>
        <w:t>（采购代理机构名称）：</w:t>
      </w:r>
    </w:p>
    <w:p w14:paraId="38B50D9A">
      <w:pPr>
        <w:pStyle w:val="306"/>
        <w:keepNext w:val="0"/>
        <w:keepLines w:val="0"/>
        <w:pageBreakBefore w:val="0"/>
        <w:widowControl w:val="0"/>
        <w:shd w:val="clear" w:color="auto" w:fill="auto"/>
        <w:tabs>
          <w:tab w:val="left" w:pos="2851"/>
        </w:tabs>
        <w:kinsoku/>
        <w:wordWrap/>
        <w:overflowPunct/>
        <w:topLinePunct w:val="0"/>
        <w:autoSpaceDE/>
        <w:autoSpaceDN/>
        <w:bidi w:val="0"/>
        <w:adjustRightInd/>
        <w:snapToGrid/>
        <w:spacing w:before="0" w:line="48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供应商</w:t>
      </w:r>
      <w:r>
        <w:rPr>
          <w:rFonts w:hint="eastAsia" w:ascii="仿宋" w:hAnsi="仿宋" w:eastAsia="仿宋" w:cs="仿宋"/>
          <w:color w:val="auto"/>
          <w:spacing w:val="0"/>
          <w:w w:val="100"/>
          <w:position w:val="0"/>
          <w:sz w:val="24"/>
          <w:szCs w:val="24"/>
          <w:highlight w:val="none"/>
        </w:rPr>
        <w:t>名称）郑重承诺：</w:t>
      </w:r>
    </w:p>
    <w:p w14:paraId="41649E30">
      <w:pPr>
        <w:pStyle w:val="306"/>
        <w:keepNext w:val="0"/>
        <w:keepLines w:val="0"/>
        <w:pageBreakBefore w:val="0"/>
        <w:widowControl w:val="0"/>
        <w:numPr>
          <w:ilvl w:val="0"/>
          <w:numId w:val="0"/>
        </w:numPr>
        <w:shd w:val="clear" w:color="auto" w:fill="auto"/>
        <w:tabs>
          <w:tab w:val="left" w:pos="1045"/>
        </w:tabs>
        <w:kinsoku/>
        <w:wordWrap/>
        <w:overflowPunct/>
        <w:topLinePunct w:val="0"/>
        <w:autoSpaceDE/>
        <w:autoSpaceDN/>
        <w:bidi w:val="0"/>
        <w:adjustRightInd/>
        <w:snapToGrid/>
        <w:spacing w:before="0" w:line="48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464" w:name="bookmark0"/>
      <w:bookmarkEnd w:id="464"/>
      <w:r>
        <w:rPr>
          <w:rFonts w:hint="eastAsia" w:ascii="仿宋" w:hAnsi="仿宋" w:eastAsia="仿宋" w:cs="仿宋"/>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1.</w:t>
      </w:r>
      <w:r>
        <w:rPr>
          <w:rFonts w:hint="eastAsia" w:ascii="仿宋" w:hAnsi="仿宋" w:eastAsia="仿宋" w:cs="仿宋"/>
          <w:color w:val="auto"/>
          <w:spacing w:val="0"/>
          <w:w w:val="100"/>
          <w:position w:val="0"/>
          <w:sz w:val="24"/>
          <w:szCs w:val="24"/>
          <w:highlight w:val="none"/>
        </w:rPr>
        <w:t>我方具有良好的商业信誉和健全的财务会计制度，具有 履行合同所必需的设备和专业技术能力，具有依法缴纳税收和社会保障金的良好记录，参加本项目采购活动前三年内无重大违法活动记录。</w:t>
      </w:r>
    </w:p>
    <w:p w14:paraId="25E0A3B9">
      <w:pPr>
        <w:pStyle w:val="306"/>
        <w:keepNext w:val="0"/>
        <w:keepLines w:val="0"/>
        <w:pageBreakBefore w:val="0"/>
        <w:widowControl w:val="0"/>
        <w:numPr>
          <w:ilvl w:val="0"/>
          <w:numId w:val="0"/>
        </w:numPr>
        <w:shd w:val="clear" w:color="auto" w:fill="auto"/>
        <w:tabs>
          <w:tab w:val="left" w:pos="1042"/>
        </w:tabs>
        <w:kinsoku/>
        <w:wordWrap/>
        <w:overflowPunct/>
        <w:topLinePunct w:val="0"/>
        <w:autoSpaceDE/>
        <w:autoSpaceDN/>
        <w:bidi w:val="0"/>
        <w:adjustRightInd/>
        <w:snapToGrid/>
        <w:spacing w:before="0" w:line="48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465" w:name="bookmark1"/>
      <w:bookmarkEnd w:id="465"/>
      <w:r>
        <w:rPr>
          <w:rFonts w:hint="eastAsia" w:ascii="仿宋" w:hAnsi="仿宋" w:eastAsia="仿宋" w:cs="仿宋"/>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2.</w:t>
      </w:r>
      <w:r>
        <w:rPr>
          <w:rFonts w:hint="eastAsia" w:ascii="仿宋" w:hAnsi="仿宋" w:eastAsia="仿宋" w:cs="仿宋"/>
          <w:color w:val="auto"/>
          <w:spacing w:val="0"/>
          <w:w w:val="100"/>
          <w:position w:val="0"/>
          <w:sz w:val="24"/>
          <w:szCs w:val="24"/>
          <w:highlight w:val="none"/>
        </w:rPr>
        <w:t>我方未列入在信用中国网站（</w:t>
      </w:r>
      <w:r>
        <w:rPr>
          <w:rFonts w:hint="eastAsia" w:ascii="仿宋" w:hAnsi="仿宋" w:eastAsia="仿宋" w:cs="仿宋"/>
          <w:color w:val="auto"/>
          <w:spacing w:val="0"/>
          <w:w w:val="100"/>
          <w:position w:val="0"/>
          <w:sz w:val="24"/>
          <w:szCs w:val="24"/>
          <w:highlight w:val="none"/>
          <w:lang w:val="en-US" w:eastAsia="en-US" w:bidi="en-US"/>
        </w:rPr>
        <w:t>www</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 xml:space="preserve"> Creditchina</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gov</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 xml:space="preserve"> cn）</w:t>
      </w:r>
      <w:r>
        <w:rPr>
          <w:rFonts w:hint="eastAsia" w:ascii="仿宋" w:hAnsi="仿宋" w:eastAsia="仿宋" w:cs="仿宋"/>
          <w:color w:val="auto"/>
          <w:spacing w:val="0"/>
          <w:w w:val="100"/>
          <w:position w:val="0"/>
          <w:sz w:val="24"/>
          <w:szCs w:val="24"/>
          <w:highlight w:val="none"/>
          <w:lang w:val="zh-CN" w:eastAsia="zh-CN" w:bidi="zh-CN"/>
        </w:rPr>
        <w:t>“失信</w:t>
      </w:r>
      <w:r>
        <w:rPr>
          <w:rFonts w:hint="eastAsia" w:ascii="仿宋" w:hAnsi="仿宋" w:eastAsia="仿宋" w:cs="仿宋"/>
          <w:color w:val="auto"/>
          <w:spacing w:val="0"/>
          <w:w w:val="100"/>
          <w:position w:val="0"/>
          <w:sz w:val="24"/>
          <w:szCs w:val="24"/>
          <w:highlight w:val="none"/>
        </w:rPr>
        <w:t>被执行人”、</w:t>
      </w:r>
      <w:r>
        <w:rPr>
          <w:rFonts w:hint="eastAsia" w:ascii="仿宋" w:hAnsi="仿宋" w:eastAsia="仿宋" w:cs="仿宋"/>
          <w:color w:val="auto"/>
          <w:spacing w:val="0"/>
          <w:w w:val="100"/>
          <w:position w:val="0"/>
          <w:sz w:val="24"/>
          <w:szCs w:val="24"/>
          <w:highlight w:val="none"/>
          <w:lang w:val="zh-CN" w:eastAsia="zh-CN" w:bidi="zh-CN"/>
        </w:rPr>
        <w:t>“重大</w:t>
      </w:r>
      <w:r>
        <w:rPr>
          <w:rFonts w:hint="eastAsia" w:ascii="仿宋" w:hAnsi="仿宋" w:eastAsia="仿宋" w:cs="仿宋"/>
          <w:color w:val="auto"/>
          <w:spacing w:val="0"/>
          <w:w w:val="100"/>
          <w:position w:val="0"/>
          <w:sz w:val="24"/>
          <w:szCs w:val="24"/>
          <w:highlight w:val="none"/>
        </w:rPr>
        <w:t>税收违法案件当事人名单”中，也未列入中国政府采购网</w:t>
      </w:r>
      <w:r>
        <w:rPr>
          <w:rFonts w:hint="eastAsia" w:ascii="仿宋" w:hAnsi="仿宋" w:eastAsia="仿宋" w:cs="仿宋"/>
          <w:color w:val="auto"/>
          <w:spacing w:val="0"/>
          <w:w w:val="100"/>
          <w:position w:val="0"/>
          <w:sz w:val="24"/>
          <w:szCs w:val="24"/>
          <w:highlight w:val="none"/>
          <w:lang w:val="en-US" w:eastAsia="en-US" w:bidi="en-US"/>
        </w:rPr>
        <w:t>（www</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ccgp</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gov</w:t>
      </w:r>
      <w:r>
        <w:rPr>
          <w:rFonts w:hint="eastAsia" w:ascii="仿宋" w:hAnsi="仿宋" w:eastAsia="仿宋" w:cs="仿宋"/>
          <w:color w:val="auto"/>
          <w:spacing w:val="0"/>
          <w:w w:val="100"/>
          <w:position w:val="0"/>
          <w:sz w:val="24"/>
          <w:szCs w:val="24"/>
          <w:highlight w:val="none"/>
          <w:lang w:val="en-US" w:eastAsia="zh-CN" w:bidi="en-US"/>
        </w:rPr>
        <w:t>.</w:t>
      </w:r>
      <w:r>
        <w:rPr>
          <w:rFonts w:hint="eastAsia" w:ascii="仿宋" w:hAnsi="仿宋" w:eastAsia="仿宋" w:cs="仿宋"/>
          <w:color w:val="auto"/>
          <w:spacing w:val="0"/>
          <w:w w:val="100"/>
          <w:position w:val="0"/>
          <w:sz w:val="24"/>
          <w:szCs w:val="24"/>
          <w:highlight w:val="none"/>
          <w:lang w:val="en-US" w:eastAsia="en-US" w:bidi="en-US"/>
        </w:rPr>
        <w:t>cn）</w:t>
      </w:r>
      <w:r>
        <w:rPr>
          <w:rFonts w:hint="eastAsia" w:ascii="仿宋" w:hAnsi="仿宋" w:eastAsia="仿宋" w:cs="仿宋"/>
          <w:color w:val="auto"/>
          <w:spacing w:val="0"/>
          <w:w w:val="100"/>
          <w:position w:val="0"/>
          <w:sz w:val="24"/>
          <w:szCs w:val="24"/>
          <w:highlight w:val="none"/>
        </w:rPr>
        <w:t>"政府采购严重违法失信行为记录名单”中。</w:t>
      </w:r>
    </w:p>
    <w:p w14:paraId="1B42CAEE">
      <w:pPr>
        <w:pStyle w:val="306"/>
        <w:keepNext w:val="0"/>
        <w:keepLines w:val="0"/>
        <w:pageBreakBefore w:val="0"/>
        <w:widowControl w:val="0"/>
        <w:numPr>
          <w:ilvl w:val="0"/>
          <w:numId w:val="0"/>
        </w:numPr>
        <w:shd w:val="clear" w:color="auto" w:fill="auto"/>
        <w:tabs>
          <w:tab w:val="left" w:pos="1050"/>
        </w:tabs>
        <w:kinsoku/>
        <w:wordWrap/>
        <w:overflowPunct/>
        <w:topLinePunct w:val="0"/>
        <w:autoSpaceDE/>
        <w:autoSpaceDN/>
        <w:bidi w:val="0"/>
        <w:adjustRightInd/>
        <w:snapToGrid/>
        <w:spacing w:before="0" w:line="48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bookmarkStart w:id="466" w:name="bookmark2"/>
      <w:bookmarkEnd w:id="466"/>
      <w:r>
        <w:rPr>
          <w:rFonts w:hint="eastAsia" w:ascii="仿宋" w:hAnsi="仿宋" w:eastAsia="仿宋" w:cs="仿宋"/>
          <w:b w:val="0"/>
          <w:bCs w:val="0"/>
          <w:i w:val="0"/>
          <w:iCs w:val="0"/>
          <w:smallCaps w:val="0"/>
          <w:strike w:val="0"/>
          <w:color w:val="auto"/>
          <w:spacing w:val="0"/>
          <w:w w:val="100"/>
          <w:kern w:val="2"/>
          <w:position w:val="0"/>
          <w:sz w:val="24"/>
          <w:szCs w:val="24"/>
          <w:highlight w:val="none"/>
          <w:u w:val="none"/>
          <w:shd w:val="clear" w:color="auto" w:fill="auto"/>
          <w:lang w:val="zh-TW" w:eastAsia="zh-TW" w:bidi="zh-TW"/>
        </w:rPr>
        <w:t>3.</w:t>
      </w:r>
      <w:r>
        <w:rPr>
          <w:rFonts w:hint="eastAsia" w:ascii="仿宋" w:hAnsi="仿宋" w:eastAsia="仿宋" w:cs="仿宋"/>
          <w:color w:val="auto"/>
          <w:spacing w:val="0"/>
          <w:w w:val="100"/>
          <w:position w:val="0"/>
          <w:sz w:val="24"/>
          <w:szCs w:val="24"/>
          <w:highlight w:val="none"/>
        </w:rPr>
        <w:t>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pacing w:val="0"/>
          <w:w w:val="100"/>
          <w:position w:val="0"/>
          <w:sz w:val="24"/>
          <w:szCs w:val="24"/>
          <w:highlight w:val="none"/>
          <w:lang w:eastAsia="zh-CN"/>
        </w:rPr>
        <w:t>供应商</w:t>
      </w:r>
      <w:r>
        <w:rPr>
          <w:rFonts w:hint="eastAsia" w:ascii="仿宋" w:hAnsi="仿宋" w:eastAsia="仿宋" w:cs="仿宋"/>
          <w:color w:val="auto"/>
          <w:spacing w:val="0"/>
          <w:w w:val="100"/>
          <w:position w:val="0"/>
          <w:sz w:val="24"/>
          <w:szCs w:val="24"/>
          <w:highlight w:val="none"/>
        </w:rPr>
        <w:t>基本资格条件。</w:t>
      </w:r>
    </w:p>
    <w:p w14:paraId="21290A24">
      <w:pPr>
        <w:pStyle w:val="306"/>
        <w:keepNext w:val="0"/>
        <w:keepLines w:val="0"/>
        <w:pageBreakBefore w:val="0"/>
        <w:widowControl w:val="0"/>
        <w:shd w:val="clear" w:color="auto" w:fill="auto"/>
        <w:kinsoku/>
        <w:wordWrap/>
        <w:overflowPunct/>
        <w:topLinePunct w:val="0"/>
        <w:autoSpaceDE/>
        <w:autoSpaceDN/>
        <w:bidi w:val="0"/>
        <w:adjustRightInd/>
        <w:snapToGrid/>
        <w:spacing w:before="0" w:line="48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我方对以上承诺负全部法律责任。</w:t>
      </w:r>
    </w:p>
    <w:p w14:paraId="175043FB">
      <w:pPr>
        <w:pStyle w:val="306"/>
        <w:keepNext w:val="0"/>
        <w:keepLines w:val="0"/>
        <w:pageBreakBefore w:val="0"/>
        <w:widowControl w:val="0"/>
        <w:shd w:val="clear" w:color="auto" w:fill="auto"/>
        <w:kinsoku/>
        <w:wordWrap/>
        <w:overflowPunct/>
        <w:topLinePunct w:val="0"/>
        <w:autoSpaceDE/>
        <w:autoSpaceDN/>
        <w:bidi w:val="0"/>
        <w:adjustRightInd/>
        <w:snapToGrid/>
        <w:spacing w:before="0" w:line="48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特此承诺。</w:t>
      </w:r>
    </w:p>
    <w:p w14:paraId="1A42A4C4">
      <w:pPr>
        <w:pStyle w:val="306"/>
        <w:keepNext w:val="0"/>
        <w:keepLines w:val="0"/>
        <w:pageBreakBefore w:val="0"/>
        <w:widowControl w:val="0"/>
        <w:shd w:val="clear" w:color="auto" w:fill="auto"/>
        <w:kinsoku/>
        <w:wordWrap/>
        <w:overflowPunct/>
        <w:topLinePunct w:val="0"/>
        <w:autoSpaceDE/>
        <w:autoSpaceDN/>
        <w:bidi w:val="0"/>
        <w:adjustRightInd/>
        <w:snapToGrid/>
        <w:spacing w:before="0" w:line="480" w:lineRule="auto"/>
        <w:ind w:left="0" w:right="0" w:firstLine="5760" w:firstLineChars="24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rPr>
        <w:t>（</w:t>
      </w:r>
      <w:r>
        <w:rPr>
          <w:rFonts w:hint="eastAsia" w:ascii="仿宋" w:hAnsi="仿宋" w:eastAsia="仿宋" w:cs="仿宋"/>
          <w:color w:val="auto"/>
          <w:spacing w:val="0"/>
          <w:w w:val="100"/>
          <w:position w:val="0"/>
          <w:sz w:val="24"/>
          <w:szCs w:val="24"/>
          <w:highlight w:val="none"/>
          <w:lang w:val="en-US" w:eastAsia="zh-CN"/>
        </w:rPr>
        <w:t>供应商</w:t>
      </w:r>
      <w:r>
        <w:rPr>
          <w:rFonts w:hint="eastAsia" w:ascii="仿宋" w:hAnsi="仿宋" w:eastAsia="仿宋" w:cs="仿宋"/>
          <w:color w:val="auto"/>
          <w:spacing w:val="0"/>
          <w:w w:val="100"/>
          <w:position w:val="0"/>
          <w:sz w:val="24"/>
          <w:szCs w:val="24"/>
          <w:highlight w:val="none"/>
        </w:rPr>
        <w:t>公章）</w:t>
      </w:r>
    </w:p>
    <w:p w14:paraId="0841ADAC">
      <w:pPr>
        <w:pStyle w:val="2"/>
        <w:keepNext w:val="0"/>
        <w:keepLines w:val="0"/>
        <w:pageBreakBefore w:val="0"/>
        <w:widowControl w:val="0"/>
        <w:kinsoku/>
        <w:wordWrap/>
        <w:overflowPunct/>
        <w:topLinePunct w:val="0"/>
        <w:autoSpaceDE/>
        <w:autoSpaceDN/>
        <w:bidi w:val="0"/>
        <w:adjustRightInd/>
        <w:snapToGrid/>
        <w:spacing w:line="480" w:lineRule="auto"/>
        <w:ind w:right="0" w:firstLine="5520" w:firstLineChars="2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BDBE3CD">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64CF6D1A">
      <w:pPr>
        <w:pStyle w:val="2"/>
        <w:rPr>
          <w:color w:val="auto"/>
          <w:highlight w:val="none"/>
        </w:rPr>
      </w:pPr>
    </w:p>
    <w:p w14:paraId="676924E0">
      <w:pPr>
        <w:numPr>
          <w:ilvl w:val="1"/>
          <w:numId w:val="0"/>
        </w:numPr>
        <w:ind w:left="720" w:leftChars="0" w:hanging="720" w:firstLineChars="0"/>
        <w:jc w:val="left"/>
        <w:outlineLvl w:val="9"/>
        <w:rPr>
          <w:rFonts w:ascii="仿宋" w:hAnsi="仿宋" w:eastAsia="仿宋" w:cs="仿宋"/>
          <w:b/>
          <w:color w:val="auto"/>
          <w:sz w:val="24"/>
          <w:szCs w:val="22"/>
          <w:highlight w:val="none"/>
        </w:rPr>
      </w:pPr>
      <w:bookmarkStart w:id="467" w:name="_Toc7005127"/>
      <w:r>
        <w:rPr>
          <w:rFonts w:hint="eastAsia" w:ascii="仿宋" w:hAnsi="仿宋" w:eastAsia="仿宋" w:cs="仿宋"/>
          <w:b/>
          <w:color w:val="auto"/>
          <w:kern w:val="2"/>
          <w:sz w:val="24"/>
          <w:szCs w:val="22"/>
          <w:highlight w:val="none"/>
          <w:lang w:val="en-US" w:eastAsia="zh-CN" w:bidi="ar-SA"/>
        </w:rPr>
        <w:t>3</w:t>
      </w:r>
      <w:r>
        <w:rPr>
          <w:rFonts w:hint="eastAsia" w:ascii="仿宋" w:hAnsi="仿宋" w:eastAsia="仿宋" w:cs="仿宋"/>
          <w:b/>
          <w:color w:val="auto"/>
          <w:sz w:val="24"/>
          <w:szCs w:val="22"/>
          <w:highlight w:val="none"/>
        </w:rPr>
        <w:t xml:space="preserve"> 供应商控股股东名称、控股公司的名称和存在管理、被管理关系的单位名称说明</w:t>
      </w:r>
      <w:bookmarkEnd w:id="467"/>
    </w:p>
    <w:p w14:paraId="061B152F">
      <w:pPr>
        <w:ind w:firstLine="420"/>
        <w:rPr>
          <w:rFonts w:ascii="仿宋" w:hAnsi="仿宋" w:eastAsia="仿宋" w:cs="仿宋"/>
          <w:color w:val="auto"/>
          <w:szCs w:val="21"/>
          <w:highlight w:val="none"/>
        </w:rPr>
      </w:pPr>
    </w:p>
    <w:p w14:paraId="09F877EE">
      <w:pPr>
        <w:rPr>
          <w:rFonts w:ascii="仿宋" w:hAnsi="仿宋" w:eastAsia="仿宋" w:cs="仿宋"/>
          <w:color w:val="auto"/>
          <w:sz w:val="24"/>
          <w:highlight w:val="none"/>
        </w:rPr>
      </w:pPr>
    </w:p>
    <w:p w14:paraId="5BA38CE9">
      <w:pPr>
        <w:rPr>
          <w:rFonts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4FA7311D">
      <w:pPr>
        <w:spacing w:after="120"/>
        <w:rPr>
          <w:rFonts w:ascii="仿宋" w:hAnsi="仿宋" w:eastAsia="仿宋" w:cs="仿宋"/>
          <w:color w:val="auto"/>
          <w:highlight w:val="none"/>
        </w:rPr>
      </w:pPr>
    </w:p>
    <w:p w14:paraId="34A1B22C">
      <w:pPr>
        <w:ind w:firstLine="426"/>
        <w:rPr>
          <w:rFonts w:ascii="仿宋" w:hAnsi="仿宋" w:eastAsia="仿宋" w:cs="仿宋"/>
          <w:color w:val="auto"/>
          <w:sz w:val="24"/>
          <w:highlight w:val="none"/>
        </w:rPr>
      </w:pPr>
      <w:r>
        <w:rPr>
          <w:rFonts w:hint="eastAsia" w:ascii="仿宋" w:hAnsi="仿宋" w:eastAsia="仿宋" w:cs="仿宋"/>
          <w:color w:val="auto"/>
          <w:sz w:val="24"/>
          <w:highlight w:val="none"/>
        </w:rPr>
        <w:t>与我方的法定代表人（或单位负责人）为同一人的企业如下：</w:t>
      </w:r>
    </w:p>
    <w:p w14:paraId="62A2CF51">
      <w:pPr>
        <w:ind w:firstLine="426"/>
        <w:rPr>
          <w:rFonts w:ascii="仿宋" w:hAnsi="仿宋" w:eastAsia="仿宋" w:cs="仿宋"/>
          <w:color w:val="auto"/>
          <w:sz w:val="24"/>
          <w:highlight w:val="none"/>
        </w:rPr>
      </w:pPr>
    </w:p>
    <w:p w14:paraId="404F9962">
      <w:pPr>
        <w:ind w:firstLine="426"/>
        <w:rPr>
          <w:rFonts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14:paraId="34CC8E11">
      <w:pPr>
        <w:ind w:firstLine="426"/>
        <w:rPr>
          <w:rFonts w:ascii="仿宋" w:hAnsi="仿宋" w:eastAsia="仿宋" w:cs="仿宋"/>
          <w:color w:val="auto"/>
          <w:sz w:val="24"/>
          <w:highlight w:val="none"/>
        </w:rPr>
      </w:pPr>
    </w:p>
    <w:p w14:paraId="12601757">
      <w:pPr>
        <w:ind w:firstLine="426"/>
        <w:rPr>
          <w:rFonts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14:paraId="0468D05E">
      <w:pPr>
        <w:ind w:firstLine="426"/>
        <w:rPr>
          <w:rFonts w:ascii="仿宋" w:hAnsi="仿宋" w:eastAsia="仿宋" w:cs="仿宋"/>
          <w:color w:val="auto"/>
          <w:sz w:val="24"/>
          <w:highlight w:val="none"/>
        </w:rPr>
      </w:pPr>
    </w:p>
    <w:p w14:paraId="54C8AD45">
      <w:pPr>
        <w:ind w:firstLine="426"/>
        <w:rPr>
          <w:rFonts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14:paraId="329D23E7">
      <w:pPr>
        <w:ind w:firstLine="426"/>
        <w:rPr>
          <w:rFonts w:ascii="仿宋" w:hAnsi="仿宋" w:eastAsia="仿宋" w:cs="仿宋"/>
          <w:color w:val="auto"/>
          <w:sz w:val="24"/>
          <w:highlight w:val="none"/>
        </w:rPr>
      </w:pPr>
    </w:p>
    <w:p w14:paraId="1254340B">
      <w:pPr>
        <w:ind w:firstLine="426"/>
        <w:rPr>
          <w:rFonts w:ascii="仿宋" w:hAnsi="仿宋" w:eastAsia="仿宋" w:cs="仿宋"/>
          <w:color w:val="auto"/>
          <w:szCs w:val="21"/>
          <w:highlight w:val="none"/>
        </w:rPr>
      </w:pPr>
    </w:p>
    <w:p w14:paraId="4F4C8372">
      <w:pPr>
        <w:spacing w:before="120" w:after="12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14:paraId="1486B760">
      <w:pPr>
        <w:spacing w:before="120" w:after="12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法定代表人（或单位负责人）或其授权代表（签字或盖章）：</w:t>
      </w:r>
      <w:r>
        <w:rPr>
          <w:rFonts w:hint="eastAsia" w:ascii="仿宋" w:hAnsi="仿宋" w:eastAsia="仿宋" w:cs="仿宋"/>
          <w:color w:val="auto"/>
          <w:sz w:val="24"/>
          <w:highlight w:val="none"/>
          <w:u w:val="single"/>
        </w:rPr>
        <w:t xml:space="preserve">                  </w:t>
      </w:r>
    </w:p>
    <w:p w14:paraId="65E77512">
      <w:pPr>
        <w:spacing w:before="120" w:after="12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F597023">
      <w:pPr>
        <w:ind w:firstLine="420" w:firstLineChars="200"/>
        <w:rPr>
          <w:rFonts w:ascii="仿宋" w:hAnsi="仿宋" w:eastAsia="仿宋" w:cs="仿宋"/>
          <w:color w:val="auto"/>
          <w:szCs w:val="21"/>
          <w:highlight w:val="none"/>
        </w:rPr>
      </w:pPr>
    </w:p>
    <w:p w14:paraId="67006DFD">
      <w:pPr>
        <w:ind w:firstLine="420" w:firstLineChars="200"/>
        <w:rPr>
          <w:rFonts w:ascii="仿宋" w:hAnsi="仿宋" w:eastAsia="仿宋" w:cs="仿宋"/>
          <w:color w:val="auto"/>
          <w:szCs w:val="21"/>
          <w:highlight w:val="none"/>
        </w:rPr>
      </w:pPr>
    </w:p>
    <w:p w14:paraId="3E20268C">
      <w:pPr>
        <w:ind w:firstLine="420" w:firstLineChars="200"/>
        <w:rPr>
          <w:rFonts w:ascii="仿宋" w:hAnsi="仿宋" w:eastAsia="仿宋" w:cs="仿宋"/>
          <w:color w:val="auto"/>
          <w:szCs w:val="21"/>
          <w:highlight w:val="none"/>
        </w:rPr>
      </w:pPr>
    </w:p>
    <w:p w14:paraId="61B825DF">
      <w:pPr>
        <w:numPr>
          <w:ilvl w:val="1"/>
          <w:numId w:val="0"/>
        </w:numPr>
        <w:ind w:left="720" w:leftChars="0" w:hanging="720" w:firstLineChars="0"/>
        <w:jc w:val="left"/>
        <w:outlineLvl w:val="9"/>
        <w:rPr>
          <w:rFonts w:ascii="仿宋" w:hAnsi="仿宋" w:eastAsia="仿宋" w:cs="仿宋"/>
          <w:b/>
          <w:color w:val="auto"/>
          <w:sz w:val="24"/>
          <w:szCs w:val="22"/>
          <w:highlight w:val="none"/>
        </w:rPr>
      </w:pPr>
      <w:bookmarkStart w:id="468" w:name="_Toc7005128"/>
      <w:r>
        <w:rPr>
          <w:rFonts w:hint="eastAsia" w:ascii="仿宋" w:hAnsi="仿宋" w:eastAsia="仿宋" w:cs="仿宋"/>
          <w:b/>
          <w:color w:val="auto"/>
          <w:kern w:val="2"/>
          <w:sz w:val="24"/>
          <w:szCs w:val="22"/>
          <w:highlight w:val="none"/>
          <w:lang w:val="en-US" w:eastAsia="zh-CN" w:bidi="ar-SA"/>
        </w:rPr>
        <w:t>4</w:t>
      </w:r>
      <w:r>
        <w:rPr>
          <w:rFonts w:hint="eastAsia" w:ascii="仿宋" w:hAnsi="仿宋" w:eastAsia="仿宋" w:cs="仿宋"/>
          <w:b/>
          <w:color w:val="auto"/>
          <w:sz w:val="24"/>
          <w:szCs w:val="22"/>
          <w:highlight w:val="none"/>
        </w:rPr>
        <w:t xml:space="preserve"> 供应商是否属于为本项目提供整体设计、规范编制或者项目管理、监理、检测等服务的供应商声明</w:t>
      </w:r>
      <w:bookmarkEnd w:id="468"/>
    </w:p>
    <w:p w14:paraId="1EE0E55A">
      <w:pPr>
        <w:ind w:firstLine="420"/>
        <w:rPr>
          <w:rFonts w:ascii="仿宋" w:hAnsi="仿宋" w:eastAsia="仿宋" w:cs="仿宋"/>
          <w:color w:val="auto"/>
          <w:szCs w:val="21"/>
          <w:highlight w:val="none"/>
        </w:rPr>
      </w:pPr>
    </w:p>
    <w:p w14:paraId="79F6CA08">
      <w:pPr>
        <w:spacing w:line="360" w:lineRule="auto"/>
        <w:rPr>
          <w:rFonts w:ascii="仿宋" w:hAnsi="仿宋" w:eastAsia="仿宋" w:cs="仿宋"/>
          <w:color w:val="auto"/>
          <w:szCs w:val="21"/>
          <w:highlight w:val="none"/>
        </w:rPr>
      </w:pPr>
    </w:p>
    <w:p w14:paraId="751EA058">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5B67181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 xml:space="preserve"> 不属于 </w:t>
      </w:r>
      <w:r>
        <w:rPr>
          <w:rFonts w:hint="eastAsia" w:ascii="仿宋" w:hAnsi="仿宋" w:eastAsia="仿宋" w:cs="仿宋"/>
          <w:color w:val="auto"/>
          <w:sz w:val="24"/>
          <w:highlight w:val="none"/>
        </w:rPr>
        <w:t>为本项目提供整体设计、规范编制或者项目管理、监理、检测等服务的供应商。</w:t>
      </w:r>
    </w:p>
    <w:p w14:paraId="272CAFBD">
      <w:pPr>
        <w:ind w:firstLine="426"/>
        <w:rPr>
          <w:rFonts w:ascii="仿宋" w:hAnsi="仿宋" w:eastAsia="仿宋" w:cs="仿宋"/>
          <w:color w:val="auto"/>
          <w:sz w:val="24"/>
          <w:highlight w:val="none"/>
        </w:rPr>
      </w:pPr>
    </w:p>
    <w:p w14:paraId="1080D6B4">
      <w:pPr>
        <w:ind w:firstLine="426"/>
        <w:rPr>
          <w:rFonts w:ascii="仿宋" w:hAnsi="仿宋" w:eastAsia="仿宋" w:cs="仿宋"/>
          <w:color w:val="auto"/>
          <w:szCs w:val="21"/>
          <w:highlight w:val="none"/>
        </w:rPr>
      </w:pPr>
    </w:p>
    <w:p w14:paraId="6126F9AB">
      <w:pPr>
        <w:spacing w:before="120" w:after="12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供应商名称（公章）： </w:t>
      </w:r>
      <w:r>
        <w:rPr>
          <w:rFonts w:hint="eastAsia" w:ascii="仿宋" w:hAnsi="仿宋" w:eastAsia="仿宋" w:cs="仿宋"/>
          <w:color w:val="auto"/>
          <w:sz w:val="24"/>
          <w:highlight w:val="none"/>
          <w:u w:val="single"/>
        </w:rPr>
        <w:t xml:space="preserve">              </w:t>
      </w:r>
    </w:p>
    <w:p w14:paraId="4BD5C738">
      <w:pPr>
        <w:spacing w:before="120" w:after="120"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法定代表人（或单位负责人）或其授权代表（签字或盖章）：</w:t>
      </w:r>
      <w:r>
        <w:rPr>
          <w:rFonts w:hint="eastAsia" w:ascii="仿宋" w:hAnsi="仿宋" w:eastAsia="仿宋" w:cs="仿宋"/>
          <w:color w:val="auto"/>
          <w:sz w:val="24"/>
          <w:highlight w:val="none"/>
          <w:u w:val="single"/>
        </w:rPr>
        <w:t xml:space="preserve">                  </w:t>
      </w:r>
    </w:p>
    <w:p w14:paraId="73EA6B50">
      <w:pPr>
        <w:spacing w:before="120" w:after="120"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8B54949">
      <w:pPr>
        <w:widowControl/>
        <w:jc w:val="left"/>
        <w:rPr>
          <w:rFonts w:ascii="仿宋" w:hAnsi="仿宋" w:eastAsia="仿宋" w:cs="仿宋"/>
          <w:color w:val="auto"/>
          <w:sz w:val="24"/>
          <w:szCs w:val="21"/>
          <w:highlight w:val="none"/>
          <w:u w:val="single"/>
        </w:rPr>
      </w:pPr>
    </w:p>
    <w:p w14:paraId="23419AA7">
      <w:pPr>
        <w:rPr>
          <w:rFonts w:hint="eastAsia" w:ascii="仿宋" w:hAnsi="仿宋" w:eastAsia="仿宋" w:cs="仿宋"/>
          <w:b/>
          <w:color w:val="auto"/>
          <w:sz w:val="24"/>
          <w:highlight w:val="none"/>
        </w:rPr>
      </w:pPr>
      <w:bookmarkStart w:id="469" w:name="_Toc7005129"/>
    </w:p>
    <w:p w14:paraId="269FC5A7">
      <w:pPr>
        <w:spacing w:after="120"/>
        <w:rPr>
          <w:rFonts w:hint="eastAsia" w:ascii="仿宋" w:hAnsi="仿宋" w:eastAsia="仿宋" w:cs="仿宋"/>
          <w:b/>
          <w:bCs/>
          <w:color w:val="auto"/>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证明供应商符合特定资格条件的证明材料</w:t>
      </w:r>
      <w:bookmarkEnd w:id="469"/>
      <w:r>
        <w:rPr>
          <w:rFonts w:hint="eastAsia" w:ascii="仿宋" w:hAnsi="仿宋" w:eastAsia="仿宋" w:cs="仿宋"/>
          <w:b/>
          <w:color w:val="auto"/>
          <w:sz w:val="24"/>
          <w:highlight w:val="none"/>
        </w:rPr>
        <w:t>：见竞争性磋商公告“申请人资格要求”</w:t>
      </w:r>
    </w:p>
    <w:p w14:paraId="71C81C33">
      <w:pPr>
        <w:rPr>
          <w:rFonts w:hint="eastAsia" w:ascii="仿宋" w:hAnsi="仿宋" w:eastAsia="仿宋" w:cs="仿宋"/>
          <w:color w:val="auto"/>
          <w:sz w:val="24"/>
          <w:highlight w:val="none"/>
        </w:rPr>
      </w:pPr>
    </w:p>
    <w:p w14:paraId="51A21EC0">
      <w:pPr>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br w:type="page"/>
      </w:r>
    </w:p>
    <w:p w14:paraId="5A7E2EF9">
      <w:pPr>
        <w:autoSpaceDE w:val="0"/>
        <w:autoSpaceDN w:val="0"/>
        <w:adjustRightInd w:val="0"/>
        <w:snapToGrid w:val="0"/>
        <w:spacing w:line="360" w:lineRule="auto"/>
        <w:jc w:val="left"/>
        <w:rPr>
          <w:rFonts w:hint="eastAsia" w:ascii="仿宋_GB2312" w:hAnsi="仿宋_GB2312" w:eastAsia="仿宋_GB2312" w:cs="仿宋_GB2312"/>
          <w:b/>
          <w:bCs/>
          <w:color w:val="auto"/>
          <w:sz w:val="32"/>
          <w:szCs w:val="32"/>
          <w:highlight w:val="none"/>
          <w:lang w:val="zh-CN"/>
        </w:rPr>
      </w:pPr>
    </w:p>
    <w:p w14:paraId="1E1C8399">
      <w:pPr>
        <w:autoSpaceDE w:val="0"/>
        <w:autoSpaceDN w:val="0"/>
        <w:adjustRightInd w:val="0"/>
        <w:snapToGrid w:val="0"/>
        <w:spacing w:line="360" w:lineRule="auto"/>
        <w:jc w:val="left"/>
        <w:rPr>
          <w:rFonts w:hint="eastAsia" w:ascii="仿宋_GB2312" w:hAnsi="仿宋_GB2312" w:eastAsia="仿宋_GB2312" w:cs="仿宋_GB2312"/>
          <w:b/>
          <w:bCs/>
          <w:color w:val="auto"/>
          <w:sz w:val="32"/>
          <w:szCs w:val="32"/>
          <w:highlight w:val="none"/>
          <w:lang w:val="zh-CN"/>
        </w:rPr>
      </w:pPr>
    </w:p>
    <w:p w14:paraId="4FFAB865">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政府采购项目</w:t>
      </w:r>
    </w:p>
    <w:p w14:paraId="2FEF9EE2">
      <w:pPr>
        <w:autoSpaceDE w:val="0"/>
        <w:autoSpaceDN w:val="0"/>
        <w:adjustRightInd w:val="0"/>
        <w:snapToGrid w:val="0"/>
        <w:spacing w:line="360" w:lineRule="auto"/>
        <w:jc w:val="left"/>
        <w:rPr>
          <w:rFonts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采购项目编号：</w:t>
      </w:r>
    </w:p>
    <w:p w14:paraId="7143806B">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14:paraId="1C82851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14:paraId="48233A6C">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19"/>
          <w:szCs w:val="19"/>
          <w:highlight w:val="none"/>
        </w:rPr>
      </w:pPr>
    </w:p>
    <w:p w14:paraId="3C6FB808">
      <w:pPr>
        <w:autoSpaceDE w:val="0"/>
        <w:autoSpaceDN w:val="0"/>
        <w:adjustRightInd w:val="0"/>
        <w:snapToGrid w:val="0"/>
        <w:spacing w:line="360" w:lineRule="auto"/>
        <w:jc w:val="center"/>
        <w:rPr>
          <w:rFonts w:ascii="仿宋_GB2312" w:hAnsi="仿宋_GB2312" w:eastAsia="仿宋_GB2312" w:cs="仿宋_GB2312"/>
          <w:b/>
          <w:bCs/>
          <w:color w:val="auto"/>
          <w:sz w:val="44"/>
          <w:szCs w:val="44"/>
          <w:highlight w:val="none"/>
        </w:rPr>
      </w:pPr>
      <w:r>
        <w:rPr>
          <w:rFonts w:hint="eastAsia" w:ascii="仿宋" w:hAnsi="仿宋" w:eastAsia="仿宋" w:cs="仿宋"/>
          <w:b/>
          <w:bCs/>
          <w:color w:val="auto"/>
          <w:sz w:val="44"/>
          <w:szCs w:val="44"/>
          <w:highlight w:val="none"/>
          <w:lang w:eastAsia="zh-CN"/>
        </w:rPr>
        <w:t>沣东大队驻地食堂服务（二次）</w:t>
      </w:r>
    </w:p>
    <w:p w14:paraId="134D21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6"/>
          <w:szCs w:val="36"/>
          <w:highlight w:val="none"/>
          <w:lang w:val="zh-CN"/>
        </w:rPr>
      </w:pPr>
    </w:p>
    <w:p w14:paraId="6C9EE458">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highlight w:val="none"/>
          <w:lang w:val="zh-CN"/>
        </w:rPr>
      </w:pPr>
      <w:r>
        <w:rPr>
          <w:rFonts w:hint="eastAsia" w:ascii="仿宋_GB2312" w:hAnsi="仿宋_GB2312" w:eastAsia="仿宋_GB2312" w:cs="仿宋_GB2312"/>
          <w:b/>
          <w:bCs/>
          <w:color w:val="auto"/>
          <w:sz w:val="52"/>
          <w:szCs w:val="52"/>
          <w:highlight w:val="none"/>
          <w:lang w:val="zh-CN"/>
        </w:rPr>
        <w:t>磋商响应文件</w:t>
      </w:r>
    </w:p>
    <w:p w14:paraId="3798B33A">
      <w:pPr>
        <w:autoSpaceDE w:val="0"/>
        <w:autoSpaceDN w:val="0"/>
        <w:adjustRightInd w:val="0"/>
        <w:snapToGrid w:val="0"/>
        <w:spacing w:line="360" w:lineRule="auto"/>
        <w:rPr>
          <w:rFonts w:ascii="黑体" w:hAnsi="黑体" w:eastAsia="黑体"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 xml:space="preserve">                    </w:t>
      </w:r>
      <w:r>
        <w:rPr>
          <w:rFonts w:hint="eastAsia" w:ascii="黑体" w:hAnsi="黑体" w:eastAsia="黑体" w:cs="仿宋_GB2312"/>
          <w:b/>
          <w:bCs/>
          <w:color w:val="auto"/>
          <w:sz w:val="32"/>
          <w:szCs w:val="32"/>
          <w:highlight w:val="none"/>
          <w:lang w:val="zh-CN"/>
        </w:rPr>
        <w:t>（</w:t>
      </w:r>
      <w:r>
        <w:rPr>
          <w:rStyle w:val="98"/>
          <w:rFonts w:hint="eastAsia"/>
          <w:color w:val="auto"/>
          <w:highlight w:val="none"/>
        </w:rPr>
        <w:t>商务及技术文件</w:t>
      </w:r>
      <w:r>
        <w:rPr>
          <w:rFonts w:hint="eastAsia" w:ascii="黑体" w:hAnsi="黑体" w:eastAsia="黑体" w:cs="仿宋_GB2312"/>
          <w:b/>
          <w:bCs/>
          <w:color w:val="auto"/>
          <w:sz w:val="32"/>
          <w:szCs w:val="32"/>
          <w:highlight w:val="none"/>
          <w:lang w:val="zh-CN"/>
        </w:rPr>
        <w:t>）</w:t>
      </w:r>
    </w:p>
    <w:p w14:paraId="39DFB3DA">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14:paraId="7DECBB6F">
      <w:pPr>
        <w:autoSpaceDE w:val="0"/>
        <w:autoSpaceDN w:val="0"/>
        <w:adjustRightInd w:val="0"/>
        <w:snapToGrid w:val="0"/>
        <w:spacing w:line="360" w:lineRule="auto"/>
        <w:rPr>
          <w:rFonts w:ascii="仿宋_GB2312" w:hAnsi="仿宋_GB2312" w:eastAsia="仿宋_GB2312" w:cs="仿宋_GB2312"/>
          <w:b/>
          <w:bCs/>
          <w:color w:val="auto"/>
          <w:sz w:val="32"/>
          <w:szCs w:val="32"/>
          <w:highlight w:val="none"/>
          <w:lang w:val="zh-CN"/>
        </w:rPr>
      </w:pPr>
    </w:p>
    <w:p w14:paraId="3129BECF">
      <w:pPr>
        <w:autoSpaceDE w:val="0"/>
        <w:autoSpaceDN w:val="0"/>
        <w:adjustRightInd w:val="0"/>
        <w:snapToGrid w:val="0"/>
        <w:spacing w:line="360" w:lineRule="auto"/>
        <w:rPr>
          <w:rFonts w:ascii="仿宋_GB2312" w:hAnsi="仿宋_GB2312" w:eastAsia="仿宋_GB2312" w:cs="仿宋_GB2312"/>
          <w:color w:val="auto"/>
          <w:sz w:val="30"/>
          <w:szCs w:val="30"/>
          <w:highlight w:val="none"/>
        </w:rPr>
      </w:pPr>
    </w:p>
    <w:p w14:paraId="327465F3">
      <w:pPr>
        <w:pStyle w:val="2"/>
        <w:rPr>
          <w:rFonts w:ascii="仿宋_GB2312" w:hAnsi="仿宋_GB2312" w:eastAsia="仿宋_GB2312" w:cs="仿宋_GB2312"/>
          <w:color w:val="auto"/>
          <w:sz w:val="30"/>
          <w:szCs w:val="30"/>
          <w:highlight w:val="none"/>
        </w:rPr>
      </w:pPr>
    </w:p>
    <w:p w14:paraId="7EBD3F09">
      <w:pPr>
        <w:pStyle w:val="2"/>
        <w:rPr>
          <w:rFonts w:ascii="仿宋_GB2312" w:hAnsi="仿宋_GB2312" w:eastAsia="仿宋_GB2312" w:cs="仿宋_GB2312"/>
          <w:color w:val="auto"/>
          <w:sz w:val="30"/>
          <w:szCs w:val="30"/>
          <w:highlight w:val="none"/>
        </w:rPr>
      </w:pPr>
    </w:p>
    <w:p w14:paraId="47834D8E">
      <w:pPr>
        <w:pStyle w:val="2"/>
        <w:rPr>
          <w:color w:val="auto"/>
          <w:highlight w:val="none"/>
        </w:rPr>
      </w:pPr>
    </w:p>
    <w:p w14:paraId="7FF2BBFC">
      <w:pPr>
        <w:autoSpaceDE w:val="0"/>
        <w:autoSpaceDN w:val="0"/>
        <w:adjustRightInd w:val="0"/>
        <w:snapToGrid w:val="0"/>
        <w:spacing w:line="360" w:lineRule="auto"/>
        <w:ind w:firstLine="964" w:firstLineChars="300"/>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供应商：</w:t>
      </w:r>
    </w:p>
    <w:p w14:paraId="154F4B25">
      <w:pPr>
        <w:autoSpaceDE w:val="0"/>
        <w:autoSpaceDN w:val="0"/>
        <w:adjustRightInd w:val="0"/>
        <w:snapToGrid w:val="0"/>
        <w:spacing w:line="360" w:lineRule="auto"/>
        <w:ind w:firstLine="964" w:firstLineChars="300"/>
        <w:rPr>
          <w:rFonts w:ascii="仿宋_GB2312" w:hAnsi="仿宋_GB2312" w:eastAsia="仿宋_GB2312" w:cs="仿宋_GB2312"/>
          <w:b/>
          <w:bCs/>
          <w:color w:val="auto"/>
          <w:sz w:val="32"/>
          <w:szCs w:val="32"/>
          <w:highlight w:val="none"/>
          <w:u w:val="singl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_GB2312" w:hAnsi="仿宋_GB2312" w:eastAsia="仿宋_GB2312" w:cs="仿宋_GB2312"/>
          <w:b/>
          <w:bCs/>
          <w:color w:val="auto"/>
          <w:sz w:val="32"/>
          <w:szCs w:val="32"/>
          <w:highlight w:val="none"/>
          <w:u w:val="single"/>
        </w:rPr>
        <w:t xml:space="preserve">  </w:t>
      </w:r>
    </w:p>
    <w:p w14:paraId="4C62202D">
      <w:pPr>
        <w:pStyle w:val="2"/>
        <w:rPr>
          <w:color w:val="auto"/>
          <w:highlight w:val="none"/>
        </w:rPr>
      </w:pPr>
      <w:r>
        <w:rPr>
          <w:color w:val="auto"/>
          <w:highlight w:val="none"/>
        </w:rPr>
        <w:br w:type="page"/>
      </w:r>
    </w:p>
    <w:p w14:paraId="0956BC59">
      <w:pPr>
        <w:pStyle w:val="2"/>
        <w:rPr>
          <w:rFonts w:ascii="仿宋_GB2312" w:hAnsi="仿宋_GB2312" w:eastAsia="仿宋_GB2312" w:cs="仿宋_GB2312"/>
          <w:color w:val="auto"/>
          <w:highlight w:val="none"/>
        </w:rPr>
      </w:pPr>
    </w:p>
    <w:p w14:paraId="3CE8D4D9">
      <w:pPr>
        <w:autoSpaceDE w:val="0"/>
        <w:autoSpaceDN w:val="0"/>
        <w:adjustRightInd w:val="0"/>
        <w:snapToGrid w:val="0"/>
        <w:spacing w:line="360" w:lineRule="auto"/>
        <w:ind w:firstLine="3534" w:firstLineChars="11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目  录</w:t>
      </w:r>
    </w:p>
    <w:p w14:paraId="0DD5FDE8">
      <w:pPr>
        <w:spacing w:after="120"/>
        <w:ind w:firstLine="315" w:firstLineChars="150"/>
        <w:rPr>
          <w:rFonts w:ascii="仿宋_GB2312" w:hAnsi="仿宋_GB2312" w:eastAsia="仿宋_GB2312" w:cs="仿宋_GB2312"/>
          <w:color w:val="auto"/>
          <w:highlight w:val="none"/>
        </w:rPr>
      </w:pPr>
    </w:p>
    <w:p w14:paraId="082DDDDC">
      <w:pP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第一部分  磋商响应函</w:t>
      </w:r>
    </w:p>
    <w:p w14:paraId="06CDDC22">
      <w:pP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第二部分  磋商响应报价表 </w:t>
      </w:r>
    </w:p>
    <w:p w14:paraId="5C0D3713">
      <w:pPr>
        <w:spacing w:after="120" w:line="480" w:lineRule="auto"/>
        <w:ind w:firstLine="360" w:firstLineChars="1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第三部分  偏离表</w:t>
      </w:r>
    </w:p>
    <w:p w14:paraId="6AE5313A">
      <w:pPr>
        <w:spacing w:after="120" w:line="480" w:lineRule="auto"/>
        <w:ind w:firstLine="360" w:firstLineChars="1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第四部分  响应方案说明</w:t>
      </w:r>
    </w:p>
    <w:p w14:paraId="4B553454">
      <w:pPr>
        <w:spacing w:after="120" w:line="480" w:lineRule="auto"/>
        <w:ind w:firstLine="360" w:firstLineChars="150"/>
        <w:rPr>
          <w:rFonts w:ascii="仿宋_GB2312" w:hAnsi="仿宋_GB2312" w:eastAsia="仿宋_GB2312" w:cs="仿宋_GB2312"/>
          <w:color w:val="auto"/>
          <w:highlight w:val="none"/>
        </w:rPr>
      </w:pPr>
      <w:r>
        <w:rPr>
          <w:rFonts w:hint="eastAsia" w:ascii="仿宋_GB2312" w:hAnsi="仿宋_GB2312" w:eastAsia="仿宋_GB2312" w:cs="仿宋_GB2312"/>
          <w:color w:val="auto"/>
          <w:sz w:val="24"/>
          <w:highlight w:val="none"/>
        </w:rPr>
        <w:t>第</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 xml:space="preserve">部分  </w:t>
      </w:r>
      <w:r>
        <w:rPr>
          <w:rFonts w:hint="eastAsia" w:ascii="仿宋_GB2312" w:hAnsi="仿宋_GB2312" w:eastAsia="仿宋_GB2312" w:cs="仿宋_GB2312"/>
          <w:color w:val="auto"/>
          <w:sz w:val="24"/>
          <w:highlight w:val="none"/>
          <w:lang w:val="en-US" w:eastAsia="zh-CN"/>
        </w:rPr>
        <w:t>声明函</w:t>
      </w:r>
      <w:r>
        <w:rPr>
          <w:rFonts w:hint="eastAsia" w:ascii="仿宋_GB2312" w:hAnsi="仿宋_GB2312" w:eastAsia="仿宋_GB2312" w:cs="仿宋_GB2312"/>
          <w:color w:val="auto"/>
          <w:highlight w:val="none"/>
        </w:rPr>
        <w:br w:type="page"/>
      </w:r>
    </w:p>
    <w:p w14:paraId="541E9E49">
      <w:pPr>
        <w:pStyle w:val="199"/>
        <w:ind w:firstLine="2731" w:firstLineChars="850"/>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lang w:val="zh-CN"/>
        </w:rPr>
        <w:t>第一部分</w:t>
      </w:r>
      <w:r>
        <w:rPr>
          <w:rFonts w:hint="eastAsia" w:ascii="仿宋" w:hAnsi="仿宋" w:eastAsia="仿宋"/>
          <w:b/>
          <w:color w:val="auto"/>
          <w:sz w:val="32"/>
          <w:szCs w:val="32"/>
          <w:highlight w:val="none"/>
        </w:rPr>
        <w:t xml:space="preserve">  </w:t>
      </w:r>
      <w:r>
        <w:rPr>
          <w:rFonts w:hint="eastAsia" w:ascii="仿宋" w:hAnsi="仿宋" w:eastAsia="仿宋"/>
          <w:b/>
          <w:color w:val="auto"/>
          <w:sz w:val="32"/>
          <w:szCs w:val="32"/>
          <w:highlight w:val="none"/>
          <w:lang w:val="zh-CN"/>
        </w:rPr>
        <w:t>磋商响应函</w:t>
      </w:r>
    </w:p>
    <w:p w14:paraId="1CDCD66B">
      <w:pPr>
        <w:autoSpaceDE w:val="0"/>
        <w:autoSpaceDN w:val="0"/>
        <w:adjustRightInd w:val="0"/>
        <w:snapToGrid w:val="0"/>
        <w:spacing w:line="312" w:lineRule="auto"/>
        <w:rPr>
          <w:rFonts w:ascii="仿宋_GB2312" w:hAnsi="仿宋_GB2312" w:eastAsia="仿宋_GB2312" w:cs="仿宋_GB2312"/>
          <w:b/>
          <w:bCs/>
          <w:color w:val="auto"/>
          <w:sz w:val="24"/>
          <w:highlight w:val="none"/>
          <w:lang w:val="zh-CN"/>
        </w:rPr>
      </w:pPr>
    </w:p>
    <w:p w14:paraId="50C55E6D">
      <w:pPr>
        <w:autoSpaceDE w:val="0"/>
        <w:autoSpaceDN w:val="0"/>
        <w:adjustRightInd w:val="0"/>
        <w:snapToGrid w:val="0"/>
        <w:spacing w:line="312"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zh-CN"/>
        </w:rPr>
        <w:t>陕西省采购招标有限责任公司：</w:t>
      </w:r>
    </w:p>
    <w:p w14:paraId="1157CC35">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 xml:space="preserve">我单位收到贵公司   </w:t>
      </w:r>
      <w:r>
        <w:rPr>
          <w:rFonts w:hint="eastAsia" w:ascii="仿宋_GB2312" w:hAnsi="仿宋_GB2312" w:eastAsia="仿宋_GB2312" w:cs="仿宋_GB2312"/>
          <w:color w:val="auto"/>
          <w:sz w:val="24"/>
          <w:highlight w:val="none"/>
          <w:u w:val="single"/>
          <w:lang w:val="zh-CN"/>
        </w:rPr>
        <w:t>（项目名称、</w:t>
      </w:r>
      <w:r>
        <w:rPr>
          <w:rFonts w:hint="eastAsia" w:ascii="仿宋_GB2312" w:hAnsi="仿宋_GB2312" w:eastAsia="仿宋_GB2312" w:cs="仿宋_GB2312"/>
          <w:color w:val="auto"/>
          <w:sz w:val="24"/>
          <w:highlight w:val="none"/>
          <w:u w:val="single"/>
          <w:lang w:val="en-US" w:eastAsia="zh-CN"/>
        </w:rPr>
        <w:t>项目编号</w:t>
      </w:r>
      <w:r>
        <w:rPr>
          <w:rFonts w:hint="eastAsia" w:ascii="仿宋_GB2312" w:hAnsi="仿宋_GB2312" w:eastAsia="仿宋_GB2312" w:cs="仿宋_GB2312"/>
          <w:color w:val="auto"/>
          <w:sz w:val="24"/>
          <w:highlight w:val="none"/>
          <w:u w:val="single"/>
          <w:lang w:val="zh-CN"/>
        </w:rPr>
        <w:t>）</w:t>
      </w:r>
      <w:r>
        <w:rPr>
          <w:rFonts w:hint="eastAsia" w:ascii="仿宋_GB2312" w:hAnsi="仿宋_GB2312" w:eastAsia="仿宋_GB2312" w:cs="仿宋_GB2312"/>
          <w:color w:val="auto"/>
          <w:sz w:val="24"/>
          <w:highlight w:val="none"/>
          <w:lang w:val="zh-CN"/>
        </w:rPr>
        <w:t>竞争性磋商文件，经详细研究，我们决定参加本次磋商活动。为此，我方郑重声明以下诸点，并负法律责任：</w:t>
      </w:r>
    </w:p>
    <w:p w14:paraId="6DF20F67">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val="zh-CN"/>
        </w:rPr>
        <w:t>、愿意按照竞争性磋商文件中的要求，提供采购产品及技术服务，完成合同的责任和义务。</w:t>
      </w:r>
    </w:p>
    <w:p w14:paraId="7B96E2CF">
      <w:pPr>
        <w:autoSpaceDE w:val="0"/>
        <w:autoSpaceDN w:val="0"/>
        <w:adjustRightInd w:val="0"/>
        <w:snapToGrid w:val="0"/>
        <w:spacing w:line="312" w:lineRule="auto"/>
        <w:ind w:left="885" w:leftChars="250" w:hanging="360" w:hangingChars="15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二</w:t>
      </w:r>
      <w:r>
        <w:rPr>
          <w:rFonts w:hint="eastAsia" w:ascii="仿宋_GB2312" w:hAnsi="仿宋_GB2312" w:eastAsia="仿宋_GB2312" w:cs="仿宋_GB2312"/>
          <w:color w:val="auto"/>
          <w:sz w:val="24"/>
          <w:highlight w:val="none"/>
          <w:lang w:val="zh-CN"/>
        </w:rPr>
        <w:t>、按竞争性磋商文件的规定，我公司的首次磋商响应</w:t>
      </w:r>
      <w:r>
        <w:rPr>
          <w:rFonts w:hint="eastAsia" w:ascii="仿宋_GB2312" w:hAnsi="仿宋_GB2312" w:eastAsia="仿宋_GB2312" w:cs="仿宋_GB2312"/>
          <w:color w:val="auto"/>
          <w:sz w:val="24"/>
          <w:highlight w:val="none"/>
          <w:lang w:val="zh-CN" w:eastAsia="zh-CN"/>
        </w:rPr>
        <w:t>总</w:t>
      </w:r>
      <w:r>
        <w:rPr>
          <w:rFonts w:hint="eastAsia" w:ascii="仿宋_GB2312" w:hAnsi="仿宋_GB2312" w:eastAsia="仿宋_GB2312" w:cs="仿宋_GB2312"/>
          <w:color w:val="auto"/>
          <w:sz w:val="24"/>
          <w:highlight w:val="none"/>
          <w:lang w:val="en-US" w:eastAsia="zh-CN"/>
        </w:rPr>
        <w:t>价</w:t>
      </w:r>
      <w:r>
        <w:rPr>
          <w:rFonts w:hint="eastAsia" w:ascii="仿宋_GB2312" w:hAnsi="仿宋_GB2312" w:eastAsia="仿宋_GB2312" w:cs="仿宋_GB2312"/>
          <w:color w:val="auto"/>
          <w:sz w:val="24"/>
          <w:highlight w:val="none"/>
          <w:lang w:val="zh-CN"/>
        </w:rPr>
        <w:t>为人民币</w:t>
      </w:r>
    </w:p>
    <w:p w14:paraId="690E024C">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（大写）：</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lang w:val="zh-CN"/>
        </w:rPr>
        <w:t>元），并对其后的磋商报价负法律责任。</w:t>
      </w:r>
    </w:p>
    <w:p w14:paraId="2A50523E">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val="zh-CN"/>
        </w:rPr>
        <w:t>、我方提交的响应文件为电子版</w:t>
      </w:r>
      <w:r>
        <w:rPr>
          <w:rFonts w:hint="eastAsia" w:ascii="仿宋_GB2312" w:hAnsi="仿宋_GB2312" w:eastAsia="仿宋_GB2312" w:cs="仿宋_GB2312"/>
          <w:color w:val="auto"/>
          <w:sz w:val="24"/>
          <w:highlight w:val="none"/>
          <w:lang w:val="en-US" w:eastAsia="zh-CN"/>
        </w:rPr>
        <w:t>1份</w:t>
      </w:r>
      <w:r>
        <w:rPr>
          <w:rFonts w:hint="eastAsia" w:ascii="仿宋_GB2312" w:hAnsi="仿宋_GB2312" w:eastAsia="仿宋_GB2312" w:cs="仿宋_GB2312"/>
          <w:color w:val="auto"/>
          <w:sz w:val="24"/>
          <w:highlight w:val="none"/>
          <w:lang w:val="zh-CN"/>
        </w:rPr>
        <w:t>。</w:t>
      </w:r>
    </w:p>
    <w:p w14:paraId="69B4B164">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val="zh-CN"/>
        </w:rPr>
        <w:t>、我方已详细阅读了竞争性磋商文件，完全理解并放弃提出含糊不清或易形成歧义的表述和资料。</w:t>
      </w:r>
    </w:p>
    <w:p w14:paraId="4815E718">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五、如果我方在磋商有效期内撤销响应文件，则响应保证金将被贵方不予退还。</w:t>
      </w:r>
    </w:p>
    <w:p w14:paraId="4F04C771">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val="zh-CN"/>
        </w:rPr>
        <w:t>、同意向贵方提供可能要求的与本次磋商有关的任何证据或资料，且尊重磋商小组的评审结论和结果。</w:t>
      </w:r>
    </w:p>
    <w:p w14:paraId="08EDF4AF">
      <w:pPr>
        <w:autoSpaceDE w:val="0"/>
        <w:autoSpaceDN w:val="0"/>
        <w:adjustRightInd w:val="0"/>
        <w:snapToGrid w:val="0"/>
        <w:spacing w:line="312" w:lineRule="auto"/>
        <w:ind w:firstLine="63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七、我方的响应文件有效期为自磋商之日起</w:t>
      </w:r>
      <w:r>
        <w:rPr>
          <w:rFonts w:hint="eastAsia" w:ascii="仿宋_GB2312" w:hAnsi="仿宋_GB2312" w:eastAsia="仿宋_GB2312" w:cs="仿宋_GB2312"/>
          <w:color w:val="auto"/>
          <w:sz w:val="24"/>
          <w:highlight w:val="none"/>
          <w:u w:val="single"/>
          <w:lang w:val="zh-CN"/>
        </w:rPr>
        <w:t xml:space="preserve"> </w:t>
      </w:r>
      <w:r>
        <w:rPr>
          <w:rFonts w:hint="eastAsia" w:ascii="仿宋_GB2312" w:hAnsi="仿宋_GB2312" w:eastAsia="仿宋_GB2312" w:cs="仿宋_GB2312"/>
          <w:color w:val="auto"/>
          <w:sz w:val="24"/>
          <w:highlight w:val="none"/>
          <w:u w:val="single"/>
        </w:rPr>
        <w:t xml:space="preserve">60 </w:t>
      </w:r>
      <w:r>
        <w:rPr>
          <w:rFonts w:hint="eastAsia" w:ascii="仿宋_GB2312" w:hAnsi="仿宋_GB2312" w:eastAsia="仿宋_GB2312" w:cs="仿宋_GB2312"/>
          <w:color w:val="auto"/>
          <w:sz w:val="24"/>
          <w:highlight w:val="none"/>
          <w:lang w:val="zh-CN"/>
        </w:rPr>
        <w:t>个日历天。若我方成交，响应文件有效期延长至合同执行完毕。</w:t>
      </w:r>
    </w:p>
    <w:p w14:paraId="7272078B">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val="zh-CN"/>
        </w:rPr>
        <w:t>、如我方成交：</w:t>
      </w:r>
    </w:p>
    <w:p w14:paraId="1997CAB3">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（1）我方承诺在收到成交通知书后，在磋商文件规定的期限内与采购人签订合同。</w:t>
      </w:r>
    </w:p>
    <w:p w14:paraId="502812A3">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（2）我方承诺按照磋商文件规定向你方递交履约保证金。作为履行合同的担保。</w:t>
      </w:r>
    </w:p>
    <w:p w14:paraId="58540388">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（3）我方承诺按合同约定的期限和地点，提供符合磋商文件要求的全部的货物和服务。</w:t>
      </w:r>
    </w:p>
    <w:p w14:paraId="2EB5FDA0">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（4）我方保证在领取成交通知书前按要求支付成交服务费。</w:t>
      </w:r>
    </w:p>
    <w:p w14:paraId="387798D6">
      <w:pPr>
        <w:autoSpaceDE w:val="0"/>
        <w:autoSpaceDN w:val="0"/>
        <w:adjustRightInd w:val="0"/>
        <w:snapToGrid w:val="0"/>
        <w:spacing w:line="312" w:lineRule="auto"/>
        <w:ind w:firstLine="630"/>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九、有关于本响应文件的函电，请按下列地址联系。</w:t>
      </w:r>
    </w:p>
    <w:p w14:paraId="2537D233">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地</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址：</w:t>
      </w:r>
      <w:r>
        <w:rPr>
          <w:rFonts w:hint="eastAsia" w:ascii="仿宋_GB2312" w:hAnsi="仿宋_GB2312" w:eastAsia="仿宋_GB2312" w:cs="仿宋_GB2312"/>
          <w:color w:val="auto"/>
          <w:sz w:val="24"/>
          <w:highlight w:val="none"/>
        </w:rPr>
        <w:t>__________________________________________</w:t>
      </w:r>
    </w:p>
    <w:p w14:paraId="7837585A">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开户银行：</w:t>
      </w:r>
      <w:r>
        <w:rPr>
          <w:rFonts w:hint="eastAsia" w:ascii="仿宋_GB2312" w:hAnsi="仿宋_GB2312" w:eastAsia="仿宋_GB2312" w:cs="仿宋_GB2312"/>
          <w:color w:val="auto"/>
          <w:sz w:val="24"/>
          <w:highlight w:val="none"/>
        </w:rPr>
        <w:t>__________________________________________</w:t>
      </w:r>
    </w:p>
    <w:p w14:paraId="523A0738">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帐</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号：</w:t>
      </w:r>
      <w:r>
        <w:rPr>
          <w:rFonts w:hint="eastAsia" w:ascii="仿宋_GB2312" w:hAnsi="仿宋_GB2312" w:eastAsia="仿宋_GB2312" w:cs="仿宋_GB2312"/>
          <w:color w:val="auto"/>
          <w:sz w:val="24"/>
          <w:highlight w:val="none"/>
        </w:rPr>
        <w:t>__________________________________________</w:t>
      </w:r>
    </w:p>
    <w:p w14:paraId="64165C9F">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电</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话：</w:t>
      </w:r>
      <w:r>
        <w:rPr>
          <w:rFonts w:hint="eastAsia" w:ascii="仿宋_GB2312" w:hAnsi="仿宋_GB2312" w:eastAsia="仿宋_GB2312" w:cs="仿宋_GB2312"/>
          <w:color w:val="auto"/>
          <w:sz w:val="24"/>
          <w:highlight w:val="none"/>
        </w:rPr>
        <w:t>_____________________</w:t>
      </w:r>
      <w:r>
        <w:rPr>
          <w:rFonts w:hint="eastAsia" w:ascii="仿宋_GB2312" w:hAnsi="仿宋_GB2312" w:eastAsia="仿宋_GB2312" w:cs="仿宋_GB2312"/>
          <w:color w:val="auto"/>
          <w:sz w:val="24"/>
          <w:highlight w:val="none"/>
          <w:lang w:val="zh-CN"/>
        </w:rPr>
        <w:t>传</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CN"/>
        </w:rPr>
        <w:t>真：</w:t>
      </w:r>
      <w:r>
        <w:rPr>
          <w:rFonts w:hint="eastAsia" w:ascii="仿宋_GB2312" w:hAnsi="仿宋_GB2312" w:eastAsia="仿宋_GB2312" w:cs="仿宋_GB2312"/>
          <w:color w:val="auto"/>
          <w:sz w:val="24"/>
          <w:highlight w:val="none"/>
        </w:rPr>
        <w:t>________________</w:t>
      </w:r>
    </w:p>
    <w:p w14:paraId="035FA270">
      <w:pPr>
        <w:pStyle w:val="2"/>
        <w:rPr>
          <w:rFonts w:ascii="仿宋_GB2312" w:hAnsi="仿宋_GB2312" w:eastAsia="仿宋_GB2312" w:cs="仿宋_GB2312"/>
          <w:color w:val="auto"/>
          <w:highlight w:val="none"/>
        </w:rPr>
      </w:pPr>
    </w:p>
    <w:p w14:paraId="44F5B6C6">
      <w:pPr>
        <w:autoSpaceDE w:val="0"/>
        <w:autoSpaceDN w:val="0"/>
        <w:adjustRightInd w:val="0"/>
        <w:snapToGrid w:val="0"/>
        <w:spacing w:line="312" w:lineRule="auto"/>
        <w:rPr>
          <w:rFonts w:ascii="仿宋_GB2312" w:hAnsi="仿宋_GB2312" w:eastAsia="仿宋_GB2312" w:cs="仿宋_GB2312"/>
          <w:color w:val="auto"/>
          <w:sz w:val="24"/>
          <w:highlight w:val="none"/>
          <w:lang w:val="zh-CN"/>
        </w:rPr>
      </w:pPr>
      <w:r>
        <w:rPr>
          <w:rFonts w:hint="eastAsia" w:ascii="仿宋_GB2312" w:hAnsi="仿宋_GB2312" w:eastAsia="仿宋_GB2312" w:cs="仿宋_GB2312"/>
          <w:color w:val="auto"/>
          <w:sz w:val="24"/>
          <w:highlight w:val="none"/>
          <w:lang w:val="zh-CN"/>
        </w:rPr>
        <w:t>供应商全称（公章）：</w:t>
      </w:r>
    </w:p>
    <w:p w14:paraId="203395D5">
      <w:pPr>
        <w:pStyle w:val="2"/>
        <w:rPr>
          <w:rFonts w:ascii="仿宋_GB2312" w:hAnsi="仿宋_GB2312" w:eastAsia="仿宋_GB2312" w:cs="仿宋_GB2312"/>
          <w:color w:val="auto"/>
          <w:highlight w:val="none"/>
          <w:lang w:val="zh-CN"/>
        </w:rPr>
      </w:pPr>
    </w:p>
    <w:p w14:paraId="0FCADAD3">
      <w:pPr>
        <w:autoSpaceDE w:val="0"/>
        <w:autoSpaceDN w:val="0"/>
        <w:adjustRightInd w:val="0"/>
        <w:snapToGrid w:val="0"/>
        <w:spacing w:line="312" w:lineRule="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zh-CN"/>
        </w:rPr>
        <w:t>法定代表人或授权代表（签字或盖章）：</w:t>
      </w:r>
      <w:r>
        <w:rPr>
          <w:rFonts w:hint="eastAsia" w:ascii="仿宋_GB2312" w:hAnsi="仿宋_GB2312" w:eastAsia="仿宋_GB2312" w:cs="仿宋_GB2312"/>
          <w:color w:val="auto"/>
          <w:sz w:val="24"/>
          <w:highlight w:val="none"/>
        </w:rPr>
        <w:t>______________________________</w:t>
      </w:r>
    </w:p>
    <w:p w14:paraId="0F416BE0">
      <w:pPr>
        <w:pStyle w:val="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_____</w:t>
      </w:r>
      <w:r>
        <w:rPr>
          <w:rFonts w:hint="eastAsia" w:ascii="仿宋_GB2312" w:hAnsi="仿宋_GB2312" w:eastAsia="仿宋_GB2312" w:cs="仿宋_GB2312"/>
          <w:color w:val="auto"/>
          <w:sz w:val="24"/>
          <w:highlight w:val="none"/>
          <w:lang w:val="zh-CN"/>
        </w:rPr>
        <w:t>年</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月</w:t>
      </w:r>
      <w:r>
        <w:rPr>
          <w:rFonts w:hint="eastAsia" w:ascii="仿宋_GB2312" w:hAnsi="仿宋_GB2312" w:eastAsia="仿宋_GB2312" w:cs="仿宋_GB2312"/>
          <w:color w:val="auto"/>
          <w:sz w:val="24"/>
          <w:highlight w:val="none"/>
        </w:rPr>
        <w:t>_____</w:t>
      </w:r>
      <w:r>
        <w:rPr>
          <w:rFonts w:hint="eastAsia" w:ascii="仿宋_GB2312" w:hAnsi="仿宋_GB2312" w:eastAsia="仿宋_GB2312" w:cs="仿宋_GB2312"/>
          <w:color w:val="auto"/>
          <w:sz w:val="24"/>
          <w:highlight w:val="none"/>
          <w:lang w:val="zh-CN"/>
        </w:rPr>
        <w:t>日</w:t>
      </w:r>
    </w:p>
    <w:p w14:paraId="1CC45A24">
      <w:pPr>
        <w:pStyle w:val="199"/>
        <w:ind w:firstLine="2640" w:firstLineChars="1100"/>
        <w:rPr>
          <w:rFonts w:ascii="仿宋_GB2312" w:hAnsi="仿宋_GB2312" w:eastAsia="仿宋_GB2312" w:cs="仿宋_GB2312"/>
          <w:b/>
          <w:bCs/>
          <w:color w:val="auto"/>
          <w:sz w:val="32"/>
          <w:szCs w:val="32"/>
          <w:highlight w:val="none"/>
        </w:rPr>
      </w:pPr>
      <w:bookmarkStart w:id="470" w:name="_Hlt520356241"/>
      <w:bookmarkEnd w:id="470"/>
      <w:r>
        <w:rPr>
          <w:rFonts w:hint="eastAsia"/>
          <w:color w:val="auto"/>
          <w:highlight w:val="none"/>
        </w:rPr>
        <w:br w:type="page"/>
      </w:r>
      <w:bookmarkStart w:id="471" w:name="_Toc230099805"/>
      <w:bookmarkStart w:id="472" w:name="_Toc415499901"/>
      <w:bookmarkStart w:id="473" w:name="_Toc256342154"/>
      <w:bookmarkStart w:id="474" w:name="_Toc230583554"/>
      <w:bookmarkStart w:id="475" w:name="_Toc232395224"/>
      <w:bookmarkStart w:id="476" w:name="_Toc230013640"/>
      <w:bookmarkStart w:id="477" w:name="_Toc8496"/>
      <w:bookmarkStart w:id="478" w:name="_Toc249525252"/>
      <w:bookmarkStart w:id="479" w:name="_Toc232176284"/>
      <w:bookmarkStart w:id="480" w:name="_Toc249515371"/>
    </w:p>
    <w:bookmarkEnd w:id="471"/>
    <w:bookmarkEnd w:id="472"/>
    <w:bookmarkEnd w:id="473"/>
    <w:bookmarkEnd w:id="474"/>
    <w:bookmarkEnd w:id="475"/>
    <w:bookmarkEnd w:id="476"/>
    <w:bookmarkEnd w:id="477"/>
    <w:bookmarkEnd w:id="478"/>
    <w:bookmarkEnd w:id="479"/>
    <w:bookmarkEnd w:id="480"/>
    <w:p w14:paraId="041C2971">
      <w:pPr>
        <w:pStyle w:val="199"/>
        <w:ind w:left="0" w:leftChars="0" w:firstLine="0" w:firstLineChars="0"/>
        <w:jc w:val="center"/>
        <w:outlineLvl w:val="1"/>
        <w:rPr>
          <w:rFonts w:ascii="Times New Roman" w:eastAsia="仿宋"/>
          <w:b/>
          <w:bCs/>
          <w:color w:val="auto"/>
          <w:sz w:val="32"/>
          <w:szCs w:val="32"/>
          <w:highlight w:val="none"/>
        </w:rPr>
      </w:pPr>
      <w:bookmarkStart w:id="481" w:name="_Toc18167"/>
      <w:bookmarkStart w:id="482" w:name="_Toc225933091"/>
      <w:bookmarkStart w:id="483" w:name="_Toc177189246"/>
      <w:bookmarkStart w:id="484" w:name="_Toc53722866"/>
      <w:bookmarkStart w:id="485" w:name="_Toc230583555"/>
      <w:bookmarkStart w:id="486" w:name="_Toc83547687"/>
      <w:bookmarkStart w:id="487" w:name="_Toc70687203"/>
      <w:bookmarkStart w:id="488" w:name="_Toc385992402"/>
      <w:bookmarkStart w:id="489" w:name="_Toc232176285"/>
      <w:bookmarkStart w:id="490" w:name="_Toc492955460"/>
      <w:bookmarkStart w:id="491" w:name="_Toc177817345"/>
      <w:bookmarkStart w:id="492" w:name="_Toc496324624"/>
      <w:bookmarkStart w:id="493" w:name="_Toc500747107"/>
      <w:bookmarkStart w:id="494" w:name="_Toc500747011"/>
      <w:bookmarkStart w:id="495" w:name="_Toc232395225"/>
      <w:bookmarkStart w:id="496" w:name="_Toc499711088"/>
      <w:bookmarkStart w:id="497" w:name="_Toc177995484"/>
      <w:bookmarkStart w:id="498" w:name="_Toc184043059"/>
      <w:bookmarkStart w:id="499" w:name="_Toc176882553"/>
      <w:bookmarkStart w:id="500" w:name="_Toc256342155"/>
      <w:bookmarkStart w:id="501" w:name="_Toc230013641"/>
      <w:bookmarkStart w:id="502" w:name="_Toc249515372"/>
      <w:bookmarkStart w:id="503" w:name="_Toc499711929"/>
      <w:bookmarkStart w:id="504" w:name="_Toc503063459"/>
      <w:bookmarkStart w:id="505" w:name="_Toc500747234"/>
      <w:bookmarkStart w:id="506" w:name="_Toc389620242"/>
      <w:bookmarkStart w:id="507" w:name="_Toc230099806"/>
      <w:bookmarkStart w:id="508" w:name="_Toc249525253"/>
      <w:bookmarkStart w:id="509" w:name="_Toc415499902"/>
      <w:r>
        <w:rPr>
          <w:rFonts w:ascii="仿宋_GB2312" w:hAnsi="仿宋_GB2312" w:eastAsia="仿宋_GB2312" w:cs="仿宋_GB2312"/>
          <w:b/>
          <w:bCs/>
          <w:color w:val="auto"/>
          <w:kern w:val="2"/>
          <w:sz w:val="32"/>
          <w:szCs w:val="32"/>
          <w:highlight w:val="none"/>
          <w:lang w:val="zh-CN"/>
        </w:rPr>
        <w:t>第二部分  磋商响应报价表</w:t>
      </w:r>
      <w:bookmarkEnd w:id="481"/>
    </w:p>
    <w:p w14:paraId="558252F2">
      <w:pPr>
        <w:autoSpaceDE w:val="0"/>
        <w:autoSpaceDN w:val="0"/>
        <w:adjustRightInd w:val="0"/>
        <w:snapToGrid w:val="0"/>
        <w:spacing w:line="360" w:lineRule="auto"/>
        <w:jc w:val="center"/>
        <w:rPr>
          <w:rFonts w:eastAsia="仿宋_GB2312"/>
          <w:b/>
          <w:bCs/>
          <w:color w:val="auto"/>
          <w:sz w:val="32"/>
          <w:szCs w:val="32"/>
          <w:highlight w:val="none"/>
        </w:rPr>
      </w:pPr>
    </w:p>
    <w:p w14:paraId="4A73464D">
      <w:pPr>
        <w:tabs>
          <w:tab w:val="left" w:pos="588"/>
        </w:tabs>
        <w:jc w:val="center"/>
        <w:outlineLvl w:val="9"/>
        <w:rPr>
          <w:rFonts w:ascii="仿宋_GB2312" w:hAnsi="仿宋_GB2312" w:eastAsia="仿宋_GB2312" w:cs="仿宋_GB2312"/>
          <w:b/>
          <w:bCs/>
          <w:color w:val="auto"/>
          <w:sz w:val="28"/>
          <w:szCs w:val="36"/>
          <w:highlight w:val="none"/>
        </w:rPr>
      </w:pPr>
      <w:r>
        <w:rPr>
          <w:rFonts w:hint="eastAsia" w:ascii="仿宋_GB2312" w:hAnsi="仿宋_GB2312" w:eastAsia="仿宋_GB2312" w:cs="仿宋_GB2312"/>
          <w:b/>
          <w:bCs/>
          <w:color w:val="auto"/>
          <w:sz w:val="28"/>
          <w:szCs w:val="36"/>
          <w:highlight w:val="none"/>
        </w:rPr>
        <w:t>首次响应</w:t>
      </w:r>
      <w:r>
        <w:rPr>
          <w:rFonts w:hint="eastAsia" w:ascii="仿宋_GB2312" w:hAnsi="仿宋_GB2312" w:eastAsia="仿宋_GB2312" w:cs="仿宋_GB2312"/>
          <w:b/>
          <w:bCs/>
          <w:color w:val="auto"/>
          <w:sz w:val="28"/>
          <w:szCs w:val="36"/>
          <w:highlight w:val="none"/>
          <w:lang w:val="zh-CN"/>
        </w:rPr>
        <w:t>报价表</w:t>
      </w:r>
    </w:p>
    <w:p w14:paraId="3B1EC104">
      <w:pPr>
        <w:autoSpaceDE w:val="0"/>
        <w:autoSpaceDN w:val="0"/>
        <w:adjustRightInd w:val="0"/>
        <w:snapToGrid w:val="0"/>
        <w:spacing w:line="360" w:lineRule="auto"/>
        <w:jc w:val="right"/>
        <w:rPr>
          <w:rFonts w:eastAsia="仿宋_GB2312"/>
          <w:color w:val="auto"/>
          <w:sz w:val="24"/>
          <w:highlight w:val="none"/>
          <w:lang w:val="zh-CN"/>
        </w:rPr>
      </w:pPr>
      <w:r>
        <w:rPr>
          <w:rFonts w:eastAsia="仿宋_GB2312"/>
          <w:color w:val="auto"/>
          <w:sz w:val="32"/>
          <w:szCs w:val="32"/>
          <w:highlight w:val="none"/>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5F44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1FC38EDD">
            <w:pPr>
              <w:pStyle w:val="2"/>
              <w:rPr>
                <w:rFonts w:ascii="Times New Roman" w:hAnsi="Times New Roman" w:eastAsia="仿宋_GB2312"/>
                <w:b/>
                <w:color w:val="auto"/>
                <w:sz w:val="24"/>
                <w:highlight w:val="none"/>
              </w:rPr>
            </w:pPr>
            <w:r>
              <w:rPr>
                <w:rFonts w:ascii="Times New Roman" w:hAnsi="Times New Roman" w:eastAsia="仿宋_GB2312"/>
                <w:color w:val="auto"/>
                <w:sz w:val="24"/>
                <w:highlight w:val="none"/>
                <w:lang w:val="zh-CN"/>
              </w:rPr>
              <w:br w:type="page"/>
            </w:r>
            <w:r>
              <w:rPr>
                <w:rFonts w:ascii="Times New Roman" w:hAnsi="Times New Roman" w:eastAsia="仿宋_GB2312"/>
                <w:b/>
                <w:color w:val="auto"/>
                <w:sz w:val="24"/>
                <w:highlight w:val="none"/>
              </w:rPr>
              <w:t>项目编号及名称</w:t>
            </w:r>
          </w:p>
        </w:tc>
        <w:tc>
          <w:tcPr>
            <w:tcW w:w="6697" w:type="dxa"/>
            <w:vAlign w:val="center"/>
          </w:tcPr>
          <w:p w14:paraId="1415F08D">
            <w:pPr>
              <w:pStyle w:val="2"/>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olor w:val="auto"/>
                <w:sz w:val="24"/>
                <w:highlight w:val="none"/>
                <w:u w:val="single"/>
              </w:rPr>
              <w:t xml:space="preserve">              </w:t>
            </w:r>
          </w:p>
          <w:p w14:paraId="6E5C3F43">
            <w:pPr>
              <w:pStyle w:val="2"/>
              <w:rPr>
                <w:rFonts w:hint="default" w:eastAsia="Arial Unicode MS"/>
                <w:color w:val="auto"/>
                <w:highlight w:val="none"/>
                <w:lang w:val="en-US" w:eastAsia="zh-CN"/>
              </w:rPr>
            </w:pPr>
            <w:r>
              <w:rPr>
                <w:rFonts w:ascii="Times New Roman" w:hAnsi="Times New Roman" w:eastAsia="仿宋_GB2312"/>
                <w:color w:val="auto"/>
                <w:sz w:val="24"/>
                <w:highlight w:val="none"/>
              </w:rPr>
              <w:t>项目名称：</w:t>
            </w:r>
          </w:p>
        </w:tc>
      </w:tr>
      <w:tr w14:paraId="0BCD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6D4FCD80">
            <w:pPr>
              <w:pStyle w:val="2"/>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响应</w:t>
            </w:r>
            <w:r>
              <w:rPr>
                <w:rFonts w:hint="eastAsia" w:ascii="Times New Roman" w:hAnsi="Times New Roman" w:eastAsia="仿宋_GB2312"/>
                <w:b/>
                <w:color w:val="auto"/>
                <w:sz w:val="24"/>
                <w:highlight w:val="none"/>
                <w:lang w:val="en-US" w:eastAsia="zh-CN"/>
              </w:rPr>
              <w:t>总价</w:t>
            </w:r>
          </w:p>
        </w:tc>
        <w:tc>
          <w:tcPr>
            <w:tcW w:w="6697" w:type="dxa"/>
            <w:vAlign w:val="center"/>
          </w:tcPr>
          <w:p w14:paraId="7FE4A3B3">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人民币（大写）：</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 xml:space="preserve"> （小写：</w:t>
            </w:r>
            <w:r>
              <w:rPr>
                <w:rFonts w:ascii="Times New Roman" w:hAnsi="Times New Roman" w:eastAsia="宋体"/>
                <w:color w:val="auto"/>
                <w:sz w:val="24"/>
                <w:highlight w:val="none"/>
              </w:rPr>
              <w:t>¥</w:t>
            </w:r>
            <w:r>
              <w:rPr>
                <w:rFonts w:ascii="Times New Roman" w:hAnsi="Times New Roman" w:eastAsia="仿宋_GB2312"/>
                <w:color w:val="auto"/>
                <w:sz w:val="24"/>
                <w:highlight w:val="none"/>
                <w:u w:val="single"/>
              </w:rPr>
              <w:t xml:space="preserve">      </w:t>
            </w:r>
            <w:r>
              <w:rPr>
                <w:rFonts w:ascii="Times New Roman" w:hAnsi="Times New Roman" w:eastAsia="仿宋_GB2312"/>
                <w:color w:val="auto"/>
                <w:sz w:val="24"/>
                <w:highlight w:val="none"/>
              </w:rPr>
              <w:t>元）</w:t>
            </w:r>
          </w:p>
        </w:tc>
      </w:tr>
      <w:tr w14:paraId="542A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45093431">
            <w:pPr>
              <w:pStyle w:val="2"/>
              <w:rPr>
                <w:rFonts w:hint="default" w:ascii="Times New Roman" w:hAnsi="Times New Roman" w:eastAsia="仿宋_GB2312"/>
                <w:b/>
                <w:color w:val="auto"/>
                <w:sz w:val="24"/>
                <w:highlight w:val="none"/>
                <w:lang w:val="en-US" w:eastAsia="zh-CN"/>
              </w:rPr>
            </w:pPr>
            <w:r>
              <w:rPr>
                <w:rFonts w:hint="eastAsia" w:ascii="Times New Roman" w:hAnsi="Times New Roman" w:eastAsia="仿宋_GB2312"/>
                <w:b/>
                <w:color w:val="auto"/>
                <w:sz w:val="24"/>
                <w:highlight w:val="none"/>
                <w:lang w:eastAsia="zh-CN"/>
              </w:rPr>
              <w:t>服务</w:t>
            </w:r>
            <w:r>
              <w:rPr>
                <w:rFonts w:hint="eastAsia" w:ascii="Times New Roman" w:hAnsi="Times New Roman" w:eastAsia="仿宋_GB2312"/>
                <w:b/>
                <w:color w:val="auto"/>
                <w:sz w:val="24"/>
                <w:highlight w:val="none"/>
                <w:lang w:val="en-US" w:eastAsia="zh-CN"/>
              </w:rPr>
              <w:t>期</w:t>
            </w:r>
          </w:p>
        </w:tc>
        <w:tc>
          <w:tcPr>
            <w:tcW w:w="6697" w:type="dxa"/>
            <w:vAlign w:val="center"/>
          </w:tcPr>
          <w:p w14:paraId="7326A030">
            <w:pPr>
              <w:pStyle w:val="2"/>
              <w:rPr>
                <w:rFonts w:ascii="Times New Roman" w:hAnsi="Times New Roman" w:eastAsia="仿宋_GB2312"/>
                <w:color w:val="auto"/>
                <w:sz w:val="24"/>
                <w:highlight w:val="none"/>
              </w:rPr>
            </w:pPr>
          </w:p>
        </w:tc>
      </w:tr>
      <w:tr w14:paraId="09BF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6316CFC3">
            <w:pPr>
              <w:pStyle w:val="2"/>
              <w:rPr>
                <w:rFonts w:ascii="Times New Roman" w:hAnsi="Times New Roman" w:eastAsia="仿宋_GB2312"/>
                <w:b/>
                <w:color w:val="auto"/>
                <w:sz w:val="24"/>
                <w:highlight w:val="none"/>
              </w:rPr>
            </w:pPr>
            <w:r>
              <w:rPr>
                <w:rFonts w:hint="eastAsia" w:ascii="Times New Roman" w:hAnsi="Times New Roman" w:eastAsia="仿宋_GB2312"/>
                <w:b/>
                <w:color w:val="auto"/>
                <w:sz w:val="24"/>
                <w:highlight w:val="none"/>
                <w:lang w:eastAsia="zh-CN"/>
              </w:rPr>
              <w:t>服务</w:t>
            </w:r>
            <w:r>
              <w:rPr>
                <w:rFonts w:ascii="Times New Roman" w:hAnsi="Times New Roman" w:eastAsia="仿宋_GB2312"/>
                <w:b/>
                <w:color w:val="auto"/>
                <w:sz w:val="24"/>
                <w:highlight w:val="none"/>
              </w:rPr>
              <w:t>地点</w:t>
            </w:r>
          </w:p>
        </w:tc>
        <w:tc>
          <w:tcPr>
            <w:tcW w:w="6697" w:type="dxa"/>
            <w:vAlign w:val="center"/>
          </w:tcPr>
          <w:p w14:paraId="69ADB3BB">
            <w:pPr>
              <w:pStyle w:val="2"/>
              <w:rPr>
                <w:rFonts w:ascii="Times New Roman" w:hAnsi="Times New Roman" w:eastAsia="仿宋_GB2312"/>
                <w:color w:val="auto"/>
                <w:sz w:val="24"/>
                <w:highlight w:val="none"/>
              </w:rPr>
            </w:pPr>
          </w:p>
        </w:tc>
      </w:tr>
      <w:tr w14:paraId="6774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0B34E3EC">
            <w:pPr>
              <w:pStyle w:val="2"/>
              <w:rPr>
                <w:rFonts w:ascii="Times New Roman" w:hAnsi="Times New Roman" w:eastAsia="仿宋_GB2312"/>
                <w:b/>
                <w:color w:val="auto"/>
                <w:sz w:val="24"/>
                <w:highlight w:val="none"/>
              </w:rPr>
            </w:pPr>
            <w:r>
              <w:rPr>
                <w:rFonts w:ascii="Times New Roman" w:hAnsi="Times New Roman" w:eastAsia="仿宋_GB2312"/>
                <w:b/>
                <w:color w:val="auto"/>
                <w:sz w:val="24"/>
                <w:highlight w:val="none"/>
              </w:rPr>
              <w:t>备注</w:t>
            </w:r>
          </w:p>
        </w:tc>
        <w:tc>
          <w:tcPr>
            <w:tcW w:w="6697" w:type="dxa"/>
            <w:vAlign w:val="center"/>
          </w:tcPr>
          <w:p w14:paraId="68B254B5">
            <w:pPr>
              <w:pStyle w:val="2"/>
              <w:rPr>
                <w:rFonts w:ascii="Times New Roman" w:hAnsi="Times New Roman" w:eastAsia="仿宋_GB2312"/>
                <w:color w:val="auto"/>
                <w:sz w:val="24"/>
                <w:highlight w:val="none"/>
              </w:rPr>
            </w:pPr>
          </w:p>
        </w:tc>
      </w:tr>
    </w:tbl>
    <w:p w14:paraId="5329A8B6">
      <w:pPr>
        <w:pStyle w:val="2"/>
        <w:rPr>
          <w:rFonts w:ascii="Times New Roman" w:hAnsi="Times New Roman" w:eastAsia="仿宋_GB2312"/>
          <w:color w:val="auto"/>
          <w:highlight w:val="none"/>
          <w:lang w:val="zh-CN"/>
        </w:rPr>
      </w:pPr>
    </w:p>
    <w:p w14:paraId="7AAE2D01">
      <w:pPr>
        <w:autoSpaceDE w:val="0"/>
        <w:autoSpaceDN w:val="0"/>
        <w:adjustRightInd w:val="0"/>
        <w:snapToGrid w:val="0"/>
        <w:spacing w:line="360" w:lineRule="auto"/>
        <w:ind w:firstLine="1080" w:firstLineChars="450"/>
        <w:rPr>
          <w:rFonts w:eastAsia="仿宋_GB2312"/>
          <w:color w:val="auto"/>
          <w:sz w:val="24"/>
          <w:highlight w:val="none"/>
          <w:lang w:val="zh-CN"/>
        </w:rPr>
      </w:pPr>
      <w:r>
        <w:rPr>
          <w:rFonts w:eastAsia="仿宋_GB2312"/>
          <w:color w:val="auto"/>
          <w:sz w:val="24"/>
          <w:highlight w:val="none"/>
          <w:lang w:val="zh-CN"/>
        </w:rPr>
        <w:t>供应商</w:t>
      </w:r>
      <w:r>
        <w:rPr>
          <w:rFonts w:eastAsia="仿宋_GB2312"/>
          <w:color w:val="auto"/>
          <w:sz w:val="24"/>
          <w:highlight w:val="none"/>
        </w:rPr>
        <w:t xml:space="preserve">                        </w:t>
      </w:r>
      <w:r>
        <w:rPr>
          <w:rFonts w:eastAsia="仿宋_GB2312"/>
          <w:color w:val="auto"/>
          <w:sz w:val="24"/>
          <w:highlight w:val="none"/>
          <w:lang w:val="zh-CN"/>
        </w:rPr>
        <w:t>法定代表人</w:t>
      </w:r>
      <w:r>
        <w:rPr>
          <w:rFonts w:eastAsia="仿宋_GB2312"/>
          <w:color w:val="auto"/>
          <w:sz w:val="24"/>
          <w:highlight w:val="none"/>
        </w:rPr>
        <w:t>或</w:t>
      </w:r>
      <w:r>
        <w:rPr>
          <w:rFonts w:eastAsia="仿宋_GB2312"/>
          <w:color w:val="auto"/>
          <w:sz w:val="24"/>
          <w:highlight w:val="none"/>
          <w:lang w:val="zh-CN"/>
        </w:rPr>
        <w:t>授权代表</w:t>
      </w:r>
    </w:p>
    <w:p w14:paraId="579AE9FB">
      <w:pPr>
        <w:autoSpaceDE w:val="0"/>
        <w:autoSpaceDN w:val="0"/>
        <w:adjustRightInd w:val="0"/>
        <w:snapToGrid w:val="0"/>
        <w:spacing w:line="360" w:lineRule="auto"/>
        <w:ind w:firstLine="960" w:firstLineChars="400"/>
        <w:rPr>
          <w:rFonts w:eastAsia="仿宋_GB2312"/>
          <w:color w:val="auto"/>
          <w:sz w:val="24"/>
          <w:highlight w:val="none"/>
          <w:lang w:val="zh-CN"/>
        </w:rPr>
      </w:pPr>
      <w:r>
        <w:rPr>
          <w:rFonts w:eastAsia="仿宋_GB2312"/>
          <w:color w:val="auto"/>
          <w:sz w:val="24"/>
          <w:highlight w:val="none"/>
          <w:lang w:val="zh-CN"/>
        </w:rPr>
        <w:t>（公章）：                            （</w:t>
      </w:r>
      <w:r>
        <w:rPr>
          <w:rFonts w:hint="eastAsia" w:eastAsia="仿宋_GB2312"/>
          <w:b/>
          <w:color w:val="auto"/>
          <w:sz w:val="24"/>
          <w:highlight w:val="none"/>
          <w:lang w:val="zh-CN"/>
        </w:rPr>
        <w:t>签字或盖章</w:t>
      </w:r>
      <w:r>
        <w:rPr>
          <w:rFonts w:eastAsia="仿宋_GB2312"/>
          <w:color w:val="auto"/>
          <w:sz w:val="24"/>
          <w:highlight w:val="none"/>
          <w:lang w:val="zh-CN"/>
        </w:rPr>
        <w:t>）：</w:t>
      </w:r>
    </w:p>
    <w:p w14:paraId="5A956AC3">
      <w:pPr>
        <w:autoSpaceDE w:val="0"/>
        <w:autoSpaceDN w:val="0"/>
        <w:adjustRightInd w:val="0"/>
        <w:snapToGrid w:val="0"/>
        <w:spacing w:line="360" w:lineRule="auto"/>
        <w:rPr>
          <w:rFonts w:eastAsia="仿宋_GB2312"/>
          <w:color w:val="auto"/>
          <w:sz w:val="24"/>
          <w:highlight w:val="none"/>
          <w:lang w:val="zh-CN"/>
        </w:rPr>
      </w:pPr>
    </w:p>
    <w:p w14:paraId="47D09D94">
      <w:pPr>
        <w:autoSpaceDE w:val="0"/>
        <w:autoSpaceDN w:val="0"/>
        <w:adjustRightInd w:val="0"/>
        <w:snapToGrid w:val="0"/>
        <w:spacing w:line="360" w:lineRule="auto"/>
        <w:ind w:firstLine="240" w:firstLineChars="100"/>
        <w:rPr>
          <w:rFonts w:eastAsia="仿宋_GB2312"/>
          <w:color w:val="auto"/>
          <w:sz w:val="24"/>
          <w:highlight w:val="none"/>
          <w:lang w:val="zh-CN"/>
        </w:rPr>
      </w:pPr>
      <w:r>
        <w:rPr>
          <w:rFonts w:eastAsia="仿宋_GB2312"/>
          <w:color w:val="auto"/>
          <w:sz w:val="24"/>
          <w:highlight w:val="none"/>
          <w:lang w:val="zh-CN"/>
        </w:rPr>
        <w:t xml:space="preserve">                                              </w:t>
      </w:r>
      <w:r>
        <w:rPr>
          <w:rFonts w:eastAsia="仿宋_GB2312"/>
          <w:color w:val="auto"/>
          <w:sz w:val="24"/>
          <w:highlight w:val="none"/>
          <w:u w:val="single"/>
          <w:lang w:val="zh-CN"/>
        </w:rPr>
        <w:t xml:space="preserve">      </w:t>
      </w:r>
      <w:r>
        <w:rPr>
          <w:rFonts w:eastAsia="仿宋_GB2312"/>
          <w:color w:val="auto"/>
          <w:sz w:val="24"/>
          <w:highlight w:val="none"/>
          <w:lang w:val="zh-CN"/>
        </w:rPr>
        <w:t xml:space="preserve">年 </w:t>
      </w:r>
      <w:r>
        <w:rPr>
          <w:rFonts w:eastAsia="仿宋_GB2312"/>
          <w:color w:val="auto"/>
          <w:sz w:val="24"/>
          <w:highlight w:val="none"/>
          <w:u w:val="single"/>
          <w:lang w:val="zh-CN"/>
        </w:rPr>
        <w:t xml:space="preserve">      </w:t>
      </w:r>
      <w:r>
        <w:rPr>
          <w:rFonts w:eastAsia="仿宋_GB2312"/>
          <w:color w:val="auto"/>
          <w:sz w:val="24"/>
          <w:highlight w:val="none"/>
          <w:lang w:val="zh-CN"/>
        </w:rPr>
        <w:t>月</w:t>
      </w:r>
      <w:r>
        <w:rPr>
          <w:rFonts w:eastAsia="仿宋_GB2312"/>
          <w:color w:val="auto"/>
          <w:sz w:val="24"/>
          <w:highlight w:val="none"/>
          <w:u w:val="single"/>
          <w:lang w:val="zh-CN"/>
        </w:rPr>
        <w:t xml:space="preserve">      </w:t>
      </w:r>
      <w:r>
        <w:rPr>
          <w:rFonts w:eastAsia="仿宋_GB2312"/>
          <w:color w:val="auto"/>
          <w:sz w:val="24"/>
          <w:highlight w:val="none"/>
          <w:lang w:val="zh-CN"/>
        </w:rPr>
        <w:t>日</w:t>
      </w:r>
    </w:p>
    <w:p w14:paraId="0D003A2E">
      <w:pPr>
        <w:rPr>
          <w:rFonts w:eastAsia="仿宋_GB2312"/>
          <w:color w:val="auto"/>
          <w:sz w:val="24"/>
          <w:highlight w:val="none"/>
          <w:lang w:val="zh-CN"/>
        </w:rPr>
      </w:pPr>
      <w:r>
        <w:rPr>
          <w:rFonts w:eastAsia="仿宋_GB2312"/>
          <w:color w:val="auto"/>
          <w:sz w:val="24"/>
          <w:highlight w:val="none"/>
          <w:lang w:val="zh-CN"/>
        </w:rPr>
        <w:br w:type="page"/>
      </w:r>
    </w:p>
    <w:p w14:paraId="257E1B36">
      <w:pPr>
        <w:tabs>
          <w:tab w:val="left" w:pos="588"/>
        </w:tabs>
        <w:jc w:val="center"/>
        <w:outlineLvl w:val="9"/>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（首次）分项报价表</w:t>
      </w:r>
    </w:p>
    <w:p w14:paraId="6556A304">
      <w:pPr>
        <w:pStyle w:val="2"/>
        <w:rPr>
          <w:rFonts w:ascii="Times New Roman" w:hAnsi="Times New Roman" w:eastAsia="仿宋_GB2312"/>
          <w:color w:val="auto"/>
          <w:sz w:val="24"/>
          <w:highlight w:val="none"/>
        </w:rPr>
      </w:pPr>
    </w:p>
    <w:p w14:paraId="3722D254">
      <w:pPr>
        <w:pStyle w:val="2"/>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olor w:val="auto"/>
          <w:sz w:val="24"/>
          <w:highlight w:val="none"/>
          <w:u w:val="single"/>
        </w:rPr>
        <w:t xml:space="preserve">              </w:t>
      </w:r>
    </w:p>
    <w:p w14:paraId="2CE62238">
      <w:pPr>
        <w:rPr>
          <w:color w:val="auto"/>
          <w:highlight w:val="none"/>
        </w:rPr>
      </w:pPr>
      <w:r>
        <w:rPr>
          <w:rFonts w:eastAsia="仿宋_GB2312"/>
          <w:color w:val="auto"/>
          <w:sz w:val="24"/>
          <w:highlight w:val="none"/>
        </w:rPr>
        <w:t>项目名称：</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782"/>
        <w:gridCol w:w="1639"/>
        <w:gridCol w:w="1960"/>
        <w:gridCol w:w="1960"/>
        <w:gridCol w:w="980"/>
      </w:tblGrid>
      <w:tr w14:paraId="7EB2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54AD2872">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960" w:type="pct"/>
            <w:vAlign w:val="center"/>
          </w:tcPr>
          <w:p w14:paraId="326CC748">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883" w:type="pct"/>
            <w:vAlign w:val="center"/>
          </w:tcPr>
          <w:p w14:paraId="4E8CA505">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数量/单位</w:t>
            </w:r>
          </w:p>
        </w:tc>
        <w:tc>
          <w:tcPr>
            <w:tcW w:w="1056" w:type="pct"/>
            <w:vAlign w:val="center"/>
          </w:tcPr>
          <w:p w14:paraId="44D27C33">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单价（元）</w:t>
            </w:r>
          </w:p>
        </w:tc>
        <w:tc>
          <w:tcPr>
            <w:tcW w:w="1056" w:type="pct"/>
            <w:vAlign w:val="center"/>
          </w:tcPr>
          <w:p w14:paraId="4A39609C">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小计（元）</w:t>
            </w:r>
          </w:p>
        </w:tc>
        <w:tc>
          <w:tcPr>
            <w:tcW w:w="526" w:type="pct"/>
            <w:vAlign w:val="center"/>
          </w:tcPr>
          <w:p w14:paraId="14E24EB3">
            <w:pPr>
              <w:adjustRightInd w:val="0"/>
              <w:snapToGrid w:val="0"/>
              <w:spacing w:line="360" w:lineRule="auto"/>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14:paraId="61C3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58AFB7EA">
            <w:pPr>
              <w:adjustRightInd w:val="0"/>
              <w:snapToGrid w:val="0"/>
              <w:spacing w:line="360" w:lineRule="auto"/>
              <w:rPr>
                <w:rFonts w:ascii="仿宋_GB2312" w:eastAsia="仿宋_GB2312"/>
                <w:color w:val="auto"/>
                <w:sz w:val="24"/>
                <w:highlight w:val="none"/>
              </w:rPr>
            </w:pPr>
          </w:p>
        </w:tc>
        <w:tc>
          <w:tcPr>
            <w:tcW w:w="960" w:type="pct"/>
            <w:vAlign w:val="center"/>
          </w:tcPr>
          <w:p w14:paraId="44F32487">
            <w:pPr>
              <w:adjustRightInd w:val="0"/>
              <w:snapToGrid w:val="0"/>
              <w:spacing w:line="360" w:lineRule="auto"/>
              <w:rPr>
                <w:rFonts w:ascii="仿宋_GB2312" w:eastAsia="仿宋_GB2312"/>
                <w:color w:val="auto"/>
                <w:sz w:val="24"/>
                <w:highlight w:val="none"/>
              </w:rPr>
            </w:pPr>
          </w:p>
        </w:tc>
        <w:tc>
          <w:tcPr>
            <w:tcW w:w="883" w:type="pct"/>
            <w:vAlign w:val="center"/>
          </w:tcPr>
          <w:p w14:paraId="23886B9A">
            <w:pPr>
              <w:adjustRightInd w:val="0"/>
              <w:snapToGrid w:val="0"/>
              <w:spacing w:line="360" w:lineRule="auto"/>
              <w:rPr>
                <w:rFonts w:ascii="仿宋_GB2312" w:eastAsia="仿宋_GB2312"/>
                <w:color w:val="auto"/>
                <w:sz w:val="24"/>
                <w:highlight w:val="none"/>
              </w:rPr>
            </w:pPr>
          </w:p>
        </w:tc>
        <w:tc>
          <w:tcPr>
            <w:tcW w:w="1056" w:type="pct"/>
            <w:vAlign w:val="center"/>
          </w:tcPr>
          <w:p w14:paraId="00EB719B">
            <w:pPr>
              <w:adjustRightInd w:val="0"/>
              <w:snapToGrid w:val="0"/>
              <w:spacing w:line="360" w:lineRule="auto"/>
              <w:rPr>
                <w:rFonts w:ascii="仿宋_GB2312" w:eastAsia="仿宋_GB2312"/>
                <w:color w:val="auto"/>
                <w:sz w:val="24"/>
                <w:highlight w:val="none"/>
              </w:rPr>
            </w:pPr>
          </w:p>
        </w:tc>
        <w:tc>
          <w:tcPr>
            <w:tcW w:w="1056" w:type="pct"/>
            <w:vAlign w:val="center"/>
          </w:tcPr>
          <w:p w14:paraId="12B84B58">
            <w:pPr>
              <w:adjustRightInd w:val="0"/>
              <w:snapToGrid w:val="0"/>
              <w:spacing w:line="360" w:lineRule="auto"/>
              <w:rPr>
                <w:rFonts w:ascii="仿宋_GB2312" w:eastAsia="仿宋_GB2312"/>
                <w:color w:val="auto"/>
                <w:sz w:val="24"/>
                <w:highlight w:val="none"/>
              </w:rPr>
            </w:pPr>
          </w:p>
        </w:tc>
        <w:tc>
          <w:tcPr>
            <w:tcW w:w="526" w:type="pct"/>
            <w:vAlign w:val="center"/>
          </w:tcPr>
          <w:p w14:paraId="50ACF07E">
            <w:pPr>
              <w:adjustRightInd w:val="0"/>
              <w:snapToGrid w:val="0"/>
              <w:spacing w:line="360" w:lineRule="auto"/>
              <w:rPr>
                <w:rFonts w:ascii="仿宋_GB2312" w:eastAsia="仿宋_GB2312"/>
                <w:color w:val="auto"/>
                <w:sz w:val="24"/>
                <w:highlight w:val="none"/>
              </w:rPr>
            </w:pPr>
          </w:p>
        </w:tc>
      </w:tr>
      <w:tr w14:paraId="0529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CA0A4BC">
            <w:pPr>
              <w:adjustRightInd w:val="0"/>
              <w:snapToGrid w:val="0"/>
              <w:spacing w:line="360" w:lineRule="auto"/>
              <w:rPr>
                <w:rFonts w:ascii="仿宋_GB2312" w:eastAsia="仿宋_GB2312"/>
                <w:color w:val="auto"/>
                <w:sz w:val="24"/>
                <w:highlight w:val="none"/>
              </w:rPr>
            </w:pPr>
          </w:p>
        </w:tc>
        <w:tc>
          <w:tcPr>
            <w:tcW w:w="960" w:type="pct"/>
            <w:vAlign w:val="center"/>
          </w:tcPr>
          <w:p w14:paraId="53AABEBF">
            <w:pPr>
              <w:adjustRightInd w:val="0"/>
              <w:snapToGrid w:val="0"/>
              <w:spacing w:line="360" w:lineRule="auto"/>
              <w:rPr>
                <w:rFonts w:ascii="仿宋_GB2312" w:eastAsia="仿宋_GB2312"/>
                <w:color w:val="auto"/>
                <w:sz w:val="24"/>
                <w:highlight w:val="none"/>
              </w:rPr>
            </w:pPr>
          </w:p>
        </w:tc>
        <w:tc>
          <w:tcPr>
            <w:tcW w:w="883" w:type="pct"/>
            <w:vAlign w:val="center"/>
          </w:tcPr>
          <w:p w14:paraId="2B53E612">
            <w:pPr>
              <w:adjustRightInd w:val="0"/>
              <w:snapToGrid w:val="0"/>
              <w:spacing w:line="360" w:lineRule="auto"/>
              <w:rPr>
                <w:rFonts w:ascii="仿宋_GB2312" w:eastAsia="仿宋_GB2312"/>
                <w:color w:val="auto"/>
                <w:sz w:val="24"/>
                <w:highlight w:val="none"/>
              </w:rPr>
            </w:pPr>
          </w:p>
        </w:tc>
        <w:tc>
          <w:tcPr>
            <w:tcW w:w="1056" w:type="pct"/>
            <w:vAlign w:val="center"/>
          </w:tcPr>
          <w:p w14:paraId="1BDA4A61">
            <w:pPr>
              <w:adjustRightInd w:val="0"/>
              <w:snapToGrid w:val="0"/>
              <w:spacing w:line="360" w:lineRule="auto"/>
              <w:rPr>
                <w:rFonts w:ascii="仿宋_GB2312" w:eastAsia="仿宋_GB2312"/>
                <w:color w:val="auto"/>
                <w:sz w:val="24"/>
                <w:highlight w:val="none"/>
              </w:rPr>
            </w:pPr>
          </w:p>
        </w:tc>
        <w:tc>
          <w:tcPr>
            <w:tcW w:w="1056" w:type="pct"/>
            <w:vAlign w:val="center"/>
          </w:tcPr>
          <w:p w14:paraId="6C40400B">
            <w:pPr>
              <w:adjustRightInd w:val="0"/>
              <w:snapToGrid w:val="0"/>
              <w:spacing w:line="360" w:lineRule="auto"/>
              <w:rPr>
                <w:rFonts w:ascii="仿宋_GB2312" w:eastAsia="仿宋_GB2312"/>
                <w:color w:val="auto"/>
                <w:sz w:val="24"/>
                <w:highlight w:val="none"/>
              </w:rPr>
            </w:pPr>
          </w:p>
        </w:tc>
        <w:tc>
          <w:tcPr>
            <w:tcW w:w="526" w:type="pct"/>
            <w:vAlign w:val="center"/>
          </w:tcPr>
          <w:p w14:paraId="205850E8">
            <w:pPr>
              <w:adjustRightInd w:val="0"/>
              <w:snapToGrid w:val="0"/>
              <w:spacing w:line="360" w:lineRule="auto"/>
              <w:rPr>
                <w:rFonts w:ascii="仿宋_GB2312" w:eastAsia="仿宋_GB2312"/>
                <w:color w:val="auto"/>
                <w:sz w:val="24"/>
                <w:highlight w:val="none"/>
              </w:rPr>
            </w:pPr>
          </w:p>
        </w:tc>
      </w:tr>
      <w:tr w14:paraId="29D2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5EF4945">
            <w:pPr>
              <w:adjustRightInd w:val="0"/>
              <w:snapToGrid w:val="0"/>
              <w:spacing w:line="360" w:lineRule="auto"/>
              <w:rPr>
                <w:rFonts w:ascii="仿宋_GB2312" w:eastAsia="仿宋_GB2312"/>
                <w:color w:val="auto"/>
                <w:sz w:val="24"/>
                <w:highlight w:val="none"/>
              </w:rPr>
            </w:pPr>
          </w:p>
        </w:tc>
        <w:tc>
          <w:tcPr>
            <w:tcW w:w="960" w:type="pct"/>
            <w:vAlign w:val="center"/>
          </w:tcPr>
          <w:p w14:paraId="0EECE1B1">
            <w:pPr>
              <w:adjustRightInd w:val="0"/>
              <w:snapToGrid w:val="0"/>
              <w:spacing w:line="360" w:lineRule="auto"/>
              <w:rPr>
                <w:rFonts w:ascii="仿宋_GB2312" w:eastAsia="仿宋_GB2312"/>
                <w:color w:val="auto"/>
                <w:sz w:val="24"/>
                <w:highlight w:val="none"/>
              </w:rPr>
            </w:pPr>
          </w:p>
        </w:tc>
        <w:tc>
          <w:tcPr>
            <w:tcW w:w="883" w:type="pct"/>
            <w:vAlign w:val="center"/>
          </w:tcPr>
          <w:p w14:paraId="20903461">
            <w:pPr>
              <w:adjustRightInd w:val="0"/>
              <w:snapToGrid w:val="0"/>
              <w:spacing w:line="360" w:lineRule="auto"/>
              <w:rPr>
                <w:rFonts w:ascii="仿宋_GB2312" w:eastAsia="仿宋_GB2312"/>
                <w:color w:val="auto"/>
                <w:sz w:val="24"/>
                <w:highlight w:val="none"/>
              </w:rPr>
            </w:pPr>
          </w:p>
        </w:tc>
        <w:tc>
          <w:tcPr>
            <w:tcW w:w="1056" w:type="pct"/>
            <w:vAlign w:val="center"/>
          </w:tcPr>
          <w:p w14:paraId="1AA28630">
            <w:pPr>
              <w:adjustRightInd w:val="0"/>
              <w:snapToGrid w:val="0"/>
              <w:spacing w:line="360" w:lineRule="auto"/>
              <w:rPr>
                <w:rFonts w:ascii="仿宋_GB2312" w:eastAsia="仿宋_GB2312"/>
                <w:color w:val="auto"/>
                <w:sz w:val="24"/>
                <w:highlight w:val="none"/>
              </w:rPr>
            </w:pPr>
          </w:p>
        </w:tc>
        <w:tc>
          <w:tcPr>
            <w:tcW w:w="1056" w:type="pct"/>
            <w:vAlign w:val="center"/>
          </w:tcPr>
          <w:p w14:paraId="37B6DAB3">
            <w:pPr>
              <w:adjustRightInd w:val="0"/>
              <w:snapToGrid w:val="0"/>
              <w:spacing w:line="360" w:lineRule="auto"/>
              <w:rPr>
                <w:rFonts w:ascii="仿宋_GB2312" w:eastAsia="仿宋_GB2312"/>
                <w:color w:val="auto"/>
                <w:sz w:val="24"/>
                <w:highlight w:val="none"/>
              </w:rPr>
            </w:pPr>
          </w:p>
        </w:tc>
        <w:tc>
          <w:tcPr>
            <w:tcW w:w="526" w:type="pct"/>
            <w:vAlign w:val="center"/>
          </w:tcPr>
          <w:p w14:paraId="6246F269">
            <w:pPr>
              <w:adjustRightInd w:val="0"/>
              <w:snapToGrid w:val="0"/>
              <w:spacing w:line="360" w:lineRule="auto"/>
              <w:rPr>
                <w:rFonts w:ascii="仿宋_GB2312" w:eastAsia="仿宋_GB2312"/>
                <w:color w:val="auto"/>
                <w:sz w:val="24"/>
                <w:highlight w:val="none"/>
              </w:rPr>
            </w:pPr>
          </w:p>
        </w:tc>
      </w:tr>
      <w:tr w14:paraId="0946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429F43A3">
            <w:pPr>
              <w:adjustRightInd w:val="0"/>
              <w:snapToGrid w:val="0"/>
              <w:spacing w:line="360" w:lineRule="auto"/>
              <w:rPr>
                <w:rFonts w:ascii="仿宋_GB2312" w:eastAsia="仿宋_GB2312"/>
                <w:color w:val="auto"/>
                <w:sz w:val="24"/>
                <w:highlight w:val="none"/>
              </w:rPr>
            </w:pPr>
          </w:p>
        </w:tc>
        <w:tc>
          <w:tcPr>
            <w:tcW w:w="960" w:type="pct"/>
            <w:vAlign w:val="center"/>
          </w:tcPr>
          <w:p w14:paraId="1257CF27">
            <w:pPr>
              <w:adjustRightInd w:val="0"/>
              <w:snapToGrid w:val="0"/>
              <w:spacing w:line="360" w:lineRule="auto"/>
              <w:rPr>
                <w:rFonts w:ascii="仿宋_GB2312" w:eastAsia="仿宋_GB2312"/>
                <w:color w:val="auto"/>
                <w:sz w:val="24"/>
                <w:highlight w:val="none"/>
              </w:rPr>
            </w:pPr>
          </w:p>
        </w:tc>
        <w:tc>
          <w:tcPr>
            <w:tcW w:w="883" w:type="pct"/>
            <w:vAlign w:val="center"/>
          </w:tcPr>
          <w:p w14:paraId="22786172">
            <w:pPr>
              <w:adjustRightInd w:val="0"/>
              <w:snapToGrid w:val="0"/>
              <w:spacing w:line="360" w:lineRule="auto"/>
              <w:rPr>
                <w:rFonts w:ascii="仿宋_GB2312" w:eastAsia="仿宋_GB2312"/>
                <w:color w:val="auto"/>
                <w:sz w:val="24"/>
                <w:highlight w:val="none"/>
              </w:rPr>
            </w:pPr>
          </w:p>
        </w:tc>
        <w:tc>
          <w:tcPr>
            <w:tcW w:w="1056" w:type="pct"/>
            <w:vAlign w:val="center"/>
          </w:tcPr>
          <w:p w14:paraId="5CCC6882">
            <w:pPr>
              <w:adjustRightInd w:val="0"/>
              <w:snapToGrid w:val="0"/>
              <w:spacing w:line="360" w:lineRule="auto"/>
              <w:rPr>
                <w:rFonts w:ascii="仿宋_GB2312" w:eastAsia="仿宋_GB2312"/>
                <w:color w:val="auto"/>
                <w:sz w:val="24"/>
                <w:highlight w:val="none"/>
              </w:rPr>
            </w:pPr>
          </w:p>
        </w:tc>
        <w:tc>
          <w:tcPr>
            <w:tcW w:w="1056" w:type="pct"/>
            <w:vAlign w:val="center"/>
          </w:tcPr>
          <w:p w14:paraId="33F08393">
            <w:pPr>
              <w:adjustRightInd w:val="0"/>
              <w:snapToGrid w:val="0"/>
              <w:spacing w:line="360" w:lineRule="auto"/>
              <w:rPr>
                <w:rFonts w:ascii="仿宋_GB2312" w:eastAsia="仿宋_GB2312"/>
                <w:color w:val="auto"/>
                <w:sz w:val="24"/>
                <w:highlight w:val="none"/>
              </w:rPr>
            </w:pPr>
          </w:p>
        </w:tc>
        <w:tc>
          <w:tcPr>
            <w:tcW w:w="526" w:type="pct"/>
            <w:vAlign w:val="center"/>
          </w:tcPr>
          <w:p w14:paraId="1EE5174D">
            <w:pPr>
              <w:adjustRightInd w:val="0"/>
              <w:snapToGrid w:val="0"/>
              <w:spacing w:line="360" w:lineRule="auto"/>
              <w:rPr>
                <w:rFonts w:ascii="仿宋_GB2312" w:eastAsia="仿宋_GB2312"/>
                <w:color w:val="auto"/>
                <w:sz w:val="24"/>
                <w:highlight w:val="none"/>
              </w:rPr>
            </w:pPr>
          </w:p>
        </w:tc>
      </w:tr>
      <w:tr w14:paraId="374A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4F7F8CB">
            <w:pPr>
              <w:adjustRightInd w:val="0"/>
              <w:snapToGrid w:val="0"/>
              <w:spacing w:line="360" w:lineRule="auto"/>
              <w:rPr>
                <w:rFonts w:ascii="仿宋_GB2312" w:eastAsia="仿宋_GB2312"/>
                <w:color w:val="auto"/>
                <w:sz w:val="24"/>
                <w:highlight w:val="none"/>
              </w:rPr>
            </w:pPr>
          </w:p>
        </w:tc>
        <w:tc>
          <w:tcPr>
            <w:tcW w:w="960" w:type="pct"/>
            <w:vAlign w:val="center"/>
          </w:tcPr>
          <w:p w14:paraId="0F469DEE">
            <w:pPr>
              <w:adjustRightInd w:val="0"/>
              <w:snapToGrid w:val="0"/>
              <w:spacing w:line="360" w:lineRule="auto"/>
              <w:rPr>
                <w:rFonts w:ascii="仿宋_GB2312" w:eastAsia="仿宋_GB2312"/>
                <w:color w:val="auto"/>
                <w:sz w:val="24"/>
                <w:highlight w:val="none"/>
              </w:rPr>
            </w:pPr>
          </w:p>
        </w:tc>
        <w:tc>
          <w:tcPr>
            <w:tcW w:w="883" w:type="pct"/>
            <w:vAlign w:val="center"/>
          </w:tcPr>
          <w:p w14:paraId="33960984">
            <w:pPr>
              <w:adjustRightInd w:val="0"/>
              <w:snapToGrid w:val="0"/>
              <w:spacing w:line="360" w:lineRule="auto"/>
              <w:rPr>
                <w:rFonts w:ascii="仿宋_GB2312" w:eastAsia="仿宋_GB2312"/>
                <w:color w:val="auto"/>
                <w:sz w:val="24"/>
                <w:highlight w:val="none"/>
              </w:rPr>
            </w:pPr>
          </w:p>
        </w:tc>
        <w:tc>
          <w:tcPr>
            <w:tcW w:w="1056" w:type="pct"/>
            <w:vAlign w:val="center"/>
          </w:tcPr>
          <w:p w14:paraId="669BB4FA">
            <w:pPr>
              <w:adjustRightInd w:val="0"/>
              <w:snapToGrid w:val="0"/>
              <w:spacing w:line="360" w:lineRule="auto"/>
              <w:rPr>
                <w:rFonts w:ascii="仿宋_GB2312" w:eastAsia="仿宋_GB2312"/>
                <w:color w:val="auto"/>
                <w:sz w:val="24"/>
                <w:highlight w:val="none"/>
              </w:rPr>
            </w:pPr>
          </w:p>
        </w:tc>
        <w:tc>
          <w:tcPr>
            <w:tcW w:w="1056" w:type="pct"/>
            <w:vAlign w:val="center"/>
          </w:tcPr>
          <w:p w14:paraId="0138FE77">
            <w:pPr>
              <w:adjustRightInd w:val="0"/>
              <w:snapToGrid w:val="0"/>
              <w:spacing w:line="360" w:lineRule="auto"/>
              <w:rPr>
                <w:rFonts w:ascii="仿宋_GB2312" w:eastAsia="仿宋_GB2312"/>
                <w:color w:val="auto"/>
                <w:sz w:val="24"/>
                <w:highlight w:val="none"/>
              </w:rPr>
            </w:pPr>
          </w:p>
        </w:tc>
        <w:tc>
          <w:tcPr>
            <w:tcW w:w="526" w:type="pct"/>
            <w:vAlign w:val="center"/>
          </w:tcPr>
          <w:p w14:paraId="6BCCCCE6">
            <w:pPr>
              <w:adjustRightInd w:val="0"/>
              <w:snapToGrid w:val="0"/>
              <w:spacing w:line="360" w:lineRule="auto"/>
              <w:rPr>
                <w:rFonts w:ascii="仿宋_GB2312" w:eastAsia="仿宋_GB2312"/>
                <w:color w:val="auto"/>
                <w:sz w:val="24"/>
                <w:highlight w:val="none"/>
              </w:rPr>
            </w:pPr>
          </w:p>
        </w:tc>
      </w:tr>
      <w:tr w14:paraId="59D4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39DC9D9">
            <w:pPr>
              <w:adjustRightInd w:val="0"/>
              <w:snapToGrid w:val="0"/>
              <w:spacing w:line="360" w:lineRule="auto"/>
              <w:rPr>
                <w:rFonts w:ascii="仿宋_GB2312" w:eastAsia="仿宋_GB2312"/>
                <w:color w:val="auto"/>
                <w:sz w:val="24"/>
                <w:highlight w:val="none"/>
              </w:rPr>
            </w:pPr>
          </w:p>
        </w:tc>
        <w:tc>
          <w:tcPr>
            <w:tcW w:w="960" w:type="pct"/>
            <w:vAlign w:val="center"/>
          </w:tcPr>
          <w:p w14:paraId="2D834FC0">
            <w:pPr>
              <w:adjustRightInd w:val="0"/>
              <w:snapToGrid w:val="0"/>
              <w:spacing w:line="360" w:lineRule="auto"/>
              <w:rPr>
                <w:rFonts w:ascii="仿宋_GB2312" w:eastAsia="仿宋_GB2312"/>
                <w:color w:val="auto"/>
                <w:sz w:val="24"/>
                <w:highlight w:val="none"/>
              </w:rPr>
            </w:pPr>
          </w:p>
        </w:tc>
        <w:tc>
          <w:tcPr>
            <w:tcW w:w="883" w:type="pct"/>
            <w:vAlign w:val="center"/>
          </w:tcPr>
          <w:p w14:paraId="13480B99">
            <w:pPr>
              <w:adjustRightInd w:val="0"/>
              <w:snapToGrid w:val="0"/>
              <w:spacing w:line="360" w:lineRule="auto"/>
              <w:rPr>
                <w:rFonts w:ascii="仿宋_GB2312" w:eastAsia="仿宋_GB2312"/>
                <w:color w:val="auto"/>
                <w:sz w:val="24"/>
                <w:highlight w:val="none"/>
              </w:rPr>
            </w:pPr>
          </w:p>
        </w:tc>
        <w:tc>
          <w:tcPr>
            <w:tcW w:w="1056" w:type="pct"/>
            <w:vAlign w:val="center"/>
          </w:tcPr>
          <w:p w14:paraId="06AF4026">
            <w:pPr>
              <w:adjustRightInd w:val="0"/>
              <w:snapToGrid w:val="0"/>
              <w:spacing w:line="360" w:lineRule="auto"/>
              <w:rPr>
                <w:rFonts w:ascii="仿宋_GB2312" w:eastAsia="仿宋_GB2312"/>
                <w:color w:val="auto"/>
                <w:sz w:val="24"/>
                <w:highlight w:val="none"/>
              </w:rPr>
            </w:pPr>
          </w:p>
        </w:tc>
        <w:tc>
          <w:tcPr>
            <w:tcW w:w="1056" w:type="pct"/>
            <w:vAlign w:val="center"/>
          </w:tcPr>
          <w:p w14:paraId="3B969DF3">
            <w:pPr>
              <w:adjustRightInd w:val="0"/>
              <w:snapToGrid w:val="0"/>
              <w:spacing w:line="360" w:lineRule="auto"/>
              <w:rPr>
                <w:rFonts w:ascii="仿宋_GB2312" w:eastAsia="仿宋_GB2312"/>
                <w:color w:val="auto"/>
                <w:sz w:val="24"/>
                <w:highlight w:val="none"/>
              </w:rPr>
            </w:pPr>
          </w:p>
        </w:tc>
        <w:tc>
          <w:tcPr>
            <w:tcW w:w="526" w:type="pct"/>
            <w:vAlign w:val="center"/>
          </w:tcPr>
          <w:p w14:paraId="7771B38E">
            <w:pPr>
              <w:adjustRightInd w:val="0"/>
              <w:snapToGrid w:val="0"/>
              <w:spacing w:line="360" w:lineRule="auto"/>
              <w:rPr>
                <w:rFonts w:ascii="仿宋_GB2312" w:eastAsia="仿宋_GB2312"/>
                <w:color w:val="auto"/>
                <w:sz w:val="24"/>
                <w:highlight w:val="none"/>
              </w:rPr>
            </w:pPr>
          </w:p>
        </w:tc>
      </w:tr>
      <w:tr w14:paraId="19DC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20730491">
            <w:pPr>
              <w:adjustRightInd w:val="0"/>
              <w:snapToGrid w:val="0"/>
              <w:spacing w:line="360" w:lineRule="auto"/>
              <w:rPr>
                <w:rFonts w:ascii="仿宋_GB2312" w:eastAsia="仿宋_GB2312"/>
                <w:color w:val="auto"/>
                <w:sz w:val="24"/>
                <w:highlight w:val="none"/>
              </w:rPr>
            </w:pPr>
          </w:p>
        </w:tc>
        <w:tc>
          <w:tcPr>
            <w:tcW w:w="960" w:type="pct"/>
            <w:vAlign w:val="center"/>
          </w:tcPr>
          <w:p w14:paraId="620AFB61">
            <w:pPr>
              <w:adjustRightInd w:val="0"/>
              <w:snapToGrid w:val="0"/>
              <w:spacing w:line="360" w:lineRule="auto"/>
              <w:rPr>
                <w:rFonts w:ascii="仿宋_GB2312" w:eastAsia="仿宋_GB2312"/>
                <w:color w:val="auto"/>
                <w:sz w:val="24"/>
                <w:highlight w:val="none"/>
              </w:rPr>
            </w:pPr>
          </w:p>
        </w:tc>
        <w:tc>
          <w:tcPr>
            <w:tcW w:w="883" w:type="pct"/>
            <w:vAlign w:val="center"/>
          </w:tcPr>
          <w:p w14:paraId="795004F9">
            <w:pPr>
              <w:adjustRightInd w:val="0"/>
              <w:snapToGrid w:val="0"/>
              <w:spacing w:line="360" w:lineRule="auto"/>
              <w:rPr>
                <w:rFonts w:ascii="仿宋_GB2312" w:eastAsia="仿宋_GB2312"/>
                <w:color w:val="auto"/>
                <w:sz w:val="24"/>
                <w:highlight w:val="none"/>
              </w:rPr>
            </w:pPr>
          </w:p>
        </w:tc>
        <w:tc>
          <w:tcPr>
            <w:tcW w:w="1056" w:type="pct"/>
            <w:vAlign w:val="center"/>
          </w:tcPr>
          <w:p w14:paraId="59FB3841">
            <w:pPr>
              <w:adjustRightInd w:val="0"/>
              <w:snapToGrid w:val="0"/>
              <w:spacing w:line="360" w:lineRule="auto"/>
              <w:rPr>
                <w:rFonts w:ascii="仿宋_GB2312" w:eastAsia="仿宋_GB2312"/>
                <w:color w:val="auto"/>
                <w:sz w:val="24"/>
                <w:highlight w:val="none"/>
              </w:rPr>
            </w:pPr>
          </w:p>
        </w:tc>
        <w:tc>
          <w:tcPr>
            <w:tcW w:w="1056" w:type="pct"/>
            <w:vAlign w:val="center"/>
          </w:tcPr>
          <w:p w14:paraId="3DC1562F">
            <w:pPr>
              <w:adjustRightInd w:val="0"/>
              <w:snapToGrid w:val="0"/>
              <w:spacing w:line="360" w:lineRule="auto"/>
              <w:rPr>
                <w:rFonts w:ascii="仿宋_GB2312" w:eastAsia="仿宋_GB2312"/>
                <w:color w:val="auto"/>
                <w:sz w:val="24"/>
                <w:highlight w:val="none"/>
              </w:rPr>
            </w:pPr>
          </w:p>
        </w:tc>
        <w:tc>
          <w:tcPr>
            <w:tcW w:w="526" w:type="pct"/>
            <w:vAlign w:val="center"/>
          </w:tcPr>
          <w:p w14:paraId="0E281603">
            <w:pPr>
              <w:adjustRightInd w:val="0"/>
              <w:snapToGrid w:val="0"/>
              <w:spacing w:line="360" w:lineRule="auto"/>
              <w:rPr>
                <w:rFonts w:ascii="仿宋_GB2312" w:eastAsia="仿宋_GB2312"/>
                <w:color w:val="auto"/>
                <w:sz w:val="24"/>
                <w:highlight w:val="none"/>
              </w:rPr>
            </w:pPr>
          </w:p>
        </w:tc>
      </w:tr>
      <w:tr w14:paraId="55F2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021A5106">
            <w:pPr>
              <w:adjustRightInd w:val="0"/>
              <w:snapToGrid w:val="0"/>
              <w:spacing w:line="360" w:lineRule="auto"/>
              <w:rPr>
                <w:rFonts w:ascii="仿宋_GB2312" w:eastAsia="仿宋_GB2312"/>
                <w:color w:val="auto"/>
                <w:sz w:val="24"/>
                <w:highlight w:val="none"/>
              </w:rPr>
            </w:pPr>
          </w:p>
        </w:tc>
        <w:tc>
          <w:tcPr>
            <w:tcW w:w="960" w:type="pct"/>
            <w:vAlign w:val="center"/>
          </w:tcPr>
          <w:p w14:paraId="69BEB6C8">
            <w:pPr>
              <w:adjustRightInd w:val="0"/>
              <w:snapToGrid w:val="0"/>
              <w:spacing w:line="360" w:lineRule="auto"/>
              <w:rPr>
                <w:rFonts w:ascii="仿宋_GB2312" w:eastAsia="仿宋_GB2312"/>
                <w:color w:val="auto"/>
                <w:sz w:val="24"/>
                <w:highlight w:val="none"/>
              </w:rPr>
            </w:pPr>
          </w:p>
        </w:tc>
        <w:tc>
          <w:tcPr>
            <w:tcW w:w="883" w:type="pct"/>
            <w:vAlign w:val="center"/>
          </w:tcPr>
          <w:p w14:paraId="1CC312CD">
            <w:pPr>
              <w:adjustRightInd w:val="0"/>
              <w:snapToGrid w:val="0"/>
              <w:spacing w:line="360" w:lineRule="auto"/>
              <w:rPr>
                <w:rFonts w:ascii="仿宋_GB2312" w:eastAsia="仿宋_GB2312"/>
                <w:color w:val="auto"/>
                <w:sz w:val="24"/>
                <w:highlight w:val="none"/>
              </w:rPr>
            </w:pPr>
          </w:p>
        </w:tc>
        <w:tc>
          <w:tcPr>
            <w:tcW w:w="1056" w:type="pct"/>
            <w:vAlign w:val="center"/>
          </w:tcPr>
          <w:p w14:paraId="29E149E8">
            <w:pPr>
              <w:adjustRightInd w:val="0"/>
              <w:snapToGrid w:val="0"/>
              <w:spacing w:line="360" w:lineRule="auto"/>
              <w:rPr>
                <w:rFonts w:ascii="仿宋_GB2312" w:eastAsia="仿宋_GB2312"/>
                <w:color w:val="auto"/>
                <w:sz w:val="24"/>
                <w:highlight w:val="none"/>
              </w:rPr>
            </w:pPr>
          </w:p>
        </w:tc>
        <w:tc>
          <w:tcPr>
            <w:tcW w:w="1056" w:type="pct"/>
            <w:vAlign w:val="center"/>
          </w:tcPr>
          <w:p w14:paraId="09B7F3FF">
            <w:pPr>
              <w:adjustRightInd w:val="0"/>
              <w:snapToGrid w:val="0"/>
              <w:spacing w:line="360" w:lineRule="auto"/>
              <w:rPr>
                <w:rFonts w:ascii="仿宋_GB2312" w:eastAsia="仿宋_GB2312"/>
                <w:color w:val="auto"/>
                <w:sz w:val="24"/>
                <w:highlight w:val="none"/>
              </w:rPr>
            </w:pPr>
          </w:p>
        </w:tc>
        <w:tc>
          <w:tcPr>
            <w:tcW w:w="526" w:type="pct"/>
            <w:vAlign w:val="center"/>
          </w:tcPr>
          <w:p w14:paraId="18AA8B51">
            <w:pPr>
              <w:adjustRightInd w:val="0"/>
              <w:snapToGrid w:val="0"/>
              <w:spacing w:line="360" w:lineRule="auto"/>
              <w:rPr>
                <w:rFonts w:ascii="仿宋_GB2312" w:eastAsia="仿宋_GB2312"/>
                <w:color w:val="auto"/>
                <w:sz w:val="24"/>
                <w:highlight w:val="none"/>
              </w:rPr>
            </w:pPr>
          </w:p>
        </w:tc>
      </w:tr>
      <w:tr w14:paraId="1E8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4D127312">
            <w:pPr>
              <w:adjustRightInd w:val="0"/>
              <w:snapToGrid w:val="0"/>
              <w:spacing w:line="360" w:lineRule="auto"/>
              <w:rPr>
                <w:rFonts w:ascii="仿宋_GB2312" w:eastAsia="仿宋_GB2312"/>
                <w:color w:val="auto"/>
                <w:sz w:val="24"/>
                <w:highlight w:val="none"/>
              </w:rPr>
            </w:pPr>
          </w:p>
        </w:tc>
        <w:tc>
          <w:tcPr>
            <w:tcW w:w="960" w:type="pct"/>
            <w:vAlign w:val="center"/>
          </w:tcPr>
          <w:p w14:paraId="3470CB7D">
            <w:pPr>
              <w:adjustRightInd w:val="0"/>
              <w:snapToGrid w:val="0"/>
              <w:spacing w:line="360" w:lineRule="auto"/>
              <w:rPr>
                <w:rFonts w:ascii="仿宋_GB2312" w:eastAsia="仿宋_GB2312"/>
                <w:color w:val="auto"/>
                <w:sz w:val="24"/>
                <w:highlight w:val="none"/>
              </w:rPr>
            </w:pPr>
          </w:p>
        </w:tc>
        <w:tc>
          <w:tcPr>
            <w:tcW w:w="883" w:type="pct"/>
            <w:vAlign w:val="center"/>
          </w:tcPr>
          <w:p w14:paraId="53D79BDB">
            <w:pPr>
              <w:adjustRightInd w:val="0"/>
              <w:snapToGrid w:val="0"/>
              <w:spacing w:line="360" w:lineRule="auto"/>
              <w:rPr>
                <w:rFonts w:ascii="仿宋_GB2312" w:eastAsia="仿宋_GB2312"/>
                <w:color w:val="auto"/>
                <w:sz w:val="24"/>
                <w:highlight w:val="none"/>
              </w:rPr>
            </w:pPr>
          </w:p>
        </w:tc>
        <w:tc>
          <w:tcPr>
            <w:tcW w:w="1056" w:type="pct"/>
            <w:vAlign w:val="center"/>
          </w:tcPr>
          <w:p w14:paraId="0A4AC2BC">
            <w:pPr>
              <w:adjustRightInd w:val="0"/>
              <w:snapToGrid w:val="0"/>
              <w:spacing w:line="360" w:lineRule="auto"/>
              <w:rPr>
                <w:rFonts w:ascii="仿宋_GB2312" w:eastAsia="仿宋_GB2312"/>
                <w:color w:val="auto"/>
                <w:sz w:val="24"/>
                <w:highlight w:val="none"/>
              </w:rPr>
            </w:pPr>
          </w:p>
        </w:tc>
        <w:tc>
          <w:tcPr>
            <w:tcW w:w="1056" w:type="pct"/>
            <w:vAlign w:val="center"/>
          </w:tcPr>
          <w:p w14:paraId="39A29B83">
            <w:pPr>
              <w:adjustRightInd w:val="0"/>
              <w:snapToGrid w:val="0"/>
              <w:spacing w:line="360" w:lineRule="auto"/>
              <w:rPr>
                <w:rFonts w:ascii="仿宋_GB2312" w:eastAsia="仿宋_GB2312"/>
                <w:color w:val="auto"/>
                <w:sz w:val="24"/>
                <w:highlight w:val="none"/>
              </w:rPr>
            </w:pPr>
          </w:p>
        </w:tc>
        <w:tc>
          <w:tcPr>
            <w:tcW w:w="526" w:type="pct"/>
            <w:vAlign w:val="center"/>
          </w:tcPr>
          <w:p w14:paraId="115DC1D1">
            <w:pPr>
              <w:adjustRightInd w:val="0"/>
              <w:snapToGrid w:val="0"/>
              <w:spacing w:line="360" w:lineRule="auto"/>
              <w:rPr>
                <w:rFonts w:ascii="仿宋_GB2312" w:eastAsia="仿宋_GB2312"/>
                <w:color w:val="auto"/>
                <w:sz w:val="24"/>
                <w:highlight w:val="none"/>
              </w:rPr>
            </w:pPr>
          </w:p>
        </w:tc>
      </w:tr>
      <w:tr w14:paraId="5C3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5784E998">
            <w:pPr>
              <w:adjustRightInd w:val="0"/>
              <w:snapToGrid w:val="0"/>
              <w:spacing w:line="360" w:lineRule="auto"/>
              <w:rPr>
                <w:rFonts w:ascii="仿宋_GB2312" w:eastAsia="仿宋_GB2312"/>
                <w:color w:val="auto"/>
                <w:sz w:val="24"/>
                <w:highlight w:val="none"/>
              </w:rPr>
            </w:pPr>
          </w:p>
        </w:tc>
        <w:tc>
          <w:tcPr>
            <w:tcW w:w="960" w:type="pct"/>
            <w:vAlign w:val="center"/>
          </w:tcPr>
          <w:p w14:paraId="2BD2F8EF">
            <w:pPr>
              <w:adjustRightInd w:val="0"/>
              <w:snapToGrid w:val="0"/>
              <w:spacing w:line="360" w:lineRule="auto"/>
              <w:rPr>
                <w:rFonts w:ascii="仿宋_GB2312" w:eastAsia="仿宋_GB2312"/>
                <w:color w:val="auto"/>
                <w:sz w:val="24"/>
                <w:highlight w:val="none"/>
              </w:rPr>
            </w:pPr>
          </w:p>
        </w:tc>
        <w:tc>
          <w:tcPr>
            <w:tcW w:w="883" w:type="pct"/>
            <w:vAlign w:val="center"/>
          </w:tcPr>
          <w:p w14:paraId="727D3191">
            <w:pPr>
              <w:adjustRightInd w:val="0"/>
              <w:snapToGrid w:val="0"/>
              <w:spacing w:line="360" w:lineRule="auto"/>
              <w:rPr>
                <w:rFonts w:ascii="仿宋_GB2312" w:eastAsia="仿宋_GB2312"/>
                <w:color w:val="auto"/>
                <w:sz w:val="24"/>
                <w:highlight w:val="none"/>
              </w:rPr>
            </w:pPr>
          </w:p>
        </w:tc>
        <w:tc>
          <w:tcPr>
            <w:tcW w:w="1056" w:type="pct"/>
            <w:vAlign w:val="center"/>
          </w:tcPr>
          <w:p w14:paraId="02742550">
            <w:pPr>
              <w:adjustRightInd w:val="0"/>
              <w:snapToGrid w:val="0"/>
              <w:spacing w:line="360" w:lineRule="auto"/>
              <w:rPr>
                <w:rFonts w:ascii="仿宋_GB2312" w:eastAsia="仿宋_GB2312"/>
                <w:color w:val="auto"/>
                <w:sz w:val="24"/>
                <w:highlight w:val="none"/>
              </w:rPr>
            </w:pPr>
          </w:p>
        </w:tc>
        <w:tc>
          <w:tcPr>
            <w:tcW w:w="1056" w:type="pct"/>
            <w:vAlign w:val="center"/>
          </w:tcPr>
          <w:p w14:paraId="2761CFEC">
            <w:pPr>
              <w:adjustRightInd w:val="0"/>
              <w:snapToGrid w:val="0"/>
              <w:spacing w:line="360" w:lineRule="auto"/>
              <w:rPr>
                <w:rFonts w:ascii="仿宋_GB2312" w:eastAsia="仿宋_GB2312"/>
                <w:color w:val="auto"/>
                <w:sz w:val="24"/>
                <w:highlight w:val="none"/>
              </w:rPr>
            </w:pPr>
          </w:p>
        </w:tc>
        <w:tc>
          <w:tcPr>
            <w:tcW w:w="526" w:type="pct"/>
            <w:vAlign w:val="center"/>
          </w:tcPr>
          <w:p w14:paraId="079FDC1E">
            <w:pPr>
              <w:adjustRightInd w:val="0"/>
              <w:snapToGrid w:val="0"/>
              <w:spacing w:line="360" w:lineRule="auto"/>
              <w:rPr>
                <w:rFonts w:ascii="仿宋_GB2312" w:eastAsia="仿宋_GB2312"/>
                <w:color w:val="auto"/>
                <w:sz w:val="24"/>
                <w:highlight w:val="none"/>
              </w:rPr>
            </w:pPr>
          </w:p>
        </w:tc>
      </w:tr>
      <w:tr w14:paraId="33C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5E277DD5">
            <w:pPr>
              <w:adjustRightInd w:val="0"/>
              <w:snapToGrid w:val="0"/>
              <w:spacing w:line="360" w:lineRule="auto"/>
              <w:rPr>
                <w:rFonts w:ascii="仿宋_GB2312" w:eastAsia="仿宋_GB2312"/>
                <w:color w:val="auto"/>
                <w:sz w:val="24"/>
                <w:highlight w:val="none"/>
              </w:rPr>
            </w:pPr>
          </w:p>
        </w:tc>
        <w:tc>
          <w:tcPr>
            <w:tcW w:w="960" w:type="pct"/>
            <w:vAlign w:val="center"/>
          </w:tcPr>
          <w:p w14:paraId="758278FA">
            <w:pPr>
              <w:adjustRightInd w:val="0"/>
              <w:snapToGrid w:val="0"/>
              <w:spacing w:line="360" w:lineRule="auto"/>
              <w:rPr>
                <w:rFonts w:ascii="仿宋_GB2312" w:eastAsia="仿宋_GB2312"/>
                <w:color w:val="auto"/>
                <w:sz w:val="24"/>
                <w:highlight w:val="none"/>
              </w:rPr>
            </w:pPr>
          </w:p>
        </w:tc>
        <w:tc>
          <w:tcPr>
            <w:tcW w:w="883" w:type="pct"/>
            <w:vAlign w:val="center"/>
          </w:tcPr>
          <w:p w14:paraId="59D19103">
            <w:pPr>
              <w:adjustRightInd w:val="0"/>
              <w:snapToGrid w:val="0"/>
              <w:spacing w:line="360" w:lineRule="auto"/>
              <w:rPr>
                <w:rFonts w:ascii="仿宋_GB2312" w:eastAsia="仿宋_GB2312"/>
                <w:color w:val="auto"/>
                <w:sz w:val="24"/>
                <w:highlight w:val="none"/>
              </w:rPr>
            </w:pPr>
          </w:p>
        </w:tc>
        <w:tc>
          <w:tcPr>
            <w:tcW w:w="1056" w:type="pct"/>
            <w:vAlign w:val="center"/>
          </w:tcPr>
          <w:p w14:paraId="588B375F">
            <w:pPr>
              <w:adjustRightInd w:val="0"/>
              <w:snapToGrid w:val="0"/>
              <w:spacing w:line="360" w:lineRule="auto"/>
              <w:rPr>
                <w:rFonts w:ascii="仿宋_GB2312" w:eastAsia="仿宋_GB2312"/>
                <w:color w:val="auto"/>
                <w:sz w:val="24"/>
                <w:highlight w:val="none"/>
              </w:rPr>
            </w:pPr>
          </w:p>
        </w:tc>
        <w:tc>
          <w:tcPr>
            <w:tcW w:w="1056" w:type="pct"/>
            <w:vAlign w:val="center"/>
          </w:tcPr>
          <w:p w14:paraId="56C778D8">
            <w:pPr>
              <w:adjustRightInd w:val="0"/>
              <w:snapToGrid w:val="0"/>
              <w:spacing w:line="360" w:lineRule="auto"/>
              <w:rPr>
                <w:rFonts w:ascii="仿宋_GB2312" w:eastAsia="仿宋_GB2312"/>
                <w:color w:val="auto"/>
                <w:sz w:val="24"/>
                <w:highlight w:val="none"/>
              </w:rPr>
            </w:pPr>
          </w:p>
        </w:tc>
        <w:tc>
          <w:tcPr>
            <w:tcW w:w="526" w:type="pct"/>
            <w:vAlign w:val="center"/>
          </w:tcPr>
          <w:p w14:paraId="5BF1C177">
            <w:pPr>
              <w:adjustRightInd w:val="0"/>
              <w:snapToGrid w:val="0"/>
              <w:spacing w:line="360" w:lineRule="auto"/>
              <w:rPr>
                <w:rFonts w:ascii="仿宋_GB2312" w:eastAsia="仿宋_GB2312"/>
                <w:color w:val="auto"/>
                <w:sz w:val="24"/>
                <w:highlight w:val="none"/>
              </w:rPr>
            </w:pPr>
          </w:p>
        </w:tc>
      </w:tr>
      <w:tr w14:paraId="0C66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955C30C">
            <w:pPr>
              <w:adjustRightInd w:val="0"/>
              <w:snapToGrid w:val="0"/>
              <w:spacing w:line="360" w:lineRule="auto"/>
              <w:rPr>
                <w:rFonts w:ascii="仿宋_GB2312" w:eastAsia="仿宋_GB2312"/>
                <w:color w:val="auto"/>
                <w:sz w:val="24"/>
                <w:highlight w:val="none"/>
              </w:rPr>
            </w:pPr>
          </w:p>
        </w:tc>
        <w:tc>
          <w:tcPr>
            <w:tcW w:w="960" w:type="pct"/>
            <w:vAlign w:val="center"/>
          </w:tcPr>
          <w:p w14:paraId="4805B1B9">
            <w:pPr>
              <w:adjustRightInd w:val="0"/>
              <w:snapToGrid w:val="0"/>
              <w:spacing w:line="360" w:lineRule="auto"/>
              <w:rPr>
                <w:rFonts w:ascii="仿宋_GB2312" w:eastAsia="仿宋_GB2312"/>
                <w:color w:val="auto"/>
                <w:sz w:val="24"/>
                <w:highlight w:val="none"/>
              </w:rPr>
            </w:pPr>
          </w:p>
        </w:tc>
        <w:tc>
          <w:tcPr>
            <w:tcW w:w="883" w:type="pct"/>
            <w:vAlign w:val="center"/>
          </w:tcPr>
          <w:p w14:paraId="079855E1">
            <w:pPr>
              <w:adjustRightInd w:val="0"/>
              <w:snapToGrid w:val="0"/>
              <w:spacing w:line="360" w:lineRule="auto"/>
              <w:rPr>
                <w:rFonts w:ascii="仿宋_GB2312" w:eastAsia="仿宋_GB2312"/>
                <w:color w:val="auto"/>
                <w:sz w:val="24"/>
                <w:highlight w:val="none"/>
              </w:rPr>
            </w:pPr>
          </w:p>
        </w:tc>
        <w:tc>
          <w:tcPr>
            <w:tcW w:w="1056" w:type="pct"/>
            <w:vAlign w:val="center"/>
          </w:tcPr>
          <w:p w14:paraId="7A2BEF58">
            <w:pPr>
              <w:adjustRightInd w:val="0"/>
              <w:snapToGrid w:val="0"/>
              <w:spacing w:line="360" w:lineRule="auto"/>
              <w:rPr>
                <w:rFonts w:ascii="仿宋_GB2312" w:eastAsia="仿宋_GB2312"/>
                <w:color w:val="auto"/>
                <w:sz w:val="24"/>
                <w:highlight w:val="none"/>
              </w:rPr>
            </w:pPr>
          </w:p>
        </w:tc>
        <w:tc>
          <w:tcPr>
            <w:tcW w:w="1056" w:type="pct"/>
            <w:vAlign w:val="center"/>
          </w:tcPr>
          <w:p w14:paraId="1031A761">
            <w:pPr>
              <w:adjustRightInd w:val="0"/>
              <w:snapToGrid w:val="0"/>
              <w:spacing w:line="360" w:lineRule="auto"/>
              <w:rPr>
                <w:rFonts w:ascii="仿宋_GB2312" w:eastAsia="仿宋_GB2312"/>
                <w:color w:val="auto"/>
                <w:sz w:val="24"/>
                <w:highlight w:val="none"/>
              </w:rPr>
            </w:pPr>
          </w:p>
        </w:tc>
        <w:tc>
          <w:tcPr>
            <w:tcW w:w="526" w:type="pct"/>
            <w:vAlign w:val="center"/>
          </w:tcPr>
          <w:p w14:paraId="7D56597D">
            <w:pPr>
              <w:adjustRightInd w:val="0"/>
              <w:snapToGrid w:val="0"/>
              <w:spacing w:line="360" w:lineRule="auto"/>
              <w:rPr>
                <w:rFonts w:ascii="仿宋_GB2312" w:eastAsia="仿宋_GB2312"/>
                <w:color w:val="auto"/>
                <w:sz w:val="24"/>
                <w:highlight w:val="none"/>
              </w:rPr>
            </w:pPr>
          </w:p>
        </w:tc>
      </w:tr>
      <w:tr w14:paraId="6B03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015E1EC8">
            <w:pPr>
              <w:adjustRightInd w:val="0"/>
              <w:snapToGrid w:val="0"/>
              <w:spacing w:line="360" w:lineRule="auto"/>
              <w:rPr>
                <w:rFonts w:ascii="仿宋_GB2312" w:eastAsia="仿宋_GB2312"/>
                <w:color w:val="auto"/>
                <w:sz w:val="24"/>
                <w:highlight w:val="none"/>
              </w:rPr>
            </w:pPr>
          </w:p>
        </w:tc>
        <w:tc>
          <w:tcPr>
            <w:tcW w:w="960" w:type="pct"/>
            <w:vAlign w:val="center"/>
          </w:tcPr>
          <w:p w14:paraId="7CA95AF8">
            <w:pPr>
              <w:adjustRightInd w:val="0"/>
              <w:snapToGrid w:val="0"/>
              <w:spacing w:line="360" w:lineRule="auto"/>
              <w:rPr>
                <w:rFonts w:ascii="仿宋_GB2312" w:eastAsia="仿宋_GB2312"/>
                <w:color w:val="auto"/>
                <w:sz w:val="24"/>
                <w:highlight w:val="none"/>
              </w:rPr>
            </w:pPr>
          </w:p>
        </w:tc>
        <w:tc>
          <w:tcPr>
            <w:tcW w:w="883" w:type="pct"/>
            <w:vAlign w:val="center"/>
          </w:tcPr>
          <w:p w14:paraId="128CE58B">
            <w:pPr>
              <w:adjustRightInd w:val="0"/>
              <w:snapToGrid w:val="0"/>
              <w:spacing w:line="360" w:lineRule="auto"/>
              <w:rPr>
                <w:rFonts w:ascii="仿宋_GB2312" w:eastAsia="仿宋_GB2312"/>
                <w:color w:val="auto"/>
                <w:sz w:val="24"/>
                <w:highlight w:val="none"/>
              </w:rPr>
            </w:pPr>
          </w:p>
        </w:tc>
        <w:tc>
          <w:tcPr>
            <w:tcW w:w="1056" w:type="pct"/>
            <w:vAlign w:val="center"/>
          </w:tcPr>
          <w:p w14:paraId="279324A9">
            <w:pPr>
              <w:adjustRightInd w:val="0"/>
              <w:snapToGrid w:val="0"/>
              <w:spacing w:line="360" w:lineRule="auto"/>
              <w:rPr>
                <w:rFonts w:ascii="仿宋_GB2312" w:eastAsia="仿宋_GB2312"/>
                <w:color w:val="auto"/>
                <w:sz w:val="24"/>
                <w:highlight w:val="none"/>
              </w:rPr>
            </w:pPr>
          </w:p>
        </w:tc>
        <w:tc>
          <w:tcPr>
            <w:tcW w:w="1056" w:type="pct"/>
            <w:vAlign w:val="center"/>
          </w:tcPr>
          <w:p w14:paraId="0BFCCB68">
            <w:pPr>
              <w:adjustRightInd w:val="0"/>
              <w:snapToGrid w:val="0"/>
              <w:spacing w:line="360" w:lineRule="auto"/>
              <w:rPr>
                <w:rFonts w:ascii="仿宋_GB2312" w:eastAsia="仿宋_GB2312"/>
                <w:color w:val="auto"/>
                <w:sz w:val="24"/>
                <w:highlight w:val="none"/>
              </w:rPr>
            </w:pPr>
          </w:p>
        </w:tc>
        <w:tc>
          <w:tcPr>
            <w:tcW w:w="526" w:type="pct"/>
            <w:vAlign w:val="center"/>
          </w:tcPr>
          <w:p w14:paraId="25AAB1F2">
            <w:pPr>
              <w:adjustRightInd w:val="0"/>
              <w:snapToGrid w:val="0"/>
              <w:spacing w:line="360" w:lineRule="auto"/>
              <w:rPr>
                <w:rFonts w:ascii="仿宋_GB2312" w:eastAsia="仿宋_GB2312"/>
                <w:color w:val="auto"/>
                <w:sz w:val="24"/>
                <w:highlight w:val="none"/>
              </w:rPr>
            </w:pPr>
          </w:p>
        </w:tc>
      </w:tr>
      <w:tr w14:paraId="02A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28A9C5C7">
            <w:pPr>
              <w:adjustRightInd w:val="0"/>
              <w:snapToGrid w:val="0"/>
              <w:spacing w:line="360" w:lineRule="auto"/>
              <w:rPr>
                <w:rFonts w:ascii="仿宋_GB2312" w:eastAsia="仿宋_GB2312"/>
                <w:color w:val="auto"/>
                <w:sz w:val="24"/>
                <w:highlight w:val="none"/>
              </w:rPr>
            </w:pPr>
          </w:p>
        </w:tc>
        <w:tc>
          <w:tcPr>
            <w:tcW w:w="960" w:type="pct"/>
            <w:vAlign w:val="center"/>
          </w:tcPr>
          <w:p w14:paraId="1072AAF7">
            <w:pPr>
              <w:adjustRightInd w:val="0"/>
              <w:snapToGrid w:val="0"/>
              <w:spacing w:line="360" w:lineRule="auto"/>
              <w:rPr>
                <w:rFonts w:ascii="仿宋_GB2312" w:eastAsia="仿宋_GB2312"/>
                <w:color w:val="auto"/>
                <w:sz w:val="24"/>
                <w:highlight w:val="none"/>
              </w:rPr>
            </w:pPr>
          </w:p>
        </w:tc>
        <w:tc>
          <w:tcPr>
            <w:tcW w:w="883" w:type="pct"/>
            <w:vAlign w:val="center"/>
          </w:tcPr>
          <w:p w14:paraId="7D70F7F3">
            <w:pPr>
              <w:adjustRightInd w:val="0"/>
              <w:snapToGrid w:val="0"/>
              <w:spacing w:line="360" w:lineRule="auto"/>
              <w:rPr>
                <w:rFonts w:ascii="仿宋_GB2312" w:eastAsia="仿宋_GB2312"/>
                <w:color w:val="auto"/>
                <w:sz w:val="24"/>
                <w:highlight w:val="none"/>
              </w:rPr>
            </w:pPr>
          </w:p>
        </w:tc>
        <w:tc>
          <w:tcPr>
            <w:tcW w:w="1056" w:type="pct"/>
            <w:vAlign w:val="center"/>
          </w:tcPr>
          <w:p w14:paraId="296CB915">
            <w:pPr>
              <w:adjustRightInd w:val="0"/>
              <w:snapToGrid w:val="0"/>
              <w:spacing w:line="360" w:lineRule="auto"/>
              <w:rPr>
                <w:rFonts w:ascii="仿宋_GB2312" w:eastAsia="仿宋_GB2312"/>
                <w:color w:val="auto"/>
                <w:sz w:val="24"/>
                <w:highlight w:val="none"/>
              </w:rPr>
            </w:pPr>
          </w:p>
        </w:tc>
        <w:tc>
          <w:tcPr>
            <w:tcW w:w="1056" w:type="pct"/>
            <w:vAlign w:val="center"/>
          </w:tcPr>
          <w:p w14:paraId="7B91CD17">
            <w:pPr>
              <w:adjustRightInd w:val="0"/>
              <w:snapToGrid w:val="0"/>
              <w:spacing w:line="360" w:lineRule="auto"/>
              <w:rPr>
                <w:rFonts w:ascii="仿宋_GB2312" w:eastAsia="仿宋_GB2312"/>
                <w:color w:val="auto"/>
                <w:sz w:val="24"/>
                <w:highlight w:val="none"/>
              </w:rPr>
            </w:pPr>
          </w:p>
        </w:tc>
        <w:tc>
          <w:tcPr>
            <w:tcW w:w="526" w:type="pct"/>
            <w:vAlign w:val="center"/>
          </w:tcPr>
          <w:p w14:paraId="0CF35B38">
            <w:pPr>
              <w:adjustRightInd w:val="0"/>
              <w:snapToGrid w:val="0"/>
              <w:spacing w:line="360" w:lineRule="auto"/>
              <w:rPr>
                <w:rFonts w:ascii="仿宋_GB2312" w:eastAsia="仿宋_GB2312"/>
                <w:color w:val="auto"/>
                <w:sz w:val="24"/>
                <w:highlight w:val="none"/>
              </w:rPr>
            </w:pPr>
          </w:p>
        </w:tc>
      </w:tr>
      <w:tr w14:paraId="1FC5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7D7FD385">
            <w:pPr>
              <w:adjustRightInd w:val="0"/>
              <w:snapToGrid w:val="0"/>
              <w:spacing w:line="360" w:lineRule="auto"/>
              <w:rPr>
                <w:rFonts w:ascii="仿宋_GB2312" w:eastAsia="仿宋_GB2312"/>
                <w:color w:val="auto"/>
                <w:sz w:val="24"/>
                <w:highlight w:val="none"/>
              </w:rPr>
            </w:pPr>
          </w:p>
        </w:tc>
        <w:tc>
          <w:tcPr>
            <w:tcW w:w="960" w:type="pct"/>
            <w:vAlign w:val="center"/>
          </w:tcPr>
          <w:p w14:paraId="12BF4BC3">
            <w:pPr>
              <w:adjustRightInd w:val="0"/>
              <w:snapToGrid w:val="0"/>
              <w:spacing w:line="360" w:lineRule="auto"/>
              <w:rPr>
                <w:rFonts w:ascii="仿宋_GB2312" w:eastAsia="仿宋_GB2312"/>
                <w:color w:val="auto"/>
                <w:sz w:val="24"/>
                <w:highlight w:val="none"/>
              </w:rPr>
            </w:pPr>
          </w:p>
        </w:tc>
        <w:tc>
          <w:tcPr>
            <w:tcW w:w="883" w:type="pct"/>
            <w:vAlign w:val="center"/>
          </w:tcPr>
          <w:p w14:paraId="56E8BF44">
            <w:pPr>
              <w:adjustRightInd w:val="0"/>
              <w:snapToGrid w:val="0"/>
              <w:spacing w:line="360" w:lineRule="auto"/>
              <w:rPr>
                <w:rFonts w:ascii="仿宋_GB2312" w:eastAsia="仿宋_GB2312"/>
                <w:color w:val="auto"/>
                <w:sz w:val="24"/>
                <w:highlight w:val="none"/>
              </w:rPr>
            </w:pPr>
          </w:p>
        </w:tc>
        <w:tc>
          <w:tcPr>
            <w:tcW w:w="1056" w:type="pct"/>
            <w:vAlign w:val="center"/>
          </w:tcPr>
          <w:p w14:paraId="0F1648D9">
            <w:pPr>
              <w:adjustRightInd w:val="0"/>
              <w:snapToGrid w:val="0"/>
              <w:spacing w:line="360" w:lineRule="auto"/>
              <w:rPr>
                <w:rFonts w:ascii="仿宋_GB2312" w:eastAsia="仿宋_GB2312"/>
                <w:color w:val="auto"/>
                <w:sz w:val="24"/>
                <w:highlight w:val="none"/>
              </w:rPr>
            </w:pPr>
          </w:p>
        </w:tc>
        <w:tc>
          <w:tcPr>
            <w:tcW w:w="1056" w:type="pct"/>
            <w:vAlign w:val="center"/>
          </w:tcPr>
          <w:p w14:paraId="2E19B25B">
            <w:pPr>
              <w:adjustRightInd w:val="0"/>
              <w:snapToGrid w:val="0"/>
              <w:spacing w:line="360" w:lineRule="auto"/>
              <w:rPr>
                <w:rFonts w:ascii="仿宋_GB2312" w:eastAsia="仿宋_GB2312"/>
                <w:color w:val="auto"/>
                <w:sz w:val="24"/>
                <w:highlight w:val="none"/>
              </w:rPr>
            </w:pPr>
          </w:p>
        </w:tc>
        <w:tc>
          <w:tcPr>
            <w:tcW w:w="526" w:type="pct"/>
            <w:vAlign w:val="center"/>
          </w:tcPr>
          <w:p w14:paraId="5CADE590">
            <w:pPr>
              <w:adjustRightInd w:val="0"/>
              <w:snapToGrid w:val="0"/>
              <w:spacing w:line="360" w:lineRule="auto"/>
              <w:rPr>
                <w:rFonts w:ascii="仿宋_GB2312" w:eastAsia="仿宋_GB2312"/>
                <w:color w:val="auto"/>
                <w:sz w:val="24"/>
                <w:highlight w:val="none"/>
              </w:rPr>
            </w:pPr>
          </w:p>
        </w:tc>
      </w:tr>
      <w:tr w14:paraId="4E0C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314DD8E0">
            <w:pPr>
              <w:adjustRightInd w:val="0"/>
              <w:snapToGrid w:val="0"/>
              <w:spacing w:line="360" w:lineRule="auto"/>
              <w:rPr>
                <w:rFonts w:ascii="仿宋_GB2312" w:eastAsia="仿宋_GB2312"/>
                <w:color w:val="auto"/>
                <w:sz w:val="24"/>
                <w:highlight w:val="none"/>
              </w:rPr>
            </w:pPr>
          </w:p>
        </w:tc>
        <w:tc>
          <w:tcPr>
            <w:tcW w:w="960" w:type="pct"/>
            <w:vAlign w:val="center"/>
          </w:tcPr>
          <w:p w14:paraId="6895957F">
            <w:pPr>
              <w:adjustRightInd w:val="0"/>
              <w:snapToGrid w:val="0"/>
              <w:spacing w:line="360" w:lineRule="auto"/>
              <w:rPr>
                <w:rFonts w:ascii="仿宋_GB2312" w:eastAsia="仿宋_GB2312"/>
                <w:color w:val="auto"/>
                <w:sz w:val="24"/>
                <w:highlight w:val="none"/>
              </w:rPr>
            </w:pPr>
          </w:p>
        </w:tc>
        <w:tc>
          <w:tcPr>
            <w:tcW w:w="883" w:type="pct"/>
            <w:vAlign w:val="center"/>
          </w:tcPr>
          <w:p w14:paraId="44886CC4">
            <w:pPr>
              <w:adjustRightInd w:val="0"/>
              <w:snapToGrid w:val="0"/>
              <w:spacing w:line="360" w:lineRule="auto"/>
              <w:rPr>
                <w:rFonts w:ascii="仿宋_GB2312" w:eastAsia="仿宋_GB2312"/>
                <w:color w:val="auto"/>
                <w:sz w:val="24"/>
                <w:highlight w:val="none"/>
              </w:rPr>
            </w:pPr>
          </w:p>
        </w:tc>
        <w:tc>
          <w:tcPr>
            <w:tcW w:w="1056" w:type="pct"/>
            <w:vAlign w:val="center"/>
          </w:tcPr>
          <w:p w14:paraId="7E537819">
            <w:pPr>
              <w:adjustRightInd w:val="0"/>
              <w:snapToGrid w:val="0"/>
              <w:spacing w:line="360" w:lineRule="auto"/>
              <w:rPr>
                <w:rFonts w:ascii="仿宋_GB2312" w:eastAsia="仿宋_GB2312"/>
                <w:color w:val="auto"/>
                <w:sz w:val="24"/>
                <w:highlight w:val="none"/>
              </w:rPr>
            </w:pPr>
          </w:p>
        </w:tc>
        <w:tc>
          <w:tcPr>
            <w:tcW w:w="1056" w:type="pct"/>
            <w:vAlign w:val="center"/>
          </w:tcPr>
          <w:p w14:paraId="369D777E">
            <w:pPr>
              <w:adjustRightInd w:val="0"/>
              <w:snapToGrid w:val="0"/>
              <w:spacing w:line="360" w:lineRule="auto"/>
              <w:rPr>
                <w:rFonts w:ascii="仿宋_GB2312" w:eastAsia="仿宋_GB2312"/>
                <w:color w:val="auto"/>
                <w:sz w:val="24"/>
                <w:highlight w:val="none"/>
              </w:rPr>
            </w:pPr>
          </w:p>
        </w:tc>
        <w:tc>
          <w:tcPr>
            <w:tcW w:w="526" w:type="pct"/>
            <w:vAlign w:val="center"/>
          </w:tcPr>
          <w:p w14:paraId="14A3B740">
            <w:pPr>
              <w:adjustRightInd w:val="0"/>
              <w:snapToGrid w:val="0"/>
              <w:spacing w:line="360" w:lineRule="auto"/>
              <w:rPr>
                <w:rFonts w:ascii="仿宋_GB2312" w:eastAsia="仿宋_GB2312"/>
                <w:color w:val="auto"/>
                <w:sz w:val="24"/>
                <w:highlight w:val="none"/>
              </w:rPr>
            </w:pPr>
          </w:p>
        </w:tc>
      </w:tr>
      <w:tr w14:paraId="078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17" w:type="pct"/>
            <w:vAlign w:val="center"/>
          </w:tcPr>
          <w:p w14:paraId="6619026F">
            <w:pPr>
              <w:adjustRightInd w:val="0"/>
              <w:snapToGrid w:val="0"/>
              <w:spacing w:line="360" w:lineRule="auto"/>
              <w:rPr>
                <w:rFonts w:ascii="仿宋_GB2312" w:eastAsia="仿宋_GB2312"/>
                <w:color w:val="auto"/>
                <w:sz w:val="24"/>
                <w:highlight w:val="none"/>
              </w:rPr>
            </w:pPr>
          </w:p>
        </w:tc>
        <w:tc>
          <w:tcPr>
            <w:tcW w:w="960" w:type="pct"/>
            <w:vAlign w:val="center"/>
          </w:tcPr>
          <w:p w14:paraId="6C440FFE">
            <w:pPr>
              <w:adjustRightInd w:val="0"/>
              <w:snapToGrid w:val="0"/>
              <w:spacing w:line="360" w:lineRule="auto"/>
              <w:rPr>
                <w:rFonts w:ascii="仿宋_GB2312" w:eastAsia="仿宋_GB2312"/>
                <w:color w:val="auto"/>
                <w:sz w:val="24"/>
                <w:highlight w:val="none"/>
              </w:rPr>
            </w:pPr>
          </w:p>
        </w:tc>
        <w:tc>
          <w:tcPr>
            <w:tcW w:w="883" w:type="pct"/>
            <w:vAlign w:val="center"/>
          </w:tcPr>
          <w:p w14:paraId="62BA1467">
            <w:pPr>
              <w:adjustRightInd w:val="0"/>
              <w:snapToGrid w:val="0"/>
              <w:spacing w:line="360" w:lineRule="auto"/>
              <w:rPr>
                <w:rFonts w:ascii="仿宋_GB2312" w:eastAsia="仿宋_GB2312"/>
                <w:color w:val="auto"/>
                <w:sz w:val="24"/>
                <w:highlight w:val="none"/>
              </w:rPr>
            </w:pPr>
          </w:p>
        </w:tc>
        <w:tc>
          <w:tcPr>
            <w:tcW w:w="1056" w:type="pct"/>
            <w:vAlign w:val="center"/>
          </w:tcPr>
          <w:p w14:paraId="27B63D25">
            <w:pPr>
              <w:adjustRightInd w:val="0"/>
              <w:snapToGrid w:val="0"/>
              <w:spacing w:line="360" w:lineRule="auto"/>
              <w:rPr>
                <w:rFonts w:ascii="仿宋_GB2312" w:eastAsia="仿宋_GB2312"/>
                <w:color w:val="auto"/>
                <w:sz w:val="24"/>
                <w:highlight w:val="none"/>
              </w:rPr>
            </w:pPr>
          </w:p>
        </w:tc>
        <w:tc>
          <w:tcPr>
            <w:tcW w:w="1056" w:type="pct"/>
            <w:vAlign w:val="center"/>
          </w:tcPr>
          <w:p w14:paraId="47EADA40">
            <w:pPr>
              <w:adjustRightInd w:val="0"/>
              <w:snapToGrid w:val="0"/>
              <w:spacing w:line="360" w:lineRule="auto"/>
              <w:rPr>
                <w:rFonts w:ascii="仿宋_GB2312" w:eastAsia="仿宋_GB2312"/>
                <w:color w:val="auto"/>
                <w:sz w:val="24"/>
                <w:highlight w:val="none"/>
              </w:rPr>
            </w:pPr>
          </w:p>
        </w:tc>
        <w:tc>
          <w:tcPr>
            <w:tcW w:w="526" w:type="pct"/>
            <w:vAlign w:val="center"/>
          </w:tcPr>
          <w:p w14:paraId="648A9BA1">
            <w:pPr>
              <w:adjustRightInd w:val="0"/>
              <w:snapToGrid w:val="0"/>
              <w:spacing w:line="360" w:lineRule="auto"/>
              <w:rPr>
                <w:rFonts w:ascii="仿宋_GB2312" w:eastAsia="仿宋_GB2312"/>
                <w:color w:val="auto"/>
                <w:sz w:val="24"/>
                <w:highlight w:val="none"/>
              </w:rPr>
            </w:pPr>
          </w:p>
        </w:tc>
      </w:tr>
      <w:tr w14:paraId="30E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000" w:type="pct"/>
            <w:gridSpan w:val="6"/>
            <w:vAlign w:val="center"/>
          </w:tcPr>
          <w:p w14:paraId="643EB8D9">
            <w:pPr>
              <w:adjustRightInd w:val="0"/>
              <w:snapToGrid w:val="0"/>
              <w:spacing w:line="360" w:lineRule="auto"/>
              <w:rPr>
                <w:rFonts w:ascii="仿宋_GB2312" w:eastAsia="仿宋_GB2312"/>
                <w:color w:val="auto"/>
                <w:sz w:val="24"/>
                <w:highlight w:val="none"/>
              </w:rPr>
            </w:pPr>
            <w:r>
              <w:rPr>
                <w:rFonts w:hint="eastAsia" w:ascii="仿宋_GB2312" w:hAnsi="仿宋_GB2312" w:eastAsia="仿宋_GB2312" w:cs="仿宋_GB2312"/>
                <w:b/>
                <w:bCs/>
                <w:color w:val="auto"/>
                <w:sz w:val="24"/>
                <w:highlight w:val="none"/>
              </w:rPr>
              <w:t>总报价 人民币（大写）：    元（小写：</w:t>
            </w:r>
            <w:r>
              <w:rPr>
                <w:rFonts w:hint="eastAsia" w:ascii="宋体" w:hAnsi="宋体" w:eastAsia="宋体" w:cs="宋体"/>
                <w:b/>
                <w:bCs/>
                <w:color w:val="auto"/>
                <w:sz w:val="24"/>
                <w:highlight w:val="none"/>
              </w:rPr>
              <w:t>¥</w:t>
            </w:r>
            <w:r>
              <w:rPr>
                <w:rFonts w:hint="eastAsia" w:ascii="仿宋_GB2312" w:hAnsi="仿宋_GB2312" w:eastAsia="仿宋_GB2312" w:cs="仿宋_GB2312"/>
                <w:b/>
                <w:bCs/>
                <w:color w:val="auto"/>
                <w:sz w:val="24"/>
                <w:highlight w:val="none"/>
              </w:rPr>
              <w:t>元）</w:t>
            </w:r>
          </w:p>
        </w:tc>
      </w:tr>
    </w:tbl>
    <w:p w14:paraId="0F7A0719">
      <w:pPr>
        <w:autoSpaceDE w:val="0"/>
        <w:autoSpaceDN w:val="0"/>
        <w:adjustRightInd w:val="0"/>
        <w:snapToGrid w:val="0"/>
        <w:spacing w:before="120" w:line="360" w:lineRule="auto"/>
        <w:ind w:left="-206" w:leftChars="-98"/>
        <w:jc w:val="left"/>
        <w:rPr>
          <w:rFonts w:eastAsia="仿宋"/>
          <w:color w:val="auto"/>
          <w:kern w:val="0"/>
          <w:sz w:val="24"/>
          <w:szCs w:val="28"/>
          <w:highlight w:val="none"/>
        </w:rPr>
      </w:pPr>
    </w:p>
    <w:p w14:paraId="382EB08A">
      <w:pPr>
        <w:adjustRightInd w:val="0"/>
        <w:snapToGrid w:val="0"/>
        <w:spacing w:line="360" w:lineRule="auto"/>
        <w:ind w:firstLine="120" w:firstLineChars="50"/>
        <w:rPr>
          <w:rFonts w:eastAsia="仿宋_GB2312"/>
          <w:color w:val="auto"/>
          <w:sz w:val="24"/>
          <w:highlight w:val="none"/>
        </w:rPr>
      </w:pPr>
      <w:r>
        <w:rPr>
          <w:rFonts w:hint="eastAsia" w:eastAsia="仿宋_GB2312"/>
          <w:color w:val="auto"/>
          <w:sz w:val="24"/>
          <w:highlight w:val="none"/>
          <w:lang w:eastAsia="zh-CN"/>
        </w:rPr>
        <w:t>供应商</w:t>
      </w:r>
      <w:r>
        <w:rPr>
          <w:rFonts w:eastAsia="仿宋_GB2312"/>
          <w:color w:val="auto"/>
          <w:sz w:val="24"/>
          <w:highlight w:val="none"/>
        </w:rPr>
        <w:t xml:space="preserve">                         法定代表人或授权代表</w:t>
      </w:r>
    </w:p>
    <w:p w14:paraId="381CDC73">
      <w:pPr>
        <w:adjustRightInd w:val="0"/>
        <w:snapToGrid w:val="0"/>
        <w:spacing w:line="360" w:lineRule="auto"/>
        <w:ind w:left="-525" w:leftChars="-250" w:firstLine="720" w:firstLineChars="300"/>
        <w:rPr>
          <w:color w:val="auto"/>
          <w:highlight w:val="none"/>
          <w:lang w:val="zh-CN"/>
        </w:rPr>
      </w:pPr>
      <w:r>
        <w:rPr>
          <w:rFonts w:eastAsia="仿宋_GB2312"/>
          <w:color w:val="auto"/>
          <w:sz w:val="24"/>
          <w:highlight w:val="none"/>
        </w:rPr>
        <w:t>（公章）：                          （</w:t>
      </w:r>
      <w:r>
        <w:rPr>
          <w:rFonts w:hint="eastAsia" w:eastAsia="仿宋_GB2312"/>
          <w:color w:val="auto"/>
          <w:sz w:val="24"/>
          <w:highlight w:val="none"/>
          <w:lang w:eastAsia="zh-CN"/>
        </w:rPr>
        <w:t>签字或盖章</w:t>
      </w:r>
      <w:r>
        <w:rPr>
          <w:rFonts w:eastAsia="仿宋_GB2312"/>
          <w:color w:val="auto"/>
          <w:sz w:val="24"/>
          <w:highlight w:val="none"/>
        </w:rPr>
        <w:t>）：</w:t>
      </w:r>
    </w:p>
    <w:p w14:paraId="586FD724">
      <w:pPr>
        <w:rPr>
          <w:rFonts w:eastAsia="仿宋_GB2312"/>
          <w:color w:val="auto"/>
          <w:sz w:val="24"/>
          <w:highlight w:val="none"/>
          <w:lang w:val="zh-CN"/>
        </w:rPr>
      </w:pPr>
      <w:r>
        <w:rPr>
          <w:rFonts w:eastAsia="仿宋_GB2312"/>
          <w:color w:val="auto"/>
          <w:sz w:val="24"/>
          <w:highlight w:val="none"/>
          <w:lang w:val="zh-CN"/>
        </w:rPr>
        <w:br w:type="page"/>
      </w:r>
    </w:p>
    <w:p w14:paraId="2A0B1D89">
      <w:pPr>
        <w:adjustRightInd w:val="0"/>
        <w:snapToGrid w:val="0"/>
        <w:spacing w:line="360" w:lineRule="auto"/>
        <w:jc w:val="center"/>
        <w:rPr>
          <w:rFonts w:eastAsia="仿宋_GB2312"/>
          <w:b/>
          <w:color w:val="auto"/>
          <w:sz w:val="42"/>
          <w:highlight w:val="none"/>
        </w:rPr>
        <w:sectPr>
          <w:footerReference r:id="rId8" w:type="default"/>
          <w:pgSz w:w="11906" w:h="16838"/>
          <w:pgMar w:top="1418" w:right="1418" w:bottom="1418" w:left="1418" w:header="851" w:footer="992" w:gutter="0"/>
          <w:pgNumType w:start="1"/>
          <w:cols w:space="720" w:num="1"/>
          <w:docGrid w:linePitch="312" w:charSpace="0"/>
        </w:sectPr>
      </w:pPr>
    </w:p>
    <w:p w14:paraId="0FB8D615">
      <w:pPr>
        <w:pStyle w:val="4"/>
        <w:jc w:val="center"/>
        <w:rPr>
          <w:rFonts w:ascii="仿宋_GB2312" w:hAnsi="仿宋_GB2312" w:eastAsia="仿宋_GB2312" w:cs="仿宋_GB2312"/>
          <w:b/>
          <w:bCs/>
          <w:color w:val="auto"/>
          <w:highlight w:val="none"/>
        </w:rPr>
      </w:pPr>
      <w:bookmarkStart w:id="510" w:name="_Toc15171"/>
      <w:bookmarkStart w:id="511" w:name="_Toc30345"/>
      <w:r>
        <w:rPr>
          <w:rFonts w:ascii="仿宋_GB2312" w:hAnsi="仿宋_GB2312" w:eastAsia="仿宋_GB2312" w:cs="仿宋_GB2312"/>
          <w:b/>
          <w:bCs/>
          <w:color w:val="auto"/>
          <w:highlight w:val="none"/>
        </w:rPr>
        <w:t>第三部分  偏离表</w:t>
      </w:r>
      <w:bookmarkEnd w:id="510"/>
      <w:bookmarkEnd w:id="511"/>
    </w:p>
    <w:p w14:paraId="4366BEC0">
      <w:pPr>
        <w:rPr>
          <w:rFonts w:eastAsia="仿宋_GB2312"/>
          <w:color w:val="auto"/>
          <w:highlight w:val="none"/>
        </w:rPr>
      </w:pPr>
    </w:p>
    <w:p w14:paraId="258638DC">
      <w:pPr>
        <w:tabs>
          <w:tab w:val="left" w:pos="588"/>
        </w:tabs>
        <w:jc w:val="center"/>
        <w:outlineLvl w:val="9"/>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t>一、商务、合同条款偏离表</w:t>
      </w:r>
    </w:p>
    <w:p w14:paraId="2E41D0BE">
      <w:pPr>
        <w:pStyle w:val="2"/>
        <w:rPr>
          <w:rFonts w:ascii="Times New Roman" w:hAnsi="Times New Roman" w:eastAsia="仿宋_GB2312"/>
          <w:color w:val="auto"/>
          <w:sz w:val="24"/>
          <w:highlight w:val="none"/>
        </w:rPr>
      </w:pPr>
    </w:p>
    <w:p w14:paraId="4F8F0CDD">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项目编号：</w:t>
      </w:r>
    </w:p>
    <w:p w14:paraId="1E17020F">
      <w:pPr>
        <w:pStyle w:val="2"/>
        <w:rPr>
          <w:rFonts w:ascii="Times New Roman" w:hAnsi="Times New Roman" w:eastAsia="仿宋_GB2312"/>
          <w:color w:val="auto"/>
          <w:sz w:val="24"/>
          <w:highlight w:val="none"/>
        </w:rPr>
      </w:pPr>
      <w:r>
        <w:rPr>
          <w:rFonts w:ascii="Times New Roman" w:hAnsi="Times New Roman" w:eastAsia="仿宋_GB2312"/>
          <w:color w:val="auto"/>
          <w:sz w:val="24"/>
          <w:highlight w:val="none"/>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23BF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jc w:val="center"/>
        </w:trPr>
        <w:tc>
          <w:tcPr>
            <w:tcW w:w="780" w:type="dxa"/>
            <w:vAlign w:val="center"/>
          </w:tcPr>
          <w:p w14:paraId="12075483">
            <w:pPr>
              <w:pStyle w:val="28"/>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序号</w:t>
            </w:r>
          </w:p>
        </w:tc>
        <w:tc>
          <w:tcPr>
            <w:tcW w:w="2835" w:type="dxa"/>
            <w:vAlign w:val="center"/>
          </w:tcPr>
          <w:p w14:paraId="7977CC06">
            <w:pPr>
              <w:pStyle w:val="28"/>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磋商文件商务、合同条款</w:t>
            </w:r>
          </w:p>
        </w:tc>
        <w:tc>
          <w:tcPr>
            <w:tcW w:w="1701" w:type="dxa"/>
            <w:vAlign w:val="center"/>
          </w:tcPr>
          <w:p w14:paraId="35A81B6D">
            <w:pPr>
              <w:pStyle w:val="28"/>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完全响应</w:t>
            </w:r>
          </w:p>
        </w:tc>
        <w:tc>
          <w:tcPr>
            <w:tcW w:w="1417" w:type="dxa"/>
            <w:vAlign w:val="center"/>
          </w:tcPr>
          <w:p w14:paraId="50C94A0C">
            <w:pPr>
              <w:pStyle w:val="28"/>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有偏离</w:t>
            </w:r>
          </w:p>
        </w:tc>
        <w:tc>
          <w:tcPr>
            <w:tcW w:w="2195" w:type="dxa"/>
            <w:vAlign w:val="center"/>
          </w:tcPr>
          <w:p w14:paraId="0B2E76D2">
            <w:pPr>
              <w:pStyle w:val="28"/>
              <w:jc w:val="center"/>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偏离简述</w:t>
            </w:r>
          </w:p>
        </w:tc>
      </w:tr>
      <w:tr w14:paraId="097C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0A1B2B6">
            <w:pPr>
              <w:pStyle w:val="28"/>
              <w:jc w:val="center"/>
              <w:rPr>
                <w:rFonts w:ascii="Times New Roman" w:hAnsi="Times New Roman" w:eastAsia="仿宋_GB2312"/>
                <w:color w:val="auto"/>
                <w:sz w:val="24"/>
                <w:szCs w:val="24"/>
                <w:highlight w:val="none"/>
              </w:rPr>
            </w:pPr>
          </w:p>
        </w:tc>
        <w:tc>
          <w:tcPr>
            <w:tcW w:w="2835" w:type="dxa"/>
          </w:tcPr>
          <w:p w14:paraId="1F427853">
            <w:pPr>
              <w:pStyle w:val="28"/>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lang w:eastAsia="zh-CN"/>
              </w:rPr>
              <w:t>服务</w:t>
            </w:r>
            <w:r>
              <w:rPr>
                <w:rFonts w:ascii="Times New Roman" w:hAnsi="Times New Roman" w:eastAsia="仿宋_GB2312"/>
                <w:color w:val="auto"/>
                <w:sz w:val="24"/>
                <w:szCs w:val="24"/>
                <w:highlight w:val="none"/>
              </w:rPr>
              <w:t>地点</w:t>
            </w:r>
          </w:p>
        </w:tc>
        <w:tc>
          <w:tcPr>
            <w:tcW w:w="1701" w:type="dxa"/>
          </w:tcPr>
          <w:p w14:paraId="61FAFED2">
            <w:pPr>
              <w:pStyle w:val="28"/>
              <w:jc w:val="center"/>
              <w:rPr>
                <w:rFonts w:ascii="Times New Roman" w:hAnsi="Times New Roman" w:eastAsia="仿宋_GB2312"/>
                <w:color w:val="auto"/>
                <w:sz w:val="24"/>
                <w:szCs w:val="24"/>
                <w:highlight w:val="none"/>
              </w:rPr>
            </w:pPr>
          </w:p>
        </w:tc>
        <w:tc>
          <w:tcPr>
            <w:tcW w:w="1417" w:type="dxa"/>
          </w:tcPr>
          <w:p w14:paraId="69D583DA">
            <w:pPr>
              <w:pStyle w:val="28"/>
              <w:jc w:val="center"/>
              <w:rPr>
                <w:rFonts w:ascii="Times New Roman" w:hAnsi="Times New Roman" w:eastAsia="仿宋_GB2312"/>
                <w:color w:val="auto"/>
                <w:sz w:val="24"/>
                <w:szCs w:val="24"/>
                <w:highlight w:val="none"/>
              </w:rPr>
            </w:pPr>
          </w:p>
        </w:tc>
        <w:tc>
          <w:tcPr>
            <w:tcW w:w="2195" w:type="dxa"/>
          </w:tcPr>
          <w:p w14:paraId="1656AD56">
            <w:pPr>
              <w:pStyle w:val="28"/>
              <w:jc w:val="center"/>
              <w:rPr>
                <w:rFonts w:ascii="Times New Roman" w:hAnsi="Times New Roman" w:eastAsia="仿宋_GB2312"/>
                <w:color w:val="auto"/>
                <w:sz w:val="24"/>
                <w:szCs w:val="24"/>
                <w:highlight w:val="none"/>
              </w:rPr>
            </w:pPr>
          </w:p>
        </w:tc>
      </w:tr>
      <w:tr w14:paraId="68A5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CDE6AAF">
            <w:pPr>
              <w:pStyle w:val="28"/>
              <w:ind w:left="1080" w:leftChars="257" w:hanging="540"/>
              <w:rPr>
                <w:rFonts w:ascii="Times New Roman" w:hAnsi="Times New Roman" w:eastAsia="仿宋_GB2312"/>
                <w:color w:val="auto"/>
                <w:sz w:val="24"/>
                <w:szCs w:val="24"/>
                <w:highlight w:val="none"/>
              </w:rPr>
            </w:pPr>
          </w:p>
        </w:tc>
        <w:tc>
          <w:tcPr>
            <w:tcW w:w="2835" w:type="dxa"/>
            <w:vAlign w:val="center"/>
          </w:tcPr>
          <w:p w14:paraId="465FB4D8">
            <w:pPr>
              <w:spacing w:line="360" w:lineRule="auto"/>
              <w:jc w:val="center"/>
              <w:rPr>
                <w:rFonts w:eastAsia="仿宋_GB2312"/>
                <w:bCs/>
                <w:color w:val="auto"/>
                <w:sz w:val="24"/>
                <w:highlight w:val="none"/>
              </w:rPr>
            </w:pPr>
            <w:r>
              <w:rPr>
                <w:rFonts w:hint="eastAsia" w:eastAsia="仿宋_GB2312"/>
                <w:bCs/>
                <w:color w:val="auto"/>
                <w:sz w:val="24"/>
                <w:highlight w:val="none"/>
                <w:lang w:eastAsia="zh-CN"/>
              </w:rPr>
              <w:t>服务</w:t>
            </w:r>
            <w:r>
              <w:rPr>
                <w:rFonts w:eastAsia="仿宋_GB2312"/>
                <w:bCs/>
                <w:color w:val="auto"/>
                <w:sz w:val="24"/>
                <w:highlight w:val="none"/>
              </w:rPr>
              <w:t>期</w:t>
            </w:r>
          </w:p>
        </w:tc>
        <w:tc>
          <w:tcPr>
            <w:tcW w:w="1701" w:type="dxa"/>
          </w:tcPr>
          <w:p w14:paraId="34877CDE">
            <w:pPr>
              <w:pStyle w:val="28"/>
              <w:ind w:left="1080" w:leftChars="257" w:hanging="540"/>
              <w:jc w:val="center"/>
              <w:rPr>
                <w:rFonts w:ascii="Times New Roman" w:hAnsi="Times New Roman" w:eastAsia="仿宋_GB2312"/>
                <w:color w:val="auto"/>
                <w:sz w:val="24"/>
                <w:szCs w:val="24"/>
                <w:highlight w:val="none"/>
              </w:rPr>
            </w:pPr>
          </w:p>
        </w:tc>
        <w:tc>
          <w:tcPr>
            <w:tcW w:w="1417" w:type="dxa"/>
          </w:tcPr>
          <w:p w14:paraId="00A6BC82">
            <w:pPr>
              <w:pStyle w:val="28"/>
              <w:ind w:left="1080" w:leftChars="257" w:hanging="540"/>
              <w:jc w:val="center"/>
              <w:rPr>
                <w:rFonts w:ascii="Times New Roman" w:hAnsi="Times New Roman" w:eastAsia="仿宋_GB2312"/>
                <w:color w:val="auto"/>
                <w:sz w:val="24"/>
                <w:szCs w:val="24"/>
                <w:highlight w:val="none"/>
              </w:rPr>
            </w:pPr>
          </w:p>
        </w:tc>
        <w:tc>
          <w:tcPr>
            <w:tcW w:w="2195" w:type="dxa"/>
          </w:tcPr>
          <w:p w14:paraId="3E9AD226">
            <w:pPr>
              <w:pStyle w:val="28"/>
              <w:ind w:left="1080" w:leftChars="257" w:hanging="540"/>
              <w:rPr>
                <w:rFonts w:ascii="Times New Roman" w:hAnsi="Times New Roman" w:eastAsia="仿宋_GB2312"/>
                <w:color w:val="auto"/>
                <w:sz w:val="24"/>
                <w:szCs w:val="24"/>
                <w:highlight w:val="none"/>
              </w:rPr>
            </w:pPr>
          </w:p>
        </w:tc>
      </w:tr>
      <w:tr w14:paraId="6B4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2229DE8E">
            <w:pPr>
              <w:pStyle w:val="28"/>
              <w:ind w:left="1080" w:leftChars="257" w:hanging="540"/>
              <w:rPr>
                <w:rFonts w:ascii="Times New Roman" w:hAnsi="Times New Roman" w:eastAsia="仿宋_GB2312"/>
                <w:color w:val="auto"/>
                <w:sz w:val="24"/>
                <w:szCs w:val="24"/>
                <w:highlight w:val="none"/>
              </w:rPr>
            </w:pPr>
          </w:p>
        </w:tc>
        <w:tc>
          <w:tcPr>
            <w:tcW w:w="2835" w:type="dxa"/>
            <w:vAlign w:val="center"/>
          </w:tcPr>
          <w:p w14:paraId="5EA48DF8">
            <w:pPr>
              <w:spacing w:line="360" w:lineRule="auto"/>
              <w:jc w:val="center"/>
              <w:rPr>
                <w:rFonts w:eastAsia="仿宋_GB2312"/>
                <w:bCs/>
                <w:color w:val="auto"/>
                <w:sz w:val="24"/>
                <w:highlight w:val="none"/>
              </w:rPr>
            </w:pPr>
            <w:r>
              <w:rPr>
                <w:rFonts w:eastAsia="仿宋_GB2312"/>
                <w:bCs/>
                <w:color w:val="auto"/>
                <w:sz w:val="24"/>
                <w:highlight w:val="none"/>
              </w:rPr>
              <w:t>付款方式</w:t>
            </w:r>
          </w:p>
        </w:tc>
        <w:tc>
          <w:tcPr>
            <w:tcW w:w="1701" w:type="dxa"/>
          </w:tcPr>
          <w:p w14:paraId="51C520E5">
            <w:pPr>
              <w:pStyle w:val="28"/>
              <w:ind w:left="1080" w:leftChars="257" w:hanging="540"/>
              <w:rPr>
                <w:rFonts w:ascii="Times New Roman" w:hAnsi="Times New Roman" w:eastAsia="仿宋_GB2312"/>
                <w:color w:val="auto"/>
                <w:sz w:val="24"/>
                <w:szCs w:val="24"/>
                <w:highlight w:val="none"/>
              </w:rPr>
            </w:pPr>
          </w:p>
        </w:tc>
        <w:tc>
          <w:tcPr>
            <w:tcW w:w="1417" w:type="dxa"/>
          </w:tcPr>
          <w:p w14:paraId="377E2A6D">
            <w:pPr>
              <w:pStyle w:val="28"/>
              <w:ind w:left="1080" w:leftChars="257" w:hanging="540"/>
              <w:rPr>
                <w:rFonts w:ascii="Times New Roman" w:hAnsi="Times New Roman" w:eastAsia="仿宋_GB2312"/>
                <w:color w:val="auto"/>
                <w:sz w:val="24"/>
                <w:szCs w:val="24"/>
                <w:highlight w:val="none"/>
              </w:rPr>
            </w:pPr>
          </w:p>
        </w:tc>
        <w:tc>
          <w:tcPr>
            <w:tcW w:w="2195" w:type="dxa"/>
          </w:tcPr>
          <w:p w14:paraId="4D2194E2">
            <w:pPr>
              <w:pStyle w:val="28"/>
              <w:ind w:left="1080" w:leftChars="257" w:hanging="540"/>
              <w:rPr>
                <w:rFonts w:ascii="Times New Roman" w:hAnsi="Times New Roman" w:eastAsia="仿宋_GB2312"/>
                <w:color w:val="auto"/>
                <w:sz w:val="24"/>
                <w:szCs w:val="24"/>
                <w:highlight w:val="none"/>
              </w:rPr>
            </w:pPr>
          </w:p>
        </w:tc>
      </w:tr>
      <w:tr w14:paraId="6FC2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053F54F">
            <w:pPr>
              <w:pStyle w:val="28"/>
              <w:ind w:left="1080" w:leftChars="257" w:hanging="540"/>
              <w:rPr>
                <w:rFonts w:ascii="Times New Roman" w:hAnsi="Times New Roman" w:eastAsia="仿宋_GB2312"/>
                <w:color w:val="auto"/>
                <w:sz w:val="24"/>
                <w:szCs w:val="24"/>
                <w:highlight w:val="none"/>
              </w:rPr>
            </w:pPr>
          </w:p>
        </w:tc>
        <w:tc>
          <w:tcPr>
            <w:tcW w:w="2835" w:type="dxa"/>
            <w:vAlign w:val="center"/>
          </w:tcPr>
          <w:p w14:paraId="301C44BA">
            <w:pPr>
              <w:spacing w:line="360" w:lineRule="auto"/>
              <w:jc w:val="center"/>
              <w:rPr>
                <w:rFonts w:hint="eastAsia" w:eastAsia="仿宋_GB2312"/>
                <w:bCs/>
                <w:color w:val="auto"/>
                <w:sz w:val="24"/>
                <w:highlight w:val="none"/>
                <w:lang w:eastAsia="zh-CN"/>
              </w:rPr>
            </w:pPr>
            <w:r>
              <w:rPr>
                <w:rFonts w:eastAsia="仿宋_GB2312"/>
                <w:color w:val="auto"/>
                <w:sz w:val="24"/>
                <w:highlight w:val="none"/>
              </w:rPr>
              <w:t>….</w:t>
            </w:r>
          </w:p>
        </w:tc>
        <w:tc>
          <w:tcPr>
            <w:tcW w:w="1701" w:type="dxa"/>
          </w:tcPr>
          <w:p w14:paraId="25C0BD25">
            <w:pPr>
              <w:pStyle w:val="28"/>
              <w:ind w:left="1080" w:leftChars="257" w:hanging="540"/>
              <w:rPr>
                <w:rFonts w:ascii="Times New Roman" w:hAnsi="Times New Roman" w:eastAsia="仿宋_GB2312"/>
                <w:color w:val="auto"/>
                <w:sz w:val="24"/>
                <w:szCs w:val="24"/>
                <w:highlight w:val="none"/>
              </w:rPr>
            </w:pPr>
          </w:p>
        </w:tc>
        <w:tc>
          <w:tcPr>
            <w:tcW w:w="1417" w:type="dxa"/>
          </w:tcPr>
          <w:p w14:paraId="55C11BBF">
            <w:pPr>
              <w:pStyle w:val="28"/>
              <w:ind w:left="1080" w:leftChars="257" w:hanging="540"/>
              <w:rPr>
                <w:rFonts w:ascii="Times New Roman" w:hAnsi="Times New Roman" w:eastAsia="仿宋_GB2312"/>
                <w:color w:val="auto"/>
                <w:sz w:val="24"/>
                <w:szCs w:val="24"/>
                <w:highlight w:val="none"/>
              </w:rPr>
            </w:pPr>
          </w:p>
        </w:tc>
        <w:tc>
          <w:tcPr>
            <w:tcW w:w="2195" w:type="dxa"/>
          </w:tcPr>
          <w:p w14:paraId="4445A47F">
            <w:pPr>
              <w:pStyle w:val="28"/>
              <w:ind w:left="1080" w:leftChars="257" w:hanging="540"/>
              <w:rPr>
                <w:rFonts w:ascii="Times New Roman" w:hAnsi="Times New Roman" w:eastAsia="仿宋_GB2312"/>
                <w:color w:val="auto"/>
                <w:sz w:val="24"/>
                <w:szCs w:val="24"/>
                <w:highlight w:val="none"/>
              </w:rPr>
            </w:pPr>
          </w:p>
        </w:tc>
      </w:tr>
      <w:tr w14:paraId="6D4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3AFF428">
            <w:pPr>
              <w:pStyle w:val="28"/>
              <w:ind w:left="1080" w:leftChars="257" w:hanging="540"/>
              <w:rPr>
                <w:rFonts w:ascii="Times New Roman" w:hAnsi="Times New Roman" w:eastAsia="仿宋_GB2312"/>
                <w:color w:val="auto"/>
                <w:sz w:val="24"/>
                <w:szCs w:val="24"/>
                <w:highlight w:val="none"/>
              </w:rPr>
            </w:pPr>
          </w:p>
        </w:tc>
        <w:tc>
          <w:tcPr>
            <w:tcW w:w="2835" w:type="dxa"/>
            <w:vAlign w:val="center"/>
          </w:tcPr>
          <w:p w14:paraId="05FD88B2">
            <w:pPr>
              <w:spacing w:line="360" w:lineRule="auto"/>
              <w:jc w:val="center"/>
              <w:rPr>
                <w:rFonts w:eastAsia="仿宋_GB2312"/>
                <w:bCs/>
                <w:color w:val="auto"/>
                <w:sz w:val="24"/>
                <w:highlight w:val="none"/>
              </w:rPr>
            </w:pPr>
          </w:p>
        </w:tc>
        <w:tc>
          <w:tcPr>
            <w:tcW w:w="1701" w:type="dxa"/>
          </w:tcPr>
          <w:p w14:paraId="44A361DC">
            <w:pPr>
              <w:pStyle w:val="28"/>
              <w:ind w:left="1080" w:leftChars="257" w:hanging="540"/>
              <w:rPr>
                <w:rFonts w:ascii="Times New Roman" w:hAnsi="Times New Roman" w:eastAsia="仿宋_GB2312"/>
                <w:color w:val="auto"/>
                <w:sz w:val="24"/>
                <w:szCs w:val="24"/>
                <w:highlight w:val="none"/>
              </w:rPr>
            </w:pPr>
          </w:p>
        </w:tc>
        <w:tc>
          <w:tcPr>
            <w:tcW w:w="1417" w:type="dxa"/>
          </w:tcPr>
          <w:p w14:paraId="7C5C8D6B">
            <w:pPr>
              <w:pStyle w:val="28"/>
              <w:ind w:left="1080" w:leftChars="257" w:hanging="540"/>
              <w:rPr>
                <w:rFonts w:ascii="Times New Roman" w:hAnsi="Times New Roman" w:eastAsia="仿宋_GB2312"/>
                <w:color w:val="auto"/>
                <w:sz w:val="24"/>
                <w:szCs w:val="24"/>
                <w:highlight w:val="none"/>
              </w:rPr>
            </w:pPr>
          </w:p>
        </w:tc>
        <w:tc>
          <w:tcPr>
            <w:tcW w:w="2195" w:type="dxa"/>
          </w:tcPr>
          <w:p w14:paraId="6FAEE5CC">
            <w:pPr>
              <w:pStyle w:val="28"/>
              <w:ind w:left="1080" w:leftChars="257" w:hanging="540"/>
              <w:rPr>
                <w:rFonts w:ascii="Times New Roman" w:hAnsi="Times New Roman" w:eastAsia="仿宋_GB2312"/>
                <w:color w:val="auto"/>
                <w:sz w:val="24"/>
                <w:szCs w:val="24"/>
                <w:highlight w:val="none"/>
              </w:rPr>
            </w:pPr>
          </w:p>
        </w:tc>
      </w:tr>
      <w:tr w14:paraId="42A0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E276F05">
            <w:pPr>
              <w:pStyle w:val="28"/>
              <w:ind w:left="1080" w:leftChars="257" w:hanging="540"/>
              <w:rPr>
                <w:rFonts w:ascii="Times New Roman" w:hAnsi="Times New Roman" w:eastAsia="仿宋_GB2312"/>
                <w:color w:val="auto"/>
                <w:sz w:val="24"/>
                <w:szCs w:val="24"/>
                <w:highlight w:val="none"/>
              </w:rPr>
            </w:pPr>
          </w:p>
        </w:tc>
        <w:tc>
          <w:tcPr>
            <w:tcW w:w="2835" w:type="dxa"/>
            <w:vAlign w:val="center"/>
          </w:tcPr>
          <w:p w14:paraId="13DDED05">
            <w:pPr>
              <w:spacing w:line="360" w:lineRule="auto"/>
              <w:jc w:val="center"/>
              <w:rPr>
                <w:rFonts w:eastAsia="仿宋_GB2312"/>
                <w:bCs/>
                <w:color w:val="auto"/>
                <w:sz w:val="24"/>
                <w:highlight w:val="none"/>
              </w:rPr>
            </w:pPr>
          </w:p>
        </w:tc>
        <w:tc>
          <w:tcPr>
            <w:tcW w:w="1701" w:type="dxa"/>
          </w:tcPr>
          <w:p w14:paraId="26E82B11">
            <w:pPr>
              <w:pStyle w:val="28"/>
              <w:ind w:left="1080" w:leftChars="257" w:hanging="540"/>
              <w:rPr>
                <w:rFonts w:ascii="Times New Roman" w:hAnsi="Times New Roman" w:eastAsia="仿宋_GB2312"/>
                <w:color w:val="auto"/>
                <w:sz w:val="24"/>
                <w:szCs w:val="24"/>
                <w:highlight w:val="none"/>
              </w:rPr>
            </w:pPr>
          </w:p>
        </w:tc>
        <w:tc>
          <w:tcPr>
            <w:tcW w:w="1417" w:type="dxa"/>
          </w:tcPr>
          <w:p w14:paraId="779F7F43">
            <w:pPr>
              <w:pStyle w:val="28"/>
              <w:ind w:left="1080" w:leftChars="257" w:hanging="540"/>
              <w:rPr>
                <w:rFonts w:ascii="Times New Roman" w:hAnsi="Times New Roman" w:eastAsia="仿宋_GB2312"/>
                <w:color w:val="auto"/>
                <w:sz w:val="24"/>
                <w:szCs w:val="24"/>
                <w:highlight w:val="none"/>
              </w:rPr>
            </w:pPr>
          </w:p>
        </w:tc>
        <w:tc>
          <w:tcPr>
            <w:tcW w:w="2195" w:type="dxa"/>
          </w:tcPr>
          <w:p w14:paraId="20E44ED7">
            <w:pPr>
              <w:pStyle w:val="28"/>
              <w:ind w:left="1080" w:leftChars="257" w:hanging="540"/>
              <w:rPr>
                <w:rFonts w:ascii="Times New Roman" w:hAnsi="Times New Roman" w:eastAsia="仿宋_GB2312"/>
                <w:color w:val="auto"/>
                <w:sz w:val="24"/>
                <w:szCs w:val="24"/>
                <w:highlight w:val="none"/>
              </w:rPr>
            </w:pPr>
          </w:p>
        </w:tc>
      </w:tr>
      <w:tr w14:paraId="79C4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CC7532A">
            <w:pPr>
              <w:pStyle w:val="28"/>
              <w:ind w:left="1080" w:leftChars="257" w:hanging="540"/>
              <w:rPr>
                <w:rFonts w:ascii="Times New Roman" w:hAnsi="Times New Roman" w:eastAsia="仿宋_GB2312"/>
                <w:color w:val="auto"/>
                <w:sz w:val="24"/>
                <w:szCs w:val="24"/>
                <w:highlight w:val="none"/>
              </w:rPr>
            </w:pPr>
          </w:p>
        </w:tc>
        <w:tc>
          <w:tcPr>
            <w:tcW w:w="2835" w:type="dxa"/>
          </w:tcPr>
          <w:p w14:paraId="15FE0782">
            <w:pPr>
              <w:pStyle w:val="28"/>
              <w:ind w:left="1080" w:leftChars="257" w:hanging="540"/>
              <w:rPr>
                <w:rFonts w:ascii="Times New Roman" w:hAnsi="Times New Roman" w:eastAsia="仿宋_GB2312"/>
                <w:color w:val="auto"/>
                <w:sz w:val="24"/>
                <w:szCs w:val="24"/>
                <w:highlight w:val="none"/>
              </w:rPr>
            </w:pPr>
          </w:p>
        </w:tc>
        <w:tc>
          <w:tcPr>
            <w:tcW w:w="1701" w:type="dxa"/>
          </w:tcPr>
          <w:p w14:paraId="6F116E09">
            <w:pPr>
              <w:pStyle w:val="28"/>
              <w:ind w:left="1080" w:leftChars="257" w:hanging="540"/>
              <w:rPr>
                <w:rFonts w:ascii="Times New Roman" w:hAnsi="Times New Roman" w:eastAsia="仿宋_GB2312"/>
                <w:color w:val="auto"/>
                <w:sz w:val="24"/>
                <w:szCs w:val="24"/>
                <w:highlight w:val="none"/>
              </w:rPr>
            </w:pPr>
          </w:p>
        </w:tc>
        <w:tc>
          <w:tcPr>
            <w:tcW w:w="1417" w:type="dxa"/>
          </w:tcPr>
          <w:p w14:paraId="5F6C774F">
            <w:pPr>
              <w:pStyle w:val="28"/>
              <w:ind w:left="1080" w:leftChars="257" w:hanging="540"/>
              <w:rPr>
                <w:rFonts w:ascii="Times New Roman" w:hAnsi="Times New Roman" w:eastAsia="仿宋_GB2312"/>
                <w:color w:val="auto"/>
                <w:sz w:val="24"/>
                <w:szCs w:val="24"/>
                <w:highlight w:val="none"/>
              </w:rPr>
            </w:pPr>
          </w:p>
        </w:tc>
        <w:tc>
          <w:tcPr>
            <w:tcW w:w="2195" w:type="dxa"/>
          </w:tcPr>
          <w:p w14:paraId="541A59EC">
            <w:pPr>
              <w:pStyle w:val="28"/>
              <w:ind w:left="1080" w:leftChars="257" w:hanging="540"/>
              <w:rPr>
                <w:rFonts w:ascii="Times New Roman" w:hAnsi="Times New Roman" w:eastAsia="仿宋_GB2312"/>
                <w:color w:val="auto"/>
                <w:sz w:val="24"/>
                <w:szCs w:val="24"/>
                <w:highlight w:val="none"/>
              </w:rPr>
            </w:pPr>
          </w:p>
        </w:tc>
      </w:tr>
      <w:tr w14:paraId="4249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A0917E0">
            <w:pPr>
              <w:pStyle w:val="28"/>
              <w:ind w:left="1080" w:leftChars="257" w:hanging="540"/>
              <w:rPr>
                <w:rFonts w:ascii="Times New Roman" w:hAnsi="Times New Roman" w:eastAsia="仿宋_GB2312"/>
                <w:color w:val="auto"/>
                <w:sz w:val="24"/>
                <w:szCs w:val="24"/>
                <w:highlight w:val="none"/>
              </w:rPr>
            </w:pPr>
          </w:p>
        </w:tc>
        <w:tc>
          <w:tcPr>
            <w:tcW w:w="2835" w:type="dxa"/>
          </w:tcPr>
          <w:p w14:paraId="5861AA85">
            <w:pPr>
              <w:pStyle w:val="28"/>
              <w:ind w:left="1080" w:leftChars="257" w:hanging="540"/>
              <w:rPr>
                <w:rFonts w:ascii="Times New Roman" w:hAnsi="Times New Roman" w:eastAsia="仿宋_GB2312"/>
                <w:color w:val="auto"/>
                <w:sz w:val="24"/>
                <w:szCs w:val="24"/>
                <w:highlight w:val="none"/>
              </w:rPr>
            </w:pPr>
          </w:p>
        </w:tc>
        <w:tc>
          <w:tcPr>
            <w:tcW w:w="1701" w:type="dxa"/>
          </w:tcPr>
          <w:p w14:paraId="5A866BA3">
            <w:pPr>
              <w:pStyle w:val="28"/>
              <w:ind w:left="1080" w:leftChars="257" w:hanging="540"/>
              <w:rPr>
                <w:rFonts w:ascii="Times New Roman" w:hAnsi="Times New Roman" w:eastAsia="仿宋_GB2312"/>
                <w:color w:val="auto"/>
                <w:sz w:val="24"/>
                <w:szCs w:val="24"/>
                <w:highlight w:val="none"/>
              </w:rPr>
            </w:pPr>
          </w:p>
        </w:tc>
        <w:tc>
          <w:tcPr>
            <w:tcW w:w="1417" w:type="dxa"/>
          </w:tcPr>
          <w:p w14:paraId="6078A943">
            <w:pPr>
              <w:pStyle w:val="28"/>
              <w:ind w:left="1080" w:leftChars="257" w:hanging="540"/>
              <w:rPr>
                <w:rFonts w:ascii="Times New Roman" w:hAnsi="Times New Roman" w:eastAsia="仿宋_GB2312"/>
                <w:color w:val="auto"/>
                <w:sz w:val="24"/>
                <w:szCs w:val="24"/>
                <w:highlight w:val="none"/>
              </w:rPr>
            </w:pPr>
          </w:p>
        </w:tc>
        <w:tc>
          <w:tcPr>
            <w:tcW w:w="2195" w:type="dxa"/>
          </w:tcPr>
          <w:p w14:paraId="63CC824D">
            <w:pPr>
              <w:pStyle w:val="28"/>
              <w:ind w:left="1080" w:leftChars="257" w:hanging="540"/>
              <w:rPr>
                <w:rFonts w:ascii="Times New Roman" w:hAnsi="Times New Roman" w:eastAsia="仿宋_GB2312"/>
                <w:color w:val="auto"/>
                <w:sz w:val="24"/>
                <w:szCs w:val="24"/>
                <w:highlight w:val="none"/>
              </w:rPr>
            </w:pPr>
          </w:p>
        </w:tc>
      </w:tr>
      <w:tr w14:paraId="7A80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4261136">
            <w:pPr>
              <w:pStyle w:val="28"/>
              <w:ind w:left="1080" w:leftChars="257" w:hanging="540"/>
              <w:rPr>
                <w:rFonts w:ascii="Times New Roman" w:hAnsi="Times New Roman" w:eastAsia="仿宋_GB2312"/>
                <w:color w:val="auto"/>
                <w:sz w:val="24"/>
                <w:szCs w:val="24"/>
                <w:highlight w:val="none"/>
              </w:rPr>
            </w:pPr>
          </w:p>
        </w:tc>
        <w:tc>
          <w:tcPr>
            <w:tcW w:w="2835" w:type="dxa"/>
          </w:tcPr>
          <w:p w14:paraId="4448F5BF">
            <w:pPr>
              <w:pStyle w:val="28"/>
              <w:ind w:left="1080" w:leftChars="257" w:hanging="540"/>
              <w:rPr>
                <w:rFonts w:ascii="Times New Roman" w:hAnsi="Times New Roman" w:eastAsia="仿宋_GB2312"/>
                <w:color w:val="auto"/>
                <w:sz w:val="24"/>
                <w:szCs w:val="24"/>
                <w:highlight w:val="none"/>
              </w:rPr>
            </w:pPr>
          </w:p>
        </w:tc>
        <w:tc>
          <w:tcPr>
            <w:tcW w:w="1701" w:type="dxa"/>
          </w:tcPr>
          <w:p w14:paraId="41379A39">
            <w:pPr>
              <w:pStyle w:val="28"/>
              <w:ind w:left="1080" w:leftChars="257" w:hanging="540"/>
              <w:rPr>
                <w:rFonts w:ascii="Times New Roman" w:hAnsi="Times New Roman" w:eastAsia="仿宋_GB2312"/>
                <w:color w:val="auto"/>
                <w:sz w:val="24"/>
                <w:szCs w:val="24"/>
                <w:highlight w:val="none"/>
              </w:rPr>
            </w:pPr>
          </w:p>
        </w:tc>
        <w:tc>
          <w:tcPr>
            <w:tcW w:w="1417" w:type="dxa"/>
          </w:tcPr>
          <w:p w14:paraId="6C1D22B0">
            <w:pPr>
              <w:pStyle w:val="28"/>
              <w:ind w:left="1080" w:leftChars="257" w:hanging="540"/>
              <w:rPr>
                <w:rFonts w:ascii="Times New Roman" w:hAnsi="Times New Roman" w:eastAsia="仿宋_GB2312"/>
                <w:color w:val="auto"/>
                <w:sz w:val="24"/>
                <w:szCs w:val="24"/>
                <w:highlight w:val="none"/>
              </w:rPr>
            </w:pPr>
          </w:p>
        </w:tc>
        <w:tc>
          <w:tcPr>
            <w:tcW w:w="2195" w:type="dxa"/>
          </w:tcPr>
          <w:p w14:paraId="0E08DE28">
            <w:pPr>
              <w:pStyle w:val="28"/>
              <w:ind w:left="1080" w:leftChars="257" w:hanging="540"/>
              <w:rPr>
                <w:rFonts w:ascii="Times New Roman" w:hAnsi="Times New Roman" w:eastAsia="仿宋_GB2312"/>
                <w:color w:val="auto"/>
                <w:sz w:val="24"/>
                <w:szCs w:val="24"/>
                <w:highlight w:val="none"/>
              </w:rPr>
            </w:pPr>
          </w:p>
        </w:tc>
      </w:tr>
      <w:tr w14:paraId="786D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C73111E">
            <w:pPr>
              <w:pStyle w:val="28"/>
              <w:ind w:left="1080" w:leftChars="257" w:hanging="540"/>
              <w:rPr>
                <w:rFonts w:ascii="Times New Roman" w:hAnsi="Times New Roman" w:eastAsia="仿宋_GB2312"/>
                <w:color w:val="auto"/>
                <w:sz w:val="24"/>
                <w:szCs w:val="24"/>
                <w:highlight w:val="none"/>
              </w:rPr>
            </w:pPr>
          </w:p>
        </w:tc>
        <w:tc>
          <w:tcPr>
            <w:tcW w:w="2835" w:type="dxa"/>
          </w:tcPr>
          <w:p w14:paraId="7DE32022">
            <w:pPr>
              <w:pStyle w:val="28"/>
              <w:ind w:left="1080" w:leftChars="257" w:hanging="540"/>
              <w:rPr>
                <w:rFonts w:ascii="Times New Roman" w:hAnsi="Times New Roman" w:eastAsia="仿宋_GB2312"/>
                <w:color w:val="auto"/>
                <w:sz w:val="24"/>
                <w:szCs w:val="24"/>
                <w:highlight w:val="none"/>
              </w:rPr>
            </w:pPr>
          </w:p>
        </w:tc>
        <w:tc>
          <w:tcPr>
            <w:tcW w:w="1701" w:type="dxa"/>
          </w:tcPr>
          <w:p w14:paraId="3E2A8CE6">
            <w:pPr>
              <w:pStyle w:val="28"/>
              <w:ind w:left="1080" w:leftChars="257" w:hanging="540"/>
              <w:rPr>
                <w:rFonts w:ascii="Times New Roman" w:hAnsi="Times New Roman" w:eastAsia="仿宋_GB2312"/>
                <w:color w:val="auto"/>
                <w:sz w:val="24"/>
                <w:szCs w:val="24"/>
                <w:highlight w:val="none"/>
              </w:rPr>
            </w:pPr>
          </w:p>
        </w:tc>
        <w:tc>
          <w:tcPr>
            <w:tcW w:w="1417" w:type="dxa"/>
          </w:tcPr>
          <w:p w14:paraId="467808F3">
            <w:pPr>
              <w:pStyle w:val="28"/>
              <w:ind w:left="1080" w:leftChars="257" w:hanging="540"/>
              <w:rPr>
                <w:rFonts w:ascii="Times New Roman" w:hAnsi="Times New Roman" w:eastAsia="仿宋_GB2312"/>
                <w:color w:val="auto"/>
                <w:sz w:val="24"/>
                <w:szCs w:val="24"/>
                <w:highlight w:val="none"/>
              </w:rPr>
            </w:pPr>
          </w:p>
        </w:tc>
        <w:tc>
          <w:tcPr>
            <w:tcW w:w="2195" w:type="dxa"/>
          </w:tcPr>
          <w:p w14:paraId="66EE3449">
            <w:pPr>
              <w:pStyle w:val="28"/>
              <w:ind w:left="1080" w:leftChars="257" w:hanging="540"/>
              <w:rPr>
                <w:rFonts w:ascii="Times New Roman" w:hAnsi="Times New Roman" w:eastAsia="仿宋_GB2312"/>
                <w:color w:val="auto"/>
                <w:sz w:val="24"/>
                <w:szCs w:val="24"/>
                <w:highlight w:val="none"/>
              </w:rPr>
            </w:pPr>
          </w:p>
        </w:tc>
      </w:tr>
    </w:tbl>
    <w:p w14:paraId="5FAD4B84">
      <w:pPr>
        <w:pStyle w:val="28"/>
        <w:ind w:left="1080" w:leftChars="257" w:hanging="540"/>
        <w:rPr>
          <w:rFonts w:ascii="Times New Roman" w:hAnsi="Times New Roman" w:eastAsia="仿宋_GB2312"/>
          <w:color w:val="auto"/>
          <w:sz w:val="24"/>
          <w:szCs w:val="24"/>
          <w:highlight w:val="none"/>
        </w:rPr>
      </w:pPr>
    </w:p>
    <w:p w14:paraId="39F655FD">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 xml:space="preserve">供应商（公章）： </w:t>
      </w:r>
      <w:r>
        <w:rPr>
          <w:rFonts w:eastAsia="仿宋_GB2312"/>
          <w:color w:val="auto"/>
          <w:sz w:val="24"/>
          <w:highlight w:val="none"/>
          <w:u w:val="single"/>
        </w:rPr>
        <w:t xml:space="preserve">              </w:t>
      </w:r>
      <w:r>
        <w:rPr>
          <w:rFonts w:eastAsia="仿宋_GB2312"/>
          <w:color w:val="auto"/>
          <w:sz w:val="24"/>
          <w:highlight w:val="none"/>
        </w:rPr>
        <w:t>法定代表人或其授权代表（签字或盖章）：</w:t>
      </w:r>
      <w:r>
        <w:rPr>
          <w:rFonts w:eastAsia="仿宋_GB2312"/>
          <w:color w:val="auto"/>
          <w:sz w:val="24"/>
          <w:highlight w:val="none"/>
          <w:u w:val="single"/>
        </w:rPr>
        <w:t xml:space="preserve">                  </w:t>
      </w:r>
    </w:p>
    <w:p w14:paraId="0B7FDD31">
      <w:pPr>
        <w:spacing w:before="120" w:after="120" w:line="360" w:lineRule="auto"/>
        <w:ind w:firstLine="4320" w:firstLineChars="18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25A16780">
      <w:pPr>
        <w:snapToGrid w:val="0"/>
        <w:spacing w:after="120" w:afterLines="50"/>
        <w:ind w:left="910" w:leftChars="203" w:hanging="484" w:hangingChars="202"/>
        <w:rPr>
          <w:rFonts w:eastAsia="仿宋_GB2312"/>
          <w:color w:val="auto"/>
          <w:highlight w:val="none"/>
        </w:rPr>
      </w:pPr>
      <w:r>
        <w:rPr>
          <w:rFonts w:eastAsia="仿宋_GB2312"/>
          <w:color w:val="auto"/>
          <w:sz w:val="24"/>
          <w:highlight w:val="none"/>
        </w:rPr>
        <w:t>注：</w:t>
      </w:r>
      <w:r>
        <w:rPr>
          <w:rFonts w:eastAsia="仿宋_GB2312"/>
          <w:color w:val="auto"/>
          <w:highlight w:val="none"/>
        </w:rPr>
        <w:tab/>
      </w:r>
      <w:r>
        <w:rPr>
          <w:rFonts w:eastAsia="仿宋_GB2312"/>
          <w:color w:val="auto"/>
          <w:highlight w:val="none"/>
        </w:rPr>
        <w:t>1、对完全响应的，在下表相应列中标注“○”。对有偏离的条目在本表相应列中标注“正偏离”或“负偏离”，并在“偏离简述”栏中加以说明。</w:t>
      </w:r>
    </w:p>
    <w:p w14:paraId="59BAFD95">
      <w:pPr>
        <w:snapToGrid w:val="0"/>
        <w:spacing w:after="120" w:afterLines="50"/>
        <w:ind w:left="842" w:leftChars="401"/>
        <w:rPr>
          <w:rFonts w:eastAsia="仿宋_GB2312"/>
          <w:color w:val="auto"/>
          <w:highlight w:val="none"/>
        </w:rPr>
      </w:pPr>
      <w:r>
        <w:rPr>
          <w:rFonts w:eastAsia="仿宋_GB2312"/>
          <w:color w:val="auto"/>
          <w:highlight w:val="none"/>
        </w:rPr>
        <w:t>2、正偏离是指应答的条件高于磋商文件要求，负偏离是指应答的条件低于磋商文件要求，正偏离项目不作扣分处理。</w:t>
      </w:r>
    </w:p>
    <w:p w14:paraId="5D40863D">
      <w:pPr>
        <w:snapToGrid w:val="0"/>
        <w:spacing w:after="120" w:afterLines="50"/>
        <w:ind w:left="842" w:leftChars="401"/>
        <w:rPr>
          <w:rFonts w:eastAsia="仿宋_GB2312"/>
          <w:color w:val="auto"/>
          <w:highlight w:val="none"/>
        </w:rPr>
      </w:pPr>
      <w:r>
        <w:rPr>
          <w:rFonts w:eastAsia="仿宋_GB2312"/>
          <w:color w:val="auto"/>
          <w:highlight w:val="none"/>
        </w:rPr>
        <w:t>3、供应商须完整填写响应表。如果未完整填写本表的各项内容则视作供应商已经对磋商文件相关要求和内容完全理解并同意，其报价为在此基础上的完全价格。</w:t>
      </w:r>
    </w:p>
    <w:p w14:paraId="3EAFB318">
      <w:pPr>
        <w:snapToGrid w:val="0"/>
        <w:spacing w:after="120" w:afterLines="50"/>
        <w:ind w:left="842" w:leftChars="401"/>
        <w:rPr>
          <w:rFonts w:eastAsia="仿宋_GB2312"/>
          <w:color w:val="auto"/>
          <w:highlight w:val="none"/>
        </w:rPr>
      </w:pPr>
      <w:r>
        <w:rPr>
          <w:rFonts w:eastAsia="仿宋_GB2312"/>
          <w:color w:val="auto"/>
          <w:highlight w:val="none"/>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44F57302">
      <w:pPr>
        <w:pStyle w:val="28"/>
        <w:ind w:left="1080" w:leftChars="257" w:hanging="540"/>
        <w:rPr>
          <w:rFonts w:ascii="Times New Roman" w:hAnsi="Times New Roman" w:eastAsia="仿宋_GB2312"/>
          <w:color w:val="auto"/>
          <w:sz w:val="24"/>
          <w:szCs w:val="24"/>
          <w:highlight w:val="none"/>
        </w:rPr>
      </w:pPr>
    </w:p>
    <w:p w14:paraId="00021C12">
      <w:pPr>
        <w:rPr>
          <w:rFonts w:ascii="仿宋_GB2312" w:hAnsi="仿宋_GB2312" w:eastAsia="仿宋_GB2312" w:cs="仿宋_GB2312"/>
          <w:b/>
          <w:bCs/>
          <w:color w:val="auto"/>
          <w:sz w:val="28"/>
          <w:szCs w:val="36"/>
          <w:highlight w:val="none"/>
        </w:rPr>
      </w:pPr>
      <w:r>
        <w:rPr>
          <w:rFonts w:ascii="仿宋_GB2312" w:hAnsi="仿宋_GB2312" w:eastAsia="仿宋_GB2312" w:cs="仿宋_GB2312"/>
          <w:b/>
          <w:bCs/>
          <w:color w:val="auto"/>
          <w:sz w:val="28"/>
          <w:szCs w:val="36"/>
          <w:highlight w:val="none"/>
        </w:rPr>
        <w:br w:type="page"/>
      </w:r>
    </w:p>
    <w:p w14:paraId="019A5181">
      <w:pPr>
        <w:tabs>
          <w:tab w:val="left" w:pos="588"/>
        </w:tabs>
        <w:jc w:val="center"/>
        <w:outlineLvl w:val="9"/>
        <w:rPr>
          <w:rFonts w:ascii="Times New Roman" w:hAnsi="Times New Roman" w:eastAsia="仿宋_GB2312"/>
          <w:color w:val="auto"/>
          <w:highlight w:val="none"/>
        </w:rPr>
      </w:pPr>
      <w:r>
        <w:rPr>
          <w:rFonts w:ascii="仿宋_GB2312" w:hAnsi="仿宋_GB2312" w:eastAsia="仿宋_GB2312" w:cs="仿宋_GB2312"/>
          <w:b/>
          <w:bCs/>
          <w:color w:val="auto"/>
          <w:sz w:val="28"/>
          <w:szCs w:val="36"/>
          <w:highlight w:val="none"/>
        </w:rPr>
        <w:t>二、技术偏离表</w:t>
      </w:r>
    </w:p>
    <w:p w14:paraId="33C162BB">
      <w:pPr>
        <w:pStyle w:val="2"/>
        <w:rPr>
          <w:rFonts w:ascii="Times New Roman" w:hAnsi="Times New Roman" w:eastAsia="仿宋_GB2312"/>
          <w:color w:val="auto"/>
          <w:sz w:val="24"/>
          <w:highlight w:val="none"/>
          <w:u w:val="single"/>
        </w:rPr>
      </w:pPr>
      <w:r>
        <w:rPr>
          <w:rFonts w:ascii="Times New Roman" w:hAnsi="Times New Roman" w:eastAsia="仿宋_GB2312"/>
          <w:color w:val="auto"/>
          <w:sz w:val="24"/>
          <w:highlight w:val="none"/>
        </w:rPr>
        <w:t>项目编号：</w:t>
      </w:r>
      <w:r>
        <w:rPr>
          <w:rFonts w:ascii="Times New Roman" w:hAnsi="Times New Roman" w:eastAsia="仿宋_GB2312"/>
          <w:color w:val="auto"/>
          <w:sz w:val="24"/>
          <w:highlight w:val="none"/>
          <w:u w:val="single"/>
        </w:rPr>
        <w:t xml:space="preserve">              </w:t>
      </w:r>
    </w:p>
    <w:p w14:paraId="5D8EA277">
      <w:pPr>
        <w:pStyle w:val="2"/>
        <w:rPr>
          <w:color w:val="auto"/>
          <w:highlight w:val="none"/>
        </w:rPr>
      </w:pPr>
      <w:r>
        <w:rPr>
          <w:rFonts w:ascii="Times New Roman" w:hAnsi="Times New Roman" w:eastAsia="仿宋_GB2312"/>
          <w:color w:val="auto"/>
          <w:sz w:val="24"/>
          <w:highlight w:val="none"/>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885D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1018A73">
            <w:pPr>
              <w:spacing w:line="400" w:lineRule="exact"/>
              <w:jc w:val="center"/>
              <w:rPr>
                <w:rFonts w:eastAsia="仿宋_GB2312"/>
                <w:color w:val="auto"/>
                <w:sz w:val="24"/>
                <w:highlight w:val="none"/>
              </w:rPr>
            </w:pPr>
            <w:r>
              <w:rPr>
                <w:rFonts w:eastAsia="仿宋_GB2312"/>
                <w:color w:val="auto"/>
                <w:sz w:val="24"/>
                <w:highlight w:val="none"/>
              </w:rPr>
              <w:t>磋商文件条目号</w:t>
            </w:r>
          </w:p>
        </w:tc>
        <w:tc>
          <w:tcPr>
            <w:tcW w:w="1932" w:type="dxa"/>
          </w:tcPr>
          <w:p w14:paraId="556DB210">
            <w:pPr>
              <w:spacing w:line="400" w:lineRule="exact"/>
              <w:jc w:val="center"/>
              <w:rPr>
                <w:rFonts w:eastAsia="仿宋_GB2312"/>
                <w:color w:val="auto"/>
                <w:sz w:val="24"/>
                <w:highlight w:val="none"/>
              </w:rPr>
            </w:pPr>
            <w:r>
              <w:rPr>
                <w:rFonts w:eastAsia="仿宋_GB2312"/>
                <w:color w:val="auto"/>
                <w:sz w:val="24"/>
                <w:highlight w:val="none"/>
              </w:rPr>
              <w:t>技术条款要求</w:t>
            </w:r>
          </w:p>
        </w:tc>
        <w:tc>
          <w:tcPr>
            <w:tcW w:w="1236" w:type="dxa"/>
          </w:tcPr>
          <w:p w14:paraId="16D33CE6">
            <w:pPr>
              <w:spacing w:line="400" w:lineRule="exact"/>
              <w:jc w:val="center"/>
              <w:rPr>
                <w:rFonts w:eastAsia="仿宋_GB2312"/>
                <w:color w:val="auto"/>
                <w:sz w:val="24"/>
                <w:highlight w:val="none"/>
              </w:rPr>
            </w:pPr>
            <w:r>
              <w:rPr>
                <w:rFonts w:eastAsia="仿宋_GB2312"/>
                <w:color w:val="auto"/>
                <w:sz w:val="24"/>
                <w:highlight w:val="none"/>
              </w:rPr>
              <w:t>完全响应</w:t>
            </w:r>
          </w:p>
        </w:tc>
        <w:tc>
          <w:tcPr>
            <w:tcW w:w="1236" w:type="dxa"/>
          </w:tcPr>
          <w:p w14:paraId="75CB2A69">
            <w:pPr>
              <w:spacing w:line="400" w:lineRule="exact"/>
              <w:jc w:val="center"/>
              <w:rPr>
                <w:rFonts w:eastAsia="仿宋_GB2312"/>
                <w:color w:val="auto"/>
                <w:sz w:val="24"/>
                <w:highlight w:val="none"/>
              </w:rPr>
            </w:pPr>
            <w:r>
              <w:rPr>
                <w:rFonts w:eastAsia="仿宋_GB2312"/>
                <w:color w:val="auto"/>
                <w:sz w:val="24"/>
                <w:highlight w:val="none"/>
              </w:rPr>
              <w:t>有偏离</w:t>
            </w:r>
          </w:p>
        </w:tc>
        <w:tc>
          <w:tcPr>
            <w:tcW w:w="2394" w:type="dxa"/>
          </w:tcPr>
          <w:p w14:paraId="10718CC2">
            <w:pPr>
              <w:spacing w:line="400" w:lineRule="exact"/>
              <w:jc w:val="center"/>
              <w:rPr>
                <w:rFonts w:eastAsia="仿宋_GB2312"/>
                <w:color w:val="auto"/>
                <w:sz w:val="24"/>
                <w:highlight w:val="none"/>
              </w:rPr>
            </w:pPr>
            <w:r>
              <w:rPr>
                <w:rFonts w:eastAsia="仿宋_GB2312"/>
                <w:color w:val="auto"/>
                <w:sz w:val="24"/>
                <w:highlight w:val="none"/>
              </w:rPr>
              <w:t>偏离简述</w:t>
            </w:r>
          </w:p>
        </w:tc>
      </w:tr>
      <w:tr w14:paraId="0AA1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A63FABA">
            <w:pPr>
              <w:spacing w:line="400" w:lineRule="exact"/>
              <w:rPr>
                <w:rFonts w:eastAsia="仿宋_GB2312"/>
                <w:color w:val="auto"/>
                <w:sz w:val="24"/>
                <w:highlight w:val="none"/>
              </w:rPr>
            </w:pPr>
          </w:p>
        </w:tc>
        <w:tc>
          <w:tcPr>
            <w:tcW w:w="1932" w:type="dxa"/>
          </w:tcPr>
          <w:p w14:paraId="594091C2">
            <w:pPr>
              <w:spacing w:line="400" w:lineRule="exact"/>
              <w:rPr>
                <w:rFonts w:eastAsia="仿宋_GB2312"/>
                <w:color w:val="auto"/>
                <w:sz w:val="24"/>
                <w:highlight w:val="none"/>
              </w:rPr>
            </w:pPr>
          </w:p>
        </w:tc>
        <w:tc>
          <w:tcPr>
            <w:tcW w:w="1236" w:type="dxa"/>
          </w:tcPr>
          <w:p w14:paraId="6B07B1A2">
            <w:pPr>
              <w:spacing w:line="400" w:lineRule="exact"/>
              <w:rPr>
                <w:rFonts w:eastAsia="仿宋_GB2312"/>
                <w:color w:val="auto"/>
                <w:sz w:val="24"/>
                <w:highlight w:val="none"/>
              </w:rPr>
            </w:pPr>
          </w:p>
        </w:tc>
        <w:tc>
          <w:tcPr>
            <w:tcW w:w="1236" w:type="dxa"/>
          </w:tcPr>
          <w:p w14:paraId="5AD6F7FE">
            <w:pPr>
              <w:spacing w:line="400" w:lineRule="exact"/>
              <w:rPr>
                <w:rFonts w:eastAsia="仿宋_GB2312"/>
                <w:color w:val="auto"/>
                <w:sz w:val="24"/>
                <w:highlight w:val="none"/>
              </w:rPr>
            </w:pPr>
          </w:p>
        </w:tc>
        <w:tc>
          <w:tcPr>
            <w:tcW w:w="2394" w:type="dxa"/>
          </w:tcPr>
          <w:p w14:paraId="38F23D15">
            <w:pPr>
              <w:spacing w:line="400" w:lineRule="exact"/>
              <w:rPr>
                <w:rFonts w:eastAsia="仿宋_GB2312"/>
                <w:color w:val="auto"/>
                <w:sz w:val="24"/>
                <w:highlight w:val="none"/>
              </w:rPr>
            </w:pPr>
          </w:p>
        </w:tc>
      </w:tr>
      <w:tr w14:paraId="5878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11014E">
            <w:pPr>
              <w:spacing w:line="400" w:lineRule="exact"/>
              <w:rPr>
                <w:rFonts w:eastAsia="仿宋_GB2312"/>
                <w:color w:val="auto"/>
                <w:sz w:val="24"/>
                <w:highlight w:val="none"/>
              </w:rPr>
            </w:pPr>
          </w:p>
        </w:tc>
        <w:tc>
          <w:tcPr>
            <w:tcW w:w="1932" w:type="dxa"/>
          </w:tcPr>
          <w:p w14:paraId="33B5B824">
            <w:pPr>
              <w:spacing w:line="400" w:lineRule="exact"/>
              <w:rPr>
                <w:rFonts w:eastAsia="仿宋_GB2312"/>
                <w:color w:val="auto"/>
                <w:sz w:val="24"/>
                <w:highlight w:val="none"/>
              </w:rPr>
            </w:pPr>
          </w:p>
        </w:tc>
        <w:tc>
          <w:tcPr>
            <w:tcW w:w="1236" w:type="dxa"/>
          </w:tcPr>
          <w:p w14:paraId="499541D5">
            <w:pPr>
              <w:spacing w:line="400" w:lineRule="exact"/>
              <w:rPr>
                <w:rFonts w:eastAsia="仿宋_GB2312"/>
                <w:color w:val="auto"/>
                <w:sz w:val="24"/>
                <w:highlight w:val="none"/>
              </w:rPr>
            </w:pPr>
          </w:p>
        </w:tc>
        <w:tc>
          <w:tcPr>
            <w:tcW w:w="1236" w:type="dxa"/>
          </w:tcPr>
          <w:p w14:paraId="37FD2737">
            <w:pPr>
              <w:spacing w:line="400" w:lineRule="exact"/>
              <w:rPr>
                <w:rFonts w:eastAsia="仿宋_GB2312"/>
                <w:color w:val="auto"/>
                <w:sz w:val="24"/>
                <w:highlight w:val="none"/>
              </w:rPr>
            </w:pPr>
          </w:p>
        </w:tc>
        <w:tc>
          <w:tcPr>
            <w:tcW w:w="2394" w:type="dxa"/>
          </w:tcPr>
          <w:p w14:paraId="2ECE1550">
            <w:pPr>
              <w:spacing w:line="400" w:lineRule="exact"/>
              <w:rPr>
                <w:rFonts w:eastAsia="仿宋_GB2312"/>
                <w:color w:val="auto"/>
                <w:sz w:val="24"/>
                <w:highlight w:val="none"/>
              </w:rPr>
            </w:pPr>
          </w:p>
        </w:tc>
      </w:tr>
      <w:tr w14:paraId="5F694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167051">
            <w:pPr>
              <w:spacing w:line="400" w:lineRule="exact"/>
              <w:rPr>
                <w:rFonts w:eastAsia="仿宋_GB2312"/>
                <w:color w:val="auto"/>
                <w:sz w:val="24"/>
                <w:highlight w:val="none"/>
              </w:rPr>
            </w:pPr>
          </w:p>
        </w:tc>
        <w:tc>
          <w:tcPr>
            <w:tcW w:w="1932" w:type="dxa"/>
          </w:tcPr>
          <w:p w14:paraId="7DC27916">
            <w:pPr>
              <w:spacing w:line="400" w:lineRule="exact"/>
              <w:rPr>
                <w:rFonts w:eastAsia="仿宋_GB2312"/>
                <w:color w:val="auto"/>
                <w:sz w:val="24"/>
                <w:highlight w:val="none"/>
              </w:rPr>
            </w:pPr>
          </w:p>
        </w:tc>
        <w:tc>
          <w:tcPr>
            <w:tcW w:w="1236" w:type="dxa"/>
          </w:tcPr>
          <w:p w14:paraId="51B7EEBA">
            <w:pPr>
              <w:spacing w:line="400" w:lineRule="exact"/>
              <w:rPr>
                <w:rFonts w:eastAsia="仿宋_GB2312"/>
                <w:color w:val="auto"/>
                <w:sz w:val="24"/>
                <w:highlight w:val="none"/>
              </w:rPr>
            </w:pPr>
          </w:p>
        </w:tc>
        <w:tc>
          <w:tcPr>
            <w:tcW w:w="1236" w:type="dxa"/>
          </w:tcPr>
          <w:p w14:paraId="37C99220">
            <w:pPr>
              <w:spacing w:line="400" w:lineRule="exact"/>
              <w:rPr>
                <w:rFonts w:eastAsia="仿宋_GB2312"/>
                <w:color w:val="auto"/>
                <w:sz w:val="24"/>
                <w:highlight w:val="none"/>
              </w:rPr>
            </w:pPr>
          </w:p>
        </w:tc>
        <w:tc>
          <w:tcPr>
            <w:tcW w:w="2394" w:type="dxa"/>
          </w:tcPr>
          <w:p w14:paraId="50E66AA0">
            <w:pPr>
              <w:spacing w:line="400" w:lineRule="exact"/>
              <w:rPr>
                <w:rFonts w:eastAsia="仿宋_GB2312"/>
                <w:color w:val="auto"/>
                <w:sz w:val="24"/>
                <w:highlight w:val="none"/>
              </w:rPr>
            </w:pPr>
          </w:p>
        </w:tc>
      </w:tr>
      <w:tr w14:paraId="4BE2E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C30D58F">
            <w:pPr>
              <w:spacing w:line="400" w:lineRule="exact"/>
              <w:rPr>
                <w:rFonts w:eastAsia="仿宋_GB2312"/>
                <w:color w:val="auto"/>
                <w:sz w:val="24"/>
                <w:highlight w:val="none"/>
              </w:rPr>
            </w:pPr>
          </w:p>
        </w:tc>
        <w:tc>
          <w:tcPr>
            <w:tcW w:w="1932" w:type="dxa"/>
          </w:tcPr>
          <w:p w14:paraId="72102708">
            <w:pPr>
              <w:spacing w:line="400" w:lineRule="exact"/>
              <w:rPr>
                <w:rFonts w:eastAsia="仿宋_GB2312"/>
                <w:color w:val="auto"/>
                <w:sz w:val="24"/>
                <w:highlight w:val="none"/>
              </w:rPr>
            </w:pPr>
          </w:p>
        </w:tc>
        <w:tc>
          <w:tcPr>
            <w:tcW w:w="1236" w:type="dxa"/>
          </w:tcPr>
          <w:p w14:paraId="225975E9">
            <w:pPr>
              <w:spacing w:line="400" w:lineRule="exact"/>
              <w:rPr>
                <w:rFonts w:eastAsia="仿宋_GB2312"/>
                <w:color w:val="auto"/>
                <w:sz w:val="24"/>
                <w:highlight w:val="none"/>
              </w:rPr>
            </w:pPr>
          </w:p>
        </w:tc>
        <w:tc>
          <w:tcPr>
            <w:tcW w:w="1236" w:type="dxa"/>
          </w:tcPr>
          <w:p w14:paraId="7642CF6A">
            <w:pPr>
              <w:spacing w:line="400" w:lineRule="exact"/>
              <w:rPr>
                <w:rFonts w:eastAsia="仿宋_GB2312"/>
                <w:color w:val="auto"/>
                <w:sz w:val="24"/>
                <w:highlight w:val="none"/>
              </w:rPr>
            </w:pPr>
          </w:p>
        </w:tc>
        <w:tc>
          <w:tcPr>
            <w:tcW w:w="2394" w:type="dxa"/>
          </w:tcPr>
          <w:p w14:paraId="2F28164A">
            <w:pPr>
              <w:spacing w:line="400" w:lineRule="exact"/>
              <w:rPr>
                <w:rFonts w:eastAsia="仿宋_GB2312"/>
                <w:color w:val="auto"/>
                <w:sz w:val="24"/>
                <w:highlight w:val="none"/>
              </w:rPr>
            </w:pPr>
          </w:p>
        </w:tc>
      </w:tr>
      <w:tr w14:paraId="1F9A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6721FF2">
            <w:pPr>
              <w:spacing w:line="400" w:lineRule="exact"/>
              <w:rPr>
                <w:rFonts w:eastAsia="仿宋_GB2312"/>
                <w:color w:val="auto"/>
                <w:sz w:val="24"/>
                <w:highlight w:val="none"/>
              </w:rPr>
            </w:pPr>
          </w:p>
        </w:tc>
        <w:tc>
          <w:tcPr>
            <w:tcW w:w="1932" w:type="dxa"/>
          </w:tcPr>
          <w:p w14:paraId="47424ABB">
            <w:pPr>
              <w:spacing w:line="400" w:lineRule="exact"/>
              <w:rPr>
                <w:rFonts w:eastAsia="仿宋_GB2312"/>
                <w:color w:val="auto"/>
                <w:sz w:val="24"/>
                <w:highlight w:val="none"/>
              </w:rPr>
            </w:pPr>
          </w:p>
        </w:tc>
        <w:tc>
          <w:tcPr>
            <w:tcW w:w="1236" w:type="dxa"/>
          </w:tcPr>
          <w:p w14:paraId="235CF12A">
            <w:pPr>
              <w:spacing w:line="400" w:lineRule="exact"/>
              <w:rPr>
                <w:rFonts w:eastAsia="仿宋_GB2312"/>
                <w:color w:val="auto"/>
                <w:sz w:val="24"/>
                <w:highlight w:val="none"/>
              </w:rPr>
            </w:pPr>
          </w:p>
        </w:tc>
        <w:tc>
          <w:tcPr>
            <w:tcW w:w="1236" w:type="dxa"/>
          </w:tcPr>
          <w:p w14:paraId="38045D34">
            <w:pPr>
              <w:spacing w:line="400" w:lineRule="exact"/>
              <w:rPr>
                <w:rFonts w:eastAsia="仿宋_GB2312"/>
                <w:color w:val="auto"/>
                <w:sz w:val="24"/>
                <w:highlight w:val="none"/>
              </w:rPr>
            </w:pPr>
          </w:p>
        </w:tc>
        <w:tc>
          <w:tcPr>
            <w:tcW w:w="2394" w:type="dxa"/>
          </w:tcPr>
          <w:p w14:paraId="658F7BFC">
            <w:pPr>
              <w:spacing w:line="400" w:lineRule="exact"/>
              <w:rPr>
                <w:rFonts w:eastAsia="仿宋_GB2312"/>
                <w:color w:val="auto"/>
                <w:sz w:val="24"/>
                <w:highlight w:val="none"/>
              </w:rPr>
            </w:pPr>
          </w:p>
        </w:tc>
      </w:tr>
      <w:tr w14:paraId="13ACB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737D521">
            <w:pPr>
              <w:spacing w:line="400" w:lineRule="exact"/>
              <w:rPr>
                <w:rFonts w:eastAsia="仿宋_GB2312"/>
                <w:color w:val="auto"/>
                <w:sz w:val="24"/>
                <w:highlight w:val="none"/>
              </w:rPr>
            </w:pPr>
          </w:p>
        </w:tc>
        <w:tc>
          <w:tcPr>
            <w:tcW w:w="1932" w:type="dxa"/>
          </w:tcPr>
          <w:p w14:paraId="7FC0B5A0">
            <w:pPr>
              <w:spacing w:line="400" w:lineRule="exact"/>
              <w:rPr>
                <w:rFonts w:eastAsia="仿宋_GB2312"/>
                <w:bCs/>
                <w:color w:val="auto"/>
                <w:sz w:val="24"/>
                <w:highlight w:val="none"/>
              </w:rPr>
            </w:pPr>
          </w:p>
        </w:tc>
        <w:tc>
          <w:tcPr>
            <w:tcW w:w="1236" w:type="dxa"/>
          </w:tcPr>
          <w:p w14:paraId="6AE6298D">
            <w:pPr>
              <w:spacing w:line="400" w:lineRule="exact"/>
              <w:rPr>
                <w:rFonts w:eastAsia="仿宋_GB2312"/>
                <w:color w:val="auto"/>
                <w:sz w:val="24"/>
                <w:highlight w:val="none"/>
              </w:rPr>
            </w:pPr>
          </w:p>
        </w:tc>
        <w:tc>
          <w:tcPr>
            <w:tcW w:w="1236" w:type="dxa"/>
          </w:tcPr>
          <w:p w14:paraId="3DF6E06A">
            <w:pPr>
              <w:spacing w:line="400" w:lineRule="exact"/>
              <w:rPr>
                <w:rFonts w:eastAsia="仿宋_GB2312"/>
                <w:color w:val="auto"/>
                <w:sz w:val="24"/>
                <w:highlight w:val="none"/>
              </w:rPr>
            </w:pPr>
          </w:p>
        </w:tc>
        <w:tc>
          <w:tcPr>
            <w:tcW w:w="2394" w:type="dxa"/>
          </w:tcPr>
          <w:p w14:paraId="6D737373">
            <w:pPr>
              <w:spacing w:line="400" w:lineRule="exact"/>
              <w:rPr>
                <w:rFonts w:eastAsia="仿宋_GB2312"/>
                <w:color w:val="auto"/>
                <w:sz w:val="24"/>
                <w:highlight w:val="none"/>
              </w:rPr>
            </w:pPr>
          </w:p>
        </w:tc>
      </w:tr>
      <w:tr w14:paraId="58FF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11DF827">
            <w:pPr>
              <w:spacing w:line="400" w:lineRule="exact"/>
              <w:rPr>
                <w:rFonts w:eastAsia="仿宋_GB2312"/>
                <w:color w:val="auto"/>
                <w:sz w:val="24"/>
                <w:highlight w:val="none"/>
              </w:rPr>
            </w:pPr>
          </w:p>
        </w:tc>
        <w:tc>
          <w:tcPr>
            <w:tcW w:w="1932" w:type="dxa"/>
          </w:tcPr>
          <w:p w14:paraId="45DA80EA">
            <w:pPr>
              <w:spacing w:line="400" w:lineRule="exact"/>
              <w:rPr>
                <w:rFonts w:eastAsia="仿宋_GB2312"/>
                <w:bCs/>
                <w:color w:val="auto"/>
                <w:sz w:val="24"/>
                <w:highlight w:val="none"/>
              </w:rPr>
            </w:pPr>
          </w:p>
        </w:tc>
        <w:tc>
          <w:tcPr>
            <w:tcW w:w="1236" w:type="dxa"/>
          </w:tcPr>
          <w:p w14:paraId="40083208">
            <w:pPr>
              <w:spacing w:line="400" w:lineRule="exact"/>
              <w:rPr>
                <w:rFonts w:eastAsia="仿宋_GB2312"/>
                <w:color w:val="auto"/>
                <w:sz w:val="24"/>
                <w:highlight w:val="none"/>
              </w:rPr>
            </w:pPr>
          </w:p>
        </w:tc>
        <w:tc>
          <w:tcPr>
            <w:tcW w:w="1236" w:type="dxa"/>
          </w:tcPr>
          <w:p w14:paraId="3A45DCF7">
            <w:pPr>
              <w:spacing w:line="400" w:lineRule="exact"/>
              <w:rPr>
                <w:rFonts w:eastAsia="仿宋_GB2312"/>
                <w:color w:val="auto"/>
                <w:sz w:val="24"/>
                <w:highlight w:val="none"/>
              </w:rPr>
            </w:pPr>
          </w:p>
        </w:tc>
        <w:tc>
          <w:tcPr>
            <w:tcW w:w="2394" w:type="dxa"/>
          </w:tcPr>
          <w:p w14:paraId="1B29D126">
            <w:pPr>
              <w:spacing w:line="400" w:lineRule="exact"/>
              <w:rPr>
                <w:rFonts w:eastAsia="仿宋_GB2312"/>
                <w:color w:val="auto"/>
                <w:sz w:val="24"/>
                <w:highlight w:val="none"/>
              </w:rPr>
            </w:pPr>
          </w:p>
        </w:tc>
      </w:tr>
    </w:tbl>
    <w:p w14:paraId="4E75BDB7">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 xml:space="preserve">供应商（公章）： </w:t>
      </w:r>
      <w:r>
        <w:rPr>
          <w:rFonts w:eastAsia="仿宋_GB2312"/>
          <w:color w:val="auto"/>
          <w:sz w:val="24"/>
          <w:highlight w:val="none"/>
          <w:u w:val="single"/>
        </w:rPr>
        <w:t xml:space="preserve">              </w:t>
      </w:r>
    </w:p>
    <w:p w14:paraId="356DA789">
      <w:pPr>
        <w:spacing w:before="120" w:after="120" w:line="360" w:lineRule="auto"/>
        <w:ind w:firstLine="480" w:firstLineChars="200"/>
        <w:rPr>
          <w:rFonts w:eastAsia="仿宋_GB2312"/>
          <w:color w:val="auto"/>
          <w:sz w:val="24"/>
          <w:highlight w:val="none"/>
          <w:u w:val="single"/>
        </w:rPr>
      </w:pPr>
      <w:r>
        <w:rPr>
          <w:rFonts w:eastAsia="仿宋_GB2312"/>
          <w:color w:val="auto"/>
          <w:sz w:val="24"/>
          <w:highlight w:val="none"/>
        </w:rPr>
        <w:t>法定代表人或其授权代表（签字或盖章）：</w:t>
      </w:r>
      <w:r>
        <w:rPr>
          <w:rFonts w:eastAsia="仿宋_GB2312"/>
          <w:color w:val="auto"/>
          <w:sz w:val="24"/>
          <w:highlight w:val="none"/>
          <w:u w:val="single"/>
        </w:rPr>
        <w:t xml:space="preserve">                  </w:t>
      </w:r>
    </w:p>
    <w:p w14:paraId="2C55EE19">
      <w:pPr>
        <w:spacing w:before="120" w:after="120" w:line="360" w:lineRule="auto"/>
        <w:ind w:firstLine="480" w:firstLineChars="200"/>
        <w:rPr>
          <w:rFonts w:eastAsia="仿宋_GB2312"/>
          <w:color w:val="auto"/>
          <w:sz w:val="24"/>
          <w:highlight w:val="none"/>
        </w:rPr>
      </w:pPr>
      <w:r>
        <w:rPr>
          <w:rFonts w:eastAsia="仿宋_GB2312"/>
          <w:color w:val="auto"/>
          <w:sz w:val="24"/>
          <w:highlight w:val="none"/>
        </w:rPr>
        <w:t>日    期：</w:t>
      </w:r>
      <w:r>
        <w:rPr>
          <w:rFonts w:eastAsia="仿宋_GB2312"/>
          <w:color w:val="auto"/>
          <w:sz w:val="24"/>
          <w:highlight w:val="none"/>
          <w:u w:val="single"/>
        </w:rPr>
        <w:t xml:space="preserve">     </w:t>
      </w:r>
      <w:r>
        <w:rPr>
          <w:rFonts w:eastAsia="仿宋_GB2312"/>
          <w:color w:val="auto"/>
          <w:sz w:val="24"/>
          <w:highlight w:val="none"/>
        </w:rPr>
        <w:t>年</w:t>
      </w:r>
      <w:r>
        <w:rPr>
          <w:rFonts w:eastAsia="仿宋_GB2312"/>
          <w:color w:val="auto"/>
          <w:sz w:val="24"/>
          <w:highlight w:val="none"/>
          <w:u w:val="single"/>
        </w:rPr>
        <w:t xml:space="preserve">      </w:t>
      </w:r>
      <w:r>
        <w:rPr>
          <w:rFonts w:eastAsia="仿宋_GB2312"/>
          <w:color w:val="auto"/>
          <w:sz w:val="24"/>
          <w:highlight w:val="none"/>
        </w:rPr>
        <w:t>月</w:t>
      </w:r>
      <w:r>
        <w:rPr>
          <w:rFonts w:eastAsia="仿宋_GB2312"/>
          <w:color w:val="auto"/>
          <w:sz w:val="24"/>
          <w:highlight w:val="none"/>
          <w:u w:val="single"/>
        </w:rPr>
        <w:t xml:space="preserve">     </w:t>
      </w:r>
      <w:r>
        <w:rPr>
          <w:rFonts w:eastAsia="仿宋_GB2312"/>
          <w:color w:val="auto"/>
          <w:sz w:val="24"/>
          <w:highlight w:val="none"/>
        </w:rPr>
        <w:t>日</w:t>
      </w:r>
    </w:p>
    <w:p w14:paraId="08DD7073">
      <w:pPr>
        <w:spacing w:line="360" w:lineRule="auto"/>
        <w:rPr>
          <w:rFonts w:eastAsia="仿宋_GB2312"/>
          <w:color w:val="auto"/>
          <w:highlight w:val="none"/>
        </w:rPr>
      </w:pPr>
    </w:p>
    <w:p w14:paraId="4CD49D21">
      <w:pPr>
        <w:snapToGrid w:val="0"/>
        <w:spacing w:after="120" w:afterLines="50"/>
        <w:ind w:left="850" w:hanging="850" w:hangingChars="405"/>
        <w:rPr>
          <w:rFonts w:eastAsia="仿宋_GB2312"/>
          <w:color w:val="auto"/>
          <w:highlight w:val="none"/>
        </w:rPr>
      </w:pPr>
      <w:r>
        <w:rPr>
          <w:rFonts w:eastAsia="仿宋_GB2312"/>
          <w:color w:val="auto"/>
          <w:highlight w:val="none"/>
        </w:rPr>
        <w:t>注：1.</w:t>
      </w:r>
      <w:r>
        <w:rPr>
          <w:rFonts w:eastAsia="仿宋_GB2312"/>
          <w:color w:val="auto"/>
          <w:highlight w:val="none"/>
        </w:rPr>
        <w:tab/>
      </w:r>
      <w:r>
        <w:rPr>
          <w:rFonts w:eastAsia="仿宋_GB2312"/>
          <w:color w:val="auto"/>
          <w:highlight w:val="none"/>
        </w:rPr>
        <w:t>对完全响应的条目在本表相应列中标注“○”。对有偏离的条目在本表相应列中标注“正偏离”或“负偏离”。并在“偏离简述”栏中加以说明。</w:t>
      </w:r>
    </w:p>
    <w:p w14:paraId="61D5AA21">
      <w:pPr>
        <w:tabs>
          <w:tab w:val="left" w:pos="1200"/>
        </w:tabs>
        <w:snapToGrid w:val="0"/>
        <w:spacing w:after="120" w:afterLines="50"/>
        <w:ind w:left="850" w:leftChars="203" w:hanging="424" w:hangingChars="202"/>
        <w:rPr>
          <w:rFonts w:eastAsia="仿宋_GB2312"/>
          <w:color w:val="auto"/>
          <w:highlight w:val="none"/>
        </w:rPr>
      </w:pPr>
      <w:r>
        <w:rPr>
          <w:rFonts w:eastAsia="仿宋_GB2312"/>
          <w:color w:val="auto"/>
          <w:highlight w:val="none"/>
        </w:rPr>
        <w:t>2.</w:t>
      </w:r>
      <w:r>
        <w:rPr>
          <w:rFonts w:eastAsia="仿宋_GB2312"/>
          <w:color w:val="auto"/>
          <w:highlight w:val="none"/>
        </w:rPr>
        <w:tab/>
      </w:r>
      <w:r>
        <w:rPr>
          <w:rFonts w:eastAsia="仿宋_GB2312"/>
          <w:color w:val="auto"/>
          <w:highlight w:val="none"/>
        </w:rPr>
        <w:t>正偏离是指应答的条件高于磋商文件要求，负偏离是指应答的条件低于磋商文件要求，正偏离项目不作扣分处理。</w:t>
      </w:r>
    </w:p>
    <w:p w14:paraId="3B4F7FC1">
      <w:pPr>
        <w:tabs>
          <w:tab w:val="left" w:pos="1200"/>
        </w:tabs>
        <w:snapToGrid w:val="0"/>
        <w:spacing w:after="120" w:afterLines="50"/>
        <w:ind w:left="850" w:leftChars="203" w:hanging="424" w:hangingChars="202"/>
        <w:rPr>
          <w:rFonts w:eastAsia="仿宋_GB2312"/>
          <w:color w:val="auto"/>
          <w:highlight w:val="none"/>
        </w:rPr>
      </w:pPr>
      <w:r>
        <w:rPr>
          <w:rFonts w:eastAsia="仿宋_GB2312"/>
          <w:color w:val="auto"/>
          <w:highlight w:val="none"/>
        </w:rPr>
        <w:t>3</w:t>
      </w:r>
      <w:r>
        <w:rPr>
          <w:rFonts w:eastAsia="仿宋_GB2312"/>
          <w:color w:val="auto"/>
          <w:highlight w:val="none"/>
        </w:rPr>
        <w:tab/>
      </w:r>
      <w:r>
        <w:rPr>
          <w:rFonts w:eastAsia="仿宋_GB2312"/>
          <w:color w:val="auto"/>
          <w:highlight w:val="none"/>
        </w:rPr>
        <w:t>供应商须按照用户需求书逐条完整填写响应表。如果未完整填写响应表的各项内容则视作供应商已经对磋商文件相关要求和内容完全理解并同意，其报价为在此基础上的完全价格。</w:t>
      </w:r>
    </w:p>
    <w:p w14:paraId="59C23817">
      <w:pPr>
        <w:tabs>
          <w:tab w:val="left" w:pos="1200"/>
        </w:tabs>
        <w:snapToGrid w:val="0"/>
        <w:spacing w:after="120" w:afterLines="50"/>
        <w:ind w:left="850" w:leftChars="203" w:hanging="424" w:hangingChars="202"/>
        <w:rPr>
          <w:rFonts w:eastAsia="仿宋_GB2312"/>
          <w:color w:val="auto"/>
          <w:highlight w:val="none"/>
        </w:rPr>
      </w:pPr>
      <w:r>
        <w:rPr>
          <w:rFonts w:eastAsia="仿宋_GB2312"/>
          <w:color w:val="auto"/>
          <w:highlight w:val="none"/>
        </w:rPr>
        <w:t>4</w:t>
      </w:r>
      <w:r>
        <w:rPr>
          <w:rFonts w:eastAsia="仿宋_GB2312"/>
          <w:color w:val="auto"/>
          <w:highlight w:val="none"/>
        </w:rPr>
        <w:tab/>
      </w:r>
      <w:r>
        <w:rPr>
          <w:rFonts w:eastAsia="仿宋_GB2312"/>
          <w:color w:val="auto"/>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78AEFF1F">
      <w:pPr>
        <w:autoSpaceDE w:val="0"/>
        <w:autoSpaceDN w:val="0"/>
        <w:adjustRightInd w:val="0"/>
        <w:snapToGrid w:val="0"/>
        <w:spacing w:line="360" w:lineRule="auto"/>
        <w:jc w:val="center"/>
        <w:rPr>
          <w:rFonts w:eastAsia="仿宋_GB2312"/>
          <w:b/>
          <w:color w:val="auto"/>
          <w:sz w:val="32"/>
          <w:szCs w:val="32"/>
          <w:highlight w:val="none"/>
        </w:rPr>
      </w:pPr>
    </w:p>
    <w:p w14:paraId="5EDA8BA7">
      <w:pPr>
        <w:autoSpaceDE w:val="0"/>
        <w:autoSpaceDN w:val="0"/>
        <w:adjustRightInd w:val="0"/>
        <w:snapToGrid w:val="0"/>
        <w:spacing w:line="360" w:lineRule="auto"/>
        <w:jc w:val="center"/>
        <w:rPr>
          <w:rFonts w:eastAsia="仿宋_GB2312"/>
          <w:b/>
          <w:bCs/>
          <w:color w:val="auto"/>
          <w:sz w:val="24"/>
          <w:highlight w:val="none"/>
        </w:rPr>
      </w:pPr>
      <w:r>
        <w:rPr>
          <w:rFonts w:eastAsia="仿宋_GB2312"/>
          <w:color w:val="auto"/>
          <w:highlight w:val="none"/>
        </w:rPr>
        <w:br w:type="page"/>
      </w:r>
    </w:p>
    <w:p w14:paraId="0E61B877">
      <w:pPr>
        <w:pStyle w:val="4"/>
        <w:jc w:val="center"/>
        <w:rPr>
          <w:rFonts w:ascii="仿宋_GB2312" w:hAnsi="仿宋_GB2312" w:eastAsia="仿宋_GB2312" w:cs="仿宋_GB2312"/>
          <w:b/>
          <w:bCs/>
          <w:color w:val="auto"/>
          <w:highlight w:val="none"/>
        </w:rPr>
      </w:pPr>
      <w:bookmarkStart w:id="512" w:name="_Toc2584"/>
      <w:bookmarkStart w:id="513" w:name="_Toc13664"/>
      <w:r>
        <w:rPr>
          <w:rFonts w:ascii="仿宋_GB2312" w:hAnsi="仿宋_GB2312" w:eastAsia="仿宋_GB2312" w:cs="仿宋_GB2312"/>
          <w:b/>
          <w:bCs/>
          <w:color w:val="auto"/>
          <w:highlight w:val="none"/>
        </w:rPr>
        <w:t>第四部分  响应方案说明</w:t>
      </w:r>
      <w:bookmarkEnd w:id="512"/>
      <w:bookmarkEnd w:id="513"/>
    </w:p>
    <w:p w14:paraId="40FBB3E1">
      <w:pPr>
        <w:pStyle w:val="2"/>
        <w:rPr>
          <w:rFonts w:ascii="Times New Roman" w:hAnsi="Times New Roman" w:eastAsia="仿宋_GB2312"/>
          <w:color w:val="auto"/>
          <w:highlight w:val="none"/>
          <w:lang w:val="zh-CN"/>
        </w:rPr>
      </w:pPr>
    </w:p>
    <w:p w14:paraId="38E7DEE4">
      <w:pPr>
        <w:autoSpaceDE w:val="0"/>
        <w:autoSpaceDN w:val="0"/>
        <w:adjustRightInd w:val="0"/>
        <w:spacing w:line="360" w:lineRule="auto"/>
        <w:jc w:val="center"/>
        <w:rPr>
          <w:rFonts w:eastAsia="仿宋_GB2312"/>
          <w:color w:val="auto"/>
          <w:sz w:val="28"/>
          <w:szCs w:val="28"/>
          <w:highlight w:val="none"/>
          <w:lang w:val="zh-CN"/>
        </w:rPr>
      </w:pPr>
      <w:r>
        <w:rPr>
          <w:rFonts w:eastAsia="仿宋_GB2312"/>
          <w:color w:val="auto"/>
          <w:sz w:val="28"/>
          <w:szCs w:val="28"/>
          <w:highlight w:val="none"/>
          <w:lang w:val="zh-CN"/>
        </w:rPr>
        <w:t>（格式自拟，内容需符合评审办法中要求的内容要求）</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6D6FBAF">
      <w:pPr>
        <w:rPr>
          <w:rFonts w:eastAsia="仿宋_GB2312"/>
          <w:color w:val="auto"/>
          <w:sz w:val="28"/>
          <w:szCs w:val="28"/>
          <w:highlight w:val="none"/>
          <w:lang w:val="zh-CN"/>
        </w:rPr>
      </w:pPr>
      <w:r>
        <w:rPr>
          <w:rFonts w:eastAsia="仿宋_GB2312"/>
          <w:color w:val="auto"/>
          <w:sz w:val="28"/>
          <w:szCs w:val="28"/>
          <w:highlight w:val="none"/>
          <w:lang w:val="zh-CN"/>
        </w:rPr>
        <w:br w:type="page"/>
      </w:r>
    </w:p>
    <w:p w14:paraId="2C653D95">
      <w:pPr>
        <w:pStyle w:val="4"/>
        <w:jc w:val="center"/>
        <w:rPr>
          <w:rFonts w:hint="eastAsia" w:ascii="仿宋" w:hAnsi="仿宋" w:eastAsia="仿宋_GB2312" w:cs="仿宋"/>
          <w:b/>
          <w:bCs/>
          <w:color w:val="auto"/>
          <w:kern w:val="2"/>
          <w:sz w:val="28"/>
          <w:szCs w:val="36"/>
          <w:highlight w:val="none"/>
          <w:lang w:val="en-US" w:eastAsia="zh-CN" w:bidi="ar-SA"/>
        </w:rPr>
      </w:pPr>
      <w:bookmarkStart w:id="514" w:name="_Toc2406"/>
      <w:bookmarkStart w:id="515" w:name="_Toc16890"/>
      <w:r>
        <w:rPr>
          <w:rFonts w:ascii="仿宋_GB2312" w:hAnsi="仿宋_GB2312" w:eastAsia="仿宋_GB2312" w:cs="仿宋_GB2312"/>
          <w:b/>
          <w:bCs/>
          <w:color w:val="auto"/>
          <w:highlight w:val="none"/>
        </w:rPr>
        <w:t>第</w:t>
      </w:r>
      <w:r>
        <w:rPr>
          <w:rFonts w:hint="eastAsia" w:ascii="仿宋_GB2312" w:hAnsi="仿宋_GB2312" w:eastAsia="仿宋_GB2312" w:cs="仿宋_GB2312"/>
          <w:b/>
          <w:bCs/>
          <w:color w:val="auto"/>
          <w:highlight w:val="none"/>
          <w:lang w:val="en-US" w:eastAsia="zh-CN"/>
        </w:rPr>
        <w:t>五</w:t>
      </w:r>
      <w:r>
        <w:rPr>
          <w:rFonts w:ascii="仿宋_GB2312" w:hAnsi="仿宋_GB2312" w:eastAsia="仿宋_GB2312" w:cs="仿宋_GB2312"/>
          <w:b/>
          <w:bCs/>
          <w:color w:val="auto"/>
          <w:highlight w:val="none"/>
        </w:rPr>
        <w:t xml:space="preserve">部分  </w:t>
      </w:r>
      <w:r>
        <w:rPr>
          <w:rFonts w:hint="eastAsia" w:ascii="仿宋_GB2312" w:hAnsi="仿宋_GB2312" w:eastAsia="仿宋_GB2312" w:cs="仿宋_GB2312"/>
          <w:b/>
          <w:bCs/>
          <w:color w:val="auto"/>
          <w:highlight w:val="none"/>
          <w:lang w:val="en-US" w:eastAsia="zh-CN"/>
        </w:rPr>
        <w:t>声明函</w:t>
      </w:r>
      <w:bookmarkEnd w:id="514"/>
    </w:p>
    <w:p w14:paraId="3705480C">
      <w:pPr>
        <w:jc w:val="center"/>
        <w:outlineLvl w:val="9"/>
        <w:rPr>
          <w:rFonts w:ascii="仿宋" w:hAnsi="仿宋" w:eastAsia="仿宋" w:cs="仿宋"/>
          <w:b/>
          <w:bCs/>
          <w:color w:val="auto"/>
          <w:highlight w:val="none"/>
        </w:rPr>
      </w:pPr>
      <w:r>
        <w:rPr>
          <w:rFonts w:hint="eastAsia" w:ascii="仿宋" w:hAnsi="仿宋" w:eastAsia="仿宋" w:cs="仿宋"/>
          <w:b/>
          <w:bCs/>
          <w:color w:val="auto"/>
          <w:kern w:val="2"/>
          <w:sz w:val="28"/>
          <w:szCs w:val="36"/>
          <w:highlight w:val="none"/>
          <w:lang w:val="en-US" w:eastAsia="zh-CN" w:bidi="ar-SA"/>
        </w:rPr>
        <w:t>一、中小企业、监狱企业、残疾人福利单位声明函</w:t>
      </w:r>
      <w:bookmarkEnd w:id="515"/>
    </w:p>
    <w:p w14:paraId="048FDC9E">
      <w:pPr>
        <w:jc w:val="center"/>
        <w:rPr>
          <w:rFonts w:ascii="仿宋" w:hAnsi="仿宋" w:eastAsia="仿宋" w:cs="仿宋"/>
          <w:b/>
          <w:bCs/>
          <w:color w:val="auto"/>
          <w:sz w:val="24"/>
          <w:highlight w:val="none"/>
        </w:rPr>
      </w:pPr>
    </w:p>
    <w:p w14:paraId="75C27192">
      <w:pPr>
        <w:tabs>
          <w:tab w:val="left" w:pos="588"/>
        </w:tabs>
        <w:jc w:val="center"/>
        <w:outlineLvl w:val="9"/>
        <w:rPr>
          <w:rFonts w:hint="eastAsia" w:ascii="仿宋" w:hAnsi="仿宋" w:eastAsia="仿宋" w:cs="仿宋"/>
          <w:b/>
          <w:bCs/>
          <w:color w:val="auto"/>
          <w:sz w:val="28"/>
          <w:szCs w:val="36"/>
          <w:highlight w:val="none"/>
        </w:rPr>
      </w:pPr>
    </w:p>
    <w:p w14:paraId="15ADCFA6">
      <w:pPr>
        <w:tabs>
          <w:tab w:val="left" w:pos="588"/>
        </w:tabs>
        <w:jc w:val="center"/>
        <w:outlineLvl w:val="9"/>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中小企业声明函(工程、服务)</w:t>
      </w:r>
    </w:p>
    <w:p w14:paraId="22C36619">
      <w:pPr>
        <w:spacing w:line="560" w:lineRule="exact"/>
        <w:ind w:firstLine="480" w:firstLineChars="200"/>
        <w:rPr>
          <w:rFonts w:hint="eastAsia" w:ascii="仿宋" w:hAnsi="仿宋" w:eastAsia="仿宋" w:cs="仿宋"/>
          <w:color w:val="auto"/>
          <w:kern w:val="0"/>
          <w:sz w:val="24"/>
          <w:highlight w:val="none"/>
        </w:rPr>
      </w:pPr>
    </w:p>
    <w:p w14:paraId="63C35447">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陕西省西咸新区沣东新城管理委员会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沣东大队驻地食堂服务（二次）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C6FF7AF">
      <w:pPr>
        <w:pStyle w:val="71"/>
        <w:numPr>
          <w:ilvl w:val="0"/>
          <w:numId w:val="14"/>
        </w:numPr>
        <w:spacing w:line="560" w:lineRule="exact"/>
        <w:ind w:left="0" w:firstLine="48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highlight w:val="none"/>
          <w:u w:val="single"/>
          <w:lang w:eastAsia="zh-CN"/>
        </w:rPr>
        <w:t>沣东大队驻地食堂服务（二次）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餐饮业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 xml:space="preserve"> (企业名称) </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(中型企业、小型企业、微型企业) ；</w:t>
      </w:r>
    </w:p>
    <w:p w14:paraId="0D3FB875">
      <w:pPr>
        <w:spacing w:line="560" w:lineRule="exact"/>
        <w:ind w:firstLine="480" w:firstLineChars="200"/>
        <w:rPr>
          <w:rFonts w:ascii="仿宋" w:hAnsi="仿宋" w:eastAsia="仿宋" w:cs="仿宋"/>
          <w:color w:val="auto"/>
          <w:kern w:val="0"/>
          <w:sz w:val="24"/>
          <w:highlight w:val="none"/>
        </w:rPr>
      </w:pPr>
    </w:p>
    <w:p w14:paraId="52084C25">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4AB99840">
      <w:pPr>
        <w:spacing w:line="560" w:lineRule="exact"/>
        <w:ind w:firstLine="482" w:firstLineChars="200"/>
        <w:rPr>
          <w:rFonts w:ascii="仿宋" w:hAnsi="仿宋" w:eastAsia="仿宋" w:cs="仿宋"/>
          <w:color w:val="auto"/>
          <w:kern w:val="0"/>
          <w:sz w:val="24"/>
          <w:highlight w:val="none"/>
        </w:rPr>
      </w:pPr>
      <w:r>
        <w:rPr>
          <w:rFonts w:hint="eastAsia" w:ascii="仿宋" w:hAnsi="仿宋" w:eastAsia="仿宋" w:cs="仿宋"/>
          <w:b/>
          <w:bCs/>
          <w:i/>
          <w:iCs/>
          <w:color w:val="auto"/>
          <w:kern w:val="0"/>
          <w:sz w:val="24"/>
          <w:highlight w:val="none"/>
        </w:rPr>
        <w:t>请供应商仔细阅读“关于印发中小企业划型标准规定的通知(工信部联企业〔2011〕300号)”文件，根据本项目所属行业的划型标准填写此声明函。</w:t>
      </w:r>
    </w:p>
    <w:p w14:paraId="2D5D9677">
      <w:pPr>
        <w:spacing w:line="56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6DD743D9">
      <w:pPr>
        <w:spacing w:line="56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单位名称(盖章):</w:t>
      </w:r>
    </w:p>
    <w:p w14:paraId="15811C70">
      <w:pPr>
        <w:spacing w:line="560" w:lineRule="exact"/>
        <w:ind w:firstLine="4320" w:firstLineChars="18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日期：</w:t>
      </w:r>
    </w:p>
    <w:p w14:paraId="67BE946D">
      <w:pPr>
        <w:spacing w:line="560" w:lineRule="exact"/>
        <w:ind w:firstLine="5400" w:firstLineChars="1800"/>
        <w:rPr>
          <w:rFonts w:ascii="仿宋" w:hAnsi="仿宋" w:eastAsia="仿宋" w:cs="仿宋"/>
          <w:color w:val="auto"/>
          <w:kern w:val="0"/>
          <w:sz w:val="30"/>
          <w:szCs w:val="30"/>
          <w:highlight w:val="none"/>
        </w:rPr>
      </w:pPr>
    </w:p>
    <w:p w14:paraId="50D65B54">
      <w:pPr>
        <w:rPr>
          <w:rFonts w:ascii="仿宋" w:hAnsi="仿宋" w:eastAsia="仿宋" w:cs="仿宋"/>
          <w:color w:val="auto"/>
          <w:kern w:val="0"/>
          <w:sz w:val="30"/>
          <w:szCs w:val="30"/>
          <w:highlight w:val="none"/>
          <w:u w:val="single"/>
        </w:rPr>
      </w:pPr>
      <w:r>
        <w:rPr>
          <w:rFonts w:hint="eastAsia" w:ascii="仿宋" w:hAnsi="仿宋" w:eastAsia="仿宋" w:cs="仿宋"/>
          <w:color w:val="auto"/>
          <w:kern w:val="0"/>
          <w:sz w:val="30"/>
          <w:szCs w:val="30"/>
          <w:highlight w:val="none"/>
        </w:rPr>
        <w:t xml:space="preserve"> </w:t>
      </w:r>
      <w:r>
        <w:rPr>
          <w:rFonts w:hint="eastAsia" w:ascii="仿宋" w:hAnsi="仿宋" w:eastAsia="仿宋" w:cs="仿宋"/>
          <w:color w:val="auto"/>
          <w:kern w:val="0"/>
          <w:sz w:val="30"/>
          <w:szCs w:val="30"/>
          <w:highlight w:val="none"/>
          <w:u w:val="single"/>
        </w:rPr>
        <w:t xml:space="preserve">                                                   </w:t>
      </w:r>
    </w:p>
    <w:p w14:paraId="78EC0F16">
      <w:pPr>
        <w:ind w:firstLine="105" w:firstLineChars="5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（从业人员、营业收入、资产总额填报上一年度数据，无上一年度数据的新成立企业可不填报）</w:t>
      </w:r>
    </w:p>
    <w:p w14:paraId="098BD1AA">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1C4E9BC">
      <w:pPr>
        <w:tabs>
          <w:tab w:val="left" w:pos="588"/>
        </w:tabs>
        <w:jc w:val="center"/>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二、监狱企业声明函</w:t>
      </w:r>
    </w:p>
    <w:p w14:paraId="3626CDAC">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14:paraId="5AD10DA0">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14:paraId="421AE5C1">
      <w:pPr>
        <w:widowControl/>
        <w:spacing w:before="100" w:beforeAutospacing="1" w:after="100" w:afterAutospacing="1" w:line="360" w:lineRule="auto"/>
        <w:ind w:firstLine="360" w:firstLineChars="15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14:paraId="12EEB832">
      <w:pPr>
        <w:widowControl/>
        <w:spacing w:before="100" w:beforeAutospacing="1" w:after="100" w:afterAutospacing="1" w:line="360" w:lineRule="auto"/>
        <w:ind w:firstLine="42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447F25A">
      <w:pPr>
        <w:widowControl/>
        <w:spacing w:before="100" w:beforeAutospacing="1" w:after="100" w:afterAutospacing="1" w:line="360" w:lineRule="auto"/>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14:paraId="50122127">
      <w:pPr>
        <w:widowControl/>
        <w:spacing w:before="100" w:beforeAutospacing="1" w:after="100" w:afterAutospacing="1" w:line="360" w:lineRule="auto"/>
        <w:jc w:val="left"/>
        <w:rPr>
          <w:rFonts w:ascii="仿宋" w:hAnsi="仿宋" w:eastAsia="仿宋" w:cs="仿宋"/>
          <w:b/>
          <w:color w:val="auto"/>
          <w:kern w:val="0"/>
          <w:sz w:val="24"/>
          <w:szCs w:val="20"/>
          <w:highlight w:val="none"/>
        </w:rPr>
      </w:pPr>
      <w:r>
        <w:rPr>
          <w:rFonts w:hint="eastAsia" w:ascii="仿宋" w:hAnsi="仿宋" w:eastAsia="仿宋" w:cs="仿宋"/>
          <w:color w:val="auto"/>
          <w:kern w:val="0"/>
          <w:sz w:val="24"/>
          <w:highlight w:val="none"/>
        </w:rPr>
        <w:t>　</w:t>
      </w:r>
      <w:r>
        <w:rPr>
          <w:rFonts w:hint="eastAsia" w:ascii="仿宋" w:hAnsi="仿宋" w:eastAsia="仿宋" w:cs="仿宋"/>
          <w:b/>
          <w:color w:val="auto"/>
          <w:kern w:val="0"/>
          <w:sz w:val="24"/>
          <w:szCs w:val="20"/>
          <w:highlight w:val="none"/>
        </w:rPr>
        <w:t>　</w:t>
      </w:r>
    </w:p>
    <w:p w14:paraId="3A5657DB">
      <w:pPr>
        <w:widowControl/>
        <w:spacing w:before="100" w:beforeAutospacing="1" w:after="100" w:afterAutospacing="1" w:line="360" w:lineRule="auto"/>
        <w:ind w:firstLine="360" w:firstLineChars="15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单位名称（公章）：</w:t>
      </w:r>
      <w:r>
        <w:rPr>
          <w:rFonts w:hint="eastAsia" w:ascii="仿宋" w:hAnsi="仿宋" w:eastAsia="仿宋" w:cs="仿宋"/>
          <w:color w:val="auto"/>
          <w:kern w:val="0"/>
          <w:sz w:val="24"/>
          <w:highlight w:val="none"/>
          <w:u w:val="single"/>
        </w:rPr>
        <w:t xml:space="preserve">             </w:t>
      </w:r>
    </w:p>
    <w:p w14:paraId="59D2E938">
      <w:pPr>
        <w:widowControl/>
        <w:spacing w:before="100" w:beforeAutospacing="1" w:after="100" w:afterAutospacing="1" w:line="360" w:lineRule="auto"/>
        <w:ind w:firstLine="480" w:firstLineChars="200"/>
        <w:jc w:val="left"/>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4A04D6D1">
      <w:pPr>
        <w:widowControl/>
        <w:spacing w:before="100" w:beforeAutospacing="1" w:after="100" w:afterAutospacing="1" w:line="360" w:lineRule="auto"/>
        <w:jc w:val="left"/>
        <w:rPr>
          <w:rFonts w:ascii="仿宋" w:hAnsi="仿宋" w:eastAsia="仿宋" w:cs="仿宋"/>
          <w:color w:val="auto"/>
          <w:kern w:val="0"/>
          <w:sz w:val="24"/>
          <w:highlight w:val="none"/>
          <w:u w:val="single"/>
        </w:rPr>
      </w:pPr>
    </w:p>
    <w:p w14:paraId="20CEA6A6">
      <w:pPr>
        <w:widowControl/>
        <w:spacing w:before="100" w:beforeAutospacing="1" w:after="100" w:afterAutospacing="1" w:line="360" w:lineRule="auto"/>
        <w:jc w:val="left"/>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rPr>
        <w:t>注：符合《关于政府采购支持监狱企业发展有关问题的通知》价格扣减条件的供应商须提交。需提供</w:t>
      </w:r>
      <w:r>
        <w:rPr>
          <w:rFonts w:hint="eastAsia" w:ascii="仿宋" w:hAnsi="仿宋" w:eastAsia="仿宋" w:cs="仿宋"/>
          <w:b/>
          <w:bCs/>
          <w:color w:val="auto"/>
          <w:sz w:val="24"/>
          <w:highlight w:val="none"/>
        </w:rPr>
        <w:t>省级以上监狱管理局、戒毒管理局（含新疆生产建设兵团）出具的属于监狱企业的证明文件。不符合的可以不提交。</w:t>
      </w:r>
    </w:p>
    <w:p w14:paraId="610C864F">
      <w:pPr>
        <w:rPr>
          <w:rFonts w:ascii="仿宋" w:hAnsi="仿宋" w:eastAsia="仿宋" w:cs="仿宋"/>
          <w:color w:val="auto"/>
          <w:sz w:val="32"/>
          <w:szCs w:val="32"/>
          <w:highlight w:val="none"/>
        </w:rPr>
      </w:pPr>
    </w:p>
    <w:p w14:paraId="0BDE0AAA">
      <w:pPr>
        <w:tabs>
          <w:tab w:val="left" w:pos="588"/>
        </w:tabs>
        <w:jc w:val="center"/>
        <w:rPr>
          <w:rFonts w:ascii="仿宋" w:hAnsi="仿宋" w:eastAsia="仿宋" w:cs="仿宋"/>
          <w:b/>
          <w:color w:val="auto"/>
          <w:sz w:val="32"/>
          <w:szCs w:val="32"/>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28"/>
          <w:szCs w:val="36"/>
          <w:highlight w:val="none"/>
        </w:rPr>
        <w:t>三、残疾人福利性单位声明函</w:t>
      </w:r>
    </w:p>
    <w:p w14:paraId="4E0571AC">
      <w:pPr>
        <w:rPr>
          <w:rFonts w:ascii="仿宋" w:hAnsi="仿宋" w:eastAsia="仿宋" w:cs="仿宋"/>
          <w:color w:val="auto"/>
          <w:sz w:val="24"/>
          <w:highlight w:val="none"/>
        </w:rPr>
      </w:pPr>
    </w:p>
    <w:p w14:paraId="12D7033D">
      <w:pPr>
        <w:spacing w:line="360" w:lineRule="auto"/>
        <w:ind w:firstLine="480" w:firstLineChars="200"/>
        <w:rPr>
          <w:rFonts w:ascii="仿宋" w:hAnsi="仿宋" w:eastAsia="仿宋" w:cs="仿宋"/>
          <w:color w:val="auto"/>
          <w:sz w:val="24"/>
          <w:highlight w:val="none"/>
        </w:rPr>
      </w:pPr>
    </w:p>
    <w:p w14:paraId="7D176B1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（符合/不符合）条件的残疾人福利性单位，且本单位参加_</w:t>
      </w:r>
      <w:r>
        <w:rPr>
          <w:rFonts w:hint="eastAsia" w:ascii="仿宋" w:hAnsi="仿宋" w:eastAsia="仿宋" w:cs="仿宋"/>
          <w:color w:val="auto"/>
          <w:sz w:val="24"/>
          <w:highlight w:val="none"/>
          <w:u w:val="single"/>
          <w:lang w:eastAsia="zh-CN"/>
        </w:rPr>
        <w:t>陕西省西咸新区沣东新城管理委员会</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lang w:eastAsia="zh-CN"/>
        </w:rPr>
        <w:t>沣东大队驻地食堂服务（二次）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采购活动提供本单位制造的货物（由本单位承担工程/提供服务），或者提供其他残疾人福利性单位制造的货物（不包括使用非残疾人福利性单位注册商标的货物）。</w:t>
      </w:r>
    </w:p>
    <w:p w14:paraId="119A91C8">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8BFE536">
      <w:pPr>
        <w:spacing w:line="360" w:lineRule="auto"/>
        <w:rPr>
          <w:rFonts w:ascii="仿宋" w:hAnsi="仿宋" w:eastAsia="仿宋" w:cs="仿宋"/>
          <w:color w:val="auto"/>
          <w:sz w:val="24"/>
          <w:highlight w:val="none"/>
        </w:rPr>
      </w:pPr>
    </w:p>
    <w:p w14:paraId="422DE1EF">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A13D67B">
      <w:pPr>
        <w:rPr>
          <w:rFonts w:ascii="仿宋" w:hAnsi="仿宋" w:eastAsia="仿宋" w:cs="仿宋"/>
          <w:color w:val="auto"/>
          <w:sz w:val="24"/>
          <w:highlight w:val="none"/>
        </w:rPr>
      </w:pPr>
    </w:p>
    <w:p w14:paraId="55CC8166">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039D66A">
      <w:pPr>
        <w:rPr>
          <w:rFonts w:ascii="仿宋" w:hAnsi="仿宋" w:eastAsia="仿宋" w:cs="仿宋"/>
          <w:color w:val="auto"/>
          <w:sz w:val="24"/>
          <w:highlight w:val="none"/>
        </w:rPr>
      </w:pPr>
    </w:p>
    <w:p w14:paraId="78DD7AA9">
      <w:pPr>
        <w:ind w:firstLine="3600" w:firstLineChars="1500"/>
        <w:rPr>
          <w:rFonts w:ascii="仿宋" w:hAnsi="仿宋" w:eastAsia="仿宋" w:cs="仿宋"/>
          <w:color w:val="auto"/>
          <w:sz w:val="24"/>
          <w:highlight w:val="none"/>
        </w:rPr>
      </w:pPr>
      <w:r>
        <w:rPr>
          <w:rFonts w:hint="eastAsia" w:ascii="仿宋" w:hAnsi="仿宋" w:eastAsia="仿宋" w:cs="仿宋"/>
          <w:color w:val="auto"/>
          <w:sz w:val="24"/>
          <w:highlight w:val="none"/>
        </w:rPr>
        <w:t>单位名称（公章）：</w:t>
      </w:r>
    </w:p>
    <w:p w14:paraId="4DF5596D">
      <w:pPr>
        <w:rPr>
          <w:rFonts w:ascii="仿宋" w:hAnsi="仿宋" w:eastAsia="仿宋" w:cs="仿宋"/>
          <w:color w:val="auto"/>
          <w:sz w:val="24"/>
          <w:highlight w:val="none"/>
        </w:rPr>
      </w:pPr>
    </w:p>
    <w:p w14:paraId="08475AA8">
      <w:pPr>
        <w:pStyle w:val="24"/>
        <w:ind w:firstLine="3360" w:firstLineChars="1400"/>
        <w:rPr>
          <w:rFonts w:ascii="仿宋" w:hAnsi="仿宋" w:eastAsia="仿宋" w:cs="仿宋"/>
          <w:color w:val="auto"/>
          <w:highlight w:val="none"/>
        </w:rPr>
      </w:pPr>
      <w:r>
        <w:rPr>
          <w:rFonts w:hint="eastAsia" w:ascii="仿宋" w:hAnsi="仿宋" w:eastAsia="仿宋" w:cs="仿宋"/>
          <w:color w:val="auto"/>
          <w:highlight w:val="none"/>
        </w:rPr>
        <w:t>日  期：</w:t>
      </w:r>
    </w:p>
    <w:p w14:paraId="3AFC50E6">
      <w:pPr>
        <w:ind w:firstLine="4337" w:firstLineChars="1800"/>
        <w:rPr>
          <w:rFonts w:ascii="仿宋" w:hAnsi="仿宋" w:eastAsia="仿宋" w:cs="仿宋"/>
          <w:b/>
          <w:bCs/>
          <w:color w:val="auto"/>
          <w:kern w:val="0"/>
          <w:sz w:val="24"/>
          <w:szCs w:val="20"/>
          <w:highlight w:val="none"/>
        </w:rPr>
      </w:pPr>
    </w:p>
    <w:p w14:paraId="798FCD63">
      <w:pPr>
        <w:ind w:firstLine="4337" w:firstLineChars="1800"/>
        <w:rPr>
          <w:rFonts w:ascii="仿宋" w:hAnsi="仿宋" w:eastAsia="仿宋" w:cs="仿宋"/>
          <w:b/>
          <w:bCs/>
          <w:color w:val="auto"/>
          <w:kern w:val="0"/>
          <w:sz w:val="24"/>
          <w:szCs w:val="20"/>
          <w:highlight w:val="none"/>
        </w:rPr>
      </w:pPr>
    </w:p>
    <w:p w14:paraId="095863C5">
      <w:pPr>
        <w:ind w:firstLine="4337" w:firstLineChars="1800"/>
        <w:rPr>
          <w:rFonts w:ascii="仿宋" w:hAnsi="仿宋" w:eastAsia="仿宋" w:cs="仿宋"/>
          <w:b/>
          <w:bCs/>
          <w:color w:val="auto"/>
          <w:kern w:val="0"/>
          <w:sz w:val="24"/>
          <w:szCs w:val="20"/>
          <w:highlight w:val="none"/>
        </w:rPr>
      </w:pPr>
    </w:p>
    <w:p w14:paraId="276BFEDF">
      <w:pPr>
        <w:ind w:firstLine="4337" w:firstLineChars="1800"/>
        <w:rPr>
          <w:rFonts w:ascii="仿宋" w:hAnsi="仿宋" w:eastAsia="仿宋" w:cs="仿宋"/>
          <w:b/>
          <w:bCs/>
          <w:color w:val="auto"/>
          <w:kern w:val="0"/>
          <w:sz w:val="24"/>
          <w:szCs w:val="20"/>
          <w:highlight w:val="none"/>
        </w:rPr>
      </w:pPr>
    </w:p>
    <w:p w14:paraId="453D329B">
      <w:pPr>
        <w:ind w:firstLine="4337" w:firstLineChars="1800"/>
        <w:outlineLvl w:val="9"/>
        <w:rPr>
          <w:rFonts w:ascii="仿宋" w:hAnsi="仿宋" w:eastAsia="仿宋" w:cs="仿宋"/>
          <w:b/>
          <w:bCs/>
          <w:color w:val="auto"/>
          <w:kern w:val="0"/>
          <w:sz w:val="24"/>
          <w:szCs w:val="20"/>
          <w:highlight w:val="none"/>
        </w:rPr>
      </w:pPr>
    </w:p>
    <w:p w14:paraId="5DB8B6B7">
      <w:pPr>
        <w:ind w:firstLine="4337" w:firstLineChars="1800"/>
        <w:outlineLvl w:val="9"/>
        <w:rPr>
          <w:rFonts w:ascii="仿宋" w:hAnsi="仿宋" w:eastAsia="仿宋" w:cs="仿宋"/>
          <w:b/>
          <w:bCs/>
          <w:color w:val="auto"/>
          <w:kern w:val="0"/>
          <w:sz w:val="24"/>
          <w:szCs w:val="20"/>
          <w:highlight w:val="none"/>
        </w:rPr>
      </w:pPr>
    </w:p>
    <w:p w14:paraId="57C623C3">
      <w:pPr>
        <w:outlineLvl w:val="9"/>
        <w:rPr>
          <w:color w:val="auto"/>
          <w:highlight w:val="none"/>
          <w:lang w:val="zh-CN"/>
        </w:rPr>
      </w:pPr>
      <w:r>
        <w:rPr>
          <w:rFonts w:hint="eastAsia" w:ascii="仿宋" w:hAnsi="仿宋" w:eastAsia="仿宋" w:cs="仿宋"/>
          <w:b/>
          <w:bCs/>
          <w:color w:val="auto"/>
          <w:kern w:val="0"/>
          <w:sz w:val="24"/>
          <w:szCs w:val="20"/>
          <w:highlight w:val="none"/>
        </w:rPr>
        <w:t>注：符合《三部门联合发布关于促进残疾人就业政府采购政策的通知》条件的供应商须提交，不符合的可以不提交。</w:t>
      </w: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EE1F">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16587D29">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FFDC">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7B24">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A94">
    <w:pPr>
      <w:pStyle w:val="33"/>
    </w:pPr>
    <w:r>
      <mc:AlternateContent>
        <mc:Choice Requires="wps">
          <w:drawing>
            <wp:anchor distT="0" distB="0" distL="114300" distR="114300" simplePos="0" relativeHeight="251661312" behindDoc="0" locked="0" layoutInCell="1" allowOverlap="1">
              <wp:simplePos x="0" y="0"/>
              <wp:positionH relativeFrom="margin">
                <wp:posOffset>2677160</wp:posOffset>
              </wp:positionH>
              <wp:positionV relativeFrom="paragraph">
                <wp:posOffset>0</wp:posOffset>
              </wp:positionV>
              <wp:extent cx="391160" cy="275590"/>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91160" cy="275590"/>
                      </a:xfrm>
                      <a:prstGeom prst="rect">
                        <a:avLst/>
                      </a:prstGeom>
                      <a:noFill/>
                      <a:ln>
                        <a:noFill/>
                      </a:ln>
                      <a:effectLst/>
                    </wps:spPr>
                    <wps:txbx>
                      <w:txbxContent>
                        <w:p w14:paraId="42474A9B">
                          <w:pPr>
                            <w:pStyle w:val="33"/>
                            <w:jc w:val="cente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left:210.8pt;margin-top:0pt;height:21.7pt;width:30.8pt;mso-position-horizontal-relative:margin;z-index:251661312;mso-width-relative:page;mso-height-relative:page;" filled="f" stroked="f" coordsize="21600,21600" o:gfxdata="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4b6W7WAAAABwEAAA8AAAAAAAAAAQAgAAAAIgAAAGRycy9k&#10;b3ducmV2LnhtbFBLAQIUABQAAAAIAIdO4kBvW6nqBAIAABQEAAAOAAAAAAAAAAEAIAAAACUBAABk&#10;cnMvZTJvRG9jLnhtbFBLBQYAAAAABgAGAFkBAACbBQAAAAA=&#10;">
              <v:fill on="f" focussize="0,0"/>
              <v:stroke on="f"/>
              <v:imagedata o:title=""/>
              <o:lock v:ext="edit" aspectratio="f"/>
              <v:textbox inset="0mm,0mm,0mm,0mm">
                <w:txbxContent>
                  <w:p w14:paraId="42474A9B">
                    <w:pPr>
                      <w:pStyle w:val="33"/>
                      <w:jc w:val="cente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16</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363F">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14:paraId="5FE7011E">
                          <w:pPr>
                            <w:pStyle w:val="3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14:paraId="5FE7011E">
                    <w:pPr>
                      <w:pStyle w:val="3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096AB">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73C4D6">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B73C4D6">
                    <w:pPr>
                      <w:pStyle w:val="33"/>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6329A">
    <w:pPr>
      <w:pStyle w:val="34"/>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AD83">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DB96"/>
  <w:p w14:paraId="4BFE3512">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5"/>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3CF0316B"/>
    <w:multiLevelType w:val="singleLevel"/>
    <w:tmpl w:val="3CF0316B"/>
    <w:lvl w:ilvl="0" w:tentative="0">
      <w:start w:val="1"/>
      <w:numFmt w:val="decimal"/>
      <w:suff w:val="space"/>
      <w:lvlText w:val="%1."/>
      <w:lvlJc w:val="left"/>
      <w:pPr>
        <w:tabs>
          <w:tab w:val="left" w:pos="0"/>
        </w:tabs>
        <w:ind w:left="0" w:firstLine="0"/>
      </w:pPr>
      <w:rPr>
        <w:rFonts w:hint="default"/>
      </w:rPr>
    </w:lvl>
  </w:abstractNum>
  <w:abstractNum w:abstractNumId="7">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8">
    <w:nsid w:val="44C50F90"/>
    <w:multiLevelType w:val="multilevel"/>
    <w:tmpl w:val="44C50F90"/>
    <w:lvl w:ilvl="0" w:tentative="0">
      <w:start w:val="1"/>
      <w:numFmt w:val="lowerLetter"/>
      <w:lvlText w:val="%1)"/>
      <w:lvlJc w:val="left"/>
      <w:pPr>
        <w:tabs>
          <w:tab w:val="left" w:pos="735"/>
        </w:tabs>
        <w:ind w:left="734" w:hanging="419"/>
      </w:pPr>
      <w:rPr>
        <w:rFonts w:hint="eastAsia" w:ascii="宋体" w:hAnsi="Times New Roman" w:eastAsia="宋体"/>
        <w:b w:val="0"/>
        <w:i w:val="0"/>
        <w:sz w:val="21"/>
        <w:szCs w:val="21"/>
      </w:rPr>
    </w:lvl>
    <w:lvl w:ilvl="1" w:tentative="0">
      <w:start w:val="1"/>
      <w:numFmt w:val="decimal"/>
      <w:pStyle w:val="304"/>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9">
    <w:nsid w:val="537AA372"/>
    <w:multiLevelType w:val="singleLevel"/>
    <w:tmpl w:val="537AA372"/>
    <w:lvl w:ilvl="0" w:tentative="0">
      <w:start w:val="21"/>
      <w:numFmt w:val="decimal"/>
      <w:suff w:val="space"/>
      <w:lvlText w:val="%1."/>
      <w:lvlJc w:val="left"/>
    </w:lvl>
  </w:abstractNum>
  <w:abstractNum w:abstractNumId="10">
    <w:nsid w:val="624D1350"/>
    <w:multiLevelType w:val="singleLevel"/>
    <w:tmpl w:val="624D1350"/>
    <w:lvl w:ilvl="0" w:tentative="0">
      <w:start w:val="25"/>
      <w:numFmt w:val="decimal"/>
      <w:suff w:val="space"/>
      <w:lvlText w:val="%1."/>
      <w:lvlJc w:val="left"/>
    </w:lvl>
  </w:abstractNum>
  <w:abstractNum w:abstractNumId="11">
    <w:nsid w:val="6CEA2025"/>
    <w:multiLevelType w:val="multilevel"/>
    <w:tmpl w:val="6CEA2025"/>
    <w:lvl w:ilvl="0" w:tentative="0">
      <w:start w:val="1"/>
      <w:numFmt w:val="none"/>
      <w:pStyle w:val="243"/>
      <w:suff w:val="nothing"/>
      <w:lvlText w:val="%1"/>
      <w:lvlJc w:val="left"/>
      <w:pPr>
        <w:ind w:left="0" w:firstLine="0"/>
      </w:pPr>
      <w:rPr>
        <w:rFonts w:hint="default" w:ascii="Times New Roman" w:hAnsi="Times New Roman"/>
        <w:b/>
        <w:i w:val="0"/>
        <w:sz w:val="21"/>
      </w:rPr>
    </w:lvl>
    <w:lvl w:ilvl="1" w:tentative="0">
      <w:start w:val="1"/>
      <w:numFmt w:val="decimal"/>
      <w:pStyle w:val="244"/>
      <w:suff w:val="nothing"/>
      <w:lvlText w:val="%1%2　"/>
      <w:lvlJc w:val="left"/>
      <w:pPr>
        <w:ind w:left="315" w:firstLine="0"/>
      </w:pPr>
      <w:rPr>
        <w:rFonts w:hint="eastAsia" w:ascii="黑体" w:hAnsi="Times New Roman" w:eastAsia="黑体"/>
        <w:b w:val="0"/>
        <w:i w:val="0"/>
        <w:sz w:val="21"/>
      </w:rPr>
    </w:lvl>
    <w:lvl w:ilvl="2" w:tentative="0">
      <w:start w:val="1"/>
      <w:numFmt w:val="decimal"/>
      <w:pStyle w:val="245"/>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8"/>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9"/>
      <w:suff w:val="nothing"/>
      <w:lvlText w:val="%1%2.%3.%4.%5.%6　"/>
      <w:lvlJc w:val="left"/>
      <w:pPr>
        <w:ind w:left="0" w:firstLine="0"/>
      </w:pPr>
      <w:rPr>
        <w:rFonts w:hint="eastAsia" w:ascii="黑体" w:hAnsi="Times New Roman" w:eastAsia="黑体"/>
        <w:b w:val="0"/>
        <w:i w:val="0"/>
        <w:sz w:val="21"/>
      </w:rPr>
    </w:lvl>
    <w:lvl w:ilvl="6" w:tentative="0">
      <w:start w:val="1"/>
      <w:numFmt w:val="decimal"/>
      <w:pStyle w:val="25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76933334"/>
    <w:multiLevelType w:val="multilevel"/>
    <w:tmpl w:val="76933334"/>
    <w:lvl w:ilvl="0" w:tentative="0">
      <w:start w:val="1"/>
      <w:numFmt w:val="none"/>
      <w:pStyle w:val="247"/>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1"/>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0"/>
  </w:num>
  <w:num w:numId="9">
    <w:abstractNumId w:val="9"/>
  </w:num>
  <w:num w:numId="10">
    <w:abstractNumId w:val="10"/>
  </w:num>
  <w:num w:numId="11">
    <w:abstractNumId w:val="4"/>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DQxYWM0MTczYjBhMzlmYjdkYmMwMzBhMmYwMWMifQ=="/>
  </w:docVars>
  <w:rsids>
    <w:rsidRoot w:val="00172A27"/>
    <w:rsid w:val="000076EB"/>
    <w:rsid w:val="00010824"/>
    <w:rsid w:val="00011C69"/>
    <w:rsid w:val="00012B84"/>
    <w:rsid w:val="00017F4A"/>
    <w:rsid w:val="000206FB"/>
    <w:rsid w:val="0002561E"/>
    <w:rsid w:val="00026358"/>
    <w:rsid w:val="0003091F"/>
    <w:rsid w:val="0003167F"/>
    <w:rsid w:val="00035C01"/>
    <w:rsid w:val="000360A4"/>
    <w:rsid w:val="00037A8B"/>
    <w:rsid w:val="00041AF7"/>
    <w:rsid w:val="000432ED"/>
    <w:rsid w:val="00043EA6"/>
    <w:rsid w:val="00043F6D"/>
    <w:rsid w:val="000449A9"/>
    <w:rsid w:val="00047D64"/>
    <w:rsid w:val="00051DDB"/>
    <w:rsid w:val="000524DF"/>
    <w:rsid w:val="00060BDF"/>
    <w:rsid w:val="00065875"/>
    <w:rsid w:val="000739EC"/>
    <w:rsid w:val="00084E49"/>
    <w:rsid w:val="000864F6"/>
    <w:rsid w:val="00090E0B"/>
    <w:rsid w:val="00091EC9"/>
    <w:rsid w:val="0009361A"/>
    <w:rsid w:val="0009381E"/>
    <w:rsid w:val="00093935"/>
    <w:rsid w:val="0009799D"/>
    <w:rsid w:val="000A15A6"/>
    <w:rsid w:val="000A2D28"/>
    <w:rsid w:val="000A4FE6"/>
    <w:rsid w:val="000B4D6D"/>
    <w:rsid w:val="000B5CCC"/>
    <w:rsid w:val="000C135C"/>
    <w:rsid w:val="000C3906"/>
    <w:rsid w:val="000C5BB6"/>
    <w:rsid w:val="000D231B"/>
    <w:rsid w:val="000D4A95"/>
    <w:rsid w:val="000D6BDC"/>
    <w:rsid w:val="000E103E"/>
    <w:rsid w:val="000E1212"/>
    <w:rsid w:val="000E2D1B"/>
    <w:rsid w:val="000E5101"/>
    <w:rsid w:val="000E638B"/>
    <w:rsid w:val="000F3A5B"/>
    <w:rsid w:val="000F4579"/>
    <w:rsid w:val="000F4DE0"/>
    <w:rsid w:val="001012E7"/>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50DA"/>
    <w:rsid w:val="00187220"/>
    <w:rsid w:val="00194AEF"/>
    <w:rsid w:val="001A31AB"/>
    <w:rsid w:val="001B023A"/>
    <w:rsid w:val="001B1FDC"/>
    <w:rsid w:val="001B2823"/>
    <w:rsid w:val="001B354A"/>
    <w:rsid w:val="001B3620"/>
    <w:rsid w:val="001B388E"/>
    <w:rsid w:val="001B3B0E"/>
    <w:rsid w:val="001B7144"/>
    <w:rsid w:val="001C1032"/>
    <w:rsid w:val="001C180D"/>
    <w:rsid w:val="001C2A34"/>
    <w:rsid w:val="001C3B26"/>
    <w:rsid w:val="001D0DA4"/>
    <w:rsid w:val="001D19C2"/>
    <w:rsid w:val="001D3446"/>
    <w:rsid w:val="001D4132"/>
    <w:rsid w:val="001D5293"/>
    <w:rsid w:val="001D5FDA"/>
    <w:rsid w:val="001D634D"/>
    <w:rsid w:val="001E0BCB"/>
    <w:rsid w:val="001E13CC"/>
    <w:rsid w:val="001E5ACA"/>
    <w:rsid w:val="001E6E32"/>
    <w:rsid w:val="001F2DA3"/>
    <w:rsid w:val="001F3C44"/>
    <w:rsid w:val="001F642F"/>
    <w:rsid w:val="00200AA2"/>
    <w:rsid w:val="00210A41"/>
    <w:rsid w:val="0021263B"/>
    <w:rsid w:val="0021351E"/>
    <w:rsid w:val="002156D3"/>
    <w:rsid w:val="0021613C"/>
    <w:rsid w:val="00220DD5"/>
    <w:rsid w:val="00222276"/>
    <w:rsid w:val="0022779B"/>
    <w:rsid w:val="00231621"/>
    <w:rsid w:val="00235E72"/>
    <w:rsid w:val="00237812"/>
    <w:rsid w:val="00240C69"/>
    <w:rsid w:val="00246479"/>
    <w:rsid w:val="00247D31"/>
    <w:rsid w:val="002527EC"/>
    <w:rsid w:val="0026051F"/>
    <w:rsid w:val="00262E9E"/>
    <w:rsid w:val="00264FEE"/>
    <w:rsid w:val="0026552B"/>
    <w:rsid w:val="002713C4"/>
    <w:rsid w:val="0027169F"/>
    <w:rsid w:val="002717D2"/>
    <w:rsid w:val="0027314A"/>
    <w:rsid w:val="00276156"/>
    <w:rsid w:val="0028153C"/>
    <w:rsid w:val="0028435C"/>
    <w:rsid w:val="00290692"/>
    <w:rsid w:val="00290B93"/>
    <w:rsid w:val="002939B1"/>
    <w:rsid w:val="00293DE8"/>
    <w:rsid w:val="0029438A"/>
    <w:rsid w:val="00294F2B"/>
    <w:rsid w:val="002957B2"/>
    <w:rsid w:val="002A0D21"/>
    <w:rsid w:val="002A276A"/>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4406"/>
    <w:rsid w:val="002E5A17"/>
    <w:rsid w:val="002E601A"/>
    <w:rsid w:val="002F1770"/>
    <w:rsid w:val="002F2F49"/>
    <w:rsid w:val="002F2FB6"/>
    <w:rsid w:val="002F5F72"/>
    <w:rsid w:val="002F6981"/>
    <w:rsid w:val="00304929"/>
    <w:rsid w:val="00310A20"/>
    <w:rsid w:val="00313160"/>
    <w:rsid w:val="003217B1"/>
    <w:rsid w:val="00326D08"/>
    <w:rsid w:val="00334EF7"/>
    <w:rsid w:val="00351550"/>
    <w:rsid w:val="00353CCD"/>
    <w:rsid w:val="00354E99"/>
    <w:rsid w:val="00355542"/>
    <w:rsid w:val="00355C44"/>
    <w:rsid w:val="00367444"/>
    <w:rsid w:val="003703B4"/>
    <w:rsid w:val="0037250B"/>
    <w:rsid w:val="00373E63"/>
    <w:rsid w:val="0037458F"/>
    <w:rsid w:val="003778AA"/>
    <w:rsid w:val="003803CD"/>
    <w:rsid w:val="0038123D"/>
    <w:rsid w:val="003816EF"/>
    <w:rsid w:val="00383DEC"/>
    <w:rsid w:val="0038577F"/>
    <w:rsid w:val="00387748"/>
    <w:rsid w:val="0039011E"/>
    <w:rsid w:val="00394350"/>
    <w:rsid w:val="00394484"/>
    <w:rsid w:val="003A02D7"/>
    <w:rsid w:val="003A0A59"/>
    <w:rsid w:val="003A443C"/>
    <w:rsid w:val="003A6B66"/>
    <w:rsid w:val="003B75AA"/>
    <w:rsid w:val="003C1B37"/>
    <w:rsid w:val="003C5F20"/>
    <w:rsid w:val="003D08D2"/>
    <w:rsid w:val="003D0CD9"/>
    <w:rsid w:val="003D1432"/>
    <w:rsid w:val="003D2F85"/>
    <w:rsid w:val="003D378B"/>
    <w:rsid w:val="003D6CC0"/>
    <w:rsid w:val="003D6F83"/>
    <w:rsid w:val="003E0455"/>
    <w:rsid w:val="003E369E"/>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628C"/>
    <w:rsid w:val="00427494"/>
    <w:rsid w:val="0043286E"/>
    <w:rsid w:val="00435785"/>
    <w:rsid w:val="00441E37"/>
    <w:rsid w:val="00442A84"/>
    <w:rsid w:val="00443C15"/>
    <w:rsid w:val="0044619C"/>
    <w:rsid w:val="00456876"/>
    <w:rsid w:val="00465B46"/>
    <w:rsid w:val="00467B48"/>
    <w:rsid w:val="004746FD"/>
    <w:rsid w:val="00476F85"/>
    <w:rsid w:val="00490B57"/>
    <w:rsid w:val="00494A82"/>
    <w:rsid w:val="004A0A68"/>
    <w:rsid w:val="004A4BC1"/>
    <w:rsid w:val="004A6CB2"/>
    <w:rsid w:val="004B012C"/>
    <w:rsid w:val="004B0D73"/>
    <w:rsid w:val="004B4658"/>
    <w:rsid w:val="004B498E"/>
    <w:rsid w:val="004B631E"/>
    <w:rsid w:val="004B69A0"/>
    <w:rsid w:val="004C2993"/>
    <w:rsid w:val="004D1511"/>
    <w:rsid w:val="004D3A80"/>
    <w:rsid w:val="004D5228"/>
    <w:rsid w:val="004E0461"/>
    <w:rsid w:val="004E069A"/>
    <w:rsid w:val="004E7CDF"/>
    <w:rsid w:val="004F204C"/>
    <w:rsid w:val="004F4B90"/>
    <w:rsid w:val="00500014"/>
    <w:rsid w:val="0050046A"/>
    <w:rsid w:val="00504579"/>
    <w:rsid w:val="00504DD9"/>
    <w:rsid w:val="00505D0E"/>
    <w:rsid w:val="00507022"/>
    <w:rsid w:val="005118AC"/>
    <w:rsid w:val="005120B4"/>
    <w:rsid w:val="00520A9F"/>
    <w:rsid w:val="00521994"/>
    <w:rsid w:val="00531619"/>
    <w:rsid w:val="00533DBA"/>
    <w:rsid w:val="005349DD"/>
    <w:rsid w:val="00543323"/>
    <w:rsid w:val="00553423"/>
    <w:rsid w:val="005625EF"/>
    <w:rsid w:val="00562743"/>
    <w:rsid w:val="00562C82"/>
    <w:rsid w:val="0057296E"/>
    <w:rsid w:val="00572DA7"/>
    <w:rsid w:val="00573153"/>
    <w:rsid w:val="00573C62"/>
    <w:rsid w:val="00574517"/>
    <w:rsid w:val="00593302"/>
    <w:rsid w:val="00594BFB"/>
    <w:rsid w:val="005A3176"/>
    <w:rsid w:val="005A3911"/>
    <w:rsid w:val="005B0EE1"/>
    <w:rsid w:val="005B22FF"/>
    <w:rsid w:val="005B4961"/>
    <w:rsid w:val="005B79C7"/>
    <w:rsid w:val="005C1347"/>
    <w:rsid w:val="005C2FC9"/>
    <w:rsid w:val="005C32D0"/>
    <w:rsid w:val="005C3A22"/>
    <w:rsid w:val="005C55A4"/>
    <w:rsid w:val="005C6B61"/>
    <w:rsid w:val="005C75CD"/>
    <w:rsid w:val="005D0DAD"/>
    <w:rsid w:val="005D3236"/>
    <w:rsid w:val="005D391F"/>
    <w:rsid w:val="005D4608"/>
    <w:rsid w:val="005D594D"/>
    <w:rsid w:val="005D5C6A"/>
    <w:rsid w:val="005D626C"/>
    <w:rsid w:val="005E226F"/>
    <w:rsid w:val="005E62A2"/>
    <w:rsid w:val="005E725B"/>
    <w:rsid w:val="005F2153"/>
    <w:rsid w:val="005F5F4A"/>
    <w:rsid w:val="005F65DF"/>
    <w:rsid w:val="005F7683"/>
    <w:rsid w:val="00610176"/>
    <w:rsid w:val="00611981"/>
    <w:rsid w:val="00621F53"/>
    <w:rsid w:val="00622CBE"/>
    <w:rsid w:val="0062765A"/>
    <w:rsid w:val="0063060A"/>
    <w:rsid w:val="00630C07"/>
    <w:rsid w:val="00630C0C"/>
    <w:rsid w:val="0064266B"/>
    <w:rsid w:val="0064366D"/>
    <w:rsid w:val="00643C14"/>
    <w:rsid w:val="00646D85"/>
    <w:rsid w:val="00651B51"/>
    <w:rsid w:val="0065448D"/>
    <w:rsid w:val="006561CA"/>
    <w:rsid w:val="0065724B"/>
    <w:rsid w:val="00660AD9"/>
    <w:rsid w:val="00661C43"/>
    <w:rsid w:val="0066575C"/>
    <w:rsid w:val="00670409"/>
    <w:rsid w:val="00671ACE"/>
    <w:rsid w:val="0067503A"/>
    <w:rsid w:val="00675BB2"/>
    <w:rsid w:val="006760B5"/>
    <w:rsid w:val="00682569"/>
    <w:rsid w:val="00684CC0"/>
    <w:rsid w:val="00685847"/>
    <w:rsid w:val="006859E8"/>
    <w:rsid w:val="00691990"/>
    <w:rsid w:val="00691C24"/>
    <w:rsid w:val="00694AD5"/>
    <w:rsid w:val="006A3C80"/>
    <w:rsid w:val="006A414E"/>
    <w:rsid w:val="006A5F7C"/>
    <w:rsid w:val="006A6858"/>
    <w:rsid w:val="006A7003"/>
    <w:rsid w:val="006B00F6"/>
    <w:rsid w:val="006B31C3"/>
    <w:rsid w:val="006C0DD3"/>
    <w:rsid w:val="006C20DF"/>
    <w:rsid w:val="006C3F78"/>
    <w:rsid w:val="006C6120"/>
    <w:rsid w:val="006C7DB2"/>
    <w:rsid w:val="006D02B6"/>
    <w:rsid w:val="006D063F"/>
    <w:rsid w:val="006D2517"/>
    <w:rsid w:val="006D4A26"/>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5394"/>
    <w:rsid w:val="00726A49"/>
    <w:rsid w:val="00732AA0"/>
    <w:rsid w:val="00735AA2"/>
    <w:rsid w:val="00735EA4"/>
    <w:rsid w:val="00740059"/>
    <w:rsid w:val="00740FB3"/>
    <w:rsid w:val="00741789"/>
    <w:rsid w:val="00744A89"/>
    <w:rsid w:val="00745687"/>
    <w:rsid w:val="00747962"/>
    <w:rsid w:val="0075070D"/>
    <w:rsid w:val="00751324"/>
    <w:rsid w:val="0075194C"/>
    <w:rsid w:val="00752C78"/>
    <w:rsid w:val="007603C6"/>
    <w:rsid w:val="00762641"/>
    <w:rsid w:val="00767EB5"/>
    <w:rsid w:val="0077123A"/>
    <w:rsid w:val="00772B56"/>
    <w:rsid w:val="0077391F"/>
    <w:rsid w:val="007755FC"/>
    <w:rsid w:val="00777AD6"/>
    <w:rsid w:val="00781479"/>
    <w:rsid w:val="007820A4"/>
    <w:rsid w:val="007847E9"/>
    <w:rsid w:val="00787F49"/>
    <w:rsid w:val="00790A08"/>
    <w:rsid w:val="0079126F"/>
    <w:rsid w:val="007925D2"/>
    <w:rsid w:val="007971F8"/>
    <w:rsid w:val="00797C0F"/>
    <w:rsid w:val="007A466D"/>
    <w:rsid w:val="007A5B87"/>
    <w:rsid w:val="007A71C3"/>
    <w:rsid w:val="007B3285"/>
    <w:rsid w:val="007B5519"/>
    <w:rsid w:val="007C4C08"/>
    <w:rsid w:val="007C6A3F"/>
    <w:rsid w:val="007D2F26"/>
    <w:rsid w:val="007D47D5"/>
    <w:rsid w:val="007E1E5B"/>
    <w:rsid w:val="007E260F"/>
    <w:rsid w:val="007E2EF7"/>
    <w:rsid w:val="007E4CA5"/>
    <w:rsid w:val="007E5109"/>
    <w:rsid w:val="007E5F14"/>
    <w:rsid w:val="007E5F57"/>
    <w:rsid w:val="007E71F5"/>
    <w:rsid w:val="007E73B0"/>
    <w:rsid w:val="007F4D32"/>
    <w:rsid w:val="00801DEF"/>
    <w:rsid w:val="0080217E"/>
    <w:rsid w:val="008031F1"/>
    <w:rsid w:val="00804A4E"/>
    <w:rsid w:val="00807872"/>
    <w:rsid w:val="00817CCC"/>
    <w:rsid w:val="00817E5E"/>
    <w:rsid w:val="00826B74"/>
    <w:rsid w:val="00831006"/>
    <w:rsid w:val="008357E9"/>
    <w:rsid w:val="00845769"/>
    <w:rsid w:val="0084595F"/>
    <w:rsid w:val="00855B04"/>
    <w:rsid w:val="00855CA5"/>
    <w:rsid w:val="00862426"/>
    <w:rsid w:val="00865539"/>
    <w:rsid w:val="00867C65"/>
    <w:rsid w:val="00870169"/>
    <w:rsid w:val="00872B82"/>
    <w:rsid w:val="00874426"/>
    <w:rsid w:val="00875626"/>
    <w:rsid w:val="008761AB"/>
    <w:rsid w:val="00881621"/>
    <w:rsid w:val="008855E4"/>
    <w:rsid w:val="00885B23"/>
    <w:rsid w:val="008861AE"/>
    <w:rsid w:val="00886814"/>
    <w:rsid w:val="008934F5"/>
    <w:rsid w:val="008A594E"/>
    <w:rsid w:val="008B4671"/>
    <w:rsid w:val="008B5C32"/>
    <w:rsid w:val="008B7216"/>
    <w:rsid w:val="008C000B"/>
    <w:rsid w:val="008C3554"/>
    <w:rsid w:val="008C4E5C"/>
    <w:rsid w:val="008C633E"/>
    <w:rsid w:val="008C6C96"/>
    <w:rsid w:val="008D228F"/>
    <w:rsid w:val="008D47E6"/>
    <w:rsid w:val="008E1587"/>
    <w:rsid w:val="008E64B8"/>
    <w:rsid w:val="008F0894"/>
    <w:rsid w:val="008F2860"/>
    <w:rsid w:val="008F2A45"/>
    <w:rsid w:val="008F42F1"/>
    <w:rsid w:val="008F4DFF"/>
    <w:rsid w:val="008F5042"/>
    <w:rsid w:val="00902DE7"/>
    <w:rsid w:val="00904AE8"/>
    <w:rsid w:val="009054F9"/>
    <w:rsid w:val="0091049B"/>
    <w:rsid w:val="00912229"/>
    <w:rsid w:val="00915E8C"/>
    <w:rsid w:val="00921008"/>
    <w:rsid w:val="00921EB2"/>
    <w:rsid w:val="009224A5"/>
    <w:rsid w:val="009238F5"/>
    <w:rsid w:val="00927B77"/>
    <w:rsid w:val="009312FA"/>
    <w:rsid w:val="0093690A"/>
    <w:rsid w:val="0094157C"/>
    <w:rsid w:val="00945555"/>
    <w:rsid w:val="0095126F"/>
    <w:rsid w:val="009523E8"/>
    <w:rsid w:val="0095414E"/>
    <w:rsid w:val="00954420"/>
    <w:rsid w:val="00957118"/>
    <w:rsid w:val="00960773"/>
    <w:rsid w:val="00961697"/>
    <w:rsid w:val="009633A0"/>
    <w:rsid w:val="00972AD9"/>
    <w:rsid w:val="00972D74"/>
    <w:rsid w:val="0097394C"/>
    <w:rsid w:val="00976333"/>
    <w:rsid w:val="00976425"/>
    <w:rsid w:val="009807F9"/>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571B"/>
    <w:rsid w:val="009E6071"/>
    <w:rsid w:val="009E695E"/>
    <w:rsid w:val="009F19A2"/>
    <w:rsid w:val="009F4C1B"/>
    <w:rsid w:val="009F56F2"/>
    <w:rsid w:val="009F61CC"/>
    <w:rsid w:val="00A1373A"/>
    <w:rsid w:val="00A13B44"/>
    <w:rsid w:val="00A14F27"/>
    <w:rsid w:val="00A22E4D"/>
    <w:rsid w:val="00A245D3"/>
    <w:rsid w:val="00A26715"/>
    <w:rsid w:val="00A30D88"/>
    <w:rsid w:val="00A32E49"/>
    <w:rsid w:val="00A32FE3"/>
    <w:rsid w:val="00A34F06"/>
    <w:rsid w:val="00A36093"/>
    <w:rsid w:val="00A369F4"/>
    <w:rsid w:val="00A36F6B"/>
    <w:rsid w:val="00A37966"/>
    <w:rsid w:val="00A4310B"/>
    <w:rsid w:val="00A45ECA"/>
    <w:rsid w:val="00A52C70"/>
    <w:rsid w:val="00A556AC"/>
    <w:rsid w:val="00A60B1F"/>
    <w:rsid w:val="00A62048"/>
    <w:rsid w:val="00A627F3"/>
    <w:rsid w:val="00A62DE0"/>
    <w:rsid w:val="00A65FA9"/>
    <w:rsid w:val="00A747FF"/>
    <w:rsid w:val="00A77387"/>
    <w:rsid w:val="00A80309"/>
    <w:rsid w:val="00A80EE8"/>
    <w:rsid w:val="00A85050"/>
    <w:rsid w:val="00A85AED"/>
    <w:rsid w:val="00A90DBF"/>
    <w:rsid w:val="00A91861"/>
    <w:rsid w:val="00A96E50"/>
    <w:rsid w:val="00AA24F4"/>
    <w:rsid w:val="00AB0C96"/>
    <w:rsid w:val="00AB3A97"/>
    <w:rsid w:val="00AB4466"/>
    <w:rsid w:val="00AB5D9E"/>
    <w:rsid w:val="00AB762D"/>
    <w:rsid w:val="00AB7A64"/>
    <w:rsid w:val="00AB7CB0"/>
    <w:rsid w:val="00AC3C7D"/>
    <w:rsid w:val="00AC5E2A"/>
    <w:rsid w:val="00AD2213"/>
    <w:rsid w:val="00AE1D80"/>
    <w:rsid w:val="00AE4799"/>
    <w:rsid w:val="00AF0FAA"/>
    <w:rsid w:val="00AF1C97"/>
    <w:rsid w:val="00AF28CD"/>
    <w:rsid w:val="00AF7370"/>
    <w:rsid w:val="00B02899"/>
    <w:rsid w:val="00B02F52"/>
    <w:rsid w:val="00B15DFE"/>
    <w:rsid w:val="00B168B4"/>
    <w:rsid w:val="00B20110"/>
    <w:rsid w:val="00B20DF2"/>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70A9D"/>
    <w:rsid w:val="00B72D2A"/>
    <w:rsid w:val="00B8179D"/>
    <w:rsid w:val="00B84903"/>
    <w:rsid w:val="00B92025"/>
    <w:rsid w:val="00B93EAA"/>
    <w:rsid w:val="00B93F2F"/>
    <w:rsid w:val="00B967ED"/>
    <w:rsid w:val="00BA17CC"/>
    <w:rsid w:val="00BA6742"/>
    <w:rsid w:val="00BA7DCB"/>
    <w:rsid w:val="00BB1F02"/>
    <w:rsid w:val="00BB40C2"/>
    <w:rsid w:val="00BC231E"/>
    <w:rsid w:val="00BC3338"/>
    <w:rsid w:val="00BC495B"/>
    <w:rsid w:val="00BC4FE1"/>
    <w:rsid w:val="00BC5F50"/>
    <w:rsid w:val="00BD2C47"/>
    <w:rsid w:val="00BD4D76"/>
    <w:rsid w:val="00BD4E36"/>
    <w:rsid w:val="00BD763B"/>
    <w:rsid w:val="00BE0BD0"/>
    <w:rsid w:val="00BE0C40"/>
    <w:rsid w:val="00BE4C8A"/>
    <w:rsid w:val="00BF0E19"/>
    <w:rsid w:val="00BF1038"/>
    <w:rsid w:val="00BF233E"/>
    <w:rsid w:val="00BF3315"/>
    <w:rsid w:val="00BF63A3"/>
    <w:rsid w:val="00BF6944"/>
    <w:rsid w:val="00C00D16"/>
    <w:rsid w:val="00C053B5"/>
    <w:rsid w:val="00C05BD3"/>
    <w:rsid w:val="00C06780"/>
    <w:rsid w:val="00C06B71"/>
    <w:rsid w:val="00C12DE3"/>
    <w:rsid w:val="00C17134"/>
    <w:rsid w:val="00C20ACB"/>
    <w:rsid w:val="00C22317"/>
    <w:rsid w:val="00C224CF"/>
    <w:rsid w:val="00C271C3"/>
    <w:rsid w:val="00C34B36"/>
    <w:rsid w:val="00C362FD"/>
    <w:rsid w:val="00C4668B"/>
    <w:rsid w:val="00C46A4C"/>
    <w:rsid w:val="00C5104C"/>
    <w:rsid w:val="00C52136"/>
    <w:rsid w:val="00C53775"/>
    <w:rsid w:val="00C57033"/>
    <w:rsid w:val="00C603FA"/>
    <w:rsid w:val="00C6149A"/>
    <w:rsid w:val="00C61A4D"/>
    <w:rsid w:val="00C6281E"/>
    <w:rsid w:val="00C63AD6"/>
    <w:rsid w:val="00C63FF4"/>
    <w:rsid w:val="00C650C0"/>
    <w:rsid w:val="00C72612"/>
    <w:rsid w:val="00C8377E"/>
    <w:rsid w:val="00C93B99"/>
    <w:rsid w:val="00C94EED"/>
    <w:rsid w:val="00C9738A"/>
    <w:rsid w:val="00CA5206"/>
    <w:rsid w:val="00CA6B7F"/>
    <w:rsid w:val="00CB450A"/>
    <w:rsid w:val="00CB5439"/>
    <w:rsid w:val="00CB689E"/>
    <w:rsid w:val="00CB694A"/>
    <w:rsid w:val="00CB77BE"/>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6BBD"/>
    <w:rsid w:val="00D67830"/>
    <w:rsid w:val="00D71514"/>
    <w:rsid w:val="00D72228"/>
    <w:rsid w:val="00D72BB3"/>
    <w:rsid w:val="00D75CAE"/>
    <w:rsid w:val="00D761EE"/>
    <w:rsid w:val="00D80FE1"/>
    <w:rsid w:val="00D829AD"/>
    <w:rsid w:val="00D83EE7"/>
    <w:rsid w:val="00D852B7"/>
    <w:rsid w:val="00D860F4"/>
    <w:rsid w:val="00D8765D"/>
    <w:rsid w:val="00D91269"/>
    <w:rsid w:val="00D912A3"/>
    <w:rsid w:val="00D92486"/>
    <w:rsid w:val="00D9350B"/>
    <w:rsid w:val="00D96F9A"/>
    <w:rsid w:val="00DA178E"/>
    <w:rsid w:val="00DA1939"/>
    <w:rsid w:val="00DA2674"/>
    <w:rsid w:val="00DA6A22"/>
    <w:rsid w:val="00DC0934"/>
    <w:rsid w:val="00DD10CD"/>
    <w:rsid w:val="00DE0471"/>
    <w:rsid w:val="00DE2A91"/>
    <w:rsid w:val="00DE3536"/>
    <w:rsid w:val="00DE4818"/>
    <w:rsid w:val="00DF2F86"/>
    <w:rsid w:val="00DF4D97"/>
    <w:rsid w:val="00DF780E"/>
    <w:rsid w:val="00E04115"/>
    <w:rsid w:val="00E05A25"/>
    <w:rsid w:val="00E06BE5"/>
    <w:rsid w:val="00E114E0"/>
    <w:rsid w:val="00E11E91"/>
    <w:rsid w:val="00E127EE"/>
    <w:rsid w:val="00E14C04"/>
    <w:rsid w:val="00E15234"/>
    <w:rsid w:val="00E1663B"/>
    <w:rsid w:val="00E251B3"/>
    <w:rsid w:val="00E26CB6"/>
    <w:rsid w:val="00E32C0B"/>
    <w:rsid w:val="00E33989"/>
    <w:rsid w:val="00E34F72"/>
    <w:rsid w:val="00E41A7C"/>
    <w:rsid w:val="00E42196"/>
    <w:rsid w:val="00E43AA8"/>
    <w:rsid w:val="00E43FE5"/>
    <w:rsid w:val="00E44511"/>
    <w:rsid w:val="00E547C7"/>
    <w:rsid w:val="00E54D24"/>
    <w:rsid w:val="00E6011D"/>
    <w:rsid w:val="00E66313"/>
    <w:rsid w:val="00E663AD"/>
    <w:rsid w:val="00E667D8"/>
    <w:rsid w:val="00E71EEB"/>
    <w:rsid w:val="00E723ED"/>
    <w:rsid w:val="00E80D1E"/>
    <w:rsid w:val="00E81B72"/>
    <w:rsid w:val="00E85A51"/>
    <w:rsid w:val="00E90FA3"/>
    <w:rsid w:val="00E950EE"/>
    <w:rsid w:val="00E972E9"/>
    <w:rsid w:val="00EA4AF9"/>
    <w:rsid w:val="00EB1478"/>
    <w:rsid w:val="00EB17A4"/>
    <w:rsid w:val="00EB3115"/>
    <w:rsid w:val="00EB330A"/>
    <w:rsid w:val="00EB34F2"/>
    <w:rsid w:val="00EB556C"/>
    <w:rsid w:val="00EB5B56"/>
    <w:rsid w:val="00EB75AB"/>
    <w:rsid w:val="00EC4AB3"/>
    <w:rsid w:val="00EC603D"/>
    <w:rsid w:val="00EC618E"/>
    <w:rsid w:val="00EC7BAA"/>
    <w:rsid w:val="00ED12D4"/>
    <w:rsid w:val="00ED4E89"/>
    <w:rsid w:val="00EE20B7"/>
    <w:rsid w:val="00EE31C7"/>
    <w:rsid w:val="00EE7F37"/>
    <w:rsid w:val="00EF17CE"/>
    <w:rsid w:val="00EF77C3"/>
    <w:rsid w:val="00F00998"/>
    <w:rsid w:val="00F05477"/>
    <w:rsid w:val="00F06D26"/>
    <w:rsid w:val="00F0784F"/>
    <w:rsid w:val="00F10E30"/>
    <w:rsid w:val="00F204B5"/>
    <w:rsid w:val="00F22F9D"/>
    <w:rsid w:val="00F2464A"/>
    <w:rsid w:val="00F25E73"/>
    <w:rsid w:val="00F26088"/>
    <w:rsid w:val="00F41DAF"/>
    <w:rsid w:val="00F44F67"/>
    <w:rsid w:val="00F52936"/>
    <w:rsid w:val="00F52B8C"/>
    <w:rsid w:val="00F602DF"/>
    <w:rsid w:val="00F67C33"/>
    <w:rsid w:val="00F7008C"/>
    <w:rsid w:val="00F704E9"/>
    <w:rsid w:val="00F74506"/>
    <w:rsid w:val="00F74A57"/>
    <w:rsid w:val="00F77351"/>
    <w:rsid w:val="00F81A9D"/>
    <w:rsid w:val="00F83C5D"/>
    <w:rsid w:val="00F83DAA"/>
    <w:rsid w:val="00F854CB"/>
    <w:rsid w:val="00F92E18"/>
    <w:rsid w:val="00F9422F"/>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0F0F"/>
    <w:rsid w:val="00FE423D"/>
    <w:rsid w:val="00FE7373"/>
    <w:rsid w:val="00FF1ECD"/>
    <w:rsid w:val="00FF522D"/>
    <w:rsid w:val="00FF6AE6"/>
    <w:rsid w:val="010827C0"/>
    <w:rsid w:val="01086C64"/>
    <w:rsid w:val="01170C55"/>
    <w:rsid w:val="011C6431"/>
    <w:rsid w:val="01276CE6"/>
    <w:rsid w:val="01347A59"/>
    <w:rsid w:val="0136732D"/>
    <w:rsid w:val="01391AF7"/>
    <w:rsid w:val="01396E1E"/>
    <w:rsid w:val="013C06BC"/>
    <w:rsid w:val="01487061"/>
    <w:rsid w:val="014F03EF"/>
    <w:rsid w:val="01521C8D"/>
    <w:rsid w:val="0156177E"/>
    <w:rsid w:val="015974C0"/>
    <w:rsid w:val="01610122"/>
    <w:rsid w:val="016814B1"/>
    <w:rsid w:val="01877B89"/>
    <w:rsid w:val="018C1643"/>
    <w:rsid w:val="018C33F1"/>
    <w:rsid w:val="018E53BB"/>
    <w:rsid w:val="0194674A"/>
    <w:rsid w:val="01A26771"/>
    <w:rsid w:val="01A56820"/>
    <w:rsid w:val="01A71FD9"/>
    <w:rsid w:val="01A87AFF"/>
    <w:rsid w:val="01A95C2A"/>
    <w:rsid w:val="01B73196"/>
    <w:rsid w:val="01B82438"/>
    <w:rsid w:val="01BA61B0"/>
    <w:rsid w:val="01BD35AB"/>
    <w:rsid w:val="01C0309B"/>
    <w:rsid w:val="01C74429"/>
    <w:rsid w:val="01D32DCE"/>
    <w:rsid w:val="01DB0F21"/>
    <w:rsid w:val="01EA0118"/>
    <w:rsid w:val="01F85948"/>
    <w:rsid w:val="01FA47FF"/>
    <w:rsid w:val="01FE5971"/>
    <w:rsid w:val="02104C13"/>
    <w:rsid w:val="021533E7"/>
    <w:rsid w:val="02186A33"/>
    <w:rsid w:val="02223D56"/>
    <w:rsid w:val="022C6982"/>
    <w:rsid w:val="02335DA9"/>
    <w:rsid w:val="023870D5"/>
    <w:rsid w:val="024617F2"/>
    <w:rsid w:val="024A0BB7"/>
    <w:rsid w:val="024E4B4B"/>
    <w:rsid w:val="02571C51"/>
    <w:rsid w:val="025D2470"/>
    <w:rsid w:val="025D6B3C"/>
    <w:rsid w:val="026305F6"/>
    <w:rsid w:val="02680110"/>
    <w:rsid w:val="02783976"/>
    <w:rsid w:val="027D1EDC"/>
    <w:rsid w:val="0284056C"/>
    <w:rsid w:val="02906F11"/>
    <w:rsid w:val="029415CA"/>
    <w:rsid w:val="02963DFC"/>
    <w:rsid w:val="02973AA1"/>
    <w:rsid w:val="02A12ECC"/>
    <w:rsid w:val="02A227A1"/>
    <w:rsid w:val="02A604E3"/>
    <w:rsid w:val="02AA6F17"/>
    <w:rsid w:val="02BC7D06"/>
    <w:rsid w:val="02C62933"/>
    <w:rsid w:val="02C941D1"/>
    <w:rsid w:val="02E46D6A"/>
    <w:rsid w:val="02E5725D"/>
    <w:rsid w:val="02E6429D"/>
    <w:rsid w:val="02E80AFB"/>
    <w:rsid w:val="02E828A9"/>
    <w:rsid w:val="02ED6112"/>
    <w:rsid w:val="02ED7EC0"/>
    <w:rsid w:val="030516AD"/>
    <w:rsid w:val="03142715"/>
    <w:rsid w:val="03237D85"/>
    <w:rsid w:val="032B09E8"/>
    <w:rsid w:val="032E5AB3"/>
    <w:rsid w:val="0332621A"/>
    <w:rsid w:val="033461FC"/>
    <w:rsid w:val="03367AB9"/>
    <w:rsid w:val="03457CFC"/>
    <w:rsid w:val="034C72DC"/>
    <w:rsid w:val="034D4FEF"/>
    <w:rsid w:val="0350044F"/>
    <w:rsid w:val="03541CED"/>
    <w:rsid w:val="035B751F"/>
    <w:rsid w:val="036A1510"/>
    <w:rsid w:val="0374238F"/>
    <w:rsid w:val="03800D34"/>
    <w:rsid w:val="0380752A"/>
    <w:rsid w:val="038720C2"/>
    <w:rsid w:val="03993BA4"/>
    <w:rsid w:val="03AC38D7"/>
    <w:rsid w:val="03B60BF9"/>
    <w:rsid w:val="03B629A7"/>
    <w:rsid w:val="03B92498"/>
    <w:rsid w:val="03BD5AE4"/>
    <w:rsid w:val="03BE360A"/>
    <w:rsid w:val="03BE7AAE"/>
    <w:rsid w:val="03C03826"/>
    <w:rsid w:val="03C07382"/>
    <w:rsid w:val="03C230FA"/>
    <w:rsid w:val="03C3303C"/>
    <w:rsid w:val="03C4317A"/>
    <w:rsid w:val="03C70711"/>
    <w:rsid w:val="03C84489"/>
    <w:rsid w:val="03D270B5"/>
    <w:rsid w:val="03D33559"/>
    <w:rsid w:val="03DB41BC"/>
    <w:rsid w:val="03E219EE"/>
    <w:rsid w:val="03EE3EEF"/>
    <w:rsid w:val="0405748B"/>
    <w:rsid w:val="04073203"/>
    <w:rsid w:val="040D64B5"/>
    <w:rsid w:val="041A1F5F"/>
    <w:rsid w:val="041B6CAE"/>
    <w:rsid w:val="041E1097"/>
    <w:rsid w:val="042E69E2"/>
    <w:rsid w:val="043438CC"/>
    <w:rsid w:val="04365896"/>
    <w:rsid w:val="04406715"/>
    <w:rsid w:val="04446205"/>
    <w:rsid w:val="04477B9D"/>
    <w:rsid w:val="0449381C"/>
    <w:rsid w:val="04581CB1"/>
    <w:rsid w:val="045A3333"/>
    <w:rsid w:val="045C7D59"/>
    <w:rsid w:val="046441B2"/>
    <w:rsid w:val="04695C6C"/>
    <w:rsid w:val="04781A0B"/>
    <w:rsid w:val="0486237A"/>
    <w:rsid w:val="04874841"/>
    <w:rsid w:val="048B7990"/>
    <w:rsid w:val="048D5BAA"/>
    <w:rsid w:val="049251C3"/>
    <w:rsid w:val="04A44EF6"/>
    <w:rsid w:val="04AB3B8E"/>
    <w:rsid w:val="04AE7B23"/>
    <w:rsid w:val="04AF0DC0"/>
    <w:rsid w:val="04B17D98"/>
    <w:rsid w:val="04B70785"/>
    <w:rsid w:val="04BA0275"/>
    <w:rsid w:val="04BD7D66"/>
    <w:rsid w:val="04C42EA2"/>
    <w:rsid w:val="04C91410"/>
    <w:rsid w:val="04D17976"/>
    <w:rsid w:val="04E13A54"/>
    <w:rsid w:val="04E35F2C"/>
    <w:rsid w:val="04EB4ECE"/>
    <w:rsid w:val="04F04BD3"/>
    <w:rsid w:val="04F75026"/>
    <w:rsid w:val="04FE4606"/>
    <w:rsid w:val="04FF3EDA"/>
    <w:rsid w:val="050D4849"/>
    <w:rsid w:val="051060E7"/>
    <w:rsid w:val="05137986"/>
    <w:rsid w:val="05157BA2"/>
    <w:rsid w:val="051A51B8"/>
    <w:rsid w:val="052D0A47"/>
    <w:rsid w:val="053371D4"/>
    <w:rsid w:val="0537115D"/>
    <w:rsid w:val="053B700A"/>
    <w:rsid w:val="0543026B"/>
    <w:rsid w:val="05507F0F"/>
    <w:rsid w:val="05551447"/>
    <w:rsid w:val="05595CE0"/>
    <w:rsid w:val="055F19BB"/>
    <w:rsid w:val="056106F1"/>
    <w:rsid w:val="05812B41"/>
    <w:rsid w:val="058B39C0"/>
    <w:rsid w:val="05900FD6"/>
    <w:rsid w:val="059138AB"/>
    <w:rsid w:val="05A76A4C"/>
    <w:rsid w:val="05A9381E"/>
    <w:rsid w:val="05AD1B88"/>
    <w:rsid w:val="05B253F0"/>
    <w:rsid w:val="05B64EE1"/>
    <w:rsid w:val="05BB42A5"/>
    <w:rsid w:val="05BC064C"/>
    <w:rsid w:val="05C313AC"/>
    <w:rsid w:val="05C375FE"/>
    <w:rsid w:val="05C80770"/>
    <w:rsid w:val="05CA3B1B"/>
    <w:rsid w:val="05CA44E8"/>
    <w:rsid w:val="05D215EF"/>
    <w:rsid w:val="05D40F8A"/>
    <w:rsid w:val="05D709B3"/>
    <w:rsid w:val="05E97CB2"/>
    <w:rsid w:val="05EA6938"/>
    <w:rsid w:val="05EC445F"/>
    <w:rsid w:val="05F257ED"/>
    <w:rsid w:val="05F6352F"/>
    <w:rsid w:val="05F94DCD"/>
    <w:rsid w:val="05FD48BE"/>
    <w:rsid w:val="060D6A3B"/>
    <w:rsid w:val="06150573"/>
    <w:rsid w:val="06193B1E"/>
    <w:rsid w:val="062067FE"/>
    <w:rsid w:val="0622219B"/>
    <w:rsid w:val="06345E06"/>
    <w:rsid w:val="06383B48"/>
    <w:rsid w:val="06383C8B"/>
    <w:rsid w:val="063858F6"/>
    <w:rsid w:val="063B7194"/>
    <w:rsid w:val="06451DC1"/>
    <w:rsid w:val="064A5629"/>
    <w:rsid w:val="06563FCE"/>
    <w:rsid w:val="06585F98"/>
    <w:rsid w:val="06606BFB"/>
    <w:rsid w:val="06652463"/>
    <w:rsid w:val="066A5A55"/>
    <w:rsid w:val="066C1A43"/>
    <w:rsid w:val="0673692E"/>
    <w:rsid w:val="0676641E"/>
    <w:rsid w:val="06783F44"/>
    <w:rsid w:val="068D470D"/>
    <w:rsid w:val="068F128E"/>
    <w:rsid w:val="069D1BFD"/>
    <w:rsid w:val="06AB60C8"/>
    <w:rsid w:val="06AB6FF1"/>
    <w:rsid w:val="06AC1E40"/>
    <w:rsid w:val="06AE7966"/>
    <w:rsid w:val="06B37672"/>
    <w:rsid w:val="06BD229F"/>
    <w:rsid w:val="06BD404D"/>
    <w:rsid w:val="06C54CB0"/>
    <w:rsid w:val="06C6067E"/>
    <w:rsid w:val="06C90C44"/>
    <w:rsid w:val="06CE1DB6"/>
    <w:rsid w:val="06D01FD2"/>
    <w:rsid w:val="06DF18E2"/>
    <w:rsid w:val="06E15F8D"/>
    <w:rsid w:val="06EC66E0"/>
    <w:rsid w:val="06F23CF7"/>
    <w:rsid w:val="06F40C24"/>
    <w:rsid w:val="06F86E33"/>
    <w:rsid w:val="06FA58B5"/>
    <w:rsid w:val="06FD08ED"/>
    <w:rsid w:val="0707497A"/>
    <w:rsid w:val="07100621"/>
    <w:rsid w:val="072365A6"/>
    <w:rsid w:val="07375BAD"/>
    <w:rsid w:val="07394A3D"/>
    <w:rsid w:val="073E6F3C"/>
    <w:rsid w:val="07416329"/>
    <w:rsid w:val="0744651C"/>
    <w:rsid w:val="074D717F"/>
    <w:rsid w:val="074F1551"/>
    <w:rsid w:val="074F5A1D"/>
    <w:rsid w:val="07501B9E"/>
    <w:rsid w:val="07524795"/>
    <w:rsid w:val="075C73C2"/>
    <w:rsid w:val="07634BF4"/>
    <w:rsid w:val="07666493"/>
    <w:rsid w:val="076F161C"/>
    <w:rsid w:val="07746E01"/>
    <w:rsid w:val="07750484"/>
    <w:rsid w:val="077C74E6"/>
    <w:rsid w:val="077E558A"/>
    <w:rsid w:val="078E1545"/>
    <w:rsid w:val="078F59E9"/>
    <w:rsid w:val="07AF7E3A"/>
    <w:rsid w:val="07B54D24"/>
    <w:rsid w:val="07CC279A"/>
    <w:rsid w:val="07E27170"/>
    <w:rsid w:val="07E927DE"/>
    <w:rsid w:val="07F27D26"/>
    <w:rsid w:val="07F341CA"/>
    <w:rsid w:val="080261BB"/>
    <w:rsid w:val="08030185"/>
    <w:rsid w:val="080A1514"/>
    <w:rsid w:val="080C0DE8"/>
    <w:rsid w:val="080C703A"/>
    <w:rsid w:val="080F08D8"/>
    <w:rsid w:val="08145EEF"/>
    <w:rsid w:val="08167EB9"/>
    <w:rsid w:val="08185D1F"/>
    <w:rsid w:val="08275C22"/>
    <w:rsid w:val="082B0E32"/>
    <w:rsid w:val="082D6FB0"/>
    <w:rsid w:val="0838785B"/>
    <w:rsid w:val="083E2F6B"/>
    <w:rsid w:val="0845254C"/>
    <w:rsid w:val="08487157"/>
    <w:rsid w:val="084D5692"/>
    <w:rsid w:val="08517143"/>
    <w:rsid w:val="085B58CB"/>
    <w:rsid w:val="085D1644"/>
    <w:rsid w:val="085E53BC"/>
    <w:rsid w:val="086230FE"/>
    <w:rsid w:val="086C7AD9"/>
    <w:rsid w:val="08727C1D"/>
    <w:rsid w:val="08760957"/>
    <w:rsid w:val="087D0B78"/>
    <w:rsid w:val="08874912"/>
    <w:rsid w:val="08894DF6"/>
    <w:rsid w:val="0895702F"/>
    <w:rsid w:val="08A94889"/>
    <w:rsid w:val="08B927DF"/>
    <w:rsid w:val="08BD0334"/>
    <w:rsid w:val="08C72F61"/>
    <w:rsid w:val="08CE42EF"/>
    <w:rsid w:val="08F5187C"/>
    <w:rsid w:val="090146C5"/>
    <w:rsid w:val="090441B5"/>
    <w:rsid w:val="090D306A"/>
    <w:rsid w:val="09102B5A"/>
    <w:rsid w:val="0911242E"/>
    <w:rsid w:val="09153CCC"/>
    <w:rsid w:val="0920129B"/>
    <w:rsid w:val="09246605"/>
    <w:rsid w:val="0925299D"/>
    <w:rsid w:val="092E2FE0"/>
    <w:rsid w:val="093F343F"/>
    <w:rsid w:val="0946032A"/>
    <w:rsid w:val="094E5430"/>
    <w:rsid w:val="095073FA"/>
    <w:rsid w:val="0966277A"/>
    <w:rsid w:val="09670B6A"/>
    <w:rsid w:val="096864F2"/>
    <w:rsid w:val="096A04BC"/>
    <w:rsid w:val="097053A7"/>
    <w:rsid w:val="09734E97"/>
    <w:rsid w:val="0978425B"/>
    <w:rsid w:val="098175B4"/>
    <w:rsid w:val="09823E4D"/>
    <w:rsid w:val="098805B6"/>
    <w:rsid w:val="098852A8"/>
    <w:rsid w:val="098B21E0"/>
    <w:rsid w:val="09912F57"/>
    <w:rsid w:val="0995305F"/>
    <w:rsid w:val="099A2423"/>
    <w:rsid w:val="09A06B78"/>
    <w:rsid w:val="09AA4D5C"/>
    <w:rsid w:val="09B259BF"/>
    <w:rsid w:val="09B94817"/>
    <w:rsid w:val="09C13E54"/>
    <w:rsid w:val="09C676BC"/>
    <w:rsid w:val="09DE4A06"/>
    <w:rsid w:val="09E0252C"/>
    <w:rsid w:val="09E10052"/>
    <w:rsid w:val="09E33DCA"/>
    <w:rsid w:val="09EA3E64"/>
    <w:rsid w:val="09EF451D"/>
    <w:rsid w:val="0A0124A3"/>
    <w:rsid w:val="0A026CDD"/>
    <w:rsid w:val="0A0A57FB"/>
    <w:rsid w:val="0A123F9D"/>
    <w:rsid w:val="0A1E12A6"/>
    <w:rsid w:val="0A1E4E03"/>
    <w:rsid w:val="0A23066B"/>
    <w:rsid w:val="0A256191"/>
    <w:rsid w:val="0A2F0DBE"/>
    <w:rsid w:val="0A377FFE"/>
    <w:rsid w:val="0A3C34DB"/>
    <w:rsid w:val="0A3D172D"/>
    <w:rsid w:val="0A4B18CE"/>
    <w:rsid w:val="0A4D56E8"/>
    <w:rsid w:val="0A546A76"/>
    <w:rsid w:val="0A595E3B"/>
    <w:rsid w:val="0A601059"/>
    <w:rsid w:val="0A622F41"/>
    <w:rsid w:val="0A632656"/>
    <w:rsid w:val="0A717628"/>
    <w:rsid w:val="0A7B4003"/>
    <w:rsid w:val="0A8A4B12"/>
    <w:rsid w:val="0A8C7FBE"/>
    <w:rsid w:val="0A913826"/>
    <w:rsid w:val="0A9B28F7"/>
    <w:rsid w:val="0A9F4195"/>
    <w:rsid w:val="0AA47849"/>
    <w:rsid w:val="0AB2170F"/>
    <w:rsid w:val="0AB25DFE"/>
    <w:rsid w:val="0AB80DB3"/>
    <w:rsid w:val="0AC260D6"/>
    <w:rsid w:val="0AC736EC"/>
    <w:rsid w:val="0AC800D5"/>
    <w:rsid w:val="0AD96F7B"/>
    <w:rsid w:val="0ADB7197"/>
    <w:rsid w:val="0AE0030A"/>
    <w:rsid w:val="0AEC6CAF"/>
    <w:rsid w:val="0AF331BD"/>
    <w:rsid w:val="0AF94A91"/>
    <w:rsid w:val="0AFA19A7"/>
    <w:rsid w:val="0AFF69E2"/>
    <w:rsid w:val="0B071D3B"/>
    <w:rsid w:val="0B0B0A13"/>
    <w:rsid w:val="0B0D6E40"/>
    <w:rsid w:val="0B181252"/>
    <w:rsid w:val="0B1E661A"/>
    <w:rsid w:val="0B2543AA"/>
    <w:rsid w:val="0B293A5F"/>
    <w:rsid w:val="0B297F03"/>
    <w:rsid w:val="0B370B78"/>
    <w:rsid w:val="0B3A546B"/>
    <w:rsid w:val="0B3F7726"/>
    <w:rsid w:val="0B422D73"/>
    <w:rsid w:val="0B5807E8"/>
    <w:rsid w:val="0B651CEF"/>
    <w:rsid w:val="0B7C44D7"/>
    <w:rsid w:val="0B890A29"/>
    <w:rsid w:val="0B894B7C"/>
    <w:rsid w:val="0B9101D3"/>
    <w:rsid w:val="0B9A670B"/>
    <w:rsid w:val="0B9D675D"/>
    <w:rsid w:val="0BB2614A"/>
    <w:rsid w:val="0BB7550F"/>
    <w:rsid w:val="0BB93035"/>
    <w:rsid w:val="0BC1013B"/>
    <w:rsid w:val="0BC74660"/>
    <w:rsid w:val="0BC814CA"/>
    <w:rsid w:val="0BD05CAE"/>
    <w:rsid w:val="0BD7170D"/>
    <w:rsid w:val="0BDC6D23"/>
    <w:rsid w:val="0BDF6813"/>
    <w:rsid w:val="0BE43E2A"/>
    <w:rsid w:val="0BE856C8"/>
    <w:rsid w:val="0BEB51B8"/>
    <w:rsid w:val="0BEF5C9E"/>
    <w:rsid w:val="0BFC5617"/>
    <w:rsid w:val="0BFD7954"/>
    <w:rsid w:val="0BFE4EEC"/>
    <w:rsid w:val="0C0D512F"/>
    <w:rsid w:val="0C0F70F9"/>
    <w:rsid w:val="0C142961"/>
    <w:rsid w:val="0C232BA4"/>
    <w:rsid w:val="0C234952"/>
    <w:rsid w:val="0C275A89"/>
    <w:rsid w:val="0C3A0244"/>
    <w:rsid w:val="0C3C77C2"/>
    <w:rsid w:val="0C4549F2"/>
    <w:rsid w:val="0C474AE5"/>
    <w:rsid w:val="0C656D19"/>
    <w:rsid w:val="0C676F35"/>
    <w:rsid w:val="0C684A5B"/>
    <w:rsid w:val="0C6D3E1F"/>
    <w:rsid w:val="0C7D0506"/>
    <w:rsid w:val="0C942F8A"/>
    <w:rsid w:val="0C94382A"/>
    <w:rsid w:val="0C9910B8"/>
    <w:rsid w:val="0CAF268A"/>
    <w:rsid w:val="0CBB5882"/>
    <w:rsid w:val="0CC14C34"/>
    <w:rsid w:val="0CCF0636"/>
    <w:rsid w:val="0CD057CC"/>
    <w:rsid w:val="0CE02843"/>
    <w:rsid w:val="0CE51C08"/>
    <w:rsid w:val="0CE916F8"/>
    <w:rsid w:val="0CF87B8D"/>
    <w:rsid w:val="0CFB767D"/>
    <w:rsid w:val="0CFE134D"/>
    <w:rsid w:val="0D004650"/>
    <w:rsid w:val="0D1150F2"/>
    <w:rsid w:val="0D49488C"/>
    <w:rsid w:val="0D4D5AFC"/>
    <w:rsid w:val="0D531CDF"/>
    <w:rsid w:val="0D562B05"/>
    <w:rsid w:val="0D5B011C"/>
    <w:rsid w:val="0D5D3E94"/>
    <w:rsid w:val="0D710078"/>
    <w:rsid w:val="0D766D04"/>
    <w:rsid w:val="0D7A67F4"/>
    <w:rsid w:val="0D815DD4"/>
    <w:rsid w:val="0D894C89"/>
    <w:rsid w:val="0D961154"/>
    <w:rsid w:val="0D9765DF"/>
    <w:rsid w:val="0DB02216"/>
    <w:rsid w:val="0DB461AA"/>
    <w:rsid w:val="0DB963BF"/>
    <w:rsid w:val="0DBC3AA3"/>
    <w:rsid w:val="0DCA3125"/>
    <w:rsid w:val="0DCD2DC7"/>
    <w:rsid w:val="0DD569B6"/>
    <w:rsid w:val="0DD73C46"/>
    <w:rsid w:val="0DDB451D"/>
    <w:rsid w:val="0DDD6D83"/>
    <w:rsid w:val="0DE819AF"/>
    <w:rsid w:val="0DEB14A0"/>
    <w:rsid w:val="0DF540CC"/>
    <w:rsid w:val="0DFA0557"/>
    <w:rsid w:val="0E0462FA"/>
    <w:rsid w:val="0E09781C"/>
    <w:rsid w:val="0E0B7D94"/>
    <w:rsid w:val="0E211365"/>
    <w:rsid w:val="0E29509C"/>
    <w:rsid w:val="0E2F75DE"/>
    <w:rsid w:val="0E370B89"/>
    <w:rsid w:val="0E416A77"/>
    <w:rsid w:val="0E440BB0"/>
    <w:rsid w:val="0E4868F2"/>
    <w:rsid w:val="0E4D3F08"/>
    <w:rsid w:val="0E5C2657"/>
    <w:rsid w:val="0E5C7CE8"/>
    <w:rsid w:val="0E680D42"/>
    <w:rsid w:val="0E72052D"/>
    <w:rsid w:val="0E884F40"/>
    <w:rsid w:val="0E8A2A67"/>
    <w:rsid w:val="0E8C2C83"/>
    <w:rsid w:val="0E981627"/>
    <w:rsid w:val="0EA34036"/>
    <w:rsid w:val="0EAC2641"/>
    <w:rsid w:val="0EB049DF"/>
    <w:rsid w:val="0EB14497"/>
    <w:rsid w:val="0EB222C7"/>
    <w:rsid w:val="0EB63F9D"/>
    <w:rsid w:val="0EB74F3E"/>
    <w:rsid w:val="0EBF70A2"/>
    <w:rsid w:val="0ECC12D1"/>
    <w:rsid w:val="0ECE329B"/>
    <w:rsid w:val="0EDB32C2"/>
    <w:rsid w:val="0EDC2BF8"/>
    <w:rsid w:val="0EE859DF"/>
    <w:rsid w:val="0EE91E83"/>
    <w:rsid w:val="0EEF4FBF"/>
    <w:rsid w:val="0EFA06A7"/>
    <w:rsid w:val="0EFA4090"/>
    <w:rsid w:val="0EFB088D"/>
    <w:rsid w:val="0F032819"/>
    <w:rsid w:val="0F0F11BE"/>
    <w:rsid w:val="0F16079E"/>
    <w:rsid w:val="0F1B4006"/>
    <w:rsid w:val="0F1E1586"/>
    <w:rsid w:val="0F227C07"/>
    <w:rsid w:val="0F245037"/>
    <w:rsid w:val="0F2904D1"/>
    <w:rsid w:val="0F3330FE"/>
    <w:rsid w:val="0F3A448D"/>
    <w:rsid w:val="0F3D5D2B"/>
    <w:rsid w:val="0F44530B"/>
    <w:rsid w:val="0F4C18D4"/>
    <w:rsid w:val="0F54794B"/>
    <w:rsid w:val="0F601728"/>
    <w:rsid w:val="0F601A19"/>
    <w:rsid w:val="0F655282"/>
    <w:rsid w:val="0F692FC4"/>
    <w:rsid w:val="0F6A354E"/>
    <w:rsid w:val="0F6C4862"/>
    <w:rsid w:val="0F6E4136"/>
    <w:rsid w:val="0F704352"/>
    <w:rsid w:val="0F76748F"/>
    <w:rsid w:val="0F7A0D2D"/>
    <w:rsid w:val="0F7A6F7F"/>
    <w:rsid w:val="0F7C2CF7"/>
    <w:rsid w:val="0F7D6A6F"/>
    <w:rsid w:val="0F81030D"/>
    <w:rsid w:val="0F827BE2"/>
    <w:rsid w:val="0F88478D"/>
    <w:rsid w:val="0F8C6CB2"/>
    <w:rsid w:val="0F8E2A2A"/>
    <w:rsid w:val="0F9242C9"/>
    <w:rsid w:val="0F987405"/>
    <w:rsid w:val="0F9D0EBF"/>
    <w:rsid w:val="0F9D2C6D"/>
    <w:rsid w:val="0FAB0EE6"/>
    <w:rsid w:val="0FB73D2F"/>
    <w:rsid w:val="0FB73DA5"/>
    <w:rsid w:val="0FB75ADD"/>
    <w:rsid w:val="0FBC7659"/>
    <w:rsid w:val="0FC06194"/>
    <w:rsid w:val="0FC341AA"/>
    <w:rsid w:val="0FC41FA8"/>
    <w:rsid w:val="0FC85F3C"/>
    <w:rsid w:val="0FCE37C4"/>
    <w:rsid w:val="0FD22A7F"/>
    <w:rsid w:val="0FD8021C"/>
    <w:rsid w:val="0FDE2587"/>
    <w:rsid w:val="0FDE750E"/>
    <w:rsid w:val="0FE16FFE"/>
    <w:rsid w:val="0FE20680"/>
    <w:rsid w:val="0FF94348"/>
    <w:rsid w:val="0FFE195E"/>
    <w:rsid w:val="10093E5F"/>
    <w:rsid w:val="10105429"/>
    <w:rsid w:val="101414CD"/>
    <w:rsid w:val="10150A56"/>
    <w:rsid w:val="101A2510"/>
    <w:rsid w:val="101B0BC4"/>
    <w:rsid w:val="101F18D4"/>
    <w:rsid w:val="103649EC"/>
    <w:rsid w:val="103C4234"/>
    <w:rsid w:val="1040315F"/>
    <w:rsid w:val="10507757"/>
    <w:rsid w:val="1053255D"/>
    <w:rsid w:val="10611EED"/>
    <w:rsid w:val="106D2640"/>
    <w:rsid w:val="10702130"/>
    <w:rsid w:val="107A1082"/>
    <w:rsid w:val="10861954"/>
    <w:rsid w:val="10863702"/>
    <w:rsid w:val="10961B97"/>
    <w:rsid w:val="109B71AD"/>
    <w:rsid w:val="109E6C9D"/>
    <w:rsid w:val="109E7189"/>
    <w:rsid w:val="10A86610"/>
    <w:rsid w:val="10AE2011"/>
    <w:rsid w:val="10B4201D"/>
    <w:rsid w:val="10B661A8"/>
    <w:rsid w:val="10B97633"/>
    <w:rsid w:val="10C72BB3"/>
    <w:rsid w:val="10CB7366"/>
    <w:rsid w:val="10CC380A"/>
    <w:rsid w:val="10D601E5"/>
    <w:rsid w:val="10D91A83"/>
    <w:rsid w:val="10E250B3"/>
    <w:rsid w:val="10E32902"/>
    <w:rsid w:val="10EC5C5A"/>
    <w:rsid w:val="10F142AE"/>
    <w:rsid w:val="10F85FB3"/>
    <w:rsid w:val="11020FDA"/>
    <w:rsid w:val="11052878"/>
    <w:rsid w:val="110C3C07"/>
    <w:rsid w:val="110F7B9B"/>
    <w:rsid w:val="11162CD7"/>
    <w:rsid w:val="111B18D4"/>
    <w:rsid w:val="111D5E14"/>
    <w:rsid w:val="111E1B8C"/>
    <w:rsid w:val="112A22DF"/>
    <w:rsid w:val="112E1DCF"/>
    <w:rsid w:val="11331482"/>
    <w:rsid w:val="11335637"/>
    <w:rsid w:val="113B2D40"/>
    <w:rsid w:val="113B44EC"/>
    <w:rsid w:val="11401B02"/>
    <w:rsid w:val="114F1D45"/>
    <w:rsid w:val="115206FB"/>
    <w:rsid w:val="11531DCE"/>
    <w:rsid w:val="116752E1"/>
    <w:rsid w:val="116F4196"/>
    <w:rsid w:val="118063A3"/>
    <w:rsid w:val="118A0FD0"/>
    <w:rsid w:val="11A71B81"/>
    <w:rsid w:val="11AB1672"/>
    <w:rsid w:val="11AB78C4"/>
    <w:rsid w:val="11B40613"/>
    <w:rsid w:val="11B61DC5"/>
    <w:rsid w:val="11BE2022"/>
    <w:rsid w:val="11C75D80"/>
    <w:rsid w:val="11D83EA2"/>
    <w:rsid w:val="11D96D2F"/>
    <w:rsid w:val="11E64458"/>
    <w:rsid w:val="11E903EC"/>
    <w:rsid w:val="11EB4164"/>
    <w:rsid w:val="12062D4C"/>
    <w:rsid w:val="120B3EBE"/>
    <w:rsid w:val="120C7C36"/>
    <w:rsid w:val="122136E2"/>
    <w:rsid w:val="122510EE"/>
    <w:rsid w:val="12260CF8"/>
    <w:rsid w:val="123757B7"/>
    <w:rsid w:val="12394ECF"/>
    <w:rsid w:val="12405481"/>
    <w:rsid w:val="12502219"/>
    <w:rsid w:val="126006AE"/>
    <w:rsid w:val="126E2D03"/>
    <w:rsid w:val="12744159"/>
    <w:rsid w:val="1283614B"/>
    <w:rsid w:val="12837EE6"/>
    <w:rsid w:val="128D1331"/>
    <w:rsid w:val="12942106"/>
    <w:rsid w:val="129D7210"/>
    <w:rsid w:val="12A04F4F"/>
    <w:rsid w:val="12A460C1"/>
    <w:rsid w:val="12BB3B36"/>
    <w:rsid w:val="12C1355D"/>
    <w:rsid w:val="12D15108"/>
    <w:rsid w:val="12E070F9"/>
    <w:rsid w:val="12EA1EE6"/>
    <w:rsid w:val="12EF7289"/>
    <w:rsid w:val="12F901BB"/>
    <w:rsid w:val="130059ED"/>
    <w:rsid w:val="1303728B"/>
    <w:rsid w:val="13051255"/>
    <w:rsid w:val="131507D5"/>
    <w:rsid w:val="13201BEB"/>
    <w:rsid w:val="132316DC"/>
    <w:rsid w:val="13257202"/>
    <w:rsid w:val="13330CAC"/>
    <w:rsid w:val="13391CAF"/>
    <w:rsid w:val="133D7CD4"/>
    <w:rsid w:val="134A6C68"/>
    <w:rsid w:val="134D5A81"/>
    <w:rsid w:val="13584BE2"/>
    <w:rsid w:val="13741F37"/>
    <w:rsid w:val="137A1FB1"/>
    <w:rsid w:val="137D5290"/>
    <w:rsid w:val="137D703E"/>
    <w:rsid w:val="138959E3"/>
    <w:rsid w:val="138A175B"/>
    <w:rsid w:val="13A04ADA"/>
    <w:rsid w:val="13AB4ACD"/>
    <w:rsid w:val="13AB6A60"/>
    <w:rsid w:val="13AC42B6"/>
    <w:rsid w:val="13BA3DEE"/>
    <w:rsid w:val="13BF6991"/>
    <w:rsid w:val="13C133CE"/>
    <w:rsid w:val="13C470E7"/>
    <w:rsid w:val="13D6674E"/>
    <w:rsid w:val="13DC1FB6"/>
    <w:rsid w:val="13E40E6B"/>
    <w:rsid w:val="13E76BAD"/>
    <w:rsid w:val="13F03DED"/>
    <w:rsid w:val="13F60B9E"/>
    <w:rsid w:val="13F95DC4"/>
    <w:rsid w:val="14025795"/>
    <w:rsid w:val="14117786"/>
    <w:rsid w:val="14131750"/>
    <w:rsid w:val="1424395D"/>
    <w:rsid w:val="14253DD2"/>
    <w:rsid w:val="142A3E2D"/>
    <w:rsid w:val="143D057B"/>
    <w:rsid w:val="143F42F3"/>
    <w:rsid w:val="144933C4"/>
    <w:rsid w:val="144A7973"/>
    <w:rsid w:val="144D6A10"/>
    <w:rsid w:val="145002AE"/>
    <w:rsid w:val="14504752"/>
    <w:rsid w:val="145204CA"/>
    <w:rsid w:val="145558C5"/>
    <w:rsid w:val="145A21CC"/>
    <w:rsid w:val="145F0801"/>
    <w:rsid w:val="14643D5A"/>
    <w:rsid w:val="14681A9C"/>
    <w:rsid w:val="147E306D"/>
    <w:rsid w:val="14830684"/>
    <w:rsid w:val="14832432"/>
    <w:rsid w:val="14885C9A"/>
    <w:rsid w:val="14904B4F"/>
    <w:rsid w:val="149616BF"/>
    <w:rsid w:val="149A777C"/>
    <w:rsid w:val="149D101A"/>
    <w:rsid w:val="14A5684C"/>
    <w:rsid w:val="14B46A8F"/>
    <w:rsid w:val="14B7657F"/>
    <w:rsid w:val="14BC3B96"/>
    <w:rsid w:val="14BE16BC"/>
    <w:rsid w:val="14BE346A"/>
    <w:rsid w:val="14CC7587"/>
    <w:rsid w:val="14D14D72"/>
    <w:rsid w:val="14D25167"/>
    <w:rsid w:val="14D47131"/>
    <w:rsid w:val="14DB04C0"/>
    <w:rsid w:val="14E5758A"/>
    <w:rsid w:val="14EA0703"/>
    <w:rsid w:val="14EA425F"/>
    <w:rsid w:val="14EC5132"/>
    <w:rsid w:val="14FB7DA2"/>
    <w:rsid w:val="14FE762F"/>
    <w:rsid w:val="150C0679"/>
    <w:rsid w:val="150D619F"/>
    <w:rsid w:val="15115C90"/>
    <w:rsid w:val="15127C5A"/>
    <w:rsid w:val="151643AE"/>
    <w:rsid w:val="15173AA9"/>
    <w:rsid w:val="15237771"/>
    <w:rsid w:val="1528122B"/>
    <w:rsid w:val="15282F4E"/>
    <w:rsid w:val="152C0D1B"/>
    <w:rsid w:val="152D05F0"/>
    <w:rsid w:val="152D239E"/>
    <w:rsid w:val="155362A8"/>
    <w:rsid w:val="15567E44"/>
    <w:rsid w:val="155838BF"/>
    <w:rsid w:val="15610299"/>
    <w:rsid w:val="15673B02"/>
    <w:rsid w:val="15744470"/>
    <w:rsid w:val="157B75AD"/>
    <w:rsid w:val="158710F3"/>
    <w:rsid w:val="15910B7E"/>
    <w:rsid w:val="159C2891"/>
    <w:rsid w:val="15A20FDE"/>
    <w:rsid w:val="15AA1C40"/>
    <w:rsid w:val="15B605E5"/>
    <w:rsid w:val="15B900D5"/>
    <w:rsid w:val="15BC1451"/>
    <w:rsid w:val="15C471A6"/>
    <w:rsid w:val="15C772F3"/>
    <w:rsid w:val="15CA4090"/>
    <w:rsid w:val="15CE4C34"/>
    <w:rsid w:val="15E213DA"/>
    <w:rsid w:val="15E769F0"/>
    <w:rsid w:val="15EE6815"/>
    <w:rsid w:val="15EF3AF7"/>
    <w:rsid w:val="15F0775C"/>
    <w:rsid w:val="16005D04"/>
    <w:rsid w:val="160A0AD0"/>
    <w:rsid w:val="16104199"/>
    <w:rsid w:val="161A5018"/>
    <w:rsid w:val="161B48EC"/>
    <w:rsid w:val="162419F3"/>
    <w:rsid w:val="16273291"/>
    <w:rsid w:val="16290DB7"/>
    <w:rsid w:val="162C6AF9"/>
    <w:rsid w:val="163836F0"/>
    <w:rsid w:val="16401732"/>
    <w:rsid w:val="164B53B3"/>
    <w:rsid w:val="165B6F79"/>
    <w:rsid w:val="16691AFB"/>
    <w:rsid w:val="166E5EB0"/>
    <w:rsid w:val="166E7112"/>
    <w:rsid w:val="167364D6"/>
    <w:rsid w:val="16774BAB"/>
    <w:rsid w:val="168129A1"/>
    <w:rsid w:val="16821234"/>
    <w:rsid w:val="16832BBD"/>
    <w:rsid w:val="168626AD"/>
    <w:rsid w:val="16921052"/>
    <w:rsid w:val="1695644C"/>
    <w:rsid w:val="169721C5"/>
    <w:rsid w:val="169C5A2D"/>
    <w:rsid w:val="169E1F77"/>
    <w:rsid w:val="169F376F"/>
    <w:rsid w:val="16A13043"/>
    <w:rsid w:val="16A20B69"/>
    <w:rsid w:val="16AB2E5D"/>
    <w:rsid w:val="16B014D8"/>
    <w:rsid w:val="16B326A1"/>
    <w:rsid w:val="16B32D77"/>
    <w:rsid w:val="16B8213B"/>
    <w:rsid w:val="16B9038D"/>
    <w:rsid w:val="16C01EAE"/>
    <w:rsid w:val="16CF5E02"/>
    <w:rsid w:val="16D056D6"/>
    <w:rsid w:val="16D276A1"/>
    <w:rsid w:val="16DE4778"/>
    <w:rsid w:val="16E75D71"/>
    <w:rsid w:val="16E96798"/>
    <w:rsid w:val="16EB2510"/>
    <w:rsid w:val="16ED6288"/>
    <w:rsid w:val="16F214B3"/>
    <w:rsid w:val="16F41D35"/>
    <w:rsid w:val="16F50974"/>
    <w:rsid w:val="16FC296F"/>
    <w:rsid w:val="170D0C07"/>
    <w:rsid w:val="171352F0"/>
    <w:rsid w:val="17173305"/>
    <w:rsid w:val="171B1048"/>
    <w:rsid w:val="1720665E"/>
    <w:rsid w:val="17255A22"/>
    <w:rsid w:val="172B6DB1"/>
    <w:rsid w:val="172D19A8"/>
    <w:rsid w:val="17410382"/>
    <w:rsid w:val="1743234C"/>
    <w:rsid w:val="17465999"/>
    <w:rsid w:val="1752258F"/>
    <w:rsid w:val="1763479D"/>
    <w:rsid w:val="176A78D9"/>
    <w:rsid w:val="1772678E"/>
    <w:rsid w:val="177A195D"/>
    <w:rsid w:val="177E3384"/>
    <w:rsid w:val="1787048B"/>
    <w:rsid w:val="178D35C8"/>
    <w:rsid w:val="178F10EE"/>
    <w:rsid w:val="1796247C"/>
    <w:rsid w:val="17A10E21"/>
    <w:rsid w:val="17A5257D"/>
    <w:rsid w:val="17B31280"/>
    <w:rsid w:val="17B44FF8"/>
    <w:rsid w:val="17BA0860"/>
    <w:rsid w:val="17C0574B"/>
    <w:rsid w:val="17C52D61"/>
    <w:rsid w:val="17CE60BA"/>
    <w:rsid w:val="17D3547E"/>
    <w:rsid w:val="17D520FA"/>
    <w:rsid w:val="17D67E1B"/>
    <w:rsid w:val="17D86F39"/>
    <w:rsid w:val="17DE3E23"/>
    <w:rsid w:val="17E50036"/>
    <w:rsid w:val="17E53404"/>
    <w:rsid w:val="17F51899"/>
    <w:rsid w:val="18025D64"/>
    <w:rsid w:val="18137F71"/>
    <w:rsid w:val="181674CA"/>
    <w:rsid w:val="1820060E"/>
    <w:rsid w:val="1820443C"/>
    <w:rsid w:val="18205BA9"/>
    <w:rsid w:val="18210BE6"/>
    <w:rsid w:val="182A7988"/>
    <w:rsid w:val="183103F7"/>
    <w:rsid w:val="18370FAA"/>
    <w:rsid w:val="183850D2"/>
    <w:rsid w:val="183B1275"/>
    <w:rsid w:val="18491BE4"/>
    <w:rsid w:val="184B14B9"/>
    <w:rsid w:val="184B770B"/>
    <w:rsid w:val="185145F5"/>
    <w:rsid w:val="18567E5D"/>
    <w:rsid w:val="186407CC"/>
    <w:rsid w:val="186500A0"/>
    <w:rsid w:val="186E51A7"/>
    <w:rsid w:val="187622AE"/>
    <w:rsid w:val="187E50BF"/>
    <w:rsid w:val="188449CB"/>
    <w:rsid w:val="188B0B51"/>
    <w:rsid w:val="188D7D23"/>
    <w:rsid w:val="188D7D42"/>
    <w:rsid w:val="1890464C"/>
    <w:rsid w:val="18A1557C"/>
    <w:rsid w:val="18AD2173"/>
    <w:rsid w:val="18BA4890"/>
    <w:rsid w:val="18BA4D45"/>
    <w:rsid w:val="18C45643"/>
    <w:rsid w:val="18DF42F7"/>
    <w:rsid w:val="18F57676"/>
    <w:rsid w:val="18F71640"/>
    <w:rsid w:val="19080C81"/>
    <w:rsid w:val="190B50EC"/>
    <w:rsid w:val="1912647A"/>
    <w:rsid w:val="192B3098"/>
    <w:rsid w:val="19371A3D"/>
    <w:rsid w:val="19410B0E"/>
    <w:rsid w:val="19447142"/>
    <w:rsid w:val="19466124"/>
    <w:rsid w:val="19483C4A"/>
    <w:rsid w:val="194B54E8"/>
    <w:rsid w:val="19524AC9"/>
    <w:rsid w:val="19575882"/>
    <w:rsid w:val="19575C3B"/>
    <w:rsid w:val="195E155B"/>
    <w:rsid w:val="195E521C"/>
    <w:rsid w:val="196360F2"/>
    <w:rsid w:val="197321D5"/>
    <w:rsid w:val="19767855"/>
    <w:rsid w:val="197907DA"/>
    <w:rsid w:val="197E58BE"/>
    <w:rsid w:val="198D3D53"/>
    <w:rsid w:val="198F1879"/>
    <w:rsid w:val="1991739F"/>
    <w:rsid w:val="199649B5"/>
    <w:rsid w:val="199724DC"/>
    <w:rsid w:val="199B6E4C"/>
    <w:rsid w:val="19A5109C"/>
    <w:rsid w:val="19A52E4A"/>
    <w:rsid w:val="19C257AA"/>
    <w:rsid w:val="19CC4F2A"/>
    <w:rsid w:val="19D13C3F"/>
    <w:rsid w:val="19DD4C7B"/>
    <w:rsid w:val="19E219A9"/>
    <w:rsid w:val="19E5593D"/>
    <w:rsid w:val="19F65454"/>
    <w:rsid w:val="19F94F44"/>
    <w:rsid w:val="1A004B69"/>
    <w:rsid w:val="1A0062D3"/>
    <w:rsid w:val="1A0538E9"/>
    <w:rsid w:val="1A0C41D1"/>
    <w:rsid w:val="1A136006"/>
    <w:rsid w:val="1A143B2C"/>
    <w:rsid w:val="1A295829"/>
    <w:rsid w:val="1A336BE7"/>
    <w:rsid w:val="1A404921"/>
    <w:rsid w:val="1A497C7A"/>
    <w:rsid w:val="1A5D3725"/>
    <w:rsid w:val="1A600465"/>
    <w:rsid w:val="1A612D7C"/>
    <w:rsid w:val="1A6458E8"/>
    <w:rsid w:val="1A670100"/>
    <w:rsid w:val="1A710F7F"/>
    <w:rsid w:val="1A7171D0"/>
    <w:rsid w:val="1A7F6A7E"/>
    <w:rsid w:val="1A807E72"/>
    <w:rsid w:val="1A8A2A47"/>
    <w:rsid w:val="1A8E7D82"/>
    <w:rsid w:val="1A907657"/>
    <w:rsid w:val="1A930EF5"/>
    <w:rsid w:val="1A952EBF"/>
    <w:rsid w:val="1A974E89"/>
    <w:rsid w:val="1A976C37"/>
    <w:rsid w:val="1A9F3D3E"/>
    <w:rsid w:val="1A9F5AEC"/>
    <w:rsid w:val="1AA66E7A"/>
    <w:rsid w:val="1AA67CAC"/>
    <w:rsid w:val="1AA9696A"/>
    <w:rsid w:val="1AAC0209"/>
    <w:rsid w:val="1AB136EC"/>
    <w:rsid w:val="1AB16E81"/>
    <w:rsid w:val="1ABE3041"/>
    <w:rsid w:val="1ACD2659"/>
    <w:rsid w:val="1ACE63D1"/>
    <w:rsid w:val="1AD35795"/>
    <w:rsid w:val="1ADE4866"/>
    <w:rsid w:val="1AEE25CF"/>
    <w:rsid w:val="1AF5395E"/>
    <w:rsid w:val="1AFC4CEC"/>
    <w:rsid w:val="1AFF47DC"/>
    <w:rsid w:val="1B040045"/>
    <w:rsid w:val="1B05496D"/>
    <w:rsid w:val="1B065B6B"/>
    <w:rsid w:val="1B077C88"/>
    <w:rsid w:val="1B0D514B"/>
    <w:rsid w:val="1B0E4A1F"/>
    <w:rsid w:val="1B16166A"/>
    <w:rsid w:val="1B216905"/>
    <w:rsid w:val="1B2E6E70"/>
    <w:rsid w:val="1B391A9C"/>
    <w:rsid w:val="1B502A2B"/>
    <w:rsid w:val="1B50328A"/>
    <w:rsid w:val="1B544B28"/>
    <w:rsid w:val="1B595D27"/>
    <w:rsid w:val="1B617245"/>
    <w:rsid w:val="1B724FAE"/>
    <w:rsid w:val="1B7D7150"/>
    <w:rsid w:val="1B803B6F"/>
    <w:rsid w:val="1B854CE1"/>
    <w:rsid w:val="1B855497"/>
    <w:rsid w:val="1B8A22F8"/>
    <w:rsid w:val="1B8F3DB2"/>
    <w:rsid w:val="1B9273FE"/>
    <w:rsid w:val="1BB93E83"/>
    <w:rsid w:val="1BBD091F"/>
    <w:rsid w:val="1BC3580A"/>
    <w:rsid w:val="1BC51582"/>
    <w:rsid w:val="1BC644B6"/>
    <w:rsid w:val="1BCA4DEA"/>
    <w:rsid w:val="1BD143CB"/>
    <w:rsid w:val="1BE0460E"/>
    <w:rsid w:val="1BE35EAC"/>
    <w:rsid w:val="1BE745D6"/>
    <w:rsid w:val="1BE834C2"/>
    <w:rsid w:val="1BF63E31"/>
    <w:rsid w:val="1BF65BDF"/>
    <w:rsid w:val="1BF6706B"/>
    <w:rsid w:val="1BF754B3"/>
    <w:rsid w:val="1BF81957"/>
    <w:rsid w:val="1BFB4FA4"/>
    <w:rsid w:val="1BFD6F6E"/>
    <w:rsid w:val="1C0A168B"/>
    <w:rsid w:val="1C0C0F5F"/>
    <w:rsid w:val="1C0F4EF3"/>
    <w:rsid w:val="1C0F6CA1"/>
    <w:rsid w:val="1C16002F"/>
    <w:rsid w:val="1C1D13BE"/>
    <w:rsid w:val="1C1E6EE4"/>
    <w:rsid w:val="1C252021"/>
    <w:rsid w:val="1C2E35CB"/>
    <w:rsid w:val="1C3B1844"/>
    <w:rsid w:val="1C4050AC"/>
    <w:rsid w:val="1C4108CD"/>
    <w:rsid w:val="1C4921B3"/>
    <w:rsid w:val="1C4A1A87"/>
    <w:rsid w:val="1C534DE0"/>
    <w:rsid w:val="1C5B3C94"/>
    <w:rsid w:val="1C613AB1"/>
    <w:rsid w:val="1C691F5E"/>
    <w:rsid w:val="1C6A3ED7"/>
    <w:rsid w:val="1C6A4185"/>
    <w:rsid w:val="1C6C5D0E"/>
    <w:rsid w:val="1C744D56"/>
    <w:rsid w:val="1C763D6F"/>
    <w:rsid w:val="1C7A55AF"/>
    <w:rsid w:val="1C7C2E8C"/>
    <w:rsid w:val="1C7F3E27"/>
    <w:rsid w:val="1C8B457A"/>
    <w:rsid w:val="1C8C0466"/>
    <w:rsid w:val="1C8E406A"/>
    <w:rsid w:val="1C901B90"/>
    <w:rsid w:val="1C9A47BD"/>
    <w:rsid w:val="1CAA29E2"/>
    <w:rsid w:val="1CAB69CA"/>
    <w:rsid w:val="1CAF18F1"/>
    <w:rsid w:val="1CBF4223"/>
    <w:rsid w:val="1CC854C2"/>
    <w:rsid w:val="1CD221A8"/>
    <w:rsid w:val="1CD53A47"/>
    <w:rsid w:val="1CD6156D"/>
    <w:rsid w:val="1CD777BF"/>
    <w:rsid w:val="1CDA72AF"/>
    <w:rsid w:val="1CE819CC"/>
    <w:rsid w:val="1CEB14BC"/>
    <w:rsid w:val="1CF2284B"/>
    <w:rsid w:val="1D0121D0"/>
    <w:rsid w:val="1D022362"/>
    <w:rsid w:val="1D04432C"/>
    <w:rsid w:val="1D0D31E0"/>
    <w:rsid w:val="1D1502E7"/>
    <w:rsid w:val="1D1550D9"/>
    <w:rsid w:val="1D1A3B4F"/>
    <w:rsid w:val="1D24052A"/>
    <w:rsid w:val="1D2D72F7"/>
    <w:rsid w:val="1D2F75FB"/>
    <w:rsid w:val="1D303373"/>
    <w:rsid w:val="1D421907"/>
    <w:rsid w:val="1D436C02"/>
    <w:rsid w:val="1D4B5AB7"/>
    <w:rsid w:val="1D5030CD"/>
    <w:rsid w:val="1D584BE1"/>
    <w:rsid w:val="1D5A03F0"/>
    <w:rsid w:val="1D5A2E72"/>
    <w:rsid w:val="1D5B524F"/>
    <w:rsid w:val="1D646B79"/>
    <w:rsid w:val="1D6D3522"/>
    <w:rsid w:val="1D750D86"/>
    <w:rsid w:val="1D8217C2"/>
    <w:rsid w:val="1D8D2573"/>
    <w:rsid w:val="1D970CFC"/>
    <w:rsid w:val="1DAB5588"/>
    <w:rsid w:val="1DB00010"/>
    <w:rsid w:val="1DB55626"/>
    <w:rsid w:val="1DBA2C3C"/>
    <w:rsid w:val="1DC34F87"/>
    <w:rsid w:val="1DCB6BF8"/>
    <w:rsid w:val="1DD72694"/>
    <w:rsid w:val="1DDA6E3B"/>
    <w:rsid w:val="1DDC0E05"/>
    <w:rsid w:val="1DDE1DE9"/>
    <w:rsid w:val="1DE55F0B"/>
    <w:rsid w:val="1DF0665E"/>
    <w:rsid w:val="1DF71A39"/>
    <w:rsid w:val="1DFA7416"/>
    <w:rsid w:val="1E067C30"/>
    <w:rsid w:val="1E110AAE"/>
    <w:rsid w:val="1E114F52"/>
    <w:rsid w:val="1E217E45"/>
    <w:rsid w:val="1E3D7AF5"/>
    <w:rsid w:val="1E4D5A53"/>
    <w:rsid w:val="1E4E3B70"/>
    <w:rsid w:val="1E62755C"/>
    <w:rsid w:val="1E7135D0"/>
    <w:rsid w:val="1E803E86"/>
    <w:rsid w:val="1E876FC3"/>
    <w:rsid w:val="1E8F7C25"/>
    <w:rsid w:val="1EB4768C"/>
    <w:rsid w:val="1EB83620"/>
    <w:rsid w:val="1EBF050A"/>
    <w:rsid w:val="1ECA6EAF"/>
    <w:rsid w:val="1ED57D2E"/>
    <w:rsid w:val="1ED87B82"/>
    <w:rsid w:val="1EDA5344"/>
    <w:rsid w:val="1EDE624F"/>
    <w:rsid w:val="1EDF6DFF"/>
    <w:rsid w:val="1EE14925"/>
    <w:rsid w:val="1EF328AA"/>
    <w:rsid w:val="1EFB350D"/>
    <w:rsid w:val="1EFD5795"/>
    <w:rsid w:val="1F010B23"/>
    <w:rsid w:val="1F0C74C8"/>
    <w:rsid w:val="1F210279"/>
    <w:rsid w:val="1F220A99"/>
    <w:rsid w:val="1F3118EC"/>
    <w:rsid w:val="1F422EEA"/>
    <w:rsid w:val="1F474868"/>
    <w:rsid w:val="1F501AAA"/>
    <w:rsid w:val="1F5275D0"/>
    <w:rsid w:val="1F574BE7"/>
    <w:rsid w:val="1F582479"/>
    <w:rsid w:val="1F5E41C7"/>
    <w:rsid w:val="1F63358C"/>
    <w:rsid w:val="1F645556"/>
    <w:rsid w:val="1F664E2A"/>
    <w:rsid w:val="1F703EFB"/>
    <w:rsid w:val="1F745799"/>
    <w:rsid w:val="1F7C464D"/>
    <w:rsid w:val="1F7E2174"/>
    <w:rsid w:val="1F882FF2"/>
    <w:rsid w:val="1F883C9F"/>
    <w:rsid w:val="1F971592"/>
    <w:rsid w:val="1FA63478"/>
    <w:rsid w:val="1FB71895"/>
    <w:rsid w:val="1FB738D7"/>
    <w:rsid w:val="1FB94E27"/>
    <w:rsid w:val="1FB97650"/>
    <w:rsid w:val="1FBF453A"/>
    <w:rsid w:val="1FC14756"/>
    <w:rsid w:val="1FCA53B9"/>
    <w:rsid w:val="1FCD4EA9"/>
    <w:rsid w:val="1FCF190A"/>
    <w:rsid w:val="1FD04999"/>
    <w:rsid w:val="1FD40B49"/>
    <w:rsid w:val="1FD53D5E"/>
    <w:rsid w:val="1FDB75C6"/>
    <w:rsid w:val="1FDE70B6"/>
    <w:rsid w:val="1FE57CFE"/>
    <w:rsid w:val="1FEF3071"/>
    <w:rsid w:val="1FEF4E1F"/>
    <w:rsid w:val="1FF41576"/>
    <w:rsid w:val="1FFF6B11"/>
    <w:rsid w:val="20000DDB"/>
    <w:rsid w:val="20016901"/>
    <w:rsid w:val="200A3A73"/>
    <w:rsid w:val="201617CC"/>
    <w:rsid w:val="20196340"/>
    <w:rsid w:val="20250841"/>
    <w:rsid w:val="202645B9"/>
    <w:rsid w:val="20275024"/>
    <w:rsid w:val="202D76F6"/>
    <w:rsid w:val="203767C6"/>
    <w:rsid w:val="203B74FB"/>
    <w:rsid w:val="203C5B8B"/>
    <w:rsid w:val="204607B7"/>
    <w:rsid w:val="20476A09"/>
    <w:rsid w:val="20484530"/>
    <w:rsid w:val="204C04C4"/>
    <w:rsid w:val="204D45C0"/>
    <w:rsid w:val="20564E9E"/>
    <w:rsid w:val="20586E69"/>
    <w:rsid w:val="206B1B50"/>
    <w:rsid w:val="206D77B9"/>
    <w:rsid w:val="20803CC9"/>
    <w:rsid w:val="208337BA"/>
    <w:rsid w:val="208E4638"/>
    <w:rsid w:val="20987265"/>
    <w:rsid w:val="209E23A2"/>
    <w:rsid w:val="20A420AE"/>
    <w:rsid w:val="20A91472"/>
    <w:rsid w:val="20AF20C5"/>
    <w:rsid w:val="20B920B4"/>
    <w:rsid w:val="20B9542D"/>
    <w:rsid w:val="20BB733B"/>
    <w:rsid w:val="20C77B4A"/>
    <w:rsid w:val="20DD736E"/>
    <w:rsid w:val="20E96173"/>
    <w:rsid w:val="20EB717A"/>
    <w:rsid w:val="20ED7306"/>
    <w:rsid w:val="20F3093F"/>
    <w:rsid w:val="20F63F8C"/>
    <w:rsid w:val="20F96916"/>
    <w:rsid w:val="20FA7F20"/>
    <w:rsid w:val="20FD17BE"/>
    <w:rsid w:val="21091F11"/>
    <w:rsid w:val="210E39CB"/>
    <w:rsid w:val="211106C5"/>
    <w:rsid w:val="21186AE5"/>
    <w:rsid w:val="2120725A"/>
    <w:rsid w:val="212136FE"/>
    <w:rsid w:val="21221225"/>
    <w:rsid w:val="21294361"/>
    <w:rsid w:val="212C54EC"/>
    <w:rsid w:val="213276BA"/>
    <w:rsid w:val="21336F8E"/>
    <w:rsid w:val="21350F58"/>
    <w:rsid w:val="213A656E"/>
    <w:rsid w:val="213B5E42"/>
    <w:rsid w:val="213F26B4"/>
    <w:rsid w:val="213F3B84"/>
    <w:rsid w:val="21431785"/>
    <w:rsid w:val="214473ED"/>
    <w:rsid w:val="214747E7"/>
    <w:rsid w:val="21584C46"/>
    <w:rsid w:val="215C64E4"/>
    <w:rsid w:val="215F7D83"/>
    <w:rsid w:val="216058A9"/>
    <w:rsid w:val="21771570"/>
    <w:rsid w:val="217A696B"/>
    <w:rsid w:val="21863561"/>
    <w:rsid w:val="21865714"/>
    <w:rsid w:val="218B0B78"/>
    <w:rsid w:val="218E68BA"/>
    <w:rsid w:val="219E251A"/>
    <w:rsid w:val="219E4D4F"/>
    <w:rsid w:val="219F0AC7"/>
    <w:rsid w:val="21A12149"/>
    <w:rsid w:val="21A25EC1"/>
    <w:rsid w:val="21A4626C"/>
    <w:rsid w:val="21AA36F4"/>
    <w:rsid w:val="21AD4F92"/>
    <w:rsid w:val="21AE2AB8"/>
    <w:rsid w:val="21B04A82"/>
    <w:rsid w:val="21B445C8"/>
    <w:rsid w:val="21B7196D"/>
    <w:rsid w:val="21B77BBF"/>
    <w:rsid w:val="21B856E5"/>
    <w:rsid w:val="21BE2CFB"/>
    <w:rsid w:val="21C24F4B"/>
    <w:rsid w:val="21DE51E0"/>
    <w:rsid w:val="21E12E8E"/>
    <w:rsid w:val="21EB7868"/>
    <w:rsid w:val="21F37F51"/>
    <w:rsid w:val="21F77FBB"/>
    <w:rsid w:val="22010E3A"/>
    <w:rsid w:val="22071464"/>
    <w:rsid w:val="220D77DF"/>
    <w:rsid w:val="22172DB3"/>
    <w:rsid w:val="22283C9F"/>
    <w:rsid w:val="2232235C"/>
    <w:rsid w:val="22327245"/>
    <w:rsid w:val="22396826"/>
    <w:rsid w:val="224F66C7"/>
    <w:rsid w:val="22617B2B"/>
    <w:rsid w:val="226715E5"/>
    <w:rsid w:val="22737F8A"/>
    <w:rsid w:val="227A00E5"/>
    <w:rsid w:val="22883309"/>
    <w:rsid w:val="228F4698"/>
    <w:rsid w:val="229B4DEB"/>
    <w:rsid w:val="22AC349C"/>
    <w:rsid w:val="22AE0FC2"/>
    <w:rsid w:val="22C95D2C"/>
    <w:rsid w:val="22CA1B74"/>
    <w:rsid w:val="22D16A5E"/>
    <w:rsid w:val="22D402FC"/>
    <w:rsid w:val="22DD18A7"/>
    <w:rsid w:val="22E5075C"/>
    <w:rsid w:val="22E569AE"/>
    <w:rsid w:val="22E86E52"/>
    <w:rsid w:val="22EC3898"/>
    <w:rsid w:val="22F15352"/>
    <w:rsid w:val="22F32E79"/>
    <w:rsid w:val="2302130E"/>
    <w:rsid w:val="23122CD3"/>
    <w:rsid w:val="231352C9"/>
    <w:rsid w:val="232413BB"/>
    <w:rsid w:val="23291785"/>
    <w:rsid w:val="23333275"/>
    <w:rsid w:val="233C481F"/>
    <w:rsid w:val="2342795C"/>
    <w:rsid w:val="23447230"/>
    <w:rsid w:val="23530B52"/>
    <w:rsid w:val="235F406A"/>
    <w:rsid w:val="23675615"/>
    <w:rsid w:val="236E0751"/>
    <w:rsid w:val="23710488"/>
    <w:rsid w:val="237A0EA4"/>
    <w:rsid w:val="2381304A"/>
    <w:rsid w:val="238241FC"/>
    <w:rsid w:val="238E68DC"/>
    <w:rsid w:val="23952182"/>
    <w:rsid w:val="2398757C"/>
    <w:rsid w:val="239A7798"/>
    <w:rsid w:val="23A7789F"/>
    <w:rsid w:val="23B51EDC"/>
    <w:rsid w:val="23B87C1E"/>
    <w:rsid w:val="23BB002C"/>
    <w:rsid w:val="23C16AD3"/>
    <w:rsid w:val="23C2004B"/>
    <w:rsid w:val="23C33515"/>
    <w:rsid w:val="23CB5BA3"/>
    <w:rsid w:val="23D42CAA"/>
    <w:rsid w:val="23D700A4"/>
    <w:rsid w:val="23DA5DE6"/>
    <w:rsid w:val="23E60F9A"/>
    <w:rsid w:val="23E6478B"/>
    <w:rsid w:val="23E80503"/>
    <w:rsid w:val="23E822B1"/>
    <w:rsid w:val="23F1680C"/>
    <w:rsid w:val="23F32A04"/>
    <w:rsid w:val="23FE1AD5"/>
    <w:rsid w:val="23FF584D"/>
    <w:rsid w:val="24003A9F"/>
    <w:rsid w:val="24042E63"/>
    <w:rsid w:val="242E494F"/>
    <w:rsid w:val="243948BB"/>
    <w:rsid w:val="243C25FD"/>
    <w:rsid w:val="243E15D5"/>
    <w:rsid w:val="244F0582"/>
    <w:rsid w:val="24551238"/>
    <w:rsid w:val="245931AF"/>
    <w:rsid w:val="245A2A83"/>
    <w:rsid w:val="247B3126"/>
    <w:rsid w:val="247E2C16"/>
    <w:rsid w:val="24853FA4"/>
    <w:rsid w:val="248E2DBA"/>
    <w:rsid w:val="24A65CC9"/>
    <w:rsid w:val="24A73F1B"/>
    <w:rsid w:val="24AB32DF"/>
    <w:rsid w:val="24B6415E"/>
    <w:rsid w:val="24C23177"/>
    <w:rsid w:val="24C3687B"/>
    <w:rsid w:val="24DE5462"/>
    <w:rsid w:val="24E24F53"/>
    <w:rsid w:val="25076767"/>
    <w:rsid w:val="25090731"/>
    <w:rsid w:val="2510486F"/>
    <w:rsid w:val="25145328"/>
    <w:rsid w:val="251915B4"/>
    <w:rsid w:val="25224672"/>
    <w:rsid w:val="25250089"/>
    <w:rsid w:val="25252A8D"/>
    <w:rsid w:val="25284930"/>
    <w:rsid w:val="25341526"/>
    <w:rsid w:val="254E083A"/>
    <w:rsid w:val="255B2F57"/>
    <w:rsid w:val="255B6AB3"/>
    <w:rsid w:val="255D0A7D"/>
    <w:rsid w:val="25755DC7"/>
    <w:rsid w:val="25777D91"/>
    <w:rsid w:val="257C132B"/>
    <w:rsid w:val="257C53A7"/>
    <w:rsid w:val="257D4C7B"/>
    <w:rsid w:val="25853B30"/>
    <w:rsid w:val="25910727"/>
    <w:rsid w:val="25946A15"/>
    <w:rsid w:val="259F425C"/>
    <w:rsid w:val="25A67057"/>
    <w:rsid w:val="25A95A70"/>
    <w:rsid w:val="25BC39F6"/>
    <w:rsid w:val="25BC57A4"/>
    <w:rsid w:val="25BF34E6"/>
    <w:rsid w:val="25C26B32"/>
    <w:rsid w:val="25D54115"/>
    <w:rsid w:val="25F0369F"/>
    <w:rsid w:val="25F10580"/>
    <w:rsid w:val="25F52A64"/>
    <w:rsid w:val="25F72F27"/>
    <w:rsid w:val="25F901AD"/>
    <w:rsid w:val="25F94997"/>
    <w:rsid w:val="25FF1B34"/>
    <w:rsid w:val="26031625"/>
    <w:rsid w:val="260F4C55"/>
    <w:rsid w:val="26170C2C"/>
    <w:rsid w:val="2617194A"/>
    <w:rsid w:val="26192BF6"/>
    <w:rsid w:val="261E020C"/>
    <w:rsid w:val="26265313"/>
    <w:rsid w:val="26284BE7"/>
    <w:rsid w:val="26291B1A"/>
    <w:rsid w:val="262A4E03"/>
    <w:rsid w:val="262E41C8"/>
    <w:rsid w:val="26325A66"/>
    <w:rsid w:val="263A2B6C"/>
    <w:rsid w:val="263D4800"/>
    <w:rsid w:val="263D6189"/>
    <w:rsid w:val="263F0183"/>
    <w:rsid w:val="26404C6A"/>
    <w:rsid w:val="264D6C20"/>
    <w:rsid w:val="264F6618"/>
    <w:rsid w:val="26555BF8"/>
    <w:rsid w:val="266B541C"/>
    <w:rsid w:val="2674607E"/>
    <w:rsid w:val="26763E6F"/>
    <w:rsid w:val="26783E77"/>
    <w:rsid w:val="267C3983"/>
    <w:rsid w:val="267C4F33"/>
    <w:rsid w:val="26804A23"/>
    <w:rsid w:val="268169ED"/>
    <w:rsid w:val="26924756"/>
    <w:rsid w:val="269E3A6B"/>
    <w:rsid w:val="26A56238"/>
    <w:rsid w:val="26A85D28"/>
    <w:rsid w:val="26AC3A6A"/>
    <w:rsid w:val="26B446CD"/>
    <w:rsid w:val="26B7240F"/>
    <w:rsid w:val="26C03072"/>
    <w:rsid w:val="26C2328E"/>
    <w:rsid w:val="26D11723"/>
    <w:rsid w:val="26D14F16"/>
    <w:rsid w:val="26D82BDE"/>
    <w:rsid w:val="26DC3C24"/>
    <w:rsid w:val="26E1123A"/>
    <w:rsid w:val="26E825C8"/>
    <w:rsid w:val="26EB0757"/>
    <w:rsid w:val="26F64CE5"/>
    <w:rsid w:val="26FB67A0"/>
    <w:rsid w:val="270101AC"/>
    <w:rsid w:val="27167136"/>
    <w:rsid w:val="2719451E"/>
    <w:rsid w:val="27221F7E"/>
    <w:rsid w:val="27254FD9"/>
    <w:rsid w:val="27277595"/>
    <w:rsid w:val="272B734B"/>
    <w:rsid w:val="2732478D"/>
    <w:rsid w:val="27392E24"/>
    <w:rsid w:val="273B4DEE"/>
    <w:rsid w:val="27421CD9"/>
    <w:rsid w:val="274912B9"/>
    <w:rsid w:val="274D71B2"/>
    <w:rsid w:val="2751147F"/>
    <w:rsid w:val="275B0FEC"/>
    <w:rsid w:val="275B723E"/>
    <w:rsid w:val="2767173F"/>
    <w:rsid w:val="27706CF6"/>
    <w:rsid w:val="277F2F2D"/>
    <w:rsid w:val="27802801"/>
    <w:rsid w:val="27846795"/>
    <w:rsid w:val="278F0C96"/>
    <w:rsid w:val="27912C60"/>
    <w:rsid w:val="279C6957"/>
    <w:rsid w:val="27A42993"/>
    <w:rsid w:val="27AC35F6"/>
    <w:rsid w:val="27BF157B"/>
    <w:rsid w:val="27C070A1"/>
    <w:rsid w:val="27C76682"/>
    <w:rsid w:val="27CE15C4"/>
    <w:rsid w:val="27D32B77"/>
    <w:rsid w:val="27D50D9F"/>
    <w:rsid w:val="27D85DEF"/>
    <w:rsid w:val="27DD5EA5"/>
    <w:rsid w:val="27DD7C53"/>
    <w:rsid w:val="27DE5929"/>
    <w:rsid w:val="27DF1C1D"/>
    <w:rsid w:val="27E14C4C"/>
    <w:rsid w:val="27F37477"/>
    <w:rsid w:val="27F82CDF"/>
    <w:rsid w:val="280346CD"/>
    <w:rsid w:val="28090A48"/>
    <w:rsid w:val="280E42B1"/>
    <w:rsid w:val="2815563F"/>
    <w:rsid w:val="28173165"/>
    <w:rsid w:val="281D44F4"/>
    <w:rsid w:val="282105EF"/>
    <w:rsid w:val="282160D2"/>
    <w:rsid w:val="282D0BDB"/>
    <w:rsid w:val="283E4B96"/>
    <w:rsid w:val="28425D08"/>
    <w:rsid w:val="284D302B"/>
    <w:rsid w:val="285717B4"/>
    <w:rsid w:val="285A74F6"/>
    <w:rsid w:val="28641A74"/>
    <w:rsid w:val="286A073E"/>
    <w:rsid w:val="286C62A1"/>
    <w:rsid w:val="286E6AFD"/>
    <w:rsid w:val="287B7B98"/>
    <w:rsid w:val="287E4F92"/>
    <w:rsid w:val="28810F26"/>
    <w:rsid w:val="28813C00"/>
    <w:rsid w:val="288822B5"/>
    <w:rsid w:val="288C0DA8"/>
    <w:rsid w:val="289724F8"/>
    <w:rsid w:val="289F315B"/>
    <w:rsid w:val="28A069B8"/>
    <w:rsid w:val="28A8200F"/>
    <w:rsid w:val="28A855B6"/>
    <w:rsid w:val="28AB7D51"/>
    <w:rsid w:val="28AF15F0"/>
    <w:rsid w:val="28B9421C"/>
    <w:rsid w:val="28C055AB"/>
    <w:rsid w:val="28C2132E"/>
    <w:rsid w:val="28C21683"/>
    <w:rsid w:val="28CC03F4"/>
    <w:rsid w:val="28CD1A76"/>
    <w:rsid w:val="28CD5F1A"/>
    <w:rsid w:val="28D76D98"/>
    <w:rsid w:val="28E91260"/>
    <w:rsid w:val="28F72971"/>
    <w:rsid w:val="28F74D45"/>
    <w:rsid w:val="28F96D0F"/>
    <w:rsid w:val="28FD67FF"/>
    <w:rsid w:val="29053906"/>
    <w:rsid w:val="29057462"/>
    <w:rsid w:val="290A0F1C"/>
    <w:rsid w:val="290C6A42"/>
    <w:rsid w:val="290F3C6E"/>
    <w:rsid w:val="290F6532"/>
    <w:rsid w:val="2916166F"/>
    <w:rsid w:val="292A6EC8"/>
    <w:rsid w:val="2934401A"/>
    <w:rsid w:val="293935AF"/>
    <w:rsid w:val="2939535D"/>
    <w:rsid w:val="293D6BFB"/>
    <w:rsid w:val="29401994"/>
    <w:rsid w:val="29422464"/>
    <w:rsid w:val="29424212"/>
    <w:rsid w:val="29444208"/>
    <w:rsid w:val="29464CEE"/>
    <w:rsid w:val="29514455"/>
    <w:rsid w:val="29542197"/>
    <w:rsid w:val="29587FFA"/>
    <w:rsid w:val="29606D8E"/>
    <w:rsid w:val="296A5517"/>
    <w:rsid w:val="29851533"/>
    <w:rsid w:val="298C2EB2"/>
    <w:rsid w:val="298C7B83"/>
    <w:rsid w:val="299F78B6"/>
    <w:rsid w:val="29A30B6B"/>
    <w:rsid w:val="29AA6257"/>
    <w:rsid w:val="29AF583B"/>
    <w:rsid w:val="29B13146"/>
    <w:rsid w:val="29C015DB"/>
    <w:rsid w:val="29C72969"/>
    <w:rsid w:val="29E452C9"/>
    <w:rsid w:val="29E96D83"/>
    <w:rsid w:val="29F179E6"/>
    <w:rsid w:val="29F3375E"/>
    <w:rsid w:val="29F714A0"/>
    <w:rsid w:val="2A0239A1"/>
    <w:rsid w:val="2A063491"/>
    <w:rsid w:val="2A0B4F4C"/>
    <w:rsid w:val="2A0B7379"/>
    <w:rsid w:val="2A141C7C"/>
    <w:rsid w:val="2A151926"/>
    <w:rsid w:val="2A181417"/>
    <w:rsid w:val="2A187669"/>
    <w:rsid w:val="2A1C0F07"/>
    <w:rsid w:val="2A241B69"/>
    <w:rsid w:val="2A2C4823"/>
    <w:rsid w:val="2A3073E0"/>
    <w:rsid w:val="2A336250"/>
    <w:rsid w:val="2A3743FE"/>
    <w:rsid w:val="2A420242"/>
    <w:rsid w:val="2A465F84"/>
    <w:rsid w:val="2A470A00"/>
    <w:rsid w:val="2A4B359A"/>
    <w:rsid w:val="2A4C4C2F"/>
    <w:rsid w:val="2A510485"/>
    <w:rsid w:val="2A524929"/>
    <w:rsid w:val="2A614B6C"/>
    <w:rsid w:val="2A6401B8"/>
    <w:rsid w:val="2A644032"/>
    <w:rsid w:val="2A6E404E"/>
    <w:rsid w:val="2A7F3244"/>
    <w:rsid w:val="2A8329A5"/>
    <w:rsid w:val="2A834AE2"/>
    <w:rsid w:val="2A905451"/>
    <w:rsid w:val="2A97058D"/>
    <w:rsid w:val="2A9A1E2C"/>
    <w:rsid w:val="2AAF1D7B"/>
    <w:rsid w:val="2AB078A1"/>
    <w:rsid w:val="2ABE1FBE"/>
    <w:rsid w:val="2AC1385C"/>
    <w:rsid w:val="2AC31382"/>
    <w:rsid w:val="2AC33130"/>
    <w:rsid w:val="2ACF7D27"/>
    <w:rsid w:val="2AD4533E"/>
    <w:rsid w:val="2AE35535"/>
    <w:rsid w:val="2AE65071"/>
    <w:rsid w:val="2AE82B97"/>
    <w:rsid w:val="2AED4651"/>
    <w:rsid w:val="2B021EE1"/>
    <w:rsid w:val="2B040A47"/>
    <w:rsid w:val="2B110340"/>
    <w:rsid w:val="2B141BDE"/>
    <w:rsid w:val="2B1B11BE"/>
    <w:rsid w:val="2B275DB5"/>
    <w:rsid w:val="2B2D2CA0"/>
    <w:rsid w:val="2B3D7387"/>
    <w:rsid w:val="2B3F2753"/>
    <w:rsid w:val="2B473D61"/>
    <w:rsid w:val="2B496FA3"/>
    <w:rsid w:val="2B4A3852"/>
    <w:rsid w:val="2B4C2FF7"/>
    <w:rsid w:val="2B51698E"/>
    <w:rsid w:val="2B532BFE"/>
    <w:rsid w:val="2B6A469F"/>
    <w:rsid w:val="2B6E0DD0"/>
    <w:rsid w:val="2B74267D"/>
    <w:rsid w:val="2B764647"/>
    <w:rsid w:val="2B7F799F"/>
    <w:rsid w:val="2B822FEC"/>
    <w:rsid w:val="2B8A6344"/>
    <w:rsid w:val="2B8C79C6"/>
    <w:rsid w:val="2B911481"/>
    <w:rsid w:val="2B980A61"/>
    <w:rsid w:val="2B9E76FA"/>
    <w:rsid w:val="2BA80578"/>
    <w:rsid w:val="2BAC65A8"/>
    <w:rsid w:val="2BB024B4"/>
    <w:rsid w:val="2BB46F1D"/>
    <w:rsid w:val="2BC03B14"/>
    <w:rsid w:val="2BC144F7"/>
    <w:rsid w:val="2BC60F98"/>
    <w:rsid w:val="2BC628A0"/>
    <w:rsid w:val="2BCA04EF"/>
    <w:rsid w:val="2BCB45F0"/>
    <w:rsid w:val="2BCE6231"/>
    <w:rsid w:val="2BD17ACF"/>
    <w:rsid w:val="2BF35C97"/>
    <w:rsid w:val="2BF832AE"/>
    <w:rsid w:val="2C0559CB"/>
    <w:rsid w:val="2C05601F"/>
    <w:rsid w:val="2C066A1A"/>
    <w:rsid w:val="2C097269"/>
    <w:rsid w:val="2C0B4AE6"/>
    <w:rsid w:val="2C29790B"/>
    <w:rsid w:val="2C300C99"/>
    <w:rsid w:val="2C3818FC"/>
    <w:rsid w:val="2C3B13EC"/>
    <w:rsid w:val="2C3F712F"/>
    <w:rsid w:val="2C4464F3"/>
    <w:rsid w:val="2C471B3F"/>
    <w:rsid w:val="2C5030EA"/>
    <w:rsid w:val="2C581F9E"/>
    <w:rsid w:val="2C5A1872"/>
    <w:rsid w:val="2C630D27"/>
    <w:rsid w:val="2C6721E1"/>
    <w:rsid w:val="2C695F59"/>
    <w:rsid w:val="2C732934"/>
    <w:rsid w:val="2C81312E"/>
    <w:rsid w:val="2C8165FA"/>
    <w:rsid w:val="2C864D5D"/>
    <w:rsid w:val="2C882884"/>
    <w:rsid w:val="2CA13945"/>
    <w:rsid w:val="2CA156F3"/>
    <w:rsid w:val="2CAB5E37"/>
    <w:rsid w:val="2CAC7CBD"/>
    <w:rsid w:val="2CB216AE"/>
    <w:rsid w:val="2CBA0563"/>
    <w:rsid w:val="2CC338BC"/>
    <w:rsid w:val="2CCC08A3"/>
    <w:rsid w:val="2CD86C3B"/>
    <w:rsid w:val="2CDC672B"/>
    <w:rsid w:val="2CDD4252"/>
    <w:rsid w:val="2CE101E6"/>
    <w:rsid w:val="2CE33F5E"/>
    <w:rsid w:val="2CE455E0"/>
    <w:rsid w:val="2CEF2903"/>
    <w:rsid w:val="2CF25F4F"/>
    <w:rsid w:val="2CFE2B46"/>
    <w:rsid w:val="2D0A514C"/>
    <w:rsid w:val="2D142369"/>
    <w:rsid w:val="2D1660E1"/>
    <w:rsid w:val="2D173C07"/>
    <w:rsid w:val="2D177764"/>
    <w:rsid w:val="2D1C04A1"/>
    <w:rsid w:val="2D214A86"/>
    <w:rsid w:val="2D2C37A1"/>
    <w:rsid w:val="2D2F2CFF"/>
    <w:rsid w:val="2D2F30DD"/>
    <w:rsid w:val="2D360531"/>
    <w:rsid w:val="2D3E2F42"/>
    <w:rsid w:val="2D3F44AA"/>
    <w:rsid w:val="2D412A32"/>
    <w:rsid w:val="2D4367AA"/>
    <w:rsid w:val="2D482013"/>
    <w:rsid w:val="2D4D587B"/>
    <w:rsid w:val="2D522E91"/>
    <w:rsid w:val="2D56396E"/>
    <w:rsid w:val="2D5B1D46"/>
    <w:rsid w:val="2D5B3AF4"/>
    <w:rsid w:val="2D621327"/>
    <w:rsid w:val="2D654973"/>
    <w:rsid w:val="2D6706EB"/>
    <w:rsid w:val="2D6906A3"/>
    <w:rsid w:val="2D6D7CCB"/>
    <w:rsid w:val="2D744BB6"/>
    <w:rsid w:val="2D796670"/>
    <w:rsid w:val="2D8079FF"/>
    <w:rsid w:val="2D8748E9"/>
    <w:rsid w:val="2D8C63A3"/>
    <w:rsid w:val="2D8D5C78"/>
    <w:rsid w:val="2D9139BA"/>
    <w:rsid w:val="2D960FD0"/>
    <w:rsid w:val="2DB235BF"/>
    <w:rsid w:val="2DBD47AF"/>
    <w:rsid w:val="2DC07DFB"/>
    <w:rsid w:val="2DC773DC"/>
    <w:rsid w:val="2DDD6BFF"/>
    <w:rsid w:val="2DE0049D"/>
    <w:rsid w:val="2DE24215"/>
    <w:rsid w:val="2DE57862"/>
    <w:rsid w:val="2DF67CC1"/>
    <w:rsid w:val="2DF81343"/>
    <w:rsid w:val="2E0A72C8"/>
    <w:rsid w:val="2E0E500A"/>
    <w:rsid w:val="2E112405"/>
    <w:rsid w:val="2E1819E5"/>
    <w:rsid w:val="2E24038A"/>
    <w:rsid w:val="2E271C28"/>
    <w:rsid w:val="2E2760CC"/>
    <w:rsid w:val="2E31153B"/>
    <w:rsid w:val="2E314855"/>
    <w:rsid w:val="2E374561"/>
    <w:rsid w:val="2E3A195C"/>
    <w:rsid w:val="2E3D31FA"/>
    <w:rsid w:val="2E4212B4"/>
    <w:rsid w:val="2E422F06"/>
    <w:rsid w:val="2E426A62"/>
    <w:rsid w:val="2E496043"/>
    <w:rsid w:val="2E4C168F"/>
    <w:rsid w:val="2E4E18AB"/>
    <w:rsid w:val="2E577392"/>
    <w:rsid w:val="2E620EB2"/>
    <w:rsid w:val="2E6E6547"/>
    <w:rsid w:val="2E804326"/>
    <w:rsid w:val="2E811792"/>
    <w:rsid w:val="2E8250B1"/>
    <w:rsid w:val="2E8452CD"/>
    <w:rsid w:val="2E8928E3"/>
    <w:rsid w:val="2E8B1B62"/>
    <w:rsid w:val="2E913546"/>
    <w:rsid w:val="2E933762"/>
    <w:rsid w:val="2E970AE4"/>
    <w:rsid w:val="2E9848D4"/>
    <w:rsid w:val="2E9D638E"/>
    <w:rsid w:val="2EA27501"/>
    <w:rsid w:val="2EAC037F"/>
    <w:rsid w:val="2EB227A5"/>
    <w:rsid w:val="2EC8340B"/>
    <w:rsid w:val="2EC97183"/>
    <w:rsid w:val="2EDD678B"/>
    <w:rsid w:val="2EDE0530"/>
    <w:rsid w:val="2EE45D6B"/>
    <w:rsid w:val="2EE47B19"/>
    <w:rsid w:val="2EE87609"/>
    <w:rsid w:val="2EEB0EA8"/>
    <w:rsid w:val="2EEB70FA"/>
    <w:rsid w:val="2EF51D26"/>
    <w:rsid w:val="2EFC4E63"/>
    <w:rsid w:val="2F142B95"/>
    <w:rsid w:val="2F17377A"/>
    <w:rsid w:val="2F3B1E2F"/>
    <w:rsid w:val="2F3E36CD"/>
    <w:rsid w:val="2F416D1A"/>
    <w:rsid w:val="2F433D54"/>
    <w:rsid w:val="2F462582"/>
    <w:rsid w:val="2F4A3E20"/>
    <w:rsid w:val="2F634EE2"/>
    <w:rsid w:val="2F68699C"/>
    <w:rsid w:val="2F76433B"/>
    <w:rsid w:val="2F822BAC"/>
    <w:rsid w:val="2F827A5E"/>
    <w:rsid w:val="2F8A246F"/>
    <w:rsid w:val="2F963509"/>
    <w:rsid w:val="2F96630B"/>
    <w:rsid w:val="2FA06136"/>
    <w:rsid w:val="2FA554FB"/>
    <w:rsid w:val="2FA774C5"/>
    <w:rsid w:val="2FA8323D"/>
    <w:rsid w:val="2FAC7913"/>
    <w:rsid w:val="2FBD58EB"/>
    <w:rsid w:val="2FC811E9"/>
    <w:rsid w:val="2FDB2CCA"/>
    <w:rsid w:val="2FE029D7"/>
    <w:rsid w:val="2FE51D9B"/>
    <w:rsid w:val="2FE6510B"/>
    <w:rsid w:val="2FF07B91"/>
    <w:rsid w:val="2FFE41BD"/>
    <w:rsid w:val="30041A89"/>
    <w:rsid w:val="30180DCD"/>
    <w:rsid w:val="301B0ECA"/>
    <w:rsid w:val="301F6139"/>
    <w:rsid w:val="302B1C8C"/>
    <w:rsid w:val="302F1268"/>
    <w:rsid w:val="303845C1"/>
    <w:rsid w:val="30393E95"/>
    <w:rsid w:val="303E14AB"/>
    <w:rsid w:val="30406FD1"/>
    <w:rsid w:val="3049232A"/>
    <w:rsid w:val="305B205D"/>
    <w:rsid w:val="305B22B4"/>
    <w:rsid w:val="30641E74"/>
    <w:rsid w:val="306A22A0"/>
    <w:rsid w:val="307750E9"/>
    <w:rsid w:val="307E133F"/>
    <w:rsid w:val="30810E1D"/>
    <w:rsid w:val="30986E0B"/>
    <w:rsid w:val="309D2676"/>
    <w:rsid w:val="30A1283C"/>
    <w:rsid w:val="30AE03DF"/>
    <w:rsid w:val="30B005FB"/>
    <w:rsid w:val="30B654E5"/>
    <w:rsid w:val="30C23E8A"/>
    <w:rsid w:val="30C91EE6"/>
    <w:rsid w:val="30CF2960"/>
    <w:rsid w:val="30D616E4"/>
    <w:rsid w:val="30E20088"/>
    <w:rsid w:val="30E958BB"/>
    <w:rsid w:val="30EB33E1"/>
    <w:rsid w:val="30F97581"/>
    <w:rsid w:val="30FC739C"/>
    <w:rsid w:val="31077AEF"/>
    <w:rsid w:val="3115220C"/>
    <w:rsid w:val="311A1F18"/>
    <w:rsid w:val="312243DD"/>
    <w:rsid w:val="31264419"/>
    <w:rsid w:val="31271F3F"/>
    <w:rsid w:val="312B5ED3"/>
    <w:rsid w:val="312F7772"/>
    <w:rsid w:val="312F793D"/>
    <w:rsid w:val="3135465C"/>
    <w:rsid w:val="31376626"/>
    <w:rsid w:val="313C3C3D"/>
    <w:rsid w:val="313F54DB"/>
    <w:rsid w:val="3140197F"/>
    <w:rsid w:val="314256C4"/>
    <w:rsid w:val="31432160"/>
    <w:rsid w:val="314D5E4A"/>
    <w:rsid w:val="3152089D"/>
    <w:rsid w:val="31552F50"/>
    <w:rsid w:val="31570A76"/>
    <w:rsid w:val="315D7C3C"/>
    <w:rsid w:val="316504F7"/>
    <w:rsid w:val="316663A9"/>
    <w:rsid w:val="316B14B3"/>
    <w:rsid w:val="316B4522"/>
    <w:rsid w:val="316E48C8"/>
    <w:rsid w:val="3179279B"/>
    <w:rsid w:val="31794E91"/>
    <w:rsid w:val="317F3B29"/>
    <w:rsid w:val="318555E4"/>
    <w:rsid w:val="31947CF5"/>
    <w:rsid w:val="3196159F"/>
    <w:rsid w:val="31994052"/>
    <w:rsid w:val="31A108BF"/>
    <w:rsid w:val="31A11CF2"/>
    <w:rsid w:val="31A16195"/>
    <w:rsid w:val="31A230CB"/>
    <w:rsid w:val="31B23EFF"/>
    <w:rsid w:val="31BE0AF5"/>
    <w:rsid w:val="31C4384F"/>
    <w:rsid w:val="31C65637"/>
    <w:rsid w:val="31CF1AD1"/>
    <w:rsid w:val="31CF2D03"/>
    <w:rsid w:val="31D10829"/>
    <w:rsid w:val="31E4216D"/>
    <w:rsid w:val="31E46467"/>
    <w:rsid w:val="31ED4F37"/>
    <w:rsid w:val="31F2079F"/>
    <w:rsid w:val="320209E2"/>
    <w:rsid w:val="32052280"/>
    <w:rsid w:val="32144BB9"/>
    <w:rsid w:val="32180206"/>
    <w:rsid w:val="323A4620"/>
    <w:rsid w:val="32417274"/>
    <w:rsid w:val="324A57AF"/>
    <w:rsid w:val="324C7EAF"/>
    <w:rsid w:val="325154C6"/>
    <w:rsid w:val="325A3E25"/>
    <w:rsid w:val="32655415"/>
    <w:rsid w:val="326E6078"/>
    <w:rsid w:val="32715B68"/>
    <w:rsid w:val="32764F2C"/>
    <w:rsid w:val="32771258"/>
    <w:rsid w:val="3278255C"/>
    <w:rsid w:val="32785148"/>
    <w:rsid w:val="32794A1C"/>
    <w:rsid w:val="327F0285"/>
    <w:rsid w:val="32870EE7"/>
    <w:rsid w:val="328A6C2A"/>
    <w:rsid w:val="32951856"/>
    <w:rsid w:val="329F04E5"/>
    <w:rsid w:val="32A221C5"/>
    <w:rsid w:val="32A45F3D"/>
    <w:rsid w:val="32AA764E"/>
    <w:rsid w:val="32AC094E"/>
    <w:rsid w:val="32B1215D"/>
    <w:rsid w:val="32BC21C9"/>
    <w:rsid w:val="32C24615"/>
    <w:rsid w:val="32D14858"/>
    <w:rsid w:val="32D8387B"/>
    <w:rsid w:val="32E4633A"/>
    <w:rsid w:val="32EB591A"/>
    <w:rsid w:val="32F04CDF"/>
    <w:rsid w:val="32F32A21"/>
    <w:rsid w:val="32F9755F"/>
    <w:rsid w:val="32FD73FC"/>
    <w:rsid w:val="330B38C7"/>
    <w:rsid w:val="330C5891"/>
    <w:rsid w:val="3310712F"/>
    <w:rsid w:val="331A61FF"/>
    <w:rsid w:val="331B2806"/>
    <w:rsid w:val="331C1F78"/>
    <w:rsid w:val="33226E62"/>
    <w:rsid w:val="333214D1"/>
    <w:rsid w:val="33370B5F"/>
    <w:rsid w:val="333E30F6"/>
    <w:rsid w:val="33501C21"/>
    <w:rsid w:val="33527747"/>
    <w:rsid w:val="335A484E"/>
    <w:rsid w:val="3364747B"/>
    <w:rsid w:val="336631F3"/>
    <w:rsid w:val="336A5368"/>
    <w:rsid w:val="3370495E"/>
    <w:rsid w:val="337138EB"/>
    <w:rsid w:val="337C6572"/>
    <w:rsid w:val="339064C2"/>
    <w:rsid w:val="33A930DF"/>
    <w:rsid w:val="33AF6948"/>
    <w:rsid w:val="33BA52ED"/>
    <w:rsid w:val="33BC4425"/>
    <w:rsid w:val="33CC0FC6"/>
    <w:rsid w:val="33CD5020"/>
    <w:rsid w:val="33DD0EAC"/>
    <w:rsid w:val="33EC7B9C"/>
    <w:rsid w:val="33F97BC3"/>
    <w:rsid w:val="33FB393B"/>
    <w:rsid w:val="33FD100B"/>
    <w:rsid w:val="34030A42"/>
    <w:rsid w:val="340622E0"/>
    <w:rsid w:val="340A0022"/>
    <w:rsid w:val="340A6274"/>
    <w:rsid w:val="34120C85"/>
    <w:rsid w:val="34126ED7"/>
    <w:rsid w:val="34143D51"/>
    <w:rsid w:val="341449FD"/>
    <w:rsid w:val="341D7D55"/>
    <w:rsid w:val="34256C0A"/>
    <w:rsid w:val="342C61EA"/>
    <w:rsid w:val="34302898"/>
    <w:rsid w:val="343216A0"/>
    <w:rsid w:val="34384B8F"/>
    <w:rsid w:val="34474DD2"/>
    <w:rsid w:val="344828F8"/>
    <w:rsid w:val="344A2B14"/>
    <w:rsid w:val="344C4197"/>
    <w:rsid w:val="344C7B26"/>
    <w:rsid w:val="34572B3B"/>
    <w:rsid w:val="345B460B"/>
    <w:rsid w:val="34763D72"/>
    <w:rsid w:val="347B1D25"/>
    <w:rsid w:val="348E2B4F"/>
    <w:rsid w:val="3491714C"/>
    <w:rsid w:val="34943D90"/>
    <w:rsid w:val="349B3370"/>
    <w:rsid w:val="34A83397"/>
    <w:rsid w:val="34B1049E"/>
    <w:rsid w:val="34B47F8E"/>
    <w:rsid w:val="34B54432"/>
    <w:rsid w:val="34BB131C"/>
    <w:rsid w:val="34BB4966"/>
    <w:rsid w:val="34DF500B"/>
    <w:rsid w:val="34EC49AD"/>
    <w:rsid w:val="34F157A2"/>
    <w:rsid w:val="34FA3BF3"/>
    <w:rsid w:val="34FB5BBD"/>
    <w:rsid w:val="34FB796B"/>
    <w:rsid w:val="3501130E"/>
    <w:rsid w:val="3509652C"/>
    <w:rsid w:val="351A24E7"/>
    <w:rsid w:val="351D3D85"/>
    <w:rsid w:val="35213875"/>
    <w:rsid w:val="353335A8"/>
    <w:rsid w:val="353F3CFB"/>
    <w:rsid w:val="35411821"/>
    <w:rsid w:val="354E2190"/>
    <w:rsid w:val="35643762"/>
    <w:rsid w:val="356B4AF0"/>
    <w:rsid w:val="35731BF7"/>
    <w:rsid w:val="35742745"/>
    <w:rsid w:val="357716E7"/>
    <w:rsid w:val="357D4824"/>
    <w:rsid w:val="358856A2"/>
    <w:rsid w:val="35926521"/>
    <w:rsid w:val="359E4EC6"/>
    <w:rsid w:val="35A87E15"/>
    <w:rsid w:val="35AB75E3"/>
    <w:rsid w:val="35BC17F0"/>
    <w:rsid w:val="35BC534C"/>
    <w:rsid w:val="35C36E72"/>
    <w:rsid w:val="35C42453"/>
    <w:rsid w:val="35C80195"/>
    <w:rsid w:val="35C97A69"/>
    <w:rsid w:val="35C97D56"/>
    <w:rsid w:val="35D42696"/>
    <w:rsid w:val="35DA5798"/>
    <w:rsid w:val="35DB533C"/>
    <w:rsid w:val="35DC154A"/>
    <w:rsid w:val="35E054DE"/>
    <w:rsid w:val="35E84393"/>
    <w:rsid w:val="35ED3757"/>
    <w:rsid w:val="35EE5D6B"/>
    <w:rsid w:val="35F03248"/>
    <w:rsid w:val="35F72828"/>
    <w:rsid w:val="360658FC"/>
    <w:rsid w:val="36080C03"/>
    <w:rsid w:val="36213401"/>
    <w:rsid w:val="36226BD4"/>
    <w:rsid w:val="36257395"/>
    <w:rsid w:val="36262C62"/>
    <w:rsid w:val="363475D8"/>
    <w:rsid w:val="3637765B"/>
    <w:rsid w:val="363870C8"/>
    <w:rsid w:val="36393981"/>
    <w:rsid w:val="36394BEF"/>
    <w:rsid w:val="363A3F05"/>
    <w:rsid w:val="363F7524"/>
    <w:rsid w:val="36415851"/>
    <w:rsid w:val="364A0BAA"/>
    <w:rsid w:val="364F61C0"/>
    <w:rsid w:val="3652180C"/>
    <w:rsid w:val="365311E6"/>
    <w:rsid w:val="36545584"/>
    <w:rsid w:val="36545D30"/>
    <w:rsid w:val="36617CA1"/>
    <w:rsid w:val="366D4898"/>
    <w:rsid w:val="367112A8"/>
    <w:rsid w:val="36712FC0"/>
    <w:rsid w:val="3676374D"/>
    <w:rsid w:val="36794FEB"/>
    <w:rsid w:val="36806379"/>
    <w:rsid w:val="368340BC"/>
    <w:rsid w:val="36851BE2"/>
    <w:rsid w:val="36910587"/>
    <w:rsid w:val="36A77DAA"/>
    <w:rsid w:val="36BA0F57"/>
    <w:rsid w:val="36C4095C"/>
    <w:rsid w:val="36C83AF0"/>
    <w:rsid w:val="36C97D20"/>
    <w:rsid w:val="36CC7811"/>
    <w:rsid w:val="36CE5337"/>
    <w:rsid w:val="36E27034"/>
    <w:rsid w:val="36E7464B"/>
    <w:rsid w:val="36EF34FF"/>
    <w:rsid w:val="36F079A3"/>
    <w:rsid w:val="36F17277"/>
    <w:rsid w:val="36F256C2"/>
    <w:rsid w:val="36F56D67"/>
    <w:rsid w:val="36FF1994"/>
    <w:rsid w:val="37054AD1"/>
    <w:rsid w:val="3709636F"/>
    <w:rsid w:val="370A30AE"/>
    <w:rsid w:val="37123142"/>
    <w:rsid w:val="371A057C"/>
    <w:rsid w:val="371A4A20"/>
    <w:rsid w:val="371B42F4"/>
    <w:rsid w:val="371B60A2"/>
    <w:rsid w:val="371D006C"/>
    <w:rsid w:val="37297C4A"/>
    <w:rsid w:val="37377380"/>
    <w:rsid w:val="373A0C1E"/>
    <w:rsid w:val="37425D25"/>
    <w:rsid w:val="37473FEE"/>
    <w:rsid w:val="375021F0"/>
    <w:rsid w:val="375445E4"/>
    <w:rsid w:val="376637C1"/>
    <w:rsid w:val="37691503"/>
    <w:rsid w:val="376964D6"/>
    <w:rsid w:val="37700B05"/>
    <w:rsid w:val="377F4883"/>
    <w:rsid w:val="3781684D"/>
    <w:rsid w:val="378D71CC"/>
    <w:rsid w:val="37904CE2"/>
    <w:rsid w:val="37955E55"/>
    <w:rsid w:val="37971BCD"/>
    <w:rsid w:val="37991DE9"/>
    <w:rsid w:val="379A790F"/>
    <w:rsid w:val="379C0110"/>
    <w:rsid w:val="379C3619"/>
    <w:rsid w:val="379E11AD"/>
    <w:rsid w:val="37A61E10"/>
    <w:rsid w:val="37BC5AD7"/>
    <w:rsid w:val="37BF1123"/>
    <w:rsid w:val="37C36E66"/>
    <w:rsid w:val="37C4498C"/>
    <w:rsid w:val="37C8622A"/>
    <w:rsid w:val="37CA01F4"/>
    <w:rsid w:val="37D01583"/>
    <w:rsid w:val="37D90437"/>
    <w:rsid w:val="37E255C0"/>
    <w:rsid w:val="37F60FE9"/>
    <w:rsid w:val="37FF59C4"/>
    <w:rsid w:val="38060B00"/>
    <w:rsid w:val="38082ACA"/>
    <w:rsid w:val="380A4A95"/>
    <w:rsid w:val="3810372D"/>
    <w:rsid w:val="38170F5F"/>
    <w:rsid w:val="38184EF1"/>
    <w:rsid w:val="381C47C8"/>
    <w:rsid w:val="38284F1B"/>
    <w:rsid w:val="382B0567"/>
    <w:rsid w:val="38305B7D"/>
    <w:rsid w:val="3836588A"/>
    <w:rsid w:val="383B2EA0"/>
    <w:rsid w:val="38456A2F"/>
    <w:rsid w:val="384A2F51"/>
    <w:rsid w:val="384A6C3F"/>
    <w:rsid w:val="3851621F"/>
    <w:rsid w:val="385B0E4C"/>
    <w:rsid w:val="386341A5"/>
    <w:rsid w:val="386D5023"/>
    <w:rsid w:val="387243E8"/>
    <w:rsid w:val="38767A34"/>
    <w:rsid w:val="387B504A"/>
    <w:rsid w:val="387C3364"/>
    <w:rsid w:val="38807E5C"/>
    <w:rsid w:val="389B749B"/>
    <w:rsid w:val="38A30A45"/>
    <w:rsid w:val="38BB18EB"/>
    <w:rsid w:val="38C904AC"/>
    <w:rsid w:val="38CC73F3"/>
    <w:rsid w:val="38CE5AC2"/>
    <w:rsid w:val="38D155B2"/>
    <w:rsid w:val="38DB01DF"/>
    <w:rsid w:val="38DD3F57"/>
    <w:rsid w:val="38E075A3"/>
    <w:rsid w:val="38F65019"/>
    <w:rsid w:val="39070FD4"/>
    <w:rsid w:val="390E4110"/>
    <w:rsid w:val="3911775D"/>
    <w:rsid w:val="391334D5"/>
    <w:rsid w:val="392840E5"/>
    <w:rsid w:val="392A6A70"/>
    <w:rsid w:val="393D0552"/>
    <w:rsid w:val="393E6CDA"/>
    <w:rsid w:val="394713D0"/>
    <w:rsid w:val="39553AED"/>
    <w:rsid w:val="39557F91"/>
    <w:rsid w:val="395B66C1"/>
    <w:rsid w:val="395E3B0F"/>
    <w:rsid w:val="395F2BBE"/>
    <w:rsid w:val="396A50BF"/>
    <w:rsid w:val="396B7D50"/>
    <w:rsid w:val="39700927"/>
    <w:rsid w:val="397B107A"/>
    <w:rsid w:val="397F6DBC"/>
    <w:rsid w:val="39812320"/>
    <w:rsid w:val="39842625"/>
    <w:rsid w:val="3992056B"/>
    <w:rsid w:val="399A59A4"/>
    <w:rsid w:val="399E7355"/>
    <w:rsid w:val="399F2FBB"/>
    <w:rsid w:val="39A64349"/>
    <w:rsid w:val="39AD1B7B"/>
    <w:rsid w:val="39AE15AC"/>
    <w:rsid w:val="39B44AD7"/>
    <w:rsid w:val="39BC1DBE"/>
    <w:rsid w:val="39C66799"/>
    <w:rsid w:val="39E11825"/>
    <w:rsid w:val="39E218FD"/>
    <w:rsid w:val="39E3559D"/>
    <w:rsid w:val="39E83FB4"/>
    <w:rsid w:val="39FC21BB"/>
    <w:rsid w:val="3A153790"/>
    <w:rsid w:val="3A1E4827"/>
    <w:rsid w:val="3A1F11A7"/>
    <w:rsid w:val="3A231E3E"/>
    <w:rsid w:val="3A2B6F44"/>
    <w:rsid w:val="3A2E5D93"/>
    <w:rsid w:val="3A2F57A2"/>
    <w:rsid w:val="3A345DF9"/>
    <w:rsid w:val="3A3E27D3"/>
    <w:rsid w:val="3A437DEA"/>
    <w:rsid w:val="3A442CD2"/>
    <w:rsid w:val="3A465B2C"/>
    <w:rsid w:val="3A4678DA"/>
    <w:rsid w:val="3A4818A4"/>
    <w:rsid w:val="3A483652"/>
    <w:rsid w:val="3A4C2E2C"/>
    <w:rsid w:val="3A575643"/>
    <w:rsid w:val="3A612966"/>
    <w:rsid w:val="3A6A35C8"/>
    <w:rsid w:val="3A6D4E67"/>
    <w:rsid w:val="3A6F5083"/>
    <w:rsid w:val="3A712EB8"/>
    <w:rsid w:val="3A7F0825"/>
    <w:rsid w:val="3A802DEC"/>
    <w:rsid w:val="3A86575A"/>
    <w:rsid w:val="3AA70B09"/>
    <w:rsid w:val="3AAC1E33"/>
    <w:rsid w:val="3AAF36D1"/>
    <w:rsid w:val="3AB64A60"/>
    <w:rsid w:val="3AC058DE"/>
    <w:rsid w:val="3AC76C6D"/>
    <w:rsid w:val="3AC86541"/>
    <w:rsid w:val="3AC94052"/>
    <w:rsid w:val="3AD62A0C"/>
    <w:rsid w:val="3AD92F0E"/>
    <w:rsid w:val="3AD969A0"/>
    <w:rsid w:val="3AE8273F"/>
    <w:rsid w:val="3AEE41FA"/>
    <w:rsid w:val="3AEF3EC0"/>
    <w:rsid w:val="3AF37A62"/>
    <w:rsid w:val="3AF86E26"/>
    <w:rsid w:val="3B03709B"/>
    <w:rsid w:val="3B0A6B5A"/>
    <w:rsid w:val="3B0C0B24"/>
    <w:rsid w:val="3B115AB0"/>
    <w:rsid w:val="3B135A0E"/>
    <w:rsid w:val="3B286FE0"/>
    <w:rsid w:val="3B341FC1"/>
    <w:rsid w:val="3B343BD6"/>
    <w:rsid w:val="3B3955B9"/>
    <w:rsid w:val="3B3F2CA7"/>
    <w:rsid w:val="3B464036"/>
    <w:rsid w:val="3B4A51A8"/>
    <w:rsid w:val="3B567FF1"/>
    <w:rsid w:val="3B5F0C53"/>
    <w:rsid w:val="3B5F6EA5"/>
    <w:rsid w:val="3B643EB9"/>
    <w:rsid w:val="3B6B3A9C"/>
    <w:rsid w:val="3B6C511E"/>
    <w:rsid w:val="3B6F11E8"/>
    <w:rsid w:val="3B6F4C0F"/>
    <w:rsid w:val="3B732683"/>
    <w:rsid w:val="3B7F4E52"/>
    <w:rsid w:val="3B851216"/>
    <w:rsid w:val="3B894744"/>
    <w:rsid w:val="3B8B1A48"/>
    <w:rsid w:val="3B90705F"/>
    <w:rsid w:val="3B9823B7"/>
    <w:rsid w:val="3BA23236"/>
    <w:rsid w:val="3BA448B8"/>
    <w:rsid w:val="3BA7084C"/>
    <w:rsid w:val="3BA90120"/>
    <w:rsid w:val="3BAA5C47"/>
    <w:rsid w:val="3BAC0F6E"/>
    <w:rsid w:val="3BBD3BCC"/>
    <w:rsid w:val="3BD66A3C"/>
    <w:rsid w:val="3BDC04F6"/>
    <w:rsid w:val="3BDE40A0"/>
    <w:rsid w:val="3BDF7FE6"/>
    <w:rsid w:val="3BE64ED1"/>
    <w:rsid w:val="3BEB24E7"/>
    <w:rsid w:val="3BF33A92"/>
    <w:rsid w:val="3BF375EE"/>
    <w:rsid w:val="3BFD221A"/>
    <w:rsid w:val="3BFE66BE"/>
    <w:rsid w:val="3C1F03E3"/>
    <w:rsid w:val="3C2105FF"/>
    <w:rsid w:val="3C2974B3"/>
    <w:rsid w:val="3C306D0A"/>
    <w:rsid w:val="3C340332"/>
    <w:rsid w:val="3C4147FD"/>
    <w:rsid w:val="3C4165AB"/>
    <w:rsid w:val="3C4B11D8"/>
    <w:rsid w:val="3C4D4F50"/>
    <w:rsid w:val="3C531794"/>
    <w:rsid w:val="3C5462DE"/>
    <w:rsid w:val="3C54795B"/>
    <w:rsid w:val="3C552056"/>
    <w:rsid w:val="3C575DCE"/>
    <w:rsid w:val="3C5E0F0B"/>
    <w:rsid w:val="3C5F2ED5"/>
    <w:rsid w:val="3C671DDA"/>
    <w:rsid w:val="3C687483"/>
    <w:rsid w:val="3C6D114E"/>
    <w:rsid w:val="3C7050E2"/>
    <w:rsid w:val="3C7544A7"/>
    <w:rsid w:val="3C7A386B"/>
    <w:rsid w:val="3C850B8E"/>
    <w:rsid w:val="3C8B5A78"/>
    <w:rsid w:val="3C8D17F0"/>
    <w:rsid w:val="3C9C1A33"/>
    <w:rsid w:val="3CAD3C40"/>
    <w:rsid w:val="3CB5428E"/>
    <w:rsid w:val="3CB72D11"/>
    <w:rsid w:val="3CB925E5"/>
    <w:rsid w:val="3CBF0197"/>
    <w:rsid w:val="3CC316B6"/>
    <w:rsid w:val="3CC64D02"/>
    <w:rsid w:val="3CCC056A"/>
    <w:rsid w:val="3CCD7E3F"/>
    <w:rsid w:val="3CCE009F"/>
    <w:rsid w:val="3CD218F9"/>
    <w:rsid w:val="3CDF1048"/>
    <w:rsid w:val="3CF4361D"/>
    <w:rsid w:val="3CFD48FB"/>
    <w:rsid w:val="3D015D3A"/>
    <w:rsid w:val="3D084D63"/>
    <w:rsid w:val="3D0A4BEF"/>
    <w:rsid w:val="3D0B4A9A"/>
    <w:rsid w:val="3D143CBF"/>
    <w:rsid w:val="3D1B32A0"/>
    <w:rsid w:val="3D1D0DC6"/>
    <w:rsid w:val="3D1E68EC"/>
    <w:rsid w:val="3D2008B6"/>
    <w:rsid w:val="3D255ECD"/>
    <w:rsid w:val="3D271C45"/>
    <w:rsid w:val="3D2F4655"/>
    <w:rsid w:val="3D3103CE"/>
    <w:rsid w:val="3D393726"/>
    <w:rsid w:val="3D40208C"/>
    <w:rsid w:val="3D406863"/>
    <w:rsid w:val="3D420A8C"/>
    <w:rsid w:val="3D4617B5"/>
    <w:rsid w:val="3D4C17A1"/>
    <w:rsid w:val="3D517AA3"/>
    <w:rsid w:val="3D5D7415"/>
    <w:rsid w:val="3D624A2B"/>
    <w:rsid w:val="3D632551"/>
    <w:rsid w:val="3D695DB9"/>
    <w:rsid w:val="3D8E3A72"/>
    <w:rsid w:val="3D926193"/>
    <w:rsid w:val="3DA349DC"/>
    <w:rsid w:val="3DAC214A"/>
    <w:rsid w:val="3DBF00CF"/>
    <w:rsid w:val="3DCB0822"/>
    <w:rsid w:val="3DCC00F6"/>
    <w:rsid w:val="3DD0408A"/>
    <w:rsid w:val="3DD1570D"/>
    <w:rsid w:val="3DDF607B"/>
    <w:rsid w:val="3DE511B8"/>
    <w:rsid w:val="3DE74F30"/>
    <w:rsid w:val="3DF37D79"/>
    <w:rsid w:val="3DF633C5"/>
    <w:rsid w:val="3E043D34"/>
    <w:rsid w:val="3E0E4BB3"/>
    <w:rsid w:val="3E0F5C92"/>
    <w:rsid w:val="3E10092B"/>
    <w:rsid w:val="3E103D4A"/>
    <w:rsid w:val="3E155F41"/>
    <w:rsid w:val="3E171CB9"/>
    <w:rsid w:val="3E23065E"/>
    <w:rsid w:val="3E2972F7"/>
    <w:rsid w:val="3E2D5039"/>
    <w:rsid w:val="3E3363C7"/>
    <w:rsid w:val="3E3457B0"/>
    <w:rsid w:val="3E3E45AC"/>
    <w:rsid w:val="3E3F2FBE"/>
    <w:rsid w:val="3E46434D"/>
    <w:rsid w:val="3E4660FB"/>
    <w:rsid w:val="3E483C21"/>
    <w:rsid w:val="3E4E3201"/>
    <w:rsid w:val="3E546A69"/>
    <w:rsid w:val="3E630A5B"/>
    <w:rsid w:val="3E75078E"/>
    <w:rsid w:val="3E7964D0"/>
    <w:rsid w:val="3E7A2248"/>
    <w:rsid w:val="3E7E5894"/>
    <w:rsid w:val="3E8135D7"/>
    <w:rsid w:val="3E894239"/>
    <w:rsid w:val="3E8F7AA2"/>
    <w:rsid w:val="3E921340"/>
    <w:rsid w:val="3E9753EA"/>
    <w:rsid w:val="3E976956"/>
    <w:rsid w:val="3E9948D1"/>
    <w:rsid w:val="3EA67372"/>
    <w:rsid w:val="3EB219E2"/>
    <w:rsid w:val="3EB2246F"/>
    <w:rsid w:val="3EBB0897"/>
    <w:rsid w:val="3EC23D57"/>
    <w:rsid w:val="3ECA0ADA"/>
    <w:rsid w:val="3ED01E68"/>
    <w:rsid w:val="3ED731F7"/>
    <w:rsid w:val="3ED951C1"/>
    <w:rsid w:val="3ED96F6F"/>
    <w:rsid w:val="3EE41CB3"/>
    <w:rsid w:val="3EEB0A50"/>
    <w:rsid w:val="3EF1250A"/>
    <w:rsid w:val="3EF26282"/>
    <w:rsid w:val="3EF63FC3"/>
    <w:rsid w:val="3EFB0C93"/>
    <w:rsid w:val="3F055FB6"/>
    <w:rsid w:val="3F0B2EA0"/>
    <w:rsid w:val="3F15211D"/>
    <w:rsid w:val="3F1B30E3"/>
    <w:rsid w:val="3F2301EA"/>
    <w:rsid w:val="3F277CDA"/>
    <w:rsid w:val="3F2D72BA"/>
    <w:rsid w:val="3F3E3276"/>
    <w:rsid w:val="3F43088C"/>
    <w:rsid w:val="3F577E93"/>
    <w:rsid w:val="3F584337"/>
    <w:rsid w:val="3F5C54AA"/>
    <w:rsid w:val="3F5E71A0"/>
    <w:rsid w:val="3F636838"/>
    <w:rsid w:val="3F6820A1"/>
    <w:rsid w:val="3F6F1681"/>
    <w:rsid w:val="3F744EE9"/>
    <w:rsid w:val="3F7F3F6B"/>
    <w:rsid w:val="3F823162"/>
    <w:rsid w:val="3F987CCF"/>
    <w:rsid w:val="3FA4132B"/>
    <w:rsid w:val="3FAA346A"/>
    <w:rsid w:val="3FAB317E"/>
    <w:rsid w:val="3FB13A48"/>
    <w:rsid w:val="3FB70487"/>
    <w:rsid w:val="3FB715CA"/>
    <w:rsid w:val="3FBD063E"/>
    <w:rsid w:val="3FBF43B6"/>
    <w:rsid w:val="3FC7326B"/>
    <w:rsid w:val="3FCE0156"/>
    <w:rsid w:val="3FDA2F9E"/>
    <w:rsid w:val="3FE327A2"/>
    <w:rsid w:val="3FEE25A6"/>
    <w:rsid w:val="3FF112A1"/>
    <w:rsid w:val="3FF51B86"/>
    <w:rsid w:val="3FFA719D"/>
    <w:rsid w:val="400E2C48"/>
    <w:rsid w:val="40185137"/>
    <w:rsid w:val="40273D0A"/>
    <w:rsid w:val="40381A73"/>
    <w:rsid w:val="403A1C8F"/>
    <w:rsid w:val="4044604D"/>
    <w:rsid w:val="404B5C4A"/>
    <w:rsid w:val="40602185"/>
    <w:rsid w:val="406867FC"/>
    <w:rsid w:val="406D3C7A"/>
    <w:rsid w:val="408A49C4"/>
    <w:rsid w:val="408D0A8F"/>
    <w:rsid w:val="4092048B"/>
    <w:rsid w:val="4093139F"/>
    <w:rsid w:val="40972C3D"/>
    <w:rsid w:val="40A40A49"/>
    <w:rsid w:val="40A9471F"/>
    <w:rsid w:val="40B02584"/>
    <w:rsid w:val="40B97058"/>
    <w:rsid w:val="40C854ED"/>
    <w:rsid w:val="40CF687B"/>
    <w:rsid w:val="40D21EC7"/>
    <w:rsid w:val="40DD4529"/>
    <w:rsid w:val="40F63E08"/>
    <w:rsid w:val="40FC5196"/>
    <w:rsid w:val="4100366D"/>
    <w:rsid w:val="41004C87"/>
    <w:rsid w:val="41061B71"/>
    <w:rsid w:val="410B7187"/>
    <w:rsid w:val="410D4CAE"/>
    <w:rsid w:val="41140732"/>
    <w:rsid w:val="41175B2C"/>
    <w:rsid w:val="412A1D04"/>
    <w:rsid w:val="41395AA3"/>
    <w:rsid w:val="41410DFB"/>
    <w:rsid w:val="41474664"/>
    <w:rsid w:val="414920DE"/>
    <w:rsid w:val="414D59F2"/>
    <w:rsid w:val="41523008"/>
    <w:rsid w:val="4154708C"/>
    <w:rsid w:val="41550B18"/>
    <w:rsid w:val="4163514C"/>
    <w:rsid w:val="41670862"/>
    <w:rsid w:val="416845DA"/>
    <w:rsid w:val="417B60BB"/>
    <w:rsid w:val="41847666"/>
    <w:rsid w:val="41994793"/>
    <w:rsid w:val="419D24D5"/>
    <w:rsid w:val="41A575DC"/>
    <w:rsid w:val="41AE46E3"/>
    <w:rsid w:val="41B4781F"/>
    <w:rsid w:val="41B617E9"/>
    <w:rsid w:val="41BD63B5"/>
    <w:rsid w:val="41C37A62"/>
    <w:rsid w:val="41C8610E"/>
    <w:rsid w:val="41CC4B69"/>
    <w:rsid w:val="41D349E5"/>
    <w:rsid w:val="41D8350E"/>
    <w:rsid w:val="41DA54D8"/>
    <w:rsid w:val="41E371A6"/>
    <w:rsid w:val="41EF0857"/>
    <w:rsid w:val="41F45E6E"/>
    <w:rsid w:val="41F83BB0"/>
    <w:rsid w:val="4206324A"/>
    <w:rsid w:val="42097B6B"/>
    <w:rsid w:val="420E561A"/>
    <w:rsid w:val="4214206C"/>
    <w:rsid w:val="42154762"/>
    <w:rsid w:val="42186000"/>
    <w:rsid w:val="421A58D4"/>
    <w:rsid w:val="421B164C"/>
    <w:rsid w:val="42274495"/>
    <w:rsid w:val="422C1AAB"/>
    <w:rsid w:val="42336996"/>
    <w:rsid w:val="42350960"/>
    <w:rsid w:val="423821FE"/>
    <w:rsid w:val="423A41C8"/>
    <w:rsid w:val="424B5BA7"/>
    <w:rsid w:val="425B7C9B"/>
    <w:rsid w:val="425F778B"/>
    <w:rsid w:val="42664FBD"/>
    <w:rsid w:val="426E45CA"/>
    <w:rsid w:val="42845443"/>
    <w:rsid w:val="42870A90"/>
    <w:rsid w:val="428B0580"/>
    <w:rsid w:val="4292190E"/>
    <w:rsid w:val="42945242"/>
    <w:rsid w:val="429733C9"/>
    <w:rsid w:val="42982C9D"/>
    <w:rsid w:val="429D02B3"/>
    <w:rsid w:val="429E4757"/>
    <w:rsid w:val="42A72EE0"/>
    <w:rsid w:val="42AE24C0"/>
    <w:rsid w:val="42B01A80"/>
    <w:rsid w:val="42B16343"/>
    <w:rsid w:val="42B51AA1"/>
    <w:rsid w:val="42B540C6"/>
    <w:rsid w:val="42B555FD"/>
    <w:rsid w:val="42BD444E"/>
    <w:rsid w:val="42C03903"/>
    <w:rsid w:val="42C07441"/>
    <w:rsid w:val="42C570E7"/>
    <w:rsid w:val="42D53EF1"/>
    <w:rsid w:val="42E06C9A"/>
    <w:rsid w:val="42E47C90"/>
    <w:rsid w:val="42FF2D1C"/>
    <w:rsid w:val="430304C2"/>
    <w:rsid w:val="43124DBF"/>
    <w:rsid w:val="43195B8C"/>
    <w:rsid w:val="431D03AC"/>
    <w:rsid w:val="43267EE9"/>
    <w:rsid w:val="43305EF3"/>
    <w:rsid w:val="43362BE2"/>
    <w:rsid w:val="43370708"/>
    <w:rsid w:val="43411BCB"/>
    <w:rsid w:val="434F5A51"/>
    <w:rsid w:val="435117C9"/>
    <w:rsid w:val="435C4BA0"/>
    <w:rsid w:val="436239D7"/>
    <w:rsid w:val="437159C8"/>
    <w:rsid w:val="4373005F"/>
    <w:rsid w:val="43747266"/>
    <w:rsid w:val="43770B04"/>
    <w:rsid w:val="437E00E5"/>
    <w:rsid w:val="438020AF"/>
    <w:rsid w:val="43911BC6"/>
    <w:rsid w:val="43AA0EDA"/>
    <w:rsid w:val="43BF2BD7"/>
    <w:rsid w:val="43CA50D8"/>
    <w:rsid w:val="43CD4BC8"/>
    <w:rsid w:val="43DD12AF"/>
    <w:rsid w:val="43EA39CC"/>
    <w:rsid w:val="43F32881"/>
    <w:rsid w:val="43F80BBA"/>
    <w:rsid w:val="43FD54AD"/>
    <w:rsid w:val="44114AB5"/>
    <w:rsid w:val="44176434"/>
    <w:rsid w:val="44184095"/>
    <w:rsid w:val="441A605F"/>
    <w:rsid w:val="441B5933"/>
    <w:rsid w:val="442326F2"/>
    <w:rsid w:val="442418FE"/>
    <w:rsid w:val="442E1B0B"/>
    <w:rsid w:val="4435497C"/>
    <w:rsid w:val="44354C47"/>
    <w:rsid w:val="443864E5"/>
    <w:rsid w:val="44507CD3"/>
    <w:rsid w:val="445175A7"/>
    <w:rsid w:val="44586B88"/>
    <w:rsid w:val="445A2900"/>
    <w:rsid w:val="445F1CC4"/>
    <w:rsid w:val="44623562"/>
    <w:rsid w:val="44670B79"/>
    <w:rsid w:val="446B0669"/>
    <w:rsid w:val="4475773A"/>
    <w:rsid w:val="44781DAA"/>
    <w:rsid w:val="44797A17"/>
    <w:rsid w:val="447C0AC8"/>
    <w:rsid w:val="44913E48"/>
    <w:rsid w:val="4493196E"/>
    <w:rsid w:val="449B0822"/>
    <w:rsid w:val="449F47B6"/>
    <w:rsid w:val="44A1052F"/>
    <w:rsid w:val="44AE0556"/>
    <w:rsid w:val="44C22253"/>
    <w:rsid w:val="44C905EA"/>
    <w:rsid w:val="44C9249B"/>
    <w:rsid w:val="44CA357E"/>
    <w:rsid w:val="44D601C9"/>
    <w:rsid w:val="44DF4BB3"/>
    <w:rsid w:val="44E4041B"/>
    <w:rsid w:val="44E64193"/>
    <w:rsid w:val="44E73A68"/>
    <w:rsid w:val="44ED72D0"/>
    <w:rsid w:val="44EE129A"/>
    <w:rsid w:val="44EE3048"/>
    <w:rsid w:val="44F3240C"/>
    <w:rsid w:val="44F763A1"/>
    <w:rsid w:val="44F87A23"/>
    <w:rsid w:val="45062140"/>
    <w:rsid w:val="45080386"/>
    <w:rsid w:val="450D7972"/>
    <w:rsid w:val="453C3DB3"/>
    <w:rsid w:val="453F38A4"/>
    <w:rsid w:val="45500BC7"/>
    <w:rsid w:val="455410FD"/>
    <w:rsid w:val="455B692F"/>
    <w:rsid w:val="455C26A8"/>
    <w:rsid w:val="455E3D2A"/>
    <w:rsid w:val="456926CF"/>
    <w:rsid w:val="456B6447"/>
    <w:rsid w:val="4574354D"/>
    <w:rsid w:val="457B2B2E"/>
    <w:rsid w:val="45806396"/>
    <w:rsid w:val="45813EBC"/>
    <w:rsid w:val="45815C6A"/>
    <w:rsid w:val="4587776E"/>
    <w:rsid w:val="458C734E"/>
    <w:rsid w:val="459040FF"/>
    <w:rsid w:val="459E681C"/>
    <w:rsid w:val="45A51959"/>
    <w:rsid w:val="45A858ED"/>
    <w:rsid w:val="45AD2F03"/>
    <w:rsid w:val="45B55914"/>
    <w:rsid w:val="45B63B66"/>
    <w:rsid w:val="45C85647"/>
    <w:rsid w:val="45CF460B"/>
    <w:rsid w:val="45D91256"/>
    <w:rsid w:val="45DB537A"/>
    <w:rsid w:val="45E27E1E"/>
    <w:rsid w:val="45EC3A2B"/>
    <w:rsid w:val="45F823D0"/>
    <w:rsid w:val="45F96148"/>
    <w:rsid w:val="45FB3C6E"/>
    <w:rsid w:val="45FF375F"/>
    <w:rsid w:val="46115240"/>
    <w:rsid w:val="46116FEE"/>
    <w:rsid w:val="46142700"/>
    <w:rsid w:val="461D5993"/>
    <w:rsid w:val="46207231"/>
    <w:rsid w:val="46217C1A"/>
    <w:rsid w:val="462431C5"/>
    <w:rsid w:val="46284338"/>
    <w:rsid w:val="462C02CC"/>
    <w:rsid w:val="46325A3D"/>
    <w:rsid w:val="46366A55"/>
    <w:rsid w:val="463E3B5B"/>
    <w:rsid w:val="46492C2C"/>
    <w:rsid w:val="465869CB"/>
    <w:rsid w:val="46592743"/>
    <w:rsid w:val="46647A66"/>
    <w:rsid w:val="4667014E"/>
    <w:rsid w:val="467B090B"/>
    <w:rsid w:val="46853538"/>
    <w:rsid w:val="4685487C"/>
    <w:rsid w:val="46933EA7"/>
    <w:rsid w:val="469D6AD4"/>
    <w:rsid w:val="46A14816"/>
    <w:rsid w:val="46A63BDA"/>
    <w:rsid w:val="46AE0CE1"/>
    <w:rsid w:val="46B11F94"/>
    <w:rsid w:val="46BC1650"/>
    <w:rsid w:val="46BD2CD2"/>
    <w:rsid w:val="46C202E8"/>
    <w:rsid w:val="46C95B1B"/>
    <w:rsid w:val="46D30747"/>
    <w:rsid w:val="46DC3AA0"/>
    <w:rsid w:val="46DC75FC"/>
    <w:rsid w:val="46FA5CD4"/>
    <w:rsid w:val="4703102D"/>
    <w:rsid w:val="470316C4"/>
    <w:rsid w:val="470E368E"/>
    <w:rsid w:val="47283579"/>
    <w:rsid w:val="472D42FC"/>
    <w:rsid w:val="472E3DA6"/>
    <w:rsid w:val="472F07E4"/>
    <w:rsid w:val="473A07C7"/>
    <w:rsid w:val="47460E77"/>
    <w:rsid w:val="474A5206"/>
    <w:rsid w:val="474D04FA"/>
    <w:rsid w:val="474D22A8"/>
    <w:rsid w:val="474D4056"/>
    <w:rsid w:val="475064D9"/>
    <w:rsid w:val="47580F9C"/>
    <w:rsid w:val="47590C4D"/>
    <w:rsid w:val="475E2707"/>
    <w:rsid w:val="475F1FDB"/>
    <w:rsid w:val="476E61BD"/>
    <w:rsid w:val="476F66C2"/>
    <w:rsid w:val="477631E0"/>
    <w:rsid w:val="477B5067"/>
    <w:rsid w:val="479B74B7"/>
    <w:rsid w:val="47A45C40"/>
    <w:rsid w:val="47A65E5C"/>
    <w:rsid w:val="47AC7367"/>
    <w:rsid w:val="47AD6319"/>
    <w:rsid w:val="47BA5BC1"/>
    <w:rsid w:val="47C7285C"/>
    <w:rsid w:val="47D83241"/>
    <w:rsid w:val="47E80223"/>
    <w:rsid w:val="47EA5D49"/>
    <w:rsid w:val="47ED3A8B"/>
    <w:rsid w:val="47F07522"/>
    <w:rsid w:val="48084421"/>
    <w:rsid w:val="480C69CA"/>
    <w:rsid w:val="480E5EDB"/>
    <w:rsid w:val="481827E8"/>
    <w:rsid w:val="48270D4B"/>
    <w:rsid w:val="482C0320"/>
    <w:rsid w:val="4832149E"/>
    <w:rsid w:val="48396CD0"/>
    <w:rsid w:val="484216E1"/>
    <w:rsid w:val="4847319B"/>
    <w:rsid w:val="484D62D8"/>
    <w:rsid w:val="485458B8"/>
    <w:rsid w:val="485F6737"/>
    <w:rsid w:val="4868251F"/>
    <w:rsid w:val="487519F9"/>
    <w:rsid w:val="487D6BBD"/>
    <w:rsid w:val="487F2935"/>
    <w:rsid w:val="48873598"/>
    <w:rsid w:val="48897310"/>
    <w:rsid w:val="488C32A4"/>
    <w:rsid w:val="488E2B78"/>
    <w:rsid w:val="488E4926"/>
    <w:rsid w:val="489108BA"/>
    <w:rsid w:val="48931F3C"/>
    <w:rsid w:val="48965ED0"/>
    <w:rsid w:val="48981C49"/>
    <w:rsid w:val="489839F7"/>
    <w:rsid w:val="489A776F"/>
    <w:rsid w:val="489F6B33"/>
    <w:rsid w:val="48A467BB"/>
    <w:rsid w:val="48A759E8"/>
    <w:rsid w:val="48A91760"/>
    <w:rsid w:val="48A95C04"/>
    <w:rsid w:val="48AA54D8"/>
    <w:rsid w:val="48B431F6"/>
    <w:rsid w:val="48B87BF5"/>
    <w:rsid w:val="48BF5427"/>
    <w:rsid w:val="48D82045"/>
    <w:rsid w:val="48DD765B"/>
    <w:rsid w:val="48DF1625"/>
    <w:rsid w:val="48E7655B"/>
    <w:rsid w:val="48E85B1A"/>
    <w:rsid w:val="48F350D1"/>
    <w:rsid w:val="48FB5D34"/>
    <w:rsid w:val="49027E2A"/>
    <w:rsid w:val="49064E04"/>
    <w:rsid w:val="491D5CAA"/>
    <w:rsid w:val="49276B29"/>
    <w:rsid w:val="49316623"/>
    <w:rsid w:val="49347AA6"/>
    <w:rsid w:val="49351245"/>
    <w:rsid w:val="49425710"/>
    <w:rsid w:val="494D67E4"/>
    <w:rsid w:val="495E079C"/>
    <w:rsid w:val="495E69EE"/>
    <w:rsid w:val="496164DE"/>
    <w:rsid w:val="496D392E"/>
    <w:rsid w:val="496D6C31"/>
    <w:rsid w:val="496E603D"/>
    <w:rsid w:val="497F756E"/>
    <w:rsid w:val="49861AA1"/>
    <w:rsid w:val="498A77E3"/>
    <w:rsid w:val="498E7313"/>
    <w:rsid w:val="499441BE"/>
    <w:rsid w:val="499A72FA"/>
    <w:rsid w:val="499B629D"/>
    <w:rsid w:val="49A07007"/>
    <w:rsid w:val="49A81A17"/>
    <w:rsid w:val="49AB59AC"/>
    <w:rsid w:val="49B44860"/>
    <w:rsid w:val="49BB5BEF"/>
    <w:rsid w:val="49C83E68"/>
    <w:rsid w:val="49D767A1"/>
    <w:rsid w:val="49E1317B"/>
    <w:rsid w:val="49E16015"/>
    <w:rsid w:val="49EB7B56"/>
    <w:rsid w:val="49EC5A88"/>
    <w:rsid w:val="49F44C5D"/>
    <w:rsid w:val="4A037596"/>
    <w:rsid w:val="4A0550BC"/>
    <w:rsid w:val="4A0A4F59"/>
    <w:rsid w:val="4A0A5885"/>
    <w:rsid w:val="4A11777E"/>
    <w:rsid w:val="4A1946C3"/>
    <w:rsid w:val="4A225C6E"/>
    <w:rsid w:val="4A2319E6"/>
    <w:rsid w:val="4A452632"/>
    <w:rsid w:val="4A4C6847"/>
    <w:rsid w:val="4A6C6EE9"/>
    <w:rsid w:val="4A6D4C29"/>
    <w:rsid w:val="4A742241"/>
    <w:rsid w:val="4A783AE0"/>
    <w:rsid w:val="4A8561FD"/>
    <w:rsid w:val="4A867782"/>
    <w:rsid w:val="4A8A7B5A"/>
    <w:rsid w:val="4A8B64A2"/>
    <w:rsid w:val="4A954692"/>
    <w:rsid w:val="4A9E2E1A"/>
    <w:rsid w:val="4AA30431"/>
    <w:rsid w:val="4AA77F21"/>
    <w:rsid w:val="4AB8212E"/>
    <w:rsid w:val="4AB83EDC"/>
    <w:rsid w:val="4AC40AD3"/>
    <w:rsid w:val="4AC45952"/>
    <w:rsid w:val="4AC5484B"/>
    <w:rsid w:val="4ACF7478"/>
    <w:rsid w:val="4AD66A58"/>
    <w:rsid w:val="4AE03433"/>
    <w:rsid w:val="4AE65862"/>
    <w:rsid w:val="4AEC627C"/>
    <w:rsid w:val="4AF84C20"/>
    <w:rsid w:val="4B0435C5"/>
    <w:rsid w:val="4B0709C0"/>
    <w:rsid w:val="4B073A5C"/>
    <w:rsid w:val="4B0C4228"/>
    <w:rsid w:val="4B257098"/>
    <w:rsid w:val="4B272E10"/>
    <w:rsid w:val="4B2C0426"/>
    <w:rsid w:val="4B387880"/>
    <w:rsid w:val="4B3C4B0D"/>
    <w:rsid w:val="4B412124"/>
    <w:rsid w:val="4B44760D"/>
    <w:rsid w:val="4B4B11F4"/>
    <w:rsid w:val="4B5C5D27"/>
    <w:rsid w:val="4B5E326D"/>
    <w:rsid w:val="4B5F07FC"/>
    <w:rsid w:val="4B645E12"/>
    <w:rsid w:val="4B666BB6"/>
    <w:rsid w:val="4B7122DD"/>
    <w:rsid w:val="4B7324F9"/>
    <w:rsid w:val="4B7879A9"/>
    <w:rsid w:val="4B7A5635"/>
    <w:rsid w:val="4B7C7600"/>
    <w:rsid w:val="4B8244EA"/>
    <w:rsid w:val="4B840ACD"/>
    <w:rsid w:val="4B865D88"/>
    <w:rsid w:val="4B887D52"/>
    <w:rsid w:val="4B8C42AD"/>
    <w:rsid w:val="4B8D691A"/>
    <w:rsid w:val="4B8E10E1"/>
    <w:rsid w:val="4B920F18"/>
    <w:rsid w:val="4B9506C1"/>
    <w:rsid w:val="4BA06E54"/>
    <w:rsid w:val="4BA33AB6"/>
    <w:rsid w:val="4BB16CD5"/>
    <w:rsid w:val="4BB74194"/>
    <w:rsid w:val="4BBA1ED6"/>
    <w:rsid w:val="4BBF2155"/>
    <w:rsid w:val="4BC13264"/>
    <w:rsid w:val="4BC44B03"/>
    <w:rsid w:val="4BC51F60"/>
    <w:rsid w:val="4BC83ABB"/>
    <w:rsid w:val="4BCE14DD"/>
    <w:rsid w:val="4BCF5981"/>
    <w:rsid w:val="4BD2475B"/>
    <w:rsid w:val="4BD9235C"/>
    <w:rsid w:val="4BDE7972"/>
    <w:rsid w:val="4BDF193C"/>
    <w:rsid w:val="4BE86A43"/>
    <w:rsid w:val="4BF72474"/>
    <w:rsid w:val="4BF7632A"/>
    <w:rsid w:val="4C013661"/>
    <w:rsid w:val="4C0249A2"/>
    <w:rsid w:val="4C036742"/>
    <w:rsid w:val="4C043151"/>
    <w:rsid w:val="4C082C41"/>
    <w:rsid w:val="4C194605"/>
    <w:rsid w:val="4C1E4213"/>
    <w:rsid w:val="4C285091"/>
    <w:rsid w:val="4C2A0E0A"/>
    <w:rsid w:val="4C2B6930"/>
    <w:rsid w:val="4C2E5AE5"/>
    <w:rsid w:val="4C303F46"/>
    <w:rsid w:val="4C325B6E"/>
    <w:rsid w:val="4C3D6D8F"/>
    <w:rsid w:val="4C4023DB"/>
    <w:rsid w:val="4C4243A5"/>
    <w:rsid w:val="4C4A5008"/>
    <w:rsid w:val="4C4F0B45"/>
    <w:rsid w:val="4C516396"/>
    <w:rsid w:val="4C5365B2"/>
    <w:rsid w:val="4C5C5856"/>
    <w:rsid w:val="4C765DFD"/>
    <w:rsid w:val="4C7C718B"/>
    <w:rsid w:val="4C7D362F"/>
    <w:rsid w:val="4C7E1155"/>
    <w:rsid w:val="4C891FD4"/>
    <w:rsid w:val="4C8F6EBF"/>
    <w:rsid w:val="4C997D3D"/>
    <w:rsid w:val="4C9B3AB5"/>
    <w:rsid w:val="4C9E2EFD"/>
    <w:rsid w:val="4CA3296A"/>
    <w:rsid w:val="4CA94424"/>
    <w:rsid w:val="4CAC7A71"/>
    <w:rsid w:val="4CB608EF"/>
    <w:rsid w:val="4CB6269D"/>
    <w:rsid w:val="4CBB7CB4"/>
    <w:rsid w:val="4CCE5C39"/>
    <w:rsid w:val="4CDD7C2A"/>
    <w:rsid w:val="4CE0771A"/>
    <w:rsid w:val="4CE865CF"/>
    <w:rsid w:val="4CF3569F"/>
    <w:rsid w:val="4CF60CEC"/>
    <w:rsid w:val="4CF907DC"/>
    <w:rsid w:val="4CFB09F8"/>
    <w:rsid w:val="4CFB4554"/>
    <w:rsid w:val="4D023B34"/>
    <w:rsid w:val="4D122BF3"/>
    <w:rsid w:val="4D151ABA"/>
    <w:rsid w:val="4D2910C1"/>
    <w:rsid w:val="4D2E0486"/>
    <w:rsid w:val="4D3857A8"/>
    <w:rsid w:val="4D4B7289"/>
    <w:rsid w:val="4D4E0B28"/>
    <w:rsid w:val="4D502AF2"/>
    <w:rsid w:val="4D52686A"/>
    <w:rsid w:val="4D53256B"/>
    <w:rsid w:val="4D5325E2"/>
    <w:rsid w:val="4D5D6FBD"/>
    <w:rsid w:val="4D5F4AE3"/>
    <w:rsid w:val="4D677E3B"/>
    <w:rsid w:val="4D7367E0"/>
    <w:rsid w:val="4D7560B4"/>
    <w:rsid w:val="4D782049"/>
    <w:rsid w:val="4D783DF7"/>
    <w:rsid w:val="4D785BA5"/>
    <w:rsid w:val="4D7908B5"/>
    <w:rsid w:val="4D7E765F"/>
    <w:rsid w:val="4D8E7176"/>
    <w:rsid w:val="4D9C0BAD"/>
    <w:rsid w:val="4DA74A82"/>
    <w:rsid w:val="4DA969FC"/>
    <w:rsid w:val="4DB0533F"/>
    <w:rsid w:val="4DB43C7C"/>
    <w:rsid w:val="4DB73FDD"/>
    <w:rsid w:val="4DB90697"/>
    <w:rsid w:val="4DBF1A26"/>
    <w:rsid w:val="4DC24E7C"/>
    <w:rsid w:val="4DD3727F"/>
    <w:rsid w:val="4DD54DA5"/>
    <w:rsid w:val="4DD74FC1"/>
    <w:rsid w:val="4DF01BDF"/>
    <w:rsid w:val="4DF21D70"/>
    <w:rsid w:val="4DF96CE5"/>
    <w:rsid w:val="4DFF1E22"/>
    <w:rsid w:val="4E0833CC"/>
    <w:rsid w:val="4E296E9F"/>
    <w:rsid w:val="4E2A3343"/>
    <w:rsid w:val="4E2B0E69"/>
    <w:rsid w:val="4E3221F7"/>
    <w:rsid w:val="4E3917D8"/>
    <w:rsid w:val="4E3B70D2"/>
    <w:rsid w:val="4E3C3076"/>
    <w:rsid w:val="4E4C6838"/>
    <w:rsid w:val="4E5840C4"/>
    <w:rsid w:val="4E5C3A58"/>
    <w:rsid w:val="4E6879C7"/>
    <w:rsid w:val="4E6C395B"/>
    <w:rsid w:val="4E7E6B00"/>
    <w:rsid w:val="4E865AFC"/>
    <w:rsid w:val="4E965F62"/>
    <w:rsid w:val="4E9702AC"/>
    <w:rsid w:val="4E9B5FEF"/>
    <w:rsid w:val="4EA03605"/>
    <w:rsid w:val="4EA36C51"/>
    <w:rsid w:val="4EA76741"/>
    <w:rsid w:val="4EA85CCA"/>
    <w:rsid w:val="4EAA4484"/>
    <w:rsid w:val="4EAC01FC"/>
    <w:rsid w:val="4EB726FD"/>
    <w:rsid w:val="4EC015B1"/>
    <w:rsid w:val="4EC05A55"/>
    <w:rsid w:val="4EC07803"/>
    <w:rsid w:val="4EC15FC5"/>
    <w:rsid w:val="4EC54E1A"/>
    <w:rsid w:val="4ED35788"/>
    <w:rsid w:val="4ED65279"/>
    <w:rsid w:val="4ED67027"/>
    <w:rsid w:val="4ED80FF1"/>
    <w:rsid w:val="4EEF1E97"/>
    <w:rsid w:val="4EF43951"/>
    <w:rsid w:val="4F041DE6"/>
    <w:rsid w:val="4F066320"/>
    <w:rsid w:val="4F0C4606"/>
    <w:rsid w:val="4F1D6A04"/>
    <w:rsid w:val="4F2204BE"/>
    <w:rsid w:val="4F231B40"/>
    <w:rsid w:val="4F3D5624"/>
    <w:rsid w:val="4F3F4BCC"/>
    <w:rsid w:val="4F433668"/>
    <w:rsid w:val="4F440434"/>
    <w:rsid w:val="4F473A81"/>
    <w:rsid w:val="4F495A4B"/>
    <w:rsid w:val="4F4E6EBF"/>
    <w:rsid w:val="4F532425"/>
    <w:rsid w:val="4F5A7C58"/>
    <w:rsid w:val="4F5D5052"/>
    <w:rsid w:val="4F604B42"/>
    <w:rsid w:val="4F7A5C04"/>
    <w:rsid w:val="4F7D4C71"/>
    <w:rsid w:val="4F7F321A"/>
    <w:rsid w:val="4F816678"/>
    <w:rsid w:val="4F844CD5"/>
    <w:rsid w:val="4F8847C5"/>
    <w:rsid w:val="4F8E5B53"/>
    <w:rsid w:val="4F8E7901"/>
    <w:rsid w:val="4F9B5B7A"/>
    <w:rsid w:val="4FA47125"/>
    <w:rsid w:val="4FA62E9D"/>
    <w:rsid w:val="4FA80A1B"/>
    <w:rsid w:val="4FB8497E"/>
    <w:rsid w:val="4FBA075B"/>
    <w:rsid w:val="4FBE01E7"/>
    <w:rsid w:val="4FCA7073"/>
    <w:rsid w:val="4FD32054"/>
    <w:rsid w:val="4FD4168A"/>
    <w:rsid w:val="4FD55530"/>
    <w:rsid w:val="4FD73056"/>
    <w:rsid w:val="4FD87A55"/>
    <w:rsid w:val="4FE259E9"/>
    <w:rsid w:val="4FE47521"/>
    <w:rsid w:val="4FF21C3E"/>
    <w:rsid w:val="4FF84D7B"/>
    <w:rsid w:val="4FFA4F97"/>
    <w:rsid w:val="50067498"/>
    <w:rsid w:val="500677C4"/>
    <w:rsid w:val="50092961"/>
    <w:rsid w:val="501D7C2E"/>
    <w:rsid w:val="501E411E"/>
    <w:rsid w:val="501F0FAC"/>
    <w:rsid w:val="50355FCF"/>
    <w:rsid w:val="50506965"/>
    <w:rsid w:val="505521CD"/>
    <w:rsid w:val="50646C06"/>
    <w:rsid w:val="506568B4"/>
    <w:rsid w:val="50680152"/>
    <w:rsid w:val="506B0F50"/>
    <w:rsid w:val="50720FD1"/>
    <w:rsid w:val="50791F01"/>
    <w:rsid w:val="50827466"/>
    <w:rsid w:val="508B13F1"/>
    <w:rsid w:val="508B3E41"/>
    <w:rsid w:val="508F56DF"/>
    <w:rsid w:val="50963550"/>
    <w:rsid w:val="50B213CE"/>
    <w:rsid w:val="50BB64D4"/>
    <w:rsid w:val="50BD3A0A"/>
    <w:rsid w:val="50C07F8E"/>
    <w:rsid w:val="50C80BF1"/>
    <w:rsid w:val="50D2381E"/>
    <w:rsid w:val="50D43A3A"/>
    <w:rsid w:val="50D6330E"/>
    <w:rsid w:val="50D92DFE"/>
    <w:rsid w:val="50DB0924"/>
    <w:rsid w:val="50DC591D"/>
    <w:rsid w:val="50DE6667"/>
    <w:rsid w:val="50E64646"/>
    <w:rsid w:val="50EF43D0"/>
    <w:rsid w:val="5107796B"/>
    <w:rsid w:val="510B1E2B"/>
    <w:rsid w:val="510C31D4"/>
    <w:rsid w:val="510C6D30"/>
    <w:rsid w:val="51114346"/>
    <w:rsid w:val="5116315B"/>
    <w:rsid w:val="51257DF2"/>
    <w:rsid w:val="512C7508"/>
    <w:rsid w:val="51346287"/>
    <w:rsid w:val="51387B25"/>
    <w:rsid w:val="513E0EB3"/>
    <w:rsid w:val="514566E6"/>
    <w:rsid w:val="516923D4"/>
    <w:rsid w:val="516C77CE"/>
    <w:rsid w:val="51712AF7"/>
    <w:rsid w:val="51713037"/>
    <w:rsid w:val="51864D34"/>
    <w:rsid w:val="519A0C31"/>
    <w:rsid w:val="51A11B6E"/>
    <w:rsid w:val="51A927D1"/>
    <w:rsid w:val="51C15D6C"/>
    <w:rsid w:val="51C55131"/>
    <w:rsid w:val="51CD2963"/>
    <w:rsid w:val="51E23F34"/>
    <w:rsid w:val="51E41A5B"/>
    <w:rsid w:val="51E657D3"/>
    <w:rsid w:val="51E67581"/>
    <w:rsid w:val="51ED4DB3"/>
    <w:rsid w:val="51F26DD5"/>
    <w:rsid w:val="51F37EF0"/>
    <w:rsid w:val="51F658D7"/>
    <w:rsid w:val="51FE1D5B"/>
    <w:rsid w:val="520143BB"/>
    <w:rsid w:val="520774F7"/>
    <w:rsid w:val="520D0FB1"/>
    <w:rsid w:val="520E4D2A"/>
    <w:rsid w:val="52102850"/>
    <w:rsid w:val="521D6D1B"/>
    <w:rsid w:val="52262073"/>
    <w:rsid w:val="522B3583"/>
    <w:rsid w:val="522E2CD6"/>
    <w:rsid w:val="52321D93"/>
    <w:rsid w:val="523D26EA"/>
    <w:rsid w:val="523E73BD"/>
    <w:rsid w:val="523F4EE3"/>
    <w:rsid w:val="52420452"/>
    <w:rsid w:val="524A5FDD"/>
    <w:rsid w:val="524D7600"/>
    <w:rsid w:val="52533FC1"/>
    <w:rsid w:val="525741FD"/>
    <w:rsid w:val="52636E23"/>
    <w:rsid w:val="52650DED"/>
    <w:rsid w:val="526606C2"/>
    <w:rsid w:val="5268268C"/>
    <w:rsid w:val="526E7576"/>
    <w:rsid w:val="52773122"/>
    <w:rsid w:val="5277467D"/>
    <w:rsid w:val="527903F5"/>
    <w:rsid w:val="528374C6"/>
    <w:rsid w:val="528D3EA0"/>
    <w:rsid w:val="528F7C18"/>
    <w:rsid w:val="52923265"/>
    <w:rsid w:val="52990A97"/>
    <w:rsid w:val="52A116FA"/>
    <w:rsid w:val="52AB4326"/>
    <w:rsid w:val="52AF02BB"/>
    <w:rsid w:val="52B458D1"/>
    <w:rsid w:val="52B85DAB"/>
    <w:rsid w:val="52BC4786"/>
    <w:rsid w:val="52BC6534"/>
    <w:rsid w:val="52C11D9C"/>
    <w:rsid w:val="52C5363A"/>
    <w:rsid w:val="52C8137C"/>
    <w:rsid w:val="52DB4AD8"/>
    <w:rsid w:val="52ED0DE3"/>
    <w:rsid w:val="52EF6976"/>
    <w:rsid w:val="52F30FD8"/>
    <w:rsid w:val="52F73E08"/>
    <w:rsid w:val="52F7756C"/>
    <w:rsid w:val="53073C53"/>
    <w:rsid w:val="530973DA"/>
    <w:rsid w:val="530E3233"/>
    <w:rsid w:val="530F6FAB"/>
    <w:rsid w:val="5311687F"/>
    <w:rsid w:val="531620E8"/>
    <w:rsid w:val="5325057D"/>
    <w:rsid w:val="53334A48"/>
    <w:rsid w:val="53346A12"/>
    <w:rsid w:val="533E33EC"/>
    <w:rsid w:val="5349426B"/>
    <w:rsid w:val="53755060"/>
    <w:rsid w:val="537B019D"/>
    <w:rsid w:val="537C19BB"/>
    <w:rsid w:val="538C5F06"/>
    <w:rsid w:val="539D6365"/>
    <w:rsid w:val="53A452C5"/>
    <w:rsid w:val="53B86CFB"/>
    <w:rsid w:val="53BB70AD"/>
    <w:rsid w:val="53C04D73"/>
    <w:rsid w:val="53C42A66"/>
    <w:rsid w:val="53C75190"/>
    <w:rsid w:val="53D33B35"/>
    <w:rsid w:val="53D64D18"/>
    <w:rsid w:val="53DA43C4"/>
    <w:rsid w:val="53DA54B6"/>
    <w:rsid w:val="53DF072C"/>
    <w:rsid w:val="53E267AB"/>
    <w:rsid w:val="53EB70D0"/>
    <w:rsid w:val="53EE6BC1"/>
    <w:rsid w:val="53F1220D"/>
    <w:rsid w:val="53FD1061"/>
    <w:rsid w:val="53FF2B7C"/>
    <w:rsid w:val="54031C38"/>
    <w:rsid w:val="54041F40"/>
    <w:rsid w:val="541A1F8A"/>
    <w:rsid w:val="541B2763"/>
    <w:rsid w:val="54280325"/>
    <w:rsid w:val="542C1497"/>
    <w:rsid w:val="54336CC9"/>
    <w:rsid w:val="54370568"/>
    <w:rsid w:val="543C5B7E"/>
    <w:rsid w:val="54462559"/>
    <w:rsid w:val="544762D1"/>
    <w:rsid w:val="545A24A8"/>
    <w:rsid w:val="545B29F3"/>
    <w:rsid w:val="545D78A2"/>
    <w:rsid w:val="545F7ABE"/>
    <w:rsid w:val="546B1FBF"/>
    <w:rsid w:val="546D21DB"/>
    <w:rsid w:val="546D3F89"/>
    <w:rsid w:val="546E385E"/>
    <w:rsid w:val="54706F60"/>
    <w:rsid w:val="54815C87"/>
    <w:rsid w:val="54880DC3"/>
    <w:rsid w:val="548D0188"/>
    <w:rsid w:val="549332C4"/>
    <w:rsid w:val="549A28A4"/>
    <w:rsid w:val="549C486F"/>
    <w:rsid w:val="54A83213"/>
    <w:rsid w:val="54AB2D04"/>
    <w:rsid w:val="54B6568B"/>
    <w:rsid w:val="54B716A8"/>
    <w:rsid w:val="54BA4CF5"/>
    <w:rsid w:val="54C94F38"/>
    <w:rsid w:val="54D02C4B"/>
    <w:rsid w:val="54E81862"/>
    <w:rsid w:val="54F14BBA"/>
    <w:rsid w:val="55093E11"/>
    <w:rsid w:val="550D6F8B"/>
    <w:rsid w:val="55112B45"/>
    <w:rsid w:val="55175CA3"/>
    <w:rsid w:val="551B1C37"/>
    <w:rsid w:val="551D1A51"/>
    <w:rsid w:val="551D2366"/>
    <w:rsid w:val="55351206"/>
    <w:rsid w:val="553700F3"/>
    <w:rsid w:val="55384597"/>
    <w:rsid w:val="553920BD"/>
    <w:rsid w:val="553C2410"/>
    <w:rsid w:val="553E1482"/>
    <w:rsid w:val="553E76D4"/>
    <w:rsid w:val="55446DBE"/>
    <w:rsid w:val="55515659"/>
    <w:rsid w:val="55545149"/>
    <w:rsid w:val="555A589F"/>
    <w:rsid w:val="555E38D2"/>
    <w:rsid w:val="55653C63"/>
    <w:rsid w:val="556A2E62"/>
    <w:rsid w:val="556C4241"/>
    <w:rsid w:val="55747599"/>
    <w:rsid w:val="55794BB0"/>
    <w:rsid w:val="557B0928"/>
    <w:rsid w:val="55823A64"/>
    <w:rsid w:val="55825812"/>
    <w:rsid w:val="5587107B"/>
    <w:rsid w:val="558C043F"/>
    <w:rsid w:val="558F79BB"/>
    <w:rsid w:val="55A27C63"/>
    <w:rsid w:val="55A34CA2"/>
    <w:rsid w:val="55A649AE"/>
    <w:rsid w:val="55A97243"/>
    <w:rsid w:val="55AC6D33"/>
    <w:rsid w:val="55B61960"/>
    <w:rsid w:val="55C027DF"/>
    <w:rsid w:val="55C51BA3"/>
    <w:rsid w:val="55CB6589"/>
    <w:rsid w:val="55D818D6"/>
    <w:rsid w:val="55D93627"/>
    <w:rsid w:val="55DD6EED"/>
    <w:rsid w:val="55DF5738"/>
    <w:rsid w:val="55E22755"/>
    <w:rsid w:val="55E62390"/>
    <w:rsid w:val="55EA33B8"/>
    <w:rsid w:val="55EE4C56"/>
    <w:rsid w:val="55F06C20"/>
    <w:rsid w:val="55F3226C"/>
    <w:rsid w:val="55F81F79"/>
    <w:rsid w:val="561074A3"/>
    <w:rsid w:val="561843C9"/>
    <w:rsid w:val="56244B1C"/>
    <w:rsid w:val="56290384"/>
    <w:rsid w:val="56312D95"/>
    <w:rsid w:val="563A7E9B"/>
    <w:rsid w:val="5641747C"/>
    <w:rsid w:val="564B02FA"/>
    <w:rsid w:val="564E1B99"/>
    <w:rsid w:val="565E627F"/>
    <w:rsid w:val="56602AF8"/>
    <w:rsid w:val="5664316A"/>
    <w:rsid w:val="56644F18"/>
    <w:rsid w:val="5668404C"/>
    <w:rsid w:val="566E5D97"/>
    <w:rsid w:val="567535C9"/>
    <w:rsid w:val="56764C4B"/>
    <w:rsid w:val="567E247E"/>
    <w:rsid w:val="568009B7"/>
    <w:rsid w:val="569021B1"/>
    <w:rsid w:val="56951575"/>
    <w:rsid w:val="5697353F"/>
    <w:rsid w:val="569D1848"/>
    <w:rsid w:val="56A1616C"/>
    <w:rsid w:val="56A95021"/>
    <w:rsid w:val="56B04601"/>
    <w:rsid w:val="56B13A64"/>
    <w:rsid w:val="56B539C6"/>
    <w:rsid w:val="56BA3AA0"/>
    <w:rsid w:val="56C1236A"/>
    <w:rsid w:val="56C56CC7"/>
    <w:rsid w:val="56CF6D97"/>
    <w:rsid w:val="56D007FF"/>
    <w:rsid w:val="56D66689"/>
    <w:rsid w:val="56DA342C"/>
    <w:rsid w:val="56DC71A4"/>
    <w:rsid w:val="56DF6C95"/>
    <w:rsid w:val="56F444EE"/>
    <w:rsid w:val="570A0F13"/>
    <w:rsid w:val="570E46A2"/>
    <w:rsid w:val="5717642E"/>
    <w:rsid w:val="571A1A7B"/>
    <w:rsid w:val="572528F9"/>
    <w:rsid w:val="57284198"/>
    <w:rsid w:val="57396991"/>
    <w:rsid w:val="573E766F"/>
    <w:rsid w:val="574D3BFE"/>
    <w:rsid w:val="57560D05"/>
    <w:rsid w:val="5758112B"/>
    <w:rsid w:val="576553EC"/>
    <w:rsid w:val="576D24F2"/>
    <w:rsid w:val="576F1DC6"/>
    <w:rsid w:val="577473DD"/>
    <w:rsid w:val="57783371"/>
    <w:rsid w:val="57847C36"/>
    <w:rsid w:val="579E445A"/>
    <w:rsid w:val="57AA1051"/>
    <w:rsid w:val="57AC2FBB"/>
    <w:rsid w:val="57C9597B"/>
    <w:rsid w:val="57CA524F"/>
    <w:rsid w:val="57D26DC6"/>
    <w:rsid w:val="57D63BF4"/>
    <w:rsid w:val="57E9601D"/>
    <w:rsid w:val="57ED39CE"/>
    <w:rsid w:val="57EE53E1"/>
    <w:rsid w:val="57FB18AC"/>
    <w:rsid w:val="57FB7AFE"/>
    <w:rsid w:val="57FD7373"/>
    <w:rsid w:val="580E6203"/>
    <w:rsid w:val="5814296E"/>
    <w:rsid w:val="58160494"/>
    <w:rsid w:val="58207565"/>
    <w:rsid w:val="582B2191"/>
    <w:rsid w:val="583354EA"/>
    <w:rsid w:val="584E2691"/>
    <w:rsid w:val="585B059D"/>
    <w:rsid w:val="585F1E3B"/>
    <w:rsid w:val="58692CBA"/>
    <w:rsid w:val="586A742C"/>
    <w:rsid w:val="58733B38"/>
    <w:rsid w:val="587753D7"/>
    <w:rsid w:val="587A34DA"/>
    <w:rsid w:val="587A37B8"/>
    <w:rsid w:val="587B479B"/>
    <w:rsid w:val="5881039C"/>
    <w:rsid w:val="58AB5080"/>
    <w:rsid w:val="58B54151"/>
    <w:rsid w:val="58C134D7"/>
    <w:rsid w:val="58C3061C"/>
    <w:rsid w:val="58C94C3F"/>
    <w:rsid w:val="58CD149A"/>
    <w:rsid w:val="58D345D7"/>
    <w:rsid w:val="58D36385"/>
    <w:rsid w:val="58D577F5"/>
    <w:rsid w:val="58D81BED"/>
    <w:rsid w:val="58DA3BB7"/>
    <w:rsid w:val="58DE7204"/>
    <w:rsid w:val="58EB36CF"/>
    <w:rsid w:val="58F05189"/>
    <w:rsid w:val="58FD3402"/>
    <w:rsid w:val="59103135"/>
    <w:rsid w:val="591E42EB"/>
    <w:rsid w:val="5920298F"/>
    <w:rsid w:val="592A1676"/>
    <w:rsid w:val="5932754F"/>
    <w:rsid w:val="59350ABE"/>
    <w:rsid w:val="59350DEE"/>
    <w:rsid w:val="59417793"/>
    <w:rsid w:val="59461221"/>
    <w:rsid w:val="59464DA9"/>
    <w:rsid w:val="595474C6"/>
    <w:rsid w:val="59576FB6"/>
    <w:rsid w:val="595B0854"/>
    <w:rsid w:val="595B4CF8"/>
    <w:rsid w:val="59653481"/>
    <w:rsid w:val="597933D0"/>
    <w:rsid w:val="59934492"/>
    <w:rsid w:val="599B6EA3"/>
    <w:rsid w:val="59A321FB"/>
    <w:rsid w:val="59AC7302"/>
    <w:rsid w:val="59AD6BD6"/>
    <w:rsid w:val="59B12B6A"/>
    <w:rsid w:val="59C53F20"/>
    <w:rsid w:val="59C7413C"/>
    <w:rsid w:val="59C9625C"/>
    <w:rsid w:val="59D14FBA"/>
    <w:rsid w:val="59D6437F"/>
    <w:rsid w:val="59E06FAB"/>
    <w:rsid w:val="59E71DDE"/>
    <w:rsid w:val="59E854F3"/>
    <w:rsid w:val="59EE4DAD"/>
    <w:rsid w:val="59FD190B"/>
    <w:rsid w:val="5A027E85"/>
    <w:rsid w:val="5A043EDA"/>
    <w:rsid w:val="5A0507C0"/>
    <w:rsid w:val="5A064D2E"/>
    <w:rsid w:val="5A096502"/>
    <w:rsid w:val="5A0C7744"/>
    <w:rsid w:val="5A132EDD"/>
    <w:rsid w:val="5A150D5F"/>
    <w:rsid w:val="5A1F5D26"/>
    <w:rsid w:val="5A2275C4"/>
    <w:rsid w:val="5A292701"/>
    <w:rsid w:val="5A3910C8"/>
    <w:rsid w:val="5A427C66"/>
    <w:rsid w:val="5A4412E8"/>
    <w:rsid w:val="5A4968FF"/>
    <w:rsid w:val="5A496D02"/>
    <w:rsid w:val="5A4C2E1A"/>
    <w:rsid w:val="5A53496E"/>
    <w:rsid w:val="5A5359CF"/>
    <w:rsid w:val="5A551748"/>
    <w:rsid w:val="5A5534F6"/>
    <w:rsid w:val="5A690D4F"/>
    <w:rsid w:val="5A6C4CE3"/>
    <w:rsid w:val="5A6F20DD"/>
    <w:rsid w:val="5A7756D8"/>
    <w:rsid w:val="5A8E56BE"/>
    <w:rsid w:val="5A92474A"/>
    <w:rsid w:val="5A96078C"/>
    <w:rsid w:val="5A9A53AC"/>
    <w:rsid w:val="5AAC50E0"/>
    <w:rsid w:val="5AB02E22"/>
    <w:rsid w:val="5AB23258"/>
    <w:rsid w:val="5ABA15AB"/>
    <w:rsid w:val="5ABB0552"/>
    <w:rsid w:val="5ABC74C1"/>
    <w:rsid w:val="5AC87CD6"/>
    <w:rsid w:val="5AC95C92"/>
    <w:rsid w:val="5ACE14FA"/>
    <w:rsid w:val="5AD05272"/>
    <w:rsid w:val="5AD76600"/>
    <w:rsid w:val="5AD85ED5"/>
    <w:rsid w:val="5AE85A5C"/>
    <w:rsid w:val="5AEB20AC"/>
    <w:rsid w:val="5AF96577"/>
    <w:rsid w:val="5AFA5E4B"/>
    <w:rsid w:val="5AFC7E15"/>
    <w:rsid w:val="5AFD593B"/>
    <w:rsid w:val="5B084A0C"/>
    <w:rsid w:val="5B092532"/>
    <w:rsid w:val="5B1038C0"/>
    <w:rsid w:val="5B18744E"/>
    <w:rsid w:val="5B19492B"/>
    <w:rsid w:val="5B1A029B"/>
    <w:rsid w:val="5B1E7D8B"/>
    <w:rsid w:val="5B21787C"/>
    <w:rsid w:val="5B245915"/>
    <w:rsid w:val="5B2E3D47"/>
    <w:rsid w:val="5B33135D"/>
    <w:rsid w:val="5B384449"/>
    <w:rsid w:val="5B3F7D02"/>
    <w:rsid w:val="5B48305A"/>
    <w:rsid w:val="5B525C87"/>
    <w:rsid w:val="5B5F03A4"/>
    <w:rsid w:val="5B6559BA"/>
    <w:rsid w:val="5B6F05E7"/>
    <w:rsid w:val="5B7B3430"/>
    <w:rsid w:val="5B7C0F56"/>
    <w:rsid w:val="5B7F45A2"/>
    <w:rsid w:val="5B835E40"/>
    <w:rsid w:val="5B895EC5"/>
    <w:rsid w:val="5B914A01"/>
    <w:rsid w:val="5B98227D"/>
    <w:rsid w:val="5B991686"/>
    <w:rsid w:val="5BA022C4"/>
    <w:rsid w:val="5BA5225B"/>
    <w:rsid w:val="5BA858A7"/>
    <w:rsid w:val="5BA87F9D"/>
    <w:rsid w:val="5BAD110F"/>
    <w:rsid w:val="5BAF30D9"/>
    <w:rsid w:val="5BB55204"/>
    <w:rsid w:val="5BBA55DA"/>
    <w:rsid w:val="5BBE156E"/>
    <w:rsid w:val="5BC052E6"/>
    <w:rsid w:val="5BC14BBB"/>
    <w:rsid w:val="5BC56459"/>
    <w:rsid w:val="5BC63955"/>
    <w:rsid w:val="5BCA1CC1"/>
    <w:rsid w:val="5BCA7F13"/>
    <w:rsid w:val="5BCD355F"/>
    <w:rsid w:val="5BE663CF"/>
    <w:rsid w:val="5BEA4111"/>
    <w:rsid w:val="5BED13DD"/>
    <w:rsid w:val="5C013FDE"/>
    <w:rsid w:val="5C115B42"/>
    <w:rsid w:val="5C133668"/>
    <w:rsid w:val="5C190436"/>
    <w:rsid w:val="5C1949F7"/>
    <w:rsid w:val="5C272C70"/>
    <w:rsid w:val="5C2C64D8"/>
    <w:rsid w:val="5C304DB5"/>
    <w:rsid w:val="5C326D94"/>
    <w:rsid w:val="5C390BF5"/>
    <w:rsid w:val="5C3B496D"/>
    <w:rsid w:val="5C3B671B"/>
    <w:rsid w:val="5C3D6937"/>
    <w:rsid w:val="5C401F83"/>
    <w:rsid w:val="5C495A77"/>
    <w:rsid w:val="5C4A2BD7"/>
    <w:rsid w:val="5C5D48E3"/>
    <w:rsid w:val="5C61395F"/>
    <w:rsid w:val="5C653E6B"/>
    <w:rsid w:val="5C6739B4"/>
    <w:rsid w:val="5C6B34A4"/>
    <w:rsid w:val="5C6C2D78"/>
    <w:rsid w:val="5C700ABB"/>
    <w:rsid w:val="5C7659A5"/>
    <w:rsid w:val="5C7D20F2"/>
    <w:rsid w:val="5C7F0CFE"/>
    <w:rsid w:val="5C853FF6"/>
    <w:rsid w:val="5C966047"/>
    <w:rsid w:val="5C9A11AC"/>
    <w:rsid w:val="5CA6628A"/>
    <w:rsid w:val="5CAB1AF3"/>
    <w:rsid w:val="5CAF68F6"/>
    <w:rsid w:val="5CBD341C"/>
    <w:rsid w:val="5CCF02E3"/>
    <w:rsid w:val="5CD8040E"/>
    <w:rsid w:val="5CDF79EE"/>
    <w:rsid w:val="5CE110EE"/>
    <w:rsid w:val="5CE62B2B"/>
    <w:rsid w:val="5CE84AF5"/>
    <w:rsid w:val="5CEE7C31"/>
    <w:rsid w:val="5CF35248"/>
    <w:rsid w:val="5CF84E92"/>
    <w:rsid w:val="5D0442B4"/>
    <w:rsid w:val="5D064F7B"/>
    <w:rsid w:val="5D0B2591"/>
    <w:rsid w:val="5D101956"/>
    <w:rsid w:val="5D123920"/>
    <w:rsid w:val="5D1E67C5"/>
    <w:rsid w:val="5D211DB5"/>
    <w:rsid w:val="5D213D72"/>
    <w:rsid w:val="5D235B2D"/>
    <w:rsid w:val="5D2418A5"/>
    <w:rsid w:val="5D2C42B6"/>
    <w:rsid w:val="5D355860"/>
    <w:rsid w:val="5D4635C9"/>
    <w:rsid w:val="5D4810F0"/>
    <w:rsid w:val="5D5F28DD"/>
    <w:rsid w:val="5D63632E"/>
    <w:rsid w:val="5D665A1A"/>
    <w:rsid w:val="5D72616D"/>
    <w:rsid w:val="5D731EE5"/>
    <w:rsid w:val="5D7719D5"/>
    <w:rsid w:val="5D774C0D"/>
    <w:rsid w:val="5D7A14C5"/>
    <w:rsid w:val="5D7C6FEB"/>
    <w:rsid w:val="5D8440F2"/>
    <w:rsid w:val="5D89138F"/>
    <w:rsid w:val="5D9205BD"/>
    <w:rsid w:val="5D99194B"/>
    <w:rsid w:val="5D9C143B"/>
    <w:rsid w:val="5D9C1A7F"/>
    <w:rsid w:val="5D9C58DF"/>
    <w:rsid w:val="5D9E6F62"/>
    <w:rsid w:val="5D9F0F2C"/>
    <w:rsid w:val="5DA12EF6"/>
    <w:rsid w:val="5DBB6015"/>
    <w:rsid w:val="5DC82230"/>
    <w:rsid w:val="5DCB61F0"/>
    <w:rsid w:val="5DD5494D"/>
    <w:rsid w:val="5DD63758"/>
    <w:rsid w:val="5DD92690"/>
    <w:rsid w:val="5DDA3E21"/>
    <w:rsid w:val="5DDE1A54"/>
    <w:rsid w:val="5DE132F2"/>
    <w:rsid w:val="5DE4797B"/>
    <w:rsid w:val="5DE9492A"/>
    <w:rsid w:val="5DED186C"/>
    <w:rsid w:val="5DED7EE9"/>
    <w:rsid w:val="5DF272AD"/>
    <w:rsid w:val="5DF72B16"/>
    <w:rsid w:val="5E082F75"/>
    <w:rsid w:val="5E0C56F7"/>
    <w:rsid w:val="5E0D2339"/>
    <w:rsid w:val="5E135BA1"/>
    <w:rsid w:val="5E1611EE"/>
    <w:rsid w:val="5E162F9C"/>
    <w:rsid w:val="5E227B93"/>
    <w:rsid w:val="5E257683"/>
    <w:rsid w:val="5E2775BD"/>
    <w:rsid w:val="5E282CCF"/>
    <w:rsid w:val="5E2D6537"/>
    <w:rsid w:val="5E326512"/>
    <w:rsid w:val="5E3C3095"/>
    <w:rsid w:val="5E4205CC"/>
    <w:rsid w:val="5E451AD3"/>
    <w:rsid w:val="5E48511F"/>
    <w:rsid w:val="5E4A026A"/>
    <w:rsid w:val="5E504C73"/>
    <w:rsid w:val="5E510478"/>
    <w:rsid w:val="5E5A37D0"/>
    <w:rsid w:val="5E5E3835"/>
    <w:rsid w:val="5E665AD6"/>
    <w:rsid w:val="5E6D4B86"/>
    <w:rsid w:val="5E6E2DD8"/>
    <w:rsid w:val="5E767EDE"/>
    <w:rsid w:val="5E777922"/>
    <w:rsid w:val="5E816FDD"/>
    <w:rsid w:val="5E850121"/>
    <w:rsid w:val="5E873E9A"/>
    <w:rsid w:val="5E8C14B0"/>
    <w:rsid w:val="5E916AC6"/>
    <w:rsid w:val="5E985E8A"/>
    <w:rsid w:val="5E99597B"/>
    <w:rsid w:val="5E9D190F"/>
    <w:rsid w:val="5EA54320"/>
    <w:rsid w:val="5EAC56AE"/>
    <w:rsid w:val="5EB10F16"/>
    <w:rsid w:val="5EB47229"/>
    <w:rsid w:val="5EBA601D"/>
    <w:rsid w:val="5EC24ED2"/>
    <w:rsid w:val="5ED03A93"/>
    <w:rsid w:val="5ED30E8D"/>
    <w:rsid w:val="5ED510A9"/>
    <w:rsid w:val="5ED864A3"/>
    <w:rsid w:val="5EDF3132"/>
    <w:rsid w:val="5EDF3CD6"/>
    <w:rsid w:val="5EE4753E"/>
    <w:rsid w:val="5EE54D87"/>
    <w:rsid w:val="5EF07C91"/>
    <w:rsid w:val="5EF17565"/>
    <w:rsid w:val="5EF414B4"/>
    <w:rsid w:val="5EFA0B0F"/>
    <w:rsid w:val="5EFA466C"/>
    <w:rsid w:val="5F011E9E"/>
    <w:rsid w:val="5F105C3D"/>
    <w:rsid w:val="5F1C6CD8"/>
    <w:rsid w:val="5F1D47FE"/>
    <w:rsid w:val="5F1F2324"/>
    <w:rsid w:val="5F217E4A"/>
    <w:rsid w:val="5F223BC2"/>
    <w:rsid w:val="5F266B2B"/>
    <w:rsid w:val="5F2C67EF"/>
    <w:rsid w:val="5F2C7B45"/>
    <w:rsid w:val="5F3B6A32"/>
    <w:rsid w:val="5F3D09FC"/>
    <w:rsid w:val="5F3F6522"/>
    <w:rsid w:val="5F4678B1"/>
    <w:rsid w:val="5F4C0C3F"/>
    <w:rsid w:val="5F530220"/>
    <w:rsid w:val="5F532EDA"/>
    <w:rsid w:val="5F555D46"/>
    <w:rsid w:val="5F562E9B"/>
    <w:rsid w:val="5F57386C"/>
    <w:rsid w:val="5F5F4E16"/>
    <w:rsid w:val="5F671EAE"/>
    <w:rsid w:val="5F685A79"/>
    <w:rsid w:val="5F6E059E"/>
    <w:rsid w:val="5F751F44"/>
    <w:rsid w:val="5F7C1524"/>
    <w:rsid w:val="5F922AF6"/>
    <w:rsid w:val="5F93061C"/>
    <w:rsid w:val="5F97010C"/>
    <w:rsid w:val="5F9A7BFD"/>
    <w:rsid w:val="5FA34D03"/>
    <w:rsid w:val="5FA42829"/>
    <w:rsid w:val="5FAA6092"/>
    <w:rsid w:val="5FB455AB"/>
    <w:rsid w:val="5FB46F10"/>
    <w:rsid w:val="5FB707AE"/>
    <w:rsid w:val="5FBB029F"/>
    <w:rsid w:val="5FC03B07"/>
    <w:rsid w:val="5FC92290"/>
    <w:rsid w:val="5FCA6734"/>
    <w:rsid w:val="5FCB7633"/>
    <w:rsid w:val="5FCE1215"/>
    <w:rsid w:val="5FCF3D4A"/>
    <w:rsid w:val="5FD539BB"/>
    <w:rsid w:val="5FD8479E"/>
    <w:rsid w:val="5FE01AB3"/>
    <w:rsid w:val="5FE315A4"/>
    <w:rsid w:val="5FE61094"/>
    <w:rsid w:val="5FEC48FC"/>
    <w:rsid w:val="5FEF4FD0"/>
    <w:rsid w:val="5FF11588"/>
    <w:rsid w:val="5FF7262C"/>
    <w:rsid w:val="5FF93E5A"/>
    <w:rsid w:val="600357A2"/>
    <w:rsid w:val="600B4FBD"/>
    <w:rsid w:val="60107EBF"/>
    <w:rsid w:val="601E25DC"/>
    <w:rsid w:val="60200102"/>
    <w:rsid w:val="602A0F80"/>
    <w:rsid w:val="60471B32"/>
    <w:rsid w:val="60561D75"/>
    <w:rsid w:val="60585DBB"/>
    <w:rsid w:val="605E0C2A"/>
    <w:rsid w:val="606F72DB"/>
    <w:rsid w:val="60786190"/>
    <w:rsid w:val="60806DF2"/>
    <w:rsid w:val="608368E3"/>
    <w:rsid w:val="609F50E9"/>
    <w:rsid w:val="60A96349"/>
    <w:rsid w:val="60AD570E"/>
    <w:rsid w:val="60AE7E03"/>
    <w:rsid w:val="60DD4245"/>
    <w:rsid w:val="60E05AE3"/>
    <w:rsid w:val="60E56B58"/>
    <w:rsid w:val="60F11A9E"/>
    <w:rsid w:val="60FA4DF7"/>
    <w:rsid w:val="60FB291D"/>
    <w:rsid w:val="610C2208"/>
    <w:rsid w:val="611B3BAF"/>
    <w:rsid w:val="61230696"/>
    <w:rsid w:val="61291238"/>
    <w:rsid w:val="612C2AD6"/>
    <w:rsid w:val="61314591"/>
    <w:rsid w:val="61394E2C"/>
    <w:rsid w:val="613A3445"/>
    <w:rsid w:val="613B0F6B"/>
    <w:rsid w:val="61447E20"/>
    <w:rsid w:val="614E0C9F"/>
    <w:rsid w:val="61534507"/>
    <w:rsid w:val="615D5386"/>
    <w:rsid w:val="615D7134"/>
    <w:rsid w:val="615E35D8"/>
    <w:rsid w:val="61616C24"/>
    <w:rsid w:val="61630BEE"/>
    <w:rsid w:val="6164715E"/>
    <w:rsid w:val="6165501F"/>
    <w:rsid w:val="61700C15"/>
    <w:rsid w:val="617F4494"/>
    <w:rsid w:val="6183159A"/>
    <w:rsid w:val="61842912"/>
    <w:rsid w:val="619444E0"/>
    <w:rsid w:val="619C7C5C"/>
    <w:rsid w:val="619F599E"/>
    <w:rsid w:val="61A42FB4"/>
    <w:rsid w:val="61AB4343"/>
    <w:rsid w:val="61AD2798"/>
    <w:rsid w:val="61AF2682"/>
    <w:rsid w:val="61AF3E33"/>
    <w:rsid w:val="61B52ACC"/>
    <w:rsid w:val="61B74A96"/>
    <w:rsid w:val="61BF7DEE"/>
    <w:rsid w:val="61D00691"/>
    <w:rsid w:val="61D92C5E"/>
    <w:rsid w:val="61DE2022"/>
    <w:rsid w:val="61E0223F"/>
    <w:rsid w:val="61E82EA1"/>
    <w:rsid w:val="61EA6C19"/>
    <w:rsid w:val="61F93300"/>
    <w:rsid w:val="61FE7898"/>
    <w:rsid w:val="62051CA5"/>
    <w:rsid w:val="62195750"/>
    <w:rsid w:val="621C7A8F"/>
    <w:rsid w:val="62287742"/>
    <w:rsid w:val="622D2FAA"/>
    <w:rsid w:val="62380626"/>
    <w:rsid w:val="624D53FA"/>
    <w:rsid w:val="625422E5"/>
    <w:rsid w:val="62562501"/>
    <w:rsid w:val="62593D9F"/>
    <w:rsid w:val="62634C1E"/>
    <w:rsid w:val="626D784A"/>
    <w:rsid w:val="62726C0F"/>
    <w:rsid w:val="62742987"/>
    <w:rsid w:val="62774225"/>
    <w:rsid w:val="627806C9"/>
    <w:rsid w:val="627875F1"/>
    <w:rsid w:val="628738A1"/>
    <w:rsid w:val="629149FC"/>
    <w:rsid w:val="629D5670"/>
    <w:rsid w:val="62A0765A"/>
    <w:rsid w:val="62A11A47"/>
    <w:rsid w:val="62AF51A9"/>
    <w:rsid w:val="62B15989"/>
    <w:rsid w:val="62B2525D"/>
    <w:rsid w:val="62B4089B"/>
    <w:rsid w:val="62B81A8F"/>
    <w:rsid w:val="62B85E2E"/>
    <w:rsid w:val="62C4345A"/>
    <w:rsid w:val="62CA6A4B"/>
    <w:rsid w:val="62CB754B"/>
    <w:rsid w:val="62CE653B"/>
    <w:rsid w:val="62D82F16"/>
    <w:rsid w:val="62E418BB"/>
    <w:rsid w:val="62E80C7F"/>
    <w:rsid w:val="62E94FF3"/>
    <w:rsid w:val="62F13FD7"/>
    <w:rsid w:val="62F475B6"/>
    <w:rsid w:val="62FB1FD9"/>
    <w:rsid w:val="63041F5D"/>
    <w:rsid w:val="630C6A64"/>
    <w:rsid w:val="6311467A"/>
    <w:rsid w:val="63161C90"/>
    <w:rsid w:val="631F7E44"/>
    <w:rsid w:val="63220635"/>
    <w:rsid w:val="632779F9"/>
    <w:rsid w:val="632B74E9"/>
    <w:rsid w:val="632C14B3"/>
    <w:rsid w:val="632F68AE"/>
    <w:rsid w:val="63376FCF"/>
    <w:rsid w:val="63414F5F"/>
    <w:rsid w:val="63471E49"/>
    <w:rsid w:val="63473BF7"/>
    <w:rsid w:val="63690012"/>
    <w:rsid w:val="63696264"/>
    <w:rsid w:val="636B3D8A"/>
    <w:rsid w:val="636C7B02"/>
    <w:rsid w:val="637846F9"/>
    <w:rsid w:val="637C04DD"/>
    <w:rsid w:val="63827325"/>
    <w:rsid w:val="6384309D"/>
    <w:rsid w:val="63847CD0"/>
    <w:rsid w:val="63862972"/>
    <w:rsid w:val="639037F0"/>
    <w:rsid w:val="6393508F"/>
    <w:rsid w:val="63964CCA"/>
    <w:rsid w:val="63A4104A"/>
    <w:rsid w:val="63A86D8C"/>
    <w:rsid w:val="63AB062A"/>
    <w:rsid w:val="63AB23D8"/>
    <w:rsid w:val="63AD6150"/>
    <w:rsid w:val="63B3128D"/>
    <w:rsid w:val="63B3451B"/>
    <w:rsid w:val="63B773AF"/>
    <w:rsid w:val="63CF5A1E"/>
    <w:rsid w:val="63D52158"/>
    <w:rsid w:val="63DD630A"/>
    <w:rsid w:val="63E61662"/>
    <w:rsid w:val="63E73E74"/>
    <w:rsid w:val="63EF49BB"/>
    <w:rsid w:val="63F0428F"/>
    <w:rsid w:val="64095351"/>
    <w:rsid w:val="64104931"/>
    <w:rsid w:val="64137F7D"/>
    <w:rsid w:val="6418674C"/>
    <w:rsid w:val="6421269A"/>
    <w:rsid w:val="642D103F"/>
    <w:rsid w:val="643C74D4"/>
    <w:rsid w:val="644A1E02"/>
    <w:rsid w:val="644D348F"/>
    <w:rsid w:val="645667E8"/>
    <w:rsid w:val="64590086"/>
    <w:rsid w:val="646709F5"/>
    <w:rsid w:val="64680FC0"/>
    <w:rsid w:val="64682077"/>
    <w:rsid w:val="6468651B"/>
    <w:rsid w:val="646D3B32"/>
    <w:rsid w:val="646F78AA"/>
    <w:rsid w:val="64721148"/>
    <w:rsid w:val="64760260"/>
    <w:rsid w:val="648570CD"/>
    <w:rsid w:val="648669A1"/>
    <w:rsid w:val="648D18F2"/>
    <w:rsid w:val="648D7D30"/>
    <w:rsid w:val="648F3AA8"/>
    <w:rsid w:val="64986E00"/>
    <w:rsid w:val="649C62B6"/>
    <w:rsid w:val="64A82DBC"/>
    <w:rsid w:val="64AA7BD5"/>
    <w:rsid w:val="64B1461A"/>
    <w:rsid w:val="64B33C3A"/>
    <w:rsid w:val="64B74DAD"/>
    <w:rsid w:val="64BE613B"/>
    <w:rsid w:val="64C232CA"/>
    <w:rsid w:val="64C5396E"/>
    <w:rsid w:val="64CD1CA4"/>
    <w:rsid w:val="64D4595F"/>
    <w:rsid w:val="64D67929"/>
    <w:rsid w:val="64DD0CB7"/>
    <w:rsid w:val="64E9765C"/>
    <w:rsid w:val="64EC4FB2"/>
    <w:rsid w:val="64F25DE5"/>
    <w:rsid w:val="64F41B5D"/>
    <w:rsid w:val="650E4428"/>
    <w:rsid w:val="651B533C"/>
    <w:rsid w:val="651D7306"/>
    <w:rsid w:val="652A2E44"/>
    <w:rsid w:val="652D6656"/>
    <w:rsid w:val="652E32C1"/>
    <w:rsid w:val="653B778C"/>
    <w:rsid w:val="65420B1A"/>
    <w:rsid w:val="65440F0D"/>
    <w:rsid w:val="654725D5"/>
    <w:rsid w:val="654E4849"/>
    <w:rsid w:val="65501489"/>
    <w:rsid w:val="65530F79"/>
    <w:rsid w:val="65586590"/>
    <w:rsid w:val="65613696"/>
    <w:rsid w:val="65624D19"/>
    <w:rsid w:val="6567203B"/>
    <w:rsid w:val="656816F1"/>
    <w:rsid w:val="65686657"/>
    <w:rsid w:val="6569254B"/>
    <w:rsid w:val="657E769D"/>
    <w:rsid w:val="65817895"/>
    <w:rsid w:val="65901886"/>
    <w:rsid w:val="65971982"/>
    <w:rsid w:val="659F41BF"/>
    <w:rsid w:val="65A11CE5"/>
    <w:rsid w:val="65A2780B"/>
    <w:rsid w:val="65A43583"/>
    <w:rsid w:val="65BA4B55"/>
    <w:rsid w:val="65BD69EB"/>
    <w:rsid w:val="65BF216B"/>
    <w:rsid w:val="65C43C25"/>
    <w:rsid w:val="65E75AA3"/>
    <w:rsid w:val="65EB7404"/>
    <w:rsid w:val="660D707D"/>
    <w:rsid w:val="66124991"/>
    <w:rsid w:val="661F70AE"/>
    <w:rsid w:val="662841B4"/>
    <w:rsid w:val="6635067F"/>
    <w:rsid w:val="663568D1"/>
    <w:rsid w:val="663D12E2"/>
    <w:rsid w:val="664977CF"/>
    <w:rsid w:val="664B7EA3"/>
    <w:rsid w:val="664C6264"/>
    <w:rsid w:val="6650370B"/>
    <w:rsid w:val="66541127"/>
    <w:rsid w:val="6660394E"/>
    <w:rsid w:val="66642F38"/>
    <w:rsid w:val="666F1DE3"/>
    <w:rsid w:val="6686712D"/>
    <w:rsid w:val="66886A01"/>
    <w:rsid w:val="668A4527"/>
    <w:rsid w:val="6692787F"/>
    <w:rsid w:val="66934D5F"/>
    <w:rsid w:val="66A02C7C"/>
    <w:rsid w:val="66A7157D"/>
    <w:rsid w:val="66A870A3"/>
    <w:rsid w:val="66AF0431"/>
    <w:rsid w:val="66B9305E"/>
    <w:rsid w:val="66BB250F"/>
    <w:rsid w:val="66CD4D5B"/>
    <w:rsid w:val="66EA1469"/>
    <w:rsid w:val="66EC4975"/>
    <w:rsid w:val="66F145A6"/>
    <w:rsid w:val="66F422E8"/>
    <w:rsid w:val="66F92550"/>
    <w:rsid w:val="66FB5425"/>
    <w:rsid w:val="67016B09"/>
    <w:rsid w:val="670267B3"/>
    <w:rsid w:val="67034A51"/>
    <w:rsid w:val="670B2F88"/>
    <w:rsid w:val="670E33AA"/>
    <w:rsid w:val="6712276E"/>
    <w:rsid w:val="671B5AC7"/>
    <w:rsid w:val="672030DD"/>
    <w:rsid w:val="67203D95"/>
    <w:rsid w:val="67206C39"/>
    <w:rsid w:val="672A5D0A"/>
    <w:rsid w:val="6736645D"/>
    <w:rsid w:val="674212A6"/>
    <w:rsid w:val="67544B35"/>
    <w:rsid w:val="67597141"/>
    <w:rsid w:val="6773320D"/>
    <w:rsid w:val="677F5C59"/>
    <w:rsid w:val="6782764B"/>
    <w:rsid w:val="678B49FB"/>
    <w:rsid w:val="678F3DBF"/>
    <w:rsid w:val="67957627"/>
    <w:rsid w:val="67A91325"/>
    <w:rsid w:val="67AE6244"/>
    <w:rsid w:val="67AF7FBD"/>
    <w:rsid w:val="67B33F51"/>
    <w:rsid w:val="67B678A7"/>
    <w:rsid w:val="67C27CF0"/>
    <w:rsid w:val="67C95523"/>
    <w:rsid w:val="67CE48E7"/>
    <w:rsid w:val="67D16185"/>
    <w:rsid w:val="67D225ED"/>
    <w:rsid w:val="67DA7730"/>
    <w:rsid w:val="67DD5C69"/>
    <w:rsid w:val="67E4410B"/>
    <w:rsid w:val="67E97973"/>
    <w:rsid w:val="67EE6D37"/>
    <w:rsid w:val="67F500C6"/>
    <w:rsid w:val="67F83FF2"/>
    <w:rsid w:val="68093B71"/>
    <w:rsid w:val="680E2F36"/>
    <w:rsid w:val="68152516"/>
    <w:rsid w:val="681650AF"/>
    <w:rsid w:val="681744E0"/>
    <w:rsid w:val="681A7B2C"/>
    <w:rsid w:val="681B017B"/>
    <w:rsid w:val="681B27B3"/>
    <w:rsid w:val="68262975"/>
    <w:rsid w:val="682664D1"/>
    <w:rsid w:val="683010FE"/>
    <w:rsid w:val="683116BC"/>
    <w:rsid w:val="6832131A"/>
    <w:rsid w:val="68324E76"/>
    <w:rsid w:val="6841330B"/>
    <w:rsid w:val="68421AF2"/>
    <w:rsid w:val="68460921"/>
    <w:rsid w:val="6848606E"/>
    <w:rsid w:val="684B5F38"/>
    <w:rsid w:val="6852376A"/>
    <w:rsid w:val="685272C6"/>
    <w:rsid w:val="685C0145"/>
    <w:rsid w:val="685E210F"/>
    <w:rsid w:val="685F3791"/>
    <w:rsid w:val="686D58E2"/>
    <w:rsid w:val="68721717"/>
    <w:rsid w:val="687C07E7"/>
    <w:rsid w:val="687C2E13"/>
    <w:rsid w:val="688F3871"/>
    <w:rsid w:val="68914293"/>
    <w:rsid w:val="68945B31"/>
    <w:rsid w:val="689618A9"/>
    <w:rsid w:val="689E250C"/>
    <w:rsid w:val="68A3515D"/>
    <w:rsid w:val="68A8338A"/>
    <w:rsid w:val="68A90204"/>
    <w:rsid w:val="68AB2E7A"/>
    <w:rsid w:val="68B00491"/>
    <w:rsid w:val="68B0223F"/>
    <w:rsid w:val="68B166E3"/>
    <w:rsid w:val="68B24209"/>
    <w:rsid w:val="68B7181F"/>
    <w:rsid w:val="68BE2BAE"/>
    <w:rsid w:val="68BF2482"/>
    <w:rsid w:val="68C74DCD"/>
    <w:rsid w:val="68D26659"/>
    <w:rsid w:val="68D45F2D"/>
    <w:rsid w:val="68D862F5"/>
    <w:rsid w:val="68DC76F5"/>
    <w:rsid w:val="68E51EE8"/>
    <w:rsid w:val="68E74072"/>
    <w:rsid w:val="68EB3277"/>
    <w:rsid w:val="68ED6FEF"/>
    <w:rsid w:val="68F22857"/>
    <w:rsid w:val="68FA27CA"/>
    <w:rsid w:val="68FB170C"/>
    <w:rsid w:val="690305C1"/>
    <w:rsid w:val="690802CD"/>
    <w:rsid w:val="69083E29"/>
    <w:rsid w:val="690C3919"/>
    <w:rsid w:val="69142E9C"/>
    <w:rsid w:val="69173BDC"/>
    <w:rsid w:val="691C1682"/>
    <w:rsid w:val="692844CB"/>
    <w:rsid w:val="69474460"/>
    <w:rsid w:val="694B6E1C"/>
    <w:rsid w:val="695452C0"/>
    <w:rsid w:val="695E7EED"/>
    <w:rsid w:val="6965127B"/>
    <w:rsid w:val="696E6382"/>
    <w:rsid w:val="696F20FA"/>
    <w:rsid w:val="69717C20"/>
    <w:rsid w:val="697A2F79"/>
    <w:rsid w:val="69A578CA"/>
    <w:rsid w:val="69AF0748"/>
    <w:rsid w:val="69B83AA1"/>
    <w:rsid w:val="69BD4674"/>
    <w:rsid w:val="69BF37A7"/>
    <w:rsid w:val="69C42446"/>
    <w:rsid w:val="69C97A5C"/>
    <w:rsid w:val="69D10BC4"/>
    <w:rsid w:val="69D87C9F"/>
    <w:rsid w:val="69DD7064"/>
    <w:rsid w:val="69E00902"/>
    <w:rsid w:val="69E82B0F"/>
    <w:rsid w:val="69F764C9"/>
    <w:rsid w:val="6A016082"/>
    <w:rsid w:val="6A036769"/>
    <w:rsid w:val="6A06480C"/>
    <w:rsid w:val="6A0665BA"/>
    <w:rsid w:val="6A072332"/>
    <w:rsid w:val="6A10026E"/>
    <w:rsid w:val="6A152CA1"/>
    <w:rsid w:val="6A2151A2"/>
    <w:rsid w:val="6A325674"/>
    <w:rsid w:val="6A38073E"/>
    <w:rsid w:val="6A3A2708"/>
    <w:rsid w:val="6A3C1FDC"/>
    <w:rsid w:val="6A4469CB"/>
    <w:rsid w:val="6A4D2C84"/>
    <w:rsid w:val="6A507835"/>
    <w:rsid w:val="6A52291B"/>
    <w:rsid w:val="6A5512F0"/>
    <w:rsid w:val="6A6634FD"/>
    <w:rsid w:val="6A6B4794"/>
    <w:rsid w:val="6A6D03E7"/>
    <w:rsid w:val="6A6D488B"/>
    <w:rsid w:val="6A745C1A"/>
    <w:rsid w:val="6A753740"/>
    <w:rsid w:val="6A7774B8"/>
    <w:rsid w:val="6A7A2B04"/>
    <w:rsid w:val="6A7B10E5"/>
    <w:rsid w:val="6A7E0847"/>
    <w:rsid w:val="6A817F02"/>
    <w:rsid w:val="6A845731"/>
    <w:rsid w:val="6A883473"/>
    <w:rsid w:val="6A8A48EA"/>
    <w:rsid w:val="6A8E65B0"/>
    <w:rsid w:val="6A9A4F55"/>
    <w:rsid w:val="6AA87672"/>
    <w:rsid w:val="6AA95198"/>
    <w:rsid w:val="6AB95096"/>
    <w:rsid w:val="6ABA1153"/>
    <w:rsid w:val="6ABE50E7"/>
    <w:rsid w:val="6ABF2B74"/>
    <w:rsid w:val="6AC81AC2"/>
    <w:rsid w:val="6ACF2E50"/>
    <w:rsid w:val="6AD761A9"/>
    <w:rsid w:val="6AE663EC"/>
    <w:rsid w:val="6AE85CC0"/>
    <w:rsid w:val="6AEB3A02"/>
    <w:rsid w:val="6AEF52A0"/>
    <w:rsid w:val="6AEF704E"/>
    <w:rsid w:val="6AF54CB4"/>
    <w:rsid w:val="6AFC5C0F"/>
    <w:rsid w:val="6B0C2A72"/>
    <w:rsid w:val="6B1C1E0E"/>
    <w:rsid w:val="6B2018FE"/>
    <w:rsid w:val="6B2667E8"/>
    <w:rsid w:val="6B285847"/>
    <w:rsid w:val="6B351E6F"/>
    <w:rsid w:val="6B3709F5"/>
    <w:rsid w:val="6B376C47"/>
    <w:rsid w:val="6B405AFC"/>
    <w:rsid w:val="6B427AC6"/>
    <w:rsid w:val="6B52582F"/>
    <w:rsid w:val="6B5477F9"/>
    <w:rsid w:val="6B5C220A"/>
    <w:rsid w:val="6B621F16"/>
    <w:rsid w:val="6B657311"/>
    <w:rsid w:val="6B6A2B79"/>
    <w:rsid w:val="6B6C069F"/>
    <w:rsid w:val="6B741C4A"/>
    <w:rsid w:val="6B746386"/>
    <w:rsid w:val="6B794077"/>
    <w:rsid w:val="6B7A4051"/>
    <w:rsid w:val="6B7E6624"/>
    <w:rsid w:val="6B8960A3"/>
    <w:rsid w:val="6B8E2D0B"/>
    <w:rsid w:val="6B8F264C"/>
    <w:rsid w:val="6B916358"/>
    <w:rsid w:val="6B9F6CC6"/>
    <w:rsid w:val="6BA77929"/>
    <w:rsid w:val="6BA87307"/>
    <w:rsid w:val="6BB362CE"/>
    <w:rsid w:val="6BB63F2C"/>
    <w:rsid w:val="6BBA3B00"/>
    <w:rsid w:val="6BBD714D"/>
    <w:rsid w:val="6BC73B27"/>
    <w:rsid w:val="6BCA1F8B"/>
    <w:rsid w:val="6BCC3834"/>
    <w:rsid w:val="6BD526E8"/>
    <w:rsid w:val="6BDD581C"/>
    <w:rsid w:val="6BDF70C3"/>
    <w:rsid w:val="6BE07043"/>
    <w:rsid w:val="6BE14999"/>
    <w:rsid w:val="6BF427CD"/>
    <w:rsid w:val="6BF75619"/>
    <w:rsid w:val="6BF80185"/>
    <w:rsid w:val="6BF84629"/>
    <w:rsid w:val="6BFB5FD1"/>
    <w:rsid w:val="6C0858B3"/>
    <w:rsid w:val="6C0905E4"/>
    <w:rsid w:val="6C103720"/>
    <w:rsid w:val="6C152AE5"/>
    <w:rsid w:val="6C184383"/>
    <w:rsid w:val="6C1B4834"/>
    <w:rsid w:val="6C1D081F"/>
    <w:rsid w:val="6C1F3963"/>
    <w:rsid w:val="6C292A34"/>
    <w:rsid w:val="6C2B3C2F"/>
    <w:rsid w:val="6C305B70"/>
    <w:rsid w:val="6C553829"/>
    <w:rsid w:val="6C5A499B"/>
    <w:rsid w:val="6C5C6966"/>
    <w:rsid w:val="6C5E2742"/>
    <w:rsid w:val="6C661592"/>
    <w:rsid w:val="6C6B4DFB"/>
    <w:rsid w:val="6C700663"/>
    <w:rsid w:val="6C7A24F1"/>
    <w:rsid w:val="6C823EF2"/>
    <w:rsid w:val="6C944351"/>
    <w:rsid w:val="6C97799E"/>
    <w:rsid w:val="6C9E1E44"/>
    <w:rsid w:val="6CA34594"/>
    <w:rsid w:val="6CA4030D"/>
    <w:rsid w:val="6CB542C8"/>
    <w:rsid w:val="6CBC5656"/>
    <w:rsid w:val="6CCB5899"/>
    <w:rsid w:val="6CCE40EB"/>
    <w:rsid w:val="6CEF13E9"/>
    <w:rsid w:val="6CF941B4"/>
    <w:rsid w:val="6CFA1CDB"/>
    <w:rsid w:val="6D082649"/>
    <w:rsid w:val="6D12175F"/>
    <w:rsid w:val="6D125276"/>
    <w:rsid w:val="6D1F412E"/>
    <w:rsid w:val="6D1F5AF0"/>
    <w:rsid w:val="6D2A0812"/>
    <w:rsid w:val="6D390A55"/>
    <w:rsid w:val="6D3C2A0F"/>
    <w:rsid w:val="6D401DE3"/>
    <w:rsid w:val="6D42342C"/>
    <w:rsid w:val="6D45564C"/>
    <w:rsid w:val="6D4573FA"/>
    <w:rsid w:val="6D486EEA"/>
    <w:rsid w:val="6D4F320D"/>
    <w:rsid w:val="6D513FF0"/>
    <w:rsid w:val="6D521B17"/>
    <w:rsid w:val="6D594C53"/>
    <w:rsid w:val="6D68133A"/>
    <w:rsid w:val="6D6A3304"/>
    <w:rsid w:val="6D6F26C8"/>
    <w:rsid w:val="6D8617C0"/>
    <w:rsid w:val="6D967C55"/>
    <w:rsid w:val="6D9A775D"/>
    <w:rsid w:val="6D9D7236"/>
    <w:rsid w:val="6DA305C4"/>
    <w:rsid w:val="6DA57E98"/>
    <w:rsid w:val="6DA71E62"/>
    <w:rsid w:val="6DAA1953"/>
    <w:rsid w:val="6DB36353"/>
    <w:rsid w:val="6DB70F9A"/>
    <w:rsid w:val="6DBD1686"/>
    <w:rsid w:val="6DC01176"/>
    <w:rsid w:val="6DC36570"/>
    <w:rsid w:val="6DC42A14"/>
    <w:rsid w:val="6DC8062D"/>
    <w:rsid w:val="6DCE5641"/>
    <w:rsid w:val="6DD4077E"/>
    <w:rsid w:val="6DD662A4"/>
    <w:rsid w:val="6DE704B1"/>
    <w:rsid w:val="6DE9247B"/>
    <w:rsid w:val="6DED0C6F"/>
    <w:rsid w:val="6DF90DFC"/>
    <w:rsid w:val="6E0A419F"/>
    <w:rsid w:val="6E14501E"/>
    <w:rsid w:val="6E1D76E4"/>
    <w:rsid w:val="6E1F5E9D"/>
    <w:rsid w:val="6E201C15"/>
    <w:rsid w:val="6E205C8E"/>
    <w:rsid w:val="6E250FD9"/>
    <w:rsid w:val="6E2711F5"/>
    <w:rsid w:val="6E3336F6"/>
    <w:rsid w:val="6E3F02ED"/>
    <w:rsid w:val="6E5042A8"/>
    <w:rsid w:val="6E544C48"/>
    <w:rsid w:val="6E557B10"/>
    <w:rsid w:val="6E67178A"/>
    <w:rsid w:val="6E6935BC"/>
    <w:rsid w:val="6E71421E"/>
    <w:rsid w:val="6E851A78"/>
    <w:rsid w:val="6E855978"/>
    <w:rsid w:val="6E8B1784"/>
    <w:rsid w:val="6E8C2568"/>
    <w:rsid w:val="6E8D0C39"/>
    <w:rsid w:val="6E8D72AA"/>
    <w:rsid w:val="6E91666F"/>
    <w:rsid w:val="6E930639"/>
    <w:rsid w:val="6E9315D8"/>
    <w:rsid w:val="6E9323E7"/>
    <w:rsid w:val="6EA91C0A"/>
    <w:rsid w:val="6EA939B8"/>
    <w:rsid w:val="6EAA1AE9"/>
    <w:rsid w:val="6EBA3E17"/>
    <w:rsid w:val="6EC922AC"/>
    <w:rsid w:val="6ECF6B20"/>
    <w:rsid w:val="6ED44ED9"/>
    <w:rsid w:val="6ED54165"/>
    <w:rsid w:val="6ED8429D"/>
    <w:rsid w:val="6EDC3D8E"/>
    <w:rsid w:val="6EE36ECA"/>
    <w:rsid w:val="6EEE586F"/>
    <w:rsid w:val="6EEF1D13"/>
    <w:rsid w:val="6EF410D7"/>
    <w:rsid w:val="6EF56BFD"/>
    <w:rsid w:val="6EFC61DE"/>
    <w:rsid w:val="6F0137F4"/>
    <w:rsid w:val="6F0C74B5"/>
    <w:rsid w:val="6F0F4163"/>
    <w:rsid w:val="6F0F4773"/>
    <w:rsid w:val="6F1352D6"/>
    <w:rsid w:val="6F143527"/>
    <w:rsid w:val="6F18711B"/>
    <w:rsid w:val="6F1C062E"/>
    <w:rsid w:val="6F1E6154"/>
    <w:rsid w:val="6F2179F2"/>
    <w:rsid w:val="6F347726"/>
    <w:rsid w:val="6F3657AD"/>
    <w:rsid w:val="6F3B10C9"/>
    <w:rsid w:val="6F481423"/>
    <w:rsid w:val="6F484F7F"/>
    <w:rsid w:val="6F4F630E"/>
    <w:rsid w:val="6F5161E8"/>
    <w:rsid w:val="6F541B76"/>
    <w:rsid w:val="6F551878"/>
    <w:rsid w:val="6F5B091E"/>
    <w:rsid w:val="6F631DB9"/>
    <w:rsid w:val="6F6A3147"/>
    <w:rsid w:val="6F6D2C38"/>
    <w:rsid w:val="6F715FDB"/>
    <w:rsid w:val="6F7B35A7"/>
    <w:rsid w:val="6F852BA1"/>
    <w:rsid w:val="6F865AA7"/>
    <w:rsid w:val="6F8A1C5E"/>
    <w:rsid w:val="6F8A5598"/>
    <w:rsid w:val="6F906926"/>
    <w:rsid w:val="6F963F3C"/>
    <w:rsid w:val="6F9666F7"/>
    <w:rsid w:val="6F974373"/>
    <w:rsid w:val="6FA7439C"/>
    <w:rsid w:val="6FAC3760"/>
    <w:rsid w:val="6FAF4FFE"/>
    <w:rsid w:val="6FAF7C66"/>
    <w:rsid w:val="6FB95E7D"/>
    <w:rsid w:val="6FBD3BBF"/>
    <w:rsid w:val="6FC0720B"/>
    <w:rsid w:val="6FC50CC6"/>
    <w:rsid w:val="6FC71802"/>
    <w:rsid w:val="6FC74058"/>
    <w:rsid w:val="6FC82564"/>
    <w:rsid w:val="6FC860C0"/>
    <w:rsid w:val="6FD607DD"/>
    <w:rsid w:val="6FD76303"/>
    <w:rsid w:val="6FDB2297"/>
    <w:rsid w:val="7003534A"/>
    <w:rsid w:val="70040E87"/>
    <w:rsid w:val="700C0848"/>
    <w:rsid w:val="701557A9"/>
    <w:rsid w:val="70187047"/>
    <w:rsid w:val="701D640C"/>
    <w:rsid w:val="70270AE8"/>
    <w:rsid w:val="70281CF1"/>
    <w:rsid w:val="702C664F"/>
    <w:rsid w:val="702E23C7"/>
    <w:rsid w:val="703D260A"/>
    <w:rsid w:val="704008C4"/>
    <w:rsid w:val="70452BBF"/>
    <w:rsid w:val="704871A4"/>
    <w:rsid w:val="70497201"/>
    <w:rsid w:val="704A2F79"/>
    <w:rsid w:val="704E4817"/>
    <w:rsid w:val="70592DFA"/>
    <w:rsid w:val="70694F36"/>
    <w:rsid w:val="70761FC0"/>
    <w:rsid w:val="70862203"/>
    <w:rsid w:val="70877D29"/>
    <w:rsid w:val="70880C5C"/>
    <w:rsid w:val="70893AA1"/>
    <w:rsid w:val="709661BE"/>
    <w:rsid w:val="70A1703D"/>
    <w:rsid w:val="70AD1CDF"/>
    <w:rsid w:val="70B523D0"/>
    <w:rsid w:val="70BF5715"/>
    <w:rsid w:val="70D66204"/>
    <w:rsid w:val="70D70CB1"/>
    <w:rsid w:val="70DC0075"/>
    <w:rsid w:val="70DD3906"/>
    <w:rsid w:val="70DE203F"/>
    <w:rsid w:val="70E44F52"/>
    <w:rsid w:val="70F058CE"/>
    <w:rsid w:val="70FB534E"/>
    <w:rsid w:val="70FF3D63"/>
    <w:rsid w:val="7101188A"/>
    <w:rsid w:val="71031AA6"/>
    <w:rsid w:val="71033854"/>
    <w:rsid w:val="71050FEB"/>
    <w:rsid w:val="71080E6A"/>
    <w:rsid w:val="7109479F"/>
    <w:rsid w:val="710D46D2"/>
    <w:rsid w:val="711D243B"/>
    <w:rsid w:val="7121017E"/>
    <w:rsid w:val="713734FD"/>
    <w:rsid w:val="71394751"/>
    <w:rsid w:val="714479C8"/>
    <w:rsid w:val="714B6FA9"/>
    <w:rsid w:val="71551BD5"/>
    <w:rsid w:val="7157594D"/>
    <w:rsid w:val="71755DD4"/>
    <w:rsid w:val="718030F6"/>
    <w:rsid w:val="71836742"/>
    <w:rsid w:val="718801FD"/>
    <w:rsid w:val="719B076B"/>
    <w:rsid w:val="719C5A56"/>
    <w:rsid w:val="71A05546"/>
    <w:rsid w:val="71BC3A02"/>
    <w:rsid w:val="71C07997"/>
    <w:rsid w:val="71C160BF"/>
    <w:rsid w:val="71C54FAD"/>
    <w:rsid w:val="71D40D4C"/>
    <w:rsid w:val="71DC2403"/>
    <w:rsid w:val="71EF202A"/>
    <w:rsid w:val="71F80EDE"/>
    <w:rsid w:val="71FE226D"/>
    <w:rsid w:val="7205184D"/>
    <w:rsid w:val="72095CA7"/>
    <w:rsid w:val="720D24B0"/>
    <w:rsid w:val="72124F11"/>
    <w:rsid w:val="721B4BCD"/>
    <w:rsid w:val="72200435"/>
    <w:rsid w:val="72225F5B"/>
    <w:rsid w:val="72226347"/>
    <w:rsid w:val="722825CE"/>
    <w:rsid w:val="7231619E"/>
    <w:rsid w:val="723839D1"/>
    <w:rsid w:val="724908EF"/>
    <w:rsid w:val="724C4D86"/>
    <w:rsid w:val="72587BCF"/>
    <w:rsid w:val="726041FC"/>
    <w:rsid w:val="72735F06"/>
    <w:rsid w:val="727367B7"/>
    <w:rsid w:val="72785B7B"/>
    <w:rsid w:val="728B1D53"/>
    <w:rsid w:val="728D396E"/>
    <w:rsid w:val="728E539F"/>
    <w:rsid w:val="729130E1"/>
    <w:rsid w:val="72A050D2"/>
    <w:rsid w:val="72A5093A"/>
    <w:rsid w:val="72AB41A3"/>
    <w:rsid w:val="72BA1364"/>
    <w:rsid w:val="72C74D55"/>
    <w:rsid w:val="72CA214F"/>
    <w:rsid w:val="72D07765"/>
    <w:rsid w:val="72D82ABE"/>
    <w:rsid w:val="72EC7281"/>
    <w:rsid w:val="730C2768"/>
    <w:rsid w:val="731358A4"/>
    <w:rsid w:val="7318110C"/>
    <w:rsid w:val="7329331A"/>
    <w:rsid w:val="73337CF4"/>
    <w:rsid w:val="73380665"/>
    <w:rsid w:val="733817AF"/>
    <w:rsid w:val="73393BC2"/>
    <w:rsid w:val="734939BC"/>
    <w:rsid w:val="734D708D"/>
    <w:rsid w:val="7355410F"/>
    <w:rsid w:val="7358775B"/>
    <w:rsid w:val="735F0AE9"/>
    <w:rsid w:val="73643779"/>
    <w:rsid w:val="73683E42"/>
    <w:rsid w:val="736B7A45"/>
    <w:rsid w:val="737547B1"/>
    <w:rsid w:val="737B44DB"/>
    <w:rsid w:val="73842E33"/>
    <w:rsid w:val="73886292"/>
    <w:rsid w:val="73A979E7"/>
    <w:rsid w:val="73B01345"/>
    <w:rsid w:val="73B61051"/>
    <w:rsid w:val="73BC5F3C"/>
    <w:rsid w:val="73BE3A62"/>
    <w:rsid w:val="73C3376E"/>
    <w:rsid w:val="73D310AD"/>
    <w:rsid w:val="73EA2AA9"/>
    <w:rsid w:val="740A6CA7"/>
    <w:rsid w:val="741E0795"/>
    <w:rsid w:val="74262B1B"/>
    <w:rsid w:val="742A559B"/>
    <w:rsid w:val="743401C8"/>
    <w:rsid w:val="7439758C"/>
    <w:rsid w:val="743C0E2B"/>
    <w:rsid w:val="74477EFB"/>
    <w:rsid w:val="744D3038"/>
    <w:rsid w:val="745D14CD"/>
    <w:rsid w:val="745E5245"/>
    <w:rsid w:val="74602D6B"/>
    <w:rsid w:val="747F1F65"/>
    <w:rsid w:val="748D1686"/>
    <w:rsid w:val="748E5B2A"/>
    <w:rsid w:val="74921477"/>
    <w:rsid w:val="74934EEE"/>
    <w:rsid w:val="74994799"/>
    <w:rsid w:val="749A6048"/>
    <w:rsid w:val="74A40EAA"/>
    <w:rsid w:val="74A54C22"/>
    <w:rsid w:val="74A6094A"/>
    <w:rsid w:val="74A9506F"/>
    <w:rsid w:val="74B56DE6"/>
    <w:rsid w:val="74CC21DF"/>
    <w:rsid w:val="74DA4EC7"/>
    <w:rsid w:val="74E16F35"/>
    <w:rsid w:val="74E27C24"/>
    <w:rsid w:val="74E41BEE"/>
    <w:rsid w:val="74EA0887"/>
    <w:rsid w:val="74EE0377"/>
    <w:rsid w:val="74F10414"/>
    <w:rsid w:val="74FA4F6E"/>
    <w:rsid w:val="750202C6"/>
    <w:rsid w:val="750951B1"/>
    <w:rsid w:val="750C6A4F"/>
    <w:rsid w:val="750E6C6B"/>
    <w:rsid w:val="75181898"/>
    <w:rsid w:val="75226272"/>
    <w:rsid w:val="75287D2D"/>
    <w:rsid w:val="752A2916"/>
    <w:rsid w:val="752B5127"/>
    <w:rsid w:val="752C5404"/>
    <w:rsid w:val="75377F70"/>
    <w:rsid w:val="753D30AC"/>
    <w:rsid w:val="753F3D93"/>
    <w:rsid w:val="754C32EF"/>
    <w:rsid w:val="75502DDF"/>
    <w:rsid w:val="75504B8E"/>
    <w:rsid w:val="75530B22"/>
    <w:rsid w:val="75532D3D"/>
    <w:rsid w:val="755521A4"/>
    <w:rsid w:val="7557416E"/>
    <w:rsid w:val="755A5A0C"/>
    <w:rsid w:val="756568C4"/>
    <w:rsid w:val="75662603"/>
    <w:rsid w:val="75676A54"/>
    <w:rsid w:val="75703482"/>
    <w:rsid w:val="757A4300"/>
    <w:rsid w:val="75874327"/>
    <w:rsid w:val="758805C2"/>
    <w:rsid w:val="7588697C"/>
    <w:rsid w:val="75907680"/>
    <w:rsid w:val="75917749"/>
    <w:rsid w:val="759C7DD3"/>
    <w:rsid w:val="759D2199"/>
    <w:rsid w:val="759E1D9D"/>
    <w:rsid w:val="75B710B1"/>
    <w:rsid w:val="75B94E29"/>
    <w:rsid w:val="75BF2B4D"/>
    <w:rsid w:val="75C5557C"/>
    <w:rsid w:val="75CD61DE"/>
    <w:rsid w:val="75D5165F"/>
    <w:rsid w:val="75DE03EB"/>
    <w:rsid w:val="75EF25F8"/>
    <w:rsid w:val="75F04612"/>
    <w:rsid w:val="75FA2D4B"/>
    <w:rsid w:val="75FA6B54"/>
    <w:rsid w:val="75FC6AC3"/>
    <w:rsid w:val="76085468"/>
    <w:rsid w:val="760C31AA"/>
    <w:rsid w:val="761738FD"/>
    <w:rsid w:val="761F2330"/>
    <w:rsid w:val="762F6E99"/>
    <w:rsid w:val="7630676D"/>
    <w:rsid w:val="763149BF"/>
    <w:rsid w:val="763418B6"/>
    <w:rsid w:val="76373F9F"/>
    <w:rsid w:val="763B75EC"/>
    <w:rsid w:val="763C15B6"/>
    <w:rsid w:val="763E532E"/>
    <w:rsid w:val="763F26D5"/>
    <w:rsid w:val="764010A6"/>
    <w:rsid w:val="764D0528"/>
    <w:rsid w:val="765C7562"/>
    <w:rsid w:val="76621CC3"/>
    <w:rsid w:val="76654B32"/>
    <w:rsid w:val="766C1E9B"/>
    <w:rsid w:val="7675420C"/>
    <w:rsid w:val="76764AC8"/>
    <w:rsid w:val="767B3E8C"/>
    <w:rsid w:val="767F390C"/>
    <w:rsid w:val="768014A2"/>
    <w:rsid w:val="76856AB9"/>
    <w:rsid w:val="768677C8"/>
    <w:rsid w:val="768F5B89"/>
    <w:rsid w:val="76992564"/>
    <w:rsid w:val="769A6A08"/>
    <w:rsid w:val="76A2766B"/>
    <w:rsid w:val="76B4739E"/>
    <w:rsid w:val="76B87FD9"/>
    <w:rsid w:val="76BB697E"/>
    <w:rsid w:val="76C05D43"/>
    <w:rsid w:val="76C82F19"/>
    <w:rsid w:val="76CE28E0"/>
    <w:rsid w:val="76DD4F9D"/>
    <w:rsid w:val="76E540EA"/>
    <w:rsid w:val="76EA2DC0"/>
    <w:rsid w:val="76EF03D6"/>
    <w:rsid w:val="76EF302D"/>
    <w:rsid w:val="76F854DD"/>
    <w:rsid w:val="76FC0093"/>
    <w:rsid w:val="76FD2AF3"/>
    <w:rsid w:val="76FD6F97"/>
    <w:rsid w:val="77045A49"/>
    <w:rsid w:val="7706409E"/>
    <w:rsid w:val="77075720"/>
    <w:rsid w:val="771358E0"/>
    <w:rsid w:val="77266E5A"/>
    <w:rsid w:val="77291B31"/>
    <w:rsid w:val="772B58B2"/>
    <w:rsid w:val="773A5AF5"/>
    <w:rsid w:val="77440722"/>
    <w:rsid w:val="774B1AB0"/>
    <w:rsid w:val="774B7D02"/>
    <w:rsid w:val="775C7088"/>
    <w:rsid w:val="77664B3C"/>
    <w:rsid w:val="77701354"/>
    <w:rsid w:val="77750DFA"/>
    <w:rsid w:val="777A05E8"/>
    <w:rsid w:val="7782124A"/>
    <w:rsid w:val="778925D9"/>
    <w:rsid w:val="77902D8C"/>
    <w:rsid w:val="77903967"/>
    <w:rsid w:val="779416A9"/>
    <w:rsid w:val="77955421"/>
    <w:rsid w:val="779A189F"/>
    <w:rsid w:val="779C055E"/>
    <w:rsid w:val="77A411C1"/>
    <w:rsid w:val="77A92C7B"/>
    <w:rsid w:val="77B22A41"/>
    <w:rsid w:val="77B27D81"/>
    <w:rsid w:val="77B533CE"/>
    <w:rsid w:val="77B92EBE"/>
    <w:rsid w:val="77BA6C36"/>
    <w:rsid w:val="77BC475C"/>
    <w:rsid w:val="77BE6726"/>
    <w:rsid w:val="77C67389"/>
    <w:rsid w:val="77C96E79"/>
    <w:rsid w:val="77CA50CB"/>
    <w:rsid w:val="77CB0E43"/>
    <w:rsid w:val="77CE623E"/>
    <w:rsid w:val="77D01FB6"/>
    <w:rsid w:val="77D53EB6"/>
    <w:rsid w:val="77DE549B"/>
    <w:rsid w:val="77E34CB2"/>
    <w:rsid w:val="77E458C9"/>
    <w:rsid w:val="77ED0DBA"/>
    <w:rsid w:val="77FA7033"/>
    <w:rsid w:val="77FC0FFD"/>
    <w:rsid w:val="7803238B"/>
    <w:rsid w:val="78104AA8"/>
    <w:rsid w:val="781E5417"/>
    <w:rsid w:val="781F51BA"/>
    <w:rsid w:val="78267E28"/>
    <w:rsid w:val="783562BD"/>
    <w:rsid w:val="783C1F5F"/>
    <w:rsid w:val="78414C61"/>
    <w:rsid w:val="78494544"/>
    <w:rsid w:val="78540E39"/>
    <w:rsid w:val="78574485"/>
    <w:rsid w:val="785B3680"/>
    <w:rsid w:val="785D39C4"/>
    <w:rsid w:val="78615304"/>
    <w:rsid w:val="78674E18"/>
    <w:rsid w:val="786C6182"/>
    <w:rsid w:val="787D213D"/>
    <w:rsid w:val="78882890"/>
    <w:rsid w:val="788E2C97"/>
    <w:rsid w:val="78911745"/>
    <w:rsid w:val="789456D9"/>
    <w:rsid w:val="789B0816"/>
    <w:rsid w:val="78A22E02"/>
    <w:rsid w:val="78A82F32"/>
    <w:rsid w:val="78B673FD"/>
    <w:rsid w:val="78BD69DE"/>
    <w:rsid w:val="78BF2B46"/>
    <w:rsid w:val="78CC4E73"/>
    <w:rsid w:val="78CE2F07"/>
    <w:rsid w:val="78CF04BF"/>
    <w:rsid w:val="78D635FC"/>
    <w:rsid w:val="78DB6E64"/>
    <w:rsid w:val="78DD498A"/>
    <w:rsid w:val="78E201F2"/>
    <w:rsid w:val="78E431C4"/>
    <w:rsid w:val="78E51A91"/>
    <w:rsid w:val="78E71CAD"/>
    <w:rsid w:val="78E73A5B"/>
    <w:rsid w:val="78EA354B"/>
    <w:rsid w:val="78EB4A40"/>
    <w:rsid w:val="78EF46BD"/>
    <w:rsid w:val="78F10436"/>
    <w:rsid w:val="78F9553C"/>
    <w:rsid w:val="78FA15C9"/>
    <w:rsid w:val="79053EE1"/>
    <w:rsid w:val="79061C08"/>
    <w:rsid w:val="790740FD"/>
    <w:rsid w:val="79076F20"/>
    <w:rsid w:val="790C7B25"/>
    <w:rsid w:val="790E548B"/>
    <w:rsid w:val="791660EE"/>
    <w:rsid w:val="791B54B2"/>
    <w:rsid w:val="79222CE5"/>
    <w:rsid w:val="793547C6"/>
    <w:rsid w:val="793B7903"/>
    <w:rsid w:val="793D7B1F"/>
    <w:rsid w:val="7940316B"/>
    <w:rsid w:val="794762A8"/>
    <w:rsid w:val="794C38BE"/>
    <w:rsid w:val="79646E59"/>
    <w:rsid w:val="79674B9C"/>
    <w:rsid w:val="796C6682"/>
    <w:rsid w:val="797F0137"/>
    <w:rsid w:val="7984574E"/>
    <w:rsid w:val="79892D64"/>
    <w:rsid w:val="798C63B0"/>
    <w:rsid w:val="79915775"/>
    <w:rsid w:val="79935991"/>
    <w:rsid w:val="799C4845"/>
    <w:rsid w:val="79A436FA"/>
    <w:rsid w:val="79A8143C"/>
    <w:rsid w:val="79B37DE1"/>
    <w:rsid w:val="79BB696B"/>
    <w:rsid w:val="79BC6C95"/>
    <w:rsid w:val="79BD47BC"/>
    <w:rsid w:val="79BD656A"/>
    <w:rsid w:val="79D12015"/>
    <w:rsid w:val="79DC3986"/>
    <w:rsid w:val="79DE4E5E"/>
    <w:rsid w:val="79F72FA5"/>
    <w:rsid w:val="79F944AF"/>
    <w:rsid w:val="79FF6B82"/>
    <w:rsid w:val="7A08012D"/>
    <w:rsid w:val="7A1A1C0E"/>
    <w:rsid w:val="7A1A39BC"/>
    <w:rsid w:val="7A217A83"/>
    <w:rsid w:val="7A2F69EB"/>
    <w:rsid w:val="7A320D06"/>
    <w:rsid w:val="7A3C7DD6"/>
    <w:rsid w:val="7A41363F"/>
    <w:rsid w:val="7A4413F9"/>
    <w:rsid w:val="7A5711E4"/>
    <w:rsid w:val="7A69611D"/>
    <w:rsid w:val="7A707A80"/>
    <w:rsid w:val="7A7255A6"/>
    <w:rsid w:val="7A7C4677"/>
    <w:rsid w:val="7A822D65"/>
    <w:rsid w:val="7A83640D"/>
    <w:rsid w:val="7A8377B3"/>
    <w:rsid w:val="7A85352B"/>
    <w:rsid w:val="7A9E639B"/>
    <w:rsid w:val="7AA8721A"/>
    <w:rsid w:val="7AAA11E4"/>
    <w:rsid w:val="7AB21E46"/>
    <w:rsid w:val="7ABA315E"/>
    <w:rsid w:val="7ABB519F"/>
    <w:rsid w:val="7ACA3BF4"/>
    <w:rsid w:val="7ACD0A2E"/>
    <w:rsid w:val="7AD16771"/>
    <w:rsid w:val="7AD93877"/>
    <w:rsid w:val="7ADE49EA"/>
    <w:rsid w:val="7AE75F94"/>
    <w:rsid w:val="7AEA0E27"/>
    <w:rsid w:val="7AF406B1"/>
    <w:rsid w:val="7AF91823"/>
    <w:rsid w:val="7AF95CC7"/>
    <w:rsid w:val="7AFB1A3F"/>
    <w:rsid w:val="7B002BB2"/>
    <w:rsid w:val="7B070788"/>
    <w:rsid w:val="7B072192"/>
    <w:rsid w:val="7B152B01"/>
    <w:rsid w:val="7B164183"/>
    <w:rsid w:val="7B212CD8"/>
    <w:rsid w:val="7B276391"/>
    <w:rsid w:val="7B2E06D9"/>
    <w:rsid w:val="7B2E3BC3"/>
    <w:rsid w:val="7B382ECC"/>
    <w:rsid w:val="7B3867F0"/>
    <w:rsid w:val="7B5D6256"/>
    <w:rsid w:val="7B66335D"/>
    <w:rsid w:val="7B735A7A"/>
    <w:rsid w:val="7B845591"/>
    <w:rsid w:val="7B875081"/>
    <w:rsid w:val="7B9D48A5"/>
    <w:rsid w:val="7B9E70C4"/>
    <w:rsid w:val="7BAF6112"/>
    <w:rsid w:val="7BB37C24"/>
    <w:rsid w:val="7BBE1FE9"/>
    <w:rsid w:val="7BC6204D"/>
    <w:rsid w:val="7BCE4A5E"/>
    <w:rsid w:val="7BD04C7A"/>
    <w:rsid w:val="7BDA1655"/>
    <w:rsid w:val="7BE6624C"/>
    <w:rsid w:val="7BE82AF8"/>
    <w:rsid w:val="7BEF255B"/>
    <w:rsid w:val="7BF30969"/>
    <w:rsid w:val="7BFF2E69"/>
    <w:rsid w:val="7C016BE2"/>
    <w:rsid w:val="7C1728A9"/>
    <w:rsid w:val="7C1A5EF5"/>
    <w:rsid w:val="7C2154D6"/>
    <w:rsid w:val="7C2D5C29"/>
    <w:rsid w:val="7C352D2F"/>
    <w:rsid w:val="7C38637B"/>
    <w:rsid w:val="7C391BF1"/>
    <w:rsid w:val="7C3B575E"/>
    <w:rsid w:val="7C482A62"/>
    <w:rsid w:val="7C4A702F"/>
    <w:rsid w:val="7C501917"/>
    <w:rsid w:val="7C5533D1"/>
    <w:rsid w:val="7C556F2D"/>
    <w:rsid w:val="7C63789C"/>
    <w:rsid w:val="7C662EE9"/>
    <w:rsid w:val="7C6F7FEF"/>
    <w:rsid w:val="7C735E4E"/>
    <w:rsid w:val="7C7A6994"/>
    <w:rsid w:val="7C817D22"/>
    <w:rsid w:val="7C823224"/>
    <w:rsid w:val="7C857813"/>
    <w:rsid w:val="7C8E41ED"/>
    <w:rsid w:val="7C913F6E"/>
    <w:rsid w:val="7C9366BF"/>
    <w:rsid w:val="7C945CA8"/>
    <w:rsid w:val="7CA53A11"/>
    <w:rsid w:val="7CA81753"/>
    <w:rsid w:val="7CA83501"/>
    <w:rsid w:val="7CB202E4"/>
    <w:rsid w:val="7CC3658D"/>
    <w:rsid w:val="7CCC5441"/>
    <w:rsid w:val="7CCD2F68"/>
    <w:rsid w:val="7CD24A22"/>
    <w:rsid w:val="7CD67231"/>
    <w:rsid w:val="7CD73DE6"/>
    <w:rsid w:val="7CD75B94"/>
    <w:rsid w:val="7CDD6540"/>
    <w:rsid w:val="7CE50319"/>
    <w:rsid w:val="7CE64029"/>
    <w:rsid w:val="7CE85FF3"/>
    <w:rsid w:val="7CED7166"/>
    <w:rsid w:val="7CF91FAF"/>
    <w:rsid w:val="7D032E2D"/>
    <w:rsid w:val="7D071AF5"/>
    <w:rsid w:val="7D0C5A4B"/>
    <w:rsid w:val="7D0F3580"/>
    <w:rsid w:val="7D127336"/>
    <w:rsid w:val="7D1312C2"/>
    <w:rsid w:val="7D2012E9"/>
    <w:rsid w:val="7D2C7C8E"/>
    <w:rsid w:val="7D394FD8"/>
    <w:rsid w:val="7D40198C"/>
    <w:rsid w:val="7D4274B2"/>
    <w:rsid w:val="7D4551F4"/>
    <w:rsid w:val="7D483D11"/>
    <w:rsid w:val="7D4B007D"/>
    <w:rsid w:val="7D5F62B6"/>
    <w:rsid w:val="7D603DDC"/>
    <w:rsid w:val="7D605B8A"/>
    <w:rsid w:val="7D6733BC"/>
    <w:rsid w:val="7D7E7646"/>
    <w:rsid w:val="7D8201F6"/>
    <w:rsid w:val="7D8775BA"/>
    <w:rsid w:val="7D893333"/>
    <w:rsid w:val="7D8E6B9B"/>
    <w:rsid w:val="7D910439"/>
    <w:rsid w:val="7D9615AC"/>
    <w:rsid w:val="7D9817C8"/>
    <w:rsid w:val="7DA87DDC"/>
    <w:rsid w:val="7DAE414F"/>
    <w:rsid w:val="7DBD3EFF"/>
    <w:rsid w:val="7DBD6776"/>
    <w:rsid w:val="7DC26738"/>
    <w:rsid w:val="7DCC01A6"/>
    <w:rsid w:val="7DCF4ABD"/>
    <w:rsid w:val="7DD345AE"/>
    <w:rsid w:val="7DE35D0B"/>
    <w:rsid w:val="7DFC1D56"/>
    <w:rsid w:val="7DFD787D"/>
    <w:rsid w:val="7E053F8D"/>
    <w:rsid w:val="7E0A5DEF"/>
    <w:rsid w:val="7E12157A"/>
    <w:rsid w:val="7E1D36F5"/>
    <w:rsid w:val="7E290672"/>
    <w:rsid w:val="7E3D5ECB"/>
    <w:rsid w:val="7E3E236F"/>
    <w:rsid w:val="7E4159BB"/>
    <w:rsid w:val="7E437985"/>
    <w:rsid w:val="7E4436FD"/>
    <w:rsid w:val="7E461224"/>
    <w:rsid w:val="7E4E1E86"/>
    <w:rsid w:val="7E505BFE"/>
    <w:rsid w:val="7E520B21"/>
    <w:rsid w:val="7E521976"/>
    <w:rsid w:val="7E573431"/>
    <w:rsid w:val="7E5751DF"/>
    <w:rsid w:val="7E617E0B"/>
    <w:rsid w:val="7E6A3164"/>
    <w:rsid w:val="7E723DC7"/>
    <w:rsid w:val="7E75623E"/>
    <w:rsid w:val="7E971A7F"/>
    <w:rsid w:val="7E972C19"/>
    <w:rsid w:val="7E977CD1"/>
    <w:rsid w:val="7E9A476E"/>
    <w:rsid w:val="7E9A6B5E"/>
    <w:rsid w:val="7EAF6DC9"/>
    <w:rsid w:val="7EB22415"/>
    <w:rsid w:val="7EBA751C"/>
    <w:rsid w:val="7EBB0C6A"/>
    <w:rsid w:val="7EBB2BFC"/>
    <w:rsid w:val="7EBC3294"/>
    <w:rsid w:val="7ECD54A1"/>
    <w:rsid w:val="7ED54355"/>
    <w:rsid w:val="7ED93E46"/>
    <w:rsid w:val="7EEE727B"/>
    <w:rsid w:val="7EF23159"/>
    <w:rsid w:val="7EF667A6"/>
    <w:rsid w:val="7EF742CC"/>
    <w:rsid w:val="7EFC5D86"/>
    <w:rsid w:val="7F052E8D"/>
    <w:rsid w:val="7F0810A0"/>
    <w:rsid w:val="7F0C421B"/>
    <w:rsid w:val="7F196938"/>
    <w:rsid w:val="7F1B7FBA"/>
    <w:rsid w:val="7F203823"/>
    <w:rsid w:val="7F272E03"/>
    <w:rsid w:val="7F286B7B"/>
    <w:rsid w:val="7F2C7BF1"/>
    <w:rsid w:val="7F2E4837"/>
    <w:rsid w:val="7F323556"/>
    <w:rsid w:val="7F427C3D"/>
    <w:rsid w:val="7F460DAF"/>
    <w:rsid w:val="7F4E6CBE"/>
    <w:rsid w:val="7F58120E"/>
    <w:rsid w:val="7F6E4E40"/>
    <w:rsid w:val="7F736048"/>
    <w:rsid w:val="7F7818B1"/>
    <w:rsid w:val="7F7E2419"/>
    <w:rsid w:val="7F802A63"/>
    <w:rsid w:val="7F8457DC"/>
    <w:rsid w:val="7F8519C2"/>
    <w:rsid w:val="7F856BE9"/>
    <w:rsid w:val="7F857B2A"/>
    <w:rsid w:val="7F871AF4"/>
    <w:rsid w:val="7F8F6BFA"/>
    <w:rsid w:val="7F912972"/>
    <w:rsid w:val="7F9164CE"/>
    <w:rsid w:val="7F932247"/>
    <w:rsid w:val="7F945FBF"/>
    <w:rsid w:val="7F9A1827"/>
    <w:rsid w:val="7F9E0BEB"/>
    <w:rsid w:val="7FB81CAD"/>
    <w:rsid w:val="7FC40652"/>
    <w:rsid w:val="7FC543CA"/>
    <w:rsid w:val="7FC56178"/>
    <w:rsid w:val="7FCA19E0"/>
    <w:rsid w:val="7FCE327F"/>
    <w:rsid w:val="7FD12D6F"/>
    <w:rsid w:val="7FE26D2A"/>
    <w:rsid w:val="7FE42AA2"/>
    <w:rsid w:val="7FF32CE5"/>
    <w:rsid w:val="7FF60A27"/>
    <w:rsid w:val="7FFF78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4"/>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6"/>
    <w:autoRedefine/>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6"/>
    <w:autoRedefine/>
    <w:qFormat/>
    <w:uiPriority w:val="99"/>
    <w:pPr>
      <w:tabs>
        <w:tab w:val="left" w:pos="588"/>
      </w:tabs>
      <w:spacing w:line="360" w:lineRule="auto"/>
      <w:outlineLvl w:val="2"/>
    </w:pPr>
    <w:rPr>
      <w:rFonts w:ascii="Tahoma" w:hAnsi="Tahoma"/>
    </w:rPr>
  </w:style>
  <w:style w:type="paragraph" w:styleId="7">
    <w:name w:val="heading 4"/>
    <w:basedOn w:val="1"/>
    <w:next w:val="1"/>
    <w:link w:val="143"/>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5"/>
    <w:autoRedefine/>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6"/>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6"/>
    <w:autoRedefine/>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11"/>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8"/>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7"/>
    <w:autoRedefine/>
    <w:qFormat/>
    <w:uiPriority w:val="99"/>
    <w:pPr>
      <w:spacing w:line="360" w:lineRule="auto"/>
    </w:pPr>
    <w:rPr>
      <w:rFonts w:ascii="Tahoma" w:hAnsi="Tahoma"/>
    </w:rPr>
  </w:style>
  <w:style w:type="paragraph" w:styleId="6">
    <w:name w:val="Normal Indent"/>
    <w:basedOn w:val="1"/>
    <w:link w:val="139"/>
    <w:autoRedefine/>
    <w:qFormat/>
    <w:uiPriority w:val="0"/>
    <w:pPr>
      <w:spacing w:line="360" w:lineRule="auto"/>
      <w:ind w:firstLine="200" w:firstLineChars="200"/>
    </w:pPr>
    <w:rPr>
      <w:sz w:val="24"/>
      <w:szCs w:val="20"/>
    </w:rPr>
  </w:style>
  <w:style w:type="paragraph" w:styleId="13">
    <w:name w:val="toc 7"/>
    <w:basedOn w:val="1"/>
    <w:next w:val="1"/>
    <w:autoRedefine/>
    <w:qFormat/>
    <w:uiPriority w:val="39"/>
    <w:pPr>
      <w:spacing w:line="440" w:lineRule="exact"/>
      <w:ind w:left="1680"/>
      <w:jc w:val="left"/>
    </w:pPr>
    <w:rPr>
      <w:rFonts w:ascii="Calibri" w:hAnsi="Calibri"/>
      <w:sz w:val="18"/>
      <w:szCs w:val="18"/>
    </w:rPr>
  </w:style>
  <w:style w:type="paragraph" w:styleId="14">
    <w:name w:val="Note Heading"/>
    <w:basedOn w:val="15"/>
    <w:next w:val="15"/>
    <w:link w:val="203"/>
    <w:autoRedefine/>
    <w:qFormat/>
    <w:uiPriority w:val="0"/>
    <w:rPr>
      <w:rFonts w:ascii="..ì." w:eastAsia="..ì." w:cs="Times New Roman"/>
      <w:color w:val="auto"/>
      <w:szCs w:val="20"/>
    </w:rPr>
  </w:style>
  <w:style w:type="paragraph" w:customStyle="1" w:styleId="15">
    <w:name w:val="Default"/>
    <w:autoRedefine/>
    <w:qFormat/>
    <w:uiPriority w:val="99"/>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7"/>
    <w:autoRedefine/>
    <w:qFormat/>
    <w:uiPriority w:val="0"/>
    <w:pPr>
      <w:spacing w:line="480" w:lineRule="auto"/>
    </w:pPr>
    <w:rPr>
      <w:rFonts w:ascii="华文中宋" w:eastAsia="华文中宋"/>
      <w:sz w:val="36"/>
      <w:szCs w:val="20"/>
    </w:rPr>
  </w:style>
  <w:style w:type="paragraph" w:styleId="17">
    <w:name w:val="index 5"/>
    <w:basedOn w:val="1"/>
    <w:next w:val="1"/>
    <w:autoRedefine/>
    <w:qFormat/>
    <w:uiPriority w:val="99"/>
    <w:pPr>
      <w:ind w:left="800" w:leftChars="800"/>
    </w:pPr>
    <w:rPr>
      <w:rFonts w:eastAsia="宋体"/>
    </w:rPr>
  </w:style>
  <w:style w:type="paragraph" w:styleId="18">
    <w:name w:val="Document Map"/>
    <w:basedOn w:val="1"/>
    <w:link w:val="133"/>
    <w:autoRedefine/>
    <w:qFormat/>
    <w:uiPriority w:val="99"/>
    <w:pPr>
      <w:spacing w:line="440" w:lineRule="exact"/>
    </w:pPr>
    <w:rPr>
      <w:rFonts w:ascii="宋体"/>
      <w:sz w:val="18"/>
      <w:szCs w:val="18"/>
    </w:rPr>
  </w:style>
  <w:style w:type="paragraph" w:styleId="19">
    <w:name w:val="toa heading"/>
    <w:basedOn w:val="1"/>
    <w:next w:val="1"/>
    <w:autoRedefine/>
    <w:unhideWhenUsed/>
    <w:qFormat/>
    <w:uiPriority w:val="99"/>
    <w:pPr>
      <w:spacing w:before="120"/>
    </w:pPr>
    <w:rPr>
      <w:rFonts w:ascii="Cambria" w:hAnsi="Cambria" w:eastAsia="宋体"/>
      <w:sz w:val="24"/>
    </w:rPr>
  </w:style>
  <w:style w:type="paragraph" w:styleId="20">
    <w:name w:val="annotation text"/>
    <w:basedOn w:val="1"/>
    <w:link w:val="103"/>
    <w:autoRedefine/>
    <w:qFormat/>
    <w:uiPriority w:val="0"/>
    <w:pPr>
      <w:jc w:val="left"/>
    </w:pPr>
    <w:rPr>
      <w:rFonts w:ascii="Tahoma" w:hAnsi="Tahoma"/>
    </w:rPr>
  </w:style>
  <w:style w:type="paragraph" w:styleId="21">
    <w:name w:val="Salutation"/>
    <w:basedOn w:val="15"/>
    <w:next w:val="15"/>
    <w:link w:val="202"/>
    <w:autoRedefine/>
    <w:qFormat/>
    <w:uiPriority w:val="0"/>
    <w:rPr>
      <w:rFonts w:ascii="..ì." w:eastAsia="..ì." w:cs="Times New Roman"/>
      <w:color w:val="auto"/>
      <w:szCs w:val="20"/>
    </w:rPr>
  </w:style>
  <w:style w:type="paragraph" w:styleId="22">
    <w:name w:val="Body Text 3"/>
    <w:basedOn w:val="1"/>
    <w:link w:val="210"/>
    <w:autoRedefine/>
    <w:qFormat/>
    <w:uiPriority w:val="99"/>
    <w:pPr>
      <w:spacing w:after="120"/>
    </w:pPr>
    <w:rPr>
      <w:rFonts w:eastAsia="宋体"/>
      <w:sz w:val="16"/>
      <w:szCs w:val="16"/>
    </w:rPr>
  </w:style>
  <w:style w:type="paragraph" w:styleId="23">
    <w:name w:val="Body Text Indent"/>
    <w:basedOn w:val="1"/>
    <w:link w:val="169"/>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4"/>
    <w:autoRedefine/>
    <w:qFormat/>
    <w:uiPriority w:val="0"/>
    <w:pPr>
      <w:spacing w:line="360" w:lineRule="auto"/>
    </w:pPr>
    <w:rPr>
      <w:rFonts w:ascii="宋体" w:hAnsi="Courier New"/>
      <w:szCs w:val="21"/>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200"/>
    <w:autoRedefine/>
    <w:qFormat/>
    <w:uiPriority w:val="99"/>
    <w:pPr>
      <w:spacing w:line="360" w:lineRule="auto"/>
      <w:ind w:left="2500" w:leftChars="2500"/>
    </w:pPr>
    <w:rPr>
      <w:rFonts w:ascii="Tahoma" w:hAnsi="Tahoma"/>
    </w:rPr>
  </w:style>
  <w:style w:type="paragraph" w:styleId="31">
    <w:name w:val="Body Text Indent 2"/>
    <w:basedOn w:val="1"/>
    <w:link w:val="165"/>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9"/>
    <w:autoRedefine/>
    <w:qFormat/>
    <w:uiPriority w:val="0"/>
    <w:rPr>
      <w:sz w:val="18"/>
      <w:szCs w:val="18"/>
    </w:rPr>
  </w:style>
  <w:style w:type="paragraph" w:styleId="33">
    <w:name w:val="footer"/>
    <w:basedOn w:val="1"/>
    <w:link w:val="140"/>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5"/>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13"/>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71"/>
    <w:autoRedefine/>
    <w:qFormat/>
    <w:uiPriority w:val="99"/>
    <w:pPr>
      <w:spacing w:line="360" w:lineRule="auto"/>
      <w:ind w:right="26"/>
    </w:pPr>
    <w:rPr>
      <w:rFonts w:ascii="宋体" w:eastAsia="宋体"/>
      <w:szCs w:val="20"/>
    </w:rPr>
  </w:style>
  <w:style w:type="paragraph" w:styleId="43">
    <w:name w:val="HTML Preformatted"/>
    <w:basedOn w:val="1"/>
    <w:link w:val="29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7"/>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31"/>
    <w:autoRedefine/>
    <w:unhideWhenUsed/>
    <w:qFormat/>
    <w:uiPriority w:val="99"/>
    <w:pPr>
      <w:spacing w:line="440" w:lineRule="exact"/>
    </w:pPr>
    <w:rPr>
      <w:b/>
      <w:bCs/>
      <w:sz w:val="24"/>
      <w:szCs w:val="28"/>
    </w:rPr>
  </w:style>
  <w:style w:type="paragraph" w:styleId="48">
    <w:name w:val="Body Text First Indent"/>
    <w:basedOn w:val="2"/>
    <w:link w:val="134"/>
    <w:autoRedefine/>
    <w:qFormat/>
    <w:uiPriority w:val="0"/>
    <w:pPr>
      <w:spacing w:after="120" w:line="240" w:lineRule="auto"/>
      <w:ind w:firstLine="100" w:firstLineChars="100"/>
    </w:pPr>
  </w:style>
  <w:style w:type="paragraph" w:styleId="49">
    <w:name w:val="Body Text First Indent 2"/>
    <w:basedOn w:val="23"/>
    <w:link w:val="170"/>
    <w:autoRedefine/>
    <w:qFormat/>
    <w:uiPriority w:val="99"/>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Typewriter"/>
    <w:basedOn w:val="52"/>
    <w:semiHidden/>
    <w:unhideWhenUsed/>
    <w:qFormat/>
    <w:uiPriority w:val="0"/>
    <w:rPr>
      <w:rFonts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autoRedefine/>
    <w:unhideWhenUsed/>
    <w:qFormat/>
    <w:uiPriority w:val="0"/>
  </w:style>
  <w:style w:type="character" w:styleId="61">
    <w:name w:val="Hyperlink"/>
    <w:autoRedefine/>
    <w:qFormat/>
    <w:uiPriority w:val="99"/>
    <w:rPr>
      <w:rFonts w:hint="eastAsia" w:ascii="宋体" w:hAnsi="宋体" w:eastAsia="宋体" w:cs="宋体"/>
      <w:color w:val="004A85"/>
      <w:sz w:val="12"/>
      <w:szCs w:val="12"/>
      <w:u w:val="single"/>
    </w:rPr>
  </w:style>
  <w:style w:type="character" w:styleId="62">
    <w:name w:val="HTML Code"/>
    <w:basedOn w:val="52"/>
    <w:autoRedefine/>
    <w:unhideWhenUsed/>
    <w:qFormat/>
    <w:uiPriority w:val="0"/>
    <w:rPr>
      <w:rFonts w:hint="default" w:ascii="monospace" w:hAnsi="monospace" w:eastAsia="monospace" w:cs="monospace"/>
      <w:sz w:val="20"/>
    </w:rPr>
  </w:style>
  <w:style w:type="character" w:styleId="63">
    <w:name w:val="annotation reference"/>
    <w:autoRedefine/>
    <w:qFormat/>
    <w:uiPriority w:val="99"/>
    <w:rPr>
      <w:sz w:val="21"/>
      <w:szCs w:val="21"/>
    </w:rPr>
  </w:style>
  <w:style w:type="character" w:styleId="64">
    <w:name w:val="HTML Cite"/>
    <w:autoRedefine/>
    <w:unhideWhenUsed/>
    <w:qFormat/>
    <w:uiPriority w:val="0"/>
  </w:style>
  <w:style w:type="character" w:styleId="65">
    <w:name w:val="HTML Keyboard"/>
    <w:basedOn w:val="52"/>
    <w:semiHidden/>
    <w:unhideWhenUsed/>
    <w:qFormat/>
    <w:uiPriority w:val="0"/>
    <w:rPr>
      <w:rFonts w:hint="default"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8">
    <w:name w:val="列出段落2"/>
    <w:basedOn w:val="1"/>
    <w:autoRedefine/>
    <w:unhideWhenUsed/>
    <w:qFormat/>
    <w:uiPriority w:val="0"/>
    <w:pPr>
      <w:ind w:firstLine="420" w:firstLineChars="200"/>
    </w:pPr>
  </w:style>
  <w:style w:type="paragraph" w:customStyle="1" w:styleId="69">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0">
    <w:name w:val="_Style 67"/>
    <w:basedOn w:val="1"/>
    <w:next w:val="71"/>
    <w:autoRedefine/>
    <w:qFormat/>
    <w:uiPriority w:val="99"/>
    <w:pPr>
      <w:ind w:firstLine="420" w:firstLineChars="200"/>
    </w:pPr>
    <w:rPr>
      <w:rFonts w:ascii="Calibri" w:hAnsi="Calibri"/>
      <w:szCs w:val="22"/>
    </w:rPr>
  </w:style>
  <w:style w:type="paragraph" w:styleId="71">
    <w:name w:val="List Paragraph"/>
    <w:basedOn w:val="1"/>
    <w:autoRedefine/>
    <w:qFormat/>
    <w:uiPriority w:val="99"/>
    <w:pPr>
      <w:ind w:firstLine="420" w:firstLineChars="200"/>
    </w:pPr>
    <w:rPr>
      <w:rFonts w:ascii="Calibri" w:hAnsi="Calibri" w:eastAsia="宋体"/>
      <w:szCs w:val="22"/>
    </w:rPr>
  </w:style>
  <w:style w:type="paragraph" w:customStyle="1" w:styleId="72">
    <w:name w:val="_Style 2"/>
    <w:basedOn w:val="1"/>
    <w:autoRedefine/>
    <w:qFormat/>
    <w:uiPriority w:val="34"/>
    <w:pPr>
      <w:ind w:firstLine="420" w:firstLineChars="200"/>
    </w:pPr>
    <w:rPr>
      <w:rFonts w:ascii="Calibri" w:hAnsi="Calibri"/>
      <w:szCs w:val="22"/>
    </w:rPr>
  </w:style>
  <w:style w:type="paragraph" w:customStyle="1" w:styleId="73">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4">
    <w:name w:val="TOC 标题1"/>
    <w:basedOn w:val="3"/>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5">
    <w:name w:val="封面落款"/>
    <w:basedOn w:val="1"/>
    <w:autoRedefine/>
    <w:qFormat/>
    <w:uiPriority w:val="0"/>
    <w:pPr>
      <w:spacing w:line="360" w:lineRule="auto"/>
      <w:jc w:val="center"/>
    </w:pPr>
    <w:rPr>
      <w:rFonts w:ascii="Arial" w:hAnsi="Arial" w:eastAsia="黑体"/>
      <w:sz w:val="32"/>
      <w:szCs w:val="28"/>
    </w:rPr>
  </w:style>
  <w:style w:type="paragraph" w:customStyle="1" w:styleId="76">
    <w:name w:val="目录"/>
    <w:link w:val="108"/>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7">
    <w:name w:val="表格字体小四"/>
    <w:link w:val="107"/>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8">
    <w:name w:val="样式 标题 5 + 小四"/>
    <w:basedOn w:val="8"/>
    <w:autoRedefine/>
    <w:qFormat/>
    <w:uiPriority w:val="0"/>
    <w:pPr>
      <w:tabs>
        <w:tab w:val="left" w:pos="567"/>
      </w:tabs>
      <w:wordWrap w:val="0"/>
      <w:spacing w:line="377" w:lineRule="auto"/>
      <w:ind w:left="567" w:hanging="567"/>
      <w:jc w:val="left"/>
    </w:pPr>
  </w:style>
  <w:style w:type="paragraph" w:customStyle="1" w:styleId="79">
    <w:name w:val="表格格式"/>
    <w:basedOn w:val="1"/>
    <w:autoRedefine/>
    <w:qFormat/>
    <w:uiPriority w:val="0"/>
    <w:pPr>
      <w:adjustRightInd w:val="0"/>
      <w:snapToGrid w:val="0"/>
      <w:jc w:val="left"/>
      <w:textAlignment w:val="baseline"/>
    </w:pPr>
    <w:rPr>
      <w:rFonts w:ascii="宋体"/>
      <w:kern w:val="0"/>
      <w:szCs w:val="20"/>
    </w:rPr>
  </w:style>
  <w:style w:type="paragraph" w:customStyle="1" w:styleId="80">
    <w:name w:val="样式5"/>
    <w:basedOn w:val="6"/>
    <w:autoRedefine/>
    <w:qFormat/>
    <w:uiPriority w:val="0"/>
    <w:pPr>
      <w:ind w:firstLine="420"/>
    </w:pPr>
    <w:rPr>
      <w:sz w:val="21"/>
      <w:szCs w:val="21"/>
    </w:rPr>
  </w:style>
  <w:style w:type="paragraph" w:customStyle="1" w:styleId="81">
    <w:name w:val="标题2"/>
    <w:basedOn w:val="4"/>
    <w:next w:val="1"/>
    <w:link w:val="98"/>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2">
    <w:name w:val="三级"/>
    <w:basedOn w:val="4"/>
    <w:link w:val="109"/>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3">
    <w:name w:val="样式2"/>
    <w:basedOn w:val="1"/>
    <w:link w:val="121"/>
    <w:autoRedefine/>
    <w:qFormat/>
    <w:uiPriority w:val="0"/>
    <w:pPr>
      <w:spacing w:line="300" w:lineRule="auto"/>
      <w:jc w:val="center"/>
      <w:outlineLvl w:val="0"/>
    </w:pPr>
    <w:rPr>
      <w:b/>
      <w:sz w:val="24"/>
    </w:rPr>
  </w:style>
  <w:style w:type="paragraph" w:customStyle="1" w:styleId="84">
    <w:name w:val="Char1"/>
    <w:basedOn w:val="1"/>
    <w:autoRedefine/>
    <w:qFormat/>
    <w:uiPriority w:val="0"/>
    <w:pPr>
      <w:adjustRightInd w:val="0"/>
      <w:spacing w:line="360" w:lineRule="auto"/>
    </w:pPr>
    <w:rPr>
      <w:kern w:val="0"/>
      <w:sz w:val="24"/>
      <w:szCs w:val="20"/>
    </w:rPr>
  </w:style>
  <w:style w:type="paragraph" w:customStyle="1" w:styleId="85">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6">
    <w:name w:val="标题3"/>
    <w:basedOn w:val="5"/>
    <w:next w:val="1"/>
    <w:link w:val="142"/>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7">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8">
    <w:name w:val="表格标题"/>
    <w:basedOn w:val="16"/>
    <w:link w:val="135"/>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9">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0">
    <w:name w:val="图片"/>
    <w:basedOn w:val="1"/>
    <w:link w:val="123"/>
    <w:autoRedefine/>
    <w:qFormat/>
    <w:uiPriority w:val="0"/>
    <w:pPr>
      <w:jc w:val="center"/>
    </w:pPr>
    <w:rPr>
      <w:sz w:val="28"/>
      <w:szCs w:val="28"/>
    </w:rPr>
  </w:style>
  <w:style w:type="paragraph" w:customStyle="1" w:styleId="91">
    <w:name w:val="正文首行缩进1"/>
    <w:basedOn w:val="2"/>
    <w:autoRedefine/>
    <w:qFormat/>
    <w:uiPriority w:val="0"/>
    <w:pPr>
      <w:suppressAutoHyphens/>
      <w:spacing w:line="300" w:lineRule="auto"/>
      <w:ind w:left="426"/>
    </w:pPr>
    <w:rPr>
      <w:rFonts w:ascii="宋体" w:hAnsi="宋体"/>
      <w:szCs w:val="20"/>
    </w:rPr>
  </w:style>
  <w:style w:type="paragraph" w:customStyle="1" w:styleId="92">
    <w:name w:val="纯文本1"/>
    <w:basedOn w:val="1"/>
    <w:autoRedefine/>
    <w:qFormat/>
    <w:uiPriority w:val="0"/>
    <w:rPr>
      <w:rFonts w:ascii="宋体" w:hAnsi="Courier New"/>
    </w:rPr>
  </w:style>
  <w:style w:type="paragraph" w:customStyle="1" w:styleId="93">
    <w:name w:val="样式 首行不缩进"/>
    <w:basedOn w:val="1"/>
    <w:autoRedefine/>
    <w:qFormat/>
    <w:uiPriority w:val="0"/>
    <w:pPr>
      <w:spacing w:before="120" w:after="120" w:line="360" w:lineRule="auto"/>
      <w:jc w:val="center"/>
    </w:pPr>
    <w:rPr>
      <w:rFonts w:cs="宋体"/>
      <w:sz w:val="24"/>
      <w:szCs w:val="20"/>
    </w:rPr>
  </w:style>
  <w:style w:type="paragraph" w:customStyle="1" w:styleId="94">
    <w:name w:val="图题"/>
    <w:link w:val="117"/>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5">
    <w:name w:val="小列表"/>
    <w:basedOn w:val="1"/>
    <w:link w:val="101"/>
    <w:autoRedefine/>
    <w:qFormat/>
    <w:uiPriority w:val="0"/>
    <w:pPr>
      <w:numPr>
        <w:ilvl w:val="0"/>
        <w:numId w:val="2"/>
      </w:numPr>
      <w:autoSpaceDE w:val="0"/>
      <w:autoSpaceDN w:val="0"/>
      <w:spacing w:line="440" w:lineRule="exact"/>
      <w:ind w:firstLine="0"/>
    </w:pPr>
    <w:rPr>
      <w:sz w:val="24"/>
      <w:szCs w:val="28"/>
    </w:rPr>
  </w:style>
  <w:style w:type="paragraph" w:customStyle="1" w:styleId="96">
    <w:name w:val="表格正文"/>
    <w:basedOn w:val="1"/>
    <w:autoRedefine/>
    <w:qFormat/>
    <w:uiPriority w:val="0"/>
    <w:pPr>
      <w:widowControl/>
      <w:snapToGrid w:val="0"/>
      <w:spacing w:before="60" w:after="60"/>
      <w:ind w:left="11"/>
      <w:jc w:val="center"/>
    </w:pPr>
    <w:rPr>
      <w:kern w:val="0"/>
      <w:szCs w:val="21"/>
    </w:rPr>
  </w:style>
  <w:style w:type="character" w:customStyle="1" w:styleId="97">
    <w:name w:val="题注 Char"/>
    <w:link w:val="16"/>
    <w:autoRedefine/>
    <w:qFormat/>
    <w:uiPriority w:val="0"/>
    <w:rPr>
      <w:rFonts w:ascii="华文中宋" w:eastAsia="华文中宋"/>
      <w:kern w:val="2"/>
      <w:sz w:val="36"/>
    </w:rPr>
  </w:style>
  <w:style w:type="character" w:customStyle="1" w:styleId="98">
    <w:name w:val="标题2 Char Char"/>
    <w:link w:val="81"/>
    <w:autoRedefine/>
    <w:qFormat/>
    <w:uiPriority w:val="0"/>
    <w:rPr>
      <w:rFonts w:eastAsia="黑体"/>
      <w:kern w:val="2"/>
      <w:sz w:val="32"/>
      <w:szCs w:val="24"/>
    </w:rPr>
  </w:style>
  <w:style w:type="character" w:customStyle="1" w:styleId="99">
    <w:name w:val="批注框文本 Char"/>
    <w:link w:val="32"/>
    <w:autoRedefine/>
    <w:qFormat/>
    <w:uiPriority w:val="0"/>
    <w:rPr>
      <w:kern w:val="2"/>
      <w:sz w:val="18"/>
      <w:szCs w:val="18"/>
    </w:rPr>
  </w:style>
  <w:style w:type="character" w:customStyle="1" w:styleId="100">
    <w:name w:val="refresh"/>
    <w:basedOn w:val="52"/>
    <w:autoRedefine/>
    <w:qFormat/>
    <w:uiPriority w:val="0"/>
  </w:style>
  <w:style w:type="character" w:customStyle="1" w:styleId="101">
    <w:name w:val="小列表 Char Char"/>
    <w:link w:val="95"/>
    <w:autoRedefine/>
    <w:qFormat/>
    <w:uiPriority w:val="0"/>
    <w:rPr>
      <w:rFonts w:eastAsia="Arial Unicode MS"/>
      <w:kern w:val="2"/>
      <w:sz w:val="24"/>
      <w:szCs w:val="28"/>
    </w:rPr>
  </w:style>
  <w:style w:type="character" w:customStyle="1" w:styleId="102">
    <w:name w:val="del"/>
    <w:basedOn w:val="52"/>
    <w:autoRedefine/>
    <w:qFormat/>
    <w:uiPriority w:val="0"/>
  </w:style>
  <w:style w:type="character" w:customStyle="1" w:styleId="103">
    <w:name w:val="批注文字 Char1"/>
    <w:link w:val="20"/>
    <w:autoRedefine/>
    <w:qFormat/>
    <w:uiPriority w:val="0"/>
    <w:rPr>
      <w:rFonts w:ascii="Tahoma" w:hAnsi="Tahoma"/>
      <w:kern w:val="2"/>
      <w:sz w:val="21"/>
      <w:szCs w:val="24"/>
    </w:rPr>
  </w:style>
  <w:style w:type="character" w:customStyle="1" w:styleId="104">
    <w:name w:val="正文缩进 Char1"/>
    <w:autoRedefine/>
    <w:qFormat/>
    <w:uiPriority w:val="0"/>
    <w:rPr>
      <w:rFonts w:eastAsia="宋体"/>
      <w:kern w:val="2"/>
      <w:sz w:val="21"/>
      <w:szCs w:val="24"/>
      <w:lang w:val="en-US" w:eastAsia="zh-CN" w:bidi="ar-SA"/>
    </w:rPr>
  </w:style>
  <w:style w:type="character" w:customStyle="1" w:styleId="105">
    <w:name w:val="标题 5 Char"/>
    <w:link w:val="8"/>
    <w:autoRedefine/>
    <w:qFormat/>
    <w:uiPriority w:val="99"/>
    <w:rPr>
      <w:b/>
      <w:bCs/>
      <w:kern w:val="2"/>
      <w:sz w:val="24"/>
      <w:szCs w:val="28"/>
    </w:rPr>
  </w:style>
  <w:style w:type="character" w:customStyle="1" w:styleId="106">
    <w:name w:val="标题 2 Char"/>
    <w:link w:val="4"/>
    <w:autoRedefine/>
    <w:qFormat/>
    <w:uiPriority w:val="99"/>
    <w:rPr>
      <w:rFonts w:ascii="Cambria" w:hAnsi="Cambria"/>
      <w:b/>
      <w:bCs/>
      <w:kern w:val="2"/>
      <w:sz w:val="32"/>
      <w:szCs w:val="32"/>
    </w:rPr>
  </w:style>
  <w:style w:type="character" w:customStyle="1" w:styleId="107">
    <w:name w:val="表格字体小四 Char Char"/>
    <w:link w:val="77"/>
    <w:autoRedefine/>
    <w:qFormat/>
    <w:uiPriority w:val="0"/>
    <w:rPr>
      <w:kern w:val="2"/>
      <w:sz w:val="24"/>
      <w:szCs w:val="24"/>
      <w:lang w:val="en-US" w:eastAsia="zh-CN" w:bidi="ar-SA"/>
    </w:rPr>
  </w:style>
  <w:style w:type="character" w:customStyle="1" w:styleId="108">
    <w:name w:val="目录 Char Char"/>
    <w:link w:val="76"/>
    <w:autoRedefine/>
    <w:qFormat/>
    <w:uiPriority w:val="0"/>
    <w:rPr>
      <w:rFonts w:ascii="仿宋_GB2312" w:hAnsi="宋体" w:eastAsia="仿宋_GB2312"/>
      <w:sz w:val="28"/>
      <w:szCs w:val="28"/>
      <w:lang w:val="en-US" w:eastAsia="zh-CN" w:bidi="ar-SA"/>
    </w:rPr>
  </w:style>
  <w:style w:type="character" w:customStyle="1" w:styleId="109">
    <w:name w:val="三级 Char Char"/>
    <w:link w:val="82"/>
    <w:autoRedefine/>
    <w:qFormat/>
    <w:uiPriority w:val="0"/>
    <w:rPr>
      <w:rFonts w:eastAsia="黑体"/>
      <w:bCs/>
      <w:kern w:val="2"/>
      <w:sz w:val="30"/>
      <w:szCs w:val="24"/>
    </w:rPr>
  </w:style>
  <w:style w:type="character" w:customStyle="1" w:styleId="110">
    <w:name w:val="label"/>
    <w:basedOn w:val="52"/>
    <w:autoRedefine/>
    <w:qFormat/>
    <w:uiPriority w:val="0"/>
  </w:style>
  <w:style w:type="character" w:customStyle="1" w:styleId="111">
    <w:name w:val="标题 8 Char"/>
    <w:link w:val="11"/>
    <w:autoRedefine/>
    <w:qFormat/>
    <w:uiPriority w:val="99"/>
    <w:rPr>
      <w:rFonts w:ascii="Arial" w:hAnsi="Arial" w:eastAsia="黑体"/>
      <w:kern w:val="2"/>
      <w:sz w:val="24"/>
      <w:szCs w:val="28"/>
    </w:rPr>
  </w:style>
  <w:style w:type="character" w:customStyle="1" w:styleId="112">
    <w:name w:val="open2"/>
    <w:basedOn w:val="52"/>
    <w:autoRedefine/>
    <w:qFormat/>
    <w:uiPriority w:val="0"/>
  </w:style>
  <w:style w:type="character" w:customStyle="1" w:styleId="113">
    <w:name w:val="15"/>
    <w:autoRedefine/>
    <w:qFormat/>
    <w:uiPriority w:val="0"/>
    <w:rPr>
      <w:rFonts w:hint="default" w:ascii="Calibri" w:hAnsi="Calibri" w:cs="Calibri"/>
      <w:color w:val="0000FF"/>
      <w:u w:val="single"/>
    </w:rPr>
  </w:style>
  <w:style w:type="character" w:customStyle="1" w:styleId="114">
    <w:name w:val="trans"/>
    <w:basedOn w:val="52"/>
    <w:autoRedefine/>
    <w:qFormat/>
    <w:uiPriority w:val="0"/>
  </w:style>
  <w:style w:type="character" w:customStyle="1" w:styleId="115">
    <w:name w:val="del2"/>
    <w:basedOn w:val="52"/>
    <w:autoRedefine/>
    <w:qFormat/>
    <w:uiPriority w:val="0"/>
  </w:style>
  <w:style w:type="character" w:customStyle="1" w:styleId="116">
    <w:name w:val="标题 3 Char"/>
    <w:link w:val="5"/>
    <w:autoRedefine/>
    <w:qFormat/>
    <w:uiPriority w:val="99"/>
    <w:rPr>
      <w:rFonts w:ascii="Tahoma" w:hAnsi="Tahoma"/>
      <w:b/>
      <w:bCs/>
      <w:kern w:val="2"/>
      <w:sz w:val="32"/>
      <w:szCs w:val="32"/>
    </w:rPr>
  </w:style>
  <w:style w:type="character" w:customStyle="1" w:styleId="117">
    <w:name w:val="图题 Char Char"/>
    <w:link w:val="94"/>
    <w:autoRedefine/>
    <w:qFormat/>
    <w:uiPriority w:val="0"/>
    <w:rPr>
      <w:kern w:val="2"/>
      <w:sz w:val="24"/>
      <w:szCs w:val="24"/>
      <w:lang w:val="en-US" w:eastAsia="zh-CN" w:bidi="ar-SA"/>
    </w:rPr>
  </w:style>
  <w:style w:type="character" w:customStyle="1" w:styleId="118">
    <w:name w:val="pagelinks"/>
    <w:basedOn w:val="52"/>
    <w:autoRedefine/>
    <w:qFormat/>
    <w:uiPriority w:val="0"/>
  </w:style>
  <w:style w:type="character" w:customStyle="1" w:styleId="119">
    <w:name w:val="morewin"/>
    <w:basedOn w:val="52"/>
    <w:autoRedefine/>
    <w:qFormat/>
    <w:uiPriority w:val="0"/>
  </w:style>
  <w:style w:type="character" w:customStyle="1" w:styleId="120">
    <w:name w:val="open"/>
    <w:basedOn w:val="52"/>
    <w:autoRedefine/>
    <w:qFormat/>
    <w:uiPriority w:val="0"/>
  </w:style>
  <w:style w:type="character" w:customStyle="1" w:styleId="121">
    <w:name w:val="样式2 Char Char"/>
    <w:link w:val="83"/>
    <w:autoRedefine/>
    <w:qFormat/>
    <w:uiPriority w:val="0"/>
    <w:rPr>
      <w:b/>
      <w:kern w:val="2"/>
      <w:sz w:val="24"/>
      <w:szCs w:val="24"/>
    </w:rPr>
  </w:style>
  <w:style w:type="character" w:customStyle="1" w:styleId="122">
    <w:name w:val="批注文字 Char"/>
    <w:autoRedefine/>
    <w:qFormat/>
    <w:uiPriority w:val="99"/>
    <w:rPr>
      <w:kern w:val="2"/>
      <w:sz w:val="24"/>
      <w:szCs w:val="28"/>
    </w:rPr>
  </w:style>
  <w:style w:type="character" w:customStyle="1" w:styleId="123">
    <w:name w:val="图片 Char Char"/>
    <w:link w:val="90"/>
    <w:autoRedefine/>
    <w:qFormat/>
    <w:uiPriority w:val="0"/>
    <w:rPr>
      <w:kern w:val="2"/>
      <w:sz w:val="28"/>
      <w:szCs w:val="28"/>
    </w:rPr>
  </w:style>
  <w:style w:type="character" w:customStyle="1" w:styleId="124">
    <w:name w:val="标题 1 Char"/>
    <w:link w:val="3"/>
    <w:autoRedefine/>
    <w:qFormat/>
    <w:uiPriority w:val="99"/>
    <w:rPr>
      <w:rFonts w:ascii="Tahoma" w:hAnsi="Tahoma"/>
      <w:b/>
      <w:bCs/>
      <w:kern w:val="44"/>
      <w:sz w:val="24"/>
      <w:szCs w:val="44"/>
    </w:rPr>
  </w:style>
  <w:style w:type="character" w:customStyle="1" w:styleId="125">
    <w:name w:val="页眉 Char"/>
    <w:link w:val="34"/>
    <w:autoRedefine/>
    <w:qFormat/>
    <w:uiPriority w:val="99"/>
    <w:rPr>
      <w:rFonts w:ascii="Tahoma" w:hAnsi="Tahoma"/>
      <w:kern w:val="2"/>
      <w:sz w:val="18"/>
      <w:szCs w:val="18"/>
    </w:rPr>
  </w:style>
  <w:style w:type="character" w:customStyle="1" w:styleId="126">
    <w:name w:val="标题 7 Char"/>
    <w:link w:val="10"/>
    <w:autoRedefine/>
    <w:qFormat/>
    <w:uiPriority w:val="99"/>
    <w:rPr>
      <w:b/>
      <w:bCs/>
      <w:kern w:val="2"/>
      <w:sz w:val="24"/>
      <w:szCs w:val="28"/>
    </w:rPr>
  </w:style>
  <w:style w:type="character" w:customStyle="1" w:styleId="127">
    <w:name w:val="标题 Char"/>
    <w:link w:val="46"/>
    <w:autoRedefine/>
    <w:qFormat/>
    <w:uiPriority w:val="0"/>
    <w:rPr>
      <w:rFonts w:ascii="Cambria" w:hAnsi="Cambria"/>
      <w:b/>
      <w:bCs/>
      <w:kern w:val="2"/>
      <w:sz w:val="32"/>
      <w:szCs w:val="32"/>
    </w:rPr>
  </w:style>
  <w:style w:type="character" w:customStyle="1" w:styleId="128">
    <w:name w:val="标题 9 Char"/>
    <w:link w:val="12"/>
    <w:autoRedefine/>
    <w:qFormat/>
    <w:uiPriority w:val="99"/>
    <w:rPr>
      <w:rFonts w:ascii="Arial" w:hAnsi="Arial" w:eastAsia="黑体"/>
      <w:kern w:val="2"/>
      <w:sz w:val="24"/>
      <w:szCs w:val="21"/>
    </w:rPr>
  </w:style>
  <w:style w:type="character" w:customStyle="1" w:styleId="129">
    <w:name w:val="error"/>
    <w:autoRedefine/>
    <w:qFormat/>
    <w:uiPriority w:val="0"/>
    <w:rPr>
      <w:color w:val="CC0000"/>
    </w:rPr>
  </w:style>
  <w:style w:type="character" w:customStyle="1" w:styleId="130">
    <w:name w:val="add"/>
    <w:basedOn w:val="52"/>
    <w:autoRedefine/>
    <w:qFormat/>
    <w:uiPriority w:val="0"/>
  </w:style>
  <w:style w:type="character" w:customStyle="1" w:styleId="131">
    <w:name w:val="批注主题 Char"/>
    <w:link w:val="47"/>
    <w:autoRedefine/>
    <w:qFormat/>
    <w:uiPriority w:val="99"/>
    <w:rPr>
      <w:rFonts w:ascii="Tahoma" w:hAnsi="Tahoma"/>
      <w:b/>
      <w:bCs/>
      <w:kern w:val="2"/>
      <w:sz w:val="24"/>
      <w:szCs w:val="28"/>
    </w:rPr>
  </w:style>
  <w:style w:type="character" w:customStyle="1" w:styleId="132">
    <w:name w:val="pagebanner"/>
    <w:basedOn w:val="52"/>
    <w:autoRedefine/>
    <w:qFormat/>
    <w:uiPriority w:val="0"/>
  </w:style>
  <w:style w:type="character" w:customStyle="1" w:styleId="133">
    <w:name w:val="文档结构图 Char"/>
    <w:link w:val="18"/>
    <w:autoRedefine/>
    <w:qFormat/>
    <w:uiPriority w:val="99"/>
    <w:rPr>
      <w:rFonts w:ascii="宋体"/>
      <w:kern w:val="2"/>
      <w:sz w:val="18"/>
      <w:szCs w:val="18"/>
    </w:rPr>
  </w:style>
  <w:style w:type="character" w:customStyle="1" w:styleId="134">
    <w:name w:val="正文首行缩进 Char"/>
    <w:link w:val="48"/>
    <w:autoRedefine/>
    <w:qFormat/>
    <w:uiPriority w:val="0"/>
    <w:rPr>
      <w:rFonts w:ascii="Tahoma" w:hAnsi="Tahoma"/>
      <w:kern w:val="2"/>
      <w:sz w:val="21"/>
      <w:szCs w:val="24"/>
    </w:rPr>
  </w:style>
  <w:style w:type="character" w:customStyle="1" w:styleId="135">
    <w:name w:val="表格标题 Char Char"/>
    <w:link w:val="88"/>
    <w:autoRedefine/>
    <w:qFormat/>
    <w:uiPriority w:val="0"/>
    <w:rPr>
      <w:rFonts w:ascii="Arial" w:hAnsi="Arial" w:cs="Arial"/>
      <w:kern w:val="2"/>
      <w:sz w:val="24"/>
      <w:szCs w:val="24"/>
    </w:rPr>
  </w:style>
  <w:style w:type="character" w:customStyle="1" w:styleId="136">
    <w:name w:val="标题 6 Char"/>
    <w:link w:val="9"/>
    <w:autoRedefine/>
    <w:qFormat/>
    <w:uiPriority w:val="99"/>
    <w:rPr>
      <w:rFonts w:ascii="Arial" w:hAnsi="Arial" w:eastAsia="黑体"/>
      <w:b/>
      <w:bCs/>
      <w:kern w:val="2"/>
      <w:sz w:val="24"/>
      <w:szCs w:val="28"/>
    </w:rPr>
  </w:style>
  <w:style w:type="character" w:customStyle="1" w:styleId="137">
    <w:name w:val="正文文本 Char"/>
    <w:link w:val="2"/>
    <w:autoRedefine/>
    <w:qFormat/>
    <w:uiPriority w:val="99"/>
    <w:rPr>
      <w:rFonts w:ascii="Tahoma" w:hAnsi="Tahoma"/>
      <w:kern w:val="2"/>
      <w:sz w:val="21"/>
      <w:szCs w:val="24"/>
    </w:rPr>
  </w:style>
  <w:style w:type="character" w:customStyle="1" w:styleId="138">
    <w:name w:val="10"/>
    <w:autoRedefine/>
    <w:qFormat/>
    <w:uiPriority w:val="0"/>
    <w:rPr>
      <w:rFonts w:hint="default" w:ascii="Calibri" w:hAnsi="Calibri" w:cs="Calibri"/>
    </w:rPr>
  </w:style>
  <w:style w:type="character" w:customStyle="1" w:styleId="139">
    <w:name w:val="正文缩进 Char"/>
    <w:link w:val="6"/>
    <w:autoRedefine/>
    <w:qFormat/>
    <w:uiPriority w:val="0"/>
    <w:rPr>
      <w:kern w:val="2"/>
      <w:sz w:val="24"/>
    </w:rPr>
  </w:style>
  <w:style w:type="character" w:customStyle="1" w:styleId="140">
    <w:name w:val="页脚 Char"/>
    <w:link w:val="33"/>
    <w:autoRedefine/>
    <w:qFormat/>
    <w:uiPriority w:val="99"/>
    <w:rPr>
      <w:rFonts w:ascii="Tahoma" w:hAnsi="Tahoma"/>
      <w:kern w:val="2"/>
      <w:sz w:val="18"/>
      <w:szCs w:val="18"/>
    </w:rPr>
  </w:style>
  <w:style w:type="character" w:customStyle="1" w:styleId="141">
    <w:name w:val="mod"/>
    <w:basedOn w:val="52"/>
    <w:autoRedefine/>
    <w:qFormat/>
    <w:uiPriority w:val="0"/>
  </w:style>
  <w:style w:type="character" w:customStyle="1" w:styleId="142">
    <w:name w:val="标题3 Char Char"/>
    <w:link w:val="86"/>
    <w:autoRedefine/>
    <w:qFormat/>
    <w:uiPriority w:val="0"/>
    <w:rPr>
      <w:rFonts w:eastAsia="黑体"/>
      <w:kern w:val="2"/>
      <w:sz w:val="28"/>
      <w:szCs w:val="32"/>
    </w:rPr>
  </w:style>
  <w:style w:type="character" w:customStyle="1" w:styleId="143">
    <w:name w:val="标题 4 Char"/>
    <w:link w:val="7"/>
    <w:autoRedefine/>
    <w:qFormat/>
    <w:uiPriority w:val="99"/>
    <w:rPr>
      <w:b/>
      <w:sz w:val="24"/>
      <w:szCs w:val="24"/>
    </w:rPr>
  </w:style>
  <w:style w:type="paragraph" w:customStyle="1" w:styleId="144">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5">
    <w:name w:val="redfilefwwh"/>
    <w:basedOn w:val="52"/>
    <w:autoRedefine/>
    <w:qFormat/>
    <w:uiPriority w:val="0"/>
    <w:rPr>
      <w:color w:val="BA2636"/>
      <w:sz w:val="12"/>
      <w:szCs w:val="12"/>
    </w:rPr>
  </w:style>
  <w:style w:type="character" w:customStyle="1" w:styleId="146">
    <w:name w:val="gjfg"/>
    <w:basedOn w:val="52"/>
    <w:autoRedefine/>
    <w:qFormat/>
    <w:uiPriority w:val="0"/>
  </w:style>
  <w:style w:type="character" w:customStyle="1" w:styleId="147">
    <w:name w:val="redfilenumber"/>
    <w:basedOn w:val="52"/>
    <w:autoRedefine/>
    <w:qFormat/>
    <w:uiPriority w:val="0"/>
    <w:rPr>
      <w:color w:val="BA2636"/>
      <w:sz w:val="12"/>
      <w:szCs w:val="12"/>
    </w:rPr>
  </w:style>
  <w:style w:type="character" w:customStyle="1" w:styleId="148">
    <w:name w:val="qxdate"/>
    <w:basedOn w:val="52"/>
    <w:autoRedefine/>
    <w:qFormat/>
    <w:uiPriority w:val="0"/>
    <w:rPr>
      <w:color w:val="333333"/>
      <w:sz w:val="12"/>
      <w:szCs w:val="12"/>
    </w:rPr>
  </w:style>
  <w:style w:type="character" w:customStyle="1" w:styleId="149">
    <w:name w:val="prev"/>
    <w:basedOn w:val="52"/>
    <w:autoRedefine/>
    <w:qFormat/>
    <w:uiPriority w:val="0"/>
    <w:rPr>
      <w:rFonts w:ascii="微软雅黑" w:hAnsi="微软雅黑" w:eastAsia="微软雅黑" w:cs="微软雅黑"/>
      <w:sz w:val="14"/>
      <w:szCs w:val="14"/>
    </w:rPr>
  </w:style>
  <w:style w:type="character" w:customStyle="1" w:styleId="150">
    <w:name w:val="cfdate"/>
    <w:basedOn w:val="52"/>
    <w:autoRedefine/>
    <w:qFormat/>
    <w:uiPriority w:val="0"/>
    <w:rPr>
      <w:color w:val="333333"/>
      <w:sz w:val="12"/>
      <w:szCs w:val="12"/>
    </w:rPr>
  </w:style>
  <w:style w:type="character" w:customStyle="1" w:styleId="151">
    <w:name w:val="displayarti"/>
    <w:basedOn w:val="52"/>
    <w:autoRedefine/>
    <w:qFormat/>
    <w:uiPriority w:val="0"/>
    <w:rPr>
      <w:color w:val="FFFFFF"/>
      <w:shd w:val="clear" w:color="auto" w:fill="A00000"/>
    </w:rPr>
  </w:style>
  <w:style w:type="character" w:customStyle="1" w:styleId="152">
    <w:name w:val="next2"/>
    <w:basedOn w:val="52"/>
    <w:autoRedefine/>
    <w:qFormat/>
    <w:uiPriority w:val="0"/>
    <w:rPr>
      <w:rFonts w:hint="eastAsia" w:ascii="微软雅黑" w:hAnsi="微软雅黑" w:eastAsia="微软雅黑" w:cs="微软雅黑"/>
      <w:sz w:val="14"/>
      <w:szCs w:val="14"/>
    </w:rPr>
  </w:style>
  <w:style w:type="character" w:customStyle="1" w:styleId="153">
    <w:name w:val="next3"/>
    <w:basedOn w:val="52"/>
    <w:autoRedefine/>
    <w:qFormat/>
    <w:uiPriority w:val="0"/>
    <w:rPr>
      <w:color w:val="888888"/>
    </w:rPr>
  </w:style>
  <w:style w:type="character" w:customStyle="1" w:styleId="154">
    <w:name w:val="next"/>
    <w:basedOn w:val="52"/>
    <w:autoRedefine/>
    <w:qFormat/>
    <w:uiPriority w:val="0"/>
    <w:rPr>
      <w:rFonts w:ascii="微软雅黑" w:hAnsi="微软雅黑" w:eastAsia="微软雅黑" w:cs="微软雅黑"/>
      <w:sz w:val="14"/>
      <w:szCs w:val="14"/>
    </w:rPr>
  </w:style>
  <w:style w:type="character" w:customStyle="1" w:styleId="155">
    <w:name w:val="prev1"/>
    <w:basedOn w:val="52"/>
    <w:autoRedefine/>
    <w:qFormat/>
    <w:uiPriority w:val="0"/>
    <w:rPr>
      <w:color w:val="888888"/>
    </w:rPr>
  </w:style>
  <w:style w:type="paragraph" w:customStyle="1" w:styleId="156">
    <w:name w:val="Body text|21"/>
    <w:basedOn w:val="1"/>
    <w:link w:val="158"/>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7">
    <w:name w:val="Body text|2 + Spacing 0 pt"/>
    <w:basedOn w:val="158"/>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8">
    <w:name w:val="Body text|2_"/>
    <w:basedOn w:val="52"/>
    <w:link w:val="156"/>
    <w:autoRedefine/>
    <w:qFormat/>
    <w:uiPriority w:val="0"/>
    <w:rPr>
      <w:rFonts w:ascii="PMingLiU" w:hAnsi="PMingLiU" w:eastAsia="PMingLiU" w:cs="PMingLiU"/>
      <w:spacing w:val="30"/>
    </w:rPr>
  </w:style>
  <w:style w:type="character" w:customStyle="1" w:styleId="159">
    <w:name w:val="Body text|2 + Spacing 3 pt"/>
    <w:basedOn w:val="158"/>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0">
    <w:name w:val="图文"/>
    <w:basedOn w:val="1"/>
    <w:autoRedefine/>
    <w:qFormat/>
    <w:uiPriority w:val="0"/>
    <w:pPr>
      <w:adjustRightInd w:val="0"/>
      <w:snapToGrid w:val="0"/>
      <w:spacing w:after="50" w:line="360" w:lineRule="auto"/>
    </w:pPr>
    <w:rPr>
      <w:sz w:val="24"/>
    </w:rPr>
  </w:style>
  <w:style w:type="paragraph" w:customStyle="1" w:styleId="161">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2">
    <w:name w:val="Char"/>
    <w:basedOn w:val="1"/>
    <w:autoRedefine/>
    <w:qFormat/>
    <w:uiPriority w:val="0"/>
    <w:rPr>
      <w:rFonts w:ascii="仿宋_GB2312" w:eastAsia="仿宋_GB2312"/>
      <w:b/>
      <w:sz w:val="32"/>
      <w:szCs w:val="32"/>
    </w:rPr>
  </w:style>
  <w:style w:type="paragraph" w:customStyle="1" w:styleId="163">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4">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5">
    <w:name w:val="正文文本缩进 2 Char"/>
    <w:basedOn w:val="52"/>
    <w:link w:val="31"/>
    <w:autoRedefine/>
    <w:qFormat/>
    <w:uiPriority w:val="99"/>
    <w:rPr>
      <w:rFonts w:ascii="Times New Roman" w:hAnsi="Times New Roman" w:eastAsia="宋体" w:cs="Times New Roman"/>
      <w:kern w:val="2"/>
      <w:sz w:val="24"/>
      <w:szCs w:val="30"/>
    </w:rPr>
  </w:style>
  <w:style w:type="paragraph" w:customStyle="1" w:styleId="16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7">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8">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9">
    <w:name w:val="正文文本缩进 Char"/>
    <w:basedOn w:val="52"/>
    <w:link w:val="23"/>
    <w:autoRedefine/>
    <w:qFormat/>
    <w:uiPriority w:val="99"/>
    <w:rPr>
      <w:rFonts w:ascii="Tahoma" w:hAnsi="Tahoma" w:eastAsia="Arial Unicode MS" w:cs="Times New Roman"/>
      <w:kern w:val="2"/>
      <w:sz w:val="21"/>
      <w:szCs w:val="24"/>
    </w:rPr>
  </w:style>
  <w:style w:type="character" w:customStyle="1" w:styleId="170">
    <w:name w:val="正文首行缩进 2 Char"/>
    <w:basedOn w:val="169"/>
    <w:link w:val="49"/>
    <w:autoRedefine/>
    <w:qFormat/>
    <w:uiPriority w:val="0"/>
    <w:rPr>
      <w:rFonts w:ascii="Times New Roman" w:hAnsi="Times New Roman" w:eastAsia="宋体" w:cs="Times New Roman"/>
      <w:kern w:val="2"/>
      <w:sz w:val="21"/>
      <w:szCs w:val="24"/>
    </w:rPr>
  </w:style>
  <w:style w:type="character" w:customStyle="1" w:styleId="171">
    <w:name w:val="正文文本 2 Char"/>
    <w:basedOn w:val="52"/>
    <w:link w:val="42"/>
    <w:autoRedefine/>
    <w:qFormat/>
    <w:uiPriority w:val="99"/>
    <w:rPr>
      <w:rFonts w:ascii="宋体" w:hAnsi="Times New Roman" w:eastAsia="宋体" w:cs="Times New Roman"/>
      <w:kern w:val="2"/>
      <w:sz w:val="21"/>
    </w:rPr>
  </w:style>
  <w:style w:type="paragraph" w:customStyle="1" w:styleId="172">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3">
    <w:name w:val="样式 标题 2 + (符号) 宋体 小四"/>
    <w:basedOn w:val="4"/>
    <w:autoRedefine/>
    <w:qFormat/>
    <w:uiPriority w:val="0"/>
    <w:pPr>
      <w:keepNext/>
      <w:keepLines/>
      <w:spacing w:line="416" w:lineRule="auto"/>
    </w:pPr>
    <w:rPr>
      <w:rFonts w:ascii="Arial" w:hAnsi="Arial" w:eastAsia="宋体"/>
      <w:bCs/>
      <w:sz w:val="24"/>
    </w:rPr>
  </w:style>
  <w:style w:type="character" w:customStyle="1" w:styleId="174">
    <w:name w:val="Char2"/>
    <w:autoRedefine/>
    <w:qFormat/>
    <w:uiPriority w:val="0"/>
    <w:rPr>
      <w:rFonts w:ascii="Arial" w:hAnsi="Arial" w:eastAsia="黑体"/>
      <w:b/>
      <w:bCs/>
      <w:kern w:val="2"/>
      <w:sz w:val="32"/>
      <w:szCs w:val="32"/>
      <w:lang w:val="en-US" w:eastAsia="zh-CN" w:bidi="ar-SA"/>
    </w:rPr>
  </w:style>
  <w:style w:type="character" w:customStyle="1" w:styleId="175">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6">
    <w:name w:val="样式1"/>
    <w:basedOn w:val="1"/>
    <w:next w:val="5"/>
    <w:autoRedefine/>
    <w:qFormat/>
    <w:uiPriority w:val="99"/>
    <w:rPr>
      <w:rFonts w:eastAsia="宋体"/>
      <w:sz w:val="24"/>
      <w:szCs w:val="20"/>
    </w:rPr>
  </w:style>
  <w:style w:type="paragraph" w:customStyle="1" w:styleId="177">
    <w:name w:val="默认段落字体 Para Char Char Char Char Char Char Char Char Char Char"/>
    <w:basedOn w:val="18"/>
    <w:autoRedefine/>
    <w:qFormat/>
    <w:uiPriority w:val="0"/>
    <w:pPr>
      <w:shd w:val="clear" w:color="auto" w:fill="000080"/>
      <w:spacing w:line="240" w:lineRule="auto"/>
    </w:pPr>
    <w:rPr>
      <w:rFonts w:ascii="Tahoma" w:hAnsi="Tahoma" w:eastAsia="宋体"/>
      <w:sz w:val="24"/>
      <w:szCs w:val="24"/>
    </w:rPr>
  </w:style>
  <w:style w:type="paragraph" w:customStyle="1" w:styleId="178">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9">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1">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3">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9">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200">
    <w:name w:val="日期 Char"/>
    <w:link w:val="30"/>
    <w:autoRedefine/>
    <w:qFormat/>
    <w:uiPriority w:val="99"/>
    <w:rPr>
      <w:rFonts w:ascii="Tahoma" w:hAnsi="Tahoma" w:eastAsia="Arial Unicode MS" w:cs="Times New Roman"/>
      <w:kern w:val="2"/>
      <w:sz w:val="21"/>
      <w:szCs w:val="24"/>
    </w:rPr>
  </w:style>
  <w:style w:type="character" w:customStyle="1" w:styleId="201">
    <w:name w:val="Char Char"/>
    <w:autoRedefine/>
    <w:qFormat/>
    <w:uiPriority w:val="0"/>
    <w:rPr>
      <w:rFonts w:eastAsia="宋体"/>
      <w:kern w:val="2"/>
      <w:sz w:val="24"/>
      <w:lang w:val="en-US" w:eastAsia="zh-CN" w:bidi="ar-SA"/>
    </w:rPr>
  </w:style>
  <w:style w:type="character" w:customStyle="1" w:styleId="202">
    <w:name w:val="称呼 Char"/>
    <w:basedOn w:val="52"/>
    <w:link w:val="21"/>
    <w:autoRedefine/>
    <w:qFormat/>
    <w:uiPriority w:val="0"/>
    <w:rPr>
      <w:rFonts w:ascii="..ì." w:hAnsi="Times New Roman" w:eastAsia="..ì." w:cs="Times New Roman"/>
      <w:sz w:val="24"/>
    </w:rPr>
  </w:style>
  <w:style w:type="character" w:customStyle="1" w:styleId="203">
    <w:name w:val="注释标题 Char"/>
    <w:basedOn w:val="52"/>
    <w:link w:val="14"/>
    <w:autoRedefine/>
    <w:qFormat/>
    <w:uiPriority w:val="0"/>
    <w:rPr>
      <w:rFonts w:ascii="..ì." w:hAnsi="Times New Roman" w:eastAsia="..ì." w:cs="Times New Roman"/>
      <w:sz w:val="24"/>
    </w:rPr>
  </w:style>
  <w:style w:type="paragraph" w:customStyle="1" w:styleId="204">
    <w:name w:val="1 Char Char Char Char"/>
    <w:basedOn w:val="1"/>
    <w:autoRedefine/>
    <w:qFormat/>
    <w:uiPriority w:val="0"/>
    <w:rPr>
      <w:rFonts w:ascii="Tahoma" w:hAnsi="Tahoma" w:eastAsia="宋体"/>
      <w:sz w:val="24"/>
      <w:szCs w:val="20"/>
    </w:rPr>
  </w:style>
  <w:style w:type="paragraph" w:customStyle="1" w:styleId="205">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TOC 标题2"/>
    <w:basedOn w:val="3"/>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7">
    <w:name w:val="标题 1 Char1"/>
    <w:autoRedefine/>
    <w:qFormat/>
    <w:uiPriority w:val="99"/>
    <w:rPr>
      <w:rFonts w:ascii="黑体" w:eastAsia="黑体"/>
      <w:sz w:val="52"/>
      <w:lang w:bidi="ar-SA"/>
    </w:rPr>
  </w:style>
  <w:style w:type="paragraph" w:customStyle="1" w:styleId="208">
    <w:name w:val="样式 标题 2 + Times New Roman 四号 非加粗 段前: 5 磅 段后: 0 磅 行距: 固定值 20..."/>
    <w:basedOn w:val="4"/>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9">
    <w:name w:val="3"/>
    <w:basedOn w:val="1"/>
    <w:next w:val="22"/>
    <w:autoRedefine/>
    <w:qFormat/>
    <w:uiPriority w:val="99"/>
    <w:rPr>
      <w:rFonts w:ascii="宋体" w:eastAsia="宋体"/>
      <w:sz w:val="24"/>
      <w:szCs w:val="20"/>
    </w:rPr>
  </w:style>
  <w:style w:type="character" w:customStyle="1" w:styleId="210">
    <w:name w:val="正文文本 3 Char"/>
    <w:basedOn w:val="52"/>
    <w:link w:val="22"/>
    <w:autoRedefine/>
    <w:qFormat/>
    <w:uiPriority w:val="99"/>
    <w:rPr>
      <w:rFonts w:ascii="Times New Roman" w:hAnsi="Times New Roman" w:eastAsia="宋体" w:cs="Times New Roman"/>
      <w:kern w:val="2"/>
      <w:sz w:val="16"/>
      <w:szCs w:val="16"/>
    </w:rPr>
  </w:style>
  <w:style w:type="paragraph" w:customStyle="1" w:styleId="211">
    <w:name w:val="样式 标题 3 + (中文) 黑体 小四 非加粗 段前: 7.8 磅 段后: 0 磅 行距: 固定值 20 磅"/>
    <w:basedOn w:val="5"/>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3"/>
    <w:autoRedefine/>
    <w:qFormat/>
    <w:uiPriority w:val="99"/>
    <w:pPr>
      <w:ind w:left="432"/>
    </w:pPr>
    <w:rPr>
      <w:rFonts w:eastAsia="宋体"/>
      <w:szCs w:val="20"/>
    </w:rPr>
  </w:style>
  <w:style w:type="character" w:customStyle="1" w:styleId="213">
    <w:name w:val="正文文本缩进 3 Char"/>
    <w:link w:val="39"/>
    <w:autoRedefine/>
    <w:qFormat/>
    <w:uiPriority w:val="99"/>
    <w:rPr>
      <w:rFonts w:ascii="Times New Roman" w:hAnsi="Times New Roman" w:eastAsia="Arial Unicode MS" w:cs="Times New Roman"/>
      <w:kern w:val="2"/>
      <w:sz w:val="16"/>
      <w:szCs w:val="16"/>
    </w:rPr>
  </w:style>
  <w:style w:type="paragraph" w:customStyle="1" w:styleId="214">
    <w:name w:val="样式 标题 1 + 黑体 三号 非加粗 居中 段前: 6 磅 段后: 6 磅 行距: 固定值 20 磅"/>
    <w:basedOn w:val="3"/>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5">
    <w:name w:val="Char1111"/>
    <w:basedOn w:val="1"/>
    <w:autoRedefine/>
    <w:qFormat/>
    <w:uiPriority w:val="0"/>
    <w:rPr>
      <w:rFonts w:ascii="Tahoma" w:hAnsi="Tahoma" w:eastAsia="宋体"/>
      <w:sz w:val="24"/>
      <w:szCs w:val="20"/>
    </w:rPr>
  </w:style>
  <w:style w:type="character" w:customStyle="1" w:styleId="216">
    <w:name w:val="font161"/>
    <w:autoRedefine/>
    <w:qFormat/>
    <w:uiPriority w:val="99"/>
    <w:rPr>
      <w:b/>
      <w:bCs/>
      <w:sz w:val="32"/>
      <w:szCs w:val="32"/>
    </w:rPr>
  </w:style>
  <w:style w:type="paragraph" w:customStyle="1" w:styleId="217">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8">
    <w:name w:val="表格"/>
    <w:basedOn w:val="1"/>
    <w:autoRedefine/>
    <w:qFormat/>
    <w:uiPriority w:val="99"/>
    <w:pPr>
      <w:jc w:val="center"/>
      <w:textAlignment w:val="center"/>
    </w:pPr>
    <w:rPr>
      <w:rFonts w:ascii="华文细黑" w:hAnsi="华文细黑" w:eastAsia="宋体"/>
      <w:kern w:val="0"/>
      <w:szCs w:val="20"/>
    </w:rPr>
  </w:style>
  <w:style w:type="paragraph" w:customStyle="1" w:styleId="219">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20">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1">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2">
    <w:name w:val="样式 粉红"/>
    <w:autoRedefine/>
    <w:qFormat/>
    <w:uiPriority w:val="99"/>
    <w:rPr>
      <w:color w:val="auto"/>
      <w:u w:val="none"/>
    </w:rPr>
  </w:style>
  <w:style w:type="character" w:customStyle="1" w:styleId="223">
    <w:name w:val="Char Char1"/>
    <w:autoRedefine/>
    <w:qFormat/>
    <w:uiPriority w:val="0"/>
    <w:rPr>
      <w:rFonts w:eastAsia="宋体"/>
      <w:kern w:val="2"/>
      <w:sz w:val="24"/>
      <w:lang w:val="en-US" w:eastAsia="zh-CN" w:bidi="ar-SA"/>
    </w:rPr>
  </w:style>
  <w:style w:type="character" w:customStyle="1" w:styleId="224">
    <w:name w:val="纯文本 Char"/>
    <w:link w:val="28"/>
    <w:autoRedefine/>
    <w:qFormat/>
    <w:uiPriority w:val="0"/>
    <w:rPr>
      <w:rFonts w:ascii="宋体" w:hAnsi="Courier New" w:eastAsia="Arial Unicode MS" w:cs="Times New Roman"/>
      <w:kern w:val="2"/>
      <w:sz w:val="21"/>
      <w:szCs w:val="21"/>
    </w:rPr>
  </w:style>
  <w:style w:type="paragraph" w:customStyle="1" w:styleId="225">
    <w:name w:val="Char Char Char Char"/>
    <w:basedOn w:val="1"/>
    <w:autoRedefine/>
    <w:qFormat/>
    <w:uiPriority w:val="0"/>
    <w:pPr>
      <w:widowControl/>
      <w:spacing w:after="160" w:line="240" w:lineRule="exact"/>
      <w:jc w:val="left"/>
    </w:pPr>
    <w:rPr>
      <w:rFonts w:eastAsia="宋体"/>
      <w:szCs w:val="20"/>
    </w:rPr>
  </w:style>
  <w:style w:type="paragraph" w:customStyle="1" w:styleId="226">
    <w:name w:val="p17"/>
    <w:basedOn w:val="1"/>
    <w:autoRedefine/>
    <w:qFormat/>
    <w:uiPriority w:val="99"/>
    <w:pPr>
      <w:widowControl/>
    </w:pPr>
    <w:rPr>
      <w:rFonts w:eastAsia="宋体"/>
      <w:kern w:val="0"/>
      <w:szCs w:val="21"/>
    </w:rPr>
  </w:style>
  <w:style w:type="character" w:customStyle="1" w:styleId="227">
    <w:name w:val="H4 Char"/>
    <w:autoRedefine/>
    <w:qFormat/>
    <w:uiPriority w:val="0"/>
    <w:rPr>
      <w:b/>
      <w:sz w:val="28"/>
    </w:rPr>
  </w:style>
  <w:style w:type="character" w:customStyle="1" w:styleId="228">
    <w:name w:val="Char Char2"/>
    <w:autoRedefine/>
    <w:qFormat/>
    <w:uiPriority w:val="0"/>
    <w:rPr>
      <w:rFonts w:eastAsia="宋体"/>
      <w:kern w:val="2"/>
      <w:sz w:val="24"/>
      <w:lang w:val="en-US" w:eastAsia="zh-CN" w:bidi="ar-SA"/>
    </w:rPr>
  </w:style>
  <w:style w:type="character" w:customStyle="1" w:styleId="229">
    <w:name w:val="Char Char111"/>
    <w:autoRedefine/>
    <w:qFormat/>
    <w:uiPriority w:val="99"/>
    <w:rPr>
      <w:rFonts w:eastAsia="宋体"/>
      <w:kern w:val="2"/>
      <w:sz w:val="24"/>
      <w:lang w:val="en-US" w:eastAsia="zh-CN" w:bidi="ar-SA"/>
    </w:rPr>
  </w:style>
  <w:style w:type="paragraph" w:customStyle="1" w:styleId="230">
    <w:name w:val="Char Char Char Char111"/>
    <w:basedOn w:val="1"/>
    <w:autoRedefine/>
    <w:qFormat/>
    <w:uiPriority w:val="0"/>
    <w:pPr>
      <w:widowControl/>
      <w:spacing w:after="160" w:line="240" w:lineRule="exact"/>
      <w:jc w:val="left"/>
    </w:pPr>
    <w:rPr>
      <w:rFonts w:eastAsia="宋体"/>
      <w:szCs w:val="20"/>
    </w:rPr>
  </w:style>
  <w:style w:type="paragraph" w:customStyle="1" w:styleId="231">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3">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2">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4">
    <w:name w:val="章标题"/>
    <w:next w:val="1"/>
    <w:link w:val="251"/>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5">
    <w:name w:val="一级条标题"/>
    <w:basedOn w:val="244"/>
    <w:next w:val="1"/>
    <w:link w:val="252"/>
    <w:autoRedefine/>
    <w:qFormat/>
    <w:uiPriority w:val="0"/>
    <w:pPr>
      <w:numPr>
        <w:ilvl w:val="2"/>
      </w:numPr>
      <w:tabs>
        <w:tab w:val="left" w:pos="360"/>
      </w:tabs>
      <w:spacing w:beforeLines="0" w:afterLines="0"/>
      <w:ind w:left="315"/>
      <w:outlineLvl w:val="2"/>
    </w:pPr>
  </w:style>
  <w:style w:type="paragraph" w:customStyle="1" w:styleId="246">
    <w:name w:val="二级条标题"/>
    <w:basedOn w:val="245"/>
    <w:next w:val="1"/>
    <w:link w:val="253"/>
    <w:autoRedefine/>
    <w:qFormat/>
    <w:uiPriority w:val="0"/>
    <w:pPr>
      <w:numPr>
        <w:ilvl w:val="3"/>
      </w:numPr>
      <w:ind w:left="315"/>
      <w:outlineLvl w:val="3"/>
    </w:pPr>
  </w:style>
  <w:style w:type="paragraph" w:customStyle="1" w:styleId="247">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8">
    <w:name w:val="三级条标题"/>
    <w:basedOn w:val="246"/>
    <w:next w:val="1"/>
    <w:autoRedefine/>
    <w:qFormat/>
    <w:uiPriority w:val="0"/>
    <w:pPr>
      <w:numPr>
        <w:ilvl w:val="4"/>
      </w:numPr>
      <w:tabs>
        <w:tab w:val="left" w:pos="1680"/>
        <w:tab w:val="left" w:pos="2100"/>
      </w:tabs>
      <w:ind w:left="2100" w:hanging="420"/>
      <w:outlineLvl w:val="4"/>
    </w:pPr>
  </w:style>
  <w:style w:type="paragraph" w:customStyle="1" w:styleId="249">
    <w:name w:val="四级条标题"/>
    <w:basedOn w:val="248"/>
    <w:next w:val="1"/>
    <w:autoRedefine/>
    <w:qFormat/>
    <w:uiPriority w:val="0"/>
    <w:pPr>
      <w:numPr>
        <w:ilvl w:val="5"/>
      </w:numPr>
      <w:tabs>
        <w:tab w:val="left" w:pos="2520"/>
      </w:tabs>
      <w:ind w:left="2520" w:hanging="420"/>
      <w:outlineLvl w:val="5"/>
    </w:pPr>
  </w:style>
  <w:style w:type="paragraph" w:customStyle="1" w:styleId="250">
    <w:name w:val="五级条标题"/>
    <w:basedOn w:val="249"/>
    <w:next w:val="1"/>
    <w:autoRedefine/>
    <w:qFormat/>
    <w:uiPriority w:val="0"/>
    <w:pPr>
      <w:numPr>
        <w:ilvl w:val="6"/>
      </w:numPr>
      <w:tabs>
        <w:tab w:val="left" w:pos="2940"/>
      </w:tabs>
      <w:ind w:left="2940" w:hanging="420"/>
      <w:outlineLvl w:val="6"/>
    </w:pPr>
  </w:style>
  <w:style w:type="character" w:customStyle="1" w:styleId="251">
    <w:name w:val="章标题 Char"/>
    <w:link w:val="244"/>
    <w:autoRedefine/>
    <w:qFormat/>
    <w:uiPriority w:val="0"/>
    <w:rPr>
      <w:rFonts w:ascii="黑体" w:eastAsia="黑体"/>
      <w:sz w:val="21"/>
    </w:rPr>
  </w:style>
  <w:style w:type="character" w:customStyle="1" w:styleId="252">
    <w:name w:val="一级条标题 Char"/>
    <w:link w:val="245"/>
    <w:autoRedefine/>
    <w:qFormat/>
    <w:uiPriority w:val="0"/>
    <w:rPr>
      <w:rFonts w:ascii="黑体" w:eastAsia="黑体"/>
      <w:sz w:val="21"/>
    </w:rPr>
  </w:style>
  <w:style w:type="character" w:customStyle="1" w:styleId="253">
    <w:name w:val="二级条标题 Char"/>
    <w:link w:val="246"/>
    <w:autoRedefine/>
    <w:qFormat/>
    <w:uiPriority w:val="0"/>
    <w:rPr>
      <w:rFonts w:ascii="黑体" w:eastAsia="黑体"/>
      <w:sz w:val="21"/>
    </w:rPr>
  </w:style>
  <w:style w:type="character" w:customStyle="1" w:styleId="254">
    <w:name w:val="Heading 1 Char"/>
    <w:autoRedefine/>
    <w:qFormat/>
    <w:locked/>
    <w:uiPriority w:val="0"/>
    <w:rPr>
      <w:rFonts w:ascii="黑体" w:hAnsi="Times New Roman" w:eastAsia="黑体" w:cs="Times New Roman"/>
      <w:kern w:val="0"/>
      <w:sz w:val="20"/>
      <w:szCs w:val="20"/>
    </w:rPr>
  </w:style>
  <w:style w:type="character" w:customStyle="1" w:styleId="255">
    <w:name w:val="Heading 2 Char"/>
    <w:autoRedefine/>
    <w:qFormat/>
    <w:locked/>
    <w:uiPriority w:val="0"/>
    <w:rPr>
      <w:rFonts w:ascii="Times New Roman" w:hAnsi="Times New Roman" w:eastAsia="宋体" w:cs="Times New Roman"/>
      <w:b/>
      <w:kern w:val="0"/>
      <w:sz w:val="32"/>
      <w:szCs w:val="32"/>
    </w:rPr>
  </w:style>
  <w:style w:type="character" w:customStyle="1" w:styleId="256">
    <w:name w:val="标题 3 Char1"/>
    <w:autoRedefine/>
    <w:qFormat/>
    <w:locked/>
    <w:uiPriority w:val="99"/>
    <w:rPr>
      <w:rFonts w:eastAsia="宋体"/>
      <w:b/>
      <w:sz w:val="32"/>
      <w:lang w:val="en-US" w:eastAsia="zh-CN" w:bidi="ar-SA"/>
    </w:rPr>
  </w:style>
  <w:style w:type="character" w:customStyle="1" w:styleId="257">
    <w:name w:val="Heading 4 Char"/>
    <w:autoRedefine/>
    <w:qFormat/>
    <w:locked/>
    <w:uiPriority w:val="0"/>
    <w:rPr>
      <w:rFonts w:ascii="Times New Roman" w:hAnsi="Times New Roman" w:eastAsia="宋体" w:cs="Times New Roman"/>
      <w:b/>
      <w:kern w:val="0"/>
      <w:sz w:val="20"/>
      <w:szCs w:val="20"/>
    </w:rPr>
  </w:style>
  <w:style w:type="character" w:customStyle="1" w:styleId="258">
    <w:name w:val="Heading 5 Char"/>
    <w:autoRedefine/>
    <w:qFormat/>
    <w:locked/>
    <w:uiPriority w:val="0"/>
    <w:rPr>
      <w:rFonts w:ascii="Times New Roman" w:hAnsi="Times New Roman" w:eastAsia="宋体" w:cs="Times New Roman"/>
      <w:b/>
      <w:bCs/>
      <w:sz w:val="28"/>
      <w:szCs w:val="28"/>
    </w:rPr>
  </w:style>
  <w:style w:type="character" w:customStyle="1" w:styleId="259">
    <w:name w:val="Heading 6 Char"/>
    <w:autoRedefine/>
    <w:qFormat/>
    <w:locked/>
    <w:uiPriority w:val="0"/>
    <w:rPr>
      <w:rFonts w:ascii="Arial" w:hAnsi="Arial" w:eastAsia="黑体" w:cs="Times New Roman"/>
      <w:b/>
      <w:bCs/>
      <w:kern w:val="0"/>
      <w:sz w:val="24"/>
      <w:szCs w:val="24"/>
    </w:rPr>
  </w:style>
  <w:style w:type="character" w:customStyle="1" w:styleId="260">
    <w:name w:val="Heading 7 Char"/>
    <w:autoRedefine/>
    <w:qFormat/>
    <w:locked/>
    <w:uiPriority w:val="0"/>
    <w:rPr>
      <w:rFonts w:ascii="Times New Roman" w:hAnsi="Times New Roman" w:eastAsia="宋体" w:cs="Times New Roman"/>
      <w:b/>
      <w:bCs/>
      <w:kern w:val="0"/>
      <w:sz w:val="24"/>
      <w:szCs w:val="24"/>
    </w:rPr>
  </w:style>
  <w:style w:type="character" w:customStyle="1" w:styleId="261">
    <w:name w:val="Heading 8 Char"/>
    <w:autoRedefine/>
    <w:qFormat/>
    <w:locked/>
    <w:uiPriority w:val="0"/>
    <w:rPr>
      <w:rFonts w:ascii="Arial" w:hAnsi="Arial" w:eastAsia="黑体" w:cs="Times New Roman"/>
      <w:kern w:val="0"/>
      <w:sz w:val="24"/>
      <w:szCs w:val="24"/>
    </w:rPr>
  </w:style>
  <w:style w:type="character" w:customStyle="1" w:styleId="262">
    <w:name w:val="Heading 9 Char"/>
    <w:autoRedefine/>
    <w:qFormat/>
    <w:locked/>
    <w:uiPriority w:val="0"/>
    <w:rPr>
      <w:rFonts w:ascii="Arial" w:hAnsi="Arial" w:eastAsia="黑体" w:cs="Times New Roman"/>
      <w:kern w:val="0"/>
      <w:sz w:val="21"/>
      <w:szCs w:val="21"/>
    </w:rPr>
  </w:style>
  <w:style w:type="character" w:customStyle="1" w:styleId="263">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4">
    <w:name w:val="Date Char"/>
    <w:autoRedefine/>
    <w:qFormat/>
    <w:locked/>
    <w:uiPriority w:val="0"/>
    <w:rPr>
      <w:rFonts w:ascii="Times New Roman" w:hAnsi="Times New Roman" w:eastAsia="宋体" w:cs="Times New Roman"/>
      <w:sz w:val="20"/>
      <w:szCs w:val="20"/>
    </w:rPr>
  </w:style>
  <w:style w:type="character" w:customStyle="1" w:styleId="265">
    <w:name w:val="Header Char"/>
    <w:autoRedefine/>
    <w:qFormat/>
    <w:locked/>
    <w:uiPriority w:val="0"/>
    <w:rPr>
      <w:rFonts w:ascii="Times New Roman" w:hAnsi="Times New Roman" w:eastAsia="宋体" w:cs="Times New Roman"/>
      <w:kern w:val="0"/>
      <w:sz w:val="20"/>
      <w:szCs w:val="20"/>
    </w:rPr>
  </w:style>
  <w:style w:type="character" w:customStyle="1" w:styleId="266">
    <w:name w:val="Footer Char"/>
    <w:autoRedefine/>
    <w:qFormat/>
    <w:locked/>
    <w:uiPriority w:val="0"/>
    <w:rPr>
      <w:rFonts w:ascii="Times New Roman" w:hAnsi="Times New Roman" w:eastAsia="宋体" w:cs="Times New Roman"/>
      <w:kern w:val="0"/>
      <w:sz w:val="20"/>
      <w:szCs w:val="20"/>
    </w:rPr>
  </w:style>
  <w:style w:type="character" w:customStyle="1" w:styleId="267">
    <w:name w:val="Plain Text Char"/>
    <w:autoRedefine/>
    <w:qFormat/>
    <w:locked/>
    <w:uiPriority w:val="0"/>
    <w:rPr>
      <w:rFonts w:ascii="宋体" w:hAnsi="Courier New" w:eastAsia="宋体" w:cs="Times New Roman"/>
      <w:sz w:val="20"/>
      <w:szCs w:val="20"/>
    </w:rPr>
  </w:style>
  <w:style w:type="character" w:customStyle="1" w:styleId="268">
    <w:name w:val="Body Text Indent 2 Char"/>
    <w:autoRedefine/>
    <w:qFormat/>
    <w:locked/>
    <w:uiPriority w:val="0"/>
    <w:rPr>
      <w:rFonts w:ascii="Times New Roman" w:hAnsi="Times New Roman" w:eastAsia="宋体" w:cs="Times New Roman"/>
      <w:sz w:val="30"/>
      <w:szCs w:val="30"/>
    </w:rPr>
  </w:style>
  <w:style w:type="character" w:customStyle="1" w:styleId="269">
    <w:name w:val="Body Text Indent 3 Char"/>
    <w:autoRedefine/>
    <w:qFormat/>
    <w:locked/>
    <w:uiPriority w:val="0"/>
    <w:rPr>
      <w:rFonts w:ascii="Times New Roman" w:hAnsi="Times New Roman" w:eastAsia="宋体" w:cs="Times New Roman"/>
      <w:sz w:val="30"/>
      <w:szCs w:val="30"/>
    </w:rPr>
  </w:style>
  <w:style w:type="character" w:customStyle="1" w:styleId="270">
    <w:name w:val="Body Text First Indent 2 Char"/>
    <w:autoRedefine/>
    <w:qFormat/>
    <w:locked/>
    <w:uiPriority w:val="0"/>
    <w:rPr>
      <w:rFonts w:ascii="Times New Roman" w:hAnsi="Times New Roman" w:eastAsia="宋体" w:cs="Times New Roman"/>
      <w:kern w:val="2"/>
      <w:sz w:val="24"/>
      <w:szCs w:val="24"/>
    </w:rPr>
  </w:style>
  <w:style w:type="character" w:customStyle="1" w:styleId="271">
    <w:name w:val="Body Text 2 Char"/>
    <w:autoRedefine/>
    <w:qFormat/>
    <w:locked/>
    <w:uiPriority w:val="0"/>
    <w:rPr>
      <w:rFonts w:ascii="宋体" w:hAnsi="Times New Roman" w:eastAsia="宋体" w:cs="Times New Roman"/>
      <w:sz w:val="20"/>
      <w:szCs w:val="20"/>
    </w:rPr>
  </w:style>
  <w:style w:type="character" w:customStyle="1" w:styleId="272">
    <w:name w:val="Balloon Text Char"/>
    <w:autoRedefine/>
    <w:qFormat/>
    <w:locked/>
    <w:uiPriority w:val="0"/>
    <w:rPr>
      <w:rFonts w:ascii="Times New Roman" w:hAnsi="Times New Roman" w:eastAsia="宋体" w:cs="Times New Roman"/>
      <w:sz w:val="18"/>
      <w:szCs w:val="18"/>
    </w:rPr>
  </w:style>
  <w:style w:type="character" w:customStyle="1" w:styleId="273">
    <w:name w:val="Salutation Char"/>
    <w:autoRedefine/>
    <w:qFormat/>
    <w:locked/>
    <w:uiPriority w:val="0"/>
    <w:rPr>
      <w:rFonts w:ascii="..ì." w:hAnsi="Times New Roman" w:eastAsia="..ì." w:cs="Times New Roman"/>
      <w:kern w:val="0"/>
      <w:sz w:val="20"/>
      <w:szCs w:val="20"/>
    </w:rPr>
  </w:style>
  <w:style w:type="character" w:customStyle="1" w:styleId="274">
    <w:name w:val="Note Heading Char"/>
    <w:autoRedefine/>
    <w:qFormat/>
    <w:locked/>
    <w:uiPriority w:val="0"/>
    <w:rPr>
      <w:rFonts w:ascii="..ì." w:hAnsi="Times New Roman" w:eastAsia="..ì." w:cs="Times New Roman"/>
      <w:kern w:val="0"/>
      <w:sz w:val="20"/>
      <w:szCs w:val="20"/>
    </w:rPr>
  </w:style>
  <w:style w:type="paragraph" w:customStyle="1" w:styleId="275">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6">
    <w:name w:val="TOC Heading1"/>
    <w:basedOn w:val="3"/>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7">
    <w:name w:val="Body Text 3 Char"/>
    <w:autoRedefine/>
    <w:qFormat/>
    <w:locked/>
    <w:uiPriority w:val="0"/>
    <w:rPr>
      <w:rFonts w:ascii="Times New Roman" w:hAnsi="Times New Roman" w:eastAsia="宋体" w:cs="Times New Roman"/>
      <w:sz w:val="16"/>
      <w:szCs w:val="16"/>
    </w:rPr>
  </w:style>
  <w:style w:type="character" w:customStyle="1" w:styleId="278">
    <w:name w:val="Title Char"/>
    <w:autoRedefine/>
    <w:qFormat/>
    <w:locked/>
    <w:uiPriority w:val="0"/>
    <w:rPr>
      <w:rFonts w:ascii="Arial" w:hAnsi="Arial" w:eastAsia="宋体" w:cs="Times New Roman"/>
      <w:b/>
      <w:kern w:val="0"/>
      <w:sz w:val="20"/>
      <w:szCs w:val="20"/>
    </w:rPr>
  </w:style>
  <w:style w:type="character" w:customStyle="1" w:styleId="279">
    <w:name w:val="Comment Subject Char"/>
    <w:autoRedefine/>
    <w:qFormat/>
    <w:locked/>
    <w:uiPriority w:val="0"/>
    <w:rPr>
      <w:rFonts w:ascii="Times New Roman" w:hAnsi="Times New Roman" w:eastAsia="宋体" w:cs="Times New Roman"/>
      <w:b/>
      <w:bCs/>
      <w:sz w:val="24"/>
      <w:szCs w:val="24"/>
    </w:rPr>
  </w:style>
  <w:style w:type="character" w:customStyle="1" w:styleId="280">
    <w:name w:val="Comment Text Char"/>
    <w:autoRedefine/>
    <w:qFormat/>
    <w:locked/>
    <w:uiPriority w:val="0"/>
    <w:rPr>
      <w:rFonts w:ascii="Times New Roman" w:hAnsi="Times New Roman" w:eastAsia="宋体"/>
      <w:sz w:val="24"/>
    </w:rPr>
  </w:style>
  <w:style w:type="paragraph" w:customStyle="1" w:styleId="281">
    <w:name w:val="List Paragraph1"/>
    <w:basedOn w:val="1"/>
    <w:autoRedefine/>
    <w:qFormat/>
    <w:uiPriority w:val="0"/>
    <w:pPr>
      <w:ind w:firstLine="420" w:firstLineChars="200"/>
    </w:pPr>
    <w:rPr>
      <w:rFonts w:eastAsia="宋体"/>
    </w:rPr>
  </w:style>
  <w:style w:type="paragraph" w:customStyle="1" w:styleId="282">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3">
    <w:name w:val="未处理的提及"/>
    <w:autoRedefine/>
    <w:unhideWhenUsed/>
    <w:qFormat/>
    <w:uiPriority w:val="99"/>
    <w:rPr>
      <w:color w:val="605E5C"/>
      <w:shd w:val="clear" w:color="auto" w:fill="E1DFDD"/>
    </w:rPr>
  </w:style>
  <w:style w:type="character" w:customStyle="1" w:styleId="284">
    <w:name w:val="Char Char11"/>
    <w:autoRedefine/>
    <w:qFormat/>
    <w:uiPriority w:val="99"/>
    <w:rPr>
      <w:rFonts w:eastAsia="宋体"/>
      <w:kern w:val="2"/>
      <w:sz w:val="24"/>
      <w:lang w:val="en-US" w:eastAsia="zh-CN"/>
    </w:rPr>
  </w:style>
  <w:style w:type="character" w:customStyle="1" w:styleId="285">
    <w:name w:val="正文文本 Char1"/>
    <w:autoRedefine/>
    <w:semiHidden/>
    <w:qFormat/>
    <w:uiPriority w:val="0"/>
    <w:rPr>
      <w:rFonts w:ascii="Times New Roman" w:hAnsi="Times New Roman" w:eastAsia="宋体" w:cs="Times New Roman"/>
      <w:szCs w:val="24"/>
    </w:rPr>
  </w:style>
  <w:style w:type="paragraph" w:customStyle="1" w:styleId="286">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11"/>
    <w:basedOn w:val="1"/>
    <w:autoRedefine/>
    <w:qFormat/>
    <w:uiPriority w:val="99"/>
    <w:rPr>
      <w:rFonts w:ascii="Tahoma" w:hAnsi="Tahoma" w:eastAsia="宋体"/>
      <w:sz w:val="24"/>
      <w:szCs w:val="20"/>
    </w:rPr>
  </w:style>
  <w:style w:type="paragraph" w:customStyle="1" w:styleId="288">
    <w:name w:val="Char Char Char Char1"/>
    <w:basedOn w:val="1"/>
    <w:autoRedefine/>
    <w:qFormat/>
    <w:uiPriority w:val="99"/>
    <w:pPr>
      <w:widowControl/>
      <w:spacing w:after="160" w:line="240" w:lineRule="exact"/>
      <w:jc w:val="left"/>
    </w:pPr>
    <w:rPr>
      <w:rFonts w:eastAsia="宋体"/>
      <w:szCs w:val="20"/>
    </w:rPr>
  </w:style>
  <w:style w:type="paragraph" w:customStyle="1" w:styleId="289">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0">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11"/>
    <w:basedOn w:val="1"/>
    <w:autoRedefine/>
    <w:qFormat/>
    <w:uiPriority w:val="99"/>
    <w:pPr>
      <w:widowControl/>
      <w:spacing w:after="160" w:line="240" w:lineRule="exact"/>
      <w:jc w:val="left"/>
    </w:pPr>
    <w:rPr>
      <w:rFonts w:eastAsia="宋体"/>
      <w:szCs w:val="20"/>
    </w:rPr>
  </w:style>
  <w:style w:type="paragraph" w:customStyle="1" w:styleId="292">
    <w:name w:val="Char12"/>
    <w:basedOn w:val="1"/>
    <w:autoRedefine/>
    <w:qFormat/>
    <w:uiPriority w:val="99"/>
    <w:rPr>
      <w:rFonts w:ascii="Tahoma" w:hAnsi="Tahoma" w:eastAsia="宋体"/>
      <w:sz w:val="24"/>
      <w:szCs w:val="20"/>
    </w:rPr>
  </w:style>
  <w:style w:type="paragraph" w:customStyle="1" w:styleId="293">
    <w:name w:val="Char111"/>
    <w:basedOn w:val="1"/>
    <w:autoRedefine/>
    <w:qFormat/>
    <w:uiPriority w:val="99"/>
    <w:rPr>
      <w:rFonts w:ascii="Tahoma" w:hAnsi="Tahoma" w:eastAsia="宋体"/>
      <w:sz w:val="24"/>
      <w:szCs w:val="20"/>
    </w:rPr>
  </w:style>
  <w:style w:type="paragraph" w:customStyle="1" w:styleId="294">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Char Char Char Char2"/>
    <w:basedOn w:val="1"/>
    <w:autoRedefine/>
    <w:qFormat/>
    <w:uiPriority w:val="99"/>
    <w:pPr>
      <w:widowControl/>
      <w:spacing w:after="160" w:line="240" w:lineRule="exact"/>
      <w:jc w:val="left"/>
    </w:pPr>
    <w:rPr>
      <w:rFonts w:eastAsia="宋体"/>
      <w:szCs w:val="20"/>
    </w:rPr>
  </w:style>
  <w:style w:type="character" w:customStyle="1" w:styleId="296">
    <w:name w:val="正文文本 字符"/>
    <w:autoRedefine/>
    <w:qFormat/>
    <w:uiPriority w:val="0"/>
    <w:rPr>
      <w:b/>
      <w:i/>
      <w:szCs w:val="24"/>
    </w:rPr>
  </w:style>
  <w:style w:type="paragraph" w:customStyle="1" w:styleId="297">
    <w:name w:val="纯文本2"/>
    <w:basedOn w:val="1"/>
    <w:autoRedefine/>
    <w:qFormat/>
    <w:uiPriority w:val="0"/>
    <w:rPr>
      <w:rFonts w:ascii="宋体" w:hAnsi="Courier New" w:cs="Courier New"/>
      <w:szCs w:val="21"/>
    </w:rPr>
  </w:style>
  <w:style w:type="paragraph" w:customStyle="1" w:styleId="298">
    <w:name w:val="TOC 标题3"/>
    <w:basedOn w:val="3"/>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9">
    <w:name w:val="HTML 预设格式 Char"/>
    <w:basedOn w:val="52"/>
    <w:link w:val="43"/>
    <w:autoRedefine/>
    <w:qFormat/>
    <w:uiPriority w:val="0"/>
    <w:rPr>
      <w:rFonts w:ascii="黑体" w:hAnsi="Courier New" w:eastAsia="黑体"/>
    </w:rPr>
  </w:style>
  <w:style w:type="paragraph" w:customStyle="1" w:styleId="300">
    <w:name w:val="reader-word-layer"/>
    <w:basedOn w:val="1"/>
    <w:autoRedefine/>
    <w:qFormat/>
    <w:uiPriority w:val="0"/>
    <w:pPr>
      <w:spacing w:before="100" w:beforeAutospacing="1" w:after="100" w:afterAutospacing="1"/>
    </w:pPr>
    <w:rPr>
      <w:rFonts w:eastAsia="宋体"/>
      <w:szCs w:val="20"/>
    </w:rPr>
  </w:style>
  <w:style w:type="paragraph" w:customStyle="1" w:styleId="301">
    <w:name w:val="列出段落11"/>
    <w:basedOn w:val="1"/>
    <w:autoRedefine/>
    <w:qFormat/>
    <w:uiPriority w:val="0"/>
    <w:pPr>
      <w:autoSpaceDE w:val="0"/>
      <w:autoSpaceDN w:val="0"/>
      <w:ind w:firstLine="420" w:firstLineChars="200"/>
      <w:jc w:val="left"/>
    </w:pPr>
    <w:rPr>
      <w:rFonts w:eastAsia="宋体"/>
      <w:kern w:val="0"/>
      <w:sz w:val="22"/>
      <w:lang w:val="zh-CN" w:bidi="zh-CN"/>
    </w:rPr>
  </w:style>
  <w:style w:type="paragraph" w:customStyle="1" w:styleId="302">
    <w:name w:val="正文文本 31"/>
    <w:basedOn w:val="1"/>
    <w:autoRedefine/>
    <w:qFormat/>
    <w:uiPriority w:val="0"/>
    <w:pPr>
      <w:autoSpaceDE w:val="0"/>
      <w:autoSpaceDN w:val="0"/>
      <w:spacing w:after="120"/>
      <w:jc w:val="left"/>
    </w:pPr>
    <w:rPr>
      <w:rFonts w:eastAsia="宋体" w:cs="宋体"/>
      <w:kern w:val="0"/>
      <w:sz w:val="16"/>
      <w:szCs w:val="16"/>
      <w:lang w:val="zh-CN" w:bidi="zh-CN"/>
    </w:rPr>
  </w:style>
  <w:style w:type="paragraph" w:customStyle="1" w:styleId="303">
    <w:name w:val="Revision"/>
    <w:autoRedefine/>
    <w:hidden/>
    <w:unhideWhenUsed/>
    <w:qFormat/>
    <w:uiPriority w:val="99"/>
    <w:rPr>
      <w:rFonts w:ascii="Times New Roman" w:hAnsi="Times New Roman" w:eastAsia="Arial Unicode MS" w:cs="Times New Roman"/>
      <w:kern w:val="2"/>
      <w:sz w:val="21"/>
      <w:szCs w:val="24"/>
      <w:lang w:val="en-US" w:eastAsia="zh-CN" w:bidi="ar-SA"/>
    </w:rPr>
  </w:style>
  <w:style w:type="paragraph" w:customStyle="1" w:styleId="304">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table" w:customStyle="1" w:styleId="305">
    <w:name w:val="网格型1"/>
    <w:basedOn w:val="50"/>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06">
    <w:name w:val="Body text|1"/>
    <w:basedOn w:val="1"/>
    <w:autoRedefine/>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 w:type="paragraph" w:customStyle="1" w:styleId="30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59</Pages>
  <Words>27180</Words>
  <Characters>30890</Characters>
  <Lines>349</Lines>
  <Paragraphs>98</Paragraphs>
  <TotalTime>62</TotalTime>
  <ScaleCrop>false</ScaleCrop>
  <LinksUpToDate>false</LinksUpToDate>
  <CharactersWithSpaces>33220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Jun</cp:lastModifiedBy>
  <cp:lastPrinted>2023-08-16T07:30:00Z</cp:lastPrinted>
  <dcterms:modified xsi:type="dcterms:W3CDTF">2025-10-13T08:45:44Z</dcterms:modified>
  <dc:title>_x0001_</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96DE3F9F64A8443B9153C6FE4ED87940_13</vt:lpwstr>
  </property>
  <property fmtid="{D5CDD505-2E9C-101B-9397-08002B2CF9AE}" pid="4" name="KSOTemplateDocerSaveRecord">
    <vt:lpwstr>eyJoZGlkIjoiZDU3NDQxYWM0MTczYjBhMzlmYjdkYmMwMzBhMmYwMWMiLCJ1c2VySWQiOiIyNTQ0OTA1OTQifQ==</vt:lpwstr>
  </property>
</Properties>
</file>