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21A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西安市胸科医院VTE防治系统项目竞争性磋商公告</w:t>
      </w:r>
    </w:p>
    <w:p w14:paraId="4DA68D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7881DE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VTE防治系统项目</w:t>
      </w:r>
      <w:r>
        <w:rPr>
          <w:rFonts w:hint="eastAsia" w:ascii="微软雅黑" w:hAnsi="微软雅黑" w:eastAsia="微软雅黑" w:cs="微软雅黑"/>
          <w:i w:val="0"/>
          <w:iCs w:val="0"/>
          <w:caps w:val="0"/>
          <w:color w:val="auto"/>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2025年11月12日 14时30分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744598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14:paraId="53D085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项目编号：SXWZ2025ZB-XKYY-181</w:t>
      </w:r>
    </w:p>
    <w:p w14:paraId="7BF77E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项目名称：VTE防治系统项目</w:t>
      </w:r>
    </w:p>
    <w:p w14:paraId="33AA2D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14:paraId="217874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预算金额：625,000.00元</w:t>
      </w:r>
    </w:p>
    <w:p w14:paraId="167413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采购需求：详见采购需求附件</w:t>
      </w:r>
    </w:p>
    <w:p w14:paraId="2455F2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14:paraId="1F39E0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采购包1：交付期：合同签订后6个月内，完成本项目内容整体交付工作。质保期：自验收合格之日起≥3年。</w:t>
      </w:r>
    </w:p>
    <w:p w14:paraId="182FE0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本项目是否接受联合体投标：</w:t>
      </w:r>
    </w:p>
    <w:p w14:paraId="27F88F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采购包1：不接受联合体投标</w:t>
      </w:r>
    </w:p>
    <w:p w14:paraId="6C9F75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14:paraId="6B9257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21D2CC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 无。</w:t>
      </w:r>
    </w:p>
    <w:p w14:paraId="0723CE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18D5EB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合同包1(VTE防治系统采购项目)特定资格要求如下:</w:t>
      </w:r>
    </w:p>
    <w:p w14:paraId="44D447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p>
    <w:p w14:paraId="74552C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供应商须提供2024年7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14:paraId="3CABDB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(3)供应商须提供2024年7月至今已缴纳的至少一个月纳税证明或完税证明，依法免税的单位应提供相关证明材料；（以税款所属期限为准）</w:t>
      </w:r>
    </w:p>
    <w:p w14:paraId="7E9822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(4)提供经会计师事务所审计的2024年度财务审计报告，或在开标日期前六个月内其基本开户银行出具的资信证明</w:t>
      </w:r>
    </w:p>
    <w:p w14:paraId="5DE991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进入西安市卫健委各级系统“黑名单”的，不得参与投标</w:t>
      </w:r>
    </w:p>
    <w:p w14:paraId="59ADFF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(6)非法定代表人参加投标，须提供法定代表人授权委托书及被授权人身份证原件；法定代表人参加投标时,只须提供法定代表人身份证原件</w:t>
      </w:r>
    </w:p>
    <w:p w14:paraId="55AEFE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(7)采购人职工及其配偶、直系亲属投资开办或在相关企业担任高管、独立董事等有重大利益关系职务的相关供应商，不得参与磋商（提供承诺函）</w:t>
      </w:r>
    </w:p>
    <w:p w14:paraId="7025EB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(8)单位负责人为同一人或者存在直接控股、管理关系的不同单位不得同时投标</w:t>
      </w:r>
    </w:p>
    <w:p w14:paraId="3D55AB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(9)本项目不接受联合体参与</w:t>
      </w:r>
    </w:p>
    <w:p w14:paraId="2A5AAE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14:paraId="03E0ED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2025年10月30日 至 2025年11月06日 ，每天上午 00:00:00 至 12:00:00 ，下午 12:00:00 至 23:59:59 （北京时间）</w:t>
      </w:r>
    </w:p>
    <w:p w14:paraId="0BFA9A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项目电子化交易系统（交易执行-选择项目所属区划-应标-项目投标-未获取页面）选择本项目报名参与并获取采购文件</w:t>
      </w:r>
    </w:p>
    <w:p w14:paraId="0B61D9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投标人有意参加本项目的，应在陕西省政府采购网（www.ccgp-shaanxi.gov.cn）登录项目电子化交易系统申请获取采购文件</w:t>
      </w:r>
    </w:p>
    <w:p w14:paraId="061C2B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42E0EC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14:paraId="5B5603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2025年11月12日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709F44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项目电子化交易系统（交易执行-选择项目所属区划-应标-项目投标-已获取-投标（响应）管理）上传投标（响应）文件</w:t>
      </w:r>
    </w:p>
    <w:p w14:paraId="224FAD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14:paraId="695FBE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2025年11月12日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4E5DB9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项目电子化交易系统（交易执行-选择项目所属区划-开标-供应商开标大厅）参与线上开标</w:t>
      </w:r>
    </w:p>
    <w:p w14:paraId="19A151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14:paraId="65093E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7594FC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14:paraId="063296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123E09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271ADD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5EA102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412235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57A6D7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14:paraId="4BE7C2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（四）开标/开启前30分钟内，供应商需登录项目电子化交易系统-“供应商开标大厅”-进入开标选择对应项目包组操作签到。</w:t>
      </w:r>
    </w:p>
    <w:p w14:paraId="444365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（五）政府采购平台技术支持：</w:t>
      </w:r>
    </w:p>
    <w:p w14:paraId="603517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在线客服：通过陕西省政府采购网-在线客服进行咨询</w:t>
      </w:r>
    </w:p>
    <w:p w14:paraId="6DB1E9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技术服务电话：029-96702</w:t>
      </w:r>
    </w:p>
    <w:p w14:paraId="5E54F1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CA及签章服务：通过陕西省政府采购网-办事指南进行查询</w:t>
      </w:r>
    </w:p>
    <w:p w14:paraId="10CCB5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（六）执行的其他政府采购政策：</w:t>
      </w:r>
    </w:p>
    <w:p w14:paraId="1D544E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p>
    <w:p w14:paraId="780252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（2）《关于进一步加大政府采购支持中小企业力度的通知》（财库〔2022〕19号）</w:t>
      </w:r>
    </w:p>
    <w:p w14:paraId="188137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（3）《财政部司法部关于政府采购支持监狱企业发展有关问题的通知》财库[2014]68号</w:t>
      </w:r>
    </w:p>
    <w:p w14:paraId="49F9B7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（4）《三部门联合发布关于促进残疾人就业政府采购政策的通知》（财库[2017]141号）</w:t>
      </w:r>
    </w:p>
    <w:p w14:paraId="7F0C98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（5）《财政部 发展改革委 生态环境部 市场监管总局关于调整优化节能产品、环境标志产品政府采购执行机制的通知》（财库〔2019〕9号）</w:t>
      </w:r>
    </w:p>
    <w:p w14:paraId="147594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（6）《财政部环保总局关于环境标志产品政府采购实施的意见》财库[2006]90号</w:t>
      </w:r>
    </w:p>
    <w:p w14:paraId="3DDED1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（7）《陕西省中小企业政府采购信用融资办法》（陕财办采〔2018〕23号）</w:t>
      </w:r>
    </w:p>
    <w:p w14:paraId="1B76EF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（8）《国务院办公厅关于建立政府强制采购节能产品制度的通知》（国办发〔2007〕51号）</w:t>
      </w:r>
    </w:p>
    <w:p w14:paraId="640003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（9）《财政部 农业农村部 国家乡村振兴局关于运用政府采购政策支持乡村产业振兴的通知》（财库〔2021〕19 号）</w:t>
      </w:r>
    </w:p>
    <w:p w14:paraId="2BF3CD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（10）《财政部住房城乡建设部工业和信息化部关于扩大政府采购绿色建材促进建筑品质提升政策实施范围的通知》（财库〔2022〕35号）</w:t>
      </w:r>
    </w:p>
    <w:p w14:paraId="7EB389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（11）其他需要落实的政府采购政策。</w:t>
      </w:r>
    </w:p>
    <w:p w14:paraId="1739D3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（七）1、供应商需要在线提交所有通过电子化交易平台实施的政府采购项目的响应文件，同时，线下提交纸质响应文件正本壹份、副本贰份、电子版壹份（U盘壹份）。 纸质响应文件正副本需胶装，标明供应商名称密封递交，递交截止时间同在线递交电子响应文件截止时间一致。 若电子响应文件与纸质响应文件不一致的，以电子响应文件为准。 线下递交文件时间：同开标时间 ；线下递交文件地点： 西安市高新区唐延路旺座现代城C座2502室；若选择邮寄，请邮寄至2502室。 邮箱：sxwzzb123@163.com。</w:t>
      </w:r>
    </w:p>
    <w:p w14:paraId="096811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14:paraId="674EDB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618FA9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西安市胸科医院</w:t>
      </w:r>
    </w:p>
    <w:p w14:paraId="710CF9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西安市长安区航天大道东段杜陵西路2000号</w:t>
      </w:r>
    </w:p>
    <w:p w14:paraId="00B5A8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郝主任 029-62500115</w:t>
      </w:r>
    </w:p>
    <w:p w14:paraId="5550D0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0FC193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14:paraId="22DE6B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西安市高新区唐延路旺座现代城C座25楼2502室</w:t>
      </w:r>
    </w:p>
    <w:p w14:paraId="79B682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 029-88319689-8004</w:t>
      </w:r>
    </w:p>
    <w:p w14:paraId="219BEA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77082A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招标二部 崔方明 许芳芳 刘嘉辉 陈晓航</w:t>
      </w:r>
    </w:p>
    <w:p w14:paraId="6D7991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 029-88319689-8004</w:t>
      </w:r>
    </w:p>
    <w:p w14:paraId="403D4A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14:paraId="61B0DB47">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40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2850</Words>
  <Characters>3193</Characters>
  <Lines>0</Lines>
  <Paragraphs>0</Paragraphs>
  <TotalTime>0</TotalTime>
  <ScaleCrop>false</ScaleCrop>
  <LinksUpToDate>false</LinksUpToDate>
  <CharactersWithSpaces>3235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2025-10-30T07:18:59Z</dcterms:created>
  <dc:creator>Administrator</dc:creator>
  <cp:lastModifiedBy>十五</cp:lastModifiedBy>
  <dcterms:modified xsi:type="dcterms:W3CDTF">2025-10-30T07:19:09Z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eyJoZGlkIjoiOGM1MjI3YTI2YzIxZjU2MWUyNGQ3YzNiYzliMzk5YmUiLCJ1c2VySWQiOiI0NzM2OTcxODIifQ==</vt:lpwstr>
  </property>
  <property fmtid="{D5CDD505-2E9C-101B-9397-08002B2CF9AE}" pid="4" name="ICV">
    <vt:lpwstr>3C0D753699AB4BD19E03649D6752C399_12</vt:lpwstr>
  </property>
</Properties>
</file>