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32497">
      <w:pPr>
        <w:spacing w:line="240" w:lineRule="auto"/>
        <w:ind w:right="0" w:rightChars="0"/>
        <w:jc w:val="center"/>
        <w:rPr>
          <w:rFonts w:hint="eastAsia" w:ascii="方正小标宋简体" w:hAnsi="方正小标宋简体" w:eastAsia="方正小标宋简体" w:cs="方正小标宋简体"/>
          <w:b w:val="0"/>
          <w:bCs w:val="0"/>
          <w:color w:val="auto"/>
          <w:sz w:val="40"/>
          <w:szCs w:val="40"/>
          <w:lang w:val="en-US" w:eastAsia="zh-CN"/>
        </w:rPr>
      </w:pPr>
      <w:r>
        <w:rPr>
          <w:rFonts w:hint="eastAsia" w:ascii="方正小标宋简体" w:hAnsi="方正小标宋简体" w:eastAsia="方正小标宋简体" w:cs="方正小标宋简体"/>
          <w:b w:val="0"/>
          <w:bCs w:val="0"/>
          <w:color w:val="auto"/>
          <w:sz w:val="40"/>
          <w:szCs w:val="40"/>
          <w:lang w:val="en-US" w:eastAsia="zh-CN"/>
        </w:rPr>
        <w:t>渭南市成品油综合服务智慧监管平台项目监理服务</w:t>
      </w:r>
    </w:p>
    <w:p w14:paraId="447C7BE7">
      <w:pPr>
        <w:spacing w:line="640" w:lineRule="exact"/>
        <w:jc w:val="center"/>
        <w:rPr>
          <w:rFonts w:hint="eastAsia" w:ascii="方正小标宋简体" w:hAnsi="方正小标宋简体" w:eastAsia="方正小标宋简体" w:cs="方正小标宋简体"/>
          <w:b w:val="0"/>
          <w:bCs w:val="0"/>
          <w:color w:val="auto"/>
          <w:sz w:val="40"/>
          <w:szCs w:val="40"/>
          <w:lang w:eastAsia="zh-CN"/>
        </w:rPr>
      </w:pPr>
      <w:r>
        <w:rPr>
          <w:rFonts w:hint="eastAsia" w:ascii="方正小标宋简体" w:hAnsi="方正小标宋简体" w:eastAsia="方正小标宋简体" w:cs="方正小标宋简体"/>
          <w:b w:val="0"/>
          <w:bCs w:val="0"/>
          <w:color w:val="auto"/>
          <w:sz w:val="40"/>
          <w:szCs w:val="40"/>
          <w:lang w:eastAsia="zh-CN"/>
        </w:rPr>
        <w:t>采购需求</w:t>
      </w:r>
    </w:p>
    <w:p w14:paraId="2C4D2204">
      <w:pPr>
        <w:pStyle w:val="8"/>
        <w:keepNext w:val="0"/>
        <w:keepLines w:val="0"/>
        <w:pageBreakBefore w:val="0"/>
        <w:widowControl w:val="0"/>
        <w:kinsoku/>
        <w:wordWrap/>
        <w:overflowPunct/>
        <w:topLinePunct w:val="0"/>
        <w:autoSpaceDE/>
        <w:autoSpaceDN/>
        <w:bidi w:val="0"/>
        <w:adjustRightInd/>
        <w:snapToGrid/>
        <w:spacing w:before="0" w:after="0" w:line="380" w:lineRule="exact"/>
        <w:textAlignment w:val="auto"/>
        <w:rPr>
          <w:rFonts w:hint="eastAsia"/>
          <w:color w:val="auto"/>
          <w:lang w:eastAsia="zh-CN"/>
        </w:rPr>
      </w:pPr>
    </w:p>
    <w:p w14:paraId="561A7117">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outlineLvl w:val="1"/>
        <w:rPr>
          <w:rFonts w:hint="eastAsia" w:ascii="黑体" w:hAnsi="黑体" w:eastAsia="黑体" w:cs="黑体"/>
          <w:color w:val="auto"/>
          <w:sz w:val="28"/>
          <w:szCs w:val="28"/>
        </w:rPr>
      </w:pPr>
      <w:r>
        <w:rPr>
          <w:rFonts w:hint="eastAsia" w:ascii="黑体" w:hAnsi="黑体" w:eastAsia="黑体" w:cs="黑体"/>
          <w:color w:val="auto"/>
          <w:sz w:val="28"/>
          <w:szCs w:val="28"/>
        </w:rPr>
        <w:t>一、基本要求</w:t>
      </w:r>
    </w:p>
    <w:p w14:paraId="786ADD9E">
      <w:p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功能要求：</w:t>
      </w:r>
      <w:r>
        <w:rPr>
          <w:rFonts w:hint="eastAsia" w:ascii="仿宋_GB2312" w:hAnsi="仿宋_GB2312" w:eastAsia="仿宋_GB2312" w:cs="仿宋_GB2312"/>
          <w:color w:val="auto"/>
          <w:sz w:val="28"/>
          <w:szCs w:val="28"/>
          <w:lang w:val="en-US" w:eastAsia="zh-CN"/>
        </w:rPr>
        <w:t>完成</w:t>
      </w:r>
      <w:r>
        <w:rPr>
          <w:rFonts w:hint="eastAsia" w:ascii="仿宋_GB2312" w:hAnsi="仿宋_GB2312" w:eastAsia="仿宋_GB2312" w:cs="仿宋_GB2312"/>
          <w:color w:val="auto"/>
          <w:sz w:val="28"/>
          <w:szCs w:val="28"/>
          <w:lang w:eastAsia="zh-CN"/>
        </w:rPr>
        <w:t>渭南市成品油综合服务智慧监管平台项目监理服务</w:t>
      </w:r>
      <w:r>
        <w:rPr>
          <w:rFonts w:hint="eastAsia" w:ascii="仿宋_GB2312" w:hAnsi="仿宋_GB2312" w:eastAsia="仿宋_GB2312" w:cs="仿宋_GB2312"/>
          <w:color w:val="auto"/>
          <w:sz w:val="28"/>
          <w:szCs w:val="28"/>
          <w:lang w:val="en-US" w:eastAsia="zh-CN"/>
        </w:rPr>
        <w:t>全部内容。</w:t>
      </w:r>
      <w:bookmarkStart w:id="0" w:name="_GoBack"/>
      <w:bookmarkEnd w:id="0"/>
    </w:p>
    <w:p w14:paraId="232F67DB">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采购项目需要落实的政府采购政策：</w:t>
      </w:r>
    </w:p>
    <w:p w14:paraId="6D4E895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8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SA"/>
        </w:rPr>
        <w:t>（1）《政府采购促进中小企业发展管理办法》（财库〔</w:t>
      </w:r>
      <w:r>
        <w:rPr>
          <w:rFonts w:hint="default" w:ascii="仿宋_GB2312" w:hAnsi="仿宋_GB2312" w:eastAsia="仿宋_GB2312" w:cs="仿宋_GB2312"/>
          <w:color w:val="auto"/>
          <w:kern w:val="2"/>
          <w:sz w:val="28"/>
          <w:szCs w:val="28"/>
          <w:lang w:val="en-US" w:eastAsia="zh-CN" w:bidi="ar-SA"/>
        </w:rPr>
        <w:t>2020</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46</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2</w:t>
      </w:r>
      <w:r>
        <w:rPr>
          <w:rFonts w:hint="eastAsia" w:ascii="仿宋_GB2312" w:hAnsi="仿宋_GB2312" w:eastAsia="仿宋_GB2312" w:cs="仿宋_GB2312"/>
          <w:color w:val="auto"/>
          <w:kern w:val="2"/>
          <w:sz w:val="28"/>
          <w:szCs w:val="28"/>
          <w:lang w:val="en-US" w:eastAsia="zh-CN" w:bidi="ar-SA"/>
        </w:rPr>
        <w:t>）《关于进一步加大政府采购支持中小企业力度的通知》（财库〔</w:t>
      </w:r>
      <w:r>
        <w:rPr>
          <w:rFonts w:hint="default" w:ascii="仿宋_GB2312" w:hAnsi="仿宋_GB2312" w:eastAsia="仿宋_GB2312" w:cs="仿宋_GB2312"/>
          <w:color w:val="auto"/>
          <w:kern w:val="2"/>
          <w:sz w:val="28"/>
          <w:szCs w:val="28"/>
          <w:lang w:val="en-US" w:eastAsia="zh-CN" w:bidi="ar-SA"/>
        </w:rPr>
        <w:t>2022</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19</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3</w:t>
      </w:r>
      <w:r>
        <w:rPr>
          <w:rFonts w:hint="eastAsia" w:ascii="仿宋_GB2312" w:hAnsi="仿宋_GB2312" w:eastAsia="仿宋_GB2312" w:cs="仿宋_GB2312"/>
          <w:color w:val="auto"/>
          <w:kern w:val="2"/>
          <w:sz w:val="28"/>
          <w:szCs w:val="28"/>
          <w:lang w:val="en-US" w:eastAsia="zh-CN" w:bidi="ar-SA"/>
        </w:rPr>
        <w:t>）《关于政府采购支持监狱企业发展有关问题的通知》（财库〔</w:t>
      </w:r>
      <w:r>
        <w:rPr>
          <w:rFonts w:hint="default" w:ascii="仿宋_GB2312" w:hAnsi="仿宋_GB2312" w:eastAsia="仿宋_GB2312" w:cs="仿宋_GB2312"/>
          <w:color w:val="auto"/>
          <w:kern w:val="2"/>
          <w:sz w:val="28"/>
          <w:szCs w:val="28"/>
          <w:lang w:val="en-US" w:eastAsia="zh-CN" w:bidi="ar-SA"/>
        </w:rPr>
        <w:t>2014</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68</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4</w:t>
      </w:r>
      <w:r>
        <w:rPr>
          <w:rFonts w:hint="eastAsia" w:ascii="仿宋_GB2312" w:hAnsi="仿宋_GB2312" w:eastAsia="仿宋_GB2312" w:cs="仿宋_GB2312"/>
          <w:color w:val="auto"/>
          <w:kern w:val="2"/>
          <w:sz w:val="28"/>
          <w:szCs w:val="28"/>
          <w:lang w:val="en-US" w:eastAsia="zh-CN" w:bidi="ar-SA"/>
        </w:rPr>
        <w:t>）《关于促进残疾人就业政府采购政策的通知》（财库〔</w:t>
      </w:r>
      <w:r>
        <w:rPr>
          <w:rFonts w:hint="default" w:ascii="仿宋_GB2312" w:hAnsi="仿宋_GB2312" w:eastAsia="仿宋_GB2312" w:cs="仿宋_GB2312"/>
          <w:color w:val="auto"/>
          <w:kern w:val="2"/>
          <w:sz w:val="28"/>
          <w:szCs w:val="28"/>
          <w:lang w:val="en-US" w:eastAsia="zh-CN" w:bidi="ar-SA"/>
        </w:rPr>
        <w:t>2017</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141</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5</w:t>
      </w:r>
      <w:r>
        <w:rPr>
          <w:rFonts w:hint="eastAsia" w:ascii="仿宋_GB2312" w:hAnsi="仿宋_GB2312" w:eastAsia="仿宋_GB2312" w:cs="仿宋_GB2312"/>
          <w:color w:val="auto"/>
          <w:kern w:val="2"/>
          <w:sz w:val="28"/>
          <w:szCs w:val="28"/>
          <w:lang w:val="en-US" w:eastAsia="zh-CN" w:bidi="ar-SA"/>
        </w:rPr>
        <w:t>）《财政部发展改革委生态环境部市场监管总局关于调整优化节能产品、环境标志产品政府采购执行机制的通知》（财库〔</w:t>
      </w:r>
      <w:r>
        <w:rPr>
          <w:rFonts w:hint="default" w:ascii="仿宋_GB2312" w:hAnsi="仿宋_GB2312" w:eastAsia="仿宋_GB2312" w:cs="仿宋_GB2312"/>
          <w:color w:val="auto"/>
          <w:kern w:val="2"/>
          <w:sz w:val="28"/>
          <w:szCs w:val="28"/>
          <w:lang w:val="en-US" w:eastAsia="zh-CN" w:bidi="ar-SA"/>
        </w:rPr>
        <w:t>2019</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9</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6</w:t>
      </w:r>
      <w:r>
        <w:rPr>
          <w:rFonts w:hint="eastAsia" w:ascii="仿宋_GB2312" w:hAnsi="仿宋_GB2312" w:eastAsia="仿宋_GB2312" w:cs="仿宋_GB2312"/>
          <w:color w:val="auto"/>
          <w:kern w:val="2"/>
          <w:sz w:val="28"/>
          <w:szCs w:val="28"/>
          <w:lang w:val="en-US" w:eastAsia="zh-CN" w:bidi="ar-SA"/>
        </w:rPr>
        <w:t>）《关于印发环境标志产品政府采购品目清单的通知》（财库〔</w:t>
      </w:r>
      <w:r>
        <w:rPr>
          <w:rFonts w:hint="default" w:ascii="仿宋_GB2312" w:hAnsi="仿宋_GB2312" w:eastAsia="仿宋_GB2312" w:cs="仿宋_GB2312"/>
          <w:color w:val="auto"/>
          <w:kern w:val="2"/>
          <w:sz w:val="28"/>
          <w:szCs w:val="28"/>
          <w:lang w:val="en-US" w:eastAsia="zh-CN" w:bidi="ar-SA"/>
        </w:rPr>
        <w:t>2019</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18</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7</w:t>
      </w:r>
      <w:r>
        <w:rPr>
          <w:rFonts w:hint="eastAsia" w:ascii="仿宋_GB2312" w:hAnsi="仿宋_GB2312" w:eastAsia="仿宋_GB2312" w:cs="仿宋_GB2312"/>
          <w:color w:val="auto"/>
          <w:kern w:val="2"/>
          <w:sz w:val="28"/>
          <w:szCs w:val="28"/>
          <w:lang w:val="en-US" w:eastAsia="zh-CN" w:bidi="ar-SA"/>
        </w:rPr>
        <w:t>）《关于印发节能产品政府采购品目清单的通知》（财库〔</w:t>
      </w:r>
      <w:r>
        <w:rPr>
          <w:rFonts w:hint="default" w:ascii="仿宋_GB2312" w:hAnsi="仿宋_GB2312" w:eastAsia="仿宋_GB2312" w:cs="仿宋_GB2312"/>
          <w:color w:val="auto"/>
          <w:kern w:val="2"/>
          <w:sz w:val="28"/>
          <w:szCs w:val="28"/>
          <w:lang w:val="en-US" w:eastAsia="zh-CN" w:bidi="ar-SA"/>
        </w:rPr>
        <w:t>2019</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19</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8</w:t>
      </w:r>
      <w:r>
        <w:rPr>
          <w:rFonts w:hint="eastAsia" w:ascii="仿宋_GB2312" w:hAnsi="仿宋_GB2312" w:eastAsia="仿宋_GB2312" w:cs="仿宋_GB2312"/>
          <w:color w:val="auto"/>
          <w:kern w:val="2"/>
          <w:sz w:val="28"/>
          <w:szCs w:val="28"/>
          <w:lang w:val="en-US" w:eastAsia="zh-CN" w:bidi="ar-SA"/>
        </w:rPr>
        <w:t>）《财政部农业农村部国家乡村振兴局关于运用政府采购政策支持乡村产业振兴的通知》（财库〔</w:t>
      </w:r>
      <w:r>
        <w:rPr>
          <w:rFonts w:hint="default" w:ascii="仿宋_GB2312" w:hAnsi="仿宋_GB2312" w:eastAsia="仿宋_GB2312" w:cs="仿宋_GB2312"/>
          <w:color w:val="auto"/>
          <w:kern w:val="2"/>
          <w:sz w:val="28"/>
          <w:szCs w:val="28"/>
          <w:lang w:val="en-US" w:eastAsia="zh-CN" w:bidi="ar-SA"/>
        </w:rPr>
        <w:t>2021</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19</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9</w:t>
      </w:r>
      <w:r>
        <w:rPr>
          <w:rFonts w:hint="eastAsia" w:ascii="仿宋_GB2312" w:hAnsi="仿宋_GB2312" w:eastAsia="仿宋_GB2312" w:cs="仿宋_GB2312"/>
          <w:color w:val="auto"/>
          <w:kern w:val="2"/>
          <w:sz w:val="28"/>
          <w:szCs w:val="28"/>
          <w:lang w:val="en-US" w:eastAsia="zh-CN" w:bidi="ar-SA"/>
        </w:rPr>
        <w:t>）《关于深入开展政府采购脱贫地区农副产品工作推进乡村产业振兴的实施意见》（财库〔</w:t>
      </w:r>
      <w:r>
        <w:rPr>
          <w:rFonts w:hint="default" w:ascii="仿宋_GB2312" w:hAnsi="仿宋_GB2312" w:eastAsia="仿宋_GB2312" w:cs="仿宋_GB2312"/>
          <w:color w:val="auto"/>
          <w:kern w:val="2"/>
          <w:sz w:val="28"/>
          <w:szCs w:val="28"/>
          <w:lang w:val="en-US" w:eastAsia="zh-CN" w:bidi="ar-SA"/>
        </w:rPr>
        <w:t>2021</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20</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10</w:t>
      </w:r>
      <w:r>
        <w:rPr>
          <w:rFonts w:hint="eastAsia" w:ascii="仿宋_GB2312" w:hAnsi="仿宋_GB2312" w:eastAsia="仿宋_GB2312" w:cs="仿宋_GB2312"/>
          <w:color w:val="auto"/>
          <w:kern w:val="2"/>
          <w:sz w:val="28"/>
          <w:szCs w:val="28"/>
          <w:lang w:val="en-US" w:eastAsia="zh-CN" w:bidi="ar-SA"/>
        </w:rPr>
        <w:t>）《陕西省财政厅关于加快推进我省中小企业政府采购信用融资工作的通知》（陕财办采〔</w:t>
      </w:r>
      <w:r>
        <w:rPr>
          <w:rFonts w:hint="default" w:ascii="仿宋_GB2312" w:hAnsi="仿宋_GB2312" w:eastAsia="仿宋_GB2312" w:cs="仿宋_GB2312"/>
          <w:color w:val="auto"/>
          <w:kern w:val="2"/>
          <w:sz w:val="28"/>
          <w:szCs w:val="28"/>
          <w:lang w:val="en-US" w:eastAsia="zh-CN" w:bidi="ar-SA"/>
        </w:rPr>
        <w:t>2020</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15</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11</w:t>
      </w:r>
      <w:r>
        <w:rPr>
          <w:rFonts w:hint="eastAsia" w:ascii="仿宋_GB2312" w:hAnsi="仿宋_GB2312" w:eastAsia="仿宋_GB2312" w:cs="仿宋_GB2312"/>
          <w:color w:val="auto"/>
          <w:kern w:val="2"/>
          <w:sz w:val="28"/>
          <w:szCs w:val="28"/>
          <w:lang w:val="en-US" w:eastAsia="zh-CN" w:bidi="ar-SA"/>
        </w:rPr>
        <w:t>）《陕西省财政厅关于印发陕西省中小企业政府采购信用融资办法》（陕财办采〔</w:t>
      </w:r>
      <w:r>
        <w:rPr>
          <w:rFonts w:hint="default" w:ascii="仿宋_GB2312" w:hAnsi="仿宋_GB2312" w:eastAsia="仿宋_GB2312" w:cs="仿宋_GB2312"/>
          <w:color w:val="auto"/>
          <w:kern w:val="2"/>
          <w:sz w:val="28"/>
          <w:szCs w:val="28"/>
          <w:lang w:val="en-US" w:eastAsia="zh-CN" w:bidi="ar-SA"/>
        </w:rPr>
        <w:t>2018</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23</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12</w:t>
      </w:r>
      <w:r>
        <w:rPr>
          <w:rFonts w:hint="eastAsia" w:ascii="仿宋_GB2312" w:hAnsi="仿宋_GB2312" w:eastAsia="仿宋_GB2312" w:cs="仿宋_GB2312"/>
          <w:color w:val="auto"/>
          <w:kern w:val="2"/>
          <w:sz w:val="28"/>
          <w:szCs w:val="28"/>
          <w:lang w:val="en-US" w:eastAsia="zh-CN" w:bidi="ar-SA"/>
        </w:rPr>
        <w:t>）《陕西省财政厅关于进一步加强政府绿色采购有关问题的通知》（陕财办采〔</w:t>
      </w:r>
      <w:r>
        <w:rPr>
          <w:rFonts w:hint="default" w:ascii="仿宋_GB2312" w:hAnsi="仿宋_GB2312" w:eastAsia="仿宋_GB2312" w:cs="仿宋_GB2312"/>
          <w:color w:val="auto"/>
          <w:kern w:val="2"/>
          <w:sz w:val="28"/>
          <w:szCs w:val="28"/>
          <w:lang w:val="en-US" w:eastAsia="zh-CN" w:bidi="ar-SA"/>
        </w:rPr>
        <w:t>2021</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29</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13</w:t>
      </w:r>
      <w:r>
        <w:rPr>
          <w:rFonts w:hint="eastAsia" w:ascii="仿宋_GB2312" w:hAnsi="仿宋_GB2312" w:eastAsia="仿宋_GB2312" w:cs="仿宋_GB2312"/>
          <w:color w:val="auto"/>
          <w:kern w:val="2"/>
          <w:sz w:val="28"/>
          <w:szCs w:val="28"/>
          <w:lang w:val="en-US" w:eastAsia="zh-CN" w:bidi="ar-SA"/>
        </w:rPr>
        <w:t>）《商品包装政府采购需求标准（试行）》和《快递包装政府采购需求标准（试行）》（财办库〔</w:t>
      </w:r>
      <w:r>
        <w:rPr>
          <w:rFonts w:hint="default" w:ascii="仿宋_GB2312" w:hAnsi="仿宋_GB2312" w:eastAsia="仿宋_GB2312" w:cs="仿宋_GB2312"/>
          <w:color w:val="auto"/>
          <w:kern w:val="2"/>
          <w:sz w:val="28"/>
          <w:szCs w:val="28"/>
          <w:lang w:val="en-US" w:eastAsia="zh-CN" w:bidi="ar-SA"/>
        </w:rPr>
        <w:t>2020</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123</w:t>
      </w:r>
      <w:r>
        <w:rPr>
          <w:rFonts w:hint="eastAsia" w:ascii="仿宋_GB2312" w:hAnsi="仿宋_GB2312" w:eastAsia="仿宋_GB2312" w:cs="仿宋_GB2312"/>
          <w:color w:val="auto"/>
          <w:kern w:val="2"/>
          <w:sz w:val="28"/>
          <w:szCs w:val="28"/>
          <w:lang w:val="en-US" w:eastAsia="zh-CN" w:bidi="ar-SA"/>
        </w:rPr>
        <w:t>号）；（</w:t>
      </w:r>
      <w:r>
        <w:rPr>
          <w:rFonts w:hint="default" w:ascii="仿宋_GB2312" w:hAnsi="仿宋_GB2312" w:eastAsia="仿宋_GB2312" w:cs="仿宋_GB2312"/>
          <w:color w:val="auto"/>
          <w:kern w:val="2"/>
          <w:sz w:val="28"/>
          <w:szCs w:val="28"/>
          <w:lang w:val="en-US" w:eastAsia="zh-CN" w:bidi="ar-SA"/>
        </w:rPr>
        <w:t>1</w:t>
      </w:r>
      <w:r>
        <w:rPr>
          <w:rFonts w:hint="eastAsia" w:ascii="仿宋_GB2312" w:hAnsi="仿宋_GB2312" w:eastAsia="仿宋_GB2312" w:cs="仿宋_GB2312"/>
          <w:color w:val="auto"/>
          <w:kern w:val="2"/>
          <w:sz w:val="28"/>
          <w:szCs w:val="28"/>
          <w:lang w:val="en-US" w:eastAsia="zh-CN" w:bidi="ar-SA"/>
        </w:rPr>
        <w:t>4）其他需要落实的政府采购政策。</w:t>
      </w:r>
    </w:p>
    <w:p w14:paraId="0AB97D32">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default" w:ascii="仿宋_GB2312" w:hAnsi="仿宋_GB2312" w:eastAsia="仿宋_GB2312" w:cs="仿宋_GB2312"/>
          <w:b w:val="0"/>
          <w:color w:val="auto"/>
          <w:spacing w:val="-6"/>
          <w:w w:val="100"/>
          <w:kern w:val="2"/>
          <w:sz w:val="28"/>
          <w:szCs w:val="28"/>
          <w:lang w:val="en-US" w:eastAsia="zh-CN" w:bidi="ar-SA"/>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服务期限：</w:t>
      </w:r>
      <w:r>
        <w:rPr>
          <w:rFonts w:hint="eastAsia" w:ascii="仿宋_GB2312" w:hAnsi="仿宋_GB2312" w:eastAsia="仿宋_GB2312" w:cs="仿宋_GB2312"/>
          <w:b w:val="0"/>
          <w:color w:val="auto"/>
          <w:spacing w:val="-6"/>
          <w:w w:val="100"/>
          <w:kern w:val="2"/>
          <w:sz w:val="28"/>
          <w:szCs w:val="28"/>
          <w:lang w:val="en-US" w:eastAsia="zh-CN" w:bidi="ar-SA"/>
        </w:rPr>
        <w:t>监理服务项目合同签订之日起至项目验收通过之日止。监理周期与项目建设周期同步，随建设期的延长则相应的延长监理周期，其监理费用不做调整。</w:t>
      </w:r>
    </w:p>
    <w:p w14:paraId="206C2972">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服务地点：</w:t>
      </w:r>
      <w:r>
        <w:rPr>
          <w:rFonts w:hint="eastAsia" w:ascii="仿宋_GB2312" w:hAnsi="仿宋_GB2312" w:eastAsia="仿宋_GB2312" w:cs="仿宋_GB2312"/>
          <w:color w:val="auto"/>
          <w:sz w:val="28"/>
          <w:szCs w:val="28"/>
          <w:lang w:val="en-US" w:eastAsia="zh-CN"/>
        </w:rPr>
        <w:t>渭南市</w:t>
      </w:r>
    </w:p>
    <w:p w14:paraId="6ECD1146">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二、需执行的国家相关标准、行业标准、地方标准或者其他标准、规范标准</w:t>
      </w:r>
    </w:p>
    <w:p w14:paraId="783DC800">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color w:val="auto"/>
          <w:kern w:val="2"/>
          <w:sz w:val="28"/>
          <w:szCs w:val="28"/>
          <w:highlight w:val="none"/>
          <w:lang w:val="en-US" w:eastAsia="zh-CN" w:bidi="ar-SA"/>
          <w14:ligatures w14:val="none"/>
        </w:rPr>
      </w:pPr>
      <w:r>
        <w:rPr>
          <w:rFonts w:hint="eastAsia" w:ascii="仿宋_GB2312" w:hAnsi="仿宋_GB2312" w:eastAsia="仿宋_GB2312" w:cs="仿宋_GB2312"/>
          <w:color w:val="auto"/>
          <w:kern w:val="2"/>
          <w:sz w:val="28"/>
          <w:szCs w:val="28"/>
          <w:highlight w:val="none"/>
          <w:lang w:val="en-US" w:eastAsia="zh-CN" w:bidi="ar-SA"/>
          <w14:ligatures w14:val="none"/>
        </w:rPr>
        <w:t>执行的国家相关标准、行业标准、地方标准以及其他标准、规范，并统一执行最新标准规范。</w:t>
      </w:r>
    </w:p>
    <w:p w14:paraId="5BD2CA6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60" w:firstLineChars="200"/>
        <w:textAlignment w:val="auto"/>
        <w:outlineLvl w:val="1"/>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服务指标的具体要求</w:t>
      </w:r>
    </w:p>
    <w:p w14:paraId="3DE74D41">
      <w:pPr>
        <w:keepNext w:val="0"/>
        <w:keepLines w:val="0"/>
        <w:pageBreakBefore w:val="0"/>
        <w:kinsoku/>
        <w:wordWrap/>
        <w:overflowPunct/>
        <w:topLinePunct w:val="0"/>
        <w:autoSpaceDE/>
        <w:autoSpaceDN/>
        <w:bidi w:val="0"/>
        <w:adjustRightInd/>
        <w:spacing w:line="36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服务内容</w:t>
      </w:r>
    </w:p>
    <w:p w14:paraId="73A002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项目监理单位在本项目中主要承担的工作主要包括：</w:t>
      </w:r>
    </w:p>
    <w:p w14:paraId="3A30D05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项目实施过程中涉及的项目开工、实施、集成、应用开发、系统测试、初步验收、试运行、第三方测试、竣工验收和移交、培训等各个阶段进行全程的监理服务，配合审计单位对项目提供初步验收、竣工验收、资金支付、资产移交等各个环节进行项目审计服务，实现项目实施过程中的质量把控、进度把控、投资管控、变更控制，参与项目建设各方关系的协调及审计等环节相关工作，配合采购人完成建设目标。在项目服务期内，协助采购人处理项目相关工作，全程跟踪承建单位的实施质量、督促整改。</w:t>
      </w:r>
    </w:p>
    <w:p w14:paraId="4184BFB5">
      <w:pPr>
        <w:snapToGrid w:val="0"/>
        <w:spacing w:line="640" w:lineRule="exact"/>
        <w:ind w:firstLine="315" w:firstLineChars="150"/>
        <w:jc w:val="center"/>
        <w:rPr>
          <w:color w:val="auto"/>
        </w:rPr>
      </w:pPr>
    </w:p>
    <w:sectPr>
      <w:footerReference r:id="rId3" w:type="default"/>
      <w:pgSz w:w="11906" w:h="16838"/>
      <w:pgMar w:top="2098" w:right="1474" w:bottom="1984"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4A78A7-0C73-407B-9EDD-009EDDDD0D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6F24BF4F-09B4-4259-93E8-EDA474D0134F}"/>
  </w:font>
  <w:font w:name="仿宋">
    <w:panose1 w:val="02010609060101010101"/>
    <w:charset w:val="86"/>
    <w:family w:val="modern"/>
    <w:pitch w:val="default"/>
    <w:sig w:usb0="800002BF" w:usb1="38CF7CFA" w:usb2="00000016" w:usb3="00000000" w:csb0="00040001" w:csb1="00000000"/>
    <w:embedRegular r:id="rId3" w:fontKey="{48E333F2-343D-434A-8708-912A7A976E67}"/>
  </w:font>
  <w:font w:name="Segoe UI">
    <w:panose1 w:val="020B0502040204020203"/>
    <w:charset w:val="00"/>
    <w:family w:val="swiss"/>
    <w:pitch w:val="default"/>
    <w:sig w:usb0="E4002EFF" w:usb1="C000E47F"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4" w:fontKey="{CCFA488A-E051-4DE4-873D-3E77A75AF45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756DE">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3D6D28">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3D6D28">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8B784"/>
    <w:multiLevelType w:val="multilevel"/>
    <w:tmpl w:val="16A8B784"/>
    <w:lvl w:ilvl="0" w:tentative="0">
      <w:start w:val="1"/>
      <w:numFmt w:val="decimal"/>
      <w:suff w:val="space"/>
      <w:lvlText w:val="第%1章"/>
      <w:lvlJc w:val="left"/>
      <w:pPr>
        <w:ind w:left="0" w:firstLine="0"/>
      </w:pPr>
      <w:rPr>
        <w:rFonts w:hint="eastAsia" w:ascii="黑体" w:eastAsia="黑体"/>
        <w:b/>
        <w:i w:val="0"/>
        <w:sz w:val="32"/>
      </w:rPr>
    </w:lvl>
    <w:lvl w:ilvl="1" w:tentative="0">
      <w:start w:val="1"/>
      <w:numFmt w:val="decimal"/>
      <w:pStyle w:val="3"/>
      <w:isLgl/>
      <w:suff w:val="nothing"/>
      <w:lvlText w:val="%1.%2"/>
      <w:lvlJc w:val="left"/>
      <w:pPr>
        <w:ind w:left="0" w:firstLine="0"/>
      </w:pPr>
      <w:rPr>
        <w:rFonts w:hint="eastAsia" w:ascii="黑体" w:eastAsia="黑体"/>
        <w:b/>
        <w:i w:val="0"/>
        <w:sz w:val="30"/>
      </w:rPr>
    </w:lvl>
    <w:lvl w:ilvl="2" w:tentative="0">
      <w:start w:val="1"/>
      <w:numFmt w:val="decimal"/>
      <w:pStyle w:val="4"/>
      <w:isLgl/>
      <w:suff w:val="nothing"/>
      <w:lvlText w:val="%1.%2.%3"/>
      <w:lvlJc w:val="left"/>
      <w:pPr>
        <w:ind w:left="2730" w:firstLine="0"/>
      </w:pPr>
      <w:rPr>
        <w:rFonts w:hint="eastAsia" w:ascii="黑体" w:eastAsia="黑体"/>
        <w:b/>
        <w:i w:val="0"/>
        <w:sz w:val="28"/>
      </w:rPr>
    </w:lvl>
    <w:lvl w:ilvl="3" w:tentative="0">
      <w:start w:val="1"/>
      <w:numFmt w:val="decimal"/>
      <w:isLgl/>
      <w:suff w:val="nothing"/>
      <w:lvlText w:val="%1.%2.%3.%4"/>
      <w:lvlJc w:val="left"/>
      <w:pPr>
        <w:ind w:left="0" w:firstLine="0"/>
      </w:pPr>
      <w:rPr>
        <w:rFonts w:hint="eastAsia" w:ascii="黑体" w:eastAsia="黑体"/>
        <w:b/>
        <w:i w:val="0"/>
        <w:sz w:val="24"/>
      </w:rPr>
    </w:lvl>
    <w:lvl w:ilvl="4" w:tentative="0">
      <w:start w:val="1"/>
      <w:numFmt w:val="decimal"/>
      <w:suff w:val="nothing"/>
      <w:lvlText w:val="%5."/>
      <w:lvlJc w:val="left"/>
      <w:pPr>
        <w:ind w:left="0" w:firstLine="0"/>
      </w:pPr>
      <w:rPr>
        <w:rFonts w:hint="eastAsia" w:ascii="黑体" w:eastAsia="黑体"/>
        <w:b/>
        <w:i w:val="0"/>
        <w:sz w:val="24"/>
      </w:rPr>
    </w:lvl>
    <w:lvl w:ilvl="5" w:tentative="0">
      <w:start w:val="1"/>
      <w:numFmt w:val="decimal"/>
      <w:suff w:val="nothing"/>
      <w:lvlText w:val="(%6)"/>
      <w:lvlJc w:val="left"/>
      <w:pPr>
        <w:ind w:left="0" w:firstLine="0"/>
      </w:pPr>
      <w:rPr>
        <w:rFonts w:hint="eastAsia" w:ascii="黑体" w:eastAsia="黑体"/>
        <w:b/>
        <w:i w:val="0"/>
        <w:sz w:val="24"/>
      </w:rPr>
    </w:lvl>
    <w:lvl w:ilvl="6" w:tentative="0">
      <w:start w:val="1"/>
      <w:numFmt w:val="decimal"/>
      <w:suff w:val="nothing"/>
      <w:lvlText w:val="%7)"/>
      <w:lvlJc w:val="left"/>
      <w:pPr>
        <w:ind w:left="0" w:firstLine="0"/>
      </w:pPr>
      <w:rPr>
        <w:rFonts w:hint="eastAsia" w:ascii="黑体" w:eastAsia="黑体"/>
        <w:b/>
        <w:i w:val="0"/>
        <w:sz w:val="24"/>
      </w:rPr>
    </w:lvl>
    <w:lvl w:ilvl="7" w:tentative="0">
      <w:start w:val="1"/>
      <w:numFmt w:val="upperLetter"/>
      <w:lvlRestart w:val="1"/>
      <w:suff w:val="nothing"/>
      <w:lvlText w:val="%8."/>
      <w:lvlJc w:val="left"/>
      <w:pPr>
        <w:ind w:left="0" w:firstLine="0"/>
      </w:pPr>
      <w:rPr>
        <w:rFonts w:hint="eastAsia" w:ascii="黑体" w:eastAsia="黑体"/>
        <w:b/>
        <w:i w:val="0"/>
        <w:sz w:val="24"/>
      </w:rPr>
    </w:lvl>
    <w:lvl w:ilvl="8" w:tentative="0">
      <w:start w:val="1"/>
      <w:numFmt w:val="lowerLetter"/>
      <w:lvlRestart w:val="1"/>
      <w:suff w:val="nothing"/>
      <w:lvlText w:val="%9."/>
      <w:lvlJc w:val="left"/>
      <w:pPr>
        <w:ind w:left="0" w:firstLine="0"/>
      </w:pPr>
      <w:rPr>
        <w:rFonts w:hint="eastAsia" w:ascii="黑体" w:eastAsia="黑体"/>
        <w:b/>
        <w:i w:val="0"/>
        <w:sz w:val="24"/>
      </w:rPr>
    </w:lvl>
  </w:abstractNum>
  <w:abstractNum w:abstractNumId="1">
    <w:nsid w:val="2A8F9F90"/>
    <w:multiLevelType w:val="singleLevel"/>
    <w:tmpl w:val="2A8F9F90"/>
    <w:lvl w:ilvl="0" w:tentative="0">
      <w:start w:val="3"/>
      <w:numFmt w:val="chineseCounting"/>
      <w:suff w:val="nothing"/>
      <w:lvlText w:val="%1、"/>
      <w:lvlJc w:val="left"/>
      <w:rPr>
        <w:rFonts w:hint="eastAsia"/>
      </w:rPr>
    </w:lvl>
  </w:abstractNum>
  <w:abstractNum w:abstractNumId="2">
    <w:nsid w:val="3A935F08"/>
    <w:multiLevelType w:val="multilevel"/>
    <w:tmpl w:val="3A935F08"/>
    <w:lvl w:ilvl="0" w:tentative="0">
      <w:start w:val="1"/>
      <w:numFmt w:val="decimal"/>
      <w:pStyle w:val="12"/>
      <w:suff w:val="nothing"/>
      <w:lvlText w:val="%1."/>
      <w:lvlJc w:val="left"/>
      <w:pPr>
        <w:ind w:left="0" w:firstLine="567"/>
      </w:pPr>
    </w:lvl>
    <w:lvl w:ilvl="1" w:tentative="0">
      <w:start w:val="1"/>
      <w:numFmt w:val="lowerLetter"/>
      <w:lvlText w:val="%2)"/>
      <w:lvlJc w:val="left"/>
      <w:pPr>
        <w:ind w:left="1407" w:hanging="420"/>
      </w:pPr>
      <w:rPr>
        <w:rFonts w:hint="eastAsia"/>
      </w:rPr>
    </w:lvl>
    <w:lvl w:ilvl="2" w:tentative="0">
      <w:start w:val="1"/>
      <w:numFmt w:val="lowerRoman"/>
      <w:lvlText w:val="%3."/>
      <w:lvlJc w:val="right"/>
      <w:pPr>
        <w:ind w:left="1827" w:hanging="420"/>
      </w:pPr>
      <w:rPr>
        <w:rFonts w:hint="eastAsia"/>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3">
    <w:nsid w:val="764754AD"/>
    <w:multiLevelType w:val="multilevel"/>
    <w:tmpl w:val="764754AD"/>
    <w:lvl w:ilvl="0" w:tentative="0">
      <w:start w:val="1"/>
      <w:numFmt w:val="decimal"/>
      <w:pStyle w:val="15"/>
      <w:suff w:val="nothing"/>
      <w:lvlText w:val="（%1）"/>
      <w:lvlJc w:val="left"/>
      <w:pPr>
        <w:ind w:left="0" w:firstLine="400"/>
      </w:pPr>
      <w:rPr>
        <w:rFonts w:hint="default" w:ascii="Times New Roman" w:hAnsi="Times New Roman" w:eastAsia="宋体"/>
        <w:b w:val="0"/>
        <w:i w:val="0"/>
        <w:sz w:val="24"/>
      </w:rPr>
    </w:lvl>
    <w:lvl w:ilvl="1" w:tentative="0">
      <w:start w:val="1"/>
      <w:numFmt w:val="lowerLetter"/>
      <w:lvlText w:val="%2)"/>
      <w:lvlJc w:val="left"/>
      <w:pPr>
        <w:ind w:left="1280" w:hanging="440"/>
      </w:pPr>
      <w:rPr>
        <w:rFonts w:hint="eastAsia"/>
      </w:rPr>
    </w:lvl>
    <w:lvl w:ilvl="2" w:tentative="0">
      <w:start w:val="1"/>
      <w:numFmt w:val="lowerRoman"/>
      <w:lvlText w:val="%3."/>
      <w:lvlJc w:val="right"/>
      <w:pPr>
        <w:ind w:left="1720" w:hanging="440"/>
      </w:pPr>
      <w:rPr>
        <w:rFonts w:hint="eastAsia"/>
      </w:rPr>
    </w:lvl>
    <w:lvl w:ilvl="3" w:tentative="0">
      <w:start w:val="1"/>
      <w:numFmt w:val="decimal"/>
      <w:lvlText w:val="%4."/>
      <w:lvlJc w:val="left"/>
      <w:pPr>
        <w:ind w:left="2160" w:hanging="440"/>
      </w:pPr>
      <w:rPr>
        <w:rFonts w:hint="eastAsia"/>
      </w:rPr>
    </w:lvl>
    <w:lvl w:ilvl="4" w:tentative="0">
      <w:start w:val="1"/>
      <w:numFmt w:val="lowerLetter"/>
      <w:lvlText w:val="%5)"/>
      <w:lvlJc w:val="left"/>
      <w:pPr>
        <w:ind w:left="2600" w:hanging="440"/>
      </w:pPr>
      <w:rPr>
        <w:rFonts w:hint="eastAsia"/>
      </w:rPr>
    </w:lvl>
    <w:lvl w:ilvl="5" w:tentative="0">
      <w:start w:val="1"/>
      <w:numFmt w:val="lowerRoman"/>
      <w:lvlText w:val="%6."/>
      <w:lvlJc w:val="right"/>
      <w:pPr>
        <w:ind w:left="3040" w:hanging="440"/>
      </w:pPr>
      <w:rPr>
        <w:rFonts w:hint="eastAsia"/>
      </w:rPr>
    </w:lvl>
    <w:lvl w:ilvl="6" w:tentative="0">
      <w:start w:val="1"/>
      <w:numFmt w:val="decimal"/>
      <w:lvlText w:val="%7."/>
      <w:lvlJc w:val="left"/>
      <w:pPr>
        <w:ind w:left="3480" w:hanging="440"/>
      </w:pPr>
      <w:rPr>
        <w:rFonts w:hint="eastAsia"/>
      </w:rPr>
    </w:lvl>
    <w:lvl w:ilvl="7" w:tentative="0">
      <w:start w:val="1"/>
      <w:numFmt w:val="lowerLetter"/>
      <w:lvlText w:val="%8)"/>
      <w:lvlJc w:val="left"/>
      <w:pPr>
        <w:ind w:left="3920" w:hanging="440"/>
      </w:pPr>
      <w:rPr>
        <w:rFonts w:hint="eastAsia"/>
      </w:rPr>
    </w:lvl>
    <w:lvl w:ilvl="8" w:tentative="0">
      <w:start w:val="1"/>
      <w:numFmt w:val="lowerRoman"/>
      <w:lvlText w:val="%9."/>
      <w:lvlJc w:val="right"/>
      <w:pPr>
        <w:ind w:left="4360" w:hanging="44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82F87"/>
    <w:rsid w:val="06D46E61"/>
    <w:rsid w:val="098C3382"/>
    <w:rsid w:val="0ABC1B74"/>
    <w:rsid w:val="0B7F2312"/>
    <w:rsid w:val="10662AB9"/>
    <w:rsid w:val="148839C1"/>
    <w:rsid w:val="159C3D02"/>
    <w:rsid w:val="246F6777"/>
    <w:rsid w:val="29A57451"/>
    <w:rsid w:val="2A0C267C"/>
    <w:rsid w:val="2CD82F87"/>
    <w:rsid w:val="39CB3DB0"/>
    <w:rsid w:val="401624AB"/>
    <w:rsid w:val="44B16D76"/>
    <w:rsid w:val="4F4F0BFE"/>
    <w:rsid w:val="52114FB5"/>
    <w:rsid w:val="54363EAB"/>
    <w:rsid w:val="5F9525E6"/>
    <w:rsid w:val="630E0040"/>
    <w:rsid w:val="649B326D"/>
    <w:rsid w:val="6E2446B0"/>
    <w:rsid w:val="7B714EAB"/>
    <w:rsid w:val="7BEB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1"/>
    <w:unhideWhenUsed/>
    <w:qFormat/>
    <w:uiPriority w:val="0"/>
    <w:pPr>
      <w:keepNext/>
      <w:keepLines/>
      <w:numPr>
        <w:ilvl w:val="1"/>
        <w:numId w:val="1"/>
      </w:numPr>
      <w:tabs>
        <w:tab w:val="left" w:pos="420"/>
      </w:tabs>
      <w:spacing w:line="360" w:lineRule="auto"/>
      <w:outlineLvl w:val="1"/>
    </w:pPr>
    <w:rPr>
      <w:rFonts w:ascii="黑体" w:hAnsi="宋体" w:eastAsia="黑体" w:cs="仿宋_GB2312"/>
      <w:b/>
      <w:bCs/>
      <w:kern w:val="2"/>
      <w:sz w:val="30"/>
      <w:szCs w:val="32"/>
      <w:lang w:val="en-US" w:eastAsia="zh-CN" w:bidi="ar-SA"/>
      <w14:ligatures w14:val="standardContextual"/>
    </w:rPr>
  </w:style>
  <w:style w:type="paragraph" w:styleId="4">
    <w:name w:val="heading 3"/>
    <w:next w:val="1"/>
    <w:unhideWhenUsed/>
    <w:qFormat/>
    <w:uiPriority w:val="0"/>
    <w:pPr>
      <w:keepNext/>
      <w:keepLines/>
      <w:numPr>
        <w:ilvl w:val="2"/>
        <w:numId w:val="1"/>
      </w:numPr>
      <w:tabs>
        <w:tab w:val="left" w:pos="0"/>
        <w:tab w:val="left" w:pos="420"/>
      </w:tabs>
      <w:spacing w:line="360" w:lineRule="auto"/>
      <w:outlineLvl w:val="2"/>
    </w:pPr>
    <w:rPr>
      <w:rFonts w:ascii="黑体" w:hAnsi="黑体" w:eastAsia="黑体" w:cs="宋体"/>
      <w:b/>
      <w:kern w:val="2"/>
      <w:sz w:val="28"/>
      <w:szCs w:val="30"/>
      <w:lang w:val="en-US" w:eastAsia="zh-CN" w:bidi="ar-SA"/>
      <w14:ligatures w14:val="standardContextual"/>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jc w:val="center"/>
    </w:pPr>
    <w:rPr>
      <w:b/>
      <w:spacing w:val="-20"/>
      <w:w w:val="110"/>
      <w:sz w:val="52"/>
    </w:rPr>
  </w:style>
  <w:style w:type="paragraph" w:styleId="5">
    <w:name w:val="caption"/>
    <w:next w:val="1"/>
    <w:unhideWhenUsed/>
    <w:qFormat/>
    <w:uiPriority w:val="35"/>
    <w:pPr>
      <w:keepNext/>
      <w:spacing w:line="360" w:lineRule="auto"/>
      <w:jc w:val="center"/>
    </w:pPr>
    <w:rPr>
      <w:rFonts w:ascii="Times New Roman" w:hAnsi="Times New Roman" w:eastAsia="黑体" w:cs="Times New Roman"/>
      <w:color w:val="000000"/>
      <w:sz w:val="21"/>
      <w:szCs w:val="21"/>
      <w:lang w:val="en-US" w:eastAsia="zh-CN" w:bidi="ar-SA"/>
      <w14:ligatures w14:val="standardContextual"/>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9"/>
    <w:qFormat/>
    <w:uiPriority w:val="0"/>
    <w:pPr>
      <w:spacing w:before="240" w:beforeLines="0" w:beforeAutospacing="0" w:after="60" w:afterLines="0" w:afterAutospacing="0"/>
      <w:jc w:val="center"/>
      <w:outlineLvl w:val="0"/>
    </w:pPr>
    <w:rPr>
      <w:rFonts w:ascii="Arial" w:hAnsi="Arial" w:eastAsia="仿宋" w:cs="Arial"/>
      <w:b/>
      <w:kern w:val="0"/>
      <w:sz w:val="32"/>
      <w:szCs w:val="32"/>
    </w:rPr>
  </w:style>
  <w:style w:type="paragraph" w:customStyle="1" w:styleId="9">
    <w:name w:val="Body Text Indent1"/>
    <w:basedOn w:val="1"/>
    <w:next w:val="1"/>
    <w:qFormat/>
    <w:uiPriority w:val="0"/>
    <w:pPr>
      <w:ind w:firstLine="420" w:firstLineChars="140"/>
    </w:pPr>
    <w:rPr>
      <w:szCs w:val="21"/>
    </w:rPr>
  </w:style>
  <w:style w:type="paragraph" w:customStyle="1" w:styleId="12">
    <w:name w:val="数字小标题--"/>
    <w:autoRedefine/>
    <w:qFormat/>
    <w:uiPriority w:val="0"/>
    <w:pPr>
      <w:numPr>
        <w:ilvl w:val="0"/>
        <w:numId w:val="2"/>
      </w:numPr>
      <w:snapToGrid w:val="0"/>
      <w:spacing w:line="360" w:lineRule="auto"/>
      <w:jc w:val="both"/>
    </w:pPr>
    <w:rPr>
      <w:rFonts w:ascii="Times New Roman" w:hAnsi="Times New Roman" w:eastAsia="宋体" w:cs="Times New Roman"/>
      <w:kern w:val="2"/>
      <w:sz w:val="24"/>
      <w:szCs w:val="22"/>
      <w:lang w:val="en-US" w:eastAsia="zh-CN" w:bidi="ar-SA"/>
      <w14:ligatures w14:val="standardContextual"/>
    </w:rPr>
  </w:style>
  <w:style w:type="paragraph" w:customStyle="1" w:styleId="13">
    <w:name w:val="my正文"/>
    <w:basedOn w:val="1"/>
    <w:qFormat/>
    <w:uiPriority w:val="0"/>
    <w:pPr>
      <w:widowControl/>
    </w:pPr>
    <w:rPr>
      <w:rFonts w:cs="Times New Roman"/>
      <w:kern w:val="0"/>
      <w:szCs w:val="20"/>
    </w:rPr>
  </w:style>
  <w:style w:type="character" w:customStyle="1" w:styleId="14">
    <w:name w:val="font31"/>
    <w:basedOn w:val="11"/>
    <w:qFormat/>
    <w:uiPriority w:val="0"/>
    <w:rPr>
      <w:rFonts w:hint="default" w:ascii="Segoe UI" w:hAnsi="Segoe UI" w:eastAsia="Segoe UI" w:cs="Segoe UI"/>
      <w:color w:val="222222"/>
      <w:sz w:val="20"/>
      <w:szCs w:val="20"/>
      <w:u w:val="none"/>
    </w:rPr>
  </w:style>
  <w:style w:type="paragraph" w:customStyle="1" w:styleId="15">
    <w:name w:val="小标（1）"/>
    <w:autoRedefine/>
    <w:qFormat/>
    <w:uiPriority w:val="0"/>
    <w:pPr>
      <w:numPr>
        <w:ilvl w:val="0"/>
        <w:numId w:val="3"/>
      </w:numPr>
      <w:snapToGrid w:val="0"/>
      <w:spacing w:line="360" w:lineRule="auto"/>
      <w:jc w:val="both"/>
    </w:pPr>
    <w:rPr>
      <w:rFonts w:ascii="Times New Roman" w:hAnsi="Times New Roman" w:eastAsia="宋体" w:cs="宋体"/>
      <w:color w:val="000000" w:themeColor="text1"/>
      <w:kern w:val="2"/>
      <w:sz w:val="24"/>
      <w:szCs w:val="24"/>
      <w:lang w:val="en-US" w:eastAsia="zh-CN" w:bidi="ar-SA"/>
      <w14:textFill>
        <w14:solidFill>
          <w14:schemeClr w14:val="tx1"/>
        </w14:solidFill>
      </w14:textFill>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3287</Words>
  <Characters>3506</Characters>
  <Lines>0</Lines>
  <Paragraphs>0</Paragraphs>
  <TotalTime>4</TotalTime>
  <ScaleCrop>false</ScaleCrop>
  <LinksUpToDate>false</LinksUpToDate>
  <CharactersWithSpaces>3588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2025-08-21T02:17:00Z</dcterms:created>
  <dc:creator>WPS_1694750927</dc:creator>
  <cp:lastModifiedBy>WPS_1694750927</cp:lastModifiedBy>
  <cp:lastPrinted>2025-10-17T07:27:00Z</cp:lastPrinted>
  <dcterms:modified xsi:type="dcterms:W3CDTF">2025-10-30T09:14:07Z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E21D6D9C07D44124A5F0193684F6DFD1_13</vt:lpwstr>
  </property>
  <property fmtid="{D5CDD505-2E9C-101B-9397-08002B2CF9AE}" pid="4" name="KSOTemplateDocerSaveRecord">
    <vt:lpwstr>eyJoZGlkIjoiYzM4YmI2MjE4NWU2YzEyOTFiM2M5MDYzYTgzZGJkZDYiLCJ1c2VySWQiOiIxNTMyNTc4MzYyIn0=</vt:lpwstr>
  </property>
</Properties>
</file>