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59"/>
        <w:gridCol w:w="6741"/>
      </w:tblGrid>
      <w:tr w14:paraId="1010F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D7F9D2C">
            <w:pPr>
              <w:pStyle w:val="4"/>
              <w:jc w:val="center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759" w:type="dxa"/>
            <w:vAlign w:val="center"/>
          </w:tcPr>
          <w:p w14:paraId="7110DEA7">
            <w:pPr>
              <w:pStyle w:val="4"/>
              <w:jc w:val="center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参数性质</w:t>
            </w:r>
          </w:p>
        </w:tc>
        <w:tc>
          <w:tcPr>
            <w:tcW w:w="6741" w:type="dxa"/>
            <w:vAlign w:val="center"/>
          </w:tcPr>
          <w:p w14:paraId="0B1B99D9">
            <w:pPr>
              <w:pStyle w:val="4"/>
              <w:jc w:val="center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技术参数与性能指标</w:t>
            </w:r>
          </w:p>
        </w:tc>
      </w:tr>
      <w:tr w14:paraId="0A545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442769F8">
            <w:pPr>
              <w:pStyle w:val="4"/>
              <w:jc w:val="center"/>
              <w:rPr>
                <w:rFonts w:hint="default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759" w:type="dxa"/>
            <w:vAlign w:val="center"/>
          </w:tcPr>
          <w:p w14:paraId="592B96A0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</w:p>
        </w:tc>
        <w:tc>
          <w:tcPr>
            <w:tcW w:w="6741" w:type="dxa"/>
            <w:vAlign w:val="center"/>
          </w:tcPr>
          <w:p w14:paraId="5E13C498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一、强度调制模块：</w:t>
            </w:r>
          </w:p>
          <w:p w14:paraId="7B84D5D9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▲1.调制带宽≥65GHz；</w:t>
            </w:r>
          </w:p>
          <w:p w14:paraId="37971807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2.工作波长1550nm；</w:t>
            </w:r>
          </w:p>
          <w:p w14:paraId="6E5E2DCD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▲3.半波电压≥4V；</w:t>
            </w:r>
          </w:p>
          <w:p w14:paraId="199382C9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▲4.插入损耗≤5dB；</w:t>
            </w:r>
          </w:p>
          <w:p w14:paraId="474A84AD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5.消光比≥18dB；</w:t>
            </w:r>
          </w:p>
          <w:p w14:paraId="241F8A8C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6.输入光功率≤300mW；</w:t>
            </w:r>
          </w:p>
          <w:p w14:paraId="5B36D0E5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7.保偏PM1550尾纤；</w:t>
            </w:r>
            <w:bookmarkStart w:id="0" w:name="_GoBack"/>
            <w:bookmarkEnd w:id="0"/>
          </w:p>
          <w:p w14:paraId="77291151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8.FC/APC接头。</w:t>
            </w:r>
          </w:p>
          <w:p w14:paraId="4A1A9C7A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二、相位调制模块：</w:t>
            </w:r>
          </w:p>
          <w:p w14:paraId="1FFDE73A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▲1.调制带宽≥65GHz；</w:t>
            </w:r>
          </w:p>
          <w:p w14:paraId="3ED3E782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2.工作波长1550nm；</w:t>
            </w:r>
          </w:p>
          <w:p w14:paraId="7BF76A35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▲3.半波电压≥4V；</w:t>
            </w:r>
          </w:p>
          <w:p w14:paraId="7C26F33A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▲4.插入损耗≤5dB；</w:t>
            </w:r>
          </w:p>
          <w:p w14:paraId="59B0BABE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5.输入光功率≤300mW；</w:t>
            </w:r>
          </w:p>
          <w:p w14:paraId="4766AA00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6.保偏PM1550尾纤；</w:t>
            </w:r>
          </w:p>
          <w:p w14:paraId="01092FA2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7.FC/APC接头。</w:t>
            </w:r>
          </w:p>
          <w:p w14:paraId="109AA3FD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三、IQ调制模块：</w:t>
            </w:r>
          </w:p>
          <w:p w14:paraId="1148FD5B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▲1.调制带宽≥20GHz；</w:t>
            </w:r>
          </w:p>
          <w:p w14:paraId="7F922740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2.IQ相位差90°±1°；</w:t>
            </w:r>
          </w:p>
          <w:p w14:paraId="4C7FA324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3.工作波长1550nm；</w:t>
            </w:r>
          </w:p>
          <w:p w14:paraId="42759040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▲4.半波电压≥3V；</w:t>
            </w:r>
          </w:p>
          <w:p w14:paraId="3857C873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▲5.插入损耗≤5dB；</w:t>
            </w:r>
          </w:p>
          <w:p w14:paraId="746C64E0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6.消光比≥20dB；</w:t>
            </w:r>
          </w:p>
          <w:p w14:paraId="4755D892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7.输入光功率≤300mW；</w:t>
            </w:r>
          </w:p>
          <w:p w14:paraId="01042489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8.保偏PM1550尾纤；</w:t>
            </w:r>
          </w:p>
          <w:p w14:paraId="7D4CA069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9.FC/APC接头。</w:t>
            </w:r>
          </w:p>
          <w:p w14:paraId="72F34552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四、宽带射频信号放大模块：</w:t>
            </w:r>
          </w:p>
          <w:p w14:paraId="5601D600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highlight w:val="none"/>
              </w:rPr>
              <w:t>.工作频率：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10</w:t>
            </w:r>
            <w:r>
              <w:rPr>
                <w:rFonts w:ascii="仿宋_GB2312" w:hAnsi="仿宋_GB2312" w:eastAsia="仿宋_GB2312" w:cs="仿宋_GB2312"/>
                <w:highlight w:val="none"/>
              </w:rPr>
              <w:t>0kHz-5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</w:rPr>
              <w:t>GHz</w:t>
            </w:r>
            <w:r>
              <w:rPr>
                <w:rFonts w:ascii="仿宋_GB2312" w:hAnsi="仿宋_GB2312" w:eastAsia="仿宋_GB2312" w:cs="仿宋_GB2312"/>
                <w:highlight w:val="none"/>
              </w:rPr>
              <w:t>；</w:t>
            </w:r>
          </w:p>
          <w:p w14:paraId="273AAF11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highlight w:val="none"/>
              </w:rPr>
              <w:t>.增益：≥22dB；</w:t>
            </w:r>
          </w:p>
          <w:p w14:paraId="2F0A21C3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highlight w:val="none"/>
              </w:rPr>
              <w:t>.P1dB：</w:t>
            </w:r>
            <w:r>
              <w:rPr>
                <w:rFonts w:ascii="仿宋_GB2312" w:hAnsi="仿宋_GB2312" w:eastAsia="仿宋_GB2312" w:cs="仿宋_GB2312"/>
                <w:highlight w:val="none"/>
              </w:rPr>
              <w:t>≥1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4.5</w:t>
            </w:r>
            <w:r>
              <w:rPr>
                <w:rFonts w:ascii="仿宋_GB2312" w:hAnsi="仿宋_GB2312" w:eastAsia="仿宋_GB2312" w:cs="仿宋_GB2312"/>
                <w:highlight w:val="none"/>
              </w:rPr>
              <w:t>dBm；</w:t>
            </w:r>
          </w:p>
          <w:p w14:paraId="6B35F0A2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</w:rPr>
              <w:t>.IP</w:t>
            </w:r>
            <w:r>
              <w:rPr>
                <w:rFonts w:ascii="仿宋_GB2312" w:hAnsi="仿宋_GB2312" w:eastAsia="仿宋_GB2312" w:cs="仿宋_GB2312"/>
                <w:highlight w:val="none"/>
                <w:vertAlign w:val="subscript"/>
              </w:rPr>
              <w:t>3</w:t>
            </w:r>
            <w:r>
              <w:rPr>
                <w:rFonts w:ascii="仿宋_GB2312" w:hAnsi="仿宋_GB2312" w:eastAsia="仿宋_GB2312" w:cs="仿宋_GB2312"/>
                <w:highlight w:val="none"/>
              </w:rPr>
              <w:t>：≥28dBm；</w:t>
            </w:r>
          </w:p>
          <w:p w14:paraId="33BBF757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</w:rPr>
              <w:t>5</w:t>
            </w:r>
            <w:r>
              <w:rPr>
                <w:rFonts w:ascii="仿宋_GB2312" w:hAnsi="仿宋_GB2312" w:eastAsia="仿宋_GB2312" w:cs="仿宋_GB2312"/>
                <w:highlight w:val="none"/>
              </w:rPr>
              <w:t>.输入功率：4-10dBm；</w:t>
            </w:r>
          </w:p>
          <w:p w14:paraId="3C276E4E">
            <w:pPr>
              <w:pStyle w:val="4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噪声系数：≤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dB;</w:t>
            </w:r>
          </w:p>
          <w:p w14:paraId="3F484C21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</w:rPr>
              <w:t>7</w:t>
            </w:r>
            <w:r>
              <w:rPr>
                <w:rFonts w:ascii="仿宋_GB2312" w:hAnsi="仿宋_GB2312" w:eastAsia="仿宋_GB2312" w:cs="仿宋_GB2312"/>
                <w:highlight w:val="none"/>
              </w:rPr>
              <w:t>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附带散热块。</w:t>
            </w:r>
          </w:p>
          <w:p w14:paraId="09B72083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五、射频信号放大模块：</w:t>
            </w:r>
          </w:p>
          <w:p w14:paraId="1CA8C86A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1</w:t>
            </w:r>
            <w:r>
              <w:rPr>
                <w:rFonts w:ascii="仿宋_GB2312" w:hAnsi="仿宋_GB2312" w:eastAsia="仿宋_GB2312" w:cs="仿宋_GB2312"/>
                <w:highlight w:val="none"/>
              </w:rPr>
              <w:t>.工作频率：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10</w:t>
            </w:r>
            <w:r>
              <w:rPr>
                <w:rFonts w:ascii="仿宋_GB2312" w:hAnsi="仿宋_GB2312" w:eastAsia="仿宋_GB2312" w:cs="仿宋_GB2312"/>
                <w:highlight w:val="none"/>
              </w:rPr>
              <w:t>0kHz-2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</w:rPr>
              <w:t>GHz</w:t>
            </w:r>
            <w:r>
              <w:rPr>
                <w:rFonts w:ascii="仿宋_GB2312" w:hAnsi="仿宋_GB2312" w:eastAsia="仿宋_GB2312" w:cs="仿宋_GB2312"/>
                <w:highlight w:val="none"/>
              </w:rPr>
              <w:t>；</w:t>
            </w:r>
          </w:p>
          <w:p w14:paraId="3F8994B8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highlight w:val="none"/>
              </w:rPr>
              <w:t>.增益：</w:t>
            </w:r>
            <w:r>
              <w:rPr>
                <w:rFonts w:ascii="仿宋_GB2312" w:hAnsi="仿宋_GB2312" w:eastAsia="仿宋_GB2312" w:cs="仿宋_GB2312"/>
                <w:highlight w:val="none"/>
              </w:rPr>
              <w:t>≥2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8</w:t>
            </w:r>
            <w:r>
              <w:rPr>
                <w:rFonts w:ascii="仿宋_GB2312" w:hAnsi="仿宋_GB2312" w:eastAsia="仿宋_GB2312" w:cs="仿宋_GB2312"/>
                <w:highlight w:val="none"/>
              </w:rPr>
              <w:t>dB；</w:t>
            </w:r>
          </w:p>
          <w:p w14:paraId="4B0DF638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highlight w:val="none"/>
              </w:rPr>
              <w:t>.P1dB：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≥</w:t>
            </w:r>
            <w:r>
              <w:rPr>
                <w:rFonts w:ascii="仿宋_GB2312" w:hAnsi="仿宋_GB2312" w:eastAsia="仿宋_GB2312" w:cs="仿宋_GB2312"/>
                <w:highlight w:val="none"/>
              </w:rPr>
              <w:t>23dBm；</w:t>
            </w:r>
          </w:p>
          <w:p w14:paraId="38D68F0C">
            <w:pPr>
              <w:pStyle w:val="4"/>
              <w:tabs>
                <w:tab w:val="left" w:pos="312"/>
              </w:tabs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4.</w:t>
            </w:r>
            <w:r>
              <w:rPr>
                <w:rFonts w:ascii="仿宋_GB2312" w:hAnsi="仿宋_GB2312" w:eastAsia="仿宋_GB2312" w:cs="仿宋_GB2312"/>
                <w:highlight w:val="none"/>
              </w:rPr>
              <w:t>输入功率：</w:t>
            </w:r>
            <w:r>
              <w:rPr>
                <w:rFonts w:ascii="仿宋_GB2312" w:hAnsi="仿宋_GB2312" w:eastAsia="仿宋_GB2312" w:cs="仿宋_GB2312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-</w:t>
            </w:r>
            <w:r>
              <w:rPr>
                <w:rFonts w:ascii="仿宋_GB2312" w:hAnsi="仿宋_GB2312" w:eastAsia="仿宋_GB2312" w:cs="仿宋_GB2312"/>
                <w:highlight w:val="none"/>
              </w:rPr>
              <w:t>10dBm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;</w:t>
            </w:r>
          </w:p>
          <w:p w14:paraId="4E3761D5">
            <w:pPr>
              <w:pStyle w:val="4"/>
              <w:tabs>
                <w:tab w:val="left" w:pos="312"/>
              </w:tabs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5.</w:t>
            </w:r>
            <w:r>
              <w:rPr>
                <w:rFonts w:ascii="仿宋_GB2312" w:hAnsi="仿宋_GB2312" w:eastAsia="仿宋_GB2312" w:cs="仿宋_GB2312"/>
                <w:highlight w:val="none"/>
              </w:rPr>
              <w:t>噪声系数：≤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8.5dB;</w:t>
            </w:r>
          </w:p>
          <w:p w14:paraId="61134826">
            <w:pPr>
              <w:pStyle w:val="4"/>
              <w:tabs>
                <w:tab w:val="left" w:pos="312"/>
              </w:tabs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6.</w:t>
            </w:r>
            <w:r>
              <w:rPr>
                <w:rFonts w:ascii="仿宋_GB2312" w:hAnsi="仿宋_GB2312" w:eastAsia="仿宋_GB2312" w:cs="仿宋_GB2312"/>
                <w:highlight w:val="none"/>
              </w:rPr>
              <w:t>附带散热块。</w:t>
            </w:r>
          </w:p>
          <w:p w14:paraId="67967626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六、配置要求</w:t>
            </w:r>
          </w:p>
          <w:p w14:paraId="1F69BF7D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1.电光强度调制模块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，数量1块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5191FEB5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2.电光相位调制模块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，数量1块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0FBAD886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3.IQ调制模块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，数量1块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578480FF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4.宽带射频放大模块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，数量1块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292AF3E5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5.射频放大模块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，数量1块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；</w:t>
            </w:r>
          </w:p>
          <w:p w14:paraId="29071C32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电缆：1.85mm（公）-1.85mm(公)，数量4根；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1.85mm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（公）-2.92mm(公)，数量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根；2.92mm（公）-2.92mm(公)，数量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根；SMA（公）-2.92mm(公)，数量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根；SMA（公）-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SMA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根。</w:t>
            </w:r>
          </w:p>
          <w:p w14:paraId="466487B9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转接头：1.85mm（公）转1.85mm(公)，数量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1.85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mm（公）转1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.85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mm(母)，数量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个；1.85mm（母）转1.85mm(母)，数量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个；1.85mm（母）转1.85mm(公)，数量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1.85mm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(公)转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2.92mm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（公），数量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1.85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mm(公)转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2.92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mm（母），数量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1.85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mm(母)转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2.92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mm（母），数量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1.85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mm(母)转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2.92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mm（公），数量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个；2.92mm（公）转2.92mm(公)，数量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个；2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.92mm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（公）转2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.92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(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母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)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个；2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.92mm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（母）转2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.92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mm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(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母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)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个；2.92mm（母）转2.92mm(公)，数量4个；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2.92mm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(公)转SMA（公），数量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个；2.92mm(公)转SMA（母），数量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2.92mm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(母)转SMA（公），数量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个；2.92mm(母)转SMA（母），数量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SMA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(公)转SMA（公），数量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SMA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(公)转SMA（母），数量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SMA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(母)转SMA（母），数量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个；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SMA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(母)转SMA（公），数量</w:t>
            </w:r>
            <w:r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  <w:t>4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个。</w:t>
            </w:r>
          </w:p>
        </w:tc>
      </w:tr>
      <w:tr w14:paraId="6AAF0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3F0FBCF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2</w:t>
            </w:r>
          </w:p>
        </w:tc>
        <w:tc>
          <w:tcPr>
            <w:tcW w:w="759" w:type="dxa"/>
            <w:vAlign w:val="center"/>
          </w:tcPr>
          <w:p w14:paraId="0EB7D0C6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</w:p>
        </w:tc>
        <w:tc>
          <w:tcPr>
            <w:tcW w:w="6741" w:type="dxa"/>
            <w:vAlign w:val="center"/>
          </w:tcPr>
          <w:p w14:paraId="2B1B300C">
            <w:pPr>
              <w:pStyle w:val="4"/>
              <w:rPr>
                <w:rFonts w:hint="default" w:ascii="仿宋_GB2312" w:hAnsi="仿宋_GB2312" w:eastAsia="仿宋_GB2312" w:cs="仿宋_GB2312"/>
                <w:b/>
                <w:bCs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highlight w:val="none"/>
                <w:lang w:eastAsia="zh-CN"/>
              </w:rPr>
              <w:t>二、其他要求</w:t>
            </w:r>
          </w:p>
          <w:p w14:paraId="26E27B73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1．保证货物必须符合技术指标要求，并能按国家标准（行业标准）供应、检测、调试，确保产品技术指标满足使用要求。</w:t>
            </w:r>
          </w:p>
          <w:p w14:paraId="7DD72CDD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2.</w:t>
            </w:r>
            <w:r>
              <w:rPr>
                <w:rFonts w:ascii="仿宋_GB2312" w:hAnsi="仿宋_GB2312" w:eastAsia="仿宋_GB2312" w:cs="仿宋_GB2312"/>
                <w:highlight w:val="none"/>
              </w:rPr>
              <w:t>合同签订后45日历日内交货</w:t>
            </w:r>
            <w:r>
              <w:rPr>
                <w:rFonts w:ascii="仿宋_GB2312" w:hAnsi="仿宋_GB2312" w:eastAsia="仿宋_GB2312" w:cs="仿宋_GB2312"/>
                <w:highlight w:val="none"/>
              </w:rPr>
              <w:t>。</w:t>
            </w:r>
          </w:p>
          <w:p w14:paraId="44061609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3.产品免费质量保证期为货物验收合格后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3</w:t>
            </w:r>
            <w:r>
              <w:rPr>
                <w:rFonts w:ascii="仿宋_GB2312" w:hAnsi="仿宋_GB2312" w:eastAsia="仿宋_GB2312" w:cs="仿宋_GB2312"/>
                <w:highlight w:val="none"/>
              </w:rPr>
              <w:t>年。</w:t>
            </w:r>
          </w:p>
          <w:p w14:paraId="26887017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4.免费安装调试及技术培训，培训人数不低于5人，次数不低于3次。确保使用人能熟悉产品货物和正确使用。</w:t>
            </w:r>
          </w:p>
          <w:p w14:paraId="3F2CFB44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5.对售后服务需求提供7*24小时响应，48小时内到达现场实施维修。</w:t>
            </w:r>
          </w:p>
        </w:tc>
      </w:tr>
      <w:tr w14:paraId="42641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6607B862">
            <w:pPr>
              <w:pStyle w:val="4"/>
              <w:jc w:val="center"/>
              <w:rPr>
                <w:rFonts w:hint="default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3</w:t>
            </w:r>
          </w:p>
        </w:tc>
        <w:tc>
          <w:tcPr>
            <w:tcW w:w="759" w:type="dxa"/>
            <w:vAlign w:val="center"/>
          </w:tcPr>
          <w:p w14:paraId="23BE4334">
            <w:pPr>
              <w:jc w:val="center"/>
              <w:rPr>
                <w:rFonts w:ascii="仿宋_GB2312" w:hAnsi="仿宋_GB2312" w:eastAsia="仿宋_GB2312" w:cs="仿宋_GB2312"/>
                <w:snapToGrid/>
                <w:color w:val="auto"/>
                <w:sz w:val="20"/>
                <w:szCs w:val="20"/>
                <w:highlight w:val="none"/>
                <w:lang w:eastAsia="zh-Hans"/>
              </w:rPr>
            </w:pPr>
          </w:p>
        </w:tc>
        <w:tc>
          <w:tcPr>
            <w:tcW w:w="6741" w:type="dxa"/>
            <w:vAlign w:val="center"/>
          </w:tcPr>
          <w:p w14:paraId="53620E53">
            <w:pPr>
              <w:pStyle w:val="4"/>
              <w:rPr>
                <w:rFonts w:hint="default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备注：以上参数为实质性要求，供应商任意一项负偏离，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响应文件</w:t>
            </w:r>
            <w:r>
              <w:rPr>
                <w:rFonts w:ascii="仿宋_GB2312" w:hAnsi="仿宋_GB2312" w:eastAsia="仿宋_GB2312" w:cs="仿宋_GB2312"/>
                <w:highlight w:val="none"/>
              </w:rPr>
              <w:t>按无效响应处理。</w:t>
            </w: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项</w:t>
            </w:r>
            <w:r>
              <w:rPr>
                <w:rFonts w:ascii="仿宋_GB2312" w:hAnsi="仿宋_GB2312" w:eastAsia="仿宋_GB2312" w:cs="仿宋_GB2312"/>
                <w:highlight w:val="none"/>
              </w:rPr>
              <w:t>参数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须提供相关佐证材料（不限于产品彩页、测试报告、官网和功能截图等技术支持性文件资料），未提供视为负偏离。</w:t>
            </w:r>
          </w:p>
        </w:tc>
      </w:tr>
    </w:tbl>
    <w:p w14:paraId="0F089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6370E"/>
    <w:rsid w:val="2446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2025-10-28T05:52:00Z</dcterms:created>
  <dc:creator>-7</dc:creator>
  <cp:lastModifiedBy>-7</cp:lastModifiedBy>
  <dcterms:modified xsi:type="dcterms:W3CDTF">2025-10-28T05:52:50Z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92493E18468740DEBA14DC244232568D_11</vt:lpwstr>
  </property>
  <property fmtid="{D5CDD505-2E9C-101B-9397-08002B2CF9AE}" pid="4" name="KSOTemplateDocerSaveRecord">
    <vt:lpwstr>eyJoZGlkIjoiMmFiMTY0MjE5ODlmZmUzZGU0YWNiZDQ1OGMwNmQ3MzYiLCJ1c2VySWQiOiI0MDcxMjAzOTgifQ==</vt:lpwstr>
  </property>
</Properties>
</file>