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19"/>
        <w:gridCol w:w="7586"/>
      </w:tblGrid>
      <w:tr w14:paraId="1F68E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7635ACA4">
            <w:pPr>
              <w:pStyle w:val="5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 xml:space="preserve"> 序号</w:t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67405846">
            <w:pPr>
              <w:pStyle w:val="5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参数性质</w:t>
            </w:r>
          </w:p>
        </w:tc>
        <w:tc>
          <w:tcPr>
            <w:tcW w:w="76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5AB3B353">
            <w:pPr>
              <w:pStyle w:val="5"/>
              <w:jc w:val="center"/>
              <w:rPr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技术参数与性能指标</w:t>
            </w:r>
          </w:p>
        </w:tc>
      </w:tr>
      <w:tr w14:paraId="3ADCAB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62FBBC8A">
            <w:pPr>
              <w:pStyle w:val="5"/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161AD5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DejaVuSans" w:hAnsi="DejaVuSans" w:eastAsia="DejaVuSans" w:cs="DejaVuSans"/>
                <w:color w:val="000000"/>
                <w:kern w:val="0"/>
                <w:sz w:val="19"/>
                <w:szCs w:val="19"/>
                <w:lang w:val="en-US" w:eastAsia="zh-CN" w:bidi="ar"/>
              </w:rPr>
              <w:t>★</w:t>
            </w:r>
          </w:p>
          <w:p w14:paraId="68E02E38"/>
        </w:tc>
        <w:tc>
          <w:tcPr>
            <w:tcW w:w="76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 w14:paraId="5A7FBB36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bidi="ar"/>
              </w:rPr>
              <w:t>一、采购内容及清单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8"/>
              <w:gridCol w:w="1896"/>
              <w:gridCol w:w="2054"/>
              <w:gridCol w:w="2410"/>
            </w:tblGrid>
            <w:tr w14:paraId="4B553C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370ED3C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5E395A8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Cs w:val="21"/>
                    </w:rPr>
                    <w:t>名称</w:t>
                  </w:r>
                </w:p>
              </w:tc>
              <w:tc>
                <w:tcPr>
                  <w:tcW w:w="20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5663608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Cs w:val="21"/>
                    </w:rPr>
                    <w:t>数量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E155935">
                  <w:pPr>
                    <w:pStyle w:val="2"/>
                    <w:widowControl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  <w:lang w:eastAsia="zh-CN"/>
                    </w:rPr>
                    <w:t>备注</w:t>
                  </w:r>
                </w:p>
              </w:tc>
            </w:tr>
            <w:tr w14:paraId="57D23D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6D8433B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40D2019">
                  <w:pPr>
                    <w:pStyle w:val="2"/>
                    <w:widowControl/>
                    <w:spacing w:line="360" w:lineRule="auto"/>
                    <w:jc w:val="left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原子力显微镜主机</w:t>
                  </w:r>
                </w:p>
              </w:tc>
              <w:tc>
                <w:tcPr>
                  <w:tcW w:w="20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BE8D151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1套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FEB3BF3">
                  <w:pPr>
                    <w:pStyle w:val="2"/>
                    <w:widowControl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  <w:lang w:val="en-US" w:eastAsia="zh-CN"/>
                    </w:rPr>
                    <w:t>核心产品</w:t>
                  </w:r>
                </w:p>
              </w:tc>
            </w:tr>
            <w:tr w14:paraId="6166EE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9FF63C0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544B973">
                  <w:pPr>
                    <w:pStyle w:val="2"/>
                    <w:widowControl/>
                    <w:spacing w:line="360" w:lineRule="auto"/>
                    <w:jc w:val="left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液体成像模块</w:t>
                  </w:r>
                </w:p>
              </w:tc>
              <w:tc>
                <w:tcPr>
                  <w:tcW w:w="20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1C8BC06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1套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B36B0F3">
                  <w:pPr>
                    <w:pStyle w:val="2"/>
                    <w:widowControl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  <w:lang w:eastAsia="zh-CN"/>
                    </w:rPr>
                  </w:pPr>
                </w:p>
              </w:tc>
            </w:tr>
            <w:tr w14:paraId="16CA6F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38DCB95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B6821BB">
                  <w:pPr>
                    <w:pStyle w:val="2"/>
                    <w:widowControl/>
                    <w:spacing w:line="360" w:lineRule="auto"/>
                    <w:jc w:val="left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探针</w:t>
                  </w:r>
                </w:p>
              </w:tc>
              <w:tc>
                <w:tcPr>
                  <w:tcW w:w="20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677DE17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100枚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D2F050A">
                  <w:pPr>
                    <w:pStyle w:val="2"/>
                    <w:widowControl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  <w:lang w:eastAsia="zh-CN"/>
                    </w:rPr>
                  </w:pPr>
                </w:p>
              </w:tc>
            </w:tr>
            <w:tr w14:paraId="535303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3C14387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23498D9">
                  <w:pPr>
                    <w:pStyle w:val="2"/>
                    <w:widowControl/>
                    <w:spacing w:line="360" w:lineRule="auto"/>
                    <w:jc w:val="left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高精度防震台</w:t>
                  </w:r>
                </w:p>
              </w:tc>
              <w:tc>
                <w:tcPr>
                  <w:tcW w:w="20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10697D4">
                  <w:pPr>
                    <w:pStyle w:val="2"/>
                    <w:widowControl/>
                    <w:spacing w:line="360" w:lineRule="auto"/>
                    <w:jc w:val="center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1套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26D5298">
                  <w:pPr>
                    <w:pStyle w:val="2"/>
                    <w:widowControl/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 w14:paraId="0B67E4C1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66610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6D96D3AD">
            <w:pPr>
              <w:pStyle w:val="5"/>
              <w:numPr>
                <w:ilvl w:val="0"/>
                <w:numId w:val="1"/>
              </w:numPr>
            </w:pP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33C9C4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DejaVuSans" w:hAnsi="DejaVuSans" w:eastAsia="DejaVuSans" w:cs="DejaVuSans"/>
                <w:color w:val="000000"/>
                <w:kern w:val="0"/>
                <w:sz w:val="19"/>
                <w:szCs w:val="19"/>
                <w:lang w:val="en-US" w:eastAsia="zh-CN" w:bidi="ar"/>
              </w:rPr>
              <w:t>★</w:t>
            </w:r>
          </w:p>
          <w:p w14:paraId="7108BCD5"/>
        </w:tc>
        <w:tc>
          <w:tcPr>
            <w:tcW w:w="76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172426AA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二、设备功能、技术参数、配置要求</w:t>
            </w:r>
          </w:p>
          <w:p w14:paraId="5310ADB9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1、功能参数</w:t>
            </w:r>
          </w:p>
          <w:p w14:paraId="671D2501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1.1 设备构成：由AFM扫描头、样品台、趋近系统、电子学控制系统、操作软件、光学观察系统、隔振系统、专用工具及附件等组成。</w:t>
            </w:r>
          </w:p>
          <w:p w14:paraId="74943442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1.2 ▲功能模式：接触模式、半接触模式、侧向力显微镜、相位成像模式、静电力显微镜、磁力显微镜、导电原子力显微镜、扫描开尔文探针显微镜、压电响应力显微镜、AFM刻蚀、AFM操纵。</w:t>
            </w:r>
          </w:p>
          <w:p w14:paraId="3A1403C2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1.3 ▲工作方式：针尖驱动式扫描（内置专门的针尖跟踪系统，使激光始终跟随针尖运动，激光光斑始终照射在悬臂上），压电扫描器驱动探针进行XYZ三轴扫描，样品大小及重量不受限制。</w:t>
            </w:r>
          </w:p>
          <w:p w14:paraId="4106F62A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1.4 </w:t>
            </w:r>
            <w:r>
              <w:rPr>
                <w:rFonts w:ascii="仿宋" w:hAnsi="仿宋" w:eastAsia="仿宋" w:cs="仿宋"/>
                <w:szCs w:val="21"/>
                <w:lang w:bidi="ar"/>
              </w:rPr>
              <w:t>扫描分辨率：Z方向0.1 nm，XY方向0.2 nm。</w:t>
            </w:r>
          </w:p>
          <w:p w14:paraId="3C53A0A6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1.5 ▲具备液相条件下的AFM测试功能，并提供液体池。</w:t>
            </w:r>
          </w:p>
          <w:p w14:paraId="5FF72B32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1.6 ▲具备探针品质因子(Q-Factor)实时显示功能，可实时监测探针的灵敏度和受损情况。</w:t>
            </w:r>
          </w:p>
          <w:p w14:paraId="605D449B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1.7光学视频观察系统：500万像素CCD，视频显微镜辅助观测系统。常规条件下视频显微镜的光学分辨率≤2 μm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198AC511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1.8 控制器：6个ADC模数转换器（2个高速）、3个DAC数模转换器（最多6个）、2个独立的数字锁相放大器、8通道同时成像、8个BNC输入/输出信号软件配置接口，其中4路信号输入接口，4路信号输出接口。</w:t>
            </w:r>
          </w:p>
          <w:p w14:paraId="25DD4901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1.9 软件：8通道同时成像，图像采样点：可达5000×5000。</w:t>
            </w:r>
          </w:p>
          <w:p w14:paraId="4F8DE7BA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1.10 ▲设备必须具有丰富的升级空间及功能扩展性，能够根据用户将来科研需要搭建外部光路，用于太赫兹近场（THz），散射式扫描近场光学显微镜(s-SNOM)等功能，可与光谱技术（如拉曼光谱仪等）实现联用。</w:t>
            </w:r>
          </w:p>
          <w:p w14:paraId="57FC275F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1.11减震系统：配置气浮式光学减震平台，垂直方向固有频率空载：1～1.7 Hz，满载：0.8 Hz；水平方向固有频率空载：1.1～1.7 Hz，满载：1.0 Hz；尺寸≥600 mm×600 mm，载重：0-120kg。</w:t>
            </w:r>
          </w:p>
          <w:p w14:paraId="15A85E24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2、主要配置</w:t>
            </w:r>
          </w:p>
          <w:p w14:paraId="15DE33B2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2.1 原子力显微镜控制器 一套；</w:t>
            </w:r>
          </w:p>
          <w:p w14:paraId="04467DDA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2.2 原子力显微镜主机 一套；</w:t>
            </w:r>
          </w:p>
          <w:p w14:paraId="354B1EA8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2.3 原子力显微镜软件 一套；</w:t>
            </w:r>
          </w:p>
          <w:p w14:paraId="7A0CA3A1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2.5辅助光学系统，含高分辨CCD系统 一套。</w:t>
            </w:r>
          </w:p>
          <w:p w14:paraId="4F0E7E5D">
            <w:pPr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3、附属设备</w:t>
            </w:r>
          </w:p>
          <w:p w14:paraId="2A9DCB08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3.1气浮式光学减震平台 一套；</w:t>
            </w:r>
          </w:p>
          <w:p w14:paraId="4EEE3ED0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3.2 台式电脑及显示器（国产主流品牌的高端配置）一套；</w:t>
            </w:r>
          </w:p>
          <w:p w14:paraId="60862F1C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3.3 各种模式探针不少于100枚；</w:t>
            </w:r>
          </w:p>
          <w:p w14:paraId="38CA2B7F"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3.4 标准样品（云母片，石墨片，光栅）及工具 一套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 w14:paraId="77FC1D35">
            <w:pPr>
              <w:ind w:firstLine="420" w:firstLineChars="2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3.5 仪器操作使用说明书（电子版）一套。</w:t>
            </w:r>
          </w:p>
          <w:p w14:paraId="684470FE">
            <w:pPr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备注：</w:t>
            </w:r>
          </w:p>
          <w:p w14:paraId="01EC5091">
            <w:pPr>
              <w:ind w:firstLine="630" w:firstLineChars="300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标注▲的为核心指标，是采购项目中必须满足的关键技术参数，共5项。应标时需提供佐证材料，佐证材料不限于:产品彩页、检测报告、官网截图等证明材料。</w:t>
            </w:r>
          </w:p>
        </w:tc>
      </w:tr>
      <w:tr w14:paraId="5EC8B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69813C60">
            <w:pPr>
              <w:pStyle w:val="5"/>
              <w:numPr>
                <w:ilvl w:val="0"/>
                <w:numId w:val="1"/>
              </w:numPr>
            </w:pP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0C35F7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DejaVuSans" w:hAnsi="DejaVuSans" w:eastAsia="DejaVuSans" w:cs="DejaVuSans"/>
                <w:color w:val="000000"/>
                <w:kern w:val="0"/>
                <w:sz w:val="19"/>
                <w:szCs w:val="19"/>
                <w:lang w:val="en-US" w:eastAsia="zh-CN" w:bidi="ar"/>
              </w:rPr>
              <w:t>★</w:t>
            </w:r>
          </w:p>
          <w:p w14:paraId="0F339853"/>
        </w:tc>
        <w:tc>
          <w:tcPr>
            <w:tcW w:w="76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top"/>
          </w:tcPr>
          <w:p w14:paraId="22B19411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0"/>
                <w:lang w:bidi="ar"/>
              </w:rPr>
              <w:t>三、技术服务及其他要求</w:t>
            </w:r>
          </w:p>
          <w:p w14:paraId="1A4B6186">
            <w:pPr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 设备安装、调试和验收：厂家应在合同生效后的1个月内向用户提供详细的安装要求并提供技术咨询；仪器到达用户所在地，在接到用户通知后一周内进行安装调试，直至通过验收。</w:t>
            </w:r>
          </w:p>
          <w:p w14:paraId="64DBCAE0">
            <w:pPr>
              <w:ind w:firstLine="420" w:firstLineChars="2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 技术培训：在用户所在地对用户进行为期3个工作日的培训；培训内容包括仪器的技术原理、操作、数据处理、基本维护等，接受培训人数：1-3人。</w:t>
            </w:r>
          </w:p>
          <w:p w14:paraId="1AC1EB3A"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 保修期：厂家提供1年的免费保修,保修期自仪器验收签字之日起计算。保修期间维修及零件更换费用由厂家承担。</w:t>
            </w:r>
          </w:p>
          <w:p w14:paraId="19215068">
            <w:pPr>
              <w:widowControl/>
              <w:ind w:firstLine="420" w:firstLineChars="20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 维修响应时间：厂家应在48小时内到达维修现场，维修服务包括电话指导和现场维修。要求厂家配有专业维修工程师，保证提供及时优质的售后服务。</w:t>
            </w:r>
          </w:p>
        </w:tc>
      </w:tr>
    </w:tbl>
    <w:p w14:paraId="026EDB0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商务要求 </w:t>
      </w:r>
    </w:p>
    <w:p w14:paraId="7F1CEEF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交货时间 </w:t>
      </w:r>
    </w:p>
    <w:p w14:paraId="7AA472C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1067DE4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2025年12月31日前，完成交付、安装调试。 </w:t>
      </w:r>
    </w:p>
    <w:p w14:paraId="502E3D8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交货地点和方式 </w:t>
      </w:r>
    </w:p>
    <w:p w14:paraId="78971DA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3C89673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西安市碑林区雁塔中路58号西安科技大学（雁塔校区）煤科楼1006实验室。 </w:t>
      </w:r>
    </w:p>
    <w:p w14:paraId="589DF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支付方式 </w:t>
      </w:r>
    </w:p>
    <w:p w14:paraId="12754AF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7D6376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分期付款 </w:t>
      </w:r>
    </w:p>
    <w:p w14:paraId="44B6160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支付约定 </w:t>
      </w:r>
    </w:p>
    <w:p w14:paraId="67EFE30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付款条件说明： 签订合同前向学校缴纳5%的履约保证金，合同签订后 ，达到付款条件起 10 日内，支付合同 </w:t>
      </w:r>
    </w:p>
    <w:p w14:paraId="5559AA4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总金额的 40.00%。 </w:t>
      </w:r>
    </w:p>
    <w:p w14:paraId="16A2BDF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付款条件说明： 国内产品安装调试经学校验收合格后 ，达到付款条件起 10 日内，支付合同总金额的60.00%。 </w:t>
      </w:r>
    </w:p>
    <w:p w14:paraId="2521D6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验收标准和方法 </w:t>
      </w:r>
    </w:p>
    <w:p w14:paraId="4662685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7B23698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按照采购人要求执行。 </w:t>
      </w:r>
    </w:p>
    <w:p w14:paraId="768578F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3.4.6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包装方式及运输 </w:t>
      </w:r>
    </w:p>
    <w:p w14:paraId="5618B72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50D6160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 </w:t>
      </w:r>
    </w:p>
    <w:p w14:paraId="6C8EF2E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质量保修范围和保修期 </w:t>
      </w:r>
    </w:p>
    <w:p w14:paraId="19E3D9B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4788828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1.项目质保期：自验收合格交付之日起1年； 2.售后服务响应时间（质保期内）：即时响应（包括电话响应）；电话响应无法解决24小时内到达现场。修复时间 24 小时内解决；如在 48 小时内无法修复，则提供部件冗余服务或采取应急措施，提供相同产品或不低于故障产品规格档次的备用产品供采购人使用，以确保货物的正常使用。 </w:t>
      </w:r>
    </w:p>
    <w:p w14:paraId="512E7A1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3.4.8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违约责任及解决争议的方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法 </w:t>
      </w:r>
    </w:p>
    <w:p w14:paraId="0D020F5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728FAEF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1.除本合同约定的违约责任之外，双方按《中华人民共和国民法典》中的相关条款 执行。 2.提供的货物不符合合同要求，或者不能满足招标文件技术要求，乙方必须无条件退换直到合格，并承担逾期供货违 约责任。否则，甲方有权终止合同，乙方及制造厂商共同退还货款，并支付合同金额30%的违约金，违约金不足以弥补损失 的，应继续赔偿损失。 3.除因不可抗力，乙方逾期交货，每天应按合同总价的千分之一向甲方支付违约金。如乙方逾期三十 天仍未交齐货物的，甲方有权终止合同，乙方及制造厂商共同退还货款，并按合同总价30%向甲方支付违约金，违约金不足 以弥补损失的，应继续赔偿损失。 4.乙方所交货物的类型、版本、参数、功能需求等在使用中如发生不符合合同约定、国家 标准，或者所供货物达不到约定技术要求的，或者运行存在较大潜在风险的，导致甲方无法正常使用的，乙方应无条件全额向 甲方退还已收取的合同款，并向甲方支付合同总价款30%的违约金，违约金不足以弥补损失的，应继续赔偿损失。 5.乙方所 供货物在合理使用期限内，因质量或安装问题造成甲方或第三方人身伤亡、财产损失的，乙方应负责解决并承担赔偿责任，并 赔偿甲方所有损失（包含但不限于律师费、诉讼费等一切损失）；乙方应按甲方要求采取退货、换货等方式处理，退换货的一 切费用由乙方承担，并应退还甲方支付的合同总货款。 若交货后三十日历日内乙方未完成安装调试的，每逾期一日应按合同 总价的千分之一向甲方支付违约金。违约金不足以弥补损失的，应继续赔偿甲方损失。 </w:t>
      </w:r>
    </w:p>
    <w:p w14:paraId="6D1F637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3.5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其他要求 </w:t>
      </w:r>
    </w:p>
    <w:p w14:paraId="36B235C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 w14:paraId="576740C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1、供应商若提供电子保函的，开标前请将电子保函扫描件发送至邮箱877581739@qq.com。 2、中标供应商与采购人签订合同后请及时将合同扫描件发送至邮箱877581739@qq.com，以便及时办理保证金退还事宜。</w:t>
      </w:r>
    </w:p>
    <w:p w14:paraId="2EF70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88316"/>
    <w:multiLevelType w:val="multilevel"/>
    <w:tmpl w:val="40488316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24" w:lineRule="auto"/>
    </w:pPr>
    <w:rPr>
      <w:rFonts w:ascii="宋体" w:hAnsi="Courier New" w:cs="Courier New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2025-11-03T06:19:15Z</dcterms:created>
  <dc:creator>Administrator</dc:creator>
  <cp:lastModifiedBy>BanBo</cp:lastModifiedBy>
  <dcterms:modified xsi:type="dcterms:W3CDTF">2025-11-03T06:34:38Z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eyJoZGlkIjoiYmQ1ZThjZDZiZGM3NTQ4YWU2NmI3ZGJhNGQ4MjY4MWMiLCJ1c2VySWQiOiI2MzQyNjk0OTgifQ==</vt:lpwstr>
  </property>
  <property fmtid="{D5CDD505-2E9C-101B-9397-08002B2CF9AE}" pid="4" name="ICV">
    <vt:lpwstr>22D13648C8DB4020AEF9391ECA59E995_12</vt:lpwstr>
  </property>
</Properties>
</file>