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CAA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采购需求</w:t>
      </w:r>
    </w:p>
    <w:p w14:paraId="4EDF6DEB">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一、技术要求</w:t>
      </w:r>
    </w:p>
    <w:p w14:paraId="08DFEA3E">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（一）OCT成像</w:t>
      </w:r>
    </w:p>
    <w:p w14:paraId="65DEB860">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1.OCT光源：扫频激光</w:t>
      </w:r>
    </w:p>
    <w:p w14:paraId="27FAD13E">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2.OCT光源中心波长：≥1050 nm</w:t>
      </w:r>
    </w:p>
    <w:p w14:paraId="7F15EBF9">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3.OCT扫描速度：≥200,000 /s（A-scans）</w:t>
      </w:r>
    </w:p>
    <w:p w14:paraId="184FD585">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4.OCT轴向光学分辨率：≤3.8μm</w:t>
      </w:r>
    </w:p>
    <w:p w14:paraId="3C9C468D">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5.OCT横向光学分辨率：≤10μm</w:t>
      </w:r>
    </w:p>
    <w:p w14:paraId="61CD465C">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6.OCT轴向数字分辨率 ≤2.0μm</w:t>
      </w:r>
    </w:p>
    <w:p w14:paraId="3732DF19">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7.OCT横向数字分辨率：≤1.5μm</w:t>
      </w:r>
    </w:p>
    <w:p w14:paraId="1046139F">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8.眼前节OCT最大成像深度：≥16mm</w:t>
      </w:r>
    </w:p>
    <w:p w14:paraId="253A6EC0">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9.眼后节OCT最大成像深度：≥12mm</w:t>
      </w:r>
    </w:p>
    <w:p w14:paraId="63C444B2">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10.眼前节OCT扫描最大范围：≥20mm</w:t>
      </w:r>
    </w:p>
    <w:p w14:paraId="2394E0DF">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11.眼后节OCT扫描最大范围：≥26mm或130°</w:t>
      </w:r>
    </w:p>
    <w:p w14:paraId="27EBB793">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（二）眼底成像</w:t>
      </w:r>
    </w:p>
    <w:p w14:paraId="58E2CBC3">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1.眼底成像技术：共聚焦成像技术</w:t>
      </w:r>
    </w:p>
    <w:p w14:paraId="385A4822">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2.眼底成像范围：≥90°×90°</w:t>
      </w:r>
    </w:p>
    <w:p w14:paraId="747416E7">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3.眼底成像横向分辨率：≤15μm</w:t>
      </w:r>
    </w:p>
    <w:p w14:paraId="7D27746A">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4.眼底成像最大帧率：≥150张/秒</w:t>
      </w:r>
    </w:p>
    <w:p w14:paraId="0D5DA721">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5.OCT与眼底镜的位置一致性：≤100μm</w:t>
      </w:r>
    </w:p>
    <w:p w14:paraId="31B5C8FD">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（三）血流成像</w:t>
      </w:r>
    </w:p>
    <w:p w14:paraId="35A417BB">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1.具备眼前节、眼后节血管成像拍摄模式</w:t>
      </w:r>
    </w:p>
    <w:p w14:paraId="7BBE1C9C">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2.血流成像最高分辨率≤5.8μm/像素</w:t>
      </w:r>
    </w:p>
    <w:p w14:paraId="2F1014AB">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3.前节血流成像单次扫描最大范围≥18mm×18mm</w:t>
      </w:r>
    </w:p>
    <w:p w14:paraId="78BA862F">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4.眼底血流成像单次扫描最大范围≥26mm×26mm</w:t>
      </w:r>
    </w:p>
    <w:p w14:paraId="4A758DA6">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5.具备血流成像自动拼图功能，拼图具备血管密度量化功能</w:t>
      </w:r>
    </w:p>
    <w:p w14:paraId="7F9AF119">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（四）眼后节功能分析</w:t>
      </w:r>
    </w:p>
    <w:p w14:paraId="1FCD10AF">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1.视网膜厚度测量精准度：≤±0.1%</w:t>
      </w:r>
    </w:p>
    <w:p w14:paraId="0A6422D3">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视网膜厚度测量重复性，标准差：≤±0.1%</w:t>
      </w:r>
    </w:p>
    <w:p w14:paraId="36498051">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2.血流成像自动分层≥8层（玻璃体层、放射状毛细血管网、浅层血管网、中层毛细血管网、深层毛细血管网、视网膜无血管层、脉络膜毛细血管层、脉络膜层），并具备手动添加分层功能。</w:t>
      </w:r>
    </w:p>
    <w:p w14:paraId="21611871">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3.具备血流成像量化功能，包含但不限于：血流密度、灌注面积、无灌注面积、FAZ分析（面积、周长、近圆指数）、血管线密度等参数,量化数值可导出为表格。</w:t>
      </w:r>
    </w:p>
    <w:p w14:paraId="3C81AC3B">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4.具备基于深度学习的人工智能分层，支持手动调整分层线并可自动扩展调整范围的功能。</w:t>
      </w:r>
    </w:p>
    <w:p w14:paraId="358AA301">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5.具备全层去伪影功能，在OCTA及断层图像上的血流信号均可去除投射伪影等功能。</w:t>
      </w:r>
    </w:p>
    <w:p w14:paraId="383EDDCC">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6.具备视网膜层、神经纤维层、神经节细胞复合体厚度、内核层、脉络膜厚度进行自动量化的功能。</w:t>
      </w:r>
    </w:p>
    <w:p w14:paraId="4013EB19">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7.青光眼分析具备杯盘比、视杯视盘面积、盘沿面积、神经纤维层厚度、神经节细胞复合体厚度等参数进行自动量化，支持双眼及对比分析的功能。</w:t>
      </w:r>
    </w:p>
    <w:p w14:paraId="52E9C4AB">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8.具备对视网膜下积液进行自动识别并计算其面积和体积的功能。</w:t>
      </w:r>
    </w:p>
    <w:p w14:paraId="777FCBC2">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9.具有可对脉络膜大中血管具有进行自动识别并计算CVI（脉络膜血管指数）、CVV（脉络膜血管容积）、CSI（脉络膜基质指数）、CSV（脉络膜基质容积）等功能。</w:t>
      </w:r>
    </w:p>
    <w:p w14:paraId="65BC6D34">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10.可自定义量化图形，量化数据可导出为表格的功能。</w:t>
      </w:r>
    </w:p>
    <w:p w14:paraId="56E9B505">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（五）眼前节功能分析</w:t>
      </w:r>
    </w:p>
    <w:p w14:paraId="2AAEA378">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1.具备角膜曲率和厚度、瞳孔直径、前房深度、晶体厚度、人眼角膜直径的测量分析功能。</w:t>
      </w:r>
    </w:p>
    <w:p w14:paraId="1E0D1A05">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2.可显示全景前节断层结构（一次扫描同时显示角膜全层、双侧房角、前房、晶状体前囊及后囊、前部玻璃体的断层结构）功能。</w:t>
      </w:r>
    </w:p>
    <w:p w14:paraId="6E0D0164">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3.具备小梁虹膜空间面积、房角开放距离、小梁虹膜夹角、房角隐窝面积等自动测量功能。</w:t>
      </w:r>
    </w:p>
    <w:p w14:paraId="35105E54">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4.具备ICL拱高自动测量功能。</w:t>
      </w:r>
    </w:p>
    <w:p w14:paraId="136F492E">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5.具备角膜瓣厚度自动测量功能。</w:t>
      </w:r>
    </w:p>
    <w:p w14:paraId="2DD47210">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6.具备角膜地形图、角膜上皮厚度地形图、角膜屈光四联图等分析功能。</w:t>
      </w:r>
    </w:p>
    <w:p w14:paraId="592B2E92">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（六）其他参数</w:t>
      </w:r>
    </w:p>
    <w:p w14:paraId="77BBD43A">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1.具备内置前节镜头组，前后节成像可由电机自动切换。</w:t>
      </w:r>
    </w:p>
    <w:p w14:paraId="6C6D264F">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2.眼底拍摄具有可切换至非超广角镜模式，用于拍摄黄斑细微病灶的功能。</w:t>
      </w:r>
    </w:p>
    <w:p w14:paraId="3E2460C1">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3.具备一键全自动对准及对焦功能，包含瞳孔自动居中、工作距离自动调节、OCT图像自动居中及对焦、OCT信号自动调节至最强信号等功能。</w:t>
      </w:r>
    </w:p>
    <w:p w14:paraId="55C73E13">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4.具备眼动追踪功能，最大追踪频率≥150Hz</w:t>
      </w:r>
    </w:p>
    <w:p w14:paraId="7E6A5BB6">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5.屈光补偿范围：-33D~+40D</w:t>
      </w:r>
    </w:p>
    <w:p w14:paraId="31301733">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6.颏托可调节范围：0-48mm</w:t>
      </w:r>
    </w:p>
    <w:p w14:paraId="100EA2B4">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7.固视灯：可调节内固视灯及外固视灯</w:t>
      </w:r>
    </w:p>
    <w:p w14:paraId="6559F054">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8.具备DICOM数据开放接口</w:t>
      </w:r>
    </w:p>
    <w:p w14:paraId="032F126C">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9.计算机配置：CPU性能≥四核主频3.0GHz，DDR4内存≥16G，SSD≥500G；HDD≥8TB（支持外接扩展），显卡RTX2060或以上，配置≥2</w:t>
      </w:r>
      <w:bookmarkStart w:id="0" w:name="_GoBack"/>
      <w:bookmarkEnd w:id="0"/>
      <w:r>
        <w:rPr>
          <w:rFonts w:hint="eastAsia" w:ascii="仿宋" w:hAnsi="仿宋" w:eastAsia="仿宋" w:cs="仿宋"/>
          <w:sz w:val="24"/>
          <w:szCs w:val="24"/>
        </w:rPr>
        <w:t>4英寸显示器</w:t>
      </w:r>
    </w:p>
    <w:p w14:paraId="3A0AFDA9">
      <w:pPr>
        <w:pStyle w:val="7"/>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10.打印机：激光彩色打印机或喷墨彩色打印机</w:t>
      </w:r>
    </w:p>
    <w:p w14:paraId="7D2511DD">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b/>
          <w:sz w:val="24"/>
          <w:szCs w:val="24"/>
        </w:rPr>
        <w:t>二、商务条款：</w:t>
      </w:r>
    </w:p>
    <w:p w14:paraId="2130A06D">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原厂质保要求：要求投标设备原厂质保≥3年。合同签订时，投标人向采购人提供和原厂签订的≥3年的质保合同，内容需明确已响应的质保内容和拟签订采购合同的履约约定内容，并明确质保期内出现质量问题，全权由原厂负责处理。</w:t>
      </w:r>
    </w:p>
    <w:p w14:paraId="785DA698">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2、交货期：合同签订之日起30日历天内。</w:t>
      </w:r>
    </w:p>
    <w:p w14:paraId="75F7C5E1">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3、交货地点：采购人指定地点。</w:t>
      </w:r>
    </w:p>
    <w:p w14:paraId="6A009605">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4、履约能力要求：</w:t>
      </w:r>
    </w:p>
    <w:p w14:paraId="50839295">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4.1、质保期内：</w:t>
      </w:r>
    </w:p>
    <w:p w14:paraId="3ADBCD1D">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4.1.1、设备发生故障，在接到采购人通知后，投标人2小时内响应， 8小时内到达现场明确解决方案，48小时内无法修复提供备用机。若需返厂维修，10个工作日内仍无法修复的，需更换同规格型号原厂全新产品。以上环节产生的相关费用均包含在投标价中。</w:t>
      </w:r>
    </w:p>
    <w:p w14:paraId="6D7DAB39">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4.1.2、投标人销售及原厂维修人员须定期巡访医院，及时解决相关设备的各种问题。质保期内保证整机按照保养手册至少每季度保养一次。</w:t>
      </w:r>
    </w:p>
    <w:p w14:paraId="03C719A0">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4.2、投标人在质保期结束前，对设备进行系统测试，全面保养维护，确保设备正常运行。</w:t>
      </w:r>
    </w:p>
    <w:p w14:paraId="21E598ED">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4.3、质保期满后：投标人提供每年不低于四次的巡访，以保证设备正常运行。如采购人要求，投标人须提供优惠有偿维修服务，并负责成本价供应设备所需的原厂备品、备件，提供主要易损备件报价单。设备出现的故障，投标人应提供及时、有效的技术支持和售后服务，维修更换的配件、备件质保时间为≥12个月，投标人保证所提供的零备件按成本价收取费用，免工时费。</w:t>
      </w:r>
    </w:p>
    <w:p w14:paraId="25351DCF">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4.4、使用培训：设备安装调试完成后，投标人须安排原厂工程师对设备使用人员进行设备安装调试及操作应用等技术培训，直至使用人员熟练掌握该设备的全部功能操作。提供每年不低于2次的理论和操作应用培训。培训环节产生的相关费用包含于投标价中。</w:t>
      </w:r>
    </w:p>
    <w:p w14:paraId="7ED608E6">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4.5、开机率：全年≥95%（全年按365天计），故障停机每超过一天，保修期顺延5天，以此类推。</w:t>
      </w:r>
    </w:p>
    <w:p w14:paraId="73572810">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4.6、服务承诺：</w:t>
      </w:r>
    </w:p>
    <w:p w14:paraId="06ED5FB0">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4.6.1、质保期内提供的所有服务，不收取任何费用。</w:t>
      </w:r>
    </w:p>
    <w:p w14:paraId="2D6827D8">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4.6.2、设备所需备件充足，并保证不低于10年的供应期，提供主要配件清单。</w:t>
      </w:r>
    </w:p>
    <w:p w14:paraId="23CEF9C3">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5、履约保证金的交付和退还：</w:t>
      </w:r>
    </w:p>
    <w:p w14:paraId="03780A55">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5.1、合同签订后30日内，投标人应当按照中标合同总金额的5%作为履约保证金交付给采购人。</w:t>
      </w:r>
    </w:p>
    <w:p w14:paraId="170D9E52">
      <w:pPr>
        <w:pStyle w:val="7"/>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5.2、保证期为中标（成交）通知书到达中标投标人之日起至项目质保期结束日。</w:t>
      </w:r>
    </w:p>
    <w:p w14:paraId="09F69F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rPr>
        <w:t>5.3、保证期满投标人如约履行合同的，采购人在合同服务期结束之日起30日内退还履约保证金（无息）。</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26B81"/>
    <w:rsid w:val="1FF17CBA"/>
    <w:rsid w:val="760555E1"/>
    <w:rsid w:val="79E26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仿宋" w:cs="Times New Roman"/>
      <w:b/>
      <w:kern w:val="44"/>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 w:cs="Times New Roman"/>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6">
    <w:name w:val="List Paragraph"/>
    <w:basedOn w:val="1"/>
    <w:qFormat/>
    <w:uiPriority w:val="34"/>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2025-11-03T09:10:00Z</dcterms:created>
  <dc:creator>陕西笃信招标有限公司</dc:creator>
  <cp:lastModifiedBy>陕西笃信招标有限公司</cp:lastModifiedBy>
  <dcterms:modified xsi:type="dcterms:W3CDTF">2025-11-03T09:13:28Z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EB16690E81DA4626A6EBC7DF9026ADC9_11</vt:lpwstr>
  </property>
  <property fmtid="{D5CDD505-2E9C-101B-9397-08002B2CF9AE}" pid="4" name="KSOTemplateDocerSaveRecord">
    <vt:lpwstr>eyJoZGlkIjoiNzg2YzQ2Nzk4M2IwOWVlMWU4NjljZTZlNTRmMjFkNDkiLCJ1c2VySWQiOiI5MTQ3Njg1NjkifQ==</vt:lpwstr>
  </property>
</Properties>
</file>