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0771">
      <w:pPr>
        <w:keepNext w:val="0"/>
        <w:keepLines w:val="0"/>
        <w:pageBreakBefore w:val="0"/>
        <w:widowControl/>
        <w:kinsoku/>
        <w:wordWrap w:val="0"/>
        <w:overflowPunct/>
        <w:topLinePunct/>
        <w:autoSpaceDE/>
        <w:autoSpaceDN/>
        <w:bidi w:val="0"/>
        <w:adjustRightInd w:val="0"/>
        <w:snapToGrid w:val="0"/>
        <w:spacing w:before="330" w:line="223" w:lineRule="auto"/>
        <w:jc w:val="both"/>
        <w:textAlignment w:val="baseline"/>
        <w:rPr>
          <w:rFonts w:hint="eastAsia" w:ascii="宋体" w:hAnsi="宋体" w:eastAsia="宋体" w:cs="宋体"/>
          <w:color w:val="auto"/>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采购项目编号：</w:t>
      </w:r>
      <w:r>
        <w:rPr>
          <w:rFonts w:hint="eastAsia" w:ascii="宋体" w:hAnsi="宋体" w:eastAsia="宋体" w:cs="宋体"/>
          <w:color w:val="auto"/>
          <w:sz w:val="31"/>
          <w:szCs w:val="31"/>
          <w:lang w:eastAsia="zh-CN"/>
          <w14:textOutline w14:w="5793" w14:cap="sq" w14:cmpd="sng">
            <w14:solidFill>
              <w14:srgbClr w14:val="000000"/>
            </w14:solidFill>
            <w14:prstDash w14:val="solid"/>
            <w14:bevel/>
          </w14:textOutline>
        </w:rPr>
        <w:t>SXXS2025-HW-080</w:t>
      </w:r>
    </w:p>
    <w:p w14:paraId="7A1E7344">
      <w:pPr>
        <w:keepNext w:val="0"/>
        <w:keepLines w:val="0"/>
        <w:pageBreakBefore w:val="0"/>
        <w:widowControl/>
        <w:kinsoku/>
        <w:wordWrap w:val="0"/>
        <w:overflowPunct/>
        <w:topLinePunct/>
        <w:autoSpaceDE/>
        <w:autoSpaceDN/>
        <w:bidi w:val="0"/>
        <w:adjustRightInd w:val="0"/>
        <w:snapToGrid w:val="0"/>
        <w:spacing w:before="330" w:line="223" w:lineRule="auto"/>
        <w:jc w:val="both"/>
        <w:textAlignment w:val="baseline"/>
        <w:rPr>
          <w:rFonts w:hint="eastAsia" w:ascii="宋体" w:hAnsi="宋体" w:eastAsia="宋体" w:cs="宋体"/>
          <w:color w:val="auto"/>
          <w:sz w:val="31"/>
          <w:szCs w:val="31"/>
          <w:lang w:eastAsia="zh-CN"/>
          <w14:textOutline w14:w="5793" w14:cap="sq" w14:cmpd="sng">
            <w14:solidFill>
              <w14:srgbClr w14:val="000000"/>
            </w14:solidFill>
            <w14:prstDash w14:val="solid"/>
            <w14:bevel/>
          </w14:textOutline>
        </w:rPr>
      </w:pPr>
    </w:p>
    <w:p w14:paraId="0F950C43">
      <w:pPr>
        <w:pStyle w:val="5"/>
        <w:keepNext w:val="0"/>
        <w:keepLines w:val="0"/>
        <w:pageBreakBefore w:val="0"/>
        <w:widowControl/>
        <w:kinsoku/>
        <w:wordWrap w:val="0"/>
        <w:overflowPunct/>
        <w:topLinePunct/>
        <w:autoSpaceDE/>
        <w:autoSpaceDN/>
        <w:bidi w:val="0"/>
        <w:adjustRightInd w:val="0"/>
        <w:snapToGrid w:val="0"/>
        <w:spacing w:line="257" w:lineRule="auto"/>
        <w:jc w:val="both"/>
        <w:textAlignment w:val="baseline"/>
        <w:rPr>
          <w:rFonts w:hint="eastAsia" w:ascii="宋体" w:hAnsi="宋体" w:eastAsia="宋体" w:cs="宋体"/>
          <w:color w:val="auto"/>
        </w:rPr>
      </w:pPr>
    </w:p>
    <w:p w14:paraId="3128DEA5">
      <w:pPr>
        <w:pStyle w:val="5"/>
        <w:keepNext w:val="0"/>
        <w:keepLines w:val="0"/>
        <w:pageBreakBefore w:val="0"/>
        <w:widowControl/>
        <w:kinsoku/>
        <w:wordWrap w:val="0"/>
        <w:overflowPunct/>
        <w:topLinePunct/>
        <w:autoSpaceDE/>
        <w:autoSpaceDN/>
        <w:bidi w:val="0"/>
        <w:adjustRightInd w:val="0"/>
        <w:snapToGrid w:val="0"/>
        <w:spacing w:line="258" w:lineRule="auto"/>
        <w:jc w:val="both"/>
        <w:textAlignment w:val="baseline"/>
        <w:rPr>
          <w:rFonts w:hint="eastAsia" w:ascii="宋体" w:hAnsi="宋体" w:eastAsia="宋体" w:cs="宋体"/>
          <w:color w:val="auto"/>
        </w:rPr>
      </w:pPr>
    </w:p>
    <w:p w14:paraId="30B9E6FA">
      <w:pPr>
        <w:pStyle w:val="5"/>
        <w:keepNext w:val="0"/>
        <w:keepLines w:val="0"/>
        <w:pageBreakBefore w:val="0"/>
        <w:widowControl/>
        <w:kinsoku/>
        <w:wordWrap w:val="0"/>
        <w:overflowPunct/>
        <w:topLinePunct/>
        <w:autoSpaceDE/>
        <w:autoSpaceDN/>
        <w:bidi w:val="0"/>
        <w:adjustRightInd w:val="0"/>
        <w:snapToGrid w:val="0"/>
        <w:spacing w:line="259"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2"/>
          <w:position w:val="47"/>
          <w:sz w:val="56"/>
          <w:szCs w:val="56"/>
          <w:lang w:eastAsia="zh-CN"/>
          <w14:textOutline w14:w="9461" w14:cap="sq" w14:cmpd="sng">
            <w14:solidFill>
              <w14:srgbClr w14:val="000000"/>
            </w14:solidFill>
            <w14:prstDash w14:val="solid"/>
            <w14:bevel/>
          </w14:textOutline>
        </w:rPr>
        <w:t>榆林市农业宣传信息中心农业物联网管理系统采购项目</w:t>
      </w:r>
    </w:p>
    <w:p w14:paraId="23D8F7AE">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29310AEB">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436E1AD5">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32CB734C">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2833E4E2">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59A981BC">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6D4C4C59">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6CED8CCC">
      <w:pPr>
        <w:pStyle w:val="5"/>
        <w:keepNext w:val="0"/>
        <w:keepLines w:val="0"/>
        <w:pageBreakBefore w:val="0"/>
        <w:widowControl/>
        <w:kinsoku/>
        <w:wordWrap w:val="0"/>
        <w:overflowPunct/>
        <w:topLinePunct/>
        <w:autoSpaceDE/>
        <w:autoSpaceDN/>
        <w:bidi w:val="0"/>
        <w:adjustRightInd w:val="0"/>
        <w:snapToGrid w:val="0"/>
        <w:spacing w:line="260" w:lineRule="auto"/>
        <w:jc w:val="both"/>
        <w:textAlignment w:val="baseline"/>
        <w:rPr>
          <w:rFonts w:hint="eastAsia" w:ascii="宋体" w:hAnsi="宋体" w:eastAsia="宋体" w:cs="宋体"/>
          <w:color w:val="auto"/>
        </w:rPr>
      </w:pPr>
    </w:p>
    <w:p w14:paraId="33193500">
      <w:pPr>
        <w:keepNext w:val="0"/>
        <w:keepLines w:val="0"/>
        <w:pageBreakBefore w:val="0"/>
        <w:widowControl/>
        <w:kinsoku/>
        <w:wordWrap w:val="0"/>
        <w:overflowPunct/>
        <w:topLinePunct/>
        <w:autoSpaceDE/>
        <w:autoSpaceDN/>
        <w:bidi w:val="0"/>
        <w:adjustRightInd w:val="0"/>
        <w:snapToGrid w:val="0"/>
        <w:spacing w:before="309" w:line="221" w:lineRule="auto"/>
        <w:jc w:val="center"/>
        <w:textAlignment w:val="baseline"/>
        <w:outlineLvl w:val="0"/>
        <w:rPr>
          <w:rFonts w:hint="eastAsia" w:ascii="宋体" w:hAnsi="宋体" w:eastAsia="宋体" w:cs="宋体"/>
          <w:color w:val="auto"/>
          <w:sz w:val="95"/>
          <w:szCs w:val="95"/>
        </w:rPr>
      </w:pPr>
      <w:bookmarkStart w:id="0" w:name="_Toc12889"/>
      <w:r>
        <w:rPr>
          <w:rFonts w:hint="eastAsia" w:ascii="宋体" w:hAnsi="宋体" w:eastAsia="宋体" w:cs="宋体"/>
          <w:color w:val="auto"/>
          <w:spacing w:val="3"/>
          <w:sz w:val="95"/>
          <w:szCs w:val="95"/>
        </w:rPr>
        <w:t>竞争性谈判文件</w:t>
      </w:r>
      <w:bookmarkEnd w:id="0"/>
    </w:p>
    <w:p w14:paraId="6BD7EAC3">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13AC53FD">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22C78F9D">
      <w:pPr>
        <w:pStyle w:val="5"/>
        <w:keepNext w:val="0"/>
        <w:keepLines w:val="0"/>
        <w:pageBreakBefore w:val="0"/>
        <w:widowControl/>
        <w:tabs>
          <w:tab w:val="left" w:pos="7048"/>
        </w:tabs>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lang w:eastAsia="zh-CN"/>
        </w:rPr>
      </w:pPr>
      <w:r>
        <w:rPr>
          <w:rFonts w:hint="eastAsia" w:ascii="宋体" w:hAnsi="宋体" w:eastAsia="宋体" w:cs="宋体"/>
          <w:color w:val="auto"/>
          <w:lang w:eastAsia="zh-CN"/>
        </w:rPr>
        <w:tab/>
      </w:r>
    </w:p>
    <w:p w14:paraId="1C7490E7">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5460E03C">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0E85B999">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746F8876">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33CCECB5">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72390024">
      <w:pPr>
        <w:pStyle w:val="5"/>
        <w:keepNext w:val="0"/>
        <w:keepLines w:val="0"/>
        <w:pageBreakBefore w:val="0"/>
        <w:widowControl/>
        <w:kinsoku/>
        <w:wordWrap w:val="0"/>
        <w:overflowPunct/>
        <w:topLinePunct/>
        <w:autoSpaceDE/>
        <w:autoSpaceDN/>
        <w:bidi w:val="0"/>
        <w:adjustRightInd w:val="0"/>
        <w:snapToGrid w:val="0"/>
        <w:spacing w:line="242" w:lineRule="auto"/>
        <w:jc w:val="both"/>
        <w:textAlignment w:val="baseline"/>
        <w:rPr>
          <w:rFonts w:hint="eastAsia" w:ascii="宋体" w:hAnsi="宋体" w:eastAsia="宋体" w:cs="宋体"/>
          <w:color w:val="auto"/>
        </w:rPr>
      </w:pPr>
    </w:p>
    <w:p w14:paraId="23D3FE32">
      <w:pPr>
        <w:pStyle w:val="5"/>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rPr>
      </w:pPr>
    </w:p>
    <w:p w14:paraId="3C22CA9E">
      <w:pPr>
        <w:pStyle w:val="5"/>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rPr>
      </w:pPr>
    </w:p>
    <w:p w14:paraId="04BC004E">
      <w:pPr>
        <w:keepNext w:val="0"/>
        <w:keepLines w:val="0"/>
        <w:pageBreakBefore w:val="0"/>
        <w:widowControl/>
        <w:kinsoku/>
        <w:wordWrap w:val="0"/>
        <w:overflowPunct/>
        <w:topLinePunct/>
        <w:autoSpaceDE/>
        <w:autoSpaceDN/>
        <w:bidi w:val="0"/>
        <w:adjustRightInd w:val="0"/>
        <w:snapToGrid w:val="0"/>
        <w:spacing w:before="101" w:line="224" w:lineRule="auto"/>
        <w:ind w:left="1470" w:leftChars="700"/>
        <w:jc w:val="both"/>
        <w:textAlignment w:val="baseline"/>
        <w:rPr>
          <w:rFonts w:hint="eastAsia" w:ascii="宋体" w:hAnsi="宋体" w:eastAsia="宋体" w:cs="宋体"/>
          <w:color w:val="auto"/>
          <w:sz w:val="31"/>
          <w:szCs w:val="31"/>
          <w:lang w:eastAsia="zh-CN"/>
        </w:rPr>
      </w:pPr>
      <w:r>
        <w:rPr>
          <w:rFonts w:hint="eastAsia" w:ascii="宋体" w:hAnsi="宋体" w:eastAsia="宋体" w:cs="宋体"/>
          <w:color w:val="auto"/>
          <w:spacing w:val="10"/>
          <w:sz w:val="31"/>
          <w:szCs w:val="31"/>
          <w14:textOutline w14:w="5793" w14:cap="sq" w14:cmpd="sng">
            <w14:solidFill>
              <w14:srgbClr w14:val="000000"/>
            </w14:solidFill>
            <w14:prstDash w14:val="solid"/>
            <w14:bevel/>
          </w14:textOutline>
        </w:rPr>
        <w:t>采购人：</w:t>
      </w:r>
      <w:r>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t>榆林市农业宣传信息中心</w:t>
      </w:r>
    </w:p>
    <w:p w14:paraId="302EFF02">
      <w:pPr>
        <w:pStyle w:val="5"/>
        <w:keepNext w:val="0"/>
        <w:keepLines w:val="0"/>
        <w:pageBreakBefore w:val="0"/>
        <w:widowControl/>
        <w:kinsoku/>
        <w:wordWrap w:val="0"/>
        <w:overflowPunct/>
        <w:topLinePunct/>
        <w:autoSpaceDE/>
        <w:autoSpaceDN/>
        <w:bidi w:val="0"/>
        <w:adjustRightInd w:val="0"/>
        <w:snapToGrid w:val="0"/>
        <w:spacing w:line="420" w:lineRule="auto"/>
        <w:ind w:leftChars="700"/>
        <w:jc w:val="both"/>
        <w:textAlignment w:val="baseline"/>
        <w:rPr>
          <w:rFonts w:hint="eastAsia" w:ascii="宋体" w:hAnsi="宋体" w:eastAsia="宋体" w:cs="宋体"/>
          <w:color w:val="auto"/>
        </w:rPr>
      </w:pPr>
    </w:p>
    <w:p w14:paraId="56CA5D2F">
      <w:pPr>
        <w:keepNext w:val="0"/>
        <w:keepLines w:val="0"/>
        <w:pageBreakBefore w:val="0"/>
        <w:widowControl/>
        <w:kinsoku/>
        <w:wordWrap w:val="0"/>
        <w:overflowPunct/>
        <w:topLinePunct/>
        <w:autoSpaceDE/>
        <w:autoSpaceDN/>
        <w:bidi w:val="0"/>
        <w:adjustRightInd w:val="0"/>
        <w:snapToGrid w:val="0"/>
        <w:spacing w:before="102" w:line="900" w:lineRule="exact"/>
        <w:ind w:left="1470" w:leftChars="700"/>
        <w:jc w:val="both"/>
        <w:textAlignment w:val="baseline"/>
        <w:rPr>
          <w:rFonts w:hint="eastAsia" w:ascii="宋体" w:hAnsi="宋体" w:eastAsia="宋体" w:cs="宋体"/>
          <w:color w:val="auto"/>
          <w:sz w:val="31"/>
          <w:szCs w:val="31"/>
          <w:lang w:eastAsia="zh-CN"/>
        </w:rPr>
      </w:pPr>
      <w:r>
        <w:rPr>
          <w:rFonts w:hint="eastAsia" w:ascii="宋体" w:hAnsi="宋体" w:eastAsia="宋体" w:cs="宋体"/>
          <w:color w:val="auto"/>
          <w:spacing w:val="10"/>
          <w:position w:val="45"/>
          <w:sz w:val="31"/>
          <w:szCs w:val="31"/>
          <w14:textOutline w14:w="5793" w14:cap="sq" w14:cmpd="sng">
            <w14:solidFill>
              <w14:srgbClr w14:val="000000"/>
            </w14:solidFill>
            <w14:prstDash w14:val="solid"/>
            <w14:bevel/>
          </w14:textOutline>
        </w:rPr>
        <w:t>采购代理机构：</w:t>
      </w:r>
      <w:r>
        <w:rPr>
          <w:rFonts w:hint="eastAsia" w:ascii="宋体" w:hAnsi="宋体" w:eastAsia="宋体" w:cs="宋体"/>
          <w:color w:val="auto"/>
          <w:spacing w:val="10"/>
          <w:position w:val="45"/>
          <w:sz w:val="31"/>
          <w:szCs w:val="31"/>
          <w:lang w:eastAsia="zh-CN"/>
          <w14:textOutline w14:w="5793" w14:cap="sq" w14:cmpd="sng">
            <w14:solidFill>
              <w14:srgbClr w14:val="000000"/>
            </w14:solidFill>
            <w14:prstDash w14:val="solid"/>
            <w14:bevel/>
          </w14:textOutline>
        </w:rPr>
        <w:t>陕西新胜项目管理有限公司</w:t>
      </w:r>
    </w:p>
    <w:p w14:paraId="60688DF2">
      <w:pPr>
        <w:keepNext w:val="0"/>
        <w:keepLines w:val="0"/>
        <w:pageBreakBefore w:val="0"/>
        <w:widowControl/>
        <w:kinsoku/>
        <w:wordWrap w:val="0"/>
        <w:overflowPunct/>
        <w:topLinePunct/>
        <w:autoSpaceDE/>
        <w:autoSpaceDN/>
        <w:bidi w:val="0"/>
        <w:adjustRightInd w:val="0"/>
        <w:snapToGrid w:val="0"/>
        <w:spacing w:before="1" w:line="224" w:lineRule="auto"/>
        <w:jc w:val="center"/>
        <w:textAlignment w:val="baseline"/>
        <w:rPr>
          <w:rFonts w:hint="eastAsia" w:ascii="宋体" w:hAnsi="宋体" w:eastAsia="宋体" w:cs="宋体"/>
          <w:color w:val="auto"/>
          <w:sz w:val="31"/>
          <w:szCs w:val="31"/>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二零二</w:t>
      </w:r>
      <w:r>
        <w:rPr>
          <w:rFonts w:hint="eastAsia" w:ascii="宋体" w:hAnsi="宋体" w:eastAsia="宋体" w:cs="宋体"/>
          <w:color w:val="auto"/>
          <w:spacing w:val="8"/>
          <w:sz w:val="31"/>
          <w:szCs w:val="31"/>
          <w:lang w:val="en-US" w:eastAsia="zh-CN"/>
          <w14:textOutline w14:w="5793" w14:cap="sq" w14:cmpd="sng">
            <w14:solidFill>
              <w14:srgbClr w14:val="000000"/>
            </w14:solidFill>
            <w14:prstDash w14:val="solid"/>
            <w14:bevel/>
          </w14:textOutline>
        </w:rPr>
        <w:t>五</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年</w:t>
      </w:r>
      <w:r>
        <w:rPr>
          <w:rFonts w:hint="eastAsia" w:ascii="宋体" w:hAnsi="宋体" w:eastAsia="宋体" w:cs="宋体"/>
          <w:color w:val="auto"/>
          <w:spacing w:val="8"/>
          <w:sz w:val="31"/>
          <w:szCs w:val="31"/>
          <w:lang w:val="en-US" w:eastAsia="zh-CN"/>
          <w14:textOutline w14:w="5793" w14:cap="sq" w14:cmpd="sng">
            <w14:solidFill>
              <w14:srgbClr w14:val="000000"/>
            </w14:solidFill>
            <w14:prstDash w14:val="solid"/>
            <w14:bevel/>
          </w14:textOutline>
        </w:rPr>
        <w:t>十</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月</w:t>
      </w:r>
    </w:p>
    <w:p w14:paraId="0BC09608">
      <w:pPr>
        <w:keepNext w:val="0"/>
        <w:keepLines w:val="0"/>
        <w:pageBreakBefore w:val="0"/>
        <w:widowControl/>
        <w:kinsoku/>
        <w:wordWrap w:val="0"/>
        <w:overflowPunct/>
        <w:topLinePunct/>
        <w:autoSpaceDE/>
        <w:autoSpaceDN/>
        <w:bidi w:val="0"/>
        <w:adjustRightInd w:val="0"/>
        <w:snapToGrid w:val="0"/>
        <w:spacing w:line="224" w:lineRule="auto"/>
        <w:jc w:val="center"/>
        <w:textAlignment w:val="baseline"/>
        <w:rPr>
          <w:rFonts w:hint="eastAsia" w:ascii="宋体" w:hAnsi="宋体" w:eastAsia="宋体" w:cs="宋体"/>
          <w:color w:val="auto"/>
          <w:sz w:val="31"/>
          <w:szCs w:val="31"/>
        </w:rPr>
        <w:sectPr>
          <w:pgSz w:w="11906" w:h="16839"/>
          <w:pgMar w:top="1440" w:right="1080" w:bottom="1440" w:left="1080" w:header="0" w:footer="0" w:gutter="0"/>
          <w:pgNumType w:fmt="decimal"/>
          <w:cols w:space="720" w:num="1"/>
        </w:sectPr>
      </w:pPr>
    </w:p>
    <w:p w14:paraId="2954AB2F">
      <w:pPr>
        <w:keepNext w:val="0"/>
        <w:keepLines w:val="0"/>
        <w:pageBreakBefore w:val="0"/>
        <w:kinsoku/>
        <w:wordWrap w:val="0"/>
        <w:overflowPunct/>
        <w:topLinePunct/>
        <w:autoSpaceDE/>
        <w:autoSpaceDN/>
        <w:bidi w:val="0"/>
        <w:spacing w:before="0" w:beforeLines="0" w:after="0" w:afterLines="0" w:line="240" w:lineRule="auto"/>
        <w:ind w:left="0" w:leftChars="0" w:right="0" w:rightChars="0" w:firstLine="0" w:firstLineChars="0"/>
        <w:jc w:val="center"/>
        <w:rPr>
          <w:rFonts w:hint="eastAsia" w:ascii="宋体" w:hAnsi="宋体" w:eastAsia="宋体" w:cs="宋体"/>
          <w:b w:val="0"/>
          <w:bCs w:val="0"/>
          <w:color w:val="auto"/>
        </w:rPr>
      </w:pPr>
      <w:r>
        <w:rPr>
          <w:rFonts w:hint="eastAsia" w:ascii="宋体" w:hAnsi="宋体" w:eastAsia="宋体" w:cs="宋体"/>
          <w:b w:val="0"/>
          <w:bCs w:val="0"/>
          <w:color w:val="auto"/>
          <w:sz w:val="21"/>
        </w:rPr>
        <w:t>目</w:t>
      </w:r>
      <w:r>
        <w:rPr>
          <w:rFonts w:hint="eastAsia" w:ascii="宋体" w:hAnsi="宋体" w:eastAsia="宋体" w:cs="宋体"/>
          <w:b w:val="0"/>
          <w:bCs w:val="0"/>
          <w:color w:val="auto"/>
          <w:sz w:val="21"/>
          <w:lang w:val="en-US" w:eastAsia="zh-CN"/>
        </w:rPr>
        <w:t xml:space="preserve"> </w:t>
      </w:r>
      <w:r>
        <w:rPr>
          <w:rFonts w:hint="eastAsia" w:ascii="宋体" w:hAnsi="宋体" w:eastAsia="宋体" w:cs="宋体"/>
          <w:b w:val="0"/>
          <w:bCs w:val="0"/>
          <w:color w:val="auto"/>
          <w:sz w:val="21"/>
        </w:rPr>
        <w:t>录</w:t>
      </w:r>
    </w:p>
    <w:p w14:paraId="5A8647E3">
      <w:pPr>
        <w:pStyle w:val="24"/>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"1-3" \h \u </w:instrText>
      </w:r>
      <w:r>
        <w:rPr>
          <w:rFonts w:hint="eastAsia" w:ascii="宋体" w:hAnsi="宋体" w:eastAsia="宋体" w:cs="宋体"/>
          <w:b w:val="0"/>
          <w:bCs w:val="0"/>
          <w:color w:val="auto"/>
          <w:sz w:val="28"/>
          <w:szCs w:val="28"/>
        </w:rPr>
        <w:fldChar w:fldCharType="separate"/>
      </w:r>
    </w:p>
    <w:p w14:paraId="26039027">
      <w:pPr>
        <w:pStyle w:val="24"/>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_Toc3645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pacing w:val="7"/>
          <w:szCs w:val="31"/>
          <w14:textOutline w14:w="5793" w14:cap="sq" w14:cmpd="sng">
            <w14:solidFill>
              <w14:srgbClr w14:val="000000"/>
            </w14:solidFill>
            <w14:prstDash w14:val="solid"/>
            <w14:bevel/>
          </w14:textOutline>
        </w:rPr>
        <w:t>第一章</w:t>
      </w:r>
      <w:r>
        <w:rPr>
          <w:rFonts w:hint="eastAsia" w:ascii="宋体" w:hAnsi="宋体" w:eastAsia="宋体" w:cs="宋体"/>
          <w:b w:val="0"/>
          <w:bCs w:val="0"/>
          <w:color w:val="auto"/>
          <w:spacing w:val="7"/>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7"/>
          <w:szCs w:val="31"/>
          <w14:textOutline w14:w="5793" w14:cap="sq" w14:cmpd="sng">
            <w14:solidFill>
              <w14:srgbClr w14:val="000000"/>
            </w14:solidFill>
            <w14:prstDash w14:val="solid"/>
            <w14:bevel/>
          </w14:textOutline>
        </w:rPr>
        <w:t>谈判公告</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_Toc3645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80C3455">
      <w:pPr>
        <w:pStyle w:val="24"/>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_Toc7962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pacing w:val="8"/>
          <w:szCs w:val="31"/>
          <w14:textOutline w14:w="5793" w14:cap="sq" w14:cmpd="sng">
            <w14:solidFill>
              <w14:srgbClr w14:val="000000"/>
            </w14:solidFill>
            <w14:prstDash w14:val="solid"/>
            <w14:bevel/>
          </w14:textOutline>
        </w:rPr>
        <w:t>第二章</w:t>
      </w:r>
      <w:r>
        <w:rPr>
          <w:rFonts w:hint="eastAsia" w:ascii="宋体" w:hAnsi="宋体" w:eastAsia="宋体" w:cs="宋体"/>
          <w:b w:val="0"/>
          <w:bCs w:val="0"/>
          <w:color w:val="auto"/>
          <w:spacing w:val="8"/>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8"/>
          <w:szCs w:val="31"/>
          <w:lang w:eastAsia="zh-CN"/>
          <w14:textOutline w14:w="5793" w14:cap="sq" w14:cmpd="sng">
            <w14:solidFill>
              <w14:srgbClr w14:val="000000"/>
            </w14:solidFill>
            <w14:prstDash w14:val="solid"/>
            <w14:bevel/>
          </w14:textOutline>
        </w:rPr>
        <w:t>供应商</w:t>
      </w:r>
      <w:r>
        <w:rPr>
          <w:rFonts w:hint="eastAsia" w:ascii="宋体" w:hAnsi="宋体" w:eastAsia="宋体" w:cs="宋体"/>
          <w:b w:val="0"/>
          <w:bCs w:val="0"/>
          <w:color w:val="auto"/>
          <w:spacing w:val="8"/>
          <w:szCs w:val="31"/>
          <w14:textOutline w14:w="5793" w14:cap="sq" w14:cmpd="sng">
            <w14:solidFill>
              <w14:srgbClr w14:val="000000"/>
            </w14:solidFill>
            <w14:prstDash w14:val="solid"/>
            <w14:bevel/>
          </w14:textOutline>
        </w:rPr>
        <w:t>须知</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_Toc7962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7</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7424F153">
      <w:pPr>
        <w:pStyle w:val="24"/>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_Toc18574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pacing w:val="9"/>
          <w:szCs w:val="31"/>
          <w14:textOutline w14:w="5793" w14:cap="sq" w14:cmpd="sng">
            <w14:solidFill>
              <w14:srgbClr w14:val="000000"/>
            </w14:solidFill>
            <w14:prstDash w14:val="solid"/>
            <w14:bevel/>
          </w14:textOutline>
        </w:rPr>
        <w:t>第三章</w:t>
      </w:r>
      <w:r>
        <w:rPr>
          <w:rFonts w:hint="eastAsia" w:ascii="宋体" w:hAnsi="宋体" w:eastAsia="宋体" w:cs="宋体"/>
          <w:b w:val="0"/>
          <w:bCs w:val="0"/>
          <w:color w:val="auto"/>
          <w:spacing w:val="9"/>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9"/>
          <w:szCs w:val="31"/>
          <w:lang w:eastAsia="zh-CN"/>
          <w14:textOutline w14:w="5793" w14:cap="sq" w14:cmpd="sng">
            <w14:solidFill>
              <w14:srgbClr w14:val="000000"/>
            </w14:solidFill>
            <w14:prstDash w14:val="solid"/>
            <w14:bevel/>
          </w14:textOutline>
        </w:rPr>
        <w:t>采购内容及要求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_Toc18574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28</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14B98290">
      <w:pPr>
        <w:pStyle w:val="24"/>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_Toc18808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pacing w:val="8"/>
          <w:szCs w:val="35"/>
          <w14:textOutline w14:w="6537" w14:cap="sq" w14:cmpd="sng">
            <w14:solidFill>
              <w14:srgbClr w14:val="000000"/>
            </w14:solidFill>
            <w14:prstDash w14:val="solid"/>
            <w14:bevel/>
          </w14:textOutline>
        </w:rPr>
        <w:t>第四章</w:t>
      </w:r>
      <w:r>
        <w:rPr>
          <w:rFonts w:hint="eastAsia" w:ascii="宋体" w:hAnsi="宋体" w:eastAsia="宋体" w:cs="宋体"/>
          <w:b w:val="0"/>
          <w:bCs w:val="0"/>
          <w:color w:val="auto"/>
          <w:spacing w:val="8"/>
          <w:szCs w:val="35"/>
          <w:lang w:val="en-US" w:eastAsia="zh-CN"/>
          <w14:textOutline w14:w="6537"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8"/>
          <w:szCs w:val="35"/>
          <w:lang w:eastAsia="zh-CN"/>
          <w14:textOutline w14:w="6537" w14:cap="sq" w14:cmpd="sng">
            <w14:solidFill>
              <w14:srgbClr w14:val="000000"/>
            </w14:solidFill>
            <w14:prstDash w14:val="solid"/>
            <w14:bevel/>
          </w14:textOutline>
        </w:rPr>
        <w:t>采购合同</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_Toc18808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34</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5F167F8F">
      <w:pPr>
        <w:pStyle w:val="24"/>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_Toc24687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pacing w:val="9"/>
          <w:szCs w:val="31"/>
          <w14:textOutline w14:w="5793" w14:cap="sq" w14:cmpd="sng">
            <w14:solidFill>
              <w14:srgbClr w14:val="000000"/>
            </w14:solidFill>
            <w14:prstDash w14:val="solid"/>
            <w14:bevel/>
          </w14:textOutline>
        </w:rPr>
        <w:t>第五章</w:t>
      </w:r>
      <w:r>
        <w:rPr>
          <w:rFonts w:hint="eastAsia" w:ascii="宋体" w:hAnsi="宋体" w:eastAsia="宋体" w:cs="宋体"/>
          <w:b w:val="0"/>
          <w:bCs w:val="0"/>
          <w:color w:val="auto"/>
          <w:spacing w:val="9"/>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9"/>
          <w:szCs w:val="31"/>
          <w14:textOutline w14:w="5793" w14:cap="sq" w14:cmpd="sng">
            <w14:solidFill>
              <w14:srgbClr w14:val="000000"/>
            </w14:solidFill>
            <w14:prstDash w14:val="solid"/>
            <w14:bevel/>
          </w14:textOutline>
        </w:rPr>
        <w:t>响应文件构成及格式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_Toc24687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34</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8E28908">
      <w:pPr>
        <w:pStyle w:val="26"/>
        <w:keepNext w:val="0"/>
        <w:keepLines w:val="0"/>
        <w:pageBreakBefore w:val="0"/>
        <w:tabs>
          <w:tab w:val="right" w:leader="dot" w:pos="9746"/>
        </w:tabs>
        <w:kinsoku/>
        <w:wordWrap w:val="0"/>
        <w:overflowPunct/>
        <w:topLinePunct/>
        <w:autoSpaceDE/>
        <w:autoSpaceDN/>
        <w:bidi w:val="0"/>
        <w:jc w:val="both"/>
        <w:rPr>
          <w:rFonts w:hint="eastAsia" w:ascii="宋体" w:hAnsi="宋体" w:eastAsia="宋体" w:cs="宋体"/>
          <w:b w:val="0"/>
          <w:bCs w:val="0"/>
          <w:color w:val="auto"/>
        </w:rPr>
      </w:pPr>
    </w:p>
    <w:p w14:paraId="153FD3EB">
      <w:pPr>
        <w:keepNext w:val="0"/>
        <w:keepLines w:val="0"/>
        <w:pageBreakBefore w:val="0"/>
        <w:widowControl/>
        <w:kinsoku/>
        <w:wordWrap w:val="0"/>
        <w:overflowPunct/>
        <w:topLinePunct/>
        <w:autoSpaceDE/>
        <w:autoSpaceDN/>
        <w:bidi w:val="0"/>
        <w:adjustRightInd w:val="0"/>
        <w:snapToGrid w:val="0"/>
        <w:spacing w:line="219" w:lineRule="auto"/>
        <w:jc w:val="both"/>
        <w:textAlignment w:val="baseline"/>
        <w:rPr>
          <w:rFonts w:hint="eastAsia" w:ascii="宋体" w:hAnsi="宋体" w:eastAsia="宋体" w:cs="宋体"/>
          <w:color w:val="auto"/>
          <w:sz w:val="28"/>
          <w:szCs w:val="28"/>
        </w:rPr>
        <w:sectPr>
          <w:footerReference r:id="rId5" w:type="default"/>
          <w:pgSz w:w="11906" w:h="16839"/>
          <w:pgMar w:top="1440" w:right="1080" w:bottom="1440" w:left="1080" w:header="0" w:footer="1186" w:gutter="0"/>
          <w:pgNumType w:fmt="decimal" w:start="1"/>
          <w:cols w:space="720" w:num="1"/>
        </w:sectPr>
      </w:pPr>
      <w:r>
        <w:rPr>
          <w:rFonts w:hint="eastAsia" w:ascii="宋体" w:hAnsi="宋体" w:eastAsia="宋体" w:cs="宋体"/>
          <w:b w:val="0"/>
          <w:bCs w:val="0"/>
          <w:color w:val="auto"/>
          <w:szCs w:val="28"/>
        </w:rPr>
        <w:fldChar w:fldCharType="end"/>
      </w:r>
      <w:bookmarkStart w:id="92" w:name="_GoBack"/>
      <w:bookmarkEnd w:id="92"/>
    </w:p>
    <w:p w14:paraId="59BC89EB">
      <w:pPr>
        <w:keepNext w:val="0"/>
        <w:keepLines w:val="0"/>
        <w:pageBreakBefore w:val="0"/>
        <w:widowControl/>
        <w:kinsoku/>
        <w:wordWrap w:val="0"/>
        <w:overflowPunct/>
        <w:topLinePunct/>
        <w:autoSpaceDE/>
        <w:autoSpaceDN/>
        <w:bidi w:val="0"/>
        <w:adjustRightInd w:val="0"/>
        <w:snapToGrid w:val="0"/>
        <w:spacing w:before="112" w:line="223" w:lineRule="auto"/>
        <w:ind w:left="3731"/>
        <w:jc w:val="both"/>
        <w:textAlignment w:val="baseline"/>
        <w:outlineLvl w:val="0"/>
        <w:rPr>
          <w:rFonts w:hint="eastAsia" w:ascii="宋体" w:hAnsi="宋体" w:eastAsia="宋体" w:cs="宋体"/>
          <w:color w:val="auto"/>
          <w:sz w:val="31"/>
          <w:szCs w:val="31"/>
        </w:rPr>
      </w:pPr>
      <w:bookmarkStart w:id="1" w:name="_Toc3645"/>
      <w:r>
        <w:rPr>
          <w:rFonts w:hint="eastAsia" w:ascii="宋体" w:hAnsi="宋体" w:eastAsia="宋体" w:cs="宋体"/>
          <w:color w:val="auto"/>
          <w:spacing w:val="7"/>
          <w:sz w:val="31"/>
          <w:szCs w:val="31"/>
          <w14:textOutline w14:w="5793" w14:cap="sq" w14:cmpd="sng">
            <w14:solidFill>
              <w14:srgbClr w14:val="000000"/>
            </w14:solidFill>
            <w14:prstDash w14:val="solid"/>
            <w14:bevel/>
          </w14:textOutline>
        </w:rPr>
        <w:t>第一章</w:t>
      </w:r>
      <w:r>
        <w:rPr>
          <w:rFonts w:hint="eastAsia" w:ascii="宋体" w:hAnsi="宋体" w:eastAsia="宋体" w:cs="宋体"/>
          <w:color w:val="auto"/>
          <w:spacing w:val="7"/>
          <w:sz w:val="31"/>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7"/>
          <w:sz w:val="31"/>
          <w:szCs w:val="31"/>
          <w14:textOutline w14:w="5793" w14:cap="sq" w14:cmpd="sng">
            <w14:solidFill>
              <w14:srgbClr w14:val="000000"/>
            </w14:solidFill>
            <w14:prstDash w14:val="solid"/>
            <w14:bevel/>
          </w14:textOutline>
        </w:rPr>
        <w:t>谈判公告</w:t>
      </w:r>
      <w:bookmarkEnd w:id="1"/>
    </w:p>
    <w:p w14:paraId="1619481C">
      <w:pPr>
        <w:keepNext w:val="0"/>
        <w:keepLines w:val="0"/>
        <w:pageBreakBefore w:val="0"/>
        <w:widowControl/>
        <w:kinsoku/>
        <w:wordWrap w:val="0"/>
        <w:overflowPunct/>
        <w:topLinePunct/>
        <w:autoSpaceDE/>
        <w:autoSpaceDN/>
        <w:bidi w:val="0"/>
        <w:adjustRightInd w:val="0"/>
        <w:snapToGrid w:val="0"/>
        <w:spacing w:before="156"/>
        <w:jc w:val="both"/>
        <w:textAlignment w:val="baseline"/>
        <w:rPr>
          <w:rFonts w:hint="eastAsia" w:ascii="宋体" w:hAnsi="宋体" w:eastAsia="宋体" w:cs="宋体"/>
          <w:color w:val="auto"/>
        </w:rPr>
      </w:pPr>
    </w:p>
    <w:p w14:paraId="780F3D3B">
      <w:pPr>
        <w:keepNext w:val="0"/>
        <w:keepLines w:val="0"/>
        <w:pageBreakBefore w:val="0"/>
        <w:widowControl/>
        <w:pBdr>
          <w:top w:val="single" w:color="auto" w:sz="4" w:space="0"/>
          <w:left w:val="single" w:color="auto" w:sz="4" w:space="0"/>
          <w:bottom w:val="single" w:color="auto" w:sz="4" w:space="0"/>
          <w:right w:val="single" w:color="auto" w:sz="4" w:space="0"/>
        </w:pBdr>
        <w:kinsoku/>
        <w:wordWrap w:val="0"/>
        <w:overflowPunct/>
        <w:topLinePunct/>
        <w:autoSpaceDE/>
        <w:autoSpaceDN/>
        <w:bidi w:val="0"/>
        <w:adjustRightInd/>
        <w:spacing w:line="4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8"/>
          <w:szCs w:val="28"/>
          <w:highlight w:val="none"/>
          <w:lang w:val="en-US" w:eastAsia="zh-CN"/>
        </w:rPr>
        <w:t>目概况</w:t>
      </w:r>
    </w:p>
    <w:p w14:paraId="5CF66173">
      <w:pPr>
        <w:keepNext w:val="0"/>
        <w:keepLines w:val="0"/>
        <w:pageBreakBefore w:val="0"/>
        <w:widowControl/>
        <w:pBdr>
          <w:top w:val="single" w:color="auto" w:sz="4" w:space="0"/>
          <w:left w:val="single" w:color="auto" w:sz="4" w:space="0"/>
          <w:bottom w:val="single" w:color="auto" w:sz="4" w:space="0"/>
          <w:right w:val="single" w:color="auto" w:sz="4" w:space="0"/>
        </w:pBdr>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榆林市农业宣传信息中心农业物联网管理系统采购项目的潜在供应商应在陕西省榆林市航宇路石化家属院三单元201室获取采购文件，并于2025年11月03日09时30分（北京时间）前提交响应文件。</w:t>
      </w:r>
    </w:p>
    <w:p w14:paraId="498A745C">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一、项目基本情况</w:t>
      </w:r>
    </w:p>
    <w:p w14:paraId="24A0D20A">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项目编号：SXXS2025-HW-080</w:t>
      </w:r>
    </w:p>
    <w:p w14:paraId="73D00503">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项目名称：榆林市农业宣传信息中心农业物联网管理系统采购项目</w:t>
      </w:r>
    </w:p>
    <w:p w14:paraId="637971E5">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采购方式：竞争性谈判</w:t>
      </w:r>
    </w:p>
    <w:p w14:paraId="1AF3875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预算金额：188000.00元</w:t>
      </w:r>
    </w:p>
    <w:p w14:paraId="05108FF1">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w:t>
      </w:r>
    </w:p>
    <w:p w14:paraId="1A4D8FA2">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合同包1(榆林市农业宣传信息中心农业物联网管理系统采购项目):</w:t>
      </w:r>
    </w:p>
    <w:p w14:paraId="5FE4CAAC">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合同包预算金额：188000.00元</w:t>
      </w:r>
    </w:p>
    <w:p w14:paraId="1C8C676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合同包最高限价：188000.00元</w:t>
      </w:r>
    </w:p>
    <w:tbl>
      <w:tblPr>
        <w:tblStyle w:val="16"/>
        <w:tblpPr w:leftFromText="180" w:rightFromText="180" w:vertAnchor="text" w:horzAnchor="page" w:tblpXSpec="center" w:tblpY="34"/>
        <w:tblOverlap w:val="never"/>
        <w:tblW w:w="948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3"/>
        <w:gridCol w:w="1434"/>
        <w:gridCol w:w="1966"/>
        <w:gridCol w:w="870"/>
        <w:gridCol w:w="1265"/>
        <w:gridCol w:w="1500"/>
        <w:gridCol w:w="1501"/>
      </w:tblGrid>
      <w:tr w14:paraId="45088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9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4159A4">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品目号</w:t>
            </w:r>
          </w:p>
        </w:tc>
        <w:tc>
          <w:tcPr>
            <w:tcW w:w="14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FEF540">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品目名称</w:t>
            </w:r>
          </w:p>
        </w:tc>
        <w:tc>
          <w:tcPr>
            <w:tcW w:w="1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C7BF33">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采购标的</w:t>
            </w:r>
          </w:p>
        </w:tc>
        <w:tc>
          <w:tcPr>
            <w:tcW w:w="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0AEDD4">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数量（单位）</w:t>
            </w:r>
          </w:p>
        </w:tc>
        <w:tc>
          <w:tcPr>
            <w:tcW w:w="12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DC6645">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B0EA0C">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品目预算(元)</w:t>
            </w:r>
          </w:p>
        </w:tc>
        <w:tc>
          <w:tcPr>
            <w:tcW w:w="15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02520A">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最高限价(元)</w:t>
            </w:r>
          </w:p>
        </w:tc>
      </w:tr>
      <w:tr w14:paraId="6B6D6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7DDD90">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14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07F1CC">
            <w:pPr>
              <w:keepNext w:val="0"/>
              <w:keepLines w:val="0"/>
              <w:pageBreakBefore w:val="0"/>
              <w:widowControl/>
              <w:kinsoku/>
              <w:wordWrap w:val="0"/>
              <w:overflowPunct/>
              <w:topLinePunct/>
              <w:autoSpaceDE/>
              <w:autoSpaceDN/>
              <w:bidi w:val="0"/>
              <w:adjustRightInd/>
              <w:spacing w:line="40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其他信息化设备</w:t>
            </w:r>
          </w:p>
        </w:tc>
        <w:tc>
          <w:tcPr>
            <w:tcW w:w="19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4B8182">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农业物联网管理系统（软件、硬件）</w:t>
            </w:r>
          </w:p>
        </w:tc>
        <w:tc>
          <w:tcPr>
            <w:tcW w:w="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8306DD">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1(项)</w:t>
            </w:r>
          </w:p>
        </w:tc>
        <w:tc>
          <w:tcPr>
            <w:tcW w:w="12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FB1DB5">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详见采购文件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38677C">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188000.00</w:t>
            </w:r>
          </w:p>
        </w:tc>
        <w:tc>
          <w:tcPr>
            <w:tcW w:w="15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61063">
            <w:pPr>
              <w:keepNext w:val="0"/>
              <w:keepLines w:val="0"/>
              <w:pageBreakBefore w:val="0"/>
              <w:widowControl/>
              <w:kinsoku/>
              <w:wordWrap w:val="0"/>
              <w:overflowPunct/>
              <w:topLinePunct/>
              <w:autoSpaceDE/>
              <w:autoSpaceDN/>
              <w:bidi w:val="0"/>
              <w:adjustRightInd/>
              <w:spacing w:line="4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188000.00</w:t>
            </w:r>
          </w:p>
        </w:tc>
      </w:tr>
    </w:tbl>
    <w:p w14:paraId="223F1092">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本合同包不接受联合体投标</w:t>
      </w:r>
    </w:p>
    <w:p w14:paraId="3289004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合同履行期限：合同签订后30日历日内完成供货、安装、调试并验收合格。</w:t>
      </w:r>
    </w:p>
    <w:p w14:paraId="03E5C148">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二、供应商的资格要求：</w:t>
      </w:r>
    </w:p>
    <w:p w14:paraId="657687FA">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1.满足《中华人民共和国政府采购法》第二十二条规定;</w:t>
      </w:r>
    </w:p>
    <w:p w14:paraId="4F30D40F">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2.落实政府采购政策需满足的资格要求：</w:t>
      </w:r>
    </w:p>
    <w:p w14:paraId="464F37AE">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合同包1(榆林市农业宣传信息中心农业物联网管理系统采购项目)落实政府采购政策需满足的资格要求如下:</w:t>
      </w:r>
    </w:p>
    <w:p w14:paraId="1D45704F">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本项目非专门面向中小企业的采购；</w:t>
      </w:r>
    </w:p>
    <w:p w14:paraId="61F14DA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2.2《财政部司法部关于政府采购支持监狱企业发展有关问题的通知》（财库〔2014〕68号）；</w:t>
      </w:r>
    </w:p>
    <w:p w14:paraId="0FBBC59C">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2.3《国务院办公厅关于建立政府强制采购节能产品制度的通知》（国办发〔2007〕51号）；</w:t>
      </w:r>
    </w:p>
    <w:p w14:paraId="6CAF12E1">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2.4《节能产品政府采购实施意见》（财库[2004]185号）；</w:t>
      </w:r>
    </w:p>
    <w:p w14:paraId="352C1FFE">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2.5《环境标志产品政府采购实施的意见》（财库[2006]90号）；</w:t>
      </w:r>
    </w:p>
    <w:p w14:paraId="37D3B667">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2.6《关于促进残疾人就业政府采购政策的通知》（财库[2017]141号）；</w:t>
      </w:r>
    </w:p>
    <w:p w14:paraId="084944A4">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2.7《财政部发展改革委生态环境部市场监管总局关于调整优化节能产品、环境标志产品政府采购执行机制的通知》（财库〔2019〕9号）；</w:t>
      </w:r>
    </w:p>
    <w:p w14:paraId="7B82E557">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2.8《财政部国务院扶贫办关于运用政府采购政策支持脱贫攻坚的通知》（财库〔2019〕27号）；</w:t>
      </w:r>
    </w:p>
    <w:p w14:paraId="044CA697">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2.9陕西省财政厅关于印发《陕西省中小企业政府采购信用融资办法》（陕财办采〔2018〕23号）；</w:t>
      </w:r>
    </w:p>
    <w:p w14:paraId="6EB08BF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2.10《陕西省财政厅关于加快推进我省中小企业政府采购信用融资工作的通知》（陕财办采〔2020〕15号）；</w:t>
      </w:r>
    </w:p>
    <w:p w14:paraId="1FC27F4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2.11《关于促进中小企业健康发展的指导意见》、《陕西省中小企业政府釆购信用融资办法》（陕财办采[2018]23号）；</w:t>
      </w:r>
    </w:p>
    <w:p w14:paraId="3887F08A">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2.12《陕西省财政厅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p w14:paraId="13E20C3A">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2.13其他需要落实的政府采购政策。</w:t>
      </w:r>
    </w:p>
    <w:p w14:paraId="339081E2">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p>
    <w:p w14:paraId="25DB6313">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合同包1(榆林市农业宣传信息中心农业物联网管理系统采购项目)特定资格要求如下:</w:t>
      </w:r>
    </w:p>
    <w:p w14:paraId="6933387A">
      <w:pPr>
        <w:pStyle w:val="12"/>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2"/>
        <w:jc w:val="both"/>
        <w:textAlignment w:val="auto"/>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3.1投标人应为具有独立承担民事责任能力的法人、其他组织或自然人，并出具企业合法有效的标识有统一社会信用代码的营业</w:t>
      </w:r>
      <w:r>
        <w:rPr>
          <w:rFonts w:hint="eastAsia" w:ascii="宋体" w:hAnsi="宋体" w:eastAsia="宋体" w:cs="宋体"/>
          <w:snapToGrid w:val="0"/>
          <w:color w:val="FF0000"/>
          <w:kern w:val="0"/>
          <w:sz w:val="28"/>
          <w:szCs w:val="28"/>
          <w:highlight w:val="none"/>
          <w:lang w:val="en-US" w:eastAsia="zh-CN" w:bidi="ar-SA"/>
        </w:rPr>
        <w:t>执照(附营业执照的2024年企业年度报告书)或事</w:t>
      </w:r>
      <w:r>
        <w:rPr>
          <w:rFonts w:hint="eastAsia" w:ascii="宋体" w:hAnsi="宋体" w:eastAsia="宋体" w:cs="宋体"/>
          <w:snapToGrid w:val="0"/>
          <w:color w:val="auto"/>
          <w:kern w:val="0"/>
          <w:sz w:val="28"/>
          <w:szCs w:val="28"/>
          <w:highlight w:val="none"/>
          <w:lang w:val="en-US" w:eastAsia="zh-CN" w:bidi="ar-SA"/>
        </w:rPr>
        <w:t>业单位法人证书等国家规定的相关证明，自然人参与的提供其身份证明；</w:t>
      </w:r>
    </w:p>
    <w:p w14:paraId="770B9FF2">
      <w:pPr>
        <w:pStyle w:val="12"/>
        <w:shd w:val="clear" w:color="auto" w:fill="FFFFFF"/>
        <w:spacing w:before="0" w:beforeAutospacing="0" w:after="0" w:afterAutospacing="0" w:line="360" w:lineRule="auto"/>
        <w:ind w:firstLine="480"/>
        <w:jc w:val="both"/>
        <w:rPr>
          <w:rFonts w:hint="eastAsia" w:ascii="宋体" w:hAnsi="宋体" w:eastAsia="宋体" w:cs="宋体"/>
          <w:snapToGrid w:val="0"/>
          <w:color w:val="FF0000"/>
          <w:kern w:val="0"/>
          <w:sz w:val="28"/>
          <w:szCs w:val="28"/>
          <w:highlight w:val="none"/>
          <w:lang w:val="en-US" w:eastAsia="zh-CN" w:bidi="ar-SA"/>
        </w:rPr>
      </w:pPr>
      <w:r>
        <w:rPr>
          <w:rFonts w:hint="eastAsia" w:ascii="宋体" w:hAnsi="宋体" w:eastAsia="宋体" w:cs="宋体"/>
          <w:snapToGrid w:val="0"/>
          <w:color w:val="FF0000"/>
          <w:kern w:val="0"/>
          <w:sz w:val="28"/>
          <w:szCs w:val="28"/>
          <w:highlight w:val="none"/>
          <w:lang w:val="en-US" w:eastAsia="zh-CN" w:bidi="ar-SA"/>
        </w:rPr>
        <w:t>3.2投标人</w:t>
      </w:r>
      <w:r>
        <w:rPr>
          <w:rFonts w:hint="eastAsia" w:cs="宋体"/>
          <w:snapToGrid w:val="0"/>
          <w:color w:val="FF0000"/>
          <w:kern w:val="0"/>
          <w:sz w:val="28"/>
          <w:szCs w:val="28"/>
          <w:highlight w:val="none"/>
          <w:lang w:val="en-US" w:eastAsia="zh-CN" w:bidi="ar-SA"/>
        </w:rPr>
        <w:t>须</w:t>
      </w:r>
      <w:r>
        <w:rPr>
          <w:rFonts w:hint="eastAsia" w:ascii="宋体" w:hAnsi="宋体" w:eastAsia="宋体" w:cs="宋体"/>
          <w:snapToGrid w:val="0"/>
          <w:color w:val="FF0000"/>
          <w:kern w:val="0"/>
          <w:sz w:val="28"/>
          <w:szCs w:val="28"/>
          <w:highlight w:val="none"/>
          <w:lang w:val="en-US" w:eastAsia="zh-CN" w:bidi="ar-SA"/>
        </w:rPr>
        <w:t>提供至少一份2022年1月至今类似项目业绩合同证明材料；</w:t>
      </w:r>
    </w:p>
    <w:p w14:paraId="27C01B6E">
      <w:pPr>
        <w:pStyle w:val="12"/>
        <w:shd w:val="clear" w:color="auto" w:fill="FFFFFF"/>
        <w:spacing w:before="0" w:beforeAutospacing="0" w:after="0" w:afterAutospacing="0" w:line="360" w:lineRule="auto"/>
        <w:ind w:firstLine="480"/>
        <w:jc w:val="both"/>
        <w:rPr>
          <w:rFonts w:hint="eastAsia" w:ascii="宋体" w:hAnsi="宋体" w:eastAsia="宋体" w:cs="宋体"/>
          <w:snapToGrid w:val="0"/>
          <w:color w:val="FF0000"/>
          <w:kern w:val="0"/>
          <w:sz w:val="28"/>
          <w:szCs w:val="28"/>
          <w:highlight w:val="none"/>
          <w:lang w:val="en-US" w:eastAsia="zh-CN" w:bidi="ar-SA"/>
        </w:rPr>
      </w:pPr>
      <w:r>
        <w:rPr>
          <w:rFonts w:hint="eastAsia" w:ascii="宋体" w:hAnsi="宋体" w:eastAsia="宋体" w:cs="宋体"/>
          <w:snapToGrid w:val="0"/>
          <w:color w:val="FF0000"/>
          <w:kern w:val="0"/>
          <w:sz w:val="28"/>
          <w:szCs w:val="28"/>
          <w:highlight w:val="none"/>
          <w:lang w:val="en-US" w:eastAsia="zh-CN" w:bidi="ar-SA"/>
        </w:rPr>
        <w:t>3.</w:t>
      </w:r>
      <w:r>
        <w:rPr>
          <w:rFonts w:hint="eastAsia" w:cs="宋体"/>
          <w:snapToGrid w:val="0"/>
          <w:color w:val="FF0000"/>
          <w:kern w:val="0"/>
          <w:sz w:val="28"/>
          <w:szCs w:val="28"/>
          <w:highlight w:val="none"/>
          <w:lang w:val="en-US" w:eastAsia="zh-CN" w:bidi="ar-SA"/>
        </w:rPr>
        <w:t>3</w:t>
      </w:r>
      <w:r>
        <w:rPr>
          <w:rFonts w:hint="eastAsia" w:ascii="宋体" w:hAnsi="宋体" w:eastAsia="宋体" w:cs="宋体"/>
          <w:snapToGrid w:val="0"/>
          <w:color w:val="FF0000"/>
          <w:kern w:val="0"/>
          <w:sz w:val="28"/>
          <w:szCs w:val="28"/>
          <w:highlight w:val="none"/>
          <w:lang w:val="en-US" w:eastAsia="zh-CN" w:bidi="ar-SA"/>
        </w:rPr>
        <w:t>投标人应提供2024年度企业财务制度和经审计的财务报告（报告需具有二维码及其编码，且在注册会计师监管平台可查询。报告须包括“四表一注”，即资产负债表、利润表、现金流量表、所有者权益变动表及其附注）；成立时间至提交响应文件截止时间不足一年的可提供成立后任意时段的资产负债表或其开标前六个月内银行出具的资信证明；</w:t>
      </w:r>
    </w:p>
    <w:p w14:paraId="5EB63A96">
      <w:pPr>
        <w:pStyle w:val="12"/>
        <w:shd w:val="clear" w:color="auto" w:fill="FFFFFF"/>
        <w:spacing w:before="0" w:beforeAutospacing="0" w:after="0" w:afterAutospacing="0" w:line="360" w:lineRule="auto"/>
        <w:ind w:firstLine="480"/>
        <w:jc w:val="both"/>
        <w:rPr>
          <w:rFonts w:hint="eastAsia" w:ascii="宋体" w:hAnsi="宋体" w:eastAsia="宋体" w:cs="宋体"/>
          <w:snapToGrid w:val="0"/>
          <w:color w:val="FF0000"/>
          <w:kern w:val="0"/>
          <w:sz w:val="28"/>
          <w:szCs w:val="28"/>
          <w:highlight w:val="red"/>
          <w:lang w:val="en-US" w:eastAsia="zh-CN" w:bidi="ar-SA"/>
        </w:rPr>
      </w:pPr>
      <w:r>
        <w:rPr>
          <w:rFonts w:hint="eastAsia" w:ascii="宋体" w:hAnsi="宋体" w:eastAsia="宋体" w:cs="宋体"/>
          <w:snapToGrid w:val="0"/>
          <w:color w:val="FF0000"/>
          <w:kern w:val="0"/>
          <w:sz w:val="28"/>
          <w:szCs w:val="28"/>
          <w:highlight w:val="red"/>
          <w:lang w:val="en-US" w:eastAsia="zh-CN" w:bidi="ar-SA"/>
        </w:rPr>
        <w:t>3.</w:t>
      </w:r>
      <w:r>
        <w:rPr>
          <w:rFonts w:hint="eastAsia" w:cs="宋体"/>
          <w:snapToGrid w:val="0"/>
          <w:color w:val="FF0000"/>
          <w:kern w:val="0"/>
          <w:sz w:val="28"/>
          <w:szCs w:val="28"/>
          <w:highlight w:val="red"/>
          <w:lang w:val="en-US" w:eastAsia="zh-CN" w:bidi="ar-SA"/>
        </w:rPr>
        <w:t>4</w:t>
      </w:r>
      <w:r>
        <w:rPr>
          <w:rFonts w:hint="eastAsia" w:ascii="宋体" w:hAnsi="宋体" w:eastAsia="宋体" w:cs="宋体"/>
          <w:snapToGrid w:val="0"/>
          <w:color w:val="FF0000"/>
          <w:kern w:val="0"/>
          <w:sz w:val="28"/>
          <w:szCs w:val="28"/>
          <w:highlight w:val="red"/>
          <w:lang w:val="en-US" w:eastAsia="zh-CN" w:bidi="ar-SA"/>
        </w:rPr>
        <w:t xml:space="preserve">投标人应提供递交响应文件截止之日前一年内任意一个月的依法缴纳税款的相关凭据（时间以税款所属日期为准、税种须包含增值税或企业所得税），凭据应有税务机关或代收机关的公章或业务专用章。依法免税或无须缴纳税款的投标人，应提供相关证明文件； </w:t>
      </w:r>
    </w:p>
    <w:p w14:paraId="0E50C851">
      <w:pPr>
        <w:pStyle w:val="12"/>
        <w:shd w:val="clear" w:color="auto" w:fill="FFFFFF"/>
        <w:spacing w:before="0" w:beforeAutospacing="0" w:after="0" w:afterAutospacing="0" w:line="360" w:lineRule="auto"/>
        <w:ind w:firstLine="480"/>
        <w:jc w:val="both"/>
        <w:rPr>
          <w:rFonts w:hint="eastAsia" w:ascii="宋体" w:hAnsi="宋体" w:eastAsia="宋体" w:cs="宋体"/>
          <w:snapToGrid w:val="0"/>
          <w:color w:val="FF0000"/>
          <w:kern w:val="0"/>
          <w:sz w:val="28"/>
          <w:szCs w:val="28"/>
          <w:highlight w:val="red"/>
          <w:lang w:val="en-US" w:eastAsia="zh-CN" w:bidi="ar-SA"/>
        </w:rPr>
      </w:pPr>
      <w:r>
        <w:rPr>
          <w:rFonts w:hint="eastAsia" w:ascii="宋体" w:hAnsi="宋体" w:eastAsia="宋体" w:cs="宋体"/>
          <w:snapToGrid w:val="0"/>
          <w:color w:val="FF0000"/>
          <w:kern w:val="0"/>
          <w:sz w:val="28"/>
          <w:szCs w:val="28"/>
          <w:highlight w:val="red"/>
          <w:lang w:val="en-US" w:eastAsia="zh-CN" w:bidi="ar-SA"/>
        </w:rPr>
        <w:t>3.</w:t>
      </w:r>
      <w:r>
        <w:rPr>
          <w:rFonts w:hint="eastAsia" w:cs="宋体"/>
          <w:snapToGrid w:val="0"/>
          <w:color w:val="FF0000"/>
          <w:kern w:val="0"/>
          <w:sz w:val="28"/>
          <w:szCs w:val="28"/>
          <w:highlight w:val="red"/>
          <w:lang w:val="en-US" w:eastAsia="zh-CN" w:bidi="ar-SA"/>
        </w:rPr>
        <w:t>5</w:t>
      </w:r>
      <w:r>
        <w:rPr>
          <w:rFonts w:hint="eastAsia" w:ascii="宋体" w:hAnsi="宋体" w:eastAsia="宋体" w:cs="宋体"/>
          <w:snapToGrid w:val="0"/>
          <w:color w:val="FF0000"/>
          <w:kern w:val="0"/>
          <w:sz w:val="28"/>
          <w:szCs w:val="28"/>
          <w:highlight w:val="red"/>
          <w:lang w:val="en-US" w:eastAsia="zh-CN" w:bidi="ar-SA"/>
        </w:rPr>
        <w:t>投标人应提供递交响应文件截止之日前一年内任意一个月的社会保障资金缴存单据或社保机构开具的社会保险参保缴费情况证明，依法不需要缴纳社会保障资金的单位应提供相关证明材料；</w:t>
      </w:r>
    </w:p>
    <w:p w14:paraId="5288FFBB">
      <w:pPr>
        <w:pStyle w:val="12"/>
        <w:shd w:val="clear" w:color="auto" w:fill="FFFFFF"/>
        <w:spacing w:before="0" w:beforeAutospacing="0" w:after="0" w:afterAutospacing="0" w:line="360" w:lineRule="auto"/>
        <w:ind w:firstLine="480"/>
        <w:jc w:val="both"/>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3.</w:t>
      </w:r>
      <w:r>
        <w:rPr>
          <w:rFonts w:hint="eastAsia" w:cs="宋体"/>
          <w:snapToGrid w:val="0"/>
          <w:color w:val="auto"/>
          <w:kern w:val="0"/>
          <w:sz w:val="28"/>
          <w:szCs w:val="28"/>
          <w:highlight w:val="none"/>
          <w:lang w:val="en-US" w:eastAsia="zh-CN" w:bidi="ar-SA"/>
        </w:rPr>
        <w:t>6</w:t>
      </w:r>
      <w:r>
        <w:rPr>
          <w:rFonts w:hint="eastAsia" w:ascii="宋体" w:hAnsi="宋体" w:eastAsia="宋体" w:cs="宋体"/>
          <w:snapToGrid w:val="0"/>
          <w:color w:val="auto"/>
          <w:kern w:val="0"/>
          <w:sz w:val="28"/>
          <w:szCs w:val="28"/>
          <w:highlight w:val="none"/>
          <w:lang w:val="en-US" w:eastAsia="zh-CN" w:bidi="ar-SA"/>
        </w:rPr>
        <w:t>投标人不得为“信用中国”网站（www.creditchina.gov.cn）中列入失信主体名单、重大税收违法案件当事人名单的投标人；不得为中国执行信息公开网（http://zxgk.court.gov.cn）中列入失信被执行人名单(被执行人包括企业、法定代表人)的投标人；不得为中国政府采购网（www.ccgp.gov.cn）政府采购严重违法失信行为记录名单中被财政部门禁止参加政府采购活动的投标人</w:t>
      </w:r>
      <w:r>
        <w:rPr>
          <w:rFonts w:hint="eastAsia" w:cs="宋体"/>
          <w:snapToGrid w:val="0"/>
          <w:color w:val="auto"/>
          <w:kern w:val="0"/>
          <w:sz w:val="28"/>
          <w:szCs w:val="28"/>
          <w:highlight w:val="none"/>
          <w:lang w:val="en-US" w:eastAsia="zh-CN" w:bidi="ar-SA"/>
        </w:rPr>
        <w:t>；</w:t>
      </w:r>
    </w:p>
    <w:p w14:paraId="31A04457">
      <w:pPr>
        <w:pStyle w:val="12"/>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2"/>
        <w:jc w:val="both"/>
        <w:textAlignment w:val="auto"/>
        <w:rPr>
          <w:rFonts w:hint="eastAsia" w:ascii="宋体" w:hAnsi="宋体" w:eastAsia="宋体" w:cs="宋体"/>
          <w:snapToGrid w:val="0"/>
          <w:color w:val="FF0000"/>
          <w:kern w:val="0"/>
          <w:sz w:val="28"/>
          <w:szCs w:val="28"/>
          <w:highlight w:val="none"/>
          <w:lang w:val="en-US" w:eastAsia="zh-CN" w:bidi="ar-SA"/>
        </w:rPr>
      </w:pPr>
      <w:r>
        <w:rPr>
          <w:rFonts w:hint="eastAsia" w:ascii="宋体" w:hAnsi="宋体" w:eastAsia="宋体" w:cs="宋体"/>
          <w:snapToGrid w:val="0"/>
          <w:color w:val="FF0000"/>
          <w:kern w:val="0"/>
          <w:sz w:val="28"/>
          <w:szCs w:val="28"/>
          <w:highlight w:val="none"/>
          <w:lang w:val="en-US" w:eastAsia="zh-CN" w:bidi="ar-SA"/>
        </w:rPr>
        <w:t>3.</w:t>
      </w:r>
      <w:r>
        <w:rPr>
          <w:rFonts w:hint="eastAsia" w:cs="宋体"/>
          <w:snapToGrid w:val="0"/>
          <w:color w:val="FF0000"/>
          <w:kern w:val="0"/>
          <w:sz w:val="28"/>
          <w:szCs w:val="28"/>
          <w:highlight w:val="none"/>
          <w:lang w:val="en-US" w:eastAsia="zh-CN" w:bidi="ar-SA"/>
        </w:rPr>
        <w:t>7</w:t>
      </w:r>
      <w:r>
        <w:rPr>
          <w:rFonts w:hint="eastAsia" w:ascii="宋体" w:hAnsi="宋体" w:eastAsia="宋体" w:cs="宋体"/>
          <w:snapToGrid w:val="0"/>
          <w:color w:val="FF0000"/>
          <w:kern w:val="0"/>
          <w:sz w:val="28"/>
          <w:szCs w:val="28"/>
          <w:highlight w:val="none"/>
          <w:lang w:val="en-US" w:eastAsia="zh-CN" w:bidi="ar-SA"/>
        </w:rPr>
        <w:t>投标人应在“信用中国（陕西榆林）”网站进行注册、登录，自主上报信用承诺书（网址：https://credit.yl.gov.cn/）。承诺事项：《榆林市政府采购工程类/货物类/服务类项目投标人信用承诺书》，需上传至承诺附件；承诺有效期为一年</w:t>
      </w:r>
      <w:r>
        <w:rPr>
          <w:rFonts w:hint="eastAsia" w:cs="宋体"/>
          <w:snapToGrid w:val="0"/>
          <w:color w:val="FF0000"/>
          <w:kern w:val="0"/>
          <w:sz w:val="28"/>
          <w:szCs w:val="28"/>
          <w:highlight w:val="none"/>
          <w:lang w:val="en-US" w:eastAsia="zh-CN" w:bidi="ar-SA"/>
        </w:rPr>
        <w:t>；</w:t>
      </w:r>
    </w:p>
    <w:p w14:paraId="2F1AD5E6">
      <w:pPr>
        <w:pStyle w:val="12"/>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ind w:firstLine="482"/>
        <w:jc w:val="both"/>
        <w:textAlignment w:val="auto"/>
        <w:rPr>
          <w:rFonts w:hint="eastAsia" w:ascii="宋体" w:hAnsi="宋体" w:eastAsia="宋体" w:cs="宋体"/>
          <w:snapToGrid w:val="0"/>
          <w:color w:val="auto"/>
          <w:kern w:val="0"/>
          <w:sz w:val="28"/>
          <w:szCs w:val="28"/>
          <w:highlight w:val="none"/>
          <w:lang w:val="en-US" w:eastAsia="zh-CN" w:bidi="ar-SA"/>
        </w:rPr>
      </w:pPr>
      <w:r>
        <w:rPr>
          <w:rFonts w:hint="eastAsia" w:ascii="宋体" w:hAnsi="宋体" w:eastAsia="宋体" w:cs="宋体"/>
          <w:snapToGrid w:val="0"/>
          <w:color w:val="auto"/>
          <w:kern w:val="0"/>
          <w:sz w:val="28"/>
          <w:szCs w:val="28"/>
          <w:highlight w:val="none"/>
          <w:lang w:val="en-US" w:eastAsia="zh-CN" w:bidi="ar-SA"/>
        </w:rPr>
        <w:t>3.</w:t>
      </w:r>
      <w:r>
        <w:rPr>
          <w:rFonts w:hint="eastAsia" w:cs="宋体"/>
          <w:snapToGrid w:val="0"/>
          <w:color w:val="auto"/>
          <w:kern w:val="0"/>
          <w:sz w:val="28"/>
          <w:szCs w:val="28"/>
          <w:highlight w:val="none"/>
          <w:lang w:val="en-US" w:eastAsia="zh-CN" w:bidi="ar-SA"/>
        </w:rPr>
        <w:t>8</w:t>
      </w:r>
      <w:r>
        <w:rPr>
          <w:rFonts w:hint="eastAsia" w:ascii="宋体" w:hAnsi="宋体" w:eastAsia="宋体" w:cs="宋体"/>
          <w:snapToGrid w:val="0"/>
          <w:color w:val="auto"/>
          <w:kern w:val="0"/>
          <w:sz w:val="28"/>
          <w:szCs w:val="28"/>
          <w:highlight w:val="none"/>
          <w:lang w:val="en-US" w:eastAsia="zh-CN" w:bidi="ar-SA"/>
        </w:rPr>
        <w:t>本项目不接受联合体投标。单位负责人为同一人或者存在直接控股、管理关系的不同投标人，不得参加同一合同项下的投标活动。为本项目提供整体设计、规范编制或者项目管理、监理、检测等服务的投标人，不得再参加本项目的采购活动；违反规定的，其投标均无效。</w:t>
      </w:r>
    </w:p>
    <w:p w14:paraId="75D737A3">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三、获取采购文件</w:t>
      </w:r>
    </w:p>
    <w:p w14:paraId="6AF1B1BB">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时间：2025年10月29日至2025年10月31日，每天上午08:00:00至12:00:00，下午12:00:00至18:00:00（北京时间）</w:t>
      </w:r>
    </w:p>
    <w:p w14:paraId="24B828CE">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途径：陕西新胜项目管理有限公司（陕西省榆林市航宇路石化家属院三单元201室）。</w:t>
      </w:r>
    </w:p>
    <w:p w14:paraId="00FD426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方式：现场获取</w:t>
      </w:r>
    </w:p>
    <w:p w14:paraId="0C29045E">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四、响应文件提交</w:t>
      </w:r>
    </w:p>
    <w:p w14:paraId="2BAFA672">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截止时间：2025年11月03日15时00分00秒（北京时间）</w:t>
      </w:r>
    </w:p>
    <w:p w14:paraId="6F3F6FFD">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地点：陕西省榆林市沙河路金融中心8楼第七会议室</w:t>
      </w:r>
    </w:p>
    <w:p w14:paraId="569A9BC5">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五、开启</w:t>
      </w:r>
    </w:p>
    <w:p w14:paraId="26A7B1C3">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时间：2025年11月03日15时00分00秒（北京时间）</w:t>
      </w:r>
    </w:p>
    <w:p w14:paraId="31ECD89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提交响应文件地点：陕西省榆林市沙河路金融中心8楼第七会议室</w:t>
      </w:r>
    </w:p>
    <w:p w14:paraId="0A1F571B">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开标地点：陕西省榆林市沙河路金融中心8楼第六会议室</w:t>
      </w:r>
    </w:p>
    <w:p w14:paraId="5D150F8C">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六、公告期限</w:t>
      </w:r>
    </w:p>
    <w:p w14:paraId="0FFCEFB6">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自本公告发布之日起3个工作日。</w:t>
      </w:r>
    </w:p>
    <w:p w14:paraId="6F78ADC6">
      <w:pPr>
        <w:keepNext w:val="0"/>
        <w:keepLines w:val="0"/>
        <w:pageBreakBefore w:val="0"/>
        <w:widowControl/>
        <w:numPr>
          <w:ilvl w:val="0"/>
          <w:numId w:val="2"/>
        </w:numPr>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其他补充事宜</w:t>
      </w:r>
    </w:p>
    <w:p w14:paraId="58CF5A6D">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可CA锁登录全国公共资源交易中心平台（陕西省）（http://www.sxggzyjy.cn/）,选择“电子交易平台-陕西政府采购交易系统-陕西省公共资源交易平台-供应商”进行登录，登录后选择“交易乙方”身份进入供应商界面进行报名，并提供全国公共资源交易平台（陕西省）网站投标回执单、单位介绍信原件、经办人身份证原件及复印件加盖单位公章在陕西新胜项目管理有限公司（陕西省榆林市航宇路石化家属院三单元201室）现场获取采购文件；</w:t>
      </w:r>
    </w:p>
    <w:p w14:paraId="4875534F">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2、请供应商按照陕西省财政厅关于政府采购供应商注册登记有关事项的通知中的要求，通过 陕西省政府采购网（http://www.ccgp-shaanxi.gov.cn/）注册登记加入陕西省政府采购供应商库；</w:t>
      </w:r>
    </w:p>
    <w:p w14:paraId="2537D91A">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CA办理：供应商未办理陕西省公共资源交易中心CA锁的供应商可到榆林市市民中心四楼交易中心窗口或西安市高新三路信息港大厦一楼办事大厅办理，咨询电话0912-3515031、029-88661241或4006-369-888（陕西CA联系电话），投标报名成功与否以平台确认信息为准。</w:t>
      </w:r>
    </w:p>
    <w:p w14:paraId="1D4B1388">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八、对本次招标提出询问，请按以下方式联系。</w:t>
      </w:r>
    </w:p>
    <w:p w14:paraId="5019FC45">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14:paraId="1DDFACE1">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名称：榆林市农业宣传信息中心</w:t>
      </w:r>
    </w:p>
    <w:p w14:paraId="4E8D11EE">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地址：陕西省榆林市榆阳区新建南路207号</w:t>
      </w:r>
    </w:p>
    <w:p w14:paraId="70C9302B">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联系方式：0912-6198121</w:t>
      </w:r>
    </w:p>
    <w:p w14:paraId="320DEBD3">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64DBBF8F">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名称：陕西新胜项目管理有限公司</w:t>
      </w:r>
    </w:p>
    <w:p w14:paraId="56E026CE">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地址：陕西省西安市长安区陕西省西安市长安区子午大道荣欣一号</w:t>
      </w:r>
    </w:p>
    <w:p w14:paraId="4CE0C7C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联系方式：15619895155</w:t>
      </w:r>
    </w:p>
    <w:p w14:paraId="06D7D5CF">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3.项目联系方式</w:t>
      </w:r>
    </w:p>
    <w:p w14:paraId="7B74794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项目联系人：陈思璇</w:t>
      </w:r>
    </w:p>
    <w:p w14:paraId="58FEA449">
      <w:pPr>
        <w:keepNext w:val="0"/>
        <w:keepLines w:val="0"/>
        <w:pageBreakBefore w:val="0"/>
        <w:widowControl/>
        <w:kinsoku/>
        <w:wordWrap w:val="0"/>
        <w:overflowPunct/>
        <w:topLinePunct/>
        <w:autoSpaceDE/>
        <w:autoSpaceDN/>
        <w:bidi w:val="0"/>
        <w:adjustRightInd/>
        <w:spacing w:line="4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电话：15619895155</w:t>
      </w:r>
    </w:p>
    <w:p w14:paraId="3906C7FD">
      <w:pPr>
        <w:keepNext w:val="0"/>
        <w:keepLines w:val="0"/>
        <w:pageBreakBefore w:val="0"/>
        <w:kinsoku/>
        <w:wordWrap w:val="0"/>
        <w:overflowPunct/>
        <w:topLinePunct/>
        <w:autoSpaceDE/>
        <w:autoSpaceDN/>
        <w:bidi w:val="0"/>
        <w:adjustRightInd/>
        <w:jc w:val="both"/>
        <w:textAlignment w:val="auto"/>
        <w:rPr>
          <w:rFonts w:hint="eastAsia" w:ascii="宋体" w:hAnsi="宋体" w:eastAsia="宋体" w:cs="宋体"/>
          <w:color w:val="auto"/>
          <w:sz w:val="28"/>
          <w:szCs w:val="28"/>
          <w:highlight w:val="none"/>
        </w:rPr>
      </w:pPr>
    </w:p>
    <w:p w14:paraId="6A9B5853">
      <w:pPr>
        <w:keepNext w:val="0"/>
        <w:keepLines w:val="0"/>
        <w:pageBreakBefore w:val="0"/>
        <w:widowControl/>
        <w:kinsoku/>
        <w:wordWrap w:val="0"/>
        <w:overflowPunct/>
        <w:topLinePunct/>
        <w:autoSpaceDE/>
        <w:autoSpaceDN/>
        <w:bidi w:val="0"/>
        <w:adjustRightInd/>
        <w:spacing w:line="400" w:lineRule="exact"/>
        <w:ind w:firstLine="560" w:firstLineChars="200"/>
        <w:jc w:val="righ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陕西新胜项目管理有限公司</w:t>
      </w:r>
    </w:p>
    <w:p w14:paraId="264B61CD">
      <w:pPr>
        <w:keepNext w:val="0"/>
        <w:keepLines w:val="0"/>
        <w:pageBreakBefore w:val="0"/>
        <w:widowControl/>
        <w:kinsoku/>
        <w:wordWrap w:val="0"/>
        <w:overflowPunct/>
        <w:topLinePunct/>
        <w:autoSpaceDE/>
        <w:autoSpaceDN/>
        <w:bidi w:val="0"/>
        <w:adjustRightInd/>
        <w:spacing w:line="400" w:lineRule="exact"/>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28</w:t>
      </w:r>
      <w:r>
        <w:rPr>
          <w:rFonts w:hint="eastAsia" w:ascii="宋体" w:hAnsi="宋体" w:eastAsia="宋体" w:cs="宋体"/>
          <w:color w:val="auto"/>
          <w:sz w:val="28"/>
          <w:szCs w:val="28"/>
          <w:highlight w:val="none"/>
        </w:rPr>
        <w:t>日</w:t>
      </w:r>
    </w:p>
    <w:p w14:paraId="1D434E4E">
      <w:pPr>
        <w:keepNext w:val="0"/>
        <w:keepLines w:val="0"/>
        <w:pageBreakBefore w:val="0"/>
        <w:widowControl/>
        <w:kinsoku/>
        <w:wordWrap w:val="0"/>
        <w:overflowPunct/>
        <w:topLinePunct/>
        <w:autoSpaceDE/>
        <w:autoSpaceDN/>
        <w:bidi w:val="0"/>
        <w:adjustRightInd/>
        <w:spacing w:line="400" w:lineRule="exact"/>
        <w:ind w:firstLine="480" w:firstLineChars="200"/>
        <w:jc w:val="right"/>
        <w:textAlignment w:val="auto"/>
        <w:rPr>
          <w:rFonts w:hint="eastAsia" w:ascii="宋体" w:hAnsi="宋体" w:eastAsia="宋体" w:cs="宋体"/>
          <w:color w:val="auto"/>
          <w:sz w:val="24"/>
          <w:szCs w:val="24"/>
          <w:highlight w:val="none"/>
        </w:rPr>
      </w:pPr>
    </w:p>
    <w:p w14:paraId="6599A2D4">
      <w:pPr>
        <w:keepNext w:val="0"/>
        <w:keepLines w:val="0"/>
        <w:pageBreakBefore w:val="0"/>
        <w:widowControl/>
        <w:kinsoku/>
        <w:wordWrap w:val="0"/>
        <w:overflowPunct/>
        <w:topLinePunct/>
        <w:autoSpaceDE/>
        <w:autoSpaceDN/>
        <w:bidi w:val="0"/>
        <w:adjustRightInd w:val="0"/>
        <w:snapToGrid w:val="0"/>
        <w:spacing w:line="235" w:lineRule="auto"/>
        <w:jc w:val="both"/>
        <w:textAlignment w:val="baseline"/>
        <w:rPr>
          <w:rFonts w:hint="eastAsia" w:ascii="宋体" w:hAnsi="宋体" w:eastAsia="宋体" w:cs="宋体"/>
          <w:color w:val="auto"/>
          <w:sz w:val="28"/>
          <w:szCs w:val="28"/>
        </w:rPr>
        <w:sectPr>
          <w:footerReference r:id="rId6" w:type="default"/>
          <w:pgSz w:w="11906" w:h="16839"/>
          <w:pgMar w:top="1440" w:right="1080" w:bottom="1440" w:left="1080" w:header="0" w:footer="1186" w:gutter="0"/>
          <w:pgNumType w:fmt="decimal"/>
          <w:cols w:space="720" w:num="1"/>
        </w:sectPr>
      </w:pPr>
    </w:p>
    <w:p w14:paraId="200A1848">
      <w:pPr>
        <w:keepNext w:val="0"/>
        <w:keepLines w:val="0"/>
        <w:pageBreakBefore w:val="0"/>
        <w:widowControl/>
        <w:kinsoku/>
        <w:wordWrap w:val="0"/>
        <w:overflowPunct/>
        <w:topLinePunct/>
        <w:autoSpaceDE/>
        <w:autoSpaceDN/>
        <w:bidi w:val="0"/>
        <w:adjustRightInd w:val="0"/>
        <w:snapToGrid w:val="0"/>
        <w:spacing w:before="112" w:line="224" w:lineRule="auto"/>
        <w:jc w:val="center"/>
        <w:textAlignment w:val="baseline"/>
        <w:outlineLvl w:val="0"/>
        <w:rPr>
          <w:rFonts w:hint="eastAsia" w:ascii="宋体" w:hAnsi="宋体" w:eastAsia="宋体" w:cs="宋体"/>
          <w:color w:val="auto"/>
          <w:sz w:val="31"/>
          <w:szCs w:val="31"/>
        </w:rPr>
      </w:pPr>
      <w:bookmarkStart w:id="2" w:name="_Toc7962"/>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第二章</w:t>
      </w:r>
      <w:r>
        <w:rPr>
          <w:rFonts w:hint="eastAsia" w:ascii="宋体" w:hAnsi="宋体" w:eastAsia="宋体" w:cs="宋体"/>
          <w:color w:val="auto"/>
          <w:spacing w:val="8"/>
          <w:sz w:val="31"/>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8"/>
          <w:sz w:val="31"/>
          <w:szCs w:val="31"/>
          <w:lang w:eastAsia="zh-CN"/>
          <w14:textOutline w14:w="5793" w14:cap="sq" w14:cmpd="sng">
            <w14:solidFill>
              <w14:srgbClr w14:val="000000"/>
            </w14:solidFill>
            <w14:prstDash w14:val="solid"/>
            <w14:bevel/>
          </w14:textOutline>
        </w:rPr>
        <w:t>供应商</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须知</w:t>
      </w:r>
      <w:bookmarkEnd w:id="2"/>
    </w:p>
    <w:p w14:paraId="48CC7239">
      <w:pPr>
        <w:keepNext w:val="0"/>
        <w:keepLines w:val="0"/>
        <w:pageBreakBefore w:val="0"/>
        <w:widowControl/>
        <w:kinsoku/>
        <w:wordWrap w:val="0"/>
        <w:overflowPunct/>
        <w:topLinePunct/>
        <w:autoSpaceDE/>
        <w:autoSpaceDN/>
        <w:bidi w:val="0"/>
        <w:adjustRightInd w:val="0"/>
        <w:snapToGrid w:val="0"/>
        <w:spacing w:before="155" w:line="221" w:lineRule="auto"/>
        <w:ind w:left="748"/>
        <w:jc w:val="both"/>
        <w:textAlignment w:val="baseline"/>
        <w:outlineLvl w:val="1"/>
        <w:rPr>
          <w:rFonts w:hint="eastAsia" w:ascii="宋体" w:hAnsi="宋体" w:eastAsia="宋体" w:cs="宋体"/>
          <w:color w:val="auto"/>
          <w:sz w:val="28"/>
          <w:szCs w:val="28"/>
        </w:rPr>
      </w:pPr>
      <w:bookmarkStart w:id="3" w:name="_Toc4773"/>
      <w:r>
        <w:rPr>
          <w:rFonts w:hint="eastAsia" w:ascii="宋体" w:hAnsi="宋体" w:eastAsia="宋体" w:cs="宋体"/>
          <w:color w:val="auto"/>
          <w:spacing w:val="-4"/>
          <w:sz w:val="28"/>
          <w:szCs w:val="28"/>
          <w14:textOutline w14:w="5103" w14:cap="sq" w14:cmpd="sng">
            <w14:solidFill>
              <w14:srgbClr w14:val="000000"/>
            </w14:solidFill>
            <w14:prstDash w14:val="solid"/>
            <w14:bevel/>
          </w14:textOutline>
        </w:rPr>
        <w:t>一、定义</w:t>
      </w:r>
      <w:bookmarkEnd w:id="3"/>
    </w:p>
    <w:p w14:paraId="42AA928E">
      <w:pPr>
        <w:keepNext w:val="0"/>
        <w:keepLines w:val="0"/>
        <w:pageBreakBefore w:val="0"/>
        <w:widowControl/>
        <w:kinsoku/>
        <w:wordWrap w:val="0"/>
        <w:overflowPunct/>
        <w:topLinePunct/>
        <w:autoSpaceDE/>
        <w:autoSpaceDN/>
        <w:bidi w:val="0"/>
        <w:adjustRightInd w:val="0"/>
        <w:snapToGrid w:val="0"/>
        <w:spacing w:before="84" w:line="242" w:lineRule="auto"/>
        <w:ind w:right="97" w:firstLine="548"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1、“采购人”系指依法进行政府采购的国家机关、事</w:t>
      </w:r>
      <w:r>
        <w:rPr>
          <w:rFonts w:hint="eastAsia" w:ascii="宋体" w:hAnsi="宋体" w:eastAsia="宋体" w:cs="宋体"/>
          <w:color w:val="auto"/>
          <w:spacing w:val="-4"/>
          <w:sz w:val="28"/>
          <w:szCs w:val="28"/>
        </w:rPr>
        <w:t>业单位、团体</w:t>
      </w:r>
      <w:r>
        <w:rPr>
          <w:rFonts w:hint="eastAsia" w:ascii="宋体" w:hAnsi="宋体" w:eastAsia="宋体" w:cs="宋体"/>
          <w:color w:val="auto"/>
          <w:spacing w:val="-1"/>
          <w:sz w:val="28"/>
          <w:szCs w:val="28"/>
        </w:rPr>
        <w:t>组织。本采购项目的采购人名称、地址、电话、联系人见</w:t>
      </w:r>
      <w:r>
        <w:rPr>
          <w:rFonts w:hint="eastAsia" w:ascii="宋体" w:hAnsi="宋体" w:eastAsia="宋体" w:cs="宋体"/>
          <w:color w:val="auto"/>
          <w:spacing w:val="-1"/>
          <w:sz w:val="28"/>
          <w:szCs w:val="28"/>
          <w:lang w:eastAsia="zh-CN"/>
        </w:rPr>
        <w:t>谈判公告</w:t>
      </w:r>
      <w:r>
        <w:rPr>
          <w:rFonts w:hint="eastAsia" w:ascii="宋体" w:hAnsi="宋体" w:eastAsia="宋体" w:cs="宋体"/>
          <w:color w:val="auto"/>
          <w:spacing w:val="-1"/>
          <w:sz w:val="28"/>
          <w:szCs w:val="28"/>
        </w:rPr>
        <w:t>。</w:t>
      </w:r>
    </w:p>
    <w:p w14:paraId="4B6FBEC8">
      <w:pPr>
        <w:keepNext w:val="0"/>
        <w:keepLines w:val="0"/>
        <w:pageBreakBefore w:val="0"/>
        <w:widowControl/>
        <w:kinsoku/>
        <w:wordWrap w:val="0"/>
        <w:overflowPunct/>
        <w:topLinePunct/>
        <w:autoSpaceDE/>
        <w:autoSpaceDN/>
        <w:bidi w:val="0"/>
        <w:adjustRightInd w:val="0"/>
        <w:snapToGrid w:val="0"/>
        <w:spacing w:before="67" w:line="249" w:lineRule="auto"/>
        <w:ind w:left="1" w:right="98" w:firstLine="56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2、“采购代理机构”系指接受采购人委托，代理采购项目的集中采购</w:t>
      </w:r>
      <w:r>
        <w:rPr>
          <w:rFonts w:hint="eastAsia" w:ascii="宋体" w:hAnsi="宋体" w:eastAsia="宋体" w:cs="宋体"/>
          <w:color w:val="auto"/>
          <w:spacing w:val="3"/>
          <w:sz w:val="28"/>
          <w:szCs w:val="28"/>
        </w:rPr>
        <w:t>机构和经财政部门认定资格的其他采购代理机构。本采购项目的采购代理</w:t>
      </w:r>
      <w:r>
        <w:rPr>
          <w:rFonts w:hint="eastAsia" w:ascii="宋体" w:hAnsi="宋体" w:eastAsia="宋体" w:cs="宋体"/>
          <w:color w:val="auto"/>
          <w:spacing w:val="-1"/>
          <w:sz w:val="28"/>
          <w:szCs w:val="28"/>
        </w:rPr>
        <w:t>机构名称、地址、电话、联系人见</w:t>
      </w:r>
      <w:r>
        <w:rPr>
          <w:rFonts w:hint="eastAsia" w:ascii="宋体" w:hAnsi="宋体" w:eastAsia="宋体" w:cs="宋体"/>
          <w:color w:val="auto"/>
          <w:spacing w:val="-1"/>
          <w:sz w:val="28"/>
          <w:szCs w:val="28"/>
          <w:lang w:eastAsia="zh-CN"/>
        </w:rPr>
        <w:t>谈判公告</w:t>
      </w:r>
      <w:r>
        <w:rPr>
          <w:rFonts w:hint="eastAsia" w:ascii="宋体" w:hAnsi="宋体" w:eastAsia="宋体" w:cs="宋体"/>
          <w:color w:val="auto"/>
          <w:spacing w:val="-1"/>
          <w:sz w:val="28"/>
          <w:szCs w:val="28"/>
        </w:rPr>
        <w:t>。</w:t>
      </w:r>
    </w:p>
    <w:p w14:paraId="7F247D4F">
      <w:pPr>
        <w:keepNext w:val="0"/>
        <w:keepLines w:val="0"/>
        <w:pageBreakBefore w:val="0"/>
        <w:widowControl/>
        <w:kinsoku/>
        <w:wordWrap w:val="0"/>
        <w:overflowPunct/>
        <w:topLinePunct/>
        <w:autoSpaceDE/>
        <w:autoSpaceDN/>
        <w:bidi w:val="0"/>
        <w:adjustRightInd w:val="0"/>
        <w:snapToGrid w:val="0"/>
        <w:spacing w:before="67" w:line="242" w:lineRule="auto"/>
        <w:ind w:left="3" w:right="112" w:firstLine="56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3、“</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或服务商”拟向采购人提供货物、服务或者工程</w:t>
      </w:r>
      <w:r>
        <w:rPr>
          <w:rFonts w:hint="eastAsia" w:ascii="宋体" w:hAnsi="宋体" w:eastAsia="宋体" w:cs="宋体"/>
          <w:color w:val="auto"/>
          <w:spacing w:val="-4"/>
          <w:sz w:val="28"/>
          <w:szCs w:val="28"/>
        </w:rPr>
        <w:t>的法人、</w:t>
      </w:r>
      <w:r>
        <w:rPr>
          <w:rFonts w:hint="eastAsia" w:ascii="宋体" w:hAnsi="宋体" w:eastAsia="宋体" w:cs="宋体"/>
          <w:color w:val="auto"/>
          <w:spacing w:val="-2"/>
          <w:sz w:val="28"/>
          <w:szCs w:val="28"/>
        </w:rPr>
        <w:t>其他组织或者自然人</w:t>
      </w:r>
    </w:p>
    <w:p w14:paraId="37515E40">
      <w:pPr>
        <w:keepNext w:val="0"/>
        <w:keepLines w:val="0"/>
        <w:pageBreakBefore w:val="0"/>
        <w:widowControl/>
        <w:kinsoku/>
        <w:wordWrap w:val="0"/>
        <w:overflowPunct/>
        <w:topLinePunct/>
        <w:autoSpaceDE/>
        <w:autoSpaceDN/>
        <w:bidi w:val="0"/>
        <w:adjustRightInd w:val="0"/>
        <w:snapToGrid w:val="0"/>
        <w:spacing w:before="64" w:line="249" w:lineRule="auto"/>
        <w:ind w:right="100" w:firstLine="562"/>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4、“谈判小组”是指依据《中华人民共和国政府采购法》和《政府采</w:t>
      </w:r>
      <w:r>
        <w:rPr>
          <w:rFonts w:hint="eastAsia" w:ascii="宋体" w:hAnsi="宋体" w:eastAsia="宋体" w:cs="宋体"/>
          <w:color w:val="auto"/>
          <w:spacing w:val="3"/>
          <w:sz w:val="28"/>
          <w:szCs w:val="28"/>
        </w:rPr>
        <w:t>购非招标采购方式管理办法》有关规定组建，依法依规履行其职责和义务</w:t>
      </w:r>
      <w:r>
        <w:rPr>
          <w:rFonts w:hint="eastAsia" w:ascii="宋体" w:hAnsi="宋体" w:eastAsia="宋体" w:cs="宋体"/>
          <w:color w:val="auto"/>
          <w:spacing w:val="-3"/>
          <w:sz w:val="28"/>
          <w:szCs w:val="28"/>
        </w:rPr>
        <w:t>的机构。</w:t>
      </w:r>
    </w:p>
    <w:p w14:paraId="60F82BCB">
      <w:pPr>
        <w:keepNext w:val="0"/>
        <w:keepLines w:val="0"/>
        <w:pageBreakBefore w:val="0"/>
        <w:widowControl/>
        <w:kinsoku/>
        <w:wordWrap w:val="0"/>
        <w:overflowPunct/>
        <w:topLinePunct/>
        <w:autoSpaceDE/>
        <w:autoSpaceDN/>
        <w:bidi w:val="0"/>
        <w:adjustRightInd w:val="0"/>
        <w:snapToGrid w:val="0"/>
        <w:spacing w:before="67" w:line="249" w:lineRule="auto"/>
        <w:ind w:left="2" w:right="100" w:firstLine="567"/>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5、“货物”系指</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按采购文件要求,向采购</w:t>
      </w:r>
      <w:r>
        <w:rPr>
          <w:rFonts w:hint="eastAsia" w:ascii="宋体" w:hAnsi="宋体" w:eastAsia="宋体" w:cs="宋体"/>
          <w:color w:val="auto"/>
          <w:spacing w:val="1"/>
          <w:sz w:val="28"/>
          <w:szCs w:val="28"/>
        </w:rPr>
        <w:t>人提供的各种形态和</w:t>
      </w:r>
      <w:r>
        <w:rPr>
          <w:rFonts w:hint="eastAsia" w:ascii="宋体" w:hAnsi="宋体" w:eastAsia="宋体" w:cs="宋体"/>
          <w:color w:val="auto"/>
          <w:spacing w:val="3"/>
          <w:sz w:val="28"/>
          <w:szCs w:val="28"/>
        </w:rPr>
        <w:t>种类的物品，包括原材料、设备、产品(包括软件)及相关的其备品备件、</w:t>
      </w:r>
      <w:r>
        <w:rPr>
          <w:rFonts w:hint="eastAsia" w:ascii="宋体" w:hAnsi="宋体" w:eastAsia="宋体" w:cs="宋体"/>
          <w:color w:val="auto"/>
          <w:spacing w:val="-1"/>
          <w:sz w:val="28"/>
          <w:szCs w:val="28"/>
        </w:rPr>
        <w:t>工具、手册及其它技术资料和材料。</w:t>
      </w:r>
    </w:p>
    <w:p w14:paraId="29ADA5AB">
      <w:pPr>
        <w:keepNext w:val="0"/>
        <w:keepLines w:val="0"/>
        <w:pageBreakBefore w:val="0"/>
        <w:widowControl/>
        <w:kinsoku/>
        <w:wordWrap w:val="0"/>
        <w:overflowPunct/>
        <w:topLinePunct/>
        <w:autoSpaceDE/>
        <w:autoSpaceDN/>
        <w:bidi w:val="0"/>
        <w:adjustRightInd w:val="0"/>
        <w:snapToGrid w:val="0"/>
        <w:spacing w:before="68" w:line="242" w:lineRule="auto"/>
        <w:ind w:left="2" w:firstLine="56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8"/>
          <w:sz w:val="28"/>
          <w:szCs w:val="28"/>
        </w:rPr>
        <w:t>6、“工程”是指建设工程，包括建筑物和构筑物的新建、改建、</w:t>
      </w:r>
      <w:r>
        <w:rPr>
          <w:rFonts w:hint="eastAsia" w:ascii="宋体" w:hAnsi="宋体" w:eastAsia="宋体" w:cs="宋体"/>
          <w:color w:val="auto"/>
          <w:spacing w:val="-9"/>
          <w:sz w:val="28"/>
          <w:szCs w:val="28"/>
        </w:rPr>
        <w:t>扩建、</w:t>
      </w:r>
      <w:r>
        <w:rPr>
          <w:rFonts w:hint="eastAsia" w:ascii="宋体" w:hAnsi="宋体" w:eastAsia="宋体" w:cs="宋体"/>
          <w:color w:val="auto"/>
          <w:spacing w:val="-1"/>
          <w:sz w:val="28"/>
          <w:szCs w:val="28"/>
        </w:rPr>
        <w:t>装修、拆除、修缮等，详见《政府采购品目分类目录》。</w:t>
      </w:r>
    </w:p>
    <w:p w14:paraId="07298B09">
      <w:pPr>
        <w:keepNext w:val="0"/>
        <w:keepLines w:val="0"/>
        <w:pageBreakBefore w:val="0"/>
        <w:widowControl/>
        <w:kinsoku/>
        <w:wordWrap w:val="0"/>
        <w:overflowPunct/>
        <w:topLinePunct/>
        <w:autoSpaceDE/>
        <w:autoSpaceDN/>
        <w:bidi w:val="0"/>
        <w:adjustRightInd w:val="0"/>
        <w:snapToGrid w:val="0"/>
        <w:spacing w:before="65" w:line="242" w:lineRule="auto"/>
        <w:ind w:left="6" w:right="97" w:firstLine="56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7、“服务”是政府自身需要的服务和政府向社会公众提供的服务，详</w:t>
      </w:r>
      <w:r>
        <w:rPr>
          <w:rFonts w:hint="eastAsia" w:ascii="宋体" w:hAnsi="宋体" w:eastAsia="宋体" w:cs="宋体"/>
          <w:color w:val="auto"/>
          <w:spacing w:val="-2"/>
          <w:sz w:val="28"/>
          <w:szCs w:val="28"/>
        </w:rPr>
        <w:t>见《政府采购品目分类目录》。</w:t>
      </w:r>
    </w:p>
    <w:p w14:paraId="39E26C62">
      <w:pPr>
        <w:keepNext w:val="0"/>
        <w:keepLines w:val="0"/>
        <w:pageBreakBefore w:val="0"/>
        <w:widowControl/>
        <w:kinsoku/>
        <w:wordWrap w:val="0"/>
        <w:overflowPunct/>
        <w:topLinePunct/>
        <w:autoSpaceDE/>
        <w:autoSpaceDN/>
        <w:bidi w:val="0"/>
        <w:adjustRightInd w:val="0"/>
        <w:snapToGrid w:val="0"/>
        <w:spacing w:before="68" w:line="241" w:lineRule="auto"/>
        <w:ind w:left="1" w:right="98" w:firstLine="56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8、“节能产品”或者“环保产品”是指财政部发布的《节能产品政府采购清单》或者《环境标志产品政府采购清单》的产品。</w:t>
      </w:r>
    </w:p>
    <w:p w14:paraId="689F6969">
      <w:pPr>
        <w:keepNext w:val="0"/>
        <w:keepLines w:val="0"/>
        <w:pageBreakBefore w:val="0"/>
        <w:widowControl/>
        <w:kinsoku/>
        <w:wordWrap w:val="0"/>
        <w:overflowPunct/>
        <w:topLinePunct/>
        <w:autoSpaceDE/>
        <w:autoSpaceDN/>
        <w:bidi w:val="0"/>
        <w:adjustRightInd w:val="0"/>
        <w:snapToGrid w:val="0"/>
        <w:spacing w:before="68" w:line="242" w:lineRule="auto"/>
        <w:ind w:left="7" w:right="98" w:firstLine="557"/>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9、“进口产品”是指通过中国海关报关验放进入中国境内且产自关境</w:t>
      </w:r>
      <w:r>
        <w:rPr>
          <w:rFonts w:hint="eastAsia" w:ascii="宋体" w:hAnsi="宋体" w:eastAsia="宋体" w:cs="宋体"/>
          <w:color w:val="auto"/>
          <w:spacing w:val="-1"/>
          <w:sz w:val="28"/>
          <w:szCs w:val="28"/>
        </w:rPr>
        <w:t>外的产品，详见《关于政府采购进口产品管理有关问题的通知》。</w:t>
      </w:r>
    </w:p>
    <w:p w14:paraId="5D893CDB">
      <w:pPr>
        <w:keepNext w:val="0"/>
        <w:keepLines w:val="0"/>
        <w:pageBreakBefore w:val="0"/>
        <w:widowControl/>
        <w:kinsoku/>
        <w:wordWrap w:val="0"/>
        <w:overflowPunct/>
        <w:topLinePunct/>
        <w:autoSpaceDE/>
        <w:autoSpaceDN/>
        <w:bidi w:val="0"/>
        <w:adjustRightInd w:val="0"/>
        <w:snapToGrid w:val="0"/>
        <w:spacing w:before="66" w:line="255" w:lineRule="auto"/>
        <w:ind w:left="1" w:right="98" w:firstLine="58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10、“监狱企业”是指由司法部认定的为罪犯、戒毒人员提供生产项</w:t>
      </w:r>
      <w:r>
        <w:rPr>
          <w:rFonts w:hint="eastAsia" w:ascii="宋体" w:hAnsi="宋体" w:eastAsia="宋体" w:cs="宋体"/>
          <w:color w:val="auto"/>
          <w:spacing w:val="3"/>
          <w:sz w:val="28"/>
          <w:szCs w:val="28"/>
        </w:rPr>
        <w:t>目和劳动对象，且全部产权属于司法部监狱管理局、戒毒管理局、直属煤</w:t>
      </w:r>
      <w:r>
        <w:rPr>
          <w:rFonts w:hint="eastAsia" w:ascii="宋体" w:hAnsi="宋体" w:eastAsia="宋体" w:cs="宋体"/>
          <w:color w:val="auto"/>
          <w:spacing w:val="-1"/>
          <w:sz w:val="28"/>
          <w:szCs w:val="28"/>
        </w:rPr>
        <w:t>矿管理局，各省、自治区、直辖市监狱管理局、戒毒管理局，</w:t>
      </w:r>
      <w:r>
        <w:rPr>
          <w:rFonts w:hint="eastAsia" w:ascii="宋体" w:hAnsi="宋体" w:eastAsia="宋体" w:cs="宋体"/>
          <w:color w:val="auto"/>
          <w:spacing w:val="-2"/>
          <w:sz w:val="28"/>
          <w:szCs w:val="28"/>
        </w:rPr>
        <w:t>各地(设区的</w:t>
      </w:r>
      <w:r>
        <w:rPr>
          <w:rFonts w:hint="eastAsia" w:ascii="宋体" w:hAnsi="宋体" w:eastAsia="宋体" w:cs="宋体"/>
          <w:color w:val="auto"/>
          <w:spacing w:val="-1"/>
          <w:sz w:val="28"/>
          <w:szCs w:val="28"/>
        </w:rPr>
        <w:t>市)监狱、强制隔离戒毒所、戒毒康复所，以及新疆生产建设兵团</w:t>
      </w:r>
      <w:r>
        <w:rPr>
          <w:rFonts w:hint="eastAsia" w:ascii="宋体" w:hAnsi="宋体" w:eastAsia="宋体" w:cs="宋体"/>
          <w:color w:val="auto"/>
          <w:spacing w:val="-2"/>
          <w:sz w:val="28"/>
          <w:szCs w:val="28"/>
        </w:rPr>
        <w:t>监狱管理</w:t>
      </w:r>
      <w:r>
        <w:rPr>
          <w:rFonts w:hint="eastAsia" w:ascii="宋体" w:hAnsi="宋体" w:eastAsia="宋体" w:cs="宋体"/>
          <w:color w:val="auto"/>
          <w:spacing w:val="-1"/>
          <w:sz w:val="28"/>
          <w:szCs w:val="28"/>
        </w:rPr>
        <w:t>局、戒毒管理局的企业。</w:t>
      </w:r>
    </w:p>
    <w:p w14:paraId="571C7FC3">
      <w:pPr>
        <w:keepNext w:val="0"/>
        <w:keepLines w:val="0"/>
        <w:pageBreakBefore w:val="0"/>
        <w:widowControl/>
        <w:kinsoku/>
        <w:wordWrap w:val="0"/>
        <w:overflowPunct/>
        <w:topLinePunct/>
        <w:autoSpaceDE/>
        <w:autoSpaceDN/>
        <w:bidi w:val="0"/>
        <w:adjustRightInd w:val="0"/>
        <w:snapToGrid w:val="0"/>
        <w:spacing w:before="67" w:line="241" w:lineRule="auto"/>
        <w:ind w:left="7" w:right="100" w:firstLine="57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11、“福利性企业”是为集中安置具有一定劳动能力的残疾人就业而</w:t>
      </w:r>
      <w:r>
        <w:rPr>
          <w:rFonts w:hint="eastAsia" w:ascii="宋体" w:hAnsi="宋体" w:eastAsia="宋体" w:cs="宋体"/>
          <w:color w:val="auto"/>
          <w:spacing w:val="-1"/>
          <w:sz w:val="28"/>
          <w:szCs w:val="28"/>
        </w:rPr>
        <w:t>兴办的具有社会福利性质的特殊企业。</w:t>
      </w:r>
    </w:p>
    <w:p w14:paraId="548DE705">
      <w:pPr>
        <w:keepNext w:val="0"/>
        <w:keepLines w:val="0"/>
        <w:pageBreakBefore w:val="0"/>
        <w:widowControl/>
        <w:kinsoku/>
        <w:wordWrap w:val="0"/>
        <w:overflowPunct/>
        <w:topLinePunct/>
        <w:autoSpaceDE/>
        <w:autoSpaceDN/>
        <w:bidi w:val="0"/>
        <w:adjustRightInd w:val="0"/>
        <w:snapToGrid w:val="0"/>
        <w:spacing w:before="148" w:line="219" w:lineRule="auto"/>
        <w:ind w:left="568"/>
        <w:jc w:val="both"/>
        <w:textAlignment w:val="baseline"/>
        <w:outlineLvl w:val="1"/>
        <w:rPr>
          <w:rFonts w:hint="eastAsia" w:ascii="宋体" w:hAnsi="宋体" w:eastAsia="宋体" w:cs="宋体"/>
          <w:color w:val="auto"/>
          <w:sz w:val="28"/>
          <w:szCs w:val="28"/>
        </w:rPr>
      </w:pPr>
      <w:bookmarkStart w:id="4" w:name="_Toc27661"/>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二、</w:t>
      </w:r>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注意事项</w:t>
      </w:r>
      <w:bookmarkEnd w:id="4"/>
    </w:p>
    <w:p w14:paraId="1771FB04">
      <w:pPr>
        <w:keepNext w:val="0"/>
        <w:keepLines w:val="0"/>
        <w:pageBreakBefore w:val="0"/>
        <w:widowControl/>
        <w:kinsoku/>
        <w:wordWrap w:val="0"/>
        <w:overflowPunct/>
        <w:topLinePunct/>
        <w:autoSpaceDE/>
        <w:autoSpaceDN/>
        <w:bidi w:val="0"/>
        <w:adjustRightInd w:val="0"/>
        <w:snapToGrid w:val="0"/>
        <w:spacing w:before="170" w:line="221" w:lineRule="auto"/>
        <w:ind w:left="430"/>
        <w:jc w:val="both"/>
        <w:textAlignment w:val="baseline"/>
        <w:outlineLvl w:val="2"/>
        <w:rPr>
          <w:rFonts w:hint="eastAsia" w:ascii="宋体" w:hAnsi="宋体" w:eastAsia="宋体" w:cs="宋体"/>
          <w:color w:val="auto"/>
          <w:sz w:val="28"/>
          <w:szCs w:val="28"/>
        </w:rPr>
      </w:pPr>
      <w:bookmarkStart w:id="5" w:name="_Toc6827"/>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（一）询问</w:t>
      </w:r>
      <w:bookmarkEnd w:id="5"/>
    </w:p>
    <w:p w14:paraId="39B24CE2">
      <w:pPr>
        <w:keepNext w:val="0"/>
        <w:keepLines w:val="0"/>
        <w:pageBreakBefore w:val="0"/>
        <w:widowControl/>
        <w:kinsoku/>
        <w:wordWrap w:val="0"/>
        <w:overflowPunct/>
        <w:topLinePunct/>
        <w:autoSpaceDE/>
        <w:autoSpaceDN/>
        <w:bidi w:val="0"/>
        <w:adjustRightInd w:val="0"/>
        <w:snapToGrid w:val="0"/>
        <w:spacing w:line="221" w:lineRule="auto"/>
        <w:jc w:val="both"/>
        <w:textAlignment w:val="baseline"/>
        <w:rPr>
          <w:rFonts w:hint="eastAsia" w:ascii="宋体" w:hAnsi="宋体" w:eastAsia="宋体" w:cs="宋体"/>
          <w:color w:val="auto"/>
          <w:sz w:val="28"/>
          <w:szCs w:val="28"/>
        </w:rPr>
        <w:sectPr>
          <w:footerReference r:id="rId7" w:type="default"/>
          <w:pgSz w:w="11906" w:h="16839"/>
          <w:pgMar w:top="1440" w:right="1080" w:bottom="1440" w:left="1080" w:header="0" w:footer="1186" w:gutter="0"/>
          <w:pgNumType w:fmt="decimal"/>
          <w:cols w:space="720" w:num="1"/>
        </w:sectPr>
      </w:pPr>
    </w:p>
    <w:p w14:paraId="00D79840">
      <w:pPr>
        <w:keepNext w:val="0"/>
        <w:keepLines w:val="0"/>
        <w:pageBreakBefore w:val="0"/>
        <w:widowControl/>
        <w:kinsoku/>
        <w:wordWrap w:val="0"/>
        <w:overflowPunct/>
        <w:topLinePunct/>
        <w:autoSpaceDE/>
        <w:autoSpaceDN/>
        <w:bidi w:val="0"/>
        <w:adjustRightInd w:val="0"/>
        <w:snapToGrid w:val="0"/>
        <w:spacing w:before="65" w:line="249" w:lineRule="auto"/>
        <w:ind w:firstLine="583"/>
        <w:jc w:val="both"/>
        <w:textAlignment w:val="baseline"/>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对政府采购活动事项有疑问的，可以向采购人提出询问，采购人应当及时作出答复，但答复的内容不得涉及商业秘密。</w:t>
      </w:r>
    </w:p>
    <w:p w14:paraId="435F53E0">
      <w:pPr>
        <w:keepNext w:val="0"/>
        <w:keepLines w:val="0"/>
        <w:pageBreakBefore w:val="0"/>
        <w:widowControl/>
        <w:kinsoku/>
        <w:wordWrap w:val="0"/>
        <w:overflowPunct/>
        <w:topLinePunct/>
        <w:autoSpaceDE/>
        <w:autoSpaceDN/>
        <w:bidi w:val="0"/>
        <w:adjustRightInd w:val="0"/>
        <w:snapToGrid w:val="0"/>
        <w:spacing w:before="65" w:line="249" w:lineRule="auto"/>
        <w:ind w:firstLine="583"/>
        <w:jc w:val="both"/>
        <w:textAlignment w:val="baseline"/>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询问内容超出采购人对采购代理机构委托授权范围的，</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应当向采购人提出。</w:t>
      </w:r>
    </w:p>
    <w:p w14:paraId="70A29F94">
      <w:pPr>
        <w:keepNext w:val="0"/>
        <w:keepLines w:val="0"/>
        <w:pageBreakBefore w:val="0"/>
        <w:widowControl/>
        <w:kinsoku/>
        <w:wordWrap w:val="0"/>
        <w:overflowPunct/>
        <w:topLinePunct/>
        <w:autoSpaceDE/>
        <w:autoSpaceDN/>
        <w:bidi w:val="0"/>
        <w:adjustRightInd w:val="0"/>
        <w:snapToGrid w:val="0"/>
        <w:spacing w:before="67" w:line="221" w:lineRule="auto"/>
        <w:ind w:left="429"/>
        <w:jc w:val="both"/>
        <w:textAlignment w:val="baseline"/>
        <w:outlineLvl w:val="2"/>
        <w:rPr>
          <w:rFonts w:hint="eastAsia" w:ascii="宋体" w:hAnsi="宋体" w:eastAsia="宋体" w:cs="宋体"/>
          <w:color w:val="auto"/>
          <w:sz w:val="28"/>
          <w:szCs w:val="28"/>
        </w:rPr>
      </w:pPr>
      <w:bookmarkStart w:id="6" w:name="_Toc6530"/>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（二）质疑和投诉</w:t>
      </w:r>
      <w:bookmarkEnd w:id="6"/>
    </w:p>
    <w:p w14:paraId="4201EB14">
      <w:pPr>
        <w:keepNext w:val="0"/>
        <w:keepLines w:val="0"/>
        <w:pageBreakBefore w:val="0"/>
        <w:widowControl/>
        <w:kinsoku/>
        <w:wordWrap w:val="0"/>
        <w:overflowPunct/>
        <w:topLinePunct/>
        <w:autoSpaceDE/>
        <w:autoSpaceDN/>
        <w:bidi w:val="0"/>
        <w:adjustRightInd w:val="0"/>
        <w:snapToGrid w:val="0"/>
        <w:spacing w:before="65" w:line="249" w:lineRule="auto"/>
        <w:ind w:firstLine="583"/>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2"/>
          <w:sz w:val="28"/>
          <w:szCs w:val="28"/>
        </w:rPr>
        <w:t>1、</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认为采购文件、采购过程、成交结果使自己的权益受到损害</w:t>
      </w:r>
      <w:r>
        <w:rPr>
          <w:rFonts w:hint="eastAsia" w:ascii="宋体" w:hAnsi="宋体" w:eastAsia="宋体" w:cs="宋体"/>
          <w:color w:val="auto"/>
          <w:spacing w:val="2"/>
          <w:sz w:val="28"/>
          <w:szCs w:val="28"/>
        </w:rPr>
        <w:t>的，可以在知道或应知其权益受到损害之日起7个工作日内以书面形式向</w:t>
      </w:r>
      <w:r>
        <w:rPr>
          <w:rFonts w:hint="eastAsia" w:ascii="宋体" w:hAnsi="宋体" w:eastAsia="宋体" w:cs="宋体"/>
          <w:color w:val="auto"/>
          <w:spacing w:val="-2"/>
          <w:sz w:val="28"/>
          <w:szCs w:val="28"/>
        </w:rPr>
        <w:t>采购人提出。</w:t>
      </w:r>
    </w:p>
    <w:p w14:paraId="49A2819A">
      <w:pPr>
        <w:keepNext w:val="0"/>
        <w:keepLines w:val="0"/>
        <w:pageBreakBefore w:val="0"/>
        <w:widowControl/>
        <w:kinsoku/>
        <w:wordWrap w:val="0"/>
        <w:overflowPunct/>
        <w:topLinePunct/>
        <w:autoSpaceDE/>
        <w:autoSpaceDN/>
        <w:bidi w:val="0"/>
        <w:adjustRightInd w:val="0"/>
        <w:snapToGrid w:val="0"/>
        <w:spacing w:before="66" w:line="220" w:lineRule="auto"/>
        <w:ind w:left="563"/>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pacing w:val="-3"/>
          <w:sz w:val="28"/>
          <w:szCs w:val="28"/>
        </w:rPr>
        <w:t>联系人：</w:t>
      </w:r>
      <w:r>
        <w:rPr>
          <w:rFonts w:hint="eastAsia" w:ascii="宋体" w:hAnsi="宋体" w:eastAsia="宋体" w:cs="宋体"/>
          <w:color w:val="auto"/>
          <w:spacing w:val="-3"/>
          <w:sz w:val="28"/>
          <w:szCs w:val="28"/>
          <w:lang w:val="en-US" w:eastAsia="zh-CN"/>
        </w:rPr>
        <w:t>薛浩</w:t>
      </w:r>
    </w:p>
    <w:p w14:paraId="19DD2EE0">
      <w:pPr>
        <w:keepNext w:val="0"/>
        <w:keepLines w:val="0"/>
        <w:pageBreakBefore w:val="0"/>
        <w:widowControl/>
        <w:kinsoku/>
        <w:wordWrap w:val="0"/>
        <w:overflowPunct/>
        <w:topLinePunct/>
        <w:autoSpaceDE/>
        <w:autoSpaceDN/>
        <w:bidi w:val="0"/>
        <w:adjustRightInd w:val="0"/>
        <w:snapToGrid w:val="0"/>
        <w:spacing w:before="39" w:line="221" w:lineRule="auto"/>
        <w:ind w:left="563"/>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rPr>
        <w:t>联系方式：</w:t>
      </w:r>
      <w:r>
        <w:rPr>
          <w:rFonts w:hint="eastAsia" w:ascii="宋体" w:hAnsi="宋体" w:eastAsia="宋体" w:cs="宋体"/>
          <w:color w:val="auto"/>
          <w:spacing w:val="-1"/>
          <w:sz w:val="28"/>
          <w:szCs w:val="28"/>
          <w:lang w:val="en-US" w:eastAsia="zh-CN"/>
        </w:rPr>
        <w:t>0912-6198121</w:t>
      </w:r>
    </w:p>
    <w:p w14:paraId="16880CE6">
      <w:pPr>
        <w:keepNext w:val="0"/>
        <w:keepLines w:val="0"/>
        <w:pageBreakBefore w:val="0"/>
        <w:widowControl/>
        <w:kinsoku/>
        <w:wordWrap w:val="0"/>
        <w:overflowPunct/>
        <w:topLinePunct/>
        <w:autoSpaceDE/>
        <w:autoSpaceDN/>
        <w:bidi w:val="0"/>
        <w:adjustRightInd w:val="0"/>
        <w:snapToGrid w:val="0"/>
        <w:spacing w:before="75" w:line="219" w:lineRule="auto"/>
        <w:ind w:left="562"/>
        <w:jc w:val="both"/>
        <w:textAlignment w:val="baseline"/>
        <w:rPr>
          <w:rFonts w:hint="eastAsia" w:ascii="宋体" w:hAnsi="宋体" w:eastAsia="宋体" w:cs="宋体"/>
          <w:color w:val="auto"/>
          <w:spacing w:val="-2"/>
          <w:sz w:val="28"/>
          <w:szCs w:val="28"/>
          <w:lang w:eastAsia="zh-CN"/>
        </w:rPr>
      </w:pPr>
      <w:r>
        <w:rPr>
          <w:rFonts w:hint="eastAsia" w:ascii="宋体" w:hAnsi="宋体" w:eastAsia="宋体" w:cs="宋体"/>
          <w:color w:val="auto"/>
          <w:spacing w:val="-2"/>
          <w:sz w:val="28"/>
          <w:szCs w:val="28"/>
        </w:rPr>
        <w:t>通信地址：</w:t>
      </w:r>
      <w:r>
        <w:rPr>
          <w:rFonts w:hint="eastAsia" w:ascii="宋体" w:hAnsi="宋体" w:eastAsia="宋体" w:cs="宋体"/>
          <w:color w:val="auto"/>
          <w:spacing w:val="-2"/>
          <w:sz w:val="28"/>
          <w:szCs w:val="28"/>
          <w:lang w:val="en-US" w:eastAsia="zh-CN"/>
        </w:rPr>
        <w:t>陕西省榆林市榆阳区新建南路207号</w:t>
      </w:r>
    </w:p>
    <w:p w14:paraId="5EC40AD3">
      <w:pPr>
        <w:keepNext w:val="0"/>
        <w:keepLines w:val="0"/>
        <w:pageBreakBefore w:val="0"/>
        <w:widowControl/>
        <w:kinsoku/>
        <w:wordWrap w:val="0"/>
        <w:overflowPunct/>
        <w:topLinePunct/>
        <w:autoSpaceDE/>
        <w:autoSpaceDN/>
        <w:bidi w:val="0"/>
        <w:adjustRightInd w:val="0"/>
        <w:snapToGrid w:val="0"/>
        <w:spacing w:before="67" w:line="249" w:lineRule="auto"/>
        <w:ind w:left="29" w:firstLine="53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2、</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对采购文件（采购需求除外）、</w:t>
      </w:r>
      <w:r>
        <w:rPr>
          <w:rFonts w:hint="eastAsia" w:ascii="宋体" w:hAnsi="宋体" w:eastAsia="宋体" w:cs="宋体"/>
          <w:color w:val="auto"/>
          <w:spacing w:val="-2"/>
          <w:sz w:val="28"/>
          <w:szCs w:val="28"/>
        </w:rPr>
        <w:t>开评标程序提出质疑的，可</w:t>
      </w:r>
      <w:r>
        <w:rPr>
          <w:rFonts w:hint="eastAsia" w:ascii="宋体" w:hAnsi="宋体" w:eastAsia="宋体" w:cs="宋体"/>
          <w:color w:val="auto"/>
          <w:spacing w:val="1"/>
          <w:sz w:val="28"/>
          <w:szCs w:val="28"/>
        </w:rPr>
        <w:t>以在知道或应知其权益受到损害之日起7个工作日内，通过下列任一形式</w:t>
      </w:r>
      <w:r>
        <w:rPr>
          <w:rFonts w:hint="eastAsia" w:ascii="宋体" w:hAnsi="宋体" w:eastAsia="宋体" w:cs="宋体"/>
          <w:color w:val="auto"/>
          <w:spacing w:val="-4"/>
          <w:sz w:val="28"/>
          <w:szCs w:val="28"/>
        </w:rPr>
        <w:t>向采购代理机构提出。</w:t>
      </w:r>
    </w:p>
    <w:p w14:paraId="46D418C6">
      <w:pPr>
        <w:keepNext w:val="0"/>
        <w:keepLines w:val="0"/>
        <w:pageBreakBefore w:val="0"/>
        <w:widowControl/>
        <w:kinsoku/>
        <w:wordWrap w:val="0"/>
        <w:overflowPunct/>
        <w:topLinePunct/>
        <w:autoSpaceDE/>
        <w:autoSpaceDN/>
        <w:bidi w:val="0"/>
        <w:adjustRightInd w:val="0"/>
        <w:snapToGrid w:val="0"/>
        <w:spacing w:before="65" w:line="250" w:lineRule="auto"/>
        <w:ind w:left="2" w:firstLine="56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书面质疑：书面质疑函应按照财政部国库司制定的《政府采购</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质疑函范本》（见下方链接）进行填写，签字、盖章后提交至采购代理机</w:t>
      </w:r>
      <w:r>
        <w:rPr>
          <w:rFonts w:hint="eastAsia" w:ascii="宋体" w:hAnsi="宋体" w:eastAsia="宋体" w:cs="宋体"/>
          <w:color w:val="auto"/>
          <w:spacing w:val="-6"/>
          <w:sz w:val="28"/>
          <w:szCs w:val="28"/>
        </w:rPr>
        <w:t>构。</w:t>
      </w:r>
    </w:p>
    <w:p w14:paraId="376536F0">
      <w:pPr>
        <w:keepNext w:val="0"/>
        <w:keepLines w:val="0"/>
        <w:pageBreakBefore w:val="0"/>
        <w:widowControl/>
        <w:kinsoku/>
        <w:wordWrap w:val="0"/>
        <w:overflowPunct/>
        <w:topLinePunct/>
        <w:autoSpaceDE/>
        <w:autoSpaceDN/>
        <w:bidi w:val="0"/>
        <w:adjustRightInd w:val="0"/>
        <w:snapToGrid w:val="0"/>
        <w:spacing w:before="64" w:line="219" w:lineRule="auto"/>
        <w:ind w:left="563"/>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rPr>
        <w:t>联系人：</w:t>
      </w:r>
      <w:r>
        <w:rPr>
          <w:rFonts w:hint="eastAsia" w:ascii="宋体" w:hAnsi="宋体" w:eastAsia="宋体" w:cs="宋体"/>
          <w:color w:val="auto"/>
          <w:spacing w:val="-2"/>
          <w:sz w:val="28"/>
          <w:szCs w:val="28"/>
          <w:lang w:eastAsia="zh-CN"/>
        </w:rPr>
        <w:t>陈思璇</w:t>
      </w:r>
    </w:p>
    <w:p w14:paraId="68537AD8">
      <w:pPr>
        <w:keepNext w:val="0"/>
        <w:keepLines w:val="0"/>
        <w:pageBreakBefore w:val="0"/>
        <w:widowControl/>
        <w:kinsoku/>
        <w:wordWrap w:val="0"/>
        <w:overflowPunct/>
        <w:topLinePunct/>
        <w:autoSpaceDE/>
        <w:autoSpaceDN/>
        <w:bidi w:val="0"/>
        <w:adjustRightInd w:val="0"/>
        <w:snapToGrid w:val="0"/>
        <w:spacing w:before="68" w:line="222" w:lineRule="auto"/>
        <w:ind w:left="563"/>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rPr>
        <w:t>联系电话：</w:t>
      </w:r>
      <w:r>
        <w:rPr>
          <w:rFonts w:hint="eastAsia" w:ascii="宋体" w:hAnsi="宋体" w:eastAsia="宋体" w:cs="宋体"/>
          <w:color w:val="auto"/>
          <w:spacing w:val="-1"/>
          <w:sz w:val="28"/>
          <w:szCs w:val="28"/>
          <w:lang w:eastAsia="zh-CN"/>
        </w:rPr>
        <w:t>15619895155</w:t>
      </w:r>
    </w:p>
    <w:p w14:paraId="00800588">
      <w:pPr>
        <w:keepNext w:val="0"/>
        <w:keepLines w:val="0"/>
        <w:pageBreakBefore w:val="0"/>
        <w:widowControl/>
        <w:kinsoku/>
        <w:wordWrap w:val="0"/>
        <w:overflowPunct/>
        <w:topLinePunct/>
        <w:autoSpaceDE/>
        <w:autoSpaceDN/>
        <w:bidi w:val="0"/>
        <w:adjustRightInd w:val="0"/>
        <w:snapToGrid w:val="0"/>
        <w:spacing w:before="67" w:line="239" w:lineRule="auto"/>
        <w:ind w:left="2" w:right="1" w:firstLine="567"/>
        <w:jc w:val="both"/>
        <w:textAlignment w:val="baseline"/>
        <w:rPr>
          <w:rFonts w:hint="eastAsia" w:ascii="宋体" w:hAnsi="宋体" w:eastAsia="宋体" w:cs="宋体"/>
          <w:color w:val="auto"/>
          <w:spacing w:val="3"/>
          <w:sz w:val="28"/>
          <w:szCs w:val="28"/>
          <w:lang w:val="en-US" w:eastAsia="zh-CN"/>
        </w:rPr>
      </w:pPr>
      <w:r>
        <w:rPr>
          <w:rFonts w:hint="eastAsia" w:ascii="宋体" w:hAnsi="宋体" w:eastAsia="宋体" w:cs="宋体"/>
          <w:color w:val="auto"/>
          <w:spacing w:val="3"/>
          <w:sz w:val="28"/>
          <w:szCs w:val="28"/>
        </w:rPr>
        <w:t>通信地址：</w:t>
      </w:r>
      <w:r>
        <w:rPr>
          <w:rFonts w:hint="eastAsia" w:ascii="宋体" w:hAnsi="宋体" w:eastAsia="宋体" w:cs="宋体"/>
          <w:color w:val="auto"/>
          <w:spacing w:val="3"/>
          <w:sz w:val="28"/>
          <w:szCs w:val="28"/>
          <w:lang w:val="en-US" w:eastAsia="zh-CN"/>
        </w:rPr>
        <w:t>陕西省榆林市航宇路5号石化家属院三单元201室</w:t>
      </w:r>
    </w:p>
    <w:p w14:paraId="57737C04">
      <w:pPr>
        <w:keepNext w:val="0"/>
        <w:keepLines w:val="0"/>
        <w:pageBreakBefore w:val="0"/>
        <w:widowControl/>
        <w:kinsoku/>
        <w:wordWrap w:val="0"/>
        <w:overflowPunct/>
        <w:topLinePunct/>
        <w:autoSpaceDE/>
        <w:autoSpaceDN/>
        <w:bidi w:val="0"/>
        <w:adjustRightInd w:val="0"/>
        <w:snapToGrid w:val="0"/>
        <w:spacing w:before="67" w:line="239" w:lineRule="auto"/>
        <w:ind w:left="2" w:right="1" w:firstLine="567"/>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rPr>
        <w:t>范本地址：http://gks.mof.gov.cn/ztztz/zheng</w:t>
      </w:r>
      <w:r>
        <w:rPr>
          <w:rFonts w:hint="eastAsia" w:ascii="宋体" w:hAnsi="宋体" w:eastAsia="宋体" w:cs="宋体"/>
          <w:color w:val="auto"/>
          <w:spacing w:val="-2"/>
          <w:sz w:val="28"/>
          <w:szCs w:val="28"/>
        </w:rPr>
        <w:t>fucaigouguanli/201</w:t>
      </w:r>
      <w:r>
        <w:rPr>
          <w:rFonts w:hint="eastAsia" w:ascii="宋体" w:hAnsi="宋体" w:eastAsia="宋体" w:cs="宋体"/>
          <w:color w:val="auto"/>
          <w:spacing w:val="-1"/>
          <w:sz w:val="28"/>
          <w:szCs w:val="28"/>
        </w:rPr>
        <w:t>802/t20180201_2804589.html</w:t>
      </w:r>
      <w:r>
        <w:rPr>
          <w:rFonts w:hint="eastAsia" w:ascii="宋体" w:hAnsi="宋体" w:eastAsia="宋体" w:cs="宋体"/>
          <w:color w:val="auto"/>
          <w:spacing w:val="-1"/>
          <w:sz w:val="28"/>
          <w:szCs w:val="28"/>
          <w:lang w:eastAsia="zh-CN"/>
        </w:rPr>
        <w:t>。</w:t>
      </w:r>
    </w:p>
    <w:p w14:paraId="21A9E6F9">
      <w:pPr>
        <w:keepNext w:val="0"/>
        <w:keepLines w:val="0"/>
        <w:pageBreakBefore w:val="0"/>
        <w:widowControl/>
        <w:kinsoku/>
        <w:wordWrap w:val="0"/>
        <w:overflowPunct/>
        <w:topLinePunct/>
        <w:autoSpaceDE/>
        <w:autoSpaceDN/>
        <w:bidi w:val="0"/>
        <w:adjustRightInd w:val="0"/>
        <w:snapToGrid w:val="0"/>
        <w:spacing w:before="72" w:line="253" w:lineRule="auto"/>
        <w:ind w:firstLine="568"/>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提出质疑应当提交质疑事项和必要的证明材料。在法定质疑</w:t>
      </w:r>
      <w:r>
        <w:rPr>
          <w:rFonts w:hint="eastAsia" w:ascii="宋体" w:hAnsi="宋体" w:eastAsia="宋体" w:cs="宋体"/>
          <w:color w:val="auto"/>
          <w:spacing w:val="3"/>
          <w:sz w:val="28"/>
          <w:szCs w:val="28"/>
        </w:rPr>
        <w:t>期内，针对同一采购程序环节的质疑应当一次性提出。采购人、采购代理</w:t>
      </w:r>
      <w:r>
        <w:rPr>
          <w:rFonts w:hint="eastAsia" w:ascii="宋体" w:hAnsi="宋体" w:eastAsia="宋体" w:cs="宋体"/>
          <w:color w:val="auto"/>
          <w:spacing w:val="2"/>
          <w:sz w:val="28"/>
          <w:szCs w:val="28"/>
        </w:rPr>
        <w:t>机构将在收到书面质疑后7个工作日内，在线答复或以书面形式通知质疑</w:t>
      </w:r>
      <w:r>
        <w:rPr>
          <w:rFonts w:hint="eastAsia" w:ascii="宋体" w:hAnsi="宋体" w:eastAsia="宋体" w:cs="宋体"/>
          <w:color w:val="auto"/>
          <w:spacing w:val="-1"/>
          <w:sz w:val="28"/>
          <w:szCs w:val="28"/>
        </w:rPr>
        <w:t>人和其他有关</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w:t>
      </w:r>
    </w:p>
    <w:p w14:paraId="5F0E10B6">
      <w:pPr>
        <w:keepNext w:val="0"/>
        <w:keepLines w:val="0"/>
        <w:pageBreakBefore w:val="0"/>
        <w:widowControl/>
        <w:kinsoku/>
        <w:wordWrap w:val="0"/>
        <w:overflowPunct/>
        <w:topLinePunct/>
        <w:autoSpaceDE/>
        <w:autoSpaceDN/>
        <w:bidi w:val="0"/>
        <w:adjustRightInd w:val="0"/>
        <w:snapToGrid w:val="0"/>
        <w:spacing w:before="66" w:line="253" w:lineRule="auto"/>
        <w:ind w:left="1" w:right="2" w:firstLine="56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4、</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为自然人的，应当由本人签字；</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2"/>
          <w:sz w:val="28"/>
          <w:szCs w:val="28"/>
        </w:rPr>
        <w:t>为法人或者其他组织</w:t>
      </w:r>
      <w:r>
        <w:rPr>
          <w:rFonts w:hint="eastAsia" w:ascii="宋体" w:hAnsi="宋体" w:eastAsia="宋体" w:cs="宋体"/>
          <w:color w:val="auto"/>
          <w:spacing w:val="3"/>
          <w:sz w:val="28"/>
          <w:szCs w:val="28"/>
        </w:rPr>
        <w:t>的，应当由法定代表人、主要负责人，或者其授权代表签字或者盖章，并加盖公章，公章不得以合同章或其他印章代替。</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委托代理人提出质</w:t>
      </w:r>
      <w:r>
        <w:rPr>
          <w:rFonts w:hint="eastAsia" w:ascii="宋体" w:hAnsi="宋体" w:eastAsia="宋体" w:cs="宋体"/>
          <w:color w:val="auto"/>
          <w:spacing w:val="-1"/>
          <w:sz w:val="28"/>
          <w:szCs w:val="28"/>
        </w:rPr>
        <w:t>疑的，应当同时提交</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签署的授权委托书。</w:t>
      </w:r>
    </w:p>
    <w:p w14:paraId="06993DC7">
      <w:pPr>
        <w:keepNext w:val="0"/>
        <w:keepLines w:val="0"/>
        <w:pageBreakBefore w:val="0"/>
        <w:widowControl/>
        <w:kinsoku/>
        <w:wordWrap w:val="0"/>
        <w:overflowPunct/>
        <w:topLinePunct/>
        <w:autoSpaceDE/>
        <w:autoSpaceDN/>
        <w:bidi w:val="0"/>
        <w:adjustRightInd w:val="0"/>
        <w:snapToGrid w:val="0"/>
        <w:spacing w:before="64" w:line="249" w:lineRule="auto"/>
        <w:ind w:right="100" w:firstLine="430"/>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5、有下列情形之一的，属于无效质疑：</w:t>
      </w:r>
    </w:p>
    <w:p w14:paraId="2DC627EB">
      <w:pPr>
        <w:keepNext w:val="0"/>
        <w:keepLines w:val="0"/>
        <w:pageBreakBefore w:val="0"/>
        <w:widowControl/>
        <w:kinsoku/>
        <w:wordWrap w:val="0"/>
        <w:overflowPunct/>
        <w:topLinePunct/>
        <w:autoSpaceDE/>
        <w:autoSpaceDN/>
        <w:bidi w:val="0"/>
        <w:adjustRightInd w:val="0"/>
        <w:snapToGrid w:val="0"/>
        <w:spacing w:before="64" w:line="249" w:lineRule="auto"/>
        <w:ind w:right="100" w:firstLine="43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（1）对采购文件提出质疑的质疑人不是依法获取采购文件的潜在</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；对采购过程、中标或成交结果提出质疑的质疑人不是参与本次政府采</w:t>
      </w:r>
      <w:r>
        <w:rPr>
          <w:rFonts w:hint="eastAsia" w:ascii="宋体" w:hAnsi="宋体" w:eastAsia="宋体" w:cs="宋体"/>
          <w:color w:val="auto"/>
          <w:spacing w:val="-1"/>
          <w:sz w:val="28"/>
          <w:szCs w:val="28"/>
        </w:rPr>
        <w:t>购项目的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w:t>
      </w:r>
    </w:p>
    <w:p w14:paraId="08D12CFC">
      <w:pPr>
        <w:keepNext w:val="0"/>
        <w:keepLines w:val="0"/>
        <w:pageBreakBefore w:val="0"/>
        <w:widowControl/>
        <w:kinsoku/>
        <w:wordWrap w:val="0"/>
        <w:overflowPunct/>
        <w:topLinePunct/>
        <w:autoSpaceDE/>
        <w:autoSpaceDN/>
        <w:bidi w:val="0"/>
        <w:adjustRightInd w:val="0"/>
        <w:snapToGrid w:val="0"/>
        <w:spacing w:before="68" w:line="219" w:lineRule="auto"/>
        <w:ind w:left="43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（2）超过法定期限，或未以线上、书面形式提出的；</w:t>
      </w:r>
    </w:p>
    <w:p w14:paraId="1547E603">
      <w:pPr>
        <w:keepNext w:val="0"/>
        <w:keepLines w:val="0"/>
        <w:pageBreakBefore w:val="0"/>
        <w:widowControl/>
        <w:kinsoku/>
        <w:wordWrap w:val="0"/>
        <w:overflowPunct/>
        <w:topLinePunct/>
        <w:autoSpaceDE/>
        <w:autoSpaceDN/>
        <w:bidi w:val="0"/>
        <w:adjustRightInd w:val="0"/>
        <w:snapToGrid w:val="0"/>
        <w:spacing w:before="65" w:line="220" w:lineRule="auto"/>
        <w:ind w:left="43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（3）质疑人与质疑事项不存在利害关系的；</w:t>
      </w:r>
    </w:p>
    <w:p w14:paraId="2F7790F8">
      <w:pPr>
        <w:keepNext w:val="0"/>
        <w:keepLines w:val="0"/>
        <w:pageBreakBefore w:val="0"/>
        <w:widowControl/>
        <w:kinsoku/>
        <w:wordWrap w:val="0"/>
        <w:overflowPunct/>
        <w:topLinePunct/>
        <w:autoSpaceDE/>
        <w:autoSpaceDN/>
        <w:bidi w:val="0"/>
        <w:adjustRightInd w:val="0"/>
        <w:snapToGrid w:val="0"/>
        <w:spacing w:before="68" w:line="249" w:lineRule="auto"/>
        <w:ind w:left="2" w:right="100" w:firstLine="428"/>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（4）书面质疑函主要内容构成不完整的，或缺乏必要的证明材料</w:t>
      </w:r>
      <w:r>
        <w:rPr>
          <w:rFonts w:hint="eastAsia" w:ascii="宋体" w:hAnsi="宋体" w:eastAsia="宋体" w:cs="宋体"/>
          <w:color w:val="auto"/>
          <w:spacing w:val="2"/>
          <w:sz w:val="28"/>
          <w:szCs w:val="28"/>
        </w:rPr>
        <w:t>及证</w:t>
      </w:r>
      <w:r>
        <w:rPr>
          <w:rFonts w:hint="eastAsia" w:ascii="宋体" w:hAnsi="宋体" w:eastAsia="宋体" w:cs="宋体"/>
          <w:color w:val="auto"/>
          <w:spacing w:val="3"/>
          <w:sz w:val="28"/>
          <w:szCs w:val="28"/>
        </w:rPr>
        <w:t>明材料不完整的，或捏造事实、提供虚假材料，或以非法手段取得证明材</w:t>
      </w:r>
      <w:r>
        <w:rPr>
          <w:rFonts w:hint="eastAsia" w:ascii="宋体" w:hAnsi="宋体" w:eastAsia="宋体" w:cs="宋体"/>
          <w:color w:val="auto"/>
          <w:spacing w:val="-4"/>
          <w:sz w:val="28"/>
          <w:szCs w:val="28"/>
        </w:rPr>
        <w:t>料的；</w:t>
      </w:r>
    </w:p>
    <w:p w14:paraId="07C9E701">
      <w:pPr>
        <w:keepNext w:val="0"/>
        <w:keepLines w:val="0"/>
        <w:pageBreakBefore w:val="0"/>
        <w:widowControl/>
        <w:kinsoku/>
        <w:wordWrap w:val="0"/>
        <w:overflowPunct/>
        <w:topLinePunct/>
        <w:autoSpaceDE/>
        <w:autoSpaceDN/>
        <w:bidi w:val="0"/>
        <w:adjustRightInd w:val="0"/>
        <w:snapToGrid w:val="0"/>
        <w:spacing w:before="65" w:line="242" w:lineRule="auto"/>
        <w:ind w:left="3" w:right="100" w:firstLine="42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（5）书面质疑函没有合法有效的签字、盖章或委托授权书的（代</w:t>
      </w:r>
      <w:r>
        <w:rPr>
          <w:rFonts w:hint="eastAsia" w:ascii="宋体" w:hAnsi="宋体" w:eastAsia="宋体" w:cs="宋体"/>
          <w:color w:val="auto"/>
          <w:spacing w:val="2"/>
          <w:sz w:val="28"/>
          <w:szCs w:val="28"/>
        </w:rPr>
        <w:t>理人</w:t>
      </w:r>
      <w:r>
        <w:rPr>
          <w:rFonts w:hint="eastAsia" w:ascii="宋体" w:hAnsi="宋体" w:eastAsia="宋体" w:cs="宋体"/>
          <w:color w:val="auto"/>
          <w:spacing w:val="-1"/>
          <w:sz w:val="28"/>
          <w:szCs w:val="28"/>
        </w:rPr>
        <w:t>提出质疑和投诉，应当提交</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签署的授权委托书</w:t>
      </w:r>
      <w:r>
        <w:rPr>
          <w:rFonts w:hint="eastAsia" w:ascii="宋体" w:hAnsi="宋体" w:eastAsia="宋体" w:cs="宋体"/>
          <w:color w:val="auto"/>
          <w:spacing w:val="4"/>
          <w:sz w:val="28"/>
          <w:szCs w:val="28"/>
        </w:rPr>
        <w:t>）；</w:t>
      </w:r>
    </w:p>
    <w:p w14:paraId="134A7249">
      <w:pPr>
        <w:keepNext w:val="0"/>
        <w:keepLines w:val="0"/>
        <w:pageBreakBefore w:val="0"/>
        <w:widowControl/>
        <w:kinsoku/>
        <w:wordWrap w:val="0"/>
        <w:overflowPunct/>
        <w:topLinePunct/>
        <w:autoSpaceDE/>
        <w:autoSpaceDN/>
        <w:bidi w:val="0"/>
        <w:adjustRightInd w:val="0"/>
        <w:snapToGrid w:val="0"/>
        <w:spacing w:before="66" w:line="242" w:lineRule="auto"/>
        <w:ind w:left="29" w:right="100" w:firstLine="4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（6）针对同一采购程序环节又提出其他质疑事项的，或质疑答复</w:t>
      </w:r>
      <w:r>
        <w:rPr>
          <w:rFonts w:hint="eastAsia" w:ascii="宋体" w:hAnsi="宋体" w:eastAsia="宋体" w:cs="宋体"/>
          <w:color w:val="auto"/>
          <w:spacing w:val="2"/>
          <w:sz w:val="28"/>
          <w:szCs w:val="28"/>
        </w:rPr>
        <w:t>后就</w:t>
      </w:r>
      <w:r>
        <w:rPr>
          <w:rFonts w:hint="eastAsia" w:ascii="宋体" w:hAnsi="宋体" w:eastAsia="宋体" w:cs="宋体"/>
          <w:color w:val="auto"/>
          <w:spacing w:val="-4"/>
          <w:sz w:val="28"/>
          <w:szCs w:val="28"/>
        </w:rPr>
        <w:t>同一事项再次提出质疑的；</w:t>
      </w:r>
    </w:p>
    <w:p w14:paraId="7B406150">
      <w:pPr>
        <w:keepNext w:val="0"/>
        <w:keepLines w:val="0"/>
        <w:pageBreakBefore w:val="0"/>
        <w:widowControl/>
        <w:kinsoku/>
        <w:wordWrap w:val="0"/>
        <w:overflowPunct/>
        <w:topLinePunct/>
        <w:autoSpaceDE/>
        <w:autoSpaceDN/>
        <w:bidi w:val="0"/>
        <w:adjustRightInd w:val="0"/>
        <w:snapToGrid w:val="0"/>
        <w:spacing w:before="68" w:line="219" w:lineRule="auto"/>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（7）不符合法律、法规、规章和政府采购监管机构规定的其他条件的。</w:t>
      </w:r>
    </w:p>
    <w:p w14:paraId="25CB895A">
      <w:pPr>
        <w:keepNext w:val="0"/>
        <w:keepLines w:val="0"/>
        <w:pageBreakBefore w:val="0"/>
        <w:widowControl/>
        <w:kinsoku/>
        <w:wordWrap w:val="0"/>
        <w:overflowPunct/>
        <w:topLinePunct/>
        <w:autoSpaceDE/>
        <w:autoSpaceDN/>
        <w:bidi w:val="0"/>
        <w:adjustRightInd w:val="0"/>
        <w:snapToGrid w:val="0"/>
        <w:spacing w:before="68" w:line="255" w:lineRule="auto"/>
        <w:ind w:left="1" w:right="97" w:firstLine="564"/>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6、质疑</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对采购人、采购代理机构的答</w:t>
      </w:r>
      <w:r>
        <w:rPr>
          <w:rFonts w:hint="eastAsia" w:ascii="宋体" w:hAnsi="宋体" w:eastAsia="宋体" w:cs="宋体"/>
          <w:color w:val="auto"/>
          <w:spacing w:val="-2"/>
          <w:sz w:val="28"/>
          <w:szCs w:val="28"/>
        </w:rPr>
        <w:t>复不满意，或者采购人、采购代理机构未在规定的时间内做出答复的</w:t>
      </w:r>
      <w:r>
        <w:rPr>
          <w:rFonts w:hint="eastAsia" w:ascii="宋体" w:hAnsi="宋体" w:eastAsia="宋体" w:cs="宋体"/>
          <w:color w:val="auto"/>
          <w:spacing w:val="-3"/>
          <w:sz w:val="28"/>
          <w:szCs w:val="28"/>
        </w:rPr>
        <w:t>，可以在答复期满后15个工作</w:t>
      </w:r>
      <w:r>
        <w:rPr>
          <w:rFonts w:hint="eastAsia" w:ascii="宋体" w:hAnsi="宋体" w:eastAsia="宋体" w:cs="宋体"/>
          <w:color w:val="auto"/>
          <w:spacing w:val="-2"/>
          <w:sz w:val="28"/>
          <w:szCs w:val="28"/>
        </w:rPr>
        <w:t>日内按照《政府采购质疑和投诉办法》（财政部94号令）相关规定向榆林</w:t>
      </w:r>
      <w:r>
        <w:rPr>
          <w:rFonts w:hint="eastAsia" w:ascii="宋体" w:hAnsi="宋体" w:eastAsia="宋体" w:cs="宋体"/>
          <w:color w:val="auto"/>
          <w:spacing w:val="3"/>
          <w:sz w:val="28"/>
          <w:szCs w:val="28"/>
        </w:rPr>
        <w:t>市财政局政府采购管理处提出投诉。</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投诉的事项不得超出已质疑事</w:t>
      </w:r>
      <w:r>
        <w:rPr>
          <w:rFonts w:hint="eastAsia" w:ascii="宋体" w:hAnsi="宋体" w:eastAsia="宋体" w:cs="宋体"/>
          <w:color w:val="auto"/>
          <w:spacing w:val="-2"/>
          <w:sz w:val="28"/>
          <w:szCs w:val="28"/>
        </w:rPr>
        <w:t>项的范围。</w:t>
      </w:r>
    </w:p>
    <w:p w14:paraId="6C81FAFD">
      <w:pPr>
        <w:keepNext w:val="0"/>
        <w:keepLines w:val="0"/>
        <w:pageBreakBefore w:val="0"/>
        <w:widowControl/>
        <w:kinsoku/>
        <w:wordWrap w:val="0"/>
        <w:overflowPunct/>
        <w:topLinePunct/>
        <w:autoSpaceDE/>
        <w:autoSpaceDN/>
        <w:bidi w:val="0"/>
        <w:adjustRightInd w:val="0"/>
        <w:snapToGrid w:val="0"/>
        <w:spacing w:before="66" w:line="219" w:lineRule="auto"/>
        <w:ind w:right="41"/>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14:textOutline w14:w="5103" w14:cap="sq" w14:cmpd="sng">
            <w14:solidFill>
              <w14:srgbClr w14:val="000000"/>
            </w14:solidFill>
            <w14:prstDash w14:val="solid"/>
            <w14:bevel/>
          </w14:textOutline>
        </w:rPr>
        <w:t>对捏造事实、提供虚假材料进行质疑、投诉的行为予以严肃处理：</w:t>
      </w:r>
    </w:p>
    <w:p w14:paraId="73D36BFE">
      <w:pPr>
        <w:keepNext w:val="0"/>
        <w:keepLines w:val="0"/>
        <w:pageBreakBefore w:val="0"/>
        <w:widowControl/>
        <w:kinsoku/>
        <w:wordWrap w:val="0"/>
        <w:overflowPunct/>
        <w:topLinePunct/>
        <w:autoSpaceDE/>
        <w:autoSpaceDN/>
        <w:bidi w:val="0"/>
        <w:adjustRightInd w:val="0"/>
        <w:snapToGrid w:val="0"/>
        <w:spacing w:before="64" w:line="253" w:lineRule="auto"/>
        <w:ind w:right="100" w:firstLine="43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（1）依据《中华人民共和国政府采购法》、《中华人民共和国政府采购法实施条例》、《政府采购非招标采购方式管理办法》、《政府采购质疑和投诉办法》等法律法规的规定，</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质疑、投诉应当有明确的请求</w:t>
      </w:r>
      <w:r>
        <w:rPr>
          <w:rFonts w:hint="eastAsia" w:ascii="宋体" w:hAnsi="宋体" w:eastAsia="宋体" w:cs="宋体"/>
          <w:color w:val="auto"/>
          <w:spacing w:val="-1"/>
          <w:sz w:val="28"/>
          <w:szCs w:val="28"/>
        </w:rPr>
        <w:t>和必要的证明材料。</w:t>
      </w:r>
    </w:p>
    <w:p w14:paraId="6F513250">
      <w:pPr>
        <w:keepNext w:val="0"/>
        <w:keepLines w:val="0"/>
        <w:pageBreakBefore w:val="0"/>
        <w:widowControl/>
        <w:kinsoku/>
        <w:wordWrap w:val="0"/>
        <w:overflowPunct/>
        <w:topLinePunct/>
        <w:autoSpaceDE/>
        <w:autoSpaceDN/>
        <w:bidi w:val="0"/>
        <w:adjustRightInd w:val="0"/>
        <w:snapToGrid w:val="0"/>
        <w:spacing w:before="72" w:line="257" w:lineRule="auto"/>
        <w:ind w:left="1" w:right="100" w:firstLine="429"/>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（2）依据《政府采购质疑和投诉办法》（财</w:t>
      </w:r>
      <w:r>
        <w:rPr>
          <w:rFonts w:hint="eastAsia" w:ascii="宋体" w:hAnsi="宋体" w:eastAsia="宋体" w:cs="宋体"/>
          <w:color w:val="auto"/>
          <w:spacing w:val="-3"/>
          <w:sz w:val="28"/>
          <w:szCs w:val="28"/>
        </w:rPr>
        <w:t>政部94号令）有关规定，</w:t>
      </w:r>
      <w:r>
        <w:rPr>
          <w:rFonts w:hint="eastAsia" w:ascii="宋体" w:hAnsi="宋体" w:eastAsia="宋体" w:cs="宋体"/>
          <w:color w:val="auto"/>
          <w:spacing w:val="3"/>
          <w:sz w:val="28"/>
          <w:szCs w:val="28"/>
        </w:rPr>
        <w:t>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w:t>
      </w:r>
      <w:r>
        <w:rPr>
          <w:rFonts w:hint="eastAsia" w:ascii="宋体" w:hAnsi="宋体" w:eastAsia="宋体" w:cs="宋体"/>
          <w:color w:val="auto"/>
          <w:spacing w:val="-2"/>
          <w:sz w:val="28"/>
          <w:szCs w:val="28"/>
        </w:rPr>
        <w:t>采购活动。</w:t>
      </w:r>
    </w:p>
    <w:p w14:paraId="0B288245">
      <w:pPr>
        <w:keepNext w:val="0"/>
        <w:keepLines w:val="0"/>
        <w:pageBreakBefore w:val="0"/>
        <w:widowControl/>
        <w:kinsoku/>
        <w:wordWrap w:val="0"/>
        <w:overflowPunct/>
        <w:topLinePunct/>
        <w:autoSpaceDE/>
        <w:autoSpaceDN/>
        <w:bidi w:val="0"/>
        <w:adjustRightInd w:val="0"/>
        <w:snapToGrid w:val="0"/>
        <w:spacing w:before="68" w:line="219" w:lineRule="auto"/>
        <w:ind w:left="564"/>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eastAsia="宋体" w:cs="宋体"/>
          <w:color w:val="auto"/>
          <w:sz w:val="28"/>
          <w:szCs w:val="28"/>
          <w14:textOutline w14:w="5103" w14:cap="sq" w14:cmpd="sng">
            <w14:solidFill>
              <w14:srgbClr w14:val="000000"/>
            </w14:solidFill>
            <w14:prstDash w14:val="solid"/>
            <w14:bevel/>
          </w14:textOutline>
        </w:rPr>
        <w:t>对捏造事实诬告陷害他人、诽谤他人的法律适用：</w:t>
      </w:r>
    </w:p>
    <w:p w14:paraId="09089F9D">
      <w:pPr>
        <w:keepNext w:val="0"/>
        <w:keepLines w:val="0"/>
        <w:pageBreakBefore w:val="0"/>
        <w:widowControl/>
        <w:kinsoku/>
        <w:wordWrap w:val="0"/>
        <w:overflowPunct/>
        <w:topLinePunct/>
        <w:autoSpaceDE/>
        <w:autoSpaceDN/>
        <w:bidi w:val="0"/>
        <w:adjustRightInd w:val="0"/>
        <w:snapToGrid w:val="0"/>
        <w:spacing w:before="65" w:line="249" w:lineRule="auto"/>
        <w:ind w:left="138" w:right="97" w:firstLine="42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《中华人民共和国刑法》第243条【诬告陷害罪】捏造事实诬告</w:t>
      </w:r>
      <w:r>
        <w:rPr>
          <w:rFonts w:hint="eastAsia" w:ascii="宋体" w:hAnsi="宋体" w:eastAsia="宋体" w:cs="宋体"/>
          <w:color w:val="auto"/>
          <w:spacing w:val="-3"/>
          <w:sz w:val="28"/>
          <w:szCs w:val="28"/>
        </w:rPr>
        <w:t>陷害他</w:t>
      </w:r>
      <w:r>
        <w:rPr>
          <w:rFonts w:hint="eastAsia" w:ascii="宋体" w:hAnsi="宋体" w:eastAsia="宋体" w:cs="宋体"/>
          <w:color w:val="auto"/>
          <w:spacing w:val="3"/>
          <w:sz w:val="28"/>
          <w:szCs w:val="28"/>
        </w:rPr>
        <w:t>人，意图使他人受刑事追究，情节严重的，处三年以下有期徒刑、拘役或</w:t>
      </w:r>
      <w:r>
        <w:rPr>
          <w:rFonts w:hint="eastAsia" w:ascii="宋体" w:hAnsi="宋体" w:eastAsia="宋体" w:cs="宋体"/>
          <w:color w:val="auto"/>
          <w:spacing w:val="-1"/>
          <w:sz w:val="28"/>
          <w:szCs w:val="28"/>
        </w:rPr>
        <w:t>者管制；造成严重后果的，处三年以上十年以下有期徒刑。</w:t>
      </w:r>
      <w:r>
        <w:rPr>
          <w:rFonts w:hint="eastAsia" w:ascii="宋体" w:hAnsi="宋体" w:eastAsia="宋体" w:cs="宋体"/>
          <w:color w:val="auto"/>
          <w:spacing w:val="-2"/>
          <w:sz w:val="28"/>
          <w:szCs w:val="28"/>
        </w:rPr>
        <w:t>《中华人民共和国刑法》第246条【侮辱罪、诽谤罪】以暴力或者其他</w:t>
      </w:r>
      <w:r>
        <w:rPr>
          <w:rFonts w:hint="eastAsia" w:ascii="宋体" w:hAnsi="宋体" w:eastAsia="宋体" w:cs="宋体"/>
          <w:color w:val="auto"/>
          <w:spacing w:val="3"/>
          <w:sz w:val="28"/>
          <w:szCs w:val="28"/>
        </w:rPr>
        <w:t>方法公然侮辱他人或者捏造事实诽谤他人，情节严重的，处三年以下有期</w:t>
      </w:r>
      <w:r>
        <w:rPr>
          <w:rFonts w:hint="eastAsia" w:ascii="宋体" w:hAnsi="宋体" w:eastAsia="宋体" w:cs="宋体"/>
          <w:color w:val="auto"/>
          <w:spacing w:val="-1"/>
          <w:sz w:val="28"/>
          <w:szCs w:val="28"/>
        </w:rPr>
        <w:t>徒刑、拘役、管制或者剥夺政治权利。</w:t>
      </w:r>
    </w:p>
    <w:p w14:paraId="227D1CAC">
      <w:pPr>
        <w:keepNext w:val="0"/>
        <w:keepLines w:val="0"/>
        <w:pageBreakBefore w:val="0"/>
        <w:widowControl/>
        <w:kinsoku/>
        <w:wordWrap w:val="0"/>
        <w:overflowPunct/>
        <w:topLinePunct/>
        <w:autoSpaceDE/>
        <w:autoSpaceDN/>
        <w:bidi w:val="0"/>
        <w:adjustRightInd w:val="0"/>
        <w:snapToGrid w:val="0"/>
        <w:spacing w:before="66" w:line="211" w:lineRule="auto"/>
        <w:ind w:left="565"/>
        <w:jc w:val="both"/>
        <w:textAlignment w:val="baseline"/>
        <w:outlineLvl w:val="2"/>
        <w:rPr>
          <w:rFonts w:hint="eastAsia" w:ascii="宋体" w:hAnsi="宋体" w:eastAsia="宋体" w:cs="宋体"/>
          <w:color w:val="auto"/>
          <w:sz w:val="28"/>
          <w:szCs w:val="28"/>
        </w:rPr>
      </w:pPr>
      <w:bookmarkStart w:id="7" w:name="_Toc2906"/>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（三）关于信用记录的查询和使用</w:t>
      </w:r>
      <w:bookmarkEnd w:id="7"/>
    </w:p>
    <w:p w14:paraId="017B1796">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1、谈判小组在资格审查阶段通过【</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信用中国</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1"/>
          <w:sz w:val="28"/>
          <w:szCs w:val="28"/>
        </w:rPr>
        <w:t>（ww</w:t>
      </w:r>
      <w:r>
        <w:rPr>
          <w:rFonts w:hint="eastAsia" w:ascii="宋体" w:hAnsi="宋体" w:eastAsia="宋体" w:cs="宋体"/>
          <w:color w:val="auto"/>
          <w:spacing w:val="-2"/>
          <w:sz w:val="28"/>
          <w:szCs w:val="28"/>
        </w:rPr>
        <w:t>w.creditchina.gov.</w:t>
      </w:r>
      <w:r>
        <w:rPr>
          <w:rFonts w:hint="eastAsia" w:ascii="宋体" w:hAnsi="宋体" w:eastAsia="宋体" w:cs="宋体"/>
          <w:color w:val="auto"/>
          <w:spacing w:val="-1"/>
          <w:sz w:val="28"/>
          <w:szCs w:val="28"/>
        </w:rPr>
        <w:t>cn）】、【</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"http://www.ccgp.gov.cn/cr/list"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中国政府采购网</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1"/>
          <w:sz w:val="28"/>
          <w:szCs w:val="28"/>
        </w:rPr>
        <w:t>（www.ccgp.gov.cn）】网站对</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的信用情</w:t>
      </w:r>
      <w:r>
        <w:rPr>
          <w:rFonts w:hint="eastAsia" w:ascii="宋体" w:hAnsi="宋体" w:eastAsia="宋体" w:cs="宋体"/>
          <w:color w:val="auto"/>
          <w:spacing w:val="3"/>
          <w:sz w:val="28"/>
          <w:szCs w:val="28"/>
        </w:rPr>
        <w:t>况进行甄别。对列入失信被执行人、重大税收违法案件当事人名单、政府采购严重违法失信行为记录名单及其他不符合《中华人民共和国政府采购</w:t>
      </w:r>
      <w:r>
        <w:rPr>
          <w:rFonts w:hint="eastAsia" w:ascii="宋体" w:hAnsi="宋体" w:eastAsia="宋体" w:cs="宋体"/>
          <w:color w:val="auto"/>
          <w:spacing w:val="-1"/>
          <w:sz w:val="28"/>
          <w:szCs w:val="28"/>
        </w:rPr>
        <w:t>法》第二十二条规定条件的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，拒绝其参本次采购活动。</w:t>
      </w:r>
    </w:p>
    <w:p w14:paraId="0B3249E8">
      <w:pPr>
        <w:keepNext w:val="0"/>
        <w:keepLines w:val="0"/>
        <w:pageBreakBefore w:val="0"/>
        <w:widowControl/>
        <w:kinsoku/>
        <w:wordWrap w:val="0"/>
        <w:overflowPunct/>
        <w:topLinePunct/>
        <w:autoSpaceDE/>
        <w:autoSpaceDN/>
        <w:bidi w:val="0"/>
        <w:adjustRightInd w:val="0"/>
        <w:snapToGrid w:val="0"/>
        <w:spacing w:before="67" w:line="249" w:lineRule="auto"/>
        <w:ind w:left="137" w:right="100" w:firstLine="564"/>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2、</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在参加政府采购活动前3年内因违法</w:t>
      </w:r>
      <w:r>
        <w:rPr>
          <w:rFonts w:hint="eastAsia" w:ascii="宋体" w:hAnsi="宋体" w:eastAsia="宋体" w:cs="宋体"/>
          <w:color w:val="auto"/>
          <w:spacing w:val="-3"/>
          <w:sz w:val="28"/>
          <w:szCs w:val="28"/>
        </w:rPr>
        <w:t>经营被禁止在一定期限</w:t>
      </w:r>
      <w:r>
        <w:rPr>
          <w:rFonts w:hint="eastAsia" w:ascii="宋体" w:hAnsi="宋体" w:eastAsia="宋体" w:cs="宋体"/>
          <w:color w:val="auto"/>
          <w:spacing w:val="3"/>
          <w:sz w:val="28"/>
          <w:szCs w:val="28"/>
        </w:rPr>
        <w:t>内参加政府采购活动，期限届满的，可以参加政府采购活动的，但</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z w:val="28"/>
          <w:szCs w:val="28"/>
        </w:rPr>
        <w:t>应提供相关证明材料。信用记录查询的结果</w:t>
      </w:r>
      <w:r>
        <w:rPr>
          <w:rFonts w:hint="eastAsia" w:ascii="宋体" w:hAnsi="宋体" w:eastAsia="宋体" w:cs="宋体"/>
          <w:color w:val="auto"/>
          <w:spacing w:val="-1"/>
          <w:sz w:val="28"/>
          <w:szCs w:val="28"/>
        </w:rPr>
        <w:t>，将以纸质截图形式留存。</w:t>
      </w:r>
    </w:p>
    <w:p w14:paraId="05CBCA51">
      <w:pPr>
        <w:keepNext w:val="0"/>
        <w:keepLines w:val="0"/>
        <w:pageBreakBefore w:val="0"/>
        <w:widowControl/>
        <w:kinsoku/>
        <w:wordWrap w:val="0"/>
        <w:overflowPunct/>
        <w:topLinePunct/>
        <w:autoSpaceDE/>
        <w:autoSpaceDN/>
        <w:bidi w:val="0"/>
        <w:adjustRightInd w:val="0"/>
        <w:snapToGrid w:val="0"/>
        <w:spacing w:before="67" w:line="219" w:lineRule="auto"/>
        <w:ind w:left="565"/>
        <w:jc w:val="both"/>
        <w:textAlignment w:val="baseline"/>
        <w:outlineLvl w:val="2"/>
        <w:rPr>
          <w:rFonts w:hint="eastAsia" w:ascii="宋体" w:hAnsi="宋体" w:eastAsia="宋体" w:cs="宋体"/>
          <w:color w:val="auto"/>
          <w:sz w:val="28"/>
          <w:szCs w:val="28"/>
        </w:rPr>
      </w:pPr>
      <w:bookmarkStart w:id="8" w:name="_Toc32618"/>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（四）</w:t>
      </w:r>
      <w:bookmarkEnd w:id="8"/>
      <w:r>
        <w:rPr>
          <w:rFonts w:hint="eastAsia" w:ascii="宋体" w:hAnsi="宋体" w:eastAsia="宋体" w:cs="宋体"/>
          <w:color w:val="auto"/>
          <w:spacing w:val="-1"/>
          <w:sz w:val="28"/>
          <w:szCs w:val="28"/>
          <w:lang w:val="en-US" w:eastAsia="zh-CN"/>
          <w14:textOutline w14:w="5103" w14:cap="sq" w14:cmpd="sng">
            <w14:solidFill>
              <w14:srgbClr w14:val="000000"/>
            </w14:solidFill>
            <w14:prstDash w14:val="solid"/>
            <w14:bevel/>
          </w14:textOutline>
        </w:rPr>
        <w:t>落实政府采购政策</w:t>
      </w:r>
    </w:p>
    <w:p w14:paraId="25A3EAF0">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b w:val="0"/>
          <w:bCs w:val="0"/>
          <w:color w:val="auto"/>
          <w:spacing w:val="-1"/>
          <w:sz w:val="28"/>
          <w:szCs w:val="28"/>
          <w:lang w:val="en-US" w:eastAsia="zh-CN"/>
        </w:rPr>
      </w:pPr>
      <w:bookmarkStart w:id="9" w:name="_Toc18529"/>
      <w:r>
        <w:rPr>
          <w:rFonts w:hint="eastAsia" w:ascii="宋体" w:hAnsi="宋体" w:eastAsia="宋体" w:cs="宋体"/>
          <w:b w:val="0"/>
          <w:bCs w:val="0"/>
          <w:color w:val="auto"/>
          <w:spacing w:val="-1"/>
          <w:sz w:val="28"/>
          <w:szCs w:val="28"/>
          <w:lang w:val="en-US" w:eastAsia="zh-CN"/>
        </w:rPr>
        <w:t>1、未预留份额专门面中小企业的货物、服务、工程</w:t>
      </w:r>
      <w:r>
        <w:rPr>
          <w:rFonts w:hint="eastAsia" w:ascii="宋体" w:hAnsi="宋体" w:eastAsia="宋体" w:cs="宋体"/>
          <w:b w:val="0"/>
          <w:bCs w:val="0"/>
          <w:color w:val="auto"/>
          <w:spacing w:val="-1"/>
          <w:sz w:val="28"/>
          <w:szCs w:val="28"/>
          <w:lang w:eastAsia="zh-CN"/>
        </w:rPr>
        <w:t>采购</w:t>
      </w:r>
      <w:r>
        <w:rPr>
          <w:rFonts w:hint="eastAsia" w:ascii="宋体" w:hAnsi="宋体" w:eastAsia="宋体" w:cs="宋体"/>
          <w:b w:val="0"/>
          <w:bCs w:val="0"/>
          <w:color w:val="auto"/>
          <w:spacing w:val="-1"/>
          <w:sz w:val="28"/>
          <w:szCs w:val="28"/>
          <w:lang w:val="en-US" w:eastAsia="zh-CN"/>
        </w:rPr>
        <w:t>项目政策</w:t>
      </w:r>
    </w:p>
    <w:p w14:paraId="02673F60">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rPr>
        <w:t>根据《政府采购促进中小企业发展管理办法》（财库〔2020〕46号）、《财政部关于进一步加大政府采购支持中小企业力度的通知》（财库〔2022〕19号）、《陕西省财政厅关于进一步加大政府采购支持中小企业力度的通知》（陕财办采〔2022〕5号）和《榆林市财政局关于进一步加大政府采购支持中小企业力度的通知》（榆政财采发〔2022〕10号）的有关规定，</w:t>
      </w:r>
      <w:r>
        <w:rPr>
          <w:rFonts w:hint="eastAsia" w:ascii="宋体" w:hAnsi="宋体" w:eastAsia="宋体" w:cs="宋体"/>
          <w:color w:val="auto"/>
          <w:spacing w:val="-1"/>
          <w:sz w:val="28"/>
          <w:szCs w:val="28"/>
          <w:lang w:val="en-US" w:eastAsia="zh-CN"/>
        </w:rPr>
        <w:t>对</w:t>
      </w:r>
      <w:r>
        <w:rPr>
          <w:rFonts w:hint="eastAsia" w:ascii="宋体" w:hAnsi="宋体" w:eastAsia="宋体" w:cs="宋体"/>
          <w:color w:val="auto"/>
          <w:spacing w:val="-1"/>
          <w:sz w:val="28"/>
          <w:szCs w:val="28"/>
        </w:rPr>
        <w:t>非专门面向中小企业的货物服务采购项目，</w:t>
      </w:r>
      <w:r>
        <w:rPr>
          <w:rFonts w:hint="eastAsia" w:ascii="宋体" w:hAnsi="宋体" w:eastAsia="宋体" w:cs="宋体"/>
          <w:color w:val="auto"/>
          <w:spacing w:val="-1"/>
          <w:sz w:val="28"/>
          <w:szCs w:val="28"/>
          <w:lang w:eastAsia="zh-CN"/>
        </w:rPr>
        <w:t>在货物采购项目中，货物由</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企业制造，即货物由</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企业生产且使用该</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企业商号或者注册商标；在服务采购项目中，服务由</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企业承接，即提供服务的人员为</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企业依照《中华人民共和国劳动合同法》订立劳动合同的从业人员；在工程采购项目中，工程由</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企业承建，即工程施工单位为</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w:t>
      </w:r>
      <w:r>
        <w:rPr>
          <w:rFonts w:hint="eastAsia" w:ascii="宋体" w:hAnsi="宋体" w:eastAsia="宋体" w:cs="宋体"/>
          <w:color w:val="auto"/>
          <w:spacing w:val="-1"/>
          <w:sz w:val="28"/>
          <w:szCs w:val="28"/>
          <w:lang w:val="en-US" w:eastAsia="zh-CN"/>
        </w:rPr>
        <w:t>小微</w:t>
      </w:r>
      <w:r>
        <w:rPr>
          <w:rFonts w:hint="eastAsia" w:ascii="宋体" w:hAnsi="宋体" w:eastAsia="宋体" w:cs="宋体"/>
          <w:color w:val="auto"/>
          <w:spacing w:val="-1"/>
          <w:sz w:val="28"/>
          <w:szCs w:val="28"/>
          <w:lang w:eastAsia="zh-CN"/>
        </w:rPr>
        <w:t>企业参与政府采额购活动时，货物和服务项目对小型和微型企业报价给予</w:t>
      </w:r>
      <w:r>
        <w:rPr>
          <w:rFonts w:hint="eastAsia" w:ascii="宋体" w:hAnsi="宋体" w:eastAsia="宋体" w:cs="宋体"/>
          <w:color w:val="auto"/>
          <w:spacing w:val="-1"/>
          <w:sz w:val="28"/>
          <w:szCs w:val="28"/>
          <w:lang w:val="en-US" w:eastAsia="zh-CN"/>
        </w:rPr>
        <w:t>20</w:t>
      </w:r>
      <w:r>
        <w:rPr>
          <w:rFonts w:hint="eastAsia" w:ascii="宋体" w:hAnsi="宋体" w:eastAsia="宋体" w:cs="宋体"/>
          <w:color w:val="auto"/>
          <w:spacing w:val="-1"/>
          <w:sz w:val="28"/>
          <w:szCs w:val="28"/>
          <w:lang w:eastAsia="zh-CN"/>
        </w:rPr>
        <w:t>%的价格扣除。适用招标投标法的政府采购工程建设项目，采用综合评估法但未采用低价优先法计算价格分的，评标时应当在采用原报价进行评分的基础上增加其价格得分的</w:t>
      </w:r>
      <w:r>
        <w:rPr>
          <w:rFonts w:hint="eastAsia" w:ascii="宋体" w:hAnsi="宋体" w:eastAsia="宋体" w:cs="宋体"/>
          <w:color w:val="auto"/>
          <w:spacing w:val="-1"/>
          <w:sz w:val="28"/>
          <w:szCs w:val="28"/>
          <w:lang w:val="en-US" w:eastAsia="zh-CN"/>
        </w:rPr>
        <w:t>20</w:t>
      </w:r>
      <w:r>
        <w:rPr>
          <w:rFonts w:hint="eastAsia" w:ascii="宋体" w:hAnsi="宋体" w:eastAsia="宋体" w:cs="宋体"/>
          <w:color w:val="auto"/>
          <w:spacing w:val="-1"/>
          <w:sz w:val="28"/>
          <w:szCs w:val="28"/>
          <w:lang w:eastAsia="zh-CN"/>
        </w:rPr>
        <w:t>%作为其价格分。</w:t>
      </w:r>
    </w:p>
    <w:p w14:paraId="7EF9BEE7">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在货物采购项目中，供应商提供的货物既有小</w:t>
      </w:r>
      <w:r>
        <w:rPr>
          <w:rFonts w:hint="eastAsia" w:ascii="宋体" w:hAnsi="宋体" w:eastAsia="宋体" w:cs="宋体"/>
          <w:color w:val="auto"/>
          <w:spacing w:val="-1"/>
          <w:sz w:val="28"/>
          <w:szCs w:val="28"/>
          <w:lang w:val="en-US" w:eastAsia="zh-CN"/>
        </w:rPr>
        <w:t>微</w:t>
      </w:r>
      <w:r>
        <w:rPr>
          <w:rFonts w:hint="eastAsia" w:ascii="宋体" w:hAnsi="宋体" w:eastAsia="宋体" w:cs="宋体"/>
          <w:color w:val="auto"/>
          <w:spacing w:val="-1"/>
          <w:sz w:val="28"/>
          <w:szCs w:val="28"/>
          <w:lang w:eastAsia="zh-CN"/>
        </w:rPr>
        <w:t>企业制造货物，也有</w:t>
      </w:r>
      <w:r>
        <w:rPr>
          <w:rFonts w:hint="eastAsia" w:ascii="宋体" w:hAnsi="宋体" w:eastAsia="宋体" w:cs="宋体"/>
          <w:color w:val="auto"/>
          <w:spacing w:val="-1"/>
          <w:sz w:val="28"/>
          <w:szCs w:val="28"/>
          <w:lang w:val="en-US" w:eastAsia="zh-CN"/>
        </w:rPr>
        <w:t>中</w:t>
      </w:r>
      <w:r>
        <w:rPr>
          <w:rFonts w:hint="eastAsia" w:ascii="宋体" w:hAnsi="宋体" w:eastAsia="宋体" w:cs="宋体"/>
          <w:color w:val="auto"/>
          <w:spacing w:val="-1"/>
          <w:sz w:val="28"/>
          <w:szCs w:val="28"/>
          <w:lang w:eastAsia="zh-CN"/>
        </w:rPr>
        <w:t>型、大型企业制造货物的，不享受政府采购价格扣除优惠政策。</w:t>
      </w:r>
    </w:p>
    <w:p w14:paraId="78A4A234">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在服务采购项目中，供应商</w:t>
      </w:r>
      <w:r>
        <w:rPr>
          <w:rFonts w:hint="eastAsia" w:ascii="宋体" w:hAnsi="宋体" w:eastAsia="宋体" w:cs="宋体"/>
          <w:color w:val="auto"/>
          <w:spacing w:val="-1"/>
          <w:sz w:val="28"/>
          <w:szCs w:val="28"/>
          <w:lang w:val="en-US" w:eastAsia="zh-CN"/>
        </w:rPr>
        <w:t>承接</w:t>
      </w:r>
      <w:r>
        <w:rPr>
          <w:rFonts w:hint="eastAsia" w:ascii="宋体" w:hAnsi="宋体" w:eastAsia="宋体" w:cs="宋体"/>
          <w:color w:val="auto"/>
          <w:spacing w:val="-1"/>
          <w:sz w:val="28"/>
          <w:szCs w:val="28"/>
          <w:lang w:eastAsia="zh-CN"/>
        </w:rPr>
        <w:t>的服务既有小</w:t>
      </w:r>
      <w:r>
        <w:rPr>
          <w:rFonts w:hint="eastAsia" w:ascii="宋体" w:hAnsi="宋体" w:eastAsia="宋体" w:cs="宋体"/>
          <w:color w:val="auto"/>
          <w:spacing w:val="-1"/>
          <w:sz w:val="28"/>
          <w:szCs w:val="28"/>
          <w:lang w:val="en-US" w:eastAsia="zh-CN"/>
        </w:rPr>
        <w:t>微</w:t>
      </w:r>
      <w:r>
        <w:rPr>
          <w:rFonts w:hint="eastAsia" w:ascii="宋体" w:hAnsi="宋体" w:eastAsia="宋体" w:cs="宋体"/>
          <w:color w:val="auto"/>
          <w:spacing w:val="-1"/>
          <w:sz w:val="28"/>
          <w:szCs w:val="28"/>
          <w:lang w:eastAsia="zh-CN"/>
        </w:rPr>
        <w:t>企业承接，也有</w:t>
      </w:r>
      <w:r>
        <w:rPr>
          <w:rFonts w:hint="eastAsia" w:ascii="宋体" w:hAnsi="宋体" w:eastAsia="宋体" w:cs="宋体"/>
          <w:color w:val="auto"/>
          <w:spacing w:val="-1"/>
          <w:sz w:val="28"/>
          <w:szCs w:val="28"/>
          <w:lang w:val="en-US" w:eastAsia="zh-CN"/>
        </w:rPr>
        <w:t>中</w:t>
      </w:r>
      <w:r>
        <w:rPr>
          <w:rFonts w:hint="eastAsia" w:ascii="宋体" w:hAnsi="宋体" w:eastAsia="宋体" w:cs="宋体"/>
          <w:color w:val="auto"/>
          <w:spacing w:val="-1"/>
          <w:sz w:val="28"/>
          <w:szCs w:val="28"/>
          <w:lang w:eastAsia="zh-CN"/>
        </w:rPr>
        <w:t>型、大型企业承接的，不享受政府采购价格扣除优惠政策。</w:t>
      </w:r>
    </w:p>
    <w:p w14:paraId="6BAE3F2D">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在工程采购项目中，供应商</w:t>
      </w:r>
      <w:r>
        <w:rPr>
          <w:rFonts w:hint="eastAsia" w:ascii="宋体" w:hAnsi="宋体" w:eastAsia="宋体" w:cs="宋体"/>
          <w:color w:val="auto"/>
          <w:spacing w:val="-1"/>
          <w:sz w:val="28"/>
          <w:szCs w:val="28"/>
          <w:lang w:val="en-US" w:eastAsia="zh-CN"/>
        </w:rPr>
        <w:t>承建</w:t>
      </w:r>
      <w:r>
        <w:rPr>
          <w:rFonts w:hint="eastAsia" w:ascii="宋体" w:hAnsi="宋体" w:eastAsia="宋体" w:cs="宋体"/>
          <w:color w:val="auto"/>
          <w:spacing w:val="-1"/>
          <w:sz w:val="28"/>
          <w:szCs w:val="28"/>
          <w:lang w:eastAsia="zh-CN"/>
        </w:rPr>
        <w:t>的工程既有小</w:t>
      </w:r>
      <w:r>
        <w:rPr>
          <w:rFonts w:hint="eastAsia" w:ascii="宋体" w:hAnsi="宋体" w:eastAsia="宋体" w:cs="宋体"/>
          <w:color w:val="auto"/>
          <w:spacing w:val="-1"/>
          <w:sz w:val="28"/>
          <w:szCs w:val="28"/>
          <w:lang w:val="en-US" w:eastAsia="zh-CN"/>
        </w:rPr>
        <w:t>微</w:t>
      </w:r>
      <w:r>
        <w:rPr>
          <w:rFonts w:hint="eastAsia" w:ascii="宋体" w:hAnsi="宋体" w:eastAsia="宋体" w:cs="宋体"/>
          <w:color w:val="auto"/>
          <w:spacing w:val="-1"/>
          <w:sz w:val="28"/>
          <w:szCs w:val="28"/>
          <w:lang w:eastAsia="zh-CN"/>
        </w:rPr>
        <w:t>企业</w:t>
      </w:r>
      <w:r>
        <w:rPr>
          <w:rFonts w:hint="eastAsia" w:ascii="宋体" w:hAnsi="宋体" w:eastAsia="宋体" w:cs="宋体"/>
          <w:color w:val="auto"/>
          <w:spacing w:val="-1"/>
          <w:sz w:val="28"/>
          <w:szCs w:val="28"/>
          <w:lang w:val="en-US" w:eastAsia="zh-CN"/>
        </w:rPr>
        <w:t>承建</w:t>
      </w:r>
      <w:r>
        <w:rPr>
          <w:rFonts w:hint="eastAsia" w:ascii="宋体" w:hAnsi="宋体" w:eastAsia="宋体" w:cs="宋体"/>
          <w:color w:val="auto"/>
          <w:spacing w:val="-1"/>
          <w:sz w:val="28"/>
          <w:szCs w:val="28"/>
          <w:lang w:eastAsia="zh-CN"/>
        </w:rPr>
        <w:t>，也有</w:t>
      </w:r>
      <w:r>
        <w:rPr>
          <w:rFonts w:hint="eastAsia" w:ascii="宋体" w:hAnsi="宋体" w:eastAsia="宋体" w:cs="宋体"/>
          <w:color w:val="auto"/>
          <w:spacing w:val="-1"/>
          <w:sz w:val="28"/>
          <w:szCs w:val="28"/>
          <w:lang w:val="en-US" w:eastAsia="zh-CN"/>
        </w:rPr>
        <w:t>中</w:t>
      </w:r>
      <w:r>
        <w:rPr>
          <w:rFonts w:hint="eastAsia" w:ascii="宋体" w:hAnsi="宋体" w:eastAsia="宋体" w:cs="宋体"/>
          <w:color w:val="auto"/>
          <w:spacing w:val="-1"/>
          <w:sz w:val="28"/>
          <w:szCs w:val="28"/>
          <w:lang w:eastAsia="zh-CN"/>
        </w:rPr>
        <w:t>型、大型企业</w:t>
      </w:r>
      <w:r>
        <w:rPr>
          <w:rFonts w:hint="eastAsia" w:ascii="宋体" w:hAnsi="宋体" w:eastAsia="宋体" w:cs="宋体"/>
          <w:color w:val="auto"/>
          <w:spacing w:val="-1"/>
          <w:sz w:val="28"/>
          <w:szCs w:val="28"/>
          <w:lang w:val="en-US" w:eastAsia="zh-CN"/>
        </w:rPr>
        <w:t>承建</w:t>
      </w:r>
      <w:r>
        <w:rPr>
          <w:rFonts w:hint="eastAsia" w:ascii="宋体" w:hAnsi="宋体" w:eastAsia="宋体" w:cs="宋体"/>
          <w:color w:val="auto"/>
          <w:spacing w:val="-1"/>
          <w:sz w:val="28"/>
          <w:szCs w:val="28"/>
          <w:lang w:eastAsia="zh-CN"/>
        </w:rPr>
        <w:t>的，不享受政府采购价格扣除优惠政策。</w:t>
      </w:r>
    </w:p>
    <w:p w14:paraId="03EFF76C">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val="en-US" w:eastAsia="zh-CN"/>
        </w:rPr>
        <w:t>2、</w:t>
      </w:r>
      <w:r>
        <w:rPr>
          <w:rFonts w:hint="eastAsia" w:ascii="宋体" w:hAnsi="宋体" w:eastAsia="宋体" w:cs="宋体"/>
          <w:color w:val="auto"/>
          <w:spacing w:val="-1"/>
          <w:sz w:val="28"/>
          <w:szCs w:val="28"/>
          <w:lang w:eastAsia="zh-CN"/>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w:t>
      </w:r>
      <w:r>
        <w:rPr>
          <w:rFonts w:hint="eastAsia" w:ascii="宋体" w:hAnsi="宋体" w:eastAsia="宋体" w:cs="宋体"/>
          <w:color w:val="auto"/>
          <w:spacing w:val="-1"/>
          <w:sz w:val="28"/>
          <w:szCs w:val="28"/>
          <w:lang w:val="en-US" w:eastAsia="zh-CN"/>
        </w:rPr>
        <w:t>6</w:t>
      </w:r>
      <w:r>
        <w:rPr>
          <w:rFonts w:hint="eastAsia" w:ascii="宋体" w:hAnsi="宋体" w:eastAsia="宋体" w:cs="宋体"/>
          <w:color w:val="auto"/>
          <w:spacing w:val="-1"/>
          <w:sz w:val="28"/>
          <w:szCs w:val="28"/>
          <w:lang w:eastAsia="zh-CN"/>
        </w:rPr>
        <w:t>%的扣除；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8628686">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参加非专门面向中小企业采购项目的小微企业应提供《</w:t>
      </w:r>
      <w:r>
        <w:rPr>
          <w:rFonts w:hint="eastAsia" w:ascii="宋体" w:hAnsi="宋体" w:eastAsia="宋体" w:cs="宋体"/>
          <w:color w:val="auto"/>
          <w:spacing w:val="-1"/>
          <w:sz w:val="28"/>
          <w:szCs w:val="28"/>
          <w:lang w:val="en-US" w:eastAsia="zh-CN"/>
        </w:rPr>
        <w:t>中小</w:t>
      </w:r>
      <w:r>
        <w:rPr>
          <w:rFonts w:hint="eastAsia" w:ascii="宋体" w:hAnsi="宋体" w:eastAsia="宋体" w:cs="宋体"/>
          <w:color w:val="auto"/>
          <w:spacing w:val="-1"/>
          <w:sz w:val="28"/>
          <w:szCs w:val="28"/>
          <w:lang w:eastAsia="zh-CN"/>
        </w:rPr>
        <w:t>企业声明函》原件，未提供上述声明函原件的，不能享受</w:t>
      </w:r>
      <w:r>
        <w:rPr>
          <w:rFonts w:hint="eastAsia" w:ascii="宋体" w:hAnsi="宋体" w:eastAsia="宋体" w:cs="宋体"/>
          <w:color w:val="auto"/>
          <w:spacing w:val="-1"/>
          <w:sz w:val="28"/>
          <w:szCs w:val="28"/>
          <w:lang w:val="en-US" w:eastAsia="zh-CN"/>
        </w:rPr>
        <w:t>谈判</w:t>
      </w:r>
      <w:r>
        <w:rPr>
          <w:rFonts w:hint="eastAsia" w:ascii="宋体" w:hAnsi="宋体" w:eastAsia="宋体" w:cs="宋体"/>
          <w:color w:val="auto"/>
          <w:spacing w:val="-1"/>
          <w:sz w:val="28"/>
          <w:szCs w:val="28"/>
          <w:lang w:eastAsia="zh-CN"/>
        </w:rPr>
        <w:t>文件规定的价格扣除，但不影响响应文件的有效性。供应商未如实填报《</w:t>
      </w:r>
      <w:r>
        <w:rPr>
          <w:rFonts w:hint="eastAsia" w:ascii="宋体" w:hAnsi="宋体" w:eastAsia="宋体" w:cs="宋体"/>
          <w:color w:val="auto"/>
          <w:spacing w:val="-1"/>
          <w:sz w:val="28"/>
          <w:szCs w:val="28"/>
          <w:lang w:val="en-US" w:eastAsia="zh-CN"/>
        </w:rPr>
        <w:t>中小</w:t>
      </w:r>
      <w:r>
        <w:rPr>
          <w:rFonts w:hint="eastAsia" w:ascii="宋体" w:hAnsi="宋体" w:eastAsia="宋体" w:cs="宋体"/>
          <w:color w:val="auto"/>
          <w:spacing w:val="-1"/>
          <w:sz w:val="28"/>
          <w:szCs w:val="28"/>
          <w:lang w:eastAsia="zh-CN"/>
        </w:rPr>
        <w:t>企业声明函》的，视为“供应商提供虚假材料谋取中标、成交的”行为，拒绝其参本次投标活动。</w:t>
      </w:r>
    </w:p>
    <w:p w14:paraId="5548F98E">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val="en-US" w:eastAsia="zh-CN"/>
        </w:rPr>
        <w:t>注：</w:t>
      </w:r>
      <w:r>
        <w:rPr>
          <w:rFonts w:hint="eastAsia" w:ascii="宋体" w:hAnsi="宋体" w:eastAsia="宋体" w:cs="宋体"/>
          <w:color w:val="auto"/>
          <w:spacing w:val="-1"/>
          <w:sz w:val="28"/>
          <w:szCs w:val="28"/>
          <w:lang w:eastAsia="zh-CN"/>
        </w:rPr>
        <w:t>小微企业划分标准参照《中小企业划型标准规定》（工信部联企业〔2011〕300号）执行。</w:t>
      </w:r>
    </w:p>
    <w:p w14:paraId="1F7F6018">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val="en-US" w:eastAsia="zh-CN"/>
        </w:rPr>
        <w:t>3、</w:t>
      </w:r>
      <w:r>
        <w:rPr>
          <w:rFonts w:hint="eastAsia" w:ascii="宋体" w:hAnsi="宋体" w:eastAsia="宋体" w:cs="宋体"/>
          <w:color w:val="auto"/>
          <w:spacing w:val="-1"/>
          <w:sz w:val="28"/>
          <w:szCs w:val="28"/>
          <w:lang w:eastAsia="zh-CN"/>
        </w:rPr>
        <w:t>监狱企业应符合《财政部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14:paraId="2A360457">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未提供上述声明函原件，不能享受</w:t>
      </w:r>
      <w:r>
        <w:rPr>
          <w:rFonts w:hint="eastAsia" w:ascii="宋体" w:hAnsi="宋体" w:eastAsia="宋体" w:cs="宋体"/>
          <w:color w:val="auto"/>
          <w:spacing w:val="-1"/>
          <w:sz w:val="28"/>
          <w:szCs w:val="28"/>
          <w:lang w:val="en-US" w:eastAsia="zh-CN"/>
        </w:rPr>
        <w:t>谈判</w:t>
      </w:r>
      <w:r>
        <w:rPr>
          <w:rFonts w:hint="eastAsia" w:ascii="宋体" w:hAnsi="宋体" w:eastAsia="宋体" w:cs="宋体"/>
          <w:color w:val="auto"/>
          <w:spacing w:val="-1"/>
          <w:sz w:val="28"/>
          <w:szCs w:val="28"/>
          <w:lang w:eastAsia="zh-CN"/>
        </w:rPr>
        <w:t>文件规定的价格扣除。供应商未如实填报《供应商书面声明函》的，视为“供应商提供虚假材料谋取中标、成交的”行为，拒绝其参本次投标活动。</w:t>
      </w:r>
    </w:p>
    <w:p w14:paraId="700002FB">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4、本项目非专门面向中小企业的采购</w:t>
      </w:r>
    </w:p>
    <w:p w14:paraId="7AEB482C">
      <w:pPr>
        <w:keepNext w:val="0"/>
        <w:keepLines w:val="0"/>
        <w:pageBreakBefore w:val="0"/>
        <w:widowControl/>
        <w:kinsoku/>
        <w:wordWrap w:val="0"/>
        <w:overflowPunct/>
        <w:topLinePunct/>
        <w:autoSpaceDE/>
        <w:autoSpaceDN/>
        <w:bidi w:val="0"/>
        <w:adjustRightInd w:val="0"/>
        <w:snapToGrid w:val="0"/>
        <w:spacing w:before="2" w:line="265" w:lineRule="auto"/>
        <w:ind w:left="136" w:right="97" w:firstLine="583"/>
        <w:jc w:val="both"/>
        <w:textAlignment w:val="baseline"/>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本项目非专门面向中小企业的采购，对小型和微型企业报价给予20%的价格扣除，用扣除后的价格参与评审。</w:t>
      </w:r>
    </w:p>
    <w:p w14:paraId="6664B52E">
      <w:pPr>
        <w:keepNext w:val="0"/>
        <w:keepLines w:val="0"/>
        <w:pageBreakBefore w:val="0"/>
        <w:widowControl/>
        <w:kinsoku/>
        <w:wordWrap w:val="0"/>
        <w:overflowPunct/>
        <w:topLinePunct/>
        <w:autoSpaceDE/>
        <w:autoSpaceDN/>
        <w:bidi w:val="0"/>
        <w:adjustRightInd w:val="0"/>
        <w:snapToGrid w:val="0"/>
        <w:spacing w:before="77" w:line="220" w:lineRule="auto"/>
        <w:ind w:left="586"/>
        <w:jc w:val="both"/>
        <w:textAlignment w:val="baseline"/>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（五）关于知识产权与保密事项</w:t>
      </w:r>
      <w:bookmarkEnd w:id="9"/>
    </w:p>
    <w:p w14:paraId="0B3F0CAD">
      <w:pPr>
        <w:keepNext w:val="0"/>
        <w:keepLines w:val="0"/>
        <w:pageBreakBefore w:val="0"/>
        <w:widowControl/>
        <w:kinsoku/>
        <w:wordWrap w:val="0"/>
        <w:overflowPunct/>
        <w:topLinePunct/>
        <w:autoSpaceDE/>
        <w:autoSpaceDN/>
        <w:bidi w:val="0"/>
        <w:adjustRightInd w:val="0"/>
        <w:snapToGrid w:val="0"/>
        <w:spacing w:before="65" w:line="249" w:lineRule="auto"/>
        <w:ind w:left="158" w:right="120" w:firstLine="582"/>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1、所有涉及知识产权的产品及设计，</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必须确保采购人拥有其合</w:t>
      </w:r>
      <w:r>
        <w:rPr>
          <w:rFonts w:hint="eastAsia" w:ascii="宋体" w:hAnsi="宋体" w:eastAsia="宋体" w:cs="宋体"/>
          <w:color w:val="auto"/>
          <w:spacing w:val="3"/>
          <w:sz w:val="28"/>
          <w:szCs w:val="28"/>
        </w:rPr>
        <w:t>法的、不受限制的无偿使用权，并免受任何侵权诉讼或索偿，否则，由此</w:t>
      </w:r>
      <w:r>
        <w:rPr>
          <w:rFonts w:hint="eastAsia" w:ascii="宋体" w:hAnsi="宋体" w:eastAsia="宋体" w:cs="宋体"/>
          <w:color w:val="auto"/>
          <w:spacing w:val="-1"/>
          <w:sz w:val="28"/>
          <w:szCs w:val="28"/>
        </w:rPr>
        <w:t>产生的一切经济损失和法律责任由</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承担。</w:t>
      </w:r>
    </w:p>
    <w:p w14:paraId="2F6058C5">
      <w:pPr>
        <w:keepNext w:val="0"/>
        <w:keepLines w:val="0"/>
        <w:pageBreakBefore w:val="0"/>
        <w:widowControl/>
        <w:kinsoku/>
        <w:wordWrap w:val="0"/>
        <w:overflowPunct/>
        <w:topLinePunct/>
        <w:autoSpaceDE/>
        <w:autoSpaceDN/>
        <w:bidi w:val="0"/>
        <w:adjustRightInd w:val="0"/>
        <w:snapToGrid w:val="0"/>
        <w:spacing w:before="67" w:line="249" w:lineRule="auto"/>
        <w:ind w:left="157" w:right="120" w:firstLine="56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2、由采购人向</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提供的所有资料，</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2"/>
          <w:sz w:val="28"/>
          <w:szCs w:val="28"/>
        </w:rPr>
        <w:t>不得向第三方透露或将</w:t>
      </w:r>
      <w:r>
        <w:rPr>
          <w:rFonts w:hint="eastAsia" w:ascii="宋体" w:hAnsi="宋体" w:eastAsia="宋体" w:cs="宋体"/>
          <w:color w:val="auto"/>
          <w:spacing w:val="3"/>
          <w:sz w:val="28"/>
          <w:szCs w:val="28"/>
        </w:rPr>
        <w:t>其用于本次采购以外的任何用途。开标后，若采购人有要求，</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须归</w:t>
      </w:r>
      <w:r>
        <w:rPr>
          <w:rFonts w:hint="eastAsia" w:ascii="宋体" w:hAnsi="宋体" w:eastAsia="宋体" w:cs="宋体"/>
          <w:color w:val="auto"/>
          <w:sz w:val="28"/>
          <w:szCs w:val="28"/>
        </w:rPr>
        <w:t>还采购人认为需保密的文件和资料，并销毁所有相</w:t>
      </w:r>
      <w:r>
        <w:rPr>
          <w:rFonts w:hint="eastAsia" w:ascii="宋体" w:hAnsi="宋体" w:eastAsia="宋体" w:cs="宋体"/>
          <w:color w:val="auto"/>
          <w:spacing w:val="-1"/>
          <w:sz w:val="28"/>
          <w:szCs w:val="28"/>
        </w:rPr>
        <w:t>应的备份文件及资料。</w:t>
      </w:r>
    </w:p>
    <w:p w14:paraId="1AFF7281">
      <w:pPr>
        <w:keepNext w:val="0"/>
        <w:keepLines w:val="0"/>
        <w:pageBreakBefore w:val="0"/>
        <w:widowControl/>
        <w:kinsoku/>
        <w:wordWrap w:val="0"/>
        <w:overflowPunct/>
        <w:topLinePunct/>
        <w:autoSpaceDE/>
        <w:autoSpaceDN/>
        <w:bidi w:val="0"/>
        <w:adjustRightInd w:val="0"/>
        <w:snapToGrid w:val="0"/>
        <w:spacing w:before="148" w:line="219" w:lineRule="auto"/>
        <w:ind w:left="586"/>
        <w:jc w:val="both"/>
        <w:textAlignment w:val="baseline"/>
        <w:outlineLvl w:val="2"/>
        <w:rPr>
          <w:rFonts w:hint="eastAsia" w:ascii="宋体" w:hAnsi="宋体" w:eastAsia="宋体" w:cs="宋体"/>
          <w:color w:val="auto"/>
          <w:sz w:val="28"/>
          <w:szCs w:val="28"/>
        </w:rPr>
      </w:pPr>
      <w:bookmarkStart w:id="10" w:name="_Toc14387"/>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（六）政采贷业务</w:t>
      </w:r>
      <w:bookmarkEnd w:id="10"/>
    </w:p>
    <w:p w14:paraId="6A5620C3">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w:t>
      </w:r>
      <w:r>
        <w:rPr>
          <w:rFonts w:hint="eastAsia" w:ascii="宋体" w:hAnsi="宋体" w:eastAsia="宋体" w:cs="宋体"/>
          <w:color w:val="auto"/>
          <w:sz w:val="28"/>
          <w:szCs w:val="28"/>
        </w:rPr>
        <w:t>管理办法》（财库〔2020〕46号）、《陕西省中小企业政府采购信用融资办法》（陕财办采〔2018〕23号）、《陕西省财政厅关于加快推进我省中</w:t>
      </w:r>
      <w:r>
        <w:rPr>
          <w:rFonts w:hint="eastAsia" w:ascii="宋体" w:hAnsi="宋体" w:eastAsia="宋体" w:cs="宋体"/>
          <w:color w:val="auto"/>
          <w:spacing w:val="-4"/>
          <w:sz w:val="28"/>
          <w:szCs w:val="28"/>
        </w:rPr>
        <w:t>小企业政府采购信用融资工作的通知》（陕财办采〔2020〕5号）等有关规</w:t>
      </w:r>
      <w:r>
        <w:rPr>
          <w:rFonts w:hint="eastAsia" w:ascii="宋体" w:hAnsi="宋体" w:eastAsia="宋体" w:cs="宋体"/>
          <w:color w:val="auto"/>
          <w:spacing w:val="-2"/>
          <w:sz w:val="28"/>
          <w:szCs w:val="28"/>
        </w:rPr>
        <w:t>定，按照政府引导、市场运作、银企自愿、风险自担的原则，中标（成交）</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可根据自身资金需求，登录陕西省政府采购信用融资平台（http://</w:t>
      </w:r>
      <w:r>
        <w:rPr>
          <w:rFonts w:hint="eastAsia" w:ascii="宋体" w:hAnsi="宋体" w:eastAsia="宋体" w:cs="宋体"/>
          <w:color w:val="auto"/>
          <w:spacing w:val="-3"/>
          <w:sz w:val="28"/>
          <w:szCs w:val="28"/>
        </w:rPr>
        <w:t>www.ccgp-shaanxi.gov.cn/zcdservice/zcd/shanxi/）或中征平台（https:</w:t>
      </w:r>
      <w:r>
        <w:rPr>
          <w:rFonts w:hint="eastAsia" w:ascii="宋体" w:hAnsi="宋体" w:eastAsia="宋体" w:cs="宋体"/>
          <w:color w:val="auto"/>
          <w:sz w:val="28"/>
          <w:szCs w:val="28"/>
        </w:rPr>
        <w:t>//www.crcrfsp.com）在线申请，依法参加政府</w:t>
      </w:r>
      <w:r>
        <w:rPr>
          <w:rFonts w:hint="eastAsia" w:ascii="宋体" w:hAnsi="宋体" w:eastAsia="宋体" w:cs="宋体"/>
          <w:color w:val="auto"/>
          <w:spacing w:val="-1"/>
          <w:sz w:val="28"/>
          <w:szCs w:val="28"/>
        </w:rPr>
        <w:t>采购信用融资活动。</w:t>
      </w:r>
    </w:p>
    <w:p w14:paraId="064E9E53">
      <w:pPr>
        <w:keepNext w:val="0"/>
        <w:keepLines w:val="0"/>
        <w:pageBreakBefore w:val="0"/>
        <w:widowControl/>
        <w:kinsoku/>
        <w:wordWrap w:val="0"/>
        <w:overflowPunct/>
        <w:topLinePunct/>
        <w:autoSpaceDE/>
        <w:autoSpaceDN/>
        <w:bidi w:val="0"/>
        <w:adjustRightInd w:val="0"/>
        <w:snapToGrid w:val="0"/>
        <w:spacing w:before="75" w:line="211" w:lineRule="auto"/>
        <w:ind w:left="2569"/>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榆林市“政采贷”业务办理银行联系表</w:t>
      </w:r>
    </w:p>
    <w:tbl>
      <w:tblPr>
        <w:tblStyle w:val="21"/>
        <w:tblW w:w="9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091"/>
        <w:gridCol w:w="1186"/>
        <w:gridCol w:w="1308"/>
        <w:gridCol w:w="1055"/>
        <w:gridCol w:w="1344"/>
        <w:gridCol w:w="1130"/>
        <w:gridCol w:w="1450"/>
      </w:tblGrid>
      <w:tr w14:paraId="359F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2A1B293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序号</w:t>
            </w:r>
          </w:p>
        </w:tc>
        <w:tc>
          <w:tcPr>
            <w:tcW w:w="1091" w:type="dxa"/>
            <w:vAlign w:val="center"/>
          </w:tcPr>
          <w:p w14:paraId="58FD6B6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银行名称</w:t>
            </w:r>
          </w:p>
        </w:tc>
        <w:tc>
          <w:tcPr>
            <w:tcW w:w="1186" w:type="dxa"/>
            <w:vAlign w:val="center"/>
          </w:tcPr>
          <w:p w14:paraId="1A41FFB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产品名称</w:t>
            </w:r>
          </w:p>
        </w:tc>
        <w:tc>
          <w:tcPr>
            <w:tcW w:w="1308" w:type="dxa"/>
            <w:vAlign w:val="center"/>
          </w:tcPr>
          <w:p w14:paraId="6189F1E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贷款额度</w:t>
            </w:r>
          </w:p>
        </w:tc>
        <w:tc>
          <w:tcPr>
            <w:tcW w:w="1055" w:type="dxa"/>
            <w:vAlign w:val="center"/>
          </w:tcPr>
          <w:p w14:paraId="409E211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贷款期限</w:t>
            </w:r>
          </w:p>
        </w:tc>
        <w:tc>
          <w:tcPr>
            <w:tcW w:w="1344" w:type="dxa"/>
            <w:vAlign w:val="center"/>
          </w:tcPr>
          <w:p w14:paraId="7C51971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贷款利率</w:t>
            </w:r>
          </w:p>
        </w:tc>
        <w:tc>
          <w:tcPr>
            <w:tcW w:w="1130" w:type="dxa"/>
            <w:vAlign w:val="center"/>
          </w:tcPr>
          <w:p w14:paraId="2E8FD99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办理时效</w:t>
            </w:r>
          </w:p>
        </w:tc>
        <w:tc>
          <w:tcPr>
            <w:tcW w:w="1450" w:type="dxa"/>
            <w:vAlign w:val="center"/>
          </w:tcPr>
          <w:p w14:paraId="4A40FB1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6"/>
                <w:sz w:val="21"/>
                <w:szCs w:val="21"/>
              </w:rPr>
            </w:pPr>
            <w:r>
              <w:rPr>
                <w:rFonts w:hint="eastAsia" w:ascii="宋体" w:hAnsi="宋体" w:eastAsia="宋体" w:cs="宋体"/>
                <w:i w:val="0"/>
                <w:iCs w:val="0"/>
                <w:color w:val="auto"/>
                <w:kern w:val="0"/>
                <w:sz w:val="21"/>
                <w:szCs w:val="21"/>
                <w:u w:val="none"/>
                <w:lang w:val="en-US" w:eastAsia="zh-CN" w:bidi="ar"/>
              </w:rPr>
              <w:t>联系人</w:t>
            </w:r>
          </w:p>
        </w:tc>
      </w:tr>
      <w:tr w14:paraId="69E1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4995CE1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1091" w:type="dxa"/>
            <w:vAlign w:val="center"/>
          </w:tcPr>
          <w:p w14:paraId="440D668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长安银行</w:t>
            </w:r>
          </w:p>
        </w:tc>
        <w:tc>
          <w:tcPr>
            <w:tcW w:w="1186" w:type="dxa"/>
            <w:vAlign w:val="center"/>
          </w:tcPr>
          <w:p w14:paraId="79BD59E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0764BC6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6AA1E38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1-3年</w:t>
            </w:r>
          </w:p>
        </w:tc>
        <w:tc>
          <w:tcPr>
            <w:tcW w:w="1344" w:type="dxa"/>
            <w:vAlign w:val="center"/>
          </w:tcPr>
          <w:p w14:paraId="200A87B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w:t>
            </w:r>
          </w:p>
        </w:tc>
        <w:tc>
          <w:tcPr>
            <w:tcW w:w="1130" w:type="dxa"/>
            <w:vAlign w:val="center"/>
          </w:tcPr>
          <w:p w14:paraId="3FB19EA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72小时</w:t>
            </w:r>
          </w:p>
        </w:tc>
        <w:tc>
          <w:tcPr>
            <w:tcW w:w="1450" w:type="dxa"/>
            <w:vAlign w:val="center"/>
          </w:tcPr>
          <w:p w14:paraId="2C30AD1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魏  众</w:t>
            </w:r>
          </w:p>
          <w:p w14:paraId="45275FB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15109123951</w:t>
            </w:r>
          </w:p>
        </w:tc>
      </w:tr>
      <w:tr w14:paraId="5B456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60BAAAC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1091" w:type="dxa"/>
            <w:vAlign w:val="center"/>
          </w:tcPr>
          <w:p w14:paraId="2CE56E9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中信银行</w:t>
            </w:r>
          </w:p>
        </w:tc>
        <w:tc>
          <w:tcPr>
            <w:tcW w:w="1186" w:type="dxa"/>
            <w:vAlign w:val="center"/>
          </w:tcPr>
          <w:p w14:paraId="38F59B5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政采E贷</w:t>
            </w:r>
          </w:p>
        </w:tc>
        <w:tc>
          <w:tcPr>
            <w:tcW w:w="1308" w:type="dxa"/>
            <w:vAlign w:val="center"/>
          </w:tcPr>
          <w:p w14:paraId="4577098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67EE960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1-3年</w:t>
            </w:r>
          </w:p>
        </w:tc>
        <w:tc>
          <w:tcPr>
            <w:tcW w:w="1344" w:type="dxa"/>
            <w:vAlign w:val="center"/>
          </w:tcPr>
          <w:p w14:paraId="7885A9D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3.45%起</w:t>
            </w:r>
          </w:p>
        </w:tc>
        <w:tc>
          <w:tcPr>
            <w:tcW w:w="1130" w:type="dxa"/>
            <w:vAlign w:val="center"/>
          </w:tcPr>
          <w:p w14:paraId="3BEC05C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5AA982F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  明</w:t>
            </w:r>
          </w:p>
          <w:p w14:paraId="77C02AB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18992218795</w:t>
            </w:r>
          </w:p>
        </w:tc>
      </w:tr>
      <w:tr w14:paraId="3C0F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531DB11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w:t>
            </w:r>
          </w:p>
        </w:tc>
        <w:tc>
          <w:tcPr>
            <w:tcW w:w="1091" w:type="dxa"/>
            <w:vAlign w:val="center"/>
          </w:tcPr>
          <w:p w14:paraId="0C5922F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光大银行</w:t>
            </w:r>
          </w:p>
        </w:tc>
        <w:tc>
          <w:tcPr>
            <w:tcW w:w="1186" w:type="dxa"/>
            <w:vAlign w:val="center"/>
          </w:tcPr>
          <w:p w14:paraId="5892A33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56A4F51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4E8498D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1-3年</w:t>
            </w:r>
          </w:p>
        </w:tc>
        <w:tc>
          <w:tcPr>
            <w:tcW w:w="1344" w:type="dxa"/>
            <w:vAlign w:val="center"/>
          </w:tcPr>
          <w:p w14:paraId="3D712AC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w:t>
            </w:r>
          </w:p>
        </w:tc>
        <w:tc>
          <w:tcPr>
            <w:tcW w:w="1130" w:type="dxa"/>
            <w:vAlign w:val="center"/>
          </w:tcPr>
          <w:p w14:paraId="1D022AC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72小时</w:t>
            </w:r>
          </w:p>
        </w:tc>
        <w:tc>
          <w:tcPr>
            <w:tcW w:w="1450" w:type="dxa"/>
            <w:vAlign w:val="center"/>
          </w:tcPr>
          <w:p w14:paraId="6E3AD07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艾思宇</w:t>
            </w:r>
          </w:p>
          <w:p w14:paraId="6FB4485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13509127997</w:t>
            </w:r>
          </w:p>
        </w:tc>
      </w:tr>
      <w:tr w14:paraId="7997F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0C4451E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1091" w:type="dxa"/>
            <w:vAlign w:val="center"/>
          </w:tcPr>
          <w:p w14:paraId="1CADB68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交通银行</w:t>
            </w:r>
          </w:p>
        </w:tc>
        <w:tc>
          <w:tcPr>
            <w:tcW w:w="1186" w:type="dxa"/>
            <w:vAlign w:val="center"/>
          </w:tcPr>
          <w:p w14:paraId="07E1110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秦政贷</w:t>
            </w:r>
          </w:p>
        </w:tc>
        <w:tc>
          <w:tcPr>
            <w:tcW w:w="1308" w:type="dxa"/>
            <w:vAlign w:val="center"/>
          </w:tcPr>
          <w:p w14:paraId="1D71FE9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2622905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1年</w:t>
            </w:r>
          </w:p>
        </w:tc>
        <w:tc>
          <w:tcPr>
            <w:tcW w:w="1344" w:type="dxa"/>
            <w:vAlign w:val="center"/>
          </w:tcPr>
          <w:p w14:paraId="074C197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w:t>
            </w:r>
          </w:p>
        </w:tc>
        <w:tc>
          <w:tcPr>
            <w:tcW w:w="1130" w:type="dxa"/>
            <w:vAlign w:val="center"/>
          </w:tcPr>
          <w:p w14:paraId="721B41D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6D46C4E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  飞</w:t>
            </w:r>
          </w:p>
          <w:p w14:paraId="2B4A317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15291296886</w:t>
            </w:r>
          </w:p>
        </w:tc>
      </w:tr>
      <w:tr w14:paraId="5573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45BA6F4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w:t>
            </w:r>
          </w:p>
        </w:tc>
        <w:tc>
          <w:tcPr>
            <w:tcW w:w="1091" w:type="dxa"/>
            <w:vAlign w:val="center"/>
          </w:tcPr>
          <w:p w14:paraId="2877611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中国银行</w:t>
            </w:r>
          </w:p>
        </w:tc>
        <w:tc>
          <w:tcPr>
            <w:tcW w:w="1186" w:type="dxa"/>
            <w:vAlign w:val="center"/>
          </w:tcPr>
          <w:p w14:paraId="506962A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3936598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5AB0916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1-3年</w:t>
            </w:r>
          </w:p>
        </w:tc>
        <w:tc>
          <w:tcPr>
            <w:tcW w:w="1344" w:type="dxa"/>
            <w:vAlign w:val="center"/>
          </w:tcPr>
          <w:p w14:paraId="5A522D6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w:t>
            </w:r>
          </w:p>
        </w:tc>
        <w:tc>
          <w:tcPr>
            <w:tcW w:w="1130" w:type="dxa"/>
            <w:vAlign w:val="center"/>
          </w:tcPr>
          <w:p w14:paraId="58D980F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72小时</w:t>
            </w:r>
          </w:p>
        </w:tc>
        <w:tc>
          <w:tcPr>
            <w:tcW w:w="1450" w:type="dxa"/>
            <w:vAlign w:val="center"/>
          </w:tcPr>
          <w:p w14:paraId="5AA5B7C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  浩</w:t>
            </w:r>
          </w:p>
          <w:p w14:paraId="3F51F99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18691230007</w:t>
            </w:r>
          </w:p>
        </w:tc>
      </w:tr>
      <w:tr w14:paraId="5C32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0F696C6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6</w:t>
            </w:r>
          </w:p>
        </w:tc>
        <w:tc>
          <w:tcPr>
            <w:tcW w:w="1091" w:type="dxa"/>
            <w:vAlign w:val="center"/>
          </w:tcPr>
          <w:p w14:paraId="7FECFE0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招商银行</w:t>
            </w:r>
          </w:p>
        </w:tc>
        <w:tc>
          <w:tcPr>
            <w:tcW w:w="1186" w:type="dxa"/>
            <w:vAlign w:val="center"/>
          </w:tcPr>
          <w:p w14:paraId="1378BC9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5D9B7D5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3000</w:t>
            </w:r>
          </w:p>
        </w:tc>
        <w:tc>
          <w:tcPr>
            <w:tcW w:w="1055" w:type="dxa"/>
            <w:vAlign w:val="center"/>
          </w:tcPr>
          <w:p w14:paraId="5E37B92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1-3年</w:t>
            </w:r>
          </w:p>
        </w:tc>
        <w:tc>
          <w:tcPr>
            <w:tcW w:w="1344" w:type="dxa"/>
            <w:vAlign w:val="center"/>
          </w:tcPr>
          <w:p w14:paraId="4E09830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3.45%起</w:t>
            </w:r>
          </w:p>
        </w:tc>
        <w:tc>
          <w:tcPr>
            <w:tcW w:w="1130" w:type="dxa"/>
            <w:vAlign w:val="center"/>
          </w:tcPr>
          <w:p w14:paraId="2400A1D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37BEE23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马  烨</w:t>
            </w:r>
          </w:p>
          <w:p w14:paraId="0C1FBAB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15596100007</w:t>
            </w:r>
          </w:p>
        </w:tc>
      </w:tr>
      <w:tr w14:paraId="2467F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7A8960D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w:t>
            </w:r>
          </w:p>
        </w:tc>
        <w:tc>
          <w:tcPr>
            <w:tcW w:w="1091" w:type="dxa"/>
            <w:vAlign w:val="center"/>
          </w:tcPr>
          <w:p w14:paraId="093E25F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浦发银行</w:t>
            </w:r>
          </w:p>
        </w:tc>
        <w:tc>
          <w:tcPr>
            <w:tcW w:w="1186" w:type="dxa"/>
            <w:vAlign w:val="center"/>
          </w:tcPr>
          <w:p w14:paraId="7DB1B67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政采E贷</w:t>
            </w:r>
          </w:p>
        </w:tc>
        <w:tc>
          <w:tcPr>
            <w:tcW w:w="1308" w:type="dxa"/>
            <w:vAlign w:val="center"/>
          </w:tcPr>
          <w:p w14:paraId="6A40477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07EA126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1年</w:t>
            </w:r>
          </w:p>
        </w:tc>
        <w:tc>
          <w:tcPr>
            <w:tcW w:w="1344" w:type="dxa"/>
            <w:vAlign w:val="center"/>
          </w:tcPr>
          <w:p w14:paraId="2061FC0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3.45%起</w:t>
            </w:r>
          </w:p>
        </w:tc>
        <w:tc>
          <w:tcPr>
            <w:tcW w:w="1130" w:type="dxa"/>
            <w:vAlign w:val="center"/>
          </w:tcPr>
          <w:p w14:paraId="110BC4B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72小时</w:t>
            </w:r>
          </w:p>
        </w:tc>
        <w:tc>
          <w:tcPr>
            <w:tcW w:w="1450" w:type="dxa"/>
            <w:vAlign w:val="center"/>
          </w:tcPr>
          <w:p w14:paraId="7AC9911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朱  君</w:t>
            </w:r>
          </w:p>
          <w:p w14:paraId="3DCB7E5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15629169158</w:t>
            </w:r>
          </w:p>
        </w:tc>
      </w:tr>
      <w:tr w14:paraId="72A6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0AEA9A8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1091" w:type="dxa"/>
            <w:vAlign w:val="center"/>
          </w:tcPr>
          <w:p w14:paraId="5484556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农商银行</w:t>
            </w:r>
          </w:p>
        </w:tc>
        <w:tc>
          <w:tcPr>
            <w:tcW w:w="1186" w:type="dxa"/>
            <w:vAlign w:val="center"/>
          </w:tcPr>
          <w:p w14:paraId="49B750E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3A3EC93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2EB46A8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1-2年</w:t>
            </w:r>
          </w:p>
        </w:tc>
        <w:tc>
          <w:tcPr>
            <w:tcW w:w="1344" w:type="dxa"/>
            <w:vAlign w:val="center"/>
          </w:tcPr>
          <w:p w14:paraId="29E0944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3.45%-5.8%</w:t>
            </w:r>
          </w:p>
        </w:tc>
        <w:tc>
          <w:tcPr>
            <w:tcW w:w="1130" w:type="dxa"/>
            <w:vAlign w:val="center"/>
          </w:tcPr>
          <w:p w14:paraId="786DCF2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422773A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  璐</w:t>
            </w:r>
          </w:p>
          <w:p w14:paraId="3D60653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15529875056</w:t>
            </w:r>
          </w:p>
        </w:tc>
      </w:tr>
      <w:tr w14:paraId="0149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2547BC5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9</w:t>
            </w:r>
          </w:p>
        </w:tc>
        <w:tc>
          <w:tcPr>
            <w:tcW w:w="1091" w:type="dxa"/>
            <w:vAlign w:val="center"/>
          </w:tcPr>
          <w:p w14:paraId="751AC6F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农业银行</w:t>
            </w:r>
          </w:p>
        </w:tc>
        <w:tc>
          <w:tcPr>
            <w:tcW w:w="1186" w:type="dxa"/>
            <w:vAlign w:val="center"/>
          </w:tcPr>
          <w:p w14:paraId="31B2909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0CF8075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0392430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1年</w:t>
            </w:r>
          </w:p>
        </w:tc>
        <w:tc>
          <w:tcPr>
            <w:tcW w:w="1344" w:type="dxa"/>
            <w:vAlign w:val="center"/>
          </w:tcPr>
          <w:p w14:paraId="6D5411C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3.45%以上</w:t>
            </w:r>
          </w:p>
        </w:tc>
        <w:tc>
          <w:tcPr>
            <w:tcW w:w="1130" w:type="dxa"/>
            <w:vAlign w:val="center"/>
          </w:tcPr>
          <w:p w14:paraId="4CACC0F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410BD58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米璐洁</w:t>
            </w:r>
          </w:p>
          <w:p w14:paraId="078D5AC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18966997666</w:t>
            </w:r>
          </w:p>
        </w:tc>
      </w:tr>
      <w:tr w14:paraId="3E16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07F5367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10</w:t>
            </w:r>
          </w:p>
        </w:tc>
        <w:tc>
          <w:tcPr>
            <w:tcW w:w="1091" w:type="dxa"/>
            <w:vAlign w:val="center"/>
          </w:tcPr>
          <w:p w14:paraId="7919998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民生银行</w:t>
            </w:r>
          </w:p>
        </w:tc>
        <w:tc>
          <w:tcPr>
            <w:tcW w:w="1186" w:type="dxa"/>
            <w:vAlign w:val="center"/>
          </w:tcPr>
          <w:p w14:paraId="24FA3B3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政采E贷</w:t>
            </w:r>
          </w:p>
        </w:tc>
        <w:tc>
          <w:tcPr>
            <w:tcW w:w="1308" w:type="dxa"/>
            <w:vAlign w:val="center"/>
          </w:tcPr>
          <w:p w14:paraId="58F678A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3000</w:t>
            </w:r>
          </w:p>
        </w:tc>
        <w:tc>
          <w:tcPr>
            <w:tcW w:w="1055" w:type="dxa"/>
            <w:vAlign w:val="center"/>
          </w:tcPr>
          <w:p w14:paraId="6AA6151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1年</w:t>
            </w:r>
          </w:p>
        </w:tc>
        <w:tc>
          <w:tcPr>
            <w:tcW w:w="1344" w:type="dxa"/>
            <w:vAlign w:val="center"/>
          </w:tcPr>
          <w:p w14:paraId="25C1CC6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3.45%起</w:t>
            </w:r>
          </w:p>
        </w:tc>
        <w:tc>
          <w:tcPr>
            <w:tcW w:w="1130" w:type="dxa"/>
            <w:vAlign w:val="center"/>
          </w:tcPr>
          <w:p w14:paraId="370CC11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25A439A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郝双双</w:t>
            </w:r>
          </w:p>
          <w:p w14:paraId="61CC48E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15991225850</w:t>
            </w:r>
          </w:p>
        </w:tc>
      </w:tr>
      <w:tr w14:paraId="48A3A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1164E44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11</w:t>
            </w:r>
          </w:p>
        </w:tc>
        <w:tc>
          <w:tcPr>
            <w:tcW w:w="1091" w:type="dxa"/>
            <w:vAlign w:val="center"/>
          </w:tcPr>
          <w:p w14:paraId="4292E99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兴业银行</w:t>
            </w:r>
          </w:p>
        </w:tc>
        <w:tc>
          <w:tcPr>
            <w:tcW w:w="1186" w:type="dxa"/>
            <w:vAlign w:val="center"/>
          </w:tcPr>
          <w:p w14:paraId="7EB002A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3"/>
                <w:sz w:val="21"/>
                <w:szCs w:val="21"/>
              </w:rPr>
            </w:pPr>
            <w:r>
              <w:rPr>
                <w:rFonts w:hint="eastAsia" w:ascii="宋体" w:hAnsi="宋体" w:eastAsia="宋体" w:cs="宋体"/>
                <w:i w:val="0"/>
                <w:iCs w:val="0"/>
                <w:color w:val="auto"/>
                <w:kern w:val="0"/>
                <w:sz w:val="21"/>
                <w:szCs w:val="21"/>
                <w:u w:val="none"/>
                <w:lang w:val="en-US" w:eastAsia="zh-CN" w:bidi="ar"/>
              </w:rPr>
              <w:t>政采贷</w:t>
            </w:r>
          </w:p>
        </w:tc>
        <w:tc>
          <w:tcPr>
            <w:tcW w:w="1308" w:type="dxa"/>
            <w:vAlign w:val="center"/>
          </w:tcPr>
          <w:p w14:paraId="43B5E64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1DF3D98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10"/>
                <w:sz w:val="21"/>
                <w:szCs w:val="21"/>
              </w:rPr>
            </w:pPr>
            <w:r>
              <w:rPr>
                <w:rFonts w:hint="eastAsia" w:ascii="宋体" w:hAnsi="宋体" w:eastAsia="宋体" w:cs="宋体"/>
                <w:i w:val="0"/>
                <w:iCs w:val="0"/>
                <w:color w:val="auto"/>
                <w:kern w:val="0"/>
                <w:sz w:val="21"/>
                <w:szCs w:val="21"/>
                <w:u w:val="none"/>
                <w:lang w:val="en-US" w:eastAsia="zh-CN" w:bidi="ar"/>
              </w:rPr>
              <w:t>1年期</w:t>
            </w:r>
          </w:p>
        </w:tc>
        <w:tc>
          <w:tcPr>
            <w:tcW w:w="1344" w:type="dxa"/>
            <w:vAlign w:val="center"/>
          </w:tcPr>
          <w:p w14:paraId="59C1E50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3"/>
                <w:sz w:val="21"/>
                <w:szCs w:val="21"/>
              </w:rPr>
            </w:pPr>
            <w:r>
              <w:rPr>
                <w:rFonts w:hint="eastAsia" w:ascii="宋体" w:hAnsi="宋体" w:eastAsia="宋体" w:cs="宋体"/>
                <w:i w:val="0"/>
                <w:iCs w:val="0"/>
                <w:color w:val="auto"/>
                <w:kern w:val="0"/>
                <w:sz w:val="21"/>
                <w:szCs w:val="21"/>
                <w:u w:val="none"/>
                <w:lang w:val="en-US" w:eastAsia="zh-CN" w:bidi="ar"/>
              </w:rPr>
              <w:t>3.4%</w:t>
            </w:r>
          </w:p>
        </w:tc>
        <w:tc>
          <w:tcPr>
            <w:tcW w:w="1130" w:type="dxa"/>
            <w:vAlign w:val="center"/>
          </w:tcPr>
          <w:p w14:paraId="7470E00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72小时</w:t>
            </w:r>
          </w:p>
        </w:tc>
        <w:tc>
          <w:tcPr>
            <w:tcW w:w="1450" w:type="dxa"/>
            <w:vAlign w:val="center"/>
          </w:tcPr>
          <w:p w14:paraId="79A76EA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薛万隆</w:t>
            </w:r>
          </w:p>
          <w:p w14:paraId="041662A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18709258523</w:t>
            </w:r>
          </w:p>
        </w:tc>
      </w:tr>
      <w:tr w14:paraId="037A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7F2F031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12</w:t>
            </w:r>
          </w:p>
        </w:tc>
        <w:tc>
          <w:tcPr>
            <w:tcW w:w="1091" w:type="dxa"/>
            <w:vAlign w:val="center"/>
          </w:tcPr>
          <w:p w14:paraId="5C2FF0B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广发银行</w:t>
            </w:r>
          </w:p>
        </w:tc>
        <w:tc>
          <w:tcPr>
            <w:tcW w:w="1186" w:type="dxa"/>
            <w:vAlign w:val="center"/>
          </w:tcPr>
          <w:p w14:paraId="00D4E3A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3"/>
                <w:sz w:val="21"/>
                <w:szCs w:val="21"/>
              </w:rPr>
            </w:pPr>
            <w:r>
              <w:rPr>
                <w:rFonts w:hint="eastAsia" w:ascii="宋体" w:hAnsi="宋体" w:eastAsia="宋体" w:cs="宋体"/>
                <w:i w:val="0"/>
                <w:iCs w:val="0"/>
                <w:color w:val="auto"/>
                <w:kern w:val="0"/>
                <w:sz w:val="21"/>
                <w:szCs w:val="21"/>
                <w:u w:val="none"/>
                <w:lang w:val="en-US" w:eastAsia="zh-CN" w:bidi="ar"/>
              </w:rPr>
              <w:t>政采通</w:t>
            </w:r>
          </w:p>
        </w:tc>
        <w:tc>
          <w:tcPr>
            <w:tcW w:w="1308" w:type="dxa"/>
            <w:vAlign w:val="center"/>
          </w:tcPr>
          <w:p w14:paraId="09B9218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30C1BA2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10"/>
                <w:sz w:val="21"/>
                <w:szCs w:val="21"/>
              </w:rPr>
            </w:pPr>
            <w:r>
              <w:rPr>
                <w:rFonts w:hint="eastAsia" w:ascii="宋体" w:hAnsi="宋体" w:eastAsia="宋体" w:cs="宋体"/>
                <w:i w:val="0"/>
                <w:iCs w:val="0"/>
                <w:color w:val="auto"/>
                <w:kern w:val="0"/>
                <w:sz w:val="21"/>
                <w:szCs w:val="21"/>
                <w:u w:val="none"/>
                <w:lang w:val="en-US" w:eastAsia="zh-CN" w:bidi="ar"/>
              </w:rPr>
              <w:t>1年</w:t>
            </w:r>
          </w:p>
        </w:tc>
        <w:tc>
          <w:tcPr>
            <w:tcW w:w="1344" w:type="dxa"/>
            <w:vAlign w:val="center"/>
          </w:tcPr>
          <w:p w14:paraId="65B6C98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3"/>
                <w:sz w:val="21"/>
                <w:szCs w:val="21"/>
              </w:rPr>
            </w:pPr>
            <w:r>
              <w:rPr>
                <w:rFonts w:hint="eastAsia" w:ascii="宋体" w:hAnsi="宋体" w:eastAsia="宋体" w:cs="宋体"/>
                <w:i w:val="0"/>
                <w:iCs w:val="0"/>
                <w:color w:val="auto"/>
                <w:kern w:val="0"/>
                <w:sz w:val="21"/>
                <w:szCs w:val="21"/>
                <w:u w:val="none"/>
                <w:lang w:val="en-US" w:eastAsia="zh-CN" w:bidi="ar"/>
              </w:rPr>
              <w:t>3.45%起</w:t>
            </w:r>
          </w:p>
        </w:tc>
        <w:tc>
          <w:tcPr>
            <w:tcW w:w="1130" w:type="dxa"/>
            <w:vAlign w:val="center"/>
          </w:tcPr>
          <w:p w14:paraId="0753A62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24小时</w:t>
            </w:r>
          </w:p>
        </w:tc>
        <w:tc>
          <w:tcPr>
            <w:tcW w:w="1450" w:type="dxa"/>
            <w:vAlign w:val="center"/>
          </w:tcPr>
          <w:p w14:paraId="1561025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李思嘉</w:t>
            </w:r>
          </w:p>
          <w:p w14:paraId="3248D7D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15191820101</w:t>
            </w:r>
          </w:p>
        </w:tc>
      </w:tr>
      <w:tr w14:paraId="52118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67" w:type="dxa"/>
            <w:vAlign w:val="center"/>
          </w:tcPr>
          <w:p w14:paraId="2C4B24D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13</w:t>
            </w:r>
          </w:p>
        </w:tc>
        <w:tc>
          <w:tcPr>
            <w:tcW w:w="1091" w:type="dxa"/>
            <w:vAlign w:val="center"/>
          </w:tcPr>
          <w:p w14:paraId="567AD18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建设银行</w:t>
            </w:r>
          </w:p>
        </w:tc>
        <w:tc>
          <w:tcPr>
            <w:tcW w:w="1186" w:type="dxa"/>
            <w:vAlign w:val="center"/>
          </w:tcPr>
          <w:p w14:paraId="24F1951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3"/>
                <w:sz w:val="21"/>
                <w:szCs w:val="21"/>
              </w:rPr>
            </w:pPr>
            <w:r>
              <w:rPr>
                <w:rFonts w:hint="eastAsia" w:ascii="宋体" w:hAnsi="宋体" w:eastAsia="宋体" w:cs="宋体"/>
                <w:i w:val="0"/>
                <w:iCs w:val="0"/>
                <w:color w:val="auto"/>
                <w:kern w:val="0"/>
                <w:sz w:val="21"/>
                <w:szCs w:val="21"/>
                <w:u w:val="none"/>
                <w:lang w:val="en-US" w:eastAsia="zh-CN" w:bidi="ar"/>
              </w:rPr>
              <w:t>E政通</w:t>
            </w:r>
          </w:p>
        </w:tc>
        <w:tc>
          <w:tcPr>
            <w:tcW w:w="1308" w:type="dxa"/>
            <w:vAlign w:val="center"/>
          </w:tcPr>
          <w:p w14:paraId="5DBB9B3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1000</w:t>
            </w:r>
          </w:p>
        </w:tc>
        <w:tc>
          <w:tcPr>
            <w:tcW w:w="1055" w:type="dxa"/>
            <w:vAlign w:val="center"/>
          </w:tcPr>
          <w:p w14:paraId="620F207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10"/>
                <w:sz w:val="21"/>
                <w:szCs w:val="21"/>
              </w:rPr>
            </w:pPr>
            <w:r>
              <w:rPr>
                <w:rFonts w:hint="eastAsia" w:ascii="宋体" w:hAnsi="宋体" w:eastAsia="宋体" w:cs="宋体"/>
                <w:i w:val="0"/>
                <w:iCs w:val="0"/>
                <w:color w:val="auto"/>
                <w:kern w:val="0"/>
                <w:sz w:val="21"/>
                <w:szCs w:val="21"/>
                <w:u w:val="none"/>
                <w:lang w:val="en-US" w:eastAsia="zh-CN" w:bidi="ar"/>
              </w:rPr>
              <w:t>1年</w:t>
            </w:r>
          </w:p>
        </w:tc>
        <w:tc>
          <w:tcPr>
            <w:tcW w:w="1344" w:type="dxa"/>
            <w:vAlign w:val="center"/>
          </w:tcPr>
          <w:p w14:paraId="2083AEB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3"/>
                <w:sz w:val="21"/>
                <w:szCs w:val="21"/>
              </w:rPr>
            </w:pPr>
            <w:r>
              <w:rPr>
                <w:rFonts w:hint="eastAsia" w:ascii="宋体" w:hAnsi="宋体" w:eastAsia="宋体" w:cs="宋体"/>
                <w:i w:val="0"/>
                <w:iCs w:val="0"/>
                <w:color w:val="auto"/>
                <w:kern w:val="0"/>
                <w:sz w:val="21"/>
                <w:szCs w:val="21"/>
                <w:u w:val="none"/>
                <w:lang w:val="en-US" w:eastAsia="zh-CN" w:bidi="ar"/>
              </w:rPr>
              <w:t>3.2%</w:t>
            </w:r>
          </w:p>
        </w:tc>
        <w:tc>
          <w:tcPr>
            <w:tcW w:w="1130" w:type="dxa"/>
            <w:vAlign w:val="center"/>
          </w:tcPr>
          <w:p w14:paraId="557F611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72小时</w:t>
            </w:r>
          </w:p>
        </w:tc>
        <w:tc>
          <w:tcPr>
            <w:tcW w:w="1450" w:type="dxa"/>
            <w:vAlign w:val="center"/>
          </w:tcPr>
          <w:p w14:paraId="1F293CF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张 宇 </w:t>
            </w:r>
          </w:p>
          <w:p w14:paraId="43DE9CC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color w:val="auto"/>
                <w:spacing w:val="2"/>
                <w:sz w:val="21"/>
                <w:szCs w:val="21"/>
              </w:rPr>
            </w:pPr>
            <w:r>
              <w:rPr>
                <w:rFonts w:hint="eastAsia" w:ascii="宋体" w:hAnsi="宋体" w:eastAsia="宋体" w:cs="宋体"/>
                <w:i w:val="0"/>
                <w:iCs w:val="0"/>
                <w:color w:val="auto"/>
                <w:kern w:val="0"/>
                <w:sz w:val="21"/>
                <w:szCs w:val="21"/>
                <w:u w:val="none"/>
                <w:lang w:val="en-US" w:eastAsia="zh-CN" w:bidi="ar"/>
              </w:rPr>
              <w:t>15929397838</w:t>
            </w:r>
          </w:p>
        </w:tc>
      </w:tr>
    </w:tbl>
    <w:p w14:paraId="5CE17F93">
      <w:pPr>
        <w:keepNext w:val="0"/>
        <w:keepLines w:val="0"/>
        <w:pageBreakBefore w:val="0"/>
        <w:widowControl/>
        <w:kinsoku/>
        <w:wordWrap w:val="0"/>
        <w:overflowPunct/>
        <w:topLinePunct/>
        <w:autoSpaceDE/>
        <w:autoSpaceDN/>
        <w:bidi w:val="0"/>
        <w:adjustRightInd w:val="0"/>
        <w:snapToGrid w:val="0"/>
        <w:spacing w:before="79" w:line="242" w:lineRule="auto"/>
        <w:ind w:left="174" w:right="54" w:firstLine="53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4"/>
          <w:sz w:val="28"/>
          <w:szCs w:val="28"/>
        </w:rPr>
        <w:t>备注：银行排名不分先后。如产品额度、期限、利率等内容发生改变，</w:t>
      </w:r>
      <w:r>
        <w:rPr>
          <w:rFonts w:hint="eastAsia" w:ascii="宋体" w:hAnsi="宋体" w:eastAsia="宋体" w:cs="宋体"/>
          <w:color w:val="auto"/>
          <w:spacing w:val="-6"/>
          <w:sz w:val="28"/>
          <w:szCs w:val="28"/>
        </w:rPr>
        <w:t>以银行解释为准。</w:t>
      </w:r>
    </w:p>
    <w:p w14:paraId="0F4B30D3">
      <w:pPr>
        <w:keepNext w:val="0"/>
        <w:keepLines w:val="0"/>
        <w:pageBreakBefore w:val="0"/>
        <w:widowControl/>
        <w:kinsoku/>
        <w:wordWrap w:val="0"/>
        <w:overflowPunct/>
        <w:topLinePunct/>
        <w:autoSpaceDE/>
        <w:autoSpaceDN/>
        <w:bidi w:val="0"/>
        <w:adjustRightInd w:val="0"/>
        <w:snapToGrid w:val="0"/>
        <w:spacing w:before="67" w:line="219" w:lineRule="auto"/>
        <w:ind w:left="570"/>
        <w:jc w:val="both"/>
        <w:textAlignment w:val="baseline"/>
        <w:outlineLvl w:val="2"/>
        <w:rPr>
          <w:rFonts w:hint="eastAsia" w:ascii="宋体" w:hAnsi="宋体" w:eastAsia="宋体" w:cs="宋体"/>
          <w:color w:val="auto"/>
          <w:sz w:val="28"/>
          <w:szCs w:val="28"/>
        </w:rPr>
      </w:pPr>
      <w:bookmarkStart w:id="11" w:name="_Toc6669"/>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（七）</w:t>
      </w:r>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的谈判费用自理</w:t>
      </w:r>
      <w:bookmarkEnd w:id="11"/>
    </w:p>
    <w:p w14:paraId="2A5CBCA3">
      <w:pPr>
        <w:keepNext w:val="0"/>
        <w:keepLines w:val="0"/>
        <w:pageBreakBefore w:val="0"/>
        <w:widowControl/>
        <w:kinsoku/>
        <w:wordWrap w:val="0"/>
        <w:overflowPunct/>
        <w:topLinePunct/>
        <w:autoSpaceDE/>
        <w:autoSpaceDN/>
        <w:bidi w:val="0"/>
        <w:adjustRightInd w:val="0"/>
        <w:snapToGrid w:val="0"/>
        <w:spacing w:before="65" w:line="250" w:lineRule="auto"/>
        <w:ind w:left="141" w:right="130" w:firstLine="58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1、</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应承担所有与编写和提交响应文件有关的费用，无论投标过</w:t>
      </w:r>
      <w:r>
        <w:rPr>
          <w:rFonts w:hint="eastAsia" w:ascii="宋体" w:hAnsi="宋体" w:eastAsia="宋体" w:cs="宋体"/>
          <w:color w:val="auto"/>
          <w:spacing w:val="3"/>
          <w:sz w:val="28"/>
          <w:szCs w:val="28"/>
        </w:rPr>
        <w:t>程中的做法和结果如何，采购人在任何情况下均无义务和责任承担这些费</w:t>
      </w:r>
      <w:r>
        <w:rPr>
          <w:rFonts w:hint="eastAsia" w:ascii="宋体" w:hAnsi="宋体" w:eastAsia="宋体" w:cs="宋体"/>
          <w:color w:val="auto"/>
          <w:spacing w:val="-5"/>
          <w:sz w:val="28"/>
          <w:szCs w:val="28"/>
        </w:rPr>
        <w:t>用。</w:t>
      </w:r>
    </w:p>
    <w:p w14:paraId="28A980D5">
      <w:pPr>
        <w:keepNext w:val="0"/>
        <w:keepLines w:val="0"/>
        <w:pageBreakBefore w:val="0"/>
        <w:widowControl/>
        <w:kinsoku/>
        <w:wordWrap w:val="0"/>
        <w:overflowPunct/>
        <w:topLinePunct/>
        <w:autoSpaceDE/>
        <w:autoSpaceDN/>
        <w:bidi w:val="0"/>
        <w:adjustRightInd w:val="0"/>
        <w:snapToGrid w:val="0"/>
        <w:spacing w:before="65" w:line="241" w:lineRule="auto"/>
        <w:ind w:left="2" w:right="76" w:firstLine="567"/>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2、采购人或采购代理机构不组织现场踏勘</w:t>
      </w: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对采购文件的所有</w:t>
      </w:r>
      <w:r>
        <w:rPr>
          <w:rFonts w:hint="eastAsia" w:ascii="宋体" w:hAnsi="宋体" w:eastAsia="宋体" w:cs="宋体"/>
          <w:color w:val="auto"/>
          <w:spacing w:val="3"/>
          <w:sz w:val="28"/>
          <w:szCs w:val="28"/>
        </w:rPr>
        <w:t>内容进行仔细阅读，由于对各种因素考虑不周和对谈判文件的理解不深或</w:t>
      </w:r>
      <w:r>
        <w:rPr>
          <w:rFonts w:hint="eastAsia" w:ascii="宋体" w:hAnsi="宋体" w:eastAsia="宋体" w:cs="宋体"/>
          <w:color w:val="auto"/>
          <w:spacing w:val="-1"/>
          <w:sz w:val="28"/>
          <w:szCs w:val="28"/>
        </w:rPr>
        <w:t>误解等而造成的漏报、误报，采购人和采购代理机构不负任何责任。</w:t>
      </w:r>
    </w:p>
    <w:p w14:paraId="49E42FC6">
      <w:pPr>
        <w:keepNext w:val="0"/>
        <w:keepLines w:val="0"/>
        <w:pageBreakBefore w:val="0"/>
        <w:widowControl/>
        <w:kinsoku/>
        <w:wordWrap w:val="0"/>
        <w:overflowPunct/>
        <w:topLinePunct/>
        <w:autoSpaceDE/>
        <w:autoSpaceDN/>
        <w:bidi w:val="0"/>
        <w:adjustRightInd w:val="0"/>
        <w:snapToGrid w:val="0"/>
        <w:spacing w:before="65" w:line="241" w:lineRule="auto"/>
        <w:ind w:left="2" w:right="76" w:firstLine="567"/>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可自行踏勘现场，自行负责因踏勘所产生的费用、风险和其</w:t>
      </w:r>
      <w:r>
        <w:rPr>
          <w:rFonts w:hint="eastAsia" w:ascii="宋体" w:hAnsi="宋体" w:eastAsia="宋体" w:cs="宋体"/>
          <w:color w:val="auto"/>
          <w:sz w:val="28"/>
          <w:szCs w:val="28"/>
        </w:rPr>
        <w:t>他一切后果由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自己承担，采购人和采购</w:t>
      </w:r>
      <w:r>
        <w:rPr>
          <w:rFonts w:hint="eastAsia" w:ascii="宋体" w:hAnsi="宋体" w:eastAsia="宋体" w:cs="宋体"/>
          <w:color w:val="auto"/>
          <w:spacing w:val="-1"/>
          <w:sz w:val="28"/>
          <w:szCs w:val="28"/>
        </w:rPr>
        <w:t>代理机构不承担任何责任。</w:t>
      </w:r>
    </w:p>
    <w:p w14:paraId="351AB392">
      <w:pPr>
        <w:keepNext w:val="0"/>
        <w:keepLines w:val="0"/>
        <w:pageBreakBefore w:val="0"/>
        <w:widowControl/>
        <w:kinsoku/>
        <w:wordWrap w:val="0"/>
        <w:overflowPunct/>
        <w:topLinePunct/>
        <w:autoSpaceDE/>
        <w:autoSpaceDN/>
        <w:bidi w:val="0"/>
        <w:adjustRightInd w:val="0"/>
        <w:snapToGrid w:val="0"/>
        <w:spacing w:before="147" w:line="220" w:lineRule="auto"/>
        <w:ind w:left="563"/>
        <w:jc w:val="both"/>
        <w:textAlignment w:val="baseline"/>
        <w:outlineLvl w:val="1"/>
        <w:rPr>
          <w:rFonts w:hint="eastAsia" w:ascii="宋体" w:hAnsi="宋体" w:eastAsia="宋体" w:cs="宋体"/>
          <w:color w:val="auto"/>
          <w:sz w:val="28"/>
          <w:szCs w:val="28"/>
        </w:rPr>
      </w:pPr>
      <w:bookmarkStart w:id="12" w:name="_Toc27714"/>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三、谈判文件</w:t>
      </w:r>
      <w:bookmarkEnd w:id="12"/>
    </w:p>
    <w:p w14:paraId="24361BE5">
      <w:pPr>
        <w:keepNext w:val="0"/>
        <w:keepLines w:val="0"/>
        <w:pageBreakBefore w:val="0"/>
        <w:widowControl/>
        <w:kinsoku/>
        <w:wordWrap w:val="0"/>
        <w:overflowPunct/>
        <w:topLinePunct/>
        <w:autoSpaceDE/>
        <w:autoSpaceDN/>
        <w:bidi w:val="0"/>
        <w:adjustRightInd w:val="0"/>
        <w:snapToGrid w:val="0"/>
        <w:spacing w:before="167" w:line="220" w:lineRule="auto"/>
        <w:ind w:left="430"/>
        <w:jc w:val="both"/>
        <w:textAlignment w:val="baseline"/>
        <w:outlineLvl w:val="2"/>
        <w:rPr>
          <w:rFonts w:hint="eastAsia" w:ascii="宋体" w:hAnsi="宋体" w:eastAsia="宋体" w:cs="宋体"/>
          <w:color w:val="auto"/>
          <w:sz w:val="28"/>
          <w:szCs w:val="28"/>
        </w:rPr>
      </w:pPr>
      <w:bookmarkStart w:id="13" w:name="_Toc11082"/>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（一）谈判文件包括下列内容</w:t>
      </w:r>
      <w:bookmarkEnd w:id="13"/>
    </w:p>
    <w:p w14:paraId="61DB09E3">
      <w:pPr>
        <w:keepNext w:val="0"/>
        <w:keepLines w:val="0"/>
        <w:pageBreakBefore w:val="0"/>
        <w:widowControl/>
        <w:kinsoku/>
        <w:wordWrap w:val="0"/>
        <w:overflowPunct/>
        <w:topLinePunct/>
        <w:autoSpaceDE/>
        <w:autoSpaceDN/>
        <w:bidi w:val="0"/>
        <w:adjustRightInd w:val="0"/>
        <w:snapToGrid w:val="0"/>
        <w:spacing w:line="165" w:lineRule="exact"/>
        <w:jc w:val="both"/>
        <w:textAlignment w:val="baseline"/>
        <w:rPr>
          <w:rFonts w:hint="eastAsia" w:ascii="宋体" w:hAnsi="宋体" w:eastAsia="宋体" w:cs="宋体"/>
          <w:color w:val="auto"/>
        </w:rPr>
      </w:pPr>
    </w:p>
    <w:p w14:paraId="28D294DE">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第一章</w:t>
      </w:r>
      <w:r>
        <w:rPr>
          <w:rFonts w:hint="eastAsia" w:ascii="宋体" w:hAnsi="宋体" w:eastAsia="宋体" w:cs="宋体"/>
          <w:color w:val="auto"/>
          <w:spacing w:val="3"/>
          <w:sz w:val="28"/>
          <w:szCs w:val="28"/>
        </w:rPr>
        <w:tab/>
      </w:r>
      <w:r>
        <w:rPr>
          <w:rFonts w:hint="eastAsia" w:ascii="宋体" w:hAnsi="宋体" w:eastAsia="宋体" w:cs="宋体"/>
          <w:color w:val="auto"/>
          <w:spacing w:val="3"/>
          <w:sz w:val="28"/>
          <w:szCs w:val="28"/>
        </w:rPr>
        <w:t>谈判公告</w:t>
      </w:r>
    </w:p>
    <w:p w14:paraId="2C12C99F">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第二章</w:t>
      </w:r>
      <w:r>
        <w:rPr>
          <w:rFonts w:hint="eastAsia" w:ascii="宋体" w:hAnsi="宋体" w:eastAsia="宋体" w:cs="宋体"/>
          <w:color w:val="auto"/>
          <w:spacing w:val="3"/>
          <w:sz w:val="28"/>
          <w:szCs w:val="28"/>
        </w:rPr>
        <w:tab/>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须知</w:t>
      </w:r>
    </w:p>
    <w:p w14:paraId="60001AD1">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rPr>
        <w:t>第三章</w:t>
      </w:r>
      <w:r>
        <w:rPr>
          <w:rFonts w:hint="eastAsia" w:ascii="宋体" w:hAnsi="宋体" w:eastAsia="宋体" w:cs="宋体"/>
          <w:color w:val="auto"/>
          <w:spacing w:val="3"/>
          <w:sz w:val="28"/>
          <w:szCs w:val="28"/>
        </w:rPr>
        <w:tab/>
      </w:r>
      <w:r>
        <w:rPr>
          <w:rFonts w:hint="eastAsia" w:ascii="宋体" w:hAnsi="宋体" w:eastAsia="宋体" w:cs="宋体"/>
          <w:color w:val="auto"/>
          <w:spacing w:val="3"/>
          <w:sz w:val="28"/>
          <w:szCs w:val="28"/>
          <w:lang w:eastAsia="zh-CN"/>
        </w:rPr>
        <w:t>采购内容及要求</w:t>
      </w:r>
    </w:p>
    <w:p w14:paraId="6AD4DCD2">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第四章</w:t>
      </w:r>
      <w:r>
        <w:rPr>
          <w:rFonts w:hint="eastAsia" w:ascii="宋体" w:hAnsi="宋体" w:eastAsia="宋体" w:cs="宋体"/>
          <w:color w:val="auto"/>
          <w:spacing w:val="3"/>
          <w:sz w:val="28"/>
          <w:szCs w:val="28"/>
        </w:rPr>
        <w:tab/>
      </w:r>
      <w:r>
        <w:rPr>
          <w:rFonts w:hint="eastAsia" w:ascii="宋体" w:hAnsi="宋体" w:eastAsia="宋体" w:cs="宋体"/>
          <w:color w:val="auto"/>
          <w:spacing w:val="3"/>
          <w:sz w:val="28"/>
          <w:szCs w:val="28"/>
        </w:rPr>
        <w:t>合同基本条款</w:t>
      </w:r>
    </w:p>
    <w:p w14:paraId="161E5834">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第五章</w:t>
      </w:r>
      <w:r>
        <w:rPr>
          <w:rFonts w:hint="eastAsia" w:ascii="宋体" w:hAnsi="宋体" w:eastAsia="宋体" w:cs="宋体"/>
          <w:color w:val="auto"/>
          <w:spacing w:val="3"/>
          <w:sz w:val="28"/>
          <w:szCs w:val="28"/>
        </w:rPr>
        <w:tab/>
      </w:r>
      <w:r>
        <w:rPr>
          <w:rFonts w:hint="eastAsia" w:ascii="宋体" w:hAnsi="宋体" w:eastAsia="宋体" w:cs="宋体"/>
          <w:color w:val="auto"/>
          <w:spacing w:val="3"/>
          <w:sz w:val="28"/>
          <w:szCs w:val="28"/>
        </w:rPr>
        <w:t>响应文件构成及格式</w:t>
      </w:r>
    </w:p>
    <w:p w14:paraId="278D4E78">
      <w:pPr>
        <w:keepNext w:val="0"/>
        <w:keepLines w:val="0"/>
        <w:pageBreakBefore w:val="0"/>
        <w:widowControl/>
        <w:kinsoku/>
        <w:wordWrap w:val="0"/>
        <w:overflowPunct/>
        <w:topLinePunct/>
        <w:autoSpaceDE/>
        <w:autoSpaceDN/>
        <w:bidi w:val="0"/>
        <w:adjustRightInd w:val="0"/>
        <w:snapToGrid w:val="0"/>
        <w:spacing w:before="221" w:line="220" w:lineRule="auto"/>
        <w:ind w:left="430"/>
        <w:jc w:val="both"/>
        <w:textAlignment w:val="baseline"/>
        <w:outlineLvl w:val="2"/>
        <w:rPr>
          <w:rFonts w:hint="eastAsia" w:ascii="宋体" w:hAnsi="宋体" w:eastAsia="宋体" w:cs="宋体"/>
          <w:color w:val="auto"/>
          <w:sz w:val="28"/>
          <w:szCs w:val="28"/>
        </w:rPr>
      </w:pPr>
      <w:bookmarkStart w:id="14" w:name="_Toc13927"/>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（二）谈判文件的检查及阅读</w:t>
      </w:r>
      <w:bookmarkEnd w:id="14"/>
    </w:p>
    <w:p w14:paraId="353DD789">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下载谈判文件后应仔细阅读检查谈判文件中的所有内容，按照谈判文件中所列事项、条款、规范要求及格式，在响应文件中对谈判文件做出全面的响应，并按谈判文件的要求提交全部资料。</w:t>
      </w:r>
    </w:p>
    <w:p w14:paraId="18714101">
      <w:pPr>
        <w:keepNext w:val="0"/>
        <w:keepLines w:val="0"/>
        <w:pageBreakBefore w:val="0"/>
        <w:widowControl/>
        <w:kinsoku/>
        <w:wordWrap w:val="0"/>
        <w:overflowPunct/>
        <w:topLinePunct/>
        <w:autoSpaceDE/>
        <w:autoSpaceDN/>
        <w:bidi w:val="0"/>
        <w:adjustRightInd w:val="0"/>
        <w:snapToGrid w:val="0"/>
        <w:spacing w:before="91" w:line="258" w:lineRule="auto"/>
        <w:ind w:left="157" w:firstLine="566"/>
        <w:jc w:val="both"/>
        <w:textAlignment w:val="baseline"/>
        <w:rPr>
          <w:rFonts w:hint="eastAsia" w:ascii="宋体" w:hAnsi="宋体" w:eastAsia="宋体" w:cs="宋体"/>
          <w:color w:val="auto"/>
          <w:spacing w:val="3"/>
          <w:sz w:val="28"/>
          <w:szCs w:val="28"/>
        </w:rPr>
      </w:pPr>
      <w:r>
        <w:rPr>
          <w:rFonts w:hint="eastAsia" w:ascii="宋体" w:hAnsi="宋体" w:eastAsia="宋体" w:cs="宋体"/>
          <w:color w:val="auto"/>
          <w:spacing w:val="3"/>
          <w:sz w:val="28"/>
          <w:szCs w:val="28"/>
        </w:rPr>
        <w:t>如本项目废标后需重新开展采购活动，采购代理机构将重新编制、发布新版谈判文件，</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应按新版谈判文件重新编制响应文件。原谈判文件及响应文件失效。谈判响应文件中项目名称、项目编号、标段（如有）应当与最新发布的谈判文件保持一致，否则将被视为无效响应文件。</w:t>
      </w:r>
    </w:p>
    <w:p w14:paraId="52B9B240">
      <w:pPr>
        <w:keepNext w:val="0"/>
        <w:keepLines w:val="0"/>
        <w:pageBreakBefore w:val="0"/>
        <w:widowControl/>
        <w:kinsoku/>
        <w:wordWrap w:val="0"/>
        <w:overflowPunct/>
        <w:topLinePunct/>
        <w:autoSpaceDE/>
        <w:autoSpaceDN/>
        <w:bidi w:val="0"/>
        <w:adjustRightInd w:val="0"/>
        <w:snapToGrid w:val="0"/>
        <w:spacing w:before="168" w:line="220" w:lineRule="auto"/>
        <w:ind w:left="430"/>
        <w:jc w:val="both"/>
        <w:textAlignment w:val="baseline"/>
        <w:outlineLvl w:val="2"/>
        <w:rPr>
          <w:rFonts w:hint="eastAsia" w:ascii="宋体" w:hAnsi="宋体" w:eastAsia="宋体" w:cs="宋体"/>
          <w:color w:val="auto"/>
          <w:sz w:val="28"/>
          <w:szCs w:val="28"/>
        </w:rPr>
      </w:pPr>
      <w:bookmarkStart w:id="15" w:name="_Toc16606"/>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（三）谈判文件的修改、澄清</w:t>
      </w:r>
      <w:bookmarkEnd w:id="15"/>
    </w:p>
    <w:p w14:paraId="517E5D5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1、采购代理机构可以对已发出的谈判文件进行必要的澄清或者修改，但不得改变采购标的和资格条件。澄清或者修改应将在原公告发布媒体上发布澄清公告，其内容为谈判文件的组成部分。</w:t>
      </w:r>
    </w:p>
    <w:p w14:paraId="73AAADA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提交首次响应文件截止之日前，采购人、采购代理机构或谈判小组可对已发出的谈判文件进行必要的澄清或者修改，澄清或者修改的内容作为谈判文件的组成部分。澄清或修改的内容可能影响响应文件编制的，采购人、采购代理机构应当在在提交首次响应文件截止之日3个工作日前，在财政部门指定的政府采购信息发布媒体上发布变更公告，不足3个工作日的，采购人、采购代理机构将顺延提交首次响应文件截止时间。</w:t>
      </w:r>
    </w:p>
    <w:p w14:paraId="7BEB310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3、各</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在提交响应文件截止时间之前，应随时关注下列地址发布的变更公告，也可登录全国公共资源交易平台（陕西省）政府采购交易系统查看左上角的信息提醒，采购代理机构不再单独通知，因</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未及时关注所造成的一切后果由</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自行承担：</w:t>
      </w:r>
    </w:p>
    <w:p w14:paraId="1A61C3B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rPr>
        <w:fldChar w:fldCharType="begin"/>
      </w:r>
      <w:r>
        <w:rPr>
          <w:rFonts w:hint="eastAsia" w:ascii="宋体" w:hAnsi="宋体" w:eastAsia="宋体" w:cs="宋体"/>
          <w:color w:val="auto"/>
          <w:spacing w:val="-5"/>
          <w:sz w:val="28"/>
          <w:szCs w:val="28"/>
        </w:rPr>
        <w:instrText xml:space="preserve"> HYPERLINK "http://www.ccgp-shaanxi.gov.cn" </w:instrText>
      </w:r>
      <w:r>
        <w:rPr>
          <w:rFonts w:hint="eastAsia" w:ascii="宋体" w:hAnsi="宋体" w:eastAsia="宋体" w:cs="宋体"/>
          <w:color w:val="auto"/>
          <w:spacing w:val="-5"/>
          <w:sz w:val="28"/>
          <w:szCs w:val="28"/>
        </w:rPr>
        <w:fldChar w:fldCharType="separate"/>
      </w:r>
      <w:r>
        <w:rPr>
          <w:rFonts w:hint="eastAsia" w:ascii="宋体" w:hAnsi="宋体" w:eastAsia="宋体" w:cs="宋体"/>
          <w:color w:val="auto"/>
          <w:spacing w:val="-5"/>
          <w:sz w:val="28"/>
          <w:szCs w:val="28"/>
        </w:rPr>
        <w:t>陕西省政府采购网</w:t>
      </w:r>
      <w:r>
        <w:rPr>
          <w:rFonts w:hint="eastAsia" w:ascii="宋体" w:hAnsi="宋体" w:eastAsia="宋体" w:cs="宋体"/>
          <w:color w:val="auto"/>
          <w:spacing w:val="-5"/>
          <w:sz w:val="28"/>
          <w:szCs w:val="28"/>
        </w:rPr>
        <w:fldChar w:fldCharType="end"/>
      </w:r>
      <w:r>
        <w:rPr>
          <w:rFonts w:hint="eastAsia" w:ascii="宋体" w:hAnsi="宋体" w:eastAsia="宋体" w:cs="宋体"/>
          <w:color w:val="auto"/>
          <w:spacing w:val="-5"/>
          <w:sz w:val="28"/>
          <w:szCs w:val="28"/>
        </w:rPr>
        <w:t>（www.ccgp-shaanxi.gov.cn）】中的〖首页·〉市级公告·〉更正公告〗；</w:t>
      </w:r>
    </w:p>
    <w:p w14:paraId="491035B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（2）【全国公共资源交易平台（陕西省）（http://www.sxggzyjy.cn/）】中的〖首页·〉交易大厅·〉政府采购〗。</w:t>
      </w:r>
    </w:p>
    <w:p w14:paraId="052F6DC2">
      <w:pPr>
        <w:keepNext w:val="0"/>
        <w:keepLines w:val="0"/>
        <w:pageBreakBefore w:val="0"/>
        <w:widowControl/>
        <w:kinsoku/>
        <w:wordWrap w:val="0"/>
        <w:overflowPunct/>
        <w:topLinePunct/>
        <w:autoSpaceDE/>
        <w:autoSpaceDN/>
        <w:bidi w:val="0"/>
        <w:adjustRightInd w:val="0"/>
        <w:snapToGrid w:val="0"/>
        <w:spacing w:before="169" w:line="219" w:lineRule="auto"/>
        <w:ind w:left="430"/>
        <w:jc w:val="both"/>
        <w:textAlignment w:val="baseline"/>
        <w:outlineLvl w:val="2"/>
        <w:rPr>
          <w:rFonts w:hint="eastAsia" w:ascii="宋体" w:hAnsi="宋体" w:eastAsia="宋体" w:cs="宋体"/>
          <w:color w:val="auto"/>
          <w:sz w:val="28"/>
          <w:szCs w:val="28"/>
        </w:rPr>
      </w:pPr>
      <w:bookmarkStart w:id="16" w:name="_Toc20676"/>
      <w:r>
        <w:rPr>
          <w:rFonts w:hint="eastAsia" w:ascii="宋体" w:hAnsi="宋体" w:eastAsia="宋体" w:cs="宋体"/>
          <w:color w:val="auto"/>
          <w:sz w:val="28"/>
          <w:szCs w:val="28"/>
          <w14:textOutline w14:w="5103" w14:cap="sq" w14:cmpd="sng">
            <w14:solidFill>
              <w14:srgbClr w14:val="000000"/>
            </w14:solidFill>
            <w14:prstDash w14:val="solid"/>
            <w14:bevel/>
          </w14:textOutline>
        </w:rPr>
        <w:t>（四）谈判文件的解释权归采购代理机构。</w:t>
      </w:r>
      <w:bookmarkEnd w:id="16"/>
    </w:p>
    <w:p w14:paraId="2AC286A4">
      <w:pPr>
        <w:keepNext w:val="0"/>
        <w:keepLines w:val="0"/>
        <w:pageBreakBefore w:val="0"/>
        <w:widowControl/>
        <w:kinsoku/>
        <w:wordWrap w:val="0"/>
        <w:overflowPunct/>
        <w:topLinePunct/>
        <w:autoSpaceDE/>
        <w:autoSpaceDN/>
        <w:bidi w:val="0"/>
        <w:adjustRightInd w:val="0"/>
        <w:snapToGrid w:val="0"/>
        <w:spacing w:before="153" w:line="220" w:lineRule="auto"/>
        <w:ind w:left="590"/>
        <w:jc w:val="both"/>
        <w:textAlignment w:val="baseline"/>
        <w:outlineLvl w:val="1"/>
        <w:rPr>
          <w:rFonts w:hint="eastAsia" w:ascii="宋体" w:hAnsi="宋体" w:eastAsia="宋体" w:cs="宋体"/>
          <w:color w:val="auto"/>
          <w:sz w:val="28"/>
          <w:szCs w:val="28"/>
        </w:rPr>
      </w:pPr>
      <w:bookmarkStart w:id="17" w:name="_Toc15142"/>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四、关于投标信用承诺</w:t>
      </w:r>
      <w:bookmarkEnd w:id="17"/>
    </w:p>
    <w:p w14:paraId="1DC1680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在递交</w:t>
      </w:r>
      <w:r>
        <w:rPr>
          <w:rFonts w:hint="eastAsia" w:ascii="宋体" w:hAnsi="宋体" w:eastAsia="宋体" w:cs="宋体"/>
          <w:color w:val="auto"/>
          <w:spacing w:val="-5"/>
          <w:sz w:val="28"/>
          <w:szCs w:val="28"/>
          <w:lang w:eastAsia="zh-CN"/>
        </w:rPr>
        <w:t>响应文件</w:t>
      </w:r>
      <w:r>
        <w:rPr>
          <w:rFonts w:hint="eastAsia" w:ascii="宋体" w:hAnsi="宋体" w:eastAsia="宋体" w:cs="宋体"/>
          <w:color w:val="auto"/>
          <w:spacing w:val="-5"/>
          <w:sz w:val="28"/>
          <w:szCs w:val="28"/>
        </w:rPr>
        <w:t>的同时，应根据项目实施地财政部门规定提供投标信用承诺书。</w:t>
      </w:r>
    </w:p>
    <w:p w14:paraId="0378D35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未提供投标信用承诺书的，将被视为自动放弃投标的权利，谈判小组将拒绝评审其</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的谈判响应文件。</w:t>
      </w:r>
    </w:p>
    <w:p w14:paraId="2A908DD9">
      <w:pPr>
        <w:keepNext w:val="0"/>
        <w:keepLines w:val="0"/>
        <w:pageBreakBefore w:val="0"/>
        <w:widowControl/>
        <w:kinsoku/>
        <w:wordWrap w:val="0"/>
        <w:overflowPunct/>
        <w:topLinePunct/>
        <w:autoSpaceDE/>
        <w:autoSpaceDN/>
        <w:bidi w:val="0"/>
        <w:adjustRightInd w:val="0"/>
        <w:snapToGrid w:val="0"/>
        <w:spacing w:before="147" w:line="219" w:lineRule="auto"/>
        <w:ind w:left="568"/>
        <w:jc w:val="both"/>
        <w:textAlignment w:val="baseline"/>
        <w:outlineLvl w:val="1"/>
        <w:rPr>
          <w:rFonts w:hint="eastAsia" w:ascii="宋体" w:hAnsi="宋体" w:eastAsia="宋体" w:cs="宋体"/>
          <w:color w:val="auto"/>
          <w:sz w:val="28"/>
          <w:szCs w:val="28"/>
        </w:rPr>
      </w:pPr>
      <w:bookmarkStart w:id="18" w:name="_Toc30194"/>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五、谈判报价</w:t>
      </w:r>
      <w:bookmarkEnd w:id="18"/>
    </w:p>
    <w:p w14:paraId="1B24707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谈判报价是</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响应招标项目要求的全部工作内容的价格体现，包括完成采购内容所需的直接费、间接费、利润、税金及其它相关的一切费用。</w:t>
      </w:r>
    </w:p>
    <w:p w14:paraId="5E9AAA5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（一）</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在报价时应充分考虑所有可能发生的费用，谈判文件未列明，而</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认为应当计取的费用均应列入报价中。报价时不论是否计取，采购人均按已计取对待。</w:t>
      </w:r>
    </w:p>
    <w:p w14:paraId="3455849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（二）谈判项目实行多次报价（一般情况下为两次），每次报价只能提交唯一报价，并且在合同履行过程中是固定不变的，任何有选择的报价采购代理机构将不予接受，其响应文件视为无效文件。</w:t>
      </w:r>
    </w:p>
    <w:p w14:paraId="03FD638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1、第一次报价时，</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应严格按照响应文件《第一次谈判报价表》中的相关要求填写分类报价及其他需要响应的内容。</w:t>
      </w:r>
    </w:p>
    <w:p w14:paraId="78A2661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2、谈判结束后，所有实质性响应的</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应当按照谈判小组的要求在规定时间内提交最后报价。最后报价是</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响应文件的有效组成部分。</w:t>
      </w:r>
    </w:p>
    <w:p w14:paraId="012A72D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宋体" w:hAnsi="宋体" w:eastAsia="宋体" w:cs="宋体"/>
          <w:color w:val="auto"/>
          <w:spacing w:val="-5"/>
          <w:sz w:val="28"/>
          <w:szCs w:val="28"/>
        </w:rPr>
      </w:pPr>
      <w:bookmarkStart w:id="19" w:name="_Toc16164"/>
      <w:r>
        <w:rPr>
          <w:rFonts w:hint="eastAsia" w:ascii="宋体" w:hAnsi="宋体" w:eastAsia="宋体" w:cs="宋体"/>
          <w:color w:val="auto"/>
          <w:spacing w:val="-5"/>
          <w:sz w:val="28"/>
          <w:szCs w:val="28"/>
          <w:lang w:val="en-US" w:eastAsia="zh-CN"/>
        </w:rPr>
        <w:t>3、</w:t>
      </w:r>
      <w:r>
        <w:rPr>
          <w:rFonts w:hint="eastAsia" w:ascii="宋体" w:hAnsi="宋体" w:eastAsia="宋体" w:cs="宋体"/>
          <w:color w:val="auto"/>
          <w:spacing w:val="-5"/>
          <w:sz w:val="28"/>
          <w:szCs w:val="28"/>
        </w:rPr>
        <w:t>谈判报价货币：人民币；单位：元，精确到小数点后两位。</w:t>
      </w:r>
      <w:bookmarkEnd w:id="19"/>
    </w:p>
    <w:p w14:paraId="643E7D1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lang w:val="en-US" w:eastAsia="zh-CN"/>
        </w:rPr>
        <w:t>4、</w:t>
      </w:r>
      <w:r>
        <w:rPr>
          <w:rFonts w:hint="eastAsia" w:ascii="宋体" w:hAnsi="宋体" w:eastAsia="宋体" w:cs="宋体"/>
          <w:color w:val="auto"/>
          <w:spacing w:val="-5"/>
          <w:sz w:val="28"/>
          <w:szCs w:val="28"/>
        </w:rPr>
        <w:t>谈判报价应遵守《中华人民共和国价格法》，</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不得以低于成本的报价参与谈判。</w:t>
      </w:r>
    </w:p>
    <w:p w14:paraId="49623B1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（五）响应文件报价出现前后不一致的，除谈判文件另有规定外，按照</w:t>
      </w:r>
    </w:p>
    <w:p w14:paraId="71231E2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下列规定修正：</w:t>
      </w:r>
    </w:p>
    <w:p w14:paraId="5FA2826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宋体" w:hAnsi="宋体" w:eastAsia="宋体" w:cs="宋体"/>
          <w:color w:val="auto"/>
          <w:spacing w:val="-5"/>
          <w:sz w:val="28"/>
          <w:szCs w:val="28"/>
        </w:rPr>
      </w:pPr>
      <w:bookmarkStart w:id="20" w:name="_Toc122"/>
      <w:r>
        <w:rPr>
          <w:rFonts w:hint="eastAsia" w:ascii="宋体" w:hAnsi="宋体" w:eastAsia="宋体" w:cs="宋体"/>
          <w:color w:val="auto"/>
          <w:spacing w:val="-5"/>
          <w:sz w:val="28"/>
          <w:szCs w:val="28"/>
        </w:rPr>
        <w:t>1、大写金额和小写金额不一致的，以大写金额为准；</w:t>
      </w:r>
      <w:bookmarkEnd w:id="20"/>
    </w:p>
    <w:p w14:paraId="4B7F7EC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2、单价金额小数点或者百分比有明显错位的，以开标一览表的总价为准，并修改单价；</w:t>
      </w:r>
    </w:p>
    <w:p w14:paraId="394EF48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3、总价金额与按单价汇总金额不一致的，以单价金额计算结果为准；同时出现两种以上不一致的，按照前款规定的顺序修正。修正后的报价经</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确认后产生约束力，</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不确认的，其投标无效。</w:t>
      </w:r>
    </w:p>
    <w:p w14:paraId="5A238C6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4、谈判响应文件正本与副本不一致的，以正本为准；</w:t>
      </w:r>
    </w:p>
    <w:p w14:paraId="4B226C1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5、多处内容交叉不符时，以谈判小组成员评审结果为准；</w:t>
      </w:r>
    </w:p>
    <w:p w14:paraId="43C50F7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6、文字与图表不符时以文字为准；</w:t>
      </w:r>
    </w:p>
    <w:p w14:paraId="16863C3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7、分项报价表中的服务技术参数要求与技术偏差表不一致时，以分项</w:t>
      </w:r>
    </w:p>
    <w:p w14:paraId="66E87BB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报价表为准；</w:t>
      </w:r>
    </w:p>
    <w:p w14:paraId="5A2C14D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lang w:eastAsia="zh-CN"/>
        </w:rPr>
      </w:pPr>
      <w:r>
        <w:rPr>
          <w:rFonts w:hint="eastAsia" w:ascii="宋体" w:hAnsi="宋体" w:eastAsia="宋体" w:cs="宋体"/>
          <w:color w:val="auto"/>
          <w:spacing w:val="-5"/>
          <w:sz w:val="28"/>
          <w:szCs w:val="28"/>
        </w:rPr>
        <w:t>按上述修正错误的原则及方法调整或修正谈判响应文件的报价，投标</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同意后，调整后的报价对</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起约束作用。如果</w:t>
      </w:r>
      <w:r>
        <w:rPr>
          <w:rFonts w:hint="eastAsia" w:ascii="宋体" w:hAnsi="宋体" w:eastAsia="宋体" w:cs="宋体"/>
          <w:color w:val="auto"/>
          <w:spacing w:val="-5"/>
          <w:sz w:val="28"/>
          <w:szCs w:val="28"/>
          <w:lang w:eastAsia="zh-CN"/>
        </w:rPr>
        <w:t>供应商</w:t>
      </w:r>
    </w:p>
    <w:p w14:paraId="5A5E984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不接受修正后的报价，则其谈判活动将被拒绝。</w:t>
      </w:r>
    </w:p>
    <w:p w14:paraId="59F6E36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（六）因</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对谈判文件理解不透、误解、疏漏或对市场行情了解不</w:t>
      </w:r>
    </w:p>
    <w:p w14:paraId="11AB860F">
      <w:pPr>
        <w:keepNext w:val="0"/>
        <w:keepLines w:val="0"/>
        <w:pageBreakBefore w:val="0"/>
        <w:widowControl/>
        <w:kinsoku/>
        <w:wordWrap w:val="0"/>
        <w:overflowPunct/>
        <w:topLinePunct/>
        <w:autoSpaceDE/>
        <w:autoSpaceDN/>
        <w:bidi w:val="0"/>
        <w:adjustRightInd w:val="0"/>
        <w:snapToGrid w:val="0"/>
        <w:spacing w:before="45" w:line="247" w:lineRule="auto"/>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清造成的后果和风险，均由</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自己负责。</w:t>
      </w:r>
    </w:p>
    <w:p w14:paraId="3D524499">
      <w:pPr>
        <w:keepNext w:val="0"/>
        <w:keepLines w:val="0"/>
        <w:pageBreakBefore w:val="0"/>
        <w:widowControl/>
        <w:kinsoku/>
        <w:wordWrap w:val="0"/>
        <w:overflowPunct/>
        <w:topLinePunct/>
        <w:autoSpaceDE/>
        <w:autoSpaceDN/>
        <w:bidi w:val="0"/>
        <w:adjustRightInd w:val="0"/>
        <w:snapToGrid w:val="0"/>
        <w:spacing w:before="167" w:line="220" w:lineRule="auto"/>
        <w:ind w:left="566"/>
        <w:jc w:val="both"/>
        <w:textAlignment w:val="baseline"/>
        <w:outlineLvl w:val="1"/>
        <w:rPr>
          <w:rFonts w:hint="eastAsia" w:ascii="宋体" w:hAnsi="宋体" w:eastAsia="宋体" w:cs="宋体"/>
          <w:color w:val="auto"/>
          <w:sz w:val="28"/>
          <w:szCs w:val="28"/>
        </w:rPr>
      </w:pPr>
      <w:bookmarkStart w:id="21" w:name="_Toc2212"/>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六、响应文件</w:t>
      </w:r>
      <w:bookmarkEnd w:id="21"/>
    </w:p>
    <w:p w14:paraId="481F0666">
      <w:pPr>
        <w:keepNext w:val="0"/>
        <w:keepLines w:val="0"/>
        <w:pageBreakBefore w:val="0"/>
        <w:widowControl/>
        <w:kinsoku/>
        <w:wordWrap w:val="0"/>
        <w:overflowPunct/>
        <w:topLinePunct/>
        <w:autoSpaceDE/>
        <w:autoSpaceDN/>
        <w:bidi w:val="0"/>
        <w:adjustRightInd w:val="0"/>
        <w:snapToGrid w:val="0"/>
        <w:spacing w:before="168" w:line="220" w:lineRule="auto"/>
        <w:ind w:left="430"/>
        <w:jc w:val="both"/>
        <w:textAlignment w:val="baseline"/>
        <w:outlineLvl w:val="2"/>
        <w:rPr>
          <w:rFonts w:hint="eastAsia" w:ascii="宋体" w:hAnsi="宋体" w:eastAsia="宋体" w:cs="宋体"/>
          <w:color w:val="auto"/>
          <w:sz w:val="28"/>
          <w:szCs w:val="28"/>
        </w:rPr>
      </w:pPr>
      <w:bookmarkStart w:id="22" w:name="_Toc25299"/>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（一）响应文件的编制</w:t>
      </w:r>
      <w:bookmarkEnd w:id="22"/>
    </w:p>
    <w:p w14:paraId="049618C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谈判响应文件必须根据谈判文件提供的内容及格式编制，并对谈判文件做出实质性响应；具体内容包括：</w:t>
      </w:r>
    </w:p>
    <w:p w14:paraId="1A6A930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第一部分响应函格式</w:t>
      </w:r>
    </w:p>
    <w:p w14:paraId="4F9EE3B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rPr>
        <w:t>第二部分第一次谈判报价表</w:t>
      </w:r>
    </w:p>
    <w:p w14:paraId="1DA261A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rPr>
        <w:t>第三部分资格证明文件</w:t>
      </w:r>
    </w:p>
    <w:p w14:paraId="0138F62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rPr>
        <w:t>第四部分</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概况</w:t>
      </w:r>
    </w:p>
    <w:p w14:paraId="20E8572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第五部分</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参加政府采购活动承诺书</w:t>
      </w:r>
    </w:p>
    <w:p w14:paraId="54AD3F6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第六部分响应方案</w:t>
      </w:r>
    </w:p>
    <w:p w14:paraId="50ADCA9B">
      <w:pPr>
        <w:keepNext w:val="0"/>
        <w:keepLines w:val="0"/>
        <w:pageBreakBefore w:val="0"/>
        <w:widowControl/>
        <w:kinsoku/>
        <w:wordWrap w:val="0"/>
        <w:overflowPunct/>
        <w:topLinePunct/>
        <w:autoSpaceDE/>
        <w:autoSpaceDN/>
        <w:bidi w:val="0"/>
        <w:adjustRightInd w:val="0"/>
        <w:snapToGrid w:val="0"/>
        <w:spacing w:before="167" w:line="220" w:lineRule="auto"/>
        <w:ind w:left="586"/>
        <w:jc w:val="both"/>
        <w:textAlignment w:val="baseline"/>
        <w:outlineLvl w:val="2"/>
        <w:rPr>
          <w:rFonts w:hint="eastAsia" w:ascii="宋体" w:hAnsi="宋体" w:eastAsia="宋体" w:cs="宋体"/>
          <w:color w:val="auto"/>
          <w:sz w:val="28"/>
          <w:szCs w:val="28"/>
        </w:rPr>
      </w:pPr>
      <w:bookmarkStart w:id="23" w:name="_Toc14002"/>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（二）响应文件有效期</w:t>
      </w:r>
      <w:bookmarkEnd w:id="23"/>
    </w:p>
    <w:p w14:paraId="102D5EB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响应文件有效期为自开标之日起90个日历日。如成交，延长至合同执</w:t>
      </w:r>
    </w:p>
    <w:p w14:paraId="2F718BC4">
      <w:pPr>
        <w:keepNext w:val="0"/>
        <w:keepLines w:val="0"/>
        <w:pageBreakBefore w:val="0"/>
        <w:widowControl/>
        <w:kinsoku/>
        <w:wordWrap w:val="0"/>
        <w:overflowPunct/>
        <w:topLinePunct/>
        <w:autoSpaceDE/>
        <w:autoSpaceDN/>
        <w:bidi w:val="0"/>
        <w:adjustRightInd w:val="0"/>
        <w:snapToGrid w:val="0"/>
        <w:spacing w:before="45" w:line="247" w:lineRule="auto"/>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5"/>
          <w:sz w:val="28"/>
          <w:szCs w:val="28"/>
        </w:rPr>
        <w:t>行完毕时止。</w:t>
      </w:r>
    </w:p>
    <w:p w14:paraId="6AF9016F">
      <w:pPr>
        <w:keepNext w:val="0"/>
        <w:keepLines w:val="0"/>
        <w:pageBreakBefore w:val="0"/>
        <w:widowControl/>
        <w:kinsoku/>
        <w:wordWrap w:val="0"/>
        <w:overflowPunct/>
        <w:topLinePunct/>
        <w:autoSpaceDE/>
        <w:autoSpaceDN/>
        <w:bidi w:val="0"/>
        <w:adjustRightInd w:val="0"/>
        <w:snapToGrid w:val="0"/>
        <w:spacing w:before="168" w:line="220" w:lineRule="auto"/>
        <w:ind w:left="586"/>
        <w:jc w:val="both"/>
        <w:textAlignment w:val="baseline"/>
        <w:outlineLvl w:val="2"/>
        <w:rPr>
          <w:rFonts w:hint="eastAsia" w:ascii="宋体" w:hAnsi="宋体" w:eastAsia="宋体" w:cs="宋体"/>
          <w:color w:val="auto"/>
          <w:sz w:val="28"/>
          <w:szCs w:val="28"/>
        </w:rPr>
      </w:pPr>
      <w:bookmarkStart w:id="24" w:name="_Toc9343"/>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（三）响应文件的签署及规定</w:t>
      </w:r>
      <w:bookmarkEnd w:id="24"/>
    </w:p>
    <w:p w14:paraId="2D3EEAF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须依据谈判文件内容和谈判响应文件格式的要求编制谈判响应文件；</w:t>
      </w:r>
    </w:p>
    <w:p w14:paraId="23CAC7F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谈判响应文件的正本和所有的副本均需打印或用不褪色的蓝（黑）墨水填写并逐页加盖投标单位原章，注明“正本”“副本”字样。统一胶装、编码，在每一页的正下方清楚标明第几页、共几页等连续页码，不得使用活页夹、不可插页或抽页。谈判响应文件的正本和所有的副本均应加盖骑缝章且正、副本应分开包装、加贴封条，并在封套的封口处加盖投标</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单位章。</w:t>
      </w:r>
    </w:p>
    <w:p w14:paraId="35D1E2D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（3）谈判响应文件份数，本次谈判需提交谈判响应文件共叁份，其中正本壹份，副本贰份，电子谈判响应文件U盘一份，在封面标明“正本”、“副本”、“电子版响应文件”字样；</w:t>
      </w:r>
    </w:p>
    <w:p w14:paraId="0DFA78C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在谈判响应文件中指定的页面落款</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名称或要求盖公章处须填写全称，同时加盖公章，否则按无效谈判响应文件处理；</w:t>
      </w:r>
    </w:p>
    <w:p w14:paraId="5E045AD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（5）谈判响应文件的任何行间插字、涂改和增删，必须由法定代表人或被授权人在改动处旁签字方为有效；</w:t>
      </w:r>
    </w:p>
    <w:p w14:paraId="23862BA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（6）谈判响应文件因字迹潦草或表达不清所引起的后果由</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负责。</w:t>
      </w:r>
    </w:p>
    <w:p w14:paraId="129AC82B">
      <w:pPr>
        <w:keepNext w:val="0"/>
        <w:keepLines w:val="0"/>
        <w:pageBreakBefore w:val="0"/>
        <w:widowControl/>
        <w:kinsoku/>
        <w:wordWrap w:val="0"/>
        <w:overflowPunct/>
        <w:topLinePunct/>
        <w:autoSpaceDE/>
        <w:autoSpaceDN/>
        <w:bidi w:val="0"/>
        <w:adjustRightInd w:val="0"/>
        <w:snapToGrid w:val="0"/>
        <w:spacing w:before="68" w:line="220" w:lineRule="auto"/>
        <w:ind w:left="586"/>
        <w:jc w:val="both"/>
        <w:textAlignment w:val="baseline"/>
        <w:outlineLvl w:val="2"/>
        <w:rPr>
          <w:rFonts w:hint="eastAsia" w:ascii="宋体" w:hAnsi="宋体" w:eastAsia="宋体" w:cs="宋体"/>
          <w:color w:val="auto"/>
          <w:sz w:val="28"/>
          <w:szCs w:val="28"/>
        </w:rPr>
      </w:pPr>
      <w:bookmarkStart w:id="25" w:name="_Toc11466"/>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（四）响应文件的语言及计量单位</w:t>
      </w:r>
      <w:bookmarkEnd w:id="25"/>
    </w:p>
    <w:p w14:paraId="026090F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1、谈判活动的所有文件、资料、函电文字均使用简体中文，确需提交用其他语言形成的资料，必须翻译成简体中文，如有差异，以简体中文为准。</w:t>
      </w:r>
    </w:p>
    <w:p w14:paraId="2C647ED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2、响应文件的计量单位应使用中华人民共和国法定计量单位，但谈判文件另有规定的除外。</w:t>
      </w:r>
    </w:p>
    <w:p w14:paraId="073C2A4A">
      <w:pPr>
        <w:keepNext w:val="0"/>
        <w:keepLines w:val="0"/>
        <w:pageBreakBefore w:val="0"/>
        <w:widowControl/>
        <w:kinsoku/>
        <w:wordWrap w:val="0"/>
        <w:overflowPunct/>
        <w:topLinePunct/>
        <w:autoSpaceDE/>
        <w:autoSpaceDN/>
        <w:bidi w:val="0"/>
        <w:adjustRightInd w:val="0"/>
        <w:snapToGrid w:val="0"/>
        <w:spacing w:before="146" w:line="220" w:lineRule="auto"/>
        <w:ind w:left="586"/>
        <w:jc w:val="both"/>
        <w:textAlignment w:val="baseline"/>
        <w:outlineLvl w:val="2"/>
        <w:rPr>
          <w:rFonts w:hint="eastAsia" w:ascii="宋体" w:hAnsi="宋体" w:eastAsia="宋体" w:cs="宋体"/>
          <w:color w:val="auto"/>
          <w:sz w:val="28"/>
          <w:szCs w:val="28"/>
        </w:rPr>
      </w:pPr>
      <w:bookmarkStart w:id="26" w:name="_Toc13577"/>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（五）响应文件的补充、修改和撤回</w:t>
      </w:r>
      <w:bookmarkEnd w:id="26"/>
    </w:p>
    <w:p w14:paraId="5E1535C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在递交响应文件后，且在提交响应文件截止时间前，可以对所提交的响应文件进行补充、修改或撤回。</w:t>
      </w:r>
    </w:p>
    <w:p w14:paraId="5DE9345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2、对电子响应文件进行补充、修改的，应先从电子交易平台上撤回旧版</w:t>
      </w:r>
      <w:r>
        <w:rPr>
          <w:rFonts w:hint="eastAsia" w:ascii="宋体" w:hAnsi="宋体" w:eastAsia="宋体" w:cs="宋体"/>
          <w:color w:val="auto"/>
          <w:spacing w:val="-5"/>
          <w:sz w:val="28"/>
          <w:szCs w:val="28"/>
          <w:lang w:eastAsia="zh-CN"/>
        </w:rPr>
        <w:t>，</w:t>
      </w:r>
      <w:r>
        <w:rPr>
          <w:rFonts w:hint="eastAsia" w:ascii="宋体" w:hAnsi="宋体" w:eastAsia="宋体" w:cs="宋体"/>
          <w:color w:val="auto"/>
          <w:spacing w:val="-5"/>
          <w:sz w:val="28"/>
          <w:szCs w:val="28"/>
        </w:rPr>
        <w:t>再重新提交新版。</w:t>
      </w:r>
    </w:p>
    <w:p w14:paraId="2547C1D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3、响应文件提交截止时间后，</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不得对其响应文件做任何修改。</w:t>
      </w:r>
    </w:p>
    <w:p w14:paraId="28B116A7">
      <w:pPr>
        <w:keepNext w:val="0"/>
        <w:keepLines w:val="0"/>
        <w:pageBreakBefore w:val="0"/>
        <w:widowControl/>
        <w:kinsoku/>
        <w:wordWrap w:val="0"/>
        <w:overflowPunct/>
        <w:topLinePunct/>
        <w:autoSpaceDE/>
        <w:autoSpaceDN/>
        <w:bidi w:val="0"/>
        <w:adjustRightInd w:val="0"/>
        <w:snapToGrid w:val="0"/>
        <w:spacing w:before="87" w:line="220" w:lineRule="auto"/>
        <w:ind w:left="570"/>
        <w:jc w:val="both"/>
        <w:textAlignment w:val="baseline"/>
        <w:outlineLvl w:val="2"/>
        <w:rPr>
          <w:rFonts w:hint="eastAsia" w:ascii="宋体" w:hAnsi="宋体" w:eastAsia="宋体" w:cs="宋体"/>
          <w:color w:val="auto"/>
          <w:sz w:val="28"/>
          <w:szCs w:val="28"/>
        </w:rPr>
      </w:pPr>
      <w:bookmarkStart w:id="27" w:name="_Toc13914"/>
      <w:r>
        <w:rPr>
          <w:rFonts w:hint="eastAsia" w:ascii="宋体" w:hAnsi="宋体" w:eastAsia="宋体" w:cs="宋体"/>
          <w:color w:val="auto"/>
          <w:spacing w:val="-13"/>
          <w:sz w:val="28"/>
          <w:szCs w:val="28"/>
          <w14:textOutline w14:w="5103" w14:cap="sq" w14:cmpd="sng">
            <w14:solidFill>
              <w14:srgbClr w14:val="000000"/>
            </w14:solidFill>
            <w14:prstDash w14:val="solid"/>
            <w14:bevel/>
          </w14:textOutline>
        </w:rPr>
        <w:t>（六）响应文件封装、递交</w:t>
      </w:r>
      <w:bookmarkEnd w:id="27"/>
    </w:p>
    <w:p w14:paraId="095E348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1、谈判响应文件的封装及标记</w:t>
      </w:r>
    </w:p>
    <w:p w14:paraId="0F4C1A0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（1）谈判响应文件封装：</w:t>
      </w:r>
    </w:p>
    <w:p w14:paraId="7845881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A、</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应将谈判响应文件的正本、所有副本、电子版、资质证明原件，用单独的封袋分装密封（封袋不得有破损），在封袋上标明“正本”</w:t>
      </w:r>
      <w:r>
        <w:rPr>
          <w:rFonts w:hint="eastAsia" w:ascii="宋体" w:hAnsi="宋体" w:eastAsia="宋体" w:cs="宋体"/>
          <w:color w:val="auto"/>
          <w:spacing w:val="-3"/>
          <w:sz w:val="28"/>
          <w:szCs w:val="28"/>
        </w:rPr>
        <w:t>或“副本”或“电子版响应文件”或“资</w:t>
      </w:r>
      <w:r>
        <w:rPr>
          <w:rFonts w:hint="eastAsia" w:ascii="宋体" w:hAnsi="宋体" w:eastAsia="宋体" w:cs="宋体"/>
          <w:color w:val="auto"/>
          <w:spacing w:val="-4"/>
          <w:sz w:val="28"/>
          <w:szCs w:val="28"/>
        </w:rPr>
        <w:t>质证明原件”及采购项目名</w:t>
      </w:r>
      <w:r>
        <w:rPr>
          <w:rFonts w:hint="eastAsia" w:ascii="宋体" w:hAnsi="宋体" w:eastAsia="宋体" w:cs="宋体"/>
          <w:color w:val="auto"/>
          <w:spacing w:val="-2"/>
          <w:sz w:val="28"/>
          <w:szCs w:val="28"/>
        </w:rPr>
        <w:t>称、采购项目编号、</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名称、年月日时分前不得启封</w:t>
      </w:r>
      <w:r>
        <w:rPr>
          <w:rFonts w:hint="eastAsia" w:ascii="宋体" w:hAnsi="宋体" w:eastAsia="宋体" w:cs="宋体"/>
          <w:color w:val="auto"/>
          <w:spacing w:val="3"/>
          <w:sz w:val="28"/>
          <w:szCs w:val="28"/>
        </w:rPr>
        <w:t>等字样，封线</w:t>
      </w:r>
      <w:r>
        <w:rPr>
          <w:rFonts w:hint="eastAsia" w:ascii="宋体" w:hAnsi="宋体" w:eastAsia="宋体" w:cs="宋体"/>
          <w:color w:val="auto"/>
          <w:spacing w:val="-5"/>
          <w:sz w:val="28"/>
          <w:szCs w:val="28"/>
        </w:rPr>
        <w:t>处有</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授权代表签字及盖</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公章，封袋正面要粘贴标识。谈判响应文件正、副本中所附的资质证明文件为复印件加盖</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公章。</w:t>
      </w:r>
    </w:p>
    <w:p w14:paraId="1A00F84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（2）如果</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未按上述要求封装及加写标记，误投或过早启封的谈判响应文件，出现此类情况的谈判响应文件，采购代理机构将拒绝接收，并退回</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。采购代理机构对谈判响应文件的误投和提前启封概不负责。</w:t>
      </w:r>
    </w:p>
    <w:p w14:paraId="3D3730C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2、谈判响应文件递交</w:t>
      </w:r>
    </w:p>
    <w:p w14:paraId="0E5FB0F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必须在谈判文件规定的时间和地点，将全部谈判响应文件递交至采购代理机构项目承办人；</w:t>
      </w:r>
    </w:p>
    <w:p w14:paraId="5069B67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（2）采购代理机构项目承办人在谈判文件规定的谈判响应文件递交截止时间前，只负责谈判响应文件的接收、清点、造册登记工作，并请法定代表人或被授权人签字确认，对其有效性不负任何责任；</w:t>
      </w:r>
    </w:p>
    <w:p w14:paraId="3088749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（3）采购代理机构在宣布递交谈判响应文件时间截止之后，拒绝接收任何人送达、递交的谈判响应文件；</w:t>
      </w:r>
    </w:p>
    <w:p w14:paraId="3851417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（4）无论</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成交与否或者废标，其谈判响应文件恕不退还。</w:t>
      </w:r>
    </w:p>
    <w:p w14:paraId="1229FB7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3、谈判响应文件递交截止时间</w:t>
      </w:r>
    </w:p>
    <w:p w14:paraId="13C3E6B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必须在谈判文件规定的递交截止时间之前递交谈判响应文件，采购代理机构在截止时间后拒绝接收任何谈判响应文件。</w:t>
      </w:r>
    </w:p>
    <w:p w14:paraId="3550810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（2）采购代理机构因采购单位推迟谈判截止时间时，应以书面（或传真）的形式，通知所有</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；在这种情况下，采购代理机构和投标</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的权利和义务将受到新的截止期的约束。</w:t>
      </w:r>
    </w:p>
    <w:p w14:paraId="241838C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4、谈判响应文件的修改和撤回</w:t>
      </w:r>
    </w:p>
    <w:p w14:paraId="047FF03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（1）谈判响应文件递交后，如果</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提出书面修改和撤回谈判响应文件要求，在谈判截止时间前以书面形式送达采购代理机构；</w:t>
      </w:r>
    </w:p>
    <w:p w14:paraId="54B455C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修改谈判响应文件的书面材料，须密封送达采购代理机构，修改或补充的内容应按谈判文件要求签署、盖章、密封、标记，并作为谈判响应文件的组成部分；</w:t>
      </w:r>
    </w:p>
    <w:p w14:paraId="50C6B9F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撤回谈判响应文件应以书面（或传真）的形式通知采购代理机构。如采取传真形式撤回谈判响应文件，随后必须补充有法定代表人或被授权人签署的要求撤回谈判响应文件的正式文件；撤回谈判响应文件的时间以送达采购代理机构到达日期为准；</w:t>
      </w:r>
    </w:p>
    <w:p w14:paraId="52A3444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（4）在谈判截止时间后到谈判文件规定的谈判有效期满之间的这段时间内，</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不得撤回其谈判响应文件；</w:t>
      </w:r>
    </w:p>
    <w:p w14:paraId="1854580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（5）</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在谈判响应文件递交截止时间后，不得对其谈判响应文件做任何修改。</w:t>
      </w:r>
    </w:p>
    <w:p w14:paraId="59E6DAB5">
      <w:pPr>
        <w:keepNext w:val="0"/>
        <w:keepLines w:val="0"/>
        <w:pageBreakBefore w:val="0"/>
        <w:widowControl/>
        <w:kinsoku/>
        <w:wordWrap w:val="0"/>
        <w:overflowPunct/>
        <w:topLinePunct/>
        <w:autoSpaceDE/>
        <w:autoSpaceDN/>
        <w:bidi w:val="0"/>
        <w:adjustRightInd w:val="0"/>
        <w:snapToGrid w:val="0"/>
        <w:spacing w:before="146" w:line="221" w:lineRule="auto"/>
        <w:ind w:left="562"/>
        <w:jc w:val="both"/>
        <w:textAlignment w:val="baseline"/>
        <w:outlineLvl w:val="1"/>
        <w:rPr>
          <w:rFonts w:hint="eastAsia" w:ascii="宋体" w:hAnsi="宋体" w:eastAsia="宋体" w:cs="宋体"/>
          <w:color w:val="auto"/>
          <w:sz w:val="28"/>
          <w:szCs w:val="28"/>
        </w:rPr>
      </w:pPr>
      <w:bookmarkStart w:id="28" w:name="_Toc11244"/>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七、组织开标</w:t>
      </w:r>
      <w:bookmarkEnd w:id="28"/>
    </w:p>
    <w:p w14:paraId="56D0B5C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（一）采购代理机构按照谈判公告中规定的时间和地点组织</w:t>
      </w:r>
      <w:r>
        <w:rPr>
          <w:rFonts w:hint="eastAsia" w:ascii="宋体" w:hAnsi="宋体" w:eastAsia="宋体" w:cs="宋体"/>
          <w:color w:val="auto"/>
          <w:spacing w:val="-5"/>
          <w:sz w:val="28"/>
          <w:szCs w:val="28"/>
          <w:lang w:val="en-US" w:eastAsia="zh-CN"/>
        </w:rPr>
        <w:t>腾讯</w:t>
      </w:r>
      <w:r>
        <w:rPr>
          <w:rFonts w:hint="eastAsia" w:ascii="宋体" w:hAnsi="宋体" w:eastAsia="宋体" w:cs="宋体"/>
          <w:color w:val="auto"/>
          <w:spacing w:val="-5"/>
          <w:sz w:val="28"/>
          <w:szCs w:val="28"/>
        </w:rPr>
        <w:t>开标会议</w:t>
      </w:r>
      <w:r>
        <w:rPr>
          <w:rFonts w:hint="eastAsia" w:ascii="宋体" w:hAnsi="宋体" w:eastAsia="宋体" w:cs="宋体"/>
          <w:color w:val="auto"/>
          <w:spacing w:val="-5"/>
          <w:sz w:val="28"/>
          <w:szCs w:val="28"/>
          <w:lang w:eastAsia="zh-CN"/>
        </w:rPr>
        <w:t>（会议</w:t>
      </w:r>
      <w:r>
        <w:rPr>
          <w:rFonts w:hint="eastAsia" w:ascii="宋体" w:hAnsi="宋体" w:eastAsia="宋体" w:cs="宋体"/>
          <w:color w:val="auto"/>
          <w:spacing w:val="-5"/>
          <w:sz w:val="28"/>
          <w:szCs w:val="28"/>
          <w:lang w:val="en-US" w:eastAsia="zh-CN"/>
        </w:rPr>
        <w:t>号</w:t>
      </w:r>
      <w:r>
        <w:rPr>
          <w:rFonts w:hint="eastAsia" w:ascii="宋体" w:hAnsi="宋体" w:eastAsia="宋体" w:cs="宋体"/>
          <w:color w:val="auto"/>
          <w:spacing w:val="-5"/>
          <w:sz w:val="28"/>
          <w:szCs w:val="28"/>
          <w:lang w:eastAsia="zh-CN"/>
        </w:rPr>
        <w:t>：795-846-736）</w:t>
      </w:r>
      <w:r>
        <w:rPr>
          <w:rFonts w:hint="eastAsia" w:ascii="宋体" w:hAnsi="宋体" w:eastAsia="宋体" w:cs="宋体"/>
          <w:color w:val="auto"/>
          <w:spacing w:val="-5"/>
          <w:sz w:val="28"/>
          <w:szCs w:val="28"/>
        </w:rPr>
        <w:t>。</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lang w:val="en-US" w:eastAsia="zh-CN"/>
        </w:rPr>
        <w:t>应按时参加开标会议并进行在线签到</w:t>
      </w:r>
      <w:r>
        <w:rPr>
          <w:rFonts w:hint="eastAsia" w:ascii="宋体" w:hAnsi="宋体" w:eastAsia="宋体" w:cs="宋体"/>
          <w:color w:val="auto"/>
          <w:spacing w:val="-5"/>
          <w:sz w:val="28"/>
          <w:szCs w:val="28"/>
        </w:rPr>
        <w:t>，整个过程受政府采购监管机构的监督、管理。</w:t>
      </w:r>
    </w:p>
    <w:p w14:paraId="197CAD3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（二）</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法定代表人或被授权人在投标截止时间前在规定的时间、地点递交响应文件并签到。</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不足3家的，不得开标。</w:t>
      </w:r>
    </w:p>
    <w:p w14:paraId="35D6E3B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宋体" w:hAnsi="宋体" w:eastAsia="宋体" w:cs="宋体"/>
          <w:color w:val="auto"/>
          <w:spacing w:val="-5"/>
          <w:sz w:val="28"/>
          <w:szCs w:val="28"/>
        </w:rPr>
      </w:pPr>
      <w:bookmarkStart w:id="29" w:name="_Toc18326"/>
      <w:r>
        <w:rPr>
          <w:rFonts w:hint="eastAsia" w:ascii="宋体" w:hAnsi="宋体" w:eastAsia="宋体" w:cs="宋体"/>
          <w:color w:val="auto"/>
          <w:spacing w:val="-5"/>
          <w:sz w:val="28"/>
          <w:szCs w:val="28"/>
        </w:rPr>
        <w:t>（三）</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未参加开标的，视同认可开标结果。</w:t>
      </w:r>
      <w:bookmarkEnd w:id="29"/>
    </w:p>
    <w:p w14:paraId="5191115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（四）第一次唱标前，由</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授权代表和监标人共同查验响应文件密封情况，确认无误后拆封，开标会议记录由采购代理机构工作人员记录，与会的</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授权代表应签字确认开标时宣读的响应文件份数确认内容，且随谈判文件一并存档。按照陕西省财政厅《关于政府采购有关问题的通知》（陕财办采资〔2016〕53号）第六条规定，在每轮谈判结束时对</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的报价均不予公开。</w:t>
      </w:r>
    </w:p>
    <w:p w14:paraId="38C4C7C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宋体" w:hAnsi="宋体" w:eastAsia="宋体" w:cs="宋体"/>
          <w:color w:val="auto"/>
          <w:spacing w:val="-5"/>
          <w:sz w:val="28"/>
          <w:szCs w:val="28"/>
        </w:rPr>
      </w:pPr>
      <w:bookmarkStart w:id="30" w:name="_Toc1192"/>
      <w:r>
        <w:rPr>
          <w:rFonts w:hint="eastAsia" w:ascii="宋体" w:hAnsi="宋体" w:eastAsia="宋体" w:cs="宋体"/>
          <w:color w:val="auto"/>
          <w:spacing w:val="-5"/>
          <w:sz w:val="28"/>
          <w:szCs w:val="28"/>
        </w:rPr>
        <w:t>（五）由监标人对</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授权代表进行身份核验。</w:t>
      </w:r>
      <w:bookmarkEnd w:id="30"/>
    </w:p>
    <w:p w14:paraId="1239E13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1）法定代表人到场的须手持法定代表人证明、法定代表人身份证原件及加盖单位鲜章的复印件，否则按无效</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处理；</w:t>
      </w:r>
    </w:p>
    <w:p w14:paraId="1F45369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2）被授权人到场的须手持法定代表人授权书、被授权人身份证原件及加盖单位鲜章的复印件，否则按无效</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处理。</w:t>
      </w:r>
    </w:p>
    <w:p w14:paraId="6E45615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注：以上</w:t>
      </w:r>
      <w:r>
        <w:rPr>
          <w:rFonts w:hint="eastAsia" w:ascii="宋体" w:hAnsi="宋体" w:eastAsia="宋体" w:cs="宋体"/>
          <w:color w:val="auto"/>
          <w:spacing w:val="-5"/>
          <w:sz w:val="28"/>
          <w:szCs w:val="28"/>
          <w:lang w:val="en-US" w:eastAsia="zh-CN"/>
        </w:rPr>
        <w:t>投标核验资料与响应文件同时递交，开标时，投标人手持本人身份证原件，由监督部门对投标人身份进行核验，若投标人身份核验不合格，按无效投标处理。</w:t>
      </w:r>
      <w:r>
        <w:rPr>
          <w:rFonts w:hint="eastAsia" w:ascii="宋体" w:hAnsi="宋体" w:eastAsia="宋体" w:cs="宋体"/>
          <w:color w:val="auto"/>
          <w:spacing w:val="-5"/>
          <w:sz w:val="28"/>
          <w:szCs w:val="28"/>
        </w:rPr>
        <w:t>身份查验不合格按无效投标处理。</w:t>
      </w:r>
    </w:p>
    <w:p w14:paraId="05B1EC8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（六）</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对开标过程和开标记录有疑义，以及认为采购人、采购代理机构相关工作人员有需要回避情形的，应在提出询问或回避申请，采购人、采购代理机构应当及时处理。</w:t>
      </w:r>
    </w:p>
    <w:p w14:paraId="6CCEA0B8">
      <w:pPr>
        <w:keepNext w:val="0"/>
        <w:keepLines w:val="0"/>
        <w:pageBreakBefore w:val="0"/>
        <w:widowControl/>
        <w:kinsoku/>
        <w:wordWrap w:val="0"/>
        <w:overflowPunct/>
        <w:topLinePunct/>
        <w:autoSpaceDE/>
        <w:autoSpaceDN/>
        <w:bidi w:val="0"/>
        <w:adjustRightInd w:val="0"/>
        <w:snapToGrid w:val="0"/>
        <w:spacing w:before="147" w:line="220" w:lineRule="auto"/>
        <w:ind w:left="688"/>
        <w:jc w:val="both"/>
        <w:textAlignment w:val="baseline"/>
        <w:outlineLvl w:val="1"/>
        <w:rPr>
          <w:rFonts w:hint="eastAsia" w:ascii="宋体" w:hAnsi="宋体" w:eastAsia="宋体" w:cs="宋体"/>
          <w:color w:val="auto"/>
          <w:sz w:val="28"/>
          <w:szCs w:val="28"/>
        </w:rPr>
      </w:pPr>
      <w:bookmarkStart w:id="31" w:name="_Toc19888"/>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八、资格审查</w:t>
      </w:r>
      <w:bookmarkEnd w:id="31"/>
    </w:p>
    <w:p w14:paraId="7C7BF64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1、开标结束后，谈判响应文件的资格性审查：依据法律法规和谈判文件的规定，由谈判小组对谈判响应文件中的资格证明文件进行审查，以确保</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是否具备相应资格，未通过资格审查的</w:t>
      </w:r>
      <w:r>
        <w:rPr>
          <w:rFonts w:hint="eastAsia" w:ascii="宋体" w:hAnsi="宋体" w:eastAsia="宋体" w:cs="宋体"/>
          <w:color w:val="auto"/>
          <w:spacing w:val="-5"/>
          <w:sz w:val="28"/>
          <w:szCs w:val="28"/>
          <w:lang w:eastAsia="zh-CN"/>
        </w:rPr>
        <w:t>供应商</w:t>
      </w:r>
      <w:r>
        <w:rPr>
          <w:rFonts w:hint="eastAsia" w:ascii="宋体" w:hAnsi="宋体" w:eastAsia="宋体" w:cs="宋体"/>
          <w:color w:val="auto"/>
          <w:spacing w:val="-5"/>
          <w:sz w:val="28"/>
          <w:szCs w:val="28"/>
        </w:rPr>
        <w:t>其响应文件将被视为无效。</w:t>
      </w:r>
    </w:p>
    <w:p w14:paraId="4CE4EDDC">
      <w:pPr>
        <w:keepNext w:val="0"/>
        <w:keepLines w:val="0"/>
        <w:pageBreakBefore w:val="0"/>
        <w:widowControl/>
        <w:kinsoku/>
        <w:wordWrap w:val="0"/>
        <w:overflowPunct/>
        <w:topLinePunct/>
        <w:autoSpaceDE/>
        <w:autoSpaceDN/>
        <w:bidi w:val="0"/>
        <w:adjustRightInd w:val="0"/>
        <w:snapToGrid w:val="0"/>
        <w:spacing w:before="65" w:line="211" w:lineRule="auto"/>
        <w:ind w:left="3828"/>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资格性审查表</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460"/>
      </w:tblGrid>
      <w:tr w14:paraId="0B98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355DA3E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序号</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7173FD0A">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资格性审查标准</w:t>
            </w:r>
          </w:p>
        </w:tc>
      </w:tr>
      <w:tr w14:paraId="3775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665529D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68B1437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应为具有独立承担民事责任能力的法人、其他组织或自然人，并出具企业合法有效的标识有统一社会信用代码的营业执照(附营业执照的2024年企业年度报告书)或事业单位法人证书等国家规定的相关证明，自然人参与的提供其身份证明；</w:t>
            </w:r>
          </w:p>
        </w:tc>
      </w:tr>
      <w:tr w14:paraId="1225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743EAAD2">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115E2CEA">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投标人须提供至少一份2022年1月至今类似项目业绩合同证明材料；</w:t>
            </w:r>
          </w:p>
        </w:tc>
      </w:tr>
      <w:tr w14:paraId="2A2D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15B392B9">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1BE1DE1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应提供2024年度企业财务制度和经审计的财务报告（报告需具有二维码及其编码，且在注册会计师监管平台可查询。报告须包括“四表一注”，即资产负债表、利润表、现金流量表、所有者权益变动表及其附注）；成立时间至提交响应文件截止时间不足一年的可提供成立后任意时段的资产负债表或其开标前六个月内银行出具的资信证明；</w:t>
            </w:r>
          </w:p>
        </w:tc>
      </w:tr>
      <w:tr w14:paraId="475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75C3CCC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6010442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snapToGrid w:val="0"/>
                <w:color w:val="FF0000"/>
                <w:kern w:val="0"/>
                <w:sz w:val="28"/>
                <w:szCs w:val="28"/>
                <w:highlight w:val="red"/>
                <w:lang w:val="en-US" w:eastAsia="zh-CN" w:bidi="ar-SA"/>
              </w:rPr>
              <w:t>投标人应提供递交响应文件截止之日前一年内任意一个月的依法缴纳税款的相关凭据（时间以税款所属日期为准、税种须包含增值税或企业所得税），凭据应有税务机关或代收机关的公章或业务专用章。依法免税或无须缴纳税款的投标人，应提供相关证明文件；</w:t>
            </w:r>
          </w:p>
        </w:tc>
      </w:tr>
      <w:tr w14:paraId="78FD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1941114A">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26E0DC9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snapToGrid w:val="0"/>
                <w:color w:val="FF0000"/>
                <w:kern w:val="0"/>
                <w:sz w:val="28"/>
                <w:szCs w:val="28"/>
                <w:highlight w:val="red"/>
                <w:lang w:val="en-US" w:eastAsia="zh-CN" w:bidi="ar-SA"/>
              </w:rPr>
              <w:t>投标人应提供递交响应文件截止之日前一年内任意一个月的社会保障资金缴存单据或社保机构开具的社会保险参保缴费情况证明，依法不需要缴纳社会保障资金的单位应提供相关证明材料；</w:t>
            </w:r>
          </w:p>
        </w:tc>
      </w:tr>
      <w:tr w14:paraId="1C6F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249E7BDF">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24CD439B">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不得为“信用中国”网站（www.creditchina.gov.cn）中列入失信主体名单、重大税收违法案件当事人名单的投标人；不得为中国执行信息公开网（http://zxgk.court.gov.cn）中列入失信被执行人名单(被执行人包括企业、法定代表人)的投标人；不得为中国政府采购网（www.ccgp.gov.cn）政府采购严重违法失信行为记录名单中被财政部门禁止参加政府采购活动的投标人；</w:t>
            </w:r>
          </w:p>
        </w:tc>
      </w:tr>
      <w:tr w14:paraId="6F84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76293946">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7E137E13">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应在“信用中国（陕西榆林）”网站进行注册、登录，自主上报信用承诺书（网址：https://credit.yl.gov.cn/）。承诺事项：《榆林市政府采购工程类/货物类/服务类项目投标人信用承诺书》，需上传至承诺附件；承诺有效期为一年；</w:t>
            </w:r>
          </w:p>
        </w:tc>
      </w:tr>
      <w:tr w14:paraId="5B9D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14:paraId="1DE3E2CD">
            <w:pPr>
              <w:keepNext w:val="0"/>
              <w:keepLines w:val="0"/>
              <w:pageBreakBefore w:val="0"/>
              <w:widowControl/>
              <w:kinsoku/>
              <w:wordWrap w:val="0"/>
              <w:overflowPunct/>
              <w:topLinePunct/>
              <w:autoSpaceDE/>
              <w:autoSpaceDN/>
              <w:bidi w:val="0"/>
              <w:adjustRightInd w:val="0"/>
              <w:snapToGrid w:val="0"/>
              <w:spacing w:line="320" w:lineRule="exact"/>
              <w:jc w:val="center"/>
              <w:textAlignment w:val="baseline"/>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8460" w:type="dxa"/>
            <w:tcBorders>
              <w:top w:val="single" w:color="auto" w:sz="4" w:space="0"/>
              <w:left w:val="single" w:color="auto" w:sz="4" w:space="0"/>
              <w:bottom w:val="single" w:color="auto" w:sz="4" w:space="0"/>
              <w:right w:val="single" w:color="auto" w:sz="4" w:space="0"/>
            </w:tcBorders>
            <w:noWrap w:val="0"/>
            <w:vAlign w:val="center"/>
          </w:tcPr>
          <w:p w14:paraId="2339EA46">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FF0000"/>
                <w:sz w:val="28"/>
                <w:szCs w:val="28"/>
                <w:highlight w:val="red"/>
                <w:lang w:val="en-US" w:eastAsia="zh-CN"/>
              </w:rPr>
            </w:pPr>
            <w:r>
              <w:rPr>
                <w:rFonts w:hint="eastAsia" w:ascii="宋体" w:hAnsi="宋体" w:eastAsia="宋体" w:cs="宋体"/>
                <w:color w:val="FF0000"/>
                <w:sz w:val="28"/>
                <w:szCs w:val="28"/>
                <w:highlight w:val="red"/>
                <w:lang w:val="en-US" w:eastAsia="zh-CN"/>
              </w:rPr>
              <w:t>本项目不接受联合体投标。单位负责人为同一人或者存在直接控股、管理关系的不同投标人，不得参加同一合同项下的投标活动。为本项目提供整体设计、规范编制或者项目管理、监理、检测等服务的投标人，不得再参加本项目的采购活动；违反规定的，其投标均无效。</w:t>
            </w:r>
          </w:p>
          <w:p w14:paraId="52659553">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FF0000"/>
                <w:sz w:val="28"/>
                <w:szCs w:val="28"/>
                <w:highlight w:val="red"/>
                <w:lang w:val="en-US" w:eastAsia="zh-CN"/>
              </w:rPr>
              <w:t>注：评审以供应商谈判响应文件中所附的书面声明或说明为准。2025年新成立供应商，可不提供营业执照的2024年企业年度报告书。</w:t>
            </w:r>
          </w:p>
        </w:tc>
      </w:tr>
    </w:tbl>
    <w:p w14:paraId="67CE66FA">
      <w:pPr>
        <w:keepNext w:val="0"/>
        <w:keepLines w:val="0"/>
        <w:pageBreakBefore w:val="0"/>
        <w:widowControl/>
        <w:kinsoku/>
        <w:wordWrap w:val="0"/>
        <w:overflowPunct/>
        <w:topLinePunct/>
        <w:autoSpaceDE/>
        <w:autoSpaceDN/>
        <w:bidi w:val="0"/>
        <w:adjustRightInd w:val="0"/>
        <w:snapToGrid w:val="0"/>
        <w:spacing w:before="79" w:line="241" w:lineRule="auto"/>
        <w:ind w:left="129" w:right="39" w:firstLine="558"/>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8"/>
          <w:sz w:val="28"/>
          <w:szCs w:val="28"/>
        </w:rPr>
        <w:t>2、资格审查结束后，资格审查小组成员应当对审查结果进行签字确认，</w:t>
      </w:r>
      <w:r>
        <w:rPr>
          <w:rFonts w:hint="eastAsia" w:ascii="宋体" w:hAnsi="宋体" w:eastAsia="宋体" w:cs="宋体"/>
          <w:color w:val="auto"/>
          <w:spacing w:val="-1"/>
          <w:sz w:val="28"/>
          <w:szCs w:val="28"/>
        </w:rPr>
        <w:t>并告知无效</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资格审查未通过的原因。</w:t>
      </w:r>
    </w:p>
    <w:p w14:paraId="6C7E0A80">
      <w:pPr>
        <w:keepNext w:val="0"/>
        <w:keepLines w:val="0"/>
        <w:pageBreakBefore w:val="0"/>
        <w:widowControl/>
        <w:kinsoku/>
        <w:wordWrap w:val="0"/>
        <w:overflowPunct/>
        <w:topLinePunct/>
        <w:autoSpaceDE/>
        <w:autoSpaceDN/>
        <w:bidi w:val="0"/>
        <w:adjustRightInd w:val="0"/>
        <w:snapToGrid w:val="0"/>
        <w:spacing w:before="69" w:line="219" w:lineRule="auto"/>
        <w:ind w:left="689"/>
        <w:jc w:val="both"/>
        <w:textAlignment w:val="baseline"/>
        <w:outlineLvl w:val="2"/>
        <w:rPr>
          <w:rFonts w:hint="eastAsia" w:ascii="宋体" w:hAnsi="宋体" w:eastAsia="宋体" w:cs="宋体"/>
          <w:color w:val="auto"/>
          <w:sz w:val="28"/>
          <w:szCs w:val="28"/>
        </w:rPr>
      </w:pPr>
      <w:bookmarkStart w:id="32" w:name="_Toc8339"/>
      <w:r>
        <w:rPr>
          <w:rFonts w:hint="eastAsia" w:ascii="宋体" w:hAnsi="宋体" w:eastAsia="宋体" w:cs="宋体"/>
          <w:color w:val="auto"/>
          <w:spacing w:val="-3"/>
          <w:sz w:val="28"/>
          <w:szCs w:val="28"/>
        </w:rPr>
        <w:t>3、合格</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不足3家的，不得评标。</w:t>
      </w:r>
      <w:bookmarkEnd w:id="32"/>
    </w:p>
    <w:p w14:paraId="4D168284">
      <w:pPr>
        <w:keepNext w:val="0"/>
        <w:keepLines w:val="0"/>
        <w:pageBreakBefore w:val="0"/>
        <w:widowControl/>
        <w:kinsoku/>
        <w:wordWrap w:val="0"/>
        <w:overflowPunct/>
        <w:topLinePunct/>
        <w:autoSpaceDE/>
        <w:autoSpaceDN/>
        <w:bidi w:val="0"/>
        <w:adjustRightInd w:val="0"/>
        <w:snapToGrid w:val="0"/>
        <w:spacing w:before="147" w:line="221" w:lineRule="auto"/>
        <w:ind w:left="691"/>
        <w:jc w:val="both"/>
        <w:textAlignment w:val="baseline"/>
        <w:outlineLvl w:val="1"/>
        <w:rPr>
          <w:rFonts w:hint="eastAsia" w:ascii="宋体" w:hAnsi="宋体" w:eastAsia="宋体" w:cs="宋体"/>
          <w:color w:val="auto"/>
          <w:sz w:val="28"/>
          <w:szCs w:val="28"/>
        </w:rPr>
      </w:pPr>
      <w:bookmarkStart w:id="33" w:name="_Toc20966"/>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九、组织评审</w:t>
      </w:r>
      <w:bookmarkEnd w:id="33"/>
    </w:p>
    <w:p w14:paraId="4001F25A">
      <w:pPr>
        <w:keepNext w:val="0"/>
        <w:keepLines w:val="0"/>
        <w:pageBreakBefore w:val="0"/>
        <w:widowControl/>
        <w:kinsoku/>
        <w:wordWrap w:val="0"/>
        <w:overflowPunct/>
        <w:topLinePunct/>
        <w:autoSpaceDE/>
        <w:autoSpaceDN/>
        <w:bidi w:val="0"/>
        <w:adjustRightInd w:val="0"/>
        <w:snapToGrid w:val="0"/>
        <w:spacing w:before="164" w:line="219" w:lineRule="auto"/>
        <w:ind w:left="550"/>
        <w:jc w:val="both"/>
        <w:textAlignment w:val="baseline"/>
        <w:outlineLvl w:val="2"/>
        <w:rPr>
          <w:rFonts w:hint="eastAsia" w:ascii="宋体" w:hAnsi="宋体" w:eastAsia="宋体" w:cs="宋体"/>
          <w:color w:val="auto"/>
          <w:sz w:val="28"/>
          <w:szCs w:val="28"/>
        </w:rPr>
      </w:pPr>
      <w:bookmarkStart w:id="34" w:name="_Toc25643"/>
      <w:r>
        <w:rPr>
          <w:rFonts w:hint="eastAsia" w:ascii="宋体" w:hAnsi="宋体" w:eastAsia="宋体" w:cs="宋体"/>
          <w:color w:val="auto"/>
          <w:sz w:val="28"/>
          <w:szCs w:val="28"/>
          <w14:textOutline w14:w="5103" w14:cap="sq" w14:cmpd="sng">
            <w14:solidFill>
              <w14:srgbClr w14:val="000000"/>
            </w14:solidFill>
            <w14:prstDash w14:val="solid"/>
            <w14:bevel/>
          </w14:textOutline>
        </w:rPr>
        <w:t>（一）采购代理机构负责组织评审工作，并履行下列职责：</w:t>
      </w:r>
      <w:bookmarkEnd w:id="34"/>
    </w:p>
    <w:p w14:paraId="090D58C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1、核对评审专家身份和采购人代表授权函，对评审专家在政府采购活动中的职责履行情况予以记录，并及时将有关违法违规行为向财政部门报告；</w:t>
      </w:r>
    </w:p>
    <w:p w14:paraId="4ADEB13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2、宣布评审纪律；</w:t>
      </w:r>
    </w:p>
    <w:p w14:paraId="76170D5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3、公布</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名单，告知评审专家应当回避的情形；</w:t>
      </w:r>
    </w:p>
    <w:p w14:paraId="79B26AE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4、组织谈判小组推选评审组长，采购人代表不得担任组长；</w:t>
      </w:r>
    </w:p>
    <w:p w14:paraId="7B5ACCA1">
      <w:pPr>
        <w:keepNext w:val="0"/>
        <w:keepLines w:val="0"/>
        <w:pageBreakBefore w:val="0"/>
        <w:widowControl/>
        <w:kinsoku/>
        <w:wordWrap w:val="0"/>
        <w:overflowPunct/>
        <w:topLinePunct/>
        <w:autoSpaceDE/>
        <w:autoSpaceDN/>
        <w:bidi w:val="0"/>
        <w:adjustRightInd w:val="0"/>
        <w:snapToGrid w:val="0"/>
        <w:spacing w:before="45" w:line="247" w:lineRule="auto"/>
        <w:ind w:firstLine="556" w:firstLineChars="200"/>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5、在评审期间采取必要的通讯管理措施，保证评审活动不受外界干扰；</w:t>
      </w:r>
    </w:p>
    <w:p w14:paraId="647F9EFA">
      <w:pPr>
        <w:keepNext w:val="0"/>
        <w:keepLines w:val="0"/>
        <w:pageBreakBefore w:val="0"/>
        <w:widowControl/>
        <w:kinsoku/>
        <w:wordWrap w:val="0"/>
        <w:overflowPunct/>
        <w:topLinePunct/>
        <w:autoSpaceDE/>
        <w:autoSpaceDN/>
        <w:bidi w:val="0"/>
        <w:adjustRightInd w:val="0"/>
        <w:snapToGrid w:val="0"/>
        <w:spacing w:before="45" w:line="247" w:lineRule="auto"/>
        <w:ind w:firstLine="556" w:firstLineChars="200"/>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6、根据谈判小组的要求介绍政府采购相关政策法规、谈判文件;</w:t>
      </w:r>
    </w:p>
    <w:p w14:paraId="5548495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7、维护评审秩序，监督谈判小组依照谈判文件规定的评审程序、方法和标准进行独立评审，及时制止和纠正采购人代表、评审专家的倾向性言论或者违法违规行为；</w:t>
      </w:r>
    </w:p>
    <w:p w14:paraId="691910C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8、核对评审结果；</w:t>
      </w:r>
    </w:p>
    <w:p w14:paraId="701B7AB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9、评审工作完成后，按照规定向评审专家支付劳务报酬和异地评审差旅费，不得向评审专家以外的其他人员支付评审劳务报酬；</w:t>
      </w:r>
    </w:p>
    <w:p w14:paraId="6407D84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10、处理与评审有关的其他事项。</w:t>
      </w:r>
    </w:p>
    <w:p w14:paraId="003A6E64">
      <w:pPr>
        <w:keepNext w:val="0"/>
        <w:keepLines w:val="0"/>
        <w:pageBreakBefore w:val="0"/>
        <w:widowControl/>
        <w:kinsoku/>
        <w:wordWrap w:val="0"/>
        <w:overflowPunct/>
        <w:topLinePunct/>
        <w:autoSpaceDE/>
        <w:autoSpaceDN/>
        <w:bidi w:val="0"/>
        <w:adjustRightInd w:val="0"/>
        <w:snapToGrid w:val="0"/>
        <w:spacing w:before="145" w:line="220" w:lineRule="auto"/>
        <w:ind w:left="430"/>
        <w:jc w:val="both"/>
        <w:textAlignment w:val="baseline"/>
        <w:outlineLvl w:val="2"/>
        <w:rPr>
          <w:rFonts w:hint="eastAsia" w:ascii="宋体" w:hAnsi="宋体" w:eastAsia="宋体" w:cs="宋体"/>
          <w:color w:val="auto"/>
          <w:sz w:val="28"/>
          <w:szCs w:val="28"/>
        </w:rPr>
      </w:pPr>
      <w:bookmarkStart w:id="35" w:name="_Toc3600"/>
      <w:r>
        <w:rPr>
          <w:rFonts w:hint="eastAsia" w:ascii="宋体" w:hAnsi="宋体" w:eastAsia="宋体" w:cs="宋体"/>
          <w:color w:val="auto"/>
          <w:sz w:val="28"/>
          <w:szCs w:val="28"/>
          <w14:textOutline w14:w="5103" w14:cap="sq" w14:cmpd="sng">
            <w14:solidFill>
              <w14:srgbClr w14:val="000000"/>
            </w14:solidFill>
            <w14:prstDash w14:val="solid"/>
            <w14:bevel/>
          </w14:textOutline>
        </w:rPr>
        <w:t>（二）谈判小组负责具体评审事务，并独立履行下列职责：</w:t>
      </w:r>
      <w:bookmarkEnd w:id="35"/>
    </w:p>
    <w:p w14:paraId="76A4AF8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1、严格遵守评审工作纪律，按照客观、公正、审慎的原则，根据谈判文件规定的评审程序、评审方法和评审标准进行独立评审；</w:t>
      </w:r>
    </w:p>
    <w:p w14:paraId="75C585D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2、发现谈判文件内容违反国家有关强制性规定或者谈判文件存在歧义、重大缺陷导致评审工作无法进行时，应当停止评审并向采购人或者采购代理机构书面说明情况；</w:t>
      </w:r>
    </w:p>
    <w:p w14:paraId="6EE0AAE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3、审查、评价响应文件是否符合谈判文件的商务、技术等实质性要求；</w:t>
      </w:r>
    </w:p>
    <w:p w14:paraId="0F36E01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4、要求</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对响应文件有关事项做出澄清或者说明；</w:t>
      </w:r>
    </w:p>
    <w:p w14:paraId="0CB789B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5、对响应文件进行比较和评价；</w:t>
      </w:r>
    </w:p>
    <w:p w14:paraId="284FD38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6、确定成交候选人名单；</w:t>
      </w:r>
    </w:p>
    <w:p w14:paraId="3483798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7、配合答复</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的询问、质疑和投诉等事项,不得泄露评审文件、评审情况和在评审过程中获悉的商业秘密；</w:t>
      </w:r>
    </w:p>
    <w:p w14:paraId="66DFDF3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8、向采购人、采购代理机构或者有关部门报告评审中发现的违法行为。审查、评价响应文件是否符合谈判文件的商务、技术等实质性要求。</w:t>
      </w:r>
    </w:p>
    <w:p w14:paraId="40A3A65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9、编写评审报告。</w:t>
      </w:r>
    </w:p>
    <w:p w14:paraId="5077DD8C">
      <w:pPr>
        <w:keepNext w:val="0"/>
        <w:keepLines w:val="0"/>
        <w:pageBreakBefore w:val="0"/>
        <w:widowControl/>
        <w:kinsoku/>
        <w:wordWrap w:val="0"/>
        <w:overflowPunct/>
        <w:topLinePunct/>
        <w:autoSpaceDE/>
        <w:autoSpaceDN/>
        <w:bidi w:val="0"/>
        <w:adjustRightInd w:val="0"/>
        <w:snapToGrid w:val="0"/>
        <w:spacing w:before="168" w:line="221" w:lineRule="auto"/>
        <w:ind w:left="430"/>
        <w:jc w:val="both"/>
        <w:textAlignment w:val="baseline"/>
        <w:outlineLvl w:val="2"/>
        <w:rPr>
          <w:rFonts w:hint="eastAsia" w:ascii="宋体" w:hAnsi="宋体" w:eastAsia="宋体" w:cs="宋体"/>
          <w:color w:val="auto"/>
          <w:sz w:val="28"/>
          <w:szCs w:val="28"/>
        </w:rPr>
      </w:pPr>
      <w:bookmarkStart w:id="36" w:name="_Toc13296"/>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（三）组建谈判小组</w:t>
      </w:r>
      <w:bookmarkEnd w:id="36"/>
    </w:p>
    <w:p w14:paraId="48D2465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1、为了确保评审工作的公平、公正，依据政府采购法和政府采购相关法规、规章，成立谈判小组。谈判小组由采购人的代表和有关专家共三人以上的单数组成，其中专家的人数不得少于成员总数的三分之二。评审专家对本单位的采购项目只能作为采购人代表参与评审。采购代理机构工作人员不得参加由本机构代理的政府采购项目的评审。谈判小组成员名单在评审结果公告前应当保密。</w:t>
      </w:r>
    </w:p>
    <w:p w14:paraId="3B8EB9D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2、评审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612793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3、评审中因谈判小组成员缺席、回避或者健康等特殊原因导致谈判小组组成不符合规定的，采购代理机构应当依法补足后继续评审。被更换的谈判小组成员所做出的评审意见无效。无法及时补足谈判小组成员的，采购代理机构应当停止评审活动，封存所有响应文件和开标、评审资料，依法重新组建谈判小组进行评审。原谈判小组所做出的评审意见无效。</w:t>
      </w:r>
    </w:p>
    <w:p w14:paraId="5995C390">
      <w:pPr>
        <w:keepNext w:val="0"/>
        <w:keepLines w:val="0"/>
        <w:pageBreakBefore w:val="0"/>
        <w:widowControl/>
        <w:kinsoku/>
        <w:wordWrap w:val="0"/>
        <w:overflowPunct/>
        <w:topLinePunct/>
        <w:autoSpaceDE/>
        <w:autoSpaceDN/>
        <w:bidi w:val="0"/>
        <w:adjustRightInd w:val="0"/>
        <w:snapToGrid w:val="0"/>
        <w:spacing w:before="165" w:line="219" w:lineRule="auto"/>
        <w:ind w:left="430"/>
        <w:jc w:val="both"/>
        <w:textAlignment w:val="baseline"/>
        <w:outlineLvl w:val="2"/>
        <w:rPr>
          <w:rFonts w:hint="eastAsia" w:ascii="宋体" w:hAnsi="宋体" w:eastAsia="宋体" w:cs="宋体"/>
          <w:color w:val="auto"/>
          <w:sz w:val="28"/>
          <w:szCs w:val="28"/>
        </w:rPr>
      </w:pPr>
      <w:bookmarkStart w:id="37" w:name="_Toc18069"/>
      <w:r>
        <w:rPr>
          <w:rFonts w:hint="eastAsia" w:ascii="宋体" w:hAnsi="宋体" w:eastAsia="宋体" w:cs="宋体"/>
          <w:color w:val="auto"/>
          <w:sz w:val="28"/>
          <w:szCs w:val="28"/>
          <w14:textOutline w14:w="5103" w14:cap="sq" w14:cmpd="sng">
            <w14:solidFill>
              <w14:srgbClr w14:val="000000"/>
            </w14:solidFill>
            <w14:prstDash w14:val="solid"/>
            <w14:bevel/>
          </w14:textOutline>
        </w:rPr>
        <w:t>（四）评审方法：本次评审采用最低评审价法</w:t>
      </w:r>
      <w:bookmarkEnd w:id="37"/>
    </w:p>
    <w:p w14:paraId="449FD75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最低评审价法，是指响应文件满足谈判文件全部实质性要求，且谈判报价最低的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为成交候选人的评审方法。</w:t>
      </w:r>
    </w:p>
    <w:p w14:paraId="4F9AE818">
      <w:pPr>
        <w:keepNext w:val="0"/>
        <w:keepLines w:val="0"/>
        <w:pageBreakBefore w:val="0"/>
        <w:widowControl/>
        <w:kinsoku/>
        <w:wordWrap w:val="0"/>
        <w:overflowPunct/>
        <w:topLinePunct/>
        <w:autoSpaceDE/>
        <w:autoSpaceDN/>
        <w:bidi w:val="0"/>
        <w:adjustRightInd w:val="0"/>
        <w:snapToGrid w:val="0"/>
        <w:spacing w:before="167" w:line="221" w:lineRule="auto"/>
        <w:ind w:left="430"/>
        <w:jc w:val="both"/>
        <w:textAlignment w:val="baseline"/>
        <w:outlineLvl w:val="2"/>
        <w:rPr>
          <w:rFonts w:hint="eastAsia" w:ascii="宋体" w:hAnsi="宋体" w:eastAsia="宋体" w:cs="宋体"/>
          <w:color w:val="auto"/>
          <w:sz w:val="28"/>
          <w:szCs w:val="28"/>
        </w:rPr>
      </w:pPr>
      <w:bookmarkStart w:id="38" w:name="_Toc29964"/>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（五）谈判程序</w:t>
      </w:r>
      <w:bookmarkEnd w:id="38"/>
    </w:p>
    <w:p w14:paraId="7033F19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谈判的全过程分为第一次谈判报价、符合性审查、谈判过程、谈判承诺、最终报价、评审阶段。通过资质审查合格的各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，只有在响应文件及谈判承诺符合谈判文件要求和满足技术、商务需要的才有最终报价和评审的机会。</w:t>
      </w:r>
    </w:p>
    <w:p w14:paraId="1E5AA923">
      <w:pPr>
        <w:keepNext w:val="0"/>
        <w:keepLines w:val="0"/>
        <w:pageBreakBefore w:val="0"/>
        <w:widowControl/>
        <w:kinsoku/>
        <w:wordWrap w:val="0"/>
        <w:overflowPunct/>
        <w:topLinePunct/>
        <w:autoSpaceDE/>
        <w:autoSpaceDN/>
        <w:bidi w:val="0"/>
        <w:adjustRightInd w:val="0"/>
        <w:snapToGrid w:val="0"/>
        <w:spacing w:before="58" w:line="219" w:lineRule="auto"/>
        <w:ind w:left="584"/>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1、第一次谈判报价。</w:t>
      </w:r>
    </w:p>
    <w:p w14:paraId="0A3C80A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rPr>
      </w:pPr>
      <w:r>
        <w:rPr>
          <w:rFonts w:hint="eastAsia" w:ascii="宋体" w:hAnsi="宋体" w:eastAsia="宋体" w:cs="宋体"/>
          <w:color w:val="auto"/>
          <w:spacing w:val="-1"/>
          <w:sz w:val="28"/>
          <w:szCs w:val="28"/>
        </w:rPr>
        <w:t>第一次谈判报价未超出采购预算，否则按无效报价处理。</w:t>
      </w:r>
    </w:p>
    <w:p w14:paraId="789AE78B">
      <w:pPr>
        <w:keepNext w:val="0"/>
        <w:keepLines w:val="0"/>
        <w:pageBreakBefore w:val="0"/>
        <w:widowControl/>
        <w:kinsoku/>
        <w:wordWrap w:val="0"/>
        <w:overflowPunct/>
        <w:topLinePunct/>
        <w:autoSpaceDE/>
        <w:autoSpaceDN/>
        <w:bidi w:val="0"/>
        <w:adjustRightInd w:val="0"/>
        <w:snapToGrid w:val="0"/>
        <w:spacing w:before="92" w:line="220" w:lineRule="auto"/>
        <w:ind w:left="567"/>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2、谈判响应文件的符合性审查</w:t>
      </w:r>
    </w:p>
    <w:p w14:paraId="3BBF1AE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谈判小组依据谈判文件的规定，对谈判响应文件的有效性、完整性和对谈判文件的响应程度进行审查，以确定是否对谈判文件的全部实质性要求做出响应。谈判小组要审查每份谈判响应文件是否实质上响应了谈判文件的要求。实质上没有响应谈判文件要求的投标作无效响应文件处理。谈判小组应告知有关</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未通过审查的原因，</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不得通过修正或撤销不符之处而使其成为实质上响应。</w:t>
      </w:r>
    </w:p>
    <w:p w14:paraId="09880240">
      <w:pPr>
        <w:keepNext w:val="0"/>
        <w:keepLines w:val="0"/>
        <w:pageBreakBefore w:val="0"/>
        <w:widowControl/>
        <w:kinsoku/>
        <w:wordWrap w:val="0"/>
        <w:overflowPunct/>
        <w:topLinePunct/>
        <w:autoSpaceDE/>
        <w:autoSpaceDN/>
        <w:bidi w:val="0"/>
        <w:spacing w:before="190" w:beforeLines="50" w:after="190" w:afterLines="50" w:line="400" w:lineRule="exact"/>
        <w:jc w:val="both"/>
        <w:outlineLvl w:val="2"/>
        <w:rPr>
          <w:rFonts w:hint="eastAsia" w:ascii="宋体" w:hAnsi="宋体" w:eastAsia="宋体" w:cs="宋体"/>
          <w:b/>
          <w:color w:val="auto"/>
          <w:sz w:val="32"/>
          <w:szCs w:val="32"/>
          <w:highlight w:val="none"/>
          <w:u w:val="thick"/>
        </w:rPr>
      </w:pPr>
      <w:r>
        <w:rPr>
          <w:rFonts w:hint="eastAsia" w:ascii="宋体" w:hAnsi="宋体" w:eastAsia="宋体" w:cs="宋体"/>
          <w:b/>
          <w:color w:val="auto"/>
          <w:sz w:val="32"/>
          <w:szCs w:val="32"/>
          <w:highlight w:val="none"/>
          <w:u w:val="thick"/>
        </w:rPr>
        <w:t>符合性审查表</w:t>
      </w:r>
    </w:p>
    <w:tbl>
      <w:tblPr>
        <w:tblStyle w:val="16"/>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763"/>
        <w:gridCol w:w="6282"/>
      </w:tblGrid>
      <w:tr w14:paraId="1CE7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shd w:val="clear" w:color="auto" w:fill="F7CAAC"/>
            <w:noWrap w:val="0"/>
            <w:vAlign w:val="center"/>
          </w:tcPr>
          <w:p w14:paraId="39B010F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序号</w:t>
            </w:r>
          </w:p>
        </w:tc>
        <w:tc>
          <w:tcPr>
            <w:tcW w:w="2763" w:type="dxa"/>
            <w:shd w:val="clear" w:color="auto" w:fill="F7CAAC"/>
            <w:noWrap w:val="0"/>
            <w:vAlign w:val="center"/>
          </w:tcPr>
          <w:p w14:paraId="66DA9F8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符合性审查项</w:t>
            </w:r>
          </w:p>
        </w:tc>
        <w:tc>
          <w:tcPr>
            <w:tcW w:w="6282" w:type="dxa"/>
            <w:shd w:val="clear" w:color="auto" w:fill="F7CAAC"/>
            <w:noWrap w:val="0"/>
            <w:vAlign w:val="center"/>
          </w:tcPr>
          <w:p w14:paraId="4995405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通过条件</w:t>
            </w:r>
          </w:p>
        </w:tc>
      </w:tr>
      <w:tr w14:paraId="4B4A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3AD03916">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2763" w:type="dxa"/>
            <w:noWrap w:val="0"/>
            <w:vAlign w:val="center"/>
          </w:tcPr>
          <w:p w14:paraId="45D6E8E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响应文件项目名称、项目编号</w:t>
            </w:r>
          </w:p>
        </w:tc>
        <w:tc>
          <w:tcPr>
            <w:tcW w:w="6282" w:type="dxa"/>
            <w:noWrap w:val="0"/>
            <w:vAlign w:val="center"/>
          </w:tcPr>
          <w:p w14:paraId="4E55122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响应文件以下三处的项目名称、项目编号、标段无遗漏，且与本项目一致：</w:t>
            </w:r>
          </w:p>
          <w:p w14:paraId="2CF8E31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（1）封面；</w:t>
            </w:r>
          </w:p>
          <w:p w14:paraId="14C2E0B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（2）响应函；</w:t>
            </w:r>
          </w:p>
          <w:p w14:paraId="6F1156C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（3）法定代表人委托授权书。</w:t>
            </w:r>
          </w:p>
        </w:tc>
      </w:tr>
      <w:tr w14:paraId="0D17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59F33F2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2763" w:type="dxa"/>
            <w:noWrap w:val="0"/>
            <w:vAlign w:val="center"/>
          </w:tcPr>
          <w:p w14:paraId="1DB2ECB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响应文件组成</w:t>
            </w:r>
          </w:p>
        </w:tc>
        <w:tc>
          <w:tcPr>
            <w:tcW w:w="6282" w:type="dxa"/>
            <w:noWrap w:val="0"/>
            <w:vAlign w:val="center"/>
          </w:tcPr>
          <w:p w14:paraId="1FDC6DD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响应文件应包含以下内容：</w:t>
            </w:r>
          </w:p>
          <w:p w14:paraId="36A0FFA3">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（1）响应函；</w:t>
            </w:r>
          </w:p>
          <w:p w14:paraId="418D40A4">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（2）第一次谈判报价表、分项报价表（谈判文件未作要求的除外）；</w:t>
            </w:r>
          </w:p>
          <w:p w14:paraId="17E66C6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（3）资格证明文件；</w:t>
            </w:r>
          </w:p>
          <w:p w14:paraId="01D2D53D">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（4）供应商概况；</w:t>
            </w:r>
          </w:p>
          <w:p w14:paraId="4A7CBD2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（5）供应商参加政府采购活动承诺书；</w:t>
            </w:r>
          </w:p>
          <w:p w14:paraId="397264C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（6）响应方案。</w:t>
            </w:r>
          </w:p>
        </w:tc>
      </w:tr>
      <w:tr w14:paraId="15C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7FE953E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2763" w:type="dxa"/>
            <w:noWrap w:val="0"/>
            <w:vAlign w:val="center"/>
          </w:tcPr>
          <w:p w14:paraId="4E76520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响应文件签字、盖章</w:t>
            </w:r>
          </w:p>
        </w:tc>
        <w:tc>
          <w:tcPr>
            <w:tcW w:w="6282" w:type="dxa"/>
            <w:noWrap w:val="0"/>
            <w:vAlign w:val="center"/>
          </w:tcPr>
          <w:p w14:paraId="0402A82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签字、盖章符合谈判文件要求，且无遗漏。</w:t>
            </w:r>
          </w:p>
        </w:tc>
      </w:tr>
      <w:tr w14:paraId="7D9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1AA8652D">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2763" w:type="dxa"/>
            <w:noWrap w:val="0"/>
            <w:vAlign w:val="center"/>
          </w:tcPr>
          <w:p w14:paraId="361FDC3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响应文件的语言及计量单位</w:t>
            </w:r>
          </w:p>
        </w:tc>
        <w:tc>
          <w:tcPr>
            <w:tcW w:w="6282" w:type="dxa"/>
            <w:noWrap w:val="0"/>
            <w:vAlign w:val="center"/>
          </w:tcPr>
          <w:p w14:paraId="046C96E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均符合谈判文件的要求。</w:t>
            </w:r>
          </w:p>
        </w:tc>
      </w:tr>
      <w:tr w14:paraId="13E2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31D7EEE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2763" w:type="dxa"/>
            <w:noWrap w:val="0"/>
            <w:vAlign w:val="center"/>
          </w:tcPr>
          <w:p w14:paraId="4F273E5D">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响应文件有效期</w:t>
            </w:r>
          </w:p>
        </w:tc>
        <w:tc>
          <w:tcPr>
            <w:tcW w:w="6282" w:type="dxa"/>
            <w:noWrap w:val="0"/>
            <w:vAlign w:val="center"/>
          </w:tcPr>
          <w:p w14:paraId="16C4BCE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符合谈判文件的要求。</w:t>
            </w:r>
          </w:p>
        </w:tc>
      </w:tr>
      <w:tr w14:paraId="11CA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4A7FE2D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2763" w:type="dxa"/>
            <w:noWrap w:val="0"/>
            <w:vAlign w:val="center"/>
          </w:tcPr>
          <w:p w14:paraId="186DEB9B">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供应商信用承诺</w:t>
            </w:r>
          </w:p>
        </w:tc>
        <w:tc>
          <w:tcPr>
            <w:tcW w:w="6282" w:type="dxa"/>
            <w:noWrap w:val="0"/>
            <w:vAlign w:val="center"/>
          </w:tcPr>
          <w:p w14:paraId="594E0DE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符合谈判文件的要求。</w:t>
            </w:r>
          </w:p>
        </w:tc>
      </w:tr>
      <w:tr w14:paraId="0647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41A4E0A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2763" w:type="dxa"/>
            <w:noWrap w:val="0"/>
            <w:vAlign w:val="center"/>
          </w:tcPr>
          <w:p w14:paraId="4948770B">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谈判报价</w:t>
            </w:r>
          </w:p>
        </w:tc>
        <w:tc>
          <w:tcPr>
            <w:tcW w:w="6282" w:type="dxa"/>
            <w:noWrap w:val="0"/>
            <w:vAlign w:val="center"/>
          </w:tcPr>
          <w:p w14:paraId="71E69CD8">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同时满足以下条款：</w:t>
            </w:r>
          </w:p>
          <w:p w14:paraId="679029B1">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（1）谈判报价符合唯一性要求；</w:t>
            </w:r>
          </w:p>
          <w:p w14:paraId="19FBBECA">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（2）第一次谈判报价表填写符合要求；</w:t>
            </w:r>
          </w:p>
          <w:p w14:paraId="5EED631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（3）报价货币符合谈判文件要求；</w:t>
            </w:r>
          </w:p>
          <w:p w14:paraId="55D34406">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（4）未超出采购预算或谈判文件规定的最高限价；</w:t>
            </w:r>
          </w:p>
        </w:tc>
      </w:tr>
      <w:tr w14:paraId="766C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80" w:type="dxa"/>
            <w:noWrap w:val="0"/>
            <w:vAlign w:val="center"/>
          </w:tcPr>
          <w:p w14:paraId="25FE306E">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763" w:type="dxa"/>
            <w:noWrap w:val="0"/>
            <w:vAlign w:val="center"/>
          </w:tcPr>
          <w:p w14:paraId="66106E95">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技术/服务要求</w:t>
            </w:r>
          </w:p>
        </w:tc>
        <w:tc>
          <w:tcPr>
            <w:tcW w:w="6282" w:type="dxa"/>
            <w:noWrap w:val="0"/>
            <w:vAlign w:val="center"/>
          </w:tcPr>
          <w:p w14:paraId="2573111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完全理解并接受对谈判文件的服务要求，技术/服务要求没有重大偏离，任一项标识★技术服务必备条款要求没有重大偏离，否则按废标处理。</w:t>
            </w:r>
          </w:p>
        </w:tc>
      </w:tr>
      <w:tr w14:paraId="3B9A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34B439C6">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2763" w:type="dxa"/>
            <w:noWrap w:val="0"/>
            <w:vAlign w:val="center"/>
          </w:tcPr>
          <w:p w14:paraId="7CDE1AE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商务要求</w:t>
            </w:r>
          </w:p>
        </w:tc>
        <w:tc>
          <w:tcPr>
            <w:tcW w:w="6282" w:type="dxa"/>
            <w:noWrap w:val="0"/>
            <w:vAlign w:val="center"/>
          </w:tcPr>
          <w:p w14:paraId="4D3594DC">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完全理解并接受谈判文件合同条款的要求，商务要求响应无偏离。</w:t>
            </w:r>
          </w:p>
        </w:tc>
      </w:tr>
      <w:tr w14:paraId="05E0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37566D8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2763" w:type="dxa"/>
            <w:noWrap w:val="0"/>
            <w:vAlign w:val="center"/>
          </w:tcPr>
          <w:p w14:paraId="4982315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响应方案</w:t>
            </w:r>
          </w:p>
        </w:tc>
        <w:tc>
          <w:tcPr>
            <w:tcW w:w="6282" w:type="dxa"/>
            <w:noWrap w:val="0"/>
            <w:vAlign w:val="center"/>
          </w:tcPr>
          <w:p w14:paraId="0CE76192">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FF0000"/>
                <w:sz w:val="28"/>
                <w:szCs w:val="28"/>
                <w:highlight w:val="none"/>
                <w:lang w:val="en-US" w:eastAsia="zh-CN"/>
              </w:rPr>
              <w:t>方案中不存在内容缺陷的。内容缺陷是指：非专门针对本项目谈判文件第三章内容要求或不适用项目特性的情形、内容不完整或缺少关键节点、套用其他项目方案、内容前后矛盾、涉及的规范或标准错误、不利于项目实施、不可能实现的情形等任意一种情形。</w:t>
            </w:r>
          </w:p>
        </w:tc>
      </w:tr>
      <w:tr w14:paraId="5C98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noWrap w:val="0"/>
            <w:vAlign w:val="center"/>
          </w:tcPr>
          <w:p w14:paraId="71B9FEB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763" w:type="dxa"/>
            <w:noWrap w:val="0"/>
            <w:vAlign w:val="center"/>
          </w:tcPr>
          <w:p w14:paraId="43A0E6F9">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w:t>
            </w:r>
          </w:p>
        </w:tc>
        <w:tc>
          <w:tcPr>
            <w:tcW w:w="6282" w:type="dxa"/>
            <w:noWrap w:val="0"/>
            <w:vAlign w:val="center"/>
          </w:tcPr>
          <w:p w14:paraId="40E17757">
            <w:pPr>
              <w:keepNext w:val="0"/>
              <w:keepLines w:val="0"/>
              <w:pageBreakBefore w:val="0"/>
              <w:widowControl/>
              <w:kinsoku/>
              <w:wordWrap w:val="0"/>
              <w:overflowPunct/>
              <w:topLinePunct/>
              <w:autoSpaceDE/>
              <w:autoSpaceDN/>
              <w:bidi w:val="0"/>
              <w:adjustRightInd w:val="0"/>
              <w:snapToGrid w:val="0"/>
              <w:spacing w:line="320" w:lineRule="exact"/>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完全理解并接受法律法规和谈判文件对供应商的各项须知、规约要求和责任义务，没有出现法律法规或谈判文件明确规定的其他被视为“无效响应”的情形。</w:t>
            </w:r>
          </w:p>
        </w:tc>
      </w:tr>
    </w:tbl>
    <w:p w14:paraId="4DD51F4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串标行为认定：</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应当遵循公平竞争的原则，不得恶意串通，不得妨碍其他</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的竞争行为，不得损害采购人或者其他</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的合法权益。在评标过程中发现</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有上述情形的，谈判小组应当认定其投标无效，并书面报告本级财政部门。</w:t>
      </w:r>
    </w:p>
    <w:p w14:paraId="5F31414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有下列情形之一的，视为</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串通投标，其投标无效：</w:t>
      </w:r>
    </w:p>
    <w:p w14:paraId="1B6D0A8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（一）不同</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的谈判响应文件由同一单位或者个人编制；</w:t>
      </w:r>
    </w:p>
    <w:p w14:paraId="39728E3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（二）不同</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委托同一单位或者个人办理投标事宜；</w:t>
      </w:r>
    </w:p>
    <w:p w14:paraId="793877D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（三）不同</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的谈判响应文件载明的项目管理成员或者联系人员为同一人；</w:t>
      </w:r>
    </w:p>
    <w:p w14:paraId="74115E8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（四）不同</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的谈判响应文件异常一致或者投标报价呈规律性差异；</w:t>
      </w:r>
    </w:p>
    <w:p w14:paraId="17648E12">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宋体" w:hAnsi="宋体" w:eastAsia="宋体" w:cs="宋体"/>
          <w:color w:val="auto"/>
          <w:spacing w:val="-1"/>
          <w:sz w:val="28"/>
          <w:szCs w:val="28"/>
          <w:lang w:eastAsia="zh-CN"/>
        </w:rPr>
      </w:pPr>
      <w:bookmarkStart w:id="39" w:name="_Toc7395"/>
      <w:r>
        <w:rPr>
          <w:rFonts w:hint="eastAsia" w:ascii="宋体" w:hAnsi="宋体" w:eastAsia="宋体" w:cs="宋体"/>
          <w:color w:val="auto"/>
          <w:spacing w:val="-1"/>
          <w:sz w:val="28"/>
          <w:szCs w:val="28"/>
        </w:rPr>
        <w:t>（五）不同</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的谈判响应文件相互混装</w:t>
      </w:r>
      <w:r>
        <w:rPr>
          <w:rFonts w:hint="eastAsia" w:ascii="宋体" w:hAnsi="宋体" w:eastAsia="宋体" w:cs="宋体"/>
          <w:color w:val="auto"/>
          <w:spacing w:val="-1"/>
          <w:sz w:val="28"/>
          <w:szCs w:val="28"/>
          <w:lang w:eastAsia="zh-CN"/>
        </w:rPr>
        <w:t>。</w:t>
      </w:r>
      <w:bookmarkEnd w:id="39"/>
    </w:p>
    <w:p w14:paraId="109ACE84">
      <w:pPr>
        <w:keepNext w:val="0"/>
        <w:keepLines w:val="0"/>
        <w:pageBreakBefore w:val="0"/>
        <w:widowControl/>
        <w:kinsoku/>
        <w:wordWrap w:val="0"/>
        <w:overflowPunct/>
        <w:topLinePunct/>
        <w:autoSpaceDE/>
        <w:autoSpaceDN/>
        <w:bidi w:val="0"/>
        <w:adjustRightInd w:val="0"/>
        <w:snapToGrid w:val="0"/>
        <w:spacing w:before="169" w:line="220" w:lineRule="auto"/>
        <w:ind w:left="725"/>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3、谈判响应文件的澄清</w:t>
      </w:r>
    </w:p>
    <w:p w14:paraId="13796F0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（1）谈判小组在对谈判响应文件的有效性、完整性和响应程度进行审查时，可以要求</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对谈判响应文件中含义不明确、同类问题表述不一致或者有明显文字和计算错误的内容等做出必要的澄清、说明或者补正。</w:t>
      </w:r>
    </w:p>
    <w:p w14:paraId="4087E0E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（2）依照民法中的过失责任原则，澄清、说明或补正前谈判小组将按最不利于</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的原则对谈判响应文件做出评判。</w:t>
      </w:r>
    </w:p>
    <w:p w14:paraId="206161A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（3）谈判小组应书面要求</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澄清、说明或者补正谈判响应文件。</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应当在规定的澄清时限内按谈判小组要求的方式提交。</w:t>
      </w:r>
    </w:p>
    <w:p w14:paraId="4E301BD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（4）</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的澄清、说明或者补正不得超出谈判响应文件的范围或者改变谈判响应文件的实质性内容。澄清、说明或者补正的内容将作为合同履行的重要依据。</w:t>
      </w:r>
    </w:p>
    <w:p w14:paraId="4E5E0B60">
      <w:pPr>
        <w:keepNext w:val="0"/>
        <w:keepLines w:val="0"/>
        <w:pageBreakBefore w:val="0"/>
        <w:widowControl/>
        <w:kinsoku/>
        <w:wordWrap w:val="0"/>
        <w:overflowPunct/>
        <w:topLinePunct/>
        <w:autoSpaceDE/>
        <w:autoSpaceDN/>
        <w:bidi w:val="0"/>
        <w:adjustRightInd w:val="0"/>
        <w:snapToGrid w:val="0"/>
        <w:spacing w:before="166" w:line="221" w:lineRule="auto"/>
        <w:ind w:left="718"/>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4、谈判方法</w:t>
      </w:r>
    </w:p>
    <w:p w14:paraId="6DB994E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（1）谈判原则：按照财政部令（第74号）文件精神，谈判方式应采取“符合采购需求情况下，坚持低价优先原则”。谈判小组应当从质量和服务均能满足谈判文件实质性响应要求的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中，按照最后报价由低到高的顺序提出3名以上成交候选</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，经采购单位确认，以</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的最低报价作为成交价格。</w:t>
      </w:r>
    </w:p>
    <w:p w14:paraId="52C97069">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2）谈判程序：分步评审，每一步评审不符合者，不进入下一步评审。谈判开始前将由采购单位纪检人员当众检验谈判响应文件的密封情况，确认无误后方可进行拆封、谈判。由谈判小组成员集中与单一参加谈判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分别进行谈判。谈判过程依次为公布谈判响应文件份数、谈判响应文件资格性审查、商务符合性审查、技术响应性审查、谈判与承诺、最后报价六个阶段。</w:t>
      </w:r>
    </w:p>
    <w:p w14:paraId="603A9B5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谈判小组对于各个</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的谈判响应文件先进行资格性审查、再进行商务符合性审查、再进行技术响应性审查，审查全都合格的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才有参加谈判与承诺的资格。</w:t>
      </w:r>
    </w:p>
    <w:p w14:paraId="452B64D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谈判采取背对背的方式。即谈判小组所有成员集中与各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分别进行一对一、面对面的谈判。谈判小组可以要求</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对谈判响应文件含义不明确的内容做出必要的澄清或说明，</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应采用书面形式进行澄清或说明，但不得超出谈判响应文件的范围或改变谈判响应文件的实质性内容。双方经过谈判，质量和服务均能满足采购文件实质性响应要求的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才具有最后报价的机会。</w:t>
      </w:r>
    </w:p>
    <w:p w14:paraId="5B61A2DD">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谈判后，</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应按谈判小组规定的时间进行最后报价，并由法定代表人或其授权人签字，最后报价现场不对</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公布。该谈判报价为不可更改价格，作为谈判小组推荐成交候选人的依据。</w:t>
      </w:r>
    </w:p>
    <w:p w14:paraId="043019E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评审方法：谈判小组从质量和服务均能满足采购文件实质性响应要求的</w:t>
      </w: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中，按照最后报价由低到高的顺序提出成交候选人。</w:t>
      </w:r>
    </w:p>
    <w:p w14:paraId="67A90B18">
      <w:pPr>
        <w:keepNext w:val="0"/>
        <w:keepLines w:val="0"/>
        <w:pageBreakBefore w:val="0"/>
        <w:widowControl/>
        <w:kinsoku/>
        <w:wordWrap w:val="0"/>
        <w:overflowPunct/>
        <w:topLinePunct/>
        <w:autoSpaceDE/>
        <w:autoSpaceDN/>
        <w:bidi w:val="0"/>
        <w:adjustRightInd w:val="0"/>
        <w:snapToGrid w:val="0"/>
        <w:spacing w:before="167" w:line="221" w:lineRule="auto"/>
        <w:ind w:left="569"/>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5、谈判过程</w:t>
      </w:r>
    </w:p>
    <w:p w14:paraId="111BF19A">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谈判小组应在符合性评审的基础上对各</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的响应文件认真阅读，谈判小组必须对响应文件的采购内容等有关要求与</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进行背对背的方式谈判。即谈判小组所有成员集中与各</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分别进行一对一、面对面的谈判。在谈判中，谈判的任何一方不得透露与谈判有关的其他</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的技术资料、价格和其他信息。谈判文件有实质性变动的，谈判小组应当以书面形式通知所有参加谈判的</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w:t>
      </w:r>
    </w:p>
    <w:p w14:paraId="6F8B43C0">
      <w:pPr>
        <w:keepNext w:val="0"/>
        <w:keepLines w:val="0"/>
        <w:pageBreakBefore w:val="0"/>
        <w:widowControl/>
        <w:kinsoku/>
        <w:wordWrap w:val="0"/>
        <w:overflowPunct/>
        <w:topLinePunct/>
        <w:autoSpaceDE/>
        <w:autoSpaceDN/>
        <w:bidi w:val="0"/>
        <w:adjustRightInd w:val="0"/>
        <w:snapToGrid w:val="0"/>
        <w:spacing w:before="166" w:line="220" w:lineRule="auto"/>
        <w:ind w:left="564"/>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6、谈判内容</w:t>
      </w:r>
    </w:p>
    <w:p w14:paraId="11FF2B79">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（1）谈判小组对实质上响应谈判文件要求的谈判响应文件进行评价和比较。成交原则：“符合采购需求情况下，坚持低价优先原则”。</w:t>
      </w:r>
    </w:p>
    <w:p w14:paraId="614E1D44">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（2）谈判小组在评定时，将主要考虑下列因素：</w:t>
      </w:r>
    </w:p>
    <w:p w14:paraId="3DE287E9">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A、</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最终报价；</w:t>
      </w:r>
    </w:p>
    <w:p w14:paraId="3D343577">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B、响应项目的服务质量；</w:t>
      </w:r>
    </w:p>
    <w:p w14:paraId="69C75E77">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C、</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完成项目的组织机构、实施计划；</w:t>
      </w:r>
    </w:p>
    <w:p w14:paraId="6B874019">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D、</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售后服务的承诺；</w:t>
      </w:r>
    </w:p>
    <w:p w14:paraId="78BAD5B5">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E、</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商务响应；</w:t>
      </w:r>
    </w:p>
    <w:p w14:paraId="1ABEAF0B">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F、</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完成项目保障能力；</w:t>
      </w:r>
    </w:p>
    <w:p w14:paraId="2D2F5874">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G、</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的业绩、信誉。</w:t>
      </w:r>
    </w:p>
    <w:p w14:paraId="49AE7C31">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（3）竞争性谈判确定的最终价格及服务等仍不能满足采购单位的要求，采购单位及谈判小组将保留最终放弃本次谈判的权利。</w:t>
      </w:r>
    </w:p>
    <w:p w14:paraId="7A1FB478">
      <w:pPr>
        <w:keepNext w:val="0"/>
        <w:keepLines w:val="0"/>
        <w:pageBreakBefore w:val="0"/>
        <w:widowControl/>
        <w:kinsoku/>
        <w:wordWrap w:val="0"/>
        <w:overflowPunct/>
        <w:topLinePunct/>
        <w:autoSpaceDE/>
        <w:autoSpaceDN/>
        <w:bidi w:val="0"/>
        <w:adjustRightInd w:val="0"/>
        <w:snapToGrid w:val="0"/>
        <w:spacing w:before="166" w:line="219" w:lineRule="auto"/>
        <w:ind w:left="569"/>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7、最终报价</w:t>
      </w:r>
    </w:p>
    <w:p w14:paraId="1217425C">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资格性审查和符合性审查通过的</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进入最终报价阶段。最终报价是</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响应文件的有效组成部分。（最后报价相同时，可进行多次报价）成交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的最终报价出现明显低于或高于同业同期市场平均价的情形时，谈判小组应当在评审意见中详细说明推荐理由。</w:t>
      </w:r>
    </w:p>
    <w:p w14:paraId="36177A3A">
      <w:pPr>
        <w:keepNext w:val="0"/>
        <w:keepLines w:val="0"/>
        <w:pageBreakBefore w:val="0"/>
        <w:widowControl/>
        <w:kinsoku/>
        <w:wordWrap w:val="0"/>
        <w:overflowPunct/>
        <w:topLinePunct/>
        <w:autoSpaceDE/>
        <w:autoSpaceDN/>
        <w:bidi w:val="0"/>
        <w:adjustRightInd w:val="0"/>
        <w:snapToGrid w:val="0"/>
        <w:spacing w:before="167" w:line="219" w:lineRule="auto"/>
        <w:ind w:left="56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8、推荐成交候选人</w:t>
      </w:r>
    </w:p>
    <w:p w14:paraId="31DA213C">
      <w:pPr>
        <w:keepNext w:val="0"/>
        <w:keepLines w:val="0"/>
        <w:pageBreakBefore w:val="0"/>
        <w:widowControl/>
        <w:kinsoku/>
        <w:wordWrap w:val="0"/>
        <w:overflowPunct/>
        <w:topLinePunct/>
        <w:autoSpaceDE/>
        <w:autoSpaceDN/>
        <w:bidi w:val="0"/>
        <w:adjustRightInd w:val="0"/>
        <w:snapToGrid w:val="0"/>
        <w:spacing w:before="55" w:line="241"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lang w:val="en-US" w:eastAsia="zh-CN"/>
        </w:rPr>
        <w:t>按照最终</w:t>
      </w:r>
      <w:r>
        <w:rPr>
          <w:rFonts w:hint="eastAsia" w:ascii="宋体" w:hAnsi="宋体" w:eastAsia="宋体" w:cs="宋体"/>
          <w:color w:val="auto"/>
          <w:spacing w:val="-4"/>
          <w:sz w:val="28"/>
          <w:szCs w:val="28"/>
        </w:rPr>
        <w:t>报价由低到高的顺序推荐三名成交候选人。</w:t>
      </w:r>
      <w:r>
        <w:rPr>
          <w:rFonts w:hint="eastAsia" w:ascii="宋体" w:hAnsi="宋体" w:eastAsia="宋体" w:cs="宋体"/>
          <w:color w:val="auto"/>
          <w:spacing w:val="-4"/>
          <w:sz w:val="28"/>
          <w:szCs w:val="28"/>
          <w:lang w:val="en-US" w:eastAsia="zh-CN"/>
        </w:rPr>
        <w:t>本项目非专门面向</w:t>
      </w:r>
      <w:r>
        <w:rPr>
          <w:rFonts w:hint="eastAsia" w:ascii="宋体" w:hAnsi="宋体" w:eastAsia="宋体" w:cs="宋体"/>
          <w:color w:val="auto"/>
          <w:spacing w:val="-1"/>
          <w:sz w:val="28"/>
          <w:szCs w:val="28"/>
          <w:lang w:val="en-US" w:eastAsia="zh-CN"/>
        </w:rPr>
        <w:t>中小</w:t>
      </w:r>
      <w:r>
        <w:rPr>
          <w:rFonts w:hint="eastAsia" w:ascii="宋体" w:hAnsi="宋体" w:eastAsia="宋体" w:cs="宋体"/>
          <w:color w:val="auto"/>
          <w:spacing w:val="-4"/>
          <w:sz w:val="28"/>
          <w:szCs w:val="28"/>
          <w:lang w:val="en-US" w:eastAsia="zh-CN"/>
        </w:rPr>
        <w:t>企业的采购，对小型和微型企业报价给予20%的价格扣除，用扣除后的价格参与评审。</w:t>
      </w:r>
    </w:p>
    <w:p w14:paraId="7E80524B">
      <w:pPr>
        <w:keepNext w:val="0"/>
        <w:keepLines w:val="0"/>
        <w:pageBreakBefore w:val="0"/>
        <w:widowControl/>
        <w:kinsoku/>
        <w:wordWrap w:val="0"/>
        <w:overflowPunct/>
        <w:topLinePunct/>
        <w:autoSpaceDE/>
        <w:autoSpaceDN/>
        <w:bidi w:val="0"/>
        <w:adjustRightInd w:val="0"/>
        <w:snapToGrid w:val="0"/>
        <w:spacing w:before="146" w:line="219" w:lineRule="auto"/>
        <w:ind w:left="562"/>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9、编写评审报告</w:t>
      </w:r>
    </w:p>
    <w:p w14:paraId="511AFF32">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（1）谈判小组应根据全体评审成员签字的原始评审记录和评审结果编写评审报告。评审报告应包括：谈判公告刊登的媒体名称、开标日期和地点;</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名单和谈判小组成员名单;评审方法和标准;开标记录和评审情况及说明，包括无效</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名单及原因;评审结果，确定的成交候选人名单或者经采购人委托直接确定的成交人;其他需要说明的情况，包括评审过程中</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根据谈判小组要求进行的澄清、说明或者补正，谈判小组成员的更换等。</w:t>
      </w:r>
    </w:p>
    <w:p w14:paraId="743C8AB8">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2）谈判小组成员对需要共同认定的事项存在争议的，应当按照少数服从多数的原则做出结论。持不同意见的谈判小组成员应当在评审报告上签署不同意见及理由，否则视为同意评审报告。对拒绝说明理由的，报</w:t>
      </w:r>
      <w:r>
        <w:rPr>
          <w:rFonts w:hint="eastAsia" w:ascii="宋体" w:hAnsi="宋体" w:eastAsia="宋体" w:cs="宋体"/>
          <w:color w:val="auto"/>
          <w:spacing w:val="-4"/>
          <w:sz w:val="28"/>
          <w:szCs w:val="28"/>
          <w:lang w:val="en-US" w:eastAsia="zh-CN"/>
        </w:rPr>
        <w:t>项目所在地</w:t>
      </w:r>
      <w:r>
        <w:rPr>
          <w:rFonts w:hint="eastAsia" w:ascii="宋体" w:hAnsi="宋体" w:eastAsia="宋体" w:cs="宋体"/>
          <w:color w:val="auto"/>
          <w:spacing w:val="-4"/>
          <w:sz w:val="28"/>
          <w:szCs w:val="28"/>
        </w:rPr>
        <w:t>财政局处理，并将其评审情况如实计入考核表。</w:t>
      </w:r>
    </w:p>
    <w:p w14:paraId="0BCC5191">
      <w:pPr>
        <w:keepNext w:val="0"/>
        <w:keepLines w:val="0"/>
        <w:pageBreakBefore w:val="0"/>
        <w:widowControl/>
        <w:kinsoku/>
        <w:wordWrap w:val="0"/>
        <w:overflowPunct/>
        <w:topLinePunct/>
        <w:autoSpaceDE/>
        <w:autoSpaceDN/>
        <w:bidi w:val="0"/>
        <w:adjustRightInd w:val="0"/>
        <w:snapToGrid w:val="0"/>
        <w:spacing w:before="166" w:line="220" w:lineRule="auto"/>
        <w:ind w:left="562"/>
        <w:jc w:val="both"/>
        <w:textAlignment w:val="baseline"/>
        <w:outlineLvl w:val="1"/>
        <w:rPr>
          <w:rFonts w:hint="eastAsia" w:ascii="宋体" w:hAnsi="宋体" w:eastAsia="宋体" w:cs="宋体"/>
          <w:color w:val="auto"/>
          <w:sz w:val="28"/>
          <w:szCs w:val="28"/>
        </w:rPr>
      </w:pPr>
      <w:bookmarkStart w:id="40" w:name="_Toc6236"/>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十、无效响应文件情形</w:t>
      </w:r>
      <w:bookmarkEnd w:id="40"/>
    </w:p>
    <w:p w14:paraId="377DCA5E">
      <w:pPr>
        <w:keepNext w:val="0"/>
        <w:keepLines w:val="0"/>
        <w:pageBreakBefore w:val="0"/>
        <w:widowControl/>
        <w:kinsoku/>
        <w:wordWrap w:val="0"/>
        <w:overflowPunct/>
        <w:topLinePunct/>
        <w:autoSpaceDE/>
        <w:autoSpaceDN/>
        <w:bidi w:val="0"/>
        <w:adjustRightInd w:val="0"/>
        <w:snapToGrid w:val="0"/>
        <w:spacing w:before="166" w:line="219" w:lineRule="auto"/>
        <w:ind w:left="428"/>
        <w:jc w:val="both"/>
        <w:textAlignment w:val="baseline"/>
        <w:outlineLvl w:val="2"/>
        <w:rPr>
          <w:rFonts w:hint="eastAsia" w:ascii="宋体" w:hAnsi="宋体" w:eastAsia="宋体" w:cs="宋体"/>
          <w:color w:val="auto"/>
          <w:sz w:val="28"/>
          <w:szCs w:val="28"/>
        </w:rPr>
      </w:pPr>
      <w:bookmarkStart w:id="41" w:name="_Toc26343"/>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（一）</w:t>
      </w:r>
      <w:r>
        <w:rPr>
          <w:rFonts w:hint="eastAsia" w:ascii="宋体" w:hAnsi="宋体" w:eastAsia="宋体" w:cs="宋体"/>
          <w:color w:val="auto"/>
          <w:spacing w:val="2"/>
          <w:sz w:val="28"/>
          <w:szCs w:val="28"/>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存在下列情况之一的，响应文件无效:</w:t>
      </w:r>
      <w:bookmarkEnd w:id="41"/>
    </w:p>
    <w:p w14:paraId="69C11FD2">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1、响应文件未按谈判文件要求签署、盖章;</w:t>
      </w:r>
    </w:p>
    <w:p w14:paraId="5D9E4726">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2、不具备谈判文件中规定的资格要求;</w:t>
      </w:r>
    </w:p>
    <w:p w14:paraId="1CC2CF9E">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3、报价超过谈判文件中规定的预算金额或者最高限价;</w:t>
      </w:r>
    </w:p>
    <w:p w14:paraId="4AB363B7">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4、响应文件含有采购人不能接受的附加条件;</w:t>
      </w:r>
    </w:p>
    <w:p w14:paraId="067C3B5E">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5、有选择的报价将不予接受，按无效响应文件处理；</w:t>
      </w:r>
    </w:p>
    <w:p w14:paraId="5B9D3590">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6、按《政府采购非招标采购方式管理办法》（财政部令第74号）修正后的报价经</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确认后产生约束力，</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不确认的，其响应文件无效。</w:t>
      </w:r>
    </w:p>
    <w:p w14:paraId="4387A20E">
      <w:pPr>
        <w:keepNext w:val="0"/>
        <w:keepLines w:val="0"/>
        <w:pageBreakBefore w:val="0"/>
        <w:widowControl/>
        <w:kinsoku/>
        <w:wordWrap w:val="0"/>
        <w:overflowPunct/>
        <w:topLinePunct/>
        <w:autoSpaceDE/>
        <w:autoSpaceDN/>
        <w:bidi w:val="0"/>
        <w:adjustRightInd w:val="0"/>
        <w:snapToGrid w:val="0"/>
        <w:spacing w:before="164" w:line="219" w:lineRule="auto"/>
        <w:ind w:right="38"/>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14:textOutline w14:w="5103" w14:cap="sq" w14:cmpd="sng">
            <w14:solidFill>
              <w14:srgbClr w14:val="000000"/>
            </w14:solidFill>
            <w14:prstDash w14:val="solid"/>
            <w14:bevel/>
          </w14:textOutline>
        </w:rPr>
        <w:t>（二）</w:t>
      </w: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z w:val="28"/>
          <w:szCs w:val="28"/>
          <w14:textOutline w14:w="5103" w14:cap="sq" w14:cmpd="sng">
            <w14:solidFill>
              <w14:srgbClr w14:val="000000"/>
            </w14:solidFill>
            <w14:prstDash w14:val="solid"/>
            <w14:bevel/>
          </w14:textOutline>
        </w:rPr>
        <w:t>存在下列情形之一的，视为串通投标，其响应文件无效：</w:t>
      </w:r>
    </w:p>
    <w:p w14:paraId="0897FBDF">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1、不同</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的响应文件由同一单位或者个人编制；</w:t>
      </w:r>
    </w:p>
    <w:p w14:paraId="16EE9C94">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2、不同</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委托同一单位或者个人办理投标事宜；</w:t>
      </w:r>
    </w:p>
    <w:p w14:paraId="5D76989C">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3、不同</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的响应文件载明的项目管理成员或者联系人员为同一人；</w:t>
      </w:r>
    </w:p>
    <w:p w14:paraId="38A7B80A">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4、不同</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的响应文件异常一致或者谈判报价呈规律性差异；</w:t>
      </w:r>
    </w:p>
    <w:p w14:paraId="26F9EBF0">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outlineLvl w:val="2"/>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pPr>
      <w:bookmarkStart w:id="42" w:name="_Toc10898"/>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（三）</w:t>
      </w:r>
      <w:r>
        <w:rPr>
          <w:rFonts w:hint="eastAsia" w:ascii="宋体" w:hAnsi="宋体" w:eastAsia="宋体" w:cs="宋体"/>
          <w:color w:val="auto"/>
          <w:spacing w:val="-2"/>
          <w:sz w:val="28"/>
          <w:szCs w:val="28"/>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不得以低于成本的报价参加本次采购项目。</w:t>
      </w:r>
      <w:bookmarkEnd w:id="42"/>
    </w:p>
    <w:p w14:paraId="7FE7AB28">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谈判小组认为</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的报价明显低于其他通过符合性审查</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的报价，有可能影响产品质量或者不能诚信履约的，应当要求其在评审现场合理的时间内提供书面说明，同时提交相关证明材料;</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不能证明其报价合理性的，谈判小组应当将其作为无效响应文件处理。</w:t>
      </w:r>
    </w:p>
    <w:p w14:paraId="443652CB">
      <w:pPr>
        <w:keepNext w:val="0"/>
        <w:keepLines w:val="0"/>
        <w:pageBreakBefore w:val="0"/>
        <w:widowControl/>
        <w:kinsoku/>
        <w:wordWrap w:val="0"/>
        <w:overflowPunct/>
        <w:topLinePunct/>
        <w:autoSpaceDE/>
        <w:autoSpaceDN/>
        <w:bidi w:val="0"/>
        <w:adjustRightInd w:val="0"/>
        <w:snapToGrid w:val="0"/>
        <w:spacing w:before="168" w:line="221" w:lineRule="auto"/>
        <w:ind w:left="693"/>
        <w:jc w:val="both"/>
        <w:textAlignment w:val="baseline"/>
        <w:outlineLvl w:val="1"/>
        <w:rPr>
          <w:rFonts w:hint="eastAsia" w:ascii="宋体" w:hAnsi="宋体" w:eastAsia="宋体" w:cs="宋体"/>
          <w:color w:val="auto"/>
          <w:sz w:val="28"/>
          <w:szCs w:val="28"/>
        </w:rPr>
      </w:pPr>
      <w:bookmarkStart w:id="43" w:name="_Toc15133"/>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十一、成交</w:t>
      </w:r>
      <w:bookmarkEnd w:id="43"/>
    </w:p>
    <w:p w14:paraId="0064A292">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（一）采购代理机构在评审工作结束后2个工作日内将评审报告送采购人。</w:t>
      </w:r>
    </w:p>
    <w:p w14:paraId="46DA5C02">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（二）采购人在收到评审报告之日起5个工作日内，在评审报告确定的成交候选人名单中按顺序确定成交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。采购人在收到评审报告5个工作日内未按评审报告推荐的成交候选人顺序确定成交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，又不能说明合法理由的，视同按评审报告推荐的顺序确定成交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，采购代理机构将发布成交公告。</w:t>
      </w:r>
    </w:p>
    <w:p w14:paraId="385F6557">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（三）采购代理机构将在成交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确定之日起2个工作日内，在发布媒体【</w:t>
      </w:r>
      <w:r>
        <w:rPr>
          <w:rFonts w:hint="eastAsia" w:ascii="宋体" w:hAnsi="宋体" w:eastAsia="宋体" w:cs="宋体"/>
          <w:color w:val="auto"/>
          <w:spacing w:val="-4"/>
          <w:sz w:val="28"/>
          <w:szCs w:val="28"/>
        </w:rPr>
        <w:fldChar w:fldCharType="begin"/>
      </w:r>
      <w:r>
        <w:rPr>
          <w:rFonts w:hint="eastAsia" w:ascii="宋体" w:hAnsi="宋体" w:eastAsia="宋体" w:cs="宋体"/>
          <w:color w:val="auto"/>
          <w:spacing w:val="-4"/>
          <w:sz w:val="28"/>
          <w:szCs w:val="28"/>
        </w:rPr>
        <w:instrText xml:space="preserve"> HYPERLINK "http://www.ccgp-shaanxi.gov.cn" </w:instrText>
      </w:r>
      <w:r>
        <w:rPr>
          <w:rFonts w:hint="eastAsia" w:ascii="宋体" w:hAnsi="宋体" w:eastAsia="宋体" w:cs="宋体"/>
          <w:color w:val="auto"/>
          <w:spacing w:val="-4"/>
          <w:sz w:val="28"/>
          <w:szCs w:val="28"/>
        </w:rPr>
        <w:fldChar w:fldCharType="separate"/>
      </w:r>
      <w:r>
        <w:rPr>
          <w:rFonts w:hint="eastAsia" w:ascii="宋体" w:hAnsi="宋体" w:eastAsia="宋体" w:cs="宋体"/>
          <w:color w:val="auto"/>
          <w:spacing w:val="-4"/>
          <w:sz w:val="28"/>
          <w:szCs w:val="28"/>
        </w:rPr>
        <w:t>陕西省政府采购网</w:t>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（www.ccgp-shaanxi.gov.cn）】、【全国公共资源交易平台（陕西省）（http://www.sxggzyjy.cn/）】上公告成交结果。成交公告期限为1个工作日。</w:t>
      </w:r>
    </w:p>
    <w:p w14:paraId="30562DF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（四）在公告成交结果的同时，采购代理机构向成交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发出成交通知书（中标通知书领取地点：</w:t>
      </w:r>
      <w:r>
        <w:rPr>
          <w:rFonts w:hint="eastAsia" w:ascii="宋体" w:hAnsi="宋体" w:eastAsia="宋体" w:cs="宋体"/>
          <w:color w:val="auto"/>
          <w:spacing w:val="-4"/>
          <w:sz w:val="28"/>
          <w:szCs w:val="28"/>
          <w:lang w:val="en-US" w:eastAsia="zh-CN"/>
        </w:rPr>
        <w:t>陕西省榆林市航宇路5号石化家属院三单元201室</w:t>
      </w:r>
      <w:r>
        <w:rPr>
          <w:rFonts w:hint="eastAsia" w:ascii="宋体" w:hAnsi="宋体" w:eastAsia="宋体" w:cs="宋体"/>
          <w:color w:val="auto"/>
          <w:spacing w:val="-4"/>
          <w:sz w:val="28"/>
          <w:szCs w:val="28"/>
        </w:rPr>
        <w:t>，联系电话：</w:t>
      </w:r>
      <w:r>
        <w:rPr>
          <w:rFonts w:hint="eastAsia" w:ascii="宋体" w:hAnsi="宋体" w:eastAsia="宋体" w:cs="宋体"/>
          <w:color w:val="auto"/>
          <w:spacing w:val="-4"/>
          <w:sz w:val="28"/>
          <w:szCs w:val="28"/>
          <w:lang w:eastAsia="zh-CN"/>
        </w:rPr>
        <w:t>15619895155</w:t>
      </w:r>
      <w:r>
        <w:rPr>
          <w:rFonts w:hint="eastAsia" w:ascii="宋体" w:hAnsi="宋体" w:eastAsia="宋体" w:cs="宋体"/>
          <w:color w:val="auto"/>
          <w:spacing w:val="-4"/>
          <w:sz w:val="28"/>
          <w:szCs w:val="28"/>
        </w:rPr>
        <w:t>）。</w:t>
      </w:r>
    </w:p>
    <w:p w14:paraId="52674F5C">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（五）成交通知书发出后，采购人不得违法改变成交结果，成交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无正当理由不得放弃成交。</w:t>
      </w:r>
    </w:p>
    <w:p w14:paraId="60768425">
      <w:pPr>
        <w:keepNext w:val="0"/>
        <w:keepLines w:val="0"/>
        <w:pageBreakBefore w:val="0"/>
        <w:widowControl/>
        <w:kinsoku/>
        <w:wordWrap w:val="0"/>
        <w:overflowPunct/>
        <w:topLinePunct/>
        <w:autoSpaceDE/>
        <w:autoSpaceDN/>
        <w:bidi w:val="0"/>
        <w:adjustRightInd w:val="0"/>
        <w:snapToGrid w:val="0"/>
        <w:spacing w:before="169" w:line="219" w:lineRule="auto"/>
        <w:ind w:left="693"/>
        <w:jc w:val="both"/>
        <w:textAlignment w:val="baseline"/>
        <w:outlineLvl w:val="1"/>
        <w:rPr>
          <w:rFonts w:hint="eastAsia" w:ascii="宋体" w:hAnsi="宋体" w:eastAsia="宋体" w:cs="宋体"/>
          <w:color w:val="auto"/>
          <w:sz w:val="28"/>
          <w:szCs w:val="28"/>
          <w:lang w:eastAsia="zh-CN"/>
        </w:rPr>
      </w:pPr>
      <w:bookmarkStart w:id="44" w:name="_Toc31364"/>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十二、签订政府</w:t>
      </w:r>
      <w:bookmarkEnd w:id="44"/>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采购合同</w:t>
      </w:r>
    </w:p>
    <w:p w14:paraId="2789A2B3">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（一）自成交通知书发出之日起10日内，采购人与成交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应按谈判文件和成交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响应文件的规定，签订书面合同。所签订的政府</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不得对谈判文件和成交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的响应文件内容作实质性修改。采购人不得向成交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提出任何不合理的要求作为签订合同的条件。</w:t>
      </w:r>
    </w:p>
    <w:p w14:paraId="200A31D8">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（二）成交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拒绝与采购人签订合同的，采购人可以按照评审报告推荐的成交候选人名单排序，确定下一候选人为成交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，也可以重新开展政府采购活动。</w:t>
      </w:r>
    </w:p>
    <w:p w14:paraId="68582DD6">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（三）谈判文件、成交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的响应文件、《成交通知书》及其澄清、说明文件、承诺等，均为签订</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的依据，作为</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的组成部分。</w:t>
      </w:r>
    </w:p>
    <w:p w14:paraId="2E4BEC0B">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（四）政府</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应当包括采购人与成交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的名称和住所、标的、数量、质量、价款或者报酬、履行期限及地点和方式、验收要求、违约责任、解决争议的方法等内容。</w:t>
      </w:r>
    </w:p>
    <w:p w14:paraId="7972B5D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（五）采购人与成交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应当根据合同的约定依法履行合同义务。政府</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的履行、违约责任和解决争议的方法等适用《中华人民共和国民法典》。</w:t>
      </w:r>
    </w:p>
    <w:p w14:paraId="5282B0F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（六）采购人应及时对采购项目进行验收。采购人可以邀请参加本项目的其他</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或者第三方机构参与验收。参与验收的</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或者第三方机构的意见作为验收书的参考资料一并存档。</w:t>
      </w:r>
    </w:p>
    <w:p w14:paraId="1BB2F999">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（七）采购人应当加强对成交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的履约管理，并按照</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约定，及时向成交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支付采购资金。对于成交</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违反</w:t>
      </w:r>
      <w:r>
        <w:rPr>
          <w:rFonts w:hint="eastAsia" w:ascii="宋体" w:hAnsi="宋体" w:eastAsia="宋体" w:cs="宋体"/>
          <w:color w:val="auto"/>
          <w:spacing w:val="-4"/>
          <w:sz w:val="28"/>
          <w:szCs w:val="28"/>
          <w:lang w:eastAsia="zh-CN"/>
        </w:rPr>
        <w:t>采购合同</w:t>
      </w:r>
      <w:r>
        <w:rPr>
          <w:rFonts w:hint="eastAsia" w:ascii="宋体" w:hAnsi="宋体" w:eastAsia="宋体" w:cs="宋体"/>
          <w:color w:val="auto"/>
          <w:spacing w:val="-4"/>
          <w:sz w:val="28"/>
          <w:szCs w:val="28"/>
        </w:rPr>
        <w:t>约定的行为，采购人应当及时处理，依法追究其违约责任。</w:t>
      </w:r>
    </w:p>
    <w:p w14:paraId="760CCDA7">
      <w:pPr>
        <w:keepNext w:val="0"/>
        <w:keepLines w:val="0"/>
        <w:pageBreakBefore w:val="0"/>
        <w:widowControl/>
        <w:kinsoku/>
        <w:wordWrap w:val="0"/>
        <w:overflowPunct/>
        <w:topLinePunct/>
        <w:autoSpaceDE/>
        <w:autoSpaceDN/>
        <w:bidi w:val="0"/>
        <w:adjustRightInd w:val="0"/>
        <w:snapToGrid w:val="0"/>
        <w:spacing w:before="166" w:line="221" w:lineRule="auto"/>
        <w:ind w:left="563"/>
        <w:jc w:val="both"/>
        <w:textAlignment w:val="baseline"/>
        <w:outlineLvl w:val="1"/>
        <w:rPr>
          <w:rFonts w:hint="eastAsia" w:ascii="宋体" w:hAnsi="宋体" w:eastAsia="宋体" w:cs="宋体"/>
          <w:color w:val="auto"/>
          <w:sz w:val="28"/>
          <w:szCs w:val="28"/>
        </w:rPr>
      </w:pPr>
      <w:bookmarkStart w:id="45" w:name="_Toc7719"/>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十三、废标情形</w:t>
      </w:r>
      <w:bookmarkEnd w:id="45"/>
    </w:p>
    <w:p w14:paraId="35FFE77D">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一）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395D00C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（二）根据《政府采购法》第三十六条规定，在采购活动中，出现下列情形之一的，本项目按废标处理：</w:t>
      </w:r>
    </w:p>
    <w:p w14:paraId="4F98CC3F">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1、出现影响采购公正的违法、违规行为；</w:t>
      </w:r>
    </w:p>
    <w:p w14:paraId="6EB82721">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2、</w:t>
      </w:r>
      <w:r>
        <w:rPr>
          <w:rFonts w:hint="eastAsia" w:ascii="宋体" w:hAnsi="宋体" w:eastAsia="宋体" w:cs="宋体"/>
          <w:color w:val="auto"/>
          <w:spacing w:val="-4"/>
          <w:sz w:val="28"/>
          <w:szCs w:val="28"/>
          <w:lang w:eastAsia="zh-CN"/>
        </w:rPr>
        <w:t>供应商</w:t>
      </w:r>
      <w:r>
        <w:rPr>
          <w:rFonts w:hint="eastAsia" w:ascii="宋体" w:hAnsi="宋体" w:eastAsia="宋体" w:cs="宋体"/>
          <w:color w:val="auto"/>
          <w:spacing w:val="-4"/>
          <w:sz w:val="28"/>
          <w:szCs w:val="28"/>
        </w:rPr>
        <w:t>的报价均超过了采购预算，采购人不能支付；</w:t>
      </w:r>
    </w:p>
    <w:p w14:paraId="3D5DC83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3、因重大变故，采购任务取消。</w:t>
      </w:r>
    </w:p>
    <w:p w14:paraId="632F0335">
      <w:pPr>
        <w:keepNext w:val="0"/>
        <w:keepLines w:val="0"/>
        <w:pageBreakBefore w:val="0"/>
        <w:widowControl/>
        <w:kinsoku/>
        <w:wordWrap w:val="0"/>
        <w:overflowPunct/>
        <w:topLinePunct/>
        <w:autoSpaceDE/>
        <w:autoSpaceDN/>
        <w:bidi w:val="0"/>
        <w:adjustRightInd w:val="0"/>
        <w:snapToGrid w:val="0"/>
        <w:spacing w:before="55" w:line="240" w:lineRule="auto"/>
        <w:ind w:left="4" w:right="76" w:firstLine="563"/>
        <w:jc w:val="both"/>
        <w:textAlignment w:val="baseline"/>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废标后，由采购代理机构发布废标公告。</w:t>
      </w:r>
    </w:p>
    <w:p w14:paraId="21D4C084">
      <w:pPr>
        <w:keepNext w:val="0"/>
        <w:keepLines w:val="0"/>
        <w:pageBreakBefore w:val="0"/>
        <w:widowControl/>
        <w:kinsoku/>
        <w:wordWrap w:val="0"/>
        <w:overflowPunct/>
        <w:topLinePunct/>
        <w:autoSpaceDE/>
        <w:autoSpaceDN/>
        <w:bidi w:val="0"/>
        <w:adjustRightInd w:val="0"/>
        <w:snapToGrid w:val="0"/>
        <w:spacing w:before="56" w:line="225" w:lineRule="auto"/>
        <w:ind w:left="642"/>
        <w:jc w:val="both"/>
        <w:textAlignment w:val="baseline"/>
        <w:outlineLvl w:val="1"/>
        <w:rPr>
          <w:rFonts w:hint="eastAsia" w:ascii="宋体" w:hAnsi="宋体" w:eastAsia="宋体" w:cs="宋体"/>
          <w:color w:val="auto"/>
          <w:sz w:val="31"/>
          <w:szCs w:val="31"/>
        </w:rPr>
      </w:pPr>
      <w:bookmarkStart w:id="46" w:name="_Toc12011"/>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十四、成交服务费</w:t>
      </w:r>
      <w:bookmarkEnd w:id="46"/>
    </w:p>
    <w:p w14:paraId="7AB65CBD">
      <w:pPr>
        <w:keepNext w:val="0"/>
        <w:keepLines w:val="0"/>
        <w:pageBreakBefore w:val="0"/>
        <w:widowControl/>
        <w:kinsoku/>
        <w:wordWrap w:val="0"/>
        <w:overflowPunct/>
        <w:topLinePunct/>
        <w:autoSpaceDE/>
        <w:autoSpaceDN/>
        <w:bidi w:val="0"/>
        <w:adjustRightInd w:val="0"/>
        <w:snapToGrid w:val="0"/>
        <w:spacing w:before="53" w:line="220" w:lineRule="auto"/>
        <w:ind w:left="581"/>
        <w:jc w:val="both"/>
        <w:textAlignment w:val="baseline"/>
        <w:outlineLvl w:val="2"/>
        <w:rPr>
          <w:rFonts w:hint="eastAsia" w:ascii="宋体" w:hAnsi="宋体" w:eastAsia="宋体" w:cs="宋体"/>
          <w:color w:val="auto"/>
          <w:sz w:val="28"/>
          <w:szCs w:val="28"/>
        </w:rPr>
      </w:pPr>
      <w:bookmarkStart w:id="47" w:name="_Toc26122"/>
      <w:r>
        <w:rPr>
          <w:rFonts w:hint="eastAsia" w:ascii="宋体" w:hAnsi="宋体" w:eastAsia="宋体" w:cs="宋体"/>
          <w:color w:val="auto"/>
          <w:spacing w:val="-2"/>
          <w:sz w:val="28"/>
          <w:szCs w:val="28"/>
        </w:rPr>
        <w:t>1、成交服务费按约定由成交人支付。</w:t>
      </w:r>
      <w:bookmarkEnd w:id="47"/>
    </w:p>
    <w:p w14:paraId="2FA2A389">
      <w:pPr>
        <w:keepNext w:val="0"/>
        <w:keepLines w:val="0"/>
        <w:pageBreakBefore w:val="0"/>
        <w:widowControl/>
        <w:kinsoku/>
        <w:wordWrap w:val="0"/>
        <w:overflowPunct/>
        <w:topLinePunct/>
        <w:autoSpaceDE/>
        <w:autoSpaceDN/>
        <w:bidi w:val="0"/>
        <w:adjustRightInd w:val="0"/>
        <w:snapToGrid w:val="0"/>
        <w:spacing w:before="70" w:line="248" w:lineRule="auto"/>
        <w:ind w:firstLine="563"/>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2、成交人应依据成交金额向采购代理机构</w:t>
      </w:r>
      <w:r>
        <w:rPr>
          <w:rFonts w:hint="eastAsia" w:ascii="宋体" w:hAnsi="宋体" w:eastAsia="宋体" w:cs="宋体"/>
          <w:color w:val="auto"/>
          <w:spacing w:val="-2"/>
          <w:sz w:val="28"/>
          <w:szCs w:val="28"/>
        </w:rPr>
        <w:t>交纳成交服务费，交费金额</w:t>
      </w:r>
      <w:r>
        <w:rPr>
          <w:rFonts w:hint="eastAsia" w:ascii="宋体" w:hAnsi="宋体" w:eastAsia="宋体" w:cs="宋体"/>
          <w:color w:val="auto"/>
          <w:spacing w:val="-1"/>
          <w:sz w:val="28"/>
          <w:szCs w:val="28"/>
        </w:rPr>
        <w:t>参照国家计委颁布的《招标代理服务收费管理暂行办法》（计价格[20</w:t>
      </w:r>
      <w:r>
        <w:rPr>
          <w:rFonts w:hint="eastAsia" w:ascii="宋体" w:hAnsi="宋体" w:eastAsia="宋体" w:cs="宋体"/>
          <w:color w:val="auto"/>
          <w:spacing w:val="-2"/>
          <w:sz w:val="28"/>
          <w:szCs w:val="28"/>
        </w:rPr>
        <w:t>02]1980号）及发改办价格[2003]857号文件的规定标准收取。</w:t>
      </w:r>
    </w:p>
    <w:p w14:paraId="5ED7EBD3">
      <w:pPr>
        <w:keepNext w:val="0"/>
        <w:keepLines w:val="0"/>
        <w:pageBreakBefore w:val="0"/>
        <w:widowControl/>
        <w:kinsoku/>
        <w:wordWrap w:val="0"/>
        <w:overflowPunct/>
        <w:topLinePunct/>
        <w:autoSpaceDE/>
        <w:autoSpaceDN/>
        <w:bidi w:val="0"/>
        <w:adjustRightInd w:val="0"/>
        <w:snapToGrid w:val="0"/>
        <w:spacing w:before="70" w:line="211" w:lineRule="auto"/>
        <w:ind w:left="566"/>
        <w:jc w:val="both"/>
        <w:textAlignment w:val="baseline"/>
        <w:outlineLvl w:val="2"/>
        <w:rPr>
          <w:rFonts w:hint="eastAsia" w:ascii="宋体" w:hAnsi="宋体" w:eastAsia="宋体" w:cs="宋体"/>
          <w:color w:val="auto"/>
          <w:sz w:val="28"/>
          <w:szCs w:val="28"/>
        </w:rPr>
      </w:pPr>
      <w:bookmarkStart w:id="48" w:name="_Toc12058"/>
      <w:r>
        <w:rPr>
          <w:rFonts w:hint="eastAsia" w:ascii="宋体" w:hAnsi="宋体" w:eastAsia="宋体" w:cs="宋体"/>
          <w:color w:val="auto"/>
          <w:spacing w:val="-1"/>
          <w:sz w:val="28"/>
          <w:szCs w:val="28"/>
        </w:rPr>
        <w:t>3、本项目代理服务费按货物计取。</w:t>
      </w:r>
      <w:bookmarkEnd w:id="48"/>
    </w:p>
    <w:tbl>
      <w:tblPr>
        <w:tblStyle w:val="21"/>
        <w:tblW w:w="8363" w:type="dxa"/>
        <w:tblInd w:w="3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1"/>
        <w:gridCol w:w="1830"/>
        <w:gridCol w:w="2089"/>
        <w:gridCol w:w="2093"/>
      </w:tblGrid>
      <w:tr w14:paraId="4748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351" w:type="dxa"/>
            <w:vAlign w:val="top"/>
          </w:tcPr>
          <w:p w14:paraId="75AE1760">
            <w:pPr>
              <w:pStyle w:val="22"/>
              <w:keepNext w:val="0"/>
              <w:keepLines w:val="0"/>
              <w:pageBreakBefore w:val="0"/>
              <w:widowControl/>
              <w:kinsoku/>
              <w:wordWrap w:val="0"/>
              <w:overflowPunct/>
              <w:topLinePunct/>
              <w:autoSpaceDE/>
              <w:autoSpaceDN/>
              <w:bidi w:val="0"/>
              <w:adjustRightInd w:val="0"/>
              <w:snapToGrid w:val="0"/>
              <w:spacing w:before="149" w:line="217" w:lineRule="auto"/>
              <w:jc w:val="both"/>
              <w:textAlignment w:val="baseline"/>
              <w:rPr>
                <w:rFonts w:hint="eastAsia" w:ascii="宋体" w:hAnsi="宋体" w:eastAsia="宋体" w:cs="宋体"/>
                <w:color w:val="auto"/>
              </w:rPr>
            </w:pPr>
            <w:r>
              <w:rPr>
                <w:rFonts w:hint="eastAsia" w:ascii="宋体" w:hAnsi="宋体" w:eastAsia="宋体" w:cs="宋体"/>
                <w:color w:val="auto"/>
                <w:spacing w:val="-4"/>
                <w14:textOutline w14:w="5103" w14:cap="sq" w14:cmpd="sng">
                  <w14:solidFill>
                    <w14:srgbClr w14:val="000000"/>
                  </w14:solidFill>
                  <w14:prstDash w14:val="solid"/>
                  <w14:bevel/>
                </w14:textOutline>
              </w:rPr>
              <w:t>成交金额（万元）</w:t>
            </w:r>
          </w:p>
        </w:tc>
        <w:tc>
          <w:tcPr>
            <w:tcW w:w="1830" w:type="dxa"/>
            <w:vAlign w:val="top"/>
          </w:tcPr>
          <w:p w14:paraId="033BA7BD">
            <w:pPr>
              <w:pStyle w:val="22"/>
              <w:keepNext w:val="0"/>
              <w:keepLines w:val="0"/>
              <w:pageBreakBefore w:val="0"/>
              <w:widowControl/>
              <w:kinsoku/>
              <w:wordWrap w:val="0"/>
              <w:overflowPunct/>
              <w:topLinePunct/>
              <w:autoSpaceDE/>
              <w:autoSpaceDN/>
              <w:bidi w:val="0"/>
              <w:adjustRightInd w:val="0"/>
              <w:snapToGrid w:val="0"/>
              <w:spacing w:before="149" w:line="217" w:lineRule="auto"/>
              <w:ind w:left="367"/>
              <w:jc w:val="both"/>
              <w:textAlignment w:val="baseline"/>
              <w:rPr>
                <w:rFonts w:hint="eastAsia" w:ascii="宋体" w:hAnsi="宋体" w:eastAsia="宋体" w:cs="宋体"/>
                <w:color w:val="auto"/>
              </w:rPr>
            </w:pPr>
            <w:r>
              <w:rPr>
                <w:rFonts w:hint="eastAsia" w:ascii="宋体" w:hAnsi="宋体" w:eastAsia="宋体" w:cs="宋体"/>
                <w:color w:val="auto"/>
                <w:spacing w:val="-4"/>
                <w14:textOutline w14:w="5103" w14:cap="sq" w14:cmpd="sng">
                  <w14:solidFill>
                    <w14:srgbClr w14:val="000000"/>
                  </w14:solidFill>
                  <w14:prstDash w14:val="solid"/>
                  <w14:bevel/>
                </w14:textOutline>
              </w:rPr>
              <w:t>货物招标</w:t>
            </w:r>
          </w:p>
        </w:tc>
        <w:tc>
          <w:tcPr>
            <w:tcW w:w="2089" w:type="dxa"/>
            <w:vAlign w:val="top"/>
          </w:tcPr>
          <w:p w14:paraId="66955528">
            <w:pPr>
              <w:pStyle w:val="22"/>
              <w:keepNext w:val="0"/>
              <w:keepLines w:val="0"/>
              <w:pageBreakBefore w:val="0"/>
              <w:widowControl/>
              <w:kinsoku/>
              <w:wordWrap w:val="0"/>
              <w:overflowPunct/>
              <w:topLinePunct/>
              <w:autoSpaceDE/>
              <w:autoSpaceDN/>
              <w:bidi w:val="0"/>
              <w:adjustRightInd w:val="0"/>
              <w:snapToGrid w:val="0"/>
              <w:spacing w:before="149" w:line="217" w:lineRule="auto"/>
              <w:ind w:left="491"/>
              <w:jc w:val="both"/>
              <w:textAlignment w:val="baseline"/>
              <w:rPr>
                <w:rFonts w:hint="eastAsia" w:ascii="宋体" w:hAnsi="宋体" w:eastAsia="宋体" w:cs="宋体"/>
                <w:color w:val="auto"/>
              </w:rPr>
            </w:pPr>
            <w:r>
              <w:rPr>
                <w:rFonts w:hint="eastAsia" w:ascii="宋体" w:hAnsi="宋体" w:eastAsia="宋体" w:cs="宋体"/>
                <w:color w:val="auto"/>
                <w:spacing w:val="-2"/>
                <w14:textOutline w14:w="5103" w14:cap="sq" w14:cmpd="sng">
                  <w14:solidFill>
                    <w14:srgbClr w14:val="000000"/>
                  </w14:solidFill>
                  <w14:prstDash w14:val="solid"/>
                  <w14:bevel/>
                </w14:textOutline>
              </w:rPr>
              <w:t>服务招标</w:t>
            </w:r>
          </w:p>
        </w:tc>
        <w:tc>
          <w:tcPr>
            <w:tcW w:w="2093" w:type="dxa"/>
            <w:vAlign w:val="top"/>
          </w:tcPr>
          <w:p w14:paraId="0734BCB1">
            <w:pPr>
              <w:pStyle w:val="22"/>
              <w:keepNext w:val="0"/>
              <w:keepLines w:val="0"/>
              <w:pageBreakBefore w:val="0"/>
              <w:widowControl/>
              <w:kinsoku/>
              <w:wordWrap w:val="0"/>
              <w:overflowPunct/>
              <w:topLinePunct/>
              <w:autoSpaceDE/>
              <w:autoSpaceDN/>
              <w:bidi w:val="0"/>
              <w:adjustRightInd w:val="0"/>
              <w:snapToGrid w:val="0"/>
              <w:spacing w:before="149" w:line="217" w:lineRule="auto"/>
              <w:ind w:left="495"/>
              <w:jc w:val="both"/>
              <w:textAlignment w:val="baseline"/>
              <w:rPr>
                <w:rFonts w:hint="eastAsia" w:ascii="宋体" w:hAnsi="宋体" w:eastAsia="宋体" w:cs="宋体"/>
                <w:color w:val="auto"/>
              </w:rPr>
            </w:pPr>
            <w:r>
              <w:rPr>
                <w:rFonts w:hint="eastAsia" w:ascii="宋体" w:hAnsi="宋体" w:eastAsia="宋体" w:cs="宋体"/>
                <w:color w:val="auto"/>
                <w:spacing w:val="-3"/>
                <w14:textOutline w14:w="5103" w14:cap="sq" w14:cmpd="sng">
                  <w14:solidFill>
                    <w14:srgbClr w14:val="000000"/>
                  </w14:solidFill>
                  <w14:prstDash w14:val="solid"/>
                  <w14:bevel/>
                </w14:textOutline>
              </w:rPr>
              <w:t>工程招标</w:t>
            </w:r>
          </w:p>
        </w:tc>
      </w:tr>
      <w:tr w14:paraId="3404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6C7A3BB4">
            <w:pPr>
              <w:pStyle w:val="22"/>
              <w:keepNext w:val="0"/>
              <w:keepLines w:val="0"/>
              <w:pageBreakBefore w:val="0"/>
              <w:widowControl/>
              <w:kinsoku/>
              <w:wordWrap w:val="0"/>
              <w:overflowPunct/>
              <w:topLinePunct/>
              <w:autoSpaceDE/>
              <w:autoSpaceDN/>
              <w:bidi w:val="0"/>
              <w:adjustRightInd w:val="0"/>
              <w:snapToGrid w:val="0"/>
              <w:spacing w:before="144" w:line="217" w:lineRule="auto"/>
              <w:ind w:left="140"/>
              <w:jc w:val="both"/>
              <w:textAlignment w:val="baseline"/>
              <w:rPr>
                <w:rFonts w:hint="eastAsia" w:ascii="宋体" w:hAnsi="宋体" w:eastAsia="宋体" w:cs="宋体"/>
                <w:color w:val="auto"/>
              </w:rPr>
            </w:pPr>
            <w:r>
              <w:rPr>
                <w:rFonts w:hint="eastAsia" w:ascii="宋体" w:hAnsi="宋体" w:eastAsia="宋体" w:cs="宋体"/>
                <w:color w:val="auto"/>
                <w:spacing w:val="-15"/>
              </w:rPr>
              <w:t>100以下</w:t>
            </w:r>
          </w:p>
        </w:tc>
        <w:tc>
          <w:tcPr>
            <w:tcW w:w="1830" w:type="dxa"/>
            <w:vAlign w:val="top"/>
          </w:tcPr>
          <w:p w14:paraId="2ABB32F0">
            <w:pPr>
              <w:pStyle w:val="22"/>
              <w:keepNext w:val="0"/>
              <w:keepLines w:val="0"/>
              <w:pageBreakBefore w:val="0"/>
              <w:widowControl/>
              <w:kinsoku/>
              <w:wordWrap w:val="0"/>
              <w:overflowPunct/>
              <w:topLinePunct/>
              <w:autoSpaceDE/>
              <w:autoSpaceDN/>
              <w:bidi w:val="0"/>
              <w:adjustRightInd w:val="0"/>
              <w:snapToGrid w:val="0"/>
              <w:spacing w:before="144" w:line="217" w:lineRule="auto"/>
              <w:ind w:left="664"/>
              <w:jc w:val="both"/>
              <w:textAlignment w:val="baseline"/>
              <w:rPr>
                <w:rFonts w:hint="eastAsia" w:ascii="宋体" w:hAnsi="宋体" w:eastAsia="宋体" w:cs="宋体"/>
                <w:color w:val="auto"/>
              </w:rPr>
            </w:pPr>
            <w:r>
              <w:rPr>
                <w:rFonts w:hint="eastAsia" w:ascii="宋体" w:hAnsi="宋体" w:eastAsia="宋体" w:cs="宋体"/>
                <w:color w:val="auto"/>
                <w:spacing w:val="-8"/>
              </w:rPr>
              <w:t>1.5%</w:t>
            </w:r>
          </w:p>
        </w:tc>
        <w:tc>
          <w:tcPr>
            <w:tcW w:w="2089" w:type="dxa"/>
            <w:vAlign w:val="top"/>
          </w:tcPr>
          <w:p w14:paraId="21A9F4AE">
            <w:pPr>
              <w:pStyle w:val="22"/>
              <w:keepNext w:val="0"/>
              <w:keepLines w:val="0"/>
              <w:pageBreakBefore w:val="0"/>
              <w:widowControl/>
              <w:kinsoku/>
              <w:wordWrap w:val="0"/>
              <w:overflowPunct/>
              <w:topLinePunct/>
              <w:autoSpaceDE/>
              <w:autoSpaceDN/>
              <w:bidi w:val="0"/>
              <w:adjustRightInd w:val="0"/>
              <w:snapToGrid w:val="0"/>
              <w:spacing w:before="144" w:line="217" w:lineRule="auto"/>
              <w:ind w:left="795"/>
              <w:jc w:val="both"/>
              <w:textAlignment w:val="baseline"/>
              <w:rPr>
                <w:rFonts w:hint="eastAsia" w:ascii="宋体" w:hAnsi="宋体" w:eastAsia="宋体" w:cs="宋体"/>
                <w:color w:val="auto"/>
              </w:rPr>
            </w:pPr>
            <w:r>
              <w:rPr>
                <w:rFonts w:hint="eastAsia" w:ascii="宋体" w:hAnsi="宋体" w:eastAsia="宋体" w:cs="宋体"/>
                <w:color w:val="auto"/>
                <w:spacing w:val="-8"/>
              </w:rPr>
              <w:t>1.5%</w:t>
            </w:r>
          </w:p>
        </w:tc>
        <w:tc>
          <w:tcPr>
            <w:tcW w:w="2093" w:type="dxa"/>
            <w:vAlign w:val="top"/>
          </w:tcPr>
          <w:p w14:paraId="77BB44EE">
            <w:pPr>
              <w:pStyle w:val="22"/>
              <w:keepNext w:val="0"/>
              <w:keepLines w:val="0"/>
              <w:pageBreakBefore w:val="0"/>
              <w:widowControl/>
              <w:kinsoku/>
              <w:wordWrap w:val="0"/>
              <w:overflowPunct/>
              <w:topLinePunct/>
              <w:autoSpaceDE/>
              <w:autoSpaceDN/>
              <w:bidi w:val="0"/>
              <w:adjustRightInd w:val="0"/>
              <w:snapToGrid w:val="0"/>
              <w:spacing w:before="144" w:line="217" w:lineRule="auto"/>
              <w:ind w:left="796"/>
              <w:jc w:val="both"/>
              <w:textAlignment w:val="baseline"/>
              <w:rPr>
                <w:rFonts w:hint="eastAsia" w:ascii="宋体" w:hAnsi="宋体" w:eastAsia="宋体" w:cs="宋体"/>
                <w:color w:val="auto"/>
              </w:rPr>
            </w:pPr>
            <w:r>
              <w:rPr>
                <w:rFonts w:hint="eastAsia" w:ascii="宋体" w:hAnsi="宋体" w:eastAsia="宋体" w:cs="宋体"/>
                <w:color w:val="auto"/>
                <w:spacing w:val="-8"/>
              </w:rPr>
              <w:t>1.0%</w:t>
            </w:r>
          </w:p>
        </w:tc>
      </w:tr>
      <w:tr w14:paraId="301B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4611F7F8">
            <w:pPr>
              <w:pStyle w:val="22"/>
              <w:keepNext w:val="0"/>
              <w:keepLines w:val="0"/>
              <w:pageBreakBefore w:val="0"/>
              <w:widowControl/>
              <w:kinsoku/>
              <w:wordWrap w:val="0"/>
              <w:overflowPunct/>
              <w:topLinePunct/>
              <w:autoSpaceDE/>
              <w:autoSpaceDN/>
              <w:bidi w:val="0"/>
              <w:adjustRightInd w:val="0"/>
              <w:snapToGrid w:val="0"/>
              <w:spacing w:before="189" w:line="184" w:lineRule="auto"/>
              <w:ind w:left="140"/>
              <w:jc w:val="both"/>
              <w:textAlignment w:val="baseline"/>
              <w:rPr>
                <w:rFonts w:hint="eastAsia" w:ascii="宋体" w:hAnsi="宋体" w:eastAsia="宋体" w:cs="宋体"/>
                <w:color w:val="auto"/>
              </w:rPr>
            </w:pPr>
            <w:r>
              <w:rPr>
                <w:rFonts w:hint="eastAsia" w:ascii="宋体" w:hAnsi="宋体" w:eastAsia="宋体" w:cs="宋体"/>
                <w:color w:val="auto"/>
                <w:spacing w:val="-5"/>
              </w:rPr>
              <w:t>100-500</w:t>
            </w:r>
          </w:p>
        </w:tc>
        <w:tc>
          <w:tcPr>
            <w:tcW w:w="1830" w:type="dxa"/>
            <w:vAlign w:val="top"/>
          </w:tcPr>
          <w:p w14:paraId="61F4E3C2">
            <w:pPr>
              <w:pStyle w:val="22"/>
              <w:keepNext w:val="0"/>
              <w:keepLines w:val="0"/>
              <w:pageBreakBefore w:val="0"/>
              <w:widowControl/>
              <w:kinsoku/>
              <w:wordWrap w:val="0"/>
              <w:overflowPunct/>
              <w:topLinePunct/>
              <w:autoSpaceDE/>
              <w:autoSpaceDN/>
              <w:bidi w:val="0"/>
              <w:adjustRightInd w:val="0"/>
              <w:snapToGrid w:val="0"/>
              <w:spacing w:before="146" w:line="216" w:lineRule="auto"/>
              <w:ind w:left="664"/>
              <w:jc w:val="both"/>
              <w:textAlignment w:val="baseline"/>
              <w:rPr>
                <w:rFonts w:hint="eastAsia" w:ascii="宋体" w:hAnsi="宋体" w:eastAsia="宋体" w:cs="宋体"/>
                <w:color w:val="auto"/>
              </w:rPr>
            </w:pPr>
            <w:r>
              <w:rPr>
                <w:rFonts w:hint="eastAsia" w:ascii="宋体" w:hAnsi="宋体" w:eastAsia="宋体" w:cs="宋体"/>
                <w:color w:val="auto"/>
                <w:spacing w:val="-8"/>
              </w:rPr>
              <w:t>1.1%</w:t>
            </w:r>
          </w:p>
        </w:tc>
        <w:tc>
          <w:tcPr>
            <w:tcW w:w="2089" w:type="dxa"/>
            <w:vAlign w:val="top"/>
          </w:tcPr>
          <w:p w14:paraId="2EC7A528">
            <w:pPr>
              <w:pStyle w:val="22"/>
              <w:keepNext w:val="0"/>
              <w:keepLines w:val="0"/>
              <w:pageBreakBefore w:val="0"/>
              <w:widowControl/>
              <w:kinsoku/>
              <w:wordWrap w:val="0"/>
              <w:overflowPunct/>
              <w:topLinePunct/>
              <w:autoSpaceDE/>
              <w:autoSpaceDN/>
              <w:bidi w:val="0"/>
              <w:adjustRightInd w:val="0"/>
              <w:snapToGrid w:val="0"/>
              <w:spacing w:before="146" w:line="216" w:lineRule="auto"/>
              <w:ind w:left="776"/>
              <w:jc w:val="both"/>
              <w:textAlignment w:val="baseline"/>
              <w:rPr>
                <w:rFonts w:hint="eastAsia" w:ascii="宋体" w:hAnsi="宋体" w:eastAsia="宋体" w:cs="宋体"/>
                <w:color w:val="auto"/>
              </w:rPr>
            </w:pPr>
            <w:r>
              <w:rPr>
                <w:rFonts w:hint="eastAsia" w:ascii="宋体" w:hAnsi="宋体" w:eastAsia="宋体" w:cs="宋体"/>
                <w:color w:val="auto"/>
                <w:spacing w:val="-3"/>
              </w:rPr>
              <w:t>0.8%</w:t>
            </w:r>
          </w:p>
        </w:tc>
        <w:tc>
          <w:tcPr>
            <w:tcW w:w="2093" w:type="dxa"/>
            <w:vAlign w:val="top"/>
          </w:tcPr>
          <w:p w14:paraId="2172EB51">
            <w:pPr>
              <w:pStyle w:val="22"/>
              <w:keepNext w:val="0"/>
              <w:keepLines w:val="0"/>
              <w:pageBreakBefore w:val="0"/>
              <w:widowControl/>
              <w:kinsoku/>
              <w:wordWrap w:val="0"/>
              <w:overflowPunct/>
              <w:topLinePunct/>
              <w:autoSpaceDE/>
              <w:autoSpaceDN/>
              <w:bidi w:val="0"/>
              <w:adjustRightInd w:val="0"/>
              <w:snapToGrid w:val="0"/>
              <w:spacing w:before="146" w:line="216" w:lineRule="auto"/>
              <w:ind w:left="778"/>
              <w:jc w:val="both"/>
              <w:textAlignment w:val="baseline"/>
              <w:rPr>
                <w:rFonts w:hint="eastAsia" w:ascii="宋体" w:hAnsi="宋体" w:eastAsia="宋体" w:cs="宋体"/>
                <w:color w:val="auto"/>
              </w:rPr>
            </w:pPr>
            <w:r>
              <w:rPr>
                <w:rFonts w:hint="eastAsia" w:ascii="宋体" w:hAnsi="宋体" w:eastAsia="宋体" w:cs="宋体"/>
                <w:color w:val="auto"/>
                <w:spacing w:val="-3"/>
              </w:rPr>
              <w:t>0.7%</w:t>
            </w:r>
          </w:p>
        </w:tc>
      </w:tr>
      <w:tr w14:paraId="2777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573E17F1">
            <w:pPr>
              <w:pStyle w:val="22"/>
              <w:keepNext w:val="0"/>
              <w:keepLines w:val="0"/>
              <w:pageBreakBefore w:val="0"/>
              <w:widowControl/>
              <w:kinsoku/>
              <w:wordWrap w:val="0"/>
              <w:overflowPunct/>
              <w:topLinePunct/>
              <w:autoSpaceDE/>
              <w:autoSpaceDN/>
              <w:bidi w:val="0"/>
              <w:adjustRightInd w:val="0"/>
              <w:snapToGrid w:val="0"/>
              <w:spacing w:before="190" w:line="184" w:lineRule="auto"/>
              <w:ind w:left="124"/>
              <w:jc w:val="both"/>
              <w:textAlignment w:val="baseline"/>
              <w:rPr>
                <w:rFonts w:hint="eastAsia" w:ascii="宋体" w:hAnsi="宋体" w:eastAsia="宋体" w:cs="宋体"/>
                <w:color w:val="auto"/>
              </w:rPr>
            </w:pPr>
            <w:r>
              <w:rPr>
                <w:rFonts w:hint="eastAsia" w:ascii="宋体" w:hAnsi="宋体" w:eastAsia="宋体" w:cs="宋体"/>
                <w:color w:val="auto"/>
                <w:spacing w:val="-2"/>
              </w:rPr>
              <w:t>500-1000</w:t>
            </w:r>
          </w:p>
        </w:tc>
        <w:tc>
          <w:tcPr>
            <w:tcW w:w="1830" w:type="dxa"/>
            <w:vAlign w:val="top"/>
          </w:tcPr>
          <w:p w14:paraId="7D378258">
            <w:pPr>
              <w:pStyle w:val="22"/>
              <w:keepNext w:val="0"/>
              <w:keepLines w:val="0"/>
              <w:pageBreakBefore w:val="0"/>
              <w:widowControl/>
              <w:kinsoku/>
              <w:wordWrap w:val="0"/>
              <w:overflowPunct/>
              <w:topLinePunct/>
              <w:autoSpaceDE/>
              <w:autoSpaceDN/>
              <w:bidi w:val="0"/>
              <w:adjustRightInd w:val="0"/>
              <w:snapToGrid w:val="0"/>
              <w:spacing w:before="146" w:line="216" w:lineRule="auto"/>
              <w:ind w:left="645"/>
              <w:jc w:val="both"/>
              <w:textAlignment w:val="baseline"/>
              <w:rPr>
                <w:rFonts w:hint="eastAsia" w:ascii="宋体" w:hAnsi="宋体" w:eastAsia="宋体" w:cs="宋体"/>
                <w:color w:val="auto"/>
              </w:rPr>
            </w:pPr>
            <w:r>
              <w:rPr>
                <w:rFonts w:hint="eastAsia" w:ascii="宋体" w:hAnsi="宋体" w:eastAsia="宋体" w:cs="宋体"/>
                <w:color w:val="auto"/>
                <w:spacing w:val="-3"/>
              </w:rPr>
              <w:t>0.8%</w:t>
            </w:r>
          </w:p>
        </w:tc>
        <w:tc>
          <w:tcPr>
            <w:tcW w:w="2089" w:type="dxa"/>
            <w:vAlign w:val="top"/>
          </w:tcPr>
          <w:p w14:paraId="1198227E">
            <w:pPr>
              <w:pStyle w:val="22"/>
              <w:keepNext w:val="0"/>
              <w:keepLines w:val="0"/>
              <w:pageBreakBefore w:val="0"/>
              <w:widowControl/>
              <w:kinsoku/>
              <w:wordWrap w:val="0"/>
              <w:overflowPunct/>
              <w:topLinePunct/>
              <w:autoSpaceDE/>
              <w:autoSpaceDN/>
              <w:bidi w:val="0"/>
              <w:adjustRightInd w:val="0"/>
              <w:snapToGrid w:val="0"/>
              <w:spacing w:before="146" w:line="216" w:lineRule="auto"/>
              <w:ind w:left="707"/>
              <w:jc w:val="both"/>
              <w:textAlignment w:val="baseline"/>
              <w:rPr>
                <w:rFonts w:hint="eastAsia" w:ascii="宋体" w:hAnsi="宋体" w:eastAsia="宋体" w:cs="宋体"/>
                <w:color w:val="auto"/>
              </w:rPr>
            </w:pPr>
            <w:r>
              <w:rPr>
                <w:rFonts w:hint="eastAsia" w:ascii="宋体" w:hAnsi="宋体" w:eastAsia="宋体" w:cs="宋体"/>
                <w:color w:val="auto"/>
                <w:spacing w:val="-3"/>
              </w:rPr>
              <w:t>0.45%</w:t>
            </w:r>
          </w:p>
        </w:tc>
        <w:tc>
          <w:tcPr>
            <w:tcW w:w="2093" w:type="dxa"/>
            <w:vAlign w:val="top"/>
          </w:tcPr>
          <w:p w14:paraId="75A2A57A">
            <w:pPr>
              <w:pStyle w:val="22"/>
              <w:keepNext w:val="0"/>
              <w:keepLines w:val="0"/>
              <w:pageBreakBefore w:val="0"/>
              <w:widowControl/>
              <w:kinsoku/>
              <w:wordWrap w:val="0"/>
              <w:overflowPunct/>
              <w:topLinePunct/>
              <w:autoSpaceDE/>
              <w:autoSpaceDN/>
              <w:bidi w:val="0"/>
              <w:adjustRightInd w:val="0"/>
              <w:snapToGrid w:val="0"/>
              <w:spacing w:before="146" w:line="216" w:lineRule="auto"/>
              <w:ind w:left="706"/>
              <w:jc w:val="both"/>
              <w:textAlignment w:val="baseline"/>
              <w:rPr>
                <w:rFonts w:hint="eastAsia" w:ascii="宋体" w:hAnsi="宋体" w:eastAsia="宋体" w:cs="宋体"/>
                <w:color w:val="auto"/>
              </w:rPr>
            </w:pPr>
            <w:r>
              <w:rPr>
                <w:rFonts w:hint="eastAsia" w:ascii="宋体" w:hAnsi="宋体" w:eastAsia="宋体" w:cs="宋体"/>
                <w:color w:val="auto"/>
                <w:spacing w:val="-3"/>
              </w:rPr>
              <w:t>0.55%</w:t>
            </w:r>
          </w:p>
        </w:tc>
      </w:tr>
      <w:tr w14:paraId="09C2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vAlign w:val="top"/>
          </w:tcPr>
          <w:p w14:paraId="6DC6E544">
            <w:pPr>
              <w:pStyle w:val="22"/>
              <w:keepNext w:val="0"/>
              <w:keepLines w:val="0"/>
              <w:pageBreakBefore w:val="0"/>
              <w:widowControl/>
              <w:kinsoku/>
              <w:wordWrap w:val="0"/>
              <w:overflowPunct/>
              <w:topLinePunct/>
              <w:autoSpaceDE/>
              <w:autoSpaceDN/>
              <w:bidi w:val="0"/>
              <w:adjustRightInd w:val="0"/>
              <w:snapToGrid w:val="0"/>
              <w:spacing w:before="190" w:line="184" w:lineRule="auto"/>
              <w:ind w:left="140"/>
              <w:jc w:val="both"/>
              <w:textAlignment w:val="baseline"/>
              <w:rPr>
                <w:rFonts w:hint="eastAsia" w:ascii="宋体" w:hAnsi="宋体" w:eastAsia="宋体" w:cs="宋体"/>
                <w:color w:val="auto"/>
              </w:rPr>
            </w:pPr>
            <w:r>
              <w:rPr>
                <w:rFonts w:hint="eastAsia" w:ascii="宋体" w:hAnsi="宋体" w:eastAsia="宋体" w:cs="宋体"/>
                <w:color w:val="auto"/>
                <w:spacing w:val="-4"/>
              </w:rPr>
              <w:t>1000-5000</w:t>
            </w:r>
          </w:p>
        </w:tc>
        <w:tc>
          <w:tcPr>
            <w:tcW w:w="1830" w:type="dxa"/>
            <w:vAlign w:val="top"/>
          </w:tcPr>
          <w:p w14:paraId="339490AE">
            <w:pPr>
              <w:pStyle w:val="22"/>
              <w:keepNext w:val="0"/>
              <w:keepLines w:val="0"/>
              <w:pageBreakBefore w:val="0"/>
              <w:widowControl/>
              <w:kinsoku/>
              <w:wordWrap w:val="0"/>
              <w:overflowPunct/>
              <w:topLinePunct/>
              <w:autoSpaceDE/>
              <w:autoSpaceDN/>
              <w:bidi w:val="0"/>
              <w:adjustRightInd w:val="0"/>
              <w:snapToGrid w:val="0"/>
              <w:spacing w:before="146" w:line="216" w:lineRule="auto"/>
              <w:ind w:left="645"/>
              <w:jc w:val="both"/>
              <w:textAlignment w:val="baseline"/>
              <w:rPr>
                <w:rFonts w:hint="eastAsia" w:ascii="宋体" w:hAnsi="宋体" w:eastAsia="宋体" w:cs="宋体"/>
                <w:color w:val="auto"/>
              </w:rPr>
            </w:pPr>
            <w:r>
              <w:rPr>
                <w:rFonts w:hint="eastAsia" w:ascii="宋体" w:hAnsi="宋体" w:eastAsia="宋体" w:cs="宋体"/>
                <w:color w:val="auto"/>
                <w:spacing w:val="-3"/>
              </w:rPr>
              <w:t>0.5%</w:t>
            </w:r>
          </w:p>
        </w:tc>
        <w:tc>
          <w:tcPr>
            <w:tcW w:w="2089" w:type="dxa"/>
            <w:vAlign w:val="top"/>
          </w:tcPr>
          <w:p w14:paraId="086DBB27">
            <w:pPr>
              <w:pStyle w:val="22"/>
              <w:keepNext w:val="0"/>
              <w:keepLines w:val="0"/>
              <w:pageBreakBefore w:val="0"/>
              <w:widowControl/>
              <w:kinsoku/>
              <w:wordWrap w:val="0"/>
              <w:overflowPunct/>
              <w:topLinePunct/>
              <w:autoSpaceDE/>
              <w:autoSpaceDN/>
              <w:bidi w:val="0"/>
              <w:adjustRightInd w:val="0"/>
              <w:snapToGrid w:val="0"/>
              <w:spacing w:before="146" w:line="216" w:lineRule="auto"/>
              <w:ind w:left="707"/>
              <w:jc w:val="both"/>
              <w:textAlignment w:val="baseline"/>
              <w:rPr>
                <w:rFonts w:hint="eastAsia" w:ascii="宋体" w:hAnsi="宋体" w:eastAsia="宋体" w:cs="宋体"/>
                <w:color w:val="auto"/>
              </w:rPr>
            </w:pPr>
            <w:r>
              <w:rPr>
                <w:rFonts w:hint="eastAsia" w:ascii="宋体" w:hAnsi="宋体" w:eastAsia="宋体" w:cs="宋体"/>
                <w:color w:val="auto"/>
                <w:spacing w:val="-3"/>
              </w:rPr>
              <w:t>0.25%</w:t>
            </w:r>
          </w:p>
        </w:tc>
        <w:tc>
          <w:tcPr>
            <w:tcW w:w="2093" w:type="dxa"/>
            <w:vAlign w:val="top"/>
          </w:tcPr>
          <w:p w14:paraId="4CBF4B21">
            <w:pPr>
              <w:pStyle w:val="22"/>
              <w:keepNext w:val="0"/>
              <w:keepLines w:val="0"/>
              <w:pageBreakBefore w:val="0"/>
              <w:widowControl/>
              <w:kinsoku/>
              <w:wordWrap w:val="0"/>
              <w:overflowPunct/>
              <w:topLinePunct/>
              <w:autoSpaceDE/>
              <w:autoSpaceDN/>
              <w:bidi w:val="0"/>
              <w:adjustRightInd w:val="0"/>
              <w:snapToGrid w:val="0"/>
              <w:spacing w:before="146" w:line="216" w:lineRule="auto"/>
              <w:ind w:left="706"/>
              <w:jc w:val="both"/>
              <w:textAlignment w:val="baseline"/>
              <w:rPr>
                <w:rFonts w:hint="eastAsia" w:ascii="宋体" w:hAnsi="宋体" w:eastAsia="宋体" w:cs="宋体"/>
                <w:color w:val="auto"/>
              </w:rPr>
            </w:pPr>
            <w:r>
              <w:rPr>
                <w:rFonts w:hint="eastAsia" w:ascii="宋体" w:hAnsi="宋体" w:eastAsia="宋体" w:cs="宋体"/>
                <w:color w:val="auto"/>
                <w:spacing w:val="-3"/>
              </w:rPr>
              <w:t>0.35%</w:t>
            </w:r>
          </w:p>
        </w:tc>
      </w:tr>
      <w:tr w14:paraId="64EE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351" w:type="dxa"/>
            <w:vAlign w:val="top"/>
          </w:tcPr>
          <w:p w14:paraId="2C6B6B52">
            <w:pPr>
              <w:pStyle w:val="22"/>
              <w:keepNext w:val="0"/>
              <w:keepLines w:val="0"/>
              <w:pageBreakBefore w:val="0"/>
              <w:widowControl/>
              <w:kinsoku/>
              <w:wordWrap w:val="0"/>
              <w:overflowPunct/>
              <w:topLinePunct/>
              <w:autoSpaceDE/>
              <w:autoSpaceDN/>
              <w:bidi w:val="0"/>
              <w:adjustRightInd w:val="0"/>
              <w:snapToGrid w:val="0"/>
              <w:spacing w:before="191" w:line="184" w:lineRule="auto"/>
              <w:ind w:left="124"/>
              <w:jc w:val="both"/>
              <w:textAlignment w:val="baseline"/>
              <w:rPr>
                <w:rFonts w:hint="eastAsia" w:ascii="宋体" w:hAnsi="宋体" w:eastAsia="宋体" w:cs="宋体"/>
                <w:color w:val="auto"/>
              </w:rPr>
            </w:pPr>
            <w:r>
              <w:rPr>
                <w:rFonts w:hint="eastAsia" w:ascii="宋体" w:hAnsi="宋体" w:eastAsia="宋体" w:cs="宋体"/>
                <w:color w:val="auto"/>
                <w:spacing w:val="-2"/>
              </w:rPr>
              <w:t>5000-10000</w:t>
            </w:r>
          </w:p>
        </w:tc>
        <w:tc>
          <w:tcPr>
            <w:tcW w:w="1830" w:type="dxa"/>
            <w:vAlign w:val="top"/>
          </w:tcPr>
          <w:p w14:paraId="10E32ABE">
            <w:pPr>
              <w:pStyle w:val="22"/>
              <w:keepNext w:val="0"/>
              <w:keepLines w:val="0"/>
              <w:pageBreakBefore w:val="0"/>
              <w:widowControl/>
              <w:kinsoku/>
              <w:wordWrap w:val="0"/>
              <w:overflowPunct/>
              <w:topLinePunct/>
              <w:autoSpaceDE/>
              <w:autoSpaceDN/>
              <w:bidi w:val="0"/>
              <w:adjustRightInd w:val="0"/>
              <w:snapToGrid w:val="0"/>
              <w:spacing w:before="147" w:line="216" w:lineRule="auto"/>
              <w:ind w:left="573"/>
              <w:jc w:val="both"/>
              <w:textAlignment w:val="baseline"/>
              <w:rPr>
                <w:rFonts w:hint="eastAsia" w:ascii="宋体" w:hAnsi="宋体" w:eastAsia="宋体" w:cs="宋体"/>
                <w:color w:val="auto"/>
              </w:rPr>
            </w:pPr>
            <w:r>
              <w:rPr>
                <w:rFonts w:hint="eastAsia" w:ascii="宋体" w:hAnsi="宋体" w:eastAsia="宋体" w:cs="宋体"/>
                <w:color w:val="auto"/>
                <w:spacing w:val="-3"/>
              </w:rPr>
              <w:t>0.25%</w:t>
            </w:r>
          </w:p>
        </w:tc>
        <w:tc>
          <w:tcPr>
            <w:tcW w:w="2089" w:type="dxa"/>
            <w:vAlign w:val="top"/>
          </w:tcPr>
          <w:p w14:paraId="27E66457">
            <w:pPr>
              <w:pStyle w:val="22"/>
              <w:keepNext w:val="0"/>
              <w:keepLines w:val="0"/>
              <w:pageBreakBefore w:val="0"/>
              <w:widowControl/>
              <w:kinsoku/>
              <w:wordWrap w:val="0"/>
              <w:overflowPunct/>
              <w:topLinePunct/>
              <w:autoSpaceDE/>
              <w:autoSpaceDN/>
              <w:bidi w:val="0"/>
              <w:adjustRightInd w:val="0"/>
              <w:snapToGrid w:val="0"/>
              <w:spacing w:before="147" w:line="216" w:lineRule="auto"/>
              <w:ind w:left="776"/>
              <w:jc w:val="both"/>
              <w:textAlignment w:val="baseline"/>
              <w:rPr>
                <w:rFonts w:hint="eastAsia" w:ascii="宋体" w:hAnsi="宋体" w:eastAsia="宋体" w:cs="宋体"/>
                <w:color w:val="auto"/>
              </w:rPr>
            </w:pPr>
            <w:r>
              <w:rPr>
                <w:rFonts w:hint="eastAsia" w:ascii="宋体" w:hAnsi="宋体" w:eastAsia="宋体" w:cs="宋体"/>
                <w:color w:val="auto"/>
                <w:spacing w:val="-3"/>
              </w:rPr>
              <w:t>0.1%</w:t>
            </w:r>
          </w:p>
        </w:tc>
        <w:tc>
          <w:tcPr>
            <w:tcW w:w="2093" w:type="dxa"/>
            <w:vAlign w:val="top"/>
          </w:tcPr>
          <w:p w14:paraId="434DF993">
            <w:pPr>
              <w:pStyle w:val="22"/>
              <w:keepNext w:val="0"/>
              <w:keepLines w:val="0"/>
              <w:pageBreakBefore w:val="0"/>
              <w:widowControl/>
              <w:kinsoku/>
              <w:wordWrap w:val="0"/>
              <w:overflowPunct/>
              <w:topLinePunct/>
              <w:autoSpaceDE/>
              <w:autoSpaceDN/>
              <w:bidi w:val="0"/>
              <w:adjustRightInd w:val="0"/>
              <w:snapToGrid w:val="0"/>
              <w:spacing w:before="147" w:line="216" w:lineRule="auto"/>
              <w:ind w:left="778"/>
              <w:jc w:val="both"/>
              <w:textAlignment w:val="baseline"/>
              <w:rPr>
                <w:rFonts w:hint="eastAsia" w:ascii="宋体" w:hAnsi="宋体" w:eastAsia="宋体" w:cs="宋体"/>
                <w:color w:val="auto"/>
              </w:rPr>
            </w:pPr>
            <w:r>
              <w:rPr>
                <w:rFonts w:hint="eastAsia" w:ascii="宋体" w:hAnsi="宋体" w:eastAsia="宋体" w:cs="宋体"/>
                <w:color w:val="auto"/>
                <w:spacing w:val="-3"/>
              </w:rPr>
              <w:t>0.2%</w:t>
            </w:r>
          </w:p>
        </w:tc>
      </w:tr>
      <w:tr w14:paraId="2322A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351" w:type="dxa"/>
            <w:vAlign w:val="top"/>
          </w:tcPr>
          <w:p w14:paraId="4A3741C3">
            <w:pPr>
              <w:pStyle w:val="22"/>
              <w:keepNext w:val="0"/>
              <w:keepLines w:val="0"/>
              <w:pageBreakBefore w:val="0"/>
              <w:widowControl/>
              <w:kinsoku/>
              <w:wordWrap w:val="0"/>
              <w:overflowPunct/>
              <w:topLinePunct/>
              <w:autoSpaceDE/>
              <w:autoSpaceDN/>
              <w:bidi w:val="0"/>
              <w:adjustRightInd w:val="0"/>
              <w:snapToGrid w:val="0"/>
              <w:spacing w:before="193" w:line="184" w:lineRule="auto"/>
              <w:ind w:left="140"/>
              <w:jc w:val="both"/>
              <w:textAlignment w:val="baseline"/>
              <w:rPr>
                <w:rFonts w:hint="eastAsia" w:ascii="宋体" w:hAnsi="宋体" w:eastAsia="宋体" w:cs="宋体"/>
                <w:color w:val="auto"/>
              </w:rPr>
            </w:pPr>
            <w:r>
              <w:rPr>
                <w:rFonts w:hint="eastAsia" w:ascii="宋体" w:hAnsi="宋体" w:eastAsia="宋体" w:cs="宋体"/>
                <w:color w:val="auto"/>
                <w:spacing w:val="-3"/>
              </w:rPr>
              <w:t>10000-100000</w:t>
            </w:r>
          </w:p>
        </w:tc>
        <w:tc>
          <w:tcPr>
            <w:tcW w:w="1830" w:type="dxa"/>
            <w:vAlign w:val="top"/>
          </w:tcPr>
          <w:p w14:paraId="6A8EA15B">
            <w:pPr>
              <w:pStyle w:val="22"/>
              <w:keepNext w:val="0"/>
              <w:keepLines w:val="0"/>
              <w:pageBreakBefore w:val="0"/>
              <w:widowControl/>
              <w:kinsoku/>
              <w:wordWrap w:val="0"/>
              <w:overflowPunct/>
              <w:topLinePunct/>
              <w:autoSpaceDE/>
              <w:autoSpaceDN/>
              <w:bidi w:val="0"/>
              <w:adjustRightInd w:val="0"/>
              <w:snapToGrid w:val="0"/>
              <w:spacing w:before="148" w:line="215" w:lineRule="auto"/>
              <w:ind w:left="573"/>
              <w:jc w:val="both"/>
              <w:textAlignment w:val="baseline"/>
              <w:rPr>
                <w:rFonts w:hint="eastAsia" w:ascii="宋体" w:hAnsi="宋体" w:eastAsia="宋体" w:cs="宋体"/>
                <w:color w:val="auto"/>
              </w:rPr>
            </w:pPr>
            <w:r>
              <w:rPr>
                <w:rFonts w:hint="eastAsia" w:ascii="宋体" w:hAnsi="宋体" w:eastAsia="宋体" w:cs="宋体"/>
                <w:color w:val="auto"/>
                <w:spacing w:val="-3"/>
              </w:rPr>
              <w:t>0.05%</w:t>
            </w:r>
          </w:p>
        </w:tc>
        <w:tc>
          <w:tcPr>
            <w:tcW w:w="2089" w:type="dxa"/>
            <w:vAlign w:val="top"/>
          </w:tcPr>
          <w:p w14:paraId="112D82E3">
            <w:pPr>
              <w:pStyle w:val="22"/>
              <w:keepNext w:val="0"/>
              <w:keepLines w:val="0"/>
              <w:pageBreakBefore w:val="0"/>
              <w:widowControl/>
              <w:kinsoku/>
              <w:wordWrap w:val="0"/>
              <w:overflowPunct/>
              <w:topLinePunct/>
              <w:autoSpaceDE/>
              <w:autoSpaceDN/>
              <w:bidi w:val="0"/>
              <w:adjustRightInd w:val="0"/>
              <w:snapToGrid w:val="0"/>
              <w:spacing w:before="148" w:line="215" w:lineRule="auto"/>
              <w:ind w:left="707"/>
              <w:jc w:val="both"/>
              <w:textAlignment w:val="baseline"/>
              <w:rPr>
                <w:rFonts w:hint="eastAsia" w:ascii="宋体" w:hAnsi="宋体" w:eastAsia="宋体" w:cs="宋体"/>
                <w:color w:val="auto"/>
              </w:rPr>
            </w:pPr>
            <w:r>
              <w:rPr>
                <w:rFonts w:hint="eastAsia" w:ascii="宋体" w:hAnsi="宋体" w:eastAsia="宋体" w:cs="宋体"/>
                <w:color w:val="auto"/>
                <w:spacing w:val="-3"/>
              </w:rPr>
              <w:t>0.05%</w:t>
            </w:r>
          </w:p>
        </w:tc>
        <w:tc>
          <w:tcPr>
            <w:tcW w:w="2093" w:type="dxa"/>
            <w:vAlign w:val="top"/>
          </w:tcPr>
          <w:p w14:paraId="23AC8756">
            <w:pPr>
              <w:pStyle w:val="22"/>
              <w:keepNext w:val="0"/>
              <w:keepLines w:val="0"/>
              <w:pageBreakBefore w:val="0"/>
              <w:widowControl/>
              <w:kinsoku/>
              <w:wordWrap w:val="0"/>
              <w:overflowPunct/>
              <w:topLinePunct/>
              <w:autoSpaceDE/>
              <w:autoSpaceDN/>
              <w:bidi w:val="0"/>
              <w:adjustRightInd w:val="0"/>
              <w:snapToGrid w:val="0"/>
              <w:spacing w:before="148" w:line="215" w:lineRule="auto"/>
              <w:ind w:left="706"/>
              <w:jc w:val="both"/>
              <w:textAlignment w:val="baseline"/>
              <w:rPr>
                <w:rFonts w:hint="eastAsia" w:ascii="宋体" w:hAnsi="宋体" w:eastAsia="宋体" w:cs="宋体"/>
                <w:color w:val="auto"/>
              </w:rPr>
            </w:pPr>
            <w:r>
              <w:rPr>
                <w:rFonts w:hint="eastAsia" w:ascii="宋体" w:hAnsi="宋体" w:eastAsia="宋体" w:cs="宋体"/>
                <w:color w:val="auto"/>
                <w:spacing w:val="-3"/>
              </w:rPr>
              <w:t>0.05%</w:t>
            </w:r>
          </w:p>
        </w:tc>
      </w:tr>
      <w:tr w14:paraId="4B88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351" w:type="dxa"/>
            <w:vAlign w:val="top"/>
          </w:tcPr>
          <w:p w14:paraId="4062F695">
            <w:pPr>
              <w:pStyle w:val="22"/>
              <w:keepNext w:val="0"/>
              <w:keepLines w:val="0"/>
              <w:pageBreakBefore w:val="0"/>
              <w:widowControl/>
              <w:kinsoku/>
              <w:wordWrap w:val="0"/>
              <w:overflowPunct/>
              <w:topLinePunct/>
              <w:autoSpaceDE/>
              <w:autoSpaceDN/>
              <w:bidi w:val="0"/>
              <w:adjustRightInd w:val="0"/>
              <w:snapToGrid w:val="0"/>
              <w:spacing w:before="149" w:line="217" w:lineRule="auto"/>
              <w:ind w:left="140"/>
              <w:jc w:val="both"/>
              <w:textAlignment w:val="baseline"/>
              <w:rPr>
                <w:rFonts w:hint="eastAsia" w:ascii="宋体" w:hAnsi="宋体" w:eastAsia="宋体" w:cs="宋体"/>
                <w:color w:val="auto"/>
              </w:rPr>
            </w:pPr>
            <w:r>
              <w:rPr>
                <w:rFonts w:hint="eastAsia" w:ascii="宋体" w:hAnsi="宋体" w:eastAsia="宋体" w:cs="宋体"/>
                <w:color w:val="auto"/>
                <w:spacing w:val="-9"/>
              </w:rPr>
              <w:t>100000以上</w:t>
            </w:r>
          </w:p>
        </w:tc>
        <w:tc>
          <w:tcPr>
            <w:tcW w:w="1830" w:type="dxa"/>
            <w:vAlign w:val="top"/>
          </w:tcPr>
          <w:p w14:paraId="3FDD3DD7">
            <w:pPr>
              <w:pStyle w:val="22"/>
              <w:keepNext w:val="0"/>
              <w:keepLines w:val="0"/>
              <w:pageBreakBefore w:val="0"/>
              <w:widowControl/>
              <w:kinsoku/>
              <w:wordWrap w:val="0"/>
              <w:overflowPunct/>
              <w:topLinePunct/>
              <w:autoSpaceDE/>
              <w:autoSpaceDN/>
              <w:bidi w:val="0"/>
              <w:adjustRightInd w:val="0"/>
              <w:snapToGrid w:val="0"/>
              <w:spacing w:before="149" w:line="217" w:lineRule="auto"/>
              <w:ind w:left="573"/>
              <w:jc w:val="both"/>
              <w:textAlignment w:val="baseline"/>
              <w:rPr>
                <w:rFonts w:hint="eastAsia" w:ascii="宋体" w:hAnsi="宋体" w:eastAsia="宋体" w:cs="宋体"/>
                <w:color w:val="auto"/>
              </w:rPr>
            </w:pPr>
            <w:r>
              <w:rPr>
                <w:rFonts w:hint="eastAsia" w:ascii="宋体" w:hAnsi="宋体" w:eastAsia="宋体" w:cs="宋体"/>
                <w:color w:val="auto"/>
                <w:spacing w:val="-3"/>
              </w:rPr>
              <w:t>0.01%</w:t>
            </w:r>
          </w:p>
        </w:tc>
        <w:tc>
          <w:tcPr>
            <w:tcW w:w="2089" w:type="dxa"/>
            <w:vAlign w:val="top"/>
          </w:tcPr>
          <w:p w14:paraId="06C543C5">
            <w:pPr>
              <w:pStyle w:val="22"/>
              <w:keepNext w:val="0"/>
              <w:keepLines w:val="0"/>
              <w:pageBreakBefore w:val="0"/>
              <w:widowControl/>
              <w:kinsoku/>
              <w:wordWrap w:val="0"/>
              <w:overflowPunct/>
              <w:topLinePunct/>
              <w:autoSpaceDE/>
              <w:autoSpaceDN/>
              <w:bidi w:val="0"/>
              <w:adjustRightInd w:val="0"/>
              <w:snapToGrid w:val="0"/>
              <w:spacing w:before="149" w:line="217" w:lineRule="auto"/>
              <w:ind w:left="707"/>
              <w:jc w:val="both"/>
              <w:textAlignment w:val="baseline"/>
              <w:rPr>
                <w:rFonts w:hint="eastAsia" w:ascii="宋体" w:hAnsi="宋体" w:eastAsia="宋体" w:cs="宋体"/>
                <w:color w:val="auto"/>
              </w:rPr>
            </w:pPr>
            <w:r>
              <w:rPr>
                <w:rFonts w:hint="eastAsia" w:ascii="宋体" w:hAnsi="宋体" w:eastAsia="宋体" w:cs="宋体"/>
                <w:color w:val="auto"/>
                <w:spacing w:val="-3"/>
              </w:rPr>
              <w:t>0.01%</w:t>
            </w:r>
          </w:p>
        </w:tc>
        <w:tc>
          <w:tcPr>
            <w:tcW w:w="2093" w:type="dxa"/>
            <w:vAlign w:val="top"/>
          </w:tcPr>
          <w:p w14:paraId="53441A17">
            <w:pPr>
              <w:pStyle w:val="22"/>
              <w:keepNext w:val="0"/>
              <w:keepLines w:val="0"/>
              <w:pageBreakBefore w:val="0"/>
              <w:widowControl/>
              <w:kinsoku/>
              <w:wordWrap w:val="0"/>
              <w:overflowPunct/>
              <w:topLinePunct/>
              <w:autoSpaceDE/>
              <w:autoSpaceDN/>
              <w:bidi w:val="0"/>
              <w:adjustRightInd w:val="0"/>
              <w:snapToGrid w:val="0"/>
              <w:spacing w:before="149" w:line="217" w:lineRule="auto"/>
              <w:ind w:left="636"/>
              <w:jc w:val="both"/>
              <w:textAlignment w:val="baseline"/>
              <w:rPr>
                <w:rFonts w:hint="eastAsia" w:ascii="宋体" w:hAnsi="宋体" w:eastAsia="宋体" w:cs="宋体"/>
                <w:color w:val="auto"/>
              </w:rPr>
            </w:pPr>
            <w:r>
              <w:rPr>
                <w:rFonts w:hint="eastAsia" w:ascii="宋体" w:hAnsi="宋体" w:eastAsia="宋体" w:cs="宋体"/>
                <w:color w:val="auto"/>
                <w:spacing w:val="-2"/>
              </w:rPr>
              <w:t>0.015%</w:t>
            </w:r>
          </w:p>
        </w:tc>
      </w:tr>
    </w:tbl>
    <w:p w14:paraId="260073E4">
      <w:pPr>
        <w:keepNext w:val="0"/>
        <w:keepLines w:val="0"/>
        <w:pageBreakBefore w:val="0"/>
        <w:widowControl/>
        <w:kinsoku/>
        <w:wordWrap w:val="0"/>
        <w:overflowPunct/>
        <w:topLinePunct/>
        <w:autoSpaceDE/>
        <w:autoSpaceDN/>
        <w:bidi w:val="0"/>
        <w:adjustRightInd w:val="0"/>
        <w:snapToGrid w:val="0"/>
        <w:spacing w:before="79" w:line="220" w:lineRule="auto"/>
        <w:ind w:left="56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注：招标代理服务收费按差额定率累进法计算。</w:t>
      </w:r>
    </w:p>
    <w:p w14:paraId="20A01B66">
      <w:pPr>
        <w:keepNext w:val="0"/>
        <w:keepLines w:val="0"/>
        <w:pageBreakBefore w:val="0"/>
        <w:widowControl/>
        <w:kinsoku/>
        <w:wordWrap w:val="0"/>
        <w:overflowPunct/>
        <w:topLinePunct/>
        <w:autoSpaceDE/>
        <w:autoSpaceDN/>
        <w:bidi w:val="0"/>
        <w:adjustRightInd w:val="0"/>
        <w:snapToGrid w:val="0"/>
        <w:spacing w:before="67" w:line="243" w:lineRule="auto"/>
        <w:ind w:left="7" w:right="2" w:firstLine="584"/>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4"/>
          <w:sz w:val="28"/>
          <w:szCs w:val="28"/>
        </w:rPr>
        <w:t>以货物项目为例：成交金额为1200万元，计算招标代理服务收费额如</w:t>
      </w:r>
      <w:r>
        <w:rPr>
          <w:rFonts w:hint="eastAsia" w:ascii="宋体" w:hAnsi="宋体" w:eastAsia="宋体" w:cs="宋体"/>
          <w:color w:val="auto"/>
          <w:spacing w:val="-10"/>
          <w:sz w:val="28"/>
          <w:szCs w:val="28"/>
        </w:rPr>
        <w:t>下：</w:t>
      </w:r>
    </w:p>
    <w:p w14:paraId="27FE4E5F">
      <w:pPr>
        <w:keepNext w:val="0"/>
        <w:keepLines w:val="0"/>
        <w:pageBreakBefore w:val="0"/>
        <w:widowControl/>
        <w:kinsoku/>
        <w:wordWrap w:val="0"/>
        <w:overflowPunct/>
        <w:topLinePunct/>
        <w:autoSpaceDE/>
        <w:autoSpaceDN/>
        <w:bidi w:val="0"/>
        <w:adjustRightInd w:val="0"/>
        <w:snapToGrid w:val="0"/>
        <w:spacing w:before="62" w:line="221" w:lineRule="auto"/>
        <w:ind w:left="581"/>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4"/>
          <w:sz w:val="28"/>
          <w:szCs w:val="28"/>
        </w:rPr>
        <w:t>100万元×1.5%=1.5万元</w:t>
      </w:r>
    </w:p>
    <w:p w14:paraId="434A4D34">
      <w:pPr>
        <w:keepNext w:val="0"/>
        <w:keepLines w:val="0"/>
        <w:pageBreakBefore w:val="0"/>
        <w:widowControl/>
        <w:kinsoku/>
        <w:wordWrap w:val="0"/>
        <w:overflowPunct/>
        <w:topLinePunct/>
        <w:autoSpaceDE/>
        <w:autoSpaceDN/>
        <w:bidi w:val="0"/>
        <w:adjustRightInd w:val="0"/>
        <w:snapToGrid w:val="0"/>
        <w:spacing w:before="66" w:line="401" w:lineRule="exact"/>
        <w:ind w:left="42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position w:val="9"/>
          <w:sz w:val="28"/>
          <w:szCs w:val="28"/>
        </w:rPr>
        <w:t>（500-100）万元×1.1%=4.4万元</w:t>
      </w:r>
    </w:p>
    <w:p w14:paraId="4BE93EF7">
      <w:pPr>
        <w:keepNext w:val="0"/>
        <w:keepLines w:val="0"/>
        <w:pageBreakBefore w:val="0"/>
        <w:widowControl/>
        <w:kinsoku/>
        <w:wordWrap w:val="0"/>
        <w:overflowPunct/>
        <w:topLinePunct/>
        <w:autoSpaceDE/>
        <w:autoSpaceDN/>
        <w:bidi w:val="0"/>
        <w:adjustRightInd w:val="0"/>
        <w:snapToGrid w:val="0"/>
        <w:spacing w:before="1" w:line="220" w:lineRule="auto"/>
        <w:ind w:left="42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（1000-500）万元×0.8%=4万元</w:t>
      </w:r>
    </w:p>
    <w:p w14:paraId="657123A4">
      <w:pPr>
        <w:keepNext w:val="0"/>
        <w:keepLines w:val="0"/>
        <w:pageBreakBefore w:val="0"/>
        <w:widowControl/>
        <w:kinsoku/>
        <w:wordWrap w:val="0"/>
        <w:overflowPunct/>
        <w:topLinePunct/>
        <w:autoSpaceDE/>
        <w:autoSpaceDN/>
        <w:bidi w:val="0"/>
        <w:adjustRightInd w:val="0"/>
        <w:snapToGrid w:val="0"/>
        <w:spacing w:before="64" w:line="400" w:lineRule="exact"/>
        <w:ind w:left="426"/>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position w:val="9"/>
          <w:sz w:val="28"/>
          <w:szCs w:val="28"/>
        </w:rPr>
        <w:t>（1200-1000）万元×0.5%=1万元</w:t>
      </w:r>
    </w:p>
    <w:p w14:paraId="33ECB75C">
      <w:pPr>
        <w:keepNext w:val="0"/>
        <w:keepLines w:val="0"/>
        <w:pageBreakBefore w:val="0"/>
        <w:widowControl/>
        <w:kinsoku/>
        <w:wordWrap w:val="0"/>
        <w:overflowPunct/>
        <w:topLinePunct/>
        <w:autoSpaceDE/>
        <w:autoSpaceDN/>
        <w:bidi w:val="0"/>
        <w:adjustRightInd w:val="0"/>
        <w:snapToGrid w:val="0"/>
        <w:spacing w:before="2" w:line="219" w:lineRule="auto"/>
        <w:ind w:left="561"/>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合计收费=1.5+4.4+4+1=10.9万元</w:t>
      </w:r>
    </w:p>
    <w:p w14:paraId="60072801">
      <w:pPr>
        <w:keepNext w:val="0"/>
        <w:keepLines w:val="0"/>
        <w:pageBreakBefore w:val="0"/>
        <w:widowControl/>
        <w:kinsoku/>
        <w:wordWrap w:val="0"/>
        <w:overflowPunct/>
        <w:topLinePunct/>
        <w:autoSpaceDE/>
        <w:autoSpaceDN/>
        <w:bidi w:val="0"/>
        <w:adjustRightInd w:val="0"/>
        <w:snapToGrid w:val="0"/>
        <w:spacing w:line="219" w:lineRule="auto"/>
        <w:jc w:val="both"/>
        <w:textAlignment w:val="baseline"/>
        <w:rPr>
          <w:rFonts w:hint="eastAsia" w:ascii="宋体" w:hAnsi="宋体" w:eastAsia="宋体" w:cs="宋体"/>
          <w:color w:val="auto"/>
          <w:sz w:val="28"/>
          <w:szCs w:val="28"/>
        </w:rPr>
        <w:sectPr>
          <w:footerReference r:id="rId8" w:type="default"/>
          <w:pgSz w:w="11906" w:h="16839"/>
          <w:pgMar w:top="1440" w:right="1080" w:bottom="1440" w:left="1080" w:header="0" w:footer="1186" w:gutter="0"/>
          <w:pgNumType w:fmt="decimal"/>
          <w:cols w:space="720" w:num="1"/>
        </w:sectPr>
      </w:pPr>
    </w:p>
    <w:p w14:paraId="13DD6FB1">
      <w:pPr>
        <w:keepNext w:val="0"/>
        <w:keepLines w:val="0"/>
        <w:pageBreakBefore w:val="0"/>
        <w:widowControl/>
        <w:kinsoku/>
        <w:wordWrap w:val="0"/>
        <w:overflowPunct/>
        <w:topLinePunct/>
        <w:autoSpaceDE/>
        <w:autoSpaceDN/>
        <w:bidi w:val="0"/>
        <w:adjustRightInd w:val="0"/>
        <w:snapToGrid w:val="0"/>
        <w:spacing w:before="112" w:line="224" w:lineRule="auto"/>
        <w:ind w:left="2479"/>
        <w:jc w:val="both"/>
        <w:textAlignment w:val="baseline"/>
        <w:outlineLvl w:val="0"/>
        <w:rPr>
          <w:rFonts w:hint="eastAsia" w:ascii="宋体" w:hAnsi="宋体" w:eastAsia="宋体" w:cs="宋体"/>
          <w:color w:val="auto"/>
          <w:sz w:val="31"/>
          <w:szCs w:val="31"/>
          <w:lang w:eastAsia="zh-CN"/>
        </w:rPr>
      </w:pPr>
      <w:bookmarkStart w:id="49" w:name="_Toc18574"/>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第三章</w:t>
      </w:r>
      <w:bookmarkEnd w:id="49"/>
      <w:r>
        <w:rPr>
          <w:rFonts w:hint="eastAsia" w:ascii="宋体" w:hAnsi="宋体" w:eastAsia="宋体" w:cs="宋体"/>
          <w:color w:val="auto"/>
          <w:spacing w:val="9"/>
          <w:sz w:val="31"/>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9"/>
          <w:sz w:val="31"/>
          <w:szCs w:val="31"/>
          <w:lang w:eastAsia="zh-CN"/>
          <w14:textOutline w14:w="5793" w14:cap="sq" w14:cmpd="sng">
            <w14:solidFill>
              <w14:srgbClr w14:val="000000"/>
            </w14:solidFill>
            <w14:prstDash w14:val="solid"/>
            <w14:bevel/>
          </w14:textOutline>
        </w:rPr>
        <w:t>采购内容及要求</w:t>
      </w:r>
    </w:p>
    <w:p w14:paraId="5EF52EF6">
      <w:pPr>
        <w:keepNext w:val="0"/>
        <w:keepLines w:val="0"/>
        <w:pageBreakBefore w:val="0"/>
        <w:widowControl/>
        <w:kinsoku/>
        <w:wordWrap w:val="0"/>
        <w:overflowPunct/>
        <w:topLinePunct/>
        <w:autoSpaceDE/>
        <w:autoSpaceDN/>
        <w:bidi w:val="0"/>
        <w:adjustRightInd w:val="0"/>
        <w:snapToGrid w:val="0"/>
        <w:spacing w:before="76" w:line="185" w:lineRule="auto"/>
        <w:ind w:left="595"/>
        <w:jc w:val="both"/>
        <w:textAlignment w:val="baseline"/>
        <w:rPr>
          <w:rFonts w:hint="eastAsia" w:ascii="宋体" w:hAnsi="宋体" w:eastAsia="宋体" w:cs="宋体"/>
          <w:color w:val="auto"/>
          <w:spacing w:val="-1"/>
          <w:sz w:val="28"/>
          <w:szCs w:val="28"/>
          <w:lang w:val="en-US" w:eastAsia="zh-CN"/>
          <w14:textOutline w14:w="5103" w14:cap="sq" w14:cmpd="sng">
            <w14:solidFill>
              <w14:srgbClr w14:val="000000"/>
            </w14:solidFill>
            <w14:prstDash w14:val="solid"/>
            <w14:bevel/>
          </w14:textOutline>
        </w:rPr>
      </w:pPr>
    </w:p>
    <w:p w14:paraId="0163500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一、采购内容及要求</w:t>
      </w:r>
    </w:p>
    <w:p w14:paraId="3675DBE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(一）靖边马铃薯基地采购内容</w:t>
      </w:r>
    </w:p>
    <w:p w14:paraId="5025BC8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1、物联网环境监测系统1套，用于监测基地的空气温湿度、光照强度、土壤温湿度、土壤EC值、土壤PH值、土壤氮磷钾等。</w:t>
      </w:r>
    </w:p>
    <w:p w14:paraId="13F74EE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2、可视化物联网气象站显示终端1套，用于无线远程实时显示监测终端所采集的环境监测数据。</w:t>
      </w:r>
    </w:p>
    <w:p w14:paraId="7F72B88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3、数智水肥一体化智能管控系统1套、过滤系统1套、自动搅拌系统3套、智能电磁阀4套，用于基地实现水肥一体化智能灌溉。</w:t>
      </w:r>
    </w:p>
    <w:p w14:paraId="36DB70E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（二）旺兴农场采购内容</w:t>
      </w:r>
    </w:p>
    <w:p w14:paraId="020A3A2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1、喷淋系统1套，用于种植农作物的灌溉。</w:t>
      </w:r>
    </w:p>
    <w:p w14:paraId="49B5673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2、智能电磁阀1套。</w:t>
      </w:r>
    </w:p>
    <w:p w14:paraId="73A98A9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3、电动轨道车1套（含轨道）。</w:t>
      </w:r>
    </w:p>
    <w:p w14:paraId="1F4C7C0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（三）思农家庭农场采购内容</w:t>
      </w:r>
    </w:p>
    <w:p w14:paraId="385442D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数智水肥一体化智能管控系统1套、过滤系统1套、自动搅拌系统3套、智能电磁阀7套，用于基地实现水肥一体化智能灌溉。</w:t>
      </w:r>
    </w:p>
    <w:p w14:paraId="73B1B60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（四）神木乐森农场采购内容</w:t>
      </w:r>
    </w:p>
    <w:p w14:paraId="2DC30A4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1、高清网络云台球型摄像机2台，用于实现基地的实时视频监控。</w:t>
      </w:r>
    </w:p>
    <w:p w14:paraId="2399B23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2、硬盘录像机1套，用于基地监控视频的存储。</w:t>
      </w:r>
    </w:p>
    <w:p w14:paraId="5D171E5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3、智能恒压变频供水系统1套，实现对基地供水系统的智能控制。</w:t>
      </w:r>
    </w:p>
    <w:p w14:paraId="1C1CB69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（五）高家堡中药材采购内容</w:t>
      </w:r>
    </w:p>
    <w:p w14:paraId="71FF13B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高清网络云台球型摄像机1台，用于实现基地的实时视频监控。</w:t>
      </w:r>
    </w:p>
    <w:p w14:paraId="615B1A13">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（六）佳县大棚采购内容</w:t>
      </w:r>
    </w:p>
    <w:p w14:paraId="2F6DEA36">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数智水肥一体化智能管控系统1套、过滤系统1套、自动搅拌系统3套、智能电磁阀8套，用于基地实现水肥一体化智能灌溉。</w:t>
      </w:r>
    </w:p>
    <w:p w14:paraId="3E358AC3">
      <w:pPr>
        <w:pStyle w:val="4"/>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附采购清单：</w:t>
      </w:r>
    </w:p>
    <w:tbl>
      <w:tblPr>
        <w:tblStyle w:val="16"/>
        <w:tblW w:w="54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057"/>
        <w:gridCol w:w="6624"/>
        <w:gridCol w:w="545"/>
        <w:gridCol w:w="496"/>
      </w:tblGrid>
      <w:tr w14:paraId="02DB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4C8C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榆林市农业宣传信息中心农业物联网管理系统采购项目</w:t>
            </w:r>
          </w:p>
        </w:tc>
      </w:tr>
      <w:tr w14:paraId="6747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0264">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snapToGrid w:val="0"/>
                <w:color w:val="000000"/>
                <w:kern w:val="0"/>
                <w:sz w:val="28"/>
                <w:szCs w:val="28"/>
                <w:u w:val="none"/>
                <w:lang w:val="en-US" w:eastAsia="zh-CN" w:bidi="ar"/>
              </w:rPr>
              <w:t>序号</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850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snapToGrid w:val="0"/>
                <w:color w:val="000000"/>
                <w:kern w:val="0"/>
                <w:sz w:val="28"/>
                <w:szCs w:val="28"/>
                <w:u w:val="none"/>
                <w:lang w:val="en-US" w:eastAsia="zh-CN" w:bidi="ar"/>
              </w:rPr>
              <w:t>分项目名称</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18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snapToGrid w:val="0"/>
                <w:color w:val="000000"/>
                <w:kern w:val="0"/>
                <w:sz w:val="28"/>
                <w:szCs w:val="28"/>
                <w:u w:val="none"/>
                <w:lang w:val="en-US" w:eastAsia="zh-CN" w:bidi="ar"/>
              </w:rPr>
              <w:t>主要规格参数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347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snapToGrid w:val="0"/>
                <w:color w:val="000000"/>
                <w:kern w:val="0"/>
                <w:sz w:val="28"/>
                <w:szCs w:val="28"/>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F5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snapToGrid w:val="0"/>
                <w:color w:val="000000"/>
                <w:kern w:val="0"/>
                <w:sz w:val="28"/>
                <w:szCs w:val="28"/>
                <w:u w:val="none"/>
                <w:lang w:val="en-US" w:eastAsia="zh-CN" w:bidi="ar"/>
              </w:rPr>
              <w:t>单位</w:t>
            </w:r>
          </w:p>
        </w:tc>
      </w:tr>
      <w:tr w14:paraId="399E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9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F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物联网环境监测系统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EC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太阳能气象监测站，综合一体型多功能避雷立杆，设备主机为工业级物联网数据采集终端，支持采集频率远程在线可调，支持现有2/3/4G通信自适应模式、可扩展升级LoRa、Zigbee、NB-IoT/5G等制式数据传送，设备支持远程控制和升级存储功能，支持MQTT物联网协议或其他物联网协议，支持断点续传、支持远程升级，通讯延时不高于3秒主要设备技术指标要求：</w:t>
            </w:r>
            <w:r>
              <w:rPr>
                <w:rFonts w:hint="eastAsia" w:ascii="宋体" w:hAnsi="宋体" w:eastAsia="宋体" w:cs="宋体"/>
                <w:i w:val="0"/>
                <w:iCs w:val="0"/>
                <w:snapToGrid w:val="0"/>
                <w:color w:val="000000"/>
                <w:kern w:val="0"/>
                <w:sz w:val="24"/>
                <w:szCs w:val="24"/>
                <w:u w:val="none"/>
                <w:lang w:val="en-US" w:eastAsia="zh-CN" w:bidi="ar"/>
              </w:rPr>
              <w:br w:type="textWrapping"/>
            </w:r>
            <w:r>
              <w:rPr>
                <w:rStyle w:val="37"/>
                <w:snapToGrid w:val="0"/>
                <w:color w:val="000000"/>
                <w:lang w:val="en-US" w:eastAsia="zh-CN" w:bidi="ar"/>
              </w:rPr>
              <w:t>★</w:t>
            </w:r>
            <w:r>
              <w:rPr>
                <w:rStyle w:val="38"/>
                <w:snapToGrid w:val="0"/>
                <w:color w:val="000000"/>
                <w:lang w:val="en-US" w:eastAsia="zh-CN" w:bidi="ar"/>
              </w:rPr>
              <w:t>1.空气温度范围：-40℃～85℃；</w:t>
            </w:r>
            <w:r>
              <w:rPr>
                <w:rStyle w:val="38"/>
                <w:snapToGrid w:val="0"/>
                <w:color w:val="000000"/>
                <w:lang w:val="en-US" w:eastAsia="zh-CN" w:bidi="ar"/>
              </w:rPr>
              <w:br w:type="textWrapping"/>
            </w:r>
            <w:r>
              <w:rPr>
                <w:rStyle w:val="38"/>
                <w:snapToGrid w:val="0"/>
                <w:color w:val="000000"/>
                <w:lang w:val="en-US" w:eastAsia="zh-CN" w:bidi="ar"/>
              </w:rPr>
              <w:t>2.空气湿度范围：0～100%RH；</w:t>
            </w:r>
            <w:r>
              <w:rPr>
                <w:rStyle w:val="38"/>
                <w:snapToGrid w:val="0"/>
                <w:color w:val="000000"/>
                <w:lang w:val="en-US" w:eastAsia="zh-CN" w:bidi="ar"/>
              </w:rPr>
              <w:br w:type="textWrapping"/>
            </w:r>
            <w:r>
              <w:rPr>
                <w:rStyle w:val="38"/>
                <w:snapToGrid w:val="0"/>
                <w:color w:val="000000"/>
                <w:lang w:val="en-US" w:eastAsia="zh-CN" w:bidi="ar"/>
              </w:rPr>
              <w:t>★3.光照强度范围：0～100000Lux；</w:t>
            </w:r>
            <w:r>
              <w:rPr>
                <w:rStyle w:val="38"/>
                <w:snapToGrid w:val="0"/>
                <w:color w:val="000000"/>
                <w:lang w:val="en-US" w:eastAsia="zh-CN" w:bidi="ar"/>
              </w:rPr>
              <w:br w:type="textWrapping"/>
            </w:r>
            <w:r>
              <w:rPr>
                <w:rStyle w:val="38"/>
                <w:snapToGrid w:val="0"/>
                <w:color w:val="000000"/>
                <w:lang w:val="en-US" w:eastAsia="zh-CN" w:bidi="ar"/>
              </w:rPr>
              <w:t>★4.土壤温度：-45℃～115℃；</w:t>
            </w:r>
            <w:r>
              <w:rPr>
                <w:rStyle w:val="38"/>
                <w:snapToGrid w:val="0"/>
                <w:color w:val="000000"/>
                <w:lang w:val="en-US" w:eastAsia="zh-CN" w:bidi="ar"/>
              </w:rPr>
              <w:br w:type="textWrapping"/>
            </w:r>
            <w:r>
              <w:rPr>
                <w:rStyle w:val="38"/>
                <w:snapToGrid w:val="0"/>
                <w:color w:val="000000"/>
                <w:lang w:val="en-US" w:eastAsia="zh-CN" w:bidi="ar"/>
              </w:rPr>
              <w:t>5.土壤水分：0～100%；</w:t>
            </w:r>
            <w:r>
              <w:rPr>
                <w:rStyle w:val="38"/>
                <w:snapToGrid w:val="0"/>
                <w:color w:val="000000"/>
                <w:lang w:val="en-US" w:eastAsia="zh-CN" w:bidi="ar"/>
              </w:rPr>
              <w:br w:type="textWrapping"/>
            </w:r>
            <w:r>
              <w:rPr>
                <w:rStyle w:val="38"/>
                <w:snapToGrid w:val="0"/>
                <w:color w:val="000000"/>
                <w:lang w:val="en-US" w:eastAsia="zh-CN" w:bidi="ar"/>
              </w:rPr>
              <w:t>6.土壤EC：0～10000us/cm；</w:t>
            </w:r>
            <w:r>
              <w:rPr>
                <w:rStyle w:val="38"/>
                <w:snapToGrid w:val="0"/>
                <w:color w:val="000000"/>
                <w:lang w:val="en-US" w:eastAsia="zh-CN" w:bidi="ar"/>
              </w:rPr>
              <w:br w:type="textWrapping"/>
            </w:r>
            <w:r>
              <w:rPr>
                <w:rStyle w:val="38"/>
                <w:snapToGrid w:val="0"/>
                <w:color w:val="000000"/>
                <w:lang w:val="en-US" w:eastAsia="zh-CN" w:bidi="ar"/>
              </w:rPr>
              <w:t>7.土壤PH:4～10PH；</w:t>
            </w:r>
            <w:r>
              <w:rPr>
                <w:rStyle w:val="38"/>
                <w:snapToGrid w:val="0"/>
                <w:color w:val="000000"/>
                <w:lang w:val="en-US" w:eastAsia="zh-CN" w:bidi="ar"/>
              </w:rPr>
              <w:br w:type="textWrapping"/>
            </w:r>
            <w:r>
              <w:rPr>
                <w:rStyle w:val="38"/>
                <w:snapToGrid w:val="0"/>
                <w:color w:val="000000"/>
                <w:lang w:val="en-US" w:eastAsia="zh-CN" w:bidi="ar"/>
              </w:rPr>
              <w:t>★8.土壤氮磷钾测量范围：0～2000mg/kg</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F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F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75A1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4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D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可视化物联网气象站显示终端</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C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无线远程实时显示监测终端所采集的环境信息，支持无线远程异地安装、在线可调显示不同基地环境监测数据，支持现有2/3/4G通信自适应模式，可扩展升级LoRa、Zigbee、NO-IoT/5G等制式数据传送，设备支持远程控制和升级存储功能，支持无线远程接收采集的环境数据。支持断点续传、远程升级，显示刷新频率不低于30秒，支持远程自定义实时显示内容，可固定、滚动、翻屏等方式显示环境指标、不低于三行显示内容，支持户外和户内安装，支持防雨、防尘、防雷。支持立杆上安装，尺寸不小于65*50cm3。</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3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5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549F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9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数智水肥一体化智能管控系统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E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产品类型：旁路式注肥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★整机尺寸：80*90*140cm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设备功率：1.5kw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工作电压：220V/380V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工作压力：0.1-0.65Mpa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施肥通道/最大施肥量：3*600L/H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进出水口：DN25PVC</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田间阀门控制：多线制可控8路电磁阀；可升级为总线制最大可控128路电磁阀，需配备解码器；可升级为无线控制，需配备无线阀控器。减少布线施工成本，维护方便。                                                                                                                    主要功能：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1.（10寸）液晶高清触摸屏，中文人机交互界面，简单易学，好操作；</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2.系统可依据设定的灌溉施肥程序自动执行轮灌任务，无需人工操作，定时定量，省人工，达到准确施肥；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3.可控制灌溉区域电磁阀8个，可升级为总线控制或无线控制；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4.3 路吸肥通道；</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5.手动旋钮式隔膜流量调节阀可以根据实际需要调整施肥流量，更加准确，方便；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6.每路吸肥通道配备高精度文丘里注肥器，吸肥更加稳定；</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7.可控制3路搅拌电机，进行肥料搅拌；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8.采用化工级 PVC 混肥管道，强耐腐蚀，抗老化，不变形，使用寿命长；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9.支持功能扩展和订制，标准通讯协议支持物联网平台对接；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10.可接入各项传感设备，实时展现监测数据；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11.操作方式：本地操作/手机、PC 端远程操作。</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4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6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580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D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1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过滤系统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4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离心过滤器+叠片过滤器,2”,120目(安装在进水口)</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B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A62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B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A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过滤系统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6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砂石过滤器+叠片过滤器,2”,120目(安装在进水口)</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B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9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74D7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2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6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自动搅拌系统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2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1、采用PE材质一次滚塑成型，耐腐蚀，耐酸碱；                                                   ★2、MC-500L平底参数：底部直径：84cm，垂直高：91cm，总高106cm，口径24cm，搅拌电机功率0.75KW-220V/0.75KW-380V；                                                                                                                                                     3、颜色：黄色；                                                                               4、搅拌杆为不锈钢材质，叶轮为三叶单层；</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A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D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5658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C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C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智能电磁阀</w:t>
            </w:r>
          </w:p>
        </w:tc>
        <w:tc>
          <w:tcPr>
            <w:tcW w:w="3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8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2寸电磁阀</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6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B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3A35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4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2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喷淋系统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F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材质：PE</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功能：农作物种植 、灌溉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类型：喷灌设备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喷头间距：2米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喷洒直径：2米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喷头流量：70升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5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8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14:paraId="7B6E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F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C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高清网络云台球型摄像机</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E7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400万高速球形摄像机，支持最大2048×1536@30fps高清画面输出支持H.265高效压缩算法，可较大节省存储空间支持超低照度，0.02Lux/F1.6(彩色),0.002Lux/F1.6(黑白) ,0 Lux with IR支持20倍光学变倍，16倍数字变倍采用高效红外阵列，低功耗，照射距离达100m支持1080p@60fps、960p@60fps、720p@60fps高帧率输出支持三码流技术。红外照射距离；支持网口、WIFI；支持萤石云；支持宽动态、透雾、强光抑制、Smart IR、3D数字降噪；支持区域入侵、越界、移动侦测；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6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0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14:paraId="334B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8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4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硬盘录像机</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1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配备视频专用T级硬盘，支持eSATA录像备份，网络硬盘录像机支持1080P视频输入，视频记录存储时间不小于7天。4TB、缓存容量: 64MB接口类型: SATA3、尺寸: 3.5英寸"。</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7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9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42C4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4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C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智能恒压变频供水系统</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5D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额定电压：380V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结构形式：固定式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产品保护：缺相保护、过热保护、过载保护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适配电机功率:7.5kw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电源相数:三相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外壳材质:冷轧板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变频器:国产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结构特征:防护式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控制方式:变频</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3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06D2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3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8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电动轨道车（含轨道）</w:t>
            </w:r>
          </w:p>
        </w:tc>
        <w:tc>
          <w:tcPr>
            <w:tcW w:w="3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2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2*60轨道车，轨道60米角钢</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E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bl>
    <w:p w14:paraId="49D5819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二、采购要求</w:t>
      </w:r>
    </w:p>
    <w:p w14:paraId="49C9B24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（一）通用服务要求</w:t>
      </w:r>
    </w:p>
    <w:p w14:paraId="2760D98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1.设备质量：符合国家行业及安全标准，确保无缺陷、性能稳。</w:t>
      </w:r>
    </w:p>
    <w:p w14:paraId="0C0937D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2.安装施工：施工前明确安装、布线、周期；施工中保护作物及设施，完工后清垃圾、复原场地。</w:t>
      </w:r>
    </w:p>
    <w:p w14:paraId="4013FC3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3.系统兼容：各系统（环境监测、水肥一体化、视频监控等）需支持数据互通，可对接到指定管理平台，确保数据实时上传无延迟丢失。</w:t>
      </w:r>
    </w:p>
    <w:p w14:paraId="6F6A1DC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4.培训服务：设备调试后提供现场培训，覆盖启停、参数设置、数据查看、简单排障；同步提供纸质+电子版培训手册。</w:t>
      </w:r>
    </w:p>
    <w:p w14:paraId="2DAB81E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5.售后服务：免费质保≥1年，故障24小时响应、48小时到场维修/更换；质保后终身维护仅收零件成本费，建专属售后群答疑。</w:t>
      </w:r>
    </w:p>
    <w:p w14:paraId="3DE2DBC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（二）分项服务要求</w:t>
      </w:r>
    </w:p>
    <w:p w14:paraId="71FB1E7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1、物联网环境监测相关服务</w:t>
      </w:r>
    </w:p>
    <w:p w14:paraId="298B0E4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（1）传感器精度：各类传感器（空气/土壤温湿度、EC值、PH值、氮磷钾等）符合农业检测级精度标准。</w:t>
      </w:r>
    </w:p>
    <w:p w14:paraId="4A637118">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（2）数据传输显示：气象站终端支持无线远程传输，实时显示参数、高频刷新，自定义异常报警。</w:t>
      </w:r>
    </w:p>
    <w:p w14:paraId="46EBC4F0">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2、数智水肥一体化相关服务</w:t>
      </w:r>
    </w:p>
    <w:p w14:paraId="37F7683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（1）系统功能：支持本地操作/手机、PC 端远程操作，支持单区/多区独立控制。</w:t>
      </w:r>
    </w:p>
    <w:p w14:paraId="2E8D2AD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（2）配套设备：过滤系统防杂质堵塞；搅拌系统实现水肥均匀无沉淀；电磁阀支持远程控制、防水，适配户外环境。</w:t>
      </w:r>
    </w:p>
    <w:p w14:paraId="17C973B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3、喷淋与电动轨道车相关服务</w:t>
      </w:r>
    </w:p>
    <w:p w14:paraId="5FC69E4F">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（1）喷淋系统：全覆盖种植区无死角，喷淋均匀，可调节压力流量，管道及喷头抗腐蚀抗老化。</w:t>
      </w:r>
    </w:p>
    <w:p w14:paraId="30709EB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（2）电动轨道车：轨道平整牢固适配地形；轨道车运行稳、速度可调、负载达标，支持遥控及自动行驶，具备急停功能。</w:t>
      </w:r>
    </w:p>
    <w:p w14:paraId="5A5C05B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4、视频监控相关服务</w:t>
      </w:r>
    </w:p>
    <w:p w14:paraId="2F331C15">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（1）设备与存储：球机摄像机支持区域入侵、越界、移动侦测；硬盘录像机满足录像存储需求，支持回放及远程查看。</w:t>
      </w:r>
    </w:p>
    <w:p w14:paraId="3C68255A">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（2）环境适应：摄像机防水防尘、耐高低温，安装无遮挡，最大化覆盖基地关键区域。</w:t>
      </w:r>
    </w:p>
    <w:p w14:paraId="684EFC7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5、智能恒压变频供水系统相关服务</w:t>
      </w:r>
    </w:p>
    <w:p w14:paraId="10FE2A1E">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支持缺相保护、过热保护、过载保护等安全保护；防护式结构特征，变频控制。</w:t>
      </w:r>
    </w:p>
    <w:p w14:paraId="78DA2B55">
      <w:pPr>
        <w:keepNext w:val="0"/>
        <w:keepLines w:val="0"/>
        <w:pageBreakBefore w:val="0"/>
        <w:widowControl/>
        <w:kinsoku/>
        <w:wordWrap w:val="0"/>
        <w:overflowPunct/>
        <w:topLinePunct/>
        <w:autoSpaceDE/>
        <w:autoSpaceDN/>
        <w:bidi w:val="0"/>
        <w:adjustRightInd w:val="0"/>
        <w:snapToGrid w:val="0"/>
        <w:spacing w:before="159" w:line="220" w:lineRule="auto"/>
        <w:ind w:left="595"/>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lang w:val="en-US" w:eastAsia="zh-CN"/>
          <w14:textOutline w14:w="5103" w14:cap="sq" w14:cmpd="sng">
            <w14:solidFill>
              <w14:srgbClr w14:val="000000"/>
            </w14:solidFill>
            <w14:prstDash w14:val="solid"/>
            <w14:bevel/>
          </w14:textOutline>
        </w:rPr>
        <w:t>三</w:t>
      </w: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、商务要求</w:t>
      </w:r>
    </w:p>
    <w:p w14:paraId="4A21C8B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outlineLvl w:val="2"/>
        <w:rPr>
          <w:rFonts w:hint="eastAsia" w:ascii="宋体" w:hAnsi="宋体" w:eastAsia="宋体" w:cs="宋体"/>
          <w:color w:val="auto"/>
          <w:sz w:val="28"/>
          <w:szCs w:val="28"/>
          <w:lang w:val="en-US" w:eastAsia="zh-CN"/>
        </w:rPr>
      </w:pPr>
      <w:bookmarkStart w:id="50" w:name="_Toc11710"/>
      <w:r>
        <w:rPr>
          <w:rFonts w:hint="eastAsia" w:ascii="宋体" w:hAnsi="宋体" w:eastAsia="宋体" w:cs="宋体"/>
          <w:color w:val="auto"/>
          <w:sz w:val="28"/>
          <w:szCs w:val="28"/>
          <w:lang w:val="en-US" w:eastAsia="zh-CN"/>
        </w:rPr>
        <w:t>1、交货地点：甲方指点地点。</w:t>
      </w:r>
      <w:bookmarkEnd w:id="50"/>
    </w:p>
    <w:p w14:paraId="50BC703C">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2、交货期：合同签订后30日历日内完成供货、安装、调试并验收合格。</w:t>
      </w:r>
    </w:p>
    <w:p w14:paraId="67D18587">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w:t>
      </w:r>
    </w:p>
    <w:p w14:paraId="5F4EA3CB">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1）到货验收：货物到货后，由甲方与乙方共同进行外观验收，验收内容包括，外包装的完好性，货物品牌、规格、数量及产地与合同要求的一致性。</w:t>
      </w:r>
    </w:p>
    <w:p w14:paraId="0C79BB5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2）货物运行验收：乙方安装调试合格后，向甲方提出验收申请，甲方接到乙方验收申请后组织验收，验收合格后，出具使用验收合格证明。</w:t>
      </w:r>
    </w:p>
    <w:p w14:paraId="2A642531">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3）最终验收：最终验收结果作为付款依据，乙方填写验收单，并向甲方提交实施过程中的所有资料，以便甲方日后管理和维护。</w:t>
      </w:r>
    </w:p>
    <w:p w14:paraId="00968F14">
      <w:pPr>
        <w:keepNext w:val="0"/>
        <w:keepLines w:val="0"/>
        <w:pageBreakBefore w:val="0"/>
        <w:widowControl/>
        <w:kinsoku/>
        <w:wordWrap w:val="0"/>
        <w:overflowPunct/>
        <w:topLinePunct/>
        <w:autoSpaceDE/>
        <w:autoSpaceDN/>
        <w:bidi w:val="0"/>
        <w:adjustRightInd w:val="0"/>
        <w:snapToGrid w:val="0"/>
        <w:spacing w:before="45" w:line="247" w:lineRule="auto"/>
        <w:ind w:firstLine="584"/>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4）质保期满后：由乙方出具质保期运行质量报告，，若存在质量问题，应按相应规定协商处理。</w:t>
      </w:r>
    </w:p>
    <w:p w14:paraId="4CD471D4">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616DC20B">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CFB6D54">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12741BA2">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1961DBA8">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1EC30714">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373FCD71">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4AF0FC0">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48CC1D0A">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553DB64E">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7819D4A6">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613FC268">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26E9EE3D">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6C9BCC0E">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7D4CC9D8">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27653F43">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C343378">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19AA88A0">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51F7A1FC">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758F982C">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42E71FC7">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334A0913">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6AB19A89">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48F12FF5">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D6F63D7">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60B50ECF">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1365670A">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2885DDD">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8B7C211">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698D1333">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E84EFA8">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2259B9B9">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5AA63185">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5B340190">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35043188">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06C1CB56">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26CC7ABC">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15C7AFC9">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4BBA02F7">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2F31FC2F">
      <w:pPr>
        <w:keepNext w:val="0"/>
        <w:keepLines w:val="0"/>
        <w:pageBreakBefore w:val="0"/>
        <w:widowControl/>
        <w:kinsoku/>
        <w:wordWrap w:val="0"/>
        <w:overflowPunct/>
        <w:topLinePunct/>
        <w:autoSpaceDE/>
        <w:autoSpaceDN/>
        <w:bidi w:val="0"/>
        <w:adjustRightInd w:val="0"/>
        <w:snapToGrid w:val="0"/>
        <w:spacing w:before="113" w:line="224" w:lineRule="auto"/>
        <w:ind w:left="3096"/>
        <w:jc w:val="both"/>
        <w:textAlignment w:val="baseline"/>
        <w:outlineLvl w:val="0"/>
        <w:rPr>
          <w:rFonts w:hint="eastAsia" w:ascii="宋体" w:hAnsi="宋体" w:eastAsia="宋体" w:cs="宋体"/>
          <w:color w:val="FF0000"/>
          <w:sz w:val="35"/>
          <w:szCs w:val="35"/>
          <w:lang w:eastAsia="zh-CN"/>
        </w:rPr>
      </w:pPr>
      <w:bookmarkStart w:id="51" w:name="_Toc18808"/>
      <w:r>
        <w:rPr>
          <w:rFonts w:hint="eastAsia" w:ascii="宋体" w:hAnsi="宋体" w:eastAsia="宋体" w:cs="宋体"/>
          <w:color w:val="FF0000"/>
          <w:spacing w:val="8"/>
          <w:sz w:val="35"/>
          <w:szCs w:val="35"/>
          <w14:textOutline w14:w="6537" w14:cap="sq" w14:cmpd="sng">
            <w14:solidFill>
              <w14:srgbClr w14:val="000000"/>
            </w14:solidFill>
            <w14:prstDash w14:val="solid"/>
            <w14:bevel/>
          </w14:textOutline>
        </w:rPr>
        <w:t>第四章</w:t>
      </w:r>
      <w:r>
        <w:rPr>
          <w:rFonts w:hint="eastAsia" w:ascii="宋体" w:hAnsi="宋体" w:eastAsia="宋体" w:cs="宋体"/>
          <w:color w:val="FF0000"/>
          <w:spacing w:val="8"/>
          <w:sz w:val="35"/>
          <w:szCs w:val="35"/>
          <w:lang w:val="en-US" w:eastAsia="zh-CN"/>
          <w14:textOutline w14:w="6537" w14:cap="sq" w14:cmpd="sng">
            <w14:solidFill>
              <w14:srgbClr w14:val="000000"/>
            </w14:solidFill>
            <w14:prstDash w14:val="solid"/>
            <w14:bevel/>
          </w14:textOutline>
        </w:rPr>
        <w:t xml:space="preserve"> </w:t>
      </w:r>
      <w:bookmarkEnd w:id="51"/>
      <w:r>
        <w:rPr>
          <w:rFonts w:hint="eastAsia" w:ascii="宋体" w:hAnsi="宋体" w:eastAsia="宋体" w:cs="宋体"/>
          <w:color w:val="FF0000"/>
          <w:spacing w:val="8"/>
          <w:sz w:val="35"/>
          <w:szCs w:val="35"/>
          <w:lang w:eastAsia="zh-CN"/>
          <w14:textOutline w14:w="6537" w14:cap="sq" w14:cmpd="sng">
            <w14:solidFill>
              <w14:srgbClr w14:val="000000"/>
            </w14:solidFill>
            <w14:prstDash w14:val="solid"/>
            <w14:bevel/>
          </w14:textOutline>
        </w:rPr>
        <w:t>采购合同</w:t>
      </w:r>
    </w:p>
    <w:p w14:paraId="50704CF7">
      <w:pPr>
        <w:keepNext w:val="0"/>
        <w:keepLines w:val="0"/>
        <w:pageBreakBefore w:val="0"/>
        <w:kinsoku/>
        <w:wordWrap w:val="0"/>
        <w:overflowPunct/>
        <w:topLinePunct/>
        <w:autoSpaceDE/>
        <w:autoSpaceDN/>
        <w:bidi w:val="0"/>
        <w:snapToGrid/>
        <w:spacing w:before="0" w:beforeAutospacing="0" w:after="0" w:afterAutospacing="0" w:line="240" w:lineRule="auto"/>
        <w:jc w:val="both"/>
        <w:textAlignment w:val="baseline"/>
        <w:rPr>
          <w:rFonts w:hint="eastAsia" w:ascii="宋体" w:hAnsi="宋体" w:eastAsia="宋体" w:cs="宋体"/>
          <w:b/>
          <w:i w:val="0"/>
          <w:caps w:val="0"/>
          <w:color w:val="FF0000"/>
          <w:spacing w:val="0"/>
          <w:w w:val="100"/>
          <w:sz w:val="28"/>
          <w:szCs w:val="28"/>
          <w:highlight w:val="none"/>
        </w:rPr>
      </w:pPr>
    </w:p>
    <w:p w14:paraId="4C33F4C4">
      <w:pPr>
        <w:jc w:val="center"/>
        <w:rPr>
          <w:rFonts w:hint="eastAsia" w:ascii="宋体" w:hAnsi="宋体" w:eastAsia="宋体" w:cs="宋体"/>
          <w:color w:val="FF0000"/>
          <w:sz w:val="72"/>
          <w:highlight w:val="none"/>
        </w:rPr>
      </w:pPr>
      <w:bookmarkStart w:id="52" w:name="_Toc24687"/>
    </w:p>
    <w:p w14:paraId="5B4ECFED">
      <w:pPr>
        <w:jc w:val="center"/>
        <w:rPr>
          <w:rFonts w:hint="eastAsia" w:ascii="宋体" w:hAnsi="宋体" w:eastAsia="宋体" w:cs="宋体"/>
          <w:color w:val="FF0000"/>
          <w:sz w:val="72"/>
          <w:highlight w:val="none"/>
        </w:rPr>
      </w:pPr>
    </w:p>
    <w:p w14:paraId="04886E6A">
      <w:pPr>
        <w:jc w:val="center"/>
        <w:rPr>
          <w:rFonts w:hint="eastAsia" w:ascii="宋体" w:hAnsi="宋体" w:eastAsia="宋体" w:cs="宋体"/>
          <w:color w:val="FF0000"/>
          <w:sz w:val="72"/>
          <w:highlight w:val="none"/>
        </w:rPr>
      </w:pPr>
      <w:r>
        <w:rPr>
          <w:rFonts w:hint="eastAsia" w:ascii="宋体" w:hAnsi="宋体" w:eastAsia="宋体" w:cs="宋体"/>
          <w:color w:val="FF0000"/>
          <w:sz w:val="72"/>
          <w:highlight w:val="none"/>
        </w:rPr>
        <w:t>政府采购合同</w:t>
      </w:r>
    </w:p>
    <w:p w14:paraId="3A42579F">
      <w:pPr>
        <w:ind w:firstLine="315"/>
        <w:rPr>
          <w:rFonts w:hint="eastAsia" w:ascii="宋体" w:hAnsi="宋体" w:eastAsia="宋体" w:cs="宋体"/>
          <w:color w:val="FF0000"/>
          <w:sz w:val="32"/>
          <w:highlight w:val="none"/>
        </w:rPr>
      </w:pPr>
      <w:r>
        <w:rPr>
          <w:rFonts w:hint="eastAsia" w:ascii="宋体" w:hAnsi="宋体" w:eastAsia="宋体" w:cs="宋体"/>
          <w:b/>
          <w:color w:val="FF0000"/>
          <w:sz w:val="32"/>
          <w:highlight w:val="none"/>
        </w:rPr>
        <w:t xml:space="preserve">            </w:t>
      </w:r>
      <w:r>
        <w:rPr>
          <w:rFonts w:hint="eastAsia" w:ascii="宋体" w:hAnsi="宋体" w:eastAsia="宋体" w:cs="宋体"/>
          <w:color w:val="FF0000"/>
          <w:sz w:val="32"/>
          <w:highlight w:val="none"/>
        </w:rPr>
        <w:t xml:space="preserve">  </w:t>
      </w:r>
    </w:p>
    <w:p w14:paraId="3B46F2DF">
      <w:pPr>
        <w:ind w:firstLine="315"/>
        <w:rPr>
          <w:rFonts w:hint="eastAsia" w:ascii="宋体" w:hAnsi="宋体" w:eastAsia="宋体" w:cs="宋体"/>
          <w:color w:val="FF0000"/>
          <w:sz w:val="32"/>
          <w:highlight w:val="none"/>
        </w:rPr>
      </w:pPr>
    </w:p>
    <w:p w14:paraId="0B4599E1">
      <w:pPr>
        <w:rPr>
          <w:rFonts w:hint="eastAsia" w:ascii="宋体" w:hAnsi="宋体" w:eastAsia="宋体" w:cs="宋体"/>
          <w:b/>
          <w:color w:val="FF0000"/>
          <w:sz w:val="28"/>
          <w:szCs w:val="28"/>
          <w:highlight w:val="none"/>
        </w:rPr>
      </w:pPr>
    </w:p>
    <w:p w14:paraId="289C4360">
      <w:pPr>
        <w:rPr>
          <w:rFonts w:hint="eastAsia" w:ascii="宋体" w:hAnsi="宋体" w:eastAsia="宋体" w:cs="宋体"/>
          <w:b/>
          <w:color w:val="FF0000"/>
          <w:sz w:val="28"/>
          <w:szCs w:val="28"/>
          <w:highlight w:val="none"/>
        </w:rPr>
      </w:pPr>
    </w:p>
    <w:p w14:paraId="288F8CAA">
      <w:pPr>
        <w:rPr>
          <w:rFonts w:hint="eastAsia" w:ascii="宋体" w:hAnsi="宋体" w:eastAsia="宋体" w:cs="宋体"/>
          <w:b/>
          <w:color w:val="FF0000"/>
          <w:sz w:val="28"/>
          <w:szCs w:val="28"/>
          <w:highlight w:val="none"/>
        </w:rPr>
      </w:pPr>
    </w:p>
    <w:p w14:paraId="27B81BAE">
      <w:pPr>
        <w:pStyle w:val="4"/>
        <w:rPr>
          <w:rFonts w:hint="eastAsia" w:ascii="宋体" w:hAnsi="宋体" w:eastAsia="宋体" w:cs="宋体"/>
          <w:color w:val="FF0000"/>
          <w:highlight w:val="none"/>
        </w:rPr>
      </w:pPr>
    </w:p>
    <w:p w14:paraId="059807AC">
      <w:pPr>
        <w:pStyle w:val="4"/>
        <w:rPr>
          <w:rFonts w:hint="eastAsia" w:ascii="宋体" w:hAnsi="宋体" w:eastAsia="宋体" w:cs="宋体"/>
          <w:color w:val="FF0000"/>
          <w:highlight w:val="none"/>
        </w:rPr>
      </w:pPr>
    </w:p>
    <w:p w14:paraId="4B0D9B97">
      <w:pPr>
        <w:pStyle w:val="4"/>
        <w:ind w:left="0" w:leftChars="0" w:firstLine="0" w:firstLineChars="0"/>
        <w:rPr>
          <w:rFonts w:hint="eastAsia" w:ascii="宋体" w:hAnsi="宋体" w:eastAsia="宋体" w:cs="宋体"/>
          <w:color w:val="FF0000"/>
          <w:highlight w:val="none"/>
        </w:rPr>
      </w:pPr>
    </w:p>
    <w:p w14:paraId="3526646F">
      <w:pPr>
        <w:pStyle w:val="4"/>
        <w:rPr>
          <w:rFonts w:hint="eastAsia" w:ascii="宋体" w:hAnsi="宋体" w:eastAsia="宋体" w:cs="宋体"/>
          <w:color w:val="FF0000"/>
          <w:highlight w:val="none"/>
        </w:rPr>
      </w:pPr>
    </w:p>
    <w:p w14:paraId="7984526F">
      <w:pPr>
        <w:pStyle w:val="4"/>
        <w:rPr>
          <w:rFonts w:hint="eastAsia" w:ascii="宋体" w:hAnsi="宋体" w:eastAsia="宋体" w:cs="宋体"/>
          <w:color w:val="FF0000"/>
          <w:highlight w:val="none"/>
        </w:rPr>
      </w:pPr>
    </w:p>
    <w:p w14:paraId="38BA2F94">
      <w:pPr>
        <w:pStyle w:val="4"/>
        <w:rPr>
          <w:rFonts w:hint="eastAsia" w:ascii="宋体" w:hAnsi="宋体" w:eastAsia="宋体" w:cs="宋体"/>
          <w:color w:val="FF0000"/>
          <w:highlight w:val="none"/>
        </w:rPr>
      </w:pPr>
    </w:p>
    <w:p w14:paraId="3C21CB06">
      <w:pPr>
        <w:spacing w:line="480" w:lineRule="auto"/>
        <w:ind w:leftChars="700"/>
        <w:jc w:val="both"/>
        <w:rPr>
          <w:rFonts w:hint="eastAsia" w:ascii="宋体" w:hAnsi="宋体" w:eastAsia="宋体" w:cs="宋体"/>
          <w:b/>
          <w:color w:val="FF0000"/>
          <w:sz w:val="28"/>
          <w:szCs w:val="28"/>
          <w:highlight w:val="none"/>
          <w:u w:val="single"/>
        </w:rPr>
      </w:pPr>
      <w:r>
        <w:rPr>
          <w:rFonts w:hint="eastAsia" w:ascii="宋体" w:hAnsi="宋体" w:eastAsia="宋体" w:cs="宋体"/>
          <w:b/>
          <w:color w:val="FF0000"/>
          <w:sz w:val="28"/>
          <w:szCs w:val="28"/>
          <w:highlight w:val="none"/>
        </w:rPr>
        <w:t>合同编号 ：</w:t>
      </w:r>
      <w:r>
        <w:rPr>
          <w:rFonts w:hint="eastAsia" w:ascii="宋体" w:hAnsi="宋体" w:eastAsia="宋体" w:cs="宋体"/>
          <w:b/>
          <w:color w:val="FF0000"/>
          <w:sz w:val="28"/>
          <w:szCs w:val="28"/>
          <w:highlight w:val="none"/>
          <w:u w:val="single"/>
        </w:rPr>
        <w:t xml:space="preserve">                  </w:t>
      </w:r>
    </w:p>
    <w:p w14:paraId="3ED60AA8">
      <w:pPr>
        <w:spacing w:line="480" w:lineRule="auto"/>
        <w:ind w:leftChars="700"/>
        <w:jc w:val="both"/>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t>项目名称 ：</w:t>
      </w:r>
      <w:r>
        <w:rPr>
          <w:rFonts w:hint="eastAsia" w:ascii="宋体" w:hAnsi="宋体" w:eastAsia="宋体" w:cs="宋体"/>
          <w:b/>
          <w:color w:val="FF0000"/>
          <w:sz w:val="28"/>
          <w:szCs w:val="28"/>
          <w:highlight w:val="none"/>
          <w:u w:val="single"/>
        </w:rPr>
        <w:t xml:space="preserve">                 </w:t>
      </w:r>
    </w:p>
    <w:p w14:paraId="5F887513">
      <w:pPr>
        <w:spacing w:line="480" w:lineRule="auto"/>
        <w:ind w:leftChars="700"/>
        <w:jc w:val="both"/>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lang w:val="en-US" w:eastAsia="zh-CN"/>
        </w:rPr>
        <w:t>成交</w:t>
      </w:r>
      <w:r>
        <w:rPr>
          <w:rFonts w:hint="eastAsia" w:ascii="宋体" w:hAnsi="宋体" w:eastAsia="宋体" w:cs="宋体"/>
          <w:b/>
          <w:color w:val="FF0000"/>
          <w:sz w:val="28"/>
          <w:szCs w:val="28"/>
          <w:highlight w:val="none"/>
        </w:rPr>
        <w:t>单位 ：</w:t>
      </w:r>
      <w:r>
        <w:rPr>
          <w:rFonts w:hint="eastAsia" w:ascii="宋体" w:hAnsi="宋体" w:eastAsia="宋体" w:cs="宋体"/>
          <w:b/>
          <w:color w:val="FF0000"/>
          <w:sz w:val="28"/>
          <w:szCs w:val="28"/>
          <w:highlight w:val="none"/>
          <w:u w:val="single"/>
        </w:rPr>
        <w:t xml:space="preserve">                  </w:t>
      </w:r>
    </w:p>
    <w:p w14:paraId="4710E217">
      <w:pPr>
        <w:spacing w:line="480" w:lineRule="auto"/>
        <w:ind w:leftChars="700"/>
        <w:jc w:val="both"/>
        <w:rPr>
          <w:rFonts w:hint="eastAsia" w:ascii="宋体" w:hAnsi="宋体" w:eastAsia="宋体" w:cs="宋体"/>
          <w:b/>
          <w:color w:val="FF0000"/>
          <w:sz w:val="36"/>
          <w:highlight w:val="none"/>
        </w:rPr>
      </w:pPr>
      <w:r>
        <w:rPr>
          <w:rFonts w:hint="eastAsia" w:ascii="宋体" w:hAnsi="宋体" w:eastAsia="宋体" w:cs="宋体"/>
          <w:b/>
          <w:color w:val="FF0000"/>
          <w:sz w:val="28"/>
          <w:szCs w:val="28"/>
          <w:highlight w:val="none"/>
        </w:rPr>
        <w:t>签订日期 ：</w:t>
      </w:r>
      <w:r>
        <w:rPr>
          <w:rFonts w:hint="eastAsia" w:ascii="宋体" w:hAnsi="宋体" w:eastAsia="宋体" w:cs="宋体"/>
          <w:b/>
          <w:color w:val="FF0000"/>
          <w:sz w:val="28"/>
          <w:szCs w:val="28"/>
          <w:highlight w:val="none"/>
          <w:u w:val="single"/>
        </w:rPr>
        <w:t xml:space="preserve">                </w:t>
      </w:r>
      <w:r>
        <w:rPr>
          <w:rFonts w:hint="eastAsia" w:ascii="宋体" w:hAnsi="宋体" w:eastAsia="宋体" w:cs="宋体"/>
          <w:b/>
          <w:color w:val="FF0000"/>
          <w:sz w:val="36"/>
          <w:highlight w:val="none"/>
          <w:u w:val="single"/>
        </w:rPr>
        <w:t xml:space="preserve">  </w:t>
      </w:r>
    </w:p>
    <w:p w14:paraId="214B1D5E">
      <w:pPr>
        <w:rPr>
          <w:rFonts w:hint="eastAsia" w:ascii="宋体" w:hAnsi="宋体" w:eastAsia="宋体" w:cs="宋体"/>
          <w:color w:val="FF0000"/>
          <w:w w:val="105"/>
          <w:sz w:val="36"/>
          <w:highlight w:val="none"/>
        </w:rPr>
      </w:pPr>
      <w:r>
        <w:rPr>
          <w:rFonts w:hint="eastAsia" w:ascii="宋体" w:hAnsi="宋体" w:eastAsia="宋体" w:cs="宋体"/>
          <w:color w:val="FF0000"/>
          <w:w w:val="105"/>
          <w:sz w:val="36"/>
          <w:highlight w:val="none"/>
        </w:rPr>
        <w:t xml:space="preserve">       </w:t>
      </w:r>
    </w:p>
    <w:p w14:paraId="2B79B4DA">
      <w:pPr>
        <w:pStyle w:val="5"/>
        <w:rPr>
          <w:rFonts w:hint="eastAsia" w:ascii="宋体" w:hAnsi="宋体" w:eastAsia="宋体" w:cs="宋体"/>
          <w:color w:val="FF0000"/>
          <w:w w:val="105"/>
          <w:sz w:val="36"/>
          <w:highlight w:val="none"/>
        </w:rPr>
      </w:pPr>
    </w:p>
    <w:p w14:paraId="07F7885D">
      <w:pPr>
        <w:spacing w:line="360" w:lineRule="auto"/>
        <w:jc w:val="both"/>
        <w:rPr>
          <w:rFonts w:hint="eastAsia" w:ascii="宋体" w:hAnsi="宋体" w:eastAsia="宋体" w:cs="宋体"/>
          <w:b/>
          <w:color w:val="FF0000"/>
          <w:sz w:val="21"/>
          <w:szCs w:val="21"/>
          <w:highlight w:val="none"/>
        </w:rPr>
      </w:pPr>
    </w:p>
    <w:p w14:paraId="7FF3A29C">
      <w:pPr>
        <w:spacing w:line="360" w:lineRule="auto"/>
        <w:jc w:val="both"/>
        <w:rPr>
          <w:rFonts w:hint="eastAsia" w:ascii="宋体" w:hAnsi="宋体" w:eastAsia="宋体" w:cs="宋体"/>
          <w:b/>
          <w:color w:val="FF0000"/>
          <w:sz w:val="21"/>
          <w:szCs w:val="21"/>
          <w:highlight w:val="none"/>
        </w:rPr>
      </w:pPr>
    </w:p>
    <w:p w14:paraId="3D829F18">
      <w:pPr>
        <w:spacing w:line="360" w:lineRule="auto"/>
        <w:jc w:val="both"/>
        <w:rPr>
          <w:rFonts w:hint="eastAsia" w:ascii="宋体" w:hAnsi="宋体" w:eastAsia="宋体" w:cs="宋体"/>
          <w:b/>
          <w:color w:val="FF0000"/>
          <w:sz w:val="21"/>
          <w:szCs w:val="21"/>
          <w:highlight w:val="none"/>
        </w:rPr>
      </w:pPr>
    </w:p>
    <w:p w14:paraId="74D5D2BD">
      <w:pPr>
        <w:spacing w:line="360" w:lineRule="auto"/>
        <w:jc w:val="both"/>
        <w:rPr>
          <w:rFonts w:hint="eastAsia" w:ascii="宋体" w:hAnsi="宋体" w:eastAsia="宋体" w:cs="宋体"/>
          <w:b/>
          <w:color w:val="FF0000"/>
          <w:sz w:val="21"/>
          <w:szCs w:val="21"/>
          <w:highlight w:val="none"/>
        </w:rPr>
      </w:pPr>
    </w:p>
    <w:p w14:paraId="1FC75CA2">
      <w:pPr>
        <w:spacing w:line="360" w:lineRule="auto"/>
        <w:jc w:val="both"/>
        <w:rPr>
          <w:rFonts w:hint="eastAsia" w:ascii="宋体" w:hAnsi="宋体" w:eastAsia="宋体" w:cs="宋体"/>
          <w:b/>
          <w:color w:val="FF0000"/>
          <w:sz w:val="21"/>
          <w:szCs w:val="21"/>
          <w:highlight w:val="none"/>
        </w:rPr>
      </w:pPr>
    </w:p>
    <w:p w14:paraId="6CE7347D">
      <w:pPr>
        <w:spacing w:line="360" w:lineRule="auto"/>
        <w:jc w:val="both"/>
        <w:rPr>
          <w:rFonts w:hint="eastAsia" w:ascii="宋体" w:hAnsi="宋体" w:eastAsia="宋体" w:cs="宋体"/>
          <w:b/>
          <w:color w:val="FF0000"/>
          <w:sz w:val="21"/>
          <w:szCs w:val="21"/>
          <w:highlight w:val="none"/>
        </w:rPr>
      </w:pPr>
    </w:p>
    <w:p w14:paraId="48F96F28">
      <w:pPr>
        <w:spacing w:line="240" w:lineRule="auto"/>
        <w:jc w:val="center"/>
        <w:rPr>
          <w:rFonts w:hint="eastAsia" w:ascii="宋体" w:hAnsi="宋体" w:eastAsia="宋体" w:cs="宋体"/>
          <w:b/>
          <w:color w:val="FF0000"/>
          <w:sz w:val="21"/>
          <w:szCs w:val="21"/>
          <w:highlight w:val="none"/>
        </w:rPr>
      </w:pPr>
      <w:r>
        <w:rPr>
          <w:rFonts w:hint="eastAsia" w:ascii="宋体" w:hAnsi="宋体" w:eastAsia="宋体" w:cs="宋体"/>
          <w:b/>
          <w:color w:val="FF0000"/>
          <w:sz w:val="21"/>
          <w:szCs w:val="21"/>
          <w:highlight w:val="none"/>
        </w:rPr>
        <w:t>政府采购合同格式</w:t>
      </w:r>
    </w:p>
    <w:p w14:paraId="668289AF">
      <w:pPr>
        <w:pStyle w:val="7"/>
        <w:snapToGrid w:val="0"/>
        <w:spacing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签订地点：                                        </w:t>
      </w:r>
    </w:p>
    <w:p w14:paraId="1E30CD8B">
      <w:pPr>
        <w:pStyle w:val="7"/>
        <w:snapToGrid w:val="0"/>
        <w:spacing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签订时间： </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rPr>
        <w:t xml:space="preserve">日                                        </w:t>
      </w:r>
    </w:p>
    <w:p w14:paraId="6236E4AA">
      <w:pPr>
        <w:pStyle w:val="7"/>
        <w:snapToGrid w:val="0"/>
        <w:spacing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采购人（甲方）： </w:t>
      </w:r>
      <w:r>
        <w:rPr>
          <w:rFonts w:hint="eastAsia" w:ascii="宋体" w:hAnsi="宋体" w:eastAsia="宋体" w:cs="宋体"/>
          <w:color w:val="FF0000"/>
          <w:sz w:val="28"/>
          <w:szCs w:val="28"/>
          <w:lang w:eastAsia="zh-CN"/>
        </w:rPr>
        <w:t>榆林市农业宣传信息中心</w:t>
      </w:r>
      <w:r>
        <w:rPr>
          <w:rFonts w:hint="eastAsia" w:ascii="宋体" w:hAnsi="宋体" w:eastAsia="宋体" w:cs="宋体"/>
          <w:color w:val="FF0000"/>
          <w:sz w:val="28"/>
          <w:szCs w:val="28"/>
        </w:rPr>
        <w:t xml:space="preserve">                                                             </w:t>
      </w:r>
    </w:p>
    <w:p w14:paraId="084501DA">
      <w:pPr>
        <w:pStyle w:val="7"/>
        <w:snapToGrid w:val="0"/>
        <w:spacing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供应商（乙方）：                                                               </w:t>
      </w:r>
    </w:p>
    <w:p w14:paraId="75E76D9D">
      <w:pPr>
        <w:pStyle w:val="7"/>
        <w:snapToGrid w:val="0"/>
        <w:spacing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根据《中华人民共和国政府采购法》、《中华人民共和国</w:t>
      </w:r>
      <w:r>
        <w:rPr>
          <w:rFonts w:hint="eastAsia" w:ascii="宋体" w:hAnsi="宋体" w:eastAsia="宋体" w:cs="宋体"/>
          <w:color w:val="FF0000"/>
          <w:sz w:val="28"/>
          <w:szCs w:val="28"/>
          <w:lang w:val="en-US" w:eastAsia="zh-CN"/>
        </w:rPr>
        <w:t>民法典</w:t>
      </w:r>
      <w:r>
        <w:rPr>
          <w:rFonts w:hint="eastAsia" w:ascii="宋体" w:hAnsi="宋体" w:eastAsia="宋体" w:cs="宋体"/>
          <w:color w:val="FF0000"/>
          <w:sz w:val="28"/>
          <w:szCs w:val="28"/>
        </w:rPr>
        <w:t>》及 采购项目（</w:t>
      </w:r>
      <w:r>
        <w:rPr>
          <w:rFonts w:hint="eastAsia" w:ascii="宋体" w:hAnsi="宋体" w:eastAsia="宋体" w:cs="宋体"/>
          <w:color w:val="FF0000"/>
          <w:sz w:val="28"/>
          <w:szCs w:val="28"/>
          <w:lang w:eastAsia="zh-CN"/>
        </w:rPr>
        <w:t>招标编号</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rPr>
        <w:t>）的《</w:t>
      </w:r>
      <w:r>
        <w:rPr>
          <w:rFonts w:hint="eastAsia" w:ascii="宋体" w:hAnsi="宋体" w:eastAsia="宋体" w:cs="宋体"/>
          <w:color w:val="FF0000"/>
          <w:sz w:val="28"/>
          <w:szCs w:val="28"/>
          <w:lang w:eastAsia="zh-CN"/>
        </w:rPr>
        <w:t>招标</w:t>
      </w:r>
      <w:r>
        <w:rPr>
          <w:rFonts w:hint="eastAsia" w:ascii="宋体" w:hAnsi="宋体" w:eastAsia="宋体" w:cs="宋体"/>
          <w:color w:val="FF0000"/>
          <w:sz w:val="28"/>
          <w:szCs w:val="28"/>
        </w:rPr>
        <w:t>文件》、乙方的《</w:t>
      </w:r>
      <w:r>
        <w:rPr>
          <w:rFonts w:hint="eastAsia" w:ascii="宋体" w:hAnsi="宋体" w:eastAsia="宋体" w:cs="宋体"/>
          <w:color w:val="FF0000"/>
          <w:sz w:val="28"/>
          <w:szCs w:val="28"/>
          <w:lang w:eastAsia="zh-CN"/>
        </w:rPr>
        <w:t>投标</w:t>
      </w:r>
      <w:r>
        <w:rPr>
          <w:rFonts w:hint="eastAsia" w:ascii="宋体" w:hAnsi="宋体" w:eastAsia="宋体" w:cs="宋体"/>
          <w:color w:val="FF0000"/>
          <w:sz w:val="28"/>
          <w:szCs w:val="28"/>
        </w:rPr>
        <w:t>文件》及《</w:t>
      </w:r>
      <w:r>
        <w:rPr>
          <w:rFonts w:hint="eastAsia" w:ascii="宋体" w:hAnsi="宋体" w:eastAsia="宋体" w:cs="宋体"/>
          <w:color w:val="FF0000"/>
          <w:sz w:val="28"/>
          <w:szCs w:val="28"/>
          <w:lang w:eastAsia="zh-CN"/>
        </w:rPr>
        <w:t>中标</w:t>
      </w:r>
      <w:r>
        <w:rPr>
          <w:rFonts w:hint="eastAsia" w:ascii="宋体" w:hAnsi="宋体" w:eastAsia="宋体" w:cs="宋体"/>
          <w:color w:val="FF0000"/>
          <w:sz w:val="28"/>
          <w:szCs w:val="28"/>
        </w:rPr>
        <w:t>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5CDC2DE9">
      <w:pPr>
        <w:numPr>
          <w:ilvl w:val="0"/>
          <w:numId w:val="3"/>
        </w:numPr>
        <w:tabs>
          <w:tab w:val="left" w:pos="735"/>
        </w:tabs>
        <w:autoSpaceDE w:val="0"/>
        <w:autoSpaceDN w:val="0"/>
        <w:adjustRightInd w:val="0"/>
        <w:snapToGrid w:val="0"/>
        <w:spacing w:line="240" w:lineRule="auto"/>
        <w:ind w:firstLine="562" w:firstLineChars="200"/>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zh-CN"/>
        </w:rPr>
        <w:t>合同内容:</w:t>
      </w:r>
      <w:r>
        <w:rPr>
          <w:rFonts w:hint="eastAsia" w:ascii="宋体" w:hAnsi="宋体" w:eastAsia="宋体" w:cs="宋体"/>
          <w:b/>
          <w:bCs/>
          <w:color w:val="FF0000"/>
          <w:sz w:val="28"/>
          <w:szCs w:val="28"/>
          <w:u w:val="single"/>
          <w:lang w:val="en-US" w:eastAsia="zh-CN"/>
        </w:rPr>
        <w:t xml:space="preserve">                  </w:t>
      </w:r>
      <w:r>
        <w:rPr>
          <w:rFonts w:hint="eastAsia" w:ascii="宋体" w:hAnsi="宋体" w:eastAsia="宋体" w:cs="宋体"/>
          <w:b w:val="0"/>
          <w:bCs w:val="0"/>
          <w:color w:val="FF0000"/>
          <w:sz w:val="28"/>
          <w:szCs w:val="28"/>
          <w:lang w:val="en-US" w:eastAsia="zh-CN"/>
        </w:rPr>
        <w:t>。</w:t>
      </w:r>
    </w:p>
    <w:p w14:paraId="5C376591">
      <w:pPr>
        <w:numPr>
          <w:ilvl w:val="0"/>
          <w:numId w:val="0"/>
        </w:numPr>
        <w:tabs>
          <w:tab w:val="left" w:pos="735"/>
        </w:tabs>
        <w:autoSpaceDE w:val="0"/>
        <w:autoSpaceDN w:val="0"/>
        <w:adjustRightInd w:val="0"/>
        <w:snapToGrid w:val="0"/>
        <w:spacing w:line="240" w:lineRule="auto"/>
        <w:ind w:firstLine="562" w:firstLineChars="200"/>
        <w:rPr>
          <w:rFonts w:hint="eastAsia" w:ascii="宋体" w:hAnsi="宋体" w:eastAsia="宋体" w:cs="宋体"/>
          <w:color w:val="FF0000"/>
          <w:sz w:val="28"/>
          <w:szCs w:val="28"/>
        </w:rPr>
      </w:pPr>
      <w:r>
        <w:rPr>
          <w:rFonts w:hint="eastAsia" w:ascii="宋体" w:hAnsi="宋体" w:eastAsia="宋体" w:cs="宋体"/>
          <w:b/>
          <w:color w:val="FF0000"/>
          <w:sz w:val="28"/>
          <w:szCs w:val="28"/>
        </w:rPr>
        <w:t>二、合同价款</w:t>
      </w:r>
    </w:p>
    <w:p w14:paraId="467A045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560" w:firstLineChars="200"/>
        <w:jc w:val="both"/>
        <w:textAlignment w:val="auto"/>
        <w:outlineLvl w:val="9"/>
        <w:rPr>
          <w:rFonts w:hint="eastAsia" w:ascii="宋体" w:hAnsi="宋体" w:eastAsia="宋体" w:cs="宋体"/>
          <w:color w:val="FF0000"/>
          <w:kern w:val="0"/>
          <w:sz w:val="28"/>
          <w:szCs w:val="28"/>
          <w:u w:val="single"/>
        </w:rPr>
      </w:pPr>
      <w:r>
        <w:rPr>
          <w:rFonts w:hint="eastAsia" w:ascii="宋体" w:hAnsi="宋体" w:eastAsia="宋体" w:cs="宋体"/>
          <w:color w:val="FF0000"/>
          <w:sz w:val="28"/>
          <w:szCs w:val="28"/>
          <w:lang w:val="en-US" w:eastAsia="zh-CN"/>
        </w:rPr>
        <w:t>1</w:t>
      </w:r>
      <w:r>
        <w:rPr>
          <w:rFonts w:hint="eastAsia" w:ascii="宋体" w:hAnsi="宋体" w:eastAsia="宋体" w:cs="宋体"/>
          <w:color w:val="FF0000"/>
          <w:sz w:val="28"/>
          <w:szCs w:val="28"/>
        </w:rPr>
        <w:t>、合同总价包括：包括设备费、运杂费（含装卸、保险费）、线材辅料费、安装配件费、施工费、安装调试费、保险费、税费等其它相关的所有费用。</w:t>
      </w:r>
    </w:p>
    <w:p w14:paraId="6179A27C">
      <w:pPr>
        <w:keepNext w:val="0"/>
        <w:keepLines w:val="0"/>
        <w:pageBreakBefore w:val="0"/>
        <w:widowControl w:val="0"/>
        <w:tabs>
          <w:tab w:val="left" w:pos="735"/>
        </w:tabs>
        <w:kinsoku/>
        <w:wordWrap/>
        <w:overflowPunct/>
        <w:topLinePunct w:val="0"/>
        <w:bidi w:val="0"/>
        <w:adjustRightInd w:val="0"/>
        <w:snapToGrid w:val="0"/>
        <w:spacing w:line="240" w:lineRule="auto"/>
        <w:ind w:left="0" w:leftChars="0" w:right="0" w:rightChars="0" w:firstLine="588" w:firstLineChars="210"/>
        <w:jc w:val="both"/>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、合同总价一次包死，不受市场价变化的影响。</w:t>
      </w:r>
    </w:p>
    <w:p w14:paraId="2507F006">
      <w:pPr>
        <w:keepNext w:val="0"/>
        <w:keepLines w:val="0"/>
        <w:pageBreakBefore w:val="0"/>
        <w:widowControl w:val="0"/>
        <w:tabs>
          <w:tab w:val="left" w:pos="735"/>
        </w:tabs>
        <w:kinsoku/>
        <w:wordWrap/>
        <w:overflowPunct/>
        <w:topLinePunct w:val="0"/>
        <w:bidi w:val="0"/>
        <w:adjustRightInd w:val="0"/>
        <w:snapToGrid w:val="0"/>
        <w:spacing w:line="240" w:lineRule="auto"/>
        <w:ind w:left="0" w:leftChars="0" w:right="0" w:rightChars="0" w:firstLine="590" w:firstLineChars="210"/>
        <w:jc w:val="both"/>
        <w:textAlignment w:val="auto"/>
        <w:rPr>
          <w:rFonts w:hint="eastAsia" w:ascii="宋体" w:hAnsi="宋体" w:eastAsia="宋体" w:cs="宋体"/>
          <w:b/>
          <w:color w:val="FF0000"/>
          <w:sz w:val="28"/>
          <w:szCs w:val="28"/>
        </w:rPr>
      </w:pPr>
      <w:r>
        <w:rPr>
          <w:rFonts w:hint="eastAsia" w:ascii="宋体" w:hAnsi="宋体" w:eastAsia="宋体" w:cs="宋体"/>
          <w:b/>
          <w:color w:val="FF0000"/>
          <w:sz w:val="28"/>
          <w:szCs w:val="28"/>
        </w:rPr>
        <w:t>三、合同结算</w:t>
      </w:r>
    </w:p>
    <w:p w14:paraId="0806097E">
      <w:pPr>
        <w:keepNext w:val="0"/>
        <w:keepLines w:val="0"/>
        <w:pageBreakBefore w:val="0"/>
        <w:widowControl w:val="0"/>
        <w:tabs>
          <w:tab w:val="left" w:pos="735"/>
        </w:tabs>
        <w:kinsoku/>
        <w:wordWrap/>
        <w:overflowPunct/>
        <w:topLinePunct w:val="0"/>
        <w:autoSpaceDE w:val="0"/>
        <w:autoSpaceDN w:val="0"/>
        <w:bidi w:val="0"/>
        <w:adjustRightInd w:val="0"/>
        <w:snapToGrid w:val="0"/>
        <w:spacing w:line="240" w:lineRule="auto"/>
        <w:ind w:left="0" w:leftChars="0" w:right="0" w:rightChars="0" w:firstLine="631"/>
        <w:jc w:val="both"/>
        <w:textAlignment w:val="auto"/>
        <w:rPr>
          <w:rFonts w:hint="eastAsia" w:ascii="宋体" w:hAnsi="宋体" w:eastAsia="宋体" w:cs="宋体"/>
          <w:color w:val="FF0000"/>
          <w:sz w:val="28"/>
          <w:szCs w:val="28"/>
          <w:lang w:eastAsia="zh-CN"/>
        </w:rPr>
      </w:pPr>
      <w:r>
        <w:rPr>
          <w:rFonts w:hint="eastAsia" w:ascii="宋体" w:hAnsi="宋体" w:eastAsia="宋体" w:cs="宋体"/>
          <w:bCs/>
          <w:color w:val="FF0000"/>
          <w:sz w:val="28"/>
          <w:szCs w:val="28"/>
          <w:lang w:val="zh-CN"/>
        </w:rPr>
        <w:t>1、付款方式：</w:t>
      </w:r>
      <w:r>
        <w:rPr>
          <w:rFonts w:hint="eastAsia" w:ascii="宋体" w:hAnsi="宋体" w:eastAsia="宋体" w:cs="宋体"/>
          <w:bCs/>
          <w:color w:val="FF0000"/>
          <w:sz w:val="28"/>
          <w:szCs w:val="28"/>
          <w:lang w:val="zh-CN" w:eastAsia="zh-CN"/>
        </w:rPr>
        <w:t>合同签订后支付合同价款总额的40%，完成本项目供货、安装、试运行并验收合格后一次性付清剩余合同价款</w:t>
      </w:r>
      <w:r>
        <w:rPr>
          <w:rFonts w:hint="eastAsia" w:ascii="宋体" w:hAnsi="宋体" w:eastAsia="宋体" w:cs="宋体"/>
          <w:color w:val="FF0000"/>
          <w:sz w:val="28"/>
          <w:szCs w:val="28"/>
          <w:lang w:eastAsia="zh-CN"/>
        </w:rPr>
        <w:t>。</w:t>
      </w:r>
    </w:p>
    <w:p w14:paraId="412B2A53">
      <w:pPr>
        <w:keepNext w:val="0"/>
        <w:keepLines w:val="0"/>
        <w:pageBreakBefore w:val="0"/>
        <w:widowControl w:val="0"/>
        <w:tabs>
          <w:tab w:val="left" w:pos="735"/>
        </w:tabs>
        <w:kinsoku/>
        <w:wordWrap/>
        <w:overflowPunct/>
        <w:topLinePunct w:val="0"/>
        <w:autoSpaceDE w:val="0"/>
        <w:autoSpaceDN w:val="0"/>
        <w:bidi w:val="0"/>
        <w:adjustRightInd w:val="0"/>
        <w:snapToGrid w:val="0"/>
        <w:spacing w:line="240" w:lineRule="auto"/>
        <w:ind w:left="0" w:leftChars="0" w:right="0" w:rightChars="0" w:firstLine="631"/>
        <w:jc w:val="both"/>
        <w:textAlignment w:val="auto"/>
        <w:rPr>
          <w:rFonts w:hint="eastAsia" w:ascii="宋体" w:hAnsi="宋体" w:eastAsia="宋体" w:cs="宋体"/>
          <w:bCs/>
          <w:color w:val="FF0000"/>
          <w:sz w:val="28"/>
          <w:szCs w:val="28"/>
          <w:lang w:val="en-US" w:eastAsia="zh-CN"/>
        </w:rPr>
      </w:pPr>
      <w:r>
        <w:rPr>
          <w:rFonts w:hint="eastAsia" w:ascii="宋体" w:hAnsi="宋体" w:eastAsia="宋体" w:cs="宋体"/>
          <w:bCs/>
          <w:color w:val="FF0000"/>
          <w:sz w:val="28"/>
          <w:szCs w:val="28"/>
          <w:lang w:val="zh-CN"/>
        </w:rPr>
        <w:t>2、结算方式：银行转账。</w:t>
      </w:r>
      <w:r>
        <w:rPr>
          <w:rFonts w:hint="eastAsia" w:ascii="宋体" w:hAnsi="宋体" w:eastAsia="宋体" w:cs="宋体"/>
          <w:bCs/>
          <w:color w:val="FF0000"/>
          <w:sz w:val="28"/>
          <w:szCs w:val="28"/>
          <w:lang w:val="zh-CN" w:eastAsia="zh-CN"/>
        </w:rPr>
        <w:t>合同签订后支付合同价款总额的40%，完成本项目供货、安装、试运行并验收合格后一次性付清剩余合同价款</w:t>
      </w:r>
      <w:r>
        <w:rPr>
          <w:rFonts w:hint="eastAsia" w:ascii="宋体" w:hAnsi="宋体" w:eastAsia="宋体" w:cs="宋体"/>
          <w:bCs/>
          <w:color w:val="FF0000"/>
          <w:sz w:val="28"/>
          <w:szCs w:val="28"/>
          <w:lang w:val="en-US" w:eastAsia="zh-CN"/>
        </w:rPr>
        <w:t>。</w:t>
      </w:r>
    </w:p>
    <w:p w14:paraId="790D1BF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645"/>
        <w:jc w:val="both"/>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3、结算单位：由</w:t>
      </w:r>
      <w:r>
        <w:rPr>
          <w:rFonts w:hint="eastAsia" w:ascii="宋体" w:hAnsi="宋体" w:eastAsia="宋体" w:cs="宋体"/>
          <w:color w:val="FF0000"/>
          <w:sz w:val="28"/>
          <w:szCs w:val="28"/>
          <w:u w:val="single"/>
        </w:rPr>
        <w:t>采购人</w:t>
      </w:r>
      <w:r>
        <w:rPr>
          <w:rFonts w:hint="eastAsia" w:ascii="宋体" w:hAnsi="宋体" w:eastAsia="宋体" w:cs="宋体"/>
          <w:color w:val="FF0000"/>
          <w:sz w:val="28"/>
          <w:szCs w:val="28"/>
        </w:rPr>
        <w:t>负责结算，乙方开具合同总价数的全额发票交采购人。</w:t>
      </w:r>
    </w:p>
    <w:p w14:paraId="37FE8A7B">
      <w:pPr>
        <w:keepNext w:val="0"/>
        <w:keepLines w:val="0"/>
        <w:pageBreakBefore w:val="0"/>
        <w:widowControl w:val="0"/>
        <w:tabs>
          <w:tab w:val="left" w:pos="735"/>
        </w:tabs>
        <w:kinsoku/>
        <w:wordWrap/>
        <w:overflowPunct/>
        <w:topLinePunct w:val="0"/>
        <w:autoSpaceDE w:val="0"/>
        <w:autoSpaceDN w:val="0"/>
        <w:bidi w:val="0"/>
        <w:adjustRightInd w:val="0"/>
        <w:snapToGrid w:val="0"/>
        <w:spacing w:line="240" w:lineRule="auto"/>
        <w:ind w:left="0" w:leftChars="0" w:right="0" w:rightChars="0" w:firstLine="631"/>
        <w:jc w:val="both"/>
        <w:textAlignment w:val="auto"/>
        <w:rPr>
          <w:rFonts w:hint="eastAsia" w:ascii="宋体" w:hAnsi="宋体" w:eastAsia="宋体" w:cs="宋体"/>
          <w:b/>
          <w:bCs/>
          <w:color w:val="FF0000"/>
          <w:sz w:val="28"/>
          <w:szCs w:val="28"/>
          <w:lang w:val="zh-CN"/>
        </w:rPr>
      </w:pPr>
      <w:r>
        <w:rPr>
          <w:rFonts w:hint="eastAsia" w:ascii="宋体" w:hAnsi="宋体" w:eastAsia="宋体" w:cs="宋体"/>
          <w:b/>
          <w:bCs/>
          <w:color w:val="FF0000"/>
          <w:sz w:val="28"/>
          <w:szCs w:val="28"/>
          <w:lang w:val="zh-CN"/>
        </w:rPr>
        <w:t>四、交货条件:</w:t>
      </w:r>
    </w:p>
    <w:p w14:paraId="031EF446">
      <w:pPr>
        <w:keepNext w:val="0"/>
        <w:keepLines w:val="0"/>
        <w:pageBreakBefore w:val="0"/>
        <w:widowControl w:val="0"/>
        <w:tabs>
          <w:tab w:val="left" w:pos="735"/>
        </w:tabs>
        <w:kinsoku/>
        <w:wordWrap/>
        <w:overflowPunct/>
        <w:topLinePunct w:val="0"/>
        <w:autoSpaceDE w:val="0"/>
        <w:autoSpaceDN w:val="0"/>
        <w:bidi w:val="0"/>
        <w:adjustRightInd w:val="0"/>
        <w:snapToGrid w:val="0"/>
        <w:spacing w:line="240" w:lineRule="auto"/>
        <w:ind w:left="0" w:leftChars="0" w:right="0" w:rightChars="0" w:firstLine="631"/>
        <w:jc w:val="both"/>
        <w:textAlignment w:val="auto"/>
        <w:rPr>
          <w:rFonts w:hint="eastAsia" w:ascii="宋体" w:hAnsi="宋体" w:eastAsia="宋体" w:cs="宋体"/>
          <w:bCs/>
          <w:color w:val="FF0000"/>
          <w:sz w:val="28"/>
          <w:szCs w:val="28"/>
          <w:lang w:val="zh-CN"/>
        </w:rPr>
      </w:pPr>
      <w:r>
        <w:rPr>
          <w:rFonts w:hint="eastAsia" w:ascii="宋体" w:hAnsi="宋体" w:eastAsia="宋体" w:cs="宋体"/>
          <w:bCs/>
          <w:color w:val="FF0000"/>
          <w:sz w:val="28"/>
          <w:szCs w:val="28"/>
          <w:lang w:val="zh-CN"/>
        </w:rPr>
        <w:t>1、交货地点：榆林市农业宣传信息中心</w:t>
      </w:r>
    </w:p>
    <w:p w14:paraId="08EFC776">
      <w:pPr>
        <w:keepNext w:val="0"/>
        <w:keepLines w:val="0"/>
        <w:pageBreakBefore w:val="0"/>
        <w:widowControl w:val="0"/>
        <w:tabs>
          <w:tab w:val="left" w:pos="735"/>
        </w:tabs>
        <w:kinsoku/>
        <w:wordWrap/>
        <w:overflowPunct/>
        <w:topLinePunct w:val="0"/>
        <w:autoSpaceDE w:val="0"/>
        <w:autoSpaceDN w:val="0"/>
        <w:bidi w:val="0"/>
        <w:adjustRightInd w:val="0"/>
        <w:snapToGrid w:val="0"/>
        <w:spacing w:line="240" w:lineRule="auto"/>
        <w:ind w:left="0" w:leftChars="0" w:right="0" w:rightChars="0" w:firstLine="631"/>
        <w:jc w:val="both"/>
        <w:textAlignment w:val="auto"/>
        <w:rPr>
          <w:rFonts w:hint="eastAsia" w:ascii="宋体" w:hAnsi="宋体" w:eastAsia="宋体" w:cs="宋体"/>
          <w:b/>
          <w:color w:val="FF0000"/>
          <w:sz w:val="28"/>
          <w:szCs w:val="28"/>
        </w:rPr>
      </w:pPr>
      <w:r>
        <w:rPr>
          <w:rFonts w:hint="eastAsia" w:ascii="宋体" w:hAnsi="宋体" w:eastAsia="宋体" w:cs="宋体"/>
          <w:bCs/>
          <w:color w:val="FF0000"/>
          <w:sz w:val="28"/>
          <w:szCs w:val="28"/>
          <w:lang w:val="zh-CN"/>
        </w:rPr>
        <w:t>2、交货期：</w:t>
      </w:r>
      <w:r>
        <w:rPr>
          <w:rFonts w:hint="eastAsia" w:ascii="宋体" w:hAnsi="宋体" w:eastAsia="宋体" w:cs="宋体"/>
          <w:bCs/>
          <w:color w:val="FF0000"/>
          <w:sz w:val="28"/>
          <w:szCs w:val="28"/>
          <w:lang w:val="zh-CN" w:eastAsia="zh-CN"/>
        </w:rPr>
        <w:t>合同签订后30日历日内完成供货、安装、调试并验收合格</w:t>
      </w:r>
      <w:r>
        <w:rPr>
          <w:rFonts w:hint="eastAsia" w:ascii="宋体" w:hAnsi="宋体" w:eastAsia="宋体" w:cs="宋体"/>
          <w:color w:val="FF0000"/>
          <w:sz w:val="28"/>
          <w:szCs w:val="28"/>
          <w:lang w:eastAsia="zh-CN"/>
        </w:rPr>
        <w:t>。</w:t>
      </w:r>
    </w:p>
    <w:p w14:paraId="5365B941">
      <w:pPr>
        <w:keepNext w:val="0"/>
        <w:keepLines w:val="0"/>
        <w:pageBreakBefore w:val="0"/>
        <w:widowControl w:val="0"/>
        <w:kinsoku/>
        <w:wordWrap/>
        <w:overflowPunct/>
        <w:topLinePunct w:val="0"/>
        <w:bidi w:val="0"/>
        <w:adjustRightInd w:val="0"/>
        <w:snapToGrid w:val="0"/>
        <w:spacing w:line="240" w:lineRule="auto"/>
        <w:ind w:left="0" w:leftChars="0" w:right="0" w:rightChars="0" w:firstLine="646"/>
        <w:jc w:val="both"/>
        <w:textAlignment w:val="auto"/>
        <w:rPr>
          <w:rFonts w:hint="eastAsia" w:ascii="宋体" w:hAnsi="宋体" w:eastAsia="宋体" w:cs="宋体"/>
          <w:b/>
          <w:color w:val="FF0000"/>
          <w:sz w:val="28"/>
          <w:szCs w:val="28"/>
        </w:rPr>
      </w:pPr>
      <w:r>
        <w:rPr>
          <w:rFonts w:hint="eastAsia" w:ascii="宋体" w:hAnsi="宋体" w:eastAsia="宋体" w:cs="宋体"/>
          <w:b/>
          <w:color w:val="FF0000"/>
          <w:sz w:val="28"/>
          <w:szCs w:val="28"/>
        </w:rPr>
        <w:t>五、运输</w:t>
      </w:r>
    </w:p>
    <w:p w14:paraId="3DE889E6">
      <w:pPr>
        <w:keepNext w:val="0"/>
        <w:keepLines w:val="0"/>
        <w:pageBreakBefore w:val="0"/>
        <w:widowControl w:val="0"/>
        <w:kinsoku/>
        <w:wordWrap/>
        <w:overflowPunct/>
        <w:topLinePunct w:val="0"/>
        <w:bidi w:val="0"/>
        <w:adjustRightInd w:val="0"/>
        <w:snapToGrid w:val="0"/>
        <w:spacing w:line="240" w:lineRule="auto"/>
        <w:ind w:left="0" w:leftChars="0" w:right="0" w:rightChars="0" w:firstLine="645"/>
        <w:jc w:val="both"/>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1、乙方负责所有货物的运输。确保货物安全、完整到达使用地点，运杂费用包含在总价内，包括货物从供货地点到使用地点的运输费、保险费、搬运费等。</w:t>
      </w:r>
    </w:p>
    <w:p w14:paraId="2A455785">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2、所有货物在运输、搬运、安装的过程中，造成甲方损失的，由乙方为甲方修复或更新。</w:t>
      </w:r>
    </w:p>
    <w:p w14:paraId="6A577A8E">
      <w:pPr>
        <w:adjustRightInd w:val="0"/>
        <w:snapToGrid w:val="0"/>
        <w:spacing w:line="240" w:lineRule="auto"/>
        <w:ind w:firstLine="645"/>
        <w:rPr>
          <w:rFonts w:hint="eastAsia" w:ascii="宋体" w:hAnsi="宋体" w:eastAsia="宋体" w:cs="宋体"/>
          <w:b/>
          <w:color w:val="FF0000"/>
          <w:sz w:val="28"/>
          <w:szCs w:val="28"/>
        </w:rPr>
      </w:pPr>
      <w:r>
        <w:rPr>
          <w:rFonts w:hint="eastAsia" w:ascii="宋体" w:hAnsi="宋体" w:eastAsia="宋体" w:cs="宋体"/>
          <w:b/>
          <w:color w:val="FF0000"/>
          <w:sz w:val="28"/>
          <w:szCs w:val="28"/>
        </w:rPr>
        <w:t>六、质量保证</w:t>
      </w:r>
    </w:p>
    <w:p w14:paraId="6330195B">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1、乙方提供货物必须是原品牌制造厂制造的最新工艺、生产的最新产品。</w:t>
      </w:r>
    </w:p>
    <w:p w14:paraId="7741E571">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2、所供货物必须是经过办理正常手续的全新产品。</w:t>
      </w:r>
    </w:p>
    <w:p w14:paraId="462A6D2E">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3、所供货物是经过国家法定检验、注册、准许市场销售的合法产品。</w:t>
      </w:r>
    </w:p>
    <w:p w14:paraId="40CEE467">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4、货物性能稳定、具有较好的使用效果，质量保证措施完善，符合国家相关标准。</w:t>
      </w:r>
    </w:p>
    <w:p w14:paraId="35ED382B">
      <w:pPr>
        <w:adjustRightInd w:val="0"/>
        <w:snapToGrid w:val="0"/>
        <w:spacing w:line="240" w:lineRule="auto"/>
        <w:ind w:firstLine="645"/>
        <w:rPr>
          <w:rFonts w:hint="eastAsia" w:ascii="宋体" w:hAnsi="宋体" w:eastAsia="宋体" w:cs="宋体"/>
          <w:color w:val="FF0000"/>
          <w:sz w:val="28"/>
          <w:szCs w:val="28"/>
          <w:lang w:eastAsia="zh-CN"/>
        </w:rPr>
      </w:pPr>
      <w:r>
        <w:rPr>
          <w:rFonts w:hint="eastAsia" w:ascii="宋体" w:hAnsi="宋体" w:eastAsia="宋体" w:cs="宋体"/>
          <w:color w:val="FF0000"/>
          <w:sz w:val="28"/>
          <w:szCs w:val="28"/>
        </w:rPr>
        <w:t>5、</w:t>
      </w:r>
      <w:r>
        <w:rPr>
          <w:rFonts w:hint="eastAsia" w:ascii="宋体" w:hAnsi="宋体" w:eastAsia="宋体" w:cs="宋体"/>
          <w:color w:val="FF0000"/>
          <w:sz w:val="28"/>
          <w:szCs w:val="28"/>
          <w:lang w:eastAsia="zh-CN"/>
        </w:rPr>
        <w:t>货物</w:t>
      </w:r>
      <w:r>
        <w:rPr>
          <w:rFonts w:hint="eastAsia" w:ascii="宋体" w:hAnsi="宋体" w:eastAsia="宋体" w:cs="宋体"/>
          <w:color w:val="FF0000"/>
          <w:sz w:val="28"/>
          <w:szCs w:val="28"/>
        </w:rPr>
        <w:t>验收合格后免费保修</w:t>
      </w:r>
      <w:r>
        <w:rPr>
          <w:rFonts w:hint="eastAsia" w:ascii="宋体" w:hAnsi="宋体" w:eastAsia="宋体" w:cs="宋体"/>
          <w:color w:val="FF0000"/>
          <w:sz w:val="28"/>
          <w:szCs w:val="28"/>
          <w:u w:val="single"/>
        </w:rPr>
        <w:t xml:space="preserve"> </w:t>
      </w:r>
      <w:r>
        <w:rPr>
          <w:rFonts w:hint="eastAsia" w:ascii="宋体" w:hAnsi="宋体" w:eastAsia="宋体" w:cs="宋体"/>
          <w:color w:val="FF0000"/>
          <w:sz w:val="28"/>
          <w:szCs w:val="28"/>
          <w:u w:val="single"/>
          <w:lang w:val="en-US" w:eastAsia="zh-CN"/>
        </w:rPr>
        <w:t xml:space="preserve">一 </w:t>
      </w:r>
      <w:r>
        <w:rPr>
          <w:rFonts w:hint="eastAsia" w:ascii="宋体" w:hAnsi="宋体" w:eastAsia="宋体" w:cs="宋体"/>
          <w:color w:val="FF0000"/>
          <w:sz w:val="28"/>
          <w:szCs w:val="28"/>
        </w:rPr>
        <w:t>年，保修期满后免费维修，只收取材料成本费并保证零配件</w:t>
      </w:r>
      <w:r>
        <w:rPr>
          <w:rFonts w:hint="eastAsia" w:ascii="宋体" w:hAnsi="宋体" w:eastAsia="宋体" w:cs="宋体"/>
          <w:color w:val="FF0000"/>
          <w:sz w:val="28"/>
          <w:szCs w:val="28"/>
          <w:lang w:eastAsia="zh-CN"/>
        </w:rPr>
        <w:t>的</w:t>
      </w:r>
      <w:r>
        <w:rPr>
          <w:rFonts w:hint="eastAsia" w:ascii="宋体" w:hAnsi="宋体" w:eastAsia="宋体" w:cs="宋体"/>
          <w:color w:val="FF0000"/>
          <w:sz w:val="28"/>
          <w:szCs w:val="28"/>
        </w:rPr>
        <w:t>供应</w:t>
      </w:r>
      <w:r>
        <w:rPr>
          <w:rFonts w:hint="eastAsia" w:ascii="宋体" w:hAnsi="宋体" w:eastAsia="宋体" w:cs="宋体"/>
          <w:color w:val="FF0000"/>
          <w:sz w:val="28"/>
          <w:szCs w:val="28"/>
          <w:lang w:eastAsia="zh-CN"/>
        </w:rPr>
        <w:t>。质保期自货物验收合格交付使用算起一年。</w:t>
      </w:r>
    </w:p>
    <w:p w14:paraId="3F0EEBA9">
      <w:pPr>
        <w:adjustRightInd w:val="0"/>
        <w:snapToGrid w:val="0"/>
        <w:spacing w:line="240" w:lineRule="auto"/>
        <w:ind w:firstLine="645"/>
        <w:rPr>
          <w:rFonts w:hint="eastAsia" w:ascii="宋体" w:hAnsi="宋体" w:eastAsia="宋体" w:cs="宋体"/>
          <w:b/>
          <w:color w:val="FF0000"/>
          <w:sz w:val="28"/>
          <w:szCs w:val="28"/>
        </w:rPr>
      </w:pPr>
      <w:r>
        <w:rPr>
          <w:rFonts w:hint="eastAsia" w:ascii="宋体" w:hAnsi="宋体" w:eastAsia="宋体" w:cs="宋体"/>
          <w:b/>
          <w:color w:val="FF0000"/>
          <w:sz w:val="28"/>
          <w:szCs w:val="28"/>
        </w:rPr>
        <w:t>七、技术服务</w:t>
      </w:r>
    </w:p>
    <w:p w14:paraId="40126ECB">
      <w:pPr>
        <w:snapToGrid w:val="0"/>
        <w:spacing w:line="240" w:lineRule="auto"/>
        <w:ind w:left="645"/>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val="en-US" w:eastAsia="zh-CN"/>
        </w:rPr>
        <w:t>1、</w:t>
      </w:r>
      <w:r>
        <w:rPr>
          <w:rFonts w:hint="eastAsia" w:ascii="宋体" w:hAnsi="宋体" w:eastAsia="宋体" w:cs="宋体"/>
          <w:color w:val="FF0000"/>
          <w:sz w:val="28"/>
          <w:szCs w:val="28"/>
        </w:rPr>
        <w:t>维修人员</w:t>
      </w:r>
      <w:r>
        <w:rPr>
          <w:rFonts w:hint="eastAsia" w:ascii="宋体" w:hAnsi="宋体" w:eastAsia="宋体" w:cs="宋体"/>
          <w:color w:val="FF0000"/>
          <w:sz w:val="28"/>
          <w:szCs w:val="28"/>
          <w:u w:val="single"/>
        </w:rPr>
        <w:t>2-3</w:t>
      </w:r>
      <w:r>
        <w:rPr>
          <w:rFonts w:hint="eastAsia" w:ascii="宋体" w:hAnsi="宋体" w:eastAsia="宋体" w:cs="宋体"/>
          <w:color w:val="FF0000"/>
          <w:sz w:val="28"/>
          <w:szCs w:val="28"/>
        </w:rPr>
        <w:t>人</w:t>
      </w:r>
      <w:r>
        <w:rPr>
          <w:rFonts w:hint="eastAsia" w:ascii="宋体" w:hAnsi="宋体" w:eastAsia="宋体" w:cs="宋体"/>
          <w:color w:val="FF0000"/>
          <w:sz w:val="28"/>
          <w:szCs w:val="28"/>
          <w:lang w:eastAsia="zh-CN"/>
        </w:rPr>
        <w:t>。</w:t>
      </w:r>
    </w:p>
    <w:p w14:paraId="06420594">
      <w:pPr>
        <w:snapToGrid w:val="0"/>
        <w:spacing w:line="240" w:lineRule="auto"/>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乙方在接到甲方保修电话故障通知后维修响应时间</w:t>
      </w:r>
      <w:r>
        <w:rPr>
          <w:rFonts w:hint="eastAsia" w:ascii="宋体" w:hAnsi="宋体" w:eastAsia="宋体" w:cs="宋体"/>
          <w:color w:val="FF0000"/>
          <w:sz w:val="28"/>
          <w:szCs w:val="28"/>
          <w:u w:val="single"/>
        </w:rPr>
        <w:t xml:space="preserve"> 2 </w:t>
      </w:r>
      <w:r>
        <w:rPr>
          <w:rFonts w:hint="eastAsia" w:ascii="宋体" w:hAnsi="宋体" w:eastAsia="宋体" w:cs="宋体"/>
          <w:color w:val="FF0000"/>
          <w:sz w:val="28"/>
          <w:szCs w:val="28"/>
        </w:rPr>
        <w:t xml:space="preserve"> 小时，</w:t>
      </w:r>
      <w:r>
        <w:rPr>
          <w:rFonts w:hint="eastAsia" w:ascii="宋体" w:hAnsi="宋体" w:eastAsia="宋体" w:cs="宋体"/>
          <w:color w:val="FF0000"/>
          <w:sz w:val="28"/>
          <w:szCs w:val="28"/>
          <w:u w:val="single"/>
        </w:rPr>
        <w:t>12</w:t>
      </w:r>
      <w:r>
        <w:rPr>
          <w:rFonts w:hint="eastAsia" w:ascii="宋体" w:hAnsi="宋体" w:eastAsia="宋体" w:cs="宋体"/>
          <w:color w:val="FF0000"/>
          <w:sz w:val="28"/>
          <w:szCs w:val="28"/>
        </w:rPr>
        <w:t>小时内修复，承担相应费用，若需将产品送回生产厂，乙方应提供备用机、承担维修设备所需的往返费用。</w:t>
      </w:r>
    </w:p>
    <w:p w14:paraId="1571D3BE">
      <w:pPr>
        <w:adjustRightInd w:val="0"/>
        <w:snapToGrid w:val="0"/>
        <w:spacing w:line="240" w:lineRule="auto"/>
        <w:ind w:firstLine="645"/>
        <w:rPr>
          <w:rFonts w:hint="eastAsia" w:ascii="宋体" w:hAnsi="宋体" w:eastAsia="宋体" w:cs="宋体"/>
          <w:b/>
          <w:color w:val="FF0000"/>
          <w:sz w:val="28"/>
          <w:szCs w:val="28"/>
        </w:rPr>
      </w:pPr>
      <w:r>
        <w:rPr>
          <w:rFonts w:hint="eastAsia" w:ascii="宋体" w:hAnsi="宋体" w:eastAsia="宋体" w:cs="宋体"/>
          <w:b/>
          <w:color w:val="FF0000"/>
          <w:sz w:val="28"/>
          <w:szCs w:val="28"/>
        </w:rPr>
        <w:t>八、验收</w:t>
      </w:r>
    </w:p>
    <w:p w14:paraId="0E773A58">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1、到货验收：货物到货后，由甲方与乙方共同进行外观验收，验收内容包括，外包装的完好性，货物品牌、规格、数量及产地与合同要求的一致性。</w:t>
      </w:r>
    </w:p>
    <w:p w14:paraId="3D004EB1">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2、货物运行验收：乙方安装调试合格后，向甲方提出验收申请，甲方接到乙方验收申请后组织验收，验收合格后，出具使用验收合格证明。</w:t>
      </w:r>
    </w:p>
    <w:p w14:paraId="0AD7C70C">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3、最终验收：最终验收结果作为付款依据，乙方填写验收单，并向甲方提交实施过程中的所有资料，以便甲方日后管理和维护。</w:t>
      </w:r>
    </w:p>
    <w:p w14:paraId="18A6D492">
      <w:pPr>
        <w:adjustRightInd w:val="0"/>
        <w:snapToGrid w:val="0"/>
        <w:spacing w:line="240" w:lineRule="auto"/>
        <w:ind w:firstLine="645"/>
        <w:rPr>
          <w:rFonts w:hint="eastAsia" w:ascii="宋体" w:hAnsi="宋体" w:eastAsia="宋体" w:cs="宋体"/>
          <w:color w:val="FF0000"/>
          <w:sz w:val="28"/>
          <w:szCs w:val="28"/>
        </w:rPr>
      </w:pPr>
      <w:r>
        <w:rPr>
          <w:rFonts w:hint="eastAsia" w:ascii="宋体" w:hAnsi="宋体" w:eastAsia="宋体" w:cs="宋体"/>
          <w:color w:val="FF0000"/>
          <w:sz w:val="28"/>
          <w:szCs w:val="28"/>
        </w:rPr>
        <w:t>4、质保期满后：由乙方出具质保期运行质量报告，作为质保金支付依据，若存在质量问题，应按相应规定协商处理。</w:t>
      </w:r>
    </w:p>
    <w:p w14:paraId="77722820">
      <w:pPr>
        <w:widowControl/>
        <w:autoSpaceDE w:val="0"/>
        <w:autoSpaceDN w:val="0"/>
        <w:snapToGrid w:val="0"/>
        <w:spacing w:line="240" w:lineRule="auto"/>
        <w:ind w:right="893" w:firstLine="832" w:firstLineChars="296"/>
        <w:textAlignment w:val="bottom"/>
        <w:rPr>
          <w:rFonts w:hint="eastAsia" w:ascii="宋体" w:hAnsi="宋体" w:eastAsia="宋体" w:cs="宋体"/>
          <w:b/>
          <w:color w:val="FF0000"/>
          <w:kern w:val="0"/>
          <w:sz w:val="28"/>
          <w:szCs w:val="28"/>
        </w:rPr>
      </w:pPr>
      <w:r>
        <w:rPr>
          <w:rFonts w:hint="eastAsia" w:ascii="宋体" w:hAnsi="宋体" w:eastAsia="宋体" w:cs="宋体"/>
          <w:b/>
          <w:color w:val="FF0000"/>
          <w:kern w:val="0"/>
          <w:sz w:val="28"/>
          <w:szCs w:val="28"/>
          <w:lang w:eastAsia="zh-CN"/>
        </w:rPr>
        <w:t>九</w:t>
      </w:r>
      <w:r>
        <w:rPr>
          <w:rFonts w:hint="eastAsia" w:ascii="宋体" w:hAnsi="宋体" w:eastAsia="宋体" w:cs="宋体"/>
          <w:b/>
          <w:color w:val="FF0000"/>
          <w:kern w:val="0"/>
          <w:sz w:val="28"/>
          <w:szCs w:val="28"/>
        </w:rPr>
        <w:t>、合同生效及其它</w:t>
      </w:r>
    </w:p>
    <w:p w14:paraId="26DF6333">
      <w:pPr>
        <w:widowControl/>
        <w:tabs>
          <w:tab w:val="left" w:pos="8391"/>
        </w:tabs>
        <w:autoSpaceDE w:val="0"/>
        <w:autoSpaceDN w:val="0"/>
        <w:snapToGrid w:val="0"/>
        <w:spacing w:line="240" w:lineRule="auto"/>
        <w:ind w:right="-69" w:firstLine="560" w:firstLineChars="20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lang w:val="en-US" w:eastAsia="zh-CN"/>
        </w:rPr>
        <w:t>1</w:t>
      </w:r>
      <w:r>
        <w:rPr>
          <w:rFonts w:hint="eastAsia" w:ascii="宋体" w:hAnsi="宋体" w:eastAsia="宋体" w:cs="宋体"/>
          <w:color w:val="FF0000"/>
          <w:kern w:val="0"/>
          <w:sz w:val="28"/>
          <w:szCs w:val="28"/>
        </w:rPr>
        <w:t>、 本合同正本一式</w:t>
      </w:r>
      <w:r>
        <w:rPr>
          <w:rFonts w:hint="eastAsia" w:ascii="宋体" w:hAnsi="宋体" w:eastAsia="宋体" w:cs="宋体"/>
          <w:color w:val="FF0000"/>
          <w:kern w:val="0"/>
          <w:sz w:val="28"/>
          <w:szCs w:val="28"/>
          <w:u w:val="single"/>
        </w:rPr>
        <w:t xml:space="preserve"> </w:t>
      </w:r>
      <w:r>
        <w:rPr>
          <w:rFonts w:hint="eastAsia" w:ascii="宋体" w:hAnsi="宋体" w:eastAsia="宋体" w:cs="宋体"/>
          <w:color w:val="FF0000"/>
          <w:kern w:val="0"/>
          <w:sz w:val="28"/>
          <w:szCs w:val="28"/>
          <w:u w:val="single"/>
          <w:lang w:val="en-US" w:eastAsia="zh-CN"/>
        </w:rPr>
        <w:t>叁</w:t>
      </w:r>
      <w:r>
        <w:rPr>
          <w:rFonts w:hint="eastAsia" w:ascii="宋体" w:hAnsi="宋体" w:eastAsia="宋体" w:cs="宋体"/>
          <w:color w:val="FF0000"/>
          <w:kern w:val="0"/>
          <w:sz w:val="28"/>
          <w:szCs w:val="28"/>
        </w:rPr>
        <w:t>份，甲方、乙方双方分别执</w:t>
      </w:r>
      <w:r>
        <w:rPr>
          <w:rFonts w:hint="eastAsia" w:ascii="宋体" w:hAnsi="宋体" w:eastAsia="宋体" w:cs="宋体"/>
          <w:color w:val="FF0000"/>
          <w:kern w:val="0"/>
          <w:sz w:val="28"/>
          <w:szCs w:val="28"/>
          <w:u w:val="single"/>
        </w:rPr>
        <w:t xml:space="preserve"> </w:t>
      </w:r>
      <w:r>
        <w:rPr>
          <w:rFonts w:hint="eastAsia" w:ascii="宋体" w:hAnsi="宋体" w:eastAsia="宋体" w:cs="宋体"/>
          <w:color w:val="FF0000"/>
          <w:kern w:val="0"/>
          <w:sz w:val="28"/>
          <w:szCs w:val="28"/>
          <w:u w:val="single"/>
          <w:lang w:eastAsia="zh-CN"/>
        </w:rPr>
        <w:t>壹</w:t>
      </w:r>
      <w:r>
        <w:rPr>
          <w:rFonts w:hint="eastAsia" w:ascii="宋体" w:hAnsi="宋体" w:eastAsia="宋体" w:cs="宋体"/>
          <w:color w:val="FF0000"/>
          <w:kern w:val="0"/>
          <w:sz w:val="28"/>
          <w:szCs w:val="28"/>
          <w:u w:val="single"/>
        </w:rPr>
        <w:t xml:space="preserve"> </w:t>
      </w:r>
      <w:r>
        <w:rPr>
          <w:rFonts w:hint="eastAsia" w:ascii="宋体" w:hAnsi="宋体" w:eastAsia="宋体" w:cs="宋体"/>
          <w:color w:val="FF0000"/>
          <w:kern w:val="0"/>
          <w:sz w:val="28"/>
          <w:szCs w:val="28"/>
        </w:rPr>
        <w:t>份，备案</w:t>
      </w:r>
      <w:r>
        <w:rPr>
          <w:rFonts w:hint="eastAsia" w:ascii="宋体" w:hAnsi="宋体" w:eastAsia="宋体" w:cs="宋体"/>
          <w:color w:val="FF0000"/>
          <w:kern w:val="0"/>
          <w:sz w:val="28"/>
          <w:szCs w:val="28"/>
          <w:lang w:val="en-US" w:eastAsia="zh-CN"/>
        </w:rPr>
        <w:t>壹</w:t>
      </w:r>
      <w:r>
        <w:rPr>
          <w:rFonts w:hint="eastAsia" w:ascii="宋体" w:hAnsi="宋体" w:eastAsia="宋体" w:cs="宋体"/>
          <w:color w:val="FF0000"/>
          <w:kern w:val="0"/>
          <w:sz w:val="28"/>
          <w:szCs w:val="28"/>
        </w:rPr>
        <w:t>份。</w:t>
      </w:r>
    </w:p>
    <w:p w14:paraId="34DC0D93">
      <w:pPr>
        <w:widowControl/>
        <w:tabs>
          <w:tab w:val="left" w:pos="8391"/>
        </w:tabs>
        <w:autoSpaceDE w:val="0"/>
        <w:autoSpaceDN w:val="0"/>
        <w:snapToGrid w:val="0"/>
        <w:spacing w:line="240" w:lineRule="auto"/>
        <w:ind w:right="-69" w:firstLine="560" w:firstLineChars="20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lang w:val="en-US" w:eastAsia="zh-CN"/>
        </w:rPr>
        <w:t>2</w:t>
      </w:r>
      <w:r>
        <w:rPr>
          <w:rFonts w:hint="eastAsia" w:ascii="宋体" w:hAnsi="宋体" w:eastAsia="宋体" w:cs="宋体"/>
          <w:color w:val="FF0000"/>
          <w:kern w:val="0"/>
          <w:sz w:val="28"/>
          <w:szCs w:val="28"/>
        </w:rPr>
        <w:t>、合同经甲乙双方盖章、签字后生效，合同签订地点为</w:t>
      </w:r>
      <w:r>
        <w:rPr>
          <w:rFonts w:hint="eastAsia" w:ascii="宋体" w:hAnsi="宋体" w:eastAsia="宋体" w:cs="宋体"/>
          <w:color w:val="FF0000"/>
          <w:kern w:val="0"/>
          <w:sz w:val="28"/>
          <w:szCs w:val="28"/>
          <w:u w:val="single"/>
        </w:rPr>
        <w:t xml:space="preserve"> </w:t>
      </w:r>
      <w:r>
        <w:rPr>
          <w:rFonts w:hint="eastAsia" w:ascii="宋体" w:hAnsi="宋体" w:eastAsia="宋体" w:cs="宋体"/>
          <w:color w:val="FF0000"/>
          <w:kern w:val="0"/>
          <w:sz w:val="28"/>
          <w:szCs w:val="28"/>
          <w:u w:val="single"/>
          <w:lang w:eastAsia="zh-CN"/>
        </w:rPr>
        <w:t>榆林市农业宣传信息中心</w:t>
      </w:r>
      <w:r>
        <w:rPr>
          <w:rFonts w:hint="eastAsia" w:ascii="宋体" w:hAnsi="宋体" w:eastAsia="宋体" w:cs="宋体"/>
          <w:color w:val="FF0000"/>
          <w:kern w:val="0"/>
          <w:sz w:val="28"/>
          <w:szCs w:val="28"/>
          <w:u w:val="single"/>
        </w:rPr>
        <w:t xml:space="preserve">  </w:t>
      </w:r>
      <w:r>
        <w:rPr>
          <w:rFonts w:hint="eastAsia" w:ascii="宋体" w:hAnsi="宋体" w:eastAsia="宋体" w:cs="宋体"/>
          <w:color w:val="FF0000"/>
          <w:kern w:val="0"/>
          <w:sz w:val="28"/>
          <w:szCs w:val="28"/>
        </w:rPr>
        <w:t>。</w:t>
      </w:r>
    </w:p>
    <w:p w14:paraId="664342C7">
      <w:pPr>
        <w:widowControl/>
        <w:tabs>
          <w:tab w:val="left" w:pos="8391"/>
        </w:tabs>
        <w:autoSpaceDE w:val="0"/>
        <w:autoSpaceDN w:val="0"/>
        <w:snapToGrid w:val="0"/>
        <w:spacing w:line="240" w:lineRule="auto"/>
        <w:ind w:right="-69" w:firstLine="560" w:firstLineChars="20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lang w:val="en-US" w:eastAsia="zh-CN"/>
        </w:rPr>
        <w:t>3</w:t>
      </w:r>
      <w:r>
        <w:rPr>
          <w:rFonts w:hint="eastAsia" w:ascii="宋体" w:hAnsi="宋体" w:eastAsia="宋体" w:cs="宋体"/>
          <w:color w:val="FF0000"/>
          <w:kern w:val="0"/>
          <w:sz w:val="28"/>
          <w:szCs w:val="28"/>
        </w:rPr>
        <w:t>、生效时间：   年  月  日</w:t>
      </w:r>
    </w:p>
    <w:p w14:paraId="30290D51">
      <w:pPr>
        <w:widowControl/>
        <w:tabs>
          <w:tab w:val="left" w:pos="8391"/>
        </w:tabs>
        <w:autoSpaceDE w:val="0"/>
        <w:autoSpaceDN w:val="0"/>
        <w:snapToGrid w:val="0"/>
        <w:spacing w:line="240" w:lineRule="auto"/>
        <w:ind w:right="-69" w:firstLine="560" w:firstLineChars="200"/>
        <w:textAlignment w:val="bottom"/>
        <w:rPr>
          <w:rFonts w:hint="eastAsia" w:ascii="宋体" w:hAnsi="宋体" w:eastAsia="宋体" w:cs="宋体"/>
          <w:color w:val="FF0000"/>
          <w:kern w:val="0"/>
          <w:sz w:val="28"/>
          <w:szCs w:val="28"/>
        </w:rPr>
      </w:pPr>
    </w:p>
    <w:p w14:paraId="62B90237">
      <w:pPr>
        <w:widowControl/>
        <w:tabs>
          <w:tab w:val="left" w:pos="8391"/>
        </w:tabs>
        <w:autoSpaceDE w:val="0"/>
        <w:autoSpaceDN w:val="0"/>
        <w:snapToGrid w:val="0"/>
        <w:spacing w:line="240" w:lineRule="auto"/>
        <w:ind w:right="-69" w:firstLine="560" w:firstLineChars="200"/>
        <w:textAlignment w:val="bottom"/>
        <w:rPr>
          <w:rFonts w:hint="eastAsia" w:ascii="宋体" w:hAnsi="宋体" w:eastAsia="宋体" w:cs="宋体"/>
          <w:color w:val="FF0000"/>
          <w:kern w:val="0"/>
          <w:sz w:val="28"/>
          <w:szCs w:val="28"/>
        </w:rPr>
      </w:pPr>
    </w:p>
    <w:p w14:paraId="392CECCF">
      <w:pPr>
        <w:pStyle w:val="4"/>
        <w:rPr>
          <w:rFonts w:hint="eastAsia" w:ascii="宋体" w:hAnsi="宋体" w:eastAsia="宋体" w:cs="宋体"/>
          <w:color w:val="FF0000"/>
          <w:kern w:val="0"/>
          <w:sz w:val="28"/>
          <w:szCs w:val="28"/>
        </w:rPr>
      </w:pPr>
    </w:p>
    <w:p w14:paraId="2A974120">
      <w:pPr>
        <w:pStyle w:val="4"/>
        <w:rPr>
          <w:rFonts w:hint="eastAsia" w:ascii="宋体" w:hAnsi="宋体" w:eastAsia="宋体" w:cs="宋体"/>
          <w:color w:val="FF0000"/>
          <w:kern w:val="0"/>
          <w:sz w:val="28"/>
          <w:szCs w:val="28"/>
        </w:rPr>
      </w:pPr>
    </w:p>
    <w:tbl>
      <w:tblPr>
        <w:tblStyle w:val="16"/>
        <w:tblW w:w="0" w:type="auto"/>
        <w:jc w:val="center"/>
        <w:tblLayout w:type="fixed"/>
        <w:tblCellMar>
          <w:top w:w="0" w:type="dxa"/>
          <w:left w:w="108" w:type="dxa"/>
          <w:bottom w:w="0" w:type="dxa"/>
          <w:right w:w="108" w:type="dxa"/>
        </w:tblCellMar>
      </w:tblPr>
      <w:tblGrid>
        <w:gridCol w:w="4643"/>
        <w:gridCol w:w="4643"/>
      </w:tblGrid>
      <w:tr w14:paraId="51061CCB">
        <w:tblPrEx>
          <w:tblCellMar>
            <w:top w:w="0" w:type="dxa"/>
            <w:left w:w="108" w:type="dxa"/>
            <w:bottom w:w="0" w:type="dxa"/>
            <w:right w:w="108" w:type="dxa"/>
          </w:tblCellMar>
        </w:tblPrEx>
        <w:trPr>
          <w:jc w:val="center"/>
        </w:trPr>
        <w:tc>
          <w:tcPr>
            <w:tcW w:w="4643" w:type="dxa"/>
            <w:noWrap w:val="0"/>
            <w:vAlign w:val="top"/>
          </w:tcPr>
          <w:p w14:paraId="05CDEBF3">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lang w:eastAsia="zh-CN"/>
              </w:rPr>
            </w:pPr>
            <w:r>
              <w:rPr>
                <w:rFonts w:hint="eastAsia" w:ascii="宋体" w:hAnsi="宋体" w:eastAsia="宋体" w:cs="宋体"/>
                <w:color w:val="FF0000"/>
                <w:kern w:val="0"/>
                <w:sz w:val="28"/>
                <w:szCs w:val="28"/>
              </w:rPr>
              <w:t>甲方名称</w:t>
            </w:r>
            <w:r>
              <w:rPr>
                <w:rFonts w:hint="eastAsia" w:ascii="宋体" w:hAnsi="宋体" w:eastAsia="宋体" w:cs="宋体"/>
                <w:color w:val="FF0000"/>
                <w:spacing w:val="-20"/>
                <w:kern w:val="0"/>
                <w:sz w:val="28"/>
                <w:szCs w:val="28"/>
              </w:rPr>
              <w:t>（盖章）</w:t>
            </w:r>
            <w:r>
              <w:rPr>
                <w:rFonts w:hint="eastAsia" w:ascii="宋体" w:hAnsi="宋体" w:eastAsia="宋体" w:cs="宋体"/>
                <w:color w:val="FF0000"/>
                <w:kern w:val="0"/>
                <w:sz w:val="28"/>
                <w:szCs w:val="28"/>
              </w:rPr>
              <w:t>:</w:t>
            </w:r>
            <w:r>
              <w:rPr>
                <w:rFonts w:hint="eastAsia" w:ascii="宋体" w:hAnsi="宋体" w:eastAsia="宋体" w:cs="宋体"/>
                <w:color w:val="FF0000"/>
                <w:kern w:val="0"/>
                <w:sz w:val="28"/>
                <w:szCs w:val="28"/>
                <w:lang w:eastAsia="zh-CN"/>
              </w:rPr>
              <w:t>榆林市农业宣传信息中心</w:t>
            </w:r>
          </w:p>
          <w:p w14:paraId="76C0F5F8">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地址：</w:t>
            </w:r>
          </w:p>
          <w:p w14:paraId="43F0E16C">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lang w:val="en-US" w:eastAsia="zh-CN"/>
              </w:rPr>
            </w:pPr>
            <w:r>
              <w:rPr>
                <w:rFonts w:hint="eastAsia" w:ascii="宋体" w:hAnsi="宋体" w:eastAsia="宋体" w:cs="宋体"/>
                <w:color w:val="FF0000"/>
                <w:kern w:val="0"/>
                <w:sz w:val="28"/>
                <w:szCs w:val="28"/>
              </w:rPr>
              <w:t>代表人（签字）：</w:t>
            </w:r>
          </w:p>
          <w:p w14:paraId="50F07EF7">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lang w:val="en-US" w:eastAsia="zh-CN"/>
              </w:rPr>
            </w:pPr>
            <w:r>
              <w:rPr>
                <w:rFonts w:hint="eastAsia" w:ascii="宋体" w:hAnsi="宋体" w:eastAsia="宋体" w:cs="宋体"/>
                <w:color w:val="FF0000"/>
                <w:kern w:val="0"/>
                <w:sz w:val="28"/>
                <w:szCs w:val="28"/>
              </w:rPr>
              <w:t>电话：</w:t>
            </w:r>
            <w:r>
              <w:rPr>
                <w:rFonts w:hint="eastAsia" w:ascii="宋体" w:hAnsi="宋体" w:eastAsia="宋体" w:cs="宋体"/>
                <w:color w:val="FF0000"/>
                <w:kern w:val="0"/>
                <w:sz w:val="28"/>
                <w:szCs w:val="28"/>
                <w:lang w:val="en-US" w:eastAsia="zh-CN"/>
              </w:rPr>
              <w:t>0912-6198121</w:t>
            </w:r>
          </w:p>
          <w:p w14:paraId="1D9163E7">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lang w:val="en-US" w:eastAsia="zh-CN"/>
              </w:rPr>
            </w:pPr>
            <w:r>
              <w:rPr>
                <w:rFonts w:hint="eastAsia" w:ascii="宋体" w:hAnsi="宋体" w:eastAsia="宋体" w:cs="宋体"/>
                <w:color w:val="FF0000"/>
                <w:kern w:val="0"/>
                <w:sz w:val="28"/>
                <w:szCs w:val="28"/>
              </w:rPr>
              <w:t>开户银行：</w:t>
            </w:r>
          </w:p>
          <w:p w14:paraId="02512989">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lang w:val="en-US" w:eastAsia="zh-CN"/>
              </w:rPr>
            </w:pPr>
            <w:r>
              <w:rPr>
                <w:rFonts w:hint="eastAsia" w:ascii="宋体" w:hAnsi="宋体" w:eastAsia="宋体" w:cs="宋体"/>
                <w:color w:val="FF0000"/>
                <w:kern w:val="0"/>
                <w:sz w:val="28"/>
                <w:szCs w:val="28"/>
              </w:rPr>
              <w:t>帐号：</w:t>
            </w:r>
          </w:p>
        </w:tc>
        <w:tc>
          <w:tcPr>
            <w:tcW w:w="4643" w:type="dxa"/>
            <w:noWrap w:val="0"/>
            <w:vAlign w:val="top"/>
          </w:tcPr>
          <w:p w14:paraId="09DEA593">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乙方名称</w:t>
            </w:r>
            <w:r>
              <w:rPr>
                <w:rFonts w:hint="eastAsia" w:ascii="宋体" w:hAnsi="宋体" w:eastAsia="宋体" w:cs="宋体"/>
                <w:color w:val="FF0000"/>
                <w:spacing w:val="-20"/>
                <w:kern w:val="0"/>
                <w:sz w:val="28"/>
                <w:szCs w:val="28"/>
              </w:rPr>
              <w:t>（盖章）</w:t>
            </w:r>
            <w:r>
              <w:rPr>
                <w:rFonts w:hint="eastAsia" w:ascii="宋体" w:hAnsi="宋体" w:eastAsia="宋体" w:cs="宋体"/>
                <w:color w:val="FF0000"/>
                <w:kern w:val="0"/>
                <w:sz w:val="28"/>
                <w:szCs w:val="28"/>
              </w:rPr>
              <w:t>:</w:t>
            </w:r>
          </w:p>
          <w:p w14:paraId="14325AFD">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p>
          <w:p w14:paraId="59332FEB">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地址：</w:t>
            </w:r>
          </w:p>
          <w:p w14:paraId="6213B9E3">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代表人（签字）：</w:t>
            </w:r>
          </w:p>
          <w:p w14:paraId="39FFB443">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电话：</w:t>
            </w:r>
          </w:p>
          <w:p w14:paraId="2ECB1BF2">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开户银行：</w:t>
            </w:r>
          </w:p>
          <w:p w14:paraId="08FCECA0">
            <w:pPr>
              <w:keepNext w:val="0"/>
              <w:keepLines w:val="0"/>
              <w:pageBreakBefore w:val="0"/>
              <w:widowControl/>
              <w:suppressLineNumbers w:val="0"/>
              <w:kinsoku/>
              <w:wordWrap/>
              <w:overflowPunct/>
              <w:topLinePunct w:val="0"/>
              <w:autoSpaceDE w:val="0"/>
              <w:autoSpaceDN w:val="0"/>
              <w:bidi w:val="0"/>
              <w:adjustRightInd/>
              <w:snapToGrid w:val="0"/>
              <w:spacing w:beforeAutospacing="0" w:afterAutospacing="0" w:line="480" w:lineRule="auto"/>
              <w:ind w:left="0" w:leftChars="0" w:right="-154" w:firstLine="0" w:firstLineChars="0"/>
              <w:textAlignment w:val="bottom"/>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帐号：</w:t>
            </w:r>
          </w:p>
        </w:tc>
      </w:tr>
    </w:tbl>
    <w:p w14:paraId="41515D9A">
      <w:pPr>
        <w:spacing w:line="480" w:lineRule="auto"/>
        <w:rPr>
          <w:rFonts w:hint="eastAsia" w:ascii="宋体" w:hAnsi="宋体" w:eastAsia="宋体" w:cs="宋体"/>
          <w:b/>
          <w:color w:val="FF0000"/>
          <w:sz w:val="21"/>
          <w:szCs w:val="21"/>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b/>
          <w:color w:val="FF0000"/>
          <w:sz w:val="21"/>
          <w:szCs w:val="21"/>
          <w:highlight w:val="none"/>
        </w:rPr>
        <w:t>注：本合同样本仅供参考，具体内容由采购人和</w:t>
      </w:r>
      <w:r>
        <w:rPr>
          <w:rFonts w:hint="eastAsia" w:ascii="宋体" w:hAnsi="宋体" w:eastAsia="宋体" w:cs="宋体"/>
          <w:b/>
          <w:color w:val="FF0000"/>
          <w:sz w:val="21"/>
          <w:szCs w:val="21"/>
          <w:highlight w:val="none"/>
          <w:lang w:eastAsia="zh-CN"/>
        </w:rPr>
        <w:t>成交单位</w:t>
      </w:r>
      <w:r>
        <w:rPr>
          <w:rFonts w:hint="eastAsia" w:ascii="宋体" w:hAnsi="宋体" w:eastAsia="宋体" w:cs="宋体"/>
          <w:b/>
          <w:color w:val="FF0000"/>
          <w:sz w:val="21"/>
          <w:szCs w:val="21"/>
          <w:highlight w:val="none"/>
        </w:rPr>
        <w:t>协商确定。</w:t>
      </w:r>
    </w:p>
    <w:p w14:paraId="01D79B83">
      <w:pPr>
        <w:keepNext w:val="0"/>
        <w:keepLines w:val="0"/>
        <w:pageBreakBefore w:val="0"/>
        <w:widowControl/>
        <w:kinsoku/>
        <w:wordWrap w:val="0"/>
        <w:overflowPunct/>
        <w:topLinePunct/>
        <w:autoSpaceDE/>
        <w:autoSpaceDN/>
        <w:bidi w:val="0"/>
        <w:adjustRightInd w:val="0"/>
        <w:snapToGrid w:val="0"/>
        <w:spacing w:before="101" w:line="224" w:lineRule="auto"/>
        <w:jc w:val="center"/>
        <w:textAlignment w:val="baseline"/>
        <w:outlineLvl w:val="0"/>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第五章</w:t>
      </w:r>
      <w:r>
        <w:rPr>
          <w:rFonts w:hint="eastAsia" w:ascii="宋体" w:hAnsi="宋体" w:eastAsia="宋体" w:cs="宋体"/>
          <w:color w:val="auto"/>
          <w:spacing w:val="9"/>
          <w:sz w:val="31"/>
          <w:szCs w:val="31"/>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响应文件构成及格式</w:t>
      </w:r>
      <w:bookmarkEnd w:id="52"/>
    </w:p>
    <w:p w14:paraId="3D8ADC60">
      <w:pPr>
        <w:keepNext w:val="0"/>
        <w:keepLines w:val="0"/>
        <w:pageBreakBefore w:val="0"/>
        <w:widowControl/>
        <w:kinsoku/>
        <w:wordWrap w:val="0"/>
        <w:overflowPunct/>
        <w:topLinePunct/>
        <w:autoSpaceDE/>
        <w:autoSpaceDN/>
        <w:bidi w:val="0"/>
        <w:adjustRightInd w:val="0"/>
        <w:snapToGrid w:val="0"/>
        <w:spacing w:before="7"/>
        <w:jc w:val="both"/>
        <w:textAlignment w:val="baseline"/>
        <w:rPr>
          <w:rFonts w:hint="eastAsia" w:ascii="宋体" w:hAnsi="宋体" w:eastAsia="宋体" w:cs="宋体"/>
          <w:color w:val="auto"/>
        </w:rPr>
      </w:pPr>
    </w:p>
    <w:tbl>
      <w:tblPr>
        <w:tblStyle w:val="21"/>
        <w:tblW w:w="8194" w:type="dxa"/>
        <w:tblInd w:w="31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194"/>
      </w:tblGrid>
      <w:tr w14:paraId="53E214A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42" w:hRule="atLeast"/>
        </w:trPr>
        <w:tc>
          <w:tcPr>
            <w:tcW w:w="8194" w:type="dxa"/>
            <w:vAlign w:val="top"/>
          </w:tcPr>
          <w:p w14:paraId="48E0547D">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p w14:paraId="417EA182">
            <w:pPr>
              <w:pStyle w:val="22"/>
              <w:keepNext w:val="0"/>
              <w:keepLines w:val="0"/>
              <w:pageBreakBefore w:val="0"/>
              <w:widowControl/>
              <w:kinsoku/>
              <w:wordWrap w:val="0"/>
              <w:overflowPunct/>
              <w:topLinePunct/>
              <w:autoSpaceDE/>
              <w:autoSpaceDN/>
              <w:bidi w:val="0"/>
              <w:adjustRightInd w:val="0"/>
              <w:snapToGrid w:val="0"/>
              <w:spacing w:before="78" w:line="240" w:lineRule="auto"/>
              <w:ind w:left="117"/>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注释：</w:t>
            </w:r>
          </w:p>
          <w:p w14:paraId="6D7906A5">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hint="eastAsia" w:ascii="宋体" w:hAnsi="宋体" w:eastAsia="宋体" w:cs="宋体"/>
                <w:color w:val="auto"/>
                <w:sz w:val="21"/>
              </w:rPr>
            </w:pPr>
          </w:p>
          <w:p w14:paraId="2A01B078">
            <w:pPr>
              <w:pStyle w:val="22"/>
              <w:keepNext w:val="0"/>
              <w:keepLines w:val="0"/>
              <w:pageBreakBefore w:val="0"/>
              <w:widowControl/>
              <w:kinsoku/>
              <w:wordWrap w:val="0"/>
              <w:overflowPunct/>
              <w:topLinePunct/>
              <w:autoSpaceDE/>
              <w:autoSpaceDN/>
              <w:bidi w:val="0"/>
              <w:adjustRightInd w:val="0"/>
              <w:snapToGrid w:val="0"/>
              <w:spacing w:before="78" w:line="240" w:lineRule="auto"/>
              <w:ind w:left="615"/>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position w:val="20"/>
                <w:sz w:val="24"/>
                <w:szCs w:val="24"/>
              </w:rPr>
              <w:t>1、本章分为六部分，是为方便</w:t>
            </w:r>
            <w:r>
              <w:rPr>
                <w:rFonts w:hint="eastAsia" w:ascii="宋体" w:hAnsi="宋体" w:eastAsia="宋体" w:cs="宋体"/>
                <w:color w:val="auto"/>
                <w:spacing w:val="-3"/>
                <w:position w:val="20"/>
                <w:sz w:val="24"/>
                <w:szCs w:val="24"/>
                <w:lang w:eastAsia="zh-CN"/>
              </w:rPr>
              <w:t>供应商</w:t>
            </w:r>
            <w:r>
              <w:rPr>
                <w:rFonts w:hint="eastAsia" w:ascii="宋体" w:hAnsi="宋体" w:eastAsia="宋体" w:cs="宋体"/>
                <w:color w:val="auto"/>
                <w:spacing w:val="-3"/>
                <w:position w:val="20"/>
                <w:sz w:val="24"/>
                <w:szCs w:val="24"/>
              </w:rPr>
              <w:t>制作响应文件设计。第一至五部分</w:t>
            </w:r>
          </w:p>
          <w:p w14:paraId="253DB4AE">
            <w:pPr>
              <w:pStyle w:val="22"/>
              <w:keepNext w:val="0"/>
              <w:keepLines w:val="0"/>
              <w:pageBreakBefore w:val="0"/>
              <w:widowControl/>
              <w:kinsoku/>
              <w:wordWrap w:val="0"/>
              <w:overflowPunct/>
              <w:topLinePunct/>
              <w:autoSpaceDE/>
              <w:autoSpaceDN/>
              <w:bidi w:val="0"/>
              <w:adjustRightInd w:val="0"/>
              <w:snapToGrid w:val="0"/>
              <w:spacing w:line="240" w:lineRule="auto"/>
              <w:ind w:left="117"/>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应按要求或给定格式填报。</w:t>
            </w:r>
          </w:p>
          <w:p w14:paraId="7B857ED4">
            <w:pPr>
              <w:keepNext w:val="0"/>
              <w:keepLines w:val="0"/>
              <w:pageBreakBefore w:val="0"/>
              <w:widowControl/>
              <w:kinsoku/>
              <w:wordWrap w:val="0"/>
              <w:overflowPunct/>
              <w:topLinePunct/>
              <w:autoSpaceDE/>
              <w:autoSpaceDN/>
              <w:bidi w:val="0"/>
              <w:adjustRightInd w:val="0"/>
              <w:snapToGrid w:val="0"/>
              <w:spacing w:line="240" w:lineRule="auto"/>
              <w:jc w:val="both"/>
              <w:textAlignment w:val="baseline"/>
              <w:rPr>
                <w:rFonts w:hint="eastAsia" w:ascii="宋体" w:hAnsi="宋体" w:eastAsia="宋体" w:cs="宋体"/>
                <w:color w:val="auto"/>
                <w:sz w:val="21"/>
              </w:rPr>
            </w:pPr>
          </w:p>
          <w:p w14:paraId="15C44A4D">
            <w:pPr>
              <w:pStyle w:val="22"/>
              <w:keepNext w:val="0"/>
              <w:keepLines w:val="0"/>
              <w:pageBreakBefore w:val="0"/>
              <w:widowControl/>
              <w:kinsoku/>
              <w:wordWrap w:val="0"/>
              <w:overflowPunct/>
              <w:topLinePunct/>
              <w:autoSpaceDE/>
              <w:autoSpaceDN/>
              <w:bidi w:val="0"/>
              <w:adjustRightInd w:val="0"/>
              <w:snapToGrid w:val="0"/>
              <w:spacing w:before="78" w:line="240" w:lineRule="auto"/>
              <w:ind w:left="615"/>
              <w:jc w:val="both"/>
              <w:textAlignment w:val="baseline"/>
              <w:rPr>
                <w:rFonts w:hint="eastAsia" w:ascii="宋体" w:hAnsi="宋体" w:eastAsia="宋体" w:cs="宋体"/>
                <w:color w:val="auto"/>
                <w:spacing w:val="-3"/>
                <w:position w:val="20"/>
                <w:sz w:val="24"/>
                <w:szCs w:val="24"/>
              </w:rPr>
            </w:pPr>
            <w:r>
              <w:rPr>
                <w:rFonts w:hint="eastAsia" w:ascii="宋体" w:hAnsi="宋体" w:eastAsia="宋体" w:cs="宋体"/>
                <w:color w:val="auto"/>
                <w:spacing w:val="-3"/>
                <w:position w:val="19"/>
                <w:sz w:val="24"/>
                <w:szCs w:val="24"/>
              </w:rPr>
              <w:t>2</w:t>
            </w:r>
            <w:r>
              <w:rPr>
                <w:rFonts w:hint="eastAsia" w:ascii="宋体" w:hAnsi="宋体" w:eastAsia="宋体" w:cs="宋体"/>
                <w:color w:val="auto"/>
                <w:spacing w:val="-3"/>
                <w:position w:val="20"/>
                <w:sz w:val="24"/>
                <w:szCs w:val="24"/>
              </w:rPr>
              <w:t>、第六部分响应方案格式仅供参考，</w:t>
            </w:r>
            <w:r>
              <w:rPr>
                <w:rFonts w:hint="eastAsia" w:ascii="宋体" w:hAnsi="宋体" w:eastAsia="宋体" w:cs="宋体"/>
                <w:color w:val="auto"/>
                <w:spacing w:val="-3"/>
                <w:position w:val="20"/>
                <w:sz w:val="24"/>
                <w:szCs w:val="24"/>
                <w:lang w:eastAsia="zh-CN"/>
              </w:rPr>
              <w:t>供应商</w:t>
            </w:r>
            <w:r>
              <w:rPr>
                <w:rFonts w:hint="eastAsia" w:ascii="宋体" w:hAnsi="宋体" w:eastAsia="宋体" w:cs="宋体"/>
                <w:color w:val="auto"/>
                <w:spacing w:val="-3"/>
                <w:position w:val="20"/>
                <w:sz w:val="24"/>
                <w:szCs w:val="24"/>
              </w:rPr>
              <w:t>应根据项目特点，结合本次</w:t>
            </w:r>
          </w:p>
          <w:p w14:paraId="092A00DA">
            <w:pPr>
              <w:pStyle w:val="22"/>
              <w:keepNext w:val="0"/>
              <w:keepLines w:val="0"/>
              <w:pageBreakBefore w:val="0"/>
              <w:widowControl/>
              <w:kinsoku/>
              <w:wordWrap w:val="0"/>
              <w:overflowPunct/>
              <w:topLinePunct/>
              <w:autoSpaceDE/>
              <w:autoSpaceDN/>
              <w:bidi w:val="0"/>
              <w:adjustRightInd w:val="0"/>
              <w:snapToGrid w:val="0"/>
              <w:spacing w:before="78"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3"/>
                <w:position w:val="20"/>
                <w:sz w:val="24"/>
                <w:szCs w:val="24"/>
              </w:rPr>
              <w:t>招标要求，对有关表格进行补充或修改，但不得对实质性文件的相关条款做出变动。</w:t>
            </w:r>
          </w:p>
        </w:tc>
      </w:tr>
    </w:tbl>
    <w:p w14:paraId="49933942">
      <w:pPr>
        <w:pStyle w:val="5"/>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rPr>
      </w:pPr>
    </w:p>
    <w:p w14:paraId="6B3C746F">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rPr>
        <w:sectPr>
          <w:footerReference r:id="rId15" w:type="default"/>
          <w:pgSz w:w="11906" w:h="16839"/>
          <w:pgMar w:top="1440" w:right="1080" w:bottom="1440" w:left="1080" w:header="0" w:footer="1186" w:gutter="0"/>
          <w:pgNumType w:fmt="decimal"/>
          <w:cols w:space="720" w:num="1"/>
        </w:sectPr>
      </w:pPr>
    </w:p>
    <w:p w14:paraId="6BAE5170">
      <w:pPr>
        <w:keepNext w:val="0"/>
        <w:keepLines w:val="0"/>
        <w:pageBreakBefore w:val="0"/>
        <w:widowControl/>
        <w:kinsoku/>
        <w:wordWrap w:val="0"/>
        <w:overflowPunct/>
        <w:topLinePunct/>
        <w:autoSpaceDE/>
        <w:autoSpaceDN/>
        <w:bidi w:val="0"/>
        <w:adjustRightInd w:val="0"/>
        <w:snapToGrid w:val="0"/>
        <w:spacing w:before="145" w:line="220" w:lineRule="auto"/>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封面格式</w:t>
      </w:r>
    </w:p>
    <w:p w14:paraId="0293BE30">
      <w:pPr>
        <w:keepNext w:val="0"/>
        <w:keepLines w:val="0"/>
        <w:pageBreakBefore w:val="0"/>
        <w:widowControl/>
        <w:kinsoku/>
        <w:wordWrap w:val="0"/>
        <w:overflowPunct/>
        <w:topLinePunct/>
        <w:autoSpaceDE/>
        <w:autoSpaceDN/>
        <w:bidi w:val="0"/>
        <w:adjustRightInd w:val="0"/>
        <w:snapToGrid w:val="0"/>
        <w:spacing w:before="207" w:line="224" w:lineRule="auto"/>
        <w:jc w:val="right"/>
        <w:textAlignment w:val="baseline"/>
        <w:rPr>
          <w:rFonts w:hint="eastAsia" w:ascii="宋体" w:hAnsi="宋体" w:eastAsia="宋体" w:cs="宋体"/>
          <w:color w:val="auto"/>
          <w:sz w:val="35"/>
          <w:szCs w:val="35"/>
        </w:rPr>
      </w:pPr>
      <w:r>
        <w:rPr>
          <w:rFonts w:hint="eastAsia" w:ascii="宋体" w:hAnsi="宋体" w:eastAsia="宋体" w:cs="宋体"/>
          <w:color w:val="auto"/>
          <w:spacing w:val="-1"/>
          <w:sz w:val="35"/>
          <w:szCs w:val="35"/>
        </w:rPr>
        <w:t>（正/副本）</w:t>
      </w:r>
    </w:p>
    <w:p w14:paraId="60EEC3A5">
      <w:pPr>
        <w:pStyle w:val="5"/>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宋体" w:hAnsi="宋体" w:eastAsia="宋体" w:cs="宋体"/>
          <w:color w:val="auto"/>
        </w:rPr>
      </w:pPr>
    </w:p>
    <w:p w14:paraId="6ADE9E3C">
      <w:pPr>
        <w:pStyle w:val="5"/>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宋体" w:hAnsi="宋体" w:eastAsia="宋体" w:cs="宋体"/>
          <w:color w:val="auto"/>
        </w:rPr>
      </w:pPr>
    </w:p>
    <w:p w14:paraId="4E080832">
      <w:pPr>
        <w:pStyle w:val="5"/>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宋体" w:hAnsi="宋体" w:eastAsia="宋体" w:cs="宋体"/>
          <w:color w:val="auto"/>
        </w:rPr>
      </w:pPr>
    </w:p>
    <w:p w14:paraId="5C01035F">
      <w:pPr>
        <w:pStyle w:val="5"/>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宋体" w:hAnsi="宋体" w:eastAsia="宋体" w:cs="宋体"/>
          <w:color w:val="auto"/>
        </w:rPr>
      </w:pPr>
    </w:p>
    <w:p w14:paraId="191C3B11">
      <w:pPr>
        <w:pStyle w:val="5"/>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宋体" w:hAnsi="宋体" w:eastAsia="宋体" w:cs="宋体"/>
          <w:color w:val="auto"/>
        </w:rPr>
      </w:pPr>
    </w:p>
    <w:p w14:paraId="35DE42F3">
      <w:pPr>
        <w:pStyle w:val="5"/>
        <w:keepNext w:val="0"/>
        <w:keepLines w:val="0"/>
        <w:pageBreakBefore w:val="0"/>
        <w:widowControl/>
        <w:kinsoku/>
        <w:wordWrap w:val="0"/>
        <w:overflowPunct/>
        <w:topLinePunct/>
        <w:autoSpaceDE/>
        <w:autoSpaceDN/>
        <w:bidi w:val="0"/>
        <w:adjustRightInd w:val="0"/>
        <w:snapToGrid w:val="0"/>
        <w:spacing w:line="249" w:lineRule="auto"/>
        <w:jc w:val="both"/>
        <w:textAlignment w:val="baseline"/>
        <w:rPr>
          <w:rFonts w:hint="eastAsia" w:ascii="宋体" w:hAnsi="宋体" w:eastAsia="宋体" w:cs="宋体"/>
          <w:color w:val="auto"/>
        </w:rPr>
      </w:pPr>
    </w:p>
    <w:p w14:paraId="5E0DD9CD">
      <w:pPr>
        <w:pStyle w:val="5"/>
        <w:keepNext w:val="0"/>
        <w:keepLines w:val="0"/>
        <w:pageBreakBefore w:val="0"/>
        <w:widowControl/>
        <w:kinsoku/>
        <w:wordWrap w:val="0"/>
        <w:overflowPunct/>
        <w:topLinePunct/>
        <w:autoSpaceDE/>
        <w:autoSpaceDN/>
        <w:bidi w:val="0"/>
        <w:adjustRightInd w:val="0"/>
        <w:snapToGrid w:val="0"/>
        <w:spacing w:line="250" w:lineRule="auto"/>
        <w:jc w:val="both"/>
        <w:textAlignment w:val="baseline"/>
        <w:rPr>
          <w:rFonts w:hint="eastAsia" w:ascii="宋体" w:hAnsi="宋体" w:eastAsia="宋体" w:cs="宋体"/>
          <w:color w:val="auto"/>
        </w:rPr>
      </w:pPr>
    </w:p>
    <w:p w14:paraId="42924737">
      <w:pPr>
        <w:keepNext w:val="0"/>
        <w:keepLines w:val="0"/>
        <w:pageBreakBefore w:val="0"/>
        <w:widowControl/>
        <w:kinsoku/>
        <w:wordWrap w:val="0"/>
        <w:overflowPunct/>
        <w:topLinePunct/>
        <w:autoSpaceDE/>
        <w:autoSpaceDN/>
        <w:bidi w:val="0"/>
        <w:adjustRightInd w:val="0"/>
        <w:snapToGrid w:val="0"/>
        <w:spacing w:before="309" w:line="221" w:lineRule="auto"/>
        <w:jc w:val="center"/>
        <w:textAlignment w:val="baseline"/>
        <w:outlineLvl w:val="1"/>
        <w:rPr>
          <w:rFonts w:hint="eastAsia" w:ascii="宋体" w:hAnsi="宋体" w:eastAsia="宋体" w:cs="宋体"/>
          <w:color w:val="auto"/>
          <w:sz w:val="95"/>
          <w:szCs w:val="95"/>
        </w:rPr>
      </w:pPr>
      <w:bookmarkStart w:id="53" w:name="_Toc27490"/>
      <w:r>
        <w:rPr>
          <w:rFonts w:hint="eastAsia" w:ascii="宋体" w:hAnsi="宋体" w:eastAsia="宋体" w:cs="宋体"/>
          <w:color w:val="auto"/>
          <w:spacing w:val="-35"/>
          <w:sz w:val="95"/>
          <w:szCs w:val="95"/>
        </w:rPr>
        <w:t>响应文件</w:t>
      </w:r>
      <w:bookmarkEnd w:id="53"/>
    </w:p>
    <w:p w14:paraId="689F7DBA">
      <w:pPr>
        <w:pStyle w:val="5"/>
        <w:keepNext w:val="0"/>
        <w:keepLines w:val="0"/>
        <w:pageBreakBefore w:val="0"/>
        <w:widowControl/>
        <w:kinsoku/>
        <w:wordWrap w:val="0"/>
        <w:overflowPunct/>
        <w:topLinePunct/>
        <w:autoSpaceDE/>
        <w:autoSpaceDN/>
        <w:bidi w:val="0"/>
        <w:adjustRightInd w:val="0"/>
        <w:snapToGrid w:val="0"/>
        <w:spacing w:line="245" w:lineRule="auto"/>
        <w:jc w:val="both"/>
        <w:textAlignment w:val="baseline"/>
        <w:rPr>
          <w:rFonts w:hint="eastAsia" w:ascii="宋体" w:hAnsi="宋体" w:eastAsia="宋体" w:cs="宋体"/>
          <w:color w:val="auto"/>
        </w:rPr>
      </w:pPr>
    </w:p>
    <w:p w14:paraId="34D4AE14">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1EFE3498">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642AB9DB">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0D2E288C">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15E76E24">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3D13556D">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29BAE15A">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54FE7FE7">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686A0ADB">
      <w:pPr>
        <w:pStyle w:val="5"/>
        <w:keepNext w:val="0"/>
        <w:keepLines w:val="0"/>
        <w:pageBreakBefore w:val="0"/>
        <w:widowControl/>
        <w:kinsoku/>
        <w:wordWrap w:val="0"/>
        <w:overflowPunct/>
        <w:topLinePunct/>
        <w:autoSpaceDE/>
        <w:autoSpaceDN/>
        <w:bidi w:val="0"/>
        <w:adjustRightInd w:val="0"/>
        <w:snapToGrid w:val="0"/>
        <w:spacing w:line="246" w:lineRule="auto"/>
        <w:jc w:val="both"/>
        <w:textAlignment w:val="baseline"/>
        <w:rPr>
          <w:rFonts w:hint="eastAsia" w:ascii="宋体" w:hAnsi="宋体" w:eastAsia="宋体" w:cs="宋体"/>
          <w:color w:val="auto"/>
        </w:rPr>
      </w:pPr>
    </w:p>
    <w:p w14:paraId="723EC6A2">
      <w:pPr>
        <w:keepNext w:val="0"/>
        <w:keepLines w:val="0"/>
        <w:pageBreakBefore w:val="0"/>
        <w:widowControl/>
        <w:kinsoku/>
        <w:wordWrap w:val="0"/>
        <w:overflowPunct/>
        <w:topLinePunct/>
        <w:autoSpaceDE/>
        <w:autoSpaceDN/>
        <w:bidi w:val="0"/>
        <w:adjustRightInd w:val="0"/>
        <w:snapToGrid w:val="0"/>
        <w:spacing w:before="113" w:line="763" w:lineRule="exact"/>
        <w:ind w:left="1449"/>
        <w:jc w:val="both"/>
        <w:textAlignment w:val="baseline"/>
        <w:rPr>
          <w:rFonts w:hint="eastAsia" w:ascii="宋体" w:hAnsi="宋体" w:eastAsia="宋体" w:cs="宋体"/>
          <w:color w:val="auto"/>
          <w:sz w:val="35"/>
          <w:szCs w:val="35"/>
        </w:rPr>
      </w:pPr>
      <w:r>
        <w:rPr>
          <w:rFonts w:hint="eastAsia" w:ascii="宋体" w:hAnsi="宋体" w:eastAsia="宋体" w:cs="宋体"/>
          <w:color w:val="auto"/>
          <w:spacing w:val="4"/>
          <w:position w:val="30"/>
          <w:sz w:val="35"/>
          <w:szCs w:val="35"/>
        </w:rPr>
        <w:t>项目名称：</w:t>
      </w:r>
    </w:p>
    <w:p w14:paraId="2CC9D62F">
      <w:pPr>
        <w:keepNext w:val="0"/>
        <w:keepLines w:val="0"/>
        <w:pageBreakBefore w:val="0"/>
        <w:widowControl/>
        <w:kinsoku/>
        <w:wordWrap w:val="0"/>
        <w:overflowPunct/>
        <w:topLinePunct/>
        <w:autoSpaceDE/>
        <w:autoSpaceDN/>
        <w:bidi w:val="0"/>
        <w:adjustRightInd w:val="0"/>
        <w:snapToGrid w:val="0"/>
        <w:spacing w:before="1" w:line="224" w:lineRule="auto"/>
        <w:ind w:left="1449"/>
        <w:jc w:val="both"/>
        <w:textAlignment w:val="baseline"/>
        <w:rPr>
          <w:rFonts w:hint="eastAsia" w:ascii="宋体" w:hAnsi="宋体" w:eastAsia="宋体" w:cs="宋体"/>
          <w:color w:val="auto"/>
          <w:sz w:val="35"/>
          <w:szCs w:val="35"/>
        </w:rPr>
      </w:pPr>
      <w:r>
        <w:rPr>
          <w:rFonts w:hint="eastAsia" w:ascii="宋体" w:hAnsi="宋体" w:eastAsia="宋体" w:cs="宋体"/>
          <w:color w:val="auto"/>
          <w:spacing w:val="4"/>
          <w:sz w:val="35"/>
          <w:szCs w:val="35"/>
        </w:rPr>
        <w:t>项目编号：</w:t>
      </w:r>
    </w:p>
    <w:p w14:paraId="5BA03601">
      <w:pPr>
        <w:keepNext w:val="0"/>
        <w:keepLines w:val="0"/>
        <w:pageBreakBefore w:val="0"/>
        <w:widowControl/>
        <w:kinsoku/>
        <w:wordWrap w:val="0"/>
        <w:overflowPunct/>
        <w:topLinePunct/>
        <w:autoSpaceDE/>
        <w:autoSpaceDN/>
        <w:bidi w:val="0"/>
        <w:adjustRightInd w:val="0"/>
        <w:snapToGrid w:val="0"/>
        <w:spacing w:before="335" w:line="224" w:lineRule="auto"/>
        <w:ind w:left="1444"/>
        <w:jc w:val="both"/>
        <w:textAlignment w:val="baseline"/>
        <w:rPr>
          <w:rFonts w:hint="eastAsia" w:ascii="宋体" w:hAnsi="宋体" w:eastAsia="宋体" w:cs="宋体"/>
          <w:color w:val="auto"/>
          <w:spacing w:val="10"/>
          <w:sz w:val="35"/>
          <w:szCs w:val="35"/>
        </w:rPr>
      </w:pPr>
      <w:r>
        <w:rPr>
          <w:rFonts w:hint="eastAsia" w:ascii="宋体" w:hAnsi="宋体" w:eastAsia="宋体" w:cs="宋体"/>
          <w:color w:val="auto"/>
          <w:spacing w:val="10"/>
          <w:sz w:val="35"/>
          <w:szCs w:val="35"/>
          <w:lang w:eastAsia="zh-CN"/>
        </w:rPr>
        <w:t>供应商</w:t>
      </w:r>
      <w:r>
        <w:rPr>
          <w:rFonts w:hint="eastAsia" w:ascii="宋体" w:hAnsi="宋体" w:eastAsia="宋体" w:cs="宋体"/>
          <w:color w:val="auto"/>
          <w:spacing w:val="-16"/>
          <w:sz w:val="35"/>
          <w:szCs w:val="35"/>
        </w:rPr>
        <w:t>：（</w:t>
      </w:r>
      <w:r>
        <w:rPr>
          <w:rFonts w:hint="eastAsia" w:ascii="宋体" w:hAnsi="宋体" w:eastAsia="宋体" w:cs="宋体"/>
          <w:color w:val="auto"/>
          <w:spacing w:val="10"/>
          <w:sz w:val="35"/>
          <w:szCs w:val="35"/>
        </w:rPr>
        <w:t>盖章）</w:t>
      </w:r>
    </w:p>
    <w:p w14:paraId="6D0A0621">
      <w:pPr>
        <w:keepNext w:val="0"/>
        <w:keepLines w:val="0"/>
        <w:pageBreakBefore w:val="0"/>
        <w:widowControl/>
        <w:kinsoku/>
        <w:wordWrap w:val="0"/>
        <w:overflowPunct/>
        <w:topLinePunct/>
        <w:autoSpaceDE/>
        <w:autoSpaceDN/>
        <w:bidi w:val="0"/>
        <w:adjustRightInd w:val="0"/>
        <w:snapToGrid w:val="0"/>
        <w:spacing w:before="335" w:line="224" w:lineRule="auto"/>
        <w:ind w:left="1444"/>
        <w:jc w:val="both"/>
        <w:textAlignment w:val="baseline"/>
        <w:rPr>
          <w:rFonts w:hint="eastAsia" w:ascii="宋体" w:hAnsi="宋体" w:eastAsia="宋体" w:cs="宋体"/>
          <w:color w:val="auto"/>
          <w:sz w:val="35"/>
          <w:szCs w:val="35"/>
        </w:rPr>
      </w:pPr>
      <w:r>
        <w:rPr>
          <w:rFonts w:hint="eastAsia" w:ascii="宋体" w:hAnsi="宋体" w:eastAsia="宋体" w:cs="宋体"/>
          <w:color w:val="auto"/>
          <w:spacing w:val="-18"/>
          <w:sz w:val="35"/>
          <w:szCs w:val="35"/>
        </w:rPr>
        <w:t>时间：</w:t>
      </w:r>
    </w:p>
    <w:p w14:paraId="5226C965">
      <w:pPr>
        <w:keepNext w:val="0"/>
        <w:keepLines w:val="0"/>
        <w:pageBreakBefore w:val="0"/>
        <w:widowControl/>
        <w:kinsoku/>
        <w:wordWrap w:val="0"/>
        <w:overflowPunct/>
        <w:topLinePunct/>
        <w:autoSpaceDE/>
        <w:autoSpaceDN/>
        <w:bidi w:val="0"/>
        <w:adjustRightInd w:val="0"/>
        <w:snapToGrid w:val="0"/>
        <w:spacing w:line="227" w:lineRule="auto"/>
        <w:jc w:val="both"/>
        <w:textAlignment w:val="baseline"/>
        <w:rPr>
          <w:rFonts w:hint="eastAsia" w:ascii="宋体" w:hAnsi="宋体" w:eastAsia="宋体" w:cs="宋体"/>
          <w:color w:val="auto"/>
          <w:sz w:val="35"/>
          <w:szCs w:val="35"/>
        </w:rPr>
        <w:sectPr>
          <w:footerReference r:id="rId16" w:type="default"/>
          <w:pgSz w:w="11906" w:h="16839"/>
          <w:pgMar w:top="1440" w:right="1080" w:bottom="1440" w:left="1080" w:header="0" w:footer="1186" w:gutter="0"/>
          <w:pgNumType w:fmt="decimal"/>
          <w:cols w:space="720" w:num="1"/>
        </w:sectPr>
      </w:pPr>
    </w:p>
    <w:p w14:paraId="10BDEFEA">
      <w:pPr>
        <w:keepNext w:val="0"/>
        <w:keepLines w:val="0"/>
        <w:pageBreakBefore w:val="0"/>
        <w:widowControl/>
        <w:kinsoku/>
        <w:wordWrap w:val="0"/>
        <w:overflowPunct/>
        <w:topLinePunct/>
        <w:autoSpaceDE/>
        <w:autoSpaceDN/>
        <w:bidi w:val="0"/>
        <w:jc w:val="center"/>
        <w:outlineLvl w:val="0"/>
        <w:rPr>
          <w:rFonts w:hint="eastAsia" w:ascii="宋体" w:hAnsi="宋体" w:eastAsia="宋体" w:cs="宋体"/>
          <w:b/>
          <w:color w:val="auto"/>
          <w:sz w:val="44"/>
          <w:szCs w:val="44"/>
          <w:highlight w:val="none"/>
        </w:rPr>
      </w:pPr>
      <w:bookmarkStart w:id="54" w:name="_Toc32362"/>
      <w:bookmarkStart w:id="55" w:name="_Toc17929"/>
      <w:r>
        <w:rPr>
          <w:rFonts w:hint="eastAsia" w:ascii="宋体" w:hAnsi="宋体" w:eastAsia="宋体" w:cs="宋体"/>
          <w:b/>
          <w:color w:val="auto"/>
          <w:sz w:val="44"/>
          <w:szCs w:val="44"/>
          <w:highlight w:val="none"/>
        </w:rPr>
        <w:t>目录</w:t>
      </w:r>
      <w:bookmarkEnd w:id="54"/>
      <w:bookmarkEnd w:id="55"/>
    </w:p>
    <w:p w14:paraId="0095B31A">
      <w:pPr>
        <w:keepNext w:val="0"/>
        <w:keepLines w:val="0"/>
        <w:pageBreakBefore w:val="0"/>
        <w:widowControl/>
        <w:kinsoku/>
        <w:wordWrap w:val="0"/>
        <w:overflowPunct/>
        <w:topLinePunct/>
        <w:autoSpaceDE/>
        <w:autoSpaceDN/>
        <w:bidi w:val="0"/>
        <w:jc w:val="both"/>
        <w:rPr>
          <w:rFonts w:hint="eastAsia" w:ascii="宋体" w:hAnsi="宋体" w:eastAsia="宋体" w:cs="宋体"/>
          <w:b/>
          <w:color w:val="auto"/>
          <w:sz w:val="36"/>
          <w:szCs w:val="36"/>
          <w:highlight w:val="none"/>
        </w:rPr>
      </w:pPr>
    </w:p>
    <w:p w14:paraId="0CD07C0E">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宋体" w:hAnsi="宋体" w:eastAsia="宋体" w:cs="宋体"/>
          <w:color w:val="auto"/>
          <w:sz w:val="36"/>
          <w:szCs w:val="28"/>
          <w:highlight w:val="none"/>
        </w:rPr>
      </w:pPr>
      <w:bookmarkStart w:id="56" w:name="_Toc313"/>
      <w:bookmarkStart w:id="57" w:name="_Toc9148"/>
      <w:r>
        <w:rPr>
          <w:rFonts w:hint="eastAsia" w:ascii="宋体" w:hAnsi="宋体" w:eastAsia="宋体" w:cs="宋体"/>
          <w:color w:val="auto"/>
          <w:sz w:val="36"/>
          <w:szCs w:val="28"/>
          <w:highlight w:val="none"/>
        </w:rPr>
        <w:t>第一部分</w:t>
      </w:r>
      <w:r>
        <w:rPr>
          <w:rFonts w:hint="eastAsia" w:ascii="宋体" w:hAnsi="宋体" w:eastAsia="宋体" w:cs="宋体"/>
          <w:color w:val="auto"/>
          <w:sz w:val="36"/>
          <w:szCs w:val="28"/>
          <w:highlight w:val="none"/>
          <w:lang w:val="en-US" w:eastAsia="zh-CN"/>
        </w:rPr>
        <w:t xml:space="preserve"> </w:t>
      </w:r>
      <w:r>
        <w:rPr>
          <w:rFonts w:hint="eastAsia" w:ascii="宋体" w:hAnsi="宋体" w:eastAsia="宋体" w:cs="宋体"/>
          <w:color w:val="auto"/>
          <w:sz w:val="36"/>
          <w:szCs w:val="28"/>
          <w:highlight w:val="none"/>
        </w:rPr>
        <w:t>响应函</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56"/>
      <w:bookmarkEnd w:id="57"/>
    </w:p>
    <w:p w14:paraId="6857CA27">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宋体" w:hAnsi="宋体" w:eastAsia="宋体" w:cs="宋体"/>
          <w:color w:val="auto"/>
          <w:sz w:val="36"/>
          <w:szCs w:val="28"/>
          <w:highlight w:val="none"/>
        </w:rPr>
      </w:pPr>
      <w:bookmarkStart w:id="58" w:name="_Toc22149"/>
      <w:bookmarkStart w:id="59" w:name="_Toc22125"/>
      <w:r>
        <w:rPr>
          <w:rFonts w:hint="eastAsia" w:ascii="宋体" w:hAnsi="宋体" w:eastAsia="宋体" w:cs="宋体"/>
          <w:color w:val="auto"/>
          <w:sz w:val="36"/>
          <w:szCs w:val="28"/>
          <w:highlight w:val="none"/>
        </w:rPr>
        <w:t>第二部分</w:t>
      </w:r>
      <w:r>
        <w:rPr>
          <w:rFonts w:hint="eastAsia" w:ascii="宋体" w:hAnsi="宋体" w:eastAsia="宋体" w:cs="宋体"/>
          <w:color w:val="auto"/>
          <w:sz w:val="36"/>
          <w:szCs w:val="28"/>
          <w:highlight w:val="none"/>
          <w:lang w:val="en-US" w:eastAsia="zh-CN"/>
        </w:rPr>
        <w:t xml:space="preserve"> </w:t>
      </w:r>
      <w:r>
        <w:rPr>
          <w:rFonts w:hint="eastAsia" w:ascii="宋体" w:hAnsi="宋体" w:eastAsia="宋体" w:cs="宋体"/>
          <w:color w:val="auto"/>
          <w:sz w:val="36"/>
          <w:szCs w:val="28"/>
          <w:highlight w:val="none"/>
        </w:rPr>
        <w:t>第一次</w:t>
      </w:r>
      <w:r>
        <w:rPr>
          <w:rFonts w:hint="eastAsia" w:ascii="宋体" w:hAnsi="宋体" w:eastAsia="宋体" w:cs="宋体"/>
          <w:color w:val="auto"/>
          <w:sz w:val="36"/>
          <w:szCs w:val="28"/>
          <w:highlight w:val="none"/>
          <w:lang w:eastAsia="zh-CN"/>
        </w:rPr>
        <w:t>谈判</w:t>
      </w:r>
      <w:r>
        <w:rPr>
          <w:rFonts w:hint="eastAsia" w:ascii="宋体" w:hAnsi="宋体" w:eastAsia="宋体" w:cs="宋体"/>
          <w:color w:val="auto"/>
          <w:sz w:val="36"/>
          <w:szCs w:val="28"/>
          <w:highlight w:val="none"/>
        </w:rPr>
        <w:t>报价表</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58"/>
      <w:bookmarkEnd w:id="59"/>
    </w:p>
    <w:p w14:paraId="2AF61D76">
      <w:pPr>
        <w:keepNext w:val="0"/>
        <w:keepLines w:val="0"/>
        <w:pageBreakBefore w:val="0"/>
        <w:widowControl/>
        <w:tabs>
          <w:tab w:val="right" w:leader="hyphen" w:pos="8504"/>
        </w:tabs>
        <w:kinsoku/>
        <w:wordWrap w:val="0"/>
        <w:overflowPunct/>
        <w:topLinePunct/>
        <w:autoSpaceDE/>
        <w:autoSpaceDN/>
        <w:bidi w:val="0"/>
        <w:ind w:left="1470" w:leftChars="700" w:right="630" w:rightChars="300" w:firstLine="720" w:firstLineChars="200"/>
        <w:jc w:val="both"/>
        <w:rPr>
          <w:rFonts w:hint="eastAsia" w:ascii="宋体" w:hAnsi="宋体" w:eastAsia="宋体" w:cs="宋体"/>
          <w:color w:val="auto"/>
          <w:sz w:val="36"/>
          <w:szCs w:val="28"/>
          <w:highlight w:val="none"/>
        </w:rPr>
      </w:pPr>
      <w:r>
        <w:rPr>
          <w:rFonts w:hint="eastAsia" w:ascii="宋体" w:hAnsi="宋体" w:eastAsia="宋体" w:cs="宋体"/>
          <w:color w:val="auto"/>
          <w:sz w:val="36"/>
          <w:szCs w:val="28"/>
          <w:highlight w:val="none"/>
          <w:lang w:eastAsia="zh-CN"/>
        </w:rPr>
        <w:t>分项报价表</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p>
    <w:p w14:paraId="545FBC45">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宋体" w:hAnsi="宋体" w:eastAsia="宋体" w:cs="宋体"/>
          <w:color w:val="auto"/>
          <w:sz w:val="36"/>
          <w:szCs w:val="28"/>
          <w:highlight w:val="none"/>
        </w:rPr>
      </w:pPr>
      <w:bookmarkStart w:id="60" w:name="_Toc13482"/>
      <w:bookmarkStart w:id="61" w:name="_Toc9575"/>
      <w:r>
        <w:rPr>
          <w:rFonts w:hint="eastAsia" w:ascii="宋体" w:hAnsi="宋体" w:eastAsia="宋体" w:cs="宋体"/>
          <w:color w:val="auto"/>
          <w:sz w:val="36"/>
          <w:szCs w:val="28"/>
          <w:highlight w:val="none"/>
        </w:rPr>
        <w:t>第三部分</w:t>
      </w:r>
      <w:r>
        <w:rPr>
          <w:rFonts w:hint="eastAsia" w:ascii="宋体" w:hAnsi="宋体" w:eastAsia="宋体" w:cs="宋体"/>
          <w:color w:val="auto"/>
          <w:sz w:val="36"/>
          <w:szCs w:val="28"/>
          <w:highlight w:val="none"/>
          <w:lang w:val="en-US" w:eastAsia="zh-CN"/>
        </w:rPr>
        <w:t xml:space="preserve"> </w:t>
      </w:r>
      <w:r>
        <w:rPr>
          <w:rFonts w:hint="eastAsia" w:ascii="宋体" w:hAnsi="宋体" w:eastAsia="宋体" w:cs="宋体"/>
          <w:color w:val="auto"/>
          <w:sz w:val="36"/>
          <w:szCs w:val="28"/>
          <w:highlight w:val="none"/>
        </w:rPr>
        <w:t>资格证明文件</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60"/>
      <w:bookmarkEnd w:id="61"/>
    </w:p>
    <w:p w14:paraId="550EB5D5">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宋体" w:hAnsi="宋体" w:eastAsia="宋体" w:cs="宋体"/>
          <w:color w:val="auto"/>
          <w:sz w:val="36"/>
          <w:szCs w:val="28"/>
          <w:highlight w:val="none"/>
        </w:rPr>
      </w:pPr>
      <w:bookmarkStart w:id="62" w:name="_Toc27123"/>
      <w:bookmarkStart w:id="63" w:name="_Toc21668"/>
      <w:r>
        <w:rPr>
          <w:rFonts w:hint="eastAsia" w:ascii="宋体" w:hAnsi="宋体" w:eastAsia="宋体" w:cs="宋体"/>
          <w:color w:val="auto"/>
          <w:sz w:val="36"/>
          <w:szCs w:val="28"/>
          <w:highlight w:val="none"/>
        </w:rPr>
        <w:t>第四部分</w:t>
      </w:r>
      <w:r>
        <w:rPr>
          <w:rFonts w:hint="eastAsia" w:ascii="宋体" w:hAnsi="宋体" w:eastAsia="宋体" w:cs="宋体"/>
          <w:color w:val="auto"/>
          <w:sz w:val="36"/>
          <w:szCs w:val="28"/>
          <w:highlight w:val="none"/>
          <w:lang w:val="en-US" w:eastAsia="zh-CN"/>
        </w:rPr>
        <w:t xml:space="preserve"> </w:t>
      </w:r>
      <w:r>
        <w:rPr>
          <w:rFonts w:hint="eastAsia" w:ascii="宋体" w:hAnsi="宋体" w:eastAsia="宋体" w:cs="宋体"/>
          <w:color w:val="auto"/>
          <w:sz w:val="36"/>
          <w:szCs w:val="28"/>
          <w:highlight w:val="none"/>
          <w:lang w:eastAsia="zh-CN"/>
        </w:rPr>
        <w:t>供应商</w:t>
      </w:r>
      <w:r>
        <w:rPr>
          <w:rFonts w:hint="eastAsia" w:ascii="宋体" w:hAnsi="宋体" w:eastAsia="宋体" w:cs="宋体"/>
          <w:color w:val="auto"/>
          <w:sz w:val="36"/>
          <w:szCs w:val="28"/>
          <w:highlight w:val="none"/>
        </w:rPr>
        <w:t>概况</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62"/>
      <w:bookmarkEnd w:id="63"/>
    </w:p>
    <w:p w14:paraId="398982F8">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宋体" w:hAnsi="宋体" w:eastAsia="宋体" w:cs="宋体"/>
          <w:color w:val="auto"/>
          <w:sz w:val="36"/>
          <w:szCs w:val="28"/>
          <w:highlight w:val="none"/>
        </w:rPr>
      </w:pPr>
      <w:bookmarkStart w:id="64" w:name="_Toc328"/>
      <w:bookmarkStart w:id="65" w:name="_Toc6835"/>
      <w:r>
        <w:rPr>
          <w:rFonts w:hint="eastAsia" w:ascii="宋体" w:hAnsi="宋体" w:eastAsia="宋体" w:cs="宋体"/>
          <w:color w:val="auto"/>
          <w:sz w:val="36"/>
          <w:szCs w:val="28"/>
          <w:highlight w:val="none"/>
        </w:rPr>
        <w:t>第五部分</w:t>
      </w:r>
      <w:r>
        <w:rPr>
          <w:rFonts w:hint="eastAsia" w:ascii="宋体" w:hAnsi="宋体" w:eastAsia="宋体" w:cs="宋体"/>
          <w:color w:val="auto"/>
          <w:sz w:val="36"/>
          <w:szCs w:val="28"/>
          <w:highlight w:val="none"/>
          <w:lang w:val="en-US" w:eastAsia="zh-CN"/>
        </w:rPr>
        <w:t xml:space="preserve"> </w:t>
      </w:r>
      <w:r>
        <w:rPr>
          <w:rFonts w:hint="eastAsia" w:ascii="宋体" w:hAnsi="宋体" w:eastAsia="宋体" w:cs="宋体"/>
          <w:color w:val="auto"/>
          <w:sz w:val="36"/>
          <w:szCs w:val="28"/>
          <w:highlight w:val="none"/>
          <w:lang w:eastAsia="zh-CN"/>
        </w:rPr>
        <w:t>供应商</w:t>
      </w:r>
      <w:r>
        <w:rPr>
          <w:rFonts w:hint="eastAsia" w:ascii="宋体" w:hAnsi="宋体" w:eastAsia="宋体" w:cs="宋体"/>
          <w:color w:val="auto"/>
          <w:sz w:val="36"/>
          <w:szCs w:val="28"/>
          <w:highlight w:val="none"/>
        </w:rPr>
        <w:t>参加政府采购活动承诺书</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64"/>
      <w:bookmarkEnd w:id="65"/>
    </w:p>
    <w:p w14:paraId="0EF4286B">
      <w:pPr>
        <w:keepNext w:val="0"/>
        <w:keepLines w:val="0"/>
        <w:pageBreakBefore w:val="0"/>
        <w:widowControl/>
        <w:tabs>
          <w:tab w:val="right" w:leader="hyphen" w:pos="8504"/>
        </w:tabs>
        <w:kinsoku/>
        <w:wordWrap w:val="0"/>
        <w:overflowPunct/>
        <w:topLinePunct/>
        <w:autoSpaceDE/>
        <w:autoSpaceDN/>
        <w:bidi w:val="0"/>
        <w:ind w:left="2220" w:leftChars="200" w:right="630" w:rightChars="300" w:hanging="1800" w:hangingChars="500"/>
        <w:jc w:val="both"/>
        <w:outlineLvl w:val="0"/>
        <w:rPr>
          <w:rFonts w:hint="eastAsia" w:ascii="宋体" w:hAnsi="宋体" w:eastAsia="宋体" w:cs="宋体"/>
          <w:color w:val="auto"/>
          <w:sz w:val="36"/>
          <w:szCs w:val="28"/>
          <w:highlight w:val="none"/>
        </w:rPr>
      </w:pPr>
      <w:bookmarkStart w:id="66" w:name="_Toc5857"/>
      <w:bookmarkStart w:id="67" w:name="_Toc24618"/>
      <w:r>
        <w:rPr>
          <w:rFonts w:hint="eastAsia" w:ascii="宋体" w:hAnsi="宋体" w:eastAsia="宋体" w:cs="宋体"/>
          <w:color w:val="auto"/>
          <w:sz w:val="36"/>
          <w:szCs w:val="28"/>
          <w:highlight w:val="none"/>
        </w:rPr>
        <w:t>第六部分</w:t>
      </w:r>
      <w:r>
        <w:rPr>
          <w:rFonts w:hint="eastAsia" w:ascii="宋体" w:hAnsi="宋体" w:eastAsia="宋体" w:cs="宋体"/>
          <w:color w:val="auto"/>
          <w:sz w:val="36"/>
          <w:szCs w:val="28"/>
          <w:highlight w:val="none"/>
          <w:lang w:val="en-US" w:eastAsia="zh-CN"/>
        </w:rPr>
        <w:t xml:space="preserve"> </w:t>
      </w:r>
      <w:r>
        <w:rPr>
          <w:rFonts w:hint="eastAsia" w:ascii="宋体" w:hAnsi="宋体" w:eastAsia="宋体" w:cs="宋体"/>
          <w:color w:val="auto"/>
          <w:sz w:val="36"/>
          <w:szCs w:val="28"/>
          <w:highlight w:val="none"/>
        </w:rPr>
        <w:t>响应方案</w:t>
      </w:r>
      <w:r>
        <w:rPr>
          <w:rFonts w:hint="eastAsia" w:ascii="宋体" w:hAnsi="宋体" w:eastAsia="宋体" w:cs="宋体"/>
          <w:color w:val="auto"/>
          <w:sz w:val="36"/>
          <w:szCs w:val="28"/>
          <w:highlight w:val="none"/>
        </w:rPr>
        <w:tab/>
      </w:r>
      <w:r>
        <w:rPr>
          <w:rFonts w:hint="eastAsia" w:ascii="宋体" w:hAnsi="宋体" w:eastAsia="宋体" w:cs="宋体"/>
          <w:color w:val="auto"/>
          <w:sz w:val="36"/>
          <w:szCs w:val="28"/>
          <w:highlight w:val="none"/>
        </w:rPr>
        <w:t>X</w:t>
      </w:r>
      <w:bookmarkEnd w:id="66"/>
      <w:bookmarkEnd w:id="67"/>
    </w:p>
    <w:p w14:paraId="117500C6">
      <w:pPr>
        <w:keepNext w:val="0"/>
        <w:keepLines w:val="0"/>
        <w:pageBreakBefore w:val="0"/>
        <w:widowControl/>
        <w:kinsoku/>
        <w:wordWrap w:val="0"/>
        <w:overflowPunct/>
        <w:topLinePunct/>
        <w:autoSpaceDE/>
        <w:autoSpaceDN/>
        <w:bidi w:val="0"/>
        <w:jc w:val="center"/>
        <w:outlineLvl w:val="0"/>
        <w:rPr>
          <w:rFonts w:hint="eastAsia" w:ascii="宋体" w:hAnsi="宋体" w:eastAsia="宋体" w:cs="宋体"/>
          <w:color w:val="auto"/>
          <w:sz w:val="32"/>
          <w:szCs w:val="36"/>
          <w:highlight w:val="none"/>
        </w:rPr>
      </w:pPr>
      <w:r>
        <w:rPr>
          <w:rFonts w:hint="eastAsia" w:ascii="宋体" w:hAnsi="宋体" w:eastAsia="宋体" w:cs="宋体"/>
          <w:color w:val="auto"/>
          <w:sz w:val="32"/>
          <w:szCs w:val="36"/>
          <w:highlight w:val="none"/>
        </w:rPr>
        <w:br w:type="page"/>
      </w:r>
      <w:bookmarkStart w:id="68" w:name="_Toc6709"/>
      <w:bookmarkStart w:id="69" w:name="_Toc13716"/>
      <w:r>
        <w:rPr>
          <w:rFonts w:hint="eastAsia" w:ascii="宋体" w:hAnsi="宋体" w:eastAsia="宋体" w:cs="宋体"/>
          <w:b/>
          <w:bCs/>
          <w:color w:val="auto"/>
          <w:sz w:val="32"/>
          <w:szCs w:val="36"/>
          <w:highlight w:val="none"/>
        </w:rPr>
        <w:t>第一部分</w:t>
      </w:r>
      <w:r>
        <w:rPr>
          <w:rFonts w:hint="eastAsia" w:ascii="宋体" w:hAnsi="宋体" w:eastAsia="宋体" w:cs="宋体"/>
          <w:b/>
          <w:bCs/>
          <w:color w:val="auto"/>
          <w:sz w:val="32"/>
          <w:szCs w:val="36"/>
          <w:highlight w:val="none"/>
          <w:lang w:val="en-US" w:eastAsia="zh-CN"/>
        </w:rPr>
        <w:t xml:space="preserve"> </w:t>
      </w:r>
      <w:r>
        <w:rPr>
          <w:rFonts w:hint="eastAsia" w:ascii="宋体" w:hAnsi="宋体" w:eastAsia="宋体" w:cs="宋体"/>
          <w:b/>
          <w:bCs/>
          <w:color w:val="auto"/>
          <w:sz w:val="32"/>
          <w:szCs w:val="36"/>
          <w:highlight w:val="none"/>
        </w:rPr>
        <w:t>响应函</w:t>
      </w:r>
      <w:bookmarkEnd w:id="68"/>
      <w:bookmarkEnd w:id="69"/>
    </w:p>
    <w:p w14:paraId="70035D79">
      <w:pPr>
        <w:keepNext w:val="0"/>
        <w:keepLines w:val="0"/>
        <w:pageBreakBefore w:val="0"/>
        <w:widowControl/>
        <w:kinsoku/>
        <w:wordWrap w:val="0"/>
        <w:overflowPunct/>
        <w:topLinePunct/>
        <w:autoSpaceDE/>
        <w:autoSpaceDN/>
        <w:bidi w:val="0"/>
        <w:adjustRightInd/>
        <w:snapToGrid/>
        <w:spacing w:line="40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p w14:paraId="7A2D51C9">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我方收到本项目发布的</w:t>
      </w:r>
      <w:r>
        <w:rPr>
          <w:rFonts w:hint="eastAsia" w:ascii="宋体" w:hAnsi="宋体" w:eastAsia="宋体" w:cs="宋体"/>
          <w:color w:val="auto"/>
          <w:sz w:val="28"/>
          <w:szCs w:val="28"/>
          <w:highlight w:val="none"/>
          <w:u w:val="none"/>
        </w:rPr>
        <w:t>（项目名称）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（项目编号）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文件，经详细研究，我方决定参加该项目的</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活动。为此，我方郑重声明以下诸点，并负法律责任。</w:t>
      </w:r>
    </w:p>
    <w:p w14:paraId="7E729DAA">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一、我方已详细阅读了</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文件，完全理解并同意</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文件的所有事项及内容。</w:t>
      </w:r>
    </w:p>
    <w:p w14:paraId="6E7364F8">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、按竞争性谈判文件的规定，我公司的首次谈判响应报价为人民币（大写）：</w:t>
      </w:r>
      <w:r>
        <w:rPr>
          <w:rFonts w:hint="eastAsia" w:ascii="宋体" w:hAnsi="宋体" w:eastAsia="宋体" w:cs="宋体"/>
          <w:color w:val="auto"/>
          <w:sz w:val="28"/>
          <w:szCs w:val="28"/>
          <w:highlight w:val="none"/>
          <w:u w:val="single"/>
          <w:lang w:val="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zh-CN"/>
        </w:rPr>
        <w:t>元）</w:t>
      </w:r>
      <w:r>
        <w:rPr>
          <w:rFonts w:hint="eastAsia" w:ascii="宋体" w:hAnsi="宋体" w:eastAsia="宋体" w:cs="宋体"/>
          <w:color w:val="auto"/>
          <w:sz w:val="28"/>
          <w:szCs w:val="28"/>
          <w:highlight w:val="none"/>
          <w:lang w:val="zh-CN"/>
        </w:rPr>
        <w:t>，并对其后的谈判报价负法律责任。</w:t>
      </w:r>
    </w:p>
    <w:p w14:paraId="4A35B1CC">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我方已悉知并关注了贵方在政府采购信息发布媒体（详见谈判文件第二章第三条中的“谈判文件的修改、澄清”）上发布的关于本项目的有关变更公告（包括但不限于对谈判文件做出的修改或澄清、答疑纪要，以及项目暂停、重启、延期、终止等）。</w:t>
      </w:r>
    </w:p>
    <w:p w14:paraId="7A27F1D1">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、我方同意向本项目提供与本次</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有关的任何证明材料，并保证所提交的证明材料真实、合法、有效。我方理解最低价不是成交的唯一条件，并尊重</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小组的评审结果。</w:t>
      </w:r>
    </w:p>
    <w:p w14:paraId="64524B9A">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、我方愿意按照</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文件中的一切要求，完成本项目的合同责任和义务。</w:t>
      </w:r>
    </w:p>
    <w:p w14:paraId="10703570">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bookmarkStart w:id="70" w:name="_Toc14283"/>
      <w:bookmarkStart w:id="71" w:name="_Toc21101"/>
      <w:bookmarkStart w:id="72" w:name="_Toc15375"/>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、我方提交响应文件正</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副</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电子响应文件</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w:t>
      </w:r>
      <w:bookmarkEnd w:id="70"/>
      <w:bookmarkEnd w:id="71"/>
      <w:bookmarkEnd w:id="72"/>
    </w:p>
    <w:p w14:paraId="723A4C4F">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zh-CN"/>
        </w:rPr>
        <w:t>开标后在规定的投标有效期内撤回投标，我们愿接受政府采购的有关处罚决定。</w:t>
      </w:r>
    </w:p>
    <w:p w14:paraId="4979C517">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lang w:val="zh-CN"/>
        </w:rPr>
        <w:t>、如我方成交：</w:t>
      </w:r>
    </w:p>
    <w:p w14:paraId="1F0409C0">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（1）我方承诺在收到成交通知书后，在谈判文件规定的期限内与采购人签订合同。</w:t>
      </w:r>
    </w:p>
    <w:p w14:paraId="18B1A70D">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（2）我方承诺按照谈判文件规定在领取成交通知书时提交纸质响应文件</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rPr>
        <w:t>套。</w:t>
      </w:r>
    </w:p>
    <w:p w14:paraId="1E9AEFA0">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（3）我方承诺按合同约定的期限和地点，提供符合谈判文件要求的全部的货物和服务。</w:t>
      </w:r>
    </w:p>
    <w:p w14:paraId="6D8B153C">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（4）我方保证在领取成交通知书前按要求支付成交服务费。</w:t>
      </w:r>
    </w:p>
    <w:p w14:paraId="16E627AE">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九、其他</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14:paraId="214DBF0E">
      <w:pPr>
        <w:keepNext w:val="0"/>
        <w:keepLines w:val="0"/>
        <w:pageBreakBefore w:val="0"/>
        <w:widowControl/>
        <w:kinsoku/>
        <w:wordWrap w:val="0"/>
        <w:overflowPunct/>
        <w:topLinePunct/>
        <w:autoSpaceDE/>
        <w:autoSpaceDN/>
        <w:bidi w:val="0"/>
        <w:adjustRightInd/>
        <w:snapToGrid/>
        <w:spacing w:line="400" w:lineRule="exact"/>
        <w:ind w:firstLine="567"/>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w:t>
      </w:r>
      <w:r>
        <w:rPr>
          <w:rFonts w:hint="eastAsia" w:ascii="宋体" w:hAnsi="宋体" w:eastAsia="宋体" w:cs="宋体"/>
          <w:color w:val="auto"/>
          <w:sz w:val="28"/>
          <w:szCs w:val="28"/>
          <w:highlight w:val="none"/>
        </w:rPr>
        <w:t>、所有关于此次</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活动的函电，请按下列地址联系：</w:t>
      </w:r>
    </w:p>
    <w:p w14:paraId="467172BE">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p>
    <w:p w14:paraId="59539064">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p>
    <w:p w14:paraId="59839BA6">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19DEA5EC">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联系地址：</w:t>
      </w:r>
    </w:p>
    <w:p w14:paraId="6CDCA30B">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362B68EA">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p w14:paraId="1CEC8257">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邮编：</w:t>
      </w:r>
    </w:p>
    <w:p w14:paraId="45D4EEC6">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p w14:paraId="1E251CC1">
      <w:pPr>
        <w:keepNext w:val="0"/>
        <w:keepLines w:val="0"/>
        <w:pageBreakBefore w:val="0"/>
        <w:widowControl/>
        <w:kinsoku/>
        <w:wordWrap w:val="0"/>
        <w:overflowPunct/>
        <w:topLinePunct/>
        <w:autoSpaceDE/>
        <w:autoSpaceDN/>
        <w:bidi w:val="0"/>
        <w:spacing w:line="400" w:lineRule="exact"/>
        <w:ind w:firstLine="567"/>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E1B9F33">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sectPr>
          <w:headerReference r:id="rId17" w:type="default"/>
          <w:footerReference r:id="rId18" w:type="default"/>
          <w:pgSz w:w="11906" w:h="16838"/>
          <w:pgMar w:top="1417" w:right="1417" w:bottom="1417" w:left="1417" w:header="850" w:footer="992" w:gutter="0"/>
          <w:pgNumType w:fmt="decimal"/>
          <w:cols w:space="720" w:num="1"/>
          <w:docGrid w:type="lines" w:linePitch="381" w:charSpace="704"/>
        </w:sectPr>
      </w:pPr>
    </w:p>
    <w:p w14:paraId="329E4D6E">
      <w:pPr>
        <w:keepNext w:val="0"/>
        <w:keepLines w:val="0"/>
        <w:pageBreakBefore w:val="0"/>
        <w:widowControl/>
        <w:kinsoku/>
        <w:wordWrap w:val="0"/>
        <w:overflowPunct/>
        <w:topLinePunct/>
        <w:autoSpaceDE/>
        <w:autoSpaceDN/>
        <w:bidi w:val="0"/>
        <w:jc w:val="center"/>
        <w:outlineLvl w:val="0"/>
        <w:rPr>
          <w:rFonts w:hint="eastAsia" w:ascii="宋体" w:hAnsi="宋体" w:eastAsia="宋体" w:cs="宋体"/>
          <w:b/>
          <w:bCs/>
          <w:color w:val="auto"/>
          <w:sz w:val="32"/>
          <w:szCs w:val="36"/>
          <w:highlight w:val="none"/>
        </w:rPr>
      </w:pPr>
      <w:bookmarkStart w:id="73" w:name="_Toc16340"/>
      <w:bookmarkStart w:id="74" w:name="_Toc32024"/>
      <w:r>
        <w:rPr>
          <w:rFonts w:hint="eastAsia" w:ascii="宋体" w:hAnsi="宋体" w:eastAsia="宋体" w:cs="宋体"/>
          <w:b/>
          <w:bCs/>
          <w:color w:val="auto"/>
          <w:sz w:val="32"/>
          <w:szCs w:val="36"/>
          <w:highlight w:val="none"/>
        </w:rPr>
        <w:t>第二部分</w:t>
      </w:r>
      <w:r>
        <w:rPr>
          <w:rFonts w:hint="eastAsia" w:ascii="宋体" w:hAnsi="宋体" w:eastAsia="宋体" w:cs="宋体"/>
          <w:b/>
          <w:bCs/>
          <w:color w:val="auto"/>
          <w:sz w:val="32"/>
          <w:szCs w:val="36"/>
          <w:highlight w:val="none"/>
          <w:lang w:val="en-US" w:eastAsia="zh-CN"/>
        </w:rPr>
        <w:t xml:space="preserve"> </w:t>
      </w:r>
      <w:r>
        <w:rPr>
          <w:rFonts w:hint="eastAsia" w:ascii="宋体" w:hAnsi="宋体" w:eastAsia="宋体" w:cs="宋体"/>
          <w:b/>
          <w:bCs/>
          <w:color w:val="auto"/>
          <w:sz w:val="32"/>
          <w:szCs w:val="36"/>
          <w:highlight w:val="none"/>
        </w:rPr>
        <w:t>第一次</w:t>
      </w:r>
      <w:r>
        <w:rPr>
          <w:rFonts w:hint="eastAsia" w:ascii="宋体" w:hAnsi="宋体" w:eastAsia="宋体" w:cs="宋体"/>
          <w:b/>
          <w:bCs/>
          <w:color w:val="auto"/>
          <w:sz w:val="32"/>
          <w:szCs w:val="36"/>
          <w:highlight w:val="none"/>
          <w:lang w:eastAsia="zh-CN"/>
        </w:rPr>
        <w:t>谈判</w:t>
      </w:r>
      <w:r>
        <w:rPr>
          <w:rFonts w:hint="eastAsia" w:ascii="宋体" w:hAnsi="宋体" w:eastAsia="宋体" w:cs="宋体"/>
          <w:b/>
          <w:bCs/>
          <w:color w:val="auto"/>
          <w:sz w:val="32"/>
          <w:szCs w:val="36"/>
          <w:highlight w:val="none"/>
        </w:rPr>
        <w:t>报价表</w:t>
      </w:r>
      <w:bookmarkEnd w:id="73"/>
      <w:bookmarkEnd w:id="74"/>
    </w:p>
    <w:p w14:paraId="64AD6179">
      <w:pPr>
        <w:keepNext w:val="0"/>
        <w:keepLines w:val="0"/>
        <w:pageBreakBefore w:val="0"/>
        <w:kinsoku/>
        <w:wordWrap w:val="0"/>
        <w:overflowPunct/>
        <w:topLinePunct/>
        <w:autoSpaceDE/>
        <w:autoSpaceDN/>
        <w:bidi w:val="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单位：人民币</w:t>
      </w:r>
      <w:r>
        <w:rPr>
          <w:rFonts w:hint="eastAsia" w:ascii="宋体" w:hAnsi="宋体" w:eastAsia="宋体" w:cs="宋体"/>
          <w:b/>
          <w:color w:val="auto"/>
          <w:sz w:val="28"/>
          <w:szCs w:val="28"/>
          <w:highlight w:val="none"/>
        </w:rPr>
        <w:t>元</w:t>
      </w:r>
    </w:p>
    <w:tbl>
      <w:tblPr>
        <w:tblStyle w:val="21"/>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7513"/>
      </w:tblGrid>
      <w:tr w14:paraId="452E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001" w:type="dxa"/>
            <w:vAlign w:val="top"/>
          </w:tcPr>
          <w:p w14:paraId="1AA1DE82">
            <w:pPr>
              <w:pStyle w:val="22"/>
              <w:keepNext w:val="0"/>
              <w:keepLines w:val="0"/>
              <w:pageBreakBefore w:val="0"/>
              <w:widowControl/>
              <w:kinsoku/>
              <w:wordWrap w:val="0"/>
              <w:overflowPunct/>
              <w:topLinePunct/>
              <w:autoSpaceDE/>
              <w:autoSpaceDN/>
              <w:bidi w:val="0"/>
              <w:adjustRightInd w:val="0"/>
              <w:snapToGrid w:val="0"/>
              <w:spacing w:before="308" w:line="221" w:lineRule="auto"/>
              <w:ind w:left="214"/>
              <w:jc w:val="both"/>
              <w:textAlignment w:val="baseline"/>
              <w:rPr>
                <w:rFonts w:hint="eastAsia" w:ascii="宋体" w:hAnsi="宋体" w:eastAsia="宋体" w:cs="宋体"/>
                <w:color w:val="auto"/>
              </w:rPr>
            </w:pPr>
            <w:r>
              <w:rPr>
                <w:rFonts w:hint="eastAsia" w:ascii="宋体" w:hAnsi="宋体" w:eastAsia="宋体" w:cs="宋体"/>
                <w:color w:val="auto"/>
                <w:spacing w:val="-4"/>
                <w:lang w:val="en-US" w:eastAsia="zh-CN"/>
                <w14:textOutline w14:w="5103" w14:cap="sq" w14:cmpd="sng">
                  <w14:solidFill>
                    <w14:srgbClr w14:val="000000"/>
                  </w14:solidFill>
                  <w14:prstDash w14:val="solid"/>
                  <w14:bevel/>
                </w14:textOutline>
              </w:rPr>
              <w:t>采购</w:t>
            </w:r>
            <w:r>
              <w:rPr>
                <w:rFonts w:hint="eastAsia" w:ascii="宋体" w:hAnsi="宋体" w:eastAsia="宋体" w:cs="宋体"/>
                <w:color w:val="auto"/>
                <w:spacing w:val="-4"/>
                <w14:textOutline w14:w="5103" w14:cap="sq" w14:cmpd="sng">
                  <w14:solidFill>
                    <w14:srgbClr w14:val="000000"/>
                  </w14:solidFill>
                  <w14:prstDash w14:val="solid"/>
                  <w14:bevel/>
                </w14:textOutline>
              </w:rPr>
              <w:t>项目名称</w:t>
            </w:r>
          </w:p>
        </w:tc>
        <w:tc>
          <w:tcPr>
            <w:tcW w:w="7513" w:type="dxa"/>
            <w:vAlign w:val="top"/>
          </w:tcPr>
          <w:p w14:paraId="401BD4A6">
            <w:pPr>
              <w:pStyle w:val="22"/>
              <w:keepNext w:val="0"/>
              <w:keepLines w:val="0"/>
              <w:pageBreakBefore w:val="0"/>
              <w:widowControl/>
              <w:tabs>
                <w:tab w:val="left" w:pos="6095"/>
              </w:tabs>
              <w:kinsoku/>
              <w:wordWrap w:val="0"/>
              <w:overflowPunct/>
              <w:topLinePunct/>
              <w:autoSpaceDE/>
              <w:autoSpaceDN/>
              <w:bidi w:val="0"/>
              <w:adjustRightInd w:val="0"/>
              <w:snapToGrid w:val="0"/>
              <w:spacing w:before="309" w:line="219" w:lineRule="auto"/>
              <w:ind w:left="755"/>
              <w:jc w:val="both"/>
              <w:textAlignment w:val="baseline"/>
              <w:rPr>
                <w:rFonts w:hint="eastAsia" w:ascii="宋体" w:hAnsi="宋体" w:eastAsia="宋体" w:cs="宋体"/>
                <w:color w:val="auto"/>
              </w:rPr>
            </w:pPr>
          </w:p>
        </w:tc>
      </w:tr>
      <w:tr w14:paraId="0F96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001" w:type="dxa"/>
            <w:vAlign w:val="top"/>
          </w:tcPr>
          <w:p w14:paraId="001A9024">
            <w:pPr>
              <w:pStyle w:val="22"/>
              <w:keepNext w:val="0"/>
              <w:keepLines w:val="0"/>
              <w:pageBreakBefore w:val="0"/>
              <w:widowControl/>
              <w:kinsoku/>
              <w:wordWrap w:val="0"/>
              <w:overflowPunct/>
              <w:topLinePunct/>
              <w:autoSpaceDE/>
              <w:autoSpaceDN/>
              <w:bidi w:val="0"/>
              <w:adjustRightInd w:val="0"/>
              <w:snapToGrid w:val="0"/>
              <w:spacing w:before="305" w:line="220" w:lineRule="auto"/>
              <w:ind w:left="214"/>
              <w:jc w:val="both"/>
              <w:textAlignment w:val="baseline"/>
              <w:rPr>
                <w:rFonts w:hint="eastAsia" w:ascii="宋体" w:hAnsi="宋体" w:eastAsia="宋体" w:cs="宋体"/>
                <w:color w:val="auto"/>
              </w:rPr>
            </w:pPr>
            <w:r>
              <w:rPr>
                <w:rFonts w:hint="eastAsia" w:ascii="宋体" w:hAnsi="宋体" w:eastAsia="宋体" w:cs="宋体"/>
                <w:color w:val="auto"/>
                <w:spacing w:val="-4"/>
                <w:lang w:val="en-US" w:eastAsia="zh-CN"/>
                <w14:textOutline w14:w="5103" w14:cap="sq" w14:cmpd="sng">
                  <w14:solidFill>
                    <w14:srgbClr w14:val="000000"/>
                  </w14:solidFill>
                  <w14:prstDash w14:val="solid"/>
                  <w14:bevel/>
                </w14:textOutline>
              </w:rPr>
              <w:t>采购</w:t>
            </w:r>
            <w:r>
              <w:rPr>
                <w:rFonts w:hint="eastAsia" w:ascii="宋体" w:hAnsi="宋体" w:eastAsia="宋体" w:cs="宋体"/>
                <w:color w:val="auto"/>
                <w:spacing w:val="-4"/>
                <w14:textOutline w14:w="5103" w14:cap="sq" w14:cmpd="sng">
                  <w14:solidFill>
                    <w14:srgbClr w14:val="000000"/>
                  </w14:solidFill>
                  <w14:prstDash w14:val="solid"/>
                  <w14:bevel/>
                </w14:textOutline>
              </w:rPr>
              <w:t>项目编号</w:t>
            </w:r>
          </w:p>
        </w:tc>
        <w:tc>
          <w:tcPr>
            <w:tcW w:w="7513" w:type="dxa"/>
            <w:vAlign w:val="top"/>
          </w:tcPr>
          <w:p w14:paraId="150C4F2F">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r w14:paraId="4767F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2001" w:type="dxa"/>
            <w:vMerge w:val="restart"/>
            <w:tcBorders>
              <w:bottom w:val="nil"/>
            </w:tcBorders>
            <w:vAlign w:val="top"/>
          </w:tcPr>
          <w:p w14:paraId="07DA0DC2">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sz w:val="21"/>
              </w:rPr>
            </w:pPr>
          </w:p>
          <w:p w14:paraId="44F2F800">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sz w:val="21"/>
              </w:rPr>
            </w:pPr>
          </w:p>
          <w:p w14:paraId="3AE709CD">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sz w:val="21"/>
              </w:rPr>
            </w:pPr>
          </w:p>
          <w:p w14:paraId="150E4A16">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sz w:val="21"/>
              </w:rPr>
            </w:pPr>
          </w:p>
          <w:p w14:paraId="081D9C39">
            <w:pPr>
              <w:keepNext w:val="0"/>
              <w:keepLines w:val="0"/>
              <w:pageBreakBefore w:val="0"/>
              <w:widowControl/>
              <w:kinsoku/>
              <w:wordWrap w:val="0"/>
              <w:overflowPunct/>
              <w:topLinePunct/>
              <w:autoSpaceDE/>
              <w:autoSpaceDN/>
              <w:bidi w:val="0"/>
              <w:adjustRightInd w:val="0"/>
              <w:snapToGrid w:val="0"/>
              <w:spacing w:line="243" w:lineRule="auto"/>
              <w:jc w:val="both"/>
              <w:textAlignment w:val="baseline"/>
              <w:rPr>
                <w:rFonts w:hint="eastAsia" w:ascii="宋体" w:hAnsi="宋体" w:eastAsia="宋体" w:cs="宋体"/>
                <w:color w:val="auto"/>
                <w:sz w:val="21"/>
              </w:rPr>
            </w:pPr>
          </w:p>
          <w:p w14:paraId="58B2B77B">
            <w:pPr>
              <w:pStyle w:val="22"/>
              <w:keepNext w:val="0"/>
              <w:keepLines w:val="0"/>
              <w:pageBreakBefore w:val="0"/>
              <w:widowControl/>
              <w:kinsoku/>
              <w:wordWrap w:val="0"/>
              <w:overflowPunct/>
              <w:topLinePunct/>
              <w:autoSpaceDE/>
              <w:autoSpaceDN/>
              <w:bidi w:val="0"/>
              <w:adjustRightInd w:val="0"/>
              <w:snapToGrid w:val="0"/>
              <w:spacing w:before="91" w:line="242" w:lineRule="auto"/>
              <w:ind w:left="288" w:right="198" w:hanging="76"/>
              <w:jc w:val="both"/>
              <w:textAlignment w:val="baseline"/>
              <w:rPr>
                <w:rFonts w:hint="eastAsia" w:ascii="宋体" w:hAnsi="宋体" w:eastAsia="宋体" w:cs="宋体"/>
                <w:color w:val="auto"/>
              </w:rPr>
            </w:pPr>
            <w:r>
              <w:rPr>
                <w:rFonts w:hint="eastAsia" w:ascii="宋体" w:hAnsi="宋体" w:eastAsia="宋体" w:cs="宋体"/>
                <w:color w:val="auto"/>
                <w:spacing w:val="-7"/>
                <w14:textOutline w14:w="5103" w14:cap="sq" w14:cmpd="sng">
                  <w14:solidFill>
                    <w14:srgbClr w14:val="000000"/>
                  </w14:solidFill>
                  <w14:prstDash w14:val="solid"/>
                  <w14:bevel/>
                </w14:textOutline>
              </w:rPr>
              <w:t>第一次</w:t>
            </w:r>
            <w:r>
              <w:rPr>
                <w:rFonts w:hint="eastAsia" w:ascii="宋体" w:hAnsi="宋体" w:eastAsia="宋体" w:cs="宋体"/>
                <w:color w:val="auto"/>
                <w:spacing w:val="-7"/>
                <w:lang w:eastAsia="zh-CN"/>
                <w14:textOutline w14:w="5103" w14:cap="sq" w14:cmpd="sng">
                  <w14:solidFill>
                    <w14:srgbClr w14:val="000000"/>
                  </w14:solidFill>
                  <w14:prstDash w14:val="solid"/>
                  <w14:bevel/>
                </w14:textOutline>
              </w:rPr>
              <w:t>谈判</w:t>
            </w:r>
            <w:r>
              <w:rPr>
                <w:rFonts w:hint="eastAsia" w:ascii="宋体" w:hAnsi="宋体" w:eastAsia="宋体" w:cs="宋体"/>
                <w:color w:val="auto"/>
                <w:spacing w:val="-7"/>
                <w14:textOutline w14:w="5103" w14:cap="sq" w14:cmpd="sng">
                  <w14:solidFill>
                    <w14:srgbClr w14:val="000000"/>
                  </w14:solidFill>
                  <w14:prstDash w14:val="solid"/>
                  <w14:bevel/>
                </w14:textOutline>
              </w:rPr>
              <w:t>报价</w:t>
            </w:r>
          </w:p>
        </w:tc>
        <w:tc>
          <w:tcPr>
            <w:tcW w:w="7513" w:type="dxa"/>
            <w:vAlign w:val="top"/>
          </w:tcPr>
          <w:p w14:paraId="680177C2">
            <w:pPr>
              <w:pStyle w:val="22"/>
              <w:keepNext w:val="0"/>
              <w:keepLines w:val="0"/>
              <w:pageBreakBefore w:val="0"/>
              <w:widowControl/>
              <w:kinsoku/>
              <w:wordWrap w:val="0"/>
              <w:overflowPunct/>
              <w:topLinePunct/>
              <w:autoSpaceDE/>
              <w:autoSpaceDN/>
              <w:bidi w:val="0"/>
              <w:adjustRightInd w:val="0"/>
              <w:snapToGrid w:val="0"/>
              <w:spacing w:before="80" w:line="219" w:lineRule="auto"/>
              <w:ind w:left="114"/>
              <w:jc w:val="both"/>
              <w:textAlignment w:val="baseline"/>
              <w:rPr>
                <w:rFonts w:hint="eastAsia" w:ascii="宋体" w:hAnsi="宋体" w:eastAsia="宋体" w:cs="宋体"/>
                <w:color w:val="auto"/>
              </w:rPr>
            </w:pPr>
            <w:r>
              <w:rPr>
                <w:rFonts w:hint="eastAsia" w:ascii="宋体" w:hAnsi="宋体" w:eastAsia="宋体" w:cs="宋体"/>
                <w:color w:val="auto"/>
                <w:lang w:eastAsia="zh-CN"/>
                <w14:textOutline w14:w="5103" w14:cap="sq" w14:cmpd="sng">
                  <w14:solidFill>
                    <w14:srgbClr w14:val="000000"/>
                  </w14:solidFill>
                  <w14:prstDash w14:val="solid"/>
                  <w14:bevel/>
                </w14:textOutline>
              </w:rPr>
              <w:t>供应商</w:t>
            </w:r>
            <w:r>
              <w:rPr>
                <w:rFonts w:hint="eastAsia" w:ascii="宋体" w:hAnsi="宋体" w:eastAsia="宋体" w:cs="宋体"/>
                <w:color w:val="auto"/>
                <w14:textOutline w14:w="5103" w14:cap="sq" w14:cmpd="sng">
                  <w14:solidFill>
                    <w14:srgbClr w14:val="000000"/>
                  </w14:solidFill>
                  <w14:prstDash w14:val="solid"/>
                  <w14:bevel/>
                </w14:textOutline>
              </w:rPr>
              <w:t>应对报价的依据、组成作出必要说明：</w:t>
            </w:r>
          </w:p>
        </w:tc>
      </w:tr>
      <w:tr w14:paraId="0A56A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001" w:type="dxa"/>
            <w:vMerge w:val="continue"/>
            <w:tcBorders>
              <w:top w:val="nil"/>
              <w:bottom w:val="nil"/>
            </w:tcBorders>
            <w:vAlign w:val="top"/>
          </w:tcPr>
          <w:p w14:paraId="043EA913">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c>
          <w:tcPr>
            <w:tcW w:w="7513" w:type="dxa"/>
            <w:vAlign w:val="top"/>
          </w:tcPr>
          <w:p w14:paraId="59FC70C6">
            <w:pPr>
              <w:pStyle w:val="22"/>
              <w:keepNext w:val="0"/>
              <w:keepLines w:val="0"/>
              <w:pageBreakBefore w:val="0"/>
              <w:widowControl/>
              <w:kinsoku/>
              <w:wordWrap w:val="0"/>
              <w:overflowPunct/>
              <w:topLinePunct/>
              <w:autoSpaceDE/>
              <w:autoSpaceDN/>
              <w:bidi w:val="0"/>
              <w:adjustRightInd w:val="0"/>
              <w:snapToGrid w:val="0"/>
              <w:spacing w:before="308" w:line="219" w:lineRule="auto"/>
              <w:ind w:left="117"/>
              <w:jc w:val="both"/>
              <w:textAlignment w:val="baseline"/>
              <w:rPr>
                <w:rFonts w:hint="eastAsia" w:ascii="宋体" w:hAnsi="宋体" w:eastAsia="宋体" w:cs="宋体"/>
                <w:color w:val="auto"/>
              </w:rPr>
            </w:pPr>
            <w:r>
              <w:rPr>
                <w:rFonts w:hint="eastAsia" w:ascii="宋体" w:hAnsi="宋体" w:eastAsia="宋体" w:cs="宋体"/>
                <w:color w:val="auto"/>
                <w14:textOutline w14:w="5103" w14:cap="sq" w14:cmpd="sng">
                  <w14:solidFill>
                    <w14:srgbClr w14:val="000000"/>
                  </w14:solidFill>
                  <w14:prstDash w14:val="solid"/>
                  <w14:bevel/>
                </w14:textOutline>
              </w:rPr>
              <w:t>大写：人民币元</w:t>
            </w:r>
          </w:p>
        </w:tc>
      </w:tr>
      <w:tr w14:paraId="4893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001" w:type="dxa"/>
            <w:vMerge w:val="continue"/>
            <w:tcBorders>
              <w:top w:val="nil"/>
            </w:tcBorders>
            <w:vAlign w:val="top"/>
          </w:tcPr>
          <w:p w14:paraId="5379579E">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c>
          <w:tcPr>
            <w:tcW w:w="7513" w:type="dxa"/>
            <w:vAlign w:val="top"/>
          </w:tcPr>
          <w:p w14:paraId="07268796">
            <w:pPr>
              <w:pStyle w:val="22"/>
              <w:keepNext w:val="0"/>
              <w:keepLines w:val="0"/>
              <w:pageBreakBefore w:val="0"/>
              <w:widowControl/>
              <w:kinsoku/>
              <w:wordWrap w:val="0"/>
              <w:overflowPunct/>
              <w:topLinePunct/>
              <w:autoSpaceDE/>
              <w:autoSpaceDN/>
              <w:bidi w:val="0"/>
              <w:adjustRightInd w:val="0"/>
              <w:snapToGrid w:val="0"/>
              <w:spacing w:before="308" w:line="221" w:lineRule="auto"/>
              <w:ind w:left="121"/>
              <w:jc w:val="both"/>
              <w:textAlignment w:val="baseline"/>
              <w:rPr>
                <w:rFonts w:hint="eastAsia" w:ascii="宋体" w:hAnsi="宋体" w:eastAsia="宋体" w:cs="宋体"/>
                <w:color w:val="auto"/>
              </w:rPr>
            </w:pPr>
            <w:r>
              <w:rPr>
                <w:rFonts w:hint="eastAsia" w:ascii="宋体" w:hAnsi="宋体" w:eastAsia="宋体" w:cs="宋体"/>
                <w:color w:val="auto"/>
                <w:spacing w:val="-3"/>
                <w14:textOutline w14:w="5103" w14:cap="sq" w14:cmpd="sng">
                  <w14:solidFill>
                    <w14:srgbClr w14:val="000000"/>
                  </w14:solidFill>
                  <w14:prstDash w14:val="solid"/>
                  <w14:bevel/>
                </w14:textOutline>
              </w:rPr>
              <w:t>小写：¥元</w:t>
            </w:r>
          </w:p>
        </w:tc>
      </w:tr>
      <w:tr w14:paraId="145F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001" w:type="dxa"/>
            <w:vAlign w:val="top"/>
          </w:tcPr>
          <w:p w14:paraId="325FBD2B">
            <w:pPr>
              <w:pStyle w:val="22"/>
              <w:keepNext w:val="0"/>
              <w:keepLines w:val="0"/>
              <w:pageBreakBefore w:val="0"/>
              <w:widowControl/>
              <w:kinsoku/>
              <w:wordWrap w:val="0"/>
              <w:overflowPunct/>
              <w:topLinePunct/>
              <w:autoSpaceDE/>
              <w:autoSpaceDN/>
              <w:bidi w:val="0"/>
              <w:adjustRightInd w:val="0"/>
              <w:snapToGrid w:val="0"/>
              <w:spacing w:before="188" w:line="219" w:lineRule="auto"/>
              <w:ind w:left="356"/>
              <w:jc w:val="both"/>
              <w:textAlignment w:val="baseline"/>
              <w:rPr>
                <w:rFonts w:hint="eastAsia" w:ascii="宋体" w:hAnsi="宋体" w:eastAsia="宋体" w:cs="宋体"/>
                <w:color w:val="auto"/>
              </w:rPr>
            </w:pPr>
            <w:r>
              <w:rPr>
                <w:rFonts w:hint="eastAsia" w:ascii="宋体" w:hAnsi="宋体" w:eastAsia="宋体" w:cs="宋体"/>
                <w:color w:val="auto"/>
                <w:spacing w:val="-5"/>
                <w:lang w:val="en-US" w:eastAsia="zh-CN"/>
                <w14:textOutline w14:w="5103" w14:cap="sq" w14:cmpd="sng">
                  <w14:solidFill>
                    <w14:srgbClr w14:val="000000"/>
                  </w14:solidFill>
                  <w14:prstDash w14:val="solid"/>
                  <w14:bevel/>
                </w14:textOutline>
              </w:rPr>
              <w:t>交货期</w:t>
            </w:r>
          </w:p>
        </w:tc>
        <w:tc>
          <w:tcPr>
            <w:tcW w:w="7513" w:type="dxa"/>
            <w:vAlign w:val="top"/>
          </w:tcPr>
          <w:p w14:paraId="192F7877">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r w14:paraId="362B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01" w:type="dxa"/>
            <w:vAlign w:val="top"/>
          </w:tcPr>
          <w:p w14:paraId="70842ADF">
            <w:pPr>
              <w:pStyle w:val="22"/>
              <w:keepNext w:val="0"/>
              <w:keepLines w:val="0"/>
              <w:pageBreakBefore w:val="0"/>
              <w:widowControl/>
              <w:kinsoku/>
              <w:wordWrap w:val="0"/>
              <w:overflowPunct/>
              <w:topLinePunct/>
              <w:autoSpaceDE/>
              <w:autoSpaceDN/>
              <w:bidi w:val="0"/>
              <w:adjustRightInd w:val="0"/>
              <w:snapToGrid w:val="0"/>
              <w:spacing w:before="165" w:line="221" w:lineRule="auto"/>
              <w:ind w:left="496"/>
              <w:jc w:val="both"/>
              <w:textAlignment w:val="baseline"/>
              <w:rPr>
                <w:rFonts w:hint="eastAsia" w:ascii="宋体" w:hAnsi="宋体" w:eastAsia="宋体" w:cs="宋体"/>
                <w:color w:val="auto"/>
              </w:rPr>
            </w:pPr>
            <w:r>
              <w:rPr>
                <w:rFonts w:hint="eastAsia" w:ascii="宋体" w:hAnsi="宋体" w:eastAsia="宋体" w:cs="宋体"/>
                <w:color w:val="auto"/>
                <w:spacing w:val="-7"/>
                <w14:textOutline w14:w="5103" w14:cap="sq" w14:cmpd="sng">
                  <w14:solidFill>
                    <w14:srgbClr w14:val="000000"/>
                  </w14:solidFill>
                  <w14:prstDash w14:val="solid"/>
                  <w14:bevel/>
                </w14:textOutline>
              </w:rPr>
              <w:t>备注</w:t>
            </w:r>
          </w:p>
        </w:tc>
        <w:tc>
          <w:tcPr>
            <w:tcW w:w="7513" w:type="dxa"/>
            <w:vAlign w:val="top"/>
          </w:tcPr>
          <w:p w14:paraId="50705BE0">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bl>
    <w:p w14:paraId="44ADBCB8">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color w:val="auto"/>
          <w:sz w:val="28"/>
          <w:szCs w:val="28"/>
          <w:highlight w:val="none"/>
          <w:lang w:eastAsia="zh-CN"/>
        </w:rPr>
      </w:pPr>
    </w:p>
    <w:p w14:paraId="1D59B07F">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55D07C7F">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DB81EE2">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b/>
          <w:color w:val="auto"/>
          <w:sz w:val="28"/>
          <w:szCs w:val="28"/>
          <w:highlight w:val="none"/>
        </w:rPr>
      </w:pPr>
    </w:p>
    <w:p w14:paraId="5B150EEE">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注：以下情形按无效响应处理</w:t>
      </w:r>
    </w:p>
    <w:p w14:paraId="746682BF">
      <w:pPr>
        <w:keepNext w:val="0"/>
        <w:keepLines w:val="0"/>
        <w:pageBreakBefore w:val="0"/>
        <w:widowControl/>
        <w:kinsoku/>
        <w:wordWrap w:val="0"/>
        <w:overflowPunct/>
        <w:topLinePunct/>
        <w:autoSpaceDE/>
        <w:autoSpaceDN/>
        <w:bidi w:val="0"/>
        <w:adjustRightInd w:val="0"/>
        <w:snapToGrid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、合计（大写）”栏未填写大写报价金额；</w:t>
      </w:r>
    </w:p>
    <w:p w14:paraId="1A04CDB3">
      <w:pPr>
        <w:keepNext w:val="0"/>
        <w:keepLines w:val="0"/>
        <w:pageBreakBefore w:val="0"/>
        <w:widowControl/>
        <w:kinsoku/>
        <w:wordWrap w:val="0"/>
        <w:overflowPunct/>
        <w:topLinePunct/>
        <w:autoSpaceDE/>
        <w:autoSpaceDN/>
        <w:bidi w:val="0"/>
        <w:adjustRightInd w:val="0"/>
        <w:snapToGrid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、本表“合计”值与“合计（大写）”不一致，或与</w:t>
      </w:r>
      <w:r>
        <w:rPr>
          <w:rFonts w:hint="eastAsia" w:ascii="宋体" w:hAnsi="宋体" w:eastAsia="宋体" w:cs="宋体"/>
          <w:color w:val="auto"/>
          <w:sz w:val="28"/>
          <w:szCs w:val="28"/>
          <w:highlight w:val="none"/>
          <w:lang w:eastAsia="zh-CN"/>
        </w:rPr>
        <w:t>分项报价表</w:t>
      </w:r>
      <w:r>
        <w:rPr>
          <w:rFonts w:hint="eastAsia" w:ascii="宋体" w:hAnsi="宋体" w:eastAsia="宋体" w:cs="宋体"/>
          <w:color w:val="auto"/>
          <w:sz w:val="28"/>
          <w:szCs w:val="28"/>
          <w:highlight w:val="none"/>
        </w:rPr>
        <w:t>中的“合计”值不一致。</w:t>
      </w:r>
    </w:p>
    <w:p w14:paraId="1A44E542">
      <w:pPr>
        <w:keepNext w:val="0"/>
        <w:keepLines w:val="0"/>
        <w:pageBreakBefore w:val="0"/>
        <w:widowControl/>
        <w:kinsoku/>
        <w:wordWrap w:val="0"/>
        <w:overflowPunct/>
        <w:topLinePunct/>
        <w:autoSpaceDE/>
        <w:autoSpaceDN/>
        <w:bidi w:val="0"/>
        <w:jc w:val="both"/>
        <w:rPr>
          <w:rFonts w:hint="eastAsia" w:ascii="宋体" w:hAnsi="宋体" w:eastAsia="宋体" w:cs="宋体"/>
          <w:b/>
          <w:color w:val="auto"/>
          <w:sz w:val="28"/>
          <w:szCs w:val="28"/>
          <w:highlight w:val="none"/>
        </w:rPr>
        <w:sectPr>
          <w:footerReference r:id="rId23" w:type="first"/>
          <w:headerReference r:id="rId19" w:type="default"/>
          <w:footerReference r:id="rId21" w:type="default"/>
          <w:headerReference r:id="rId20" w:type="even"/>
          <w:footerReference r:id="rId22" w:type="even"/>
          <w:pgSz w:w="11906" w:h="16838"/>
          <w:pgMar w:top="1418" w:right="1418" w:bottom="1418" w:left="1418" w:header="851" w:footer="992" w:gutter="0"/>
          <w:pgNumType w:fmt="decimal" w:chapStyle="1"/>
          <w:cols w:space="720" w:num="1"/>
          <w:docGrid w:type="lines" w:linePitch="381" w:charSpace="0"/>
        </w:sectPr>
      </w:pPr>
    </w:p>
    <w:p w14:paraId="460AD92C">
      <w:pPr>
        <w:pStyle w:val="33"/>
        <w:keepLines w:val="0"/>
        <w:pageBreakBefore w:val="0"/>
        <w:numPr>
          <w:ilvl w:val="0"/>
          <w:numId w:val="0"/>
        </w:numPr>
        <w:kinsoku/>
        <w:wordWrap w:val="0"/>
        <w:overflowPunct/>
        <w:topLinePunct/>
        <w:autoSpaceDE/>
        <w:autoSpaceDN/>
        <w:bidi w:val="0"/>
        <w:jc w:val="center"/>
        <w:rPr>
          <w:rFonts w:hint="eastAsia" w:ascii="宋体" w:hAnsi="宋体" w:eastAsia="宋体" w:cs="宋体"/>
          <w:b/>
          <w:bCs/>
          <w:color w:val="auto"/>
          <w:sz w:val="21"/>
          <w:szCs w:val="21"/>
          <w:highlight w:val="none"/>
        </w:rPr>
      </w:pPr>
      <w:bookmarkStart w:id="75" w:name="_Toc48834318"/>
      <w:bookmarkStart w:id="76" w:name="_Toc21831"/>
      <w:bookmarkStart w:id="77" w:name="_Toc24867"/>
      <w:bookmarkStart w:id="78" w:name="_Toc10402"/>
      <w:bookmarkStart w:id="79" w:name="_Toc30701"/>
      <w:bookmarkStart w:id="80" w:name="_Toc10343"/>
      <w:bookmarkStart w:id="81" w:name="_Toc10074"/>
      <w:bookmarkStart w:id="82" w:name="_Toc14994"/>
      <w:bookmarkStart w:id="83" w:name="_Toc13681"/>
      <w:r>
        <w:rPr>
          <w:rFonts w:hint="eastAsia" w:ascii="宋体" w:hAnsi="宋体" w:eastAsia="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分项报价表</w:t>
      </w:r>
      <w:bookmarkEnd w:id="75"/>
      <w:r>
        <w:rPr>
          <w:rFonts w:hint="eastAsia" w:ascii="宋体" w:hAnsi="宋体" w:eastAsia="宋体" w:cs="宋体"/>
          <w:b/>
          <w:bCs/>
          <w:color w:val="auto"/>
          <w:sz w:val="21"/>
          <w:szCs w:val="21"/>
          <w:highlight w:val="none"/>
        </w:rPr>
        <w:t>（样表）</w:t>
      </w:r>
      <w:bookmarkEnd w:id="76"/>
      <w:bookmarkEnd w:id="77"/>
      <w:bookmarkEnd w:id="78"/>
      <w:bookmarkEnd w:id="79"/>
      <w:bookmarkEnd w:id="80"/>
      <w:bookmarkEnd w:id="81"/>
    </w:p>
    <w:p w14:paraId="1F40788E">
      <w:pPr>
        <w:pStyle w:val="5"/>
        <w:keepLines w:val="0"/>
        <w:pageBreakBefore w:val="0"/>
        <w:kinsoku/>
        <w:wordWrap w:val="0"/>
        <w:overflowPunct/>
        <w:topLinePunct/>
        <w:autoSpaceDE/>
        <w:autoSpaceDN/>
        <w:bidi w:val="0"/>
        <w:ind w:right="55"/>
        <w:jc w:val="both"/>
        <w:rPr>
          <w:rFonts w:hint="eastAsia" w:ascii="宋体" w:hAnsi="宋体" w:eastAsia="宋体" w:cs="宋体"/>
          <w:b/>
          <w:bCs/>
          <w:color w:val="auto"/>
          <w:sz w:val="21"/>
          <w:szCs w:val="21"/>
          <w:highlight w:val="none"/>
          <w:u w:val="single"/>
        </w:rPr>
      </w:pPr>
      <w:bookmarkStart w:id="84" w:name="_Hlk106082717"/>
      <w:r>
        <w:rPr>
          <w:rFonts w:hint="eastAsia" w:ascii="宋体" w:hAnsi="宋体" w:eastAsia="宋体" w:cs="宋体"/>
          <w:b/>
          <w:bCs/>
          <w:color w:val="auto"/>
          <w:sz w:val="21"/>
          <w:szCs w:val="21"/>
          <w:highlight w:val="none"/>
        </w:rPr>
        <w:t xml:space="preserve">项目名称： </w:t>
      </w:r>
      <w:r>
        <w:rPr>
          <w:rFonts w:hint="eastAsia" w:ascii="宋体" w:hAnsi="宋体" w:eastAsia="宋体" w:cs="宋体"/>
          <w:b/>
          <w:bCs/>
          <w:color w:val="auto"/>
          <w:sz w:val="21"/>
          <w:szCs w:val="21"/>
          <w:highlight w:val="none"/>
          <w:u w:val="single"/>
        </w:rPr>
        <w:t xml:space="preserve">       </w:t>
      </w:r>
    </w:p>
    <w:p w14:paraId="4DBB63CD">
      <w:pPr>
        <w:pStyle w:val="5"/>
        <w:keepLines w:val="0"/>
        <w:pageBreakBefore w:val="0"/>
        <w:kinsoku/>
        <w:wordWrap w:val="0"/>
        <w:overflowPunct/>
        <w:topLinePunct/>
        <w:autoSpaceDE/>
        <w:autoSpaceDN/>
        <w:bidi w:val="0"/>
        <w:ind w:right="55"/>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w:t>
      </w:r>
    </w:p>
    <w:tbl>
      <w:tblPr>
        <w:tblStyle w:val="21"/>
        <w:tblW w:w="9375"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274"/>
        <w:gridCol w:w="2179"/>
        <w:gridCol w:w="775"/>
        <w:gridCol w:w="978"/>
        <w:gridCol w:w="779"/>
        <w:gridCol w:w="883"/>
        <w:gridCol w:w="624"/>
        <w:gridCol w:w="1032"/>
      </w:tblGrid>
      <w:tr w14:paraId="247D6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51" w:type="dxa"/>
            <w:tcBorders>
              <w:top w:val="single" w:color="000000" w:sz="6" w:space="0"/>
              <w:left w:val="single" w:color="000000" w:sz="6" w:space="0"/>
            </w:tcBorders>
            <w:noWrap w:val="0"/>
            <w:vAlign w:val="center"/>
          </w:tcPr>
          <w:p w14:paraId="5AD86CF0">
            <w:pPr>
              <w:pStyle w:val="22"/>
              <w:keepLines w:val="0"/>
              <w:pageBreakBefore w:val="0"/>
              <w:kinsoku/>
              <w:wordWrap w:val="0"/>
              <w:overflowPunct/>
              <w:topLinePunct/>
              <w:autoSpaceDE/>
              <w:autoSpaceDN/>
              <w:bidi w:val="0"/>
              <w:spacing w:before="231" w:line="222" w:lineRule="auto"/>
              <w:jc w:val="center"/>
              <w:rPr>
                <w:rFonts w:hint="eastAsia" w:ascii="宋体" w:hAnsi="宋体" w:eastAsia="宋体" w:cs="宋体"/>
                <w:color w:val="auto"/>
                <w:sz w:val="21"/>
                <w:szCs w:val="21"/>
              </w:rPr>
            </w:pPr>
            <w:r>
              <w:rPr>
                <w:rFonts w:hint="eastAsia" w:ascii="宋体" w:hAnsi="宋体" w:eastAsia="宋体" w:cs="宋体"/>
                <w:b/>
                <w:bCs/>
                <w:color w:val="auto"/>
                <w:spacing w:val="-9"/>
                <w:sz w:val="21"/>
                <w:szCs w:val="21"/>
              </w:rPr>
              <w:t>序号</w:t>
            </w:r>
          </w:p>
        </w:tc>
        <w:tc>
          <w:tcPr>
            <w:tcW w:w="1274" w:type="dxa"/>
            <w:tcBorders>
              <w:top w:val="single" w:color="000000" w:sz="6" w:space="0"/>
            </w:tcBorders>
            <w:noWrap w:val="0"/>
            <w:vAlign w:val="center"/>
          </w:tcPr>
          <w:p w14:paraId="30434865">
            <w:pPr>
              <w:pStyle w:val="22"/>
              <w:keepLines w:val="0"/>
              <w:pageBreakBefore w:val="0"/>
              <w:kinsoku/>
              <w:wordWrap w:val="0"/>
              <w:overflowPunct/>
              <w:topLinePunct/>
              <w:autoSpaceDE/>
              <w:autoSpaceDN/>
              <w:bidi w:val="0"/>
              <w:spacing w:before="79" w:line="226" w:lineRule="auto"/>
              <w:ind w:right="396"/>
              <w:jc w:val="center"/>
              <w:rPr>
                <w:rFonts w:hint="eastAsia" w:ascii="宋体" w:hAnsi="宋体" w:eastAsia="宋体" w:cs="宋体"/>
                <w:color w:val="auto"/>
                <w:sz w:val="21"/>
                <w:szCs w:val="21"/>
              </w:rPr>
            </w:pPr>
            <w:r>
              <w:rPr>
                <w:rFonts w:hint="eastAsia" w:ascii="宋体" w:hAnsi="宋体" w:eastAsia="宋体" w:cs="宋体"/>
                <w:b/>
                <w:bCs/>
                <w:color w:val="auto"/>
                <w:spacing w:val="-10"/>
                <w:sz w:val="21"/>
                <w:szCs w:val="21"/>
              </w:rPr>
              <w:t>产品</w:t>
            </w:r>
            <w:r>
              <w:rPr>
                <w:rFonts w:hint="eastAsia" w:ascii="宋体" w:hAnsi="宋体" w:eastAsia="宋体" w:cs="宋体"/>
                <w:b/>
                <w:bCs/>
                <w:color w:val="auto"/>
                <w:spacing w:val="-9"/>
                <w:sz w:val="21"/>
                <w:szCs w:val="21"/>
              </w:rPr>
              <w:t>名称</w:t>
            </w:r>
          </w:p>
        </w:tc>
        <w:tc>
          <w:tcPr>
            <w:tcW w:w="2179" w:type="dxa"/>
            <w:tcBorders>
              <w:top w:val="single" w:color="000000" w:sz="6" w:space="0"/>
            </w:tcBorders>
            <w:noWrap w:val="0"/>
            <w:vAlign w:val="center"/>
          </w:tcPr>
          <w:p w14:paraId="1C9B6C59">
            <w:pPr>
              <w:pStyle w:val="22"/>
              <w:keepLines w:val="0"/>
              <w:pageBreakBefore w:val="0"/>
              <w:kinsoku/>
              <w:wordWrap w:val="0"/>
              <w:overflowPunct/>
              <w:topLinePunct/>
              <w:autoSpaceDE/>
              <w:autoSpaceDN/>
              <w:bidi w:val="0"/>
              <w:spacing w:before="231" w:line="222" w:lineRule="auto"/>
              <w:jc w:val="center"/>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规格型号</w:t>
            </w:r>
          </w:p>
        </w:tc>
        <w:tc>
          <w:tcPr>
            <w:tcW w:w="775" w:type="dxa"/>
            <w:tcBorders>
              <w:top w:val="single" w:color="000000" w:sz="6" w:space="0"/>
            </w:tcBorders>
            <w:noWrap w:val="0"/>
            <w:vAlign w:val="center"/>
          </w:tcPr>
          <w:p w14:paraId="000B16DC">
            <w:pPr>
              <w:pStyle w:val="22"/>
              <w:keepLines w:val="0"/>
              <w:pageBreakBefore w:val="0"/>
              <w:kinsoku/>
              <w:wordWrap w:val="0"/>
              <w:overflowPunct/>
              <w:topLinePunct/>
              <w:autoSpaceDE/>
              <w:autoSpaceDN/>
              <w:bidi w:val="0"/>
              <w:spacing w:before="231" w:line="222" w:lineRule="auto"/>
              <w:jc w:val="center"/>
              <w:rPr>
                <w:rFonts w:hint="eastAsia" w:ascii="宋体" w:hAnsi="宋体" w:eastAsia="宋体" w:cs="宋体"/>
                <w:color w:val="auto"/>
                <w:sz w:val="21"/>
                <w:szCs w:val="21"/>
              </w:rPr>
            </w:pPr>
            <w:r>
              <w:rPr>
                <w:rFonts w:hint="eastAsia" w:ascii="宋体" w:hAnsi="宋体" w:eastAsia="宋体" w:cs="宋体"/>
                <w:b/>
                <w:bCs/>
                <w:color w:val="auto"/>
                <w:spacing w:val="-22"/>
                <w:sz w:val="21"/>
                <w:szCs w:val="21"/>
              </w:rPr>
              <w:t>品牌</w:t>
            </w:r>
          </w:p>
        </w:tc>
        <w:tc>
          <w:tcPr>
            <w:tcW w:w="978" w:type="dxa"/>
            <w:tcBorders>
              <w:top w:val="single" w:color="000000" w:sz="6" w:space="0"/>
            </w:tcBorders>
            <w:noWrap w:val="0"/>
            <w:vAlign w:val="center"/>
          </w:tcPr>
          <w:p w14:paraId="613B5442">
            <w:pPr>
              <w:pStyle w:val="22"/>
              <w:keepLines w:val="0"/>
              <w:pageBreakBefore w:val="0"/>
              <w:kinsoku/>
              <w:wordWrap w:val="0"/>
              <w:overflowPunct/>
              <w:topLinePunct/>
              <w:autoSpaceDE/>
              <w:autoSpaceDN/>
              <w:bidi w:val="0"/>
              <w:spacing w:before="230" w:line="222" w:lineRule="auto"/>
              <w:jc w:val="center"/>
              <w:rPr>
                <w:rFonts w:hint="eastAsia" w:ascii="宋体" w:hAnsi="宋体" w:eastAsia="宋体" w:cs="宋体"/>
                <w:b/>
                <w:bCs/>
                <w:color w:val="auto"/>
                <w:spacing w:val="-5"/>
                <w:sz w:val="21"/>
                <w:szCs w:val="21"/>
              </w:rPr>
            </w:pPr>
            <w:r>
              <w:rPr>
                <w:rFonts w:hint="eastAsia" w:ascii="宋体" w:hAnsi="宋体" w:eastAsia="宋体" w:cs="宋体"/>
                <w:b/>
                <w:bCs/>
                <w:color w:val="auto"/>
                <w:spacing w:val="-5"/>
                <w:sz w:val="21"/>
                <w:szCs w:val="21"/>
              </w:rPr>
              <w:t>制造商</w:t>
            </w:r>
          </w:p>
        </w:tc>
        <w:tc>
          <w:tcPr>
            <w:tcW w:w="779" w:type="dxa"/>
            <w:tcBorders>
              <w:top w:val="single" w:color="000000" w:sz="6" w:space="0"/>
            </w:tcBorders>
            <w:noWrap w:val="0"/>
            <w:vAlign w:val="center"/>
          </w:tcPr>
          <w:p w14:paraId="5EA78051">
            <w:pPr>
              <w:pStyle w:val="22"/>
              <w:keepLines w:val="0"/>
              <w:pageBreakBefore w:val="0"/>
              <w:kinsoku/>
              <w:wordWrap w:val="0"/>
              <w:overflowPunct/>
              <w:topLinePunct/>
              <w:autoSpaceDE/>
              <w:autoSpaceDN/>
              <w:bidi w:val="0"/>
              <w:spacing w:before="230" w:line="222" w:lineRule="auto"/>
              <w:jc w:val="center"/>
              <w:rPr>
                <w:rFonts w:hint="eastAsia" w:ascii="宋体" w:hAnsi="宋体" w:eastAsia="宋体" w:cs="宋体"/>
                <w:b/>
                <w:bCs/>
                <w:color w:val="auto"/>
                <w:spacing w:val="-5"/>
                <w:sz w:val="21"/>
                <w:szCs w:val="21"/>
                <w:lang w:val="en-US" w:eastAsia="zh-CN"/>
              </w:rPr>
            </w:pPr>
            <w:r>
              <w:rPr>
                <w:rFonts w:hint="eastAsia" w:ascii="宋体" w:hAnsi="宋体" w:eastAsia="宋体" w:cs="宋体"/>
                <w:b/>
                <w:bCs/>
                <w:color w:val="auto"/>
                <w:spacing w:val="-5"/>
                <w:sz w:val="21"/>
                <w:szCs w:val="21"/>
                <w:lang w:val="en-US" w:eastAsia="zh-CN"/>
              </w:rPr>
              <w:t>产品</w:t>
            </w:r>
          </w:p>
        </w:tc>
        <w:tc>
          <w:tcPr>
            <w:tcW w:w="883" w:type="dxa"/>
            <w:tcBorders>
              <w:top w:val="single" w:color="000000" w:sz="6" w:space="0"/>
            </w:tcBorders>
            <w:noWrap w:val="0"/>
            <w:vAlign w:val="center"/>
          </w:tcPr>
          <w:p w14:paraId="0F22FF4E">
            <w:pPr>
              <w:pStyle w:val="22"/>
              <w:keepLines w:val="0"/>
              <w:pageBreakBefore w:val="0"/>
              <w:kinsoku/>
              <w:wordWrap w:val="0"/>
              <w:overflowPunct/>
              <w:topLinePunct/>
              <w:autoSpaceDE/>
              <w:autoSpaceDN/>
              <w:bidi w:val="0"/>
              <w:spacing w:before="230" w:line="222" w:lineRule="auto"/>
              <w:jc w:val="center"/>
              <w:rPr>
                <w:rFonts w:hint="eastAsia" w:ascii="宋体" w:hAnsi="宋体" w:eastAsia="宋体" w:cs="宋体"/>
                <w:b/>
                <w:bCs/>
                <w:color w:val="auto"/>
                <w:spacing w:val="-5"/>
                <w:sz w:val="21"/>
                <w:szCs w:val="21"/>
              </w:rPr>
            </w:pPr>
            <w:r>
              <w:rPr>
                <w:rFonts w:hint="eastAsia" w:ascii="宋体" w:hAnsi="宋体" w:eastAsia="宋体" w:cs="宋体"/>
                <w:b/>
                <w:bCs/>
                <w:color w:val="auto"/>
                <w:spacing w:val="-5"/>
                <w:sz w:val="21"/>
                <w:szCs w:val="21"/>
              </w:rPr>
              <w:t>数量</w:t>
            </w:r>
          </w:p>
        </w:tc>
        <w:tc>
          <w:tcPr>
            <w:tcW w:w="624" w:type="dxa"/>
            <w:tcBorders>
              <w:top w:val="single" w:color="000000" w:sz="6" w:space="0"/>
            </w:tcBorders>
            <w:noWrap w:val="0"/>
            <w:vAlign w:val="center"/>
          </w:tcPr>
          <w:p w14:paraId="50B2BBD0">
            <w:pPr>
              <w:pStyle w:val="22"/>
              <w:keepLines w:val="0"/>
              <w:pageBreakBefore w:val="0"/>
              <w:kinsoku/>
              <w:wordWrap w:val="0"/>
              <w:overflowPunct/>
              <w:topLinePunct/>
              <w:autoSpaceDE/>
              <w:autoSpaceDN/>
              <w:bidi w:val="0"/>
              <w:spacing w:before="230" w:line="222" w:lineRule="auto"/>
              <w:jc w:val="center"/>
              <w:rPr>
                <w:rFonts w:hint="eastAsia" w:ascii="宋体" w:hAnsi="宋体" w:eastAsia="宋体" w:cs="宋体"/>
                <w:b/>
                <w:bCs/>
                <w:color w:val="auto"/>
                <w:spacing w:val="-5"/>
                <w:sz w:val="21"/>
                <w:szCs w:val="21"/>
              </w:rPr>
            </w:pPr>
            <w:r>
              <w:rPr>
                <w:rFonts w:hint="eastAsia" w:ascii="宋体" w:hAnsi="宋体" w:eastAsia="宋体" w:cs="宋体"/>
                <w:b/>
                <w:bCs/>
                <w:color w:val="auto"/>
                <w:spacing w:val="-5"/>
                <w:sz w:val="21"/>
                <w:szCs w:val="21"/>
              </w:rPr>
              <w:t>单价</w:t>
            </w:r>
          </w:p>
        </w:tc>
        <w:tc>
          <w:tcPr>
            <w:tcW w:w="1032" w:type="dxa"/>
            <w:tcBorders>
              <w:top w:val="single" w:color="000000" w:sz="6" w:space="0"/>
              <w:right w:val="single" w:color="000000" w:sz="6" w:space="0"/>
            </w:tcBorders>
            <w:noWrap w:val="0"/>
            <w:vAlign w:val="center"/>
          </w:tcPr>
          <w:p w14:paraId="29BBEF3D">
            <w:pPr>
              <w:pStyle w:val="22"/>
              <w:keepLines w:val="0"/>
              <w:pageBreakBefore w:val="0"/>
              <w:kinsoku/>
              <w:wordWrap w:val="0"/>
              <w:overflowPunct/>
              <w:topLinePunct/>
              <w:autoSpaceDE/>
              <w:autoSpaceDN/>
              <w:bidi w:val="0"/>
              <w:spacing w:before="231" w:line="223" w:lineRule="auto"/>
              <w:jc w:val="center"/>
              <w:rPr>
                <w:rFonts w:hint="eastAsia" w:ascii="宋体" w:hAnsi="宋体" w:eastAsia="宋体" w:cs="宋体"/>
                <w:color w:val="auto"/>
                <w:sz w:val="21"/>
                <w:szCs w:val="21"/>
              </w:rPr>
            </w:pPr>
            <w:r>
              <w:rPr>
                <w:rFonts w:hint="eastAsia" w:ascii="宋体" w:hAnsi="宋体" w:eastAsia="宋体" w:cs="宋体"/>
                <w:b/>
                <w:bCs/>
                <w:color w:val="auto"/>
                <w:spacing w:val="-9"/>
                <w:sz w:val="21"/>
                <w:szCs w:val="21"/>
                <w:lang w:val="en-US" w:eastAsia="zh-CN"/>
              </w:rPr>
              <w:t>小计</w:t>
            </w:r>
            <w:r>
              <w:rPr>
                <w:rFonts w:hint="eastAsia" w:ascii="宋体" w:hAnsi="宋体" w:eastAsia="宋体" w:cs="宋体"/>
                <w:b/>
                <w:bCs/>
                <w:color w:val="auto"/>
                <w:spacing w:val="-9"/>
                <w:sz w:val="21"/>
                <w:szCs w:val="21"/>
              </w:rPr>
              <w:t>金额</w:t>
            </w:r>
          </w:p>
        </w:tc>
      </w:tr>
      <w:tr w14:paraId="73EAD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51" w:type="dxa"/>
            <w:tcBorders>
              <w:left w:val="single" w:color="000000" w:sz="6" w:space="0"/>
            </w:tcBorders>
            <w:noWrap w:val="0"/>
            <w:vAlign w:val="top"/>
          </w:tcPr>
          <w:p w14:paraId="01768430">
            <w:pPr>
              <w:pStyle w:val="22"/>
              <w:keepLines w:val="0"/>
              <w:pageBreakBefore w:val="0"/>
              <w:kinsoku/>
              <w:wordWrap w:val="0"/>
              <w:overflowPunct/>
              <w:topLinePunct/>
              <w:autoSpaceDE/>
              <w:autoSpaceDN/>
              <w:bidi w:val="0"/>
              <w:spacing w:before="111" w:line="181" w:lineRule="auto"/>
              <w:ind w:left="381"/>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4" w:type="dxa"/>
            <w:noWrap w:val="0"/>
            <w:vAlign w:val="top"/>
          </w:tcPr>
          <w:p w14:paraId="40FB7517">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2179" w:type="dxa"/>
            <w:noWrap w:val="0"/>
            <w:vAlign w:val="top"/>
          </w:tcPr>
          <w:p w14:paraId="7A49719C">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775" w:type="dxa"/>
            <w:noWrap w:val="0"/>
            <w:vAlign w:val="top"/>
          </w:tcPr>
          <w:p w14:paraId="2656A2ED">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978" w:type="dxa"/>
            <w:noWrap w:val="0"/>
            <w:vAlign w:val="top"/>
          </w:tcPr>
          <w:p w14:paraId="144A32CD">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779" w:type="dxa"/>
            <w:noWrap w:val="0"/>
            <w:vAlign w:val="top"/>
          </w:tcPr>
          <w:p w14:paraId="194D2D85">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883" w:type="dxa"/>
            <w:noWrap w:val="0"/>
            <w:vAlign w:val="top"/>
          </w:tcPr>
          <w:p w14:paraId="154983BF">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624" w:type="dxa"/>
            <w:noWrap w:val="0"/>
            <w:vAlign w:val="top"/>
          </w:tcPr>
          <w:p w14:paraId="148D83C7">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1032" w:type="dxa"/>
            <w:tcBorders>
              <w:right w:val="single" w:color="000000" w:sz="6" w:space="0"/>
            </w:tcBorders>
            <w:noWrap w:val="0"/>
            <w:vAlign w:val="top"/>
          </w:tcPr>
          <w:p w14:paraId="46A90176">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r>
      <w:tr w14:paraId="71CE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51" w:type="dxa"/>
            <w:tcBorders>
              <w:left w:val="single" w:color="000000" w:sz="6" w:space="0"/>
            </w:tcBorders>
            <w:noWrap w:val="0"/>
            <w:vAlign w:val="top"/>
          </w:tcPr>
          <w:p w14:paraId="2EE9F82E">
            <w:pPr>
              <w:pStyle w:val="22"/>
              <w:keepLines w:val="0"/>
              <w:pageBreakBefore w:val="0"/>
              <w:kinsoku/>
              <w:wordWrap w:val="0"/>
              <w:overflowPunct/>
              <w:topLinePunct/>
              <w:autoSpaceDE/>
              <w:autoSpaceDN/>
              <w:bidi w:val="0"/>
              <w:spacing w:before="114" w:line="180" w:lineRule="auto"/>
              <w:ind w:left="36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4" w:type="dxa"/>
            <w:noWrap w:val="0"/>
            <w:vAlign w:val="top"/>
          </w:tcPr>
          <w:p w14:paraId="6D4B39C3">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2179" w:type="dxa"/>
            <w:noWrap w:val="0"/>
            <w:vAlign w:val="top"/>
          </w:tcPr>
          <w:p w14:paraId="21C4564D">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775" w:type="dxa"/>
            <w:noWrap w:val="0"/>
            <w:vAlign w:val="top"/>
          </w:tcPr>
          <w:p w14:paraId="12922AEE">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978" w:type="dxa"/>
            <w:noWrap w:val="0"/>
            <w:vAlign w:val="top"/>
          </w:tcPr>
          <w:p w14:paraId="257449B1">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779" w:type="dxa"/>
            <w:noWrap w:val="0"/>
            <w:vAlign w:val="top"/>
          </w:tcPr>
          <w:p w14:paraId="238A9F2C">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883" w:type="dxa"/>
            <w:noWrap w:val="0"/>
            <w:vAlign w:val="top"/>
          </w:tcPr>
          <w:p w14:paraId="519E183F">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624" w:type="dxa"/>
            <w:noWrap w:val="0"/>
            <w:vAlign w:val="top"/>
          </w:tcPr>
          <w:p w14:paraId="29132109">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1032" w:type="dxa"/>
            <w:tcBorders>
              <w:right w:val="single" w:color="000000" w:sz="6" w:space="0"/>
            </w:tcBorders>
            <w:noWrap w:val="0"/>
            <w:vAlign w:val="top"/>
          </w:tcPr>
          <w:p w14:paraId="33844D10">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r>
      <w:tr w14:paraId="0471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51" w:type="dxa"/>
            <w:tcBorders>
              <w:left w:val="single" w:color="000000" w:sz="6" w:space="0"/>
            </w:tcBorders>
            <w:noWrap w:val="0"/>
            <w:vAlign w:val="top"/>
          </w:tcPr>
          <w:p w14:paraId="64461888">
            <w:pPr>
              <w:pStyle w:val="22"/>
              <w:keepLines w:val="0"/>
              <w:pageBreakBefore w:val="0"/>
              <w:kinsoku/>
              <w:wordWrap w:val="0"/>
              <w:overflowPunct/>
              <w:topLinePunct/>
              <w:autoSpaceDE/>
              <w:autoSpaceDN/>
              <w:bidi w:val="0"/>
              <w:spacing w:before="73" w:line="231" w:lineRule="auto"/>
              <w:ind w:left="32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274" w:type="dxa"/>
            <w:noWrap w:val="0"/>
            <w:vAlign w:val="top"/>
          </w:tcPr>
          <w:p w14:paraId="296F820B">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2179" w:type="dxa"/>
            <w:noWrap w:val="0"/>
            <w:vAlign w:val="top"/>
          </w:tcPr>
          <w:p w14:paraId="14876661">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775" w:type="dxa"/>
            <w:noWrap w:val="0"/>
            <w:vAlign w:val="top"/>
          </w:tcPr>
          <w:p w14:paraId="60F2FE2C">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978" w:type="dxa"/>
            <w:noWrap w:val="0"/>
            <w:vAlign w:val="top"/>
          </w:tcPr>
          <w:p w14:paraId="53ADD584">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779" w:type="dxa"/>
            <w:noWrap w:val="0"/>
            <w:vAlign w:val="top"/>
          </w:tcPr>
          <w:p w14:paraId="7FECD3A0">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883" w:type="dxa"/>
            <w:noWrap w:val="0"/>
            <w:vAlign w:val="top"/>
          </w:tcPr>
          <w:p w14:paraId="12980582">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624" w:type="dxa"/>
            <w:noWrap w:val="0"/>
            <w:vAlign w:val="top"/>
          </w:tcPr>
          <w:p w14:paraId="56CC517E">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c>
          <w:tcPr>
            <w:tcW w:w="1032" w:type="dxa"/>
            <w:tcBorders>
              <w:right w:val="single" w:color="000000" w:sz="6" w:space="0"/>
            </w:tcBorders>
            <w:noWrap w:val="0"/>
            <w:vAlign w:val="top"/>
          </w:tcPr>
          <w:p w14:paraId="4D0C8F1A">
            <w:pPr>
              <w:keepLines w:val="0"/>
              <w:pageBreakBefore w:val="0"/>
              <w:kinsoku/>
              <w:wordWrap w:val="0"/>
              <w:overflowPunct/>
              <w:topLinePunct/>
              <w:autoSpaceDE/>
              <w:autoSpaceDN/>
              <w:bidi w:val="0"/>
              <w:jc w:val="both"/>
              <w:rPr>
                <w:rFonts w:hint="eastAsia" w:ascii="宋体" w:hAnsi="宋体" w:eastAsia="宋体" w:cs="宋体"/>
                <w:color w:val="auto"/>
                <w:sz w:val="21"/>
                <w:szCs w:val="21"/>
              </w:rPr>
            </w:pPr>
          </w:p>
        </w:tc>
      </w:tr>
      <w:tr w14:paraId="28B1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2125" w:type="dxa"/>
            <w:gridSpan w:val="2"/>
            <w:tcBorders>
              <w:top w:val="single" w:color="000000" w:sz="6" w:space="0"/>
              <w:left w:val="single" w:color="000000" w:sz="6" w:space="0"/>
              <w:bottom w:val="single" w:color="000000" w:sz="6" w:space="0"/>
            </w:tcBorders>
            <w:noWrap w:val="0"/>
            <w:vAlign w:val="top"/>
          </w:tcPr>
          <w:p w14:paraId="06420138">
            <w:pPr>
              <w:pStyle w:val="22"/>
              <w:keepLines w:val="0"/>
              <w:pageBreakBefore w:val="0"/>
              <w:kinsoku/>
              <w:wordWrap w:val="0"/>
              <w:overflowPunct/>
              <w:topLinePunct/>
              <w:autoSpaceDE/>
              <w:autoSpaceDN/>
              <w:bidi w:val="0"/>
              <w:spacing w:before="78" w:line="222" w:lineRule="auto"/>
              <w:ind w:left="581"/>
              <w:jc w:val="both"/>
              <w:rPr>
                <w:rFonts w:hint="eastAsia" w:ascii="宋体" w:hAnsi="宋体" w:eastAsia="宋体" w:cs="宋体"/>
                <w:color w:val="auto"/>
                <w:spacing w:val="-2"/>
                <w:sz w:val="21"/>
                <w:szCs w:val="21"/>
              </w:rPr>
            </w:pPr>
          </w:p>
          <w:p w14:paraId="75A944F0">
            <w:pPr>
              <w:pStyle w:val="22"/>
              <w:keepLines w:val="0"/>
              <w:pageBreakBefore w:val="0"/>
              <w:kinsoku/>
              <w:wordWrap w:val="0"/>
              <w:overflowPunct/>
              <w:topLinePunct/>
              <w:autoSpaceDE/>
              <w:autoSpaceDN/>
              <w:bidi w:val="0"/>
              <w:spacing w:before="78" w:line="222"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投标报价合计</w:t>
            </w:r>
          </w:p>
        </w:tc>
        <w:tc>
          <w:tcPr>
            <w:tcW w:w="7250" w:type="dxa"/>
            <w:gridSpan w:val="7"/>
            <w:tcBorders>
              <w:top w:val="single" w:color="000000" w:sz="6" w:space="0"/>
              <w:bottom w:val="single" w:color="000000" w:sz="6" w:space="0"/>
              <w:right w:val="single" w:color="000000" w:sz="6" w:space="0"/>
            </w:tcBorders>
            <w:noWrap w:val="0"/>
            <w:vAlign w:val="top"/>
          </w:tcPr>
          <w:p w14:paraId="1BDB2E99">
            <w:pPr>
              <w:keepLines w:val="0"/>
              <w:pageBreakBefore w:val="0"/>
              <w:kinsoku/>
              <w:wordWrap w:val="0"/>
              <w:overflowPunct/>
              <w:topLinePunct/>
              <w:autoSpaceDE/>
              <w:autoSpaceDN/>
              <w:bidi w:val="0"/>
              <w:spacing w:line="264" w:lineRule="auto"/>
              <w:jc w:val="both"/>
              <w:rPr>
                <w:rFonts w:hint="eastAsia" w:ascii="宋体" w:hAnsi="宋体" w:eastAsia="宋体" w:cs="宋体"/>
                <w:color w:val="auto"/>
                <w:sz w:val="21"/>
                <w:szCs w:val="21"/>
                <w:lang w:val="en-US" w:eastAsia="zh-CN"/>
              </w:rPr>
            </w:pPr>
          </w:p>
          <w:p w14:paraId="0F674B50">
            <w:pPr>
              <w:keepLines w:val="0"/>
              <w:pageBreakBefore w:val="0"/>
              <w:kinsoku/>
              <w:wordWrap w:val="0"/>
              <w:overflowPunct/>
              <w:topLinePunct/>
              <w:autoSpaceDE/>
              <w:autoSpaceDN/>
              <w:bidi w:val="0"/>
              <w:spacing w:line="264"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大写：</w:t>
            </w:r>
          </w:p>
          <w:p w14:paraId="047F359A">
            <w:pPr>
              <w:pStyle w:val="22"/>
              <w:keepLines w:val="0"/>
              <w:pageBreakBefore w:val="0"/>
              <w:kinsoku/>
              <w:wordWrap w:val="0"/>
              <w:overflowPunct/>
              <w:topLinePunct/>
              <w:autoSpaceDE/>
              <w:autoSpaceDN/>
              <w:bidi w:val="0"/>
              <w:spacing w:before="78" w:line="224"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小写：</w:t>
            </w:r>
          </w:p>
          <w:p w14:paraId="6B4C4315">
            <w:pPr>
              <w:pStyle w:val="22"/>
              <w:keepLines w:val="0"/>
              <w:pageBreakBefore w:val="0"/>
              <w:kinsoku/>
              <w:wordWrap w:val="0"/>
              <w:overflowPunct/>
              <w:topLinePunct/>
              <w:autoSpaceDE/>
              <w:autoSpaceDN/>
              <w:bidi w:val="0"/>
              <w:spacing w:before="89" w:line="221" w:lineRule="auto"/>
              <w:ind w:right="29"/>
              <w:jc w:val="both"/>
              <w:rPr>
                <w:rFonts w:hint="eastAsia" w:ascii="宋体" w:hAnsi="宋体" w:eastAsia="宋体" w:cs="宋体"/>
                <w:color w:val="auto"/>
                <w:sz w:val="21"/>
                <w:szCs w:val="21"/>
              </w:rPr>
            </w:pPr>
            <w:r>
              <w:rPr>
                <w:rFonts w:hint="eastAsia" w:ascii="宋体" w:hAnsi="宋体" w:eastAsia="宋体" w:cs="宋体"/>
                <w:color w:val="auto"/>
                <w:sz w:val="21"/>
                <w:szCs w:val="21"/>
              </w:rPr>
              <w:t>单位：元（保留到元）</w:t>
            </w:r>
          </w:p>
        </w:tc>
      </w:tr>
    </w:tbl>
    <w:p w14:paraId="6BF98F5D">
      <w:pPr>
        <w:keepLines w:val="0"/>
        <w:pageBreakBefore w:val="0"/>
        <w:kinsoku/>
        <w:wordWrap w:val="0"/>
        <w:overflowPunct/>
        <w:topLinePunct/>
        <w:autoSpaceDE/>
        <w:autoSpaceDN/>
        <w:bidi w:val="0"/>
        <w:jc w:val="both"/>
        <w:rPr>
          <w:rFonts w:hint="eastAsia" w:ascii="宋体" w:hAnsi="宋体" w:eastAsia="宋体" w:cs="宋体"/>
          <w:b/>
          <w:bCs/>
          <w:color w:val="auto"/>
          <w:sz w:val="21"/>
          <w:szCs w:val="21"/>
          <w:highlight w:val="none"/>
        </w:rPr>
      </w:pPr>
    </w:p>
    <w:bookmarkEnd w:id="84"/>
    <w:p w14:paraId="3F45B16E">
      <w:pPr>
        <w:keepLines w:val="0"/>
        <w:pageBreakBefore w:val="0"/>
        <w:tabs>
          <w:tab w:val="right" w:pos="9072"/>
        </w:tabs>
        <w:kinsoku/>
        <w:wordWrap w:val="0"/>
        <w:overflowPunct/>
        <w:topLinePunct/>
        <w:autoSpaceDE/>
        <w:autoSpaceDN/>
        <w:bidi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1、表内报价内容以元为单位，最多保留小数点后两位。</w:t>
      </w:r>
    </w:p>
    <w:p w14:paraId="0D8FC150">
      <w:pPr>
        <w:keepLines w:val="0"/>
        <w:pageBreakBefore w:val="0"/>
        <w:tabs>
          <w:tab w:val="right" w:pos="9072"/>
        </w:tabs>
        <w:kinsoku/>
        <w:wordWrap w:val="0"/>
        <w:overflowPunct/>
        <w:topLinePunct/>
        <w:autoSpaceDE/>
        <w:autoSpaceDN/>
        <w:bidi w:val="0"/>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本表“投标报价”金额应与“开标一览表”中的“投标报价”一致；</w:t>
      </w:r>
    </w:p>
    <w:p w14:paraId="63E36140">
      <w:pPr>
        <w:keepLines w:val="0"/>
        <w:pageBreakBefore w:val="0"/>
        <w:tabs>
          <w:tab w:val="right" w:pos="9072"/>
        </w:tabs>
        <w:kinsoku/>
        <w:wordWrap w:val="0"/>
        <w:overflowPunct/>
        <w:topLinePunct/>
        <w:autoSpaceDE/>
        <w:autoSpaceDN/>
        <w:bidi w:val="0"/>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、本表为样表，仅供参考，</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根据项目实际需求进行填写。</w:t>
      </w:r>
    </w:p>
    <w:p w14:paraId="04AAD23D">
      <w:pPr>
        <w:keepLines w:val="0"/>
        <w:pageBreakBefore w:val="0"/>
        <w:tabs>
          <w:tab w:val="right" w:pos="9072"/>
        </w:tabs>
        <w:kinsoku/>
        <w:wordWrap w:val="0"/>
        <w:overflowPunct/>
        <w:topLinePunct/>
        <w:autoSpaceDE/>
        <w:autoSpaceDN/>
        <w:bidi w:val="0"/>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、可根据上表内容补充、完善，分项价格应完整、清晰明确且计算准确。</w:t>
      </w:r>
    </w:p>
    <w:p w14:paraId="63578111">
      <w:pPr>
        <w:keepLines w:val="0"/>
        <w:pageBreakBefore w:val="0"/>
        <w:kinsoku/>
        <w:wordWrap w:val="0"/>
        <w:overflowPunct/>
        <w:topLinePunct/>
        <w:autoSpaceDE/>
        <w:autoSpaceDN/>
        <w:bidi w:val="0"/>
        <w:jc w:val="both"/>
        <w:rPr>
          <w:rFonts w:hint="eastAsia" w:ascii="宋体" w:hAnsi="宋体" w:eastAsia="宋体" w:cs="宋体"/>
          <w:color w:val="auto"/>
          <w:sz w:val="21"/>
          <w:szCs w:val="21"/>
          <w:highlight w:val="none"/>
        </w:rPr>
      </w:pPr>
    </w:p>
    <w:p w14:paraId="1F336F56">
      <w:pPr>
        <w:keepLines w:val="0"/>
        <w:pageBreakBefore w:val="0"/>
        <w:kinsoku/>
        <w:wordWrap w:val="0"/>
        <w:overflowPunct/>
        <w:topLinePunct/>
        <w:autoSpaceDE/>
        <w:autoSpaceDN/>
        <w:bidi w:val="0"/>
        <w:jc w:val="both"/>
        <w:rPr>
          <w:rFonts w:hint="eastAsia" w:ascii="宋体" w:hAnsi="宋体" w:eastAsia="宋体" w:cs="宋体"/>
          <w:color w:val="auto"/>
          <w:sz w:val="21"/>
          <w:szCs w:val="21"/>
          <w:highlight w:val="none"/>
        </w:rPr>
      </w:pPr>
    </w:p>
    <w:p w14:paraId="66ED51E1">
      <w:pPr>
        <w:pStyle w:val="7"/>
        <w:keepLines w:val="0"/>
        <w:pageBreakBefore w:val="0"/>
        <w:kinsoku/>
        <w:wordWrap w:val="0"/>
        <w:overflowPunct/>
        <w:topLinePunct/>
        <w:autoSpaceDE/>
        <w:autoSpaceDN/>
        <w:bidi w:val="0"/>
        <w:ind w:firstLine="211" w:firstLineChars="1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全称（公章）：</w:t>
      </w:r>
    </w:p>
    <w:p w14:paraId="377E0B68">
      <w:pPr>
        <w:pStyle w:val="7"/>
        <w:keepLines w:val="0"/>
        <w:pageBreakBefore w:val="0"/>
        <w:kinsoku/>
        <w:wordWrap w:val="0"/>
        <w:overflowPunct/>
        <w:topLinePunct/>
        <w:autoSpaceDE/>
        <w:autoSpaceDN/>
        <w:bidi w:val="0"/>
        <w:ind w:firstLine="211" w:firstLineChars="100"/>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法定代表人或被授权人（签字或盖章）：</w:t>
      </w:r>
    </w:p>
    <w:p w14:paraId="1133B502">
      <w:pPr>
        <w:keepLines w:val="0"/>
        <w:pageBreakBefore w:val="0"/>
        <w:kinsoku/>
        <w:wordWrap w:val="0"/>
        <w:overflowPunct/>
        <w:topLinePunct/>
        <w:autoSpaceDE/>
        <w:autoSpaceDN/>
        <w:bidi w:val="0"/>
        <w:ind w:firstLine="211" w:firstLineChars="1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日  期：</w:t>
      </w:r>
      <w:r>
        <w:rPr>
          <w:rFonts w:hint="eastAsia" w:ascii="宋体" w:hAnsi="宋体" w:eastAsia="宋体" w:cs="宋体"/>
          <w:b/>
          <w:bCs/>
          <w:color w:val="auto"/>
          <w:sz w:val="21"/>
          <w:szCs w:val="21"/>
          <w:highlight w:val="none"/>
          <w:u w:val="single"/>
          <w:lang w:bidi="ar"/>
        </w:rPr>
        <w:t xml:space="preserve">        </w:t>
      </w:r>
      <w:r>
        <w:rPr>
          <w:rFonts w:hint="eastAsia" w:ascii="宋体" w:hAnsi="宋体" w:eastAsia="宋体" w:cs="宋体"/>
          <w:b/>
          <w:bCs/>
          <w:color w:val="auto"/>
          <w:sz w:val="21"/>
          <w:szCs w:val="21"/>
          <w:highlight w:val="none"/>
          <w:lang w:bidi="ar"/>
        </w:rPr>
        <w:t>年</w:t>
      </w:r>
      <w:r>
        <w:rPr>
          <w:rFonts w:hint="eastAsia" w:ascii="宋体" w:hAnsi="宋体" w:eastAsia="宋体" w:cs="宋体"/>
          <w:b/>
          <w:bCs/>
          <w:color w:val="auto"/>
          <w:sz w:val="21"/>
          <w:szCs w:val="21"/>
          <w:highlight w:val="none"/>
          <w:u w:val="single"/>
          <w:lang w:bidi="ar"/>
        </w:rPr>
        <w:t xml:space="preserve">    </w:t>
      </w:r>
      <w:r>
        <w:rPr>
          <w:rFonts w:hint="eastAsia" w:ascii="宋体" w:hAnsi="宋体" w:eastAsia="宋体" w:cs="宋体"/>
          <w:b/>
          <w:bCs/>
          <w:color w:val="auto"/>
          <w:sz w:val="21"/>
          <w:szCs w:val="21"/>
          <w:highlight w:val="none"/>
          <w:lang w:bidi="ar"/>
        </w:rPr>
        <w:t>月</w:t>
      </w:r>
      <w:r>
        <w:rPr>
          <w:rFonts w:hint="eastAsia" w:ascii="宋体" w:hAnsi="宋体" w:eastAsia="宋体" w:cs="宋体"/>
          <w:b/>
          <w:bCs/>
          <w:color w:val="auto"/>
          <w:sz w:val="21"/>
          <w:szCs w:val="21"/>
          <w:highlight w:val="none"/>
          <w:u w:val="single"/>
          <w:lang w:bidi="ar"/>
        </w:rPr>
        <w:t xml:space="preserve">    </w:t>
      </w:r>
      <w:r>
        <w:rPr>
          <w:rFonts w:hint="eastAsia" w:ascii="宋体" w:hAnsi="宋体" w:eastAsia="宋体" w:cs="宋体"/>
          <w:b/>
          <w:bCs/>
          <w:color w:val="auto"/>
          <w:sz w:val="21"/>
          <w:szCs w:val="21"/>
          <w:highlight w:val="none"/>
          <w:lang w:bidi="ar"/>
        </w:rPr>
        <w:t>日</w:t>
      </w:r>
    </w:p>
    <w:p w14:paraId="7CC57257">
      <w:pPr>
        <w:keepNext w:val="0"/>
        <w:keepLines w:val="0"/>
        <w:pageBreakBefore w:val="0"/>
        <w:kinsoku/>
        <w:wordWrap w:val="0"/>
        <w:overflowPunct/>
        <w:topLinePunct/>
        <w:autoSpaceDE/>
        <w:autoSpaceDN/>
        <w:bidi w:val="0"/>
        <w:jc w:val="both"/>
        <w:rPr>
          <w:rFonts w:hint="eastAsia" w:ascii="宋体" w:hAnsi="宋体" w:eastAsia="宋体" w:cs="宋体"/>
          <w:color w:val="auto"/>
          <w:kern w:val="0"/>
          <w:sz w:val="28"/>
          <w:szCs w:val="28"/>
          <w:highlight w:val="none"/>
          <w:lang w:val="zh-CN" w:bidi="zh-CN"/>
        </w:rPr>
      </w:pPr>
    </w:p>
    <w:p w14:paraId="76C89B27">
      <w:pPr>
        <w:pStyle w:val="5"/>
        <w:keepNext w:val="0"/>
        <w:keepLines w:val="0"/>
        <w:pageBreakBefore w:val="0"/>
        <w:kinsoku/>
        <w:wordWrap w:val="0"/>
        <w:overflowPunct/>
        <w:topLinePunct/>
        <w:autoSpaceDE/>
        <w:autoSpaceDN/>
        <w:bidi w:val="0"/>
        <w:ind w:firstLine="640"/>
        <w:jc w:val="both"/>
        <w:rPr>
          <w:rFonts w:hint="eastAsia" w:ascii="宋体" w:hAnsi="宋体" w:eastAsia="宋体" w:cs="宋体"/>
          <w:color w:val="auto"/>
          <w:sz w:val="28"/>
          <w:szCs w:val="28"/>
          <w:highlight w:val="none"/>
          <w:lang w:val="zh-CN"/>
        </w:rPr>
      </w:pPr>
    </w:p>
    <w:p w14:paraId="5DA6EAE6">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p>
    <w:p w14:paraId="39DEAA96">
      <w:pPr>
        <w:keepNext w:val="0"/>
        <w:keepLines w:val="0"/>
        <w:pageBreakBefore w:val="0"/>
        <w:widowControl/>
        <w:kinsoku/>
        <w:wordWrap w:val="0"/>
        <w:overflowPunct/>
        <w:topLinePunct/>
        <w:autoSpaceDE/>
        <w:autoSpaceDN/>
        <w:bidi w:val="0"/>
        <w:adjustRightInd w:val="0"/>
        <w:snapToGrid w:val="0"/>
        <w:spacing w:line="440" w:lineRule="exact"/>
        <w:jc w:val="both"/>
        <w:rPr>
          <w:rFonts w:hint="eastAsia" w:ascii="宋体" w:hAnsi="宋体" w:eastAsia="宋体" w:cs="宋体"/>
          <w:b/>
          <w:bCs/>
          <w:color w:val="auto"/>
          <w:sz w:val="30"/>
          <w:szCs w:val="30"/>
          <w:highlight w:val="none"/>
        </w:rPr>
      </w:pPr>
    </w:p>
    <w:p w14:paraId="1B9E43BF">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sectPr>
          <w:headerReference r:id="rId24" w:type="default"/>
          <w:footerReference r:id="rId26" w:type="default"/>
          <w:headerReference r:id="rId25" w:type="even"/>
          <w:footerReference r:id="rId27" w:type="even"/>
          <w:pgSz w:w="11906" w:h="16838"/>
          <w:pgMar w:top="1417" w:right="1417" w:bottom="1417" w:left="1417" w:header="850" w:footer="992" w:gutter="0"/>
          <w:pgNumType w:fmt="decimal" w:chapStyle="1"/>
          <w:cols w:space="720" w:num="1"/>
          <w:docGrid w:type="lines" w:linePitch="381" w:charSpace="0"/>
        </w:sectPr>
      </w:pPr>
    </w:p>
    <w:p w14:paraId="269E2480">
      <w:pPr>
        <w:keepNext w:val="0"/>
        <w:keepLines w:val="0"/>
        <w:pageBreakBefore w:val="0"/>
        <w:widowControl/>
        <w:kinsoku/>
        <w:wordWrap w:val="0"/>
        <w:overflowPunct/>
        <w:topLinePunct/>
        <w:autoSpaceDE/>
        <w:autoSpaceDN/>
        <w:bidi w:val="0"/>
        <w:jc w:val="center"/>
        <w:outlineLvl w:val="0"/>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第三部分</w:t>
      </w:r>
      <w:r>
        <w:rPr>
          <w:rFonts w:hint="eastAsia" w:ascii="宋体" w:hAnsi="宋体" w:eastAsia="宋体" w:cs="宋体"/>
          <w:b/>
          <w:bCs/>
          <w:color w:val="auto"/>
          <w:sz w:val="32"/>
          <w:szCs w:val="36"/>
          <w:highlight w:val="none"/>
          <w:lang w:val="en-US" w:eastAsia="zh-CN"/>
        </w:rPr>
        <w:t xml:space="preserve"> </w:t>
      </w:r>
      <w:r>
        <w:rPr>
          <w:rFonts w:hint="eastAsia" w:ascii="宋体" w:hAnsi="宋体" w:eastAsia="宋体" w:cs="宋体"/>
          <w:b/>
          <w:bCs/>
          <w:color w:val="auto"/>
          <w:sz w:val="32"/>
          <w:szCs w:val="36"/>
          <w:highlight w:val="none"/>
        </w:rPr>
        <w:t>资格证明文件</w:t>
      </w:r>
      <w:bookmarkEnd w:id="82"/>
      <w:bookmarkEnd w:id="83"/>
    </w:p>
    <w:p w14:paraId="2F25D571">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应按照《</w:t>
      </w:r>
      <w:r>
        <w:rPr>
          <w:rFonts w:hint="eastAsia" w:ascii="宋体" w:hAnsi="宋体" w:eastAsia="宋体" w:cs="宋体"/>
          <w:color w:val="auto"/>
          <w:sz w:val="28"/>
          <w:szCs w:val="28"/>
          <w:highlight w:val="none"/>
          <w:lang w:eastAsia="zh-CN"/>
        </w:rPr>
        <w:t>谈判公告</w:t>
      </w:r>
      <w:r>
        <w:rPr>
          <w:rFonts w:hint="eastAsia" w:ascii="宋体" w:hAnsi="宋体" w:eastAsia="宋体" w:cs="宋体"/>
          <w:color w:val="auto"/>
          <w:sz w:val="28"/>
          <w:szCs w:val="28"/>
          <w:highlight w:val="none"/>
        </w:rPr>
        <w:t>》所列“</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资格要求”提供全部资格证明文件，缺少其中任何一项，其响应文件将被视为无效文件。</w:t>
      </w:r>
      <w:r>
        <w:rPr>
          <w:rFonts w:hint="eastAsia" w:ascii="宋体" w:hAnsi="宋体" w:eastAsia="宋体" w:cs="宋体"/>
          <w:color w:val="auto"/>
          <w:sz w:val="28"/>
          <w:szCs w:val="28"/>
          <w:highlight w:val="none"/>
          <w:lang w:val="en-US" w:eastAsia="zh-CN"/>
        </w:rPr>
        <w:t>《榆林市政府采购工程类/货物类/服务类项目供应商信用承诺书》</w:t>
      </w:r>
      <w:r>
        <w:rPr>
          <w:rFonts w:hint="eastAsia" w:ascii="宋体" w:hAnsi="宋体" w:eastAsia="宋体" w:cs="宋体"/>
          <w:color w:val="auto"/>
          <w:sz w:val="28"/>
          <w:szCs w:val="28"/>
          <w:highlight w:val="none"/>
          <w:lang w:eastAsia="zh-CN"/>
        </w:rPr>
        <w:t>应按下文给定格式填写，否则按无效处理。</w:t>
      </w:r>
    </w:p>
    <w:p w14:paraId="6392A778">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人应为具有独立承担民事责任能力的法人、其他组织或自然人，并出具企业合法有效的标识有统一社会信用代码的营业执照(附营业执照的2024年企业年度报告书)或事业单位法人证书等国家规定的相关证明，自然人参与的提供其身份证明；</w:t>
      </w:r>
    </w:p>
    <w:p w14:paraId="4E0E0CB1">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2、投标人须提供至少一份2022年1月至今类似项目业绩合同证明材料；</w:t>
      </w:r>
    </w:p>
    <w:p w14:paraId="19016757">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投标人应提供2024年度企业财务制度和经审计的财务报告（报告需具有二维码及其编码，且在注册会计师监管平台可查询。报告须包括“四表一注”，即资产负债表、利润表、现金流量表、所有者权益变动表及其附注）；成立时间至提交响应文件截止时间不足一年的可提供成立后任意时段的资产负债表或其开标前六个月内银行出具的资信证明；</w:t>
      </w:r>
    </w:p>
    <w:p w14:paraId="60475CDD">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4、投标人应提供递交响应文件截止之日前一年内任意一个月的依法缴纳税款的相关凭据（时间以税款所属日期为准、税种须包含增值税或企业所得税），凭据应有税务机关或代收机关的公章或业务专用章。依法免税或无须缴纳税款的投标人，应提供相关证明文件； </w:t>
      </w:r>
    </w:p>
    <w:p w14:paraId="0FD26BB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5、投标人应提供递交响应文件截止之日前一年内任意一个月的社会保障资金缴存单据或社保机构开具的社会保险参保缴费情况证明，依法不需要缴纳社会保障资金的单位应提供相关证明材料。</w:t>
      </w:r>
    </w:p>
    <w:p w14:paraId="7F068A78">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2E1C8069">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42C9D6EA">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50FA707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75195CC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24233F2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76A0932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0364A49E">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48B37C3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13557A85">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lang w:eastAsia="zh-CN"/>
        </w:rPr>
      </w:pPr>
    </w:p>
    <w:p w14:paraId="66300821">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bookmarkStart w:id="85" w:name="_Toc5259"/>
    </w:p>
    <w:bookmarkEnd w:id="85"/>
    <w:p w14:paraId="7780164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6、供应商信用承诺书</w:t>
      </w:r>
    </w:p>
    <w:p w14:paraId="58868B7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应在“信用中国（陕西榆林）”网站进行注册、登录，自主上报信用承诺书（网址：https://credit.yl.gov.cn/）。承诺事项：《榆林市政府采购工程类/货物类/服务类项目供应商信用承诺书》，需上传至承诺附件；承诺有效期为一年。</w:t>
      </w:r>
    </w:p>
    <w:p w14:paraId="0C09F92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9074F9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EA957A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999558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5035065">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4A349C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D502FF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DFC27C3">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CE7CFF3">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1F5E456">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4BD78E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6C5549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C31358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7F52CB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310197B">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654BFE6">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44FA12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345C2E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04B870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86C2EE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B3B8EC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89637AB">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E5E1AB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AA0FD8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82613E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213346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A303C3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53F643A">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C77C14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EBEF62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6589BA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F04853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89544E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E69A7F6">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榆林市政府采购工程类/货物类/服务类项目供应商信用承诺书</w:t>
      </w:r>
    </w:p>
    <w:p w14:paraId="0AAB9A29">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市场主体名称：</w:t>
      </w:r>
    </w:p>
    <w:p w14:paraId="1B8266D8">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证件类型：统一社会信用代码</w:t>
      </w:r>
    </w:p>
    <w:p w14:paraId="58AB6AAF">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证件号码：</w:t>
      </w:r>
    </w:p>
    <w:p w14:paraId="5E147D3C">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法人代表：</w:t>
      </w:r>
    </w:p>
    <w:p w14:paraId="56D1BAFB">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承诺有效期限：    年    月    日—      年     月     日</w:t>
      </w:r>
    </w:p>
    <w:p w14:paraId="6494E924">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承诺内容：</w:t>
      </w:r>
    </w:p>
    <w:p w14:paraId="1640A043">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为维护公开、公平、公正的政府采购市场秩序，树立诚实守信的政府采购</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rPr>
        <w:t>形象，本单位自愿做出以下承诺：</w:t>
      </w:r>
    </w:p>
    <w:p w14:paraId="7173E1C8">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一、承诺本单位严格遵守国家法律、法规和规章，全面履行应尽的责任和义务，全面做到履约守信，具备《政府采购法》第二十二条第一款规定的条件;</w:t>
      </w:r>
    </w:p>
    <w:p w14:paraId="109781BE">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二、承诺本单位提供给注册登记部门、行业管理部门、司法部门、行业组织以及在政府采购活动中提交的所有资料均合法、真实、有效，无任何伪造、修改、虚假成份，并对所提供资料的真实性负责；</w:t>
      </w:r>
    </w:p>
    <w:p w14:paraId="326B7620">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三、承诺本单位严格依法开展生产经营活动，主动接受行业监管，自愿接受依法开展的日常检查；违法失信经营后将自愿接受约束和惩戒，并依法承担相应责任；</w:t>
      </w:r>
    </w:p>
    <w:p w14:paraId="3B0AA7F4">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四、承诺本单位自觉接受行政管理部门、行业组织、社会公众、新闻舆论的监督；</w:t>
      </w:r>
    </w:p>
    <w:p w14:paraId="1AF302D9">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五、承诺本单位自我约束、自我管理，重合同、守信用，不制假售假、商标侵权、虚假宣传、违约毁约、恶意逃债、偷税漏税、价格欺诈、垄断和不正当竞争，维护经营者、消费者的合法权益；</w:t>
      </w:r>
    </w:p>
    <w:p w14:paraId="32BAD633">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六、承诺本单位提出政府采购质疑和投诉坚持依法依规、诚实信用原则，在全国范围内没有三次以上查无实据的政府采购投诉；</w:t>
      </w:r>
    </w:p>
    <w:p w14:paraId="357ED6C1">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xml:space="preserve">七、根据政府采购相关法律法规的规定需要作出的其他承诺： </w:t>
      </w:r>
      <w:r>
        <w:rPr>
          <w:rFonts w:hint="eastAsia" w:ascii="宋体" w:hAnsi="宋体" w:eastAsia="宋体" w:cs="宋体"/>
          <w:color w:val="auto"/>
          <w:sz w:val="28"/>
          <w:szCs w:val="28"/>
          <w:highlight w:val="none"/>
          <w:u w:val="single"/>
          <w:lang w:val="en-US"/>
        </w:rPr>
        <w:t xml:space="preserve">                                         </w:t>
      </w:r>
    </w:p>
    <w:p w14:paraId="48DE51C2">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DB8803E">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p>
    <w:p w14:paraId="21EA0F89">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承诺单位（盖章）：</w:t>
      </w:r>
    </w:p>
    <w:p w14:paraId="68685F13">
      <w:pPr>
        <w:pStyle w:val="28"/>
        <w:keepNext w:val="0"/>
        <w:keepLines w:val="0"/>
        <w:pageBreakBefore w:val="0"/>
        <w:kinsoku/>
        <w:wordWrap w:val="0"/>
        <w:overflowPunct/>
        <w:topLinePunct/>
        <w:autoSpaceDE/>
        <w:autoSpaceDN/>
        <w:bidi w:val="0"/>
        <w:ind w:firstLine="1400" w:firstLineChars="50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法定代表人（负责人）：</w:t>
      </w:r>
    </w:p>
    <w:p w14:paraId="4735C92D">
      <w:pPr>
        <w:pStyle w:val="28"/>
        <w:keepNext w:val="0"/>
        <w:keepLines w:val="0"/>
        <w:pageBreakBefore w:val="0"/>
        <w:kinsoku/>
        <w:wordWrap w:val="0"/>
        <w:overflowPunct/>
        <w:topLinePunct/>
        <w:autoSpaceDE/>
        <w:autoSpaceDN/>
        <w:bidi w:val="0"/>
        <w:ind w:firstLine="1400" w:firstLineChars="500"/>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法定代表人（负责人）身份证号：</w:t>
      </w:r>
    </w:p>
    <w:p w14:paraId="456D3A30">
      <w:pPr>
        <w:pStyle w:val="28"/>
        <w:keepNext w:val="0"/>
        <w:keepLines w:val="0"/>
        <w:pageBreakBefore w:val="0"/>
        <w:kinsoku/>
        <w:wordWrap w:val="0"/>
        <w:overflowPunct/>
        <w:topLinePunct/>
        <w:autoSpaceDE/>
        <w:autoSpaceDN/>
        <w:bidi w:val="0"/>
        <w:ind w:firstLine="427"/>
        <w:jc w:val="both"/>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   承诺日期：</w:t>
      </w:r>
    </w:p>
    <w:p w14:paraId="62DCE91D">
      <w:pPr>
        <w:pStyle w:val="14"/>
        <w:keepNext w:val="0"/>
        <w:keepLines w:val="0"/>
        <w:pageBreakBefore w:val="0"/>
        <w:widowControl/>
        <w:kinsoku/>
        <w:wordWrap w:val="0"/>
        <w:overflowPunct/>
        <w:topLinePunct/>
        <w:autoSpaceDE/>
        <w:autoSpaceDN/>
        <w:bidi w:val="0"/>
        <w:adjustRightInd w:val="0"/>
        <w:snapToGrid/>
        <w:ind w:left="0" w:leftChars="0" w:firstLine="0" w:firstLineChars="0"/>
        <w:jc w:val="both"/>
        <w:textAlignment w:val="baseline"/>
        <w:rPr>
          <w:rFonts w:hint="eastAsia" w:ascii="宋体" w:hAnsi="宋体" w:eastAsia="宋体" w:cs="宋体"/>
          <w:bCs/>
          <w:color w:val="auto"/>
          <w:kern w:val="28"/>
          <w:sz w:val="28"/>
          <w:szCs w:val="28"/>
          <w:highlight w:val="none"/>
          <w:lang w:val="en-US" w:eastAsia="zh-CN" w:bidi="ar-SA"/>
        </w:rPr>
      </w:pPr>
      <w:bookmarkStart w:id="86" w:name="_Toc27024"/>
      <w:r>
        <w:rPr>
          <w:rFonts w:hint="eastAsia" w:ascii="宋体" w:hAnsi="宋体" w:eastAsia="宋体" w:cs="宋体"/>
          <w:bCs/>
          <w:color w:val="auto"/>
          <w:kern w:val="28"/>
          <w:sz w:val="28"/>
          <w:szCs w:val="28"/>
          <w:highlight w:val="none"/>
          <w:lang w:val="en-US" w:eastAsia="zh-CN" w:bidi="ar-SA"/>
        </w:rPr>
        <w:t>注：1、法定代表人或负责人、主体名称发生变更的应当重新做出承诺。</w:t>
      </w:r>
      <w:bookmarkEnd w:id="86"/>
    </w:p>
    <w:p w14:paraId="1D52F1AD">
      <w:pPr>
        <w:pStyle w:val="5"/>
        <w:keepNext w:val="0"/>
        <w:keepLines w:val="0"/>
        <w:pageBreakBefore w:val="0"/>
        <w:widowControl/>
        <w:numPr>
          <w:ilvl w:val="0"/>
          <w:numId w:val="0"/>
        </w:numPr>
        <w:kinsoku/>
        <w:wordWrap w:val="0"/>
        <w:overflowPunct/>
        <w:topLinePunct/>
        <w:autoSpaceDE/>
        <w:autoSpaceDN/>
        <w:bidi w:val="0"/>
        <w:snapToGrid/>
        <w:ind w:firstLine="560" w:firstLineChars="200"/>
        <w:jc w:val="both"/>
        <w:rPr>
          <w:rFonts w:hint="eastAsia" w:ascii="宋体" w:hAnsi="宋体" w:eastAsia="宋体" w:cs="宋体"/>
          <w:bCs/>
          <w:color w:val="auto"/>
          <w:kern w:val="28"/>
          <w:sz w:val="28"/>
          <w:szCs w:val="28"/>
          <w:highlight w:val="none"/>
          <w:lang w:val="en-US" w:eastAsia="zh-CN" w:bidi="ar-SA"/>
        </w:rPr>
      </w:pPr>
      <w:r>
        <w:rPr>
          <w:rFonts w:hint="eastAsia" w:ascii="宋体" w:hAnsi="宋体" w:eastAsia="宋体" w:cs="宋体"/>
          <w:bCs/>
          <w:color w:val="auto"/>
          <w:kern w:val="28"/>
          <w:sz w:val="28"/>
          <w:szCs w:val="28"/>
          <w:highlight w:val="none"/>
          <w:lang w:val="en-US" w:eastAsia="zh-CN" w:bidi="ar-SA"/>
        </w:rPr>
        <w:t>2、供应商应在“信用中国（陕西榆林）”网站进行注册、登录，自主上报信用承诺书（网址：</w:t>
      </w:r>
      <w:r>
        <w:rPr>
          <w:rFonts w:hint="eastAsia" w:ascii="宋体" w:hAnsi="宋体" w:eastAsia="宋体" w:cs="宋体"/>
          <w:bCs/>
          <w:color w:val="auto"/>
          <w:kern w:val="28"/>
          <w:sz w:val="28"/>
          <w:szCs w:val="28"/>
          <w:highlight w:val="none"/>
          <w:lang w:val="en-US" w:eastAsia="zh-CN" w:bidi="ar-SA"/>
        </w:rPr>
        <w:fldChar w:fldCharType="begin"/>
      </w:r>
      <w:r>
        <w:rPr>
          <w:rFonts w:hint="eastAsia" w:ascii="宋体" w:hAnsi="宋体" w:eastAsia="宋体" w:cs="宋体"/>
          <w:bCs/>
          <w:color w:val="auto"/>
          <w:kern w:val="28"/>
          <w:sz w:val="28"/>
          <w:szCs w:val="28"/>
          <w:highlight w:val="none"/>
          <w:lang w:val="en-US" w:eastAsia="zh-CN" w:bidi="ar-SA"/>
        </w:rPr>
        <w:instrText xml:space="preserve"> HYPERLINK "https://www.ylcredit.gov.cn/）。" </w:instrText>
      </w:r>
      <w:r>
        <w:rPr>
          <w:rFonts w:hint="eastAsia" w:ascii="宋体" w:hAnsi="宋体" w:eastAsia="宋体" w:cs="宋体"/>
          <w:bCs/>
          <w:color w:val="auto"/>
          <w:kern w:val="28"/>
          <w:sz w:val="28"/>
          <w:szCs w:val="28"/>
          <w:highlight w:val="none"/>
          <w:lang w:val="en-US" w:eastAsia="zh-CN" w:bidi="ar-SA"/>
        </w:rPr>
        <w:fldChar w:fldCharType="separate"/>
      </w:r>
      <w:r>
        <w:rPr>
          <w:rStyle w:val="20"/>
          <w:rFonts w:hint="eastAsia" w:ascii="宋体" w:hAnsi="宋体" w:eastAsia="宋体" w:cs="宋体"/>
          <w:bCs/>
          <w:color w:val="auto"/>
          <w:kern w:val="28"/>
          <w:sz w:val="28"/>
          <w:szCs w:val="28"/>
          <w:highlight w:val="none"/>
          <w:lang w:val="en-US" w:eastAsia="zh-CN" w:bidi="ar-SA"/>
        </w:rPr>
        <w:t>https://www.ylcredit.gov.cn/）。</w:t>
      </w:r>
      <w:r>
        <w:rPr>
          <w:rFonts w:hint="eastAsia" w:ascii="宋体" w:hAnsi="宋体" w:eastAsia="宋体" w:cs="宋体"/>
          <w:bCs/>
          <w:color w:val="auto"/>
          <w:kern w:val="28"/>
          <w:sz w:val="28"/>
          <w:szCs w:val="28"/>
          <w:highlight w:val="none"/>
          <w:lang w:val="en-US" w:eastAsia="zh-CN" w:bidi="ar-SA"/>
        </w:rPr>
        <w:fldChar w:fldCharType="end"/>
      </w:r>
    </w:p>
    <w:p w14:paraId="62DEB296">
      <w:pPr>
        <w:pStyle w:val="5"/>
        <w:keepNext w:val="0"/>
        <w:keepLines w:val="0"/>
        <w:pageBreakBefore w:val="0"/>
        <w:widowControl/>
        <w:numPr>
          <w:ilvl w:val="0"/>
          <w:numId w:val="0"/>
        </w:numPr>
        <w:kinsoku/>
        <w:wordWrap w:val="0"/>
        <w:overflowPunct/>
        <w:topLinePunct/>
        <w:autoSpaceDE/>
        <w:autoSpaceDN/>
        <w:bidi w:val="0"/>
        <w:snapToGrid/>
        <w:ind w:left="559" w:leftChars="266" w:firstLine="0" w:firstLineChars="0"/>
        <w:jc w:val="both"/>
        <w:rPr>
          <w:rFonts w:hint="eastAsia" w:ascii="宋体" w:hAnsi="宋体" w:eastAsia="宋体" w:cs="宋体"/>
          <w:bCs/>
          <w:color w:val="auto"/>
          <w:kern w:val="28"/>
          <w:sz w:val="28"/>
          <w:szCs w:val="28"/>
          <w:highlight w:val="none"/>
          <w:lang w:val="en-US" w:eastAsia="zh-CN" w:bidi="ar-SA"/>
        </w:rPr>
      </w:pPr>
      <w:r>
        <w:rPr>
          <w:rFonts w:hint="eastAsia" w:ascii="宋体" w:hAnsi="宋体" w:eastAsia="宋体" w:cs="宋体"/>
          <w:bCs/>
          <w:color w:val="auto"/>
          <w:kern w:val="28"/>
          <w:sz w:val="28"/>
          <w:szCs w:val="28"/>
          <w:highlight w:val="none"/>
          <w:lang w:val="en-US" w:eastAsia="zh-CN" w:bidi="ar-SA"/>
        </w:rPr>
        <w:t xml:space="preserve">3、选择受理部门（榆林市公共资源交易中心或项目所属地财政局）；4、所有账号问题在政务服务网中咨询或拨打029-87382893、87382894。 </w:t>
      </w:r>
    </w:p>
    <w:p w14:paraId="3B488607">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4EDDADA2">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1383B2ED">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4EB55AE5">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41ECC0FB">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4CF308E3">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33308835">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04469145">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680F6CEA">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45201F2C">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p>
    <w:p w14:paraId="4671A3C6">
      <w:pPr>
        <w:pStyle w:val="5"/>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b/>
          <w:bCs w:val="0"/>
          <w:color w:val="auto"/>
          <w:kern w:val="28"/>
          <w:sz w:val="28"/>
          <w:szCs w:val="28"/>
          <w:highlight w:val="none"/>
          <w:lang w:val="en-US" w:eastAsia="zh-CN" w:bidi="ar-SA"/>
        </w:rPr>
      </w:pPr>
      <w:r>
        <w:rPr>
          <w:rFonts w:hint="eastAsia" w:ascii="宋体" w:hAnsi="宋体" w:eastAsia="宋体" w:cs="宋体"/>
          <w:b/>
          <w:bCs w:val="0"/>
          <w:color w:val="auto"/>
          <w:kern w:val="28"/>
          <w:sz w:val="28"/>
          <w:szCs w:val="28"/>
          <w:highlight w:val="none"/>
          <w:lang w:val="en-US" w:eastAsia="zh-CN" w:bidi="ar-SA"/>
        </w:rPr>
        <w:t>信用承诺信用中国（陕西榆林）网站公示截图</w:t>
      </w:r>
    </w:p>
    <w:p w14:paraId="0B24958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FA3AACB">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2673E76">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5A003E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15FB36A">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109087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120654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ACB4F4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09EC95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2FFA2BA">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823FE1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136F8E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B33775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CDECFE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0D3C8C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F31D281">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291C5E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3849653">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99CC15B">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F6FE64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111546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F81FE66">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80EC731">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64F766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7CE9076">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555EE3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4CC17B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EF10E03">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E228AA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E2353BB">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020C3C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764E2C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606856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8A2D8F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7E7B9F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097159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065295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C0ED3A7">
      <w:pPr>
        <w:pStyle w:val="7"/>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7、供应商</w:t>
      </w:r>
      <w:r>
        <w:rPr>
          <w:rFonts w:hint="eastAsia" w:ascii="宋体" w:hAnsi="宋体" w:eastAsia="宋体" w:cs="宋体"/>
          <w:b/>
          <w:bCs/>
          <w:color w:val="auto"/>
          <w:sz w:val="28"/>
          <w:szCs w:val="28"/>
          <w:highlight w:val="none"/>
        </w:rPr>
        <w:t>书面</w:t>
      </w:r>
      <w:r>
        <w:rPr>
          <w:rFonts w:hint="eastAsia" w:ascii="宋体" w:hAnsi="宋体" w:eastAsia="宋体" w:cs="宋体"/>
          <w:b/>
          <w:bCs/>
          <w:color w:val="auto"/>
          <w:sz w:val="28"/>
          <w:szCs w:val="28"/>
          <w:highlight w:val="none"/>
          <w:lang w:val="en-US" w:eastAsia="zh-CN"/>
        </w:rPr>
        <w:t>说明</w:t>
      </w:r>
    </w:p>
    <w:p w14:paraId="6E52ED5B">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A3F8535">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0750D4B">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非联合体投标书面</w:t>
      </w:r>
      <w:r>
        <w:rPr>
          <w:rFonts w:hint="eastAsia" w:ascii="宋体" w:hAnsi="宋体" w:eastAsia="宋体" w:cs="宋体"/>
          <w:b/>
          <w:color w:val="auto"/>
          <w:sz w:val="28"/>
          <w:szCs w:val="28"/>
          <w:highlight w:val="none"/>
          <w:lang w:val="en-US" w:eastAsia="zh-CN"/>
        </w:rPr>
        <w:t>说明（参考格式）</w:t>
      </w:r>
    </w:p>
    <w:p w14:paraId="12F6A8B7">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
          <w:color w:val="auto"/>
          <w:sz w:val="28"/>
          <w:szCs w:val="28"/>
          <w:highlight w:val="none"/>
          <w:lang w:eastAsia="zh-CN"/>
        </w:rPr>
      </w:pPr>
    </w:p>
    <w:p w14:paraId="417A6EDD">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
          <w:color w:val="auto"/>
          <w:sz w:val="28"/>
          <w:szCs w:val="28"/>
          <w:highlight w:val="none"/>
          <w:lang w:eastAsia="zh-CN"/>
        </w:rPr>
      </w:pPr>
    </w:p>
    <w:p w14:paraId="50DCE047">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Cs/>
          <w:color w:val="auto"/>
          <w:sz w:val="28"/>
          <w:szCs w:val="28"/>
          <w:highlight w:val="none"/>
        </w:rPr>
      </w:pPr>
    </w:p>
    <w:p w14:paraId="26097651">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Cs/>
          <w:color w:val="auto"/>
          <w:sz w:val="28"/>
          <w:szCs w:val="28"/>
          <w:highlight w:val="none"/>
          <w:u w:val="single"/>
          <w:lang w:eastAsia="zh-CN"/>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（采购人名称）</w:t>
      </w:r>
    </w:p>
    <w:p w14:paraId="28A8B945">
      <w:pPr>
        <w:keepNext w:val="0"/>
        <w:keepLines w:val="0"/>
        <w:pageBreakBefore w:val="0"/>
        <w:kinsoku/>
        <w:wordWrap w:val="0"/>
        <w:overflowPunct/>
        <w:topLinePunct/>
        <w:autoSpaceDE/>
        <w:autoSpaceDN/>
        <w:bidi w:val="0"/>
        <w:adjustRightInd w:val="0"/>
        <w:spacing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我公司为有独立承担民事责任的能力且具备向采购人提供相关服务的企业法人，我公司独立参加此次</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采购</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rPr>
        <w:t>的</w:t>
      </w:r>
      <w:r>
        <w:rPr>
          <w:rFonts w:hint="eastAsia" w:ascii="宋体" w:hAnsi="宋体" w:eastAsia="宋体" w:cs="宋体"/>
          <w:bCs/>
          <w:color w:val="auto"/>
          <w:sz w:val="28"/>
          <w:szCs w:val="28"/>
          <w:highlight w:val="none"/>
        </w:rPr>
        <w:t>投标，未与其他单位组成联合体。</w:t>
      </w:r>
    </w:p>
    <w:p w14:paraId="2516443A">
      <w:pPr>
        <w:keepNext w:val="0"/>
        <w:keepLines w:val="0"/>
        <w:pageBreakBefore w:val="0"/>
        <w:kinsoku/>
        <w:wordWrap w:val="0"/>
        <w:overflowPunct/>
        <w:topLinePunct/>
        <w:autoSpaceDE/>
        <w:autoSpaceDN/>
        <w:bidi w:val="0"/>
        <w:adjustRightInd w:val="0"/>
        <w:spacing w:line="360" w:lineRule="auto"/>
        <w:ind w:firstLine="560" w:firstLineChars="200"/>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特此</w:t>
      </w:r>
      <w:r>
        <w:rPr>
          <w:rFonts w:hint="eastAsia" w:ascii="宋体" w:hAnsi="宋体" w:eastAsia="宋体" w:cs="宋体"/>
          <w:bCs/>
          <w:color w:val="auto"/>
          <w:sz w:val="28"/>
          <w:szCs w:val="28"/>
          <w:highlight w:val="none"/>
          <w:lang w:val="en-US" w:eastAsia="zh-CN"/>
        </w:rPr>
        <w:t>说明</w:t>
      </w:r>
      <w:r>
        <w:rPr>
          <w:rFonts w:hint="eastAsia" w:ascii="宋体" w:hAnsi="宋体" w:eastAsia="宋体" w:cs="宋体"/>
          <w:bCs/>
          <w:color w:val="auto"/>
          <w:sz w:val="28"/>
          <w:szCs w:val="28"/>
          <w:highlight w:val="none"/>
        </w:rPr>
        <w:t>。</w:t>
      </w:r>
    </w:p>
    <w:p w14:paraId="05D67222">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
          <w:color w:val="auto"/>
          <w:sz w:val="28"/>
          <w:szCs w:val="28"/>
          <w:highlight w:val="none"/>
        </w:rPr>
      </w:pPr>
    </w:p>
    <w:p w14:paraId="759CF7BF">
      <w:pPr>
        <w:keepNext w:val="0"/>
        <w:keepLines w:val="0"/>
        <w:pageBreakBefore w:val="0"/>
        <w:kinsoku/>
        <w:wordWrap w:val="0"/>
        <w:overflowPunct/>
        <w:topLinePunct/>
        <w:autoSpaceDE/>
        <w:autoSpaceDN/>
        <w:bidi w:val="0"/>
        <w:adjustRightInd w:val="0"/>
        <w:snapToGrid w:val="0"/>
        <w:spacing w:line="360" w:lineRule="auto"/>
        <w:ind w:left="4788" w:leftChars="2280"/>
        <w:jc w:val="both"/>
        <w:rPr>
          <w:rFonts w:hint="eastAsia" w:ascii="宋体" w:hAnsi="宋体" w:eastAsia="宋体" w:cs="宋体"/>
          <w:color w:val="auto"/>
          <w:sz w:val="28"/>
          <w:szCs w:val="28"/>
          <w:highlight w:val="none"/>
          <w:lang w:eastAsia="zh-CN"/>
        </w:rPr>
      </w:pPr>
    </w:p>
    <w:p w14:paraId="11DD303D">
      <w:pPr>
        <w:keepNext w:val="0"/>
        <w:keepLines w:val="0"/>
        <w:pageBreakBefore w:val="0"/>
        <w:kinsoku/>
        <w:wordWrap w:val="0"/>
        <w:overflowPunct/>
        <w:topLinePunct/>
        <w:autoSpaceDE/>
        <w:autoSpaceDN/>
        <w:bidi w:val="0"/>
        <w:spacing w:line="280" w:lineRule="auto"/>
        <w:jc w:val="both"/>
        <w:rPr>
          <w:rFonts w:hint="eastAsia" w:ascii="宋体" w:hAnsi="宋体" w:eastAsia="宋体" w:cs="宋体"/>
          <w:color w:val="auto"/>
          <w:sz w:val="28"/>
          <w:szCs w:val="28"/>
          <w:highlight w:val="none"/>
        </w:rPr>
      </w:pPr>
    </w:p>
    <w:p w14:paraId="3D3B693B">
      <w:pPr>
        <w:keepNext w:val="0"/>
        <w:keepLines w:val="0"/>
        <w:pageBreakBefore w:val="0"/>
        <w:kinsoku/>
        <w:wordWrap w:val="0"/>
        <w:overflowPunct/>
        <w:topLinePunct/>
        <w:autoSpaceDE/>
        <w:autoSpaceDN/>
        <w:bidi w:val="0"/>
        <w:spacing w:line="280" w:lineRule="auto"/>
        <w:jc w:val="both"/>
        <w:rPr>
          <w:rFonts w:hint="eastAsia" w:ascii="宋体" w:hAnsi="宋体" w:eastAsia="宋体" w:cs="宋体"/>
          <w:color w:val="auto"/>
          <w:sz w:val="28"/>
          <w:szCs w:val="28"/>
          <w:highlight w:val="none"/>
        </w:rPr>
      </w:pPr>
    </w:p>
    <w:p w14:paraId="6C764781">
      <w:pPr>
        <w:keepNext w:val="0"/>
        <w:keepLines w:val="0"/>
        <w:pageBreakBefore w:val="0"/>
        <w:kinsoku/>
        <w:wordWrap w:val="0"/>
        <w:overflowPunct/>
        <w:topLinePunct/>
        <w:autoSpaceDE/>
        <w:autoSpaceDN/>
        <w:bidi w:val="0"/>
        <w:spacing w:line="280" w:lineRule="auto"/>
        <w:jc w:val="both"/>
        <w:rPr>
          <w:rFonts w:hint="eastAsia" w:ascii="宋体" w:hAnsi="宋体" w:eastAsia="宋体" w:cs="宋体"/>
          <w:color w:val="auto"/>
          <w:sz w:val="28"/>
          <w:szCs w:val="28"/>
          <w:highlight w:val="none"/>
        </w:rPr>
      </w:pPr>
    </w:p>
    <w:p w14:paraId="7A04FB0F">
      <w:pPr>
        <w:keepNext w:val="0"/>
        <w:keepLines w:val="0"/>
        <w:pageBreakBefore w:val="0"/>
        <w:kinsoku/>
        <w:wordWrap w:val="0"/>
        <w:overflowPunct/>
        <w:topLinePunct/>
        <w:autoSpaceDE/>
        <w:autoSpaceDN/>
        <w:bidi w:val="0"/>
        <w:spacing w:line="280" w:lineRule="auto"/>
        <w:jc w:val="both"/>
        <w:rPr>
          <w:rFonts w:hint="eastAsia" w:ascii="宋体" w:hAnsi="宋体" w:eastAsia="宋体" w:cs="宋体"/>
          <w:color w:val="auto"/>
          <w:sz w:val="28"/>
          <w:szCs w:val="28"/>
          <w:highlight w:val="none"/>
        </w:rPr>
      </w:pPr>
    </w:p>
    <w:p w14:paraId="2BD7564B">
      <w:pPr>
        <w:keepNext w:val="0"/>
        <w:keepLines w:val="0"/>
        <w:pageBreakBefore w:val="0"/>
        <w:kinsoku/>
        <w:wordWrap w:val="0"/>
        <w:overflowPunct/>
        <w:topLinePunct/>
        <w:autoSpaceDE/>
        <w:autoSpaceDN/>
        <w:bidi w:val="0"/>
        <w:adjustRightInd w:val="0"/>
        <w:snapToGrid w:val="0"/>
        <w:spacing w:line="500" w:lineRule="exact"/>
        <w:ind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（全称并加盖公章）</w:t>
      </w:r>
    </w:p>
    <w:p w14:paraId="3663625E">
      <w:pPr>
        <w:keepNext w:val="0"/>
        <w:keepLines w:val="0"/>
        <w:pageBreakBefore w:val="0"/>
        <w:kinsoku/>
        <w:wordWrap w:val="0"/>
        <w:overflowPunct/>
        <w:topLinePunct/>
        <w:autoSpaceDE/>
        <w:autoSpaceDN/>
        <w:bidi w:val="0"/>
        <w:adjustRightInd w:val="0"/>
        <w:snapToGrid w:val="0"/>
        <w:spacing w:line="500" w:lineRule="exact"/>
        <w:ind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法定代表人或授权代表：（签字或盖章）</w:t>
      </w:r>
    </w:p>
    <w:p w14:paraId="45DF98D3">
      <w:pPr>
        <w:keepNext w:val="0"/>
        <w:keepLines w:val="0"/>
        <w:pageBreakBefore w:val="0"/>
        <w:kinsoku/>
        <w:wordWrap w:val="0"/>
        <w:overflowPunct/>
        <w:topLinePunct/>
        <w:autoSpaceDE/>
        <w:autoSpaceDN/>
        <w:bidi w:val="0"/>
        <w:adjustRightInd w:val="0"/>
        <w:snapToGrid w:val="0"/>
        <w:spacing w:line="500" w:lineRule="exact"/>
        <w:ind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　　年　月　日</w:t>
      </w:r>
    </w:p>
    <w:p w14:paraId="45DBB383">
      <w:pPr>
        <w:pStyle w:val="29"/>
        <w:keepNext w:val="0"/>
        <w:keepLines w:val="0"/>
        <w:pageBreakBefore w:val="0"/>
        <w:kinsoku/>
        <w:wordWrap w:val="0"/>
        <w:overflowPunct/>
        <w:topLinePunct/>
        <w:autoSpaceDE/>
        <w:autoSpaceDN/>
        <w:bidi w:val="0"/>
        <w:ind w:firstLine="3640" w:firstLineChars="1300"/>
        <w:jc w:val="both"/>
        <w:rPr>
          <w:rFonts w:hint="eastAsia" w:ascii="宋体" w:hAnsi="宋体" w:eastAsia="宋体" w:cs="宋体"/>
          <w:color w:val="auto"/>
          <w:sz w:val="28"/>
          <w:szCs w:val="28"/>
          <w:highlight w:val="none"/>
          <w:u w:val="single"/>
        </w:rPr>
      </w:pPr>
    </w:p>
    <w:p w14:paraId="01D0C847">
      <w:pPr>
        <w:pStyle w:val="29"/>
        <w:keepNext w:val="0"/>
        <w:keepLines w:val="0"/>
        <w:pageBreakBefore w:val="0"/>
        <w:kinsoku/>
        <w:wordWrap w:val="0"/>
        <w:overflowPunct/>
        <w:topLinePunct/>
        <w:autoSpaceDE/>
        <w:autoSpaceDN/>
        <w:bidi w:val="0"/>
        <w:ind w:firstLine="3640" w:firstLineChars="1300"/>
        <w:jc w:val="both"/>
        <w:rPr>
          <w:rFonts w:hint="eastAsia" w:ascii="宋体" w:hAnsi="宋体" w:eastAsia="宋体" w:cs="宋体"/>
          <w:color w:val="auto"/>
          <w:sz w:val="28"/>
          <w:szCs w:val="28"/>
          <w:highlight w:val="none"/>
          <w:u w:val="single"/>
        </w:rPr>
      </w:pPr>
    </w:p>
    <w:p w14:paraId="53F63D14">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B4B8038">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86EA714">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370DE7B">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59EBEAE">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85CAECB">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33A3436">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A7AB115">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53270B8">
      <w:pPr>
        <w:pStyle w:val="7"/>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供应商控股管理关系说明（参考格式）</w:t>
      </w:r>
    </w:p>
    <w:p w14:paraId="677F36BB">
      <w:pPr>
        <w:pStyle w:val="7"/>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3DCA387">
      <w:pPr>
        <w:keepNext w:val="0"/>
        <w:keepLines w:val="0"/>
        <w:pageBreakBefore w:val="0"/>
        <w:kinsoku/>
        <w:wordWrap w:val="0"/>
        <w:overflowPunct/>
        <w:topLinePunct/>
        <w:autoSpaceDE/>
        <w:autoSpaceDN/>
        <w:bidi w:val="0"/>
        <w:ind w:firstLine="420"/>
        <w:jc w:val="both"/>
        <w:rPr>
          <w:rFonts w:hint="eastAsia" w:ascii="宋体" w:hAnsi="宋体" w:eastAsia="宋体" w:cs="宋体"/>
          <w:color w:val="auto"/>
          <w:szCs w:val="21"/>
          <w:highlight w:val="none"/>
        </w:rPr>
      </w:pPr>
    </w:p>
    <w:p w14:paraId="2F606292">
      <w:pPr>
        <w:keepNext w:val="0"/>
        <w:keepLines w:val="0"/>
        <w:pageBreakBefore w:val="0"/>
        <w:kinsoku/>
        <w:wordWrap w:val="0"/>
        <w:overflowPunct/>
        <w:topLinePunct/>
        <w:autoSpaceDE/>
        <w:autoSpaceDN/>
        <w:bidi w:val="0"/>
        <w:jc w:val="both"/>
        <w:rPr>
          <w:rFonts w:hint="eastAsia" w:ascii="宋体" w:hAnsi="宋体" w:eastAsia="宋体" w:cs="宋体"/>
          <w:color w:val="auto"/>
          <w:sz w:val="24"/>
          <w:highlight w:val="none"/>
        </w:rPr>
      </w:pPr>
    </w:p>
    <w:p w14:paraId="773857B3">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（采购人名称）</w:t>
      </w:r>
    </w:p>
    <w:p w14:paraId="7EAC5909">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与我方的法定代表人（单位负责人）为同一人的企业如下：</w:t>
      </w:r>
    </w:p>
    <w:p w14:paraId="09CE2D18">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p>
    <w:p w14:paraId="252B6836">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我方的控股股东如下：</w:t>
      </w:r>
      <w:r>
        <w:rPr>
          <w:rFonts w:hint="eastAsia" w:ascii="宋体" w:hAnsi="宋体" w:eastAsia="宋体" w:cs="宋体"/>
          <w:color w:val="auto"/>
          <w:sz w:val="28"/>
          <w:szCs w:val="28"/>
          <w:highlight w:val="none"/>
          <w:u w:val="single"/>
          <w:lang w:val="en-US" w:eastAsia="zh-CN"/>
        </w:rPr>
        <w:t xml:space="preserve"> </w:t>
      </w:r>
    </w:p>
    <w:p w14:paraId="23EEB235">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u w:val="single"/>
          <w:lang w:val="en-US" w:eastAsia="zh-CN"/>
        </w:rPr>
      </w:pPr>
    </w:p>
    <w:p w14:paraId="17A41120">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我方直接控股的企业如下：</w:t>
      </w:r>
    </w:p>
    <w:p w14:paraId="7DAEC9C4">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p>
    <w:p w14:paraId="54A24C33">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与我方存在管理、被管理关系的单位名称如下：</w:t>
      </w:r>
    </w:p>
    <w:p w14:paraId="3C21197B">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p>
    <w:p w14:paraId="38F95F8B">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highlight w:val="none"/>
        </w:rPr>
      </w:pPr>
    </w:p>
    <w:p w14:paraId="10465B6C">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w:t>
      </w:r>
      <w:r>
        <w:rPr>
          <w:rFonts w:hint="eastAsia" w:ascii="宋体" w:hAnsi="宋体" w:eastAsia="宋体" w:cs="宋体"/>
          <w:color w:val="auto"/>
          <w:sz w:val="28"/>
          <w:szCs w:val="28"/>
          <w:highlight w:val="none"/>
        </w:rPr>
        <w:t>公章）：</w:t>
      </w:r>
    </w:p>
    <w:p w14:paraId="6A4D7B5A">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法定代表人或其授权代表（签字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20E4C527">
      <w:pPr>
        <w:keepNext w:val="0"/>
        <w:keepLines w:val="0"/>
        <w:pageBreakBefore w:val="0"/>
        <w:kinsoku/>
        <w:wordWrap w:val="0"/>
        <w:overflowPunct/>
        <w:topLinePunct/>
        <w:autoSpaceDE/>
        <w:autoSpaceDN/>
        <w:bidi w:val="0"/>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3A21E6E4">
      <w:pPr>
        <w:pStyle w:val="5"/>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C320AE1">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79D046C7">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7EAADD22">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02FB576D">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697E272F">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1EB6B2CB">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5A2480E6">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091FA206">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6170E9FC">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715BAC78">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2E8118AC">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7E687C17">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5205E255">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4D617A25">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385DAE80">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1E248A9F">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604C916A">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4B51927C">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35D8659B">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59B3659E">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4B93DDD1">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07402DF7">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59DEB883">
      <w:pPr>
        <w:keepNext w:val="0"/>
        <w:keepLines w:val="0"/>
        <w:pageBreakBefore w:val="0"/>
        <w:kinsoku/>
        <w:wordWrap w:val="0"/>
        <w:overflowPunct/>
        <w:topLinePunct/>
        <w:autoSpaceDE/>
        <w:autoSpaceDN/>
        <w:bidi w:val="0"/>
        <w:ind w:firstLine="420" w:firstLineChars="200"/>
        <w:jc w:val="both"/>
        <w:rPr>
          <w:rFonts w:hint="eastAsia" w:ascii="宋体" w:hAnsi="宋体" w:eastAsia="宋体" w:cs="宋体"/>
          <w:color w:val="auto"/>
          <w:szCs w:val="21"/>
          <w:highlight w:val="none"/>
        </w:rPr>
      </w:pPr>
    </w:p>
    <w:p w14:paraId="74A41B67">
      <w:pPr>
        <w:keepNext w:val="0"/>
        <w:keepLines w:val="0"/>
        <w:pageBreakBefore w:val="0"/>
        <w:kinsoku/>
        <w:wordWrap w:val="0"/>
        <w:overflowPunct/>
        <w:topLinePunct/>
        <w:autoSpaceDE/>
        <w:autoSpaceDN/>
        <w:bidi w:val="0"/>
        <w:jc w:val="both"/>
        <w:outlineLvl w:val="2"/>
        <w:rPr>
          <w:rFonts w:hint="eastAsia" w:ascii="宋体" w:hAnsi="宋体" w:eastAsia="宋体" w:cs="宋体"/>
          <w:b/>
          <w:color w:val="auto"/>
          <w:sz w:val="24"/>
          <w:szCs w:val="22"/>
        </w:rPr>
      </w:pPr>
    </w:p>
    <w:p w14:paraId="76A5ADAD">
      <w:pPr>
        <w:pStyle w:val="7"/>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供应商没有对本项目提供前期服务说明（参考格式）</w:t>
      </w:r>
    </w:p>
    <w:p w14:paraId="21DE7B72">
      <w:pPr>
        <w:pStyle w:val="7"/>
        <w:keepNext w:val="0"/>
        <w:keepLines w:val="0"/>
        <w:pageBreakBefore w:val="0"/>
        <w:kinsoku/>
        <w:wordWrap w:val="0"/>
        <w:overflowPunct/>
        <w:topLinePunct/>
        <w:autoSpaceDE/>
        <w:autoSpaceDN/>
        <w:bidi w:val="0"/>
        <w:jc w:val="both"/>
        <w:rPr>
          <w:rFonts w:hint="eastAsia" w:ascii="宋体" w:hAnsi="宋体" w:eastAsia="宋体" w:cs="宋体"/>
          <w:color w:val="auto"/>
          <w:szCs w:val="21"/>
          <w:lang w:val="en-US"/>
        </w:rPr>
      </w:pPr>
    </w:p>
    <w:p w14:paraId="36BAF9C8">
      <w:pPr>
        <w:keepNext w:val="0"/>
        <w:keepLines w:val="0"/>
        <w:pageBreakBefore w:val="0"/>
        <w:kinsoku/>
        <w:wordWrap w:val="0"/>
        <w:overflowPunct/>
        <w:topLinePunct/>
        <w:autoSpaceDE/>
        <w:autoSpaceDN/>
        <w:bidi w:val="0"/>
        <w:spacing w:line="360" w:lineRule="auto"/>
        <w:jc w:val="both"/>
        <w:rPr>
          <w:rFonts w:hint="eastAsia" w:ascii="宋体" w:hAnsi="宋体" w:eastAsia="宋体" w:cs="宋体"/>
          <w:color w:val="auto"/>
          <w:szCs w:val="21"/>
        </w:rPr>
      </w:pPr>
    </w:p>
    <w:p w14:paraId="1C3CD2E9">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Cs/>
          <w:color w:val="auto"/>
          <w:sz w:val="28"/>
          <w:szCs w:val="28"/>
          <w:highlight w:val="none"/>
          <w:u w:val="single"/>
          <w:lang w:eastAsia="zh-CN"/>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（采购人名称）</w:t>
      </w:r>
    </w:p>
    <w:p w14:paraId="2AA2D40E">
      <w:pPr>
        <w:keepNext w:val="0"/>
        <w:keepLines w:val="0"/>
        <w:pageBreakBefore w:val="0"/>
        <w:kinsoku/>
        <w:wordWrap w:val="0"/>
        <w:overflowPunct/>
        <w:topLinePunct/>
        <w:autoSpaceDE/>
        <w:autoSpaceDN/>
        <w:bidi w:val="0"/>
        <w:spacing w:line="36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我方</w:t>
      </w:r>
      <w:r>
        <w:rPr>
          <w:rFonts w:hint="eastAsia" w:ascii="宋体" w:hAnsi="宋体" w:eastAsia="宋体" w:cs="宋体"/>
          <w:color w:val="auto"/>
          <w:sz w:val="28"/>
          <w:szCs w:val="28"/>
          <w:u w:val="single"/>
        </w:rPr>
        <w:t>不属于</w:t>
      </w:r>
      <w:r>
        <w:rPr>
          <w:rFonts w:hint="eastAsia" w:ascii="宋体" w:hAnsi="宋体" w:eastAsia="宋体" w:cs="宋体"/>
          <w:color w:val="auto"/>
          <w:sz w:val="28"/>
          <w:szCs w:val="28"/>
        </w:rPr>
        <w:t>为本项目提供整体设计、规范编制或者项目管理、监理、检测等服务的</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w:t>
      </w:r>
    </w:p>
    <w:p w14:paraId="426D6988">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rPr>
      </w:pPr>
    </w:p>
    <w:p w14:paraId="0C579FF6">
      <w:pPr>
        <w:keepNext w:val="0"/>
        <w:keepLines w:val="0"/>
        <w:pageBreakBefore w:val="0"/>
        <w:kinsoku/>
        <w:wordWrap w:val="0"/>
        <w:overflowPunct/>
        <w:topLinePunct/>
        <w:autoSpaceDE/>
        <w:autoSpaceDN/>
        <w:bidi w:val="0"/>
        <w:ind w:firstLine="426"/>
        <w:jc w:val="both"/>
        <w:rPr>
          <w:rFonts w:hint="eastAsia" w:ascii="宋体" w:hAnsi="宋体" w:eastAsia="宋体" w:cs="宋体"/>
          <w:color w:val="auto"/>
          <w:sz w:val="28"/>
          <w:szCs w:val="28"/>
        </w:rPr>
      </w:pPr>
    </w:p>
    <w:p w14:paraId="2F24ADDB">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（盖公章）：</w:t>
      </w:r>
    </w:p>
    <w:p w14:paraId="483EEB2D">
      <w:pPr>
        <w:keepNext w:val="0"/>
        <w:keepLines w:val="0"/>
        <w:pageBreakBefore w:val="0"/>
        <w:kinsoku/>
        <w:wordWrap w:val="0"/>
        <w:overflowPunct/>
        <w:topLinePunct/>
        <w:autoSpaceDE/>
        <w:autoSpaceDN/>
        <w:bidi w:val="0"/>
        <w:spacing w:before="120" w:after="120" w:line="360" w:lineRule="auto"/>
        <w:ind w:firstLine="560" w:firstLineChars="200"/>
        <w:jc w:val="both"/>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委托代理人</w:t>
      </w:r>
      <w:r>
        <w:rPr>
          <w:rFonts w:hint="eastAsia" w:ascii="宋体" w:hAnsi="宋体" w:eastAsia="宋体" w:cs="宋体"/>
          <w:color w:val="auto"/>
          <w:sz w:val="28"/>
          <w:szCs w:val="28"/>
        </w:rPr>
        <w:t>（签字或盖章）：</w:t>
      </w:r>
    </w:p>
    <w:p w14:paraId="742FE2C6">
      <w:pPr>
        <w:keepNext w:val="0"/>
        <w:keepLines w:val="0"/>
        <w:pageBreakBefore w:val="0"/>
        <w:widowControl/>
        <w:kinsoku/>
        <w:wordWrap w:val="0"/>
        <w:overflowPunct/>
        <w:topLinePunct/>
        <w:autoSpaceDE/>
        <w:autoSpaceDN/>
        <w:bidi w:val="0"/>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rPr>
        <w:t>日期：年月日</w:t>
      </w:r>
    </w:p>
    <w:p w14:paraId="17B1E827">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01F5255">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rPr>
      </w:pPr>
    </w:p>
    <w:p w14:paraId="110CE468">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D5C3B51">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6758418">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68DE39C">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09B77C0">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C389635">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6D15148">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919CB41">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62DAA7A">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DDEC142">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1175F55">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C5C5693">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D02C6FA">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3B8162C">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D8E8889">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58FF4BF">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A58827A">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2E32389">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001E71B4">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2345A7C">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818D105">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FEFE676">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E21A371">
      <w:pPr>
        <w:pStyle w:val="7"/>
        <w:keepNext w:val="0"/>
        <w:keepLines w:val="0"/>
        <w:pageBreakBefore w:val="0"/>
        <w:numPr>
          <w:ilvl w:val="0"/>
          <w:numId w:val="4"/>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其他资格证明文件（如有）</w:t>
      </w:r>
    </w:p>
    <w:p w14:paraId="4ED97F1F">
      <w:pPr>
        <w:pStyle w:val="7"/>
        <w:keepNext w:val="0"/>
        <w:keepLines w:val="0"/>
        <w:pageBreakBefore w:val="0"/>
        <w:numPr>
          <w:ilvl w:val="0"/>
          <w:numId w:val="0"/>
        </w:numPr>
        <w:kinsoku/>
        <w:wordWrap w:val="0"/>
        <w:overflowPunct/>
        <w:topLinePunct/>
        <w:autoSpaceDE/>
        <w:autoSpaceDN/>
        <w:bidi w:val="0"/>
        <w:jc w:val="both"/>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投标人不得为“信用中国”网站（www.creditchina.gov.cn）中列入失信主体名单、重大税收违法案件当事人名单的投标人；不得为中国执行信息公开网（http://zxgk.court.gov.cn）中列入失信被执行人名单(被执行人包括企业、法定代表人)的投标人；不得为中国政府采购网（www.ccgp.gov.cn）政府采购严重违法失信行为记录名单中被财政部门禁止参加政府采购活动的投标人。</w:t>
      </w:r>
    </w:p>
    <w:p w14:paraId="1DF0587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353AB5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456216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5F00E6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13FF15A">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4174F6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66DE41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50D718A">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27D484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5AE2BAA">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EA0E03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A30759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441DDE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EEE310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EE900D7">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30D28B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5CFBBD2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151589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889EE0D">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FD0D1B8">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1DDB15F">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237068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2946209">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15B1A401">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3739BEE">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24AEAE0">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331550A2">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70E1BE1E">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6452CA2C">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0A69CB84">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21A4481E">
      <w:pPr>
        <w:pStyle w:val="7"/>
        <w:keepNext w:val="0"/>
        <w:keepLines w:val="0"/>
        <w:pageBreakBefore w:val="0"/>
        <w:widowControl w:val="0"/>
        <w:numPr>
          <w:ilvl w:val="0"/>
          <w:numId w:val="0"/>
        </w:numPr>
        <w:kinsoku/>
        <w:wordWrap w:val="0"/>
        <w:overflowPunct/>
        <w:topLinePunct/>
        <w:autoSpaceDE/>
        <w:autoSpaceDN/>
        <w:bidi w:val="0"/>
        <w:jc w:val="both"/>
        <w:rPr>
          <w:rFonts w:hint="eastAsia" w:ascii="宋体" w:hAnsi="宋体" w:eastAsia="宋体" w:cs="宋体"/>
          <w:b/>
          <w:bCs/>
          <w:color w:val="auto"/>
          <w:sz w:val="28"/>
          <w:szCs w:val="28"/>
          <w:highlight w:val="none"/>
          <w:lang w:val="en-US" w:eastAsia="zh-CN"/>
        </w:rPr>
      </w:pPr>
    </w:p>
    <w:p w14:paraId="4287CAE2">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法定代表人证明书、法定代表人委托授权书</w:t>
      </w:r>
    </w:p>
    <w:p w14:paraId="42FDF794">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b/>
          <w:bCs/>
          <w:color w:val="auto"/>
          <w:kern w:val="0"/>
          <w:sz w:val="28"/>
          <w:szCs w:val="28"/>
          <w:highlight w:val="none"/>
        </w:rPr>
      </w:pPr>
    </w:p>
    <w:p w14:paraId="4E93165F">
      <w:pPr>
        <w:keepNext w:val="0"/>
        <w:keepLines w:val="0"/>
        <w:pageBreakBefore w:val="0"/>
        <w:kinsoku/>
        <w:wordWrap w:val="0"/>
        <w:overflowPunct/>
        <w:topLinePunct/>
        <w:autoSpaceDE/>
        <w:autoSpaceDN/>
        <w:bidi w:val="0"/>
        <w:adjustRightIn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法定代表人证明书</w:t>
      </w:r>
    </w:p>
    <w:p w14:paraId="005FF9E4">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名称：</w:t>
      </w:r>
    </w:p>
    <w:p w14:paraId="4FDC4B7D">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单位性质：</w:t>
      </w:r>
    </w:p>
    <w:p w14:paraId="170EEE61">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地址：</w:t>
      </w:r>
    </w:p>
    <w:p w14:paraId="22087208">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成立时间：年月日</w:t>
      </w:r>
    </w:p>
    <w:p w14:paraId="72845C68">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p w14:paraId="1A0DB1C1">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姓名：性别：年龄：职务：系（</w:t>
      </w:r>
      <w:r>
        <w:rPr>
          <w:rFonts w:hint="eastAsia" w:ascii="宋体" w:hAnsi="宋体" w:eastAsia="宋体" w:cs="宋体"/>
          <w:color w:val="auto"/>
          <w:kern w:val="0"/>
          <w:sz w:val="28"/>
          <w:szCs w:val="28"/>
          <w:highlight w:val="none"/>
          <w:lang w:val="en-US" w:eastAsia="zh-CN"/>
        </w:rPr>
        <w:t>供应商</w:t>
      </w:r>
      <w:r>
        <w:rPr>
          <w:rFonts w:hint="eastAsia" w:ascii="宋体" w:hAnsi="宋体" w:eastAsia="宋体" w:cs="宋体"/>
          <w:color w:val="auto"/>
          <w:kern w:val="0"/>
          <w:sz w:val="28"/>
          <w:szCs w:val="28"/>
          <w:highlight w:val="none"/>
        </w:rPr>
        <w:t>名称）的法定代表人。</w:t>
      </w:r>
    </w:p>
    <w:p w14:paraId="60F446AC">
      <w:pPr>
        <w:keepNext w:val="0"/>
        <w:keepLines w:val="0"/>
        <w:pageBreakBefore w:val="0"/>
        <w:widowControl w:val="0"/>
        <w:kinsoku/>
        <w:wordWrap w:val="0"/>
        <w:overflowPunct/>
        <w:topLinePunct/>
        <w:autoSpaceDE/>
        <w:autoSpaceDN/>
        <w:bidi w:val="0"/>
        <w:adjustRightInd w:val="0"/>
        <w:snapToGrid/>
        <w:spacing w:line="360" w:lineRule="auto"/>
        <w:ind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14:paraId="64378736">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color w:val="auto"/>
          <w:kern w:val="0"/>
          <w:sz w:val="28"/>
          <w:szCs w:val="28"/>
          <w:highlight w:val="none"/>
        </w:rPr>
      </w:pPr>
    </w:p>
    <w:p w14:paraId="1CC62B78">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color w:val="auto"/>
          <w:kern w:val="0"/>
          <w:sz w:val="28"/>
          <w:szCs w:val="28"/>
          <w:highlight w:val="none"/>
        </w:rPr>
      </w:pPr>
    </w:p>
    <w:p w14:paraId="1152F1C3">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color w:val="auto"/>
          <w:kern w:val="0"/>
          <w:sz w:val="28"/>
          <w:szCs w:val="28"/>
          <w:highlight w:val="none"/>
        </w:rPr>
      </w:pPr>
    </w:p>
    <w:p w14:paraId="66B19301">
      <w:pPr>
        <w:keepNext w:val="0"/>
        <w:keepLines w:val="0"/>
        <w:pageBreakBefore w:val="0"/>
        <w:kinsoku/>
        <w:wordWrap w:val="0"/>
        <w:overflowPunct/>
        <w:topLinePunct/>
        <w:autoSpaceDE/>
        <w:autoSpaceDN/>
        <w:bidi w:val="0"/>
        <w:adjustRightInd w:val="0"/>
        <w:spacing w:line="360" w:lineRule="auto"/>
        <w:jc w:val="both"/>
        <w:rPr>
          <w:rFonts w:hint="eastAsia" w:ascii="宋体" w:hAnsi="宋体" w:eastAsia="宋体" w:cs="宋体"/>
          <w:color w:val="auto"/>
          <w:kern w:val="0"/>
          <w:sz w:val="28"/>
          <w:szCs w:val="28"/>
          <w:highlight w:val="none"/>
        </w:rPr>
      </w:pPr>
    </w:p>
    <w:p w14:paraId="18078B35">
      <w:pPr>
        <w:keepNext w:val="0"/>
        <w:keepLines w:val="0"/>
        <w:pageBreakBefore w:val="0"/>
        <w:kinsoku/>
        <w:wordWrap w:val="0"/>
        <w:overflowPunct/>
        <w:topLinePunct/>
        <w:autoSpaceDE/>
        <w:autoSpaceDN/>
        <w:bidi w:val="0"/>
        <w:adjustRightInd w:val="0"/>
        <w:spacing w:line="360" w:lineRule="auto"/>
        <w:ind w:left="5399" w:leftChars="2571"/>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供应商</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盖</w:t>
      </w:r>
      <w:r>
        <w:rPr>
          <w:rFonts w:hint="eastAsia" w:ascii="宋体" w:hAnsi="宋体" w:eastAsia="宋体" w:cs="宋体"/>
          <w:color w:val="auto"/>
          <w:kern w:val="0"/>
          <w:sz w:val="28"/>
          <w:szCs w:val="28"/>
          <w:highlight w:val="none"/>
        </w:rPr>
        <w:t>公章）：</w:t>
      </w:r>
    </w:p>
    <w:p w14:paraId="2AA482C7">
      <w:pPr>
        <w:keepNext w:val="0"/>
        <w:keepLines w:val="0"/>
        <w:pageBreakBefore w:val="0"/>
        <w:kinsoku/>
        <w:wordWrap w:val="0"/>
        <w:overflowPunct/>
        <w:topLinePunct/>
        <w:autoSpaceDE/>
        <w:autoSpaceDN/>
        <w:bidi w:val="0"/>
        <w:adjustRightInd w:val="0"/>
        <w:spacing w:line="360" w:lineRule="auto"/>
        <w:ind w:left="5399" w:leftChars="2571"/>
        <w:jc w:val="both"/>
        <w:rPr>
          <w:rFonts w:hint="eastAsia" w:ascii="宋体" w:hAnsi="宋体" w:eastAsia="宋体" w:cs="宋体"/>
          <w:color w:val="auto"/>
          <w:kern w:val="0"/>
          <w:sz w:val="28"/>
          <w:szCs w:val="28"/>
          <w:highlight w:val="none"/>
        </w:rPr>
      </w:pPr>
    </w:p>
    <w:p w14:paraId="1113FA31">
      <w:pPr>
        <w:keepNext w:val="0"/>
        <w:keepLines w:val="0"/>
        <w:pageBreakBefore w:val="0"/>
        <w:kinsoku/>
        <w:wordWrap w:val="0"/>
        <w:overflowPunct/>
        <w:topLinePunct/>
        <w:autoSpaceDE/>
        <w:autoSpaceDN/>
        <w:bidi w:val="0"/>
        <w:adjustRightInd w:val="0"/>
        <w:spacing w:line="360" w:lineRule="auto"/>
        <w:ind w:firstLine="6160" w:firstLineChars="2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年月日</w:t>
      </w:r>
    </w:p>
    <w:p w14:paraId="55AF39F0">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50DBA35C">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4EBD4961">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549E291E">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2DF4EE86">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2BBAE572">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25543A94">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16189994">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17E9911C">
      <w:pPr>
        <w:keepNext w:val="0"/>
        <w:keepLines w:val="0"/>
        <w:pageBreakBefore w:val="0"/>
        <w:numPr>
          <w:ilvl w:val="0"/>
          <w:numId w:val="0"/>
        </w:numPr>
        <w:kinsoku/>
        <w:wordWrap w:val="0"/>
        <w:overflowPunct/>
        <w:topLinePunct/>
        <w:autoSpaceDE/>
        <w:autoSpaceDN/>
        <w:bidi w:val="0"/>
        <w:spacing w:line="500" w:lineRule="exact"/>
        <w:jc w:val="both"/>
        <w:rPr>
          <w:rFonts w:hint="eastAsia" w:ascii="宋体" w:hAnsi="宋体" w:eastAsia="宋体" w:cs="宋体"/>
          <w:b/>
          <w:color w:val="auto"/>
          <w:sz w:val="28"/>
          <w:szCs w:val="28"/>
          <w:highlight w:val="none"/>
        </w:rPr>
      </w:pPr>
    </w:p>
    <w:p w14:paraId="503DB759">
      <w:pPr>
        <w:keepNext w:val="0"/>
        <w:keepLines w:val="0"/>
        <w:pageBreakBefore w:val="0"/>
        <w:widowControl/>
        <w:kinsoku/>
        <w:wordWrap w:val="0"/>
        <w:overflowPunct/>
        <w:topLinePunct/>
        <w:autoSpaceDE/>
        <w:autoSpaceDN/>
        <w:bidi w:val="0"/>
        <w:spacing w:before="190" w:beforeLines="50"/>
        <w:jc w:val="center"/>
        <w:outlineLvl w:val="2"/>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法定代表人委托授权书</w:t>
      </w:r>
    </w:p>
    <w:p w14:paraId="1C63B4FB">
      <w:pPr>
        <w:keepNext w:val="0"/>
        <w:keepLines w:val="0"/>
        <w:pageBreakBefore w:val="0"/>
        <w:widowControl/>
        <w:kinsoku/>
        <w:wordWrap w:val="0"/>
        <w:overflowPunct/>
        <w:topLinePunct/>
        <w:autoSpaceDE/>
        <w:autoSpaceDN/>
        <w:bidi w:val="0"/>
        <w:snapToGrid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p>
    <w:p w14:paraId="16FAE6A5">
      <w:pPr>
        <w:keepNext w:val="0"/>
        <w:keepLines w:val="0"/>
        <w:pageBreakBefore w:val="0"/>
        <w:kinsoku/>
        <w:wordWrap w:val="0"/>
        <w:overflowPunct/>
        <w:topLinePunct/>
        <w:autoSpaceDE/>
        <w:autoSpaceDN/>
        <w:bidi w:val="0"/>
        <w:adjustRightInd w:val="0"/>
        <w:spacing w:line="348" w:lineRule="auto"/>
        <w:ind w:firstLine="64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注册于</w:t>
      </w:r>
      <w:r>
        <w:rPr>
          <w:rFonts w:hint="eastAsia" w:ascii="宋体" w:hAnsi="宋体" w:eastAsia="宋体" w:cs="宋体"/>
          <w:color w:val="auto"/>
          <w:sz w:val="28"/>
          <w:szCs w:val="28"/>
          <w:highlight w:val="none"/>
          <w:u w:val="single"/>
          <w:lang w:val="zh-CN"/>
        </w:rPr>
        <w:t>（工商行政管理局名称）</w:t>
      </w:r>
      <w:r>
        <w:rPr>
          <w:rFonts w:hint="eastAsia" w:ascii="宋体" w:hAnsi="宋体" w:eastAsia="宋体" w:cs="宋体"/>
          <w:color w:val="auto"/>
          <w:sz w:val="28"/>
          <w:szCs w:val="28"/>
          <w:highlight w:val="none"/>
          <w:lang w:val="zh-CN"/>
        </w:rPr>
        <w:t>之</w:t>
      </w:r>
      <w:r>
        <w:rPr>
          <w:rFonts w:hint="eastAsia" w:ascii="宋体" w:hAnsi="宋体" w:eastAsia="宋体" w:cs="宋体"/>
          <w:color w:val="auto"/>
          <w:sz w:val="28"/>
          <w:szCs w:val="28"/>
          <w:highlight w:val="none"/>
          <w:u w:val="single"/>
          <w:lang w:val="zh-CN"/>
        </w:rPr>
        <w:t>（供应商全称）</w:t>
      </w:r>
      <w:r>
        <w:rPr>
          <w:rFonts w:hint="eastAsia" w:ascii="宋体" w:hAnsi="宋体" w:eastAsia="宋体" w:cs="宋体"/>
          <w:color w:val="auto"/>
          <w:sz w:val="28"/>
          <w:szCs w:val="28"/>
          <w:highlight w:val="none"/>
          <w:lang w:val="zh-CN"/>
        </w:rPr>
        <w:t>法人代表</w:t>
      </w:r>
      <w:r>
        <w:rPr>
          <w:rFonts w:hint="eastAsia" w:ascii="宋体" w:hAnsi="宋体" w:eastAsia="宋体" w:cs="宋体"/>
          <w:color w:val="auto"/>
          <w:sz w:val="28"/>
          <w:szCs w:val="28"/>
          <w:highlight w:val="none"/>
          <w:u w:val="single"/>
          <w:lang w:val="zh-CN"/>
        </w:rPr>
        <w:t>（姓名、职务）</w:t>
      </w:r>
      <w:r>
        <w:rPr>
          <w:rFonts w:hint="eastAsia" w:ascii="宋体" w:hAnsi="宋体" w:eastAsia="宋体" w:cs="宋体"/>
          <w:color w:val="auto"/>
          <w:sz w:val="28"/>
          <w:szCs w:val="28"/>
          <w:highlight w:val="none"/>
          <w:lang w:val="zh-CN"/>
        </w:rPr>
        <w:t>授权</w:t>
      </w:r>
      <w:r>
        <w:rPr>
          <w:rFonts w:hint="eastAsia" w:ascii="宋体" w:hAnsi="宋体" w:eastAsia="宋体" w:cs="宋体"/>
          <w:color w:val="auto"/>
          <w:sz w:val="28"/>
          <w:szCs w:val="28"/>
          <w:highlight w:val="none"/>
          <w:u w:val="single"/>
          <w:lang w:val="zh-CN"/>
        </w:rPr>
        <w:t>（被授权人姓名、职务）</w:t>
      </w:r>
      <w:r>
        <w:rPr>
          <w:rFonts w:hint="eastAsia" w:ascii="宋体" w:hAnsi="宋体" w:eastAsia="宋体" w:cs="宋体"/>
          <w:color w:val="auto"/>
          <w:sz w:val="28"/>
          <w:szCs w:val="28"/>
          <w:highlight w:val="none"/>
          <w:lang w:val="zh-CN"/>
        </w:rPr>
        <w:t>为本公司的合法代理人，就</w:t>
      </w:r>
      <w:r>
        <w:rPr>
          <w:rFonts w:hint="eastAsia" w:ascii="宋体" w:hAnsi="宋体" w:eastAsia="宋体" w:cs="宋体"/>
          <w:color w:val="auto"/>
          <w:sz w:val="28"/>
          <w:szCs w:val="28"/>
          <w:highlight w:val="none"/>
          <w:u w:val="single"/>
          <w:lang w:val="zh-CN" w:eastAsia="zh-CN"/>
        </w:rPr>
        <w:t xml:space="preserve">     </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zh-CN"/>
        </w:rPr>
        <w:t>项目</w:t>
      </w:r>
      <w:r>
        <w:rPr>
          <w:rFonts w:hint="eastAsia" w:ascii="宋体" w:hAnsi="宋体" w:eastAsia="宋体" w:cs="宋体"/>
          <w:color w:val="auto"/>
          <w:sz w:val="28"/>
          <w:szCs w:val="28"/>
          <w:highlight w:val="none"/>
          <w:lang w:val="zh-CN" w:eastAsia="zh-CN"/>
        </w:rPr>
        <w:t>名称）</w:t>
      </w:r>
      <w:r>
        <w:rPr>
          <w:rFonts w:hint="eastAsia" w:ascii="宋体" w:hAnsi="宋体" w:eastAsia="宋体" w:cs="宋体"/>
          <w:color w:val="auto"/>
          <w:sz w:val="28"/>
          <w:szCs w:val="28"/>
          <w:highlight w:val="none"/>
          <w:lang w:val="zh-CN"/>
        </w:rPr>
        <w:t>的谈判及合同的执行和完成，以本公司的名义处理一切与之有关的事宜。</w:t>
      </w:r>
    </w:p>
    <w:p w14:paraId="59EF5102">
      <w:pPr>
        <w:keepNext w:val="0"/>
        <w:keepLines w:val="0"/>
        <w:pageBreakBefore w:val="0"/>
        <w:kinsoku/>
        <w:wordWrap w:val="0"/>
        <w:overflowPunct/>
        <w:topLinePunct/>
        <w:autoSpaceDE/>
        <w:autoSpaceDN/>
        <w:bidi w:val="0"/>
        <w:snapToGrid w:val="0"/>
        <w:spacing w:line="360" w:lineRule="auto"/>
        <w:ind w:firstLine="560" w:firstLineChars="2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本授权自</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起生效。</w:t>
      </w:r>
    </w:p>
    <w:p w14:paraId="30C32C06">
      <w:pPr>
        <w:keepNext w:val="0"/>
        <w:keepLines w:val="0"/>
        <w:pageBreakBefore w:val="0"/>
        <w:kinsoku/>
        <w:wordWrap w:val="0"/>
        <w:overflowPunct/>
        <w:topLinePunct/>
        <w:autoSpaceDE/>
        <w:autoSpaceDN/>
        <w:bidi w:val="0"/>
        <w:snapToGrid w:val="0"/>
        <w:spacing w:line="360" w:lineRule="auto"/>
        <w:ind w:firstLine="280" w:firstLineChars="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（提示：此日期不应晚于谈判响应函签署日期）</w:t>
      </w:r>
    </w:p>
    <w:p w14:paraId="75F99832">
      <w:pPr>
        <w:keepNext w:val="0"/>
        <w:keepLines w:val="0"/>
        <w:pageBreakBefore w:val="0"/>
        <w:kinsoku/>
        <w:wordWrap w:val="0"/>
        <w:overflowPunct/>
        <w:topLinePunct/>
        <w:autoSpaceDE/>
        <w:autoSpaceDN/>
        <w:bidi w:val="0"/>
        <w:adjustRightInd w:val="0"/>
        <w:spacing w:line="348" w:lineRule="auto"/>
        <w:jc w:val="both"/>
        <w:rPr>
          <w:rFonts w:hint="eastAsia" w:ascii="宋体" w:hAnsi="宋体" w:eastAsia="宋体" w:cs="宋体"/>
          <w:color w:val="auto"/>
          <w:sz w:val="28"/>
          <w:szCs w:val="28"/>
          <w:highlight w:val="none"/>
          <w:u w:val="single"/>
          <w:lang w:val="zh-CN"/>
        </w:rPr>
      </w:pPr>
      <w:r>
        <w:rPr>
          <w:rFonts w:hint="eastAsia" w:ascii="宋体" w:hAnsi="宋体" w:eastAsia="宋体" w:cs="宋体"/>
          <w:color w:val="auto"/>
          <w:sz w:val="28"/>
          <w:szCs w:val="28"/>
          <w:highlight w:val="none"/>
          <w:lang w:val="zh-CN"/>
        </w:rPr>
        <w:t>附：被授权人姓名：性别：年龄：</w:t>
      </w:r>
    </w:p>
    <w:p w14:paraId="2CB1A726">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职务：身份证号码：</w:t>
      </w:r>
    </w:p>
    <w:p w14:paraId="7D89EDF2">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通讯地址：</w:t>
      </w:r>
    </w:p>
    <w:p w14:paraId="07C194EE">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邮政编码：</w:t>
      </w:r>
    </w:p>
    <w:p w14:paraId="5E327356">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rPr>
        <w:t>电话：传真：</w:t>
      </w:r>
    </w:p>
    <w:p w14:paraId="2078943E">
      <w:pPr>
        <w:keepNext w:val="0"/>
        <w:keepLines w:val="0"/>
        <w:pageBreakBefore w:val="0"/>
        <w:kinsoku/>
        <w:wordWrap w:val="0"/>
        <w:overflowPunct/>
        <w:topLinePunct/>
        <w:autoSpaceDE/>
        <w:autoSpaceDN/>
        <w:bidi w:val="0"/>
        <w:adjustRightInd w:val="0"/>
        <w:spacing w:line="348"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0F3AFB0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2A964DCF">
            <w:pPr>
              <w:keepNext w:val="0"/>
              <w:keepLines w:val="0"/>
              <w:pageBreakBefore w:val="0"/>
              <w:kinsoku/>
              <w:wordWrap w:val="0"/>
              <w:overflowPunct/>
              <w:topLinePunct/>
              <w:autoSpaceDE/>
              <w:autoSpaceDN/>
              <w:bidi w:val="0"/>
              <w:adjustRightInd w:val="0"/>
              <w:spacing w:line="348" w:lineRule="auto"/>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73C63C58">
            <w:pPr>
              <w:keepNext w:val="0"/>
              <w:keepLines w:val="0"/>
              <w:pageBreakBefore w:val="0"/>
              <w:kinsoku/>
              <w:wordWrap w:val="0"/>
              <w:overflowPunct/>
              <w:topLinePunct/>
              <w:autoSpaceDE/>
              <w:autoSpaceDN/>
              <w:bidi w:val="0"/>
              <w:adjustRightInd w:val="0"/>
              <w:spacing w:line="348" w:lineRule="auto"/>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0D44D093">
            <w:pPr>
              <w:keepNext w:val="0"/>
              <w:keepLines w:val="0"/>
              <w:pageBreakBefore w:val="0"/>
              <w:kinsoku/>
              <w:wordWrap w:val="0"/>
              <w:overflowPunct/>
              <w:topLinePunct/>
              <w:autoSpaceDE/>
              <w:autoSpaceDN/>
              <w:bidi w:val="0"/>
              <w:adjustRightInd w:val="0"/>
              <w:spacing w:line="348" w:lineRule="auto"/>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4C983A5B">
            <w:pPr>
              <w:keepNext w:val="0"/>
              <w:keepLines w:val="0"/>
              <w:pageBreakBefore w:val="0"/>
              <w:kinsoku/>
              <w:wordWrap w:val="0"/>
              <w:overflowPunct/>
              <w:topLinePunct/>
              <w:autoSpaceDE/>
              <w:autoSpaceDN/>
              <w:bidi w:val="0"/>
              <w:adjustRightInd w:val="0"/>
              <w:spacing w:line="348" w:lineRule="auto"/>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1AEE60E8">
      <w:pPr>
        <w:keepNext w:val="0"/>
        <w:keepLines w:val="0"/>
        <w:pageBreakBefore w:val="0"/>
        <w:kinsoku/>
        <w:wordWrap w:val="0"/>
        <w:overflowPunct/>
        <w:topLinePunct/>
        <w:autoSpaceDE/>
        <w:autoSpaceDN/>
        <w:bidi w:val="0"/>
        <w:adjustRightInd w:val="0"/>
        <w:snapToGrid w:val="0"/>
        <w:spacing w:line="360" w:lineRule="auto"/>
        <w:jc w:val="both"/>
        <w:rPr>
          <w:rFonts w:hint="eastAsia" w:ascii="宋体" w:hAnsi="宋体" w:eastAsia="宋体" w:cs="宋体"/>
          <w:color w:val="auto"/>
          <w:sz w:val="28"/>
          <w:szCs w:val="28"/>
          <w:highlight w:val="none"/>
          <w:lang w:eastAsia="zh-CN"/>
        </w:rPr>
      </w:pPr>
    </w:p>
    <w:p w14:paraId="4DFD756F">
      <w:pPr>
        <w:keepNext w:val="0"/>
        <w:keepLines w:val="0"/>
        <w:pageBreakBefore w:val="0"/>
        <w:kinsoku/>
        <w:wordWrap w:val="0"/>
        <w:overflowPunct/>
        <w:topLinePunct/>
        <w:autoSpaceDE/>
        <w:autoSpaceDN/>
        <w:bidi w:val="0"/>
        <w:adjustRightInd w:val="0"/>
        <w:snapToGrid w:val="0"/>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w:t>
      </w:r>
      <w:r>
        <w:rPr>
          <w:rFonts w:hint="eastAsia" w:ascii="宋体" w:hAnsi="宋体" w:eastAsia="宋体" w:cs="宋体"/>
          <w:color w:val="auto"/>
          <w:sz w:val="28"/>
          <w:szCs w:val="28"/>
          <w:highlight w:val="none"/>
        </w:rPr>
        <w:t>公章）：</w:t>
      </w:r>
    </w:p>
    <w:p w14:paraId="222F2B79">
      <w:pPr>
        <w:keepNext w:val="0"/>
        <w:keepLines w:val="0"/>
        <w:pageBreakBefore w:val="0"/>
        <w:kinsoku/>
        <w:wordWrap w:val="0"/>
        <w:overflowPunct/>
        <w:topLinePunct/>
        <w:autoSpaceDE/>
        <w:autoSpaceDN/>
        <w:bidi w:val="0"/>
        <w:adjustRightInd w:val="0"/>
        <w:snapToGrid w:val="0"/>
        <w:spacing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法定代表人（或单位负责人）（签字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29442C71">
      <w:pPr>
        <w:keepNext w:val="0"/>
        <w:keepLines w:val="0"/>
        <w:pageBreakBefore w:val="0"/>
        <w:kinsoku/>
        <w:wordWrap w:val="0"/>
        <w:overflowPunct/>
        <w:topLinePunct/>
        <w:autoSpaceDE/>
        <w:autoSpaceDN/>
        <w:bidi w:val="0"/>
        <w:adjustRightInd w:val="0"/>
        <w:snapToGrid w:val="0"/>
        <w:spacing w:line="360" w:lineRule="auto"/>
        <w:jc w:val="both"/>
        <w:rPr>
          <w:rFonts w:hint="eastAsia" w:ascii="宋体" w:hAnsi="宋体" w:eastAsia="宋体" w:cs="宋体"/>
          <w:color w:val="auto"/>
          <w:sz w:val="28"/>
          <w:szCs w:val="28"/>
          <w:highlight w:val="none"/>
          <w:lang w:eastAsia="zh-CN"/>
        </w:rPr>
      </w:pPr>
    </w:p>
    <w:p w14:paraId="5C5BFC5D">
      <w:pPr>
        <w:keepNext w:val="0"/>
        <w:keepLines w:val="0"/>
        <w:pageBreakBefore w:val="0"/>
        <w:kinsoku/>
        <w:wordWrap w:val="0"/>
        <w:overflowPunct/>
        <w:topLinePunct/>
        <w:autoSpaceDE/>
        <w:autoSpaceDN/>
        <w:bidi w:val="0"/>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注：自然人投标的或法定代表人投标的无需提供</w:t>
      </w:r>
      <w:r>
        <w:rPr>
          <w:rFonts w:hint="eastAsia" w:ascii="宋体" w:hAnsi="宋体" w:eastAsia="宋体" w:cs="宋体"/>
          <w:color w:val="auto"/>
          <w:sz w:val="28"/>
          <w:szCs w:val="28"/>
          <w:highlight w:val="none"/>
          <w:lang w:eastAsia="zh-CN"/>
        </w:rPr>
        <w:t>。</w:t>
      </w:r>
    </w:p>
    <w:p w14:paraId="27132305">
      <w:pPr>
        <w:keepNext w:val="0"/>
        <w:keepLines w:val="0"/>
        <w:pageBreakBefore w:val="0"/>
        <w:widowControl/>
        <w:kinsoku/>
        <w:wordWrap w:val="0"/>
        <w:overflowPunct/>
        <w:topLinePunct/>
        <w:autoSpaceDE/>
        <w:autoSpaceDN/>
        <w:bidi w:val="0"/>
        <w:spacing w:after="190" w:afterLines="50" w:line="440" w:lineRule="exact"/>
        <w:ind w:firstLine="6580" w:firstLineChars="2350"/>
        <w:jc w:val="both"/>
        <w:rPr>
          <w:rFonts w:hint="eastAsia" w:ascii="宋体" w:hAnsi="宋体" w:eastAsia="宋体" w:cs="宋体"/>
          <w:color w:val="auto"/>
          <w:sz w:val="28"/>
          <w:szCs w:val="28"/>
          <w:highlight w:val="none"/>
        </w:rPr>
      </w:pPr>
    </w:p>
    <w:p w14:paraId="2031163B">
      <w:pPr>
        <w:keepNext w:val="0"/>
        <w:keepLines w:val="0"/>
        <w:pageBreakBefore w:val="0"/>
        <w:widowControl/>
        <w:kinsoku/>
        <w:wordWrap w:val="0"/>
        <w:overflowPunct/>
        <w:topLinePunct/>
        <w:autoSpaceDE/>
        <w:autoSpaceDN/>
        <w:bidi w:val="0"/>
        <w:spacing w:after="190" w:afterLines="50" w:line="440" w:lineRule="exact"/>
        <w:ind w:firstLine="6580" w:firstLineChars="2350"/>
        <w:jc w:val="both"/>
        <w:rPr>
          <w:rFonts w:hint="eastAsia" w:ascii="宋体" w:hAnsi="宋体" w:eastAsia="宋体" w:cs="宋体"/>
          <w:color w:val="auto"/>
          <w:sz w:val="28"/>
          <w:szCs w:val="28"/>
          <w:highlight w:val="none"/>
        </w:rPr>
      </w:pPr>
    </w:p>
    <w:p w14:paraId="74B74AE4">
      <w:pPr>
        <w:keepNext w:val="0"/>
        <w:keepLines w:val="0"/>
        <w:pageBreakBefore w:val="0"/>
        <w:widowControl/>
        <w:kinsoku/>
        <w:wordWrap w:val="0"/>
        <w:overflowPunct/>
        <w:topLinePunct/>
        <w:autoSpaceDE/>
        <w:autoSpaceDN/>
        <w:bidi w:val="0"/>
        <w:spacing w:after="190" w:afterLines="50" w:line="440" w:lineRule="exact"/>
        <w:ind w:firstLine="6580" w:firstLineChars="2350"/>
        <w:jc w:val="both"/>
        <w:rPr>
          <w:rFonts w:hint="eastAsia" w:ascii="宋体" w:hAnsi="宋体" w:eastAsia="宋体" w:cs="宋体"/>
          <w:color w:val="auto"/>
          <w:sz w:val="28"/>
          <w:szCs w:val="28"/>
          <w:highlight w:val="none"/>
        </w:rPr>
      </w:pPr>
    </w:p>
    <w:p w14:paraId="53C10C6E">
      <w:pPr>
        <w:keepNext w:val="0"/>
        <w:keepLines w:val="0"/>
        <w:pageBreakBefore w:val="0"/>
        <w:widowControl/>
        <w:kinsoku/>
        <w:wordWrap w:val="0"/>
        <w:overflowPunct/>
        <w:topLinePunct/>
        <w:autoSpaceDE/>
        <w:autoSpaceDN/>
        <w:bidi w:val="0"/>
        <w:spacing w:after="190" w:afterLines="50" w:line="440" w:lineRule="exact"/>
        <w:ind w:firstLine="6580" w:firstLineChars="2350"/>
        <w:jc w:val="both"/>
        <w:rPr>
          <w:rFonts w:hint="eastAsia" w:ascii="宋体" w:hAnsi="宋体" w:eastAsia="宋体" w:cs="宋体"/>
          <w:color w:val="auto"/>
          <w:sz w:val="28"/>
          <w:szCs w:val="28"/>
          <w:highlight w:val="none"/>
        </w:rPr>
      </w:pPr>
    </w:p>
    <w:p w14:paraId="08A903E7">
      <w:pPr>
        <w:keepNext w:val="0"/>
        <w:keepLines w:val="0"/>
        <w:pageBreakBefore w:val="0"/>
        <w:widowControl/>
        <w:kinsoku/>
        <w:wordWrap w:val="0"/>
        <w:overflowPunct/>
        <w:topLinePunct/>
        <w:autoSpaceDE/>
        <w:autoSpaceDN/>
        <w:bidi w:val="0"/>
        <w:jc w:val="center"/>
        <w:outlineLvl w:val="0"/>
        <w:rPr>
          <w:rFonts w:hint="eastAsia" w:ascii="宋体" w:hAnsi="宋体" w:eastAsia="宋体" w:cs="宋体"/>
          <w:b/>
          <w:bCs/>
          <w:color w:val="auto"/>
          <w:sz w:val="32"/>
          <w:szCs w:val="36"/>
          <w:highlight w:val="none"/>
        </w:rPr>
      </w:pPr>
      <w:bookmarkStart w:id="87" w:name="_Toc27944"/>
      <w:bookmarkStart w:id="88" w:name="_Toc9136"/>
      <w:r>
        <w:rPr>
          <w:rFonts w:hint="eastAsia" w:ascii="宋体" w:hAnsi="宋体" w:eastAsia="宋体" w:cs="宋体"/>
          <w:b/>
          <w:bCs/>
          <w:color w:val="auto"/>
          <w:sz w:val="32"/>
          <w:szCs w:val="36"/>
          <w:highlight w:val="none"/>
        </w:rPr>
        <w:t>第四部分</w:t>
      </w:r>
      <w:r>
        <w:rPr>
          <w:rFonts w:hint="eastAsia" w:ascii="宋体" w:hAnsi="宋体" w:eastAsia="宋体" w:cs="宋体"/>
          <w:b/>
          <w:bCs/>
          <w:color w:val="auto"/>
          <w:sz w:val="32"/>
          <w:szCs w:val="36"/>
          <w:highlight w:val="none"/>
          <w:lang w:eastAsia="zh-CN"/>
        </w:rPr>
        <w:t>供应商</w:t>
      </w:r>
      <w:r>
        <w:rPr>
          <w:rFonts w:hint="eastAsia" w:ascii="宋体" w:hAnsi="宋体" w:eastAsia="宋体" w:cs="宋体"/>
          <w:b/>
          <w:bCs/>
          <w:color w:val="auto"/>
          <w:sz w:val="32"/>
          <w:szCs w:val="36"/>
          <w:highlight w:val="none"/>
        </w:rPr>
        <w:t>概况</w:t>
      </w:r>
      <w:bookmarkEnd w:id="87"/>
      <w:bookmarkEnd w:id="88"/>
    </w:p>
    <w:p w14:paraId="11625EF9">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基本信息</w:t>
      </w:r>
    </w:p>
    <w:tbl>
      <w:tblPr>
        <w:tblStyle w:val="1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5"/>
        <w:gridCol w:w="667"/>
        <w:gridCol w:w="1533"/>
        <w:gridCol w:w="1417"/>
        <w:gridCol w:w="1560"/>
        <w:gridCol w:w="1398"/>
      </w:tblGrid>
      <w:tr w14:paraId="75C20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noWrap w:val="0"/>
            <w:vAlign w:val="center"/>
          </w:tcPr>
          <w:p w14:paraId="42D346F6">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单位基本情况</w:t>
            </w:r>
          </w:p>
        </w:tc>
      </w:tr>
      <w:tr w14:paraId="15F357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top w:val="single" w:color="auto" w:sz="6" w:space="0"/>
              <w:left w:val="single" w:color="auto" w:sz="12" w:space="0"/>
              <w:bottom w:val="single" w:color="auto" w:sz="6" w:space="0"/>
            </w:tcBorders>
            <w:noWrap w:val="0"/>
            <w:vAlign w:val="center"/>
          </w:tcPr>
          <w:p w14:paraId="3A726988">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全称</w:t>
            </w:r>
          </w:p>
        </w:tc>
        <w:tc>
          <w:tcPr>
            <w:tcW w:w="6575" w:type="dxa"/>
            <w:gridSpan w:val="5"/>
            <w:tcBorders>
              <w:top w:val="single" w:color="auto" w:sz="6" w:space="0"/>
              <w:bottom w:val="single" w:color="auto" w:sz="6" w:space="0"/>
              <w:right w:val="single" w:color="auto" w:sz="12" w:space="0"/>
            </w:tcBorders>
            <w:noWrap w:val="0"/>
            <w:vAlign w:val="center"/>
          </w:tcPr>
          <w:p w14:paraId="15015AA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46749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top w:val="single" w:color="auto" w:sz="6" w:space="0"/>
              <w:left w:val="single" w:color="auto" w:sz="12" w:space="0"/>
            </w:tcBorders>
            <w:noWrap w:val="0"/>
            <w:vAlign w:val="center"/>
          </w:tcPr>
          <w:p w14:paraId="64F9EB2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注册地址</w:t>
            </w:r>
          </w:p>
        </w:tc>
        <w:tc>
          <w:tcPr>
            <w:tcW w:w="2200" w:type="dxa"/>
            <w:gridSpan w:val="2"/>
            <w:tcBorders>
              <w:top w:val="single" w:color="auto" w:sz="6" w:space="0"/>
            </w:tcBorders>
            <w:noWrap w:val="0"/>
            <w:vAlign w:val="center"/>
          </w:tcPr>
          <w:p w14:paraId="327F8624">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417" w:type="dxa"/>
            <w:tcBorders>
              <w:top w:val="single" w:color="auto" w:sz="6" w:space="0"/>
            </w:tcBorders>
            <w:noWrap w:val="0"/>
            <w:vAlign w:val="center"/>
          </w:tcPr>
          <w:p w14:paraId="0014A5D7">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p>
        </w:tc>
        <w:tc>
          <w:tcPr>
            <w:tcW w:w="2958" w:type="dxa"/>
            <w:gridSpan w:val="2"/>
            <w:tcBorders>
              <w:top w:val="single" w:color="auto" w:sz="6" w:space="0"/>
              <w:right w:val="single" w:color="auto" w:sz="12" w:space="0"/>
            </w:tcBorders>
            <w:noWrap w:val="0"/>
            <w:vAlign w:val="center"/>
          </w:tcPr>
          <w:p w14:paraId="3A7F63D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625D2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6A616B33">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登记证号</w:t>
            </w:r>
          </w:p>
        </w:tc>
        <w:tc>
          <w:tcPr>
            <w:tcW w:w="2200" w:type="dxa"/>
            <w:gridSpan w:val="2"/>
            <w:noWrap w:val="0"/>
            <w:vAlign w:val="center"/>
          </w:tcPr>
          <w:p w14:paraId="023F3D9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417" w:type="dxa"/>
            <w:noWrap w:val="0"/>
            <w:vAlign w:val="center"/>
          </w:tcPr>
          <w:p w14:paraId="6C9670BB">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单位性质</w:t>
            </w:r>
          </w:p>
        </w:tc>
        <w:tc>
          <w:tcPr>
            <w:tcW w:w="2958" w:type="dxa"/>
            <w:gridSpan w:val="2"/>
            <w:tcBorders>
              <w:right w:val="single" w:color="auto" w:sz="12" w:space="0"/>
            </w:tcBorders>
            <w:noWrap w:val="0"/>
            <w:vAlign w:val="center"/>
          </w:tcPr>
          <w:p w14:paraId="0CBC43B1">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418F6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3AFF157D">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p>
          <w:p w14:paraId="27E0706D">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(主要负责人)</w:t>
            </w:r>
          </w:p>
        </w:tc>
        <w:tc>
          <w:tcPr>
            <w:tcW w:w="2200" w:type="dxa"/>
            <w:gridSpan w:val="2"/>
            <w:noWrap w:val="0"/>
            <w:vAlign w:val="center"/>
          </w:tcPr>
          <w:p w14:paraId="163CFBA5">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417" w:type="dxa"/>
            <w:noWrap w:val="0"/>
            <w:vAlign w:val="center"/>
          </w:tcPr>
          <w:p w14:paraId="2C57EF16">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所属行业</w:t>
            </w:r>
          </w:p>
        </w:tc>
        <w:tc>
          <w:tcPr>
            <w:tcW w:w="2958" w:type="dxa"/>
            <w:gridSpan w:val="2"/>
            <w:tcBorders>
              <w:right w:val="single" w:color="auto" w:sz="12" w:space="0"/>
            </w:tcBorders>
            <w:noWrap w:val="0"/>
            <w:vAlign w:val="center"/>
          </w:tcPr>
          <w:p w14:paraId="319D228D">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51390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5B04C0C2">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上年度</w:t>
            </w:r>
          </w:p>
          <w:p w14:paraId="41CBE74A">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营业收入</w:t>
            </w:r>
          </w:p>
        </w:tc>
        <w:tc>
          <w:tcPr>
            <w:tcW w:w="2200" w:type="dxa"/>
            <w:gridSpan w:val="2"/>
            <w:noWrap w:val="0"/>
            <w:vAlign w:val="center"/>
          </w:tcPr>
          <w:p w14:paraId="4ABA3DF1">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417" w:type="dxa"/>
            <w:noWrap w:val="0"/>
            <w:vAlign w:val="center"/>
          </w:tcPr>
          <w:p w14:paraId="1070AED3">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资产总额</w:t>
            </w:r>
          </w:p>
        </w:tc>
        <w:tc>
          <w:tcPr>
            <w:tcW w:w="2958" w:type="dxa"/>
            <w:gridSpan w:val="2"/>
            <w:tcBorders>
              <w:right w:val="single" w:color="auto" w:sz="12" w:space="0"/>
            </w:tcBorders>
            <w:noWrap w:val="0"/>
            <w:vAlign w:val="center"/>
          </w:tcPr>
          <w:p w14:paraId="56C1F710">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71DEA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tcBorders>
              <w:left w:val="single" w:color="auto" w:sz="12" w:space="0"/>
            </w:tcBorders>
            <w:noWrap w:val="0"/>
            <w:vAlign w:val="center"/>
          </w:tcPr>
          <w:p w14:paraId="6EB81474">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基本存款账户</w:t>
            </w:r>
          </w:p>
          <w:p w14:paraId="2C411552">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tc>
        <w:tc>
          <w:tcPr>
            <w:tcW w:w="2200" w:type="dxa"/>
            <w:gridSpan w:val="2"/>
            <w:noWrap w:val="0"/>
            <w:vAlign w:val="center"/>
          </w:tcPr>
          <w:p w14:paraId="27D3FDF3">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417" w:type="dxa"/>
            <w:noWrap w:val="0"/>
            <w:vAlign w:val="center"/>
          </w:tcPr>
          <w:p w14:paraId="6C7A8957">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基本存款</w:t>
            </w:r>
          </w:p>
          <w:p w14:paraId="7DDC46BB">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账户账号</w:t>
            </w:r>
          </w:p>
        </w:tc>
        <w:tc>
          <w:tcPr>
            <w:tcW w:w="2958" w:type="dxa"/>
            <w:gridSpan w:val="2"/>
            <w:tcBorders>
              <w:right w:val="single" w:color="auto" w:sz="12" w:space="0"/>
            </w:tcBorders>
            <w:noWrap w:val="0"/>
            <w:vAlign w:val="center"/>
          </w:tcPr>
          <w:p w14:paraId="1DF4D182">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2D0EA5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7A0837A5">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所获得资质及等级(国家行政部门颁发)</w:t>
            </w:r>
          </w:p>
        </w:tc>
        <w:tc>
          <w:tcPr>
            <w:tcW w:w="6575" w:type="dxa"/>
            <w:gridSpan w:val="5"/>
            <w:tcBorders>
              <w:right w:val="single" w:color="auto" w:sz="12" w:space="0"/>
            </w:tcBorders>
            <w:noWrap w:val="0"/>
            <w:vAlign w:val="center"/>
          </w:tcPr>
          <w:p w14:paraId="52D8131E">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p w14:paraId="2A1C93E4">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1D9C9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605" w:type="dxa"/>
            <w:tcBorders>
              <w:left w:val="single" w:color="auto" w:sz="12" w:space="0"/>
            </w:tcBorders>
            <w:noWrap w:val="0"/>
            <w:vAlign w:val="center"/>
          </w:tcPr>
          <w:p w14:paraId="3935AC0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经营范围</w:t>
            </w:r>
          </w:p>
        </w:tc>
        <w:tc>
          <w:tcPr>
            <w:tcW w:w="6575" w:type="dxa"/>
            <w:gridSpan w:val="5"/>
            <w:tcBorders>
              <w:right w:val="single" w:color="auto" w:sz="12" w:space="0"/>
            </w:tcBorders>
            <w:noWrap w:val="0"/>
            <w:vAlign w:val="center"/>
          </w:tcPr>
          <w:p w14:paraId="327527EF">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r>
      <w:tr w14:paraId="169F4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noWrap w:val="0"/>
            <w:vAlign w:val="center"/>
          </w:tcPr>
          <w:p w14:paraId="3B278F17">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人员情况</w:t>
            </w:r>
          </w:p>
        </w:tc>
      </w:tr>
      <w:tr w14:paraId="417C9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vMerge w:val="restart"/>
            <w:tcBorders>
              <w:left w:val="single" w:color="auto" w:sz="12" w:space="0"/>
            </w:tcBorders>
            <w:noWrap w:val="0"/>
            <w:vAlign w:val="center"/>
          </w:tcPr>
          <w:p w14:paraId="3FE121F5">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从业人员总数</w:t>
            </w:r>
          </w:p>
        </w:tc>
        <w:tc>
          <w:tcPr>
            <w:tcW w:w="667" w:type="dxa"/>
            <w:vMerge w:val="restart"/>
            <w:noWrap w:val="0"/>
            <w:vAlign w:val="center"/>
          </w:tcPr>
          <w:p w14:paraId="784553BF">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533" w:type="dxa"/>
            <w:noWrap w:val="0"/>
            <w:vAlign w:val="center"/>
          </w:tcPr>
          <w:p w14:paraId="09FB3C0B">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管理人员数量</w:t>
            </w:r>
          </w:p>
        </w:tc>
        <w:tc>
          <w:tcPr>
            <w:tcW w:w="1417" w:type="dxa"/>
            <w:noWrap w:val="0"/>
            <w:vAlign w:val="center"/>
          </w:tcPr>
          <w:p w14:paraId="22652578">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560" w:type="dxa"/>
            <w:noWrap w:val="0"/>
            <w:vAlign w:val="center"/>
          </w:tcPr>
          <w:p w14:paraId="1FE1D670">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专业技术</w:t>
            </w:r>
          </w:p>
          <w:p w14:paraId="107DB299">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人员数量</w:t>
            </w:r>
          </w:p>
        </w:tc>
        <w:tc>
          <w:tcPr>
            <w:tcW w:w="1398" w:type="dxa"/>
            <w:tcBorders>
              <w:right w:val="single" w:color="auto" w:sz="12" w:space="0"/>
            </w:tcBorders>
            <w:noWrap w:val="0"/>
            <w:vAlign w:val="center"/>
          </w:tcPr>
          <w:p w14:paraId="5DBBCC96">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bCs/>
                <w:color w:val="auto"/>
                <w:kern w:val="0"/>
                <w:sz w:val="28"/>
                <w:szCs w:val="28"/>
                <w:highlight w:val="none"/>
              </w:rPr>
            </w:pPr>
          </w:p>
        </w:tc>
      </w:tr>
      <w:tr w14:paraId="3FD00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05" w:type="dxa"/>
            <w:vMerge w:val="continue"/>
            <w:tcBorders>
              <w:left w:val="single" w:color="auto" w:sz="12" w:space="0"/>
              <w:bottom w:val="single" w:color="auto" w:sz="4" w:space="0"/>
            </w:tcBorders>
            <w:noWrap w:val="0"/>
            <w:vAlign w:val="center"/>
          </w:tcPr>
          <w:p w14:paraId="147B62E5">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667" w:type="dxa"/>
            <w:vMerge w:val="continue"/>
            <w:tcBorders>
              <w:bottom w:val="single" w:color="auto" w:sz="4" w:space="0"/>
            </w:tcBorders>
            <w:noWrap w:val="0"/>
            <w:vAlign w:val="center"/>
          </w:tcPr>
          <w:p w14:paraId="638B070F">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533" w:type="dxa"/>
            <w:tcBorders>
              <w:bottom w:val="single" w:color="auto" w:sz="4" w:space="0"/>
            </w:tcBorders>
            <w:noWrap w:val="0"/>
            <w:vAlign w:val="center"/>
          </w:tcPr>
          <w:p w14:paraId="5D5E292E">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残疾人人数</w:t>
            </w:r>
          </w:p>
        </w:tc>
        <w:tc>
          <w:tcPr>
            <w:tcW w:w="1417" w:type="dxa"/>
            <w:tcBorders>
              <w:bottom w:val="single" w:color="auto" w:sz="4" w:space="0"/>
            </w:tcBorders>
            <w:noWrap w:val="0"/>
            <w:vAlign w:val="center"/>
          </w:tcPr>
          <w:p w14:paraId="55E21F5B">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1560" w:type="dxa"/>
            <w:tcBorders>
              <w:bottom w:val="single" w:color="auto" w:sz="4" w:space="0"/>
            </w:tcBorders>
            <w:noWrap w:val="0"/>
            <w:vAlign w:val="center"/>
          </w:tcPr>
          <w:p w14:paraId="3970F75F">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少数民族人数</w:t>
            </w:r>
          </w:p>
        </w:tc>
        <w:tc>
          <w:tcPr>
            <w:tcW w:w="1398" w:type="dxa"/>
            <w:tcBorders>
              <w:bottom w:val="single" w:color="auto" w:sz="4" w:space="0"/>
              <w:right w:val="single" w:color="auto" w:sz="12" w:space="0"/>
            </w:tcBorders>
            <w:noWrap w:val="0"/>
            <w:vAlign w:val="center"/>
          </w:tcPr>
          <w:p w14:paraId="2791A9F7">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bCs/>
                <w:color w:val="auto"/>
                <w:kern w:val="0"/>
                <w:sz w:val="28"/>
                <w:szCs w:val="28"/>
                <w:highlight w:val="none"/>
              </w:rPr>
            </w:pPr>
          </w:p>
        </w:tc>
      </w:tr>
      <w:tr w14:paraId="4CBC9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noWrap w:val="0"/>
            <w:vAlign w:val="center"/>
          </w:tcPr>
          <w:p w14:paraId="1703F859">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存在直接控股、管理关系的相关</w:t>
            </w:r>
            <w:r>
              <w:rPr>
                <w:rFonts w:hint="eastAsia" w:ascii="宋体" w:hAnsi="宋体" w:eastAsia="宋体" w:cs="宋体"/>
                <w:color w:val="auto"/>
                <w:kern w:val="0"/>
                <w:sz w:val="28"/>
                <w:szCs w:val="28"/>
                <w:highlight w:val="none"/>
                <w:lang w:eastAsia="zh-CN"/>
              </w:rPr>
              <w:t>供应商</w:t>
            </w:r>
          </w:p>
        </w:tc>
      </w:tr>
      <w:tr w14:paraId="432C78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1CE76414">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关系</w:t>
            </w:r>
          </w:p>
        </w:tc>
        <w:tc>
          <w:tcPr>
            <w:tcW w:w="6575" w:type="dxa"/>
            <w:gridSpan w:val="5"/>
            <w:tcBorders>
              <w:right w:val="single" w:color="auto" w:sz="12" w:space="0"/>
            </w:tcBorders>
            <w:noWrap w:val="0"/>
            <w:vAlign w:val="center"/>
          </w:tcPr>
          <w:p w14:paraId="64998FF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lang w:eastAsia="zh-CN"/>
              </w:rPr>
              <w:t>供应商</w:t>
            </w:r>
            <w:r>
              <w:rPr>
                <w:rFonts w:hint="eastAsia" w:ascii="宋体" w:hAnsi="宋体" w:eastAsia="宋体" w:cs="宋体"/>
                <w:bCs/>
                <w:color w:val="auto"/>
                <w:kern w:val="0"/>
                <w:sz w:val="28"/>
                <w:szCs w:val="28"/>
                <w:highlight w:val="none"/>
              </w:rPr>
              <w:t>名称</w:t>
            </w:r>
          </w:p>
        </w:tc>
      </w:tr>
      <w:tr w14:paraId="386EFC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7A19B308">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6575" w:type="dxa"/>
            <w:gridSpan w:val="5"/>
            <w:tcBorders>
              <w:right w:val="single" w:color="auto" w:sz="12" w:space="0"/>
            </w:tcBorders>
            <w:noWrap w:val="0"/>
            <w:vAlign w:val="center"/>
          </w:tcPr>
          <w:p w14:paraId="58A21978">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bCs/>
                <w:color w:val="auto"/>
                <w:kern w:val="0"/>
                <w:sz w:val="28"/>
                <w:szCs w:val="28"/>
                <w:highlight w:val="none"/>
              </w:rPr>
            </w:pPr>
          </w:p>
        </w:tc>
      </w:tr>
      <w:tr w14:paraId="32CAA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0E9D564F">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6575" w:type="dxa"/>
            <w:gridSpan w:val="5"/>
            <w:tcBorders>
              <w:right w:val="single" w:color="auto" w:sz="12" w:space="0"/>
            </w:tcBorders>
            <w:noWrap w:val="0"/>
            <w:vAlign w:val="center"/>
          </w:tcPr>
          <w:p w14:paraId="694FAD69">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bCs/>
                <w:color w:val="auto"/>
                <w:kern w:val="0"/>
                <w:sz w:val="28"/>
                <w:szCs w:val="28"/>
                <w:highlight w:val="none"/>
              </w:rPr>
            </w:pPr>
          </w:p>
        </w:tc>
      </w:tr>
      <w:tr w14:paraId="59538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5" w:type="dxa"/>
            <w:tcBorders>
              <w:left w:val="single" w:color="auto" w:sz="12" w:space="0"/>
            </w:tcBorders>
            <w:noWrap w:val="0"/>
            <w:vAlign w:val="center"/>
          </w:tcPr>
          <w:p w14:paraId="490928D1">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p>
        </w:tc>
        <w:tc>
          <w:tcPr>
            <w:tcW w:w="6575" w:type="dxa"/>
            <w:gridSpan w:val="5"/>
            <w:tcBorders>
              <w:right w:val="single" w:color="auto" w:sz="12" w:space="0"/>
            </w:tcBorders>
            <w:noWrap w:val="0"/>
            <w:vAlign w:val="center"/>
          </w:tcPr>
          <w:p w14:paraId="66544270">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bCs/>
                <w:color w:val="auto"/>
                <w:kern w:val="0"/>
                <w:sz w:val="28"/>
                <w:szCs w:val="28"/>
                <w:highlight w:val="none"/>
              </w:rPr>
            </w:pPr>
          </w:p>
        </w:tc>
      </w:tr>
      <w:tr w14:paraId="092C2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2605" w:type="dxa"/>
            <w:tcBorders>
              <w:left w:val="single" w:color="auto" w:sz="12" w:space="0"/>
              <w:bottom w:val="single" w:color="auto" w:sz="12" w:space="0"/>
            </w:tcBorders>
            <w:noWrap w:val="0"/>
            <w:vAlign w:val="center"/>
          </w:tcPr>
          <w:p w14:paraId="01E33C2C">
            <w:pPr>
              <w:keepNext w:val="0"/>
              <w:keepLines w:val="0"/>
              <w:pageBreakBefore w:val="0"/>
              <w:widowControl/>
              <w:kinsoku/>
              <w:wordWrap w:val="0"/>
              <w:overflowPunct/>
              <w:topLinePunct/>
              <w:autoSpaceDE/>
              <w:autoSpaceDN/>
              <w:bidi w:val="0"/>
              <w:adjustRightInd w:val="0"/>
              <w:spacing w:line="320" w:lineRule="exact"/>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说明</w:t>
            </w:r>
          </w:p>
        </w:tc>
        <w:tc>
          <w:tcPr>
            <w:tcW w:w="6575" w:type="dxa"/>
            <w:gridSpan w:val="5"/>
            <w:tcBorders>
              <w:bottom w:val="single" w:color="auto" w:sz="12" w:space="0"/>
              <w:right w:val="single" w:color="auto" w:sz="12" w:space="0"/>
            </w:tcBorders>
            <w:noWrap w:val="0"/>
            <w:vAlign w:val="center"/>
          </w:tcPr>
          <w:p w14:paraId="5844F1E5">
            <w:pPr>
              <w:keepNext w:val="0"/>
              <w:keepLines w:val="0"/>
              <w:pageBreakBefore w:val="0"/>
              <w:widowControl/>
              <w:kinsoku/>
              <w:wordWrap w:val="0"/>
              <w:overflowPunct/>
              <w:topLinePunct/>
              <w:autoSpaceDE/>
              <w:autoSpaceDN/>
              <w:bidi w:val="0"/>
              <w:spacing w:line="320" w:lineRule="exact"/>
              <w:ind w:left="360" w:hanging="3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1、登记证号指营业执照/事业单位法人证书/非企业专业服务机构执业许可证/民办非企业单位登记证书中的登记号，或“三证合一”改革后的统一社会信用代码。与</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在资格证明文件中提供的登记证号码一致。</w:t>
            </w:r>
          </w:p>
          <w:p w14:paraId="0EFC967C">
            <w:pPr>
              <w:keepNext w:val="0"/>
              <w:keepLines w:val="0"/>
              <w:pageBreakBefore w:val="0"/>
              <w:widowControl/>
              <w:kinsoku/>
              <w:wordWrap w:val="0"/>
              <w:overflowPunct/>
              <w:topLinePunct/>
              <w:autoSpaceDE/>
              <w:autoSpaceDN/>
              <w:bidi w:val="0"/>
              <w:spacing w:line="320" w:lineRule="exact"/>
              <w:ind w:left="360" w:hanging="36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2、成立时间至提交首次响应文件截止时间不足一年的可不提供“上年度营业收入”。</w:t>
            </w:r>
          </w:p>
          <w:p w14:paraId="04623A4D">
            <w:pPr>
              <w:keepNext w:val="0"/>
              <w:keepLines w:val="0"/>
              <w:pageBreakBefore w:val="0"/>
              <w:widowControl/>
              <w:kinsoku/>
              <w:wordWrap w:val="0"/>
              <w:overflowPunct/>
              <w:topLinePunct/>
              <w:autoSpaceDE/>
              <w:autoSpaceDN/>
              <w:bidi w:val="0"/>
              <w:spacing w:line="320" w:lineRule="exact"/>
              <w:ind w:left="360" w:hanging="360"/>
              <w:jc w:val="both"/>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应如实填写上述信息。</w:t>
            </w:r>
          </w:p>
        </w:tc>
      </w:tr>
    </w:tbl>
    <w:p w14:paraId="356DCDA5">
      <w:pPr>
        <w:keepNext w:val="0"/>
        <w:keepLines w:val="0"/>
        <w:pageBreakBefore w:val="0"/>
        <w:widowControl/>
        <w:kinsoku/>
        <w:wordWrap w:val="0"/>
        <w:overflowPunct/>
        <w:topLinePunct/>
        <w:autoSpaceDE/>
        <w:autoSpaceDN/>
        <w:bidi w:val="0"/>
        <w:spacing w:line="2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0F20CA4">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性质</w:t>
      </w:r>
    </w:p>
    <w:p w14:paraId="255AFF78">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为中小企业或残疾人福利性单位的，应按下文给定格式填写声明函。未提供或未按给定格式提供声明函的，将不能享受</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文件规定的价格优惠政策，但不影响响应文件的有效性。</w:t>
      </w:r>
    </w:p>
    <w:p w14:paraId="5671DE29">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为监狱企业的，应当提供由省级以上监狱管理局、戒毒管理局（含新疆生产建设兵团）出具的属于监狱企业的证明函（格式不限定）。未提供证明函的，将不能享受</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文件规定的价格优惠政策，但不影响响应文件的有效性。</w:t>
      </w:r>
    </w:p>
    <w:p w14:paraId="580787A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特别提醒：仅当</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属于中小微企业、或残疾人福利性单位、或监狱企业时才需填写相应的声明函/证明函，否则应当将其留空或直接删除。</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性质将随成交公告一同公布，接受社会监督。</w:t>
      </w:r>
    </w:p>
    <w:p w14:paraId="151C6D5E">
      <w:pPr>
        <w:keepNext w:val="0"/>
        <w:keepLines w:val="0"/>
        <w:pageBreakBefore w:val="0"/>
        <w:widowControl/>
        <w:kinsoku/>
        <w:wordWrap w:val="0"/>
        <w:overflowPunct/>
        <w:topLinePunct/>
        <w:autoSpaceDE/>
        <w:autoSpaceDN/>
        <w:bidi w:val="0"/>
        <w:jc w:val="both"/>
        <w:rPr>
          <w:rFonts w:hint="eastAsia" w:ascii="宋体" w:hAnsi="宋体" w:eastAsia="宋体" w:cs="宋体"/>
          <w:b/>
          <w:color w:val="auto"/>
          <w:sz w:val="28"/>
          <w:szCs w:val="28"/>
          <w:highlight w:val="none"/>
        </w:rPr>
      </w:pPr>
    </w:p>
    <w:p w14:paraId="245D3738">
      <w:pPr>
        <w:keepNext w:val="0"/>
        <w:keepLines w:val="0"/>
        <w:pageBreakBefore w:val="0"/>
        <w:widowControl/>
        <w:kinsoku/>
        <w:wordWrap w:val="0"/>
        <w:overflowPunct/>
        <w:topLinePunct/>
        <w:autoSpaceDE/>
        <w:autoSpaceDN/>
        <w:bidi w:val="0"/>
        <w:jc w:val="both"/>
        <w:rPr>
          <w:rFonts w:hint="eastAsia" w:ascii="宋体" w:hAnsi="宋体" w:eastAsia="宋体" w:cs="宋体"/>
          <w:b/>
          <w:color w:val="auto"/>
          <w:sz w:val="28"/>
          <w:szCs w:val="28"/>
          <w:highlight w:val="none"/>
        </w:rPr>
      </w:pPr>
    </w:p>
    <w:p w14:paraId="5B445A26">
      <w:pPr>
        <w:pStyle w:val="14"/>
        <w:keepNext w:val="0"/>
        <w:keepLines w:val="0"/>
        <w:pageBreakBefore w:val="0"/>
        <w:kinsoku/>
        <w:wordWrap w:val="0"/>
        <w:overflowPunct/>
        <w:topLinePunct/>
        <w:autoSpaceDE/>
        <w:autoSpaceDN/>
        <w:bidi w:val="0"/>
        <w:ind w:firstLine="321"/>
        <w:jc w:val="both"/>
        <w:rPr>
          <w:rFonts w:hint="eastAsia" w:ascii="宋体" w:hAnsi="宋体" w:eastAsia="宋体" w:cs="宋体"/>
          <w:b/>
          <w:color w:val="auto"/>
          <w:sz w:val="28"/>
          <w:szCs w:val="28"/>
          <w:highlight w:val="none"/>
        </w:rPr>
      </w:pPr>
    </w:p>
    <w:p w14:paraId="5CEA751E">
      <w:pPr>
        <w:pStyle w:val="15"/>
        <w:keepNext w:val="0"/>
        <w:keepLines w:val="0"/>
        <w:pageBreakBefore w:val="0"/>
        <w:kinsoku/>
        <w:wordWrap w:val="0"/>
        <w:overflowPunct/>
        <w:topLinePunct/>
        <w:autoSpaceDE/>
        <w:autoSpaceDN/>
        <w:bidi w:val="0"/>
        <w:ind w:firstLine="562"/>
        <w:jc w:val="both"/>
        <w:rPr>
          <w:rFonts w:hint="eastAsia" w:ascii="宋体" w:hAnsi="宋体" w:eastAsia="宋体" w:cs="宋体"/>
          <w:b/>
          <w:color w:val="auto"/>
          <w:sz w:val="28"/>
          <w:szCs w:val="28"/>
          <w:highlight w:val="none"/>
        </w:rPr>
      </w:pPr>
    </w:p>
    <w:p w14:paraId="363C9B98">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7359815F">
      <w:pPr>
        <w:pStyle w:val="14"/>
        <w:keepNext w:val="0"/>
        <w:keepLines w:val="0"/>
        <w:pageBreakBefore w:val="0"/>
        <w:kinsoku/>
        <w:wordWrap w:val="0"/>
        <w:overflowPunct/>
        <w:topLinePunct/>
        <w:autoSpaceDE/>
        <w:autoSpaceDN/>
        <w:bidi w:val="0"/>
        <w:ind w:firstLine="321"/>
        <w:jc w:val="both"/>
        <w:rPr>
          <w:rFonts w:hint="eastAsia" w:ascii="宋体" w:hAnsi="宋体" w:eastAsia="宋体" w:cs="宋体"/>
          <w:b/>
          <w:color w:val="auto"/>
          <w:sz w:val="28"/>
          <w:szCs w:val="28"/>
          <w:highlight w:val="none"/>
        </w:rPr>
      </w:pPr>
    </w:p>
    <w:p w14:paraId="1D4616C0">
      <w:pPr>
        <w:pStyle w:val="15"/>
        <w:keepNext w:val="0"/>
        <w:keepLines w:val="0"/>
        <w:pageBreakBefore w:val="0"/>
        <w:kinsoku/>
        <w:wordWrap w:val="0"/>
        <w:overflowPunct/>
        <w:topLinePunct/>
        <w:autoSpaceDE/>
        <w:autoSpaceDN/>
        <w:bidi w:val="0"/>
        <w:ind w:firstLine="562"/>
        <w:jc w:val="both"/>
        <w:rPr>
          <w:rFonts w:hint="eastAsia" w:ascii="宋体" w:hAnsi="宋体" w:eastAsia="宋体" w:cs="宋体"/>
          <w:b/>
          <w:color w:val="auto"/>
          <w:sz w:val="28"/>
          <w:szCs w:val="28"/>
          <w:highlight w:val="none"/>
        </w:rPr>
      </w:pPr>
    </w:p>
    <w:p w14:paraId="7334BC0A">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0AF53B9E">
      <w:pPr>
        <w:pStyle w:val="14"/>
        <w:keepNext w:val="0"/>
        <w:keepLines w:val="0"/>
        <w:pageBreakBefore w:val="0"/>
        <w:kinsoku/>
        <w:wordWrap w:val="0"/>
        <w:overflowPunct/>
        <w:topLinePunct/>
        <w:autoSpaceDE/>
        <w:autoSpaceDN/>
        <w:bidi w:val="0"/>
        <w:ind w:firstLine="321"/>
        <w:jc w:val="both"/>
        <w:rPr>
          <w:rFonts w:hint="eastAsia" w:ascii="宋体" w:hAnsi="宋体" w:eastAsia="宋体" w:cs="宋体"/>
          <w:b/>
          <w:color w:val="auto"/>
          <w:sz w:val="28"/>
          <w:szCs w:val="28"/>
          <w:highlight w:val="none"/>
        </w:rPr>
      </w:pPr>
    </w:p>
    <w:p w14:paraId="7C5F6458">
      <w:pPr>
        <w:pStyle w:val="15"/>
        <w:keepNext w:val="0"/>
        <w:keepLines w:val="0"/>
        <w:pageBreakBefore w:val="0"/>
        <w:kinsoku/>
        <w:wordWrap w:val="0"/>
        <w:overflowPunct/>
        <w:topLinePunct/>
        <w:autoSpaceDE/>
        <w:autoSpaceDN/>
        <w:bidi w:val="0"/>
        <w:ind w:firstLine="562"/>
        <w:jc w:val="both"/>
        <w:rPr>
          <w:rFonts w:hint="eastAsia" w:ascii="宋体" w:hAnsi="宋体" w:eastAsia="宋体" w:cs="宋体"/>
          <w:b/>
          <w:color w:val="auto"/>
          <w:sz w:val="28"/>
          <w:szCs w:val="28"/>
          <w:highlight w:val="none"/>
        </w:rPr>
      </w:pPr>
    </w:p>
    <w:p w14:paraId="0844E067">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15EA6278">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2F2454D8">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3FAD8E5C">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0E7FED97">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5C5E4E7C">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7BCEF596">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6553E988">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762138D8">
      <w:pPr>
        <w:pStyle w:val="5"/>
        <w:keepNext w:val="0"/>
        <w:keepLines w:val="0"/>
        <w:pageBreakBefore w:val="0"/>
        <w:kinsoku/>
        <w:wordWrap w:val="0"/>
        <w:overflowPunct/>
        <w:topLinePunct/>
        <w:autoSpaceDE/>
        <w:autoSpaceDN/>
        <w:bidi w:val="0"/>
        <w:ind w:firstLine="642"/>
        <w:jc w:val="both"/>
        <w:rPr>
          <w:rFonts w:hint="eastAsia" w:ascii="宋体" w:hAnsi="宋体" w:eastAsia="宋体" w:cs="宋体"/>
          <w:b/>
          <w:color w:val="auto"/>
          <w:sz w:val="28"/>
          <w:szCs w:val="28"/>
          <w:highlight w:val="none"/>
        </w:rPr>
      </w:pPr>
    </w:p>
    <w:p w14:paraId="2D200EBD">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55310E56">
      <w:pPr>
        <w:pStyle w:val="5"/>
        <w:keepNext w:val="0"/>
        <w:keepLines w:val="0"/>
        <w:pageBreakBefore w:val="0"/>
        <w:kinsoku/>
        <w:wordWrap w:val="0"/>
        <w:overflowPunct/>
        <w:topLinePunct/>
        <w:autoSpaceDE/>
        <w:autoSpaceDN/>
        <w:bidi w:val="0"/>
        <w:ind w:firstLine="642"/>
        <w:jc w:val="both"/>
        <w:rPr>
          <w:rFonts w:hint="eastAsia" w:ascii="宋体" w:hAnsi="宋体" w:eastAsia="宋体" w:cs="宋体"/>
          <w:b/>
          <w:color w:val="auto"/>
          <w:sz w:val="28"/>
          <w:szCs w:val="28"/>
          <w:highlight w:val="none"/>
        </w:rPr>
      </w:pPr>
    </w:p>
    <w:p w14:paraId="00B2235D">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40F77182">
      <w:pPr>
        <w:pStyle w:val="5"/>
        <w:keepNext w:val="0"/>
        <w:keepLines w:val="0"/>
        <w:pageBreakBefore w:val="0"/>
        <w:kinsoku/>
        <w:wordWrap w:val="0"/>
        <w:overflowPunct/>
        <w:topLinePunct/>
        <w:autoSpaceDE/>
        <w:autoSpaceDN/>
        <w:bidi w:val="0"/>
        <w:ind w:firstLine="642"/>
        <w:jc w:val="both"/>
        <w:rPr>
          <w:rFonts w:hint="eastAsia" w:ascii="宋体" w:hAnsi="宋体" w:eastAsia="宋体" w:cs="宋体"/>
          <w:b/>
          <w:color w:val="auto"/>
          <w:sz w:val="28"/>
          <w:szCs w:val="28"/>
          <w:highlight w:val="none"/>
        </w:rPr>
      </w:pPr>
    </w:p>
    <w:p w14:paraId="763F6B30">
      <w:pPr>
        <w:pStyle w:val="5"/>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469D5FD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6E20B9A">
      <w:pPr>
        <w:keepNext w:val="0"/>
        <w:keepLines w:val="0"/>
        <w:pageBreakBefore w:val="0"/>
        <w:widowControl/>
        <w:kinsoku/>
        <w:wordWrap w:val="0"/>
        <w:overflowPunct/>
        <w:topLinePunct/>
        <w:autoSpaceDE/>
        <w:autoSpaceDN/>
        <w:bidi w:val="0"/>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中小企业声明函</w:t>
      </w:r>
      <w:r>
        <w:rPr>
          <w:rFonts w:hint="eastAsia" w:ascii="宋体" w:hAnsi="宋体" w:eastAsia="宋体" w:cs="宋体"/>
          <w:b/>
          <w:vanish/>
          <w:color w:val="auto"/>
          <w:sz w:val="28"/>
          <w:szCs w:val="28"/>
          <w:highlight w:val="none"/>
        </w:rPr>
        <w:t>（服务）</w:t>
      </w:r>
    </w:p>
    <w:p w14:paraId="67673CA9">
      <w:pPr>
        <w:pStyle w:val="5"/>
        <w:spacing w:before="298" w:line="283" w:lineRule="auto"/>
        <w:ind w:left="18" w:right="79" w:firstLine="568"/>
        <w:jc w:val="both"/>
        <w:rPr>
          <w:rFonts w:hint="eastAsia" w:ascii="宋体" w:hAnsi="宋体" w:eastAsia="宋体" w:cs="宋体"/>
          <w:color w:val="auto"/>
          <w:sz w:val="28"/>
          <w:szCs w:val="28"/>
        </w:rPr>
      </w:pPr>
      <w:r>
        <w:rPr>
          <w:rFonts w:hint="eastAsia" w:ascii="宋体" w:hAnsi="宋体" w:eastAsia="宋体" w:cs="宋体"/>
          <w:color w:val="auto"/>
          <w:sz w:val="28"/>
          <w:szCs w:val="28"/>
          <w:highlight w:val="none"/>
        </w:rPr>
        <w:t>本公司（联合体）郑重声明，根据《政府采购促进中小企业发展</w:t>
      </w:r>
      <w:r>
        <w:rPr>
          <w:rFonts w:hint="eastAsia" w:ascii="宋体" w:hAnsi="宋体" w:eastAsia="宋体" w:cs="宋体"/>
          <w:color w:val="auto"/>
          <w:spacing w:val="3"/>
          <w:sz w:val="28"/>
          <w:szCs w:val="28"/>
        </w:rPr>
        <w:t>本公司郑重声明，根据《政府采购促进中小企</w:t>
      </w:r>
      <w:r>
        <w:rPr>
          <w:rFonts w:hint="eastAsia" w:ascii="宋体" w:hAnsi="宋体" w:eastAsia="宋体" w:cs="宋体"/>
          <w:color w:val="auto"/>
          <w:spacing w:val="2"/>
          <w:sz w:val="28"/>
          <w:szCs w:val="28"/>
        </w:rPr>
        <w:t>业发展管理办法》（财</w:t>
      </w:r>
      <w:r>
        <w:rPr>
          <w:rFonts w:hint="eastAsia" w:ascii="宋体" w:hAnsi="宋体" w:eastAsia="宋体" w:cs="宋体"/>
          <w:color w:val="auto"/>
          <w:sz w:val="28"/>
          <w:szCs w:val="28"/>
        </w:rPr>
        <w:t xml:space="preserve"> 库﹝2020﹞46</w:t>
      </w:r>
      <w:r>
        <w:rPr>
          <w:rFonts w:hint="eastAsia" w:ascii="宋体" w:hAnsi="宋体" w:eastAsia="宋体" w:cs="宋体"/>
          <w:color w:val="auto"/>
          <w:spacing w:val="-42"/>
          <w:sz w:val="28"/>
          <w:szCs w:val="28"/>
        </w:rPr>
        <w:t xml:space="preserve"> </w:t>
      </w:r>
      <w:r>
        <w:rPr>
          <w:rFonts w:hint="eastAsia" w:ascii="宋体" w:hAnsi="宋体" w:eastAsia="宋体" w:cs="宋体"/>
          <w:color w:val="auto"/>
          <w:sz w:val="28"/>
          <w:szCs w:val="28"/>
        </w:rPr>
        <w:t>号）的规定，</w:t>
      </w:r>
      <w:r>
        <w:rPr>
          <w:rFonts w:hint="eastAsia" w:ascii="宋体" w:hAnsi="宋体" w:eastAsia="宋体" w:cs="宋体"/>
          <w:color w:val="auto"/>
          <w:sz w:val="28"/>
          <w:szCs w:val="28"/>
          <w:highlight w:val="none"/>
        </w:rPr>
        <w:t>本公司（联合体）参加（单位名称）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的（项目名称）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采购活动，</w:t>
      </w:r>
      <w:r>
        <w:rPr>
          <w:rFonts w:hint="eastAsia" w:ascii="宋体" w:hAnsi="宋体" w:eastAsia="宋体" w:cs="宋体"/>
          <w:color w:val="auto"/>
          <w:spacing w:val="2"/>
          <w:sz w:val="28"/>
          <w:szCs w:val="28"/>
        </w:rPr>
        <w:t>提供的货物全部由符合政策要求的小</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微企业制造。相关企业的具体情况如下：</w:t>
      </w:r>
    </w:p>
    <w:p w14:paraId="19E77326">
      <w:pPr>
        <w:pStyle w:val="5"/>
        <w:spacing w:before="46" w:line="268" w:lineRule="auto"/>
        <w:ind w:left="20" w:firstLine="577"/>
        <w:rPr>
          <w:rFonts w:hint="eastAsia" w:ascii="宋体" w:hAnsi="宋体" w:eastAsia="宋体" w:cs="宋体"/>
          <w:color w:val="auto"/>
          <w:sz w:val="28"/>
          <w:szCs w:val="28"/>
        </w:rPr>
      </w:pPr>
      <w:r>
        <w:rPr>
          <w:rFonts w:hint="eastAsia" w:ascii="宋体" w:hAnsi="宋体" w:eastAsia="宋体" w:cs="宋体"/>
          <w:color w:val="auto"/>
          <w:spacing w:val="-1"/>
          <w:sz w:val="28"/>
          <w:szCs w:val="28"/>
        </w:rPr>
        <w:t>1、</w:t>
      </w:r>
      <w:r>
        <w:rPr>
          <w:rFonts w:hint="eastAsia" w:ascii="宋体" w:hAnsi="宋体" w:eastAsia="宋体" w:cs="宋体"/>
          <w:color w:val="auto"/>
          <w:spacing w:val="-1"/>
          <w:sz w:val="28"/>
          <w:szCs w:val="28"/>
          <w:u w:val="single" w:color="auto"/>
        </w:rPr>
        <w:t>（标的名称</w:t>
      </w:r>
      <w:r>
        <w:rPr>
          <w:rFonts w:hint="eastAsia" w:ascii="宋体" w:hAnsi="宋体" w:eastAsia="宋体" w:cs="宋体"/>
          <w:color w:val="auto"/>
          <w:spacing w:val="-25"/>
          <w:sz w:val="28"/>
          <w:szCs w:val="28"/>
          <w:u w:val="single" w:color="auto"/>
        </w:rPr>
        <w:t>）</w:t>
      </w:r>
      <w:r>
        <w:rPr>
          <w:rFonts w:hint="eastAsia" w:ascii="宋体" w:hAnsi="宋体" w:eastAsia="宋体" w:cs="宋体"/>
          <w:color w:val="auto"/>
          <w:spacing w:val="-25"/>
          <w:sz w:val="28"/>
          <w:szCs w:val="28"/>
        </w:rPr>
        <w:t>，</w:t>
      </w:r>
      <w:r>
        <w:rPr>
          <w:rFonts w:hint="eastAsia" w:ascii="宋体" w:hAnsi="宋体" w:eastAsia="宋体" w:cs="宋体"/>
          <w:color w:val="auto"/>
          <w:spacing w:val="-1"/>
          <w:sz w:val="28"/>
          <w:szCs w:val="28"/>
        </w:rPr>
        <w:t>属于</w:t>
      </w:r>
      <w:r>
        <w:rPr>
          <w:rFonts w:hint="eastAsia" w:ascii="宋体" w:hAnsi="宋体" w:eastAsia="宋体" w:cs="宋体"/>
          <w:color w:val="auto"/>
          <w:spacing w:val="-136"/>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w:t>
      </w:r>
      <w:r>
        <w:rPr>
          <w:rFonts w:hint="eastAsia" w:ascii="宋体" w:hAnsi="宋体" w:eastAsia="宋体" w:cs="宋体"/>
          <w:color w:val="auto"/>
          <w:spacing w:val="-1"/>
          <w:sz w:val="28"/>
          <w:szCs w:val="28"/>
          <w:lang w:val="en-US" w:eastAsia="zh-CN"/>
        </w:rPr>
        <w:t>谈判</w:t>
      </w:r>
      <w:r>
        <w:rPr>
          <w:rFonts w:hint="eastAsia" w:ascii="宋体" w:hAnsi="宋体" w:eastAsia="宋体" w:cs="宋体"/>
          <w:color w:val="auto"/>
          <w:spacing w:val="-1"/>
          <w:sz w:val="28"/>
          <w:szCs w:val="28"/>
        </w:rPr>
        <w:t>文件中明确的所</w:t>
      </w:r>
      <w:r>
        <w:rPr>
          <w:rFonts w:hint="eastAsia" w:ascii="宋体" w:hAnsi="宋体" w:eastAsia="宋体" w:cs="宋体"/>
          <w:color w:val="auto"/>
          <w:spacing w:val="-2"/>
          <w:sz w:val="28"/>
          <w:szCs w:val="28"/>
        </w:rPr>
        <w:t>属行业</w:t>
      </w:r>
      <w:r>
        <w:rPr>
          <w:rFonts w:hint="eastAsia" w:ascii="宋体" w:hAnsi="宋体" w:eastAsia="宋体" w:cs="宋体"/>
          <w:color w:val="auto"/>
          <w:spacing w:val="-25"/>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制造商为</w:t>
      </w:r>
      <w:r>
        <w:rPr>
          <w:rFonts w:hint="eastAsia" w:ascii="宋体" w:hAnsi="宋体" w:eastAsia="宋体" w:cs="宋体"/>
          <w:color w:val="auto"/>
          <w:spacing w:val="-1"/>
          <w:sz w:val="28"/>
          <w:szCs w:val="28"/>
          <w:u w:val="single" w:color="auto"/>
        </w:rPr>
        <w:t>（企业名称</w:t>
      </w:r>
      <w:r>
        <w:rPr>
          <w:rFonts w:hint="eastAsia" w:ascii="宋体" w:hAnsi="宋体" w:eastAsia="宋体" w:cs="宋体"/>
          <w:color w:val="auto"/>
          <w:spacing w:val="22"/>
          <w:sz w:val="28"/>
          <w:szCs w:val="28"/>
          <w:u w:val="single" w:color="auto"/>
        </w:rPr>
        <w:t>）</w:t>
      </w:r>
      <w:r>
        <w:rPr>
          <w:rFonts w:hint="eastAsia" w:ascii="宋体" w:hAnsi="宋体" w:eastAsia="宋体" w:cs="宋体"/>
          <w:color w:val="auto"/>
          <w:spacing w:val="22"/>
          <w:sz w:val="28"/>
          <w:szCs w:val="28"/>
        </w:rPr>
        <w:t>，</w:t>
      </w:r>
      <w:r>
        <w:rPr>
          <w:rFonts w:hint="eastAsia" w:ascii="宋体" w:hAnsi="宋体" w:eastAsia="宋体" w:cs="宋体"/>
          <w:color w:val="auto"/>
          <w:spacing w:val="-1"/>
          <w:sz w:val="28"/>
          <w:szCs w:val="28"/>
        </w:rPr>
        <w:t>从业人员</w:t>
      </w:r>
      <w:r>
        <w:rPr>
          <w:rFonts w:hint="eastAsia" w:ascii="宋体" w:hAnsi="宋体" w:eastAsia="宋体" w:cs="宋体"/>
          <w:color w:val="auto"/>
          <w:spacing w:val="-138"/>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13"/>
          <w:sz w:val="28"/>
          <w:szCs w:val="28"/>
        </w:rPr>
        <w:t xml:space="preserve"> </w:t>
      </w:r>
      <w:r>
        <w:rPr>
          <w:rFonts w:hint="eastAsia" w:ascii="宋体" w:hAnsi="宋体" w:eastAsia="宋体" w:cs="宋体"/>
          <w:color w:val="auto"/>
          <w:spacing w:val="-1"/>
          <w:sz w:val="28"/>
          <w:szCs w:val="28"/>
        </w:rPr>
        <w:t>人，营业收入为</w:t>
      </w:r>
      <w:r>
        <w:rPr>
          <w:rFonts w:hint="eastAsia" w:ascii="宋体" w:hAnsi="宋体" w:eastAsia="宋体" w:cs="宋体"/>
          <w:color w:val="auto"/>
          <w:spacing w:val="-139"/>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15"/>
          <w:sz w:val="28"/>
          <w:szCs w:val="28"/>
        </w:rPr>
        <w:t xml:space="preserve"> </w:t>
      </w:r>
      <w:r>
        <w:rPr>
          <w:rFonts w:hint="eastAsia" w:ascii="宋体" w:hAnsi="宋体" w:eastAsia="宋体" w:cs="宋体"/>
          <w:color w:val="auto"/>
          <w:spacing w:val="-1"/>
          <w:sz w:val="28"/>
          <w:szCs w:val="28"/>
        </w:rPr>
        <w:t>万元，资产</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总额为</w:t>
      </w:r>
      <w:r>
        <w:rPr>
          <w:rFonts w:hint="eastAsia" w:ascii="宋体" w:hAnsi="宋体" w:eastAsia="宋体" w:cs="宋体"/>
          <w:color w:val="auto"/>
          <w:spacing w:val="-138"/>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17"/>
          <w:sz w:val="28"/>
          <w:szCs w:val="28"/>
        </w:rPr>
        <w:t xml:space="preserve"> </w:t>
      </w:r>
      <w:r>
        <w:rPr>
          <w:rFonts w:hint="eastAsia" w:ascii="宋体" w:hAnsi="宋体" w:eastAsia="宋体" w:cs="宋体"/>
          <w:color w:val="auto"/>
          <w:spacing w:val="1"/>
          <w:sz w:val="28"/>
          <w:szCs w:val="28"/>
        </w:rPr>
        <w:t>万元，属于</w:t>
      </w:r>
      <w:r>
        <w:rPr>
          <w:rFonts w:hint="eastAsia" w:ascii="宋体" w:hAnsi="宋体" w:eastAsia="宋体" w:cs="宋体"/>
          <w:color w:val="auto"/>
          <w:spacing w:val="-136"/>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（小型企业、微型</w:t>
      </w:r>
      <w:r>
        <w:rPr>
          <w:rFonts w:hint="eastAsia" w:ascii="宋体" w:hAnsi="宋体" w:eastAsia="宋体" w:cs="宋体"/>
          <w:color w:val="auto"/>
          <w:sz w:val="28"/>
          <w:szCs w:val="28"/>
        </w:rPr>
        <w:t>企业）。</w:t>
      </w:r>
    </w:p>
    <w:p w14:paraId="278E1742">
      <w:pPr>
        <w:pStyle w:val="5"/>
        <w:spacing w:before="100" w:line="268" w:lineRule="auto"/>
        <w:ind w:left="18"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2、</w:t>
      </w:r>
      <w:r>
        <w:rPr>
          <w:rFonts w:hint="eastAsia" w:ascii="宋体" w:hAnsi="宋体" w:eastAsia="宋体" w:cs="宋体"/>
          <w:color w:val="auto"/>
          <w:spacing w:val="-2"/>
          <w:sz w:val="28"/>
          <w:szCs w:val="28"/>
          <w:u w:val="single" w:color="auto"/>
        </w:rPr>
        <w:t>（标的名称</w:t>
      </w:r>
      <w:r>
        <w:rPr>
          <w:rFonts w:hint="eastAsia" w:ascii="宋体" w:hAnsi="宋体" w:eastAsia="宋体" w:cs="宋体"/>
          <w:color w:val="auto"/>
          <w:spacing w:val="-25"/>
          <w:sz w:val="28"/>
          <w:szCs w:val="28"/>
          <w:u w:val="single" w:color="auto"/>
        </w:rPr>
        <w:t>）</w:t>
      </w:r>
      <w:r>
        <w:rPr>
          <w:rFonts w:hint="eastAsia" w:ascii="宋体" w:hAnsi="宋体" w:eastAsia="宋体" w:cs="宋体"/>
          <w:color w:val="auto"/>
          <w:spacing w:val="-25"/>
          <w:sz w:val="28"/>
          <w:szCs w:val="28"/>
        </w:rPr>
        <w:t>，</w:t>
      </w:r>
      <w:r>
        <w:rPr>
          <w:rFonts w:hint="eastAsia" w:ascii="宋体" w:hAnsi="宋体" w:eastAsia="宋体" w:cs="宋体"/>
          <w:color w:val="auto"/>
          <w:spacing w:val="-2"/>
          <w:sz w:val="28"/>
          <w:szCs w:val="28"/>
        </w:rPr>
        <w:t>属于</w:t>
      </w:r>
      <w:r>
        <w:rPr>
          <w:rFonts w:hint="eastAsia" w:ascii="宋体" w:hAnsi="宋体" w:eastAsia="宋体" w:cs="宋体"/>
          <w:color w:val="auto"/>
          <w:spacing w:val="-2"/>
          <w:sz w:val="28"/>
          <w:szCs w:val="28"/>
          <w:u w:val="single" w:color="auto"/>
        </w:rPr>
        <w:t xml:space="preserve">           （</w:t>
      </w:r>
      <w:r>
        <w:rPr>
          <w:rFonts w:hint="eastAsia" w:ascii="宋体" w:hAnsi="宋体" w:eastAsia="宋体" w:cs="宋体"/>
          <w:color w:val="auto"/>
          <w:spacing w:val="-77"/>
          <w:sz w:val="28"/>
          <w:szCs w:val="28"/>
          <w:u w:val="single" w:color="auto"/>
        </w:rPr>
        <w:t xml:space="preserve"> </w:t>
      </w:r>
      <w:r>
        <w:rPr>
          <w:rFonts w:hint="eastAsia" w:ascii="宋体" w:hAnsi="宋体" w:eastAsia="宋体" w:cs="宋体"/>
          <w:color w:val="auto"/>
          <w:spacing w:val="-2"/>
          <w:sz w:val="28"/>
          <w:szCs w:val="28"/>
        </w:rPr>
        <w:t>招</w:t>
      </w:r>
      <w:r>
        <w:rPr>
          <w:rFonts w:hint="eastAsia" w:ascii="宋体" w:hAnsi="宋体" w:eastAsia="宋体" w:cs="宋体"/>
          <w:color w:val="auto"/>
          <w:spacing w:val="-3"/>
          <w:sz w:val="28"/>
          <w:szCs w:val="28"/>
        </w:rPr>
        <w:t>标文件中明确的所属行业</w:t>
      </w:r>
      <w:r>
        <w:rPr>
          <w:rFonts w:hint="eastAsia" w:ascii="宋体" w:hAnsi="宋体" w:eastAsia="宋体" w:cs="宋体"/>
          <w:color w:val="auto"/>
          <w:spacing w:val="-25"/>
          <w:sz w:val="28"/>
          <w:szCs w:val="28"/>
        </w:rPr>
        <w:t>）；</w:t>
      </w:r>
      <w:r>
        <w:rPr>
          <w:rFonts w:hint="eastAsia" w:ascii="宋体" w:hAnsi="宋体" w:eastAsia="宋体" w:cs="宋体"/>
          <w:color w:val="auto"/>
          <w:sz w:val="28"/>
          <w:szCs w:val="28"/>
        </w:rPr>
        <w:t xml:space="preserve"> 制造商为</w:t>
      </w:r>
      <w:r>
        <w:rPr>
          <w:rFonts w:hint="eastAsia" w:ascii="宋体" w:hAnsi="宋体" w:eastAsia="宋体" w:cs="宋体"/>
          <w:color w:val="auto"/>
          <w:sz w:val="28"/>
          <w:szCs w:val="28"/>
          <w:u w:val="single" w:color="auto"/>
        </w:rPr>
        <w:t>（企业名称</w:t>
      </w:r>
      <w:r>
        <w:rPr>
          <w:rFonts w:hint="eastAsia" w:ascii="宋体" w:hAnsi="宋体" w:eastAsia="宋体" w:cs="宋体"/>
          <w:color w:val="auto"/>
          <w:spacing w:val="14"/>
          <w:sz w:val="28"/>
          <w:szCs w:val="28"/>
          <w:u w:val="single" w:color="auto"/>
        </w:rPr>
        <w:t>）</w:t>
      </w:r>
      <w:r>
        <w:rPr>
          <w:rFonts w:hint="eastAsia" w:ascii="宋体" w:hAnsi="宋体" w:eastAsia="宋体" w:cs="宋体"/>
          <w:color w:val="auto"/>
          <w:spacing w:val="14"/>
          <w:sz w:val="28"/>
          <w:szCs w:val="28"/>
        </w:rPr>
        <w:t>，</w:t>
      </w:r>
      <w:r>
        <w:rPr>
          <w:rFonts w:hint="eastAsia" w:ascii="宋体" w:hAnsi="宋体" w:eastAsia="宋体" w:cs="宋体"/>
          <w:color w:val="auto"/>
          <w:sz w:val="28"/>
          <w:szCs w:val="28"/>
        </w:rPr>
        <w:t>从业人员</w:t>
      </w:r>
      <w:r>
        <w:rPr>
          <w:rFonts w:hint="eastAsia" w:ascii="宋体" w:hAnsi="宋体" w:eastAsia="宋体" w:cs="宋体"/>
          <w:color w:val="auto"/>
          <w:spacing w:val="-138"/>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14"/>
          <w:sz w:val="28"/>
          <w:szCs w:val="28"/>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pacing w:val="-137"/>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17"/>
          <w:sz w:val="28"/>
          <w:szCs w:val="28"/>
        </w:rPr>
        <w:t xml:space="preserve"> </w:t>
      </w:r>
      <w:r>
        <w:rPr>
          <w:rFonts w:hint="eastAsia" w:ascii="宋体" w:hAnsi="宋体" w:eastAsia="宋体" w:cs="宋体"/>
          <w:color w:val="auto"/>
          <w:sz w:val="28"/>
          <w:szCs w:val="28"/>
        </w:rPr>
        <w:t>万元</w:t>
      </w:r>
      <w:r>
        <w:rPr>
          <w:rFonts w:hint="eastAsia" w:ascii="宋体" w:hAnsi="宋体" w:eastAsia="宋体" w:cs="宋体"/>
          <w:color w:val="auto"/>
          <w:spacing w:val="-1"/>
          <w:sz w:val="28"/>
          <w:szCs w:val="28"/>
        </w:rPr>
        <w:t>，资产总</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额为</w:t>
      </w:r>
      <w:r>
        <w:rPr>
          <w:rFonts w:hint="eastAsia" w:ascii="宋体" w:hAnsi="宋体" w:eastAsia="宋体" w:cs="宋体"/>
          <w:color w:val="auto"/>
          <w:spacing w:val="-139"/>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16"/>
          <w:sz w:val="28"/>
          <w:szCs w:val="28"/>
        </w:rPr>
        <w:t xml:space="preserve"> </w:t>
      </w:r>
      <w:r>
        <w:rPr>
          <w:rFonts w:hint="eastAsia" w:ascii="宋体" w:hAnsi="宋体" w:eastAsia="宋体" w:cs="宋体"/>
          <w:color w:val="auto"/>
          <w:spacing w:val="1"/>
          <w:sz w:val="28"/>
          <w:szCs w:val="28"/>
        </w:rPr>
        <w:t>万元，属于</w:t>
      </w:r>
      <w:r>
        <w:rPr>
          <w:rFonts w:hint="eastAsia" w:ascii="宋体" w:hAnsi="宋体" w:eastAsia="宋体" w:cs="宋体"/>
          <w:color w:val="auto"/>
          <w:spacing w:val="-138"/>
          <w:sz w:val="28"/>
          <w:szCs w:val="28"/>
        </w:rPr>
        <w:t xml:space="preserve"> </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（小型企业、微型企业</w:t>
      </w:r>
      <w:r>
        <w:rPr>
          <w:rFonts w:hint="eastAsia" w:ascii="宋体" w:hAnsi="宋体" w:eastAsia="宋体" w:cs="宋体"/>
          <w:color w:val="auto"/>
          <w:sz w:val="28"/>
          <w:szCs w:val="28"/>
        </w:rPr>
        <w:t>）。</w:t>
      </w:r>
    </w:p>
    <w:p w14:paraId="4781BD79">
      <w:pPr>
        <w:pStyle w:val="5"/>
        <w:spacing w:before="150" w:line="181" w:lineRule="auto"/>
        <w:ind w:left="582"/>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p>
    <w:p w14:paraId="71B8EF7C">
      <w:pPr>
        <w:pStyle w:val="5"/>
        <w:spacing w:before="117" w:line="273" w:lineRule="auto"/>
        <w:ind w:left="18" w:right="79" w:firstLine="595"/>
        <w:rPr>
          <w:rFonts w:hint="eastAsia" w:ascii="宋体" w:hAnsi="宋体" w:eastAsia="宋体" w:cs="宋体"/>
          <w:color w:val="auto"/>
          <w:sz w:val="28"/>
          <w:szCs w:val="28"/>
        </w:rPr>
      </w:pPr>
      <w:r>
        <w:rPr>
          <w:rFonts w:hint="eastAsia" w:ascii="宋体" w:hAnsi="宋体" w:eastAsia="宋体" w:cs="宋体"/>
          <w:color w:val="auto"/>
          <w:spacing w:val="2"/>
          <w:sz w:val="28"/>
          <w:szCs w:val="28"/>
        </w:rPr>
        <w:t>以上企业，不属于大企业的分支机构，不存在控股</w:t>
      </w:r>
      <w:r>
        <w:rPr>
          <w:rFonts w:hint="eastAsia" w:ascii="宋体" w:hAnsi="宋体" w:eastAsia="宋体" w:cs="宋体"/>
          <w:color w:val="auto"/>
          <w:spacing w:val="1"/>
          <w:sz w:val="28"/>
          <w:szCs w:val="28"/>
        </w:rPr>
        <w:t>股东为大企业的情</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形，也不存在与大企业的负责人为同一人的情形。</w:t>
      </w:r>
    </w:p>
    <w:p w14:paraId="75600554">
      <w:pPr>
        <w:pStyle w:val="5"/>
        <w:spacing w:before="53" w:line="275" w:lineRule="auto"/>
        <w:ind w:left="18" w:right="79" w:firstLine="567"/>
        <w:rPr>
          <w:rFonts w:hint="eastAsia" w:ascii="宋体" w:hAnsi="宋体" w:eastAsia="宋体" w:cs="宋体"/>
          <w:color w:val="auto"/>
          <w:sz w:val="28"/>
          <w:szCs w:val="28"/>
        </w:rPr>
      </w:pPr>
      <w:r>
        <w:rPr>
          <w:rFonts w:hint="eastAsia" w:ascii="宋体" w:hAnsi="宋体" w:eastAsia="宋体" w:cs="宋体"/>
          <w:color w:val="auto"/>
          <w:spacing w:val="3"/>
          <w:sz w:val="28"/>
          <w:szCs w:val="28"/>
        </w:rPr>
        <w:t>本企业对上述声明内容的真实性负责。如有虚</w:t>
      </w:r>
      <w:r>
        <w:rPr>
          <w:rFonts w:hint="eastAsia" w:ascii="宋体" w:hAnsi="宋体" w:eastAsia="宋体" w:cs="宋体"/>
          <w:color w:val="auto"/>
          <w:spacing w:val="2"/>
          <w:sz w:val="28"/>
          <w:szCs w:val="28"/>
        </w:rPr>
        <w:t>假，将依法承担相应责</w:t>
      </w:r>
      <w:r>
        <w:rPr>
          <w:rFonts w:hint="eastAsia" w:ascii="宋体" w:hAnsi="宋体" w:eastAsia="宋体" w:cs="宋体"/>
          <w:color w:val="auto"/>
          <w:sz w:val="28"/>
          <w:szCs w:val="28"/>
        </w:rPr>
        <w:t xml:space="preserve"> </w:t>
      </w:r>
      <w:r>
        <w:rPr>
          <w:rFonts w:hint="eastAsia" w:ascii="宋体" w:hAnsi="宋体" w:eastAsia="宋体" w:cs="宋体"/>
          <w:color w:val="auto"/>
          <w:spacing w:val="-9"/>
          <w:sz w:val="28"/>
          <w:szCs w:val="28"/>
        </w:rPr>
        <w:t>任。</w:t>
      </w:r>
    </w:p>
    <w:p w14:paraId="7B1A4B57">
      <w:pPr>
        <w:keepNext w:val="0"/>
        <w:keepLines w:val="0"/>
        <w:pageBreakBefore w:val="0"/>
        <w:widowControl/>
        <w:kinsoku/>
        <w:wordWrap w:val="0"/>
        <w:overflowPunct/>
        <w:topLinePunct/>
        <w:autoSpaceDE/>
        <w:autoSpaceDN/>
        <w:bidi w:val="0"/>
        <w:spacing w:after="100" w:afterAutospacing="1" w:line="240" w:lineRule="auto"/>
        <w:jc w:val="both"/>
        <w:rPr>
          <w:rFonts w:hint="eastAsia" w:ascii="宋体" w:hAnsi="宋体" w:eastAsia="宋体" w:cs="宋体"/>
          <w:color w:val="auto"/>
          <w:sz w:val="28"/>
          <w:szCs w:val="28"/>
          <w:highlight w:val="none"/>
        </w:rPr>
      </w:pPr>
    </w:p>
    <w:p w14:paraId="5B002E31">
      <w:pPr>
        <w:keepNext w:val="0"/>
        <w:keepLines w:val="0"/>
        <w:pageBreakBefore w:val="0"/>
        <w:widowControl/>
        <w:tabs>
          <w:tab w:val="left" w:pos="5670"/>
        </w:tabs>
        <w:kinsoku/>
        <w:wordWrap w:val="0"/>
        <w:overflowPunct/>
        <w:topLinePunct/>
        <w:autoSpaceDE/>
        <w:autoSpaceDN/>
        <w:bidi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673E1A1E">
      <w:pPr>
        <w:keepNext w:val="0"/>
        <w:keepLines w:val="0"/>
        <w:pageBreakBefore w:val="0"/>
        <w:widowControl/>
        <w:tabs>
          <w:tab w:val="left" w:pos="5670"/>
        </w:tabs>
        <w:kinsoku/>
        <w:wordWrap w:val="0"/>
        <w:overflowPunct/>
        <w:topLinePunct/>
        <w:autoSpaceDE/>
        <w:autoSpaceDN/>
        <w:bidi w:val="0"/>
        <w:spacing w:line="24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0795D4C5">
      <w:pPr>
        <w:keepNext w:val="0"/>
        <w:keepLines w:val="0"/>
        <w:pageBreakBefore w:val="0"/>
        <w:widowControl/>
        <w:tabs>
          <w:tab w:val="left" w:pos="5670"/>
        </w:tabs>
        <w:kinsoku/>
        <w:wordWrap w:val="0"/>
        <w:overflowPunct/>
        <w:topLinePunct/>
        <w:autoSpaceDE/>
        <w:autoSpaceDN/>
        <w:bidi w:val="0"/>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在填报前请认真阅读《工业和信息化部、国家统计局、国家发展和改革委员会、财政部关于印发中小企业划型标准规定的通知》（工信部联企业〔2011〕300号）和《财政部、工业和信息化部关于印发</w:t>
      </w:r>
      <w:r>
        <w:rPr>
          <w:rFonts w:hint="eastAsia" w:ascii="宋体" w:hAnsi="宋体" w:eastAsia="宋体" w:cs="宋体"/>
          <w:color w:val="auto"/>
          <w:kern w:val="0"/>
          <w:sz w:val="24"/>
          <w:szCs w:val="24"/>
          <w:highlight w:val="none"/>
        </w:rPr>
        <w:t>〈政府采购促进中小企业发展管理办法</w:t>
      </w:r>
      <w:r>
        <w:rPr>
          <w:rFonts w:hint="eastAsia" w:ascii="宋体" w:hAnsi="宋体" w:eastAsia="宋体" w:cs="宋体"/>
          <w:color w:val="auto"/>
          <w:sz w:val="24"/>
          <w:szCs w:val="24"/>
          <w:highlight w:val="none"/>
        </w:rPr>
        <w:t>〉的通知》（财库〔2020〕46号）相关规定。符合条件的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未按上述要求提供、填写的，评审时不予认可。</w:t>
      </w:r>
    </w:p>
    <w:p w14:paraId="3217959A">
      <w:pPr>
        <w:keepNext w:val="0"/>
        <w:keepLines w:val="0"/>
        <w:pageBreakBefore w:val="0"/>
        <w:widowControl/>
        <w:tabs>
          <w:tab w:val="left" w:pos="5670"/>
        </w:tabs>
        <w:kinsoku/>
        <w:wordWrap w:val="0"/>
        <w:overflowPunct/>
        <w:topLinePunct/>
        <w:autoSpaceDE/>
        <w:autoSpaceDN/>
        <w:bidi w:val="0"/>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13C34CA6">
      <w:pPr>
        <w:keepNext w:val="0"/>
        <w:keepLines w:val="0"/>
        <w:pageBreakBefore w:val="0"/>
        <w:widowControl/>
        <w:tabs>
          <w:tab w:val="left" w:pos="5670"/>
        </w:tabs>
        <w:kinsoku/>
        <w:wordWrap w:val="0"/>
        <w:overflowPunct/>
        <w:topLinePunct/>
        <w:autoSpaceDE/>
        <w:autoSpaceDN/>
        <w:bidi w:val="0"/>
        <w:spacing w:line="240" w:lineRule="auto"/>
        <w:ind w:firstLine="480" w:firstLineChars="200"/>
        <w:jc w:val="both"/>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3、</w:t>
      </w:r>
      <w:r>
        <w:rPr>
          <w:rFonts w:hint="eastAsia" w:ascii="宋体" w:hAnsi="宋体" w:eastAsia="宋体" w:cs="宋体"/>
          <w:color w:val="FF0000"/>
          <w:sz w:val="24"/>
          <w:szCs w:val="24"/>
          <w:highlight w:val="none"/>
          <w:lang w:val="en-US" w:eastAsia="zh-CN"/>
        </w:rPr>
        <w:t>本项目所属行业中小企业划型标准具体如下：工业。从业人员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r>
        <w:rPr>
          <w:rFonts w:hint="eastAsia" w:ascii="宋体" w:hAnsi="宋体" w:eastAsia="宋体" w:cs="宋体"/>
          <w:color w:val="FF0000"/>
          <w:sz w:val="24"/>
          <w:szCs w:val="24"/>
          <w:highlight w:val="none"/>
        </w:rPr>
        <w:t>。</w:t>
      </w:r>
    </w:p>
    <w:p w14:paraId="2936C4DA">
      <w:pPr>
        <w:keepNext w:val="0"/>
        <w:keepLines w:val="0"/>
        <w:pageBreakBefore w:val="0"/>
        <w:widowControl/>
        <w:kinsoku/>
        <w:wordWrap w:val="0"/>
        <w:overflowPunct/>
        <w:topLinePunct/>
        <w:autoSpaceDE/>
        <w:autoSpaceDN/>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2381B31">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项目编号）采购活动提供本单位制造的货物（由本单位承担工程/提供服务），或者提供其他残疾人福利性单位制造的货物（不包括使用非残疾人福利性单位注册商标的货物）。</w:t>
      </w:r>
    </w:p>
    <w:p w14:paraId="63405C8E">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1C250597">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p>
    <w:p w14:paraId="0EDD6038">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44964363">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107C806D">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p>
    <w:p w14:paraId="03E88EFE">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在填报前请认真阅读《财政部、民政部、中国残疾人联合会关于促进残疾人就业政府采购政策的通知》。符合条件的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未按上述要求提供、填写的，评审时不予认可。</w:t>
      </w:r>
    </w:p>
    <w:p w14:paraId="26BE5380">
      <w:pPr>
        <w:keepNext w:val="0"/>
        <w:keepLines w:val="0"/>
        <w:pageBreakBefore w:val="0"/>
        <w:widowControl/>
        <w:tabs>
          <w:tab w:val="left" w:pos="5670"/>
        </w:tabs>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p>
    <w:p w14:paraId="6FEC63EB">
      <w:pPr>
        <w:keepNext w:val="0"/>
        <w:keepLines w:val="0"/>
        <w:pageBreakBefore w:val="0"/>
        <w:widowControl/>
        <w:kinsoku/>
        <w:wordWrap w:val="0"/>
        <w:overflowPunct/>
        <w:topLinePunct/>
        <w:autoSpaceDE/>
        <w:autoSpaceDN/>
        <w:bidi w:val="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监狱企业证明函</w:t>
      </w:r>
    </w:p>
    <w:p w14:paraId="4BEA044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0A13D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监狱企业参加政府采购活动时，应当提供由省级以上监狱管理局、戒毒管理局（含新疆生产建设兵团）出具的属于监狱企业的证明文件。</w:t>
      </w:r>
    </w:p>
    <w:p w14:paraId="12F75841">
      <w:pPr>
        <w:keepNext w:val="0"/>
        <w:keepLines w:val="0"/>
        <w:pageBreakBefore w:val="0"/>
        <w:widowControl/>
        <w:kinsoku/>
        <w:wordWrap w:val="0"/>
        <w:overflowPunct/>
        <w:topLinePunct/>
        <w:autoSpaceDE/>
        <w:autoSpaceDN/>
        <w:bidi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br w:type="page"/>
      </w:r>
      <w:bookmarkStart w:id="89" w:name="_Toc10827"/>
      <w:r>
        <w:rPr>
          <w:rFonts w:hint="eastAsia" w:ascii="宋体" w:hAnsi="宋体" w:eastAsia="宋体" w:cs="宋体"/>
          <w:b/>
          <w:bCs/>
          <w:color w:val="auto"/>
          <w:sz w:val="32"/>
          <w:szCs w:val="32"/>
          <w:highlight w:val="none"/>
        </w:rPr>
        <w:t>第五部分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参加政府采购活动承诺书</w:t>
      </w:r>
      <w:bookmarkEnd w:id="89"/>
    </w:p>
    <w:p w14:paraId="5E9B6BC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未签署下列承诺书的，视为无效响应，其责任由</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自行承担。</w:t>
      </w:r>
    </w:p>
    <w:p w14:paraId="1686260A">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（一）质量安全责任承诺书</w:t>
      </w:r>
    </w:p>
    <w:p w14:paraId="781084E5">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为保证本采购项目顺利进行，作为</w:t>
      </w:r>
      <w:r>
        <w:rPr>
          <w:rFonts w:hint="eastAsia" w:ascii="宋体" w:hAnsi="宋体" w:eastAsia="宋体" w:cs="宋体"/>
          <w:color w:val="auto"/>
          <w:sz w:val="28"/>
          <w:szCs w:val="28"/>
          <w:highlight w:val="none"/>
          <w:lang w:eastAsia="zh-CN"/>
        </w:rPr>
        <w:t>谈判供应商</w:t>
      </w:r>
      <w:r>
        <w:rPr>
          <w:rFonts w:hint="eastAsia" w:ascii="宋体" w:hAnsi="宋体" w:eastAsia="宋体" w:cs="宋体"/>
          <w:color w:val="auto"/>
          <w:sz w:val="28"/>
          <w:szCs w:val="28"/>
          <w:highlight w:val="none"/>
        </w:rPr>
        <w:t>，现郑重承诺：</w:t>
      </w:r>
    </w:p>
    <w:p w14:paraId="61A68820">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1、我方所投产品的生产（包括设计、制造、安装、改造、维修等）、投入使用的材料等均完全符合国家现行质量、安全、环保标准和要求。</w:t>
      </w:r>
    </w:p>
    <w:p w14:paraId="03D91B43">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2、我方将严格按照国家现行相关储存、运输、安装调试技术标准及规范、服务标准及规范、施工标准及规范，在规定的时限内，保质、保量完成项目全部内容，并向采购人交付合格产品。</w:t>
      </w:r>
    </w:p>
    <w:p w14:paraId="3AA5CAD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3、对于因产品生产质量以及储存、运输、安装调试、服务、施工等过程中产生的任何安全事故，我方承担全部责任。</w:t>
      </w:r>
    </w:p>
    <w:p w14:paraId="6772583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4、我方提供的货物、工程、服务等符合现行的国家、行业、地区、企业标准及要求，标准不一致的，以更为严格的为准，我方对提供的货物、工程、服务等的质量、安全、环保等承担全部责任。</w:t>
      </w:r>
    </w:p>
    <w:p w14:paraId="35315D6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p>
    <w:p w14:paraId="75313A06">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45549152">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491F8CC8">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p>
    <w:p w14:paraId="5EB38426">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558C821">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8F857D6">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0DB468B0">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60FD524">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A91B11E">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A4EC65F">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05DBE1CA">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CFF0597">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6BCBA39">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034C029">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3489890">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44B644B">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A92A86C">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41910E9">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19BF042">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9B61F88">
      <w:pPr>
        <w:keepNext w:val="0"/>
        <w:keepLines w:val="0"/>
        <w:pageBreakBefore w:val="0"/>
        <w:widowControl/>
        <w:kinsoku/>
        <w:wordWrap w:val="0"/>
        <w:overflowPunct/>
        <w:topLinePunct/>
        <w:autoSpaceDE/>
        <w:autoSpaceDN/>
        <w:bidi w:val="0"/>
        <w:spacing w:before="190" w:beforeLines="50"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（二）参加政府采购活动行为自律承诺书</w:t>
      </w:r>
    </w:p>
    <w:p w14:paraId="1B2BB219">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作为参加本次政府采购项目的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，我方郑重承诺在参与政府采购活动中遵纪守法、公平竞争、诚实守信，如有违反愿承担一切责任及后果：</w:t>
      </w:r>
    </w:p>
    <w:p w14:paraId="779DC60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1、不与采购人、采购代理机构、政府采购评审专家恶意串通，不向其行贿或提供其他不正当利益；</w:t>
      </w:r>
    </w:p>
    <w:p w14:paraId="1EF3DB06">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2、不与其他</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恶意串通，采取“围标、串标、陪标”等商业欺诈手段谋取中标、成交；</w:t>
      </w:r>
    </w:p>
    <w:p w14:paraId="6BC7C3F5">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3、不提供虚假或无效证明文件（包括但不限于资格证明文件、合同及验收文件、检验检测报告、从业人员资格证书、机构或所投产品的各类认证证书等）或虚假材料谋取中标、成交；</w:t>
      </w:r>
    </w:p>
    <w:p w14:paraId="7248A8B3">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4、不采取不正当手段诋毁、排挤其他</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p>
    <w:p w14:paraId="72AF9F41">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5、不以不正当理由拒不与采购人签订政府</w:t>
      </w:r>
      <w:r>
        <w:rPr>
          <w:rFonts w:hint="eastAsia" w:ascii="宋体" w:hAnsi="宋体" w:eastAsia="宋体" w:cs="宋体"/>
          <w:color w:val="auto"/>
          <w:sz w:val="28"/>
          <w:szCs w:val="28"/>
          <w:highlight w:val="none"/>
          <w:lang w:eastAsia="zh-CN"/>
        </w:rPr>
        <w:t>采购合同</w:t>
      </w:r>
      <w:r>
        <w:rPr>
          <w:rFonts w:hint="eastAsia" w:ascii="宋体" w:hAnsi="宋体" w:eastAsia="宋体" w:cs="宋体"/>
          <w:color w:val="auto"/>
          <w:sz w:val="28"/>
          <w:szCs w:val="28"/>
          <w:highlight w:val="none"/>
        </w:rPr>
        <w:t>，或逾期签订政府</w:t>
      </w:r>
      <w:r>
        <w:rPr>
          <w:rFonts w:hint="eastAsia" w:ascii="宋体" w:hAnsi="宋体" w:eastAsia="宋体" w:cs="宋体"/>
          <w:color w:val="auto"/>
          <w:sz w:val="28"/>
          <w:szCs w:val="28"/>
          <w:highlight w:val="none"/>
          <w:lang w:eastAsia="zh-CN"/>
        </w:rPr>
        <w:t>采购合同</w:t>
      </w:r>
      <w:r>
        <w:rPr>
          <w:rFonts w:hint="eastAsia" w:ascii="宋体" w:hAnsi="宋体" w:eastAsia="宋体" w:cs="宋体"/>
          <w:color w:val="auto"/>
          <w:sz w:val="28"/>
          <w:szCs w:val="28"/>
          <w:highlight w:val="none"/>
        </w:rPr>
        <w:t>，或不按照采购文件确定的事项签订政府</w:t>
      </w:r>
      <w:r>
        <w:rPr>
          <w:rFonts w:hint="eastAsia" w:ascii="宋体" w:hAnsi="宋体" w:eastAsia="宋体" w:cs="宋体"/>
          <w:color w:val="auto"/>
          <w:sz w:val="28"/>
          <w:szCs w:val="28"/>
          <w:highlight w:val="none"/>
          <w:lang w:eastAsia="zh-CN"/>
        </w:rPr>
        <w:t>采购合同</w:t>
      </w:r>
      <w:r>
        <w:rPr>
          <w:rFonts w:hint="eastAsia" w:ascii="宋体" w:hAnsi="宋体" w:eastAsia="宋体" w:cs="宋体"/>
          <w:color w:val="auto"/>
          <w:sz w:val="28"/>
          <w:szCs w:val="28"/>
          <w:highlight w:val="none"/>
        </w:rPr>
        <w:t>；</w:t>
      </w:r>
    </w:p>
    <w:p w14:paraId="5004109E">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6、不以不正当理由拒绝履行合同义务，不会擅自变更、中止或者终止政府</w:t>
      </w:r>
      <w:r>
        <w:rPr>
          <w:rFonts w:hint="eastAsia" w:ascii="宋体" w:hAnsi="宋体" w:eastAsia="宋体" w:cs="宋体"/>
          <w:color w:val="auto"/>
          <w:sz w:val="28"/>
          <w:szCs w:val="28"/>
          <w:highlight w:val="none"/>
          <w:lang w:eastAsia="zh-CN"/>
        </w:rPr>
        <w:t>采购合同</w:t>
      </w:r>
      <w:r>
        <w:rPr>
          <w:rFonts w:hint="eastAsia" w:ascii="宋体" w:hAnsi="宋体" w:eastAsia="宋体" w:cs="宋体"/>
          <w:color w:val="auto"/>
          <w:sz w:val="28"/>
          <w:szCs w:val="28"/>
          <w:highlight w:val="none"/>
        </w:rPr>
        <w:t>或将政府</w:t>
      </w:r>
      <w:r>
        <w:rPr>
          <w:rFonts w:hint="eastAsia" w:ascii="宋体" w:hAnsi="宋体" w:eastAsia="宋体" w:cs="宋体"/>
          <w:color w:val="auto"/>
          <w:sz w:val="28"/>
          <w:szCs w:val="28"/>
          <w:highlight w:val="none"/>
          <w:lang w:eastAsia="zh-CN"/>
        </w:rPr>
        <w:t>采购合同</w:t>
      </w:r>
      <w:r>
        <w:rPr>
          <w:rFonts w:hint="eastAsia" w:ascii="宋体" w:hAnsi="宋体" w:eastAsia="宋体" w:cs="宋体"/>
          <w:color w:val="auto"/>
          <w:sz w:val="28"/>
          <w:szCs w:val="28"/>
          <w:highlight w:val="none"/>
        </w:rPr>
        <w:t>转包；</w:t>
      </w:r>
    </w:p>
    <w:p w14:paraId="5A1CC2DC">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7、不在提供商品、服务或工程施工过程中提供假冒伪劣产品，损害采购人的合法权益或公共利益；</w:t>
      </w:r>
    </w:p>
    <w:p w14:paraId="105E5BD7">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8、不采取捏造事实、提供虚假材料或者以非法手段取得证明材料进行质疑和投诉；</w:t>
      </w:r>
    </w:p>
    <w:p w14:paraId="53F3C0A4">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9、不发生其他有悖于政府采购公开、公平、公正和诚信原则的行为。</w:t>
      </w:r>
    </w:p>
    <w:p w14:paraId="5D1B4E66">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10、尊重和接受政府采购监督管理部门的监督和采购人、采购代理机构的政府采购工作要求，愿意承担因违约行为给采购人造成的损失。</w:t>
      </w:r>
    </w:p>
    <w:p w14:paraId="6AD3285F">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p>
    <w:p w14:paraId="12A2D1EE">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41C3BD45">
      <w:pPr>
        <w:keepNext w:val="0"/>
        <w:keepLines w:val="0"/>
        <w:pageBreakBefore w:val="0"/>
        <w:widowControl/>
        <w:kinsoku/>
        <w:wordWrap w:val="0"/>
        <w:overflowPunct/>
        <w:topLinePunct/>
        <w:autoSpaceDE/>
        <w:autoSpaceDN/>
        <w:bidi w:val="0"/>
        <w:spacing w:line="40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0B82ED08">
      <w:pPr>
        <w:keepNext w:val="0"/>
        <w:keepLines w:val="0"/>
        <w:pageBreakBefore w:val="0"/>
        <w:widowControl/>
        <w:kinsoku/>
        <w:wordWrap w:val="0"/>
        <w:overflowPunct/>
        <w:topLinePunct/>
        <w:autoSpaceDE/>
        <w:autoSpaceDN/>
        <w:bidi w:val="0"/>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br w:type="page"/>
      </w:r>
      <w:bookmarkStart w:id="90" w:name="_Toc6327"/>
      <w:bookmarkStart w:id="91" w:name="_Toc15213"/>
      <w:r>
        <w:rPr>
          <w:rFonts w:hint="eastAsia" w:ascii="宋体" w:hAnsi="宋体" w:eastAsia="宋体" w:cs="宋体"/>
          <w:b/>
          <w:bCs/>
          <w:color w:val="auto"/>
          <w:sz w:val="32"/>
          <w:szCs w:val="32"/>
          <w:highlight w:val="none"/>
        </w:rPr>
        <w:t>第六部分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响应方案</w:t>
      </w:r>
      <w:bookmarkEnd w:id="90"/>
      <w:bookmarkEnd w:id="91"/>
    </w:p>
    <w:p w14:paraId="29C090EE">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可结合第三章《</w:t>
      </w:r>
      <w:r>
        <w:rPr>
          <w:rFonts w:hint="eastAsia" w:ascii="宋体" w:hAnsi="宋体" w:eastAsia="宋体" w:cs="宋体"/>
          <w:b/>
          <w:color w:val="auto"/>
          <w:sz w:val="28"/>
          <w:szCs w:val="28"/>
          <w:highlight w:val="none"/>
          <w:lang w:val="en-US" w:eastAsia="zh-CN"/>
        </w:rPr>
        <w:t>采购内容及要求</w:t>
      </w:r>
      <w:r>
        <w:rPr>
          <w:rFonts w:hint="eastAsia" w:ascii="宋体" w:hAnsi="宋体" w:eastAsia="宋体" w:cs="宋体"/>
          <w:b/>
          <w:color w:val="auto"/>
          <w:sz w:val="28"/>
          <w:szCs w:val="28"/>
          <w:highlight w:val="none"/>
        </w:rPr>
        <w:t>》相关要求编制响应方案，格式自定。</w:t>
      </w:r>
    </w:p>
    <w:p w14:paraId="01FF0F0B">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7B8F8711">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2149996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351C177">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426B91E9">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7EA56013">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17E58F9">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2A659BAA">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257F2D64">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1E9A730">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42F57129">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38389455">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AC501D6">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27B20F5A">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6B6D7DCE">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BF76AD4">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82F6104">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154CB37B">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11AE7A8">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0FF39727">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0112CFCA">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ED755A2">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7D07953">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5F103B40">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24DBB6F0">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7DC2763">
      <w:pPr>
        <w:pStyle w:val="5"/>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3527FE3">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839616C">
      <w:pPr>
        <w:pStyle w:val="5"/>
        <w:keepNext w:val="0"/>
        <w:keepLines w:val="0"/>
        <w:pageBreakBefore w:val="0"/>
        <w:kinsoku/>
        <w:wordWrap w:val="0"/>
        <w:overflowPunct/>
        <w:topLinePunct/>
        <w:autoSpaceDE/>
        <w:autoSpaceDN/>
        <w:bidi w:val="0"/>
        <w:ind w:firstLine="640"/>
        <w:jc w:val="both"/>
        <w:rPr>
          <w:rFonts w:hint="eastAsia" w:ascii="宋体" w:hAnsi="宋体" w:eastAsia="宋体" w:cs="宋体"/>
          <w:color w:val="auto"/>
          <w:sz w:val="28"/>
          <w:szCs w:val="28"/>
          <w:highlight w:val="none"/>
        </w:rPr>
      </w:pPr>
    </w:p>
    <w:p w14:paraId="3AACAF28">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65D30007">
      <w:pPr>
        <w:pStyle w:val="5"/>
        <w:keepNext w:val="0"/>
        <w:keepLines w:val="0"/>
        <w:pageBreakBefore w:val="0"/>
        <w:kinsoku/>
        <w:wordWrap w:val="0"/>
        <w:overflowPunct/>
        <w:topLinePunct/>
        <w:autoSpaceDE/>
        <w:autoSpaceDN/>
        <w:bidi w:val="0"/>
        <w:ind w:firstLine="640"/>
        <w:jc w:val="both"/>
        <w:rPr>
          <w:rFonts w:hint="eastAsia" w:ascii="宋体" w:hAnsi="宋体" w:eastAsia="宋体" w:cs="宋体"/>
          <w:color w:val="auto"/>
          <w:sz w:val="28"/>
          <w:szCs w:val="28"/>
          <w:highlight w:val="none"/>
        </w:rPr>
      </w:pPr>
    </w:p>
    <w:p w14:paraId="66A89B0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0FC504B0">
      <w:pPr>
        <w:pStyle w:val="5"/>
        <w:keepNext w:val="0"/>
        <w:keepLines w:val="0"/>
        <w:pageBreakBefore w:val="0"/>
        <w:kinsoku/>
        <w:wordWrap w:val="0"/>
        <w:overflowPunct/>
        <w:topLinePunct/>
        <w:autoSpaceDE/>
        <w:autoSpaceDN/>
        <w:bidi w:val="0"/>
        <w:ind w:firstLine="640"/>
        <w:jc w:val="both"/>
        <w:rPr>
          <w:rFonts w:hint="eastAsia" w:ascii="宋体" w:hAnsi="宋体" w:eastAsia="宋体" w:cs="宋体"/>
          <w:color w:val="auto"/>
          <w:sz w:val="28"/>
          <w:szCs w:val="28"/>
          <w:highlight w:val="none"/>
        </w:rPr>
      </w:pPr>
    </w:p>
    <w:p w14:paraId="2BF084B1">
      <w:pPr>
        <w:keepNext w:val="0"/>
        <w:keepLines w:val="0"/>
        <w:pageBreakBefore w:val="0"/>
        <w:kinsoku/>
        <w:wordWrap w:val="0"/>
        <w:overflowPunct/>
        <w:topLinePunct/>
        <w:autoSpaceDE/>
        <w:autoSpaceDN/>
        <w:bidi w:val="0"/>
        <w:spacing w:before="190" w:beforeLines="50" w:after="190" w:afterLines="5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二、拟派项目团队及人员情况：</w:t>
      </w:r>
    </w:p>
    <w:tbl>
      <w:tblPr>
        <w:tblStyle w:val="16"/>
        <w:tblpPr w:leftFromText="180" w:rightFromText="180" w:vertAnchor="text" w:horzAnchor="margin" w:tblpY="61"/>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28"/>
        <w:gridCol w:w="1050"/>
        <w:gridCol w:w="1650"/>
        <w:gridCol w:w="1566"/>
        <w:gridCol w:w="2250"/>
      </w:tblGrid>
      <w:tr w14:paraId="7DE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4" w:type="dxa"/>
            <w:noWrap w:val="0"/>
            <w:vAlign w:val="center"/>
          </w:tcPr>
          <w:p w14:paraId="2250A8CF">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姓名</w:t>
            </w:r>
          </w:p>
        </w:tc>
        <w:tc>
          <w:tcPr>
            <w:tcW w:w="1728" w:type="dxa"/>
            <w:noWrap w:val="0"/>
            <w:vAlign w:val="center"/>
          </w:tcPr>
          <w:p w14:paraId="6B49FCD9">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本项目拟任岗位</w:t>
            </w:r>
          </w:p>
        </w:tc>
        <w:tc>
          <w:tcPr>
            <w:tcW w:w="1050" w:type="dxa"/>
            <w:noWrap w:val="0"/>
            <w:vAlign w:val="center"/>
          </w:tcPr>
          <w:p w14:paraId="1ADA8D4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性别</w:t>
            </w:r>
          </w:p>
        </w:tc>
        <w:tc>
          <w:tcPr>
            <w:tcW w:w="1650" w:type="dxa"/>
            <w:noWrap w:val="0"/>
            <w:vAlign w:val="center"/>
          </w:tcPr>
          <w:p w14:paraId="740CF33F">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年龄</w:t>
            </w:r>
          </w:p>
        </w:tc>
        <w:tc>
          <w:tcPr>
            <w:tcW w:w="1566" w:type="dxa"/>
            <w:noWrap w:val="0"/>
            <w:vAlign w:val="center"/>
          </w:tcPr>
          <w:p w14:paraId="1EAD038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专业工作年限</w:t>
            </w:r>
          </w:p>
        </w:tc>
        <w:tc>
          <w:tcPr>
            <w:tcW w:w="2250" w:type="dxa"/>
            <w:noWrap w:val="0"/>
            <w:vAlign w:val="center"/>
          </w:tcPr>
          <w:p w14:paraId="73419BF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现任职务</w:t>
            </w:r>
          </w:p>
        </w:tc>
      </w:tr>
      <w:tr w14:paraId="3FDF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05A88D90">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2B407727">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7FAA06B1">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65B991AB">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6D12BF95">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1363DF3A">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7B49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noWrap w:val="0"/>
            <w:vAlign w:val="center"/>
          </w:tcPr>
          <w:p w14:paraId="3F54D2F6">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2199F4AA">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1A410013">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20AFB72C">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5CDDA461">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29B59701">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6251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32C32D66">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2E8C672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154A739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6201D76B">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15F2E045">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6AC29946">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427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36874AE0">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4F1E6305">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7DFC754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1A52ED2F">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3AE6697B">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3448610A">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159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noWrap w:val="0"/>
            <w:vAlign w:val="center"/>
          </w:tcPr>
          <w:p w14:paraId="7278514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589897C1">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28B41B9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769F6D73">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3BDBC7E6">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52499B37">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1D60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046C49B4">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5F72A5D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32C8C3FA">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20085F93">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38A5DB5B">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6F57654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2218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124C864C">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544243A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178A6804">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6DC478D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7B8A31B7">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10B0E124">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07F3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4" w:type="dxa"/>
            <w:noWrap w:val="0"/>
            <w:vAlign w:val="center"/>
          </w:tcPr>
          <w:p w14:paraId="58738B5B">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7894B961">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26556D67">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2B7D66CD">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2778BE59">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3EDB597C">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6A2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3C6EDAEB">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29E04416">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6EC1AA38">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46ACF900">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252A230F">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4405CC7A">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2A99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5797936F">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5E422F8A">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37967689">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6CEFCB3C">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7E6E770C">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6C081454">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r w14:paraId="399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54" w:type="dxa"/>
            <w:noWrap w:val="0"/>
            <w:vAlign w:val="center"/>
          </w:tcPr>
          <w:p w14:paraId="25B475D2">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728" w:type="dxa"/>
            <w:noWrap w:val="0"/>
            <w:vAlign w:val="center"/>
          </w:tcPr>
          <w:p w14:paraId="23AAD72C">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050" w:type="dxa"/>
            <w:noWrap w:val="0"/>
            <w:vAlign w:val="center"/>
          </w:tcPr>
          <w:p w14:paraId="3A0A5468">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650" w:type="dxa"/>
            <w:noWrap w:val="0"/>
            <w:vAlign w:val="center"/>
          </w:tcPr>
          <w:p w14:paraId="0B8BF323">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1566" w:type="dxa"/>
            <w:noWrap w:val="0"/>
            <w:vAlign w:val="center"/>
          </w:tcPr>
          <w:p w14:paraId="5D93D934">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c>
          <w:tcPr>
            <w:tcW w:w="2250" w:type="dxa"/>
            <w:noWrap w:val="0"/>
            <w:vAlign w:val="center"/>
          </w:tcPr>
          <w:p w14:paraId="0CB77257">
            <w:pPr>
              <w:keepNext w:val="0"/>
              <w:keepLines w:val="0"/>
              <w:pageBreakBefore w:val="0"/>
              <w:kinsoku/>
              <w:wordWrap w:val="0"/>
              <w:overflowPunct/>
              <w:topLinePunct/>
              <w:autoSpaceDE/>
              <w:autoSpaceDN/>
              <w:bidi w:val="0"/>
              <w:spacing w:line="400" w:lineRule="exact"/>
              <w:jc w:val="both"/>
              <w:rPr>
                <w:rFonts w:hint="eastAsia" w:ascii="宋体" w:hAnsi="宋体" w:eastAsia="宋体" w:cs="宋体"/>
                <w:b/>
                <w:bCs/>
                <w:color w:val="auto"/>
                <w:sz w:val="28"/>
                <w:szCs w:val="28"/>
                <w:highlight w:val="none"/>
              </w:rPr>
            </w:pPr>
          </w:p>
        </w:tc>
      </w:tr>
    </w:tbl>
    <w:p w14:paraId="1DC21478">
      <w:pPr>
        <w:keepNext w:val="0"/>
        <w:keepLines w:val="0"/>
        <w:pageBreakBefore w:val="0"/>
        <w:kinsoku/>
        <w:wordWrap w:val="0"/>
        <w:overflowPunct/>
        <w:topLinePunct/>
        <w:autoSpaceDE/>
        <w:autoSpaceDN/>
        <w:bidi w:val="0"/>
        <w:spacing w:before="30" w:line="359" w:lineRule="auto"/>
        <w:ind w:left="11" w:firstLine="425"/>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注：人员数量及要求需满足</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文件的要求，本表后附相关人员的资料人员劳动合同、身份证等证书原件扫描件加盖公章，无相关证明的项目在评审时将不予确认。</w:t>
      </w:r>
    </w:p>
    <w:p w14:paraId="7D9C95A9">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color w:val="auto"/>
          <w:sz w:val="28"/>
          <w:szCs w:val="28"/>
          <w:highlight w:val="none"/>
        </w:rPr>
      </w:pPr>
    </w:p>
    <w:p w14:paraId="365D16B9">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24AE1C49">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443C6B66">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4C029842">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63F5786D">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D50E4BC">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3F8D2770">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7A86D828">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1725EBE6">
      <w:pPr>
        <w:pStyle w:val="14"/>
        <w:keepNext w:val="0"/>
        <w:keepLines w:val="0"/>
        <w:pageBreakBefore w:val="0"/>
        <w:kinsoku/>
        <w:wordWrap w:val="0"/>
        <w:overflowPunct/>
        <w:topLinePunct/>
        <w:autoSpaceDE/>
        <w:autoSpaceDN/>
        <w:bidi w:val="0"/>
        <w:ind w:firstLine="320"/>
        <w:jc w:val="both"/>
        <w:rPr>
          <w:rFonts w:hint="eastAsia" w:ascii="宋体" w:hAnsi="宋体" w:eastAsia="宋体" w:cs="宋体"/>
          <w:color w:val="auto"/>
          <w:sz w:val="28"/>
          <w:szCs w:val="28"/>
          <w:highlight w:val="none"/>
        </w:rPr>
      </w:pPr>
    </w:p>
    <w:p w14:paraId="6AB513F6">
      <w:pPr>
        <w:pStyle w:val="15"/>
        <w:keepNext w:val="0"/>
        <w:keepLines w:val="0"/>
        <w:pageBreakBefore w:val="0"/>
        <w:kinsoku/>
        <w:wordWrap w:val="0"/>
        <w:overflowPunct/>
        <w:topLinePunct/>
        <w:autoSpaceDE/>
        <w:autoSpaceDN/>
        <w:bidi w:val="0"/>
        <w:ind w:firstLine="560"/>
        <w:jc w:val="both"/>
        <w:rPr>
          <w:rFonts w:hint="eastAsia" w:ascii="宋体" w:hAnsi="宋体" w:eastAsia="宋体" w:cs="宋体"/>
          <w:color w:val="auto"/>
          <w:sz w:val="28"/>
          <w:szCs w:val="28"/>
          <w:highlight w:val="none"/>
        </w:rPr>
      </w:pPr>
    </w:p>
    <w:p w14:paraId="4B8373E2">
      <w:pPr>
        <w:keepNext w:val="0"/>
        <w:keepLines w:val="0"/>
        <w:pageBreakBefore w:val="0"/>
        <w:widowControl/>
        <w:kinsoku/>
        <w:wordWrap w:val="0"/>
        <w:overflowPunct/>
        <w:topLinePunct/>
        <w:autoSpaceDE/>
        <w:autoSpaceDN/>
        <w:bidi w:val="0"/>
        <w:spacing w:after="190" w:afterLines="50"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三、类似项目经验</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14:paraId="7EBFE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28C1E5D">
            <w:pPr>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1980" w:type="dxa"/>
            <w:noWrap w:val="0"/>
            <w:vAlign w:val="center"/>
          </w:tcPr>
          <w:p w14:paraId="0873C47A">
            <w:pPr>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1800" w:type="dxa"/>
            <w:tcBorders>
              <w:left w:val="single" w:color="auto" w:sz="4" w:space="0"/>
              <w:right w:val="single" w:color="auto" w:sz="4" w:space="0"/>
            </w:tcBorders>
            <w:noWrap w:val="0"/>
            <w:vAlign w:val="center"/>
          </w:tcPr>
          <w:p w14:paraId="2C7AC6E1">
            <w:pPr>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合同金额（万元）</w:t>
            </w:r>
          </w:p>
        </w:tc>
        <w:tc>
          <w:tcPr>
            <w:tcW w:w="1441" w:type="dxa"/>
            <w:noWrap w:val="0"/>
            <w:vAlign w:val="center"/>
          </w:tcPr>
          <w:p w14:paraId="7D4D6257">
            <w:pPr>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完成日期</w:t>
            </w:r>
          </w:p>
        </w:tc>
        <w:tc>
          <w:tcPr>
            <w:tcW w:w="2700" w:type="dxa"/>
            <w:noWrap w:val="0"/>
            <w:vAlign w:val="center"/>
          </w:tcPr>
          <w:p w14:paraId="6D475C13">
            <w:pPr>
              <w:keepNext w:val="0"/>
              <w:keepLines w:val="0"/>
              <w:pageBreakBefore w:val="0"/>
              <w:kinsoku/>
              <w:wordWrap w:val="0"/>
              <w:overflowPunct/>
              <w:topLinePunct/>
              <w:autoSpaceDE/>
              <w:autoSpaceDN/>
              <w:bidi w:val="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业主名称、联系人及电话</w:t>
            </w:r>
          </w:p>
        </w:tc>
      </w:tr>
      <w:tr w14:paraId="1E5DE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B4DDDF0">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980" w:type="dxa"/>
            <w:noWrap w:val="0"/>
            <w:vAlign w:val="center"/>
          </w:tcPr>
          <w:p w14:paraId="05020D19">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6F9351BA">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62BEEC8E">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0FF8B0AA">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23589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9ED6B4F">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980" w:type="dxa"/>
            <w:noWrap w:val="0"/>
            <w:vAlign w:val="center"/>
          </w:tcPr>
          <w:p w14:paraId="33677862">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1C8D141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0A524E9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4B9B9B33">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2E65D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0F400A4">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980" w:type="dxa"/>
            <w:noWrap w:val="0"/>
            <w:vAlign w:val="center"/>
          </w:tcPr>
          <w:p w14:paraId="3EA0F7EF">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34A28A23">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41E432FB">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3BA5D93C">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2CE6B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0A6EF57">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980" w:type="dxa"/>
            <w:noWrap w:val="0"/>
            <w:vAlign w:val="center"/>
          </w:tcPr>
          <w:p w14:paraId="0388BDDB">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490FD872">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7E5E6A10">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75C2C5FD">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75B8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1C5CCB8">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1980" w:type="dxa"/>
            <w:noWrap w:val="0"/>
            <w:vAlign w:val="center"/>
          </w:tcPr>
          <w:p w14:paraId="10D829F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48F9AF69">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3DB2EF9F">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3C25F249">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5923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5A1C698">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1980" w:type="dxa"/>
            <w:noWrap w:val="0"/>
            <w:vAlign w:val="center"/>
          </w:tcPr>
          <w:p w14:paraId="6BEE72A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36119E5E">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04874068">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6C99EE99">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22248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EC7ED8D">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980" w:type="dxa"/>
            <w:noWrap w:val="0"/>
            <w:vAlign w:val="center"/>
          </w:tcPr>
          <w:p w14:paraId="429665CF">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2B276D36">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2A7D381E">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24DC9EFA">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r w14:paraId="709E2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27A0B5A1">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980" w:type="dxa"/>
            <w:noWrap w:val="0"/>
            <w:vAlign w:val="center"/>
          </w:tcPr>
          <w:p w14:paraId="53128F02">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800" w:type="dxa"/>
            <w:tcBorders>
              <w:left w:val="single" w:color="auto" w:sz="4" w:space="0"/>
              <w:right w:val="single" w:color="auto" w:sz="4" w:space="0"/>
            </w:tcBorders>
            <w:noWrap w:val="0"/>
            <w:vAlign w:val="center"/>
          </w:tcPr>
          <w:p w14:paraId="17C499BC">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1441" w:type="dxa"/>
            <w:noWrap w:val="0"/>
            <w:vAlign w:val="center"/>
          </w:tcPr>
          <w:p w14:paraId="2AFCA88F">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c>
          <w:tcPr>
            <w:tcW w:w="2700" w:type="dxa"/>
            <w:noWrap w:val="0"/>
            <w:vAlign w:val="top"/>
          </w:tcPr>
          <w:p w14:paraId="64425D4E">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tc>
      </w:tr>
    </w:tbl>
    <w:p w14:paraId="49AA02E1">
      <w:pPr>
        <w:keepNext w:val="0"/>
        <w:keepLines w:val="0"/>
        <w:pageBreakBefore w:val="0"/>
        <w:kinsoku/>
        <w:wordWrap w:val="0"/>
        <w:overflowPunct/>
        <w:topLinePunct/>
        <w:autoSpaceDE/>
        <w:autoSpaceDN/>
        <w:bidi w:val="0"/>
        <w:snapToGrid w:val="0"/>
        <w:ind w:left="465" w:hanging="464" w:hangingChars="166"/>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应如实列出以上情况，如有隐瞒，一经查实将导致其投标申请被拒绝。</w:t>
      </w:r>
    </w:p>
    <w:p w14:paraId="07907099">
      <w:pPr>
        <w:pStyle w:val="5"/>
        <w:keepNext w:val="0"/>
        <w:keepLines w:val="0"/>
        <w:pageBreakBefore w:val="0"/>
        <w:kinsoku/>
        <w:wordWrap w:val="0"/>
        <w:overflowPunct/>
        <w:topLinePunct/>
        <w:autoSpaceDE/>
        <w:autoSpaceDN/>
        <w:bidi w:val="0"/>
        <w:ind w:firstLine="64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2、每个项目合同须单独具表，本表后附双方签订的合同原件扫描件加盖公章，无相关证明的项目在评审时将不予确认。</w:t>
      </w:r>
    </w:p>
    <w:p w14:paraId="7CE05CFC">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color w:val="auto"/>
          <w:sz w:val="28"/>
          <w:szCs w:val="28"/>
          <w:highlight w:val="none"/>
        </w:rPr>
      </w:pPr>
    </w:p>
    <w:p w14:paraId="0A3A398E">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color w:val="auto"/>
          <w:sz w:val="28"/>
          <w:szCs w:val="28"/>
          <w:highlight w:val="none"/>
        </w:rPr>
      </w:pPr>
    </w:p>
    <w:p w14:paraId="34009DBB">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69817316">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0D60ED08">
      <w:pPr>
        <w:keepNext w:val="0"/>
        <w:keepLines w:val="0"/>
        <w:pageBreakBefore w:val="0"/>
        <w:widowControl/>
        <w:kinsoku/>
        <w:wordWrap w:val="0"/>
        <w:overflowPunct/>
        <w:topLinePunct/>
        <w:autoSpaceDE/>
        <w:autoSpaceDN/>
        <w:bidi w:val="0"/>
        <w:spacing w:after="190" w:afterLines="50" w:line="400" w:lineRule="exact"/>
        <w:jc w:val="both"/>
        <w:rPr>
          <w:rFonts w:hint="eastAsia" w:ascii="宋体" w:hAnsi="宋体" w:eastAsia="宋体" w:cs="宋体"/>
          <w:b/>
          <w:color w:val="auto"/>
          <w:sz w:val="28"/>
          <w:szCs w:val="28"/>
          <w:highlight w:val="none"/>
        </w:rPr>
      </w:pPr>
    </w:p>
    <w:p w14:paraId="0BD31DA4">
      <w:pPr>
        <w:pStyle w:val="14"/>
        <w:keepNext w:val="0"/>
        <w:keepLines w:val="0"/>
        <w:pageBreakBefore w:val="0"/>
        <w:kinsoku/>
        <w:wordWrap w:val="0"/>
        <w:overflowPunct/>
        <w:topLinePunct/>
        <w:autoSpaceDE/>
        <w:autoSpaceDN/>
        <w:bidi w:val="0"/>
        <w:ind w:firstLine="321"/>
        <w:jc w:val="both"/>
        <w:rPr>
          <w:rFonts w:hint="eastAsia" w:ascii="宋体" w:hAnsi="宋体" w:eastAsia="宋体" w:cs="宋体"/>
          <w:b/>
          <w:color w:val="auto"/>
          <w:sz w:val="28"/>
          <w:szCs w:val="28"/>
          <w:highlight w:val="none"/>
        </w:rPr>
      </w:pPr>
    </w:p>
    <w:p w14:paraId="45B5EBA0">
      <w:pPr>
        <w:pStyle w:val="15"/>
        <w:keepNext w:val="0"/>
        <w:keepLines w:val="0"/>
        <w:pageBreakBefore w:val="0"/>
        <w:kinsoku/>
        <w:wordWrap w:val="0"/>
        <w:overflowPunct/>
        <w:topLinePunct/>
        <w:autoSpaceDE/>
        <w:autoSpaceDN/>
        <w:bidi w:val="0"/>
        <w:ind w:firstLine="562"/>
        <w:jc w:val="both"/>
        <w:rPr>
          <w:rFonts w:hint="eastAsia" w:ascii="宋体" w:hAnsi="宋体" w:eastAsia="宋体" w:cs="宋体"/>
          <w:b/>
          <w:color w:val="auto"/>
          <w:sz w:val="28"/>
          <w:szCs w:val="28"/>
          <w:highlight w:val="none"/>
        </w:rPr>
      </w:pPr>
    </w:p>
    <w:p w14:paraId="2879F220">
      <w:pPr>
        <w:pStyle w:val="5"/>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70A1BA45">
      <w:pPr>
        <w:pStyle w:val="5"/>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66C3C87D">
      <w:pPr>
        <w:pStyle w:val="5"/>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03B4A68E">
      <w:pPr>
        <w:pStyle w:val="5"/>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225BD3EF">
      <w:pPr>
        <w:keepNext w:val="0"/>
        <w:keepLines w:val="0"/>
        <w:pageBreakBefore w:val="0"/>
        <w:kinsoku/>
        <w:wordWrap w:val="0"/>
        <w:overflowPunct/>
        <w:topLinePunct/>
        <w:autoSpaceDE/>
        <w:autoSpaceDN/>
        <w:bidi w:val="0"/>
        <w:jc w:val="both"/>
        <w:rPr>
          <w:rFonts w:hint="eastAsia" w:ascii="宋体" w:hAnsi="宋体" w:eastAsia="宋体" w:cs="宋体"/>
          <w:b/>
          <w:color w:val="auto"/>
          <w:sz w:val="28"/>
          <w:szCs w:val="28"/>
          <w:highlight w:val="none"/>
        </w:rPr>
      </w:pPr>
    </w:p>
    <w:p w14:paraId="10315821">
      <w:pPr>
        <w:keepNext w:val="0"/>
        <w:keepLines w:val="0"/>
        <w:pageBreakBefore w:val="0"/>
        <w:widowControl/>
        <w:kinsoku/>
        <w:wordWrap w:val="0"/>
        <w:overflowPunct/>
        <w:topLinePunct/>
        <w:autoSpaceDE/>
        <w:autoSpaceDN/>
        <w:bidi w:val="0"/>
        <w:spacing w:after="190" w:afterLines="50" w:line="40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四、商务条款响应说明</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277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31B9E8ED">
            <w:pPr>
              <w:keepNext w:val="0"/>
              <w:keepLines w:val="0"/>
              <w:pageBreakBefore w:val="0"/>
              <w:kinsoku/>
              <w:wordWrap w:val="0"/>
              <w:overflowPunct/>
              <w:topLinePunct/>
              <w:autoSpaceDE/>
              <w:autoSpaceDN/>
              <w:bidi w:val="0"/>
              <w:spacing w:line="560" w:lineRule="exact"/>
              <w:ind w:right="-168" w:rightChars="-80" w:firstLine="140" w:firstLineChars="5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51" w:type="dxa"/>
            <w:noWrap w:val="0"/>
            <w:vAlign w:val="center"/>
          </w:tcPr>
          <w:p w14:paraId="76A6D195">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文件要求</w:t>
            </w:r>
          </w:p>
        </w:tc>
        <w:tc>
          <w:tcPr>
            <w:tcW w:w="3015" w:type="dxa"/>
            <w:noWrap w:val="0"/>
            <w:vAlign w:val="center"/>
          </w:tcPr>
          <w:p w14:paraId="20F503F8">
            <w:pPr>
              <w:keepNext w:val="0"/>
              <w:keepLines w:val="0"/>
              <w:pageBreakBefore w:val="0"/>
              <w:kinsoku/>
              <w:wordWrap w:val="0"/>
              <w:overflowPunct/>
              <w:topLinePunct/>
              <w:autoSpaceDE/>
              <w:autoSpaceDN/>
              <w:bidi w:val="0"/>
              <w:spacing w:line="560" w:lineRule="exact"/>
              <w:ind w:right="-168" w:rightChars="-80" w:firstLine="420" w:firstLineChars="15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响应</w:t>
            </w:r>
          </w:p>
        </w:tc>
        <w:tc>
          <w:tcPr>
            <w:tcW w:w="1881" w:type="dxa"/>
            <w:noWrap w:val="0"/>
            <w:vAlign w:val="center"/>
          </w:tcPr>
          <w:p w14:paraId="413E2C27">
            <w:pPr>
              <w:keepNext w:val="0"/>
              <w:keepLines w:val="0"/>
              <w:pageBreakBefore w:val="0"/>
              <w:kinsoku/>
              <w:wordWrap w:val="0"/>
              <w:overflowPunct/>
              <w:topLinePunct/>
              <w:autoSpaceDE/>
              <w:autoSpaceDN/>
              <w:bidi w:val="0"/>
              <w:spacing w:line="560" w:lineRule="exact"/>
              <w:ind w:right="-168" w:rightChars="-80" w:firstLine="420" w:firstLineChars="15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r>
      <w:tr w14:paraId="6490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7B1C425F">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6470C578">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7FB10822">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1190E356">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29B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6AF4E4A5">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3B08D857">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70DF826F">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7E78EFD0">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3F4B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1BB9330C">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41A0CD84">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5420CB9B">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735A9AB1">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0690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118445B">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7B6A2BD3">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4D108678">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14FA65E5">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0C1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540BC5D2">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6ECACF94">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2ADF8B5C">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350A0ED1">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7E64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DAA5831">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68BFC87E">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350756B2">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0DCA26AD">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069B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062906DB">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4E174CFE">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07EE372B">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3AD466F8">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343A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61675DC2">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46D10C11">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485578CD">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7BEF6C32">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525F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463419BC">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451" w:type="dxa"/>
            <w:noWrap w:val="0"/>
            <w:vAlign w:val="center"/>
          </w:tcPr>
          <w:p w14:paraId="067CB334">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70098D3E">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7E74F79F">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r w14:paraId="6BD1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14:paraId="26827B02">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tc>
        <w:tc>
          <w:tcPr>
            <w:tcW w:w="3451" w:type="dxa"/>
            <w:noWrap w:val="0"/>
            <w:vAlign w:val="center"/>
          </w:tcPr>
          <w:p w14:paraId="64495D7C">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3015" w:type="dxa"/>
            <w:noWrap w:val="0"/>
            <w:vAlign w:val="center"/>
          </w:tcPr>
          <w:p w14:paraId="093FBE55">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c>
          <w:tcPr>
            <w:tcW w:w="1881" w:type="dxa"/>
            <w:noWrap w:val="0"/>
            <w:vAlign w:val="center"/>
          </w:tcPr>
          <w:p w14:paraId="125A4CEF">
            <w:pPr>
              <w:keepNext w:val="0"/>
              <w:keepLines w:val="0"/>
              <w:pageBreakBefore w:val="0"/>
              <w:kinsoku/>
              <w:wordWrap w:val="0"/>
              <w:overflowPunct/>
              <w:topLinePunct/>
              <w:autoSpaceDE/>
              <w:autoSpaceDN/>
              <w:bidi w:val="0"/>
              <w:spacing w:line="560" w:lineRule="exact"/>
              <w:ind w:right="-168" w:rightChars="-80"/>
              <w:jc w:val="both"/>
              <w:rPr>
                <w:rFonts w:hint="eastAsia" w:ascii="宋体" w:hAnsi="宋体" w:eastAsia="宋体" w:cs="宋体"/>
                <w:color w:val="auto"/>
                <w:sz w:val="28"/>
                <w:szCs w:val="28"/>
                <w:highlight w:val="none"/>
              </w:rPr>
            </w:pPr>
          </w:p>
        </w:tc>
      </w:tr>
    </w:tbl>
    <w:p w14:paraId="1D2DF986">
      <w:pPr>
        <w:keepNext w:val="0"/>
        <w:keepLines w:val="0"/>
        <w:pageBreakBefore w:val="0"/>
        <w:widowControl/>
        <w:kinsoku/>
        <w:wordWrap w:val="0"/>
        <w:overflowPunct/>
        <w:topLinePunct/>
        <w:autoSpaceDE/>
        <w:autoSpaceDN/>
        <w:bidi w:val="0"/>
        <w:adjustRightInd w:val="0"/>
        <w:snapToGrid w:val="0"/>
        <w:spacing w:line="360" w:lineRule="auto"/>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14:paraId="1164F204">
      <w:pPr>
        <w:keepNext w:val="0"/>
        <w:keepLines w:val="0"/>
        <w:pageBreakBefore w:val="0"/>
        <w:widowControl/>
        <w:kinsoku/>
        <w:wordWrap w:val="0"/>
        <w:overflowPunct/>
        <w:topLinePunct/>
        <w:autoSpaceDE/>
        <w:autoSpaceDN/>
        <w:bidi w:val="0"/>
        <w:adjustRightInd w:val="0"/>
        <w:snapToGrid w:val="0"/>
        <w:spacing w:line="360" w:lineRule="auto"/>
        <w:ind w:firstLine="495" w:firstLineChars="177"/>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lang w:val="en-US" w:eastAsia="zh-CN"/>
        </w:rPr>
        <w:t>按照谈判文件</w:t>
      </w:r>
      <w:r>
        <w:rPr>
          <w:rFonts w:hint="eastAsia" w:ascii="宋体" w:hAnsi="宋体" w:eastAsia="宋体" w:cs="宋体"/>
          <w:color w:val="auto"/>
          <w:sz w:val="28"/>
          <w:szCs w:val="28"/>
          <w:highlight w:val="none"/>
          <w:lang w:eastAsia="zh-CN"/>
        </w:rPr>
        <w:t>商务条款</w:t>
      </w:r>
      <w:r>
        <w:rPr>
          <w:rFonts w:hint="eastAsia" w:ascii="宋体" w:hAnsi="宋体" w:eastAsia="宋体" w:cs="宋体"/>
          <w:color w:val="auto"/>
          <w:sz w:val="28"/>
          <w:szCs w:val="28"/>
          <w:highlight w:val="none"/>
        </w:rPr>
        <w:t>的内容逐条</w:t>
      </w:r>
      <w:r>
        <w:rPr>
          <w:rFonts w:hint="eastAsia" w:ascii="宋体" w:hAnsi="宋体" w:eastAsia="宋体" w:cs="宋体"/>
          <w:color w:val="auto"/>
          <w:sz w:val="28"/>
          <w:szCs w:val="28"/>
          <w:highlight w:val="none"/>
          <w:lang w:eastAsia="zh-CN"/>
        </w:rPr>
        <w:t>如实填写（包括</w:t>
      </w:r>
      <w:r>
        <w:rPr>
          <w:rFonts w:hint="eastAsia" w:ascii="宋体" w:hAnsi="宋体" w:eastAsia="宋体" w:cs="宋体"/>
          <w:color w:val="auto"/>
          <w:sz w:val="28"/>
          <w:szCs w:val="28"/>
          <w:highlight w:val="none"/>
          <w:lang w:val="en-US" w:eastAsia="zh-CN"/>
        </w:rPr>
        <w:t>交货期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付款方式</w:t>
      </w:r>
      <w:r>
        <w:rPr>
          <w:rFonts w:hint="eastAsia" w:ascii="宋体" w:hAnsi="宋体" w:eastAsia="宋体" w:cs="宋体"/>
          <w:color w:val="auto"/>
          <w:sz w:val="28"/>
          <w:szCs w:val="28"/>
          <w:highlight w:val="none"/>
          <w:lang w:eastAsia="zh-CN"/>
        </w:rPr>
        <w:t>等），未逐条响应、有缺漏将被视为</w:t>
      </w:r>
      <w:r>
        <w:rPr>
          <w:rFonts w:hint="eastAsia" w:ascii="宋体" w:hAnsi="宋体" w:eastAsia="宋体" w:cs="宋体"/>
          <w:color w:val="auto"/>
          <w:sz w:val="28"/>
          <w:szCs w:val="28"/>
          <w:highlight w:val="none"/>
          <w:lang w:val="en-US" w:eastAsia="zh-CN"/>
        </w:rPr>
        <w:t>不响应本项目实质性要求</w:t>
      </w:r>
      <w:r>
        <w:rPr>
          <w:rFonts w:hint="eastAsia" w:ascii="宋体" w:hAnsi="宋体" w:eastAsia="宋体" w:cs="宋体"/>
          <w:color w:val="auto"/>
          <w:sz w:val="28"/>
          <w:szCs w:val="28"/>
          <w:highlight w:val="none"/>
          <w:lang w:eastAsia="zh-CN"/>
        </w:rPr>
        <w:t>。</w:t>
      </w:r>
    </w:p>
    <w:p w14:paraId="796010E8">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2、在偏离项，必须注明“正偏离”</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“负偏离”或“完全响应”。</w:t>
      </w:r>
    </w:p>
    <w:p w14:paraId="6B5F2ED0">
      <w:pPr>
        <w:keepNext w:val="0"/>
        <w:keepLines w:val="0"/>
        <w:pageBreakBefore w:val="0"/>
        <w:widowControl/>
        <w:tabs>
          <w:tab w:val="right" w:pos="9070"/>
        </w:tabs>
        <w:kinsoku/>
        <w:wordWrap w:val="0"/>
        <w:overflowPunct/>
        <w:topLinePunct/>
        <w:autoSpaceDE/>
        <w:autoSpaceDN/>
        <w:bidi w:val="0"/>
        <w:adjustRightInd w:val="0"/>
        <w:snapToGrid w:val="0"/>
        <w:spacing w:line="440" w:lineRule="exact"/>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3、响应</w:t>
      </w:r>
      <w:r>
        <w:rPr>
          <w:rFonts w:hint="eastAsia" w:ascii="宋体" w:hAnsi="宋体" w:eastAsia="宋体" w:cs="宋体"/>
          <w:color w:val="auto"/>
          <w:sz w:val="28"/>
          <w:szCs w:val="28"/>
          <w:highlight w:val="none"/>
        </w:rPr>
        <w:t>文件实际存在偏离，但</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未在偏离表中注明的，视为负偏离，应当按照</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文件的规定执行。</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人在签订合同时，不得以任何理由进行抗辩。</w:t>
      </w:r>
    </w:p>
    <w:p w14:paraId="06DFBBCF">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color w:val="auto"/>
          <w:sz w:val="28"/>
          <w:szCs w:val="28"/>
          <w:highlight w:val="none"/>
          <w:lang w:eastAsia="zh-CN"/>
        </w:rPr>
      </w:pPr>
    </w:p>
    <w:p w14:paraId="4B63ED35">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285A8257">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14B9AF99">
      <w:pPr>
        <w:keepNext w:val="0"/>
        <w:keepLines w:val="0"/>
        <w:pageBreakBefore w:val="0"/>
        <w:widowControl/>
        <w:kinsoku/>
        <w:wordWrap w:val="0"/>
        <w:overflowPunct/>
        <w:topLinePunct/>
        <w:autoSpaceDE/>
        <w:autoSpaceDN/>
        <w:bidi w:val="0"/>
        <w:spacing w:after="190" w:afterLines="50" w:line="400" w:lineRule="exact"/>
        <w:jc w:val="both"/>
        <w:rPr>
          <w:rFonts w:hint="eastAsia" w:ascii="宋体" w:hAnsi="宋体" w:eastAsia="宋体" w:cs="宋体"/>
          <w:b/>
          <w:color w:val="auto"/>
          <w:sz w:val="28"/>
          <w:szCs w:val="28"/>
          <w:highlight w:val="none"/>
        </w:rPr>
      </w:pPr>
    </w:p>
    <w:p w14:paraId="6C3C4F51">
      <w:pPr>
        <w:keepNext w:val="0"/>
        <w:keepLines w:val="0"/>
        <w:pageBreakBefore w:val="0"/>
        <w:widowControl/>
        <w:kinsoku/>
        <w:wordWrap w:val="0"/>
        <w:overflowPunct/>
        <w:topLinePunct/>
        <w:autoSpaceDE/>
        <w:autoSpaceDN/>
        <w:bidi w:val="0"/>
        <w:spacing w:after="190" w:afterLines="50" w:line="400" w:lineRule="exact"/>
        <w:jc w:val="both"/>
        <w:rPr>
          <w:rFonts w:hint="eastAsia" w:ascii="宋体" w:hAnsi="宋体" w:eastAsia="宋体" w:cs="宋体"/>
          <w:b/>
          <w:color w:val="auto"/>
          <w:sz w:val="28"/>
          <w:szCs w:val="28"/>
          <w:highlight w:val="none"/>
        </w:rPr>
      </w:pPr>
    </w:p>
    <w:p w14:paraId="769CF73B">
      <w:pPr>
        <w:pStyle w:val="14"/>
        <w:keepNext w:val="0"/>
        <w:keepLines w:val="0"/>
        <w:pageBreakBefore w:val="0"/>
        <w:kinsoku/>
        <w:wordWrap w:val="0"/>
        <w:overflowPunct/>
        <w:topLinePunct/>
        <w:autoSpaceDE/>
        <w:autoSpaceDN/>
        <w:bidi w:val="0"/>
        <w:ind w:firstLine="321"/>
        <w:jc w:val="both"/>
        <w:rPr>
          <w:rFonts w:hint="eastAsia" w:ascii="宋体" w:hAnsi="宋体" w:eastAsia="宋体" w:cs="宋体"/>
          <w:b/>
          <w:color w:val="auto"/>
          <w:sz w:val="28"/>
          <w:szCs w:val="28"/>
          <w:highlight w:val="none"/>
        </w:rPr>
      </w:pPr>
    </w:p>
    <w:p w14:paraId="6EE9DB27">
      <w:pPr>
        <w:keepNext w:val="0"/>
        <w:keepLines w:val="0"/>
        <w:pageBreakBefore w:val="0"/>
        <w:widowControl/>
        <w:kinsoku/>
        <w:wordWrap w:val="0"/>
        <w:overflowPunct/>
        <w:topLinePunct/>
        <w:autoSpaceDE/>
        <w:autoSpaceDN/>
        <w:bidi w:val="0"/>
        <w:spacing w:after="190" w:afterLines="50" w:line="400" w:lineRule="exact"/>
        <w:jc w:val="both"/>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五、技术/服务偏差表</w:t>
      </w:r>
    </w:p>
    <w:tbl>
      <w:tblPr>
        <w:tblStyle w:val="16"/>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201"/>
        <w:gridCol w:w="3282"/>
        <w:gridCol w:w="2450"/>
      </w:tblGrid>
      <w:tr w14:paraId="3FC6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82" w:type="dxa"/>
            <w:noWrap w:val="0"/>
            <w:vAlign w:val="center"/>
          </w:tcPr>
          <w:p w14:paraId="0D24C691">
            <w:pPr>
              <w:pStyle w:val="7"/>
              <w:keepNext w:val="0"/>
              <w:keepLines w:val="0"/>
              <w:pageBreakBefore w:val="0"/>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201" w:type="dxa"/>
            <w:noWrap w:val="0"/>
            <w:vAlign w:val="center"/>
          </w:tcPr>
          <w:p w14:paraId="5EBB3D8C">
            <w:pPr>
              <w:pStyle w:val="7"/>
              <w:keepNext w:val="0"/>
              <w:keepLines w:val="0"/>
              <w:pageBreakBefore w:val="0"/>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采购要求</w:t>
            </w:r>
          </w:p>
        </w:tc>
        <w:tc>
          <w:tcPr>
            <w:tcW w:w="3282" w:type="dxa"/>
            <w:noWrap w:val="0"/>
            <w:vAlign w:val="center"/>
          </w:tcPr>
          <w:p w14:paraId="14A84BEA">
            <w:pPr>
              <w:pStyle w:val="7"/>
              <w:keepNext w:val="0"/>
              <w:keepLines w:val="0"/>
              <w:pageBreakBefore w:val="0"/>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响应</w:t>
            </w:r>
          </w:p>
        </w:tc>
        <w:tc>
          <w:tcPr>
            <w:tcW w:w="2450" w:type="dxa"/>
            <w:noWrap w:val="0"/>
            <w:vAlign w:val="center"/>
          </w:tcPr>
          <w:p w14:paraId="67BCE49B">
            <w:pPr>
              <w:pStyle w:val="7"/>
              <w:keepNext w:val="0"/>
              <w:keepLines w:val="0"/>
              <w:pageBreakBefore w:val="0"/>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偏离情况</w:t>
            </w:r>
          </w:p>
        </w:tc>
      </w:tr>
      <w:tr w14:paraId="1FE3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0A8DBEDD">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center"/>
          </w:tcPr>
          <w:p w14:paraId="2A0C9105">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center"/>
          </w:tcPr>
          <w:p w14:paraId="02233383">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center"/>
          </w:tcPr>
          <w:p w14:paraId="4DFE5C86">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6A8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3161C35A">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6B906749">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7FD6E60A">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30016901">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2904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7D8F5DBF">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74CAE0B7">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398BC829">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664CBE81">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2089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130EAE4E">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21E60041">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7C84AE5E">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082CF63E">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5A41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61C6AED3">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671B1ACD">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72252D53">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3E82DFB7">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35C1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49A7A7C5">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45E8819B">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3FE93BF9">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59487B19">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469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3118A5DA">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0F159FA9">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1B2C38B8">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0DFDFF53">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48BA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top"/>
          </w:tcPr>
          <w:p w14:paraId="544649EE">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201" w:type="dxa"/>
            <w:noWrap w:val="0"/>
            <w:vAlign w:val="top"/>
          </w:tcPr>
          <w:p w14:paraId="07F12FDC">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3A4C52AE">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1A067B30">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r w14:paraId="405F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2" w:type="dxa"/>
            <w:noWrap w:val="0"/>
            <w:vAlign w:val="top"/>
          </w:tcPr>
          <w:p w14:paraId="467A151F">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tc>
        <w:tc>
          <w:tcPr>
            <w:tcW w:w="2201" w:type="dxa"/>
            <w:noWrap w:val="0"/>
            <w:vAlign w:val="top"/>
          </w:tcPr>
          <w:p w14:paraId="6701560D">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3282" w:type="dxa"/>
            <w:noWrap w:val="0"/>
            <w:vAlign w:val="top"/>
          </w:tcPr>
          <w:p w14:paraId="78F4698A">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c>
          <w:tcPr>
            <w:tcW w:w="2450" w:type="dxa"/>
            <w:noWrap w:val="0"/>
            <w:vAlign w:val="top"/>
          </w:tcPr>
          <w:p w14:paraId="036CA551">
            <w:pPr>
              <w:pStyle w:val="7"/>
              <w:keepNext w:val="0"/>
              <w:keepLines w:val="0"/>
              <w:pageBreakBefore w:val="0"/>
              <w:kinsoku/>
              <w:wordWrap w:val="0"/>
              <w:overflowPunct/>
              <w:topLinePunct/>
              <w:autoSpaceDE/>
              <w:autoSpaceDN/>
              <w:bidi w:val="0"/>
              <w:spacing w:line="600" w:lineRule="exact"/>
              <w:jc w:val="both"/>
              <w:rPr>
                <w:rFonts w:hint="eastAsia" w:ascii="宋体" w:hAnsi="宋体" w:eastAsia="宋体" w:cs="宋体"/>
                <w:color w:val="auto"/>
                <w:sz w:val="28"/>
                <w:szCs w:val="28"/>
                <w:highlight w:val="none"/>
              </w:rPr>
            </w:pPr>
          </w:p>
        </w:tc>
      </w:tr>
    </w:tbl>
    <w:p w14:paraId="109F55DC">
      <w:pPr>
        <w:pStyle w:val="7"/>
        <w:keepNext w:val="0"/>
        <w:keepLines w:val="0"/>
        <w:pageBreakBefore w:val="0"/>
        <w:kinsoku/>
        <w:wordWrap w:val="0"/>
        <w:overflowPunct/>
        <w:topLinePunct/>
        <w:autoSpaceDE/>
        <w:autoSpaceDN/>
        <w:bidi w:val="0"/>
        <w:spacing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14:paraId="485A9383">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请按项目实际情况，对应</w:t>
      </w:r>
      <w:r>
        <w:rPr>
          <w:rFonts w:hint="eastAsia" w:ascii="宋体" w:hAnsi="宋体" w:eastAsia="宋体" w:cs="宋体"/>
          <w:color w:val="auto"/>
          <w:sz w:val="28"/>
          <w:szCs w:val="28"/>
          <w:highlight w:val="none"/>
          <w:lang w:eastAsia="zh-CN"/>
        </w:rPr>
        <w:t>谈判</w:t>
      </w:r>
      <w:r>
        <w:rPr>
          <w:rFonts w:hint="eastAsia" w:ascii="宋体" w:hAnsi="宋体" w:eastAsia="宋体" w:cs="宋体"/>
          <w:color w:val="auto"/>
          <w:sz w:val="28"/>
          <w:szCs w:val="28"/>
          <w:highlight w:val="none"/>
        </w:rPr>
        <w:t>文件第三章“</w:t>
      </w:r>
      <w:r>
        <w:rPr>
          <w:rFonts w:hint="eastAsia" w:ascii="宋体" w:hAnsi="宋体" w:eastAsia="宋体" w:cs="宋体"/>
          <w:color w:val="auto"/>
          <w:sz w:val="28"/>
          <w:szCs w:val="28"/>
          <w:highlight w:val="none"/>
          <w:lang w:eastAsia="zh-CN"/>
        </w:rPr>
        <w:t>采购内容及要求</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内容</w:t>
      </w:r>
      <w:r>
        <w:rPr>
          <w:rFonts w:hint="eastAsia" w:ascii="宋体" w:hAnsi="宋体" w:eastAsia="宋体" w:cs="宋体"/>
          <w:color w:val="auto"/>
          <w:sz w:val="28"/>
          <w:szCs w:val="28"/>
          <w:highlight w:val="none"/>
        </w:rPr>
        <w:t>逐条</w:t>
      </w:r>
      <w:r>
        <w:rPr>
          <w:rFonts w:hint="eastAsia" w:ascii="宋体" w:hAnsi="宋体" w:eastAsia="宋体" w:cs="宋体"/>
          <w:color w:val="auto"/>
          <w:sz w:val="28"/>
          <w:szCs w:val="28"/>
          <w:highlight w:val="none"/>
          <w:lang w:eastAsia="zh-CN"/>
        </w:rPr>
        <w:t>如实填写</w:t>
      </w:r>
      <w:r>
        <w:rPr>
          <w:rFonts w:hint="eastAsia" w:ascii="宋体" w:hAnsi="宋体" w:eastAsia="宋体" w:cs="宋体"/>
          <w:color w:val="auto"/>
          <w:sz w:val="28"/>
          <w:szCs w:val="28"/>
          <w:highlight w:val="none"/>
          <w:lang w:val="en-US" w:eastAsia="zh-CN"/>
        </w:rPr>
        <w:t>技术服务响应内容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谈判响应</w:t>
      </w:r>
      <w:r>
        <w:rPr>
          <w:rFonts w:hint="eastAsia" w:ascii="宋体" w:hAnsi="宋体" w:eastAsia="宋体" w:cs="宋体"/>
          <w:color w:val="auto"/>
          <w:sz w:val="28"/>
          <w:szCs w:val="28"/>
          <w:highlight w:val="none"/>
        </w:rPr>
        <w:t>”一栏必须详细填写</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内容，并应对照</w:t>
      </w:r>
      <w:r>
        <w:rPr>
          <w:rFonts w:hint="eastAsia" w:ascii="宋体" w:hAnsi="宋体" w:eastAsia="宋体" w:cs="宋体"/>
          <w:color w:val="auto"/>
          <w:sz w:val="28"/>
          <w:szCs w:val="28"/>
          <w:highlight w:val="none"/>
          <w:lang w:val="en-US" w:eastAsia="zh-CN"/>
        </w:rPr>
        <w:t>谈判文件“采购内容及要求”</w:t>
      </w:r>
      <w:r>
        <w:rPr>
          <w:rFonts w:hint="eastAsia" w:ascii="宋体" w:hAnsi="宋体" w:eastAsia="宋体" w:cs="宋体"/>
          <w:color w:val="auto"/>
          <w:sz w:val="28"/>
          <w:szCs w:val="28"/>
          <w:highlight w:val="none"/>
        </w:rPr>
        <w:t>一一对应响应；</w:t>
      </w:r>
      <w:r>
        <w:rPr>
          <w:rFonts w:hint="eastAsia" w:ascii="宋体" w:hAnsi="宋体" w:eastAsia="宋体" w:cs="宋体"/>
          <w:color w:val="auto"/>
          <w:sz w:val="28"/>
          <w:szCs w:val="28"/>
          <w:highlight w:val="none"/>
          <w:lang w:eastAsia="zh-CN"/>
        </w:rPr>
        <w:t>未逐条响应、有缺漏将被视为</w:t>
      </w:r>
      <w:r>
        <w:rPr>
          <w:rFonts w:hint="eastAsia" w:ascii="宋体" w:hAnsi="宋体" w:eastAsia="宋体" w:cs="宋体"/>
          <w:color w:val="auto"/>
          <w:sz w:val="28"/>
          <w:szCs w:val="28"/>
          <w:highlight w:val="none"/>
          <w:lang w:val="en-US" w:eastAsia="zh-CN"/>
        </w:rPr>
        <w:t>不响应本项目实质性要求</w:t>
      </w:r>
      <w:r>
        <w:rPr>
          <w:rFonts w:hint="eastAsia" w:ascii="宋体" w:hAnsi="宋体" w:eastAsia="宋体" w:cs="宋体"/>
          <w:color w:val="auto"/>
          <w:sz w:val="28"/>
          <w:szCs w:val="28"/>
          <w:highlight w:val="none"/>
          <w:lang w:eastAsia="zh-CN"/>
        </w:rPr>
        <w:t>。</w:t>
      </w:r>
    </w:p>
    <w:p w14:paraId="6F0045A9">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“偏离情况”一栏应如实填写“正偏离”</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“负偏离”或“无偏离”；</w:t>
      </w:r>
    </w:p>
    <w:p w14:paraId="378307FE">
      <w:pPr>
        <w:keepNext w:val="0"/>
        <w:keepLines w:val="0"/>
        <w:pageBreakBefore w:val="0"/>
        <w:widowControl/>
        <w:kinsoku/>
        <w:wordWrap w:val="0"/>
        <w:overflowPunct/>
        <w:topLinePunct/>
        <w:autoSpaceDE/>
        <w:autoSpaceDN/>
        <w:bidi w:val="0"/>
        <w:adjustRightInd w:val="0"/>
        <w:snapToGrid w:val="0"/>
        <w:spacing w:line="360" w:lineRule="auto"/>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应完整响应</w:t>
      </w:r>
      <w:r>
        <w:rPr>
          <w:rFonts w:hint="eastAsia" w:ascii="宋体" w:hAnsi="宋体" w:eastAsia="宋体" w:cs="宋体"/>
          <w:color w:val="auto"/>
          <w:sz w:val="28"/>
          <w:szCs w:val="28"/>
          <w:highlight w:val="none"/>
          <w:lang w:val="en-US" w:eastAsia="zh-CN"/>
        </w:rPr>
        <w:t>采购内容及要求</w:t>
      </w:r>
      <w:r>
        <w:rPr>
          <w:rFonts w:hint="eastAsia" w:ascii="宋体" w:hAnsi="宋体" w:eastAsia="宋体" w:cs="宋体"/>
          <w:color w:val="auto"/>
          <w:sz w:val="28"/>
          <w:szCs w:val="28"/>
          <w:highlight w:val="none"/>
        </w:rPr>
        <w:t>，并逐条填写《技术响应与偏离表》</w:t>
      </w:r>
      <w:r>
        <w:rPr>
          <w:rFonts w:hint="eastAsia" w:ascii="宋体" w:hAnsi="宋体" w:eastAsia="宋体" w:cs="宋体"/>
          <w:color w:val="auto"/>
          <w:sz w:val="28"/>
          <w:szCs w:val="28"/>
          <w:highlight w:val="none"/>
          <w:lang w:eastAsia="zh-CN"/>
        </w:rPr>
        <w:t>，未逐条响应、有缺漏将被视为</w:t>
      </w:r>
      <w:r>
        <w:rPr>
          <w:rFonts w:hint="eastAsia" w:ascii="宋体" w:hAnsi="宋体" w:eastAsia="宋体" w:cs="宋体"/>
          <w:color w:val="auto"/>
          <w:sz w:val="28"/>
          <w:szCs w:val="28"/>
          <w:highlight w:val="none"/>
          <w:lang w:val="en-US" w:eastAsia="zh-CN"/>
        </w:rPr>
        <w:t>对本项目技术响应的重大偏离</w:t>
      </w:r>
      <w:r>
        <w:rPr>
          <w:rFonts w:hint="eastAsia" w:ascii="宋体" w:hAnsi="宋体" w:eastAsia="宋体" w:cs="宋体"/>
          <w:color w:val="auto"/>
          <w:sz w:val="28"/>
          <w:szCs w:val="28"/>
          <w:highlight w:val="none"/>
        </w:rPr>
        <w:t>。</w:t>
      </w:r>
    </w:p>
    <w:p w14:paraId="7DC8FC38">
      <w:pPr>
        <w:pStyle w:val="7"/>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7FDD4188">
      <w:pPr>
        <w:keepNext w:val="0"/>
        <w:keepLines w:val="0"/>
        <w:pageBreakBefore w:val="0"/>
        <w:widowControl/>
        <w:tabs>
          <w:tab w:val="right" w:pos="9070"/>
        </w:tabs>
        <w:kinsoku/>
        <w:wordWrap w:val="0"/>
        <w:overflowPunct/>
        <w:topLinePunct/>
        <w:autoSpaceDE/>
        <w:autoSpaceDN/>
        <w:bidi w:val="0"/>
        <w:spacing w:line="440" w:lineRule="exact"/>
        <w:jc w:val="both"/>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全称并加盖公章）</w:t>
      </w:r>
    </w:p>
    <w:p w14:paraId="7895E440">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74DF9DFF">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p>
    <w:p w14:paraId="68DDDBE1">
      <w:pPr>
        <w:pStyle w:val="5"/>
        <w:keepNext w:val="0"/>
        <w:keepLines w:val="0"/>
        <w:pageBreakBefore w:val="0"/>
        <w:kinsoku/>
        <w:wordWrap w:val="0"/>
        <w:overflowPunct/>
        <w:topLinePunct/>
        <w:autoSpaceDE/>
        <w:autoSpaceDN/>
        <w:bidi w:val="0"/>
        <w:ind w:firstLine="640"/>
        <w:jc w:val="both"/>
        <w:rPr>
          <w:rFonts w:hint="eastAsia" w:ascii="宋体" w:hAnsi="宋体" w:eastAsia="宋体" w:cs="宋体"/>
          <w:color w:val="auto"/>
          <w:sz w:val="28"/>
          <w:szCs w:val="28"/>
          <w:highlight w:val="none"/>
        </w:rPr>
      </w:pPr>
    </w:p>
    <w:p w14:paraId="5A32F7AA">
      <w:pPr>
        <w:keepNext w:val="0"/>
        <w:keepLines w:val="0"/>
        <w:pageBreakBefore w:val="0"/>
        <w:widowControl/>
        <w:kinsoku/>
        <w:wordWrap w:val="0"/>
        <w:overflowPunct/>
        <w:topLinePunct/>
        <w:autoSpaceDE/>
        <w:autoSpaceDN/>
        <w:bidi w:val="0"/>
        <w:spacing w:line="400" w:lineRule="exact"/>
        <w:jc w:val="both"/>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认为有利于本次</w:t>
      </w:r>
      <w:r>
        <w:rPr>
          <w:rFonts w:hint="eastAsia" w:ascii="宋体" w:hAnsi="宋体" w:eastAsia="宋体" w:cs="宋体"/>
          <w:b/>
          <w:color w:val="auto"/>
          <w:sz w:val="28"/>
          <w:szCs w:val="28"/>
          <w:highlight w:val="none"/>
          <w:lang w:eastAsia="zh-CN"/>
        </w:rPr>
        <w:t>谈判</w:t>
      </w:r>
      <w:r>
        <w:rPr>
          <w:rFonts w:hint="eastAsia" w:ascii="宋体" w:hAnsi="宋体" w:eastAsia="宋体" w:cs="宋体"/>
          <w:b/>
          <w:color w:val="auto"/>
          <w:sz w:val="28"/>
          <w:szCs w:val="28"/>
          <w:highlight w:val="none"/>
        </w:rPr>
        <w:t>的其他情况说明。</w:t>
      </w:r>
    </w:p>
    <w:p w14:paraId="26CD447B">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4A53AFA5">
      <w:pPr>
        <w:keepNext w:val="0"/>
        <w:keepLines w:val="0"/>
        <w:pageBreakBefore w:val="0"/>
        <w:kinsoku/>
        <w:wordWrap w:val="0"/>
        <w:overflowPunct/>
        <w:topLinePunct/>
        <w:autoSpaceDE/>
        <w:autoSpaceDN/>
        <w:bidi w:val="0"/>
        <w:jc w:val="both"/>
        <w:rPr>
          <w:rFonts w:hint="eastAsia" w:ascii="宋体" w:hAnsi="宋体" w:eastAsia="宋体" w:cs="宋体"/>
          <w:color w:val="auto"/>
          <w:sz w:val="28"/>
          <w:szCs w:val="28"/>
          <w:highlight w:val="none"/>
        </w:rPr>
      </w:pPr>
    </w:p>
    <w:p w14:paraId="3194E37F">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340610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48BDBE1">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4EF20D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A3966B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3647134">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AB2BF68">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5FA714AC">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9B7FED4">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C0A978A">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B1B21AA">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B407E54">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F74F4B9">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5DB743E9">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416FFF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08DCD62">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428A948D">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4794CCAF">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63F43B3">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D20A330">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6F20D5C">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EE81551">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8274D1E">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C03F83A">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03D3E99">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D87C106">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CF8CBC3">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090DA3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5FFF1BC">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F6B24F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8B6BEC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41EE3A3C">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8BD459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C33310A">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B7399B4">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434005D8">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849F899">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56DBEAD">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1E6F8E1">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CC0AA5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AB56563">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543EE3DF">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4ADE0E91">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4B085BC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A7C1DF8">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893032F">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77489D2">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462AD32">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667B278">
      <w:pPr>
        <w:keepNext w:val="0"/>
        <w:keepLines w:val="0"/>
        <w:pageBreakBefore w:val="0"/>
        <w:widowControl/>
        <w:kinsoku/>
        <w:wordWrap w:val="0"/>
        <w:overflowPunct/>
        <w:topLinePunct/>
        <w:autoSpaceDE/>
        <w:autoSpaceDN/>
        <w:bidi w:val="0"/>
        <w:adjustRightInd w:val="0"/>
        <w:snapToGrid w:val="0"/>
        <w:spacing w:before="91" w:line="219" w:lineRule="auto"/>
        <w:ind w:left="21"/>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103" w14:cap="sq" w14:cmpd="sng">
            <w14:solidFill>
              <w14:srgbClr w14:val="000000"/>
            </w14:solidFill>
            <w14:prstDash w14:val="solid"/>
            <w14:bevel/>
          </w14:textOutline>
        </w:rPr>
        <w:t>附表：</w:t>
      </w:r>
    </w:p>
    <w:p w14:paraId="5C031634">
      <w:pPr>
        <w:keepNext w:val="0"/>
        <w:keepLines w:val="0"/>
        <w:pageBreakBefore w:val="0"/>
        <w:widowControl/>
        <w:kinsoku/>
        <w:wordWrap w:val="0"/>
        <w:overflowPunct/>
        <w:topLinePunct/>
        <w:autoSpaceDE/>
        <w:autoSpaceDN/>
        <w:bidi w:val="0"/>
        <w:adjustRightInd w:val="0"/>
        <w:snapToGrid w:val="0"/>
        <w:spacing w:before="67" w:line="219" w:lineRule="auto"/>
        <w:ind w:left="4038"/>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14:textOutline w14:w="5103" w14:cap="sq" w14:cmpd="sng">
            <w14:solidFill>
              <w14:srgbClr w14:val="000000"/>
            </w14:solidFill>
            <w14:prstDash w14:val="solid"/>
            <w14:bevel/>
          </w14:textOutline>
        </w:rPr>
        <w:t>二次报价表</w:t>
      </w:r>
    </w:p>
    <w:p w14:paraId="61E77384">
      <w:pPr>
        <w:keepNext w:val="0"/>
        <w:keepLines w:val="0"/>
        <w:pageBreakBefore w:val="0"/>
        <w:widowControl/>
        <w:kinsoku/>
        <w:wordWrap w:val="0"/>
        <w:overflowPunct/>
        <w:topLinePunct/>
        <w:autoSpaceDE/>
        <w:autoSpaceDN/>
        <w:bidi w:val="0"/>
        <w:adjustRightInd w:val="0"/>
        <w:snapToGrid w:val="0"/>
        <w:spacing w:before="68" w:line="211" w:lineRule="auto"/>
        <w:jc w:val="right"/>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单位：元</w:t>
      </w:r>
    </w:p>
    <w:tbl>
      <w:tblPr>
        <w:tblStyle w:val="21"/>
        <w:tblW w:w="8666"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0"/>
        <w:gridCol w:w="6606"/>
      </w:tblGrid>
      <w:tr w14:paraId="5057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060" w:type="dxa"/>
            <w:vAlign w:val="top"/>
          </w:tcPr>
          <w:p w14:paraId="48CAF958">
            <w:pPr>
              <w:pStyle w:val="22"/>
              <w:keepNext w:val="0"/>
              <w:keepLines w:val="0"/>
              <w:pageBreakBefore w:val="0"/>
              <w:widowControl/>
              <w:kinsoku/>
              <w:wordWrap w:val="0"/>
              <w:overflowPunct/>
              <w:topLinePunct/>
              <w:autoSpaceDE/>
              <w:autoSpaceDN/>
              <w:bidi w:val="0"/>
              <w:adjustRightInd w:val="0"/>
              <w:snapToGrid w:val="0"/>
              <w:spacing w:before="85" w:line="209" w:lineRule="auto"/>
              <w:ind w:left="115"/>
              <w:jc w:val="both"/>
              <w:textAlignment w:val="baseline"/>
              <w:rPr>
                <w:rFonts w:hint="eastAsia" w:ascii="宋体" w:hAnsi="宋体" w:eastAsia="宋体" w:cs="宋体"/>
                <w:color w:val="auto"/>
              </w:rPr>
            </w:pPr>
            <w:r>
              <w:rPr>
                <w:rFonts w:hint="eastAsia" w:ascii="宋体" w:hAnsi="宋体" w:eastAsia="宋体" w:cs="宋体"/>
                <w:color w:val="auto"/>
                <w:spacing w:val="1"/>
              </w:rPr>
              <w:t>采购项目名称</w:t>
            </w:r>
          </w:p>
        </w:tc>
        <w:tc>
          <w:tcPr>
            <w:tcW w:w="6606" w:type="dxa"/>
            <w:tcBorders>
              <w:right w:val="single" w:color="000000" w:sz="2" w:space="0"/>
            </w:tcBorders>
            <w:vAlign w:val="top"/>
          </w:tcPr>
          <w:p w14:paraId="2DF3798A">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r w14:paraId="0678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60" w:type="dxa"/>
            <w:vAlign w:val="top"/>
          </w:tcPr>
          <w:p w14:paraId="4F31B285">
            <w:pPr>
              <w:pStyle w:val="22"/>
              <w:keepNext w:val="0"/>
              <w:keepLines w:val="0"/>
              <w:pageBreakBefore w:val="0"/>
              <w:widowControl/>
              <w:kinsoku/>
              <w:wordWrap w:val="0"/>
              <w:overflowPunct/>
              <w:topLinePunct/>
              <w:autoSpaceDE/>
              <w:autoSpaceDN/>
              <w:bidi w:val="0"/>
              <w:adjustRightInd w:val="0"/>
              <w:snapToGrid w:val="0"/>
              <w:spacing w:before="100" w:line="219" w:lineRule="auto"/>
              <w:ind w:left="115"/>
              <w:jc w:val="both"/>
              <w:textAlignment w:val="baseline"/>
              <w:rPr>
                <w:rFonts w:hint="eastAsia" w:ascii="宋体" w:hAnsi="宋体" w:eastAsia="宋体" w:cs="宋体"/>
                <w:color w:val="auto"/>
              </w:rPr>
            </w:pPr>
            <w:r>
              <w:rPr>
                <w:rFonts w:hint="eastAsia" w:ascii="宋体" w:hAnsi="宋体" w:eastAsia="宋体" w:cs="宋体"/>
                <w:color w:val="auto"/>
                <w:spacing w:val="1"/>
              </w:rPr>
              <w:t>采购项目编号</w:t>
            </w:r>
          </w:p>
        </w:tc>
        <w:tc>
          <w:tcPr>
            <w:tcW w:w="6606" w:type="dxa"/>
            <w:tcBorders>
              <w:right w:val="single" w:color="000000" w:sz="2" w:space="0"/>
            </w:tcBorders>
            <w:vAlign w:val="top"/>
          </w:tcPr>
          <w:p w14:paraId="22E87D63">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r w14:paraId="4CD5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6" w:hRule="atLeast"/>
        </w:trPr>
        <w:tc>
          <w:tcPr>
            <w:tcW w:w="2060" w:type="dxa"/>
            <w:vAlign w:val="top"/>
          </w:tcPr>
          <w:p w14:paraId="37E2479F">
            <w:pPr>
              <w:keepNext w:val="0"/>
              <w:keepLines w:val="0"/>
              <w:pageBreakBefore w:val="0"/>
              <w:widowControl/>
              <w:kinsoku/>
              <w:wordWrap w:val="0"/>
              <w:overflowPunct/>
              <w:topLinePunct/>
              <w:autoSpaceDE/>
              <w:autoSpaceDN/>
              <w:bidi w:val="0"/>
              <w:adjustRightInd w:val="0"/>
              <w:snapToGrid w:val="0"/>
              <w:spacing w:line="275" w:lineRule="auto"/>
              <w:jc w:val="both"/>
              <w:textAlignment w:val="baseline"/>
              <w:rPr>
                <w:rFonts w:hint="eastAsia" w:ascii="宋体" w:hAnsi="宋体" w:eastAsia="宋体" w:cs="宋体"/>
                <w:color w:val="auto"/>
                <w:sz w:val="21"/>
              </w:rPr>
            </w:pPr>
          </w:p>
          <w:p w14:paraId="09BF92B1">
            <w:pPr>
              <w:keepNext w:val="0"/>
              <w:keepLines w:val="0"/>
              <w:pageBreakBefore w:val="0"/>
              <w:widowControl/>
              <w:kinsoku/>
              <w:wordWrap w:val="0"/>
              <w:overflowPunct/>
              <w:topLinePunct/>
              <w:autoSpaceDE/>
              <w:autoSpaceDN/>
              <w:bidi w:val="0"/>
              <w:adjustRightInd w:val="0"/>
              <w:snapToGrid w:val="0"/>
              <w:spacing w:line="275" w:lineRule="auto"/>
              <w:jc w:val="both"/>
              <w:textAlignment w:val="baseline"/>
              <w:rPr>
                <w:rFonts w:hint="eastAsia" w:ascii="宋体" w:hAnsi="宋体" w:eastAsia="宋体" w:cs="宋体"/>
                <w:color w:val="auto"/>
                <w:sz w:val="21"/>
              </w:rPr>
            </w:pPr>
          </w:p>
          <w:p w14:paraId="50C5B62D">
            <w:pPr>
              <w:keepNext w:val="0"/>
              <w:keepLines w:val="0"/>
              <w:pageBreakBefore w:val="0"/>
              <w:widowControl/>
              <w:kinsoku/>
              <w:wordWrap w:val="0"/>
              <w:overflowPunct/>
              <w:topLinePunct/>
              <w:autoSpaceDE/>
              <w:autoSpaceDN/>
              <w:bidi w:val="0"/>
              <w:adjustRightInd w:val="0"/>
              <w:snapToGrid w:val="0"/>
              <w:spacing w:line="275" w:lineRule="auto"/>
              <w:jc w:val="both"/>
              <w:textAlignment w:val="baseline"/>
              <w:rPr>
                <w:rFonts w:hint="eastAsia" w:ascii="宋体" w:hAnsi="宋体" w:eastAsia="宋体" w:cs="宋体"/>
                <w:color w:val="auto"/>
                <w:sz w:val="21"/>
              </w:rPr>
            </w:pPr>
          </w:p>
          <w:p w14:paraId="42C18D26">
            <w:pPr>
              <w:keepNext w:val="0"/>
              <w:keepLines w:val="0"/>
              <w:pageBreakBefore w:val="0"/>
              <w:widowControl/>
              <w:kinsoku/>
              <w:wordWrap w:val="0"/>
              <w:overflowPunct/>
              <w:topLinePunct/>
              <w:autoSpaceDE/>
              <w:autoSpaceDN/>
              <w:bidi w:val="0"/>
              <w:adjustRightInd w:val="0"/>
              <w:snapToGrid w:val="0"/>
              <w:spacing w:line="276" w:lineRule="auto"/>
              <w:jc w:val="both"/>
              <w:textAlignment w:val="baseline"/>
              <w:rPr>
                <w:rFonts w:hint="eastAsia" w:ascii="宋体" w:hAnsi="宋体" w:eastAsia="宋体" w:cs="宋体"/>
                <w:color w:val="auto"/>
                <w:sz w:val="21"/>
              </w:rPr>
            </w:pPr>
          </w:p>
          <w:p w14:paraId="01EFC82F">
            <w:pPr>
              <w:pStyle w:val="22"/>
              <w:keepNext w:val="0"/>
              <w:keepLines w:val="0"/>
              <w:pageBreakBefore w:val="0"/>
              <w:widowControl/>
              <w:kinsoku/>
              <w:wordWrap w:val="0"/>
              <w:overflowPunct/>
              <w:topLinePunct/>
              <w:autoSpaceDE/>
              <w:autoSpaceDN/>
              <w:bidi w:val="0"/>
              <w:adjustRightInd w:val="0"/>
              <w:snapToGrid w:val="0"/>
              <w:spacing w:before="91" w:line="219" w:lineRule="auto"/>
              <w:ind w:left="332"/>
              <w:jc w:val="both"/>
              <w:textAlignment w:val="baseline"/>
              <w:rPr>
                <w:rFonts w:hint="eastAsia" w:ascii="宋体" w:hAnsi="宋体" w:eastAsia="宋体" w:cs="宋体"/>
                <w:color w:val="auto"/>
              </w:rPr>
            </w:pPr>
            <w:r>
              <w:rPr>
                <w:rFonts w:hint="eastAsia" w:ascii="宋体" w:hAnsi="宋体" w:eastAsia="宋体" w:cs="宋体"/>
                <w:color w:val="auto"/>
                <w:spacing w:val="-1"/>
              </w:rPr>
              <w:t>二次总报价</w:t>
            </w:r>
          </w:p>
        </w:tc>
        <w:tc>
          <w:tcPr>
            <w:tcW w:w="6606" w:type="dxa"/>
            <w:tcBorders>
              <w:right w:val="single" w:color="000000" w:sz="2" w:space="0"/>
            </w:tcBorders>
            <w:vAlign w:val="top"/>
          </w:tcPr>
          <w:p w14:paraId="225E99B6">
            <w:pPr>
              <w:pStyle w:val="22"/>
              <w:keepNext w:val="0"/>
              <w:keepLines w:val="0"/>
              <w:pageBreakBefore w:val="0"/>
              <w:widowControl/>
              <w:kinsoku/>
              <w:wordWrap w:val="0"/>
              <w:overflowPunct/>
              <w:topLinePunct/>
              <w:autoSpaceDE/>
              <w:autoSpaceDN/>
              <w:bidi w:val="0"/>
              <w:adjustRightInd w:val="0"/>
              <w:snapToGrid w:val="0"/>
              <w:spacing w:before="239" w:line="219" w:lineRule="auto"/>
              <w:ind w:left="113"/>
              <w:jc w:val="both"/>
              <w:textAlignment w:val="baseline"/>
              <w:rPr>
                <w:rFonts w:hint="eastAsia" w:ascii="宋体" w:hAnsi="宋体" w:eastAsia="宋体" w:cs="宋体"/>
                <w:color w:val="auto"/>
              </w:rPr>
            </w:pPr>
            <w:r>
              <w:rPr>
                <w:rFonts w:hint="eastAsia" w:ascii="宋体" w:hAnsi="宋体" w:eastAsia="宋体" w:cs="宋体"/>
                <w:color w:val="auto"/>
                <w:spacing w:val="1"/>
              </w:rPr>
              <w:t>我公司的二次总报价为：</w:t>
            </w:r>
          </w:p>
          <w:p w14:paraId="5723B330">
            <w:pPr>
              <w:keepNext w:val="0"/>
              <w:keepLines w:val="0"/>
              <w:pageBreakBefore w:val="0"/>
              <w:widowControl/>
              <w:kinsoku/>
              <w:wordWrap w:val="0"/>
              <w:overflowPunct/>
              <w:topLinePunct/>
              <w:autoSpaceDE/>
              <w:autoSpaceDN/>
              <w:bidi w:val="0"/>
              <w:adjustRightInd w:val="0"/>
              <w:snapToGrid w:val="0"/>
              <w:spacing w:line="455" w:lineRule="auto"/>
              <w:jc w:val="both"/>
              <w:textAlignment w:val="baseline"/>
              <w:rPr>
                <w:rFonts w:hint="eastAsia" w:ascii="宋体" w:hAnsi="宋体" w:eastAsia="宋体" w:cs="宋体"/>
                <w:color w:val="auto"/>
                <w:sz w:val="21"/>
              </w:rPr>
            </w:pPr>
          </w:p>
          <w:p w14:paraId="5CCBFA59">
            <w:pPr>
              <w:pStyle w:val="22"/>
              <w:keepNext w:val="0"/>
              <w:keepLines w:val="0"/>
              <w:pageBreakBefore w:val="0"/>
              <w:widowControl/>
              <w:kinsoku/>
              <w:wordWrap w:val="0"/>
              <w:overflowPunct/>
              <w:topLinePunct/>
              <w:autoSpaceDE/>
              <w:autoSpaceDN/>
              <w:bidi w:val="0"/>
              <w:adjustRightInd w:val="0"/>
              <w:snapToGrid w:val="0"/>
              <w:spacing w:before="91" w:line="219" w:lineRule="auto"/>
              <w:ind w:left="113"/>
              <w:jc w:val="both"/>
              <w:textAlignment w:val="baseline"/>
              <w:rPr>
                <w:rFonts w:hint="eastAsia" w:ascii="宋体" w:hAnsi="宋体" w:eastAsia="宋体" w:cs="宋体"/>
                <w:color w:val="auto"/>
                <w:lang w:eastAsia="zh-CN"/>
              </w:rPr>
            </w:pPr>
            <w:r>
              <w:rPr>
                <w:rFonts w:hint="eastAsia" w:ascii="宋体" w:hAnsi="宋体" w:eastAsia="宋体" w:cs="宋体"/>
                <w:color w:val="auto"/>
                <w:spacing w:val="1"/>
              </w:rPr>
              <w:t>人民币（大写）</w:t>
            </w:r>
          </w:p>
          <w:p w14:paraId="4709A54B">
            <w:pPr>
              <w:keepNext w:val="0"/>
              <w:keepLines w:val="0"/>
              <w:pageBreakBefore w:val="0"/>
              <w:widowControl/>
              <w:kinsoku/>
              <w:wordWrap w:val="0"/>
              <w:overflowPunct/>
              <w:topLinePunct/>
              <w:autoSpaceDE/>
              <w:autoSpaceDN/>
              <w:bidi w:val="0"/>
              <w:adjustRightInd w:val="0"/>
              <w:snapToGrid w:val="0"/>
              <w:spacing w:line="457" w:lineRule="auto"/>
              <w:jc w:val="both"/>
              <w:textAlignment w:val="baseline"/>
              <w:rPr>
                <w:rFonts w:hint="eastAsia" w:ascii="宋体" w:hAnsi="宋体" w:eastAsia="宋体" w:cs="宋体"/>
                <w:color w:val="auto"/>
                <w:sz w:val="21"/>
              </w:rPr>
            </w:pPr>
          </w:p>
          <w:p w14:paraId="5F68DE3B">
            <w:pPr>
              <w:pStyle w:val="22"/>
              <w:keepNext w:val="0"/>
              <w:keepLines w:val="0"/>
              <w:pageBreakBefore w:val="0"/>
              <w:widowControl/>
              <w:kinsoku/>
              <w:wordWrap w:val="0"/>
              <w:overflowPunct/>
              <w:topLinePunct/>
              <w:autoSpaceDE/>
              <w:autoSpaceDN/>
              <w:bidi w:val="0"/>
              <w:adjustRightInd w:val="0"/>
              <w:snapToGrid w:val="0"/>
              <w:spacing w:before="91" w:line="222" w:lineRule="auto"/>
              <w:ind w:left="829"/>
              <w:jc w:val="both"/>
              <w:textAlignment w:val="baseline"/>
              <w:rPr>
                <w:rFonts w:hint="eastAsia" w:ascii="宋体" w:hAnsi="宋体" w:eastAsia="宋体" w:cs="宋体"/>
                <w:color w:val="auto"/>
                <w:lang w:eastAsia="zh-CN"/>
              </w:rPr>
            </w:pPr>
            <w:r>
              <w:rPr>
                <w:rFonts w:hint="eastAsia" w:ascii="宋体" w:hAnsi="宋体" w:eastAsia="宋体" w:cs="宋体"/>
                <w:color w:val="auto"/>
                <w:spacing w:val="-2"/>
              </w:rPr>
              <w:t>（小写）</w:t>
            </w:r>
          </w:p>
        </w:tc>
      </w:tr>
      <w:tr w14:paraId="0167B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060" w:type="dxa"/>
            <w:vAlign w:val="top"/>
          </w:tcPr>
          <w:p w14:paraId="5F7DCAC0">
            <w:pPr>
              <w:pStyle w:val="22"/>
              <w:keepNext w:val="0"/>
              <w:keepLines w:val="0"/>
              <w:pageBreakBefore w:val="0"/>
              <w:widowControl/>
              <w:kinsoku/>
              <w:wordWrap w:val="0"/>
              <w:overflowPunct/>
              <w:topLinePunct/>
              <w:autoSpaceDE/>
              <w:autoSpaceDN/>
              <w:bidi w:val="0"/>
              <w:adjustRightInd w:val="0"/>
              <w:snapToGrid w:val="0"/>
              <w:spacing w:before="83" w:line="205" w:lineRule="auto"/>
              <w:ind w:left="616"/>
              <w:jc w:val="both"/>
              <w:textAlignment w:val="baseline"/>
              <w:rPr>
                <w:rFonts w:hint="eastAsia" w:ascii="宋体" w:hAnsi="宋体" w:eastAsia="宋体" w:cs="宋体"/>
                <w:color w:val="auto"/>
              </w:rPr>
            </w:pPr>
            <w:r>
              <w:rPr>
                <w:rFonts w:hint="eastAsia" w:ascii="宋体" w:hAnsi="宋体" w:eastAsia="宋体" w:cs="宋体"/>
                <w:color w:val="auto"/>
                <w:spacing w:val="-4"/>
                <w:lang w:val="en-US" w:eastAsia="zh-CN"/>
              </w:rPr>
              <w:t>交货期</w:t>
            </w:r>
          </w:p>
        </w:tc>
        <w:tc>
          <w:tcPr>
            <w:tcW w:w="6606" w:type="dxa"/>
            <w:tcBorders>
              <w:right w:val="single" w:color="000000" w:sz="2" w:space="0"/>
            </w:tcBorders>
            <w:vAlign w:val="top"/>
          </w:tcPr>
          <w:p w14:paraId="7E1153E0">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r w14:paraId="4177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060" w:type="dxa"/>
            <w:vAlign w:val="top"/>
          </w:tcPr>
          <w:p w14:paraId="1C59350F">
            <w:pPr>
              <w:pStyle w:val="22"/>
              <w:keepNext w:val="0"/>
              <w:keepLines w:val="0"/>
              <w:pageBreakBefore w:val="0"/>
              <w:widowControl/>
              <w:kinsoku/>
              <w:wordWrap w:val="0"/>
              <w:overflowPunct/>
              <w:topLinePunct/>
              <w:autoSpaceDE/>
              <w:autoSpaceDN/>
              <w:bidi w:val="0"/>
              <w:adjustRightInd w:val="0"/>
              <w:snapToGrid w:val="0"/>
              <w:spacing w:before="88" w:line="207" w:lineRule="auto"/>
              <w:ind w:left="755"/>
              <w:jc w:val="both"/>
              <w:textAlignment w:val="baseline"/>
              <w:rPr>
                <w:rFonts w:hint="eastAsia" w:ascii="宋体" w:hAnsi="宋体" w:eastAsia="宋体" w:cs="宋体"/>
                <w:color w:val="auto"/>
              </w:rPr>
            </w:pPr>
            <w:r>
              <w:rPr>
                <w:rFonts w:hint="eastAsia" w:ascii="宋体" w:hAnsi="宋体" w:eastAsia="宋体" w:cs="宋体"/>
                <w:color w:val="auto"/>
                <w:spacing w:val="-6"/>
              </w:rPr>
              <w:t>备注</w:t>
            </w:r>
          </w:p>
        </w:tc>
        <w:tc>
          <w:tcPr>
            <w:tcW w:w="6606" w:type="dxa"/>
            <w:tcBorders>
              <w:right w:val="single" w:color="000000" w:sz="2" w:space="0"/>
            </w:tcBorders>
            <w:vAlign w:val="top"/>
          </w:tcPr>
          <w:p w14:paraId="76794D95">
            <w:pPr>
              <w:keepNext w:val="0"/>
              <w:keepLines w:val="0"/>
              <w:pageBreakBefore w:val="0"/>
              <w:widowControl/>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rPr>
            </w:pPr>
          </w:p>
        </w:tc>
      </w:tr>
    </w:tbl>
    <w:p w14:paraId="1CA4219C">
      <w:pPr>
        <w:keepNext w:val="0"/>
        <w:keepLines w:val="0"/>
        <w:pageBreakBefore w:val="0"/>
        <w:widowControl/>
        <w:kinsoku/>
        <w:wordWrap w:val="0"/>
        <w:overflowPunct/>
        <w:topLinePunct/>
        <w:autoSpaceDE/>
        <w:autoSpaceDN/>
        <w:bidi w:val="0"/>
        <w:adjustRightInd w:val="0"/>
        <w:snapToGrid w:val="0"/>
        <w:spacing w:before="126" w:line="219" w:lineRule="auto"/>
        <w:jc w:val="both"/>
        <w:textAlignment w:val="baseline"/>
        <w:rPr>
          <w:rFonts w:hint="eastAsia" w:ascii="宋体" w:hAnsi="宋体" w:eastAsia="宋体" w:cs="宋体"/>
          <w:color w:val="auto"/>
          <w:spacing w:val="6"/>
          <w:sz w:val="28"/>
          <w:szCs w:val="28"/>
        </w:rPr>
      </w:pPr>
    </w:p>
    <w:p w14:paraId="5F7A08E4">
      <w:pPr>
        <w:keepNext w:val="0"/>
        <w:keepLines w:val="0"/>
        <w:pageBreakBefore w:val="0"/>
        <w:widowControl/>
        <w:kinsoku/>
        <w:wordWrap w:val="0"/>
        <w:overflowPunct/>
        <w:topLinePunct/>
        <w:autoSpaceDE/>
        <w:autoSpaceDN/>
        <w:bidi w:val="0"/>
        <w:adjustRightInd w:val="0"/>
        <w:snapToGrid w:val="0"/>
        <w:spacing w:before="126" w:line="219" w:lineRule="auto"/>
        <w:ind w:leftChars="20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6"/>
          <w:sz w:val="28"/>
          <w:szCs w:val="28"/>
          <w:lang w:eastAsia="zh-CN"/>
        </w:rPr>
        <w:t>供应商</w:t>
      </w:r>
      <w:r>
        <w:rPr>
          <w:rFonts w:hint="eastAsia" w:ascii="宋体" w:hAnsi="宋体" w:eastAsia="宋体" w:cs="宋体"/>
          <w:color w:val="auto"/>
          <w:spacing w:val="6"/>
          <w:sz w:val="28"/>
          <w:szCs w:val="28"/>
        </w:rPr>
        <w:t>名称</w:t>
      </w:r>
      <w:r>
        <w:rPr>
          <w:rFonts w:hint="eastAsia" w:ascii="宋体" w:hAnsi="宋体" w:eastAsia="宋体" w:cs="宋体"/>
          <w:color w:val="auto"/>
          <w:spacing w:val="-17"/>
          <w:sz w:val="28"/>
          <w:szCs w:val="28"/>
        </w:rPr>
        <w:t>：（</w:t>
      </w:r>
      <w:r>
        <w:rPr>
          <w:rFonts w:hint="eastAsia" w:ascii="宋体" w:hAnsi="宋体" w:eastAsia="宋体" w:cs="宋体"/>
          <w:color w:val="auto"/>
          <w:spacing w:val="6"/>
          <w:sz w:val="28"/>
          <w:szCs w:val="28"/>
        </w:rPr>
        <w:t>公章）</w:t>
      </w:r>
    </w:p>
    <w:p w14:paraId="207AFEB5">
      <w:pPr>
        <w:keepNext w:val="0"/>
        <w:keepLines w:val="0"/>
        <w:pageBreakBefore w:val="0"/>
        <w:widowControl/>
        <w:kinsoku/>
        <w:wordWrap w:val="0"/>
        <w:overflowPunct/>
        <w:topLinePunct/>
        <w:autoSpaceDE/>
        <w:autoSpaceDN/>
        <w:bidi w:val="0"/>
        <w:adjustRightInd w:val="0"/>
        <w:snapToGrid w:val="0"/>
        <w:spacing w:before="203" w:line="219" w:lineRule="auto"/>
        <w:ind w:left="4200" w:leftChars="20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5"/>
          <w:sz w:val="28"/>
          <w:szCs w:val="28"/>
        </w:rPr>
        <w:t>法定代表人或被授权人</w:t>
      </w:r>
      <w:r>
        <w:rPr>
          <w:rFonts w:hint="eastAsia" w:ascii="宋体" w:hAnsi="宋体" w:eastAsia="宋体" w:cs="宋体"/>
          <w:color w:val="auto"/>
          <w:spacing w:val="-9"/>
          <w:sz w:val="28"/>
          <w:szCs w:val="28"/>
        </w:rPr>
        <w:t>：（</w:t>
      </w:r>
      <w:r>
        <w:rPr>
          <w:rFonts w:hint="eastAsia" w:ascii="宋体" w:hAnsi="宋体" w:eastAsia="宋体" w:cs="宋体"/>
          <w:color w:val="auto"/>
          <w:spacing w:val="5"/>
          <w:sz w:val="28"/>
          <w:szCs w:val="28"/>
        </w:rPr>
        <w:t>签字或盖章</w:t>
      </w:r>
      <w:r>
        <w:rPr>
          <w:rFonts w:hint="eastAsia" w:ascii="宋体" w:hAnsi="宋体" w:eastAsia="宋体" w:cs="宋体"/>
          <w:color w:val="auto"/>
          <w:spacing w:val="-9"/>
          <w:sz w:val="28"/>
          <w:szCs w:val="28"/>
        </w:rPr>
        <w:t>）：</w:t>
      </w:r>
    </w:p>
    <w:p w14:paraId="393B646C">
      <w:pPr>
        <w:keepNext w:val="0"/>
        <w:keepLines w:val="0"/>
        <w:pageBreakBefore w:val="0"/>
        <w:widowControl/>
        <w:kinsoku/>
        <w:wordWrap w:val="0"/>
        <w:overflowPunct/>
        <w:topLinePunct/>
        <w:autoSpaceDE/>
        <w:autoSpaceDN/>
        <w:bidi w:val="0"/>
        <w:adjustRightInd w:val="0"/>
        <w:snapToGrid w:val="0"/>
        <w:spacing w:before="232" w:line="220" w:lineRule="auto"/>
        <w:ind w:firstLine="5200" w:firstLineChars="2000"/>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10"/>
          <w:sz w:val="28"/>
          <w:szCs w:val="28"/>
        </w:rPr>
        <w:t>年月日</w:t>
      </w:r>
    </w:p>
    <w:p w14:paraId="154D8D75">
      <w:pPr>
        <w:pStyle w:val="5"/>
        <w:keepNext w:val="0"/>
        <w:keepLines w:val="0"/>
        <w:pageBreakBefore w:val="0"/>
        <w:widowControl/>
        <w:kinsoku/>
        <w:wordWrap w:val="0"/>
        <w:overflowPunct/>
        <w:topLinePunct/>
        <w:autoSpaceDE/>
        <w:autoSpaceDN/>
        <w:bidi w:val="0"/>
        <w:adjustRightInd w:val="0"/>
        <w:snapToGrid w:val="0"/>
        <w:spacing w:line="364" w:lineRule="auto"/>
        <w:jc w:val="both"/>
        <w:textAlignment w:val="baseline"/>
        <w:rPr>
          <w:rFonts w:hint="eastAsia" w:ascii="宋体" w:hAnsi="宋体" w:eastAsia="宋体" w:cs="宋体"/>
          <w:color w:val="auto"/>
        </w:rPr>
      </w:pPr>
    </w:p>
    <w:p w14:paraId="18BD07AE">
      <w:pPr>
        <w:keepNext w:val="0"/>
        <w:keepLines w:val="0"/>
        <w:pageBreakBefore w:val="0"/>
        <w:widowControl/>
        <w:kinsoku/>
        <w:wordWrap w:val="0"/>
        <w:overflowPunct/>
        <w:topLinePunct/>
        <w:autoSpaceDE/>
        <w:autoSpaceDN/>
        <w:bidi w:val="0"/>
        <w:adjustRightInd w:val="0"/>
        <w:snapToGrid w:val="0"/>
        <w:spacing w:before="91" w:line="219" w:lineRule="auto"/>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注：1、表内报价以总价报价。</w:t>
      </w:r>
    </w:p>
    <w:p w14:paraId="564787A7">
      <w:pPr>
        <w:keepNext w:val="0"/>
        <w:keepLines w:val="0"/>
        <w:pageBreakBefore w:val="0"/>
        <w:widowControl/>
        <w:kinsoku/>
        <w:wordWrap w:val="0"/>
        <w:overflowPunct/>
        <w:topLinePunct/>
        <w:autoSpaceDE/>
        <w:autoSpaceDN/>
        <w:bidi w:val="0"/>
        <w:adjustRightInd w:val="0"/>
        <w:snapToGrid w:val="0"/>
        <w:spacing w:before="49" w:line="219" w:lineRule="auto"/>
        <w:ind w:left="569"/>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2、本表用于</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进行最后报价，不在响应文件中装订。</w:t>
      </w:r>
    </w:p>
    <w:p w14:paraId="18933F34">
      <w:pPr>
        <w:keepNext w:val="0"/>
        <w:keepLines w:val="0"/>
        <w:pageBreakBefore w:val="0"/>
        <w:widowControl/>
        <w:kinsoku/>
        <w:wordWrap w:val="0"/>
        <w:overflowPunct/>
        <w:topLinePunct/>
        <w:autoSpaceDE/>
        <w:autoSpaceDN/>
        <w:bidi w:val="0"/>
        <w:adjustRightInd w:val="0"/>
        <w:snapToGrid w:val="0"/>
        <w:spacing w:before="48" w:line="235" w:lineRule="auto"/>
        <w:ind w:right="2" w:firstLine="572"/>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r>
        <w:rPr>
          <w:rFonts w:hint="eastAsia" w:ascii="宋体" w:hAnsi="宋体" w:eastAsia="宋体" w:cs="宋体"/>
          <w:color w:val="auto"/>
          <w:spacing w:val="-2"/>
          <w:sz w:val="28"/>
          <w:szCs w:val="28"/>
          <w:lang w:eastAsia="zh-CN"/>
        </w:rPr>
        <w:t>供应商</w:t>
      </w:r>
      <w:r>
        <w:rPr>
          <w:rFonts w:hint="eastAsia" w:ascii="宋体" w:hAnsi="宋体" w:eastAsia="宋体" w:cs="宋体"/>
          <w:color w:val="auto"/>
          <w:spacing w:val="-2"/>
          <w:sz w:val="28"/>
          <w:szCs w:val="28"/>
        </w:rPr>
        <w:t>应在提交响应文件时，单独备好由其法定代表人或授权代表</w:t>
      </w:r>
      <w:r>
        <w:rPr>
          <w:rFonts w:hint="eastAsia" w:ascii="宋体" w:hAnsi="宋体" w:eastAsia="宋体" w:cs="宋体"/>
          <w:color w:val="auto"/>
          <w:spacing w:val="2"/>
          <w:sz w:val="28"/>
          <w:szCs w:val="28"/>
        </w:rPr>
        <w:t>签字并加盖公章的《二次报价表》，用于最后一轮报价。</w:t>
      </w:r>
    </w:p>
    <w:p w14:paraId="46C7E431">
      <w:pPr>
        <w:keepNext w:val="0"/>
        <w:keepLines w:val="0"/>
        <w:pageBreakBefore w:val="0"/>
        <w:widowControl/>
        <w:kinsoku/>
        <w:wordWrap w:val="0"/>
        <w:overflowPunct/>
        <w:topLinePunct/>
        <w:autoSpaceDE/>
        <w:autoSpaceDN/>
        <w:bidi w:val="0"/>
        <w:adjustRightInd w:val="0"/>
        <w:snapToGrid w:val="0"/>
        <w:spacing w:before="79" w:line="219" w:lineRule="auto"/>
        <w:ind w:left="565"/>
        <w:jc w:val="both"/>
        <w:textAlignment w:val="baseline"/>
        <w:rPr>
          <w:rFonts w:hint="eastAsia" w:ascii="宋体" w:hAnsi="宋体" w:eastAsia="宋体" w:cs="宋体"/>
          <w:color w:val="auto"/>
          <w:sz w:val="28"/>
          <w:szCs w:val="28"/>
        </w:rPr>
      </w:pPr>
      <w:r>
        <w:rPr>
          <w:rFonts w:hint="eastAsia" w:ascii="宋体" w:hAnsi="宋体" w:eastAsia="宋体" w:cs="宋体"/>
          <w:color w:val="auto"/>
          <w:spacing w:val="3"/>
          <w:sz w:val="28"/>
          <w:szCs w:val="28"/>
        </w:rPr>
        <w:t>4、此表为</w:t>
      </w:r>
      <w:r>
        <w:rPr>
          <w:rFonts w:hint="eastAsia" w:ascii="宋体" w:hAnsi="宋体" w:eastAsia="宋体" w:cs="宋体"/>
          <w:color w:val="auto"/>
          <w:spacing w:val="3"/>
          <w:sz w:val="28"/>
          <w:szCs w:val="28"/>
          <w:lang w:eastAsia="zh-CN"/>
        </w:rPr>
        <w:t>供应商</w:t>
      </w:r>
      <w:r>
        <w:rPr>
          <w:rFonts w:hint="eastAsia" w:ascii="宋体" w:hAnsi="宋体" w:eastAsia="宋体" w:cs="宋体"/>
          <w:color w:val="auto"/>
          <w:spacing w:val="3"/>
          <w:sz w:val="28"/>
          <w:szCs w:val="28"/>
        </w:rPr>
        <w:t>手持，否则视为其自动放</w:t>
      </w:r>
      <w:r>
        <w:rPr>
          <w:rFonts w:hint="eastAsia" w:ascii="宋体" w:hAnsi="宋体" w:eastAsia="宋体" w:cs="宋体"/>
          <w:color w:val="auto"/>
          <w:spacing w:val="2"/>
          <w:sz w:val="28"/>
          <w:szCs w:val="28"/>
        </w:rPr>
        <w:t>弃最后一轮报价。</w:t>
      </w:r>
    </w:p>
    <w:p w14:paraId="15C1B820">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181C614">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08DCEA6">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D7DDAD4">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ABBD3A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D034743">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36CA07B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5C035920">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04B4A1C0">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1E2EF50B">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FC85EDF">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22C56A97">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73BA9B78">
      <w:pPr>
        <w:keepNext w:val="0"/>
        <w:keepLines w:val="0"/>
        <w:pageBreakBefore w:val="0"/>
        <w:kinsoku/>
        <w:wordWrap w:val="0"/>
        <w:overflowPunct/>
        <w:topLinePunct/>
        <w:autoSpaceDE/>
        <w:autoSpaceDN/>
        <w:bidi w:val="0"/>
        <w:spacing w:before="122" w:line="219" w:lineRule="auto"/>
        <w:ind w:left="44"/>
        <w:jc w:val="both"/>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附件：</w:t>
      </w:r>
      <w:r>
        <w:rPr>
          <w:rFonts w:hint="eastAsia" w:ascii="宋体" w:hAnsi="宋体" w:eastAsia="宋体" w:cs="宋体"/>
          <w:b/>
          <w:bCs/>
          <w:color w:val="auto"/>
          <w:spacing w:val="-4"/>
          <w:sz w:val="24"/>
          <w:szCs w:val="24"/>
          <w:lang w:val="en-US" w:eastAsia="zh-CN"/>
        </w:rPr>
        <w:t>供应商</w:t>
      </w:r>
      <w:r>
        <w:rPr>
          <w:rFonts w:hint="eastAsia" w:ascii="宋体" w:hAnsi="宋体" w:eastAsia="宋体" w:cs="宋体"/>
          <w:b/>
          <w:bCs/>
          <w:color w:val="auto"/>
          <w:spacing w:val="-4"/>
          <w:sz w:val="24"/>
          <w:szCs w:val="24"/>
        </w:rPr>
        <w:t>信用承诺上报操作指南</w:t>
      </w:r>
    </w:p>
    <w:p w14:paraId="45C9CB09">
      <w:pPr>
        <w:keepNext w:val="0"/>
        <w:keepLines w:val="0"/>
        <w:pageBreakBefore w:val="0"/>
        <w:kinsoku/>
        <w:wordWrap w:val="0"/>
        <w:overflowPunct/>
        <w:topLinePunct/>
        <w:autoSpaceDE/>
        <w:autoSpaceDN/>
        <w:bidi w:val="0"/>
        <w:spacing w:before="87" w:line="11684" w:lineRule="exact"/>
        <w:ind w:firstLine="16"/>
        <w:jc w:val="both"/>
        <w:rPr>
          <w:rFonts w:hint="eastAsia" w:ascii="宋体" w:hAnsi="宋体" w:eastAsia="宋体" w:cs="宋体"/>
          <w:color w:val="auto"/>
        </w:rPr>
      </w:pPr>
      <w:r>
        <w:rPr>
          <w:rFonts w:hint="eastAsia" w:ascii="宋体" w:hAnsi="宋体" w:eastAsia="宋体" w:cs="宋体"/>
          <w:color w:val="auto"/>
          <w:position w:val="-233"/>
        </w:rPr>
        <w:drawing>
          <wp:inline distT="0" distB="0" distL="114300" distR="114300">
            <wp:extent cx="5269865" cy="7418705"/>
            <wp:effectExtent l="0" t="0" r="6985" b="10795"/>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37"/>
                    <a:stretch>
                      <a:fillRect/>
                    </a:stretch>
                  </pic:blipFill>
                  <pic:spPr>
                    <a:xfrm>
                      <a:off x="0" y="0"/>
                      <a:ext cx="5269865" cy="7418705"/>
                    </a:xfrm>
                    <a:prstGeom prst="rect">
                      <a:avLst/>
                    </a:prstGeom>
                    <a:noFill/>
                    <a:ln>
                      <a:noFill/>
                    </a:ln>
                  </pic:spPr>
                </pic:pic>
              </a:graphicData>
            </a:graphic>
          </wp:inline>
        </w:drawing>
      </w:r>
    </w:p>
    <w:p w14:paraId="2C6B675F">
      <w:pPr>
        <w:keepNext w:val="0"/>
        <w:keepLines w:val="0"/>
        <w:pageBreakBefore w:val="0"/>
        <w:kinsoku/>
        <w:wordWrap w:val="0"/>
        <w:overflowPunct/>
        <w:topLinePunct/>
        <w:autoSpaceDE/>
        <w:autoSpaceDN/>
        <w:bidi w:val="0"/>
        <w:spacing w:line="11684" w:lineRule="exact"/>
        <w:jc w:val="both"/>
        <w:rPr>
          <w:rFonts w:hint="eastAsia" w:ascii="宋体" w:hAnsi="宋体" w:eastAsia="宋体" w:cs="宋体"/>
          <w:color w:val="auto"/>
        </w:rPr>
        <w:sectPr>
          <w:headerReference r:id="rId28" w:type="default"/>
          <w:footerReference r:id="rId29" w:type="default"/>
          <w:pgSz w:w="11906" w:h="16839"/>
          <w:pgMar w:top="1431" w:right="1785" w:bottom="1293" w:left="1785" w:header="0" w:footer="1131" w:gutter="0"/>
          <w:pgNumType w:fmt="decimal"/>
          <w:cols w:space="720" w:num="1"/>
        </w:sectPr>
      </w:pPr>
    </w:p>
    <w:p w14:paraId="5F9254EA">
      <w:pPr>
        <w:keepNext w:val="0"/>
        <w:keepLines w:val="0"/>
        <w:pageBreakBefore w:val="0"/>
        <w:kinsoku/>
        <w:wordWrap w:val="0"/>
        <w:overflowPunct/>
        <w:topLinePunct/>
        <w:autoSpaceDE/>
        <w:autoSpaceDN/>
        <w:bidi w:val="0"/>
        <w:spacing w:before="122" w:line="219" w:lineRule="auto"/>
        <w:ind w:left="44"/>
        <w:jc w:val="both"/>
        <w:rPr>
          <w:rFonts w:hint="eastAsia" w:ascii="宋体" w:hAnsi="宋体" w:eastAsia="宋体" w:cs="宋体"/>
          <w:b/>
          <w:bCs/>
          <w:color w:val="auto"/>
          <w:spacing w:val="-4"/>
          <w:sz w:val="24"/>
          <w:szCs w:val="24"/>
        </w:rPr>
      </w:pPr>
      <w:r>
        <w:rPr>
          <w:rFonts w:hint="eastAsia" w:ascii="宋体" w:hAnsi="宋体" w:eastAsia="宋体" w:cs="宋体"/>
          <w:color w:val="auto"/>
          <w:position w:val="-222"/>
        </w:rPr>
        <w:drawing>
          <wp:inline distT="0" distB="0" distL="114300" distR="114300">
            <wp:extent cx="5266690" cy="7077075"/>
            <wp:effectExtent l="0" t="0" r="10160" b="9525"/>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38"/>
                    <a:stretch>
                      <a:fillRect/>
                    </a:stretch>
                  </pic:blipFill>
                  <pic:spPr>
                    <a:xfrm>
                      <a:off x="0" y="0"/>
                      <a:ext cx="5266690" cy="7077075"/>
                    </a:xfrm>
                    <a:prstGeom prst="rect">
                      <a:avLst/>
                    </a:prstGeom>
                    <a:noFill/>
                    <a:ln>
                      <a:noFill/>
                    </a:ln>
                  </pic:spPr>
                </pic:pic>
              </a:graphicData>
            </a:graphic>
          </wp:inline>
        </w:drawing>
      </w:r>
    </w:p>
    <w:p w14:paraId="6154005B">
      <w:pPr>
        <w:keepNext w:val="0"/>
        <w:keepLines w:val="0"/>
        <w:pageBreakBefore w:val="0"/>
        <w:kinsoku/>
        <w:wordWrap w:val="0"/>
        <w:overflowPunct/>
        <w:topLinePunct/>
        <w:autoSpaceDE/>
        <w:autoSpaceDN/>
        <w:bidi w:val="0"/>
        <w:spacing w:before="201" w:line="5023" w:lineRule="exact"/>
        <w:ind w:firstLine="16"/>
        <w:jc w:val="both"/>
        <w:rPr>
          <w:rFonts w:hint="eastAsia" w:ascii="宋体" w:hAnsi="宋体" w:eastAsia="宋体" w:cs="宋体"/>
          <w:color w:val="auto"/>
        </w:rPr>
      </w:pPr>
      <w:r>
        <w:rPr>
          <w:rFonts w:hint="eastAsia" w:ascii="宋体" w:hAnsi="宋体" w:eastAsia="宋体" w:cs="宋体"/>
          <w:color w:val="auto"/>
          <w:position w:val="-100"/>
        </w:rPr>
        <w:drawing>
          <wp:inline distT="0" distB="0" distL="114300" distR="114300">
            <wp:extent cx="5598795" cy="3189605"/>
            <wp:effectExtent l="0" t="0" r="1905" b="10795"/>
            <wp:docPr id="16" name="图片 3"/>
            <wp:cNvGraphicFramePr/>
            <a:graphic xmlns:a="http://schemas.openxmlformats.org/drawingml/2006/main">
              <a:graphicData uri="http://schemas.openxmlformats.org/drawingml/2006/picture">
                <pic:pic xmlns:pic="http://schemas.openxmlformats.org/drawingml/2006/picture">
                  <pic:nvPicPr>
                    <pic:cNvPr id="16" name="图片 3"/>
                    <pic:cNvPicPr/>
                  </pic:nvPicPr>
                  <pic:blipFill>
                    <a:blip r:embed="rId39"/>
                    <a:stretch>
                      <a:fillRect/>
                    </a:stretch>
                  </pic:blipFill>
                  <pic:spPr>
                    <a:xfrm>
                      <a:off x="0" y="0"/>
                      <a:ext cx="5598795" cy="3189605"/>
                    </a:xfrm>
                    <a:prstGeom prst="rect">
                      <a:avLst/>
                    </a:prstGeom>
                    <a:noFill/>
                    <a:ln>
                      <a:noFill/>
                    </a:ln>
                  </pic:spPr>
                </pic:pic>
              </a:graphicData>
            </a:graphic>
          </wp:inline>
        </w:drawing>
      </w:r>
    </w:p>
    <w:p w14:paraId="532E010E">
      <w:pPr>
        <w:pStyle w:val="5"/>
        <w:keepNext w:val="0"/>
        <w:keepLines w:val="0"/>
        <w:pageBreakBefore w:val="0"/>
        <w:kinsoku/>
        <w:wordWrap w:val="0"/>
        <w:overflowPunct/>
        <w:topLinePunct/>
        <w:autoSpaceDE/>
        <w:autoSpaceDN/>
        <w:bidi w:val="0"/>
        <w:spacing w:line="479" w:lineRule="auto"/>
        <w:jc w:val="both"/>
        <w:rPr>
          <w:rFonts w:hint="eastAsia" w:ascii="宋体" w:hAnsi="宋体" w:eastAsia="宋体" w:cs="宋体"/>
          <w:color w:val="auto"/>
        </w:rPr>
      </w:pPr>
    </w:p>
    <w:p w14:paraId="5EB38DA4">
      <w:pPr>
        <w:keepNext w:val="0"/>
        <w:keepLines w:val="0"/>
        <w:pageBreakBefore w:val="0"/>
        <w:kinsoku/>
        <w:wordWrap w:val="0"/>
        <w:overflowPunct/>
        <w:topLinePunct/>
        <w:autoSpaceDE/>
        <w:autoSpaceDN/>
        <w:bidi w:val="0"/>
        <w:spacing w:line="4942" w:lineRule="exact"/>
        <w:ind w:firstLine="16"/>
        <w:jc w:val="both"/>
        <w:rPr>
          <w:rFonts w:hint="eastAsia" w:ascii="宋体" w:hAnsi="宋体" w:eastAsia="宋体" w:cs="宋体"/>
          <w:color w:val="auto"/>
        </w:rPr>
      </w:pPr>
      <w:r>
        <w:rPr>
          <w:rFonts w:hint="eastAsia" w:ascii="宋体" w:hAnsi="宋体" w:eastAsia="宋体" w:cs="宋体"/>
          <w:color w:val="auto"/>
          <w:position w:val="-98"/>
        </w:rPr>
        <w:drawing>
          <wp:inline distT="0" distB="0" distL="114300" distR="114300">
            <wp:extent cx="5615940" cy="3137535"/>
            <wp:effectExtent l="0" t="0" r="3810" b="5715"/>
            <wp:docPr id="21" name="图片 4"/>
            <wp:cNvGraphicFramePr/>
            <a:graphic xmlns:a="http://schemas.openxmlformats.org/drawingml/2006/main">
              <a:graphicData uri="http://schemas.openxmlformats.org/drawingml/2006/picture">
                <pic:pic xmlns:pic="http://schemas.openxmlformats.org/drawingml/2006/picture">
                  <pic:nvPicPr>
                    <pic:cNvPr id="21" name="图片 4"/>
                    <pic:cNvPicPr/>
                  </pic:nvPicPr>
                  <pic:blipFill>
                    <a:blip r:embed="rId40"/>
                    <a:stretch>
                      <a:fillRect/>
                    </a:stretch>
                  </pic:blipFill>
                  <pic:spPr>
                    <a:xfrm>
                      <a:off x="0" y="0"/>
                      <a:ext cx="5615940" cy="3137535"/>
                    </a:xfrm>
                    <a:prstGeom prst="rect">
                      <a:avLst/>
                    </a:prstGeom>
                    <a:noFill/>
                    <a:ln>
                      <a:noFill/>
                    </a:ln>
                  </pic:spPr>
                </pic:pic>
              </a:graphicData>
            </a:graphic>
          </wp:inline>
        </w:drawing>
      </w:r>
    </w:p>
    <w:p w14:paraId="255CB7AA">
      <w:pPr>
        <w:keepNext w:val="0"/>
        <w:keepLines w:val="0"/>
        <w:pageBreakBefore w:val="0"/>
        <w:kinsoku/>
        <w:wordWrap w:val="0"/>
        <w:overflowPunct/>
        <w:topLinePunct/>
        <w:autoSpaceDE/>
        <w:autoSpaceDN/>
        <w:bidi w:val="0"/>
        <w:spacing w:line="4942" w:lineRule="exact"/>
        <w:jc w:val="both"/>
        <w:rPr>
          <w:rFonts w:hint="eastAsia" w:ascii="宋体" w:hAnsi="宋体" w:eastAsia="宋体" w:cs="宋体"/>
          <w:color w:val="auto"/>
        </w:rPr>
        <w:sectPr>
          <w:footerReference r:id="rId30" w:type="default"/>
          <w:pgSz w:w="11906" w:h="16839"/>
          <w:pgMar w:top="1431" w:right="1259" w:bottom="1293" w:left="1785" w:header="0" w:footer="1131" w:gutter="0"/>
          <w:pgNumType w:fmt="decimal"/>
          <w:cols w:space="720" w:num="1"/>
        </w:sectPr>
      </w:pPr>
    </w:p>
    <w:p w14:paraId="508DBFA2">
      <w:pPr>
        <w:keepNext w:val="0"/>
        <w:keepLines w:val="0"/>
        <w:pageBreakBefore w:val="0"/>
        <w:kinsoku/>
        <w:wordWrap w:val="0"/>
        <w:overflowPunct/>
        <w:topLinePunct/>
        <w:autoSpaceDE/>
        <w:autoSpaceDN/>
        <w:bidi w:val="0"/>
        <w:spacing w:before="104" w:line="4786" w:lineRule="exact"/>
        <w:ind w:firstLine="16"/>
        <w:jc w:val="both"/>
        <w:rPr>
          <w:rFonts w:hint="eastAsia" w:ascii="宋体" w:hAnsi="宋体" w:eastAsia="宋体" w:cs="宋体"/>
          <w:color w:val="auto"/>
        </w:rPr>
      </w:pPr>
      <w:r>
        <w:rPr>
          <w:rFonts w:hint="eastAsia" w:ascii="宋体" w:hAnsi="宋体" w:eastAsia="宋体" w:cs="宋体"/>
          <w:color w:val="auto"/>
          <w:position w:val="-95"/>
        </w:rPr>
        <w:drawing>
          <wp:inline distT="0" distB="0" distL="114300" distR="114300">
            <wp:extent cx="5388610" cy="3038475"/>
            <wp:effectExtent l="0" t="0" r="2540" b="9525"/>
            <wp:docPr id="11" name="图片 5"/>
            <wp:cNvGraphicFramePr/>
            <a:graphic xmlns:a="http://schemas.openxmlformats.org/drawingml/2006/main">
              <a:graphicData uri="http://schemas.openxmlformats.org/drawingml/2006/picture">
                <pic:pic xmlns:pic="http://schemas.openxmlformats.org/drawingml/2006/picture">
                  <pic:nvPicPr>
                    <pic:cNvPr id="11" name="图片 5"/>
                    <pic:cNvPicPr/>
                  </pic:nvPicPr>
                  <pic:blipFill>
                    <a:blip r:embed="rId41"/>
                    <a:stretch>
                      <a:fillRect/>
                    </a:stretch>
                  </pic:blipFill>
                  <pic:spPr>
                    <a:xfrm>
                      <a:off x="0" y="0"/>
                      <a:ext cx="5388610" cy="3038475"/>
                    </a:xfrm>
                    <a:prstGeom prst="rect">
                      <a:avLst/>
                    </a:prstGeom>
                    <a:noFill/>
                    <a:ln>
                      <a:noFill/>
                    </a:ln>
                  </pic:spPr>
                </pic:pic>
              </a:graphicData>
            </a:graphic>
          </wp:inline>
        </w:drawing>
      </w:r>
    </w:p>
    <w:p w14:paraId="596300FA">
      <w:pPr>
        <w:pStyle w:val="5"/>
        <w:keepNext w:val="0"/>
        <w:keepLines w:val="0"/>
        <w:pageBreakBefore w:val="0"/>
        <w:kinsoku/>
        <w:wordWrap w:val="0"/>
        <w:overflowPunct/>
        <w:topLinePunct/>
        <w:autoSpaceDE/>
        <w:autoSpaceDN/>
        <w:bidi w:val="0"/>
        <w:spacing w:line="243" w:lineRule="auto"/>
        <w:jc w:val="both"/>
        <w:rPr>
          <w:rFonts w:hint="eastAsia" w:ascii="宋体" w:hAnsi="宋体" w:eastAsia="宋体" w:cs="宋体"/>
          <w:color w:val="auto"/>
        </w:rPr>
      </w:pPr>
    </w:p>
    <w:p w14:paraId="3AD86F05">
      <w:pPr>
        <w:pStyle w:val="5"/>
        <w:keepNext w:val="0"/>
        <w:keepLines w:val="0"/>
        <w:pageBreakBefore w:val="0"/>
        <w:kinsoku/>
        <w:wordWrap w:val="0"/>
        <w:overflowPunct/>
        <w:topLinePunct/>
        <w:autoSpaceDE/>
        <w:autoSpaceDN/>
        <w:bidi w:val="0"/>
        <w:spacing w:line="243" w:lineRule="auto"/>
        <w:jc w:val="both"/>
        <w:rPr>
          <w:rFonts w:hint="eastAsia" w:ascii="宋体" w:hAnsi="宋体" w:eastAsia="宋体" w:cs="宋体"/>
          <w:color w:val="auto"/>
        </w:rPr>
      </w:pPr>
    </w:p>
    <w:p w14:paraId="04D68458">
      <w:pPr>
        <w:keepNext w:val="0"/>
        <w:keepLines w:val="0"/>
        <w:pageBreakBefore w:val="0"/>
        <w:kinsoku/>
        <w:wordWrap w:val="0"/>
        <w:overflowPunct/>
        <w:topLinePunct/>
        <w:autoSpaceDE/>
        <w:autoSpaceDN/>
        <w:bidi w:val="0"/>
        <w:spacing w:line="4853" w:lineRule="exact"/>
        <w:ind w:firstLine="16"/>
        <w:jc w:val="both"/>
        <w:rPr>
          <w:rFonts w:hint="eastAsia" w:ascii="宋体" w:hAnsi="宋体" w:eastAsia="宋体" w:cs="宋体"/>
          <w:color w:val="auto"/>
        </w:rPr>
      </w:pPr>
      <w:r>
        <w:rPr>
          <w:rFonts w:hint="eastAsia" w:ascii="宋体" w:hAnsi="宋体" w:eastAsia="宋体" w:cs="宋体"/>
          <w:color w:val="auto"/>
          <w:position w:val="-97"/>
        </w:rPr>
        <w:drawing>
          <wp:inline distT="0" distB="0" distL="114300" distR="114300">
            <wp:extent cx="5434330" cy="3081020"/>
            <wp:effectExtent l="0" t="0" r="13970" b="5080"/>
            <wp:docPr id="17" name="图片 6"/>
            <wp:cNvGraphicFramePr/>
            <a:graphic xmlns:a="http://schemas.openxmlformats.org/drawingml/2006/main">
              <a:graphicData uri="http://schemas.openxmlformats.org/drawingml/2006/picture">
                <pic:pic xmlns:pic="http://schemas.openxmlformats.org/drawingml/2006/picture">
                  <pic:nvPicPr>
                    <pic:cNvPr id="17" name="图片 6"/>
                    <pic:cNvPicPr/>
                  </pic:nvPicPr>
                  <pic:blipFill>
                    <a:blip r:embed="rId42"/>
                    <a:stretch>
                      <a:fillRect/>
                    </a:stretch>
                  </pic:blipFill>
                  <pic:spPr>
                    <a:xfrm>
                      <a:off x="0" y="0"/>
                      <a:ext cx="5434330" cy="3081020"/>
                    </a:xfrm>
                    <a:prstGeom prst="rect">
                      <a:avLst/>
                    </a:prstGeom>
                    <a:noFill/>
                    <a:ln>
                      <a:noFill/>
                    </a:ln>
                  </pic:spPr>
                </pic:pic>
              </a:graphicData>
            </a:graphic>
          </wp:inline>
        </w:drawing>
      </w:r>
    </w:p>
    <w:p w14:paraId="76F59E41">
      <w:pPr>
        <w:keepNext w:val="0"/>
        <w:keepLines w:val="0"/>
        <w:pageBreakBefore w:val="0"/>
        <w:kinsoku/>
        <w:wordWrap w:val="0"/>
        <w:overflowPunct/>
        <w:topLinePunct/>
        <w:autoSpaceDE/>
        <w:autoSpaceDN/>
        <w:bidi w:val="0"/>
        <w:spacing w:line="4853" w:lineRule="exact"/>
        <w:jc w:val="both"/>
        <w:rPr>
          <w:rFonts w:hint="eastAsia" w:ascii="宋体" w:hAnsi="宋体" w:eastAsia="宋体" w:cs="宋体"/>
          <w:color w:val="auto"/>
        </w:rPr>
        <w:sectPr>
          <w:footerReference r:id="rId31" w:type="default"/>
          <w:pgSz w:w="11906" w:h="16839"/>
          <w:pgMar w:top="1431" w:right="1545" w:bottom="1293" w:left="1785" w:header="0" w:footer="1131" w:gutter="0"/>
          <w:pgNumType w:fmt="decimal"/>
          <w:cols w:space="720" w:num="1"/>
        </w:sectPr>
      </w:pPr>
    </w:p>
    <w:p w14:paraId="584849E8">
      <w:pPr>
        <w:keepNext w:val="0"/>
        <w:keepLines w:val="0"/>
        <w:pageBreakBefore w:val="0"/>
        <w:kinsoku/>
        <w:wordWrap w:val="0"/>
        <w:overflowPunct/>
        <w:topLinePunct/>
        <w:autoSpaceDE/>
        <w:autoSpaceDN/>
        <w:bidi w:val="0"/>
        <w:spacing w:before="8" w:line="4661" w:lineRule="exact"/>
        <w:ind w:firstLine="16"/>
        <w:jc w:val="both"/>
        <w:rPr>
          <w:rFonts w:hint="eastAsia" w:ascii="宋体" w:hAnsi="宋体" w:eastAsia="宋体" w:cs="宋体"/>
          <w:color w:val="auto"/>
        </w:rPr>
      </w:pPr>
      <w:r>
        <w:rPr>
          <w:rFonts w:hint="eastAsia" w:ascii="宋体" w:hAnsi="宋体" w:eastAsia="宋体" w:cs="宋体"/>
          <w:color w:val="auto"/>
          <w:position w:val="-93"/>
        </w:rPr>
        <w:drawing>
          <wp:inline distT="0" distB="0" distL="114300" distR="114300">
            <wp:extent cx="5233035" cy="2959100"/>
            <wp:effectExtent l="0" t="0" r="5715" b="12700"/>
            <wp:docPr id="6" name="图片 7"/>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43"/>
                    <a:stretch>
                      <a:fillRect/>
                    </a:stretch>
                  </pic:blipFill>
                  <pic:spPr>
                    <a:xfrm>
                      <a:off x="0" y="0"/>
                      <a:ext cx="5233035" cy="2959100"/>
                    </a:xfrm>
                    <a:prstGeom prst="rect">
                      <a:avLst/>
                    </a:prstGeom>
                    <a:noFill/>
                    <a:ln>
                      <a:noFill/>
                    </a:ln>
                  </pic:spPr>
                </pic:pic>
              </a:graphicData>
            </a:graphic>
          </wp:inline>
        </w:drawing>
      </w:r>
    </w:p>
    <w:p w14:paraId="158D2D51">
      <w:pPr>
        <w:pStyle w:val="5"/>
        <w:keepNext w:val="0"/>
        <w:keepLines w:val="0"/>
        <w:pageBreakBefore w:val="0"/>
        <w:kinsoku/>
        <w:wordWrap w:val="0"/>
        <w:overflowPunct/>
        <w:topLinePunct/>
        <w:autoSpaceDE/>
        <w:autoSpaceDN/>
        <w:bidi w:val="0"/>
        <w:spacing w:line="395" w:lineRule="auto"/>
        <w:jc w:val="both"/>
        <w:rPr>
          <w:rFonts w:hint="eastAsia" w:ascii="宋体" w:hAnsi="宋体" w:eastAsia="宋体" w:cs="宋体"/>
          <w:color w:val="auto"/>
        </w:rPr>
      </w:pPr>
    </w:p>
    <w:p w14:paraId="1B398A59">
      <w:pPr>
        <w:keepNext w:val="0"/>
        <w:keepLines w:val="0"/>
        <w:pageBreakBefore w:val="0"/>
        <w:kinsoku/>
        <w:wordWrap w:val="0"/>
        <w:overflowPunct/>
        <w:topLinePunct/>
        <w:autoSpaceDE/>
        <w:autoSpaceDN/>
        <w:bidi w:val="0"/>
        <w:spacing w:line="4846" w:lineRule="exact"/>
        <w:ind w:firstLine="16"/>
        <w:jc w:val="both"/>
        <w:rPr>
          <w:rFonts w:hint="eastAsia" w:ascii="宋体" w:hAnsi="宋体" w:eastAsia="宋体" w:cs="宋体"/>
          <w:color w:val="auto"/>
        </w:rPr>
      </w:pPr>
      <w:r>
        <w:rPr>
          <w:rFonts w:hint="eastAsia" w:ascii="宋体" w:hAnsi="宋体" w:eastAsia="宋体" w:cs="宋体"/>
          <w:color w:val="auto"/>
          <w:position w:val="-96"/>
        </w:rPr>
        <w:drawing>
          <wp:inline distT="0" distB="0" distL="114300" distR="114300">
            <wp:extent cx="5455285" cy="3076575"/>
            <wp:effectExtent l="0" t="0" r="12065" b="9525"/>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44"/>
                    <a:stretch>
                      <a:fillRect/>
                    </a:stretch>
                  </pic:blipFill>
                  <pic:spPr>
                    <a:xfrm>
                      <a:off x="0" y="0"/>
                      <a:ext cx="5455285" cy="3076575"/>
                    </a:xfrm>
                    <a:prstGeom prst="rect">
                      <a:avLst/>
                    </a:prstGeom>
                    <a:noFill/>
                    <a:ln>
                      <a:noFill/>
                    </a:ln>
                  </pic:spPr>
                </pic:pic>
              </a:graphicData>
            </a:graphic>
          </wp:inline>
        </w:drawing>
      </w:r>
    </w:p>
    <w:p w14:paraId="4242B1AD">
      <w:pPr>
        <w:keepNext w:val="0"/>
        <w:keepLines w:val="0"/>
        <w:pageBreakBefore w:val="0"/>
        <w:kinsoku/>
        <w:wordWrap w:val="0"/>
        <w:overflowPunct/>
        <w:topLinePunct/>
        <w:autoSpaceDE/>
        <w:autoSpaceDN/>
        <w:bidi w:val="0"/>
        <w:spacing w:line="4846" w:lineRule="exact"/>
        <w:jc w:val="both"/>
        <w:rPr>
          <w:rFonts w:hint="eastAsia" w:ascii="宋体" w:hAnsi="宋体" w:eastAsia="宋体" w:cs="宋体"/>
          <w:color w:val="auto"/>
        </w:rPr>
        <w:sectPr>
          <w:footerReference r:id="rId32" w:type="default"/>
          <w:pgSz w:w="11906" w:h="16839"/>
          <w:pgMar w:top="1431" w:right="1511" w:bottom="1293" w:left="1785" w:header="0" w:footer="1131" w:gutter="0"/>
          <w:pgNumType w:fmt="decimal"/>
          <w:cols w:space="720" w:num="1"/>
        </w:sectPr>
      </w:pPr>
    </w:p>
    <w:p w14:paraId="3992DEE6">
      <w:pPr>
        <w:keepNext w:val="0"/>
        <w:keepLines w:val="0"/>
        <w:pageBreakBefore w:val="0"/>
        <w:kinsoku/>
        <w:wordWrap w:val="0"/>
        <w:overflowPunct/>
        <w:topLinePunct/>
        <w:autoSpaceDE/>
        <w:autoSpaceDN/>
        <w:bidi w:val="0"/>
        <w:spacing w:before="119" w:line="4752" w:lineRule="exact"/>
        <w:ind w:firstLine="16"/>
        <w:jc w:val="both"/>
        <w:rPr>
          <w:rFonts w:hint="eastAsia" w:ascii="宋体" w:hAnsi="宋体" w:eastAsia="宋体" w:cs="宋体"/>
          <w:color w:val="auto"/>
        </w:rPr>
      </w:pPr>
      <w:r>
        <w:rPr>
          <w:rFonts w:hint="eastAsia" w:ascii="宋体" w:hAnsi="宋体" w:eastAsia="宋体" w:cs="宋体"/>
          <w:color w:val="auto"/>
          <w:position w:val="-95"/>
        </w:rPr>
        <w:drawing>
          <wp:inline distT="0" distB="0" distL="114300" distR="114300">
            <wp:extent cx="5318125" cy="3016885"/>
            <wp:effectExtent l="0" t="0" r="15875" b="12065"/>
            <wp:docPr id="20" name="图片 9"/>
            <wp:cNvGraphicFramePr/>
            <a:graphic xmlns:a="http://schemas.openxmlformats.org/drawingml/2006/main">
              <a:graphicData uri="http://schemas.openxmlformats.org/drawingml/2006/picture">
                <pic:pic xmlns:pic="http://schemas.openxmlformats.org/drawingml/2006/picture">
                  <pic:nvPicPr>
                    <pic:cNvPr id="20" name="图片 9"/>
                    <pic:cNvPicPr/>
                  </pic:nvPicPr>
                  <pic:blipFill>
                    <a:blip r:embed="rId45"/>
                    <a:stretch>
                      <a:fillRect/>
                    </a:stretch>
                  </pic:blipFill>
                  <pic:spPr>
                    <a:xfrm>
                      <a:off x="0" y="0"/>
                      <a:ext cx="5318125" cy="3016885"/>
                    </a:xfrm>
                    <a:prstGeom prst="rect">
                      <a:avLst/>
                    </a:prstGeom>
                    <a:noFill/>
                    <a:ln>
                      <a:noFill/>
                    </a:ln>
                  </pic:spPr>
                </pic:pic>
              </a:graphicData>
            </a:graphic>
          </wp:inline>
        </w:drawing>
      </w:r>
    </w:p>
    <w:p w14:paraId="11804111">
      <w:pPr>
        <w:pStyle w:val="5"/>
        <w:keepNext w:val="0"/>
        <w:keepLines w:val="0"/>
        <w:pageBreakBefore w:val="0"/>
        <w:kinsoku/>
        <w:wordWrap w:val="0"/>
        <w:overflowPunct/>
        <w:topLinePunct/>
        <w:autoSpaceDE/>
        <w:autoSpaceDN/>
        <w:bidi w:val="0"/>
        <w:spacing w:line="267" w:lineRule="auto"/>
        <w:jc w:val="both"/>
        <w:rPr>
          <w:rFonts w:hint="eastAsia" w:ascii="宋体" w:hAnsi="宋体" w:eastAsia="宋体" w:cs="宋体"/>
          <w:color w:val="auto"/>
        </w:rPr>
      </w:pPr>
    </w:p>
    <w:p w14:paraId="3C9F9212">
      <w:pPr>
        <w:pStyle w:val="5"/>
        <w:keepNext w:val="0"/>
        <w:keepLines w:val="0"/>
        <w:pageBreakBefore w:val="0"/>
        <w:kinsoku/>
        <w:wordWrap w:val="0"/>
        <w:overflowPunct/>
        <w:topLinePunct/>
        <w:autoSpaceDE/>
        <w:autoSpaceDN/>
        <w:bidi w:val="0"/>
        <w:spacing w:line="267" w:lineRule="auto"/>
        <w:jc w:val="both"/>
        <w:rPr>
          <w:rFonts w:hint="eastAsia" w:ascii="宋体" w:hAnsi="宋体" w:eastAsia="宋体" w:cs="宋体"/>
          <w:color w:val="auto"/>
        </w:rPr>
      </w:pPr>
    </w:p>
    <w:p w14:paraId="49BDE963">
      <w:pPr>
        <w:keepNext w:val="0"/>
        <w:keepLines w:val="0"/>
        <w:pageBreakBefore w:val="0"/>
        <w:kinsoku/>
        <w:wordWrap w:val="0"/>
        <w:overflowPunct/>
        <w:topLinePunct/>
        <w:autoSpaceDE/>
        <w:autoSpaceDN/>
        <w:bidi w:val="0"/>
        <w:spacing w:line="4795" w:lineRule="exact"/>
        <w:ind w:firstLine="16"/>
        <w:jc w:val="both"/>
        <w:rPr>
          <w:rFonts w:hint="eastAsia" w:ascii="宋体" w:hAnsi="宋体" w:eastAsia="宋体" w:cs="宋体"/>
          <w:color w:val="auto"/>
        </w:rPr>
      </w:pPr>
      <w:r>
        <w:rPr>
          <w:rFonts w:hint="eastAsia" w:ascii="宋体" w:hAnsi="宋体" w:eastAsia="宋体" w:cs="宋体"/>
          <w:color w:val="auto"/>
          <w:position w:val="-95"/>
        </w:rPr>
        <w:drawing>
          <wp:inline distT="0" distB="0" distL="114300" distR="114300">
            <wp:extent cx="5364480" cy="3044825"/>
            <wp:effectExtent l="0" t="0" r="7620" b="3175"/>
            <wp:docPr id="24" name="图片 10"/>
            <wp:cNvGraphicFramePr/>
            <a:graphic xmlns:a="http://schemas.openxmlformats.org/drawingml/2006/main">
              <a:graphicData uri="http://schemas.openxmlformats.org/drawingml/2006/picture">
                <pic:pic xmlns:pic="http://schemas.openxmlformats.org/drawingml/2006/picture">
                  <pic:nvPicPr>
                    <pic:cNvPr id="24" name="图片 10"/>
                    <pic:cNvPicPr/>
                  </pic:nvPicPr>
                  <pic:blipFill>
                    <a:blip r:embed="rId46"/>
                    <a:stretch>
                      <a:fillRect/>
                    </a:stretch>
                  </pic:blipFill>
                  <pic:spPr>
                    <a:xfrm>
                      <a:off x="0" y="0"/>
                      <a:ext cx="5364480" cy="3044825"/>
                    </a:xfrm>
                    <a:prstGeom prst="rect">
                      <a:avLst/>
                    </a:prstGeom>
                    <a:noFill/>
                    <a:ln>
                      <a:noFill/>
                    </a:ln>
                  </pic:spPr>
                </pic:pic>
              </a:graphicData>
            </a:graphic>
          </wp:inline>
        </w:drawing>
      </w:r>
    </w:p>
    <w:p w14:paraId="05DD9D2E">
      <w:pPr>
        <w:keepNext w:val="0"/>
        <w:keepLines w:val="0"/>
        <w:pageBreakBefore w:val="0"/>
        <w:kinsoku/>
        <w:wordWrap w:val="0"/>
        <w:overflowPunct/>
        <w:topLinePunct/>
        <w:autoSpaceDE/>
        <w:autoSpaceDN/>
        <w:bidi w:val="0"/>
        <w:spacing w:line="4795" w:lineRule="exact"/>
        <w:jc w:val="both"/>
        <w:rPr>
          <w:rFonts w:hint="eastAsia" w:ascii="宋体" w:hAnsi="宋体" w:eastAsia="宋体" w:cs="宋体"/>
          <w:color w:val="auto"/>
        </w:rPr>
        <w:sectPr>
          <w:footerReference r:id="rId33" w:type="default"/>
          <w:pgSz w:w="11906" w:h="16839"/>
          <w:pgMar w:top="1431" w:right="1655" w:bottom="1293" w:left="1785" w:header="0" w:footer="1131" w:gutter="0"/>
          <w:pgNumType w:fmt="decimal"/>
          <w:cols w:space="720" w:num="1"/>
        </w:sectPr>
      </w:pPr>
    </w:p>
    <w:p w14:paraId="72B2B47D">
      <w:pPr>
        <w:keepNext w:val="0"/>
        <w:keepLines w:val="0"/>
        <w:pageBreakBefore w:val="0"/>
        <w:kinsoku/>
        <w:wordWrap w:val="0"/>
        <w:overflowPunct/>
        <w:topLinePunct/>
        <w:autoSpaceDE/>
        <w:autoSpaceDN/>
        <w:bidi w:val="0"/>
        <w:spacing w:before="135" w:line="4724" w:lineRule="exact"/>
        <w:ind w:firstLine="16"/>
        <w:jc w:val="both"/>
        <w:rPr>
          <w:rFonts w:hint="eastAsia" w:ascii="宋体" w:hAnsi="宋体" w:eastAsia="宋体" w:cs="宋体"/>
          <w:color w:val="auto"/>
        </w:rPr>
      </w:pPr>
      <w:r>
        <w:rPr>
          <w:rFonts w:hint="eastAsia" w:ascii="宋体" w:hAnsi="宋体" w:eastAsia="宋体" w:cs="宋体"/>
          <w:color w:val="auto"/>
          <w:position w:val="-94"/>
        </w:rPr>
        <w:drawing>
          <wp:inline distT="0" distB="0" distL="114300" distR="114300">
            <wp:extent cx="5330825" cy="2999105"/>
            <wp:effectExtent l="0" t="0" r="3175" b="10795"/>
            <wp:docPr id="27" name="图片 11"/>
            <wp:cNvGraphicFramePr/>
            <a:graphic xmlns:a="http://schemas.openxmlformats.org/drawingml/2006/main">
              <a:graphicData uri="http://schemas.openxmlformats.org/drawingml/2006/picture">
                <pic:pic xmlns:pic="http://schemas.openxmlformats.org/drawingml/2006/picture">
                  <pic:nvPicPr>
                    <pic:cNvPr id="27" name="图片 11"/>
                    <pic:cNvPicPr/>
                  </pic:nvPicPr>
                  <pic:blipFill>
                    <a:blip r:embed="rId47"/>
                    <a:stretch>
                      <a:fillRect/>
                    </a:stretch>
                  </pic:blipFill>
                  <pic:spPr>
                    <a:xfrm>
                      <a:off x="0" y="0"/>
                      <a:ext cx="5330825" cy="2999105"/>
                    </a:xfrm>
                    <a:prstGeom prst="rect">
                      <a:avLst/>
                    </a:prstGeom>
                    <a:noFill/>
                    <a:ln>
                      <a:noFill/>
                    </a:ln>
                  </pic:spPr>
                </pic:pic>
              </a:graphicData>
            </a:graphic>
          </wp:inline>
        </w:drawing>
      </w:r>
    </w:p>
    <w:p w14:paraId="636C08F0">
      <w:pPr>
        <w:pStyle w:val="5"/>
        <w:keepNext w:val="0"/>
        <w:keepLines w:val="0"/>
        <w:pageBreakBefore w:val="0"/>
        <w:kinsoku/>
        <w:wordWrap w:val="0"/>
        <w:overflowPunct/>
        <w:topLinePunct/>
        <w:autoSpaceDE/>
        <w:autoSpaceDN/>
        <w:bidi w:val="0"/>
        <w:spacing w:line="288" w:lineRule="auto"/>
        <w:jc w:val="both"/>
        <w:rPr>
          <w:rFonts w:hint="eastAsia" w:ascii="宋体" w:hAnsi="宋体" w:eastAsia="宋体" w:cs="宋体"/>
          <w:color w:val="auto"/>
        </w:rPr>
      </w:pPr>
    </w:p>
    <w:p w14:paraId="338284BA">
      <w:pPr>
        <w:pStyle w:val="5"/>
        <w:keepNext w:val="0"/>
        <w:keepLines w:val="0"/>
        <w:pageBreakBefore w:val="0"/>
        <w:kinsoku/>
        <w:wordWrap w:val="0"/>
        <w:overflowPunct/>
        <w:topLinePunct/>
        <w:autoSpaceDE/>
        <w:autoSpaceDN/>
        <w:bidi w:val="0"/>
        <w:spacing w:line="289" w:lineRule="auto"/>
        <w:jc w:val="both"/>
        <w:rPr>
          <w:rFonts w:hint="eastAsia" w:ascii="宋体" w:hAnsi="宋体" w:eastAsia="宋体" w:cs="宋体"/>
          <w:color w:val="auto"/>
        </w:rPr>
      </w:pPr>
    </w:p>
    <w:p w14:paraId="59C696F7">
      <w:pPr>
        <w:keepNext w:val="0"/>
        <w:keepLines w:val="0"/>
        <w:pageBreakBefore w:val="0"/>
        <w:kinsoku/>
        <w:wordWrap w:val="0"/>
        <w:overflowPunct/>
        <w:topLinePunct/>
        <w:autoSpaceDE/>
        <w:autoSpaceDN/>
        <w:bidi w:val="0"/>
        <w:spacing w:line="4730" w:lineRule="exact"/>
        <w:ind w:firstLine="16"/>
        <w:jc w:val="both"/>
        <w:rPr>
          <w:rFonts w:hint="eastAsia" w:ascii="宋体" w:hAnsi="宋体" w:eastAsia="宋体" w:cs="宋体"/>
          <w:color w:val="auto"/>
        </w:rPr>
      </w:pPr>
      <w:r>
        <w:rPr>
          <w:rFonts w:hint="eastAsia" w:ascii="宋体" w:hAnsi="宋体" w:eastAsia="宋体" w:cs="宋体"/>
          <w:color w:val="auto"/>
          <w:position w:val="-94"/>
        </w:rPr>
        <w:drawing>
          <wp:inline distT="0" distB="0" distL="114300" distR="114300">
            <wp:extent cx="5368925" cy="3003550"/>
            <wp:effectExtent l="0" t="0" r="3175" b="6350"/>
            <wp:docPr id="22" name="图片 12"/>
            <wp:cNvGraphicFramePr/>
            <a:graphic xmlns:a="http://schemas.openxmlformats.org/drawingml/2006/main">
              <a:graphicData uri="http://schemas.openxmlformats.org/drawingml/2006/picture">
                <pic:pic xmlns:pic="http://schemas.openxmlformats.org/drawingml/2006/picture">
                  <pic:nvPicPr>
                    <pic:cNvPr id="22" name="图片 12"/>
                    <pic:cNvPicPr/>
                  </pic:nvPicPr>
                  <pic:blipFill>
                    <a:blip r:embed="rId48"/>
                    <a:stretch>
                      <a:fillRect/>
                    </a:stretch>
                  </pic:blipFill>
                  <pic:spPr>
                    <a:xfrm>
                      <a:off x="0" y="0"/>
                      <a:ext cx="5368925" cy="3003550"/>
                    </a:xfrm>
                    <a:prstGeom prst="rect">
                      <a:avLst/>
                    </a:prstGeom>
                    <a:noFill/>
                    <a:ln>
                      <a:noFill/>
                    </a:ln>
                  </pic:spPr>
                </pic:pic>
              </a:graphicData>
            </a:graphic>
          </wp:inline>
        </w:drawing>
      </w:r>
    </w:p>
    <w:p w14:paraId="7113C8FD">
      <w:pPr>
        <w:keepNext w:val="0"/>
        <w:keepLines w:val="0"/>
        <w:pageBreakBefore w:val="0"/>
        <w:kinsoku/>
        <w:wordWrap w:val="0"/>
        <w:overflowPunct/>
        <w:topLinePunct/>
        <w:autoSpaceDE/>
        <w:autoSpaceDN/>
        <w:bidi w:val="0"/>
        <w:spacing w:line="4730" w:lineRule="exact"/>
        <w:jc w:val="both"/>
        <w:rPr>
          <w:rFonts w:hint="eastAsia" w:ascii="宋体" w:hAnsi="宋体" w:eastAsia="宋体" w:cs="宋体"/>
          <w:color w:val="auto"/>
        </w:rPr>
        <w:sectPr>
          <w:footerReference r:id="rId34" w:type="default"/>
          <w:pgSz w:w="11906" w:h="16839"/>
          <w:pgMar w:top="1431" w:right="1648" w:bottom="1293" w:left="1785" w:header="0" w:footer="1131" w:gutter="0"/>
          <w:pgNumType w:fmt="decimal"/>
          <w:cols w:space="720" w:num="1"/>
        </w:sectPr>
      </w:pPr>
    </w:p>
    <w:p w14:paraId="45FF4B51">
      <w:pPr>
        <w:pStyle w:val="5"/>
        <w:keepNext w:val="0"/>
        <w:keepLines w:val="0"/>
        <w:pageBreakBefore w:val="0"/>
        <w:kinsoku/>
        <w:wordWrap w:val="0"/>
        <w:overflowPunct/>
        <w:topLinePunct/>
        <w:autoSpaceDE/>
        <w:autoSpaceDN/>
        <w:bidi w:val="0"/>
        <w:jc w:val="both"/>
        <w:textAlignment w:val="auto"/>
        <w:rPr>
          <w:rFonts w:hint="eastAsia" w:ascii="宋体" w:hAnsi="宋体" w:eastAsia="宋体" w:cs="宋体"/>
          <w:color w:val="auto"/>
          <w:position w:val="-94"/>
        </w:rPr>
      </w:pPr>
      <w:r>
        <w:rPr>
          <w:rFonts w:hint="eastAsia" w:ascii="宋体" w:hAnsi="宋体" w:eastAsia="宋体" w:cs="宋体"/>
          <w:color w:val="auto"/>
          <w:position w:val="-94"/>
        </w:rPr>
        <w:drawing>
          <wp:inline distT="0" distB="0" distL="114300" distR="114300">
            <wp:extent cx="5328920" cy="3006725"/>
            <wp:effectExtent l="0" t="0" r="5080" b="3175"/>
            <wp:docPr id="26" name="图片 13"/>
            <wp:cNvGraphicFramePr/>
            <a:graphic xmlns:a="http://schemas.openxmlformats.org/drawingml/2006/main">
              <a:graphicData uri="http://schemas.openxmlformats.org/drawingml/2006/picture">
                <pic:pic xmlns:pic="http://schemas.openxmlformats.org/drawingml/2006/picture">
                  <pic:nvPicPr>
                    <pic:cNvPr id="26" name="图片 13"/>
                    <pic:cNvPicPr/>
                  </pic:nvPicPr>
                  <pic:blipFill>
                    <a:blip r:embed="rId49"/>
                    <a:stretch>
                      <a:fillRect/>
                    </a:stretch>
                  </pic:blipFill>
                  <pic:spPr>
                    <a:xfrm>
                      <a:off x="0" y="0"/>
                      <a:ext cx="5328920" cy="3006725"/>
                    </a:xfrm>
                    <a:prstGeom prst="rect">
                      <a:avLst/>
                    </a:prstGeom>
                    <a:noFill/>
                    <a:ln>
                      <a:noFill/>
                    </a:ln>
                  </pic:spPr>
                </pic:pic>
              </a:graphicData>
            </a:graphic>
          </wp:inline>
        </w:drawing>
      </w:r>
    </w:p>
    <w:p w14:paraId="0CB59800">
      <w:pPr>
        <w:keepNext w:val="0"/>
        <w:keepLines w:val="0"/>
        <w:pageBreakBefore w:val="0"/>
        <w:kinsoku/>
        <w:wordWrap w:val="0"/>
        <w:overflowPunct/>
        <w:topLinePunct/>
        <w:autoSpaceDE/>
        <w:autoSpaceDN/>
        <w:bidi w:val="0"/>
        <w:jc w:val="both"/>
        <w:rPr>
          <w:rFonts w:hint="eastAsia" w:ascii="宋体" w:hAnsi="宋体" w:eastAsia="宋体" w:cs="宋体"/>
          <w:color w:val="auto"/>
        </w:rPr>
      </w:pPr>
    </w:p>
    <w:p w14:paraId="6A85E359">
      <w:pPr>
        <w:keepNext w:val="0"/>
        <w:keepLines w:val="0"/>
        <w:pageBreakBefore w:val="0"/>
        <w:kinsoku/>
        <w:wordWrap w:val="0"/>
        <w:overflowPunct/>
        <w:topLinePunct/>
        <w:autoSpaceDE/>
        <w:autoSpaceDN/>
        <w:bidi w:val="0"/>
        <w:jc w:val="both"/>
        <w:rPr>
          <w:rFonts w:hint="eastAsia" w:ascii="宋体" w:hAnsi="宋体" w:eastAsia="宋体" w:cs="宋体"/>
          <w:color w:val="auto"/>
        </w:rPr>
      </w:pPr>
    </w:p>
    <w:p w14:paraId="4B29548C">
      <w:pPr>
        <w:keepNext w:val="0"/>
        <w:keepLines w:val="0"/>
        <w:pageBreakBefore w:val="0"/>
        <w:kinsoku/>
        <w:wordWrap w:val="0"/>
        <w:overflowPunct/>
        <w:topLinePunct/>
        <w:autoSpaceDE/>
        <w:autoSpaceDN/>
        <w:bidi w:val="0"/>
        <w:jc w:val="both"/>
        <w:rPr>
          <w:rFonts w:hint="eastAsia" w:ascii="宋体" w:hAnsi="宋体" w:eastAsia="宋体" w:cs="宋体"/>
          <w:color w:val="auto"/>
        </w:rPr>
      </w:pPr>
    </w:p>
    <w:p w14:paraId="2C0E5BA0">
      <w:pPr>
        <w:keepNext w:val="0"/>
        <w:keepLines w:val="0"/>
        <w:pageBreakBefore w:val="0"/>
        <w:kinsoku/>
        <w:wordWrap w:val="0"/>
        <w:overflowPunct/>
        <w:topLinePunct/>
        <w:autoSpaceDE/>
        <w:autoSpaceDN/>
        <w:bidi w:val="0"/>
        <w:jc w:val="both"/>
        <w:rPr>
          <w:rFonts w:hint="eastAsia" w:ascii="宋体" w:hAnsi="宋体" w:eastAsia="宋体" w:cs="宋体"/>
          <w:color w:val="auto"/>
        </w:rPr>
      </w:pPr>
    </w:p>
    <w:p w14:paraId="14229837">
      <w:pPr>
        <w:keepNext w:val="0"/>
        <w:keepLines w:val="0"/>
        <w:pageBreakBefore w:val="0"/>
        <w:kinsoku/>
        <w:wordWrap w:val="0"/>
        <w:overflowPunct/>
        <w:topLinePunct/>
        <w:autoSpaceDE/>
        <w:autoSpaceDN/>
        <w:bidi w:val="0"/>
        <w:jc w:val="both"/>
        <w:rPr>
          <w:rFonts w:hint="eastAsia" w:ascii="宋体" w:hAnsi="宋体" w:eastAsia="宋体" w:cs="宋体"/>
          <w:color w:val="auto"/>
        </w:rPr>
      </w:pPr>
    </w:p>
    <w:p w14:paraId="1370AF13">
      <w:pPr>
        <w:keepNext w:val="0"/>
        <w:keepLines w:val="0"/>
        <w:pageBreakBefore w:val="0"/>
        <w:kinsoku/>
        <w:wordWrap w:val="0"/>
        <w:overflowPunct/>
        <w:topLinePunct/>
        <w:autoSpaceDE/>
        <w:autoSpaceDN/>
        <w:bidi w:val="0"/>
        <w:jc w:val="both"/>
        <w:rPr>
          <w:rFonts w:hint="eastAsia" w:ascii="宋体" w:hAnsi="宋体" w:eastAsia="宋体" w:cs="宋体"/>
          <w:color w:val="auto"/>
          <w:highlight w:val="none"/>
        </w:rPr>
      </w:pPr>
    </w:p>
    <w:p w14:paraId="6DC25074">
      <w:pPr>
        <w:keepNext w:val="0"/>
        <w:keepLines w:val="0"/>
        <w:pageBreakBefore w:val="0"/>
        <w:widowControl/>
        <w:kinsoku/>
        <w:wordWrap w:val="0"/>
        <w:overflowPunct/>
        <w:topLinePunct/>
        <w:autoSpaceDE/>
        <w:autoSpaceDN/>
        <w:bidi w:val="0"/>
        <w:adjustRightInd w:val="0"/>
        <w:snapToGrid w:val="0"/>
        <w:spacing w:before="79" w:line="219" w:lineRule="auto"/>
        <w:ind w:left="565"/>
        <w:jc w:val="both"/>
        <w:textAlignment w:val="baseline"/>
        <w:rPr>
          <w:rFonts w:hint="eastAsia" w:ascii="宋体" w:hAnsi="宋体" w:eastAsia="宋体" w:cs="宋体"/>
          <w:color w:val="auto"/>
          <w:sz w:val="28"/>
          <w:szCs w:val="28"/>
        </w:rPr>
      </w:pPr>
    </w:p>
    <w:sectPr>
      <w:footerReference r:id="rId35" w:type="default"/>
      <w:pgSz w:w="11906" w:h="16838"/>
      <w:pgMar w:top="1440" w:right="1080" w:bottom="1440" w:left="108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0202">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3011805</wp:posOffset>
              </wp:positionH>
              <wp:positionV relativeFrom="paragraph">
                <wp:posOffset>-46990</wp:posOffset>
              </wp:positionV>
              <wp:extent cx="308610" cy="18542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30861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527F2">
                          <w:pPr>
                            <w:pStyle w:val="9"/>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7.15pt;margin-top:-3.7pt;height:14.6pt;width:24.3pt;mso-position-horizontal-relative:margin;z-index:251659264;mso-width-relative:page;mso-height-relative:page;" filled="f" stroked="f" coordsize="21600,21600" o:gfxdata="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4bDU12QAAAAkBAAAPAAAAAAAAAAEAIAAAACIAAABkcnMvZG93&#10;bnJldi54bWxQSwECFAAUAAAACACHTuJAlHOQ4zgCAABjBAAADgAAAAAAAAABACAAAAAoAQAAZHJz&#10;L2Uyb0RvYy54bWxQSwUGAAAAAAYABgBZAQAA0gUAAAAA&#10;">
              <v:fill on="f" focussize="0,0"/>
              <v:stroke on="f" weight="0.5pt"/>
              <v:imagedata o:title=""/>
              <o:lock v:ext="edit" aspectratio="f"/>
              <v:textbox inset="0mm,0mm,0mm,0mm">
                <w:txbxContent>
                  <w:p w14:paraId="5F0527F2">
                    <w:pPr>
                      <w:pStyle w:val="9"/>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8691">
    <w:pPr>
      <w:pStyle w:val="31"/>
      <w:tabs>
        <w:tab w:val="center" w:pos="4536"/>
        <w:tab w:val="right" w:pos="9072"/>
        <w:tab w:val="clear" w:pos="4153"/>
        <w:tab w:val="clear" w:pos="8306"/>
      </w:tabs>
      <w:rPr>
        <w:rFonts w:ascii="宋体" w:hAnsi="宋体" w:eastAsia="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0547B8">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0547B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CCA9">
    <w:pPr>
      <w:pStyle w:val="31"/>
      <w:tabs>
        <w:tab w:val="center" w:pos="4535"/>
        <w:tab w:val="right" w:pos="9070"/>
        <w:tab w:val="clear" w:pos="4153"/>
        <w:tab w:val="clear" w:pos="8306"/>
      </w:tabs>
      <w:ind w:right="-2"/>
      <w:rPr>
        <w:rFonts w:ascii="宋体" w:hAnsi="宋体" w:eastAsia="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9809C">
                          <w:pPr>
                            <w:pStyle w:val="9"/>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BE9809C">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B390">
    <w:pPr>
      <w:pStyle w:val="31"/>
      <w:tabs>
        <w:tab w:val="center" w:pos="4535"/>
        <w:tab w:val="right" w:pos="9070"/>
        <w:tab w:val="clear" w:pos="4153"/>
        <w:tab w:val="clear" w:pos="8306"/>
      </w:tabs>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1B4CD2">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91B4CD2">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2929">
    <w:pPr>
      <w:pStyle w:val="31"/>
      <w:tabs>
        <w:tab w:val="center" w:pos="7088"/>
        <w:tab w:val="right" w:pos="14002"/>
        <w:tab w:val="clear" w:pos="4153"/>
        <w:tab w:val="clear" w:pos="8306"/>
      </w:tabs>
      <w:rPr>
        <w:rFonts w:ascii="宋体" w:hAnsi="宋体" w:eastAsia="宋体"/>
      </w:rPr>
    </w:pPr>
    <w:r>
      <w:rPr>
        <w:rFonts w:hint="eastAsia" w:ascii="宋体" w:hAnsi="宋体" w:eastAsia="宋体"/>
        <w:lang w:eastAsia="zh-CN"/>
      </w:rPr>
      <w:t>陕西新胜项目管理有限公司</w:t>
    </w:r>
    <w:r>
      <w:rPr>
        <w:rFonts w:ascii="宋体" w:hAnsi="宋体" w:eastAsia="宋体"/>
      </w:rPr>
      <w:tab/>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hint="eastAsia" w:ascii="宋体" w:hAnsi="宋体" w:eastAsia="宋体"/>
      </w:rPr>
      <w:t>页共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hint="eastAsia" w:ascii="宋体" w:hAnsi="宋体" w:eastAsia="宋体"/>
      </w:rPr>
      <w:t>页</w:t>
    </w:r>
    <w:r>
      <w:rPr>
        <w:rFonts w:ascii="宋体" w:hAnsi="宋体" w:eastAsia="宋体"/>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3DDC">
    <w:pPr>
      <w:pStyle w:val="31"/>
      <w:tabs>
        <w:tab w:val="center" w:pos="4536"/>
        <w:tab w:val="right" w:pos="9072"/>
        <w:tab w:val="clear" w:pos="4153"/>
        <w:tab w:val="clear" w:pos="8306"/>
      </w:tabs>
      <w:ind w:right="-2"/>
      <w:rPr>
        <w:rFonts w:ascii="宋体" w:hAnsi="宋体" w:eastAsia="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28555">
                          <w:pPr>
                            <w:pStyle w:val="9"/>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5C28555">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5F0">
    <w:pPr>
      <w:pStyle w:val="31"/>
      <w:tabs>
        <w:tab w:val="center" w:pos="4536"/>
        <w:tab w:val="right" w:pos="9072"/>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1DBD9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161DBD9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416B">
    <w:pPr>
      <w:pBdr>
        <w:top w:val="none" w:color="auto" w:sz="0" w:space="0"/>
        <w:left w:val="none" w:color="auto" w:sz="0" w:space="0"/>
        <w:bottom w:val="none" w:color="auto" w:sz="0" w:space="0"/>
        <w:right w:val="none" w:color="auto" w:sz="0" w:space="0"/>
        <w:between w:val="none" w:color="auto" w:sz="0" w:space="0"/>
      </w:pBd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45BE6">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2B45BE6">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BDF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CE48">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75FFCE48">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4250">
    <w:pPr>
      <w:pBdr>
        <w:top w:val="none" w:color="auto" w:sz="0" w:space="0"/>
        <w:left w:val="none" w:color="auto" w:sz="0" w:space="0"/>
        <w:bottom w:val="none" w:color="auto" w:sz="0" w:space="0"/>
        <w:right w:val="none" w:color="auto" w:sz="0" w:space="0"/>
        <w:between w:val="none" w:color="auto" w:sz="0" w:space="0"/>
      </w:pBd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posOffset>2641600</wp:posOffset>
              </wp:positionH>
              <wp:positionV relativeFrom="paragraph">
                <wp:posOffset>0</wp:posOffset>
              </wp:positionV>
              <wp:extent cx="205105" cy="17081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05105" cy="170815"/>
                      </a:xfrm>
                      <a:prstGeom prst="rect">
                        <a:avLst/>
                      </a:prstGeom>
                      <a:noFill/>
                      <a:ln>
                        <a:noFill/>
                      </a:ln>
                    </wps:spPr>
                    <wps:txbx>
                      <w:txbxContent>
                        <w:p w14:paraId="19359363">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08pt;margin-top:0pt;height:13.45pt;width:16.15pt;mso-position-horizontal-relative:margin;z-index:251668480;mso-width-relative:page;mso-height-relative:page;" filled="f" stroked="f" coordsize="21600,21600" o:gfxdata="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WVPxzYAAAABwEAAA8AAAAAAAAAAQAgAAAAIgAAAGRycy9kb3ducmV2LnhtbFBLAQIU&#10;ABQAAAAIAIdO4kBqIE4QugEAAHMDAAAOAAAAAAAAAAEAIAAAACcBAABkcnMvZTJvRG9jLnhtbFBL&#10;BQYAAAAABgAGAFkBAABTBQAAAAA=&#10;">
              <v:fill on="f" focussize="0,0"/>
              <v:stroke on="f"/>
              <v:imagedata o:title=""/>
              <o:lock v:ext="edit" aspectratio="f"/>
              <v:textbox inset="0mm,0mm,0mm,0mm">
                <w:txbxContent>
                  <w:p w14:paraId="19359363">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170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posOffset>2512695</wp:posOffset>
              </wp:positionH>
              <wp:positionV relativeFrom="paragraph">
                <wp:posOffset>-10795</wp:posOffset>
              </wp:positionV>
              <wp:extent cx="325755" cy="1708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5755" cy="170815"/>
                      </a:xfrm>
                      <a:prstGeom prst="rect">
                        <a:avLst/>
                      </a:prstGeom>
                      <a:noFill/>
                      <a:ln>
                        <a:noFill/>
                      </a:ln>
                    </wps:spPr>
                    <wps:txbx>
                      <w:txbxContent>
                        <w:p w14:paraId="765780BB">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112</w:t>
                          </w:r>
                          <w:r>
                            <w:fldChar w:fldCharType="end"/>
                          </w:r>
                        </w:p>
                      </w:txbxContent>
                    </wps:txbx>
                    <wps:bodyPr lIns="0" tIns="0" rIns="0" bIns="0" upright="0"/>
                  </wps:wsp>
                </a:graphicData>
              </a:graphic>
            </wp:anchor>
          </w:drawing>
        </mc:Choice>
        <mc:Fallback>
          <w:pict>
            <v:shape id="_x0000_s1026" o:spid="_x0000_s1026" o:spt="202" type="#_x0000_t202" style="position:absolute;left:0pt;margin-left:197.85pt;margin-top:-0.85pt;height:13.45pt;width:25.65pt;mso-position-horizontal-relative:margin;z-index:251669504;mso-width-relative:page;mso-height-relative:page;" filled="f" stroked="f" coordsize="21600,21600" o:gfxdata="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z2rW9kAAAAJAQAADwAAAAAAAAABACAAAAAiAAAAZHJzL2Rvd25yZXYueG1sUEsB&#10;AhQAFAAAAAgAh07iQJR4YAW7AQAAcwMAAA4AAAAAAAAAAQAgAAAAKAEAAGRycy9lMm9Eb2MueG1s&#10;UEsFBgAAAAAGAAYAWQEAAFUFAAAAAA==&#10;">
              <v:fill on="f" focussize="0,0"/>
              <v:stroke on="f"/>
              <v:imagedata o:title=""/>
              <o:lock v:ext="edit" aspectratio="f"/>
              <v:textbox inset="0mm,0mm,0mm,0mm">
                <w:txbxContent>
                  <w:p w14:paraId="765780BB">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1D8E">
    <w:pPr>
      <w:spacing w:line="173"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2948305</wp:posOffset>
              </wp:positionH>
              <wp:positionV relativeFrom="paragraph">
                <wp:posOffset>-78740</wp:posOffset>
              </wp:positionV>
              <wp:extent cx="228600" cy="13716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2860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50FD4">
                          <w:pPr>
                            <w:pStyle w:val="9"/>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2.15pt;margin-top:-6.2pt;height:10.8pt;width:18pt;mso-position-horizontal-relative:margin;z-index:251660288;mso-width-relative:page;mso-height-relative:page;" filled="f" stroked="f" coordsize="21600,21600" o:gfxdata="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aB2RHYAAAACQEAAA8AAAAAAAAAAQAgAAAAIgAAAGRycy9kb3du&#10;cmV2LnhtbFBLAQIUABQAAAAIAIdO4kB8XcCGOAIAAGMEAAAOAAAAAAAAAAEAIAAAACcBAABkcnMv&#10;ZTJvRG9jLnhtbFBLBQYAAAAABgAGAFkBAADRBQAAAAA=&#10;">
              <v:fill on="f" focussize="0,0"/>
              <v:stroke on="f" weight="0.5pt"/>
              <v:imagedata o:title=""/>
              <o:lock v:ext="edit" aspectratio="f"/>
              <v:textbox inset="0mm,0mm,0mm,0mm">
                <w:txbxContent>
                  <w:p w14:paraId="11950FD4">
                    <w:pPr>
                      <w:pStyle w:val="9"/>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1107">
    <w:pPr>
      <w:pBdr>
        <w:top w:val="none" w:color="auto" w:sz="0" w:space="0"/>
        <w:left w:val="none" w:color="auto" w:sz="0" w:space="0"/>
        <w:bottom w:val="none" w:color="auto" w:sz="0" w:space="0"/>
        <w:right w:val="none" w:color="auto" w:sz="0" w:space="0"/>
        <w:between w:val="none" w:color="auto" w:sz="0" w:space="0"/>
      </w:pBd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84330">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6D984330">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5CEE">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63730C">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7C63730C">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0AA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5D84D">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445D84D">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5096">
    <w:pPr>
      <w:spacing w:line="176" w:lineRule="auto"/>
      <w:ind w:left="44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1CC2A">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F71CC2A">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C5B7">
    <w:pPr>
      <w:spacing w:line="176" w:lineRule="auto"/>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39188">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2C39188">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7208F">
    <w:pPr>
      <w:pStyle w:val="9"/>
      <w:pBdr>
        <w:top w:val="none" w:color="auto" w:sz="0" w:space="1"/>
        <w:left w:val="none" w:color="auto" w:sz="0" w:space="0"/>
        <w:bottom w:val="none" w:color="auto" w:sz="0" w:space="0"/>
        <w:right w:val="none" w:color="auto" w:sz="0" w:space="0"/>
        <w:between w:val="none" w:color="auto" w:sz="0" w:space="0"/>
      </w:pBdr>
      <w:rPr>
        <w:u w:val="non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E61F0">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ACE61F0">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31B0">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F4D9">
    <w:pPr>
      <w:pStyle w:val="9"/>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B691FD">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B691FD">
                    <w:pPr>
                      <w:pStyle w:val="9"/>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637C">
    <w:pPr>
      <w:spacing w:line="176" w:lineRule="auto"/>
      <w:ind w:left="4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0A62F">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BE0A62F">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2CF6">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BDCEB">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4FBDCEB">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4D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B33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8C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89B7">
    <w:pPr>
      <w:spacing w:before="15" w:line="193" w:lineRule="auto"/>
      <w:ind w:left="7"/>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2178">
    <w:pPr>
      <w:pStyle w:val="32"/>
      <w:pBdr>
        <w:bottom w:val="none" w:color="auto" w:sz="0" w:space="1"/>
      </w:pBdr>
      <w:tabs>
        <w:tab w:val="clear" w:pos="4153"/>
        <w:tab w:val="clear" w:pos="8306"/>
      </w:tabs>
      <w:jc w:val="right"/>
      <w:rPr>
        <w:rFonts w:hint="eastAsia" w:ascii="宋体" w:hAnsi="宋体"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0B25">
    <w:pPr>
      <w:pStyle w:val="32"/>
      <w:tabs>
        <w:tab w:val="clear" w:pos="4153"/>
        <w:tab w:val="clear" w:pos="8306"/>
      </w:tabs>
      <w:jc w:val="left"/>
      <w:rPr>
        <w:rFonts w:hint="eastAsia" w:ascii="宋体" w:hAnsi="宋体" w:eastAsia="宋体"/>
        <w:lang w:eastAsia="zh-CN"/>
      </w:rPr>
    </w:pPr>
    <w:r>
      <w:rPr>
        <w:rFonts w:hint="eastAsia" w:ascii="宋体" w:hAnsi="宋体" w:eastAsia="宋体"/>
        <w:lang w:eastAsia="zh-CN"/>
      </w:rPr>
      <w:t>吴堡县水资源调查评价与开发利用规划报告编制服务项目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9953">
    <w:pPr>
      <w:pStyle w:val="32"/>
      <w:pBdr>
        <w:bottom w:val="none" w:color="auto" w:sz="0" w:space="1"/>
      </w:pBdr>
      <w:tabs>
        <w:tab w:val="clear" w:pos="4153"/>
        <w:tab w:val="clear" w:pos="8306"/>
      </w:tabs>
      <w:jc w:val="right"/>
      <w:rPr>
        <w:rFonts w:hint="eastAsia" w:ascii="宋体" w:hAnsi="宋体"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9FA6">
    <w:pPr>
      <w:pStyle w:val="32"/>
      <w:tabs>
        <w:tab w:val="clear" w:pos="4153"/>
        <w:tab w:val="clear" w:pos="8306"/>
      </w:tabs>
      <w:jc w:val="left"/>
      <w:rPr>
        <w:rFonts w:hint="eastAsia" w:ascii="宋体" w:hAnsi="宋体" w:eastAsia="宋体"/>
        <w:lang w:eastAsia="zh-CN"/>
      </w:rPr>
    </w:pPr>
    <w:r>
      <w:rPr>
        <w:rFonts w:hint="eastAsia" w:ascii="宋体" w:hAnsi="宋体" w:eastAsia="宋体"/>
        <w:lang w:eastAsia="zh-CN"/>
      </w:rPr>
      <w:t>吴堡县水资源调查评价与开发利用规划报告编制服务项目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CA40">
    <w:pPr>
      <w:spacing w:line="178" w:lineRule="auto"/>
      <w:rPr>
        <w:rFonts w:ascii="仿宋" w:hAnsi="仿宋" w:eastAsia="仿宋" w:cs="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952C9"/>
    <w:multiLevelType w:val="singleLevel"/>
    <w:tmpl w:val="AF6952C9"/>
    <w:lvl w:ilvl="0" w:tentative="0">
      <w:start w:val="1"/>
      <w:numFmt w:val="chineseCounting"/>
      <w:suff w:val="nothing"/>
      <w:lvlText w:val="%1、"/>
      <w:lvlJc w:val="left"/>
      <w:rPr>
        <w:rFonts w:hint="eastAsia"/>
      </w:rPr>
    </w:lvl>
  </w:abstractNum>
  <w:abstractNum w:abstractNumId="1">
    <w:nsid w:val="CCE9C67A"/>
    <w:multiLevelType w:val="singleLevel"/>
    <w:tmpl w:val="CCE9C67A"/>
    <w:lvl w:ilvl="0" w:tentative="0">
      <w:start w:val="7"/>
      <w:numFmt w:val="chineseCounting"/>
      <w:suff w:val="nothing"/>
      <w:lvlText w:val="%1、"/>
      <w:lvlJc w:val="left"/>
      <w:rPr>
        <w:rFonts w:hint="eastAsia"/>
      </w:rPr>
    </w:lvl>
  </w:abstractNum>
  <w:abstractNum w:abstractNumId="2">
    <w:nsid w:val="D88A76C0"/>
    <w:multiLevelType w:val="singleLevel"/>
    <w:tmpl w:val="D88A76C0"/>
    <w:lvl w:ilvl="0" w:tentative="0">
      <w:start w:val="8"/>
      <w:numFmt w:val="decimal"/>
      <w:suff w:val="nothing"/>
      <w:lvlText w:val="%1、"/>
      <w:lvlJc w:val="left"/>
    </w:lvl>
  </w:abstractNum>
  <w:abstractNum w:abstractNumId="3">
    <w:nsid w:val="3999620F"/>
    <w:multiLevelType w:val="singleLevel"/>
    <w:tmpl w:val="3999620F"/>
    <w:lvl w:ilvl="0" w:tentative="0">
      <w:start w:val="1"/>
      <w:numFmt w:val="upperLetter"/>
      <w:pStyle w:val="3"/>
      <w:lvlText w:val="%1."/>
      <w:lvlJc w:val="left"/>
      <w:pPr>
        <w:tabs>
          <w:tab w:val="left" w:pos="2085"/>
        </w:tabs>
        <w:ind w:left="1989" w:hanging="285"/>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IzMzhjMDJkOTgyZjRkOGE5MmRjZmMyYTQxNTY0NzIifQ=="/>
  </w:docVars>
  <w:rsids>
    <w:rsidRoot w:val="00000000"/>
    <w:rsid w:val="00774EF3"/>
    <w:rsid w:val="00814795"/>
    <w:rsid w:val="01080EC8"/>
    <w:rsid w:val="013C690E"/>
    <w:rsid w:val="014B6167"/>
    <w:rsid w:val="0227136C"/>
    <w:rsid w:val="02B44EA9"/>
    <w:rsid w:val="038D16A3"/>
    <w:rsid w:val="04227975"/>
    <w:rsid w:val="06257970"/>
    <w:rsid w:val="06996DAB"/>
    <w:rsid w:val="06CC7540"/>
    <w:rsid w:val="077C5CB6"/>
    <w:rsid w:val="07807554"/>
    <w:rsid w:val="0BCE4CA2"/>
    <w:rsid w:val="0CD10E0A"/>
    <w:rsid w:val="0D40647F"/>
    <w:rsid w:val="0E884F40"/>
    <w:rsid w:val="0F196831"/>
    <w:rsid w:val="0F3A448D"/>
    <w:rsid w:val="0F931DEF"/>
    <w:rsid w:val="102E4A79"/>
    <w:rsid w:val="10E67785"/>
    <w:rsid w:val="114A472F"/>
    <w:rsid w:val="115A3AA6"/>
    <w:rsid w:val="11B60016"/>
    <w:rsid w:val="12D74513"/>
    <w:rsid w:val="13547AE7"/>
    <w:rsid w:val="14AC2405"/>
    <w:rsid w:val="14EF5D19"/>
    <w:rsid w:val="16247937"/>
    <w:rsid w:val="16A91EF8"/>
    <w:rsid w:val="19595E57"/>
    <w:rsid w:val="19730CA4"/>
    <w:rsid w:val="19C30915"/>
    <w:rsid w:val="1A0B426F"/>
    <w:rsid w:val="1A271AB1"/>
    <w:rsid w:val="1ADE2269"/>
    <w:rsid w:val="1B4B5C73"/>
    <w:rsid w:val="1B974A15"/>
    <w:rsid w:val="1EB43557"/>
    <w:rsid w:val="1F9A4AD4"/>
    <w:rsid w:val="200B5E17"/>
    <w:rsid w:val="20CF69FF"/>
    <w:rsid w:val="22E149D3"/>
    <w:rsid w:val="245317D2"/>
    <w:rsid w:val="24701A48"/>
    <w:rsid w:val="247561B2"/>
    <w:rsid w:val="25C36F86"/>
    <w:rsid w:val="28A644E9"/>
    <w:rsid w:val="29F23E8A"/>
    <w:rsid w:val="2B3B701B"/>
    <w:rsid w:val="2B7663F5"/>
    <w:rsid w:val="2BC35E3C"/>
    <w:rsid w:val="2C697D08"/>
    <w:rsid w:val="2C9B2F05"/>
    <w:rsid w:val="2DE327E6"/>
    <w:rsid w:val="2E1078A6"/>
    <w:rsid w:val="2EF72D4E"/>
    <w:rsid w:val="31C00650"/>
    <w:rsid w:val="32BD0DAD"/>
    <w:rsid w:val="32FC7B27"/>
    <w:rsid w:val="34655258"/>
    <w:rsid w:val="34B86EA4"/>
    <w:rsid w:val="34DB551B"/>
    <w:rsid w:val="34E143AD"/>
    <w:rsid w:val="355E0625"/>
    <w:rsid w:val="36251143"/>
    <w:rsid w:val="37824373"/>
    <w:rsid w:val="37FB6A6F"/>
    <w:rsid w:val="3C683B38"/>
    <w:rsid w:val="3D45031D"/>
    <w:rsid w:val="3D474095"/>
    <w:rsid w:val="3E0212F0"/>
    <w:rsid w:val="3E7A48AD"/>
    <w:rsid w:val="41AE46E3"/>
    <w:rsid w:val="41F74110"/>
    <w:rsid w:val="4258529E"/>
    <w:rsid w:val="42E2628A"/>
    <w:rsid w:val="434655D4"/>
    <w:rsid w:val="43B01D34"/>
    <w:rsid w:val="43BB7D65"/>
    <w:rsid w:val="440A5D1F"/>
    <w:rsid w:val="446D15D8"/>
    <w:rsid w:val="449851D6"/>
    <w:rsid w:val="476A10AC"/>
    <w:rsid w:val="497A134E"/>
    <w:rsid w:val="4B2556C2"/>
    <w:rsid w:val="4C012CC6"/>
    <w:rsid w:val="4CDD3511"/>
    <w:rsid w:val="4E281379"/>
    <w:rsid w:val="50CD4459"/>
    <w:rsid w:val="533C1422"/>
    <w:rsid w:val="53927B0A"/>
    <w:rsid w:val="54271FDF"/>
    <w:rsid w:val="545D5AF4"/>
    <w:rsid w:val="55FF259C"/>
    <w:rsid w:val="56B45CCF"/>
    <w:rsid w:val="572A0F3D"/>
    <w:rsid w:val="581035A9"/>
    <w:rsid w:val="59484FC5"/>
    <w:rsid w:val="59A3044D"/>
    <w:rsid w:val="59CB295B"/>
    <w:rsid w:val="5C231C63"/>
    <w:rsid w:val="5CF039A9"/>
    <w:rsid w:val="5CF46978"/>
    <w:rsid w:val="5F3F4D14"/>
    <w:rsid w:val="5F61108F"/>
    <w:rsid w:val="61BF394A"/>
    <w:rsid w:val="6428168A"/>
    <w:rsid w:val="65271F32"/>
    <w:rsid w:val="65597AD4"/>
    <w:rsid w:val="65705687"/>
    <w:rsid w:val="66003476"/>
    <w:rsid w:val="69B30239"/>
    <w:rsid w:val="6B6707F8"/>
    <w:rsid w:val="6CC4450B"/>
    <w:rsid w:val="6CE93F71"/>
    <w:rsid w:val="6D433682"/>
    <w:rsid w:val="71956E62"/>
    <w:rsid w:val="74E4574A"/>
    <w:rsid w:val="76F459ED"/>
    <w:rsid w:val="76F61765"/>
    <w:rsid w:val="77212C85"/>
    <w:rsid w:val="777F2CFB"/>
    <w:rsid w:val="7801371C"/>
    <w:rsid w:val="79BC7EA8"/>
    <w:rsid w:val="79E127B0"/>
    <w:rsid w:val="7A113E2E"/>
    <w:rsid w:val="7A9353D1"/>
    <w:rsid w:val="7AFF2DA8"/>
    <w:rsid w:val="7C464F3C"/>
    <w:rsid w:val="7CFD55D0"/>
    <w:rsid w:val="7E064CD2"/>
    <w:rsid w:val="7FF95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paragraph" w:styleId="3">
    <w:name w:val="heading 2"/>
    <w:basedOn w:val="1"/>
    <w:next w:val="1"/>
    <w:qFormat/>
    <w:uiPriority w:val="0"/>
    <w:pPr>
      <w:keepNext/>
      <w:numPr>
        <w:ilvl w:val="0"/>
        <w:numId w:val="1"/>
      </w:numPr>
      <w:outlineLvl w:val="1"/>
    </w:pPr>
    <w:rPr>
      <w:sz w:val="28"/>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autoRedefine/>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pacing w:line="360" w:lineRule="auto"/>
      <w:ind w:firstLine="617" w:firstLineChars="257"/>
    </w:pPr>
    <w:rPr>
      <w:rFonts w:ascii="仿宋_GB2312" w:hAnsi="Calibri" w:eastAsia="宋体" w:cs="Times New Roman"/>
      <w:sz w:val="24"/>
    </w:rPr>
  </w:style>
  <w:style w:type="paragraph" w:styleId="7">
    <w:name w:val="Plain Text"/>
    <w:basedOn w:val="1"/>
    <w:qFormat/>
    <w:uiPriority w:val="0"/>
    <w:rPr>
      <w:rFonts w:hAnsi="Courier New" w:cs="Courier New"/>
      <w:szCs w:val="21"/>
    </w:rPr>
  </w:style>
  <w:style w:type="paragraph" w:styleId="8">
    <w:name w:val="Date"/>
    <w:basedOn w:val="1"/>
    <w:next w:val="1"/>
    <w:qFormat/>
    <w:uiPriority w:val="0"/>
    <w:pPr>
      <w:spacing w:line="560" w:lineRule="exact"/>
      <w:ind w:left="0" w:leftChars="0"/>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left" w:pos="920"/>
        <w:tab w:val="right" w:leader="dot" w:pos="9060"/>
      </w:tabs>
      <w:spacing w:line="720" w:lineRule="auto"/>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3">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14">
    <w:name w:val="Body Text First Indent"/>
    <w:basedOn w:val="5"/>
    <w:unhideWhenUsed/>
    <w:qFormat/>
    <w:uiPriority w:val="0"/>
    <w:pPr>
      <w:spacing w:line="240" w:lineRule="auto"/>
      <w:ind w:firstLine="420" w:firstLineChars="100"/>
    </w:pPr>
    <w:rPr>
      <w:rFonts w:ascii="Times New Roman" w:hAnsi="Times New Roman"/>
      <w:sz w:val="18"/>
      <w:szCs w:val="18"/>
    </w:rPr>
  </w:style>
  <w:style w:type="paragraph" w:styleId="15">
    <w:name w:val="Body Text First Indent 2"/>
    <w:basedOn w:val="6"/>
    <w:next w:val="5"/>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qFormat/>
    <w:uiPriority w:val="0"/>
    <w:rPr>
      <w:color w:val="0000FF"/>
      <w:u w:val="none"/>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宋体" w:hAnsi="宋体" w:eastAsia="宋体" w:cs="宋体"/>
      <w:sz w:val="28"/>
      <w:szCs w:val="28"/>
      <w:lang w:val="en-US" w:eastAsia="en-US" w:bidi="ar-SA"/>
    </w:rPr>
  </w:style>
  <w:style w:type="paragraph" w:customStyle="1" w:styleId="23">
    <w:name w:val="BodyText"/>
    <w:basedOn w:val="1"/>
    <w:next w:val="1"/>
    <w:qFormat/>
    <w:uiPriority w:val="0"/>
    <w:pPr>
      <w:jc w:val="both"/>
      <w:textAlignment w:val="baseline"/>
    </w:pPr>
    <w:rPr>
      <w:rFonts w:ascii="宋体" w:hAnsi="宋体" w:eastAsia="宋体"/>
      <w:kern w:val="2"/>
      <w:sz w:val="24"/>
      <w:szCs w:val="24"/>
      <w:lang w:val="zh-CN" w:eastAsia="zh-CN" w:bidi="zh-CN"/>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 w:type="paragraph" w:customStyle="1" w:styleId="27">
    <w:name w:val="正文文本首行缩进1"/>
    <w:basedOn w:val="5"/>
    <w:qFormat/>
    <w:uiPriority w:val="0"/>
    <w:pPr>
      <w:adjustRightInd w:val="0"/>
      <w:ind w:firstLine="420"/>
      <w:jc w:val="left"/>
      <w:textAlignment w:val="baseline"/>
    </w:pPr>
    <w:rPr>
      <w:kern w:val="0"/>
      <w:sz w:val="21"/>
    </w:rPr>
  </w:style>
  <w:style w:type="paragraph" w:customStyle="1" w:styleId="28">
    <w:name w:val="首行缩进"/>
    <w:basedOn w:val="1"/>
    <w:qFormat/>
    <w:uiPriority w:val="0"/>
    <w:pPr>
      <w:spacing w:line="360" w:lineRule="auto"/>
      <w:ind w:firstLine="480" w:firstLineChars="200"/>
    </w:pPr>
    <w:rPr>
      <w:sz w:val="24"/>
      <w:lang w:val="zh-CN"/>
    </w:rPr>
  </w:style>
  <w:style w:type="paragraph" w:customStyle="1" w:styleId="29">
    <w:name w:val="正文文本首行缩进"/>
    <w:basedOn w:val="5"/>
    <w:qFormat/>
    <w:uiPriority w:val="0"/>
    <w:pPr>
      <w:adjustRightInd w:val="0"/>
      <w:ind w:firstLine="420"/>
      <w:jc w:val="left"/>
      <w:textAlignment w:val="baseline"/>
    </w:pPr>
    <w:rPr>
      <w:kern w:val="0"/>
      <w:sz w:val="21"/>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页脚1"/>
    <w:basedOn w:val="1"/>
    <w:next w:val="9"/>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32">
    <w:name w:val="页眉1"/>
    <w:basedOn w:val="1"/>
    <w:next w:val="10"/>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33">
    <w:name w:val="标题 2（投标文件）"/>
    <w:basedOn w:val="3"/>
    <w:qFormat/>
    <w:uiPriority w:val="0"/>
    <w:pPr>
      <w:jc w:val="center"/>
    </w:pPr>
  </w:style>
  <w:style w:type="paragraph" w:customStyle="1" w:styleId="34">
    <w:name w:val="_Style 47"/>
    <w:basedOn w:val="1"/>
    <w:next w:val="35"/>
    <w:qFormat/>
    <w:uiPriority w:val="1"/>
    <w:pPr>
      <w:ind w:firstLine="420" w:firstLineChars="200"/>
    </w:pPr>
    <w:rPr>
      <w:szCs w:val="22"/>
    </w:rPr>
  </w:style>
  <w:style w:type="paragraph" w:styleId="35">
    <w:name w:val="List Paragraph"/>
    <w:basedOn w:val="1"/>
    <w:qFormat/>
    <w:uiPriority w:val="0"/>
    <w:pPr>
      <w:ind w:firstLine="420" w:firstLineChars="200"/>
    </w:pPr>
  </w:style>
  <w:style w:type="paragraph" w:customStyle="1" w:styleId="36">
    <w:name w:val="null3"/>
    <w:qFormat/>
    <w:uiPriority w:val="0"/>
    <w:rPr>
      <w:rFonts w:hint="eastAsia" w:ascii="Calibri" w:hAnsi="Calibri" w:eastAsia="宋体" w:cs="Times New Roman"/>
      <w:lang w:val="en-US" w:eastAsia="zh-Hans"/>
    </w:rPr>
  </w:style>
  <w:style w:type="character" w:customStyle="1" w:styleId="37">
    <w:name w:val="font61"/>
    <w:basedOn w:val="18"/>
    <w:qFormat/>
    <w:uiPriority w:val="0"/>
    <w:rPr>
      <w:rFonts w:ascii="微软雅黑" w:hAnsi="微软雅黑" w:eastAsia="微软雅黑" w:cs="微软雅黑"/>
      <w:color w:val="000000"/>
      <w:sz w:val="24"/>
      <w:szCs w:val="24"/>
      <w:u w:val="none"/>
    </w:rPr>
  </w:style>
  <w:style w:type="character" w:customStyle="1" w:styleId="38">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footer" Target="footer1.xml"/><Relationship Id="rId49" Type="http://schemas.openxmlformats.org/officeDocument/2006/relationships/image" Target="media/image13.jpeg"/><Relationship Id="rId48" Type="http://schemas.openxmlformats.org/officeDocument/2006/relationships/image" Target="media/image12.jpeg"/><Relationship Id="rId47" Type="http://schemas.openxmlformats.org/officeDocument/2006/relationships/image" Target="media/image11.jpeg"/><Relationship Id="rId46" Type="http://schemas.openxmlformats.org/officeDocument/2006/relationships/image" Target="media/image10.jpeg"/><Relationship Id="rId45" Type="http://schemas.openxmlformats.org/officeDocument/2006/relationships/image" Target="media/image9.jpeg"/><Relationship Id="rId44" Type="http://schemas.openxmlformats.org/officeDocument/2006/relationships/image" Target="media/image8.jpeg"/><Relationship Id="rId43" Type="http://schemas.openxmlformats.org/officeDocument/2006/relationships/image" Target="media/image7.jpeg"/><Relationship Id="rId42" Type="http://schemas.openxmlformats.org/officeDocument/2006/relationships/image" Target="media/image6.jpeg"/><Relationship Id="rId41" Type="http://schemas.openxmlformats.org/officeDocument/2006/relationships/image" Target="media/image5.jpeg"/><Relationship Id="rId40" Type="http://schemas.openxmlformats.org/officeDocument/2006/relationships/image" Target="media/image4.jpeg"/><Relationship Id="rId4" Type="http://schemas.openxmlformats.org/officeDocument/2006/relationships/endnotes" Target="endnotes.xml"/><Relationship Id="rId39" Type="http://schemas.openxmlformats.org/officeDocument/2006/relationships/image" Target="media/image3.jpeg"/><Relationship Id="rId38" Type="http://schemas.openxmlformats.org/officeDocument/2006/relationships/image" Target="media/image2.jpeg"/><Relationship Id="rId37" Type="http://schemas.openxmlformats.org/officeDocument/2006/relationships/image" Target="media/image1.jpeg"/><Relationship Id="rId36" Type="http://schemas.openxmlformats.org/officeDocument/2006/relationships/theme" Target="theme/theme1.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25802</Words>
  <Characters>27700</Characters>
  <TotalTime>22</TotalTime>
  <ScaleCrop>false</ScaleCrop>
  <LinksUpToDate>false</LinksUpToDate>
  <CharactersWithSpaces>28589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2024-04-15T17:43:00Z</dcterms:created>
  <dc:creator>商振华</dc:creator>
  <cp:lastModifiedBy>标书制作</cp:lastModifiedBy>
  <cp:lastPrinted>2025-11-02T04:24:00Z</cp:lastPrinted>
  <dcterms:modified xsi:type="dcterms:W3CDTF">2025-11-04T09:10:03Z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2024-04-17T10:34:58Z</vt:filetime>
  </property>
  <property fmtid="{D5CDD505-2E9C-101B-9397-08002B2CF9AE}" pid="4" name="KSOProductBuildVer">
    <vt:lpwstr>2052-12.1.0.23542</vt:lpwstr>
  </property>
  <property fmtid="{D5CDD505-2E9C-101B-9397-08002B2CF9AE}" pid="5" name="ICV">
    <vt:lpwstr>E639007B956E456F80763A7AE8A764C2_12</vt:lpwstr>
  </property>
  <property fmtid="{D5CDD505-2E9C-101B-9397-08002B2CF9AE}" pid="6" name="KSOTemplateDocerSaveRecord">
    <vt:lpwstr>eyJoZGlkIjoiMmNjNGVkZTFlMjJmNDIwZDc0Yjk3ZGM5ZmRkOTY0OGUiLCJ1c2VySWQiOiIxMjgyOTIxNjU0In0=</vt:lpwstr>
  </property>
</Properties>
</file>