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71CE">
      <w:pPr>
        <w:pStyle w:val="2"/>
        <w:keepNext/>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color w:val="auto"/>
          <w:highlight w:val="none"/>
        </w:rPr>
      </w:pPr>
      <w:bookmarkStart w:id="0" w:name="_Toc317530110"/>
      <w:r>
        <w:rPr>
          <w:rFonts w:hint="eastAsia" w:ascii="仿宋" w:hAnsi="仿宋" w:eastAsia="仿宋" w:cs="仿宋"/>
          <w:b/>
          <w:color w:val="auto"/>
          <w:kern w:val="2"/>
          <w:sz w:val="36"/>
          <w:szCs w:val="36"/>
          <w:highlight w:val="none"/>
          <w:lang w:val="en-US" w:eastAsia="zh-CN" w:bidi="ar-SA"/>
        </w:rPr>
        <w:t>采购内容及服务要求</w:t>
      </w:r>
    </w:p>
    <w:p w14:paraId="75BCDD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val="en-US" w:eastAsia="zh-CN"/>
        </w:rPr>
        <w:t>项目概况</w:t>
      </w:r>
    </w:p>
    <w:bookmarkEnd w:id="0"/>
    <w:p w14:paraId="4F071C1D">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pacing w:val="0"/>
          <w:w w:val="100"/>
          <w:position w:val="0"/>
          <w:sz w:val="24"/>
          <w:szCs w:val="24"/>
          <w:highlight w:val="none"/>
        </w:rPr>
        <w:t>利用空气质量六项污染物和VOCs组分走航监测等多种技术手段，开展市区及周边污染物走航监测，建立区域内地理信息、常规污染物浓度、时间相关联的走航污染分布图，识别六项污染物和VOCs组分污染物高值区和高值方位，进行实时调度和数据分析研判，提出针对性的管控措施，为实现大气污染精细化管理提供重要技术支撑，进一步提升咸阳市生态环境监测“技防”和“人防”结合的能力。</w:t>
      </w:r>
    </w:p>
    <w:p w14:paraId="2C6A6444">
      <w:pPr>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二、服务期限及标准</w:t>
      </w:r>
    </w:p>
    <w:p w14:paraId="39BC2E2D">
      <w:pPr>
        <w:adjustRightInd w:val="0"/>
        <w:snapToGrid w:val="0"/>
        <w:spacing w:line="500" w:lineRule="exact"/>
        <w:ind w:firstLine="480" w:firstLineChars="200"/>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1.实施</w:t>
      </w:r>
      <w:r>
        <w:rPr>
          <w:rFonts w:hint="eastAsia" w:ascii="仿宋" w:hAnsi="仿宋" w:eastAsia="仿宋" w:cs="仿宋"/>
          <w:b w:val="0"/>
          <w:bCs w:val="0"/>
          <w:highlight w:val="none"/>
        </w:rPr>
        <w:t>期限：</w:t>
      </w:r>
      <w:r>
        <w:rPr>
          <w:rFonts w:hint="eastAsia" w:ascii="仿宋" w:hAnsi="仿宋" w:eastAsia="仿宋" w:cs="仿宋"/>
          <w:b w:val="0"/>
          <w:bCs w:val="0"/>
          <w:highlight w:val="none"/>
          <w:lang w:val="en-US" w:eastAsia="zh-CN"/>
        </w:rPr>
        <w:t>合同</w:t>
      </w:r>
      <w:r>
        <w:rPr>
          <w:rFonts w:hint="eastAsia" w:ascii="仿宋" w:hAnsi="仿宋" w:eastAsia="仿宋" w:cs="仿宋"/>
          <w:b w:val="0"/>
          <w:bCs w:val="0"/>
          <w:highlight w:val="none"/>
          <w:shd w:val="clear" w:color="auto" w:fill="FFFFFF"/>
          <w:lang w:eastAsia="zh-CN"/>
        </w:rPr>
        <w:t>签订之日起</w:t>
      </w:r>
      <w:r>
        <w:rPr>
          <w:rFonts w:hint="eastAsia" w:ascii="仿宋" w:hAnsi="仿宋" w:eastAsia="仿宋" w:cs="仿宋"/>
          <w:b w:val="0"/>
          <w:bCs w:val="0"/>
          <w:highlight w:val="none"/>
          <w:shd w:val="clear" w:color="auto" w:fill="FFFFFF"/>
          <w:lang w:val="en-US" w:eastAsia="zh-CN"/>
        </w:rPr>
        <w:t>一</w:t>
      </w:r>
      <w:r>
        <w:rPr>
          <w:rFonts w:hint="eastAsia" w:ascii="仿宋" w:hAnsi="仿宋" w:eastAsia="仿宋" w:cs="仿宋"/>
          <w:b w:val="0"/>
          <w:bCs w:val="0"/>
          <w:highlight w:val="none"/>
          <w:shd w:val="clear" w:color="auto" w:fill="FFFFFF"/>
          <w:lang w:eastAsia="zh-CN"/>
        </w:rPr>
        <w:t>年（</w:t>
      </w:r>
      <w:r>
        <w:rPr>
          <w:rFonts w:hint="eastAsia" w:ascii="仿宋" w:hAnsi="仿宋" w:eastAsia="仿宋" w:cs="仿宋"/>
          <w:b w:val="0"/>
          <w:bCs w:val="0"/>
          <w:highlight w:val="none"/>
          <w:shd w:val="clear" w:color="auto" w:fill="FFFFFF"/>
          <w:lang w:val="en-US" w:eastAsia="zh-CN"/>
        </w:rPr>
        <w:t>其中实际走航天数不少于180天</w:t>
      </w:r>
      <w:r>
        <w:rPr>
          <w:rFonts w:hint="eastAsia" w:ascii="仿宋" w:hAnsi="仿宋" w:eastAsia="仿宋" w:cs="仿宋"/>
          <w:b w:val="0"/>
          <w:bCs w:val="0"/>
          <w:highlight w:val="none"/>
          <w:shd w:val="clear" w:color="auto" w:fill="FFFFFF"/>
          <w:lang w:eastAsia="zh-CN"/>
        </w:rPr>
        <w:t>）</w:t>
      </w:r>
      <w:r>
        <w:rPr>
          <w:rFonts w:hint="eastAsia" w:ascii="仿宋" w:hAnsi="仿宋" w:eastAsia="仿宋" w:cs="仿宋"/>
          <w:b w:val="0"/>
          <w:bCs w:val="0"/>
          <w:highlight w:val="none"/>
        </w:rPr>
        <w:t>。</w:t>
      </w:r>
    </w:p>
    <w:p w14:paraId="2FE4D874">
      <w:pPr>
        <w:pStyle w:val="5"/>
        <w:ind w:firstLine="482"/>
        <w:rPr>
          <w:rFonts w:hint="eastAsia" w:ascii="仿宋" w:hAnsi="仿宋" w:eastAsia="仿宋" w:cs="仿宋"/>
          <w:lang w:val="en-US" w:eastAsia="zh-CN"/>
        </w:rPr>
      </w:pPr>
      <w:r>
        <w:rPr>
          <w:rFonts w:hint="eastAsia" w:ascii="仿宋" w:hAnsi="仿宋" w:eastAsia="仿宋" w:cs="仿宋"/>
          <w:b w:val="0"/>
          <w:bCs w:val="0"/>
          <w:highlight w:val="none"/>
          <w:lang w:val="en-US" w:eastAsia="zh-CN"/>
        </w:rPr>
        <w:t>2.</w:t>
      </w:r>
      <w:r>
        <w:rPr>
          <w:rFonts w:hint="eastAsia" w:ascii="仿宋" w:hAnsi="仿宋" w:eastAsia="仿宋" w:cs="仿宋"/>
          <w:lang w:val="en-US" w:eastAsia="zh-CN"/>
        </w:rPr>
        <w:t>技术成果质保期：自验收合格之日起1年。</w:t>
      </w:r>
    </w:p>
    <w:p w14:paraId="71BFEBAF">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lang w:val="en-US" w:eastAsia="zh-CN"/>
        </w:rPr>
        <w:t>3.质量标准：符合环境空气质量走航监测等现行国家及行业规范标准。</w:t>
      </w:r>
    </w:p>
    <w:p w14:paraId="5483F102">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right="0" w:rightChars="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pacing w:val="0"/>
          <w:w w:val="100"/>
          <w:position w:val="0"/>
          <w:sz w:val="24"/>
          <w:szCs w:val="24"/>
          <w:highlight w:val="none"/>
          <w:lang w:val="en-US" w:eastAsia="zh-CN"/>
        </w:rPr>
        <w:t>服务内容</w:t>
      </w:r>
    </w:p>
    <w:p w14:paraId="57D64643">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依据在咸阳市国控站点监测数据，结合气象、工业排污、扬尘、机动车排放等数据，利用统计数据分析方法、基于ArcGis的反距离加权插值法、CPF概率法等多种手段从时间和空间上分析全市空气质量数据，以图表的展现形式反映各站点监测因子的排放趋势对比分析、高值区域、重点突出排放特征等，确定常规污染物走航监测的重点区域、重点污染物。</w:t>
      </w:r>
    </w:p>
    <w:p w14:paraId="3CFB0E97">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通过开展市区及周边常规六项污染物（SO2、NO2、PM2.5、PM10、CO、O3）和VOCs组分的走航监测，建立区域内地理信息、常规污染物浓度、时间相关联的走航污染分布图，逐步排查污染源头，开展常规和应急走航巡查。主要包括常规污染物走航监测日常排查和专项排查。</w:t>
      </w:r>
    </w:p>
    <w:p w14:paraId="0A500BF5">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夏季时段对我市包装印刷、塑料制品、橡胶、工业涂装、石化、等行业以及兴化、台玻、长庆、电子等排放大户开展污染物针对性走航监测，分析企业周边浓度扩散和分布，发现问题企业、异常区域，明确马泉园区内、高新区内VOCs排放的特征组分的，溯源行业和企业，实现VOCs组分污染精准排查、精准打击和精准治理，逐步排查污染源头，建立高效的联动、责任传导工作机制。</w:t>
      </w:r>
    </w:p>
    <w:p w14:paraId="382F1374">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right="0" w:rightChars="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pacing w:val="0"/>
          <w:w w:val="100"/>
          <w:position w:val="0"/>
          <w:sz w:val="24"/>
          <w:szCs w:val="24"/>
          <w:highlight w:val="none"/>
          <w:lang w:val="en-US" w:eastAsia="zh-CN"/>
        </w:rPr>
        <w:t>服务要求</w:t>
      </w:r>
    </w:p>
    <w:p w14:paraId="157A5799">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2" w:firstLineChars="20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1.基本要求</w:t>
      </w:r>
    </w:p>
    <w:p w14:paraId="25C80515">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定期开展咸阳市辖区范围内常规走航及应急走航，对主城区、工业园区开展巡检模式，快速排查VOCs、CO、SO2、O3、NOx、PM10、PM2.5等污染因子整体分布及排放规律，对于重点污染区域，采取定点监测或进厂监测，锁定最终污染点位和来源。</w:t>
      </w:r>
    </w:p>
    <w:p w14:paraId="5683BC6A">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2"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2.具体实施要求</w:t>
      </w:r>
    </w:p>
    <w:p w14:paraId="02723DBB">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（1）区域常规污染物走航</w:t>
      </w:r>
    </w:p>
    <w:p w14:paraId="64237687">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将辖区区域按照尺度进行网格化细分，通过不同区域开展科学、系统的网格化走航，全面、快速、精准诊断VOCs、CO、SO2</w:t>
      </w:r>
      <w:r>
        <w:rPr>
          <w:rFonts w:hint="eastAsia" w:ascii="仿宋" w:hAnsi="仿宋" w:eastAsia="仿宋" w:cs="仿宋"/>
          <w:color w:val="auto"/>
          <w:spacing w:val="0"/>
          <w:w w:val="100"/>
          <w:position w:val="0"/>
          <w:sz w:val="24"/>
          <w:szCs w:val="24"/>
          <w:highlight w:val="none"/>
          <w:lang w:val="en-US" w:eastAsia="zh-CN"/>
        </w:rPr>
        <w:t>、</w:t>
      </w:r>
      <w:r>
        <w:rPr>
          <w:rFonts w:hint="default" w:ascii="仿宋" w:hAnsi="仿宋" w:eastAsia="仿宋" w:cs="仿宋"/>
          <w:color w:val="auto"/>
          <w:spacing w:val="0"/>
          <w:w w:val="100"/>
          <w:position w:val="0"/>
          <w:sz w:val="24"/>
          <w:szCs w:val="24"/>
          <w:highlight w:val="none"/>
          <w:lang w:val="en-US" w:eastAsia="zh-CN"/>
        </w:rPr>
        <w:t>O3</w:t>
      </w:r>
      <w:r>
        <w:rPr>
          <w:rFonts w:hint="eastAsia" w:ascii="仿宋" w:hAnsi="仿宋" w:eastAsia="仿宋" w:cs="仿宋"/>
          <w:color w:val="auto"/>
          <w:spacing w:val="0"/>
          <w:w w:val="100"/>
          <w:position w:val="0"/>
          <w:sz w:val="24"/>
          <w:szCs w:val="24"/>
          <w:highlight w:val="none"/>
          <w:lang w:val="en-US" w:eastAsia="zh-CN"/>
        </w:rPr>
        <w:t>、</w:t>
      </w:r>
      <w:r>
        <w:rPr>
          <w:rFonts w:hint="default" w:ascii="仿宋" w:hAnsi="仿宋" w:eastAsia="仿宋" w:cs="仿宋"/>
          <w:color w:val="auto"/>
          <w:spacing w:val="0"/>
          <w:w w:val="100"/>
          <w:position w:val="0"/>
          <w:sz w:val="24"/>
          <w:szCs w:val="24"/>
          <w:highlight w:val="none"/>
          <w:lang w:val="en-US" w:eastAsia="zh-CN"/>
        </w:rPr>
        <w:t>NOx</w:t>
      </w:r>
      <w:r>
        <w:rPr>
          <w:rFonts w:hint="eastAsia" w:ascii="仿宋" w:hAnsi="仿宋" w:eastAsia="仿宋" w:cs="仿宋"/>
          <w:color w:val="auto"/>
          <w:spacing w:val="0"/>
          <w:w w:val="100"/>
          <w:position w:val="0"/>
          <w:sz w:val="24"/>
          <w:szCs w:val="24"/>
          <w:highlight w:val="none"/>
          <w:lang w:val="en-US" w:eastAsia="zh-CN"/>
        </w:rPr>
        <w:t>、</w:t>
      </w:r>
      <w:r>
        <w:rPr>
          <w:rFonts w:hint="default" w:ascii="仿宋" w:hAnsi="仿宋" w:eastAsia="仿宋" w:cs="仿宋"/>
          <w:color w:val="auto"/>
          <w:spacing w:val="0"/>
          <w:w w:val="100"/>
          <w:position w:val="0"/>
          <w:sz w:val="24"/>
          <w:szCs w:val="24"/>
          <w:highlight w:val="none"/>
          <w:lang w:val="en-US" w:eastAsia="zh-CN"/>
        </w:rPr>
        <w:t>PM2.5</w:t>
      </w:r>
      <w:r>
        <w:rPr>
          <w:rFonts w:hint="eastAsia" w:ascii="仿宋" w:hAnsi="仿宋" w:eastAsia="仿宋" w:cs="仿宋"/>
          <w:color w:val="auto"/>
          <w:spacing w:val="0"/>
          <w:w w:val="100"/>
          <w:position w:val="0"/>
          <w:sz w:val="24"/>
          <w:szCs w:val="24"/>
          <w:highlight w:val="none"/>
          <w:lang w:val="en-US" w:eastAsia="zh-CN"/>
        </w:rPr>
        <w:t>、</w:t>
      </w:r>
      <w:r>
        <w:rPr>
          <w:rFonts w:hint="default" w:ascii="仿宋" w:hAnsi="仿宋" w:eastAsia="仿宋" w:cs="仿宋"/>
          <w:color w:val="auto"/>
          <w:spacing w:val="0"/>
          <w:w w:val="100"/>
          <w:position w:val="0"/>
          <w:sz w:val="24"/>
          <w:szCs w:val="24"/>
          <w:highlight w:val="none"/>
          <w:lang w:val="en-US" w:eastAsia="zh-CN"/>
        </w:rPr>
        <w:t>PM</w:t>
      </w:r>
      <w:r>
        <w:rPr>
          <w:rFonts w:hint="eastAsia" w:ascii="仿宋" w:hAnsi="仿宋" w:eastAsia="仿宋" w:cs="仿宋"/>
          <w:color w:val="auto"/>
          <w:spacing w:val="0"/>
          <w:w w:val="100"/>
          <w:position w:val="0"/>
          <w:sz w:val="24"/>
          <w:szCs w:val="24"/>
          <w:highlight w:val="none"/>
          <w:lang w:val="en-US" w:eastAsia="zh-CN"/>
        </w:rPr>
        <w:t>10</w:t>
      </w:r>
      <w:r>
        <w:rPr>
          <w:rFonts w:hint="default" w:ascii="仿宋" w:hAnsi="仿宋" w:eastAsia="仿宋" w:cs="仿宋"/>
          <w:color w:val="auto"/>
          <w:spacing w:val="0"/>
          <w:w w:val="100"/>
          <w:position w:val="0"/>
          <w:sz w:val="24"/>
          <w:szCs w:val="24"/>
          <w:highlight w:val="none"/>
          <w:lang w:val="en-US" w:eastAsia="zh-CN"/>
        </w:rPr>
        <w:t>等污染因子的整体分布情况，锁定重点污染区域</w:t>
      </w:r>
      <w:r>
        <w:rPr>
          <w:rFonts w:hint="eastAsia" w:ascii="仿宋" w:hAnsi="仿宋" w:eastAsia="仿宋" w:cs="仿宋"/>
          <w:color w:val="auto"/>
          <w:spacing w:val="0"/>
          <w:w w:val="100"/>
          <w:position w:val="0"/>
          <w:sz w:val="24"/>
          <w:szCs w:val="24"/>
          <w:highlight w:val="none"/>
          <w:lang w:val="en-US" w:eastAsia="zh-CN"/>
        </w:rPr>
        <w:t>，并将走航监测数据、污染气体浓度可实时回传至可视化分析平台</w:t>
      </w:r>
      <w:r>
        <w:rPr>
          <w:rFonts w:hint="default" w:ascii="仿宋" w:hAnsi="仿宋" w:eastAsia="仿宋" w:cs="仿宋"/>
          <w:color w:val="auto"/>
          <w:spacing w:val="0"/>
          <w:w w:val="100"/>
          <w:position w:val="0"/>
          <w:sz w:val="24"/>
          <w:szCs w:val="24"/>
          <w:highlight w:val="none"/>
          <w:lang w:val="en-US" w:eastAsia="zh-CN"/>
        </w:rPr>
        <w:t>建立区域内地理信息、常规污染物浓度、时间相关联的走航污染分布图</w:t>
      </w:r>
      <w:r>
        <w:rPr>
          <w:rFonts w:hint="eastAsia" w:ascii="仿宋" w:hAnsi="仿宋" w:eastAsia="仿宋" w:cs="仿宋"/>
          <w:color w:val="auto"/>
          <w:spacing w:val="0"/>
          <w:w w:val="100"/>
          <w:position w:val="0"/>
          <w:sz w:val="24"/>
          <w:szCs w:val="24"/>
          <w:highlight w:val="none"/>
          <w:lang w:val="en-US" w:eastAsia="zh-CN"/>
        </w:rPr>
        <w:t>，实时对走航数据做可视化展示。</w:t>
      </w:r>
    </w:p>
    <w:p w14:paraId="1DF9FD83">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lang w:val="en-US" w:eastAsia="zh-CN"/>
        </w:rPr>
        <w:t>高值区域识别</w:t>
      </w:r>
    </w:p>
    <w:p w14:paraId="2A784FD6">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根据区域常规污染物走航的结果，识别出六项污染物和VOCs污染物高值区，并进一步锁定该方位上的重点污染源，及时发现、记录、反馈，确保快速精准锁定污染源，便于现场立即整改</w:t>
      </w:r>
      <w:r>
        <w:rPr>
          <w:rFonts w:hint="eastAsia" w:ascii="仿宋" w:hAnsi="仿宋" w:eastAsia="仿宋" w:cs="仿宋"/>
          <w:color w:val="auto"/>
          <w:spacing w:val="0"/>
          <w:w w:val="100"/>
          <w:position w:val="0"/>
          <w:sz w:val="24"/>
          <w:szCs w:val="24"/>
          <w:highlight w:val="none"/>
          <w:lang w:val="en-US" w:eastAsia="zh-CN"/>
        </w:rPr>
        <w:t>。</w:t>
      </w:r>
    </w:p>
    <w:p w14:paraId="66C3DCE9">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w:t>
      </w:r>
      <w:r>
        <w:rPr>
          <w:rFonts w:hint="eastAsia" w:ascii="仿宋" w:hAnsi="仿宋" w:eastAsia="仿宋" w:cs="仿宋"/>
          <w:color w:val="auto"/>
          <w:spacing w:val="0"/>
          <w:w w:val="100"/>
          <w:position w:val="0"/>
          <w:sz w:val="24"/>
          <w:szCs w:val="24"/>
          <w:highlight w:val="none"/>
          <w:lang w:val="en-US" w:eastAsia="zh-CN"/>
        </w:rPr>
        <w:t>3</w:t>
      </w:r>
      <w:r>
        <w:rPr>
          <w:rFonts w:hint="default" w:ascii="仿宋" w:hAnsi="仿宋" w:eastAsia="仿宋" w:cs="仿宋"/>
          <w:color w:val="auto"/>
          <w:spacing w:val="0"/>
          <w:w w:val="100"/>
          <w:position w:val="0"/>
          <w:sz w:val="24"/>
          <w:szCs w:val="24"/>
          <w:highlight w:val="none"/>
          <w:lang w:val="en-US" w:eastAsia="zh-CN"/>
        </w:rPr>
        <w:t>）重点区域快速筛查</w:t>
      </w:r>
    </w:p>
    <w:p w14:paraId="646D2B1A">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配合政府部门专项行动，对建筑工地、道路、机动车、工业企业、餐饮、加油站、城中村、生物质和散煤禁燃区等大气污染防治重点区域开展走航监测，全面、快速、精准地展现城市中污染物高值区域。</w:t>
      </w:r>
    </w:p>
    <w:p w14:paraId="68770965">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w:t>
      </w:r>
      <w:r>
        <w:rPr>
          <w:rFonts w:hint="default" w:ascii="仿宋" w:hAnsi="仿宋" w:eastAsia="仿宋" w:cs="仿宋"/>
          <w:color w:val="auto"/>
          <w:spacing w:val="0"/>
          <w:w w:val="100"/>
          <w:position w:val="0"/>
          <w:sz w:val="24"/>
          <w:szCs w:val="24"/>
          <w:highlight w:val="none"/>
          <w:lang w:val="en-US" w:eastAsia="zh-CN"/>
        </w:rPr>
        <w:t>实时调度和分析研判</w:t>
      </w:r>
    </w:p>
    <w:p w14:paraId="78AA3B8D">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六项污染物、VOCs走航监测过程中污染物数据可实时回传至软件分析平台和服务器，监测人员通过后台的数据分析和现场走航人员拍照取证，即可快速锁定污染源类型和污染成因，实时调度和精准采取管控措施</w:t>
      </w:r>
    </w:p>
    <w:p w14:paraId="31F496AF">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（5）</w:t>
      </w:r>
      <w:r>
        <w:rPr>
          <w:rFonts w:hint="default" w:ascii="仿宋" w:hAnsi="仿宋" w:eastAsia="仿宋" w:cs="仿宋"/>
          <w:color w:val="auto"/>
          <w:spacing w:val="0"/>
          <w:w w:val="100"/>
          <w:position w:val="0"/>
          <w:sz w:val="24"/>
          <w:szCs w:val="24"/>
          <w:highlight w:val="none"/>
          <w:lang w:val="en-US" w:eastAsia="zh-CN"/>
        </w:rPr>
        <w:t>精准溯源</w:t>
      </w:r>
    </w:p>
    <w:p w14:paraId="0D3B3357">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针对高值点位精准溯源，及时分析研判走航时段和监测时段的特征污染情况，通过通讯软件向生态环境部门实时发布走航监测分析结果及巡查中发现的问题，及时进行调度排查，提出针对性的管控措施</w:t>
      </w:r>
      <w:r>
        <w:rPr>
          <w:rFonts w:hint="eastAsia" w:ascii="仿宋" w:hAnsi="仿宋" w:eastAsia="仿宋" w:cs="仿宋"/>
          <w:color w:val="auto"/>
          <w:spacing w:val="0"/>
          <w:w w:val="100"/>
          <w:position w:val="0"/>
          <w:sz w:val="24"/>
          <w:szCs w:val="24"/>
          <w:highlight w:val="none"/>
          <w:lang w:val="en-US" w:eastAsia="zh-CN"/>
        </w:rPr>
        <w:t>。</w:t>
      </w:r>
    </w:p>
    <w:p w14:paraId="7E5EC815">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2"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3.服务设备要求</w:t>
      </w:r>
    </w:p>
    <w:p w14:paraId="191F2908">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投标人针对本项目配备VOCs走航质谱分析仪、大气常规参数分析系统（包含：NOx分析仪、SO2分析仪、CO分析仪、O3分析仪、颗粒物分析仪）</w:t>
      </w:r>
      <w:r>
        <w:rPr>
          <w:rFonts w:hint="default" w:ascii="仿宋" w:hAnsi="仿宋" w:eastAsia="仿宋" w:cs="仿宋"/>
          <w:color w:val="auto"/>
          <w:spacing w:val="0"/>
          <w:w w:val="100"/>
          <w:position w:val="0"/>
          <w:sz w:val="24"/>
          <w:szCs w:val="24"/>
          <w:highlight w:val="none"/>
          <w:lang w:val="en-US" w:eastAsia="zh-CN"/>
        </w:rPr>
        <w:t>。</w:t>
      </w:r>
    </w:p>
    <w:p w14:paraId="06330867">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2"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4.人员要求</w:t>
      </w:r>
    </w:p>
    <w:p w14:paraId="33E7FC14">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投标人针对本项目至少配备8名现场服务人员:包含2名司机、4名跟车及现场核实技术人员、2名驻点对接技术人员。司机负责车辆安全驾驶、日常检查、维护保养及车辆调度与后勤保障；跟车人员配合司机完成车辆调度、实时记录并初步整理走航数据、协助现场核实技术人员开展环境监测工作，及时反馈现场情况，保障走航报告的准确性和完整性；现场核实技术人员负责现场环境的采样与监测工作，确保数据真实可靠；驻点对接技术人员负责与各监测点位的技术对接与协调，处理现场突发技术问题，配合完成数据汇总与报告撰写，确保数据准确性与完整性。</w:t>
      </w:r>
    </w:p>
    <w:p w14:paraId="02B00A21">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2"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5.质控要求</w:t>
      </w:r>
    </w:p>
    <w:p w14:paraId="5B86107C">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（1）定期对走航设备进行日常巡检，定期维护保养、校准、耗材的更换、故障检修等工作，确保仪器设备正常运行，数据质量可靠。</w:t>
      </w:r>
    </w:p>
    <w:p w14:paraId="2874F131">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（2）供应商需在走航监测服务方案中针对系统质控目标、质控内容以及质控频次等方面提供详细质控方案。</w:t>
      </w:r>
    </w:p>
    <w:p w14:paraId="789490E3">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走航监测和巡查响应要求：当需要进行走航监测和巡查时现场运维技术人员与司机在接到走航任务通知后24时内完成所有准备工作，实时接受调度；当项目设备或车辆等发生故障时，供应商应在6小时内响应，24小时内解决故障；供应商另需配备备用走航车辆和设备，一旦走航监测车故障在24小时内未排除，必须保证备用走航车辆在24小时内赶赴现场进行监测。</w:t>
      </w:r>
    </w:p>
    <w:p w14:paraId="1514DA8E">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（4）巡检时间段响应要求：主城区、工业园区等巡检时间段可由实际情况变动。</w:t>
      </w:r>
    </w:p>
    <w:p w14:paraId="3245293D">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2"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6.</w:t>
      </w:r>
      <w:r>
        <w:rPr>
          <w:rFonts w:hint="default" w:ascii="仿宋" w:hAnsi="仿宋" w:eastAsia="仿宋" w:cs="仿宋"/>
          <w:b/>
          <w:bCs/>
          <w:color w:val="auto"/>
          <w:spacing w:val="0"/>
          <w:w w:val="100"/>
          <w:position w:val="0"/>
          <w:sz w:val="24"/>
          <w:szCs w:val="24"/>
          <w:highlight w:val="none"/>
          <w:lang w:val="en-US" w:eastAsia="zh-CN"/>
        </w:rPr>
        <w:t>报告服务要求</w:t>
      </w:r>
    </w:p>
    <w:p w14:paraId="21238EED">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（1）提供监测报告和数据分析报告，为制定针对性的管控方案提供数据支撑，为管控成效评估提供有力依据；</w:t>
      </w:r>
    </w:p>
    <w:p w14:paraId="3FA86767">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（2）监测报告类型</w:t>
      </w:r>
    </w:p>
    <w:p w14:paraId="76D21BE1">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960" w:firstLineChars="4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a.</w:t>
      </w:r>
      <w:r>
        <w:rPr>
          <w:rFonts w:hint="eastAsia" w:ascii="仿宋" w:hAnsi="仿宋" w:eastAsia="仿宋" w:cs="仿宋"/>
          <w:color w:val="auto"/>
          <w:spacing w:val="0"/>
          <w:w w:val="100"/>
          <w:position w:val="0"/>
          <w:sz w:val="24"/>
          <w:szCs w:val="24"/>
          <w:highlight w:val="none"/>
          <w:lang w:val="en-US" w:eastAsia="zh-CN"/>
        </w:rPr>
        <w:t>根据当天走航监测数据出具分析报告，每个走航日数据分析报告</w:t>
      </w:r>
      <w:r>
        <w:rPr>
          <w:rFonts w:hint="default" w:ascii="仿宋" w:hAnsi="仿宋" w:eastAsia="仿宋" w:cs="仿宋"/>
          <w:color w:val="auto"/>
          <w:spacing w:val="0"/>
          <w:w w:val="100"/>
          <w:position w:val="0"/>
          <w:sz w:val="24"/>
          <w:szCs w:val="24"/>
          <w:highlight w:val="none"/>
          <w:lang w:val="en-US" w:eastAsia="zh-CN"/>
        </w:rPr>
        <w:t>；</w:t>
      </w:r>
    </w:p>
    <w:p w14:paraId="48548783">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960" w:firstLineChars="4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b.走航总结性报告</w:t>
      </w:r>
      <w:r>
        <w:rPr>
          <w:rFonts w:hint="eastAsia" w:ascii="仿宋" w:hAnsi="仿宋" w:eastAsia="仿宋" w:cs="仿宋"/>
          <w:color w:val="auto"/>
          <w:spacing w:val="0"/>
          <w:w w:val="100"/>
          <w:position w:val="0"/>
          <w:sz w:val="24"/>
          <w:szCs w:val="24"/>
          <w:highlight w:val="none"/>
          <w:lang w:val="en-US" w:eastAsia="zh-CN"/>
        </w:rPr>
        <w:t>；</w:t>
      </w:r>
    </w:p>
    <w:p w14:paraId="1D1FBFED">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960" w:firstLineChars="4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c.</w:t>
      </w:r>
      <w:r>
        <w:rPr>
          <w:rFonts w:hint="eastAsia" w:ascii="仿宋" w:hAnsi="仿宋" w:eastAsia="仿宋" w:cs="仿宋"/>
          <w:color w:val="auto"/>
          <w:spacing w:val="0"/>
          <w:w w:val="100"/>
          <w:position w:val="0"/>
          <w:sz w:val="24"/>
          <w:szCs w:val="24"/>
          <w:highlight w:val="none"/>
          <w:lang w:val="en-US" w:eastAsia="zh-CN"/>
        </w:rPr>
        <w:t>重点薄弱区域、工业园区、企业内部专项走航监测报告；</w:t>
      </w:r>
    </w:p>
    <w:p w14:paraId="3134B991">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960" w:firstLineChars="4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d.</w:t>
      </w:r>
      <w:r>
        <w:rPr>
          <w:rFonts w:hint="eastAsia" w:ascii="仿宋" w:hAnsi="仿宋" w:eastAsia="仿宋" w:cs="仿宋"/>
          <w:color w:val="auto"/>
          <w:spacing w:val="0"/>
          <w:w w:val="100"/>
          <w:position w:val="0"/>
          <w:sz w:val="24"/>
          <w:szCs w:val="24"/>
          <w:highlight w:val="none"/>
          <w:lang w:val="en-US" w:eastAsia="zh-CN"/>
        </w:rPr>
        <w:t>阶段性六参数异常高值指标走航和溯源分析报告；</w:t>
      </w:r>
    </w:p>
    <w:p w14:paraId="12A8281C">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960" w:firstLineChars="4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e.</w:t>
      </w:r>
      <w:r>
        <w:rPr>
          <w:rFonts w:hint="eastAsia" w:ascii="仿宋" w:hAnsi="仿宋" w:eastAsia="仿宋" w:cs="仿宋"/>
          <w:color w:val="auto"/>
          <w:spacing w:val="0"/>
          <w:w w:val="100"/>
          <w:position w:val="0"/>
          <w:sz w:val="24"/>
          <w:szCs w:val="24"/>
          <w:highlight w:val="none"/>
          <w:lang w:val="en-US" w:eastAsia="zh-CN"/>
        </w:rPr>
        <w:t>6-8月臭氧污染高发时段的VOCs组分和污染溯源专项走航服务和分析报告；</w:t>
      </w:r>
    </w:p>
    <w:p w14:paraId="509A9FAD">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960" w:firstLineChars="4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f.</w:t>
      </w:r>
      <w:r>
        <w:rPr>
          <w:rFonts w:hint="eastAsia" w:ascii="仿宋" w:hAnsi="仿宋" w:eastAsia="仿宋" w:cs="仿宋"/>
          <w:color w:val="auto"/>
          <w:spacing w:val="0"/>
          <w:w w:val="100"/>
          <w:position w:val="0"/>
          <w:sz w:val="24"/>
          <w:szCs w:val="24"/>
          <w:highlight w:val="none"/>
          <w:lang w:val="en-US" w:eastAsia="zh-CN"/>
        </w:rPr>
        <w:t>其它未明确的合理服务需求，双方友好协商，按照实际情况执行</w:t>
      </w:r>
      <w:r>
        <w:rPr>
          <w:rFonts w:hint="default" w:ascii="仿宋" w:hAnsi="仿宋" w:eastAsia="仿宋" w:cs="仿宋"/>
          <w:color w:val="auto"/>
          <w:spacing w:val="0"/>
          <w:w w:val="100"/>
          <w:position w:val="0"/>
          <w:sz w:val="24"/>
          <w:szCs w:val="24"/>
          <w:highlight w:val="none"/>
          <w:lang w:val="en-US" w:eastAsia="zh-CN"/>
        </w:rPr>
        <w:t>。</w:t>
      </w:r>
    </w:p>
    <w:p w14:paraId="006103E7">
      <w:pPr>
        <w:pStyle w:val="6"/>
        <w:keepNext w:val="0"/>
        <w:keepLines w:val="0"/>
        <w:pageBreakBefore w:val="0"/>
        <w:widowControl w:val="0"/>
        <w:numPr>
          <w:ilvl w:val="0"/>
          <w:numId w:val="0"/>
        </w:numPr>
        <w:shd w:val="clear" w:color="auto" w:fill="auto"/>
        <w:tabs>
          <w:tab w:val="left" w:pos="1043"/>
        </w:tabs>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hint="default" w:ascii="仿宋" w:hAnsi="仿宋" w:eastAsia="仿宋" w:cs="仿宋"/>
          <w:color w:val="auto"/>
          <w:spacing w:val="0"/>
          <w:w w:val="100"/>
          <w:position w:val="0"/>
          <w:sz w:val="24"/>
          <w:szCs w:val="24"/>
          <w:highlight w:val="none"/>
          <w:lang w:val="en-US" w:eastAsia="zh-CN"/>
        </w:rPr>
      </w:pPr>
      <w:r>
        <w:rPr>
          <w:rFonts w:hint="default" w:ascii="仿宋" w:hAnsi="仿宋" w:eastAsia="仿宋" w:cs="仿宋"/>
          <w:color w:val="auto"/>
          <w:spacing w:val="0"/>
          <w:w w:val="100"/>
          <w:position w:val="0"/>
          <w:sz w:val="24"/>
          <w:szCs w:val="24"/>
          <w:highlight w:val="none"/>
          <w:lang w:val="en-US" w:eastAsia="zh-CN"/>
        </w:rPr>
        <w:t>（3）报告内容包括：每次走航的时间、区域、路线、天气、风向及VOCs、CO、SO2、O3、NOx、PM2.5等污染因子的走航路线浓度分布图；对污染点位的分布、浓度情况、因子信息进行统计，并分析点位污染的潜在来源；对总体区域污染优控物种进行统计，对恶臭异味因子、有毒有害因子等对人体有直接影响的因子进行统计；对不同行业的特征污染因子管控提出针对性建议；报告内容设置全面、覆盖范围广，数据分析详尽、分析手段多样化，结果表征形式丰富；结果解释全面、科学性高。</w:t>
      </w:r>
    </w:p>
    <w:p w14:paraId="16CE3D47">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C0971"/>
    <w:rsid w:val="4DCC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outlineLvl w:val="0"/>
    </w:pPr>
    <w:rPr>
      <w:rFonts w:ascii="仿宋_GB2312" w:hAnsi="宋体" w:eastAsia="仿宋_GB2312"/>
      <w:b/>
      <w:kern w:val="2"/>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书正文1"/>
    <w:basedOn w:val="1"/>
    <w:qFormat/>
    <w:uiPriority w:val="0"/>
    <w:pPr>
      <w:spacing w:line="360" w:lineRule="auto"/>
      <w:ind w:firstLine="480" w:firstLineChars="200"/>
    </w:pPr>
  </w:style>
  <w:style w:type="paragraph" w:customStyle="1" w:styleId="6">
    <w:name w:val="Body text|1"/>
    <w:basedOn w:val="1"/>
    <w:qFormat/>
    <w:uiPriority w:val="0"/>
    <w:pPr>
      <w:widowControl w:val="0"/>
      <w:shd w:val="clear" w:color="auto" w:fill="auto"/>
      <w:spacing w:line="37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2025-11-05T02:26:00Z</dcterms:created>
  <dc:creator>1</dc:creator>
  <cp:lastModifiedBy>1</cp:lastModifiedBy>
  <dcterms:modified xsi:type="dcterms:W3CDTF">2025-11-05T02:26:25Z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D3C780374D23493E920D5492A20CF33A_11</vt:lpwstr>
  </property>
  <property fmtid="{D5CDD505-2E9C-101B-9397-08002B2CF9AE}" pid="4" name="KSOTemplateDocerSaveRecord">
    <vt:lpwstr>eyJoZGlkIjoiZTE1ZTYxOTAyYmIyNTc5ZTkwOGI0MTA0NmFlN2ZkMDgiLCJ1c2VySWQiOiI0ODU3MDc4MjgifQ==</vt:lpwstr>
  </property>
</Properties>
</file>