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20A6D">
      <w:pPr>
        <w:adjustRightInd w:val="0"/>
        <w:snapToGrid w:val="0"/>
        <w:spacing w:line="360" w:lineRule="auto"/>
        <w:jc w:val="right"/>
        <w:rPr>
          <w:rFonts w:hint="eastAsia" w:ascii="宋体" w:hAnsi="宋体" w:eastAsia="宋体" w:cs="宋体"/>
          <w:b/>
          <w:bCs/>
          <w:color w:val="auto"/>
          <w:sz w:val="30"/>
          <w:szCs w:val="30"/>
        </w:rPr>
      </w:pPr>
      <w:bookmarkStart w:id="0" w:name="OLE_LINK9"/>
      <w:r>
        <w:rPr>
          <w:rFonts w:hint="eastAsia" w:ascii="宋体" w:hAnsi="宋体" w:eastAsia="宋体" w:cs="宋体"/>
          <w:b/>
          <w:bCs/>
          <w:color w:val="auto"/>
          <w:sz w:val="30"/>
          <w:szCs w:val="30"/>
        </w:rPr>
        <w:t>政府采购项目</w:t>
      </w:r>
    </w:p>
    <w:p w14:paraId="4A108380">
      <w:pPr>
        <w:tabs>
          <w:tab w:val="left" w:pos="7400"/>
        </w:tabs>
        <w:adjustRightInd w:val="0"/>
        <w:snapToGrid w:val="0"/>
        <w:spacing w:line="360" w:lineRule="auto"/>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rPr>
        <w:t>项目编号：</w:t>
      </w:r>
      <w:r>
        <w:rPr>
          <w:rFonts w:hint="eastAsia" w:ascii="宋体" w:hAnsi="宋体" w:eastAsia="宋体" w:cs="宋体"/>
          <w:b/>
          <w:bCs/>
          <w:color w:val="auto"/>
          <w:sz w:val="30"/>
          <w:szCs w:val="30"/>
          <w:lang w:val="en-US" w:eastAsia="zh-CN"/>
        </w:rPr>
        <w:t>LTZB-2025-020</w:t>
      </w:r>
    </w:p>
    <w:p w14:paraId="0D0E6007">
      <w:pPr>
        <w:tabs>
          <w:tab w:val="left" w:pos="7400"/>
        </w:tabs>
        <w:adjustRightInd w:val="0"/>
        <w:snapToGrid w:val="0"/>
        <w:spacing w:line="360" w:lineRule="auto"/>
        <w:rPr>
          <w:rFonts w:hint="eastAsia" w:ascii="宋体" w:hAnsi="宋体" w:eastAsia="宋体" w:cs="宋体"/>
          <w:b/>
          <w:bCs/>
          <w:color w:val="auto"/>
          <w:sz w:val="44"/>
          <w:szCs w:val="44"/>
        </w:rPr>
      </w:pPr>
      <w:r>
        <w:rPr>
          <w:rFonts w:hint="eastAsia" w:ascii="宋体" w:hAnsi="宋体" w:eastAsia="宋体" w:cs="宋体"/>
          <w:b/>
          <w:bCs/>
          <w:color w:val="auto"/>
          <w:sz w:val="44"/>
          <w:szCs w:val="44"/>
        </w:rPr>
        <w:tab/>
      </w:r>
    </w:p>
    <w:p w14:paraId="27F2387A">
      <w:pPr>
        <w:tabs>
          <w:tab w:val="left" w:pos="0"/>
        </w:tabs>
        <w:adjustRightInd w:val="0"/>
        <w:snapToGrid w:val="0"/>
        <w:spacing w:line="360" w:lineRule="auto"/>
        <w:ind w:firstLine="2811" w:firstLineChars="500"/>
        <w:jc w:val="both"/>
        <w:rPr>
          <w:rFonts w:hint="eastAsia" w:ascii="宋体" w:hAnsi="宋体" w:eastAsia="宋体" w:cs="宋体"/>
          <w:b/>
          <w:bCs/>
          <w:color w:val="auto"/>
          <w:kern w:val="2"/>
          <w:sz w:val="56"/>
          <w:szCs w:val="56"/>
          <w:lang w:val="en-US" w:eastAsia="zh-CN" w:bidi="ar-SA"/>
        </w:rPr>
      </w:pPr>
    </w:p>
    <w:p w14:paraId="6A5603D0">
      <w:pPr>
        <w:jc w:val="center"/>
        <w:rPr>
          <w:rFonts w:hint="eastAsia" w:ascii="宋体" w:hAnsi="宋体" w:eastAsia="宋体" w:cs="宋体"/>
          <w:b/>
          <w:kern w:val="0"/>
          <w:sz w:val="72"/>
          <w:szCs w:val="72"/>
        </w:rPr>
      </w:pPr>
      <w:r>
        <w:rPr>
          <w:rFonts w:hint="eastAsia" w:ascii="宋体" w:hAnsi="宋体" w:eastAsia="宋体" w:cs="宋体"/>
          <w:b/>
          <w:kern w:val="0"/>
          <w:sz w:val="72"/>
          <w:szCs w:val="72"/>
        </w:rPr>
        <w:t>“一湖两岸”城文旅融合发展专项规划编制采购项目</w:t>
      </w:r>
    </w:p>
    <w:p w14:paraId="32A53580">
      <w:pPr>
        <w:tabs>
          <w:tab w:val="left" w:pos="0"/>
        </w:tabs>
        <w:adjustRightInd w:val="0"/>
        <w:snapToGrid w:val="0"/>
        <w:spacing w:line="360" w:lineRule="auto"/>
        <w:ind w:firstLine="2811" w:firstLineChars="500"/>
        <w:jc w:val="both"/>
        <w:rPr>
          <w:rFonts w:hint="eastAsia" w:ascii="宋体" w:hAnsi="宋体" w:eastAsia="宋体" w:cs="宋体"/>
          <w:b/>
          <w:bCs/>
          <w:color w:val="auto"/>
          <w:kern w:val="2"/>
          <w:sz w:val="56"/>
          <w:szCs w:val="56"/>
          <w:lang w:val="en-US" w:eastAsia="zh-CN" w:bidi="ar-SA"/>
        </w:rPr>
      </w:pPr>
      <w:r>
        <w:rPr>
          <w:rFonts w:hint="eastAsia" w:ascii="宋体" w:hAnsi="宋体" w:eastAsia="宋体" w:cs="宋体"/>
          <w:b/>
          <w:bCs/>
          <w:color w:val="auto"/>
          <w:kern w:val="2"/>
          <w:sz w:val="56"/>
          <w:szCs w:val="56"/>
          <w:lang w:val="en-US" w:eastAsia="zh-CN" w:bidi="ar-SA"/>
        </w:rPr>
        <w:t xml:space="preserve"> </w:t>
      </w:r>
    </w:p>
    <w:p w14:paraId="3C4DEC35">
      <w:pPr>
        <w:adjustRightInd w:val="0"/>
        <w:snapToGrid w:val="0"/>
        <w:spacing w:line="360" w:lineRule="auto"/>
        <w:jc w:val="left"/>
        <w:rPr>
          <w:rFonts w:hint="eastAsia" w:ascii="宋体" w:hAnsi="宋体" w:eastAsia="宋体" w:cs="宋体"/>
          <w:b/>
          <w:bCs/>
          <w:color w:val="auto"/>
          <w:sz w:val="52"/>
          <w:szCs w:val="52"/>
          <w:lang w:val="en-US" w:eastAsia="zh-CN"/>
        </w:rPr>
      </w:pPr>
      <w:r>
        <w:rPr>
          <w:rFonts w:hint="eastAsia" w:ascii="宋体" w:hAnsi="宋体" w:eastAsia="宋体" w:cs="宋体"/>
          <w:b/>
          <w:bCs/>
          <w:color w:val="auto"/>
          <w:sz w:val="52"/>
          <w:szCs w:val="52"/>
        </w:rPr>
        <w:t xml:space="preserve"> </w:t>
      </w:r>
      <w:r>
        <w:rPr>
          <w:rFonts w:hint="eastAsia" w:ascii="宋体" w:hAnsi="宋体" w:eastAsia="宋体" w:cs="宋体"/>
          <w:b/>
          <w:bCs/>
          <w:color w:val="auto"/>
          <w:sz w:val="52"/>
          <w:szCs w:val="52"/>
          <w:lang w:val="en-US" w:eastAsia="zh-CN"/>
        </w:rPr>
        <w:t xml:space="preserve">         </w:t>
      </w:r>
    </w:p>
    <w:p w14:paraId="4570445E">
      <w:pPr>
        <w:tabs>
          <w:tab w:val="left" w:pos="0"/>
        </w:tabs>
        <w:adjustRightInd w:val="0"/>
        <w:snapToGrid w:val="0"/>
        <w:spacing w:line="360" w:lineRule="auto"/>
        <w:rPr>
          <w:rFonts w:hint="eastAsia" w:ascii="宋体" w:hAnsi="宋体" w:eastAsia="宋体" w:cs="宋体"/>
          <w:b/>
          <w:bCs/>
          <w:color w:val="auto"/>
        </w:rPr>
      </w:pPr>
    </w:p>
    <w:p w14:paraId="50B68F04">
      <w:pPr>
        <w:pStyle w:val="64"/>
        <w:rPr>
          <w:rFonts w:hint="eastAsia" w:ascii="宋体" w:hAnsi="宋体" w:eastAsia="宋体" w:cs="宋体"/>
          <w:color w:val="auto"/>
        </w:rPr>
      </w:pPr>
    </w:p>
    <w:p w14:paraId="320B3C8F">
      <w:pPr>
        <w:tabs>
          <w:tab w:val="left" w:pos="0"/>
        </w:tabs>
        <w:adjustRightInd w:val="0"/>
        <w:snapToGrid w:val="0"/>
        <w:spacing w:line="360" w:lineRule="auto"/>
        <w:ind w:firstLine="2811" w:firstLineChars="500"/>
        <w:jc w:val="both"/>
        <w:rPr>
          <w:rFonts w:hint="eastAsia" w:ascii="宋体" w:hAnsi="宋体" w:eastAsia="宋体" w:cs="宋体"/>
          <w:b/>
          <w:bCs/>
          <w:color w:val="auto"/>
          <w:sz w:val="30"/>
          <w:szCs w:val="30"/>
        </w:rPr>
      </w:pPr>
      <w:r>
        <w:rPr>
          <w:rFonts w:hint="eastAsia" w:ascii="宋体" w:hAnsi="宋体" w:eastAsia="宋体" w:cs="宋体"/>
          <w:b/>
          <w:bCs/>
          <w:color w:val="auto"/>
          <w:kern w:val="2"/>
          <w:sz w:val="56"/>
          <w:szCs w:val="56"/>
          <w:lang w:val="en-US" w:eastAsia="zh-CN" w:bidi="ar-SA"/>
        </w:rPr>
        <w:t>竞争性磋商文件</w:t>
      </w:r>
    </w:p>
    <w:p w14:paraId="109A403F">
      <w:pPr>
        <w:pStyle w:val="67"/>
        <w:rPr>
          <w:rFonts w:hint="eastAsia" w:ascii="宋体" w:hAnsi="宋体" w:eastAsia="宋体" w:cs="宋体"/>
          <w:b/>
          <w:bCs/>
          <w:color w:val="auto"/>
          <w:sz w:val="30"/>
          <w:szCs w:val="30"/>
        </w:rPr>
      </w:pPr>
    </w:p>
    <w:p w14:paraId="4C3D5576">
      <w:pPr>
        <w:keepNext w:val="0"/>
        <w:keepLines w:val="0"/>
        <w:pageBreakBefore w:val="0"/>
        <w:widowControl w:val="0"/>
        <w:kinsoku/>
        <w:wordWrap/>
        <w:overflowPunct/>
        <w:topLinePunct w:val="0"/>
        <w:autoSpaceDE/>
        <w:autoSpaceDN/>
        <w:bidi w:val="0"/>
        <w:adjustRightInd w:val="0"/>
        <w:snapToGrid w:val="0"/>
        <w:spacing w:line="1000" w:lineRule="exact"/>
        <w:ind w:firstLine="1807" w:firstLineChars="600"/>
        <w:jc w:val="both"/>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购</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人：安康市住房和城乡建设局</w:t>
      </w:r>
    </w:p>
    <w:p w14:paraId="3AEF2A19">
      <w:pPr>
        <w:keepNext w:val="0"/>
        <w:keepLines w:val="0"/>
        <w:pageBreakBefore w:val="0"/>
        <w:widowControl w:val="0"/>
        <w:kinsoku/>
        <w:wordWrap/>
        <w:overflowPunct/>
        <w:topLinePunct w:val="0"/>
        <w:autoSpaceDE/>
        <w:autoSpaceDN/>
        <w:bidi w:val="0"/>
        <w:adjustRightInd w:val="0"/>
        <w:snapToGrid w:val="0"/>
        <w:spacing w:line="1000" w:lineRule="exact"/>
        <w:ind w:firstLine="1807" w:firstLineChars="600"/>
        <w:jc w:val="both"/>
        <w:textAlignment w:val="auto"/>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rPr>
        <w:t>代理机构：</w:t>
      </w:r>
      <w:r>
        <w:rPr>
          <w:rFonts w:hint="eastAsia" w:ascii="宋体" w:hAnsi="宋体" w:eastAsia="宋体" w:cs="宋体"/>
          <w:b/>
          <w:bCs/>
          <w:color w:val="auto"/>
          <w:sz w:val="30"/>
          <w:szCs w:val="30"/>
          <w:lang w:eastAsia="zh-CN"/>
        </w:rPr>
        <w:t>兰天项目管理有限公司</w:t>
      </w:r>
    </w:p>
    <w:p w14:paraId="016AFC07">
      <w:pPr>
        <w:keepNext w:val="0"/>
        <w:keepLines w:val="0"/>
        <w:pageBreakBefore w:val="0"/>
        <w:widowControl w:val="0"/>
        <w:kinsoku/>
        <w:wordWrap/>
        <w:overflowPunct/>
        <w:topLinePunct w:val="0"/>
        <w:autoSpaceDE/>
        <w:autoSpaceDN/>
        <w:bidi w:val="0"/>
        <w:adjustRightInd w:val="0"/>
        <w:snapToGrid w:val="0"/>
        <w:spacing w:line="1000" w:lineRule="exact"/>
        <w:jc w:val="center"/>
        <w:textAlignment w:val="auto"/>
        <w:rPr>
          <w:rFonts w:hint="eastAsia" w:ascii="宋体" w:hAnsi="宋体" w:eastAsia="宋体" w:cs="宋体"/>
          <w:b/>
          <w:bCs/>
          <w:color w:val="auto"/>
          <w:sz w:val="30"/>
          <w:szCs w:val="30"/>
          <w:highlight w:val="red"/>
        </w:rPr>
        <w:sectPr>
          <w:headerReference r:id="rId4" w:type="first"/>
          <w:headerReference r:id="rId3" w:type="default"/>
          <w:footerReference r:id="rId5" w:type="default"/>
          <w:pgSz w:w="11906" w:h="16838"/>
          <w:pgMar w:top="1361" w:right="1423" w:bottom="1361" w:left="1423" w:header="1134" w:footer="992" w:gutter="0"/>
          <w:pgNumType w:fmt="decimal"/>
          <w:cols w:space="0" w:num="1"/>
          <w:titlePg/>
          <w:rtlGutter w:val="0"/>
          <w:docGrid w:type="lines" w:linePitch="317" w:charSpace="0"/>
        </w:sectPr>
      </w:pPr>
      <w:r>
        <w:rPr>
          <w:rFonts w:hint="eastAsia" w:ascii="宋体" w:hAnsi="宋体" w:eastAsia="宋体" w:cs="宋体"/>
          <w:b/>
          <w:bCs/>
          <w:color w:val="auto"/>
          <w:sz w:val="30"/>
          <w:szCs w:val="30"/>
          <w:highlight w:val="none"/>
        </w:rPr>
        <w:t>二</w:t>
      </w:r>
      <w:r>
        <w:rPr>
          <w:rFonts w:hint="eastAsia" w:ascii="宋体" w:hAnsi="宋体" w:eastAsia="宋体" w:cs="宋体"/>
          <w:b/>
          <w:bCs/>
          <w:color w:val="auto"/>
          <w:sz w:val="30"/>
          <w:szCs w:val="30"/>
          <w:highlight w:val="none"/>
          <w:lang w:val="en-US" w:eastAsia="zh-CN"/>
        </w:rPr>
        <w:t>〇</w:t>
      </w:r>
      <w:r>
        <w:rPr>
          <w:rFonts w:hint="eastAsia" w:ascii="宋体" w:hAnsi="宋体" w:eastAsia="宋体" w:cs="宋体"/>
          <w:b/>
          <w:bCs/>
          <w:color w:val="auto"/>
          <w:sz w:val="30"/>
          <w:szCs w:val="30"/>
          <w:highlight w:val="none"/>
        </w:rPr>
        <w:t>二</w:t>
      </w:r>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bCs/>
          <w:color w:val="auto"/>
          <w:sz w:val="30"/>
          <w:szCs w:val="30"/>
          <w:highlight w:val="none"/>
        </w:rPr>
        <w:t>年</w:t>
      </w:r>
      <w:r>
        <w:rPr>
          <w:rFonts w:hint="eastAsia" w:ascii="宋体" w:hAnsi="宋体" w:eastAsia="宋体" w:cs="宋体"/>
          <w:b/>
          <w:bCs/>
          <w:color w:val="auto"/>
          <w:sz w:val="30"/>
          <w:szCs w:val="30"/>
          <w:highlight w:val="none"/>
          <w:lang w:val="en-US" w:eastAsia="zh-CN"/>
        </w:rPr>
        <w:t>十</w:t>
      </w:r>
      <w:r>
        <w:rPr>
          <w:rFonts w:hint="eastAsia" w:ascii="宋体" w:hAnsi="宋体" w:eastAsia="宋体" w:cs="宋体"/>
          <w:b/>
          <w:bCs/>
          <w:color w:val="auto"/>
          <w:sz w:val="30"/>
          <w:szCs w:val="30"/>
          <w:highlight w:val="none"/>
        </w:rPr>
        <w:t>月</w:t>
      </w:r>
    </w:p>
    <w:p w14:paraId="2278F3DD">
      <w:pPr>
        <w:pStyle w:val="32"/>
        <w:keepNext w:val="0"/>
        <w:keepLines w:val="0"/>
        <w:pageBreakBefore w:val="0"/>
        <w:widowControl w:val="0"/>
        <w:tabs>
          <w:tab w:val="center" w:pos="4819"/>
          <w:tab w:val="left" w:pos="6069"/>
          <w:tab w:val="right" w:leader="dot" w:pos="8306"/>
        </w:tabs>
        <w:kinsoku/>
        <w:wordWrap/>
        <w:overflowPunct/>
        <w:topLinePunct w:val="0"/>
        <w:autoSpaceDE/>
        <w:autoSpaceDN/>
        <w:bidi w:val="0"/>
        <w:adjustRightInd/>
        <w:snapToGrid/>
        <w:spacing w:before="0" w:after="0" w:line="640" w:lineRule="exact"/>
        <w:textAlignment w:val="auto"/>
        <w:rPr>
          <w:rFonts w:hint="eastAsia" w:ascii="宋体" w:hAnsi="宋体" w:eastAsia="宋体" w:cs="宋体"/>
          <w:b w:val="0"/>
          <w:bCs w:val="0"/>
          <w:color w:val="auto"/>
          <w:sz w:val="48"/>
          <w:szCs w:val="52"/>
        </w:rPr>
      </w:pPr>
      <w:r>
        <w:rPr>
          <w:rFonts w:hint="eastAsia" w:ascii="宋体" w:hAnsi="宋体" w:eastAsia="宋体" w:cs="宋体"/>
          <w:b w:val="0"/>
          <w:bCs w:val="0"/>
          <w:color w:val="auto"/>
          <w:sz w:val="48"/>
          <w:szCs w:val="52"/>
        </w:rPr>
        <w:tab/>
      </w:r>
    </w:p>
    <w:p w14:paraId="2EBD52BF">
      <w:pPr>
        <w:pStyle w:val="32"/>
        <w:keepNext w:val="0"/>
        <w:keepLines w:val="0"/>
        <w:pageBreakBefore w:val="0"/>
        <w:widowControl w:val="0"/>
        <w:tabs>
          <w:tab w:val="center" w:pos="4819"/>
          <w:tab w:val="left" w:pos="6069"/>
          <w:tab w:val="right" w:leader="dot" w:pos="8306"/>
        </w:tabs>
        <w:kinsoku/>
        <w:wordWrap/>
        <w:overflowPunct/>
        <w:topLinePunct w:val="0"/>
        <w:autoSpaceDE/>
        <w:autoSpaceDN/>
        <w:bidi w:val="0"/>
        <w:adjustRightInd/>
        <w:snapToGrid/>
        <w:spacing w:before="0" w:after="0" w:line="640" w:lineRule="exact"/>
        <w:jc w:val="center"/>
        <w:textAlignment w:val="auto"/>
        <w:rPr>
          <w:rFonts w:hint="eastAsia" w:ascii="宋体" w:hAnsi="宋体" w:eastAsia="宋体" w:cs="宋体"/>
          <w:b w:val="0"/>
          <w:bCs w:val="0"/>
          <w:color w:val="auto"/>
          <w:sz w:val="40"/>
          <w:szCs w:val="44"/>
        </w:rPr>
      </w:pPr>
      <w:r>
        <w:rPr>
          <w:rFonts w:hint="eastAsia" w:ascii="宋体" w:hAnsi="宋体" w:eastAsia="宋体" w:cs="宋体"/>
          <w:b w:val="0"/>
          <w:bCs w:val="0"/>
          <w:color w:val="auto"/>
          <w:sz w:val="48"/>
          <w:szCs w:val="52"/>
        </w:rPr>
        <w:t>目</w:t>
      </w:r>
      <w:r>
        <w:rPr>
          <w:rFonts w:hint="eastAsia" w:ascii="宋体" w:hAnsi="宋体" w:eastAsia="宋体" w:cs="宋体"/>
          <w:b w:val="0"/>
          <w:bCs w:val="0"/>
          <w:color w:val="auto"/>
          <w:sz w:val="48"/>
          <w:szCs w:val="52"/>
          <w:lang w:val="en-US" w:eastAsia="zh-CN"/>
        </w:rPr>
        <w:t xml:space="preserve">  </w:t>
      </w:r>
      <w:r>
        <w:rPr>
          <w:rFonts w:hint="eastAsia" w:ascii="宋体" w:hAnsi="宋体" w:eastAsia="宋体" w:cs="宋体"/>
          <w:b w:val="0"/>
          <w:bCs w:val="0"/>
          <w:color w:val="auto"/>
          <w:sz w:val="48"/>
          <w:szCs w:val="52"/>
        </w:rPr>
        <w:t>录</w:t>
      </w:r>
    </w:p>
    <w:p w14:paraId="431B022B">
      <w:pPr>
        <w:rPr>
          <w:rFonts w:hint="eastAsia" w:ascii="宋体" w:hAnsi="宋体" w:eastAsia="宋体" w:cs="宋体"/>
          <w:color w:val="auto"/>
        </w:rPr>
      </w:pPr>
    </w:p>
    <w:p w14:paraId="1A92ACFC">
      <w:pPr>
        <w:rPr>
          <w:rFonts w:hint="eastAsia" w:ascii="宋体" w:hAnsi="宋体" w:eastAsia="宋体" w:cs="宋体"/>
          <w:color w:val="auto"/>
        </w:rPr>
      </w:pPr>
    </w:p>
    <w:p w14:paraId="7F340BCC">
      <w:pPr>
        <w:pStyle w:val="32"/>
        <w:tabs>
          <w:tab w:val="right" w:leader="dot" w:pos="9060"/>
        </w:tabs>
        <w:spacing w:line="480" w:lineRule="auto"/>
        <w:rPr>
          <w:rFonts w:hint="eastAsia" w:ascii="宋体" w:hAnsi="宋体" w:eastAsia="宋体" w:cs="宋体"/>
          <w:sz w:val="28"/>
          <w:szCs w:val="28"/>
        </w:rPr>
      </w:pPr>
      <w:bookmarkStart w:id="1" w:name="_Toc536429369"/>
      <w:bookmarkStart w:id="2" w:name="_Toc536202376"/>
      <w:bookmarkStart w:id="3" w:name="_Toc536202282"/>
      <w:bookmarkStart w:id="4" w:name="OLE_LINK3"/>
      <w:bookmarkStart w:id="5" w:name="_Toc30089"/>
      <w:bookmarkStart w:id="6" w:name="_Toc438048787"/>
      <w:r>
        <w:rPr>
          <w:rFonts w:hint="eastAsia" w:ascii="宋体" w:hAnsi="宋体" w:eastAsia="宋体" w:cs="宋体"/>
          <w:color w:val="auto"/>
          <w:sz w:val="56"/>
          <w:szCs w:val="56"/>
        </w:rPr>
        <w:fldChar w:fldCharType="begin"/>
      </w:r>
      <w:r>
        <w:rPr>
          <w:rFonts w:hint="eastAsia" w:ascii="宋体" w:hAnsi="宋体" w:eastAsia="宋体" w:cs="宋体"/>
          <w:color w:val="auto"/>
          <w:sz w:val="56"/>
          <w:szCs w:val="56"/>
        </w:rPr>
        <w:instrText xml:space="preserve"> TOC \o "1-1" \h \z \u </w:instrText>
      </w:r>
      <w:r>
        <w:rPr>
          <w:rFonts w:hint="eastAsia" w:ascii="宋体" w:hAnsi="宋体" w:eastAsia="宋体" w:cs="宋体"/>
          <w:color w:val="auto"/>
          <w:sz w:val="56"/>
          <w:szCs w:val="56"/>
        </w:rPr>
        <w:fldChar w:fldCharType="separate"/>
      </w:r>
      <w:r>
        <w:rPr>
          <w:rFonts w:hint="eastAsia" w:ascii="宋体" w:hAnsi="宋体" w:eastAsia="宋体" w:cs="宋体"/>
          <w:color w:val="auto"/>
          <w:sz w:val="28"/>
          <w:szCs w:val="56"/>
        </w:rPr>
        <w:fldChar w:fldCharType="begin"/>
      </w:r>
      <w:r>
        <w:rPr>
          <w:rFonts w:hint="eastAsia" w:ascii="宋体" w:hAnsi="宋体" w:eastAsia="宋体" w:cs="宋体"/>
          <w:sz w:val="28"/>
          <w:szCs w:val="56"/>
        </w:rPr>
        <w:instrText xml:space="preserve"> HYPERLINK \l _Toc15880 </w:instrText>
      </w:r>
      <w:r>
        <w:rPr>
          <w:rFonts w:hint="eastAsia" w:ascii="宋体" w:hAnsi="宋体" w:eastAsia="宋体" w:cs="宋体"/>
          <w:sz w:val="28"/>
          <w:szCs w:val="56"/>
        </w:rPr>
        <w:fldChar w:fldCharType="separate"/>
      </w:r>
      <w:r>
        <w:rPr>
          <w:rFonts w:hint="eastAsia" w:ascii="宋体" w:hAnsi="宋体" w:eastAsia="宋体" w:cs="宋体"/>
          <w:sz w:val="28"/>
          <w:szCs w:val="28"/>
        </w:rPr>
        <w:t>第一部分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_Toc15880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color w:val="auto"/>
          <w:sz w:val="28"/>
          <w:szCs w:val="56"/>
        </w:rPr>
        <w:fldChar w:fldCharType="end"/>
      </w:r>
    </w:p>
    <w:p w14:paraId="7E30537A">
      <w:pPr>
        <w:pStyle w:val="32"/>
        <w:tabs>
          <w:tab w:val="right" w:leader="dot" w:pos="9060"/>
        </w:tabs>
        <w:spacing w:line="480" w:lineRule="auto"/>
        <w:rPr>
          <w:rFonts w:hint="eastAsia" w:ascii="宋体" w:hAnsi="宋体" w:eastAsia="宋体" w:cs="宋体"/>
          <w:sz w:val="28"/>
          <w:szCs w:val="28"/>
        </w:rPr>
      </w:pPr>
      <w:r>
        <w:rPr>
          <w:rFonts w:hint="eastAsia" w:ascii="宋体" w:hAnsi="宋体" w:eastAsia="宋体" w:cs="宋体"/>
          <w:color w:val="auto"/>
          <w:sz w:val="28"/>
          <w:szCs w:val="144"/>
        </w:rPr>
        <w:fldChar w:fldCharType="begin"/>
      </w:r>
      <w:r>
        <w:rPr>
          <w:rFonts w:hint="eastAsia" w:ascii="宋体" w:hAnsi="宋体" w:eastAsia="宋体" w:cs="宋体"/>
          <w:sz w:val="28"/>
          <w:szCs w:val="144"/>
        </w:rPr>
        <w:instrText xml:space="preserve"> HYPERLINK \l _Toc4524 </w:instrText>
      </w:r>
      <w:r>
        <w:rPr>
          <w:rFonts w:hint="eastAsia" w:ascii="宋体" w:hAnsi="宋体" w:eastAsia="宋体" w:cs="宋体"/>
          <w:sz w:val="28"/>
          <w:szCs w:val="144"/>
        </w:rPr>
        <w:fldChar w:fldCharType="separate"/>
      </w:r>
      <w:r>
        <w:rPr>
          <w:rFonts w:hint="eastAsia" w:ascii="宋体" w:hAnsi="宋体" w:eastAsia="宋体" w:cs="宋体"/>
          <w:sz w:val="28"/>
          <w:szCs w:val="28"/>
        </w:rPr>
        <w:t xml:space="preserve">第二部分  </w:t>
      </w:r>
      <w:r>
        <w:rPr>
          <w:rFonts w:hint="eastAsia" w:ascii="宋体" w:hAnsi="宋体" w:eastAsia="宋体" w:cs="宋体"/>
          <w:sz w:val="28"/>
          <w:szCs w:val="28"/>
          <w:lang w:eastAsia="zh-CN"/>
        </w:rPr>
        <w:t>投标人</w:t>
      </w:r>
      <w:r>
        <w:rPr>
          <w:rFonts w:hint="eastAsia" w:ascii="宋体" w:hAnsi="宋体" w:eastAsia="宋体" w:cs="宋体"/>
          <w:sz w:val="28"/>
          <w:szCs w:val="28"/>
        </w:rPr>
        <w:t>须知前附表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_Toc4524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color w:val="auto"/>
          <w:sz w:val="28"/>
          <w:szCs w:val="144"/>
        </w:rPr>
        <w:fldChar w:fldCharType="end"/>
      </w:r>
    </w:p>
    <w:p w14:paraId="1D6934DB">
      <w:pPr>
        <w:pStyle w:val="32"/>
        <w:tabs>
          <w:tab w:val="right" w:leader="dot" w:pos="9060"/>
        </w:tabs>
        <w:spacing w:line="480" w:lineRule="auto"/>
        <w:rPr>
          <w:rFonts w:hint="eastAsia" w:ascii="宋体" w:hAnsi="宋体" w:eastAsia="宋体" w:cs="宋体"/>
          <w:sz w:val="28"/>
          <w:szCs w:val="28"/>
        </w:rPr>
      </w:pPr>
      <w:r>
        <w:rPr>
          <w:rFonts w:hint="eastAsia" w:ascii="宋体" w:hAnsi="宋体" w:eastAsia="宋体" w:cs="宋体"/>
          <w:color w:val="auto"/>
          <w:sz w:val="28"/>
          <w:szCs w:val="144"/>
        </w:rPr>
        <w:fldChar w:fldCharType="begin"/>
      </w:r>
      <w:r>
        <w:rPr>
          <w:rFonts w:hint="eastAsia" w:ascii="宋体" w:hAnsi="宋体" w:eastAsia="宋体" w:cs="宋体"/>
          <w:sz w:val="28"/>
          <w:szCs w:val="144"/>
        </w:rPr>
        <w:instrText xml:space="preserve"> HYPERLINK \l _Toc17080 </w:instrText>
      </w:r>
      <w:r>
        <w:rPr>
          <w:rFonts w:hint="eastAsia" w:ascii="宋体" w:hAnsi="宋体" w:eastAsia="宋体" w:cs="宋体"/>
          <w:sz w:val="28"/>
          <w:szCs w:val="144"/>
        </w:rPr>
        <w:fldChar w:fldCharType="separate"/>
      </w:r>
      <w:r>
        <w:rPr>
          <w:rFonts w:hint="eastAsia" w:ascii="宋体" w:hAnsi="宋体" w:eastAsia="宋体" w:cs="宋体"/>
          <w:bCs/>
          <w:kern w:val="44"/>
          <w:sz w:val="28"/>
          <w:szCs w:val="48"/>
          <w:lang w:val="en-US" w:eastAsia="zh-CN" w:bidi="ar-SA"/>
        </w:rPr>
        <w:t>第三部分  投标人须知</w:t>
      </w:r>
      <w:bookmarkStart w:id="211" w:name="_GoBack"/>
      <w:bookmarkEnd w:id="211"/>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_Toc17080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color w:val="auto"/>
          <w:sz w:val="28"/>
          <w:szCs w:val="144"/>
        </w:rPr>
        <w:fldChar w:fldCharType="end"/>
      </w:r>
    </w:p>
    <w:p w14:paraId="3CB7E16F">
      <w:pPr>
        <w:pStyle w:val="32"/>
        <w:tabs>
          <w:tab w:val="right" w:leader="dot" w:pos="9060"/>
        </w:tabs>
        <w:spacing w:line="480" w:lineRule="auto"/>
        <w:rPr>
          <w:rFonts w:hint="eastAsia" w:ascii="宋体" w:hAnsi="宋体" w:eastAsia="宋体" w:cs="宋体"/>
          <w:sz w:val="28"/>
          <w:szCs w:val="28"/>
        </w:rPr>
      </w:pPr>
      <w:r>
        <w:rPr>
          <w:rFonts w:hint="eastAsia" w:ascii="宋体" w:hAnsi="宋体" w:eastAsia="宋体" w:cs="宋体"/>
          <w:color w:val="auto"/>
          <w:sz w:val="28"/>
          <w:szCs w:val="144"/>
        </w:rPr>
        <w:fldChar w:fldCharType="begin"/>
      </w:r>
      <w:r>
        <w:rPr>
          <w:rFonts w:hint="eastAsia" w:ascii="宋体" w:hAnsi="宋体" w:eastAsia="宋体" w:cs="宋体"/>
          <w:sz w:val="28"/>
          <w:szCs w:val="144"/>
        </w:rPr>
        <w:instrText xml:space="preserve"> HYPERLINK \l _Toc9689 </w:instrText>
      </w:r>
      <w:r>
        <w:rPr>
          <w:rFonts w:hint="eastAsia" w:ascii="宋体" w:hAnsi="宋体" w:eastAsia="宋体" w:cs="宋体"/>
          <w:sz w:val="28"/>
          <w:szCs w:val="144"/>
        </w:rPr>
        <w:fldChar w:fldCharType="separate"/>
      </w:r>
      <w:r>
        <w:rPr>
          <w:rFonts w:hint="eastAsia" w:ascii="宋体" w:hAnsi="宋体" w:eastAsia="宋体" w:cs="宋体"/>
          <w:sz w:val="28"/>
          <w:szCs w:val="28"/>
        </w:rPr>
        <w:t>第四部分 评分标准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_Toc9689 \h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color w:val="auto"/>
          <w:sz w:val="28"/>
          <w:szCs w:val="144"/>
        </w:rPr>
        <w:fldChar w:fldCharType="end"/>
      </w:r>
    </w:p>
    <w:p w14:paraId="66204B9A">
      <w:pPr>
        <w:pStyle w:val="32"/>
        <w:tabs>
          <w:tab w:val="right" w:leader="dot" w:pos="9060"/>
        </w:tabs>
        <w:spacing w:line="480" w:lineRule="auto"/>
        <w:rPr>
          <w:rFonts w:hint="eastAsia" w:ascii="宋体" w:hAnsi="宋体" w:eastAsia="宋体" w:cs="宋体"/>
          <w:sz w:val="28"/>
          <w:szCs w:val="28"/>
        </w:rPr>
      </w:pPr>
      <w:r>
        <w:rPr>
          <w:rFonts w:hint="eastAsia" w:ascii="宋体" w:hAnsi="宋体" w:eastAsia="宋体" w:cs="宋体"/>
          <w:color w:val="auto"/>
          <w:sz w:val="28"/>
          <w:szCs w:val="144"/>
        </w:rPr>
        <w:fldChar w:fldCharType="begin"/>
      </w:r>
      <w:r>
        <w:rPr>
          <w:rFonts w:hint="eastAsia" w:ascii="宋体" w:hAnsi="宋体" w:eastAsia="宋体" w:cs="宋体"/>
          <w:sz w:val="28"/>
          <w:szCs w:val="144"/>
        </w:rPr>
        <w:instrText xml:space="preserve"> HYPERLINK \l _Toc27414 </w:instrText>
      </w:r>
      <w:r>
        <w:rPr>
          <w:rFonts w:hint="eastAsia" w:ascii="宋体" w:hAnsi="宋体" w:eastAsia="宋体" w:cs="宋体"/>
          <w:sz w:val="28"/>
          <w:szCs w:val="144"/>
        </w:rPr>
        <w:fldChar w:fldCharType="separate"/>
      </w:r>
      <w:r>
        <w:rPr>
          <w:rFonts w:hint="eastAsia" w:ascii="宋体" w:hAnsi="宋体" w:eastAsia="宋体" w:cs="宋体"/>
          <w:sz w:val="28"/>
          <w:szCs w:val="28"/>
        </w:rPr>
        <w:t xml:space="preserve">第五部分 </w:t>
      </w:r>
      <w:r>
        <w:rPr>
          <w:rFonts w:hint="eastAsia" w:ascii="宋体" w:hAnsi="宋体" w:eastAsia="宋体" w:cs="宋体"/>
          <w:sz w:val="28"/>
          <w:szCs w:val="28"/>
          <w:highlight w:val="none"/>
          <w:lang w:val="en-US" w:eastAsia="zh-CN"/>
        </w:rPr>
        <w:t>采购内容及技术要求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_Toc27414 \h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color w:val="auto"/>
          <w:sz w:val="28"/>
          <w:szCs w:val="144"/>
        </w:rPr>
        <w:fldChar w:fldCharType="end"/>
      </w:r>
    </w:p>
    <w:p w14:paraId="6DB3B324">
      <w:pPr>
        <w:pStyle w:val="32"/>
        <w:tabs>
          <w:tab w:val="right" w:leader="dot" w:pos="9060"/>
        </w:tabs>
        <w:spacing w:line="480" w:lineRule="auto"/>
        <w:rPr>
          <w:rFonts w:hint="eastAsia" w:ascii="宋体" w:hAnsi="宋体" w:eastAsia="宋体" w:cs="宋体"/>
          <w:sz w:val="28"/>
          <w:szCs w:val="28"/>
        </w:rPr>
      </w:pPr>
      <w:r>
        <w:rPr>
          <w:rFonts w:hint="eastAsia" w:ascii="宋体" w:hAnsi="宋体" w:eastAsia="宋体" w:cs="宋体"/>
          <w:color w:val="auto"/>
          <w:sz w:val="28"/>
          <w:szCs w:val="144"/>
        </w:rPr>
        <w:fldChar w:fldCharType="begin"/>
      </w:r>
      <w:r>
        <w:rPr>
          <w:rFonts w:hint="eastAsia" w:ascii="宋体" w:hAnsi="宋体" w:eastAsia="宋体" w:cs="宋体"/>
          <w:sz w:val="28"/>
          <w:szCs w:val="144"/>
        </w:rPr>
        <w:instrText xml:space="preserve"> HYPERLINK \l _Toc6963 </w:instrText>
      </w:r>
      <w:r>
        <w:rPr>
          <w:rFonts w:hint="eastAsia" w:ascii="宋体" w:hAnsi="宋体" w:eastAsia="宋体" w:cs="宋体"/>
          <w:sz w:val="28"/>
          <w:szCs w:val="144"/>
        </w:rPr>
        <w:fldChar w:fldCharType="separate"/>
      </w:r>
      <w:r>
        <w:rPr>
          <w:rFonts w:hint="eastAsia" w:ascii="宋体" w:hAnsi="宋体" w:eastAsia="宋体" w:cs="宋体"/>
          <w:sz w:val="28"/>
          <w:szCs w:val="28"/>
        </w:rPr>
        <w:t>第六部分  商务及合同主要条款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_Toc6963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color w:val="auto"/>
          <w:sz w:val="28"/>
          <w:szCs w:val="144"/>
        </w:rPr>
        <w:fldChar w:fldCharType="end"/>
      </w:r>
    </w:p>
    <w:p w14:paraId="7E8A2C14">
      <w:pPr>
        <w:pStyle w:val="32"/>
        <w:tabs>
          <w:tab w:val="right" w:leader="dot" w:pos="9060"/>
        </w:tabs>
        <w:spacing w:line="480" w:lineRule="auto"/>
        <w:rPr>
          <w:rFonts w:hint="eastAsia" w:ascii="宋体" w:hAnsi="宋体" w:eastAsia="宋体" w:cs="宋体"/>
          <w:sz w:val="28"/>
          <w:szCs w:val="28"/>
        </w:rPr>
      </w:pPr>
      <w:r>
        <w:rPr>
          <w:rFonts w:hint="eastAsia" w:ascii="宋体" w:hAnsi="宋体" w:eastAsia="宋体" w:cs="宋体"/>
          <w:color w:val="auto"/>
          <w:sz w:val="28"/>
          <w:szCs w:val="144"/>
        </w:rPr>
        <w:fldChar w:fldCharType="begin"/>
      </w:r>
      <w:r>
        <w:rPr>
          <w:rFonts w:hint="eastAsia" w:ascii="宋体" w:hAnsi="宋体" w:eastAsia="宋体" w:cs="宋体"/>
          <w:sz w:val="28"/>
          <w:szCs w:val="144"/>
        </w:rPr>
        <w:instrText xml:space="preserve"> HYPERLINK \l _Toc26708 </w:instrText>
      </w:r>
      <w:r>
        <w:rPr>
          <w:rFonts w:hint="eastAsia" w:ascii="宋体" w:hAnsi="宋体" w:eastAsia="宋体" w:cs="宋体"/>
          <w:sz w:val="28"/>
          <w:szCs w:val="144"/>
        </w:rPr>
        <w:fldChar w:fldCharType="separate"/>
      </w:r>
      <w:r>
        <w:rPr>
          <w:rFonts w:hint="eastAsia" w:ascii="宋体" w:hAnsi="宋体" w:eastAsia="宋体" w:cs="宋体"/>
          <w:sz w:val="28"/>
          <w:szCs w:val="28"/>
        </w:rPr>
        <w:t>第七部分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_Toc26708 \h </w:instrText>
      </w:r>
      <w:r>
        <w:rPr>
          <w:rFonts w:hint="eastAsia" w:ascii="宋体" w:hAnsi="宋体" w:eastAsia="宋体" w:cs="宋体"/>
          <w:sz w:val="28"/>
          <w:szCs w:val="28"/>
        </w:rPr>
        <w:fldChar w:fldCharType="separate"/>
      </w:r>
      <w:r>
        <w:rPr>
          <w:rFonts w:hint="eastAsia" w:ascii="宋体" w:hAnsi="宋体" w:eastAsia="宋体" w:cs="宋体"/>
          <w:sz w:val="28"/>
          <w:szCs w:val="28"/>
        </w:rPr>
        <w:t>38</w:t>
      </w:r>
      <w:r>
        <w:rPr>
          <w:rFonts w:hint="eastAsia" w:ascii="宋体" w:hAnsi="宋体" w:eastAsia="宋体" w:cs="宋体"/>
          <w:sz w:val="28"/>
          <w:szCs w:val="28"/>
        </w:rPr>
        <w:fldChar w:fldCharType="end"/>
      </w:r>
      <w:r>
        <w:rPr>
          <w:rFonts w:hint="eastAsia" w:ascii="宋体" w:hAnsi="宋体" w:eastAsia="宋体" w:cs="宋体"/>
          <w:color w:val="auto"/>
          <w:sz w:val="28"/>
          <w:szCs w:val="144"/>
        </w:rPr>
        <w:fldChar w:fldCharType="end"/>
      </w:r>
    </w:p>
    <w:p w14:paraId="02794D55">
      <w:pPr>
        <w:pStyle w:val="6"/>
        <w:tabs>
          <w:tab w:val="left" w:pos="206"/>
        </w:tabs>
        <w:spacing w:line="480" w:lineRule="auto"/>
        <w:jc w:val="left"/>
        <w:rPr>
          <w:rFonts w:hint="eastAsia" w:ascii="宋体" w:hAnsi="宋体" w:eastAsia="宋体" w:cs="宋体"/>
          <w:color w:val="auto"/>
        </w:rPr>
      </w:pPr>
      <w:r>
        <w:rPr>
          <w:rFonts w:hint="eastAsia" w:ascii="宋体" w:hAnsi="宋体" w:eastAsia="宋体" w:cs="宋体"/>
          <w:color w:val="auto"/>
          <w:sz w:val="48"/>
          <w:szCs w:val="144"/>
        </w:rPr>
        <w:fldChar w:fldCharType="end"/>
      </w:r>
      <w:bookmarkStart w:id="7" w:name="_Toc19543333"/>
    </w:p>
    <w:p w14:paraId="5F2502E0">
      <w:pPr>
        <w:bidi w:val="0"/>
        <w:rPr>
          <w:rFonts w:hint="eastAsia" w:ascii="宋体" w:hAnsi="宋体" w:eastAsia="宋体" w:cs="宋体"/>
          <w:color w:val="auto"/>
        </w:rPr>
      </w:pPr>
    </w:p>
    <w:p w14:paraId="4140417B">
      <w:pPr>
        <w:bidi w:val="0"/>
        <w:rPr>
          <w:rFonts w:hint="eastAsia" w:ascii="宋体" w:hAnsi="宋体" w:eastAsia="宋体" w:cs="宋体"/>
          <w:color w:val="auto"/>
        </w:rPr>
      </w:pPr>
    </w:p>
    <w:p w14:paraId="005F8B2E">
      <w:pPr>
        <w:bidi w:val="0"/>
        <w:rPr>
          <w:rFonts w:hint="eastAsia" w:ascii="宋体" w:hAnsi="宋体" w:eastAsia="宋体" w:cs="宋体"/>
          <w:color w:val="auto"/>
        </w:rPr>
      </w:pPr>
    </w:p>
    <w:p w14:paraId="0CD5D283">
      <w:pPr>
        <w:bidi w:val="0"/>
        <w:rPr>
          <w:rFonts w:hint="eastAsia" w:ascii="宋体" w:hAnsi="宋体" w:eastAsia="宋体" w:cs="宋体"/>
          <w:color w:val="auto"/>
        </w:rPr>
      </w:pPr>
    </w:p>
    <w:p w14:paraId="496D1338">
      <w:pPr>
        <w:bidi w:val="0"/>
        <w:rPr>
          <w:rFonts w:hint="eastAsia" w:ascii="宋体" w:hAnsi="宋体" w:eastAsia="宋体" w:cs="宋体"/>
          <w:color w:val="auto"/>
        </w:rPr>
      </w:pPr>
    </w:p>
    <w:p w14:paraId="0370D3DA">
      <w:pPr>
        <w:bidi w:val="0"/>
        <w:rPr>
          <w:rFonts w:hint="eastAsia" w:ascii="宋体" w:hAnsi="宋体" w:eastAsia="宋体" w:cs="宋体"/>
          <w:color w:val="auto"/>
        </w:rPr>
      </w:pPr>
    </w:p>
    <w:p w14:paraId="778B997D">
      <w:pPr>
        <w:bidi w:val="0"/>
        <w:rPr>
          <w:rFonts w:hint="eastAsia" w:ascii="宋体" w:hAnsi="宋体" w:eastAsia="宋体" w:cs="宋体"/>
          <w:color w:val="auto"/>
        </w:rPr>
      </w:pPr>
    </w:p>
    <w:p w14:paraId="3DCE4BB2">
      <w:pPr>
        <w:tabs>
          <w:tab w:val="left" w:pos="6811"/>
        </w:tabs>
        <w:bidi w:val="0"/>
        <w:jc w:val="left"/>
        <w:rPr>
          <w:rFonts w:hint="eastAsia" w:ascii="宋体" w:hAnsi="宋体" w:eastAsia="宋体" w:cs="宋体"/>
          <w:color w:val="auto"/>
          <w:lang w:eastAsia="zh-CN"/>
        </w:rPr>
        <w:sectPr>
          <w:footerReference r:id="rId7" w:type="first"/>
          <w:footerReference r:id="rId6" w:type="default"/>
          <w:pgSz w:w="11906" w:h="16838"/>
          <w:pgMar w:top="1361" w:right="1423" w:bottom="1361" w:left="1423" w:header="1134" w:footer="992" w:gutter="0"/>
          <w:pgNumType w:fmt="decimal" w:start="1"/>
          <w:cols w:space="0" w:num="1"/>
          <w:titlePg/>
          <w:rtlGutter w:val="0"/>
          <w:docGrid w:type="lines" w:linePitch="317" w:charSpace="0"/>
        </w:sectPr>
      </w:pPr>
      <w:r>
        <w:rPr>
          <w:rFonts w:hint="eastAsia" w:ascii="宋体" w:hAnsi="宋体" w:eastAsia="宋体" w:cs="宋体"/>
          <w:color w:val="auto"/>
          <w:lang w:eastAsia="zh-CN"/>
        </w:rPr>
        <w:tab/>
      </w:r>
    </w:p>
    <w:p w14:paraId="728E293A">
      <w:pPr>
        <w:pStyle w:val="6"/>
        <w:tabs>
          <w:tab w:val="left" w:pos="206"/>
        </w:tabs>
        <w:spacing w:line="360" w:lineRule="auto"/>
        <w:jc w:val="left"/>
        <w:rPr>
          <w:rFonts w:hint="eastAsia" w:ascii="宋体" w:hAnsi="宋体" w:eastAsia="宋体" w:cs="宋体"/>
          <w:color w:val="auto"/>
        </w:rPr>
      </w:pPr>
      <w:r>
        <w:rPr>
          <w:rFonts w:hint="eastAsia" w:ascii="宋体" w:hAnsi="宋体" w:eastAsia="宋体" w:cs="宋体"/>
          <w:color w:val="auto"/>
        </w:rPr>
        <w:tab/>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rPr>
        <w:t xml:space="preserve"> </w:t>
      </w:r>
      <w:bookmarkStart w:id="8" w:name="_Toc15880"/>
      <w:r>
        <w:rPr>
          <w:rFonts w:hint="eastAsia" w:ascii="宋体" w:hAnsi="宋体" w:eastAsia="宋体" w:cs="宋体"/>
          <w:color w:val="auto"/>
        </w:rPr>
        <w:t xml:space="preserve">第一部分  </w:t>
      </w:r>
      <w:bookmarkStart w:id="9" w:name="OLE_LINK1"/>
      <w:bookmarkStart w:id="10" w:name="OLE_LINK4"/>
      <w:r>
        <w:rPr>
          <w:rFonts w:hint="eastAsia" w:ascii="宋体" w:hAnsi="宋体" w:eastAsia="宋体" w:cs="宋体"/>
          <w:color w:val="auto"/>
        </w:rPr>
        <w:t>竞争性磋商公告</w:t>
      </w:r>
      <w:bookmarkEnd w:id="1"/>
      <w:bookmarkEnd w:id="2"/>
      <w:bookmarkEnd w:id="3"/>
      <w:bookmarkEnd w:id="7"/>
      <w:bookmarkEnd w:id="8"/>
    </w:p>
    <w:bookmarkEnd w:id="4"/>
    <w:bookmarkEnd w:id="9"/>
    <w:bookmarkEnd w:id="10"/>
    <w:p w14:paraId="37B8FC82">
      <w:pPr>
        <w:pStyle w:val="205"/>
        <w:keepNext w:val="0"/>
        <w:keepLines w:val="0"/>
        <w:pageBreakBefore w:val="0"/>
        <w:widowControl/>
        <w:kinsoku/>
        <w:wordWrap/>
        <w:overflowPunct/>
        <w:topLinePunct w:val="0"/>
        <w:autoSpaceDE/>
        <w:autoSpaceDN/>
        <w:bidi w:val="0"/>
        <w:adjustRightInd/>
        <w:snapToGrid/>
        <w:spacing w:line="400" w:lineRule="exact"/>
        <w:textAlignment w:val="auto"/>
        <w:outlineLvl w:val="5"/>
        <w:rPr>
          <w:rFonts w:hint="eastAsia" w:ascii="宋体" w:hAnsi="宋体" w:eastAsia="宋体" w:cs="宋体"/>
          <w:sz w:val="24"/>
          <w:szCs w:val="24"/>
        </w:rPr>
      </w:pPr>
      <w:bookmarkStart w:id="11" w:name="_Toc536429370"/>
      <w:bookmarkStart w:id="12" w:name="_Toc5018"/>
      <w:bookmarkStart w:id="13" w:name="_Toc536202377"/>
      <w:bookmarkStart w:id="14" w:name="_Toc536202283"/>
      <w:bookmarkStart w:id="15" w:name="_Toc536429317"/>
      <w:r>
        <w:rPr>
          <w:rFonts w:hint="eastAsia" w:ascii="宋体" w:hAnsi="宋体" w:eastAsia="宋体" w:cs="宋体"/>
          <w:b/>
          <w:sz w:val="24"/>
          <w:szCs w:val="24"/>
        </w:rPr>
        <w:t>项目概况</w:t>
      </w:r>
    </w:p>
    <w:p w14:paraId="7F00B2AC">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“一湖两岸”城文旅融合发展专项规划编制采购项目的潜在供应商应在全国公共资源交易平台（陕西省 安康市）获取采购文件，并于 2025年11月04日14时00分 （北京时间）前提交响应文件。</w:t>
      </w:r>
    </w:p>
    <w:p w14:paraId="75B0B874">
      <w:pPr>
        <w:pStyle w:val="205"/>
        <w:keepNext w:val="0"/>
        <w:keepLines w:val="0"/>
        <w:pageBreakBefore w:val="0"/>
        <w:widowControl/>
        <w:kinsoku/>
        <w:wordWrap/>
        <w:overflowPunct/>
        <w:topLinePunct w:val="0"/>
        <w:autoSpaceDE/>
        <w:autoSpaceDN/>
        <w:bidi w:val="0"/>
        <w:adjustRightInd/>
        <w:snapToGrid/>
        <w:spacing w:line="40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46FD7395">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项目编号：LTZB-2025-020</w:t>
      </w:r>
    </w:p>
    <w:p w14:paraId="190CA009">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项目名称：“一湖两岸”城文旅融合发展专项规划编制采购项目</w:t>
      </w:r>
    </w:p>
    <w:p w14:paraId="7A527E43">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14:paraId="2C32BEB3">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预算金额：1,200,000.00元</w:t>
      </w:r>
    </w:p>
    <w:p w14:paraId="33FD3694">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1BD1D8E0">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合同包1(“一湖两岸”城文旅融合发展专项规划编制采购项目):</w:t>
      </w:r>
    </w:p>
    <w:p w14:paraId="7A0DD3DE">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合同包预算金额：1,200,000.00元</w:t>
      </w:r>
    </w:p>
    <w:p w14:paraId="0F20D09D">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合同包最高限价：1,200,000.00元</w:t>
      </w:r>
    </w:p>
    <w:tbl>
      <w:tblPr>
        <w:tblStyle w:val="4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656"/>
      </w:tblGrid>
      <w:tr w14:paraId="0E51C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35407B9F">
            <w:pPr>
              <w:pStyle w:val="205"/>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384" w:type="dxa"/>
            <w:vAlign w:val="center"/>
          </w:tcPr>
          <w:p w14:paraId="36405273">
            <w:pPr>
              <w:pStyle w:val="205"/>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1384" w:type="dxa"/>
            <w:vAlign w:val="center"/>
          </w:tcPr>
          <w:p w14:paraId="5CE95522">
            <w:pPr>
              <w:pStyle w:val="205"/>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1384" w:type="dxa"/>
            <w:vAlign w:val="center"/>
          </w:tcPr>
          <w:p w14:paraId="2FA625A2">
            <w:pPr>
              <w:pStyle w:val="205"/>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1384" w:type="dxa"/>
            <w:vAlign w:val="center"/>
          </w:tcPr>
          <w:p w14:paraId="42A538C3">
            <w:pPr>
              <w:pStyle w:val="205"/>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384" w:type="dxa"/>
            <w:vAlign w:val="center"/>
          </w:tcPr>
          <w:p w14:paraId="4A9FE3EA">
            <w:pPr>
              <w:pStyle w:val="205"/>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品目预算(元)</w:t>
            </w:r>
          </w:p>
        </w:tc>
      </w:tr>
      <w:tr w14:paraId="56972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5F8A5800">
            <w:pPr>
              <w:pStyle w:val="205"/>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1-1</w:t>
            </w:r>
          </w:p>
        </w:tc>
        <w:tc>
          <w:tcPr>
            <w:tcW w:w="1384" w:type="dxa"/>
            <w:vAlign w:val="center"/>
          </w:tcPr>
          <w:p w14:paraId="4D04736A">
            <w:pPr>
              <w:pStyle w:val="205"/>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其他专业技术服务</w:t>
            </w:r>
          </w:p>
        </w:tc>
        <w:tc>
          <w:tcPr>
            <w:tcW w:w="1384" w:type="dxa"/>
            <w:vAlign w:val="center"/>
          </w:tcPr>
          <w:p w14:paraId="704F7312">
            <w:pPr>
              <w:pStyle w:val="205"/>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”一湖两岸“城文旅融合发展专项规划编制项目</w:t>
            </w:r>
          </w:p>
        </w:tc>
        <w:tc>
          <w:tcPr>
            <w:tcW w:w="1384" w:type="dxa"/>
            <w:vAlign w:val="center"/>
          </w:tcPr>
          <w:p w14:paraId="72AC3A83">
            <w:pPr>
              <w:pStyle w:val="205"/>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1(项)</w:t>
            </w:r>
          </w:p>
        </w:tc>
        <w:tc>
          <w:tcPr>
            <w:tcW w:w="1384" w:type="dxa"/>
            <w:vAlign w:val="center"/>
          </w:tcPr>
          <w:p w14:paraId="3952B4BC">
            <w:pPr>
              <w:pStyle w:val="205"/>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1384" w:type="dxa"/>
            <w:vAlign w:val="center"/>
          </w:tcPr>
          <w:p w14:paraId="5E755807">
            <w:pPr>
              <w:pStyle w:val="205"/>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1,200,000.00</w:t>
            </w:r>
          </w:p>
        </w:tc>
      </w:tr>
    </w:tbl>
    <w:p w14:paraId="562FBF72">
      <w:pPr>
        <w:pStyle w:val="205"/>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479F6176">
      <w:pPr>
        <w:pStyle w:val="205"/>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合同履行期限：自合同签订之日起120日历天完成本项目</w:t>
      </w:r>
    </w:p>
    <w:p w14:paraId="347CBCE4">
      <w:pPr>
        <w:pStyle w:val="205"/>
        <w:keepNext w:val="0"/>
        <w:keepLines w:val="0"/>
        <w:pageBreakBefore w:val="0"/>
        <w:widowControl/>
        <w:kinsoku/>
        <w:wordWrap/>
        <w:overflowPunct/>
        <w:topLinePunct w:val="0"/>
        <w:autoSpaceDE/>
        <w:autoSpaceDN/>
        <w:bidi w:val="0"/>
        <w:adjustRightInd/>
        <w:snapToGrid/>
        <w:spacing w:line="40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53A9A208">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77F3A603">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44B1F2D1">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合同包1(“一湖两岸”城文旅融合发展专项规划编制采购项目)落实政府采购政策需满足的资格要求如下:</w:t>
      </w:r>
    </w:p>
    <w:p w14:paraId="0B43ED43">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依据《中华人民共和国政府采购法》和《中华人民共和国政府采购法实施条例》的有关规定，落实政府采购“优先购买节能环保产品、扶持小微企业、监狱企业、福利企业”等相关政策：</w:t>
      </w:r>
      <w:r>
        <w:rPr>
          <w:rFonts w:hint="eastAsia" w:ascii="宋体" w:hAnsi="宋体" w:eastAsia="宋体" w:cs="宋体"/>
          <w:sz w:val="24"/>
          <w:szCs w:val="24"/>
        </w:rPr>
        <w:br w:type="textWrapping"/>
      </w: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3.《财政部发展改革委生态环境部市场监管总局关于调整优化节能产品、环境标志产品政府采购执行机制的通知》（财库〔2019〕9号）；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4.《财政部民政部中国残疾人联合会关于促进残疾人就业政府采购政策的通知》（财库〔2017〕141号）；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5.《财政部农业农村部国家乡村振兴局关于运用政府采购政策支持乡村产业振兴的通知》财库〔2021〕19号；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6.《陕西省财政厅关于加快推进我省中小企业政府采购信用融资工作的通知》（陕 财办采〔2020〕15 号）、陕西省财政厅关于印发《陕西省中小企业政府采购信用融资办 法》（陕财办采〔2018〕23 号）；</w:t>
      </w:r>
      <w:r>
        <w:rPr>
          <w:rFonts w:hint="eastAsia" w:ascii="宋体" w:hAnsi="宋体" w:eastAsia="宋体" w:cs="宋体"/>
          <w:sz w:val="24"/>
          <w:szCs w:val="24"/>
        </w:rPr>
        <w:br w:type="textWrapping"/>
      </w:r>
      <w:r>
        <w:rPr>
          <w:rFonts w:hint="eastAsia" w:ascii="宋体" w:hAnsi="宋体" w:eastAsia="宋体" w:cs="宋体"/>
          <w:sz w:val="24"/>
          <w:szCs w:val="24"/>
        </w:rPr>
        <w:t>7.其他需要落实的政府采购政策。</w:t>
      </w:r>
    </w:p>
    <w:p w14:paraId="4F9B2005">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36F42826">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合同包1(“一湖两岸”城文旅融合发展专项规划编制采购项目)特定资格要求如下:</w:t>
      </w:r>
    </w:p>
    <w:p w14:paraId="106E63B6">
      <w:pPr>
        <w:pStyle w:val="205"/>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sz w:val="24"/>
          <w:szCs w:val="24"/>
        </w:rPr>
        <w:br w:type="textWrapping"/>
      </w:r>
      <w:r>
        <w:rPr>
          <w:rFonts w:hint="eastAsia" w:ascii="宋体" w:hAnsi="宋体" w:eastAsia="宋体" w:cs="宋体"/>
          <w:sz w:val="24"/>
          <w:szCs w:val="24"/>
        </w:rPr>
        <w:t>（2）法定代表人授权书及被授权人身份证复印件（法定代表人直接投标只需提交其身份证明资料）。</w:t>
      </w:r>
      <w:r>
        <w:rPr>
          <w:rFonts w:hint="eastAsia" w:ascii="宋体" w:hAnsi="宋体" w:eastAsia="宋体" w:cs="宋体"/>
          <w:sz w:val="24"/>
          <w:szCs w:val="24"/>
        </w:rPr>
        <w:br w:type="textWrapping"/>
      </w:r>
      <w:r>
        <w:rPr>
          <w:rFonts w:hint="eastAsia" w:ascii="宋体" w:hAnsi="宋体" w:eastAsia="宋体" w:cs="宋体"/>
          <w:sz w:val="24"/>
          <w:szCs w:val="24"/>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r>
        <w:rPr>
          <w:rFonts w:hint="eastAsia" w:ascii="宋体" w:hAnsi="宋体" w:eastAsia="宋体" w:cs="宋体"/>
          <w:sz w:val="24"/>
          <w:szCs w:val="24"/>
        </w:rPr>
        <w:br w:type="textWrapping"/>
      </w:r>
      <w:r>
        <w:rPr>
          <w:rFonts w:hint="eastAsia" w:ascii="宋体" w:hAnsi="宋体" w:eastAsia="宋体" w:cs="宋体"/>
          <w:sz w:val="24"/>
          <w:szCs w:val="24"/>
        </w:rPr>
        <w:t>（4）书面声明：投标人必须提供参加政府采购活动前3年内在经营活动中没有重大违法记录的书面声明。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（5）财务状况报告：提供2023年度或2024年度经审计的财务审计报告或投标截止时间前六个月内基本开户银行出具的资信证明（成立时间至提交响应文件截止时间不足一年的可提供成立后任意时段的资产负债表）。</w:t>
      </w:r>
      <w:r>
        <w:rPr>
          <w:rFonts w:hint="eastAsia" w:ascii="宋体" w:hAnsi="宋体" w:eastAsia="宋体" w:cs="宋体"/>
          <w:sz w:val="24"/>
          <w:szCs w:val="24"/>
        </w:rPr>
        <w:br w:type="textWrapping"/>
      </w:r>
      <w:r>
        <w:rPr>
          <w:rFonts w:hint="eastAsia" w:ascii="宋体" w:hAnsi="宋体" w:eastAsia="宋体" w:cs="宋体"/>
          <w:sz w:val="24"/>
          <w:szCs w:val="24"/>
        </w:rPr>
        <w:t>（6）税收缴纳证明：提供2025年1月至今任意一个月缴纳的纳税证明或完税证明，依法免税或缓缴的单位应提供相关证明材料，纳税证明或完税证明上应有代收机构或税务机关的公章或业务专用章（成立时间至提交投标文件截止时间不足三个月的可不提供）。</w:t>
      </w:r>
      <w:r>
        <w:rPr>
          <w:rFonts w:hint="eastAsia" w:ascii="宋体" w:hAnsi="宋体" w:eastAsia="宋体" w:cs="宋体"/>
          <w:sz w:val="24"/>
          <w:szCs w:val="24"/>
        </w:rPr>
        <w:br w:type="textWrapping"/>
      </w:r>
      <w:r>
        <w:rPr>
          <w:rFonts w:hint="eastAsia" w:ascii="宋体" w:hAnsi="宋体" w:eastAsia="宋体" w:cs="宋体"/>
          <w:sz w:val="24"/>
          <w:szCs w:val="24"/>
        </w:rPr>
        <w:t>（7）社会保障资金缴纳证明：提供2025年1月至今任意一个月社会保障资金缴存单据或社保机构开具的社会保险参保缴费情况证明，依法不需要缴纳社会保障资金的单位应提供相关证明材料，单据或证明上应有社保机构或代收机构的印章（成立时间至提交投标文件截止时间不足三个月的可不提供）。</w:t>
      </w:r>
      <w:r>
        <w:rPr>
          <w:rFonts w:hint="eastAsia" w:ascii="宋体" w:hAnsi="宋体" w:eastAsia="宋体" w:cs="宋体"/>
          <w:sz w:val="24"/>
          <w:szCs w:val="24"/>
        </w:rPr>
        <w:br w:type="textWrapping"/>
      </w:r>
      <w:r>
        <w:rPr>
          <w:rFonts w:hint="eastAsia" w:ascii="宋体" w:hAnsi="宋体" w:eastAsia="宋体" w:cs="宋体"/>
          <w:sz w:val="24"/>
          <w:szCs w:val="24"/>
        </w:rPr>
        <w:t>（8）投标人须具有【城乡规划编制甲级】资质。</w:t>
      </w:r>
      <w:r>
        <w:rPr>
          <w:rFonts w:hint="eastAsia" w:ascii="宋体" w:hAnsi="宋体" w:eastAsia="宋体" w:cs="宋体"/>
          <w:sz w:val="24"/>
          <w:szCs w:val="24"/>
        </w:rPr>
        <w:br w:type="textWrapping"/>
      </w:r>
      <w:r>
        <w:rPr>
          <w:rFonts w:hint="eastAsia" w:ascii="宋体" w:hAnsi="宋体" w:eastAsia="宋体" w:cs="宋体"/>
          <w:sz w:val="24"/>
          <w:szCs w:val="24"/>
        </w:rPr>
        <w:t>（9）本项目不接受联合体投标。</w:t>
      </w:r>
    </w:p>
    <w:p w14:paraId="12B96B3E">
      <w:pPr>
        <w:pStyle w:val="205"/>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4F21DD9F">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时间：2025年10月23日至2025年10月29日 ，每天上午08:00:00至 12:00:00 ，下午14:00:00至18:00:00 （北京时间）</w:t>
      </w:r>
    </w:p>
    <w:p w14:paraId="5CF2DD79">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途径：全国公共资源交易平台（陕西省 安康市）</w:t>
      </w:r>
    </w:p>
    <w:p w14:paraId="1459AD90">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方式：在线获取</w:t>
      </w:r>
    </w:p>
    <w:p w14:paraId="16AAABF3">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 0元</w:t>
      </w:r>
    </w:p>
    <w:p w14:paraId="66B5D83A">
      <w:pPr>
        <w:pStyle w:val="205"/>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7A06549C">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截止时间：2025年11月04日14时00分00秒 （北京时间）</w:t>
      </w:r>
    </w:p>
    <w:p w14:paraId="1DA31C57">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地点：全国公共资源交易平台（陕西省 安康市）</w:t>
      </w:r>
    </w:p>
    <w:p w14:paraId="04222102">
      <w:pPr>
        <w:pStyle w:val="205"/>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74648E43">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时间：2025年11月04日14时00分00秒 （北京时间）</w:t>
      </w:r>
    </w:p>
    <w:p w14:paraId="273D6E87">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地点：安康不见面开标大厅系统</w:t>
      </w:r>
    </w:p>
    <w:p w14:paraId="36AF2775">
      <w:pPr>
        <w:pStyle w:val="205"/>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7046FD8B">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0C808055">
      <w:pPr>
        <w:pStyle w:val="205"/>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6C4A0E7D">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FFFFF"/>
        </w:rPr>
        <w:t>备注：（1）获取须知：投标供应商使用捆绑省交易平台的CA锁登录电子交易平台，选择电子交易平台中的陕西政府采购交易系统企业端进行登录，登录后选择“交易乙方”身份进入供应商界面进行网上报名。（2）网上投标未成功或未在规定时间内在平台上下载文件的，导致无法完成后续流程的责任自负。（3）本项目采用电子化投标及远程不见面开标方式，相关操作流程详见全国公共资源交易平台（陕西省）网站[服务指南－下载专区]中的《陕西省公共资源交易中心政府采购项目投标指南》。开标前，供应商需登录网络开标大厅。开标时，按照工作人员要求进行远程解密，如因供应商自身原因造成无法签到或解密投标文件，按无效投标对待。（4）电子投标文件技术支持：4009280095、4009980000。（5）请各供应商获取采购文件后，按照陕西省财政厅《关于政府采购供应商注册登记有关事项的通知》要求，通过陕西省政府采购网注册登记加入陕西省政府采购供应商库。</w:t>
      </w:r>
    </w:p>
    <w:p w14:paraId="638A7F49">
      <w:pPr>
        <w:pStyle w:val="205"/>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367E83FE">
      <w:pPr>
        <w:pStyle w:val="205"/>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41886F66">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名称：安康市住房和城乡建设局</w:t>
      </w:r>
    </w:p>
    <w:p w14:paraId="098E9B63">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地址：安康市汉滨区滨江大道1号建设大厦</w:t>
      </w:r>
    </w:p>
    <w:p w14:paraId="26419A90">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联系方式：15309150915</w:t>
      </w:r>
    </w:p>
    <w:p w14:paraId="040C1EBA">
      <w:pPr>
        <w:pStyle w:val="205"/>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272CF806">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名称：兰天项目管理有限公司</w:t>
      </w:r>
    </w:p>
    <w:p w14:paraId="5F2CC8C3">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地址：陕西省西安市碑林区红缨路9号豪盛大厦A座10604室</w:t>
      </w:r>
    </w:p>
    <w:p w14:paraId="02795530">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联系方式：13571922922</w:t>
      </w:r>
    </w:p>
    <w:p w14:paraId="7D84408B">
      <w:pPr>
        <w:pStyle w:val="205"/>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358EA7C2">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项目联系人：郭先生</w:t>
      </w:r>
    </w:p>
    <w:p w14:paraId="47A935C8">
      <w:pPr>
        <w:pStyle w:val="20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电话：13571922922</w:t>
      </w:r>
    </w:p>
    <w:p w14:paraId="4FCEBC87">
      <w:pPr>
        <w:pStyle w:val="205"/>
        <w:jc w:val="right"/>
        <w:rPr>
          <w:rFonts w:hint="eastAsia" w:ascii="宋体" w:hAnsi="宋体" w:eastAsia="宋体" w:cs="宋体"/>
          <w:sz w:val="24"/>
          <w:szCs w:val="24"/>
        </w:rPr>
      </w:pPr>
    </w:p>
    <w:p w14:paraId="0B334A9C">
      <w:pPr>
        <w:pStyle w:val="205"/>
        <w:jc w:val="right"/>
        <w:rPr>
          <w:rFonts w:hint="eastAsia" w:ascii="宋体" w:hAnsi="宋体" w:eastAsia="宋体" w:cs="宋体"/>
          <w:sz w:val="24"/>
          <w:szCs w:val="24"/>
        </w:rPr>
      </w:pPr>
    </w:p>
    <w:p w14:paraId="5602FB15">
      <w:pPr>
        <w:pStyle w:val="205"/>
        <w:jc w:val="right"/>
        <w:rPr>
          <w:rFonts w:hint="eastAsia" w:ascii="宋体" w:hAnsi="宋体" w:eastAsia="宋体" w:cs="宋体"/>
          <w:sz w:val="24"/>
          <w:szCs w:val="24"/>
        </w:rPr>
      </w:pPr>
    </w:p>
    <w:p w14:paraId="42E694A3">
      <w:pPr>
        <w:pStyle w:val="205"/>
        <w:jc w:val="right"/>
        <w:rPr>
          <w:rFonts w:hint="eastAsia" w:ascii="宋体" w:hAnsi="宋体" w:eastAsia="宋体" w:cs="宋体"/>
          <w:sz w:val="24"/>
          <w:szCs w:val="24"/>
        </w:rPr>
      </w:pPr>
    </w:p>
    <w:p w14:paraId="73CF13B0">
      <w:pPr>
        <w:pStyle w:val="205"/>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兰天项目管理有限公司</w:t>
      </w:r>
    </w:p>
    <w:p w14:paraId="527D543E">
      <w:pPr>
        <w:keepNext w:val="0"/>
        <w:keepLines w:val="0"/>
        <w:pageBreakBefore w:val="0"/>
        <w:widowControl/>
        <w:kinsoku/>
        <w:wordWrap/>
        <w:overflowPunct/>
        <w:topLinePunct w:val="0"/>
        <w:autoSpaceDE/>
        <w:autoSpaceDN/>
        <w:bidi w:val="0"/>
        <w:adjustRightInd/>
        <w:spacing w:line="336" w:lineRule="auto"/>
        <w:jc w:val="center"/>
        <w:textAlignment w:val="auto"/>
        <w:rPr>
          <w:rFonts w:hint="eastAsia" w:ascii="宋体" w:hAnsi="宋体" w:eastAsia="宋体" w:cs="宋体"/>
          <w:b/>
          <w:bCs/>
          <w:color w:val="auto"/>
          <w:kern w:val="44"/>
          <w:sz w:val="32"/>
          <w:szCs w:val="32"/>
        </w:rPr>
      </w:pPr>
      <w:r>
        <w:rPr>
          <w:rFonts w:hint="eastAsia" w:ascii="宋体" w:hAnsi="宋体" w:eastAsia="宋体" w:cs="宋体"/>
          <w:sz w:val="24"/>
          <w:szCs w:val="24"/>
          <w:lang w:val="en-US" w:eastAsia="zh-CN"/>
        </w:rPr>
        <w:t xml:space="preserve">                                                 2025年10月22日</w:t>
      </w:r>
      <w:r>
        <w:rPr>
          <w:rFonts w:hint="eastAsia" w:ascii="宋体" w:hAnsi="宋体" w:eastAsia="宋体" w:cs="宋体"/>
          <w:b/>
          <w:bCs/>
          <w:color w:val="auto"/>
          <w:kern w:val="44"/>
          <w:sz w:val="32"/>
          <w:szCs w:val="32"/>
        </w:rPr>
        <w:br w:type="page"/>
      </w:r>
    </w:p>
    <w:p w14:paraId="74591FB1">
      <w:pPr>
        <w:widowControl/>
        <w:jc w:val="left"/>
        <w:rPr>
          <w:rFonts w:hint="eastAsia" w:ascii="宋体" w:hAnsi="宋体" w:eastAsia="宋体" w:cs="宋体"/>
          <w:b/>
          <w:bCs/>
          <w:color w:val="auto"/>
          <w:kern w:val="44"/>
          <w:sz w:val="32"/>
          <w:szCs w:val="32"/>
        </w:rPr>
      </w:pPr>
      <w:r>
        <w:rPr>
          <w:rFonts w:hint="eastAsia" w:ascii="宋体" w:hAnsi="宋体" w:eastAsia="宋体" w:cs="宋体"/>
          <w:b/>
          <w:bCs/>
          <w:color w:val="auto"/>
          <w:kern w:val="44"/>
          <w:sz w:val="32"/>
          <w:szCs w:val="32"/>
        </w:rPr>
        <w:t>特别提醒：</w:t>
      </w:r>
    </w:p>
    <w:p w14:paraId="130E27E8">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z w:val="24"/>
          <w:szCs w:val="24"/>
        </w:rPr>
        <w:t>本项目采用电子化投标及远程不见面开标方式（无需提供纸质版文件，无需到开标现场），开标时请务必携带数字认证证书，如因</w:t>
      </w:r>
      <w:r>
        <w:rPr>
          <w:rFonts w:hint="eastAsia" w:ascii="宋体" w:hAnsi="宋体" w:eastAsia="宋体" w:cs="宋体"/>
          <w:b/>
          <w:bCs/>
          <w:color w:val="auto"/>
          <w:sz w:val="24"/>
          <w:szCs w:val="24"/>
          <w:lang w:eastAsia="zh-CN"/>
        </w:rPr>
        <w:t>投标人</w:t>
      </w:r>
      <w:r>
        <w:rPr>
          <w:rFonts w:hint="eastAsia" w:ascii="宋体" w:hAnsi="宋体" w:eastAsia="宋体" w:cs="宋体"/>
          <w:b/>
          <w:bCs/>
          <w:color w:val="auto"/>
          <w:sz w:val="24"/>
          <w:szCs w:val="24"/>
        </w:rPr>
        <w:t>自身原因未携带数字认证证书造成无法解密投标文件，按无效投标对待。“不见面大厅”登录网址为：</w:t>
      </w:r>
    </w:p>
    <w:p w14:paraId="5BFAB2CE">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http://219.145.206.209/BidOpeningHall/bidopeninghallaction/hall/login（</w:t>
      </w:r>
      <w:r>
        <w:rPr>
          <w:rFonts w:hint="eastAsia" w:ascii="宋体" w:hAnsi="宋体" w:eastAsia="宋体" w:cs="宋体"/>
          <w:b/>
          <w:bCs/>
          <w:color w:val="auto"/>
          <w:sz w:val="24"/>
          <w:szCs w:val="24"/>
          <w:lang w:val="en-US" w:eastAsia="zh-CN"/>
        </w:rPr>
        <w:t>请各投标人下载最新驱动，详细操作请关注《关于陕西省公共资源交易平台多CA互认系统正式上线运行的通知》</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电子开标、评标无法进行时，按照《安康市公共资源交易平台电子化交易应急处置管理办法</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试行</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》规定执行。</w:t>
      </w:r>
    </w:p>
    <w:p w14:paraId="7B9510AE">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2.</w:t>
      </w:r>
      <w:r>
        <w:rPr>
          <w:rFonts w:hint="eastAsia" w:ascii="宋体" w:hAnsi="宋体" w:eastAsia="宋体" w:cs="宋体"/>
          <w:b/>
          <w:bCs/>
          <w:color w:val="auto"/>
          <w:kern w:val="0"/>
          <w:sz w:val="24"/>
          <w:szCs w:val="24"/>
        </w:rPr>
        <w:t>制作电子投标文件</w:t>
      </w:r>
    </w:p>
    <w:p w14:paraId="3403A8C3">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投标</w:t>
      </w:r>
      <w:r>
        <w:rPr>
          <w:rFonts w:hint="eastAsia" w:ascii="宋体" w:hAnsi="宋体" w:eastAsia="宋体" w:cs="宋体"/>
          <w:b/>
          <w:bCs/>
          <w:color w:val="auto"/>
          <w:kern w:val="0"/>
          <w:sz w:val="24"/>
          <w:szCs w:val="24"/>
          <w:lang w:eastAsia="zh-CN"/>
        </w:rPr>
        <w:t>投标人</w:t>
      </w:r>
      <w:r>
        <w:rPr>
          <w:rFonts w:hint="eastAsia" w:ascii="宋体" w:hAnsi="宋体" w:eastAsia="宋体" w:cs="宋体"/>
          <w:b/>
          <w:bCs/>
          <w:color w:val="auto"/>
          <w:kern w:val="0"/>
          <w:sz w:val="24"/>
          <w:szCs w:val="24"/>
        </w:rPr>
        <w:t>须在“全国公共资源交易中心平台（陕西省）（http</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rPr>
        <w:t>//www.sxggzyjy.cn/）”的“服务指南”栏目“下载专区”中，免费下载“陕西省公共资源交易平台政府采购电子标书制作工具</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rPr>
        <w:t>V8.0.0.2</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rPr>
        <w:t>”，并升级至最新版本，使用该客户端制作电子投标文件，制作扩展名为“.SXSTF”的电子投标文件。</w:t>
      </w:r>
    </w:p>
    <w:p w14:paraId="4ED90960">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递交电子投标文件</w:t>
      </w:r>
    </w:p>
    <w:p w14:paraId="208E56AE">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登录全国公共资源交易中心平台（陕西省）（http</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rPr>
        <w:t>//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71D3D4AC">
      <w:pPr>
        <w:pStyle w:val="68"/>
        <w:keepNext w:val="0"/>
        <w:keepLines w:val="0"/>
        <w:pageBreakBefore w:val="0"/>
        <w:kinsoku/>
        <w:wordWrap/>
        <w:overflowPunct/>
        <w:topLinePunct w:val="0"/>
        <w:autoSpaceDE/>
        <w:autoSpaceDN/>
        <w:bidi w:val="0"/>
        <w:adjustRightInd/>
        <w:spacing w:line="460" w:lineRule="exact"/>
        <w:ind w:firstLine="48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项目如有变更文件，则应点击“项目流程——答疑文件下载”下载更新后的电子</w:t>
      </w:r>
      <w:r>
        <w:rPr>
          <w:rFonts w:hint="eastAsia" w:ascii="宋体" w:hAnsi="宋体" w:eastAsia="宋体" w:cs="宋体"/>
          <w:b/>
          <w:bCs/>
          <w:color w:val="auto"/>
          <w:kern w:val="0"/>
          <w:sz w:val="24"/>
          <w:szCs w:val="24"/>
          <w:lang w:eastAsia="zh-CN"/>
        </w:rPr>
        <w:t>磋商文件</w:t>
      </w:r>
      <w:r>
        <w:rPr>
          <w:rFonts w:hint="eastAsia" w:ascii="宋体" w:hAnsi="宋体" w:eastAsia="宋体" w:cs="宋体"/>
          <w:b/>
          <w:bCs/>
          <w:color w:val="auto"/>
          <w:kern w:val="0"/>
          <w:sz w:val="24"/>
          <w:szCs w:val="24"/>
        </w:rPr>
        <w:t>（*.SXSCF），使用旧版电子</w:t>
      </w:r>
      <w:r>
        <w:rPr>
          <w:rFonts w:hint="eastAsia" w:ascii="宋体" w:hAnsi="宋体" w:eastAsia="宋体" w:cs="宋体"/>
          <w:b/>
          <w:bCs/>
          <w:color w:val="auto"/>
          <w:kern w:val="0"/>
          <w:sz w:val="24"/>
          <w:szCs w:val="24"/>
          <w:lang w:eastAsia="zh-CN"/>
        </w:rPr>
        <w:t>磋商文件</w:t>
      </w:r>
      <w:r>
        <w:rPr>
          <w:rFonts w:hint="eastAsia" w:ascii="宋体" w:hAnsi="宋体" w:eastAsia="宋体" w:cs="宋体"/>
          <w:b/>
          <w:bCs/>
          <w:color w:val="auto"/>
          <w:kern w:val="0"/>
          <w:sz w:val="24"/>
          <w:szCs w:val="24"/>
        </w:rPr>
        <w:t>制作的电子投标文件，系统将拒绝接收。</w:t>
      </w:r>
    </w:p>
    <w:p w14:paraId="0DB8752D">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460" w:lineRule="exact"/>
        <w:ind w:firstLine="482" w:firstLineChars="200"/>
        <w:jc w:val="left"/>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4.电子投标文件技术支持：4009280095.4009980000</w:t>
      </w:r>
    </w:p>
    <w:p w14:paraId="125C7801">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400" w:lineRule="exact"/>
        <w:ind w:firstLine="482"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5.投标投标人报名成功，如自愿放弃投标，应在开标前一个工作日以电子邮件或书面形式告知采购代理机构。投标人若未按此要求告知，采购代理机构将登记投标人不诚信信用记录，在一个自然年度进行综合考评，报采购监督管理部门。由此产生的一切后果由投标人自行承担。</w:t>
      </w:r>
    </w:p>
    <w:p w14:paraId="5CDFCAA3">
      <w:pPr>
        <w:widowControl/>
        <w:jc w:val="left"/>
        <w:rPr>
          <w:rFonts w:hint="eastAsia" w:ascii="宋体" w:hAnsi="宋体" w:eastAsia="宋体" w:cs="宋体"/>
          <w:b/>
          <w:bCs/>
          <w:color w:val="auto"/>
          <w:kern w:val="44"/>
          <w:sz w:val="32"/>
          <w:szCs w:val="32"/>
        </w:rPr>
      </w:pPr>
      <w:bookmarkStart w:id="16" w:name="_Toc19543334"/>
      <w:r>
        <w:rPr>
          <w:rFonts w:hint="eastAsia" w:ascii="宋体" w:hAnsi="宋体" w:eastAsia="宋体" w:cs="宋体"/>
          <w:color w:val="auto"/>
        </w:rPr>
        <w:br w:type="page"/>
      </w:r>
    </w:p>
    <w:p w14:paraId="64FB694F">
      <w:pPr>
        <w:pStyle w:val="6"/>
        <w:spacing w:line="360" w:lineRule="auto"/>
        <w:rPr>
          <w:rFonts w:hint="eastAsia" w:ascii="宋体" w:hAnsi="宋体" w:eastAsia="宋体" w:cs="宋体"/>
          <w:color w:val="auto"/>
        </w:rPr>
      </w:pPr>
      <w:bookmarkStart w:id="17" w:name="_Toc4524"/>
      <w:r>
        <w:rPr>
          <w:rFonts w:hint="eastAsia" w:ascii="宋体" w:hAnsi="宋体" w:eastAsia="宋体" w:cs="宋体"/>
          <w:color w:val="auto"/>
        </w:rPr>
        <w:t xml:space="preserve">第二部分  </w:t>
      </w:r>
      <w:r>
        <w:rPr>
          <w:rFonts w:hint="eastAsia" w:ascii="宋体" w:hAnsi="宋体" w:eastAsia="宋体" w:cs="宋体"/>
          <w:color w:val="auto"/>
          <w:lang w:eastAsia="zh-CN"/>
        </w:rPr>
        <w:t>投标人</w:t>
      </w:r>
      <w:r>
        <w:rPr>
          <w:rFonts w:hint="eastAsia" w:ascii="宋体" w:hAnsi="宋体" w:eastAsia="宋体" w:cs="宋体"/>
          <w:color w:val="auto"/>
        </w:rPr>
        <w:t>须知前附表</w:t>
      </w:r>
      <w:bookmarkEnd w:id="5"/>
      <w:bookmarkEnd w:id="6"/>
      <w:bookmarkEnd w:id="11"/>
      <w:bookmarkEnd w:id="12"/>
      <w:bookmarkEnd w:id="13"/>
      <w:bookmarkEnd w:id="14"/>
      <w:bookmarkEnd w:id="15"/>
      <w:bookmarkEnd w:id="16"/>
      <w:bookmarkEnd w:id="17"/>
    </w:p>
    <w:tbl>
      <w:tblPr>
        <w:tblStyle w:val="99"/>
        <w:tblW w:w="9758" w:type="dxa"/>
        <w:tblInd w:w="0" w:type="dxa"/>
        <w:tblLayout w:type="fixed"/>
        <w:tblCellMar>
          <w:top w:w="147" w:type="dxa"/>
          <w:left w:w="108" w:type="dxa"/>
          <w:bottom w:w="56" w:type="dxa"/>
          <w:right w:w="0" w:type="dxa"/>
        </w:tblCellMar>
      </w:tblPr>
      <w:tblGrid>
        <w:gridCol w:w="694"/>
        <w:gridCol w:w="2013"/>
        <w:gridCol w:w="7051"/>
      </w:tblGrid>
      <w:tr w14:paraId="4E2AC4A1">
        <w:tblPrEx>
          <w:tblCellMar>
            <w:top w:w="147" w:type="dxa"/>
            <w:left w:w="108" w:type="dxa"/>
            <w:bottom w:w="56" w:type="dxa"/>
            <w:right w:w="0" w:type="dxa"/>
          </w:tblCellMar>
        </w:tblPrEx>
        <w:trPr>
          <w:trHeight w:val="696" w:hRule="atLeast"/>
        </w:trPr>
        <w:tc>
          <w:tcPr>
            <w:tcW w:w="694" w:type="dxa"/>
            <w:tcBorders>
              <w:top w:val="single" w:color="000000" w:sz="4" w:space="0"/>
              <w:left w:val="single" w:color="000000" w:sz="4" w:space="0"/>
              <w:bottom w:val="single" w:color="000000" w:sz="4" w:space="0"/>
              <w:right w:val="single" w:color="000000" w:sz="4" w:space="0"/>
            </w:tcBorders>
            <w:vAlign w:val="center"/>
          </w:tcPr>
          <w:p w14:paraId="2F43BB56">
            <w:pPr>
              <w:spacing w:line="259"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013" w:type="dxa"/>
            <w:tcBorders>
              <w:top w:val="single" w:color="000000" w:sz="4" w:space="0"/>
              <w:left w:val="single" w:color="000000" w:sz="4" w:space="0"/>
              <w:bottom w:val="single" w:color="000000" w:sz="4" w:space="0"/>
              <w:right w:val="single" w:color="000000" w:sz="4" w:space="0"/>
            </w:tcBorders>
            <w:vAlign w:val="center"/>
          </w:tcPr>
          <w:p w14:paraId="544FA4C6">
            <w:pPr>
              <w:spacing w:line="259" w:lineRule="auto"/>
              <w:ind w:right="310"/>
              <w:jc w:val="center"/>
              <w:rPr>
                <w:rFonts w:hint="eastAsia" w:ascii="宋体" w:hAnsi="宋体" w:eastAsia="宋体" w:cs="宋体"/>
                <w:color w:val="auto"/>
                <w:sz w:val="24"/>
                <w:szCs w:val="24"/>
              </w:rPr>
            </w:pPr>
            <w:r>
              <w:rPr>
                <w:rFonts w:hint="eastAsia" w:ascii="宋体" w:hAnsi="宋体" w:eastAsia="宋体" w:cs="宋体"/>
                <w:color w:val="auto"/>
                <w:sz w:val="24"/>
                <w:szCs w:val="24"/>
              </w:rPr>
              <w:t>内 容</w:t>
            </w:r>
          </w:p>
        </w:tc>
        <w:tc>
          <w:tcPr>
            <w:tcW w:w="7051" w:type="dxa"/>
            <w:tcBorders>
              <w:top w:val="single" w:color="000000" w:sz="4" w:space="0"/>
              <w:left w:val="single" w:color="000000" w:sz="4" w:space="0"/>
              <w:bottom w:val="single" w:color="000000" w:sz="4" w:space="0"/>
              <w:right w:val="single" w:color="000000" w:sz="4" w:space="0"/>
            </w:tcBorders>
            <w:vAlign w:val="center"/>
          </w:tcPr>
          <w:p w14:paraId="271265C2">
            <w:pPr>
              <w:spacing w:line="259" w:lineRule="auto"/>
              <w:ind w:left="840" w:right="111"/>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说明与要求</w:t>
            </w:r>
          </w:p>
        </w:tc>
      </w:tr>
      <w:tr w14:paraId="04033B90">
        <w:tblPrEx>
          <w:tblCellMar>
            <w:top w:w="147" w:type="dxa"/>
            <w:left w:w="108" w:type="dxa"/>
            <w:bottom w:w="56" w:type="dxa"/>
            <w:right w:w="0" w:type="dxa"/>
          </w:tblCellMar>
        </w:tblPrEx>
        <w:trPr>
          <w:trHeight w:val="90" w:hRule="atLeast"/>
        </w:trPr>
        <w:tc>
          <w:tcPr>
            <w:tcW w:w="694" w:type="dxa"/>
            <w:tcBorders>
              <w:top w:val="single" w:color="000000" w:sz="4" w:space="0"/>
              <w:left w:val="single" w:color="000000" w:sz="4" w:space="0"/>
              <w:bottom w:val="single" w:color="000000" w:sz="4" w:space="0"/>
              <w:right w:val="single" w:color="000000" w:sz="4" w:space="0"/>
            </w:tcBorders>
            <w:vAlign w:val="center"/>
          </w:tcPr>
          <w:p w14:paraId="2E0A5777">
            <w:pPr>
              <w:pStyle w:val="98"/>
              <w:numPr>
                <w:ilvl w:val="0"/>
                <w:numId w:val="4"/>
              </w:numPr>
              <w:spacing w:line="259" w:lineRule="auto"/>
              <w:ind w:right="110" w:firstLineChars="0"/>
              <w:jc w:val="center"/>
              <w:rPr>
                <w:rFonts w:hint="eastAsia" w:ascii="宋体" w:hAnsi="宋体" w:eastAsia="宋体" w:cs="宋体"/>
                <w:color w:val="auto"/>
                <w:sz w:val="24"/>
                <w:szCs w:val="24"/>
              </w:rPr>
            </w:pPr>
          </w:p>
        </w:tc>
        <w:tc>
          <w:tcPr>
            <w:tcW w:w="2013" w:type="dxa"/>
            <w:tcBorders>
              <w:top w:val="single" w:color="000000" w:sz="4" w:space="0"/>
              <w:left w:val="single" w:color="000000" w:sz="4" w:space="0"/>
              <w:bottom w:val="single" w:color="000000" w:sz="4" w:space="0"/>
              <w:right w:val="single" w:color="000000" w:sz="4" w:space="0"/>
            </w:tcBorders>
            <w:vAlign w:val="center"/>
          </w:tcPr>
          <w:p w14:paraId="7C658A3C">
            <w:pPr>
              <w:spacing w:line="259" w:lineRule="auto"/>
              <w:ind w:right="10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7051" w:type="dxa"/>
            <w:tcBorders>
              <w:top w:val="single" w:color="000000" w:sz="4" w:space="0"/>
              <w:left w:val="single" w:color="000000" w:sz="4" w:space="0"/>
              <w:bottom w:val="single" w:color="000000" w:sz="4" w:space="0"/>
              <w:right w:val="single" w:color="000000" w:sz="4" w:space="0"/>
            </w:tcBorders>
            <w:vAlign w:val="center"/>
          </w:tcPr>
          <w:p w14:paraId="28FD0057">
            <w:pPr>
              <w:spacing w:line="259" w:lineRule="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安康市住房和城乡建设局</w:t>
            </w:r>
          </w:p>
        </w:tc>
      </w:tr>
      <w:tr w14:paraId="51600491">
        <w:tblPrEx>
          <w:tblCellMar>
            <w:top w:w="147" w:type="dxa"/>
            <w:left w:w="108" w:type="dxa"/>
            <w:bottom w:w="56" w:type="dxa"/>
            <w:right w:w="0" w:type="dxa"/>
          </w:tblCellMar>
        </w:tblPrEx>
        <w:trPr>
          <w:trHeight w:val="663" w:hRule="atLeast"/>
        </w:trPr>
        <w:tc>
          <w:tcPr>
            <w:tcW w:w="694" w:type="dxa"/>
            <w:tcBorders>
              <w:top w:val="single" w:color="000000" w:sz="4" w:space="0"/>
              <w:left w:val="single" w:color="000000" w:sz="4" w:space="0"/>
              <w:bottom w:val="single" w:color="000000" w:sz="4" w:space="0"/>
              <w:right w:val="single" w:color="000000" w:sz="4" w:space="0"/>
            </w:tcBorders>
            <w:vAlign w:val="center"/>
          </w:tcPr>
          <w:p w14:paraId="020B8FB4">
            <w:pPr>
              <w:pStyle w:val="98"/>
              <w:numPr>
                <w:ilvl w:val="0"/>
                <w:numId w:val="4"/>
              </w:numPr>
              <w:spacing w:line="259" w:lineRule="auto"/>
              <w:ind w:right="110" w:firstLineChars="0"/>
              <w:jc w:val="center"/>
              <w:rPr>
                <w:rFonts w:hint="eastAsia" w:ascii="宋体" w:hAnsi="宋体" w:eastAsia="宋体" w:cs="宋体"/>
                <w:color w:val="auto"/>
                <w:sz w:val="24"/>
                <w:szCs w:val="24"/>
              </w:rPr>
            </w:pPr>
          </w:p>
        </w:tc>
        <w:tc>
          <w:tcPr>
            <w:tcW w:w="2013" w:type="dxa"/>
            <w:tcBorders>
              <w:top w:val="single" w:color="000000" w:sz="4" w:space="0"/>
              <w:left w:val="single" w:color="000000" w:sz="4" w:space="0"/>
              <w:bottom w:val="single" w:color="000000" w:sz="4" w:space="0"/>
              <w:right w:val="single" w:color="000000" w:sz="4" w:space="0"/>
            </w:tcBorders>
            <w:vAlign w:val="center"/>
          </w:tcPr>
          <w:p w14:paraId="6A177135">
            <w:pPr>
              <w:spacing w:line="259" w:lineRule="auto"/>
              <w:ind w:right="109"/>
              <w:jc w:val="center"/>
              <w:rPr>
                <w:rFonts w:hint="eastAsia" w:ascii="宋体" w:hAnsi="宋体" w:eastAsia="宋体" w:cs="宋体"/>
                <w:color w:val="auto"/>
                <w:sz w:val="24"/>
                <w:szCs w:val="24"/>
              </w:rPr>
            </w:pPr>
            <w:r>
              <w:rPr>
                <w:rFonts w:hint="eastAsia" w:ascii="宋体" w:hAnsi="宋体" w:eastAsia="宋体" w:cs="宋体"/>
                <w:color w:val="auto"/>
                <w:sz w:val="24"/>
                <w:szCs w:val="24"/>
              </w:rPr>
              <w:t>代理机构</w:t>
            </w:r>
          </w:p>
        </w:tc>
        <w:tc>
          <w:tcPr>
            <w:tcW w:w="7051" w:type="dxa"/>
            <w:tcBorders>
              <w:top w:val="single" w:color="000000" w:sz="4" w:space="0"/>
              <w:left w:val="single" w:color="000000" w:sz="4" w:space="0"/>
              <w:bottom w:val="single" w:color="000000" w:sz="4" w:space="0"/>
              <w:right w:val="single" w:color="000000" w:sz="4" w:space="0"/>
            </w:tcBorders>
            <w:vAlign w:val="center"/>
          </w:tcPr>
          <w:p w14:paraId="0796D402">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兰天项目管理有限公司</w:t>
            </w:r>
          </w:p>
        </w:tc>
      </w:tr>
      <w:tr w14:paraId="33A1A595">
        <w:tblPrEx>
          <w:tblCellMar>
            <w:top w:w="147" w:type="dxa"/>
            <w:left w:w="108" w:type="dxa"/>
            <w:bottom w:w="56" w:type="dxa"/>
            <w:right w:w="0" w:type="dxa"/>
          </w:tblCellMar>
        </w:tblPrEx>
        <w:trPr>
          <w:trHeight w:val="664" w:hRule="atLeast"/>
        </w:trPr>
        <w:tc>
          <w:tcPr>
            <w:tcW w:w="694" w:type="dxa"/>
            <w:tcBorders>
              <w:top w:val="single" w:color="000000" w:sz="4" w:space="0"/>
              <w:left w:val="single" w:color="000000" w:sz="4" w:space="0"/>
              <w:bottom w:val="single" w:color="000000" w:sz="4" w:space="0"/>
              <w:right w:val="single" w:color="000000" w:sz="4" w:space="0"/>
            </w:tcBorders>
            <w:vAlign w:val="center"/>
          </w:tcPr>
          <w:p w14:paraId="1ED1B171">
            <w:pPr>
              <w:pStyle w:val="98"/>
              <w:numPr>
                <w:ilvl w:val="0"/>
                <w:numId w:val="4"/>
              </w:numPr>
              <w:spacing w:line="259" w:lineRule="auto"/>
              <w:ind w:right="110" w:firstLineChars="0"/>
              <w:jc w:val="center"/>
              <w:rPr>
                <w:rFonts w:hint="eastAsia" w:ascii="宋体" w:hAnsi="宋体" w:eastAsia="宋体" w:cs="宋体"/>
                <w:color w:val="auto"/>
                <w:sz w:val="24"/>
                <w:szCs w:val="24"/>
              </w:rPr>
            </w:pPr>
          </w:p>
        </w:tc>
        <w:tc>
          <w:tcPr>
            <w:tcW w:w="2013" w:type="dxa"/>
            <w:tcBorders>
              <w:top w:val="single" w:color="000000" w:sz="4" w:space="0"/>
              <w:left w:val="single" w:color="000000" w:sz="4" w:space="0"/>
              <w:bottom w:val="single" w:color="000000" w:sz="4" w:space="0"/>
              <w:right w:val="single" w:color="000000" w:sz="4" w:space="0"/>
            </w:tcBorders>
            <w:vAlign w:val="center"/>
          </w:tcPr>
          <w:p w14:paraId="4122EF42">
            <w:pPr>
              <w:spacing w:line="259" w:lineRule="auto"/>
              <w:ind w:right="11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051" w:type="dxa"/>
            <w:tcBorders>
              <w:top w:val="single" w:color="000000" w:sz="4" w:space="0"/>
              <w:left w:val="single" w:color="000000" w:sz="4" w:space="0"/>
              <w:bottom w:val="single" w:color="000000" w:sz="4" w:space="0"/>
              <w:right w:val="single" w:color="000000" w:sz="4" w:space="0"/>
            </w:tcBorders>
            <w:vAlign w:val="center"/>
          </w:tcPr>
          <w:p w14:paraId="2D4583BE">
            <w:pPr>
              <w:pStyle w:val="68"/>
              <w:keepNext w:val="0"/>
              <w:keepLines w:val="0"/>
              <w:pageBreakBefore w:val="0"/>
              <w:kinsoku/>
              <w:wordWrap/>
              <w:overflowPunct/>
              <w:topLinePunct w:val="0"/>
              <w:autoSpaceDE/>
              <w:autoSpaceDN/>
              <w:bidi w:val="0"/>
              <w:adjustRightInd/>
              <w:spacing w:line="336" w:lineRule="auto"/>
              <w:ind w:left="0" w:lef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“一湖两岸”城文旅融合发展专项规划编制采购项目</w:t>
            </w:r>
          </w:p>
        </w:tc>
      </w:tr>
      <w:tr w14:paraId="62E626B6">
        <w:tblPrEx>
          <w:tblCellMar>
            <w:top w:w="147" w:type="dxa"/>
            <w:left w:w="108" w:type="dxa"/>
            <w:bottom w:w="56" w:type="dxa"/>
            <w:right w:w="0" w:type="dxa"/>
          </w:tblCellMar>
        </w:tblPrEx>
        <w:trPr>
          <w:trHeight w:val="1407" w:hRule="atLeast"/>
        </w:trPr>
        <w:tc>
          <w:tcPr>
            <w:tcW w:w="694" w:type="dxa"/>
            <w:tcBorders>
              <w:top w:val="single" w:color="000000" w:sz="4" w:space="0"/>
              <w:left w:val="single" w:color="000000" w:sz="4" w:space="0"/>
              <w:bottom w:val="single" w:color="000000" w:sz="4" w:space="0"/>
              <w:right w:val="single" w:color="000000" w:sz="4" w:space="0"/>
            </w:tcBorders>
            <w:vAlign w:val="center"/>
          </w:tcPr>
          <w:p w14:paraId="2233706C">
            <w:pPr>
              <w:pStyle w:val="98"/>
              <w:numPr>
                <w:ilvl w:val="0"/>
                <w:numId w:val="4"/>
              </w:numPr>
              <w:spacing w:line="259" w:lineRule="auto"/>
              <w:ind w:right="110" w:firstLineChars="0"/>
              <w:jc w:val="center"/>
              <w:rPr>
                <w:rFonts w:hint="eastAsia" w:ascii="宋体" w:hAnsi="宋体" w:eastAsia="宋体" w:cs="宋体"/>
                <w:color w:val="auto"/>
                <w:sz w:val="24"/>
                <w:szCs w:val="24"/>
              </w:rPr>
            </w:pPr>
          </w:p>
        </w:tc>
        <w:tc>
          <w:tcPr>
            <w:tcW w:w="2013" w:type="dxa"/>
            <w:tcBorders>
              <w:top w:val="single" w:color="000000" w:sz="4" w:space="0"/>
              <w:left w:val="single" w:color="000000" w:sz="4" w:space="0"/>
              <w:bottom w:val="single" w:color="000000" w:sz="4" w:space="0"/>
              <w:right w:val="single" w:color="000000" w:sz="4" w:space="0"/>
            </w:tcBorders>
            <w:vAlign w:val="center"/>
          </w:tcPr>
          <w:p w14:paraId="5D0C563F">
            <w:pPr>
              <w:spacing w:line="259" w:lineRule="auto"/>
              <w:ind w:right="111"/>
              <w:jc w:val="center"/>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none"/>
              </w:rPr>
              <w:t>采购内容</w:t>
            </w:r>
          </w:p>
        </w:tc>
        <w:tc>
          <w:tcPr>
            <w:tcW w:w="7051" w:type="dxa"/>
            <w:tcBorders>
              <w:top w:val="single" w:color="000000" w:sz="4" w:space="0"/>
              <w:left w:val="single" w:color="000000" w:sz="4" w:space="0"/>
              <w:bottom w:val="single" w:color="000000" w:sz="4" w:space="0"/>
              <w:right w:val="single" w:color="000000" w:sz="4" w:space="0"/>
            </w:tcBorders>
          </w:tcPr>
          <w:p w14:paraId="0B1C9891">
            <w:pPr>
              <w:pStyle w:val="68"/>
              <w:keepNext w:val="0"/>
              <w:keepLines w:val="0"/>
              <w:pageBreakBefore w:val="0"/>
              <w:kinsoku/>
              <w:wordWrap/>
              <w:overflowPunct/>
              <w:topLinePunct w:val="0"/>
              <w:autoSpaceDE/>
              <w:autoSpaceDN/>
              <w:bidi w:val="0"/>
              <w:adjustRightInd/>
              <w:spacing w:line="460" w:lineRule="exact"/>
              <w:ind w:left="0" w:leftChars="0" w:firstLine="0" w:firstLineChars="0"/>
              <w:textAlignment w:val="auto"/>
              <w:outlineLvl w:val="9"/>
              <w:rPr>
                <w:rFonts w:hint="eastAsia" w:ascii="宋体" w:hAnsi="宋体" w:eastAsia="宋体" w:cs="宋体"/>
                <w:color w:val="auto"/>
                <w:kern w:val="0"/>
                <w:sz w:val="24"/>
                <w:szCs w:val="24"/>
                <w:highlight w:val="red"/>
                <w:lang w:eastAsia="zh-CN"/>
              </w:rPr>
            </w:pPr>
            <w:r>
              <w:rPr>
                <w:rFonts w:hint="eastAsia" w:ascii="宋体" w:hAnsi="宋体" w:eastAsia="宋体" w:cs="宋体"/>
                <w:sz w:val="24"/>
                <w:szCs w:val="24"/>
              </w:rPr>
              <w:t>计划采购有能力、有资质的</w:t>
            </w:r>
            <w:r>
              <w:rPr>
                <w:rFonts w:hint="eastAsia" w:ascii="宋体" w:hAnsi="宋体" w:eastAsia="宋体" w:cs="宋体"/>
                <w:sz w:val="24"/>
                <w:szCs w:val="24"/>
                <w:lang w:eastAsia="zh-CN"/>
              </w:rPr>
              <w:t>投标人</w:t>
            </w:r>
            <w:r>
              <w:rPr>
                <w:rFonts w:hint="eastAsia" w:ascii="宋体" w:hAnsi="宋体" w:eastAsia="宋体" w:cs="宋体"/>
                <w:sz w:val="24"/>
                <w:szCs w:val="24"/>
              </w:rPr>
              <w:t>，对</w:t>
            </w:r>
            <w:r>
              <w:rPr>
                <w:rFonts w:hint="eastAsia" w:ascii="宋体" w:hAnsi="宋体" w:eastAsia="宋体" w:cs="宋体"/>
                <w:sz w:val="24"/>
                <w:szCs w:val="24"/>
                <w:lang w:eastAsia="zh-CN"/>
              </w:rPr>
              <w:t>“一湖两岸”城文旅融合发展专项规划编制采购项目</w:t>
            </w:r>
            <w:r>
              <w:rPr>
                <w:rFonts w:hint="eastAsia" w:ascii="宋体" w:hAnsi="宋体" w:eastAsia="宋体" w:cs="宋体"/>
                <w:sz w:val="24"/>
                <w:szCs w:val="24"/>
              </w:rPr>
              <w:t>，并形成规划编制方案，最终成果应通过采购人或相关专家评审，具体工作内容详见“第</w:t>
            </w:r>
            <w:r>
              <w:rPr>
                <w:rFonts w:hint="eastAsia" w:ascii="宋体" w:hAnsi="宋体" w:eastAsia="宋体" w:cs="宋体"/>
                <w:sz w:val="24"/>
                <w:szCs w:val="24"/>
                <w:lang w:val="en-US" w:eastAsia="zh-CN"/>
              </w:rPr>
              <w:t>五</w:t>
            </w:r>
            <w:r>
              <w:rPr>
                <w:rFonts w:hint="eastAsia" w:ascii="宋体" w:hAnsi="宋体" w:eastAsia="宋体" w:cs="宋体"/>
                <w:sz w:val="24"/>
                <w:szCs w:val="24"/>
              </w:rPr>
              <w:t>部分服务内容及</w:t>
            </w:r>
            <w:r>
              <w:rPr>
                <w:rFonts w:hint="eastAsia" w:ascii="宋体" w:hAnsi="宋体" w:eastAsia="宋体" w:cs="宋体"/>
                <w:sz w:val="24"/>
                <w:szCs w:val="24"/>
                <w:lang w:val="en-US" w:eastAsia="zh-CN"/>
              </w:rPr>
              <w:t>技术</w:t>
            </w:r>
            <w:r>
              <w:rPr>
                <w:rFonts w:hint="eastAsia" w:ascii="宋体" w:hAnsi="宋体" w:eastAsia="宋体" w:cs="宋体"/>
                <w:sz w:val="24"/>
                <w:szCs w:val="24"/>
              </w:rPr>
              <w:t>要求”</w:t>
            </w:r>
            <w:r>
              <w:rPr>
                <w:rFonts w:hint="eastAsia" w:ascii="宋体" w:hAnsi="宋体" w:eastAsia="宋体" w:cs="宋体"/>
                <w:sz w:val="24"/>
                <w:szCs w:val="24"/>
                <w:lang w:eastAsia="zh-CN"/>
              </w:rPr>
              <w:t>。</w:t>
            </w:r>
          </w:p>
        </w:tc>
      </w:tr>
      <w:tr w14:paraId="714B5A0B">
        <w:tblPrEx>
          <w:tblCellMar>
            <w:top w:w="147" w:type="dxa"/>
            <w:left w:w="108" w:type="dxa"/>
            <w:bottom w:w="56" w:type="dxa"/>
            <w:right w:w="0" w:type="dxa"/>
          </w:tblCellMar>
        </w:tblPrEx>
        <w:trPr>
          <w:trHeight w:val="1078" w:hRule="atLeast"/>
        </w:trPr>
        <w:tc>
          <w:tcPr>
            <w:tcW w:w="694" w:type="dxa"/>
            <w:tcBorders>
              <w:top w:val="single" w:color="000000" w:sz="4" w:space="0"/>
              <w:left w:val="single" w:color="000000" w:sz="4" w:space="0"/>
              <w:bottom w:val="single" w:color="000000" w:sz="4" w:space="0"/>
              <w:right w:val="single" w:color="000000" w:sz="4" w:space="0"/>
            </w:tcBorders>
          </w:tcPr>
          <w:p w14:paraId="5BBF3876">
            <w:pPr>
              <w:pStyle w:val="98"/>
              <w:numPr>
                <w:ilvl w:val="0"/>
                <w:numId w:val="4"/>
              </w:numPr>
              <w:spacing w:line="259" w:lineRule="auto"/>
              <w:ind w:right="110" w:firstLineChars="0"/>
              <w:jc w:val="center"/>
              <w:rPr>
                <w:rFonts w:hint="eastAsia" w:ascii="宋体" w:hAnsi="宋体" w:eastAsia="宋体" w:cs="宋体"/>
                <w:color w:val="auto"/>
                <w:sz w:val="24"/>
                <w:szCs w:val="24"/>
              </w:rPr>
            </w:pPr>
          </w:p>
        </w:tc>
        <w:tc>
          <w:tcPr>
            <w:tcW w:w="2013" w:type="dxa"/>
            <w:tcBorders>
              <w:top w:val="single" w:color="000000" w:sz="4" w:space="0"/>
              <w:left w:val="single" w:color="000000" w:sz="4" w:space="0"/>
              <w:bottom w:val="single" w:color="000000" w:sz="4" w:space="0"/>
              <w:right w:val="single" w:color="000000" w:sz="4" w:space="0"/>
            </w:tcBorders>
            <w:vAlign w:val="center"/>
          </w:tcPr>
          <w:p w14:paraId="4AE4394C">
            <w:pPr>
              <w:spacing w:line="259" w:lineRule="auto"/>
              <w:ind w:right="111"/>
              <w:jc w:val="center"/>
              <w:rPr>
                <w:rFonts w:hint="eastAsia" w:ascii="宋体" w:hAnsi="宋体" w:eastAsia="宋体" w:cs="宋体"/>
                <w:color w:val="auto"/>
                <w:sz w:val="24"/>
                <w:szCs w:val="24"/>
              </w:rPr>
            </w:pPr>
            <w:r>
              <w:rPr>
                <w:rFonts w:hint="eastAsia" w:ascii="宋体" w:hAnsi="宋体" w:eastAsia="宋体" w:cs="宋体"/>
                <w:color w:val="auto"/>
                <w:sz w:val="24"/>
                <w:szCs w:val="24"/>
              </w:rPr>
              <w:t>预算金额</w:t>
            </w:r>
          </w:p>
        </w:tc>
        <w:tc>
          <w:tcPr>
            <w:tcW w:w="7051" w:type="dxa"/>
            <w:tcBorders>
              <w:top w:val="single" w:color="000000" w:sz="4" w:space="0"/>
              <w:left w:val="single" w:color="000000" w:sz="4" w:space="0"/>
              <w:bottom w:val="single" w:color="000000" w:sz="4" w:space="0"/>
              <w:right w:val="single" w:color="000000" w:sz="4" w:space="0"/>
            </w:tcBorders>
            <w:vAlign w:val="center"/>
          </w:tcPr>
          <w:p w14:paraId="53799D6E">
            <w:pPr>
              <w:spacing w:line="259" w:lineRule="auto"/>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1200000.00元</w:t>
            </w:r>
          </w:p>
          <w:p w14:paraId="0A6D0F6B">
            <w:pPr>
              <w:pStyle w:val="2"/>
              <w:ind w:left="0" w:leftChars="0" w:firstLine="0" w:firstLineChars="0"/>
              <w:rPr>
                <w:rFonts w:hint="eastAsia" w:ascii="宋体" w:hAnsi="宋体" w:eastAsia="宋体" w:cs="宋体"/>
                <w:lang w:val="en-US"/>
              </w:rPr>
            </w:pPr>
            <w:r>
              <w:rPr>
                <w:rFonts w:hint="eastAsia" w:ascii="宋体" w:hAnsi="宋体" w:eastAsia="宋体" w:cs="宋体"/>
                <w:kern w:val="0"/>
                <w:sz w:val="24"/>
                <w:szCs w:val="24"/>
              </w:rPr>
              <w:t>投标人所报</w:t>
            </w:r>
            <w:r>
              <w:rPr>
                <w:rFonts w:hint="eastAsia" w:ascii="宋体" w:hAnsi="宋体" w:eastAsia="宋体" w:cs="宋体"/>
                <w:bCs/>
                <w:sz w:val="24"/>
                <w:szCs w:val="24"/>
              </w:rPr>
              <w:t>投标报价</w:t>
            </w:r>
            <w:r>
              <w:rPr>
                <w:rFonts w:hint="eastAsia" w:ascii="宋体" w:hAnsi="宋体" w:eastAsia="宋体" w:cs="宋体"/>
                <w:kern w:val="0"/>
                <w:sz w:val="24"/>
                <w:szCs w:val="24"/>
              </w:rPr>
              <w:t>不得超过本项目最高限价，</w:t>
            </w:r>
            <w:r>
              <w:rPr>
                <w:rFonts w:hint="eastAsia" w:ascii="宋体" w:hAnsi="宋体" w:eastAsia="宋体" w:cs="宋体"/>
                <w:bCs/>
                <w:sz w:val="24"/>
                <w:szCs w:val="24"/>
              </w:rPr>
              <w:t>否则按无效文件处理</w:t>
            </w:r>
            <w:r>
              <w:rPr>
                <w:rFonts w:hint="eastAsia" w:ascii="宋体" w:hAnsi="宋体" w:eastAsia="宋体" w:cs="宋体"/>
                <w:kern w:val="0"/>
                <w:sz w:val="24"/>
                <w:szCs w:val="24"/>
              </w:rPr>
              <w:t>。</w:t>
            </w:r>
          </w:p>
        </w:tc>
      </w:tr>
      <w:tr w14:paraId="10CD984D">
        <w:tblPrEx>
          <w:tblCellMar>
            <w:top w:w="147" w:type="dxa"/>
            <w:left w:w="108" w:type="dxa"/>
            <w:bottom w:w="56" w:type="dxa"/>
            <w:right w:w="0" w:type="dxa"/>
          </w:tblCellMar>
        </w:tblPrEx>
        <w:trPr>
          <w:trHeight w:val="1946" w:hRule="exact"/>
        </w:trPr>
        <w:tc>
          <w:tcPr>
            <w:tcW w:w="694" w:type="dxa"/>
            <w:tcBorders>
              <w:top w:val="single" w:color="000000" w:sz="4" w:space="0"/>
              <w:left w:val="single" w:color="000000" w:sz="4" w:space="0"/>
              <w:bottom w:val="single" w:color="000000" w:sz="4" w:space="0"/>
              <w:right w:val="single" w:color="000000" w:sz="4" w:space="0"/>
            </w:tcBorders>
            <w:vAlign w:val="center"/>
          </w:tcPr>
          <w:p w14:paraId="6FCA0C86">
            <w:pPr>
              <w:pStyle w:val="98"/>
              <w:numPr>
                <w:ilvl w:val="0"/>
                <w:numId w:val="4"/>
              </w:numPr>
              <w:spacing w:line="259" w:lineRule="auto"/>
              <w:ind w:right="110" w:firstLineChars="0"/>
              <w:jc w:val="center"/>
              <w:rPr>
                <w:rFonts w:hint="eastAsia" w:ascii="宋体" w:hAnsi="宋体" w:eastAsia="宋体" w:cs="宋体"/>
                <w:color w:val="auto"/>
                <w:sz w:val="24"/>
                <w:szCs w:val="24"/>
              </w:rPr>
            </w:pPr>
          </w:p>
        </w:tc>
        <w:tc>
          <w:tcPr>
            <w:tcW w:w="2013" w:type="dxa"/>
            <w:tcBorders>
              <w:top w:val="single" w:color="000000" w:sz="4" w:space="0"/>
              <w:left w:val="single" w:color="000000" w:sz="4" w:space="0"/>
              <w:bottom w:val="single" w:color="000000" w:sz="4" w:space="0"/>
              <w:right w:val="single" w:color="000000" w:sz="4" w:space="0"/>
            </w:tcBorders>
            <w:vAlign w:val="center"/>
          </w:tcPr>
          <w:p w14:paraId="2AFA8785">
            <w:pPr>
              <w:keepNext w:val="0"/>
              <w:keepLines w:val="0"/>
              <w:widowControl/>
              <w:suppressLineNumbers w:val="0"/>
              <w:spacing w:before="0" w:beforeAutospacing="0" w:after="0" w:afterAutospacing="0" w:line="440" w:lineRule="exact"/>
              <w:ind w:left="0" w:leftChars="0" w:right="0" w:rightChars="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
              </w:rPr>
              <w:t>投标报价</w:t>
            </w:r>
          </w:p>
        </w:tc>
        <w:tc>
          <w:tcPr>
            <w:tcW w:w="7051" w:type="dxa"/>
            <w:tcBorders>
              <w:top w:val="single" w:color="000000" w:sz="4" w:space="0"/>
              <w:left w:val="single" w:color="000000" w:sz="4" w:space="0"/>
              <w:bottom w:val="single" w:color="000000" w:sz="4" w:space="0"/>
              <w:right w:val="single" w:color="000000" w:sz="4" w:space="0"/>
            </w:tcBorders>
            <w:vAlign w:val="center"/>
          </w:tcPr>
          <w:p w14:paraId="37869067">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eastAsia="zh-CN" w:bidi="ar"/>
              </w:rPr>
              <w:t>1.投标人所报的价格应考虑到可能发生的所有与完成本项目相关服务及履行合同义务有关的一切费用。</w:t>
            </w:r>
          </w:p>
          <w:p w14:paraId="15198668">
            <w:pPr>
              <w:keepNext w:val="0"/>
              <w:keepLines w:val="0"/>
              <w:widowControl/>
              <w:suppressLineNumbers w:val="0"/>
              <w:spacing w:before="0" w:beforeAutospacing="0" w:after="0" w:afterAutospacing="0" w:line="440" w:lineRule="exact"/>
              <w:ind w:left="0" w:leftChars="0" w:right="0" w:rightChars="0"/>
              <w:jc w:val="both"/>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2.投标人必须对所投项目进行完整报价，不接受（将拒绝）只对部分服务进行报价的投标。</w:t>
            </w:r>
          </w:p>
          <w:p w14:paraId="47DA4644">
            <w:pPr>
              <w:keepNext w:val="0"/>
              <w:keepLines w:val="0"/>
              <w:widowControl/>
              <w:suppressLineNumbers w:val="0"/>
              <w:spacing w:before="0" w:beforeAutospacing="0" w:after="0" w:afterAutospacing="0" w:line="440" w:lineRule="exact"/>
              <w:ind w:left="0" w:leftChars="0" w:right="0" w:rightChars="0"/>
              <w:jc w:val="both"/>
              <w:rPr>
                <w:rFonts w:hint="eastAsia" w:ascii="宋体" w:hAnsi="宋体" w:eastAsia="宋体" w:cs="宋体"/>
                <w:color w:val="auto"/>
                <w:kern w:val="0"/>
                <w:sz w:val="24"/>
                <w:szCs w:val="24"/>
                <w:lang w:val="en-US" w:eastAsia="zh-CN" w:bidi="ar"/>
              </w:rPr>
            </w:pPr>
          </w:p>
          <w:p w14:paraId="210E54D8">
            <w:pPr>
              <w:keepNext w:val="0"/>
              <w:keepLines w:val="0"/>
              <w:widowControl/>
              <w:suppressLineNumbers w:val="0"/>
              <w:spacing w:before="0" w:beforeAutospacing="0" w:after="0" w:afterAutospacing="0" w:line="440" w:lineRule="exact"/>
              <w:ind w:left="0" w:leftChars="0" w:right="0" w:rightChars="0"/>
              <w:jc w:val="both"/>
              <w:rPr>
                <w:rFonts w:hint="eastAsia" w:ascii="宋体" w:hAnsi="宋体" w:eastAsia="宋体" w:cs="宋体"/>
                <w:color w:val="auto"/>
                <w:kern w:val="0"/>
                <w:sz w:val="24"/>
                <w:szCs w:val="24"/>
                <w:lang w:val="en-US" w:eastAsia="zh-CN" w:bidi="ar"/>
              </w:rPr>
            </w:pPr>
          </w:p>
          <w:p w14:paraId="1D79BA71">
            <w:pPr>
              <w:keepNext w:val="0"/>
              <w:keepLines w:val="0"/>
              <w:widowControl/>
              <w:suppressLineNumbers w:val="0"/>
              <w:spacing w:before="0" w:beforeAutospacing="0" w:after="0" w:afterAutospacing="0" w:line="440" w:lineRule="exact"/>
              <w:ind w:left="0" w:leftChars="0" w:right="0" w:rightChars="0"/>
              <w:jc w:val="both"/>
              <w:rPr>
                <w:rFonts w:hint="eastAsia" w:ascii="宋体" w:hAnsi="宋体" w:eastAsia="宋体" w:cs="宋体"/>
                <w:color w:val="auto"/>
                <w:kern w:val="0"/>
                <w:sz w:val="24"/>
                <w:szCs w:val="24"/>
                <w:lang w:val="en-US" w:eastAsia="zh-CN" w:bidi="ar"/>
              </w:rPr>
            </w:pPr>
          </w:p>
        </w:tc>
      </w:tr>
      <w:tr w14:paraId="01002BBC">
        <w:tblPrEx>
          <w:tblCellMar>
            <w:top w:w="147" w:type="dxa"/>
            <w:left w:w="108" w:type="dxa"/>
            <w:bottom w:w="56" w:type="dxa"/>
            <w:right w:w="0" w:type="dxa"/>
          </w:tblCellMar>
        </w:tblPrEx>
        <w:trPr>
          <w:trHeight w:val="752" w:hRule="exact"/>
        </w:trPr>
        <w:tc>
          <w:tcPr>
            <w:tcW w:w="694" w:type="dxa"/>
            <w:tcBorders>
              <w:top w:val="single" w:color="000000" w:sz="4" w:space="0"/>
              <w:left w:val="single" w:color="000000" w:sz="4" w:space="0"/>
              <w:bottom w:val="single" w:color="000000" w:sz="4" w:space="0"/>
              <w:right w:val="single" w:color="000000" w:sz="4" w:space="0"/>
            </w:tcBorders>
          </w:tcPr>
          <w:p w14:paraId="476F34E9">
            <w:pPr>
              <w:pStyle w:val="98"/>
              <w:numPr>
                <w:ilvl w:val="0"/>
                <w:numId w:val="4"/>
              </w:numPr>
              <w:spacing w:line="259" w:lineRule="auto"/>
              <w:ind w:right="110" w:firstLineChars="0"/>
              <w:jc w:val="center"/>
              <w:rPr>
                <w:rFonts w:hint="eastAsia" w:ascii="宋体" w:hAnsi="宋体" w:eastAsia="宋体" w:cs="宋体"/>
                <w:color w:val="auto"/>
                <w:sz w:val="24"/>
                <w:szCs w:val="24"/>
              </w:rPr>
            </w:pPr>
          </w:p>
        </w:tc>
        <w:tc>
          <w:tcPr>
            <w:tcW w:w="2013" w:type="dxa"/>
            <w:tcBorders>
              <w:top w:val="single" w:color="000000" w:sz="4" w:space="0"/>
              <w:left w:val="single" w:color="000000" w:sz="4" w:space="0"/>
              <w:bottom w:val="single" w:color="000000" w:sz="4" w:space="0"/>
              <w:right w:val="single" w:color="000000" w:sz="4" w:space="0"/>
            </w:tcBorders>
            <w:vAlign w:val="center"/>
          </w:tcPr>
          <w:p w14:paraId="0991BF9B">
            <w:pPr>
              <w:widowControl/>
              <w:tabs>
                <w:tab w:val="left" w:pos="1620"/>
              </w:tabs>
              <w:snapToGrid w:val="0"/>
              <w:spacing w:line="40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合同履行期</w:t>
            </w:r>
          </w:p>
        </w:tc>
        <w:tc>
          <w:tcPr>
            <w:tcW w:w="7051" w:type="dxa"/>
            <w:tcBorders>
              <w:top w:val="single" w:color="000000" w:sz="4" w:space="0"/>
              <w:left w:val="single" w:color="000000" w:sz="4" w:space="0"/>
              <w:bottom w:val="single" w:color="000000" w:sz="4" w:space="0"/>
              <w:right w:val="single" w:color="000000" w:sz="4" w:space="0"/>
            </w:tcBorders>
            <w:vAlign w:val="center"/>
          </w:tcPr>
          <w:p w14:paraId="2F2F53FB">
            <w:pPr>
              <w:widowControl/>
              <w:tabs>
                <w:tab w:val="left" w:pos="1620"/>
              </w:tabs>
              <w:snapToGrid w:val="0"/>
              <w:spacing w:line="400" w:lineRule="exact"/>
              <w:rPr>
                <w:rFonts w:hint="eastAsia" w:ascii="宋体" w:hAnsi="宋体" w:eastAsia="宋体" w:cs="宋体"/>
                <w:color w:val="auto"/>
                <w:kern w:val="0"/>
                <w:sz w:val="24"/>
                <w:szCs w:val="24"/>
                <w:lang w:val="en-US" w:eastAsia="zh-CN"/>
              </w:rPr>
            </w:pPr>
            <w:r>
              <w:rPr>
                <w:rFonts w:hint="eastAsia" w:ascii="宋体" w:hAnsi="宋体" w:eastAsia="宋体" w:cs="宋体"/>
                <w:sz w:val="24"/>
                <w:szCs w:val="24"/>
                <w:shd w:val="clear" w:color="auto" w:fill="FFFFFF"/>
              </w:rPr>
              <w:t>自合同签订之日起120日历天完成本项目</w:t>
            </w:r>
          </w:p>
        </w:tc>
      </w:tr>
      <w:tr w14:paraId="50A3D6FD">
        <w:tblPrEx>
          <w:tblCellMar>
            <w:top w:w="147" w:type="dxa"/>
            <w:left w:w="108" w:type="dxa"/>
            <w:bottom w:w="56" w:type="dxa"/>
            <w:right w:w="0" w:type="dxa"/>
          </w:tblCellMar>
        </w:tblPrEx>
        <w:trPr>
          <w:trHeight w:val="591" w:hRule="exact"/>
        </w:trPr>
        <w:tc>
          <w:tcPr>
            <w:tcW w:w="694" w:type="dxa"/>
            <w:tcBorders>
              <w:top w:val="single" w:color="000000" w:sz="4" w:space="0"/>
              <w:left w:val="single" w:color="000000" w:sz="4" w:space="0"/>
              <w:bottom w:val="single" w:color="000000" w:sz="4" w:space="0"/>
              <w:right w:val="single" w:color="000000" w:sz="4" w:space="0"/>
            </w:tcBorders>
          </w:tcPr>
          <w:p w14:paraId="0114E4A4">
            <w:pPr>
              <w:pStyle w:val="98"/>
              <w:numPr>
                <w:ilvl w:val="0"/>
                <w:numId w:val="4"/>
              </w:numPr>
              <w:spacing w:line="259" w:lineRule="auto"/>
              <w:ind w:right="110" w:firstLineChars="0"/>
              <w:jc w:val="center"/>
              <w:rPr>
                <w:rFonts w:hint="eastAsia" w:ascii="宋体" w:hAnsi="宋体" w:eastAsia="宋体" w:cs="宋体"/>
                <w:color w:val="auto"/>
                <w:sz w:val="24"/>
                <w:szCs w:val="24"/>
              </w:rPr>
            </w:pPr>
          </w:p>
        </w:tc>
        <w:tc>
          <w:tcPr>
            <w:tcW w:w="2013" w:type="dxa"/>
            <w:tcBorders>
              <w:top w:val="single" w:color="000000" w:sz="4" w:space="0"/>
              <w:left w:val="single" w:color="000000" w:sz="4" w:space="0"/>
              <w:bottom w:val="single" w:color="000000" w:sz="4" w:space="0"/>
              <w:right w:val="single" w:color="000000" w:sz="4" w:space="0"/>
            </w:tcBorders>
          </w:tcPr>
          <w:p w14:paraId="2E84019D">
            <w:pPr>
              <w:spacing w:line="259"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资格审查方式</w:t>
            </w:r>
          </w:p>
        </w:tc>
        <w:tc>
          <w:tcPr>
            <w:tcW w:w="7051" w:type="dxa"/>
            <w:tcBorders>
              <w:top w:val="single" w:color="000000" w:sz="4" w:space="0"/>
              <w:left w:val="single" w:color="000000" w:sz="4" w:space="0"/>
              <w:bottom w:val="single" w:color="000000" w:sz="4" w:space="0"/>
              <w:right w:val="single" w:color="000000" w:sz="4" w:space="0"/>
            </w:tcBorders>
          </w:tcPr>
          <w:p w14:paraId="2EB83C1A">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资格后审</w:t>
            </w:r>
          </w:p>
        </w:tc>
      </w:tr>
      <w:tr w14:paraId="0D926654">
        <w:tblPrEx>
          <w:tblCellMar>
            <w:top w:w="147" w:type="dxa"/>
            <w:left w:w="108" w:type="dxa"/>
            <w:bottom w:w="56" w:type="dxa"/>
            <w:right w:w="0" w:type="dxa"/>
          </w:tblCellMar>
        </w:tblPrEx>
        <w:trPr>
          <w:trHeight w:val="1197" w:hRule="atLeast"/>
        </w:trPr>
        <w:tc>
          <w:tcPr>
            <w:tcW w:w="694" w:type="dxa"/>
            <w:tcBorders>
              <w:top w:val="single" w:color="000000" w:sz="4" w:space="0"/>
              <w:left w:val="single" w:color="000000" w:sz="4" w:space="0"/>
              <w:bottom w:val="single" w:color="000000" w:sz="4" w:space="0"/>
              <w:right w:val="single" w:color="000000" w:sz="4" w:space="0"/>
            </w:tcBorders>
            <w:vAlign w:val="center"/>
          </w:tcPr>
          <w:p w14:paraId="4E866CC0">
            <w:pPr>
              <w:pStyle w:val="98"/>
              <w:numPr>
                <w:ilvl w:val="0"/>
                <w:numId w:val="4"/>
              </w:numPr>
              <w:spacing w:line="259" w:lineRule="auto"/>
              <w:ind w:right="110" w:firstLineChars="0"/>
              <w:jc w:val="center"/>
              <w:rPr>
                <w:rFonts w:hint="eastAsia" w:ascii="宋体" w:hAnsi="宋体" w:eastAsia="宋体" w:cs="宋体"/>
                <w:color w:val="auto"/>
                <w:sz w:val="24"/>
                <w:szCs w:val="24"/>
              </w:rPr>
            </w:pPr>
          </w:p>
        </w:tc>
        <w:tc>
          <w:tcPr>
            <w:tcW w:w="2013" w:type="dxa"/>
            <w:tcBorders>
              <w:top w:val="single" w:color="000000" w:sz="4" w:space="0"/>
              <w:left w:val="single" w:color="000000" w:sz="4" w:space="0"/>
              <w:bottom w:val="single" w:color="000000" w:sz="4" w:space="0"/>
              <w:right w:val="single" w:color="000000" w:sz="4" w:space="0"/>
            </w:tcBorders>
            <w:vAlign w:val="center"/>
          </w:tcPr>
          <w:p w14:paraId="2B446F09">
            <w:pPr>
              <w:spacing w:line="259" w:lineRule="auto"/>
              <w:ind w:right="29"/>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投标人资</w:t>
            </w:r>
            <w:r>
              <w:rPr>
                <w:rFonts w:hint="eastAsia" w:ascii="宋体" w:hAnsi="宋体" w:eastAsia="宋体" w:cs="宋体"/>
                <w:color w:val="auto"/>
                <w:sz w:val="24"/>
                <w:szCs w:val="24"/>
                <w:lang w:val="en-US" w:eastAsia="zh-CN"/>
              </w:rPr>
              <w:t>格</w:t>
            </w:r>
            <w:r>
              <w:rPr>
                <w:rFonts w:hint="eastAsia" w:ascii="宋体" w:hAnsi="宋体" w:eastAsia="宋体" w:cs="宋体"/>
                <w:color w:val="auto"/>
                <w:sz w:val="24"/>
                <w:szCs w:val="24"/>
              </w:rPr>
              <w:t>要求</w:t>
            </w:r>
          </w:p>
        </w:tc>
        <w:tc>
          <w:tcPr>
            <w:tcW w:w="7051" w:type="dxa"/>
            <w:tcBorders>
              <w:top w:val="single" w:color="000000" w:sz="4" w:space="0"/>
              <w:left w:val="single" w:color="000000" w:sz="4" w:space="0"/>
              <w:bottom w:val="single" w:color="000000" w:sz="4" w:space="0"/>
              <w:right w:val="single" w:color="000000" w:sz="4" w:space="0"/>
            </w:tcBorders>
          </w:tcPr>
          <w:p w14:paraId="20EC06B3">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（1）具有独立承担民事责任能力的法人、其他组织或自然人，并出具合法有效的营业执照或事业单位法人证书等国家规定的相关证明，自然人参与的提供其身份证明。</w:t>
            </w:r>
          </w:p>
          <w:p w14:paraId="0B1E6773">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（2）法定代表人授权书及被授权人身份证复印件（法定代表人直接投标只需提交其身份证明资料）。</w:t>
            </w:r>
          </w:p>
          <w:p w14:paraId="494BBB2A">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4"/>
                <w:highlight w:val="none"/>
                <w:lang w:val="en-US" w:eastAsia="zh-CN"/>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2"/>
                <w:lang w:val="en-US" w:eastAsia="zh-CN"/>
              </w:rPr>
              <w:t>（4）书面声明：投标人必须提供参加政府采购活动前3年内在经营活动中没有重大违法记录的书面声明。</w:t>
            </w:r>
          </w:p>
          <w:p w14:paraId="7A203D4F">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（5）财务状况报告：提供2023年度或2024年度经审计的财务审计报告或投标截止时间前六个月内基本开户银行出具的资信证明（成立时间至提交响应文件截止时间不足一年的可提供成立后任意时段的资产负债表）。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749091E2">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税收缴纳证明：提供2025年1月至今任意一个月缴纳的纳税证明或完税证明，依法免税或缓缴的单位应提供相关证明材料，纳税证明或完税证明上应有代收机构或税务机关的公章或业务专用章（成立时间至提交投标文件截止时间不足三个月的可不提供）。</w:t>
            </w:r>
          </w:p>
          <w:p w14:paraId="2485ED63">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社会保障资金缴纳证明：提供2025年1月至今任意一个月社会保障资金缴存单据或社保机构开具的社会保险参保缴费情况证明，依法不需要缴纳社会保障资金的单位应提供相关证明材料，单据或证明上应有社保机构或代收机构的印章（成立时间至提交投标文件截止时间不足三个月的可不提供）。</w:t>
            </w:r>
          </w:p>
          <w:p w14:paraId="2DF5B2F4">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bCs/>
                <w:color w:val="auto"/>
                <w:kern w:val="2"/>
                <w:sz w:val="24"/>
                <w:szCs w:val="24"/>
                <w:highlight w:val="none"/>
                <w:lang w:eastAsia="zh-CN" w:bidi="ar-SA"/>
              </w:rPr>
            </w:pPr>
            <w:r>
              <w:rPr>
                <w:rFonts w:hint="eastAsia" w:ascii="宋体" w:hAnsi="宋体" w:eastAsia="宋体" w:cs="宋体"/>
                <w:bCs/>
                <w:color w:val="auto"/>
                <w:sz w:val="24"/>
                <w:szCs w:val="24"/>
                <w:highlight w:val="none"/>
                <w:lang w:val="en-US" w:eastAsia="zh-CN"/>
              </w:rPr>
              <w:t>（8）投标人须具有</w:t>
            </w:r>
            <w:r>
              <w:rPr>
                <w:rFonts w:hint="eastAsia" w:ascii="宋体" w:hAnsi="宋体" w:eastAsia="宋体" w:cs="宋体"/>
                <w:bCs/>
                <w:color w:val="auto"/>
                <w:sz w:val="24"/>
                <w:szCs w:val="24"/>
                <w:highlight w:val="none"/>
              </w:rPr>
              <w:t>【城乡规划编制甲级】资质</w:t>
            </w:r>
            <w:r>
              <w:rPr>
                <w:rFonts w:hint="eastAsia" w:ascii="宋体" w:hAnsi="宋体" w:eastAsia="宋体" w:cs="宋体"/>
                <w:bCs/>
                <w:color w:val="auto"/>
                <w:kern w:val="2"/>
                <w:sz w:val="24"/>
                <w:szCs w:val="24"/>
                <w:highlight w:val="none"/>
                <w:lang w:eastAsia="zh-CN" w:bidi="ar-SA"/>
              </w:rPr>
              <w:t>。</w:t>
            </w:r>
          </w:p>
          <w:p w14:paraId="0F2706DF">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lang w:val="en-US" w:eastAsia="zh-CN"/>
              </w:rPr>
              <w:t>（9）本项目不接受联合体投标。</w:t>
            </w:r>
          </w:p>
        </w:tc>
      </w:tr>
      <w:tr w14:paraId="0A265091">
        <w:tblPrEx>
          <w:tblCellMar>
            <w:top w:w="147" w:type="dxa"/>
            <w:left w:w="108" w:type="dxa"/>
            <w:bottom w:w="56" w:type="dxa"/>
            <w:right w:w="0" w:type="dxa"/>
          </w:tblCellMar>
        </w:tblPrEx>
        <w:trPr>
          <w:trHeight w:val="90" w:hRule="atLeast"/>
        </w:trPr>
        <w:tc>
          <w:tcPr>
            <w:tcW w:w="694" w:type="dxa"/>
            <w:tcBorders>
              <w:top w:val="single" w:color="000000" w:sz="4" w:space="0"/>
              <w:left w:val="single" w:color="000000" w:sz="4" w:space="0"/>
              <w:bottom w:val="single" w:color="000000" w:sz="4" w:space="0"/>
              <w:right w:val="single" w:color="000000" w:sz="4" w:space="0"/>
            </w:tcBorders>
            <w:vAlign w:val="center"/>
          </w:tcPr>
          <w:p w14:paraId="0D70A3EF">
            <w:pPr>
              <w:pStyle w:val="98"/>
              <w:numPr>
                <w:ilvl w:val="0"/>
                <w:numId w:val="4"/>
              </w:numPr>
              <w:spacing w:line="259" w:lineRule="auto"/>
              <w:ind w:firstLineChars="0"/>
              <w:jc w:val="center"/>
              <w:rPr>
                <w:rFonts w:hint="eastAsia" w:ascii="宋体" w:hAnsi="宋体" w:eastAsia="宋体" w:cs="宋体"/>
                <w:color w:val="auto"/>
                <w:sz w:val="24"/>
                <w:szCs w:val="24"/>
              </w:rPr>
            </w:pPr>
          </w:p>
        </w:tc>
        <w:tc>
          <w:tcPr>
            <w:tcW w:w="2013" w:type="dxa"/>
            <w:tcBorders>
              <w:top w:val="single" w:color="000000" w:sz="4" w:space="0"/>
              <w:left w:val="single" w:color="000000" w:sz="4" w:space="0"/>
              <w:bottom w:val="single" w:color="000000" w:sz="4" w:space="0"/>
              <w:right w:val="single" w:color="000000" w:sz="4" w:space="0"/>
            </w:tcBorders>
          </w:tcPr>
          <w:p w14:paraId="23D3402D">
            <w:pPr>
              <w:spacing w:line="259"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是否接受联合体</w:t>
            </w:r>
          </w:p>
          <w:p w14:paraId="5C42A349">
            <w:pPr>
              <w:spacing w:line="259"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w:t>
            </w:r>
          </w:p>
        </w:tc>
        <w:tc>
          <w:tcPr>
            <w:tcW w:w="7051" w:type="dxa"/>
            <w:tcBorders>
              <w:top w:val="single" w:color="000000" w:sz="4" w:space="0"/>
              <w:left w:val="single" w:color="000000" w:sz="4" w:space="0"/>
              <w:bottom w:val="single" w:color="000000" w:sz="4" w:space="0"/>
              <w:right w:val="single" w:color="000000" w:sz="4" w:space="0"/>
            </w:tcBorders>
            <w:vAlign w:val="center"/>
          </w:tcPr>
          <w:p w14:paraId="6889F111">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不接受联合体磋商</w:t>
            </w:r>
          </w:p>
        </w:tc>
      </w:tr>
      <w:tr w14:paraId="0E6CA1DC">
        <w:tblPrEx>
          <w:tblCellMar>
            <w:top w:w="147" w:type="dxa"/>
            <w:left w:w="108" w:type="dxa"/>
            <w:bottom w:w="56" w:type="dxa"/>
            <w:right w:w="0" w:type="dxa"/>
          </w:tblCellMar>
        </w:tblPrEx>
        <w:trPr>
          <w:trHeight w:val="753" w:hRule="atLeast"/>
        </w:trPr>
        <w:tc>
          <w:tcPr>
            <w:tcW w:w="694" w:type="dxa"/>
            <w:tcBorders>
              <w:top w:val="single" w:color="000000" w:sz="4" w:space="0"/>
              <w:left w:val="single" w:color="000000" w:sz="4" w:space="0"/>
              <w:bottom w:val="single" w:color="000000" w:sz="4" w:space="0"/>
              <w:right w:val="single" w:color="000000" w:sz="4" w:space="0"/>
            </w:tcBorders>
            <w:vAlign w:val="center"/>
          </w:tcPr>
          <w:p w14:paraId="4BAF21C0">
            <w:pPr>
              <w:pStyle w:val="98"/>
              <w:numPr>
                <w:ilvl w:val="0"/>
                <w:numId w:val="4"/>
              </w:numPr>
              <w:spacing w:line="259" w:lineRule="auto"/>
              <w:ind w:firstLineChars="0"/>
              <w:jc w:val="center"/>
              <w:rPr>
                <w:rFonts w:hint="eastAsia" w:ascii="宋体" w:hAnsi="宋体" w:eastAsia="宋体" w:cs="宋体"/>
                <w:color w:val="auto"/>
                <w:sz w:val="24"/>
                <w:szCs w:val="24"/>
              </w:rPr>
            </w:pPr>
          </w:p>
        </w:tc>
        <w:tc>
          <w:tcPr>
            <w:tcW w:w="2013" w:type="dxa"/>
            <w:tcBorders>
              <w:top w:val="single" w:color="000000" w:sz="4" w:space="0"/>
              <w:left w:val="single" w:color="000000" w:sz="4" w:space="0"/>
              <w:bottom w:val="single" w:color="000000" w:sz="4" w:space="0"/>
              <w:right w:val="single" w:color="000000" w:sz="4" w:space="0"/>
            </w:tcBorders>
            <w:vAlign w:val="center"/>
          </w:tcPr>
          <w:p w14:paraId="60E82F90">
            <w:pPr>
              <w:spacing w:line="259" w:lineRule="auto"/>
              <w:ind w:right="111"/>
              <w:jc w:val="center"/>
              <w:rPr>
                <w:rFonts w:hint="eastAsia" w:ascii="宋体" w:hAnsi="宋体" w:eastAsia="宋体" w:cs="宋体"/>
                <w:color w:val="auto"/>
                <w:sz w:val="24"/>
                <w:szCs w:val="24"/>
              </w:rPr>
            </w:pPr>
            <w:r>
              <w:rPr>
                <w:rFonts w:hint="eastAsia" w:ascii="宋体" w:hAnsi="宋体" w:eastAsia="宋体" w:cs="宋体"/>
                <w:color w:val="auto"/>
                <w:sz w:val="24"/>
                <w:szCs w:val="24"/>
              </w:rPr>
              <w:t>现场踏勘</w:t>
            </w:r>
          </w:p>
        </w:tc>
        <w:tc>
          <w:tcPr>
            <w:tcW w:w="7051" w:type="dxa"/>
            <w:tcBorders>
              <w:top w:val="single" w:color="000000" w:sz="4" w:space="0"/>
              <w:left w:val="single" w:color="000000" w:sz="4" w:space="0"/>
              <w:bottom w:val="single" w:color="000000" w:sz="4" w:space="0"/>
              <w:right w:val="single" w:color="000000" w:sz="4" w:space="0"/>
            </w:tcBorders>
          </w:tcPr>
          <w:p w14:paraId="6EB2C831">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自行勘察，未勘察现场造成的一切后果由投标人自行承担（一切费用自理）。 </w:t>
            </w:r>
          </w:p>
        </w:tc>
      </w:tr>
      <w:tr w14:paraId="26594903">
        <w:tblPrEx>
          <w:tblCellMar>
            <w:top w:w="147" w:type="dxa"/>
            <w:left w:w="108" w:type="dxa"/>
            <w:bottom w:w="56" w:type="dxa"/>
            <w:right w:w="0" w:type="dxa"/>
          </w:tblCellMar>
        </w:tblPrEx>
        <w:trPr>
          <w:trHeight w:val="1233" w:hRule="atLeast"/>
        </w:trPr>
        <w:tc>
          <w:tcPr>
            <w:tcW w:w="694" w:type="dxa"/>
            <w:tcBorders>
              <w:top w:val="single" w:color="000000" w:sz="4" w:space="0"/>
              <w:left w:val="single" w:color="000000" w:sz="4" w:space="0"/>
              <w:bottom w:val="single" w:color="000000" w:sz="4" w:space="0"/>
              <w:right w:val="single" w:color="000000" w:sz="4" w:space="0"/>
            </w:tcBorders>
            <w:vAlign w:val="center"/>
          </w:tcPr>
          <w:p w14:paraId="4196E8C5">
            <w:pPr>
              <w:pStyle w:val="98"/>
              <w:numPr>
                <w:ilvl w:val="0"/>
                <w:numId w:val="4"/>
              </w:numPr>
              <w:spacing w:line="259" w:lineRule="auto"/>
              <w:ind w:firstLineChars="0"/>
              <w:jc w:val="center"/>
              <w:rPr>
                <w:rFonts w:hint="eastAsia" w:ascii="宋体" w:hAnsi="宋体" w:eastAsia="宋体" w:cs="宋体"/>
                <w:color w:val="auto"/>
                <w:sz w:val="24"/>
                <w:szCs w:val="24"/>
              </w:rPr>
            </w:pPr>
          </w:p>
        </w:tc>
        <w:tc>
          <w:tcPr>
            <w:tcW w:w="2013" w:type="dxa"/>
            <w:tcBorders>
              <w:top w:val="single" w:color="000000" w:sz="4" w:space="0"/>
              <w:left w:val="single" w:color="000000" w:sz="4" w:space="0"/>
              <w:bottom w:val="single" w:color="000000" w:sz="4" w:space="0"/>
              <w:right w:val="single" w:color="000000" w:sz="4" w:space="0"/>
            </w:tcBorders>
            <w:vAlign w:val="center"/>
          </w:tcPr>
          <w:p w14:paraId="2C67E7E8">
            <w:pPr>
              <w:spacing w:line="259"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磋商时间和地点</w:t>
            </w:r>
          </w:p>
        </w:tc>
        <w:tc>
          <w:tcPr>
            <w:tcW w:w="7051" w:type="dxa"/>
            <w:tcBorders>
              <w:top w:val="single" w:color="000000" w:sz="4" w:space="0"/>
              <w:left w:val="single" w:color="000000" w:sz="4" w:space="0"/>
              <w:bottom w:val="single" w:color="000000" w:sz="4" w:space="0"/>
              <w:right w:val="single" w:color="000000" w:sz="4" w:space="0"/>
            </w:tcBorders>
          </w:tcPr>
          <w:p w14:paraId="01CEFCD8">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磋商时间：2025年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时00分</w:t>
            </w:r>
            <w:r>
              <w:rPr>
                <w:rFonts w:hint="eastAsia" w:ascii="宋体" w:hAnsi="宋体" w:eastAsia="宋体" w:cs="宋体"/>
                <w:color w:val="FF0000"/>
                <w:sz w:val="24"/>
                <w:szCs w:val="24"/>
              </w:rPr>
              <w:t xml:space="preserve">  </w:t>
            </w:r>
            <w:r>
              <w:rPr>
                <w:rFonts w:hint="eastAsia" w:ascii="宋体" w:hAnsi="宋体" w:eastAsia="宋体" w:cs="宋体"/>
                <w:color w:val="auto"/>
                <w:sz w:val="24"/>
                <w:szCs w:val="24"/>
              </w:rPr>
              <w:t xml:space="preserve">  </w:t>
            </w:r>
          </w:p>
          <w:p w14:paraId="73DF7533">
            <w:pPr>
              <w:spacing w:line="259"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磋商地点：</w:t>
            </w:r>
            <w:r>
              <w:rPr>
                <w:rFonts w:hint="eastAsia" w:ascii="宋体" w:hAnsi="宋体" w:eastAsia="宋体" w:cs="宋体"/>
                <w:color w:val="auto"/>
                <w:sz w:val="24"/>
                <w:szCs w:val="24"/>
                <w:lang w:val="en-US" w:eastAsia="zh-CN"/>
              </w:rPr>
              <w:t>安康不见面开标大厅系统</w:t>
            </w:r>
          </w:p>
          <w:p w14:paraId="60B128AF">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（如有变动，另行通知）</w:t>
            </w:r>
          </w:p>
        </w:tc>
      </w:tr>
      <w:tr w14:paraId="2AFE1969">
        <w:tblPrEx>
          <w:tblCellMar>
            <w:top w:w="147" w:type="dxa"/>
            <w:left w:w="108" w:type="dxa"/>
            <w:bottom w:w="56" w:type="dxa"/>
            <w:right w:w="0" w:type="dxa"/>
          </w:tblCellMar>
        </w:tblPrEx>
        <w:trPr>
          <w:trHeight w:val="1108" w:hRule="atLeast"/>
        </w:trPr>
        <w:tc>
          <w:tcPr>
            <w:tcW w:w="694" w:type="dxa"/>
            <w:tcBorders>
              <w:top w:val="single" w:color="000000" w:sz="4" w:space="0"/>
              <w:left w:val="single" w:color="000000" w:sz="4" w:space="0"/>
              <w:bottom w:val="single" w:color="000000" w:sz="4" w:space="0"/>
              <w:right w:val="single" w:color="000000" w:sz="4" w:space="0"/>
            </w:tcBorders>
            <w:vAlign w:val="center"/>
          </w:tcPr>
          <w:p w14:paraId="6EEF5810">
            <w:pPr>
              <w:pStyle w:val="98"/>
              <w:numPr>
                <w:ilvl w:val="0"/>
                <w:numId w:val="4"/>
              </w:numPr>
              <w:spacing w:line="259" w:lineRule="auto"/>
              <w:ind w:firstLineChars="0"/>
              <w:jc w:val="center"/>
              <w:rPr>
                <w:rFonts w:hint="eastAsia" w:ascii="宋体" w:hAnsi="宋体" w:eastAsia="宋体" w:cs="宋体"/>
                <w:color w:val="auto"/>
                <w:sz w:val="24"/>
                <w:szCs w:val="24"/>
              </w:rPr>
            </w:pPr>
          </w:p>
        </w:tc>
        <w:tc>
          <w:tcPr>
            <w:tcW w:w="2013" w:type="dxa"/>
            <w:tcBorders>
              <w:top w:val="single" w:color="000000" w:sz="4" w:space="0"/>
              <w:left w:val="single" w:color="000000" w:sz="4" w:space="0"/>
              <w:bottom w:val="single" w:color="000000" w:sz="4" w:space="0"/>
              <w:right w:val="single" w:color="000000" w:sz="4" w:space="0"/>
            </w:tcBorders>
          </w:tcPr>
          <w:p w14:paraId="200A260C">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磋商响应文件递交截止时间地点</w:t>
            </w:r>
          </w:p>
        </w:tc>
        <w:tc>
          <w:tcPr>
            <w:tcW w:w="7051" w:type="dxa"/>
            <w:tcBorders>
              <w:top w:val="single" w:color="000000" w:sz="4" w:space="0"/>
              <w:left w:val="single" w:color="000000" w:sz="4" w:space="0"/>
              <w:bottom w:val="single" w:color="000000" w:sz="4" w:space="0"/>
              <w:right w:val="single" w:color="000000" w:sz="4" w:space="0"/>
            </w:tcBorders>
            <w:vAlign w:val="center"/>
          </w:tcPr>
          <w:p w14:paraId="2A4D0FF4">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递交截止时间：2025年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时00分</w:t>
            </w:r>
            <w:r>
              <w:rPr>
                <w:rFonts w:hint="eastAsia" w:ascii="宋体" w:hAnsi="宋体" w:eastAsia="宋体" w:cs="宋体"/>
                <w:color w:val="auto"/>
                <w:kern w:val="0"/>
                <w:sz w:val="24"/>
                <w:szCs w:val="28"/>
                <w:highlight w:val="none"/>
                <w:lang w:val="en-US" w:eastAsia="zh-CN"/>
              </w:rPr>
              <w:t>止</w:t>
            </w:r>
            <w:r>
              <w:rPr>
                <w:rFonts w:hint="eastAsia" w:ascii="宋体" w:hAnsi="宋体" w:eastAsia="宋体" w:cs="宋体"/>
                <w:color w:val="auto"/>
                <w:sz w:val="24"/>
                <w:szCs w:val="24"/>
              </w:rPr>
              <w:t xml:space="preserve"> </w:t>
            </w:r>
          </w:p>
          <w:p w14:paraId="76424BED">
            <w:pPr>
              <w:pStyle w:val="68"/>
              <w:keepNext w:val="0"/>
              <w:keepLines w:val="0"/>
              <w:pageBreakBefore w:val="0"/>
              <w:kinsoku/>
              <w:wordWrap/>
              <w:overflowPunct/>
              <w:topLinePunct w:val="0"/>
              <w:autoSpaceDE/>
              <w:autoSpaceDN/>
              <w:bidi w:val="0"/>
              <w:adjustRightInd/>
              <w:spacing w:line="440" w:lineRule="exact"/>
              <w:ind w:left="0" w:lef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递交地点</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lang w:val="en-US" w:eastAsia="zh-CN"/>
              </w:rPr>
              <w:t>全国公共资源交易平台（陕西省 安康市）</w:t>
            </w:r>
          </w:p>
        </w:tc>
      </w:tr>
      <w:tr w14:paraId="2C8EFA98">
        <w:tblPrEx>
          <w:tblCellMar>
            <w:top w:w="147" w:type="dxa"/>
            <w:left w:w="108" w:type="dxa"/>
            <w:bottom w:w="56" w:type="dxa"/>
            <w:right w:w="0" w:type="dxa"/>
          </w:tblCellMar>
        </w:tblPrEx>
        <w:trPr>
          <w:trHeight w:val="609" w:hRule="atLeast"/>
        </w:trPr>
        <w:tc>
          <w:tcPr>
            <w:tcW w:w="694" w:type="dxa"/>
            <w:tcBorders>
              <w:top w:val="single" w:color="000000" w:sz="4" w:space="0"/>
              <w:left w:val="single" w:color="000000" w:sz="4" w:space="0"/>
              <w:bottom w:val="single" w:color="000000" w:sz="4" w:space="0"/>
              <w:right w:val="single" w:color="000000" w:sz="4" w:space="0"/>
            </w:tcBorders>
          </w:tcPr>
          <w:p w14:paraId="291ECA95">
            <w:pPr>
              <w:pStyle w:val="98"/>
              <w:numPr>
                <w:ilvl w:val="0"/>
                <w:numId w:val="4"/>
              </w:numPr>
              <w:spacing w:line="259" w:lineRule="auto"/>
              <w:ind w:firstLineChars="0"/>
              <w:jc w:val="center"/>
              <w:rPr>
                <w:rFonts w:hint="eastAsia" w:ascii="宋体" w:hAnsi="宋体" w:eastAsia="宋体" w:cs="宋体"/>
                <w:color w:val="auto"/>
                <w:sz w:val="24"/>
                <w:szCs w:val="24"/>
              </w:rPr>
            </w:pPr>
          </w:p>
        </w:tc>
        <w:tc>
          <w:tcPr>
            <w:tcW w:w="2013" w:type="dxa"/>
            <w:tcBorders>
              <w:top w:val="single" w:color="000000" w:sz="4" w:space="0"/>
              <w:left w:val="single" w:color="000000" w:sz="4" w:space="0"/>
              <w:bottom w:val="single" w:color="000000" w:sz="4" w:space="0"/>
              <w:right w:val="single" w:color="000000" w:sz="4" w:space="0"/>
            </w:tcBorders>
            <w:vAlign w:val="center"/>
          </w:tcPr>
          <w:p w14:paraId="446D8D0F">
            <w:pPr>
              <w:spacing w:line="259"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响应有效期</w:t>
            </w:r>
          </w:p>
        </w:tc>
        <w:tc>
          <w:tcPr>
            <w:tcW w:w="7051" w:type="dxa"/>
            <w:tcBorders>
              <w:top w:val="single" w:color="000000" w:sz="4" w:space="0"/>
              <w:left w:val="single" w:color="000000" w:sz="4" w:space="0"/>
              <w:bottom w:val="single" w:color="000000" w:sz="4" w:space="0"/>
              <w:right w:val="single" w:color="000000" w:sz="4" w:space="0"/>
            </w:tcBorders>
          </w:tcPr>
          <w:p w14:paraId="620ADCD0">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color="000000"/>
              </w:rPr>
              <w:t>90</w:t>
            </w:r>
            <w:r>
              <w:rPr>
                <w:rFonts w:hint="eastAsia" w:ascii="宋体" w:hAnsi="宋体" w:eastAsia="宋体" w:cs="宋体"/>
                <w:color w:val="auto"/>
                <w:sz w:val="24"/>
                <w:szCs w:val="24"/>
              </w:rPr>
              <w:t xml:space="preserve">日历天（从提交响应文件日起计算） </w:t>
            </w:r>
          </w:p>
        </w:tc>
      </w:tr>
      <w:tr w14:paraId="45DAC001">
        <w:tblPrEx>
          <w:tblCellMar>
            <w:top w:w="147" w:type="dxa"/>
            <w:left w:w="108" w:type="dxa"/>
            <w:bottom w:w="56" w:type="dxa"/>
            <w:right w:w="0" w:type="dxa"/>
          </w:tblCellMar>
        </w:tblPrEx>
        <w:trPr>
          <w:trHeight w:val="731" w:hRule="atLeast"/>
        </w:trPr>
        <w:tc>
          <w:tcPr>
            <w:tcW w:w="694" w:type="dxa"/>
            <w:tcBorders>
              <w:top w:val="single" w:color="000000" w:sz="4" w:space="0"/>
              <w:left w:val="single" w:color="000000" w:sz="4" w:space="0"/>
              <w:bottom w:val="single" w:color="000000" w:sz="4" w:space="0"/>
              <w:right w:val="single" w:color="000000" w:sz="4" w:space="0"/>
            </w:tcBorders>
            <w:vAlign w:val="center"/>
          </w:tcPr>
          <w:p w14:paraId="39320B98">
            <w:pPr>
              <w:pStyle w:val="98"/>
              <w:numPr>
                <w:ilvl w:val="0"/>
                <w:numId w:val="4"/>
              </w:numPr>
              <w:spacing w:line="259" w:lineRule="auto"/>
              <w:ind w:firstLineChars="0"/>
              <w:jc w:val="center"/>
              <w:rPr>
                <w:rFonts w:hint="eastAsia" w:ascii="宋体" w:hAnsi="宋体" w:eastAsia="宋体" w:cs="宋体"/>
                <w:color w:val="auto"/>
                <w:sz w:val="24"/>
                <w:szCs w:val="24"/>
              </w:rPr>
            </w:pPr>
          </w:p>
        </w:tc>
        <w:tc>
          <w:tcPr>
            <w:tcW w:w="2013" w:type="dxa"/>
            <w:tcBorders>
              <w:top w:val="single" w:color="000000" w:sz="4" w:space="0"/>
              <w:left w:val="single" w:color="000000" w:sz="4" w:space="0"/>
              <w:bottom w:val="single" w:color="000000" w:sz="4" w:space="0"/>
              <w:right w:val="single" w:color="000000" w:sz="4" w:space="0"/>
            </w:tcBorders>
            <w:vAlign w:val="center"/>
          </w:tcPr>
          <w:p w14:paraId="41BBAD68">
            <w:pPr>
              <w:spacing w:line="259" w:lineRule="auto"/>
              <w:ind w:right="111"/>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评分办法</w:t>
            </w:r>
          </w:p>
        </w:tc>
        <w:tc>
          <w:tcPr>
            <w:tcW w:w="7051" w:type="dxa"/>
            <w:tcBorders>
              <w:top w:val="single" w:color="000000" w:sz="4" w:space="0"/>
              <w:left w:val="single" w:color="000000" w:sz="4" w:space="0"/>
              <w:bottom w:val="single" w:color="000000" w:sz="4" w:space="0"/>
              <w:right w:val="single" w:color="000000" w:sz="4" w:space="0"/>
            </w:tcBorders>
            <w:vAlign w:val="center"/>
          </w:tcPr>
          <w:p w14:paraId="12904673">
            <w:pPr>
              <w:spacing w:line="259"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综合评分法</w:t>
            </w:r>
          </w:p>
        </w:tc>
      </w:tr>
      <w:tr w14:paraId="0764E895">
        <w:tblPrEx>
          <w:tblCellMar>
            <w:top w:w="147" w:type="dxa"/>
            <w:left w:w="108" w:type="dxa"/>
            <w:bottom w:w="56" w:type="dxa"/>
            <w:right w:w="0" w:type="dxa"/>
          </w:tblCellMar>
        </w:tblPrEx>
        <w:trPr>
          <w:trHeight w:val="1178" w:hRule="atLeast"/>
        </w:trPr>
        <w:tc>
          <w:tcPr>
            <w:tcW w:w="694" w:type="dxa"/>
            <w:tcBorders>
              <w:top w:val="single" w:color="000000" w:sz="4" w:space="0"/>
              <w:left w:val="single" w:color="000000" w:sz="4" w:space="0"/>
              <w:bottom w:val="single" w:color="000000" w:sz="4" w:space="0"/>
              <w:right w:val="single" w:color="000000" w:sz="4" w:space="0"/>
            </w:tcBorders>
            <w:vAlign w:val="center"/>
          </w:tcPr>
          <w:p w14:paraId="752A47D6">
            <w:pPr>
              <w:pStyle w:val="98"/>
              <w:numPr>
                <w:ilvl w:val="0"/>
                <w:numId w:val="4"/>
              </w:numPr>
              <w:spacing w:line="259" w:lineRule="auto"/>
              <w:ind w:firstLineChars="0"/>
              <w:jc w:val="center"/>
              <w:rPr>
                <w:rFonts w:hint="eastAsia" w:ascii="宋体" w:hAnsi="宋体" w:eastAsia="宋体" w:cs="宋体"/>
                <w:color w:val="auto"/>
                <w:sz w:val="24"/>
                <w:szCs w:val="24"/>
              </w:rPr>
            </w:pPr>
          </w:p>
        </w:tc>
        <w:tc>
          <w:tcPr>
            <w:tcW w:w="2013" w:type="dxa"/>
            <w:tcBorders>
              <w:top w:val="single" w:color="000000" w:sz="4" w:space="0"/>
              <w:left w:val="single" w:color="000000" w:sz="4" w:space="0"/>
              <w:bottom w:val="single" w:color="000000" w:sz="4" w:space="0"/>
              <w:right w:val="single" w:color="000000" w:sz="4" w:space="0"/>
            </w:tcBorders>
            <w:vAlign w:val="center"/>
          </w:tcPr>
          <w:p w14:paraId="6B5FE367">
            <w:pPr>
              <w:spacing w:line="259"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磋商小组构成</w:t>
            </w:r>
          </w:p>
        </w:tc>
        <w:tc>
          <w:tcPr>
            <w:tcW w:w="7051" w:type="dxa"/>
            <w:tcBorders>
              <w:top w:val="single" w:color="000000" w:sz="4" w:space="0"/>
              <w:left w:val="single" w:color="000000" w:sz="4" w:space="0"/>
              <w:bottom w:val="single" w:color="000000" w:sz="4" w:space="0"/>
              <w:right w:val="single" w:color="000000" w:sz="4" w:space="0"/>
            </w:tcBorders>
          </w:tcPr>
          <w:p w14:paraId="4431A8EB">
            <w:pPr>
              <w:spacing w:line="259" w:lineRule="auto"/>
              <w:rPr>
                <w:rFonts w:hint="eastAsia" w:ascii="宋体" w:hAnsi="宋体" w:eastAsia="宋体" w:cs="宋体"/>
                <w:color w:val="auto"/>
                <w:sz w:val="24"/>
                <w:szCs w:val="24"/>
              </w:rPr>
            </w:pPr>
            <w:r>
              <w:rPr>
                <w:rFonts w:hint="eastAsia" w:ascii="宋体" w:hAnsi="宋体" w:eastAsia="宋体" w:cs="宋体"/>
                <w:kern w:val="0"/>
                <w:sz w:val="24"/>
                <w:szCs w:val="24"/>
              </w:rPr>
              <w:t>根据《中华人民共和国政府采购法》、《中华人民共和国政府采购法实施条例》、《政府采购竞争性磋商采购方式管理暂行办法》等有关法律规定组建磋商小组。</w:t>
            </w:r>
          </w:p>
        </w:tc>
      </w:tr>
      <w:tr w14:paraId="5E8272A0">
        <w:tblPrEx>
          <w:tblCellMar>
            <w:top w:w="147" w:type="dxa"/>
            <w:left w:w="108" w:type="dxa"/>
            <w:bottom w:w="56" w:type="dxa"/>
            <w:right w:w="0" w:type="dxa"/>
          </w:tblCellMar>
        </w:tblPrEx>
        <w:trPr>
          <w:trHeight w:val="4010" w:hRule="atLeast"/>
        </w:trPr>
        <w:tc>
          <w:tcPr>
            <w:tcW w:w="694" w:type="dxa"/>
            <w:tcBorders>
              <w:top w:val="single" w:color="000000" w:sz="4" w:space="0"/>
              <w:left w:val="single" w:color="000000" w:sz="4" w:space="0"/>
              <w:bottom w:val="single" w:color="000000" w:sz="4" w:space="0"/>
              <w:right w:val="single" w:color="000000" w:sz="4" w:space="0"/>
            </w:tcBorders>
            <w:vAlign w:val="center"/>
          </w:tcPr>
          <w:p w14:paraId="58EAA67E">
            <w:pPr>
              <w:pStyle w:val="98"/>
              <w:numPr>
                <w:ilvl w:val="0"/>
                <w:numId w:val="4"/>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2013" w:type="dxa"/>
            <w:tcBorders>
              <w:top w:val="single" w:color="000000" w:sz="4" w:space="0"/>
              <w:left w:val="single" w:color="000000" w:sz="4" w:space="0"/>
              <w:bottom w:val="single" w:color="000000" w:sz="4" w:space="0"/>
              <w:right w:val="single" w:color="000000" w:sz="4" w:space="0"/>
            </w:tcBorders>
            <w:vAlign w:val="center"/>
          </w:tcPr>
          <w:p w14:paraId="3A3915C3">
            <w:pPr>
              <w:spacing w:line="259"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付款方式和结算方式</w:t>
            </w:r>
          </w:p>
        </w:tc>
        <w:tc>
          <w:tcPr>
            <w:tcW w:w="7051" w:type="dxa"/>
            <w:tcBorders>
              <w:top w:val="single" w:color="000000" w:sz="4" w:space="0"/>
              <w:left w:val="single" w:color="000000" w:sz="4" w:space="0"/>
              <w:bottom w:val="single" w:color="000000" w:sz="4" w:space="0"/>
              <w:right w:val="single" w:color="000000" w:sz="4" w:space="0"/>
            </w:tcBorders>
            <w:vAlign w:val="top"/>
          </w:tcPr>
          <w:p w14:paraId="75C65E96">
            <w:pPr>
              <w:spacing w:line="44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一、付款方式：</w:t>
            </w:r>
          </w:p>
          <w:p w14:paraId="25CFAA58">
            <w:pPr>
              <w:spacing w:line="54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（1）合同签订后10天内支付合同总金额的30%；</w:t>
            </w:r>
          </w:p>
          <w:p w14:paraId="7E3D07BC">
            <w:pPr>
              <w:spacing w:line="54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（2）投标人提交规划初稿文件后10天内支付合同总金额的30%；</w:t>
            </w:r>
          </w:p>
          <w:p w14:paraId="56F020A8">
            <w:pPr>
              <w:spacing w:line="54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（3）投标人提交的技术成果通过评审后10天内，支付合同总金额的20%。 </w:t>
            </w:r>
          </w:p>
          <w:p w14:paraId="3676E6B5">
            <w:pPr>
              <w:spacing w:line="54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（4）投标人提交最终技术后10天内，支付合同总金额的20%</w:t>
            </w:r>
          </w:p>
          <w:p w14:paraId="47B61C61">
            <w:pPr>
              <w:spacing w:line="54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二、结算方式：</w:t>
            </w:r>
          </w:p>
          <w:p w14:paraId="4B19964B">
            <w:pPr>
              <w:spacing w:line="54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（1）由甲方负责结算。付款前，乙方须开具与合同金额相应的发票给甲方。</w:t>
            </w:r>
          </w:p>
        </w:tc>
      </w:tr>
      <w:tr w14:paraId="6F74908C">
        <w:tblPrEx>
          <w:tblCellMar>
            <w:top w:w="147" w:type="dxa"/>
            <w:left w:w="108" w:type="dxa"/>
            <w:bottom w:w="56" w:type="dxa"/>
            <w:right w:w="0" w:type="dxa"/>
          </w:tblCellMar>
        </w:tblPrEx>
        <w:trPr>
          <w:trHeight w:val="3586" w:hRule="atLeast"/>
        </w:trPr>
        <w:tc>
          <w:tcPr>
            <w:tcW w:w="694" w:type="dxa"/>
            <w:tcBorders>
              <w:top w:val="single" w:color="000000" w:sz="4" w:space="0"/>
              <w:left w:val="single" w:color="000000" w:sz="4" w:space="0"/>
              <w:bottom w:val="single" w:color="000000" w:sz="4" w:space="0"/>
              <w:right w:val="single" w:color="000000" w:sz="4" w:space="0"/>
            </w:tcBorders>
          </w:tcPr>
          <w:p w14:paraId="2299FB67">
            <w:pPr>
              <w:pStyle w:val="98"/>
              <w:numPr>
                <w:ilvl w:val="0"/>
                <w:numId w:val="4"/>
              </w:numPr>
              <w:spacing w:line="259" w:lineRule="auto"/>
              <w:ind w:firstLineChars="0"/>
              <w:jc w:val="center"/>
              <w:rPr>
                <w:rFonts w:hint="eastAsia" w:ascii="宋体" w:hAnsi="宋体" w:eastAsia="宋体" w:cs="宋体"/>
                <w:color w:val="auto"/>
                <w:sz w:val="24"/>
                <w:szCs w:val="24"/>
              </w:rPr>
            </w:pPr>
          </w:p>
        </w:tc>
        <w:tc>
          <w:tcPr>
            <w:tcW w:w="2013" w:type="dxa"/>
            <w:tcBorders>
              <w:top w:val="single" w:color="000000" w:sz="4" w:space="0"/>
              <w:left w:val="single" w:color="000000" w:sz="4" w:space="0"/>
              <w:bottom w:val="single" w:color="000000" w:sz="4" w:space="0"/>
              <w:right w:val="single" w:color="000000" w:sz="4" w:space="0"/>
            </w:tcBorders>
            <w:vAlign w:val="center"/>
          </w:tcPr>
          <w:p w14:paraId="01BFED77">
            <w:pPr>
              <w:spacing w:line="259" w:lineRule="auto"/>
              <w:ind w:right="109"/>
              <w:jc w:val="center"/>
              <w:rPr>
                <w:rFonts w:hint="eastAsia" w:ascii="宋体" w:hAnsi="宋体" w:eastAsia="宋体" w:cs="宋体"/>
                <w:b/>
                <w:kern w:val="0"/>
                <w:sz w:val="24"/>
                <w:szCs w:val="24"/>
              </w:rPr>
            </w:pPr>
            <w:r>
              <w:rPr>
                <w:rFonts w:hint="eastAsia" w:ascii="宋体" w:hAnsi="宋体" w:eastAsia="宋体" w:cs="宋体"/>
                <w:color w:val="auto"/>
                <w:sz w:val="24"/>
                <w:szCs w:val="24"/>
              </w:rPr>
              <w:t>知识产权</w:t>
            </w:r>
          </w:p>
        </w:tc>
        <w:tc>
          <w:tcPr>
            <w:tcW w:w="7051" w:type="dxa"/>
            <w:tcBorders>
              <w:top w:val="single" w:color="000000" w:sz="4" w:space="0"/>
              <w:left w:val="single" w:color="000000" w:sz="4" w:space="0"/>
              <w:bottom w:val="single" w:color="000000" w:sz="4" w:space="0"/>
              <w:right w:val="single" w:color="000000" w:sz="4" w:space="0"/>
            </w:tcBorders>
            <w:vAlign w:val="center"/>
          </w:tcPr>
          <w:p w14:paraId="1C00B9A6">
            <w:pPr>
              <w:adjustRightInd w:val="0"/>
              <w:snapToGrid w:val="0"/>
              <w:spacing w:line="400" w:lineRule="exact"/>
              <w:jc w:val="both"/>
              <w:rPr>
                <w:rFonts w:hint="eastAsia" w:ascii="宋体" w:hAnsi="宋体" w:eastAsia="宋体" w:cs="宋体"/>
                <w:kern w:val="0"/>
                <w:sz w:val="24"/>
                <w:szCs w:val="24"/>
              </w:rPr>
            </w:pPr>
            <w:r>
              <w:rPr>
                <w:rFonts w:hint="eastAsia" w:ascii="宋体" w:hAnsi="宋体" w:eastAsia="宋体" w:cs="宋体"/>
                <w:kern w:val="0"/>
                <w:sz w:val="24"/>
                <w:szCs w:val="24"/>
              </w:rPr>
              <w:t>构成本竞争性磋商文件各个组成部分的文件，未经采购人书面同意，投标人不得擅自复印和用于非本招标项目所需的其他目的。采购人全部或者部分使用未成交单位响应文件中的技术成果或技术方案时，需征得其书面同意，并不得擅自复印或提供给第三人。</w:t>
            </w:r>
          </w:p>
          <w:p w14:paraId="59A83548">
            <w:pPr>
              <w:spacing w:line="259" w:lineRule="auto"/>
              <w:ind w:right="-11"/>
              <w:jc w:val="both"/>
              <w:rPr>
                <w:rFonts w:hint="eastAsia" w:ascii="宋体" w:hAnsi="宋体" w:eastAsia="宋体" w:cs="宋体"/>
                <w:kern w:val="0"/>
                <w:sz w:val="24"/>
                <w:szCs w:val="24"/>
              </w:rPr>
            </w:pPr>
            <w:r>
              <w:rPr>
                <w:rFonts w:hint="eastAsia" w:ascii="宋体" w:hAnsi="宋体" w:eastAsia="宋体" w:cs="宋体"/>
                <w:kern w:val="0"/>
                <w:sz w:val="24"/>
                <w:szCs w:val="24"/>
              </w:rPr>
              <w:t>成交单位须保障采购人在使用文件或其任何一部分时不受到第三方关于侵犯专利权、商标权或工业设计权等知识产权的指控。如果任何第三方提出侵权指控与采购人无关，成交单位须与第三方交涉并承担可能发生的责任与一切费用。如采购人因此而遭致损失的，成交单位应赔偿该损失。</w:t>
            </w:r>
          </w:p>
        </w:tc>
      </w:tr>
      <w:tr w14:paraId="74847083">
        <w:tblPrEx>
          <w:tblCellMar>
            <w:top w:w="147" w:type="dxa"/>
            <w:left w:w="108" w:type="dxa"/>
            <w:bottom w:w="56" w:type="dxa"/>
            <w:right w:w="0" w:type="dxa"/>
          </w:tblCellMar>
        </w:tblPrEx>
        <w:trPr>
          <w:trHeight w:val="90" w:hRule="atLeast"/>
        </w:trPr>
        <w:tc>
          <w:tcPr>
            <w:tcW w:w="694" w:type="dxa"/>
            <w:tcBorders>
              <w:top w:val="single" w:color="000000" w:sz="4" w:space="0"/>
              <w:left w:val="single" w:color="000000" w:sz="4" w:space="0"/>
              <w:bottom w:val="single" w:color="000000" w:sz="4" w:space="0"/>
              <w:right w:val="single" w:color="000000" w:sz="4" w:space="0"/>
            </w:tcBorders>
          </w:tcPr>
          <w:p w14:paraId="55C3A45E">
            <w:pPr>
              <w:pStyle w:val="98"/>
              <w:numPr>
                <w:ilvl w:val="0"/>
                <w:numId w:val="4"/>
              </w:numPr>
              <w:spacing w:line="259" w:lineRule="auto"/>
              <w:ind w:firstLineChars="0"/>
              <w:jc w:val="center"/>
              <w:rPr>
                <w:rFonts w:hint="eastAsia" w:ascii="宋体" w:hAnsi="宋体" w:eastAsia="宋体" w:cs="宋体"/>
                <w:color w:val="auto"/>
                <w:sz w:val="24"/>
                <w:szCs w:val="24"/>
              </w:rPr>
            </w:pPr>
          </w:p>
        </w:tc>
        <w:tc>
          <w:tcPr>
            <w:tcW w:w="2013" w:type="dxa"/>
            <w:tcBorders>
              <w:top w:val="single" w:color="000000" w:sz="4" w:space="0"/>
              <w:left w:val="single" w:color="000000" w:sz="4" w:space="0"/>
              <w:bottom w:val="single" w:color="000000" w:sz="4" w:space="0"/>
              <w:right w:val="single" w:color="000000" w:sz="4" w:space="0"/>
            </w:tcBorders>
            <w:vAlign w:val="center"/>
          </w:tcPr>
          <w:p w14:paraId="1672E5B9">
            <w:pPr>
              <w:spacing w:line="259" w:lineRule="auto"/>
              <w:ind w:right="109"/>
              <w:jc w:val="center"/>
              <w:rPr>
                <w:rFonts w:hint="eastAsia" w:ascii="宋体" w:hAnsi="宋体" w:eastAsia="宋体" w:cs="宋体"/>
                <w:color w:val="auto"/>
                <w:sz w:val="24"/>
                <w:szCs w:val="24"/>
              </w:rPr>
            </w:pPr>
            <w:r>
              <w:rPr>
                <w:rFonts w:hint="eastAsia" w:ascii="宋体" w:hAnsi="宋体" w:eastAsia="宋体" w:cs="宋体"/>
                <w:color w:val="auto"/>
                <w:sz w:val="24"/>
                <w:szCs w:val="24"/>
              </w:rPr>
              <w:t>保密</w:t>
            </w:r>
          </w:p>
        </w:tc>
        <w:tc>
          <w:tcPr>
            <w:tcW w:w="7051" w:type="dxa"/>
            <w:tcBorders>
              <w:top w:val="single" w:color="000000" w:sz="4" w:space="0"/>
              <w:left w:val="single" w:color="000000" w:sz="4" w:space="0"/>
              <w:bottom w:val="single" w:color="000000" w:sz="4" w:space="0"/>
              <w:right w:val="single" w:color="000000" w:sz="4" w:space="0"/>
            </w:tcBorders>
          </w:tcPr>
          <w:p w14:paraId="3783F63B">
            <w:pPr>
              <w:spacing w:line="259" w:lineRule="auto"/>
              <w:ind w:right="-11"/>
              <w:rPr>
                <w:rFonts w:hint="eastAsia" w:ascii="宋体" w:hAnsi="宋体" w:eastAsia="宋体" w:cs="宋体"/>
                <w:color w:val="auto"/>
                <w:sz w:val="24"/>
                <w:szCs w:val="24"/>
              </w:rPr>
            </w:pPr>
            <w:r>
              <w:rPr>
                <w:rFonts w:hint="eastAsia" w:ascii="宋体" w:hAnsi="宋体" w:eastAsia="宋体" w:cs="宋体"/>
                <w:kern w:val="0"/>
                <w:sz w:val="24"/>
                <w:szCs w:val="24"/>
              </w:rPr>
              <w:t>有关本项目资料的使用，必须遵守国家保密规定，并且不得用于本项目以外用途。</w:t>
            </w:r>
          </w:p>
        </w:tc>
      </w:tr>
      <w:tr w14:paraId="26B4BD8B">
        <w:tblPrEx>
          <w:tblCellMar>
            <w:top w:w="147" w:type="dxa"/>
            <w:left w:w="108" w:type="dxa"/>
            <w:bottom w:w="56" w:type="dxa"/>
            <w:right w:w="0" w:type="dxa"/>
          </w:tblCellMar>
        </w:tblPrEx>
        <w:trPr>
          <w:trHeight w:val="478" w:hRule="atLeast"/>
        </w:trPr>
        <w:tc>
          <w:tcPr>
            <w:tcW w:w="694" w:type="dxa"/>
            <w:tcBorders>
              <w:top w:val="single" w:color="000000" w:sz="4" w:space="0"/>
              <w:left w:val="single" w:color="000000" w:sz="4" w:space="0"/>
              <w:bottom w:val="single" w:color="000000" w:sz="4" w:space="0"/>
              <w:right w:val="single" w:color="000000" w:sz="4" w:space="0"/>
            </w:tcBorders>
          </w:tcPr>
          <w:p w14:paraId="1B377172">
            <w:pPr>
              <w:pStyle w:val="98"/>
              <w:numPr>
                <w:ilvl w:val="0"/>
                <w:numId w:val="4"/>
              </w:numPr>
              <w:spacing w:line="259" w:lineRule="auto"/>
              <w:ind w:firstLineChars="0"/>
              <w:jc w:val="center"/>
              <w:rPr>
                <w:rFonts w:hint="eastAsia" w:ascii="宋体" w:hAnsi="宋体" w:eastAsia="宋体" w:cs="宋体"/>
                <w:color w:val="auto"/>
                <w:sz w:val="24"/>
                <w:szCs w:val="24"/>
              </w:rPr>
            </w:pPr>
          </w:p>
        </w:tc>
        <w:tc>
          <w:tcPr>
            <w:tcW w:w="2013" w:type="dxa"/>
            <w:tcBorders>
              <w:top w:val="single" w:color="000000" w:sz="4" w:space="0"/>
              <w:left w:val="single" w:color="000000" w:sz="4" w:space="0"/>
              <w:bottom w:val="single" w:color="000000" w:sz="4" w:space="0"/>
              <w:right w:val="single" w:color="000000" w:sz="4" w:space="0"/>
            </w:tcBorders>
          </w:tcPr>
          <w:p w14:paraId="0803938E">
            <w:pPr>
              <w:spacing w:line="259" w:lineRule="auto"/>
              <w:ind w:right="109"/>
              <w:jc w:val="center"/>
              <w:rPr>
                <w:rFonts w:hint="eastAsia" w:ascii="宋体" w:hAnsi="宋体" w:eastAsia="宋体" w:cs="宋体"/>
                <w:color w:val="auto"/>
                <w:sz w:val="24"/>
                <w:szCs w:val="24"/>
              </w:rPr>
            </w:pPr>
            <w:r>
              <w:rPr>
                <w:rFonts w:hint="eastAsia" w:ascii="宋体" w:hAnsi="宋体" w:eastAsia="宋体" w:cs="宋体"/>
                <w:color w:val="auto"/>
                <w:sz w:val="24"/>
                <w:szCs w:val="24"/>
              </w:rPr>
              <w:t>答疑</w:t>
            </w:r>
          </w:p>
        </w:tc>
        <w:tc>
          <w:tcPr>
            <w:tcW w:w="7051" w:type="dxa"/>
            <w:tcBorders>
              <w:top w:val="single" w:color="000000" w:sz="4" w:space="0"/>
              <w:left w:val="single" w:color="000000" w:sz="4" w:space="0"/>
              <w:bottom w:val="single" w:color="000000" w:sz="4" w:space="0"/>
              <w:right w:val="single" w:color="000000" w:sz="4" w:space="0"/>
            </w:tcBorders>
          </w:tcPr>
          <w:p w14:paraId="54435F11">
            <w:pPr>
              <w:spacing w:line="259" w:lineRule="auto"/>
              <w:ind w:right="-11"/>
              <w:rPr>
                <w:rFonts w:hint="eastAsia" w:ascii="宋体" w:hAnsi="宋体" w:eastAsia="宋体" w:cs="宋体"/>
                <w:color w:val="auto"/>
                <w:sz w:val="24"/>
                <w:szCs w:val="24"/>
              </w:rPr>
            </w:pPr>
            <w:r>
              <w:rPr>
                <w:rFonts w:hint="eastAsia" w:ascii="宋体" w:hAnsi="宋体" w:eastAsia="宋体" w:cs="宋体"/>
                <w:color w:val="auto"/>
                <w:sz w:val="24"/>
                <w:szCs w:val="24"/>
              </w:rPr>
              <w:t xml:space="preserve">如有疑问，投标人需书面提出，经采购人收集问题后，统一答疑 </w:t>
            </w:r>
          </w:p>
        </w:tc>
      </w:tr>
      <w:tr w14:paraId="24189F1B">
        <w:tblPrEx>
          <w:tblCellMar>
            <w:top w:w="147" w:type="dxa"/>
            <w:left w:w="108" w:type="dxa"/>
            <w:bottom w:w="56" w:type="dxa"/>
            <w:right w:w="0" w:type="dxa"/>
          </w:tblCellMar>
        </w:tblPrEx>
        <w:trPr>
          <w:trHeight w:val="2494" w:hRule="atLeast"/>
        </w:trPr>
        <w:tc>
          <w:tcPr>
            <w:tcW w:w="694" w:type="dxa"/>
            <w:tcBorders>
              <w:top w:val="single" w:color="000000" w:sz="4" w:space="0"/>
              <w:left w:val="single" w:color="000000" w:sz="4" w:space="0"/>
              <w:bottom w:val="single" w:color="000000" w:sz="4" w:space="0"/>
              <w:right w:val="single" w:color="000000" w:sz="4" w:space="0"/>
            </w:tcBorders>
            <w:vAlign w:val="center"/>
          </w:tcPr>
          <w:p w14:paraId="30E3B9FE">
            <w:pPr>
              <w:pStyle w:val="98"/>
              <w:numPr>
                <w:ilvl w:val="0"/>
                <w:numId w:val="4"/>
              </w:numPr>
              <w:spacing w:line="259" w:lineRule="auto"/>
              <w:ind w:firstLineChars="0"/>
              <w:jc w:val="center"/>
              <w:rPr>
                <w:rFonts w:hint="eastAsia" w:ascii="宋体" w:hAnsi="宋体" w:eastAsia="宋体" w:cs="宋体"/>
                <w:color w:val="auto"/>
                <w:sz w:val="24"/>
                <w:szCs w:val="24"/>
              </w:rPr>
            </w:pPr>
            <w:bookmarkStart w:id="18" w:name="_Toc536429318"/>
            <w:bookmarkStart w:id="19" w:name="_Toc536429371"/>
            <w:bookmarkStart w:id="20" w:name="_Toc19272"/>
            <w:bookmarkStart w:id="21" w:name="_Toc21495"/>
            <w:bookmarkStart w:id="22" w:name="_Toc536202378"/>
            <w:bookmarkStart w:id="23" w:name="_Toc536202284"/>
            <w:bookmarkStart w:id="24" w:name="_Toc19543335"/>
          </w:p>
        </w:tc>
        <w:tc>
          <w:tcPr>
            <w:tcW w:w="2013" w:type="dxa"/>
            <w:tcBorders>
              <w:top w:val="single" w:color="000000" w:sz="4" w:space="0"/>
              <w:left w:val="single" w:color="000000" w:sz="4" w:space="0"/>
              <w:bottom w:val="single" w:color="000000" w:sz="4" w:space="0"/>
              <w:right w:val="single" w:color="000000" w:sz="4" w:space="0"/>
            </w:tcBorders>
            <w:vAlign w:val="center"/>
          </w:tcPr>
          <w:p w14:paraId="4242073D">
            <w:pPr>
              <w:spacing w:line="259" w:lineRule="auto"/>
              <w:ind w:right="109"/>
              <w:jc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中小企业划分说明</w:t>
            </w:r>
          </w:p>
        </w:tc>
        <w:tc>
          <w:tcPr>
            <w:tcW w:w="7051" w:type="dxa"/>
            <w:tcBorders>
              <w:top w:val="single" w:color="000000" w:sz="4" w:space="0"/>
              <w:left w:val="single" w:color="000000" w:sz="4" w:space="0"/>
              <w:bottom w:val="single" w:color="000000" w:sz="4" w:space="0"/>
              <w:right w:val="single" w:color="000000" w:sz="4" w:space="0"/>
            </w:tcBorders>
          </w:tcPr>
          <w:p w14:paraId="2B5E581D">
            <w:pPr>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2"/>
                <w:lang w:val="en-US" w:eastAsia="zh-CN"/>
              </w:rPr>
              <w:t>采</w:t>
            </w:r>
            <w:r>
              <w:rPr>
                <w:rFonts w:hint="eastAsia" w:ascii="宋体" w:hAnsi="宋体" w:eastAsia="宋体" w:cs="宋体"/>
                <w:color w:val="auto"/>
                <w:kern w:val="0"/>
                <w:sz w:val="24"/>
                <w:szCs w:val="24"/>
                <w:lang w:val="en-US" w:eastAsia="zh-CN"/>
              </w:rPr>
              <w:t>根据《中小企业划型标准规定》（工信部联企业〔2011〕300号），本项目采购标的所属行业为其他未列明行业。其他未列明行业：从业人员300人以下的为中小微型企业。其中，从业人员100人及以上的为中型企业；从业人员10人及以上的为小型企业；从业人员10人以下的为微型企业。</w:t>
            </w:r>
          </w:p>
        </w:tc>
      </w:tr>
    </w:tbl>
    <w:p w14:paraId="275C0BC1">
      <w:pPr>
        <w:pStyle w:val="5"/>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color w:val="auto"/>
          <w:kern w:val="44"/>
          <w:sz w:val="32"/>
          <w:szCs w:val="32"/>
          <w:lang w:val="en-US" w:eastAsia="zh-CN" w:bidi="ar-SA"/>
        </w:rPr>
        <w:sectPr>
          <w:headerReference r:id="rId9" w:type="first"/>
          <w:footerReference r:id="rId11" w:type="first"/>
          <w:headerReference r:id="rId8" w:type="default"/>
          <w:footerReference r:id="rId10" w:type="default"/>
          <w:pgSz w:w="11906" w:h="16838"/>
          <w:pgMar w:top="1361" w:right="1423" w:bottom="1361" w:left="1423" w:header="1134" w:footer="992" w:gutter="0"/>
          <w:pgNumType w:fmt="decimal" w:start="1"/>
          <w:cols w:space="0" w:num="1"/>
          <w:titlePg/>
          <w:rtlGutter w:val="0"/>
          <w:docGrid w:type="lines" w:linePitch="317" w:charSpace="0"/>
        </w:sectPr>
      </w:pPr>
    </w:p>
    <w:p w14:paraId="6E864BB1">
      <w:pPr>
        <w:pStyle w:val="5"/>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color w:val="auto"/>
          <w:kern w:val="44"/>
          <w:sz w:val="32"/>
          <w:szCs w:val="32"/>
          <w:lang w:val="en-US" w:eastAsia="zh-CN" w:bidi="ar-SA"/>
        </w:rPr>
      </w:pPr>
      <w:bookmarkStart w:id="25" w:name="_Toc17080"/>
      <w:r>
        <w:rPr>
          <w:rFonts w:hint="eastAsia" w:ascii="宋体" w:hAnsi="宋体" w:eastAsia="宋体" w:cs="宋体"/>
          <w:b/>
          <w:bCs/>
          <w:color w:val="auto"/>
          <w:kern w:val="44"/>
          <w:sz w:val="32"/>
          <w:szCs w:val="32"/>
          <w:lang w:val="en-US" w:eastAsia="zh-CN" w:bidi="ar-SA"/>
        </w:rPr>
        <w:t>第三部分  投标人须知</w:t>
      </w:r>
      <w:bookmarkEnd w:id="18"/>
      <w:bookmarkEnd w:id="19"/>
      <w:bookmarkEnd w:id="20"/>
      <w:bookmarkEnd w:id="21"/>
      <w:bookmarkEnd w:id="22"/>
      <w:bookmarkEnd w:id="23"/>
      <w:bookmarkEnd w:id="24"/>
      <w:bookmarkEnd w:id="25"/>
    </w:p>
    <w:p w14:paraId="786AD368">
      <w:pPr>
        <w:keepLines w:val="0"/>
        <w:pageBreakBefore w:val="0"/>
        <w:widowControl/>
        <w:numPr>
          <w:ilvl w:val="0"/>
          <w:numId w:val="5"/>
        </w:numPr>
        <w:kinsoku/>
        <w:wordWrap/>
        <w:overflowPunct/>
        <w:topLinePunct w:val="0"/>
        <w:autoSpaceDE/>
        <w:autoSpaceDN/>
        <w:bidi w:val="0"/>
        <w:adjustRightInd/>
        <w:snapToGrid/>
        <w:spacing w:before="318" w:beforeLines="100" w:line="360" w:lineRule="auto"/>
        <w:ind w:firstLine="643" w:firstLineChars="200"/>
        <w:jc w:val="center"/>
        <w:textAlignment w:val="auto"/>
        <w:outlineLvl w:val="1"/>
        <w:rPr>
          <w:rFonts w:hint="eastAsia" w:ascii="宋体" w:hAnsi="宋体" w:eastAsia="宋体" w:cs="宋体"/>
          <w:b/>
          <w:bCs/>
          <w:color w:val="auto"/>
          <w:kern w:val="0"/>
          <w:sz w:val="32"/>
          <w:szCs w:val="32"/>
        </w:rPr>
      </w:pPr>
      <w:bookmarkStart w:id="26" w:name="_Toc19543336"/>
      <w:bookmarkStart w:id="27" w:name="_Toc536429372"/>
      <w:bookmarkStart w:id="28" w:name="_Toc536202379"/>
      <w:bookmarkStart w:id="29" w:name="_Toc26739"/>
      <w:bookmarkStart w:id="30" w:name="_Toc536202285"/>
      <w:bookmarkStart w:id="31" w:name="_Toc536429319"/>
      <w:bookmarkStart w:id="32" w:name="_Toc17059"/>
      <w:r>
        <w:rPr>
          <w:rFonts w:hint="eastAsia" w:ascii="宋体" w:hAnsi="宋体" w:eastAsia="宋体" w:cs="宋体"/>
          <w:b/>
          <w:bCs/>
          <w:color w:val="auto"/>
          <w:kern w:val="0"/>
          <w:sz w:val="32"/>
          <w:szCs w:val="32"/>
        </w:rPr>
        <w:t>总则</w:t>
      </w:r>
      <w:bookmarkEnd w:id="26"/>
      <w:bookmarkEnd w:id="27"/>
      <w:bookmarkEnd w:id="28"/>
      <w:bookmarkEnd w:id="29"/>
      <w:bookmarkEnd w:id="30"/>
      <w:bookmarkEnd w:id="31"/>
      <w:bookmarkEnd w:id="32"/>
    </w:p>
    <w:p w14:paraId="6F346C66">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z w:val="24"/>
          <w:szCs w:val="24"/>
        </w:rPr>
        <w:t>适用范围</w:t>
      </w:r>
    </w:p>
    <w:p w14:paraId="19E397DF">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1.1本磋商文件适用于本次采购活动的全过程。</w:t>
      </w:r>
    </w:p>
    <w:p w14:paraId="7CCBC2A1">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1.2本次采购属政府采购，采购人、采购代理机构、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、磋商小组的相关行为均受《中华人民共和国政府采购法》及实施条例、财政部规章及政府采购项目所在地有关法规、规章的约束，其权利受到上述法律法规的保护。</w:t>
      </w:r>
    </w:p>
    <w:p w14:paraId="0BC64643">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2.</w:t>
      </w:r>
      <w:r>
        <w:rPr>
          <w:rFonts w:hint="eastAsia" w:ascii="宋体" w:hAnsi="宋体" w:eastAsia="宋体" w:cs="宋体"/>
          <w:b/>
          <w:bCs/>
          <w:color w:val="auto"/>
          <w:sz w:val="24"/>
          <w:szCs w:val="24"/>
        </w:rPr>
        <w:t>定义</w:t>
      </w:r>
    </w:p>
    <w:p w14:paraId="1C50BC21">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highlight w:val="none"/>
        </w:rPr>
        <w:t>1采购人：安康市住房和城乡建设局</w:t>
      </w:r>
    </w:p>
    <w:p w14:paraId="20C66623">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2.2采购代理机构：兰天项目管理有限公司</w:t>
      </w:r>
    </w:p>
    <w:p w14:paraId="119202CE">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2.3</w:t>
      </w:r>
      <w:r>
        <w:rPr>
          <w:rFonts w:hint="eastAsia" w:ascii="宋体" w:hAnsi="宋体" w:eastAsia="宋体" w:cs="宋体"/>
          <w:bCs/>
          <w:color w:val="auto"/>
          <w:sz w:val="24"/>
          <w:szCs w:val="24"/>
          <w:lang w:eastAsia="zh-CN"/>
        </w:rPr>
        <w:t>监管机构：安康市</w:t>
      </w:r>
      <w:r>
        <w:rPr>
          <w:rFonts w:hint="eastAsia" w:ascii="宋体" w:hAnsi="宋体" w:eastAsia="宋体" w:cs="宋体"/>
          <w:bCs/>
          <w:color w:val="auto"/>
          <w:sz w:val="24"/>
          <w:szCs w:val="24"/>
        </w:rPr>
        <w:t>财政局</w:t>
      </w:r>
    </w:p>
    <w:p w14:paraId="158AEA31">
      <w:pPr>
        <w:pageBreakBefore w:val="0"/>
        <w:widowControl/>
        <w:wordWrap/>
        <w:topLinePunct w:val="0"/>
        <w:autoSpaceDE/>
        <w:autoSpaceDN/>
        <w:bidi w:val="0"/>
        <w:snapToGrid w:val="0"/>
        <w:spacing w:line="336" w:lineRule="auto"/>
        <w:ind w:right="-90" w:rightChars="-43" w:firstLine="360" w:firstLineChars="15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2.</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：是参与本项目磋商活动的法人、其他组织或自然人。</w:t>
      </w:r>
    </w:p>
    <w:p w14:paraId="7C3A152B">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货物：是指</w:t>
      </w:r>
      <w:r>
        <w:rPr>
          <w:rFonts w:hint="eastAsia" w:ascii="宋体" w:hAnsi="宋体" w:eastAsia="宋体" w:cs="宋体"/>
          <w:bCs/>
          <w:color w:val="auto"/>
          <w:sz w:val="24"/>
          <w:szCs w:val="24"/>
          <w:lang w:eastAsia="zh-CN"/>
        </w:rPr>
        <w:t>本次投标所需的</w:t>
      </w:r>
      <w:r>
        <w:rPr>
          <w:rFonts w:hint="eastAsia" w:ascii="宋体" w:hAnsi="宋体" w:eastAsia="宋体" w:cs="宋体"/>
          <w:bCs/>
          <w:color w:val="auto"/>
          <w:sz w:val="24"/>
          <w:szCs w:val="24"/>
        </w:rPr>
        <w:t>各种形态和种类的物品。</w:t>
      </w:r>
    </w:p>
    <w:p w14:paraId="3FBFE419">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服务：指除了货物和工程外的其他政府采购对象。包含除货物以外规定由</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承担的与货物有关的辅助服务。</w:t>
      </w:r>
    </w:p>
    <w:p w14:paraId="73AFE203">
      <w:pPr>
        <w:widowControl/>
        <w:snapToGrid w:val="0"/>
        <w:spacing w:line="400" w:lineRule="exact"/>
        <w:ind w:right="-90" w:rightChars="-43" w:firstLine="482" w:firstLineChars="200"/>
        <w:jc w:val="left"/>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3.</w:t>
      </w:r>
      <w:r>
        <w:rPr>
          <w:rFonts w:hint="eastAsia" w:ascii="宋体" w:hAnsi="宋体" w:eastAsia="宋体" w:cs="宋体"/>
          <w:b/>
          <w:bCs/>
          <w:color w:val="auto"/>
          <w:sz w:val="24"/>
          <w:szCs w:val="24"/>
        </w:rPr>
        <w:t>合格的</w:t>
      </w:r>
      <w:r>
        <w:rPr>
          <w:rFonts w:hint="eastAsia" w:ascii="宋体" w:hAnsi="宋体" w:eastAsia="宋体" w:cs="宋体"/>
          <w:b/>
          <w:bCs/>
          <w:color w:val="auto"/>
          <w:sz w:val="24"/>
          <w:szCs w:val="24"/>
          <w:lang w:eastAsia="zh-CN"/>
        </w:rPr>
        <w:t>投标人</w:t>
      </w:r>
    </w:p>
    <w:p w14:paraId="6B131D56">
      <w:pPr>
        <w:widowControl/>
        <w:snapToGrid w:val="0"/>
        <w:spacing w:line="400" w:lineRule="exact"/>
        <w:ind w:right="-90" w:rightChars="-43"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3.1具有本项目生产、制造、加工、供应或实施能力，符合、承认并承诺履行本磋商文件各项规定的国内</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w:t>
      </w:r>
    </w:p>
    <w:p w14:paraId="2487E8B8">
      <w:pPr>
        <w:widowControl/>
        <w:snapToGrid w:val="0"/>
        <w:spacing w:line="400" w:lineRule="exact"/>
        <w:ind w:right="-90" w:rightChars="-43"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3.2</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应遵守有关的国家</w:t>
      </w:r>
      <w:r>
        <w:rPr>
          <w:rFonts w:hint="eastAsia" w:ascii="宋体" w:hAnsi="宋体" w:eastAsia="宋体" w:cs="宋体"/>
          <w:bCs/>
          <w:color w:val="auto"/>
          <w:sz w:val="24"/>
          <w:szCs w:val="24"/>
          <w:lang w:eastAsia="zh-CN"/>
        </w:rPr>
        <w:t>法律法规</w:t>
      </w:r>
      <w:r>
        <w:rPr>
          <w:rFonts w:hint="eastAsia" w:ascii="宋体" w:hAnsi="宋体" w:eastAsia="宋体" w:cs="宋体"/>
          <w:bCs/>
          <w:color w:val="auto"/>
          <w:sz w:val="24"/>
          <w:szCs w:val="24"/>
        </w:rPr>
        <w:t>和条例，具备《中华人民共和国政府采购法》和本文件中规定的条件：</w:t>
      </w:r>
    </w:p>
    <w:p w14:paraId="4C70CCDA">
      <w:pPr>
        <w:widowControl/>
        <w:numPr>
          <w:ilvl w:val="0"/>
          <w:numId w:val="6"/>
        </w:numPr>
        <w:snapToGrid w:val="0"/>
        <w:spacing w:line="400" w:lineRule="exact"/>
        <w:ind w:right="-90" w:rightChars="-43"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投标人</w:t>
      </w:r>
      <w:r>
        <w:rPr>
          <w:rFonts w:hint="eastAsia" w:ascii="宋体" w:hAnsi="宋体" w:eastAsia="宋体" w:cs="宋体"/>
          <w:color w:val="auto"/>
          <w:kern w:val="0"/>
          <w:sz w:val="24"/>
          <w:szCs w:val="24"/>
        </w:rPr>
        <w:t>具有独立承担民事责任能力的法人、其他组织或自然人，并出具合法有效的营业执照或事业单位法人证书等国家规定的相关证明</w:t>
      </w:r>
      <w:r>
        <w:rPr>
          <w:rFonts w:hint="eastAsia" w:ascii="宋体" w:hAnsi="宋体" w:eastAsia="宋体" w:cs="宋体"/>
          <w:bCs/>
          <w:color w:val="auto"/>
          <w:sz w:val="24"/>
          <w:szCs w:val="24"/>
        </w:rPr>
        <w:t>；</w:t>
      </w:r>
    </w:p>
    <w:p w14:paraId="40AE7B8F">
      <w:pPr>
        <w:widowControl/>
        <w:snapToGrid w:val="0"/>
        <w:spacing w:line="400" w:lineRule="exact"/>
        <w:ind w:right="-90" w:rightChars="-43"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（2） </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具有良好的商业信誉和健全的财务会计制度；</w:t>
      </w:r>
    </w:p>
    <w:p w14:paraId="38A5D46F">
      <w:pPr>
        <w:widowControl/>
        <w:snapToGrid w:val="0"/>
        <w:spacing w:line="400" w:lineRule="exact"/>
        <w:ind w:right="-90" w:rightChars="-43"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具有履行合同所必需的产品和专业技术能力；</w:t>
      </w:r>
    </w:p>
    <w:p w14:paraId="60883A4C">
      <w:pPr>
        <w:widowControl/>
        <w:snapToGrid w:val="0"/>
        <w:spacing w:line="400" w:lineRule="exact"/>
        <w:ind w:right="-90" w:rightChars="-43"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参加此项采购活动前三年内，在经营活动中没有重大违法记录；</w:t>
      </w:r>
    </w:p>
    <w:p w14:paraId="7CC7E9FD">
      <w:pPr>
        <w:widowControl/>
        <w:snapToGrid w:val="0"/>
        <w:spacing w:line="400" w:lineRule="exact"/>
        <w:ind w:right="-90" w:rightChars="-43"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3.3</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lang w:val="en-US" w:eastAsia="zh-CN"/>
        </w:rPr>
        <w:t>获取</w:t>
      </w:r>
      <w:r>
        <w:rPr>
          <w:rFonts w:hint="eastAsia" w:ascii="宋体" w:hAnsi="宋体" w:eastAsia="宋体" w:cs="宋体"/>
          <w:bCs/>
          <w:color w:val="auto"/>
          <w:sz w:val="24"/>
          <w:szCs w:val="24"/>
        </w:rPr>
        <w:t>磋商文件时应登记备案，并提供有效联系方式。</w:t>
      </w:r>
    </w:p>
    <w:p w14:paraId="172787EE">
      <w:pPr>
        <w:widowControl/>
        <w:snapToGrid w:val="0"/>
        <w:spacing w:line="400" w:lineRule="exact"/>
        <w:ind w:right="-90" w:rightChars="-43"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3.4如</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 xml:space="preserve">代表不是法定代表人，须持有《法定代表人授权委托书》 </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按磋商文件提供的格式填写</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w:t>
      </w:r>
    </w:p>
    <w:p w14:paraId="43D2BCFD">
      <w:pPr>
        <w:widowControl/>
        <w:snapToGrid w:val="0"/>
        <w:spacing w:line="400" w:lineRule="exact"/>
        <w:ind w:right="-90" w:rightChars="-43"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3.5</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应独立于采购人，不得直接或间接地与采购人为采购本次招标的货物或服务进行设计、编制技术规格</w:t>
      </w:r>
      <w:r>
        <w:rPr>
          <w:rFonts w:hint="eastAsia" w:ascii="宋体" w:hAnsi="宋体" w:eastAsia="宋体" w:cs="宋体"/>
          <w:bCs/>
          <w:color w:val="auto"/>
          <w:sz w:val="24"/>
          <w:szCs w:val="24"/>
          <w:lang w:eastAsia="zh-CN"/>
        </w:rPr>
        <w:t>和其他</w:t>
      </w:r>
      <w:r>
        <w:rPr>
          <w:rFonts w:hint="eastAsia" w:ascii="宋体" w:hAnsi="宋体" w:eastAsia="宋体" w:cs="宋体"/>
          <w:bCs/>
          <w:color w:val="auto"/>
          <w:sz w:val="24"/>
          <w:szCs w:val="24"/>
        </w:rPr>
        <w:t>文件所委托的咨询公司或其附属机构有任何关联。</w:t>
      </w:r>
    </w:p>
    <w:p w14:paraId="48317F64">
      <w:pPr>
        <w:widowControl/>
        <w:snapToGrid w:val="0"/>
        <w:spacing w:line="400" w:lineRule="exact"/>
        <w:ind w:right="-90" w:rightChars="-43"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3.6</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不得存在下列情形之一：</w:t>
      </w:r>
    </w:p>
    <w:p w14:paraId="7909DC1C">
      <w:pPr>
        <w:widowControl/>
        <w:snapToGrid w:val="0"/>
        <w:spacing w:line="400" w:lineRule="exact"/>
        <w:ind w:right="-90" w:rightChars="-43"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（1）与采购人或采购代理机构存在隶属关系或者其他利害关系；</w:t>
      </w:r>
    </w:p>
    <w:p w14:paraId="74B032FF">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（2）与其他</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的法定代表人（或者负责人）为同一人，或者与其他</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存在直接控股、管理关系；</w:t>
      </w:r>
    </w:p>
    <w:p w14:paraId="732644E8">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FF0000"/>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sz w:val="24"/>
          <w:szCs w:val="24"/>
          <w:highlight w:val="none"/>
        </w:rPr>
        <w:t>受到刑事处罚，或者受到</w:t>
      </w:r>
      <w:r>
        <w:rPr>
          <w:rFonts w:hint="eastAsia" w:ascii="宋体" w:hAnsi="宋体" w:eastAsia="宋体" w:cs="宋体"/>
          <w:bCs/>
          <w:sz w:val="24"/>
          <w:szCs w:val="24"/>
          <w:highlight w:val="none"/>
          <w:lang w:val="en-US" w:eastAsia="zh-CN"/>
        </w:rPr>
        <w:t>200</w:t>
      </w:r>
      <w:r>
        <w:rPr>
          <w:rFonts w:hint="eastAsia" w:ascii="宋体" w:hAnsi="宋体" w:eastAsia="宋体" w:cs="宋体"/>
          <w:bCs/>
          <w:sz w:val="24"/>
          <w:szCs w:val="24"/>
          <w:highlight w:val="none"/>
        </w:rPr>
        <w:t>万元以上罚款，责令停产停业、在一年至三年内禁止参加政府采购活动、吊销许可证、执照等情形之一的行政处罚，或者存在财政部门认定的其他重大违法记录。</w:t>
      </w:r>
    </w:p>
    <w:p w14:paraId="30180CC9">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在投标截止日前在信用中国网（www.creditchina.gov.cn）被列入失信被执行人、重大税收违法案件当事人名单或在中国政府采购网（www.ccgp.gov.cn）被列入政府采购严重违法失信行为记录名单（处罚期限届满的除外，如相关失信记录已失效，</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需提供相关证明资料），须提供信用中国网及中国政府采购网相应查询结果的网站截图（加盖企业公章）</w:t>
      </w:r>
      <w:r>
        <w:rPr>
          <w:rFonts w:hint="eastAsia" w:ascii="宋体" w:hAnsi="宋体" w:eastAsia="宋体" w:cs="宋体"/>
          <w:bCs/>
          <w:color w:val="auto"/>
          <w:sz w:val="24"/>
          <w:szCs w:val="24"/>
          <w:highlight w:val="none"/>
          <w:lang w:eastAsia="zh-CN"/>
        </w:rPr>
        <w:t>。</w:t>
      </w:r>
    </w:p>
    <w:p w14:paraId="4C3BE649">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4.</w:t>
      </w:r>
      <w:r>
        <w:rPr>
          <w:rFonts w:hint="eastAsia" w:ascii="宋体" w:hAnsi="宋体" w:eastAsia="宋体" w:cs="宋体"/>
          <w:b/>
          <w:bCs/>
          <w:color w:val="auto"/>
          <w:sz w:val="24"/>
          <w:szCs w:val="24"/>
        </w:rPr>
        <w:t>政府采购政策支持</w:t>
      </w:r>
    </w:p>
    <w:p w14:paraId="62DE626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1C93A0C8">
      <w:pPr>
        <w:tabs>
          <w:tab w:val="left" w:pos="0"/>
        </w:tabs>
        <w:autoSpaceDE w:val="0"/>
        <w:autoSpaceDN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 xml:space="preserve">的价格扣除，用扣除后的价格参与评标。  </w:t>
      </w:r>
    </w:p>
    <w:p w14:paraId="1B0E8E69">
      <w:pPr>
        <w:tabs>
          <w:tab w:val="left" w:pos="0"/>
        </w:tabs>
        <w:autoSpaceDE w:val="0"/>
        <w:autoSpaceDN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（2）根据财政部、司法部联合下发的《关于政府采购支持监狱企业发展有关问题的通知》（财库〔2014〕68号）的规定，监狱企业视同小型、微型企业。评标时，对监狱企业</w:t>
      </w:r>
      <w:r>
        <w:rPr>
          <w:rFonts w:hint="eastAsia" w:ascii="宋体" w:hAnsi="宋体" w:eastAsia="宋体" w:cs="宋体"/>
          <w:color w:val="auto"/>
          <w:sz w:val="24"/>
          <w:szCs w:val="24"/>
          <w:lang w:eastAsia="zh-CN"/>
        </w:rPr>
        <w:t>给予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的价格扣除，用扣除后的价格参与评审；</w:t>
      </w:r>
    </w:p>
    <w:p w14:paraId="47E1696A">
      <w:pPr>
        <w:tabs>
          <w:tab w:val="left" w:pos="0"/>
        </w:tabs>
        <w:autoSpaceDE w:val="0"/>
        <w:autoSpaceDN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根据财政部、民政部、中国残疾人联合会下发的《关于促进残疾人就业政府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4DDC499F">
      <w:pPr>
        <w:tabs>
          <w:tab w:val="left" w:pos="0"/>
        </w:tabs>
        <w:autoSpaceDE w:val="0"/>
        <w:autoSpaceDN w:val="0"/>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（4）对专门面向中小企业采购项目，不再执行价格扣除政策。</w:t>
      </w:r>
    </w:p>
    <w:p w14:paraId="38CDE7D2">
      <w:pPr>
        <w:tabs>
          <w:tab w:val="left" w:pos="0"/>
        </w:tabs>
        <w:autoSpaceDE w:val="0"/>
        <w:autoSpaceDN w:val="0"/>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（5）对非专门面向中小企业采购项目，执行以上价格扣除政策。</w:t>
      </w:r>
    </w:p>
    <w:p w14:paraId="58C30DB0">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注：</w:t>
      </w:r>
      <w:r>
        <w:rPr>
          <w:rFonts w:hint="eastAsia" w:ascii="宋体" w:hAnsi="宋体" w:eastAsia="宋体" w:cs="宋体"/>
          <w:color w:val="auto"/>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规定的价格扣除，但不影响投标文件的有效性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对既属于监狱企业、福利企业，同时又满足中小微企业规定的投标单位，其价格扣除仅适用一次。</w:t>
      </w:r>
    </w:p>
    <w:p w14:paraId="0886062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 ①根据财政部、国家发展改革委《关于印发〈节能产品政府采购实施意见〉的通知》（财库〔2004〕185号）所投产品属于节能产品政府采购清单所列产品，在技术、服务同等的条件下，应当优先采用清单中的节能产品；</w:t>
      </w:r>
    </w:p>
    <w:p w14:paraId="523DD0E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②所投产品为“环境标志产品政府采购清单”所列产品，在性能、技术、服务等指标同等的条件下，应当优先采用；</w:t>
      </w:r>
    </w:p>
    <w:p w14:paraId="578D8E7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③节能产品根据《国务院办公厅关于建立政府强制采购节能产品制度的通知》国办发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2007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51号的规定，以中国政府采购网（http</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//www.ccgp.gov.cn/）公布的最新一期节能产品政府采购清单为准；</w:t>
      </w:r>
    </w:p>
    <w:p w14:paraId="169EB54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④环境标志产品根据《环境标志产品政府采购实施的意见》（财库[2006]90号）的规定，以中国政府采购网（http</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//www.ccgp.gov.cn/）公布的最新一期环境标志产品政府采购清单为准；</w:t>
      </w:r>
    </w:p>
    <w:p w14:paraId="01BF172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⑤若节能、环保、环境标志清单内的产品仅是构成投标产品的部件、组件或零件的，则该投标产品不享受鼓励优惠政策；</w:t>
      </w:r>
    </w:p>
    <w:p w14:paraId="23F86968">
      <w:pPr>
        <w:ind w:firstLine="480" w:firstLineChars="200"/>
        <w:rPr>
          <w:rFonts w:hint="eastAsia" w:ascii="宋体" w:hAnsi="宋体" w:eastAsia="宋体" w:cs="宋体"/>
          <w:color w:val="auto"/>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）关于信用记录的查询和使用</w:t>
      </w:r>
    </w:p>
    <w:p w14:paraId="2EFC943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采购人将在资格审查阶段通过【</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"http://www.creditchina.gov.cn"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信用中国</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（www.creditchina.gov.cn）】、【</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"http://www.ccgp.gov.cn/cr/list"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中国政府采购网</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（www.ccgp.gov.cn）】网站对投标文件中的</w:t>
      </w:r>
      <w:r>
        <w:rPr>
          <w:rFonts w:hint="eastAsia" w:ascii="宋体" w:hAnsi="宋体" w:eastAsia="宋体" w:cs="宋体"/>
          <w:color w:val="auto"/>
          <w:sz w:val="24"/>
          <w:szCs w:val="24"/>
          <w:lang w:val="en-US" w:eastAsia="zh-CN"/>
        </w:rPr>
        <w:t>信用记录</w:t>
      </w:r>
      <w:r>
        <w:rPr>
          <w:rFonts w:hint="eastAsia" w:ascii="宋体" w:hAnsi="宋体" w:eastAsia="宋体" w:cs="宋体"/>
          <w:color w:val="auto"/>
          <w:sz w:val="24"/>
          <w:szCs w:val="24"/>
        </w:rPr>
        <w:t>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2D75CF6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投标人在参加政府采购活动前3年内因违法经营被禁止在一定期限内参加政府采购活动，期限届满的，可以参加政府采购活动的，但投标人应提供相关证明材料；</w:t>
      </w:r>
    </w:p>
    <w:p w14:paraId="218C9C4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信用记录查询的截止时点为“</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之日起至投标截止日前”。信用记录查询的结果，将以截图保存至电子介质的形式留存。投标人未如实</w:t>
      </w:r>
      <w:r>
        <w:rPr>
          <w:rFonts w:hint="eastAsia" w:ascii="宋体" w:hAnsi="宋体" w:eastAsia="宋体" w:cs="宋体"/>
          <w:color w:val="auto"/>
          <w:sz w:val="24"/>
          <w:szCs w:val="24"/>
          <w:lang w:val="en-US" w:eastAsia="zh-CN"/>
        </w:rPr>
        <w:t>提供</w:t>
      </w:r>
      <w:r>
        <w:rPr>
          <w:rFonts w:hint="eastAsia" w:ascii="宋体" w:hAnsi="宋体" w:eastAsia="宋体" w:cs="宋体"/>
          <w:color w:val="auto"/>
          <w:sz w:val="24"/>
          <w:szCs w:val="24"/>
        </w:rPr>
        <w:t>的，视为“投标人提供虚假材料谋取中标、成交的”行为。</w:t>
      </w:r>
    </w:p>
    <w:p w14:paraId="7E2EECB0">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5.</w:t>
      </w:r>
      <w:r>
        <w:rPr>
          <w:rFonts w:hint="eastAsia" w:ascii="宋体" w:hAnsi="宋体" w:eastAsia="宋体" w:cs="宋体"/>
          <w:b/>
          <w:bCs/>
          <w:color w:val="auto"/>
          <w:sz w:val="24"/>
          <w:szCs w:val="24"/>
        </w:rPr>
        <w:t>费用承担</w:t>
      </w:r>
    </w:p>
    <w:p w14:paraId="1176B44C">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准备和参加磋商活动发生的费用自理。</w:t>
      </w:r>
    </w:p>
    <w:p w14:paraId="5AAF9614">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6.</w:t>
      </w:r>
      <w:r>
        <w:rPr>
          <w:rFonts w:hint="eastAsia" w:ascii="宋体" w:hAnsi="宋体" w:eastAsia="宋体" w:cs="宋体"/>
          <w:b/>
          <w:bCs/>
          <w:color w:val="auto"/>
          <w:sz w:val="24"/>
          <w:szCs w:val="24"/>
        </w:rPr>
        <w:t>保密</w:t>
      </w:r>
    </w:p>
    <w:p w14:paraId="3E169968">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参与磋商活动的各方应对磋商文件和响应文件的商业和技术等秘密保密，违者应对由此造成的后果承担法律责任。</w:t>
      </w:r>
    </w:p>
    <w:p w14:paraId="5658FB38">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7.</w:t>
      </w:r>
      <w:r>
        <w:rPr>
          <w:rFonts w:hint="eastAsia" w:ascii="宋体" w:hAnsi="宋体" w:eastAsia="宋体" w:cs="宋体"/>
          <w:b/>
          <w:bCs/>
          <w:color w:val="auto"/>
          <w:sz w:val="24"/>
          <w:szCs w:val="24"/>
        </w:rPr>
        <w:t>语言文字</w:t>
      </w:r>
    </w:p>
    <w:p w14:paraId="078A7DBE">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除专用术语外，与磋商文件有关的语言均使用中文；必要时专用术语应附有中文注释。</w:t>
      </w:r>
    </w:p>
    <w:p w14:paraId="61DBA0C0">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8</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计量单位</w:t>
      </w:r>
    </w:p>
    <w:p w14:paraId="4E48ACA4">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所有计量均采用中华人民共和国法定计量单位。</w:t>
      </w:r>
    </w:p>
    <w:p w14:paraId="264AED25">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踏勘现场</w:t>
      </w:r>
    </w:p>
    <w:p w14:paraId="48A17587">
      <w:pPr>
        <w:pStyle w:val="5"/>
        <w:pageBreakBefore w:val="0"/>
        <w:wordWrap/>
        <w:topLinePunct w:val="0"/>
        <w:autoSpaceDE/>
        <w:autoSpaceDN/>
        <w:bidi w:val="0"/>
        <w:spacing w:line="336"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自行勘察，未勘察现场造成的一切后果由投标人自行承担（一切费用自理）。</w:t>
      </w:r>
    </w:p>
    <w:p w14:paraId="69C1F514">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10</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偏离</w:t>
      </w:r>
    </w:p>
    <w:p w14:paraId="4E4D6AD4">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除</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须知前附表另有规定外，</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递交的响应文件不允许严重负偏离。</w:t>
      </w:r>
    </w:p>
    <w:p w14:paraId="4D40F105">
      <w:pPr>
        <w:pageBreakBefore w:val="0"/>
        <w:widowControl/>
        <w:numPr>
          <w:ilvl w:val="0"/>
          <w:numId w:val="5"/>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color w:val="auto"/>
          <w:kern w:val="0"/>
          <w:sz w:val="24"/>
          <w:szCs w:val="24"/>
        </w:rPr>
      </w:pPr>
      <w:bookmarkStart w:id="33" w:name="_Toc536429320"/>
      <w:bookmarkStart w:id="34" w:name="_Toc3976"/>
      <w:bookmarkStart w:id="35" w:name="_Toc536202288"/>
      <w:bookmarkStart w:id="36" w:name="_Toc19543337"/>
      <w:bookmarkStart w:id="37" w:name="_Toc536429373"/>
      <w:bookmarkStart w:id="38" w:name="_Toc536202380"/>
      <w:r>
        <w:rPr>
          <w:rFonts w:hint="eastAsia" w:ascii="宋体" w:hAnsi="宋体" w:eastAsia="宋体" w:cs="宋体"/>
          <w:b/>
          <w:bCs/>
          <w:color w:val="auto"/>
          <w:kern w:val="0"/>
          <w:sz w:val="24"/>
          <w:szCs w:val="24"/>
        </w:rPr>
        <w:t>竞争性磋商文件</w:t>
      </w:r>
      <w:bookmarkEnd w:id="33"/>
      <w:bookmarkEnd w:id="34"/>
      <w:bookmarkEnd w:id="35"/>
      <w:bookmarkEnd w:id="36"/>
      <w:bookmarkEnd w:id="37"/>
      <w:bookmarkEnd w:id="38"/>
    </w:p>
    <w:p w14:paraId="403492C3">
      <w:pPr>
        <w:pStyle w:val="8"/>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bookmarkStart w:id="39" w:name="_Toc536202289"/>
      <w:bookmarkStart w:id="40" w:name="_Toc5801"/>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竞争性磋商文件的构成</w:t>
      </w:r>
      <w:bookmarkEnd w:id="39"/>
      <w:bookmarkEnd w:id="40"/>
    </w:p>
    <w:p w14:paraId="0DAC4B83">
      <w:pPr>
        <w:pageBreakBefore w:val="0"/>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竞争性磋商文件是</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 xml:space="preserve">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0C25567E">
      <w:pPr>
        <w:pageBreakBefore w:val="0"/>
        <w:numPr>
          <w:ilvl w:val="0"/>
          <w:numId w:val="7"/>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竞争性磋商公告；</w:t>
      </w:r>
    </w:p>
    <w:p w14:paraId="0F683028">
      <w:pPr>
        <w:pageBreakBefore w:val="0"/>
        <w:numPr>
          <w:ilvl w:val="0"/>
          <w:numId w:val="7"/>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须知前附表；</w:t>
      </w:r>
    </w:p>
    <w:p w14:paraId="4588BBB0">
      <w:pPr>
        <w:pageBreakBefore w:val="0"/>
        <w:numPr>
          <w:ilvl w:val="0"/>
          <w:numId w:val="7"/>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须知；</w:t>
      </w:r>
    </w:p>
    <w:p w14:paraId="46D2EED7">
      <w:pPr>
        <w:pageBreakBefore w:val="0"/>
        <w:numPr>
          <w:ilvl w:val="0"/>
          <w:numId w:val="7"/>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p w14:paraId="7DE1148E">
      <w:pPr>
        <w:pageBreakBefore w:val="0"/>
        <w:numPr>
          <w:ilvl w:val="0"/>
          <w:numId w:val="7"/>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采购内容及要求；</w:t>
      </w:r>
    </w:p>
    <w:p w14:paraId="74D4275F">
      <w:pPr>
        <w:pageBreakBefore w:val="0"/>
        <w:numPr>
          <w:ilvl w:val="0"/>
          <w:numId w:val="7"/>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商务及合同主要条款</w:t>
      </w:r>
      <w:r>
        <w:rPr>
          <w:rFonts w:hint="eastAsia" w:ascii="宋体" w:hAnsi="宋体" w:eastAsia="宋体" w:cs="宋体"/>
          <w:color w:val="auto"/>
          <w:sz w:val="24"/>
          <w:szCs w:val="24"/>
        </w:rPr>
        <w:t>；</w:t>
      </w:r>
    </w:p>
    <w:p w14:paraId="12C93E94">
      <w:pPr>
        <w:pageBreakBefore w:val="0"/>
        <w:numPr>
          <w:ilvl w:val="0"/>
          <w:numId w:val="7"/>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响应文件格式。</w:t>
      </w:r>
    </w:p>
    <w:p w14:paraId="7B424342">
      <w:pPr>
        <w:pStyle w:val="8"/>
        <w:pageBreakBefore w:val="0"/>
        <w:numPr>
          <w:ilvl w:val="0"/>
          <w:numId w:val="0"/>
        </w:numPr>
        <w:kinsoku/>
        <w:wordWrap/>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bookmarkStart w:id="41" w:name="_Toc536202290"/>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磋商文件的检查及阅读</w:t>
      </w:r>
      <w:bookmarkEnd w:id="41"/>
    </w:p>
    <w:p w14:paraId="2C62B24A">
      <w:pPr>
        <w:pageBreakBefore w:val="0"/>
        <w:tabs>
          <w:tab w:val="left" w:pos="0"/>
        </w:tabs>
        <w:kinsoku/>
        <w:wordWrap/>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应认真阅读和充分理解竞争性磋商文件中所有的事项、格式条款和规范要求。</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没有对竞争性磋商文件全面做出实质性响应是</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的风险。没有按照竞争性磋商文件要求作出实质性响应的响应文件应作</w:t>
      </w:r>
      <w:r>
        <w:rPr>
          <w:rFonts w:hint="eastAsia" w:ascii="宋体" w:hAnsi="宋体" w:eastAsia="宋体" w:cs="宋体"/>
          <w:color w:val="auto"/>
          <w:sz w:val="24"/>
          <w:szCs w:val="24"/>
          <w:lang w:val="en-US" w:eastAsia="zh-CN"/>
        </w:rPr>
        <w:t>无效投标</w:t>
      </w:r>
      <w:r>
        <w:rPr>
          <w:rFonts w:hint="eastAsia" w:ascii="宋体" w:hAnsi="宋体" w:eastAsia="宋体" w:cs="宋体"/>
          <w:color w:val="auto"/>
          <w:sz w:val="24"/>
          <w:szCs w:val="24"/>
        </w:rPr>
        <w:t>处理。</w:t>
      </w:r>
    </w:p>
    <w:p w14:paraId="15BDD60A">
      <w:pPr>
        <w:pStyle w:val="8"/>
        <w:pageBreakBefore w:val="0"/>
        <w:numPr>
          <w:ilvl w:val="0"/>
          <w:numId w:val="0"/>
        </w:numPr>
        <w:kinsoku/>
        <w:wordWrap/>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bookmarkStart w:id="42" w:name="_Toc536202292"/>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现场踏勘及磋商文件答疑</w:t>
      </w:r>
      <w:bookmarkEnd w:id="42"/>
    </w:p>
    <w:p w14:paraId="7D27B20F">
      <w:pPr>
        <w:pageBreakBefore w:val="0"/>
        <w:tabs>
          <w:tab w:val="left" w:pos="0"/>
        </w:tabs>
        <w:kinsoku/>
        <w:wordWrap/>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招标代理机构将视情况确定是否有必要召开标前答疑会。如果召开标前答疑会，招标代理机构将通知所有已登记备案并报名领取了磋商文件的潜在</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。在规定的时间，各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派技术、预算等相关人员进行现场踏勘和答疑，答疑的问题各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以书面形式提交。招标代理机构、采购人共同对各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提出的问题进行答复，形成答疑会议纪要。答疑会议纪要与磋商文件中不一致的内容，以答疑会议纪要为准。凡未参加答疑和现场踏勘的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，由此造成的偏差由各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自行负责。</w:t>
      </w:r>
    </w:p>
    <w:p w14:paraId="20311058">
      <w:pPr>
        <w:pStyle w:val="8"/>
        <w:pageBreakBefore w:val="0"/>
        <w:numPr>
          <w:ilvl w:val="0"/>
          <w:numId w:val="0"/>
        </w:numPr>
        <w:kinsoku/>
        <w:wordWrap/>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bookmarkStart w:id="43" w:name="_Toc536202293"/>
      <w:bookmarkStart w:id="44" w:name="_Toc19797"/>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竞争性磋商文件的澄清</w:t>
      </w:r>
      <w:bookmarkEnd w:id="43"/>
      <w:bookmarkEnd w:id="44"/>
    </w:p>
    <w:p w14:paraId="1A4311C0">
      <w:pPr>
        <w:pageBreakBefore w:val="0"/>
        <w:kinsoku/>
        <w:wordWrap/>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应认真阅读和充分理解竞争性磋商文件中所有的事项，如有问题或</w:t>
      </w:r>
      <w:r>
        <w:rPr>
          <w:rFonts w:hint="eastAsia" w:ascii="宋体" w:hAnsi="宋体" w:eastAsia="宋体" w:cs="宋体"/>
          <w:color w:val="auto"/>
          <w:sz w:val="24"/>
          <w:szCs w:val="24"/>
          <w:lang w:eastAsia="zh-CN"/>
        </w:rPr>
        <w:t>异议</w:t>
      </w:r>
      <w:r>
        <w:rPr>
          <w:rFonts w:hint="eastAsia" w:ascii="宋体" w:hAnsi="宋体" w:eastAsia="宋体" w:cs="宋体"/>
          <w:color w:val="auto"/>
          <w:sz w:val="24"/>
          <w:szCs w:val="24"/>
        </w:rPr>
        <w:t>请及时函告。否则，视为同意竞争性磋商文件的一切条款和要求并承担由此引起的一切法律责任。凡因</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对竞争性磋商文件阅读不深、理解不透、误解、疏漏</w:t>
      </w:r>
      <w:r>
        <w:rPr>
          <w:rFonts w:hint="eastAsia" w:ascii="宋体" w:hAnsi="宋体" w:eastAsia="宋体" w:cs="宋体"/>
          <w:color w:val="auto"/>
          <w:sz w:val="24"/>
          <w:szCs w:val="24"/>
          <w:lang w:eastAsia="zh-CN"/>
        </w:rPr>
        <w:t>或</w:t>
      </w:r>
      <w:r>
        <w:rPr>
          <w:rFonts w:hint="eastAsia" w:ascii="宋体" w:hAnsi="宋体" w:eastAsia="宋体" w:cs="宋体"/>
          <w:color w:val="auto"/>
          <w:sz w:val="24"/>
          <w:szCs w:val="24"/>
        </w:rPr>
        <w:t>因市场行情了解不清造成的后果和风险均由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自负。</w:t>
      </w:r>
    </w:p>
    <w:p w14:paraId="3C3A934E">
      <w:pPr>
        <w:pageBreakBefore w:val="0"/>
        <w:tabs>
          <w:tab w:val="left" w:pos="0"/>
        </w:tabs>
        <w:kinsoku/>
        <w:wordWrap/>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4.2响应人若对磋商文件有任何疑问要求澄清，或认为有必要与采购人进行技术交流的，响应人在收到采购文件之日或者采购文件公告期限届满之日七个工作日内，以书面形式向招标代理机构提出</w:t>
      </w:r>
      <w:r>
        <w:rPr>
          <w:rFonts w:hint="eastAsia" w:ascii="宋体" w:hAnsi="宋体" w:eastAsia="宋体" w:cs="宋体"/>
          <w:color w:val="auto"/>
          <w:sz w:val="24"/>
          <w:szCs w:val="24"/>
          <w:lang w:eastAsia="zh-CN"/>
        </w:rPr>
        <w:t>。采购代理机构将视情况确定采用适当方式予以澄清或以书面形式予以答复，涉及变更或修正内容在政府采购发布媒体上发布变更公告。在此之后提出的询问或者质疑均为无效，采购代理机构不予受理。</w:t>
      </w:r>
    </w:p>
    <w:p w14:paraId="5B1EB0A8">
      <w:pPr>
        <w:pageBreakBefore w:val="0"/>
        <w:kinsoku/>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4.3</w:t>
      </w:r>
      <w:r>
        <w:rPr>
          <w:rFonts w:hint="eastAsia" w:ascii="宋体" w:hAnsi="宋体" w:eastAsia="宋体" w:cs="宋体"/>
          <w:color w:val="auto"/>
          <w:sz w:val="24"/>
          <w:szCs w:val="24"/>
        </w:rPr>
        <w:t>对于在规定时间内收到的投标人依法提出的询问或者质疑，采购代理机构将按程序及时</w:t>
      </w:r>
      <w:r>
        <w:rPr>
          <w:rFonts w:hint="eastAsia" w:ascii="宋体" w:hAnsi="宋体" w:eastAsia="宋体" w:cs="宋体"/>
          <w:color w:val="auto"/>
          <w:sz w:val="24"/>
          <w:szCs w:val="24"/>
          <w:lang w:eastAsia="zh-CN"/>
        </w:rPr>
        <w:t>作出</w:t>
      </w:r>
      <w:r>
        <w:rPr>
          <w:rFonts w:hint="eastAsia" w:ascii="宋体" w:hAnsi="宋体" w:eastAsia="宋体" w:cs="宋体"/>
          <w:color w:val="auto"/>
          <w:sz w:val="24"/>
          <w:szCs w:val="24"/>
        </w:rPr>
        <w:t>答复，若对</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做出实质性变动，则按照相关规定延长投标截止时间。</w:t>
      </w:r>
    </w:p>
    <w:p w14:paraId="43D602E6">
      <w:pPr>
        <w:pStyle w:val="17"/>
        <w:pageBreakBefore w:val="0"/>
        <w:kinsoku/>
        <w:wordWrap/>
        <w:topLinePunct w:val="0"/>
        <w:autoSpaceDE/>
        <w:autoSpaceDN/>
        <w:bidi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4.4</w:t>
      </w:r>
      <w:r>
        <w:rPr>
          <w:rFonts w:hint="eastAsia" w:ascii="宋体" w:hAnsi="宋体" w:eastAsia="宋体" w:cs="宋体"/>
          <w:color w:val="auto"/>
          <w:sz w:val="24"/>
          <w:szCs w:val="24"/>
        </w:rPr>
        <w:t>投标人提出质疑应当有明确的请求和必要的证明材料。</w:t>
      </w:r>
    </w:p>
    <w:p w14:paraId="7CF6127C">
      <w:pPr>
        <w:pStyle w:val="8"/>
        <w:pageBreakBefore w:val="0"/>
        <w:numPr>
          <w:ilvl w:val="0"/>
          <w:numId w:val="0"/>
        </w:numPr>
        <w:kinsoku/>
        <w:wordWrap/>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bookmarkStart w:id="45" w:name="_Toc536202294"/>
      <w:bookmarkStart w:id="46" w:name="_Toc6390"/>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竞争性磋商文件的修改</w:t>
      </w:r>
      <w:bookmarkEnd w:id="45"/>
      <w:bookmarkEnd w:id="46"/>
    </w:p>
    <w:p w14:paraId="1406B135">
      <w:pPr>
        <w:keepNext w:val="0"/>
        <w:keepLines w:val="0"/>
        <w:pageBreakBefore w:val="0"/>
        <w:widowControl w:val="0"/>
        <w:kinsoku/>
        <w:wordWrap/>
        <w:overflowPunct w:val="0"/>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 在磋商截止时间五日前，无论出于何种原因，代理机构可主动或在解答</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提出的澄清问题时，对竞争性磋商文件进行修改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不足</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日的，顺延提交</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文件的截止时间</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在发布</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公告的财政部门指定媒体上由采购代理机构发布变更公告，并以书面形式通知所有</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文件的单位。该澄清或者修改的内容为</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的组成部分。</w:t>
      </w:r>
    </w:p>
    <w:p w14:paraId="5452DA28">
      <w:pPr>
        <w:keepNext w:val="0"/>
        <w:keepLines w:val="0"/>
        <w:pageBreakBefore w:val="0"/>
        <w:widowControl w:val="0"/>
        <w:kinsoku/>
        <w:wordWrap/>
        <w:overflowPunct w:val="0"/>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5.2</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的修改书将构成</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的一部分，对采购人和投标人都具有约束力。</w:t>
      </w:r>
    </w:p>
    <w:p w14:paraId="1017C201">
      <w:pPr>
        <w:keepNext w:val="0"/>
        <w:keepLines w:val="0"/>
        <w:pageBreakBefore w:val="0"/>
        <w:widowControl w:val="0"/>
        <w:kinsoku/>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5.3</w:t>
      </w:r>
      <w:r>
        <w:rPr>
          <w:rFonts w:hint="eastAsia" w:ascii="宋体" w:hAnsi="宋体" w:eastAsia="宋体" w:cs="宋体"/>
          <w:color w:val="auto"/>
          <w:sz w:val="24"/>
          <w:szCs w:val="24"/>
        </w:rPr>
        <w:t>采购代理机构可以视采购具体情况，延长投标截止时间和开标时间。延长投标截止时间和开标时间将在财政部门指定的媒体上发布变更公告，同时将变更时间书面通知所有</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文件的单位。</w:t>
      </w:r>
    </w:p>
    <w:p w14:paraId="36C1F560">
      <w:pPr>
        <w:pStyle w:val="8"/>
        <w:pageBreakBefore w:val="0"/>
        <w:numPr>
          <w:ilvl w:val="0"/>
          <w:numId w:val="0"/>
        </w:numPr>
        <w:kinsoku/>
        <w:wordWrap/>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bookmarkStart w:id="47" w:name="_Toc536202295"/>
      <w:bookmarkStart w:id="48" w:name="_Toc31188"/>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质疑</w:t>
      </w:r>
    </w:p>
    <w:p w14:paraId="41B1A1E3">
      <w:pPr>
        <w:pStyle w:val="8"/>
        <w:pageBreakBefore w:val="0"/>
        <w:kinsoku/>
        <w:wordWrap/>
        <w:topLinePunct w:val="0"/>
        <w:autoSpaceDE/>
        <w:autoSpaceDN/>
        <w:bidi w:val="0"/>
        <w:spacing w:line="460" w:lineRule="exact"/>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lang w:eastAsia="zh-CN"/>
        </w:rPr>
        <w:t>投标人</w:t>
      </w:r>
      <w:r>
        <w:rPr>
          <w:rFonts w:hint="eastAsia" w:ascii="宋体" w:hAnsi="宋体" w:eastAsia="宋体" w:cs="宋体"/>
          <w:b w:val="0"/>
          <w:color w:val="auto"/>
          <w:sz w:val="24"/>
          <w:szCs w:val="24"/>
        </w:rPr>
        <w:t>认为磋商文件、招标过程和中标结果使自己的权益受到损害的，可以按《政府采购法》第</w:t>
      </w:r>
      <w:r>
        <w:rPr>
          <w:rFonts w:hint="eastAsia" w:ascii="宋体" w:hAnsi="宋体" w:eastAsia="宋体" w:cs="宋体"/>
          <w:b w:val="0"/>
          <w:color w:val="auto"/>
          <w:sz w:val="24"/>
          <w:szCs w:val="24"/>
          <w:lang w:val="en-US" w:eastAsia="zh-CN"/>
        </w:rPr>
        <w:t>五十二</w:t>
      </w:r>
      <w:r>
        <w:rPr>
          <w:rFonts w:hint="eastAsia" w:ascii="宋体" w:hAnsi="宋体" w:eastAsia="宋体" w:cs="宋体"/>
          <w:b w:val="0"/>
          <w:color w:val="auto"/>
          <w:sz w:val="24"/>
          <w:szCs w:val="24"/>
        </w:rPr>
        <w:t>条执行。</w:t>
      </w:r>
    </w:p>
    <w:p w14:paraId="7C54C557">
      <w:pPr>
        <w:pStyle w:val="8"/>
        <w:pageBreakBefore w:val="0"/>
        <w:numPr>
          <w:ilvl w:val="0"/>
          <w:numId w:val="0"/>
        </w:numPr>
        <w:kinsoku/>
        <w:wordWrap/>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竞争性磋商文件的获取</w:t>
      </w:r>
      <w:bookmarkEnd w:id="47"/>
      <w:bookmarkEnd w:id="48"/>
    </w:p>
    <w:p w14:paraId="49DD3A5D">
      <w:pPr>
        <w:pageBreakBefore w:val="0"/>
        <w:widowControl/>
        <w:kinsoku/>
        <w:wordWrap/>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必须从代理机构</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竞争性磋商文件，</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自行转让或复制竞争性磋商文件视为无效。</w:t>
      </w:r>
      <w:r>
        <w:rPr>
          <w:rFonts w:hint="eastAsia" w:ascii="宋体" w:hAnsi="宋体" w:eastAsia="宋体" w:cs="宋体"/>
          <w:color w:val="auto"/>
          <w:sz w:val="24"/>
          <w:szCs w:val="24"/>
          <w:lang w:val="en-US" w:eastAsia="zh-CN"/>
        </w:rPr>
        <w:t>本</w:t>
      </w:r>
      <w:r>
        <w:rPr>
          <w:rFonts w:hint="eastAsia" w:ascii="宋体" w:hAnsi="宋体" w:eastAsia="宋体" w:cs="宋体"/>
          <w:color w:val="auto"/>
          <w:sz w:val="24"/>
          <w:szCs w:val="24"/>
        </w:rPr>
        <w:t>竞争性磋商文件仅作为本次竞争性磋商使用。</w:t>
      </w:r>
    </w:p>
    <w:p w14:paraId="4BA55FAB">
      <w:pPr>
        <w:pStyle w:val="17"/>
        <w:pageBreakBefore w:val="0"/>
        <w:kinsoku/>
        <w:wordWrap/>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rPr>
      </w:pPr>
      <w:bookmarkStart w:id="49" w:name="_Toc536202296"/>
      <w:bookmarkStart w:id="50" w:name="_Toc5095"/>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竞争性磋商文件的解释权归代理机构</w:t>
      </w:r>
      <w:bookmarkEnd w:id="49"/>
      <w:bookmarkEnd w:id="50"/>
      <w:r>
        <w:rPr>
          <w:rFonts w:hint="eastAsia" w:ascii="宋体" w:hAnsi="宋体" w:eastAsia="宋体" w:cs="宋体"/>
          <w:color w:val="auto"/>
          <w:sz w:val="24"/>
          <w:szCs w:val="24"/>
        </w:rPr>
        <w:t>（ 如发现</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内容与现行法律法规不相符的情况，以现行法律法规为准</w:t>
      </w:r>
      <w:r>
        <w:rPr>
          <w:rFonts w:hint="eastAsia" w:ascii="宋体" w:hAnsi="宋体" w:eastAsia="宋体" w:cs="宋体"/>
          <w:color w:val="auto"/>
          <w:sz w:val="24"/>
          <w:szCs w:val="24"/>
          <w:lang w:eastAsia="zh-CN"/>
        </w:rPr>
        <w:t>）</w:t>
      </w:r>
    </w:p>
    <w:p w14:paraId="32F5C0CE">
      <w:pPr>
        <w:pageBreakBefore w:val="0"/>
        <w:widowControl/>
        <w:numPr>
          <w:ilvl w:val="0"/>
          <w:numId w:val="5"/>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color w:val="auto"/>
          <w:kern w:val="0"/>
          <w:sz w:val="24"/>
          <w:szCs w:val="24"/>
        </w:rPr>
      </w:pPr>
      <w:bookmarkStart w:id="51" w:name="_Toc19543338"/>
      <w:bookmarkStart w:id="52" w:name="_Toc536202381"/>
      <w:bookmarkStart w:id="53" w:name="_Toc536429321"/>
      <w:bookmarkStart w:id="54" w:name="_Toc536429374"/>
      <w:bookmarkStart w:id="55" w:name="_Toc622"/>
      <w:bookmarkStart w:id="56" w:name="_Toc536202297"/>
      <w:r>
        <w:rPr>
          <w:rFonts w:hint="eastAsia" w:ascii="宋体" w:hAnsi="宋体" w:eastAsia="宋体" w:cs="宋体"/>
          <w:b/>
          <w:bCs/>
          <w:color w:val="auto"/>
          <w:kern w:val="0"/>
          <w:sz w:val="24"/>
          <w:szCs w:val="24"/>
        </w:rPr>
        <w:t>响应文件</w:t>
      </w:r>
      <w:bookmarkEnd w:id="51"/>
      <w:bookmarkEnd w:id="52"/>
      <w:bookmarkEnd w:id="53"/>
      <w:bookmarkEnd w:id="54"/>
      <w:bookmarkEnd w:id="55"/>
      <w:bookmarkEnd w:id="56"/>
    </w:p>
    <w:p w14:paraId="33D5CF09">
      <w:pPr>
        <w:pStyle w:val="8"/>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响应文件编制的原则</w:t>
      </w:r>
    </w:p>
    <w:p w14:paraId="251235C0">
      <w:pPr>
        <w:pageBreakBefore w:val="0"/>
        <w:widowControl/>
        <w:wordWrap/>
        <w:topLinePunct w:val="0"/>
        <w:autoSpaceDE/>
        <w:autoSpaceDN/>
        <w:bidi w:val="0"/>
        <w:spacing w:line="336" w:lineRule="auto"/>
        <w:ind w:firstLine="480" w:firstLineChars="200"/>
        <w:textAlignment w:val="auto"/>
        <w:outlineLvl w:val="1"/>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1.1</w:t>
      </w:r>
      <w:r>
        <w:rPr>
          <w:rFonts w:hint="eastAsia" w:ascii="宋体" w:hAnsi="宋体" w:eastAsia="宋体" w:cs="宋体"/>
          <w:bCs/>
          <w:color w:val="auto"/>
          <w:kern w:val="0"/>
          <w:sz w:val="24"/>
          <w:szCs w:val="24"/>
        </w:rPr>
        <w:t xml:space="preserve">投标人应在认真阅读磋商文件所有内容的基础上，按照磋商文件的要求编制完整的响应文件。磋商文件中对响应文件格式有要求的，应按格式编制并逐项填写内容。投标文件中留有空项的或没有按格式制作的，将被视为不完整响应的投标文件，其投标将有可能被拒绝。 </w:t>
      </w:r>
    </w:p>
    <w:p w14:paraId="42D8B414">
      <w:pPr>
        <w:pageBreakBefore w:val="0"/>
        <w:widowControl/>
        <w:wordWrap/>
        <w:topLinePunct w:val="0"/>
        <w:autoSpaceDE/>
        <w:autoSpaceDN/>
        <w:bidi w:val="0"/>
        <w:spacing w:line="336" w:lineRule="auto"/>
        <w:ind w:firstLine="480" w:firstLineChars="200"/>
        <w:textAlignment w:val="auto"/>
        <w:outlineLvl w:val="1"/>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1.2</w:t>
      </w:r>
      <w:r>
        <w:rPr>
          <w:rFonts w:hint="eastAsia" w:ascii="宋体" w:hAnsi="宋体" w:eastAsia="宋体" w:cs="宋体"/>
          <w:bCs/>
          <w:color w:val="auto"/>
          <w:kern w:val="0"/>
          <w:sz w:val="24"/>
          <w:szCs w:val="24"/>
        </w:rPr>
        <w:t>投标人必须保证投标文件所提供的全部资料真实可靠，并接受对其中任何资料进一步审查的要求。</w:t>
      </w:r>
    </w:p>
    <w:p w14:paraId="0926C615">
      <w:pPr>
        <w:pageBreakBefore w:val="0"/>
        <w:widowControl/>
        <w:wordWrap/>
        <w:topLinePunct w:val="0"/>
        <w:autoSpaceDE/>
        <w:autoSpaceDN/>
        <w:bidi w:val="0"/>
        <w:spacing w:line="336" w:lineRule="auto"/>
        <w:ind w:firstLine="480" w:firstLineChars="200"/>
        <w:textAlignment w:val="auto"/>
        <w:outlineLvl w:val="1"/>
        <w:rPr>
          <w:rFonts w:hint="eastAsia" w:ascii="宋体" w:hAnsi="宋体" w:eastAsia="宋体" w:cs="宋体"/>
          <w:color w:val="auto"/>
          <w:sz w:val="24"/>
          <w:szCs w:val="24"/>
        </w:rPr>
      </w:pPr>
      <w:r>
        <w:rPr>
          <w:rFonts w:hint="eastAsia" w:ascii="宋体" w:hAnsi="宋体" w:eastAsia="宋体" w:cs="宋体"/>
          <w:bCs/>
          <w:color w:val="auto"/>
          <w:kern w:val="0"/>
          <w:sz w:val="24"/>
          <w:szCs w:val="24"/>
          <w:lang w:val="en-US" w:eastAsia="zh-CN"/>
        </w:rPr>
        <w:t>1.3</w:t>
      </w:r>
      <w:r>
        <w:rPr>
          <w:rFonts w:hint="eastAsia" w:ascii="宋体" w:hAnsi="宋体" w:eastAsia="宋体" w:cs="宋体"/>
          <w:bCs/>
          <w:color w:val="auto"/>
          <w:kern w:val="0"/>
          <w:sz w:val="24"/>
          <w:szCs w:val="24"/>
        </w:rPr>
        <w:t>投标文件须对</w:t>
      </w:r>
      <w:r>
        <w:rPr>
          <w:rFonts w:hint="eastAsia" w:ascii="宋体" w:hAnsi="宋体" w:eastAsia="宋体" w:cs="宋体"/>
          <w:bCs/>
          <w:color w:val="auto"/>
          <w:kern w:val="0"/>
          <w:sz w:val="24"/>
          <w:szCs w:val="24"/>
          <w:lang w:eastAsia="zh-CN"/>
        </w:rPr>
        <w:t>磋商文件</w:t>
      </w:r>
      <w:r>
        <w:rPr>
          <w:rFonts w:hint="eastAsia" w:ascii="宋体" w:hAnsi="宋体" w:eastAsia="宋体" w:cs="宋体"/>
          <w:bCs/>
          <w:color w:val="auto"/>
          <w:kern w:val="0"/>
          <w:sz w:val="24"/>
          <w:szCs w:val="24"/>
        </w:rPr>
        <w:t>中的内容做出实质性和完整性的响应，否则其投标将被视为无效投标。</w:t>
      </w:r>
    </w:p>
    <w:p w14:paraId="636AEF3A">
      <w:pPr>
        <w:pStyle w:val="8"/>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响应文件构成</w:t>
      </w:r>
    </w:p>
    <w:p w14:paraId="462C89F2">
      <w:pPr>
        <w:widowControl/>
        <w:spacing w:line="360" w:lineRule="auto"/>
        <w:ind w:firstLine="480" w:firstLineChars="200"/>
        <w:outlineLvl w:val="1"/>
        <w:rPr>
          <w:rFonts w:hint="eastAsia" w:ascii="宋体" w:hAnsi="宋体" w:eastAsia="宋体" w:cs="宋体"/>
          <w:color w:val="auto"/>
          <w:sz w:val="24"/>
          <w:szCs w:val="24"/>
        </w:rPr>
      </w:pPr>
      <w:r>
        <w:rPr>
          <w:rFonts w:hint="eastAsia" w:ascii="宋体" w:hAnsi="宋体" w:eastAsia="宋体" w:cs="宋体"/>
          <w:bCs/>
          <w:color w:val="auto"/>
          <w:kern w:val="0"/>
          <w:sz w:val="24"/>
          <w:szCs w:val="24"/>
        </w:rPr>
        <w:t>投标人应按照本须知响应文件构成和格式及第七部分提供的格式编写投标文件，不得缺少</w:t>
      </w:r>
      <w:r>
        <w:rPr>
          <w:rFonts w:hint="eastAsia" w:ascii="宋体" w:hAnsi="宋体" w:eastAsia="宋体" w:cs="宋体"/>
          <w:bCs/>
          <w:color w:val="auto"/>
          <w:kern w:val="0"/>
          <w:sz w:val="24"/>
          <w:szCs w:val="24"/>
          <w:lang w:eastAsia="zh-CN"/>
        </w:rPr>
        <w:t>磋商文件</w:t>
      </w:r>
      <w:r>
        <w:rPr>
          <w:rFonts w:hint="eastAsia" w:ascii="宋体" w:hAnsi="宋体" w:eastAsia="宋体" w:cs="宋体"/>
          <w:bCs/>
          <w:color w:val="auto"/>
          <w:kern w:val="0"/>
          <w:sz w:val="24"/>
          <w:szCs w:val="24"/>
        </w:rPr>
        <w:t>要求填写的表格或提交的资料。</w:t>
      </w:r>
    </w:p>
    <w:p w14:paraId="1AC8AFB7">
      <w:pPr>
        <w:pStyle w:val="8"/>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磋商报价</w:t>
      </w:r>
    </w:p>
    <w:p w14:paraId="2950DBAE">
      <w:pPr>
        <w:spacing w:line="360" w:lineRule="auto"/>
        <w:ind w:firstLine="480" w:firstLineChars="200"/>
        <w:rPr>
          <w:rFonts w:hint="eastAsia" w:ascii="宋体" w:hAnsi="宋体" w:eastAsia="宋体" w:cs="宋体"/>
          <w:color w:val="auto"/>
          <w:sz w:val="28"/>
          <w:szCs w:val="22"/>
          <w:highlight w:val="none"/>
        </w:rPr>
      </w:pPr>
      <w:bookmarkStart w:id="57" w:name="_Toc29200"/>
      <w:bookmarkStart w:id="58" w:name="_Toc536202300"/>
      <w:r>
        <w:rPr>
          <w:rFonts w:hint="eastAsia" w:ascii="宋体" w:hAnsi="宋体" w:eastAsia="宋体" w:cs="宋体"/>
          <w:color w:val="auto"/>
          <w:sz w:val="24"/>
          <w:highlight w:val="none"/>
          <w:lang w:val="en-US" w:eastAsia="zh-CN"/>
        </w:rPr>
        <w:t>3.1</w:t>
      </w:r>
      <w:r>
        <w:rPr>
          <w:rFonts w:hint="eastAsia" w:ascii="宋体" w:hAnsi="宋体" w:eastAsia="宋体" w:cs="宋体"/>
          <w:color w:val="auto"/>
          <w:sz w:val="24"/>
          <w:highlight w:val="none"/>
        </w:rPr>
        <w:t>磋商报价为</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充分考虑磋商文件的各项条款和所掌握的市场情况及本项目的实际情况，根据自身情况自主报价。</w:t>
      </w:r>
    </w:p>
    <w:p w14:paraId="6B5DBE2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3.2</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可先到项目服务地点踏勘以充分了解各方面情况，因忽视或误解情况而导致的索赔申请将不被批准。凡因</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对磋商文件阅读疏忽或误解，或因对服务地点市场行情等了解不清而造成的后果和风险，由</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 xml:space="preserve">负责。 </w:t>
      </w:r>
    </w:p>
    <w:p w14:paraId="52EAAD47">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w:t>
      </w:r>
      <w:r>
        <w:rPr>
          <w:rFonts w:hint="eastAsia" w:ascii="宋体" w:hAnsi="宋体" w:eastAsia="宋体" w:cs="宋体"/>
          <w:color w:val="auto"/>
          <w:sz w:val="24"/>
          <w:highlight w:val="none"/>
        </w:rPr>
        <w:t>凡本磋商文件要求（或允许）及</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认为需要进行报价的各项费用项目，（不论是否要求进入报价）若磋商时未报或未在响应文件中予以说明，采购人将按这些费用已包含在磋商报价中对待；</w:t>
      </w:r>
      <w:r>
        <w:rPr>
          <w:rFonts w:hint="eastAsia" w:ascii="宋体" w:hAnsi="宋体" w:eastAsia="宋体" w:cs="宋体"/>
          <w:color w:val="auto"/>
          <w:spacing w:val="4"/>
          <w:sz w:val="24"/>
          <w:highlight w:val="none"/>
          <w:lang w:eastAsia="zh-CN"/>
        </w:rPr>
        <w:t>投标人</w:t>
      </w:r>
      <w:r>
        <w:rPr>
          <w:rFonts w:hint="eastAsia" w:ascii="宋体" w:hAnsi="宋体" w:eastAsia="宋体" w:cs="宋体"/>
          <w:color w:val="auto"/>
          <w:spacing w:val="4"/>
          <w:sz w:val="24"/>
          <w:highlight w:val="none"/>
        </w:rPr>
        <w:t>应考虑全部材料的风险，</w:t>
      </w:r>
      <w:r>
        <w:rPr>
          <w:rFonts w:hint="eastAsia" w:ascii="宋体" w:hAnsi="宋体" w:eastAsia="宋体" w:cs="宋体"/>
          <w:color w:val="auto"/>
          <w:spacing w:val="4"/>
          <w:sz w:val="24"/>
          <w:highlight w:val="none"/>
          <w:lang w:eastAsia="zh-CN"/>
        </w:rPr>
        <w:t>投标人</w:t>
      </w:r>
      <w:r>
        <w:rPr>
          <w:rFonts w:hint="eastAsia" w:ascii="宋体" w:hAnsi="宋体" w:eastAsia="宋体" w:cs="宋体"/>
          <w:color w:val="auto"/>
          <w:spacing w:val="4"/>
          <w:sz w:val="24"/>
          <w:highlight w:val="none"/>
        </w:rPr>
        <w:t>一旦成交，采购人将不再对此部分进行调整；</w:t>
      </w:r>
      <w:r>
        <w:rPr>
          <w:rFonts w:hint="eastAsia" w:ascii="宋体" w:hAnsi="宋体" w:eastAsia="宋体" w:cs="宋体"/>
          <w:color w:val="auto"/>
          <w:spacing w:val="4"/>
          <w:sz w:val="24"/>
          <w:highlight w:val="none"/>
          <w:lang w:eastAsia="zh-CN"/>
        </w:rPr>
        <w:t>投标人</w:t>
      </w:r>
      <w:r>
        <w:rPr>
          <w:rFonts w:hint="eastAsia" w:ascii="宋体" w:hAnsi="宋体" w:eastAsia="宋体" w:cs="宋体"/>
          <w:color w:val="auto"/>
          <w:spacing w:val="4"/>
          <w:sz w:val="24"/>
          <w:highlight w:val="none"/>
        </w:rPr>
        <w:t>的报价应将此差异考虑在综合单价内，</w:t>
      </w:r>
      <w:r>
        <w:rPr>
          <w:rFonts w:hint="eastAsia" w:ascii="宋体" w:hAnsi="宋体" w:eastAsia="宋体" w:cs="宋体"/>
          <w:color w:val="auto"/>
          <w:sz w:val="24"/>
          <w:szCs w:val="24"/>
          <w:highlight w:val="none"/>
        </w:rPr>
        <w:t>采购人不再</w:t>
      </w:r>
      <w:r>
        <w:rPr>
          <w:rFonts w:hint="eastAsia" w:ascii="宋体" w:hAnsi="宋体" w:eastAsia="宋体" w:cs="宋体"/>
          <w:color w:val="auto"/>
          <w:sz w:val="24"/>
          <w:szCs w:val="24"/>
          <w:highlight w:val="none"/>
          <w:lang w:eastAsia="zh-CN"/>
        </w:rPr>
        <w:t>承担其他任何</w:t>
      </w:r>
      <w:r>
        <w:rPr>
          <w:rFonts w:hint="eastAsia" w:ascii="宋体" w:hAnsi="宋体" w:eastAsia="宋体" w:cs="宋体"/>
          <w:color w:val="auto"/>
          <w:sz w:val="24"/>
          <w:szCs w:val="24"/>
          <w:highlight w:val="none"/>
        </w:rPr>
        <w:t>费用</w:t>
      </w:r>
      <w:r>
        <w:rPr>
          <w:rFonts w:hint="eastAsia" w:ascii="宋体" w:hAnsi="宋体" w:eastAsia="宋体" w:cs="宋体"/>
          <w:color w:val="auto"/>
          <w:spacing w:val="4"/>
          <w:sz w:val="24"/>
          <w:highlight w:val="none"/>
        </w:rPr>
        <w:t>。</w:t>
      </w:r>
    </w:p>
    <w:p w14:paraId="30FD88E7">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3.4</w:t>
      </w:r>
      <w:r>
        <w:rPr>
          <w:rFonts w:hint="eastAsia" w:ascii="宋体" w:hAnsi="宋体" w:eastAsia="宋体" w:cs="宋体"/>
          <w:color w:val="auto"/>
          <w:sz w:val="24"/>
        </w:rPr>
        <w:t>响应报价表应有法定代表人或被授权人的签字。</w:t>
      </w:r>
    </w:p>
    <w:p w14:paraId="6EDBDF24">
      <w:pPr>
        <w:pStyle w:val="8"/>
        <w:pageBreakBefore w:val="0"/>
        <w:numPr>
          <w:ilvl w:val="0"/>
          <w:numId w:val="0"/>
        </w:numPr>
        <w:kinsoku/>
        <w:wordWrap/>
        <w:overflowPunct/>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磋商货币</w:t>
      </w:r>
      <w:bookmarkEnd w:id="57"/>
      <w:bookmarkEnd w:id="58"/>
    </w:p>
    <w:p w14:paraId="31B769D0">
      <w:pPr>
        <w:pageBreakBefore w:val="0"/>
        <w:widowControl/>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采购人只接受人民币作为唯一磋商货币。以人民币为投标货币。以元为报价单位，保留小数点后两位。</w:t>
      </w:r>
    </w:p>
    <w:p w14:paraId="108C36FD">
      <w:pPr>
        <w:pStyle w:val="8"/>
        <w:pageBreakBefore w:val="0"/>
        <w:numPr>
          <w:ilvl w:val="0"/>
          <w:numId w:val="0"/>
        </w:numPr>
        <w:kinsoku/>
        <w:wordWrap/>
        <w:overflowPunct/>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bookmarkStart w:id="59" w:name="_Toc536202301"/>
      <w:bookmarkStart w:id="60" w:name="_Toc1311"/>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磋商保证金</w:t>
      </w:r>
      <w:bookmarkEnd w:id="59"/>
      <w:bookmarkEnd w:id="60"/>
    </w:p>
    <w:p w14:paraId="4A3DF519">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sz w:val="24"/>
          <w:szCs w:val="24"/>
          <w:lang w:val="en-US" w:eastAsia="zh-CN"/>
        </w:rPr>
        <w:t>本项目不设置投标保证金。</w:t>
      </w:r>
    </w:p>
    <w:p w14:paraId="5D37AE36">
      <w:pPr>
        <w:pStyle w:val="8"/>
        <w:pageBreakBefore w:val="0"/>
        <w:numPr>
          <w:ilvl w:val="0"/>
          <w:numId w:val="0"/>
        </w:numPr>
        <w:kinsoku/>
        <w:wordWrap/>
        <w:overflowPunct/>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bookmarkStart w:id="61" w:name="_Toc536202302"/>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响应有效期</w:t>
      </w:r>
      <w:bookmarkEnd w:id="61"/>
    </w:p>
    <w:p w14:paraId="50619A9B">
      <w:pPr>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0C9ED989">
      <w:pPr>
        <w:pStyle w:val="8"/>
        <w:pageBreakBefore w:val="0"/>
        <w:numPr>
          <w:ilvl w:val="0"/>
          <w:numId w:val="0"/>
        </w:numPr>
        <w:kinsoku/>
        <w:wordWrap/>
        <w:overflowPunct/>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bookmarkStart w:id="62" w:name="_Toc24827"/>
      <w:bookmarkStart w:id="63" w:name="_Toc536202303"/>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响应文件的格式</w:t>
      </w:r>
      <w:bookmarkEnd w:id="62"/>
      <w:bookmarkEnd w:id="63"/>
      <w:r>
        <w:rPr>
          <w:rFonts w:hint="eastAsia" w:ascii="宋体" w:hAnsi="宋体" w:eastAsia="宋体" w:cs="宋体"/>
          <w:color w:val="auto"/>
          <w:sz w:val="24"/>
          <w:szCs w:val="24"/>
          <w:lang w:val="en-US" w:eastAsia="zh-CN"/>
        </w:rPr>
        <w:t>及签署</w:t>
      </w:r>
    </w:p>
    <w:p w14:paraId="7F25DACE">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须依据竞争性磋商文件内容和响应文件格式的要求编制响应文件；并编制目录和对应的页码。</w:t>
      </w:r>
    </w:p>
    <w:p w14:paraId="541A67C8">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响应文件的签署</w:t>
      </w:r>
    </w:p>
    <w:p w14:paraId="42C2F159">
      <w:pPr>
        <w:pageBreakBefore w:val="0"/>
        <w:numPr>
          <w:ilvl w:val="0"/>
          <w:numId w:val="8"/>
        </w:numPr>
        <w:kinsoku/>
        <w:wordWrap/>
        <w:overflowPunct/>
        <w:topLinePunct w:val="0"/>
        <w:autoSpaceDE/>
        <w:autoSpaceDN/>
        <w:bidi w:val="0"/>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应在投标文件中指定的页面落款处填写</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全称，并按要求加盖公章及签字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包括投标文件的封面）。</w:t>
      </w:r>
    </w:p>
    <w:p w14:paraId="1D9CB6D7">
      <w:pPr>
        <w:pageBreakBefore w:val="0"/>
        <w:numPr>
          <w:ilvl w:val="0"/>
          <w:numId w:val="8"/>
        </w:numPr>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响应文件应字迹清楚、内容齐全、不得涂改或增删。如有修改和增删，必须有</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公章及法定代表人或其授权代表签字。</w:t>
      </w:r>
    </w:p>
    <w:p w14:paraId="69A53410">
      <w:pPr>
        <w:pageBreakBefore w:val="0"/>
        <w:numPr>
          <w:ilvl w:val="0"/>
          <w:numId w:val="8"/>
        </w:numPr>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因响应文件字迹潦草或表达不清所引起的不利后果由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承担。</w:t>
      </w:r>
    </w:p>
    <w:p w14:paraId="362C806C">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本次磋商只接受简体中文文字的响应文件；如响应文件中出现外文资料，必须配以中文译文。否则，由此引发的一切责任由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自负。</w:t>
      </w:r>
    </w:p>
    <w:p w14:paraId="2119AD39">
      <w:pPr>
        <w:pageBreakBefore w:val="0"/>
        <w:widowControl/>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拒绝接受以电话、传真、电子邮件形式的磋商。</w:t>
      </w:r>
    </w:p>
    <w:p w14:paraId="4120F61F">
      <w:pPr>
        <w:pStyle w:val="8"/>
        <w:pageBreakBefore w:val="0"/>
        <w:numPr>
          <w:ilvl w:val="0"/>
          <w:numId w:val="0"/>
        </w:numPr>
        <w:kinsoku/>
        <w:wordWrap/>
        <w:overflowPunct/>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bookmarkStart w:id="64" w:name="_Toc536202304"/>
      <w:bookmarkStart w:id="65" w:name="_Toc22752"/>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知识产权</w:t>
      </w:r>
      <w:bookmarkEnd w:id="64"/>
      <w:bookmarkEnd w:id="65"/>
    </w:p>
    <w:p w14:paraId="2BDED560">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应保证在本项目使用的任何产品和服务（包括部分使用）时，不会产生因第三方提出侵犯其专利权、商标权或其它知识产权而引起的法律和经济纠纷，如因专利权、商标权</w:t>
      </w:r>
      <w:r>
        <w:rPr>
          <w:rFonts w:hint="eastAsia" w:ascii="宋体" w:hAnsi="宋体" w:eastAsia="宋体" w:cs="宋体"/>
          <w:color w:val="auto"/>
          <w:sz w:val="24"/>
          <w:szCs w:val="24"/>
          <w:lang w:eastAsia="zh-CN"/>
        </w:rPr>
        <w:t>或其他</w:t>
      </w:r>
      <w:r>
        <w:rPr>
          <w:rFonts w:hint="eastAsia" w:ascii="宋体" w:hAnsi="宋体" w:eastAsia="宋体" w:cs="宋体"/>
          <w:color w:val="auto"/>
          <w:sz w:val="24"/>
          <w:szCs w:val="24"/>
        </w:rPr>
        <w:t>知识产权而引起法律纠纷和经济纠纷，由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承担所有相关责任。</w:t>
      </w:r>
    </w:p>
    <w:p w14:paraId="1BFF2ACC">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.2采购人享有本项目在实施过程中产生的知识成果及知识产权。</w:t>
      </w:r>
    </w:p>
    <w:p w14:paraId="1EC26E90">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如欲在项目实施过程中采用自有知识成果，需在响应文件中声明，并提供相关知识产权证明文件。使用该知识成果后，</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须提供开发接口和开发手册等技术文档，并承诺提供无限期技术支持，采购人享有永久使用权。</w:t>
      </w:r>
    </w:p>
    <w:p w14:paraId="081B96BD">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.4如</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所不拥有的知识产权，则在响应报价中必须包括合法获取该知识产权的相关费用。</w:t>
      </w:r>
    </w:p>
    <w:p w14:paraId="42F4521D">
      <w:pPr>
        <w:pageBreakBefore w:val="0"/>
        <w:widowControl/>
        <w:numPr>
          <w:ilvl w:val="0"/>
          <w:numId w:val="5"/>
        </w:numPr>
        <w:wordWrap/>
        <w:topLinePunct w:val="0"/>
        <w:autoSpaceDE/>
        <w:autoSpaceDN/>
        <w:bidi w:val="0"/>
        <w:spacing w:line="336" w:lineRule="auto"/>
        <w:jc w:val="center"/>
        <w:textAlignment w:val="auto"/>
        <w:outlineLvl w:val="1"/>
        <w:rPr>
          <w:rFonts w:hint="eastAsia" w:ascii="宋体" w:hAnsi="宋体" w:eastAsia="宋体" w:cs="宋体"/>
          <w:b/>
          <w:bCs/>
          <w:color w:val="auto"/>
          <w:kern w:val="0"/>
          <w:sz w:val="24"/>
          <w:szCs w:val="24"/>
        </w:rPr>
      </w:pPr>
      <w:bookmarkStart w:id="66" w:name="_Toc536429322"/>
      <w:bookmarkStart w:id="67" w:name="_Toc19543339"/>
      <w:bookmarkStart w:id="68" w:name="_Toc536429375"/>
      <w:bookmarkStart w:id="69" w:name="_Toc536202382"/>
      <w:bookmarkStart w:id="70" w:name="_Toc3565"/>
      <w:bookmarkStart w:id="71" w:name="_Toc4747"/>
      <w:bookmarkStart w:id="72" w:name="_Toc536202305"/>
      <w:bookmarkStart w:id="73" w:name="_Toc3736"/>
      <w:r>
        <w:rPr>
          <w:rFonts w:hint="eastAsia" w:ascii="宋体" w:hAnsi="宋体" w:eastAsia="宋体" w:cs="宋体"/>
          <w:b/>
          <w:bCs/>
          <w:color w:val="auto"/>
          <w:kern w:val="0"/>
          <w:sz w:val="24"/>
          <w:szCs w:val="24"/>
        </w:rPr>
        <w:t>响应文件的递交</w:t>
      </w:r>
      <w:bookmarkEnd w:id="66"/>
      <w:bookmarkEnd w:id="67"/>
      <w:bookmarkEnd w:id="68"/>
      <w:bookmarkEnd w:id="69"/>
      <w:bookmarkEnd w:id="70"/>
      <w:bookmarkEnd w:id="71"/>
      <w:bookmarkEnd w:id="72"/>
      <w:r>
        <w:rPr>
          <w:rFonts w:hint="eastAsia" w:ascii="宋体" w:hAnsi="宋体" w:eastAsia="宋体" w:cs="宋体"/>
          <w:b/>
          <w:bCs/>
          <w:color w:val="auto"/>
          <w:kern w:val="0"/>
          <w:sz w:val="24"/>
          <w:szCs w:val="24"/>
        </w:rPr>
        <w:t>、开启与解密</w:t>
      </w:r>
    </w:p>
    <w:bookmarkEnd w:id="73"/>
    <w:p w14:paraId="2719AB7D">
      <w:pPr>
        <w:keepNext/>
        <w:keepLines/>
        <w:pageBreakBefore w:val="0"/>
        <w:kinsoku/>
        <w:wordWrap/>
        <w:topLinePunct w:val="0"/>
        <w:autoSpaceDE/>
        <w:autoSpaceDN/>
        <w:bidi w:val="0"/>
        <w:spacing w:line="460" w:lineRule="exact"/>
        <w:ind w:firstLine="482" w:firstLineChars="200"/>
        <w:textAlignment w:val="auto"/>
        <w:outlineLvl w:val="2"/>
        <w:rPr>
          <w:rFonts w:hint="eastAsia" w:ascii="宋体" w:hAnsi="宋体" w:eastAsia="宋体" w:cs="宋体"/>
          <w:b/>
          <w:bCs/>
          <w:color w:val="auto"/>
          <w:sz w:val="24"/>
          <w:szCs w:val="28"/>
        </w:rPr>
      </w:pPr>
      <w:bookmarkStart w:id="74" w:name="_Toc19543340"/>
      <w:bookmarkStart w:id="75" w:name="_Toc536202383"/>
      <w:bookmarkStart w:id="76" w:name="_Toc536202308"/>
      <w:bookmarkStart w:id="77" w:name="_Toc536429376"/>
      <w:bookmarkStart w:id="78" w:name="_Toc14415"/>
      <w:bookmarkStart w:id="79" w:name="_Toc175"/>
      <w:bookmarkStart w:id="80" w:name="_Toc536429323"/>
      <w:bookmarkStart w:id="81" w:name="_Toc27066"/>
      <w:r>
        <w:rPr>
          <w:rFonts w:hint="eastAsia" w:ascii="宋体" w:hAnsi="宋体" w:eastAsia="宋体" w:cs="宋体"/>
          <w:b/>
          <w:bCs/>
          <w:color w:val="auto"/>
          <w:sz w:val="24"/>
          <w:szCs w:val="28"/>
          <w:lang w:val="en-US" w:eastAsia="zh-CN"/>
        </w:rPr>
        <w:t>1.</w:t>
      </w:r>
      <w:r>
        <w:rPr>
          <w:rFonts w:hint="eastAsia" w:ascii="宋体" w:hAnsi="宋体" w:eastAsia="宋体" w:cs="宋体"/>
          <w:b/>
          <w:bCs/>
          <w:color w:val="auto"/>
          <w:sz w:val="24"/>
          <w:szCs w:val="28"/>
        </w:rPr>
        <w:t>投标文件递交</w:t>
      </w:r>
    </w:p>
    <w:p w14:paraId="0C79E553">
      <w:pPr>
        <w:pageBreakBefore w:val="0"/>
        <w:kinsoku/>
        <w:wordWrap/>
        <w:topLinePunct w:val="0"/>
        <w:autoSpaceDE/>
        <w:autoSpaceDN/>
        <w:bidi w:val="0"/>
        <w:adjustRightInd w:val="0"/>
        <w:snapToGrid w:val="0"/>
        <w:spacing w:line="460" w:lineRule="exact"/>
        <w:ind w:firstLine="480" w:firstLineChars="200"/>
        <w:textAlignment w:val="auto"/>
        <w:rPr>
          <w:rFonts w:hint="eastAsia" w:ascii="宋体" w:hAnsi="宋体" w:eastAsia="宋体" w:cs="宋体"/>
          <w:b/>
          <w:color w:val="auto"/>
          <w:kern w:val="0"/>
          <w:sz w:val="24"/>
          <w:szCs w:val="24"/>
        </w:rPr>
      </w:pPr>
      <w:r>
        <w:rPr>
          <w:rFonts w:hint="eastAsia" w:ascii="宋体" w:hAnsi="宋体" w:eastAsia="宋体" w:cs="宋体"/>
          <w:color w:val="auto"/>
          <w:kern w:val="0"/>
          <w:sz w:val="24"/>
          <w:szCs w:val="24"/>
          <w:lang w:val="en-US" w:eastAsia="zh-CN"/>
        </w:rPr>
        <w:t>1.1</w:t>
      </w:r>
      <w:r>
        <w:rPr>
          <w:rFonts w:hint="eastAsia" w:ascii="宋体" w:hAnsi="宋体" w:eastAsia="宋体" w:cs="宋体"/>
          <w:color w:val="auto"/>
          <w:kern w:val="0"/>
          <w:sz w:val="24"/>
          <w:szCs w:val="24"/>
        </w:rPr>
        <w:t>电子投标文件递交</w:t>
      </w:r>
    </w:p>
    <w:p w14:paraId="44A4D5B5">
      <w:pPr>
        <w:pageBreakBefore w:val="0"/>
        <w:kinsoku/>
        <w:wordWrap/>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电子投标文件可于提交投标文件截止时间前任意时段登录全国公共资源交易平台（陕西省）网站[电子交易平台</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企业端]进行提交，逾期系统将拒绝接收。提交时，</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应登录全国公共资源交易中心平台（陕西省），选择“首页</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电子交易平台</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企业端</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我的项目”，点击[项目流程]，在打开的[项目管理]对话框中选择[上传响应文件]，上传加密的电子投标文件（</w:t>
      </w:r>
      <w:r>
        <w:rPr>
          <w:rFonts w:hint="eastAsia" w:ascii="宋体" w:hAnsi="宋体" w:eastAsia="宋体" w:cs="宋体"/>
          <w:color w:val="auto"/>
          <w:kern w:val="0"/>
          <w:sz w:val="24"/>
          <w:szCs w:val="24"/>
          <w:lang w:eastAsia="zh-CN"/>
        </w:rPr>
        <w:t xml:space="preserve">*  </w:t>
      </w:r>
      <w:r>
        <w:rPr>
          <w:rFonts w:hint="eastAsia" w:ascii="宋体" w:hAnsi="宋体" w:eastAsia="宋体" w:cs="宋体"/>
          <w:color w:val="auto"/>
          <w:kern w:val="0"/>
          <w:sz w:val="24"/>
          <w:szCs w:val="24"/>
        </w:rPr>
        <w:t>.SXSTF），上传成功后，电子化平台将予以记录。</w:t>
      </w:r>
    </w:p>
    <w:p w14:paraId="0A4358E4">
      <w:pPr>
        <w:pageBreakBefore w:val="0"/>
        <w:widowControl/>
        <w:tabs>
          <w:tab w:val="left" w:pos="0"/>
        </w:tabs>
        <w:kinsoku/>
        <w:wordWrap/>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8"/>
        </w:rPr>
      </w:pPr>
      <w:r>
        <w:rPr>
          <w:rFonts w:hint="eastAsia" w:ascii="宋体" w:hAnsi="宋体" w:eastAsia="宋体" w:cs="宋体"/>
          <w:color w:val="auto"/>
          <w:sz w:val="24"/>
          <w:szCs w:val="28"/>
          <w:lang w:val="en-US" w:eastAsia="zh-CN"/>
        </w:rPr>
        <w:t>1.2</w:t>
      </w:r>
      <w:r>
        <w:rPr>
          <w:rFonts w:hint="eastAsia" w:ascii="宋体" w:hAnsi="宋体" w:eastAsia="宋体" w:cs="宋体"/>
          <w:color w:val="auto"/>
          <w:sz w:val="24"/>
          <w:szCs w:val="28"/>
        </w:rPr>
        <w:t>代理机构不接受邮寄的投标文件；</w:t>
      </w:r>
    </w:p>
    <w:p w14:paraId="76676CAE">
      <w:pPr>
        <w:pageBreakBefore w:val="0"/>
        <w:widowControl/>
        <w:tabs>
          <w:tab w:val="left" w:pos="0"/>
        </w:tabs>
        <w:kinsoku/>
        <w:wordWrap/>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8"/>
        </w:rPr>
      </w:pPr>
      <w:r>
        <w:rPr>
          <w:rFonts w:hint="eastAsia" w:ascii="宋体" w:hAnsi="宋体" w:eastAsia="宋体" w:cs="宋体"/>
          <w:color w:val="auto"/>
          <w:sz w:val="24"/>
          <w:szCs w:val="28"/>
          <w:lang w:val="en-US" w:eastAsia="zh-CN"/>
        </w:rPr>
        <w:t>1.3</w:t>
      </w:r>
      <w:r>
        <w:rPr>
          <w:rFonts w:hint="eastAsia" w:ascii="宋体" w:hAnsi="宋体" w:eastAsia="宋体" w:cs="宋体"/>
          <w:color w:val="auto"/>
          <w:sz w:val="24"/>
          <w:szCs w:val="28"/>
        </w:rPr>
        <w:t>无论</w:t>
      </w:r>
      <w:r>
        <w:rPr>
          <w:rFonts w:hint="eastAsia" w:ascii="宋体" w:hAnsi="宋体" w:eastAsia="宋体" w:cs="宋体"/>
          <w:color w:val="auto"/>
          <w:sz w:val="24"/>
          <w:szCs w:val="28"/>
          <w:lang w:eastAsia="zh-CN"/>
        </w:rPr>
        <w:t>投标人</w:t>
      </w:r>
      <w:r>
        <w:rPr>
          <w:rFonts w:hint="eastAsia" w:ascii="宋体" w:hAnsi="宋体" w:eastAsia="宋体" w:cs="宋体"/>
          <w:color w:val="auto"/>
          <w:sz w:val="24"/>
          <w:szCs w:val="28"/>
        </w:rPr>
        <w:t>成交与否，其投标文件恕不退还。</w:t>
      </w:r>
    </w:p>
    <w:p w14:paraId="7743F502">
      <w:pPr>
        <w:pStyle w:val="8"/>
        <w:pageBreakBefore w:val="0"/>
        <w:numPr>
          <w:ilvl w:val="0"/>
          <w:numId w:val="0"/>
        </w:numPr>
        <w:kinsoku/>
        <w:wordWrap/>
        <w:topLinePunct w:val="0"/>
        <w:autoSpaceDE/>
        <w:autoSpaceDN/>
        <w:bidi w:val="0"/>
        <w:spacing w:line="460" w:lineRule="exact"/>
        <w:ind w:left="420" w:leftChars="0"/>
        <w:textAlignment w:val="auto"/>
        <w:rPr>
          <w:rFonts w:hint="eastAsia" w:ascii="宋体" w:hAnsi="宋体" w:eastAsia="宋体" w:cs="宋体"/>
          <w:color w:val="auto"/>
          <w:sz w:val="24"/>
          <w:szCs w:val="24"/>
        </w:rPr>
      </w:pPr>
      <w:bookmarkStart w:id="82" w:name="_Toc12741"/>
      <w:bookmarkStart w:id="83" w:name="_Toc536202307"/>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响应文件的修改和撤回</w:t>
      </w:r>
      <w:bookmarkEnd w:id="82"/>
      <w:bookmarkEnd w:id="83"/>
    </w:p>
    <w:p w14:paraId="5C968EA6">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上传</w:t>
      </w:r>
      <w:r>
        <w:rPr>
          <w:rFonts w:hint="eastAsia" w:ascii="宋体" w:hAnsi="宋体" w:eastAsia="宋体" w:cs="宋体"/>
          <w:color w:val="auto"/>
          <w:sz w:val="24"/>
          <w:szCs w:val="24"/>
        </w:rPr>
        <w:t>投标文件以后，在规定的投标截止时间之前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可以</w:t>
      </w:r>
      <w:r>
        <w:rPr>
          <w:rFonts w:hint="eastAsia" w:ascii="宋体" w:hAnsi="宋体" w:eastAsia="宋体" w:cs="宋体"/>
          <w:color w:val="auto"/>
          <w:sz w:val="24"/>
          <w:szCs w:val="24"/>
          <w:lang w:val="en-US" w:eastAsia="zh-CN"/>
        </w:rPr>
        <w:t>对已</w:t>
      </w:r>
      <w:r>
        <w:rPr>
          <w:rFonts w:hint="eastAsia" w:ascii="宋体" w:hAnsi="宋体" w:eastAsia="宋体" w:cs="宋体"/>
          <w:color w:val="auto"/>
          <w:sz w:val="24"/>
          <w:szCs w:val="24"/>
        </w:rPr>
        <w:t>递交的投标文件</w:t>
      </w:r>
      <w:r>
        <w:rPr>
          <w:rFonts w:hint="eastAsia" w:ascii="宋体" w:hAnsi="宋体" w:eastAsia="宋体" w:cs="宋体"/>
          <w:color w:val="auto"/>
          <w:sz w:val="24"/>
          <w:szCs w:val="24"/>
          <w:lang w:val="en-US" w:eastAsia="zh-CN"/>
        </w:rPr>
        <w:t>进行修改、撤回</w:t>
      </w:r>
      <w:r>
        <w:rPr>
          <w:rFonts w:hint="eastAsia" w:ascii="宋体" w:hAnsi="宋体" w:eastAsia="宋体" w:cs="宋体"/>
          <w:color w:val="auto"/>
          <w:sz w:val="24"/>
          <w:szCs w:val="24"/>
        </w:rPr>
        <w:t>。补充、修改的内容应当按</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要求</w:t>
      </w:r>
      <w:r>
        <w:rPr>
          <w:rFonts w:hint="eastAsia" w:ascii="宋体" w:hAnsi="宋体" w:eastAsia="宋体" w:cs="宋体"/>
          <w:color w:val="auto"/>
          <w:sz w:val="24"/>
          <w:szCs w:val="24"/>
          <w:lang w:val="en-US" w:eastAsia="zh-CN"/>
        </w:rPr>
        <w:t>签章、加密上传。</w:t>
      </w:r>
    </w:p>
    <w:p w14:paraId="437647B4">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投标截止时间之后，</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不得补充、修改</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文件。</w:t>
      </w:r>
    </w:p>
    <w:p w14:paraId="0E3A7C70">
      <w:pPr>
        <w:pageBreakBefore w:val="0"/>
        <w:widowControl/>
        <w:numPr>
          <w:ilvl w:val="0"/>
          <w:numId w:val="5"/>
        </w:numPr>
        <w:kinsoku/>
        <w:wordWrap/>
        <w:topLinePunct w:val="0"/>
        <w:autoSpaceDE/>
        <w:autoSpaceDN/>
        <w:bidi w:val="0"/>
        <w:spacing w:line="460" w:lineRule="exact"/>
        <w:ind w:firstLine="482" w:firstLineChars="200"/>
        <w:jc w:val="center"/>
        <w:textAlignment w:val="auto"/>
        <w:outlineLvl w:val="1"/>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磋商、评审、定标</w:t>
      </w:r>
      <w:bookmarkEnd w:id="74"/>
      <w:bookmarkEnd w:id="75"/>
      <w:bookmarkEnd w:id="76"/>
      <w:bookmarkEnd w:id="77"/>
      <w:bookmarkEnd w:id="78"/>
      <w:bookmarkEnd w:id="79"/>
      <w:bookmarkEnd w:id="80"/>
      <w:bookmarkEnd w:id="81"/>
    </w:p>
    <w:p w14:paraId="54243062">
      <w:pPr>
        <w:pStyle w:val="8"/>
        <w:pageBreakBefore w:val="0"/>
        <w:numPr>
          <w:ilvl w:val="0"/>
          <w:numId w:val="0"/>
        </w:numPr>
        <w:kinsoku/>
        <w:wordWrap/>
        <w:topLinePunct w:val="0"/>
        <w:autoSpaceDE/>
        <w:autoSpaceDN/>
        <w:bidi w:val="0"/>
        <w:spacing w:line="460" w:lineRule="exact"/>
        <w:ind w:firstLine="482" w:firstLineChars="200"/>
        <w:textAlignment w:val="auto"/>
        <w:rPr>
          <w:rFonts w:hint="eastAsia" w:ascii="宋体" w:hAnsi="宋体" w:eastAsia="宋体" w:cs="宋体"/>
          <w:sz w:val="24"/>
          <w:szCs w:val="24"/>
          <w:lang w:val="en-US" w:eastAsia="zh-CN"/>
        </w:rPr>
      </w:pPr>
      <w:bookmarkStart w:id="84" w:name="_Toc536202310"/>
      <w:r>
        <w:rPr>
          <w:rFonts w:hint="eastAsia" w:ascii="宋体" w:hAnsi="宋体" w:eastAsia="宋体" w:cs="宋体"/>
          <w:b/>
          <w:bCs/>
          <w:kern w:val="2"/>
          <w:sz w:val="24"/>
          <w:szCs w:val="24"/>
          <w:lang w:val="en-US" w:eastAsia="zh-CN" w:bidi="ar-SA"/>
        </w:rPr>
        <w:t>1.</w:t>
      </w:r>
      <w:r>
        <w:rPr>
          <w:rFonts w:hint="eastAsia" w:ascii="宋体" w:hAnsi="宋体" w:eastAsia="宋体" w:cs="宋体"/>
          <w:sz w:val="24"/>
          <w:szCs w:val="24"/>
          <w:lang w:val="en-US" w:eastAsia="zh-CN"/>
        </w:rPr>
        <w:t>开标、解密</w:t>
      </w:r>
    </w:p>
    <w:p w14:paraId="686C92F0">
      <w:pPr>
        <w:pageBreakBefore w:val="0"/>
        <w:kinsoku/>
        <w:wordWrap/>
        <w:overflowPunct w:val="0"/>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采购代理机构在</w:t>
      </w:r>
      <w:r>
        <w:rPr>
          <w:rFonts w:hint="eastAsia" w:ascii="宋体" w:hAnsi="宋体" w:eastAsia="宋体" w:cs="宋体"/>
          <w:sz w:val="24"/>
          <w:szCs w:val="24"/>
          <w:lang w:val="en-US" w:eastAsia="zh-CN"/>
        </w:rPr>
        <w:t>磋商</w:t>
      </w:r>
      <w:r>
        <w:rPr>
          <w:rFonts w:hint="eastAsia" w:ascii="宋体" w:hAnsi="宋体" w:eastAsia="宋体" w:cs="宋体"/>
          <w:sz w:val="24"/>
          <w:szCs w:val="24"/>
        </w:rPr>
        <w:t>文件规定的时间和地点组织</w:t>
      </w:r>
      <w:r>
        <w:rPr>
          <w:rFonts w:hint="eastAsia" w:ascii="宋体" w:hAnsi="宋体" w:eastAsia="宋体" w:cs="宋体"/>
          <w:sz w:val="24"/>
          <w:szCs w:val="24"/>
          <w:lang w:val="en-US" w:eastAsia="zh-CN"/>
        </w:rPr>
        <w:t>开标会议</w:t>
      </w:r>
      <w:r>
        <w:rPr>
          <w:rFonts w:hint="eastAsia" w:ascii="宋体" w:hAnsi="宋体" w:eastAsia="宋体" w:cs="宋体"/>
          <w:sz w:val="24"/>
          <w:szCs w:val="24"/>
          <w:lang w:eastAsia="zh-CN"/>
        </w:rPr>
        <w:t>，</w:t>
      </w:r>
      <w:r>
        <w:rPr>
          <w:rFonts w:hint="eastAsia" w:ascii="宋体" w:hAnsi="宋体" w:eastAsia="宋体" w:cs="宋体"/>
          <w:spacing w:val="-8"/>
          <w:w w:val="100"/>
          <w:sz w:val="24"/>
          <w:szCs w:val="24"/>
        </w:rPr>
        <w:t>整个过程受政府采购监管机构的监督、管理。</w:t>
      </w:r>
    </w:p>
    <w:p w14:paraId="2879D10E">
      <w:pPr>
        <w:pageBreakBefore w:val="0"/>
        <w:kinsoku/>
        <w:wordWrap/>
        <w:overflowPunct w:val="0"/>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开标仪式由采购代理机构主持，采购人代表及有关人员参加。</w:t>
      </w:r>
    </w:p>
    <w:p w14:paraId="0A136734">
      <w:pPr>
        <w:keepNext w:val="0"/>
        <w:keepLines w:val="0"/>
        <w:pageBreakBefore w:val="0"/>
        <w:widowControl w:val="0"/>
        <w:kinsoku/>
        <w:wordWrap/>
        <w:overflowPunct/>
        <w:topLinePunct w:val="0"/>
        <w:autoSpaceDE/>
        <w:autoSpaceDN/>
        <w:bidi w:val="0"/>
        <w:adjustRightInd/>
        <w:snapToGrid/>
        <w:spacing w:line="460" w:lineRule="exact"/>
        <w:ind w:left="0" w:right="0" w:firstLine="480" w:firstLineChars="200"/>
        <w:textAlignment w:val="auto"/>
        <w:rPr>
          <w:rFonts w:hint="eastAsia" w:ascii="宋体" w:hAnsi="宋体" w:eastAsia="宋体" w:cs="宋体"/>
          <w:spacing w:val="-8"/>
          <w:w w:val="100"/>
          <w:sz w:val="24"/>
          <w:szCs w:val="24"/>
          <w:lang w:eastAsia="zh-CN"/>
        </w:rPr>
      </w:pPr>
      <w:r>
        <w:rPr>
          <w:rFonts w:hint="eastAsia" w:ascii="宋体" w:hAnsi="宋体" w:eastAsia="宋体" w:cs="宋体"/>
          <w:sz w:val="24"/>
          <w:szCs w:val="24"/>
          <w:lang w:val="en-US" w:eastAsia="zh-CN"/>
        </w:rPr>
        <w:t>1.3</w:t>
      </w:r>
      <w:r>
        <w:rPr>
          <w:rFonts w:hint="eastAsia" w:ascii="宋体" w:hAnsi="宋体" w:eastAsia="宋体" w:cs="宋体"/>
          <w:spacing w:val="-8"/>
          <w:w w:val="100"/>
          <w:sz w:val="24"/>
          <w:szCs w:val="24"/>
        </w:rPr>
        <w:t>本项目采用远程不见面开标方式进行开标、采购代理机构在规定的时间和地点组织开标，投标单位授权代表不到现场参加开标，须自行在各自办公场所，自备电脑在投标截止时间前登录不见面开标大厅，进行远程开标</w:t>
      </w:r>
      <w:r>
        <w:rPr>
          <w:rFonts w:hint="eastAsia" w:ascii="宋体" w:hAnsi="宋体" w:eastAsia="宋体" w:cs="宋体"/>
          <w:spacing w:val="-8"/>
          <w:w w:val="100"/>
          <w:sz w:val="24"/>
          <w:szCs w:val="24"/>
          <w:lang w:eastAsia="zh-CN"/>
        </w:rPr>
        <w:t>。</w:t>
      </w:r>
    </w:p>
    <w:p w14:paraId="4DC9A985">
      <w:pPr>
        <w:keepNext w:val="0"/>
        <w:keepLines w:val="0"/>
        <w:pageBreakBefore w:val="0"/>
        <w:widowControl w:val="0"/>
        <w:kinsoku/>
        <w:wordWrap w:val="0"/>
        <w:overflowPunct/>
        <w:topLinePunct w:val="0"/>
        <w:autoSpaceDE/>
        <w:autoSpaceDN/>
        <w:bidi w:val="0"/>
        <w:adjustRightInd/>
        <w:snapToGrid/>
        <w:spacing w:line="460" w:lineRule="exact"/>
        <w:ind w:firstLine="448" w:firstLineChars="200"/>
        <w:textAlignment w:val="auto"/>
        <w:rPr>
          <w:rFonts w:hint="eastAsia" w:ascii="宋体" w:hAnsi="宋体" w:eastAsia="宋体" w:cs="宋体"/>
          <w:spacing w:val="-8"/>
          <w:sz w:val="24"/>
          <w:szCs w:val="24"/>
        </w:rPr>
      </w:pPr>
      <w:r>
        <w:rPr>
          <w:rFonts w:hint="eastAsia" w:ascii="宋体" w:hAnsi="宋体" w:eastAsia="宋体" w:cs="宋体"/>
          <w:spacing w:val="-8"/>
          <w:w w:val="100"/>
          <w:sz w:val="24"/>
          <w:szCs w:val="24"/>
          <w:lang w:val="en-US" w:eastAsia="zh-CN"/>
        </w:rPr>
        <w:t>1.3.1投标投标人在获取磋商文件后应在全国公共资源交易平台（陕西省.安康市）网站[新闻资讯→通知公告]中下载并详细阅读安康公共资源交易中心不见面开标系统（投标人）操作 http://www.sxggzyjy.cn/xwzx/002002/subPage.html，下载并详细阅读《关于陕西省公共资源交易平台多CA互认系统正式上线运行的通知》并下载最新版本驱动。</w:t>
      </w:r>
      <w:r>
        <w:rPr>
          <w:rFonts w:hint="eastAsia" w:ascii="宋体" w:hAnsi="宋体" w:eastAsia="宋体" w:cs="宋体"/>
          <w:spacing w:val="-8"/>
          <w:sz w:val="24"/>
          <w:szCs w:val="24"/>
        </w:rPr>
        <w:t>不见面开标系统：打开页面网址（http://219.145.206.209/BidOpeningHall/bidopeninghallaction/hall/login）选择点击右上角  “登录 ”，在左侧选择“投标人”身份，插入 CA 锁登录，输入密码后，点击“登录 ”，投标人登录之后可以看到当前投标人今日开标项目：选择要开标的项目，点击进入，页面首先阅读开标流程，点击“我已阅读 ” 进入开标大厅，点击“取消 ”返回项目列表页面。</w:t>
      </w:r>
    </w:p>
    <w:p w14:paraId="7E640D7E">
      <w:pPr>
        <w:spacing w:line="460" w:lineRule="exact"/>
        <w:ind w:firstLine="448" w:firstLineChars="200"/>
        <w:rPr>
          <w:rFonts w:hint="eastAsia" w:ascii="宋体" w:hAnsi="宋体" w:eastAsia="宋体" w:cs="宋体"/>
          <w:spacing w:val="-8"/>
          <w:sz w:val="24"/>
          <w:szCs w:val="24"/>
        </w:rPr>
      </w:pPr>
      <w:r>
        <w:rPr>
          <w:rFonts w:hint="eastAsia" w:ascii="宋体" w:hAnsi="宋体" w:eastAsia="宋体" w:cs="宋体"/>
          <w:spacing w:val="-8"/>
          <w:w w:val="100"/>
          <w:sz w:val="24"/>
          <w:szCs w:val="24"/>
          <w:lang w:val="en-US" w:eastAsia="zh-CN"/>
        </w:rPr>
        <w:t>1.3.2</w:t>
      </w:r>
      <w:r>
        <w:rPr>
          <w:rFonts w:hint="eastAsia" w:ascii="宋体" w:hAnsi="宋体" w:eastAsia="宋体" w:cs="宋体"/>
          <w:spacing w:val="-8"/>
          <w:w w:val="100"/>
          <w:sz w:val="24"/>
          <w:szCs w:val="24"/>
        </w:rPr>
        <w:t>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w:t>
      </w:r>
      <w:r>
        <w:rPr>
          <w:rFonts w:hint="eastAsia" w:ascii="宋体" w:hAnsi="宋体" w:eastAsia="宋体" w:cs="宋体"/>
          <w:spacing w:val="-8"/>
          <w:sz w:val="24"/>
          <w:szCs w:val="24"/>
        </w:rPr>
        <w:t>投标</w:t>
      </w:r>
      <w:r>
        <w:rPr>
          <w:rFonts w:hint="eastAsia" w:ascii="宋体" w:hAnsi="宋体" w:eastAsia="宋体" w:cs="宋体"/>
          <w:spacing w:val="-8"/>
          <w:sz w:val="24"/>
          <w:szCs w:val="24"/>
          <w:lang w:eastAsia="zh-CN"/>
        </w:rPr>
        <w:t>投标人</w:t>
      </w:r>
      <w:r>
        <w:rPr>
          <w:rFonts w:hint="eastAsia" w:ascii="宋体" w:hAnsi="宋体" w:eastAsia="宋体" w:cs="宋体"/>
          <w:spacing w:val="-8"/>
          <w:sz w:val="24"/>
          <w:szCs w:val="24"/>
        </w:rPr>
        <w:t>需安装新点播放器，以便观看远程不见面开标直播画面（播放器下载链接为：https://download.bqpoint.com/download/downloaddetail.html?SourceFrom=Down&amp;SoftGuid=55aa4 e06-c384-4005-bcb9-48932d410fd4）。</w:t>
      </w:r>
    </w:p>
    <w:p w14:paraId="7CDB398D">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spacing w:val="-8"/>
          <w:w w:val="100"/>
          <w:sz w:val="24"/>
          <w:szCs w:val="24"/>
        </w:rPr>
      </w:pPr>
      <w:r>
        <w:rPr>
          <w:rFonts w:hint="eastAsia" w:ascii="宋体" w:hAnsi="宋体" w:eastAsia="宋体" w:cs="宋体"/>
          <w:spacing w:val="-8"/>
          <w:w w:val="100"/>
          <w:sz w:val="24"/>
          <w:szCs w:val="24"/>
          <w:lang w:val="en-US" w:eastAsia="zh-CN"/>
        </w:rPr>
        <w:t>1.3.3</w:t>
      </w:r>
      <w:r>
        <w:rPr>
          <w:rFonts w:hint="eastAsia" w:ascii="宋体" w:hAnsi="宋体" w:eastAsia="宋体" w:cs="宋体"/>
          <w:spacing w:val="-8"/>
          <w:w w:val="100"/>
          <w:sz w:val="24"/>
          <w:szCs w:val="24"/>
        </w:rPr>
        <w:t>投标人需注意 CA 锁一定要提前准备好，并确保 CA 锁为制作响应文件的 CA 锁。</w:t>
      </w:r>
    </w:p>
    <w:p w14:paraId="10669432">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spacing w:val="-8"/>
          <w:w w:val="100"/>
          <w:sz w:val="24"/>
          <w:szCs w:val="24"/>
          <w:lang w:val="en-AU"/>
        </w:rPr>
      </w:pPr>
      <w:r>
        <w:rPr>
          <w:rFonts w:hint="eastAsia" w:ascii="宋体" w:hAnsi="宋体" w:eastAsia="宋体" w:cs="宋体"/>
          <w:spacing w:val="-8"/>
          <w:w w:val="100"/>
          <w:sz w:val="24"/>
          <w:szCs w:val="24"/>
          <w:lang w:val="en-AU"/>
        </w:rPr>
        <w:t>不见面开标方式因投标人不来开标现场，资格审查如需提供复印件，请按文件中要求， 在响应文件中上传电子版。</w:t>
      </w:r>
    </w:p>
    <w:p w14:paraId="7BAC8067">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spacing w:val="-8"/>
          <w:w w:val="100"/>
          <w:sz w:val="24"/>
          <w:szCs w:val="24"/>
          <w:lang w:eastAsia="zh-CN"/>
        </w:rPr>
      </w:pPr>
      <w:r>
        <w:rPr>
          <w:rFonts w:hint="eastAsia" w:ascii="宋体" w:hAnsi="宋体" w:eastAsia="宋体" w:cs="宋体"/>
          <w:spacing w:val="-8"/>
          <w:w w:val="100"/>
          <w:sz w:val="24"/>
          <w:szCs w:val="24"/>
          <w:lang w:val="en-US" w:eastAsia="zh-CN"/>
        </w:rPr>
        <w:t>1.3.4</w:t>
      </w:r>
      <w:r>
        <w:rPr>
          <w:rFonts w:hint="eastAsia" w:ascii="宋体" w:hAnsi="宋体" w:eastAsia="宋体" w:cs="宋体"/>
          <w:spacing w:val="-8"/>
          <w:w w:val="100"/>
          <w:sz w:val="24"/>
          <w:szCs w:val="24"/>
        </w:rPr>
        <w:t>开标时间到了之后就不能签到，建议投标人在开标前半小时登录不见面开标大厅， 并及时签到（开标前 60 分钟即可签到），遇到问题及时联系客服 029-88661292、88661267、88661241</w:t>
      </w:r>
      <w:r>
        <w:rPr>
          <w:rFonts w:hint="eastAsia" w:ascii="宋体" w:hAnsi="宋体" w:eastAsia="宋体" w:cs="宋体"/>
          <w:spacing w:val="-8"/>
          <w:w w:val="100"/>
          <w:sz w:val="24"/>
          <w:szCs w:val="24"/>
          <w:lang w:eastAsia="zh-CN"/>
        </w:rPr>
        <w:t>。</w:t>
      </w:r>
    </w:p>
    <w:p w14:paraId="18D5C3B2">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spacing w:val="-8"/>
          <w:w w:val="100"/>
          <w:sz w:val="24"/>
          <w:szCs w:val="24"/>
        </w:rPr>
      </w:pPr>
      <w:r>
        <w:rPr>
          <w:rFonts w:hint="eastAsia" w:ascii="宋体" w:hAnsi="宋体" w:eastAsia="宋体" w:cs="宋体"/>
          <w:spacing w:val="-8"/>
          <w:w w:val="100"/>
          <w:sz w:val="24"/>
          <w:szCs w:val="24"/>
          <w:lang w:val="en-US" w:eastAsia="zh-CN"/>
        </w:rPr>
        <w:t>1.3.5</w:t>
      </w:r>
      <w:r>
        <w:rPr>
          <w:rFonts w:hint="eastAsia" w:ascii="宋体" w:hAnsi="宋体" w:eastAsia="宋体" w:cs="宋体"/>
          <w:spacing w:val="-8"/>
          <w:w w:val="100"/>
          <w:sz w:val="24"/>
          <w:szCs w:val="24"/>
        </w:rPr>
        <w:t>开标时，</w:t>
      </w:r>
      <w:r>
        <w:rPr>
          <w:rFonts w:hint="eastAsia" w:ascii="宋体" w:hAnsi="宋体" w:eastAsia="宋体" w:cs="宋体"/>
          <w:spacing w:val="-8"/>
          <w:w w:val="100"/>
          <w:sz w:val="24"/>
          <w:szCs w:val="24"/>
          <w:lang w:eastAsia="zh-CN"/>
        </w:rPr>
        <w:t>投标人</w:t>
      </w:r>
      <w:r>
        <w:rPr>
          <w:rFonts w:hint="eastAsia" w:ascii="宋体" w:hAnsi="宋体" w:eastAsia="宋体" w:cs="宋体"/>
          <w:spacing w:val="-8"/>
          <w:w w:val="100"/>
          <w:sz w:val="24"/>
          <w:szCs w:val="24"/>
        </w:rPr>
        <w:t>须使用电子响应文件加密时所用的数字认证证书CA 锁在自备电脑上自行远程解密电子响应文件，由电子交易系统进行自动唱标。</w:t>
      </w:r>
    </w:p>
    <w:p w14:paraId="0ED2FF13">
      <w:pPr>
        <w:spacing w:line="460" w:lineRule="exact"/>
        <w:ind w:firstLine="448" w:firstLineChars="200"/>
        <w:rPr>
          <w:rFonts w:hint="eastAsia" w:ascii="宋体" w:hAnsi="宋体" w:eastAsia="宋体" w:cs="宋体"/>
          <w:spacing w:val="-8"/>
          <w:sz w:val="24"/>
          <w:szCs w:val="24"/>
          <w:highlight w:val="none"/>
        </w:rPr>
      </w:pPr>
      <w:r>
        <w:rPr>
          <w:rFonts w:hint="eastAsia" w:ascii="宋体" w:hAnsi="宋体" w:eastAsia="宋体" w:cs="宋体"/>
          <w:spacing w:val="-8"/>
          <w:sz w:val="24"/>
          <w:szCs w:val="24"/>
        </w:rPr>
        <w:t xml:space="preserve">系统默认解密时长为 </w:t>
      </w:r>
      <w:r>
        <w:rPr>
          <w:rFonts w:hint="eastAsia" w:ascii="宋体" w:hAnsi="宋体" w:eastAsia="宋体" w:cs="宋体"/>
          <w:spacing w:val="-8"/>
          <w:sz w:val="24"/>
          <w:szCs w:val="24"/>
          <w:lang w:val="en-US" w:eastAsia="zh-CN"/>
        </w:rPr>
        <w:t>60</w:t>
      </w:r>
      <w:r>
        <w:rPr>
          <w:rFonts w:hint="eastAsia" w:ascii="宋体" w:hAnsi="宋体" w:eastAsia="宋体" w:cs="宋体"/>
          <w:spacing w:val="-8"/>
          <w:sz w:val="24"/>
          <w:szCs w:val="24"/>
        </w:rPr>
        <w:t>分钟，投标单位需在解密时</w:t>
      </w:r>
      <w:r>
        <w:rPr>
          <w:rFonts w:hint="eastAsia" w:ascii="宋体" w:hAnsi="宋体" w:eastAsia="宋体" w:cs="宋体"/>
          <w:spacing w:val="-8"/>
          <w:w w:val="100"/>
          <w:sz w:val="24"/>
          <w:szCs w:val="24"/>
        </w:rPr>
        <w:t>间规定内完成响应</w:t>
      </w:r>
      <w:r>
        <w:rPr>
          <w:rFonts w:hint="eastAsia" w:ascii="宋体" w:hAnsi="宋体" w:eastAsia="宋体" w:cs="宋体"/>
          <w:spacing w:val="-8"/>
          <w:w w:val="100"/>
          <w:sz w:val="24"/>
          <w:szCs w:val="24"/>
          <w:lang w:val="en-US" w:eastAsia="zh-CN"/>
        </w:rPr>
        <w:t>文件</w:t>
      </w:r>
      <w:r>
        <w:rPr>
          <w:rFonts w:hint="eastAsia" w:ascii="宋体" w:hAnsi="宋体" w:eastAsia="宋体" w:cs="宋体"/>
          <w:spacing w:val="-8"/>
          <w:sz w:val="24"/>
          <w:szCs w:val="24"/>
        </w:rPr>
        <w:t>解密</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lang w:val="en-US" w:eastAsia="zh-CN"/>
        </w:rPr>
        <w:t>如因</w:t>
      </w:r>
      <w:r>
        <w:rPr>
          <w:rFonts w:hint="eastAsia" w:ascii="宋体" w:hAnsi="宋体" w:eastAsia="宋体" w:cs="宋体"/>
          <w:spacing w:val="-8"/>
          <w:sz w:val="24"/>
          <w:szCs w:val="24"/>
        </w:rPr>
        <w:t>投标单位</w:t>
      </w:r>
      <w:r>
        <w:rPr>
          <w:rFonts w:hint="eastAsia" w:ascii="宋体" w:hAnsi="宋体" w:eastAsia="宋体" w:cs="宋体"/>
          <w:spacing w:val="-8"/>
          <w:sz w:val="24"/>
          <w:szCs w:val="24"/>
          <w:lang w:val="en-US" w:eastAsia="zh-CN"/>
        </w:rPr>
        <w:t>自身原因未在</w:t>
      </w:r>
      <w:r>
        <w:rPr>
          <w:rFonts w:hint="eastAsia" w:ascii="宋体" w:hAnsi="宋体" w:eastAsia="宋体" w:cs="宋体"/>
          <w:spacing w:val="-8"/>
          <w:sz w:val="24"/>
          <w:szCs w:val="24"/>
        </w:rPr>
        <w:t>规定</w:t>
      </w:r>
      <w:r>
        <w:rPr>
          <w:rFonts w:hint="eastAsia" w:ascii="宋体" w:hAnsi="宋体" w:eastAsia="宋体" w:cs="宋体"/>
          <w:spacing w:val="-8"/>
          <w:sz w:val="24"/>
          <w:szCs w:val="24"/>
          <w:lang w:val="en-US" w:eastAsia="zh-CN"/>
        </w:rPr>
        <w:t>时间内完成解密的，采购代理机构将在系统中退回未解密的响应文件，被退回的响应文件将不再参与后续的开标活动</w:t>
      </w:r>
      <w:r>
        <w:rPr>
          <w:rFonts w:hint="eastAsia" w:ascii="宋体" w:hAnsi="宋体" w:eastAsia="宋体" w:cs="宋体"/>
          <w:spacing w:val="-8"/>
          <w:sz w:val="24"/>
          <w:szCs w:val="24"/>
        </w:rPr>
        <w:t>。所有投标单位解密完成后由开标人员将响应文件导入开评标系统。</w:t>
      </w:r>
    </w:p>
    <w:p w14:paraId="34F6B020">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spacing w:val="-8"/>
          <w:w w:val="100"/>
          <w:sz w:val="24"/>
          <w:szCs w:val="24"/>
        </w:rPr>
      </w:pPr>
      <w:r>
        <w:rPr>
          <w:rFonts w:hint="eastAsia" w:ascii="宋体" w:hAnsi="宋体" w:eastAsia="宋体" w:cs="宋体"/>
          <w:spacing w:val="-8"/>
          <w:w w:val="100"/>
          <w:sz w:val="24"/>
          <w:szCs w:val="24"/>
          <w:lang w:val="en-US" w:eastAsia="zh-CN"/>
        </w:rPr>
        <w:t>1.4</w:t>
      </w:r>
      <w:r>
        <w:rPr>
          <w:rFonts w:hint="eastAsia" w:ascii="宋体" w:hAnsi="宋体" w:eastAsia="宋体" w:cs="宋体"/>
          <w:spacing w:val="-8"/>
          <w:w w:val="100"/>
          <w:sz w:val="24"/>
          <w:szCs w:val="24"/>
        </w:rPr>
        <w:t>特殊情形下的应急处置</w:t>
      </w:r>
    </w:p>
    <w:p w14:paraId="480FAD88">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sz w:val="24"/>
          <w:szCs w:val="28"/>
        </w:rPr>
      </w:pPr>
      <w:r>
        <w:rPr>
          <w:rFonts w:hint="eastAsia" w:ascii="宋体" w:hAnsi="宋体" w:eastAsia="宋体" w:cs="宋体"/>
          <w:spacing w:val="-8"/>
          <w:w w:val="100"/>
          <w:sz w:val="24"/>
          <w:szCs w:val="24"/>
        </w:rPr>
        <w:t>在开标、评审过程中，如因停电、断网、电子化系统故障等原因导致电子化开、评标无法正常进行时，将</w:t>
      </w:r>
      <w:r>
        <w:rPr>
          <w:rFonts w:hint="eastAsia" w:ascii="宋体" w:hAnsi="宋体" w:eastAsia="宋体" w:cs="宋体"/>
          <w:spacing w:val="-8"/>
          <w:w w:val="100"/>
          <w:sz w:val="24"/>
          <w:szCs w:val="24"/>
          <w:lang w:eastAsia="zh-CN"/>
        </w:rPr>
        <w:t>按照采购监管机构及公共资源交易中心统一安排部署</w:t>
      </w:r>
      <w:r>
        <w:rPr>
          <w:rFonts w:hint="eastAsia" w:ascii="宋体" w:hAnsi="宋体" w:eastAsia="宋体" w:cs="宋体"/>
          <w:spacing w:val="-8"/>
          <w:w w:val="100"/>
          <w:sz w:val="24"/>
          <w:szCs w:val="24"/>
        </w:rPr>
        <w:t>开展后续采购活动。</w:t>
      </w:r>
    </w:p>
    <w:p w14:paraId="15BD9912">
      <w:pPr>
        <w:pStyle w:val="8"/>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kern w:val="2"/>
          <w:sz w:val="24"/>
          <w:szCs w:val="24"/>
          <w:lang w:val="en-US" w:eastAsia="zh-CN" w:bidi="ar-SA"/>
        </w:rPr>
        <w:t>2.</w:t>
      </w:r>
      <w:r>
        <w:rPr>
          <w:rFonts w:hint="eastAsia" w:ascii="宋体" w:hAnsi="宋体" w:eastAsia="宋体" w:cs="宋体"/>
          <w:sz w:val="24"/>
          <w:szCs w:val="24"/>
        </w:rPr>
        <w:t>磋商小组</w:t>
      </w:r>
      <w:bookmarkEnd w:id="84"/>
    </w:p>
    <w:p w14:paraId="22C153B2">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bookmarkStart w:id="85" w:name="_Toc385958808"/>
      <w:bookmarkStart w:id="86" w:name="_Toc27940"/>
      <w:bookmarkStart w:id="87" w:name="_Toc28085"/>
      <w:bookmarkStart w:id="88" w:name="_Toc536202311"/>
      <w:bookmarkStart w:id="89" w:name="_Toc386129876"/>
      <w:r>
        <w:rPr>
          <w:rFonts w:hint="eastAsia" w:ascii="宋体" w:hAnsi="宋体" w:eastAsia="宋体" w:cs="宋体"/>
          <w:sz w:val="24"/>
          <w:szCs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3A94B7D7">
      <w:pPr>
        <w:pageBreakBefore w:val="0"/>
        <w:wordWrap/>
        <w:topLinePunct w:val="0"/>
        <w:autoSpaceDE/>
        <w:autoSpaceDN/>
        <w:bidi w:val="0"/>
        <w:spacing w:line="336" w:lineRule="auto"/>
        <w:ind w:firstLine="458" w:firstLineChars="191"/>
        <w:textAlignment w:val="auto"/>
        <w:rPr>
          <w:rFonts w:hint="eastAsia" w:ascii="宋体" w:hAnsi="宋体" w:eastAsia="宋体" w:cs="宋体"/>
          <w:sz w:val="24"/>
          <w:szCs w:val="24"/>
        </w:rPr>
      </w:pPr>
      <w:r>
        <w:rPr>
          <w:rFonts w:hint="eastAsia" w:ascii="宋体" w:hAnsi="宋体" w:eastAsia="宋体" w:cs="宋体"/>
          <w:sz w:val="24"/>
          <w:szCs w:val="24"/>
        </w:rPr>
        <w:t>（1）要严格遵守政府采购相关法律制度，依法履行各自职责，公正、客观、审慎地组织和参与评审工作；</w:t>
      </w:r>
    </w:p>
    <w:p w14:paraId="3864319C">
      <w:pPr>
        <w:pageBreakBefore w:val="0"/>
        <w:tabs>
          <w:tab w:val="left" w:pos="1200"/>
        </w:tabs>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（2）对所有响应文件逐一进行资格性、符合性审查，并</w:t>
      </w:r>
      <w:r>
        <w:rPr>
          <w:rFonts w:hint="eastAsia" w:ascii="宋体" w:hAnsi="宋体" w:eastAsia="宋体" w:cs="宋体"/>
          <w:sz w:val="24"/>
          <w:szCs w:val="24"/>
          <w:lang w:eastAsia="zh-CN"/>
        </w:rPr>
        <w:t>作出评价</w:t>
      </w:r>
      <w:r>
        <w:rPr>
          <w:rFonts w:hint="eastAsia" w:ascii="宋体" w:hAnsi="宋体" w:eastAsia="宋体" w:cs="宋体"/>
          <w:sz w:val="24"/>
          <w:szCs w:val="24"/>
        </w:rPr>
        <w:t>；</w:t>
      </w:r>
    </w:p>
    <w:p w14:paraId="71836C75">
      <w:pPr>
        <w:pageBreakBefore w:val="0"/>
        <w:tabs>
          <w:tab w:val="left" w:pos="1200"/>
        </w:tabs>
        <w:wordWrap/>
        <w:topLinePunct w:val="0"/>
        <w:autoSpaceDE/>
        <w:autoSpaceDN/>
        <w:bidi w:val="0"/>
        <w:spacing w:line="336" w:lineRule="auto"/>
        <w:ind w:left="17" w:leftChars="8" w:firstLine="458" w:firstLineChars="191"/>
        <w:textAlignment w:val="auto"/>
        <w:rPr>
          <w:rFonts w:hint="eastAsia" w:ascii="宋体" w:hAnsi="宋体" w:eastAsia="宋体" w:cs="宋体"/>
          <w:sz w:val="24"/>
          <w:szCs w:val="24"/>
        </w:rPr>
      </w:pPr>
      <w:r>
        <w:rPr>
          <w:rFonts w:hint="eastAsia" w:ascii="宋体" w:hAnsi="宋体" w:eastAsia="宋体" w:cs="宋体"/>
          <w:sz w:val="24"/>
          <w:szCs w:val="24"/>
        </w:rPr>
        <w:t>（3）按磋商文件规定的评审方法和标准，进行比较和评价；对</w:t>
      </w:r>
      <w:r>
        <w:rPr>
          <w:rFonts w:hint="eastAsia" w:ascii="宋体" w:hAnsi="宋体" w:eastAsia="宋体" w:cs="宋体"/>
          <w:sz w:val="24"/>
          <w:szCs w:val="24"/>
          <w:lang w:eastAsia="zh-CN"/>
        </w:rPr>
        <w:t>投标人</w:t>
      </w:r>
      <w:r>
        <w:rPr>
          <w:rFonts w:hint="eastAsia" w:ascii="宋体" w:hAnsi="宋体" w:eastAsia="宋体" w:cs="宋体"/>
          <w:sz w:val="24"/>
          <w:szCs w:val="24"/>
        </w:rPr>
        <w:t>的价格分等客观评分项的评分应当一致；</w:t>
      </w:r>
    </w:p>
    <w:p w14:paraId="58D3DC6D">
      <w:pPr>
        <w:pageBreakBefore w:val="0"/>
        <w:wordWrap/>
        <w:topLinePunct w:val="0"/>
        <w:autoSpaceDE/>
        <w:autoSpaceDN/>
        <w:bidi w:val="0"/>
        <w:spacing w:line="336" w:lineRule="auto"/>
        <w:ind w:left="839" w:leftChars="228" w:hanging="360" w:hangingChars="150"/>
        <w:textAlignment w:val="auto"/>
        <w:rPr>
          <w:rFonts w:hint="eastAsia" w:ascii="宋体" w:hAnsi="宋体" w:eastAsia="宋体" w:cs="宋体"/>
          <w:sz w:val="24"/>
          <w:szCs w:val="24"/>
        </w:rPr>
      </w:pPr>
      <w:r>
        <w:rPr>
          <w:rFonts w:hint="eastAsia" w:ascii="宋体" w:hAnsi="宋体" w:eastAsia="宋体" w:cs="宋体"/>
          <w:sz w:val="24"/>
          <w:szCs w:val="24"/>
        </w:rPr>
        <w:t>（4）要求</w:t>
      </w:r>
      <w:r>
        <w:rPr>
          <w:rFonts w:hint="eastAsia" w:ascii="宋体" w:hAnsi="宋体" w:eastAsia="宋体" w:cs="宋体"/>
          <w:sz w:val="24"/>
          <w:szCs w:val="24"/>
          <w:lang w:eastAsia="zh-CN"/>
        </w:rPr>
        <w:t>投标人</w:t>
      </w:r>
      <w:r>
        <w:rPr>
          <w:rFonts w:hint="eastAsia" w:ascii="宋体" w:hAnsi="宋体" w:eastAsia="宋体" w:cs="宋体"/>
          <w:sz w:val="24"/>
          <w:szCs w:val="24"/>
        </w:rPr>
        <w:t>对响应文件有关事项作出解释或澄清；</w:t>
      </w:r>
    </w:p>
    <w:p w14:paraId="71E9D0FE">
      <w:pPr>
        <w:pageBreakBefore w:val="0"/>
        <w:wordWrap/>
        <w:topLinePunct w:val="0"/>
        <w:autoSpaceDE/>
        <w:autoSpaceDN/>
        <w:bidi w:val="0"/>
        <w:spacing w:line="336" w:lineRule="auto"/>
        <w:ind w:left="17" w:leftChars="8" w:firstLine="458" w:firstLineChars="191"/>
        <w:textAlignment w:val="auto"/>
        <w:rPr>
          <w:rFonts w:hint="eastAsia" w:ascii="宋体" w:hAnsi="宋体" w:eastAsia="宋体" w:cs="宋体"/>
          <w:sz w:val="24"/>
          <w:szCs w:val="24"/>
        </w:rPr>
      </w:pPr>
      <w:r>
        <w:rPr>
          <w:rFonts w:hint="eastAsia" w:ascii="宋体" w:hAnsi="宋体" w:eastAsia="宋体" w:cs="宋体"/>
          <w:sz w:val="24"/>
          <w:szCs w:val="24"/>
        </w:rPr>
        <w:t>（5）要依法独立评审，按照磋商文件的要求和评标标准进行评标，推荐成交候选</w:t>
      </w:r>
      <w:r>
        <w:rPr>
          <w:rFonts w:hint="eastAsia" w:ascii="宋体" w:hAnsi="宋体" w:eastAsia="宋体" w:cs="宋体"/>
          <w:sz w:val="24"/>
          <w:szCs w:val="24"/>
          <w:lang w:eastAsia="zh-CN"/>
        </w:rPr>
        <w:t>投标人</w:t>
      </w:r>
      <w:r>
        <w:rPr>
          <w:rFonts w:hint="eastAsia" w:ascii="宋体" w:hAnsi="宋体" w:eastAsia="宋体" w:cs="宋体"/>
          <w:sz w:val="24"/>
          <w:szCs w:val="24"/>
        </w:rPr>
        <w:t>名单，对评审意见承担个人责任；</w:t>
      </w:r>
    </w:p>
    <w:p w14:paraId="18ACD698">
      <w:pPr>
        <w:pageBreakBefore w:val="0"/>
        <w:wordWrap/>
        <w:topLinePunct w:val="0"/>
        <w:autoSpaceDE/>
        <w:autoSpaceDN/>
        <w:bidi w:val="0"/>
        <w:spacing w:line="336" w:lineRule="auto"/>
        <w:ind w:left="1" w:leftChars="-171" w:hanging="360" w:hangingChars="150"/>
        <w:textAlignment w:val="auto"/>
        <w:rPr>
          <w:rFonts w:hint="eastAsia" w:ascii="宋体" w:hAnsi="宋体" w:eastAsia="宋体" w:cs="宋体"/>
          <w:sz w:val="24"/>
          <w:szCs w:val="24"/>
        </w:rPr>
      </w:pPr>
      <w:r>
        <w:rPr>
          <w:rFonts w:hint="eastAsia" w:ascii="宋体" w:hAnsi="宋体" w:eastAsia="宋体" w:cs="宋体"/>
          <w:sz w:val="24"/>
          <w:szCs w:val="24"/>
        </w:rPr>
        <w:t xml:space="preserve">       （6）对需要共同认定的事项存在争议的，按照少数服从多数的原则</w:t>
      </w:r>
      <w:r>
        <w:rPr>
          <w:rFonts w:hint="eastAsia" w:ascii="宋体" w:hAnsi="宋体" w:eastAsia="宋体" w:cs="宋体"/>
          <w:sz w:val="24"/>
          <w:szCs w:val="24"/>
          <w:lang w:eastAsia="zh-CN"/>
        </w:rPr>
        <w:t>作出</w:t>
      </w:r>
      <w:r>
        <w:rPr>
          <w:rFonts w:hint="eastAsia" w:ascii="宋体" w:hAnsi="宋体" w:eastAsia="宋体" w:cs="宋体"/>
          <w:sz w:val="24"/>
          <w:szCs w:val="24"/>
        </w:rPr>
        <w:t xml:space="preserve">结论。持不同意见的磋商小组成员应当在评审报告上签署不同意见并说明理由，否则视为同意； </w:t>
      </w:r>
    </w:p>
    <w:p w14:paraId="07A389D2">
      <w:pPr>
        <w:pageBreakBefore w:val="0"/>
        <w:wordWrap/>
        <w:topLinePunct w:val="0"/>
        <w:autoSpaceDE/>
        <w:autoSpaceDN/>
        <w:bidi w:val="0"/>
        <w:spacing w:line="336" w:lineRule="auto"/>
        <w:ind w:left="839" w:leftChars="228" w:hanging="360" w:hangingChars="150"/>
        <w:textAlignment w:val="auto"/>
        <w:rPr>
          <w:rFonts w:hint="eastAsia" w:ascii="宋体" w:hAnsi="宋体" w:eastAsia="宋体" w:cs="宋体"/>
          <w:sz w:val="24"/>
          <w:szCs w:val="24"/>
        </w:rPr>
      </w:pPr>
      <w:r>
        <w:rPr>
          <w:rFonts w:hint="eastAsia" w:ascii="宋体" w:hAnsi="宋体" w:eastAsia="宋体" w:cs="宋体"/>
          <w:sz w:val="24"/>
          <w:szCs w:val="24"/>
        </w:rPr>
        <w:t>（7）对评审情况以及在评审过程中获悉的国家秘密、商业秘密负有保密责任；</w:t>
      </w:r>
    </w:p>
    <w:p w14:paraId="3ECC1C19">
      <w:pPr>
        <w:pageBreakBefore w:val="0"/>
        <w:wordWrap/>
        <w:topLinePunct w:val="0"/>
        <w:autoSpaceDE/>
        <w:autoSpaceDN/>
        <w:bidi w:val="0"/>
        <w:spacing w:line="336" w:lineRule="auto"/>
        <w:ind w:left="359" w:leftChars="171"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(8) 配合财政部门的投诉处理工作；</w:t>
      </w:r>
    </w:p>
    <w:p w14:paraId="25EF29A8">
      <w:pPr>
        <w:pageBreakBefore w:val="0"/>
        <w:wordWrap/>
        <w:topLinePunct w:val="0"/>
        <w:autoSpaceDE/>
        <w:autoSpaceDN/>
        <w:bidi w:val="0"/>
        <w:spacing w:line="336" w:lineRule="auto"/>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(9) 配合采购人、采购代理机构答复</w:t>
      </w:r>
      <w:r>
        <w:rPr>
          <w:rFonts w:hint="eastAsia" w:ascii="宋体" w:hAnsi="宋体" w:eastAsia="宋体" w:cs="宋体"/>
          <w:sz w:val="24"/>
          <w:szCs w:val="24"/>
          <w:lang w:eastAsia="zh-CN"/>
        </w:rPr>
        <w:t>投标人</w:t>
      </w:r>
      <w:r>
        <w:rPr>
          <w:rFonts w:hint="eastAsia" w:ascii="宋体" w:hAnsi="宋体" w:eastAsia="宋体" w:cs="宋体"/>
          <w:sz w:val="24"/>
          <w:szCs w:val="24"/>
        </w:rPr>
        <w:t>提出的质疑。</w:t>
      </w:r>
    </w:p>
    <w:bookmarkEnd w:id="85"/>
    <w:bookmarkEnd w:id="86"/>
    <w:bookmarkEnd w:id="87"/>
    <w:bookmarkEnd w:id="88"/>
    <w:bookmarkEnd w:id="89"/>
    <w:p w14:paraId="0E0FD6E4">
      <w:pPr>
        <w:pageBreakBefore w:val="0"/>
        <w:wordWrap/>
        <w:topLinePunct w:val="0"/>
        <w:autoSpaceDE/>
        <w:autoSpaceDN/>
        <w:bidi w:val="0"/>
        <w:spacing w:line="336" w:lineRule="auto"/>
        <w:ind w:firstLine="482" w:firstLineChars="200"/>
        <w:textAlignment w:val="auto"/>
        <w:rPr>
          <w:rFonts w:hint="eastAsia" w:ascii="宋体" w:hAnsi="宋体" w:eastAsia="宋体" w:cs="宋体"/>
          <w:b/>
          <w:sz w:val="24"/>
          <w:szCs w:val="24"/>
        </w:rPr>
      </w:pPr>
      <w:bookmarkStart w:id="90" w:name="_Toc536202313"/>
      <w:r>
        <w:rPr>
          <w:rFonts w:hint="eastAsia" w:ascii="宋体" w:hAnsi="宋体" w:eastAsia="宋体" w:cs="宋体"/>
          <w:b/>
          <w:sz w:val="24"/>
          <w:szCs w:val="24"/>
        </w:rPr>
        <w:t>3</w:t>
      </w:r>
      <w:r>
        <w:rPr>
          <w:rFonts w:hint="eastAsia" w:ascii="宋体" w:hAnsi="宋体" w:eastAsia="宋体" w:cs="宋体"/>
          <w:b/>
          <w:sz w:val="24"/>
          <w:szCs w:val="24"/>
          <w:lang w:val="en-US" w:eastAsia="zh-CN"/>
        </w:rPr>
        <w:t>.</w:t>
      </w:r>
      <w:r>
        <w:rPr>
          <w:rFonts w:hint="eastAsia" w:ascii="宋体" w:hAnsi="宋体" w:eastAsia="宋体" w:cs="宋体"/>
          <w:b/>
          <w:sz w:val="24"/>
          <w:szCs w:val="24"/>
        </w:rPr>
        <w:t>响应文件的初审</w:t>
      </w:r>
    </w:p>
    <w:p w14:paraId="77E5E5E0">
      <w:pPr>
        <w:pageBreakBefore w:val="0"/>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（1）初审分为资格性审查和符合性审查。</w:t>
      </w:r>
    </w:p>
    <w:p w14:paraId="6A2EFD75">
      <w:pPr>
        <w:pageBreakBefore w:val="0"/>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（2）资格性审查：依据磋商文件</w:t>
      </w:r>
      <w:r>
        <w:rPr>
          <w:rFonts w:hint="eastAsia" w:ascii="宋体" w:hAnsi="宋体" w:eastAsia="宋体" w:cs="宋体"/>
          <w:sz w:val="24"/>
          <w:szCs w:val="24"/>
          <w:lang w:val="en-US" w:eastAsia="zh-CN"/>
        </w:rPr>
        <w:t>须知前附表中第9项</w:t>
      </w:r>
      <w:r>
        <w:rPr>
          <w:rFonts w:hint="eastAsia" w:ascii="宋体" w:hAnsi="宋体" w:eastAsia="宋体" w:cs="宋体"/>
          <w:color w:val="000000" w:themeColor="text1"/>
          <w:sz w:val="24"/>
          <w:szCs w:val="24"/>
          <w14:textFill>
            <w14:solidFill>
              <w14:schemeClr w14:val="tx1"/>
            </w14:solidFill>
          </w14:textFill>
        </w:rPr>
        <w:t>投标人资</w:t>
      </w:r>
      <w:r>
        <w:rPr>
          <w:rFonts w:hint="eastAsia" w:ascii="宋体" w:hAnsi="宋体" w:eastAsia="宋体" w:cs="宋体"/>
          <w:color w:val="000000" w:themeColor="text1"/>
          <w:sz w:val="24"/>
          <w:szCs w:val="24"/>
          <w:lang w:val="en-US" w:eastAsia="zh-CN"/>
          <w14:textFill>
            <w14:solidFill>
              <w14:schemeClr w14:val="tx1"/>
            </w14:solidFill>
          </w14:textFill>
        </w:rPr>
        <w:t>格</w:t>
      </w:r>
      <w:r>
        <w:rPr>
          <w:rFonts w:hint="eastAsia" w:ascii="宋体" w:hAnsi="宋体" w:eastAsia="宋体" w:cs="宋体"/>
          <w:color w:val="000000" w:themeColor="text1"/>
          <w:sz w:val="24"/>
          <w:szCs w:val="24"/>
          <w14:textFill>
            <w14:solidFill>
              <w14:schemeClr w14:val="tx1"/>
            </w14:solidFill>
          </w14:textFill>
        </w:rPr>
        <w:t>要求</w:t>
      </w:r>
      <w:r>
        <w:rPr>
          <w:rFonts w:hint="eastAsia" w:ascii="宋体" w:hAnsi="宋体" w:eastAsia="宋体" w:cs="宋体"/>
          <w:sz w:val="24"/>
          <w:szCs w:val="24"/>
        </w:rPr>
        <w:t>的规定，</w:t>
      </w:r>
      <w:r>
        <w:rPr>
          <w:rFonts w:hint="eastAsia" w:ascii="宋体" w:hAnsi="宋体" w:eastAsia="宋体" w:cs="宋体"/>
          <w:sz w:val="24"/>
          <w:szCs w:val="24"/>
          <w:lang w:val="en-US" w:eastAsia="zh-CN"/>
        </w:rPr>
        <w:t>磋商小组</w:t>
      </w:r>
      <w:r>
        <w:rPr>
          <w:rFonts w:hint="eastAsia" w:ascii="宋体" w:hAnsi="宋体" w:eastAsia="宋体" w:cs="宋体"/>
          <w:sz w:val="24"/>
          <w:szCs w:val="24"/>
        </w:rPr>
        <w:t>对</w:t>
      </w:r>
      <w:r>
        <w:rPr>
          <w:rFonts w:hint="eastAsia" w:ascii="宋体" w:hAnsi="宋体" w:eastAsia="宋体" w:cs="宋体"/>
          <w:sz w:val="24"/>
          <w:szCs w:val="24"/>
          <w:lang w:val="en-US" w:eastAsia="zh-CN"/>
        </w:rPr>
        <w:t>投标人</w:t>
      </w:r>
      <w:r>
        <w:rPr>
          <w:rFonts w:hint="eastAsia" w:ascii="宋体" w:hAnsi="宋体" w:eastAsia="宋体" w:cs="宋体"/>
          <w:sz w:val="24"/>
          <w:szCs w:val="24"/>
        </w:rPr>
        <w:t>的资格证明文件进行审查，以确定</w:t>
      </w:r>
      <w:r>
        <w:rPr>
          <w:rFonts w:hint="eastAsia" w:ascii="宋体" w:hAnsi="宋体" w:eastAsia="宋体" w:cs="宋体"/>
          <w:sz w:val="24"/>
          <w:szCs w:val="24"/>
          <w:lang w:eastAsia="zh-CN"/>
        </w:rPr>
        <w:t>投标人</w:t>
      </w:r>
      <w:r>
        <w:rPr>
          <w:rFonts w:hint="eastAsia" w:ascii="宋体" w:hAnsi="宋体" w:eastAsia="宋体" w:cs="宋体"/>
          <w:sz w:val="24"/>
          <w:szCs w:val="24"/>
        </w:rPr>
        <w:t>是否具备磋商资格。</w:t>
      </w:r>
    </w:p>
    <w:p w14:paraId="0AF0F405">
      <w:pPr>
        <w:pageBreakBefore w:val="0"/>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（3）符合性审查：依据磋商文件规定，从响应文件的有效性、完整性和对磋商文件的响应程度进行审查。</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358"/>
        <w:gridCol w:w="3760"/>
        <w:gridCol w:w="1004"/>
        <w:gridCol w:w="1494"/>
      </w:tblGrid>
      <w:tr w14:paraId="07CE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3617B0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271"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1F2962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2027"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1F1D22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541"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5AD875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803"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5B552D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522F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5EFA3D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1</w:t>
            </w:r>
          </w:p>
        </w:tc>
        <w:tc>
          <w:tcPr>
            <w:tcW w:w="1271" w:type="pct"/>
            <w:tcBorders>
              <w:top w:val="single" w:color="auto" w:sz="4" w:space="0"/>
              <w:left w:val="single" w:color="auto" w:sz="4" w:space="0"/>
              <w:bottom w:val="single" w:color="auto" w:sz="4" w:space="0"/>
              <w:right w:val="single" w:color="auto" w:sz="4" w:space="0"/>
            </w:tcBorders>
            <w:vAlign w:val="top"/>
          </w:tcPr>
          <w:p w14:paraId="31D48B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文件封面、投标函、法定代表人委托授权书三处的项目名称、项目编号、标段（未分标段的除外）</w:t>
            </w:r>
          </w:p>
        </w:tc>
        <w:tc>
          <w:tcPr>
            <w:tcW w:w="2027" w:type="pct"/>
            <w:tcBorders>
              <w:top w:val="single" w:color="auto" w:sz="4" w:space="0"/>
              <w:left w:val="single" w:color="auto" w:sz="4" w:space="0"/>
              <w:bottom w:val="single" w:color="auto" w:sz="4" w:space="0"/>
              <w:right w:val="single" w:color="auto" w:sz="4" w:space="0"/>
            </w:tcBorders>
            <w:vAlign w:val="center"/>
          </w:tcPr>
          <w:p w14:paraId="4D96F2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三处均无遗漏，且与所投项目名称、项目编号完全一致。</w:t>
            </w:r>
          </w:p>
        </w:tc>
        <w:tc>
          <w:tcPr>
            <w:tcW w:w="541" w:type="pct"/>
            <w:tcBorders>
              <w:top w:val="single" w:color="auto" w:sz="4" w:space="0"/>
              <w:left w:val="single" w:color="auto" w:sz="4" w:space="0"/>
              <w:bottom w:val="single" w:color="auto" w:sz="4" w:space="0"/>
              <w:right w:val="single" w:color="auto" w:sz="4" w:space="0"/>
            </w:tcBorders>
            <w:vAlign w:val="top"/>
          </w:tcPr>
          <w:p w14:paraId="028882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426EF0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4D45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6E2B4A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2</w:t>
            </w:r>
          </w:p>
        </w:tc>
        <w:tc>
          <w:tcPr>
            <w:tcW w:w="1271" w:type="pct"/>
            <w:tcBorders>
              <w:top w:val="single" w:color="auto" w:sz="4" w:space="0"/>
              <w:left w:val="single" w:color="auto" w:sz="4" w:space="0"/>
              <w:bottom w:val="single" w:color="auto" w:sz="4" w:space="0"/>
              <w:right w:val="single" w:color="auto" w:sz="4" w:space="0"/>
            </w:tcBorders>
            <w:vAlign w:val="center"/>
          </w:tcPr>
          <w:p w14:paraId="4D27CA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文件签署、盖章</w:t>
            </w:r>
          </w:p>
        </w:tc>
        <w:tc>
          <w:tcPr>
            <w:tcW w:w="2027" w:type="pct"/>
            <w:tcBorders>
              <w:top w:val="single" w:color="auto" w:sz="4" w:space="0"/>
              <w:left w:val="single" w:color="auto" w:sz="4" w:space="0"/>
              <w:bottom w:val="single" w:color="auto" w:sz="4" w:space="0"/>
              <w:right w:val="single" w:color="auto" w:sz="4" w:space="0"/>
            </w:tcBorders>
            <w:vAlign w:val="top"/>
          </w:tcPr>
          <w:p w14:paraId="72AD5A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均按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文件要求签字、盖章。</w:t>
            </w:r>
          </w:p>
          <w:p w14:paraId="258194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（《评标要素及分值一览表》中要求提供的证明材料除外）。</w:t>
            </w:r>
          </w:p>
        </w:tc>
        <w:tc>
          <w:tcPr>
            <w:tcW w:w="541" w:type="pct"/>
            <w:tcBorders>
              <w:top w:val="single" w:color="auto" w:sz="4" w:space="0"/>
              <w:left w:val="single" w:color="auto" w:sz="4" w:space="0"/>
              <w:bottom w:val="single" w:color="auto" w:sz="4" w:space="0"/>
              <w:right w:val="single" w:color="auto" w:sz="4" w:space="0"/>
            </w:tcBorders>
            <w:vAlign w:val="top"/>
          </w:tcPr>
          <w:p w14:paraId="1F40E4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224772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026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356" w:type="pct"/>
            <w:tcBorders>
              <w:top w:val="single" w:color="auto" w:sz="4" w:space="0"/>
              <w:left w:val="single" w:color="auto" w:sz="4" w:space="0"/>
              <w:bottom w:val="single" w:color="auto" w:sz="4" w:space="0"/>
              <w:right w:val="single" w:color="auto" w:sz="4" w:space="0"/>
            </w:tcBorders>
            <w:vAlign w:val="top"/>
          </w:tcPr>
          <w:p w14:paraId="26283E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3</w:t>
            </w:r>
          </w:p>
        </w:tc>
        <w:tc>
          <w:tcPr>
            <w:tcW w:w="1271" w:type="pct"/>
            <w:tcBorders>
              <w:top w:val="single" w:color="auto" w:sz="4" w:space="0"/>
              <w:left w:val="single" w:color="auto" w:sz="4" w:space="0"/>
              <w:bottom w:val="single" w:color="auto" w:sz="4" w:space="0"/>
              <w:right w:val="single" w:color="auto" w:sz="4" w:space="0"/>
            </w:tcBorders>
            <w:vAlign w:val="center"/>
          </w:tcPr>
          <w:p w14:paraId="7B4931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red"/>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文件组成</w:t>
            </w:r>
          </w:p>
        </w:tc>
        <w:tc>
          <w:tcPr>
            <w:tcW w:w="2027" w:type="pct"/>
            <w:tcBorders>
              <w:top w:val="single" w:color="auto" w:sz="4" w:space="0"/>
              <w:left w:val="single" w:color="auto" w:sz="4" w:space="0"/>
              <w:bottom w:val="single" w:color="auto" w:sz="4" w:space="0"/>
              <w:right w:val="single" w:color="auto" w:sz="4" w:space="0"/>
            </w:tcBorders>
            <w:vAlign w:val="top"/>
          </w:tcPr>
          <w:p w14:paraId="0A2C74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color w:val="auto"/>
                <w:sz w:val="24"/>
                <w:szCs w:val="24"/>
                <w:highlight w:val="none"/>
              </w:rPr>
              <w:t>文件应包含以下内容：</w:t>
            </w:r>
          </w:p>
          <w:p w14:paraId="3CF312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一、磋商响应函</w:t>
            </w:r>
          </w:p>
          <w:p w14:paraId="65BD39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val="en-US" w:eastAsia="zh-CN"/>
              </w:rPr>
              <w:t>响应报价表</w:t>
            </w:r>
          </w:p>
          <w:p w14:paraId="097A7A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三、资格证明文件</w:t>
            </w:r>
          </w:p>
          <w:p w14:paraId="1A0CF7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四、技术商务响应偏离表</w:t>
            </w:r>
          </w:p>
          <w:p w14:paraId="7B0FC7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方案</w:t>
            </w:r>
          </w:p>
          <w:p w14:paraId="77AB8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red"/>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、投标人拒绝</w:t>
            </w:r>
            <w:r>
              <w:rPr>
                <w:rFonts w:hint="eastAsia" w:ascii="宋体" w:hAnsi="宋体" w:eastAsia="宋体" w:cs="宋体"/>
                <w:color w:val="auto"/>
                <w:sz w:val="24"/>
                <w:szCs w:val="24"/>
                <w:highlight w:val="none"/>
                <w:lang w:eastAsia="zh-CN"/>
              </w:rPr>
              <w:t>招标投标</w:t>
            </w:r>
            <w:r>
              <w:rPr>
                <w:rFonts w:hint="eastAsia" w:ascii="宋体" w:hAnsi="宋体" w:eastAsia="宋体" w:cs="宋体"/>
                <w:color w:val="auto"/>
                <w:sz w:val="24"/>
                <w:szCs w:val="24"/>
                <w:highlight w:val="none"/>
              </w:rPr>
              <w:t>领域商业贿赂承诺书</w:t>
            </w:r>
          </w:p>
        </w:tc>
        <w:tc>
          <w:tcPr>
            <w:tcW w:w="541" w:type="pct"/>
            <w:tcBorders>
              <w:top w:val="single" w:color="auto" w:sz="4" w:space="0"/>
              <w:left w:val="single" w:color="auto" w:sz="4" w:space="0"/>
              <w:bottom w:val="single" w:color="auto" w:sz="4" w:space="0"/>
              <w:right w:val="single" w:color="auto" w:sz="4" w:space="0"/>
            </w:tcBorders>
            <w:vAlign w:val="top"/>
          </w:tcPr>
          <w:p w14:paraId="4B3452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26D4B9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4E93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686762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4</w:t>
            </w:r>
          </w:p>
        </w:tc>
        <w:tc>
          <w:tcPr>
            <w:tcW w:w="1271" w:type="pct"/>
            <w:tcBorders>
              <w:top w:val="single" w:color="auto" w:sz="4" w:space="0"/>
              <w:left w:val="single" w:color="auto" w:sz="4" w:space="0"/>
              <w:bottom w:val="single" w:color="auto" w:sz="4" w:space="0"/>
              <w:right w:val="single" w:color="auto" w:sz="4" w:space="0"/>
            </w:tcBorders>
            <w:vAlign w:val="center"/>
          </w:tcPr>
          <w:p w14:paraId="6CA643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文件的计量单位、语言、报价货币、投标有效期</w:t>
            </w:r>
          </w:p>
        </w:tc>
        <w:tc>
          <w:tcPr>
            <w:tcW w:w="2027" w:type="pct"/>
            <w:tcBorders>
              <w:top w:val="single" w:color="auto" w:sz="4" w:space="0"/>
              <w:left w:val="single" w:color="auto" w:sz="4" w:space="0"/>
              <w:bottom w:val="single" w:color="auto" w:sz="4" w:space="0"/>
              <w:right w:val="single" w:color="auto" w:sz="4" w:space="0"/>
            </w:tcBorders>
            <w:vAlign w:val="center"/>
          </w:tcPr>
          <w:p w14:paraId="1B0D8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文件的要求。</w:t>
            </w:r>
          </w:p>
        </w:tc>
        <w:tc>
          <w:tcPr>
            <w:tcW w:w="541" w:type="pct"/>
            <w:tcBorders>
              <w:top w:val="single" w:color="auto" w:sz="4" w:space="0"/>
              <w:left w:val="single" w:color="auto" w:sz="4" w:space="0"/>
              <w:bottom w:val="single" w:color="auto" w:sz="4" w:space="0"/>
              <w:right w:val="single" w:color="auto" w:sz="4" w:space="0"/>
            </w:tcBorders>
            <w:vAlign w:val="center"/>
          </w:tcPr>
          <w:p w14:paraId="464C2C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50765A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7111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662C44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5</w:t>
            </w:r>
          </w:p>
        </w:tc>
        <w:tc>
          <w:tcPr>
            <w:tcW w:w="1271" w:type="pct"/>
            <w:tcBorders>
              <w:top w:val="single" w:color="auto" w:sz="4" w:space="0"/>
              <w:left w:val="single" w:color="auto" w:sz="4" w:space="0"/>
              <w:bottom w:val="single" w:color="auto" w:sz="4" w:space="0"/>
              <w:right w:val="single" w:color="auto" w:sz="4" w:space="0"/>
            </w:tcBorders>
            <w:vAlign w:val="center"/>
          </w:tcPr>
          <w:p w14:paraId="217ADC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w:t>
            </w:r>
          </w:p>
        </w:tc>
        <w:tc>
          <w:tcPr>
            <w:tcW w:w="2027" w:type="pct"/>
            <w:tcBorders>
              <w:top w:val="single" w:color="auto" w:sz="4" w:space="0"/>
              <w:left w:val="single" w:color="auto" w:sz="4" w:space="0"/>
              <w:bottom w:val="single" w:color="auto" w:sz="4" w:space="0"/>
              <w:right w:val="single" w:color="auto" w:sz="4" w:space="0"/>
            </w:tcBorders>
            <w:vAlign w:val="top"/>
          </w:tcPr>
          <w:p w14:paraId="360E55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报价符合唯一性要求：</w:t>
            </w:r>
          </w:p>
          <w:p w14:paraId="338ED1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（2）开标一览表填写符合要求；</w:t>
            </w:r>
          </w:p>
          <w:p w14:paraId="5CF595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kern w:val="0"/>
                <w:sz w:val="24"/>
                <w:szCs w:val="24"/>
                <w:highlight w:val="none"/>
              </w:rPr>
              <w:t>（3）未超出采购预算或</w:t>
            </w:r>
            <w:r>
              <w:rPr>
                <w:rFonts w:hint="eastAsia" w:ascii="宋体" w:hAnsi="宋体" w:eastAsia="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文件规定的最高限价</w:t>
            </w:r>
            <w:r>
              <w:rPr>
                <w:rFonts w:hint="eastAsia" w:ascii="宋体" w:hAnsi="宋体" w:eastAsia="宋体" w:cs="宋体"/>
                <w:bCs/>
                <w:color w:val="auto"/>
                <w:kern w:val="0"/>
                <w:sz w:val="24"/>
                <w:szCs w:val="24"/>
                <w:highlight w:val="none"/>
                <w:lang w:eastAsia="zh-CN"/>
              </w:rPr>
              <w:t>。</w:t>
            </w:r>
          </w:p>
        </w:tc>
        <w:tc>
          <w:tcPr>
            <w:tcW w:w="541" w:type="pct"/>
            <w:tcBorders>
              <w:top w:val="single" w:color="auto" w:sz="4" w:space="0"/>
              <w:left w:val="single" w:color="auto" w:sz="4" w:space="0"/>
              <w:bottom w:val="single" w:color="auto" w:sz="4" w:space="0"/>
              <w:right w:val="single" w:color="auto" w:sz="4" w:space="0"/>
            </w:tcBorders>
            <w:vAlign w:val="top"/>
          </w:tcPr>
          <w:p w14:paraId="00E60B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38FCA6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3831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692C7A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6</w:t>
            </w:r>
          </w:p>
        </w:tc>
        <w:tc>
          <w:tcPr>
            <w:tcW w:w="1271" w:type="pct"/>
            <w:tcBorders>
              <w:top w:val="single" w:color="auto" w:sz="4" w:space="0"/>
              <w:left w:val="single" w:color="auto" w:sz="4" w:space="0"/>
              <w:bottom w:val="single" w:color="auto" w:sz="4" w:space="0"/>
              <w:right w:val="single" w:color="auto" w:sz="4" w:space="0"/>
            </w:tcBorders>
            <w:vAlign w:val="center"/>
          </w:tcPr>
          <w:p w14:paraId="4628BD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文件要求的实质性条款</w:t>
            </w:r>
          </w:p>
        </w:tc>
        <w:tc>
          <w:tcPr>
            <w:tcW w:w="2027" w:type="pct"/>
            <w:tcBorders>
              <w:top w:val="single" w:color="auto" w:sz="4" w:space="0"/>
              <w:left w:val="single" w:color="auto" w:sz="4" w:space="0"/>
              <w:bottom w:val="single" w:color="auto" w:sz="4" w:space="0"/>
              <w:right w:val="single" w:color="auto" w:sz="4" w:space="0"/>
            </w:tcBorders>
            <w:vAlign w:val="center"/>
          </w:tcPr>
          <w:p w14:paraId="1A6E27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文件要求的各项实质性条款。</w:t>
            </w:r>
          </w:p>
        </w:tc>
        <w:tc>
          <w:tcPr>
            <w:tcW w:w="541" w:type="pct"/>
            <w:tcBorders>
              <w:top w:val="single" w:color="auto" w:sz="4" w:space="0"/>
              <w:left w:val="single" w:color="auto" w:sz="4" w:space="0"/>
              <w:bottom w:val="single" w:color="auto" w:sz="4" w:space="0"/>
              <w:right w:val="single" w:color="auto" w:sz="4" w:space="0"/>
            </w:tcBorders>
            <w:vAlign w:val="top"/>
          </w:tcPr>
          <w:p w14:paraId="03DAE1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6C45B7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65F0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63937F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1271" w:type="pct"/>
            <w:tcBorders>
              <w:top w:val="single" w:color="auto" w:sz="4" w:space="0"/>
              <w:left w:val="single" w:color="auto" w:sz="4" w:space="0"/>
              <w:bottom w:val="single" w:color="auto" w:sz="4" w:space="0"/>
              <w:right w:val="single" w:color="auto" w:sz="4" w:space="0"/>
            </w:tcBorders>
            <w:vAlign w:val="center"/>
          </w:tcPr>
          <w:p w14:paraId="3A43A3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2027" w:type="pct"/>
            <w:tcBorders>
              <w:top w:val="single" w:color="auto" w:sz="4" w:space="0"/>
              <w:left w:val="single" w:color="auto" w:sz="4" w:space="0"/>
              <w:bottom w:val="single" w:color="auto" w:sz="4" w:space="0"/>
              <w:right w:val="single" w:color="auto" w:sz="4" w:space="0"/>
            </w:tcBorders>
            <w:vAlign w:val="center"/>
          </w:tcPr>
          <w:p w14:paraId="69FCC6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文件合同主要条款。</w:t>
            </w:r>
          </w:p>
        </w:tc>
        <w:tc>
          <w:tcPr>
            <w:tcW w:w="541" w:type="pct"/>
            <w:tcBorders>
              <w:top w:val="single" w:color="auto" w:sz="4" w:space="0"/>
              <w:left w:val="single" w:color="auto" w:sz="4" w:space="0"/>
              <w:bottom w:val="single" w:color="auto" w:sz="4" w:space="0"/>
              <w:right w:val="single" w:color="auto" w:sz="4" w:space="0"/>
            </w:tcBorders>
            <w:vAlign w:val="top"/>
          </w:tcPr>
          <w:p w14:paraId="3F0F50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57712E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6000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7CB17A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成员：（签字或盖章）</w:t>
            </w:r>
          </w:p>
        </w:tc>
      </w:tr>
    </w:tbl>
    <w:p w14:paraId="073FD93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（4）磋商时，响应文件中出现下列情况，修正原则为：</w:t>
      </w:r>
    </w:p>
    <w:p w14:paraId="239A2048">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A</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响应文件中响应报价表内容与响应文件中明细内容不一致的，以响应报价表为准；</w:t>
      </w:r>
    </w:p>
    <w:p w14:paraId="6DDA485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eastAsia="zh-CN"/>
        </w:rPr>
        <w:t>.</w:t>
      </w:r>
      <w:r>
        <w:rPr>
          <w:rFonts w:hint="eastAsia" w:ascii="宋体" w:hAnsi="宋体" w:eastAsia="宋体" w:cs="宋体"/>
          <w:sz w:val="24"/>
          <w:szCs w:val="24"/>
        </w:rPr>
        <w:t>大写金额和小写金额不一致的，以大写金额为准；</w:t>
      </w:r>
    </w:p>
    <w:p w14:paraId="49D43564">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eastAsia="zh-CN"/>
        </w:rPr>
        <w:t>.</w:t>
      </w:r>
      <w:r>
        <w:rPr>
          <w:rFonts w:hint="eastAsia" w:ascii="宋体" w:hAnsi="宋体" w:eastAsia="宋体" w:cs="宋体"/>
          <w:sz w:val="24"/>
          <w:szCs w:val="24"/>
        </w:rPr>
        <w:t>单价金额小数点或者百分比有明显错位的，以</w:t>
      </w:r>
      <w:r>
        <w:rPr>
          <w:rFonts w:hint="eastAsia" w:ascii="宋体" w:hAnsi="宋体" w:eastAsia="宋体" w:cs="宋体"/>
          <w:color w:val="000000"/>
          <w:sz w:val="24"/>
          <w:szCs w:val="24"/>
        </w:rPr>
        <w:t>响应报价表</w:t>
      </w:r>
      <w:r>
        <w:rPr>
          <w:rFonts w:hint="eastAsia" w:ascii="宋体" w:hAnsi="宋体" w:eastAsia="宋体" w:cs="宋体"/>
          <w:sz w:val="24"/>
          <w:szCs w:val="24"/>
        </w:rPr>
        <w:t>的总价为准，并修改单价；</w:t>
      </w:r>
    </w:p>
    <w:p w14:paraId="3F7C9BAF">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eastAsia="zh-CN"/>
        </w:rPr>
        <w:t>.</w:t>
      </w:r>
      <w:r>
        <w:rPr>
          <w:rFonts w:hint="eastAsia" w:ascii="宋体" w:hAnsi="宋体" w:eastAsia="宋体" w:cs="宋体"/>
          <w:sz w:val="24"/>
          <w:szCs w:val="24"/>
        </w:rPr>
        <w:t xml:space="preserve">总价金额与按单价汇总金额不一致的，以单价金额计算结果为准； </w:t>
      </w:r>
    </w:p>
    <w:p w14:paraId="3B49DC7A">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E.</w:t>
      </w:r>
      <w:r>
        <w:rPr>
          <w:rFonts w:hint="eastAsia" w:ascii="宋体" w:hAnsi="宋体" w:eastAsia="宋体" w:cs="宋体"/>
          <w:sz w:val="24"/>
          <w:szCs w:val="24"/>
        </w:rPr>
        <w:t>多处内容交叉不符时，以磋商小组评审结果为准；</w:t>
      </w:r>
    </w:p>
    <w:p w14:paraId="7E89A834">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F.</w:t>
      </w:r>
      <w:r>
        <w:rPr>
          <w:rFonts w:hint="eastAsia" w:ascii="宋体" w:hAnsi="宋体" w:eastAsia="宋体" w:cs="宋体"/>
          <w:sz w:val="24"/>
          <w:szCs w:val="24"/>
        </w:rPr>
        <w:t>文字与图表不符的，以文字为准。</w:t>
      </w:r>
    </w:p>
    <w:p w14:paraId="7DFB4428">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同时出现两种以上不一致的，按照前款规定的顺序修正。按上述修正错误的原则及方法调整或修正响应文件的报价和内容，</w:t>
      </w:r>
      <w:r>
        <w:rPr>
          <w:rFonts w:hint="eastAsia" w:ascii="宋体" w:hAnsi="宋体" w:eastAsia="宋体" w:cs="宋体"/>
          <w:sz w:val="24"/>
          <w:szCs w:val="24"/>
          <w:lang w:eastAsia="zh-CN"/>
        </w:rPr>
        <w:t>投标人</w:t>
      </w:r>
      <w:r>
        <w:rPr>
          <w:rFonts w:hint="eastAsia" w:ascii="宋体" w:hAnsi="宋体" w:eastAsia="宋体" w:cs="宋体"/>
          <w:sz w:val="24"/>
          <w:szCs w:val="24"/>
        </w:rPr>
        <w:t>同意后，调整后的报价和内容对</w:t>
      </w:r>
      <w:r>
        <w:rPr>
          <w:rFonts w:hint="eastAsia" w:ascii="宋体" w:hAnsi="宋体" w:eastAsia="宋体" w:cs="宋体"/>
          <w:sz w:val="24"/>
          <w:szCs w:val="24"/>
          <w:lang w:eastAsia="zh-CN"/>
        </w:rPr>
        <w:t>投标人</w:t>
      </w:r>
      <w:r>
        <w:rPr>
          <w:rFonts w:hint="eastAsia" w:ascii="宋体" w:hAnsi="宋体" w:eastAsia="宋体" w:cs="宋体"/>
          <w:sz w:val="24"/>
          <w:szCs w:val="24"/>
        </w:rPr>
        <w:t>起约束作用。如果</w:t>
      </w:r>
      <w:r>
        <w:rPr>
          <w:rFonts w:hint="eastAsia" w:ascii="宋体" w:hAnsi="宋体" w:eastAsia="宋体" w:cs="宋体"/>
          <w:sz w:val="24"/>
          <w:szCs w:val="24"/>
          <w:lang w:eastAsia="zh-CN"/>
        </w:rPr>
        <w:t>投标人</w:t>
      </w:r>
      <w:r>
        <w:rPr>
          <w:rFonts w:hint="eastAsia" w:ascii="宋体" w:hAnsi="宋体" w:eastAsia="宋体" w:cs="宋体"/>
          <w:sz w:val="24"/>
          <w:szCs w:val="24"/>
        </w:rPr>
        <w:t>不接受修正后的报价和内容，则其响应文件无效。</w:t>
      </w:r>
    </w:p>
    <w:p w14:paraId="74BDDBD9">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（5）磋商开始后，直到向成交</w:t>
      </w:r>
      <w:r>
        <w:rPr>
          <w:rFonts w:hint="eastAsia" w:ascii="宋体" w:hAnsi="宋体" w:eastAsia="宋体" w:cs="宋体"/>
          <w:sz w:val="24"/>
          <w:szCs w:val="24"/>
          <w:lang w:eastAsia="zh-CN"/>
        </w:rPr>
        <w:t>投标人</w:t>
      </w:r>
      <w:r>
        <w:rPr>
          <w:rFonts w:hint="eastAsia" w:ascii="宋体" w:hAnsi="宋体" w:eastAsia="宋体" w:cs="宋体"/>
          <w:sz w:val="24"/>
          <w:szCs w:val="24"/>
        </w:rPr>
        <w:t>授予合同为止，凡审查、澄清、评价和比较磋商的有关资料，磋商小组成员均不得向</w:t>
      </w:r>
      <w:r>
        <w:rPr>
          <w:rFonts w:hint="eastAsia" w:ascii="宋体" w:hAnsi="宋体" w:eastAsia="宋体" w:cs="宋体"/>
          <w:sz w:val="24"/>
          <w:szCs w:val="24"/>
          <w:lang w:eastAsia="zh-CN"/>
        </w:rPr>
        <w:t>投标人</w:t>
      </w:r>
      <w:r>
        <w:rPr>
          <w:rFonts w:hint="eastAsia" w:ascii="宋体" w:hAnsi="宋体" w:eastAsia="宋体" w:cs="宋体"/>
          <w:sz w:val="24"/>
          <w:szCs w:val="24"/>
        </w:rPr>
        <w:t>及与磋商无关的其他人透露。</w:t>
      </w:r>
    </w:p>
    <w:p w14:paraId="73E3D1C8">
      <w:pPr>
        <w:pageBreakBefore w:val="0"/>
        <w:wordWrap/>
        <w:topLinePunct w:val="0"/>
        <w:autoSpaceDE/>
        <w:autoSpaceDN/>
        <w:bidi w:val="0"/>
        <w:spacing w:line="336"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4、出现下列情况之一者（但不限于），按无效文件处理：</w:t>
      </w:r>
    </w:p>
    <w:p w14:paraId="7A7774EE">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eastAsia="zh-CN"/>
        </w:rPr>
        <w:t>.投标人</w:t>
      </w:r>
      <w:r>
        <w:rPr>
          <w:rFonts w:hint="eastAsia" w:ascii="宋体" w:hAnsi="宋体" w:eastAsia="宋体" w:cs="宋体"/>
          <w:sz w:val="24"/>
          <w:szCs w:val="24"/>
        </w:rPr>
        <w:t>的响应报价不符合</w:t>
      </w:r>
      <w:r>
        <w:rPr>
          <w:rFonts w:hint="eastAsia" w:ascii="宋体" w:hAnsi="宋体" w:eastAsia="宋体" w:cs="宋体"/>
          <w:sz w:val="24"/>
          <w:szCs w:val="24"/>
          <w:lang w:val="en-US" w:eastAsia="zh-CN"/>
        </w:rPr>
        <w:t>磋商</w:t>
      </w:r>
      <w:r>
        <w:rPr>
          <w:rFonts w:hint="eastAsia" w:ascii="宋体" w:hAnsi="宋体" w:eastAsia="宋体" w:cs="宋体"/>
          <w:sz w:val="24"/>
          <w:szCs w:val="24"/>
        </w:rPr>
        <w:t>文件要求的；</w:t>
      </w:r>
    </w:p>
    <w:p w14:paraId="1170DFF2">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eastAsia="zh-CN"/>
        </w:rPr>
        <w:t>.投标人</w:t>
      </w:r>
      <w:r>
        <w:rPr>
          <w:rFonts w:hint="eastAsia" w:ascii="宋体" w:hAnsi="宋体" w:eastAsia="宋体" w:cs="宋体"/>
          <w:sz w:val="24"/>
          <w:szCs w:val="24"/>
        </w:rPr>
        <w:t>未经过正常渠道</w:t>
      </w:r>
      <w:r>
        <w:rPr>
          <w:rFonts w:hint="eastAsia" w:ascii="宋体" w:hAnsi="宋体" w:eastAsia="宋体" w:cs="宋体"/>
          <w:sz w:val="24"/>
          <w:szCs w:val="24"/>
          <w:lang w:val="en-US" w:eastAsia="zh-CN"/>
        </w:rPr>
        <w:t>获取</w:t>
      </w:r>
      <w:r>
        <w:rPr>
          <w:rFonts w:hint="eastAsia" w:ascii="宋体" w:hAnsi="宋体" w:eastAsia="宋体" w:cs="宋体"/>
          <w:sz w:val="24"/>
          <w:szCs w:val="24"/>
        </w:rPr>
        <w:t>磋商文件，或</w:t>
      </w:r>
      <w:r>
        <w:rPr>
          <w:rFonts w:hint="eastAsia" w:ascii="宋体" w:hAnsi="宋体" w:eastAsia="宋体" w:cs="宋体"/>
          <w:sz w:val="24"/>
          <w:szCs w:val="24"/>
          <w:lang w:eastAsia="zh-CN"/>
        </w:rPr>
        <w:t>投标人</w:t>
      </w:r>
      <w:r>
        <w:rPr>
          <w:rFonts w:hint="eastAsia" w:ascii="宋体" w:hAnsi="宋体" w:eastAsia="宋体" w:cs="宋体"/>
          <w:sz w:val="24"/>
          <w:szCs w:val="24"/>
        </w:rPr>
        <w:t>名称与</w:t>
      </w:r>
      <w:r>
        <w:rPr>
          <w:rFonts w:hint="eastAsia" w:ascii="宋体" w:hAnsi="宋体" w:eastAsia="宋体" w:cs="宋体"/>
          <w:sz w:val="24"/>
          <w:szCs w:val="24"/>
          <w:lang w:val="en-US" w:eastAsia="zh-CN"/>
        </w:rPr>
        <w:t>获取</w:t>
      </w:r>
      <w:r>
        <w:rPr>
          <w:rFonts w:hint="eastAsia" w:ascii="宋体" w:hAnsi="宋体" w:eastAsia="宋体" w:cs="宋体"/>
          <w:sz w:val="24"/>
          <w:szCs w:val="24"/>
        </w:rPr>
        <w:t>磋商文件时登记的</w:t>
      </w:r>
      <w:r>
        <w:rPr>
          <w:rFonts w:hint="eastAsia" w:ascii="宋体" w:hAnsi="宋体" w:eastAsia="宋体" w:cs="宋体"/>
          <w:sz w:val="24"/>
          <w:szCs w:val="24"/>
          <w:lang w:eastAsia="zh-CN"/>
        </w:rPr>
        <w:t>投标人</w:t>
      </w:r>
      <w:r>
        <w:rPr>
          <w:rFonts w:hint="eastAsia" w:ascii="宋体" w:hAnsi="宋体" w:eastAsia="宋体" w:cs="宋体"/>
          <w:sz w:val="24"/>
          <w:szCs w:val="24"/>
        </w:rPr>
        <w:t>名称不符的；</w:t>
      </w:r>
    </w:p>
    <w:p w14:paraId="759BFD08">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eastAsia="zh-CN"/>
        </w:rPr>
        <w:t>.</w:t>
      </w:r>
      <w:r>
        <w:rPr>
          <w:rFonts w:hint="eastAsia" w:ascii="宋体" w:hAnsi="宋体" w:eastAsia="宋体" w:cs="宋体"/>
          <w:sz w:val="24"/>
          <w:szCs w:val="24"/>
        </w:rPr>
        <w:t>不同</w:t>
      </w:r>
      <w:r>
        <w:rPr>
          <w:rFonts w:hint="eastAsia" w:ascii="宋体" w:hAnsi="宋体" w:eastAsia="宋体" w:cs="宋体"/>
          <w:sz w:val="24"/>
          <w:szCs w:val="24"/>
          <w:lang w:eastAsia="zh-CN"/>
        </w:rPr>
        <w:t>投标人</w:t>
      </w:r>
      <w:r>
        <w:rPr>
          <w:rFonts w:hint="eastAsia" w:ascii="宋体" w:hAnsi="宋体" w:eastAsia="宋体" w:cs="宋体"/>
          <w:sz w:val="24"/>
          <w:szCs w:val="24"/>
        </w:rPr>
        <w:t>单位负责人为同一人或者存在控股、管理关系的；</w:t>
      </w:r>
    </w:p>
    <w:p w14:paraId="3275A6CF">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eastAsia="zh-CN"/>
        </w:rPr>
        <w:t>.</w:t>
      </w:r>
      <w:r>
        <w:rPr>
          <w:rFonts w:hint="eastAsia" w:ascii="宋体" w:hAnsi="宋体" w:eastAsia="宋体" w:cs="宋体"/>
          <w:sz w:val="24"/>
          <w:szCs w:val="24"/>
        </w:rPr>
        <w:t>响应文件的有效性和符合性不符合要求的；</w:t>
      </w:r>
    </w:p>
    <w:p w14:paraId="7AB8E601">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E</w:t>
      </w:r>
      <w:r>
        <w:rPr>
          <w:rFonts w:hint="eastAsia" w:ascii="宋体" w:hAnsi="宋体" w:eastAsia="宋体" w:cs="宋体"/>
          <w:sz w:val="24"/>
          <w:szCs w:val="24"/>
          <w:lang w:eastAsia="zh-CN"/>
        </w:rPr>
        <w:t>.</w:t>
      </w:r>
      <w:r>
        <w:rPr>
          <w:rFonts w:hint="eastAsia" w:ascii="宋体" w:hAnsi="宋体" w:eastAsia="宋体" w:cs="宋体"/>
          <w:sz w:val="24"/>
          <w:szCs w:val="24"/>
        </w:rPr>
        <w:t>实质性内容不满足或未响应的；</w:t>
      </w:r>
    </w:p>
    <w:p w14:paraId="6DB79B9C">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F</w:t>
      </w:r>
      <w:r>
        <w:rPr>
          <w:rFonts w:hint="eastAsia" w:ascii="宋体" w:hAnsi="宋体" w:eastAsia="宋体" w:cs="宋体"/>
          <w:sz w:val="24"/>
          <w:szCs w:val="24"/>
          <w:lang w:eastAsia="zh-CN"/>
        </w:rPr>
        <w:t>.</w:t>
      </w:r>
      <w:r>
        <w:rPr>
          <w:rFonts w:hint="eastAsia" w:ascii="宋体" w:hAnsi="宋体" w:eastAsia="宋体" w:cs="宋体"/>
          <w:sz w:val="24"/>
          <w:szCs w:val="24"/>
        </w:rPr>
        <w:t>响应文件未按磋商文件要求签字、加盖公章的；</w:t>
      </w:r>
    </w:p>
    <w:p w14:paraId="3F7F37D9">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G</w:t>
      </w:r>
      <w:r>
        <w:rPr>
          <w:rFonts w:hint="eastAsia" w:ascii="宋体" w:hAnsi="宋体" w:eastAsia="宋体" w:cs="宋体"/>
          <w:sz w:val="24"/>
          <w:szCs w:val="24"/>
          <w:lang w:eastAsia="zh-CN"/>
        </w:rPr>
        <w:t>.</w:t>
      </w:r>
      <w:r>
        <w:rPr>
          <w:rFonts w:hint="eastAsia" w:ascii="宋体" w:hAnsi="宋体" w:eastAsia="宋体" w:cs="宋体"/>
          <w:sz w:val="24"/>
          <w:szCs w:val="24"/>
        </w:rPr>
        <w:t>无磋商有效期或有效期达不到磋商文件要求的；</w:t>
      </w:r>
    </w:p>
    <w:p w14:paraId="3332A0AB">
      <w:pPr>
        <w:keepNext w:val="0"/>
        <w:keepLines w:val="0"/>
        <w:pageBreakBefore w:val="0"/>
        <w:widowControl w:val="0"/>
        <w:kinsoku/>
        <w:wordWrap w:val="0"/>
        <w:overflowPunct/>
        <w:topLinePunct/>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H.</w:t>
      </w:r>
      <w:r>
        <w:rPr>
          <w:rFonts w:hint="eastAsia" w:ascii="宋体" w:hAnsi="宋体" w:eastAsia="宋体" w:cs="宋体"/>
          <w:sz w:val="24"/>
          <w:szCs w:val="24"/>
          <w:lang w:eastAsia="zh-CN"/>
        </w:rPr>
        <w:t>投标人</w:t>
      </w:r>
      <w:r>
        <w:rPr>
          <w:rFonts w:hint="eastAsia" w:ascii="宋体" w:hAnsi="宋体" w:eastAsia="宋体" w:cs="宋体"/>
          <w:sz w:val="24"/>
          <w:szCs w:val="24"/>
        </w:rPr>
        <w:t>有串通投标、弄虚作假（包括但不限于虚假资质、虚假证明、虚假应答等）、行贿等违法行为的；</w:t>
      </w:r>
    </w:p>
    <w:p w14:paraId="55430930">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I.</w:t>
      </w:r>
      <w:r>
        <w:rPr>
          <w:rFonts w:hint="eastAsia" w:ascii="宋体" w:hAnsi="宋体" w:eastAsia="宋体" w:cs="宋体"/>
          <w:sz w:val="24"/>
          <w:szCs w:val="24"/>
        </w:rPr>
        <w:t>响应文件在商务响应方面附加了采购人难以接受的条件或条款的；</w:t>
      </w:r>
    </w:p>
    <w:p w14:paraId="589FA112">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J.</w:t>
      </w:r>
      <w:r>
        <w:rPr>
          <w:rFonts w:hint="eastAsia" w:ascii="宋体" w:hAnsi="宋体" w:eastAsia="宋体" w:cs="宋体"/>
          <w:sz w:val="24"/>
          <w:szCs w:val="24"/>
        </w:rPr>
        <w:t>在政府采购</w:t>
      </w:r>
      <w:r>
        <w:rPr>
          <w:rFonts w:hint="eastAsia" w:ascii="宋体" w:hAnsi="宋体" w:eastAsia="宋体" w:cs="宋体"/>
          <w:sz w:val="24"/>
          <w:szCs w:val="24"/>
          <w:lang w:eastAsia="zh-CN"/>
        </w:rPr>
        <w:t>或其他</w:t>
      </w:r>
      <w:r>
        <w:rPr>
          <w:rFonts w:hint="eastAsia" w:ascii="宋体" w:hAnsi="宋体" w:eastAsia="宋体" w:cs="宋体"/>
          <w:sz w:val="24"/>
          <w:szCs w:val="24"/>
        </w:rPr>
        <w:t>重大项目履约过程中有不良记录，未能按期履约的；</w:t>
      </w:r>
    </w:p>
    <w:p w14:paraId="3F0BC516">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K.</w:t>
      </w:r>
      <w:r>
        <w:rPr>
          <w:rFonts w:hint="eastAsia" w:ascii="宋体" w:hAnsi="宋体" w:eastAsia="宋体" w:cs="宋体"/>
          <w:sz w:val="24"/>
          <w:szCs w:val="24"/>
        </w:rPr>
        <w:t>磋商报价与市场价格偏离较大、低于成本、形成不正当竞争的；</w:t>
      </w:r>
    </w:p>
    <w:p w14:paraId="5A040099">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L.</w:t>
      </w:r>
      <w:r>
        <w:rPr>
          <w:rFonts w:hint="eastAsia" w:ascii="宋体" w:hAnsi="宋体" w:eastAsia="宋体" w:cs="宋体"/>
          <w:sz w:val="24"/>
          <w:szCs w:val="24"/>
        </w:rPr>
        <w:t>报价子目出现漏项或报价数量与要求不符的；</w:t>
      </w:r>
    </w:p>
    <w:p w14:paraId="15F317E6">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M.</w:t>
      </w:r>
      <w:r>
        <w:rPr>
          <w:rFonts w:hint="eastAsia" w:ascii="宋体" w:hAnsi="宋体" w:eastAsia="宋体" w:cs="宋体"/>
          <w:sz w:val="24"/>
          <w:szCs w:val="24"/>
        </w:rPr>
        <w:t>响应文件的技术要求与磋商文件出现重大负偏差的；</w:t>
      </w:r>
    </w:p>
    <w:p w14:paraId="60FD5816">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N.</w:t>
      </w:r>
      <w:r>
        <w:rPr>
          <w:rFonts w:hint="eastAsia" w:ascii="宋体" w:hAnsi="宋体" w:eastAsia="宋体" w:cs="宋体"/>
          <w:sz w:val="24"/>
          <w:szCs w:val="24"/>
        </w:rPr>
        <w:t>提供虚假技术指标的。</w:t>
      </w:r>
    </w:p>
    <w:p w14:paraId="35BE5E04">
      <w:pPr>
        <w:pageBreakBefore w:val="0"/>
        <w:wordWrap/>
        <w:topLinePunct w:val="0"/>
        <w:autoSpaceDE/>
        <w:autoSpaceDN/>
        <w:bidi w:val="0"/>
        <w:spacing w:line="336" w:lineRule="auto"/>
        <w:ind w:firstLine="602" w:firstLineChars="250"/>
        <w:textAlignment w:val="auto"/>
        <w:rPr>
          <w:rFonts w:hint="eastAsia" w:ascii="宋体" w:hAnsi="宋体" w:eastAsia="宋体" w:cs="宋体"/>
          <w:b/>
          <w:sz w:val="24"/>
          <w:szCs w:val="24"/>
        </w:rPr>
      </w:pPr>
      <w:r>
        <w:rPr>
          <w:rFonts w:hint="eastAsia" w:ascii="宋体" w:hAnsi="宋体" w:eastAsia="宋体" w:cs="宋体"/>
          <w:b/>
          <w:sz w:val="24"/>
          <w:szCs w:val="24"/>
        </w:rPr>
        <w:t>5、有下列情形之一的，视为</w:t>
      </w:r>
      <w:r>
        <w:rPr>
          <w:rFonts w:hint="eastAsia" w:ascii="宋体" w:hAnsi="宋体" w:eastAsia="宋体" w:cs="宋体"/>
          <w:b/>
          <w:sz w:val="24"/>
          <w:szCs w:val="24"/>
          <w:lang w:eastAsia="zh-CN"/>
        </w:rPr>
        <w:t>投标人</w:t>
      </w:r>
      <w:r>
        <w:rPr>
          <w:rFonts w:hint="eastAsia" w:ascii="宋体" w:hAnsi="宋体" w:eastAsia="宋体" w:cs="宋体"/>
          <w:b/>
          <w:sz w:val="24"/>
          <w:szCs w:val="24"/>
        </w:rPr>
        <w:t>串通投标，磋商小组应当认定其响应文件无效：</w:t>
      </w:r>
    </w:p>
    <w:p w14:paraId="0BD465EF">
      <w:pPr>
        <w:pageBreakBefore w:val="0"/>
        <w:wordWrap/>
        <w:topLinePunct w:val="0"/>
        <w:autoSpaceDE/>
        <w:autoSpaceDN/>
        <w:bidi w:val="0"/>
        <w:spacing w:line="336" w:lineRule="auto"/>
        <w:ind w:firstLine="600" w:firstLineChars="250"/>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A</w:t>
      </w:r>
      <w:r>
        <w:rPr>
          <w:rFonts w:hint="eastAsia" w:ascii="宋体" w:hAnsi="宋体" w:eastAsia="宋体" w:cs="宋体"/>
          <w:sz w:val="24"/>
          <w:szCs w:val="24"/>
          <w:lang w:eastAsia="zh-CN"/>
        </w:rPr>
        <w:t>.</w:t>
      </w:r>
      <w:r>
        <w:rPr>
          <w:rFonts w:hint="eastAsia" w:ascii="宋体" w:hAnsi="宋体" w:eastAsia="宋体" w:cs="宋体"/>
          <w:sz w:val="24"/>
          <w:szCs w:val="24"/>
        </w:rPr>
        <w:t>不同</w:t>
      </w:r>
      <w:r>
        <w:rPr>
          <w:rFonts w:hint="eastAsia" w:ascii="宋体" w:hAnsi="宋体" w:eastAsia="宋体" w:cs="宋体"/>
          <w:sz w:val="24"/>
          <w:szCs w:val="24"/>
          <w:lang w:eastAsia="zh-CN"/>
        </w:rPr>
        <w:t>投标人</w:t>
      </w:r>
      <w:r>
        <w:rPr>
          <w:rFonts w:hint="eastAsia" w:ascii="宋体" w:hAnsi="宋体" w:eastAsia="宋体" w:cs="宋体"/>
          <w:sz w:val="24"/>
          <w:szCs w:val="24"/>
        </w:rPr>
        <w:t>的响应文件由同一单位或者个人编制；</w:t>
      </w:r>
    </w:p>
    <w:p w14:paraId="3229E3AE">
      <w:pPr>
        <w:pageBreakBefore w:val="0"/>
        <w:widowControl/>
        <w:wordWrap/>
        <w:topLinePunct w:val="0"/>
        <w:autoSpaceDE/>
        <w:autoSpaceDN/>
        <w:bidi w:val="0"/>
        <w:spacing w:line="336" w:lineRule="auto"/>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eastAsia="zh-CN"/>
        </w:rPr>
        <w:t>.</w:t>
      </w:r>
      <w:r>
        <w:rPr>
          <w:rFonts w:hint="eastAsia" w:ascii="宋体" w:hAnsi="宋体" w:eastAsia="宋体" w:cs="宋体"/>
          <w:sz w:val="24"/>
          <w:szCs w:val="24"/>
        </w:rPr>
        <w:t>不同</w:t>
      </w:r>
      <w:r>
        <w:rPr>
          <w:rFonts w:hint="eastAsia" w:ascii="宋体" w:hAnsi="宋体" w:eastAsia="宋体" w:cs="宋体"/>
          <w:sz w:val="24"/>
          <w:szCs w:val="24"/>
          <w:lang w:eastAsia="zh-CN"/>
        </w:rPr>
        <w:t>投标人</w:t>
      </w:r>
      <w:r>
        <w:rPr>
          <w:rFonts w:hint="eastAsia" w:ascii="宋体" w:hAnsi="宋体" w:eastAsia="宋体" w:cs="宋体"/>
          <w:sz w:val="24"/>
          <w:szCs w:val="24"/>
        </w:rPr>
        <w:t xml:space="preserve">委托同一单位或者个人办理磋商事宜； </w:t>
      </w:r>
    </w:p>
    <w:p w14:paraId="3F948277">
      <w:pPr>
        <w:pageBreakBefore w:val="0"/>
        <w:widowControl/>
        <w:wordWrap/>
        <w:topLinePunct w:val="0"/>
        <w:autoSpaceDE/>
        <w:autoSpaceDN/>
        <w:bidi w:val="0"/>
        <w:spacing w:line="336" w:lineRule="auto"/>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eastAsia="zh-CN"/>
        </w:rPr>
        <w:t>.</w:t>
      </w:r>
      <w:r>
        <w:rPr>
          <w:rFonts w:hint="eastAsia" w:ascii="宋体" w:hAnsi="宋体" w:eastAsia="宋体" w:cs="宋体"/>
          <w:sz w:val="24"/>
          <w:szCs w:val="24"/>
        </w:rPr>
        <w:t>不同</w:t>
      </w:r>
      <w:r>
        <w:rPr>
          <w:rFonts w:hint="eastAsia" w:ascii="宋体" w:hAnsi="宋体" w:eastAsia="宋体" w:cs="宋体"/>
          <w:sz w:val="24"/>
          <w:szCs w:val="24"/>
          <w:lang w:eastAsia="zh-CN"/>
        </w:rPr>
        <w:t>投标人</w:t>
      </w:r>
      <w:r>
        <w:rPr>
          <w:rFonts w:hint="eastAsia" w:ascii="宋体" w:hAnsi="宋体" w:eastAsia="宋体" w:cs="宋体"/>
          <w:sz w:val="24"/>
          <w:szCs w:val="24"/>
        </w:rPr>
        <w:t>的响应文件载明的项目管理成员或者联系人员为同一人；</w:t>
      </w:r>
    </w:p>
    <w:p w14:paraId="17470B2C">
      <w:pPr>
        <w:pageBreakBefore w:val="0"/>
        <w:widowControl/>
        <w:wordWrap/>
        <w:topLinePunct w:val="0"/>
        <w:autoSpaceDE/>
        <w:autoSpaceDN/>
        <w:bidi w:val="0"/>
        <w:spacing w:line="336" w:lineRule="auto"/>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eastAsia="zh-CN"/>
        </w:rPr>
        <w:t>.</w:t>
      </w:r>
      <w:r>
        <w:rPr>
          <w:rFonts w:hint="eastAsia" w:ascii="宋体" w:hAnsi="宋体" w:eastAsia="宋体" w:cs="宋体"/>
          <w:sz w:val="24"/>
          <w:szCs w:val="24"/>
        </w:rPr>
        <w:t>不同</w:t>
      </w:r>
      <w:r>
        <w:rPr>
          <w:rFonts w:hint="eastAsia" w:ascii="宋体" w:hAnsi="宋体" w:eastAsia="宋体" w:cs="宋体"/>
          <w:sz w:val="24"/>
          <w:szCs w:val="24"/>
          <w:lang w:eastAsia="zh-CN"/>
        </w:rPr>
        <w:t>投标人</w:t>
      </w:r>
      <w:r>
        <w:rPr>
          <w:rFonts w:hint="eastAsia" w:ascii="宋体" w:hAnsi="宋体" w:eastAsia="宋体" w:cs="宋体"/>
          <w:sz w:val="24"/>
          <w:szCs w:val="24"/>
        </w:rPr>
        <w:t>的响应文件异常一致或者磋商报价呈规律性差异；</w:t>
      </w:r>
    </w:p>
    <w:p w14:paraId="5970617F">
      <w:pPr>
        <w:pageBreakBefore w:val="0"/>
        <w:widowControl/>
        <w:wordWrap/>
        <w:topLinePunct w:val="0"/>
        <w:autoSpaceDE/>
        <w:autoSpaceDN/>
        <w:bidi w:val="0"/>
        <w:spacing w:line="336"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E</w:t>
      </w:r>
      <w:r>
        <w:rPr>
          <w:rFonts w:hint="eastAsia" w:ascii="宋体" w:hAnsi="宋体" w:eastAsia="宋体" w:cs="宋体"/>
          <w:sz w:val="24"/>
          <w:szCs w:val="24"/>
          <w:lang w:eastAsia="zh-CN"/>
        </w:rPr>
        <w:t>.</w:t>
      </w:r>
      <w:r>
        <w:rPr>
          <w:rFonts w:hint="eastAsia" w:ascii="宋体" w:hAnsi="宋体" w:eastAsia="宋体" w:cs="宋体"/>
          <w:sz w:val="24"/>
          <w:szCs w:val="24"/>
        </w:rPr>
        <w:t>不同</w:t>
      </w:r>
      <w:r>
        <w:rPr>
          <w:rFonts w:hint="eastAsia" w:ascii="宋体" w:hAnsi="宋体" w:eastAsia="宋体" w:cs="宋体"/>
          <w:sz w:val="24"/>
          <w:szCs w:val="24"/>
          <w:lang w:eastAsia="zh-CN"/>
        </w:rPr>
        <w:t>投标人</w:t>
      </w:r>
      <w:r>
        <w:rPr>
          <w:rFonts w:hint="eastAsia" w:ascii="宋体" w:hAnsi="宋体" w:eastAsia="宋体" w:cs="宋体"/>
          <w:sz w:val="24"/>
          <w:szCs w:val="24"/>
        </w:rPr>
        <w:t>的响应文件相互混装</w:t>
      </w:r>
      <w:r>
        <w:rPr>
          <w:rFonts w:hint="eastAsia" w:ascii="宋体" w:hAnsi="宋体" w:eastAsia="宋体" w:cs="宋体"/>
          <w:sz w:val="24"/>
          <w:szCs w:val="24"/>
          <w:lang w:eastAsia="zh-CN"/>
        </w:rPr>
        <w:t>。</w:t>
      </w:r>
    </w:p>
    <w:p w14:paraId="272C493E">
      <w:pPr>
        <w:pStyle w:val="8"/>
        <w:keepNext w:val="0"/>
        <w:keepLines w:val="0"/>
        <w:pageBreakBefore w:val="0"/>
        <w:wordWrap/>
        <w:topLinePunct w:val="0"/>
        <w:autoSpaceDE/>
        <w:autoSpaceDN/>
        <w:bidi w:val="0"/>
        <w:spacing w:line="336"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澄清</w:t>
      </w:r>
      <w:r>
        <w:rPr>
          <w:rFonts w:hint="eastAsia" w:ascii="宋体" w:hAnsi="宋体" w:eastAsia="宋体" w:cs="宋体"/>
          <w:sz w:val="24"/>
          <w:szCs w:val="24"/>
          <w:lang w:val="en-US" w:eastAsia="zh-CN"/>
        </w:rPr>
        <w:t>及磋商</w:t>
      </w:r>
    </w:p>
    <w:p w14:paraId="1C616DDB">
      <w:pPr>
        <w:pageBreakBefore w:val="0"/>
        <w:widowControl/>
        <w:wordWrap/>
        <w:topLinePunct w:val="0"/>
        <w:autoSpaceDE/>
        <w:autoSpaceDN/>
        <w:bidi w:val="0"/>
        <w:spacing w:line="336"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6.1澄清</w:t>
      </w:r>
    </w:p>
    <w:p w14:paraId="6CACE799">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（1）磋商小组在对响应文件的有效性、完整性和响应程度进行审查时，可以要求</w:t>
      </w:r>
      <w:r>
        <w:rPr>
          <w:rFonts w:hint="eastAsia" w:ascii="宋体" w:hAnsi="宋体" w:eastAsia="宋体" w:cs="宋体"/>
          <w:sz w:val="24"/>
          <w:szCs w:val="24"/>
          <w:lang w:eastAsia="zh-CN"/>
        </w:rPr>
        <w:t>投标人</w:t>
      </w:r>
      <w:r>
        <w:rPr>
          <w:rFonts w:hint="eastAsia" w:ascii="宋体" w:hAnsi="宋体" w:eastAsia="宋体" w:cs="宋体"/>
          <w:sz w:val="24"/>
          <w:szCs w:val="24"/>
        </w:rPr>
        <w:t>对响应文件中含义不明确、同类问题表述不一致或者有明显文字和计算错误的内容等作出必要的澄清、说明或者更正。</w:t>
      </w:r>
      <w:r>
        <w:rPr>
          <w:rFonts w:hint="eastAsia" w:ascii="宋体" w:hAnsi="宋体" w:eastAsia="宋体" w:cs="宋体"/>
          <w:sz w:val="24"/>
          <w:szCs w:val="24"/>
          <w:lang w:eastAsia="zh-CN"/>
        </w:rPr>
        <w:t>投标人</w:t>
      </w:r>
      <w:r>
        <w:rPr>
          <w:rFonts w:hint="eastAsia" w:ascii="宋体" w:hAnsi="宋体" w:eastAsia="宋体" w:cs="宋体"/>
          <w:sz w:val="24"/>
          <w:szCs w:val="24"/>
        </w:rPr>
        <w:t>的澄清、说明或者更正不得超出响应文件的范围或者改变响应文件的实质性内容。</w:t>
      </w:r>
    </w:p>
    <w:p w14:paraId="49E4FDF7">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color w:val="FF0000"/>
          <w:sz w:val="24"/>
          <w:szCs w:val="24"/>
        </w:rPr>
      </w:pPr>
      <w:r>
        <w:rPr>
          <w:rFonts w:hint="eastAsia" w:ascii="宋体" w:hAnsi="宋体" w:eastAsia="宋体" w:cs="宋体"/>
          <w:sz w:val="24"/>
          <w:szCs w:val="24"/>
        </w:rPr>
        <w:t>（2）实质性内容包括但不限于：</w:t>
      </w:r>
      <w:r>
        <w:rPr>
          <w:rFonts w:hint="eastAsia" w:ascii="宋体" w:hAnsi="宋体" w:eastAsia="宋体" w:cs="宋体"/>
          <w:color w:val="000000" w:themeColor="text1"/>
          <w:sz w:val="24"/>
          <w:szCs w:val="24"/>
          <w:lang w:val="en-US" w:eastAsia="zh-CN"/>
          <w14:textFill>
            <w14:solidFill>
              <w14:schemeClr w14:val="tx1"/>
            </w14:solidFill>
          </w14:textFill>
        </w:rPr>
        <w:t>工期</w:t>
      </w:r>
      <w:r>
        <w:rPr>
          <w:rFonts w:hint="eastAsia" w:ascii="宋体" w:hAnsi="宋体" w:eastAsia="宋体" w:cs="宋体"/>
          <w:color w:val="000000" w:themeColor="text1"/>
          <w:sz w:val="24"/>
          <w:szCs w:val="24"/>
          <w14:textFill>
            <w14:solidFill>
              <w14:schemeClr w14:val="tx1"/>
            </w14:solidFill>
          </w14:textFill>
        </w:rPr>
        <w:t>、付款方式、质量指标等。</w:t>
      </w:r>
    </w:p>
    <w:p w14:paraId="17276B57">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（3）磋商小组要求</w:t>
      </w:r>
      <w:r>
        <w:rPr>
          <w:rFonts w:hint="eastAsia" w:ascii="宋体" w:hAnsi="宋体" w:eastAsia="宋体" w:cs="宋体"/>
          <w:sz w:val="24"/>
          <w:szCs w:val="24"/>
          <w:lang w:eastAsia="zh-CN"/>
        </w:rPr>
        <w:t>投标人</w:t>
      </w:r>
      <w:r>
        <w:rPr>
          <w:rFonts w:hint="eastAsia" w:ascii="宋体" w:hAnsi="宋体" w:eastAsia="宋体" w:cs="宋体"/>
          <w:sz w:val="24"/>
          <w:szCs w:val="24"/>
        </w:rPr>
        <w:t>澄清、说明或者更正响应文件应当以书面形式作出，并由其法定代表人或被授权人签字。</w:t>
      </w:r>
    </w:p>
    <w:p w14:paraId="12270D69">
      <w:pPr>
        <w:pageBreakBefore w:val="0"/>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（4）在磋商过程中，磋商小组可以根据磋商文件和磋商情况实质性变动采购需求中的技术、服务要求以及合同草案条款，但不得变动磋商文件中的其他内容。实质性变动的内容，须经采购人代表确认。</w:t>
      </w:r>
    </w:p>
    <w:bookmarkEnd w:id="90"/>
    <w:p w14:paraId="1CA03D99">
      <w:pPr>
        <w:pageBreakBefore w:val="0"/>
        <w:widowControl/>
        <w:wordWrap/>
        <w:topLinePunct w:val="0"/>
        <w:autoSpaceDE/>
        <w:autoSpaceDN/>
        <w:bidi w:val="0"/>
        <w:spacing w:line="336" w:lineRule="auto"/>
        <w:ind w:firstLine="480" w:firstLineChars="200"/>
        <w:textAlignment w:val="auto"/>
        <w:rPr>
          <w:rFonts w:hint="eastAsia" w:ascii="宋体" w:hAnsi="宋体" w:eastAsia="宋体" w:cs="宋体"/>
          <w:sz w:val="24"/>
          <w:szCs w:val="24"/>
          <w:lang w:val="en-US" w:eastAsia="zh-CN"/>
        </w:rPr>
      </w:pPr>
      <w:bookmarkStart w:id="91" w:name="_Toc536202314"/>
      <w:bookmarkStart w:id="92" w:name="_Toc12947"/>
      <w:r>
        <w:rPr>
          <w:rFonts w:hint="eastAsia" w:ascii="宋体" w:hAnsi="宋体" w:eastAsia="宋体" w:cs="宋体"/>
          <w:sz w:val="24"/>
          <w:szCs w:val="24"/>
          <w:lang w:val="en-US" w:eastAsia="zh-CN"/>
        </w:rPr>
        <w:t>6.2磋商</w:t>
      </w:r>
    </w:p>
    <w:p w14:paraId="2DFD65D9">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（1）磋商小组将分别与每位投标人远程进行磋商，请及时关注不见面开播大厅右侧公告及互动栏目信息。</w:t>
      </w:r>
    </w:p>
    <w:p w14:paraId="304B2D3F">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）磋商开始后，直到向成交</w:t>
      </w:r>
      <w:r>
        <w:rPr>
          <w:rFonts w:hint="eastAsia" w:ascii="宋体" w:hAnsi="宋体" w:eastAsia="宋体" w:cs="宋体"/>
          <w:sz w:val="24"/>
          <w:szCs w:val="24"/>
          <w:lang w:eastAsia="zh-CN"/>
        </w:rPr>
        <w:t>投标人</w:t>
      </w:r>
      <w:r>
        <w:rPr>
          <w:rFonts w:hint="eastAsia" w:ascii="宋体" w:hAnsi="宋体" w:eastAsia="宋体" w:cs="宋体"/>
          <w:sz w:val="24"/>
          <w:szCs w:val="24"/>
        </w:rPr>
        <w:t>授予合同为止，凡审查、澄清、评价和比较</w:t>
      </w:r>
      <w:r>
        <w:rPr>
          <w:rFonts w:hint="eastAsia" w:ascii="宋体" w:hAnsi="宋体" w:eastAsia="宋体" w:cs="宋体"/>
          <w:sz w:val="24"/>
          <w:szCs w:val="24"/>
          <w:lang w:val="en-US" w:eastAsia="zh-CN"/>
        </w:rPr>
        <w:t>磋商的有关资料，磋商小组成员均不得向投标人及与磋商无关的其他人透露。</w:t>
      </w:r>
    </w:p>
    <w:p w14:paraId="7EF52C99">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（3）磋商结束后，投标人须使用数字认证证书（CA 主锁）登录全国公共资源交易平台（陕西省） 在交易系统中提交多轮（最后）报价，并用数字认证证书（CA 主锁）签章，系统按照评标规则自动排序。</w:t>
      </w:r>
    </w:p>
    <w:p w14:paraId="3D6A61A7">
      <w:pPr>
        <w:pStyle w:val="5"/>
        <w:spacing w:before="219" w:line="219" w:lineRule="auto"/>
        <w:ind w:left="457"/>
        <w:rPr>
          <w:rFonts w:hint="eastAsia" w:ascii="宋体" w:hAnsi="宋体" w:eastAsia="宋体" w:cs="宋体"/>
          <w:b/>
          <w:bCs/>
          <w:sz w:val="24"/>
          <w:szCs w:val="24"/>
        </w:rPr>
      </w:pPr>
      <w:r>
        <w:rPr>
          <w:rFonts w:hint="eastAsia" w:ascii="宋体" w:hAnsi="宋体" w:eastAsia="宋体" w:cs="宋体"/>
          <w:sz w:val="24"/>
          <w:szCs w:val="24"/>
        </w:rPr>
        <w:t xml:space="preserve"> </w:t>
      </w:r>
      <w:r>
        <w:rPr>
          <w:rFonts w:hint="eastAsia" w:ascii="宋体" w:hAnsi="宋体" w:eastAsia="宋体" w:cs="宋体"/>
          <w:b/>
          <w:bCs/>
          <w:spacing w:val="-3"/>
          <w:sz w:val="24"/>
          <w:szCs w:val="24"/>
        </w:rPr>
        <w:t>二次报价网上操作流程：</w:t>
      </w:r>
    </w:p>
    <w:p w14:paraId="473F367A">
      <w:pPr>
        <w:pStyle w:val="5"/>
        <w:spacing w:before="25" w:line="480" w:lineRule="exact"/>
        <w:ind w:left="455"/>
        <w:rPr>
          <w:rFonts w:hint="eastAsia" w:ascii="宋体" w:hAnsi="宋体" w:eastAsia="宋体" w:cs="宋体"/>
          <w:b w:val="0"/>
          <w:bCs w:val="0"/>
          <w:sz w:val="24"/>
          <w:szCs w:val="24"/>
        </w:rPr>
      </w:pPr>
      <w:r>
        <w:rPr>
          <w:rFonts w:hint="eastAsia" w:ascii="宋体" w:hAnsi="宋体" w:eastAsia="宋体" w:cs="宋体"/>
          <w:b w:val="0"/>
          <w:bCs w:val="0"/>
          <w:position w:val="7"/>
          <w:sz w:val="24"/>
          <w:szCs w:val="24"/>
        </w:rPr>
        <w:t xml:space="preserve">a.插入 CA </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"http://www.sxggzyjy.cn/"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position w:val="7"/>
          <w:sz w:val="24"/>
          <w:szCs w:val="24"/>
        </w:rPr>
        <w:t>锁，登录陕西省公共资源交易平台网站（http://www.sx</w:t>
      </w:r>
      <w:r>
        <w:rPr>
          <w:rFonts w:hint="eastAsia" w:ascii="宋体" w:hAnsi="宋体" w:eastAsia="宋体" w:cs="宋体"/>
          <w:b w:val="0"/>
          <w:bCs w:val="0"/>
          <w:spacing w:val="-1"/>
          <w:position w:val="7"/>
          <w:sz w:val="24"/>
          <w:szCs w:val="24"/>
        </w:rPr>
        <w:t>ggzyjy.cn/</w:t>
      </w:r>
      <w:r>
        <w:rPr>
          <w:rFonts w:hint="eastAsia" w:ascii="宋体" w:hAnsi="宋体" w:eastAsia="宋体" w:cs="宋体"/>
          <w:b w:val="0"/>
          <w:bCs w:val="0"/>
          <w:spacing w:val="-1"/>
          <w:position w:val="7"/>
          <w:sz w:val="24"/>
          <w:szCs w:val="24"/>
        </w:rPr>
        <w:fldChar w:fldCharType="end"/>
      </w:r>
      <w:r>
        <w:rPr>
          <w:rFonts w:hint="eastAsia" w:ascii="宋体" w:hAnsi="宋体" w:eastAsia="宋体" w:cs="宋体"/>
          <w:b w:val="0"/>
          <w:bCs w:val="0"/>
          <w:spacing w:val="-41"/>
          <w:position w:val="7"/>
          <w:sz w:val="24"/>
          <w:szCs w:val="24"/>
        </w:rPr>
        <w:t>）；</w:t>
      </w:r>
    </w:p>
    <w:p w14:paraId="3FE98A0E">
      <w:pPr>
        <w:pStyle w:val="5"/>
        <w:spacing w:before="195" w:line="219" w:lineRule="auto"/>
        <w:ind w:left="450"/>
        <w:rPr>
          <w:rFonts w:hint="eastAsia" w:ascii="宋体" w:hAnsi="宋体" w:eastAsia="宋体" w:cs="宋体"/>
          <w:b w:val="0"/>
          <w:bCs w:val="0"/>
          <w:sz w:val="24"/>
          <w:szCs w:val="24"/>
        </w:rPr>
      </w:pPr>
      <w:r>
        <w:rPr>
          <w:rFonts w:hint="eastAsia" w:ascii="宋体" w:hAnsi="宋体" w:eastAsia="宋体" w:cs="宋体"/>
          <w:b w:val="0"/>
          <w:bCs w:val="0"/>
          <w:sz w:val="24"/>
          <w:szCs w:val="24"/>
        </w:rPr>
        <w:t>b.点击右上角我的项目，选择本次开标项目，点击</w:t>
      </w:r>
      <w:r>
        <w:rPr>
          <w:rFonts w:hint="eastAsia" w:ascii="宋体" w:hAnsi="宋体" w:eastAsia="宋体" w:cs="宋体"/>
          <w:b w:val="0"/>
          <w:bCs w:val="0"/>
          <w:spacing w:val="-1"/>
          <w:sz w:val="24"/>
          <w:szCs w:val="24"/>
        </w:rPr>
        <w:t>项目流程；</w:t>
      </w:r>
    </w:p>
    <w:p w14:paraId="3DA13996">
      <w:pPr>
        <w:pStyle w:val="5"/>
        <w:spacing w:before="218" w:line="219" w:lineRule="auto"/>
        <w:ind w:left="458"/>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c.点击网上报价；</w:t>
      </w:r>
    </w:p>
    <w:p w14:paraId="6DC71CEC">
      <w:pPr>
        <w:pStyle w:val="5"/>
        <w:spacing w:before="61" w:line="419" w:lineRule="exact"/>
        <w:ind w:left="458"/>
        <w:rPr>
          <w:rFonts w:hint="eastAsia" w:ascii="宋体" w:hAnsi="宋体" w:eastAsia="宋体" w:cs="宋体"/>
          <w:b w:val="0"/>
          <w:bCs w:val="0"/>
          <w:sz w:val="24"/>
          <w:szCs w:val="24"/>
        </w:rPr>
      </w:pPr>
      <w:r>
        <w:rPr>
          <w:rFonts w:hint="eastAsia" w:ascii="宋体" w:hAnsi="宋体" w:eastAsia="宋体" w:cs="宋体"/>
          <w:b w:val="0"/>
          <w:bCs w:val="0"/>
          <w:spacing w:val="-1"/>
          <w:position w:val="-4"/>
          <w:sz w:val="24"/>
          <w:szCs w:val="24"/>
        </w:rPr>
        <w:t>d.报价：点击</w:t>
      </w:r>
      <w:r>
        <w:rPr>
          <w:rFonts w:hint="eastAsia" w:ascii="宋体" w:hAnsi="宋体" w:eastAsia="宋体" w:cs="宋体"/>
          <w:b w:val="0"/>
          <w:bCs w:val="0"/>
          <w:position w:val="-4"/>
          <w:sz w:val="24"/>
          <w:szCs w:val="24"/>
        </w:rPr>
        <w:drawing>
          <wp:inline distT="0" distB="0" distL="0" distR="0">
            <wp:extent cx="219075" cy="220345"/>
            <wp:effectExtent l="0" t="0" r="9525" b="8255"/>
            <wp:docPr id="1" name="IM 4"/>
            <wp:cNvGraphicFramePr/>
            <a:graphic xmlns:a="http://schemas.openxmlformats.org/drawingml/2006/main">
              <a:graphicData uri="http://schemas.openxmlformats.org/drawingml/2006/picture">
                <pic:pic xmlns:pic="http://schemas.openxmlformats.org/drawingml/2006/picture">
                  <pic:nvPicPr>
                    <pic:cNvPr id="1" name="IM 4"/>
                    <pic:cNvPicPr/>
                  </pic:nvPicPr>
                  <pic:blipFill>
                    <a:blip r:embed="rId22"/>
                    <a:stretch>
                      <a:fillRect/>
                    </a:stretch>
                  </pic:blipFill>
                  <pic:spPr>
                    <a:xfrm>
                      <a:off x="0" y="0"/>
                      <a:ext cx="219340" cy="220979"/>
                    </a:xfrm>
                    <a:prstGeom prst="rect">
                      <a:avLst/>
                    </a:prstGeom>
                  </pic:spPr>
                </pic:pic>
              </a:graphicData>
            </a:graphic>
          </wp:inline>
        </w:drawing>
      </w:r>
      <w:r>
        <w:rPr>
          <w:rFonts w:hint="eastAsia" w:ascii="宋体" w:hAnsi="宋体" w:eastAsia="宋体" w:cs="宋体"/>
          <w:b w:val="0"/>
          <w:bCs w:val="0"/>
          <w:spacing w:val="-1"/>
          <w:position w:val="-4"/>
          <w:sz w:val="24"/>
          <w:szCs w:val="24"/>
        </w:rPr>
        <w:t>报价，输入金额（注意大小写一致</w:t>
      </w:r>
      <w:r>
        <w:rPr>
          <w:rFonts w:hint="eastAsia" w:ascii="宋体" w:hAnsi="宋体" w:eastAsia="宋体" w:cs="宋体"/>
          <w:b w:val="0"/>
          <w:bCs w:val="0"/>
          <w:spacing w:val="-57"/>
          <w:position w:val="-4"/>
          <w:sz w:val="24"/>
          <w:szCs w:val="24"/>
        </w:rPr>
        <w:t>）；</w:t>
      </w:r>
    </w:p>
    <w:p w14:paraId="09F1EEB2">
      <w:pPr>
        <w:pStyle w:val="5"/>
        <w:spacing w:before="25" w:line="455" w:lineRule="exact"/>
        <w:ind w:left="459"/>
        <w:rPr>
          <w:rFonts w:hint="eastAsia" w:ascii="宋体" w:hAnsi="宋体" w:eastAsia="宋体" w:cs="宋体"/>
          <w:b w:val="0"/>
          <w:bCs w:val="0"/>
          <w:sz w:val="24"/>
          <w:szCs w:val="24"/>
        </w:rPr>
      </w:pPr>
      <w:r>
        <w:rPr>
          <w:rFonts w:hint="eastAsia" w:ascii="宋体" w:hAnsi="宋体" w:eastAsia="宋体" w:cs="宋体"/>
          <w:b w:val="0"/>
          <w:bCs w:val="0"/>
          <w:spacing w:val="-2"/>
          <w:position w:val="-4"/>
          <w:sz w:val="24"/>
          <w:szCs w:val="24"/>
        </w:rPr>
        <w:t>e.签章查看：点击</w:t>
      </w:r>
      <w:r>
        <w:rPr>
          <w:rFonts w:hint="eastAsia" w:ascii="宋体" w:hAnsi="宋体" w:eastAsia="宋体" w:cs="宋体"/>
          <w:b w:val="0"/>
          <w:bCs w:val="0"/>
          <w:position w:val="-4"/>
          <w:sz w:val="24"/>
          <w:szCs w:val="24"/>
        </w:rPr>
        <w:drawing>
          <wp:inline distT="0" distB="0" distL="0" distR="0">
            <wp:extent cx="250825" cy="243840"/>
            <wp:effectExtent l="0" t="0" r="15875" b="3810"/>
            <wp:docPr id="2" name="IM 6"/>
            <wp:cNvGraphicFramePr/>
            <a:graphic xmlns:a="http://schemas.openxmlformats.org/drawingml/2006/main">
              <a:graphicData uri="http://schemas.openxmlformats.org/drawingml/2006/picture">
                <pic:pic xmlns:pic="http://schemas.openxmlformats.org/drawingml/2006/picture">
                  <pic:nvPicPr>
                    <pic:cNvPr id="2" name="IM 6"/>
                    <pic:cNvPicPr/>
                  </pic:nvPicPr>
                  <pic:blipFill>
                    <a:blip r:embed="rId23"/>
                    <a:stretch>
                      <a:fillRect/>
                    </a:stretch>
                  </pic:blipFill>
                  <pic:spPr>
                    <a:xfrm>
                      <a:off x="0" y="0"/>
                      <a:ext cx="251352" cy="243840"/>
                    </a:xfrm>
                    <a:prstGeom prst="rect">
                      <a:avLst/>
                    </a:prstGeom>
                  </pic:spPr>
                </pic:pic>
              </a:graphicData>
            </a:graphic>
          </wp:inline>
        </w:drawing>
      </w:r>
      <w:r>
        <w:rPr>
          <w:rFonts w:hint="eastAsia" w:ascii="宋体" w:hAnsi="宋体" w:eastAsia="宋体" w:cs="宋体"/>
          <w:b w:val="0"/>
          <w:bCs w:val="0"/>
          <w:spacing w:val="43"/>
          <w:position w:val="-4"/>
          <w:sz w:val="24"/>
          <w:szCs w:val="24"/>
        </w:rPr>
        <w:t xml:space="preserve"> </w:t>
      </w:r>
      <w:r>
        <w:rPr>
          <w:rFonts w:hint="eastAsia" w:ascii="宋体" w:hAnsi="宋体" w:eastAsia="宋体" w:cs="宋体"/>
          <w:b w:val="0"/>
          <w:bCs w:val="0"/>
          <w:spacing w:val="-2"/>
          <w:position w:val="-4"/>
          <w:sz w:val="24"/>
          <w:szCs w:val="24"/>
        </w:rPr>
        <w:t>，选择单页签章，点击报价表右下角签章；</w:t>
      </w:r>
    </w:p>
    <w:p w14:paraId="0E010329">
      <w:pPr>
        <w:spacing w:line="313" w:lineRule="auto"/>
        <w:rPr>
          <w:rFonts w:hint="eastAsia" w:ascii="宋体" w:hAnsi="宋体" w:eastAsia="宋体" w:cs="宋体"/>
          <w:sz w:val="21"/>
        </w:rPr>
      </w:pPr>
    </w:p>
    <w:p w14:paraId="5F8A7657">
      <w:pPr>
        <w:pStyle w:val="5"/>
        <w:spacing w:before="72"/>
        <w:ind w:left="14"/>
        <w:rPr>
          <w:rFonts w:hint="eastAsia" w:ascii="宋体" w:hAnsi="宋体" w:eastAsia="宋体" w:cs="宋体"/>
          <w:sz w:val="22"/>
          <w:szCs w:val="22"/>
        </w:rPr>
      </w:pPr>
      <w:r>
        <w:rPr>
          <w:rFonts w:hint="eastAsia" w:ascii="宋体" w:hAnsi="宋体" w:eastAsia="宋体" w:cs="宋体"/>
          <w:spacing w:val="-2"/>
          <w:sz w:val="24"/>
          <w:szCs w:val="24"/>
        </w:rPr>
        <w:t>确认无误如图：</w:t>
      </w:r>
      <w:r>
        <w:rPr>
          <w:rFonts w:hint="eastAsia" w:ascii="宋体" w:hAnsi="宋体" w:eastAsia="宋体" w:cs="宋体"/>
          <w:spacing w:val="2"/>
          <w:sz w:val="22"/>
          <w:szCs w:val="22"/>
        </w:rPr>
        <w:t xml:space="preserve">    </w:t>
      </w:r>
      <w:r>
        <w:rPr>
          <w:rFonts w:hint="eastAsia" w:ascii="宋体" w:hAnsi="宋体" w:eastAsia="宋体" w:cs="宋体"/>
          <w:position w:val="-57"/>
          <w:sz w:val="22"/>
          <w:szCs w:val="22"/>
        </w:rPr>
        <w:drawing>
          <wp:inline distT="0" distB="0" distL="0" distR="0">
            <wp:extent cx="4067175" cy="685800"/>
            <wp:effectExtent l="0" t="0" r="9525" b="0"/>
            <wp:docPr id="23" name="IM 8"/>
            <wp:cNvGraphicFramePr/>
            <a:graphic xmlns:a="http://schemas.openxmlformats.org/drawingml/2006/main">
              <a:graphicData uri="http://schemas.openxmlformats.org/drawingml/2006/picture">
                <pic:pic xmlns:pic="http://schemas.openxmlformats.org/drawingml/2006/picture">
                  <pic:nvPicPr>
                    <pic:cNvPr id="23" name="IM 8"/>
                    <pic:cNvPicPr/>
                  </pic:nvPicPr>
                  <pic:blipFill>
                    <a:blip r:embed="rId24"/>
                    <a:stretch>
                      <a:fillRect/>
                    </a:stretch>
                  </pic:blipFill>
                  <pic:spPr>
                    <a:xfrm>
                      <a:off x="0" y="0"/>
                      <a:ext cx="4067556" cy="685800"/>
                    </a:xfrm>
                    <a:prstGeom prst="rect">
                      <a:avLst/>
                    </a:prstGeom>
                  </pic:spPr>
                </pic:pic>
              </a:graphicData>
            </a:graphic>
          </wp:inline>
        </w:drawing>
      </w:r>
    </w:p>
    <w:p w14:paraId="3BC131BF">
      <w:pPr>
        <w:pStyle w:val="5"/>
        <w:spacing w:before="193" w:line="221" w:lineRule="auto"/>
        <w:ind w:left="457"/>
        <w:rPr>
          <w:rFonts w:hint="eastAsia" w:ascii="宋体" w:hAnsi="宋体" w:eastAsia="宋体" w:cs="宋体"/>
          <w:sz w:val="24"/>
          <w:szCs w:val="24"/>
        </w:rPr>
      </w:pPr>
      <w:r>
        <w:rPr>
          <w:rFonts w:hint="eastAsia" w:ascii="宋体" w:hAnsi="宋体" w:eastAsia="宋体" w:cs="宋体"/>
          <w:spacing w:val="-2"/>
          <w:sz w:val="24"/>
          <w:szCs w:val="24"/>
        </w:rPr>
        <w:t>f.提交。</w:t>
      </w:r>
    </w:p>
    <w:p w14:paraId="4BF36B4B">
      <w:pPr>
        <w:pStyle w:val="5"/>
        <w:spacing w:before="202" w:line="342" w:lineRule="auto"/>
        <w:ind w:left="1" w:right="55" w:firstLine="446"/>
        <w:rPr>
          <w:rFonts w:hint="eastAsia" w:ascii="宋体" w:hAnsi="宋体" w:eastAsia="宋体" w:cs="宋体"/>
          <w:sz w:val="24"/>
          <w:szCs w:val="24"/>
        </w:rPr>
      </w:pPr>
      <w:r>
        <w:rPr>
          <w:rFonts w:hint="eastAsia" w:ascii="宋体" w:hAnsi="宋体" w:eastAsia="宋体" w:cs="宋体"/>
          <w:spacing w:val="-1"/>
          <w:sz w:val="24"/>
          <w:szCs w:val="24"/>
          <w:lang w:val="en-US" w:eastAsia="zh-CN"/>
        </w:rPr>
        <w:t>备注：</w:t>
      </w:r>
      <w:r>
        <w:rPr>
          <w:rFonts w:hint="eastAsia" w:ascii="宋体" w:hAnsi="宋体" w:eastAsia="宋体" w:cs="宋体"/>
          <w:spacing w:val="-1"/>
          <w:sz w:val="24"/>
          <w:szCs w:val="24"/>
        </w:rPr>
        <w:t>相关操作培训请关注《陕西省公共资源交易中心》通知公告</w:t>
      </w:r>
      <w:r>
        <w:rPr>
          <w:rFonts w:hint="eastAsia" w:ascii="宋体" w:hAnsi="宋体" w:eastAsia="宋体" w:cs="宋体"/>
          <w:spacing w:val="-2"/>
          <w:sz w:val="24"/>
          <w:szCs w:val="24"/>
        </w:rPr>
        <w:t>栏目。相关操作流程详见全国公</w:t>
      </w:r>
      <w:r>
        <w:rPr>
          <w:rFonts w:hint="eastAsia" w:ascii="宋体" w:hAnsi="宋体" w:eastAsia="宋体" w:cs="宋体"/>
          <w:spacing w:val="-1"/>
          <w:sz w:val="24"/>
          <w:szCs w:val="24"/>
        </w:rPr>
        <w:t>共资源交易平台（陕西省）网站[服务指南</w:t>
      </w:r>
      <w:r>
        <w:rPr>
          <w:rFonts w:hint="eastAsia" w:ascii="宋体" w:hAnsi="宋体" w:eastAsia="宋体" w:cs="宋体"/>
          <w:spacing w:val="-1"/>
          <w:sz w:val="24"/>
          <w:szCs w:val="24"/>
          <w:lang w:val="en-US" w:eastAsia="zh-CN"/>
        </w:rPr>
        <w:t>-</w:t>
      </w:r>
      <w:r>
        <w:rPr>
          <w:rFonts w:hint="eastAsia" w:ascii="宋体" w:hAnsi="宋体" w:eastAsia="宋体" w:cs="宋体"/>
          <w:spacing w:val="-1"/>
          <w:sz w:val="24"/>
          <w:szCs w:val="24"/>
        </w:rPr>
        <w:t>下载专区]中的《陕西省公共资源交易中心政府采购项</w:t>
      </w:r>
      <w:r>
        <w:rPr>
          <w:rFonts w:hint="eastAsia" w:ascii="宋体" w:hAnsi="宋体" w:eastAsia="宋体" w:cs="宋体"/>
          <w:spacing w:val="-2"/>
          <w:sz w:val="24"/>
          <w:szCs w:val="24"/>
        </w:rPr>
        <w:t>目远</w:t>
      </w:r>
      <w:r>
        <w:rPr>
          <w:rFonts w:hint="eastAsia" w:ascii="宋体" w:hAnsi="宋体" w:eastAsia="宋体" w:cs="宋体"/>
          <w:sz w:val="24"/>
          <w:szCs w:val="24"/>
        </w:rPr>
        <w:t xml:space="preserve"> </w:t>
      </w:r>
      <w:r>
        <w:rPr>
          <w:rFonts w:hint="eastAsia" w:ascii="宋体" w:hAnsi="宋体" w:eastAsia="宋体" w:cs="宋体"/>
          <w:spacing w:val="-5"/>
          <w:sz w:val="24"/>
          <w:szCs w:val="24"/>
        </w:rPr>
        <w:t>程不见面开标操作手册</w:t>
      </w:r>
      <w:r>
        <w:rPr>
          <w:rFonts w:hint="eastAsia" w:ascii="宋体" w:hAnsi="宋体" w:eastAsia="宋体" w:cs="宋体"/>
          <w:spacing w:val="-5"/>
          <w:sz w:val="24"/>
          <w:szCs w:val="24"/>
          <w:lang w:eastAsia="zh-CN"/>
        </w:rPr>
        <w:t>（投标人</w:t>
      </w:r>
      <w:r>
        <w:rPr>
          <w:rFonts w:hint="eastAsia" w:ascii="宋体" w:hAnsi="宋体" w:eastAsia="宋体" w:cs="宋体"/>
          <w:spacing w:val="-5"/>
          <w:sz w:val="24"/>
          <w:szCs w:val="24"/>
        </w:rPr>
        <w:t>版</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w:t>
      </w:r>
    </w:p>
    <w:p w14:paraId="42D18989">
      <w:pPr>
        <w:pStyle w:val="8"/>
        <w:keepNext w:val="0"/>
        <w:keepLines w:val="0"/>
        <w:pageBreakBefore w:val="0"/>
        <w:wordWrap/>
        <w:topLinePunct w:val="0"/>
        <w:autoSpaceDE/>
        <w:autoSpaceDN/>
        <w:bidi w:val="0"/>
        <w:spacing w:line="336" w:lineRule="auto"/>
        <w:ind w:firstLine="602" w:firstLineChars="250"/>
        <w:textAlignment w:val="auto"/>
        <w:rPr>
          <w:rFonts w:hint="eastAsia" w:ascii="宋体" w:hAnsi="宋体" w:eastAsia="宋体" w:cs="宋体"/>
          <w:sz w:val="24"/>
          <w:szCs w:val="24"/>
        </w:rPr>
      </w:pPr>
      <w:r>
        <w:rPr>
          <w:rFonts w:hint="eastAsia" w:ascii="宋体" w:hAnsi="宋体" w:eastAsia="宋体" w:cs="宋体"/>
          <w:sz w:val="24"/>
          <w:szCs w:val="24"/>
        </w:rPr>
        <w:t>7、评审方法及内容</w:t>
      </w:r>
      <w:r>
        <w:rPr>
          <w:rFonts w:hint="eastAsia" w:ascii="宋体" w:hAnsi="宋体" w:eastAsia="宋体" w:cs="宋体"/>
          <w:sz w:val="24"/>
          <w:szCs w:val="24"/>
        </w:rPr>
        <w:tab/>
      </w:r>
    </w:p>
    <w:p w14:paraId="1FE65193">
      <w:pPr>
        <w:pageBreakBefore w:val="0"/>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（1）按照磋商文件规定的评审方法和标准，对资格性审查和符合性审查合格的响应文件进行商务和技术评审，综合比较和评价。</w:t>
      </w:r>
    </w:p>
    <w:p w14:paraId="452D5785">
      <w:pPr>
        <w:pageBreakBefore w:val="0"/>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（2）采用综合评分法：二次报价为最终报价，在满足磋商文件所有实质性要求前提下，提交最终报价。如采购需求没有实质性变化</w:t>
      </w:r>
      <w:r>
        <w:rPr>
          <w:rFonts w:hint="eastAsia" w:ascii="宋体" w:hAnsi="宋体" w:eastAsia="宋体" w:cs="宋体"/>
          <w:color w:val="auto"/>
          <w:sz w:val="24"/>
          <w:szCs w:val="24"/>
        </w:rPr>
        <w:t>，各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的报价应逐次降低，二次报价高于一次报价的，为无效报价，按无效文件处理。最终报价后按照磋商文件中规定的各项因素进行综合评审，以磋商总得分最高的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作</w:t>
      </w:r>
      <w:r>
        <w:rPr>
          <w:rFonts w:hint="eastAsia" w:ascii="宋体" w:hAnsi="宋体" w:eastAsia="宋体" w:cs="宋体"/>
          <w:sz w:val="24"/>
          <w:szCs w:val="24"/>
        </w:rPr>
        <w:t>为成交</w:t>
      </w:r>
      <w:r>
        <w:rPr>
          <w:rFonts w:hint="eastAsia" w:ascii="宋体" w:hAnsi="宋体" w:eastAsia="宋体" w:cs="宋体"/>
          <w:sz w:val="24"/>
          <w:szCs w:val="24"/>
          <w:lang w:eastAsia="zh-CN"/>
        </w:rPr>
        <w:t>投标人</w:t>
      </w:r>
      <w:r>
        <w:rPr>
          <w:rFonts w:hint="eastAsia" w:ascii="宋体" w:hAnsi="宋体" w:eastAsia="宋体" w:cs="宋体"/>
          <w:sz w:val="24"/>
          <w:szCs w:val="24"/>
        </w:rPr>
        <w:t>的磋商方法。若有两个或两个以上最高得分相同，推荐其中报价最低的</w:t>
      </w:r>
      <w:r>
        <w:rPr>
          <w:rFonts w:hint="eastAsia" w:ascii="宋体" w:hAnsi="宋体" w:eastAsia="宋体" w:cs="宋体"/>
          <w:sz w:val="24"/>
          <w:szCs w:val="24"/>
          <w:lang w:eastAsia="zh-CN"/>
        </w:rPr>
        <w:t>投标人</w:t>
      </w:r>
      <w:r>
        <w:rPr>
          <w:rFonts w:hint="eastAsia" w:ascii="宋体" w:hAnsi="宋体" w:eastAsia="宋体" w:cs="宋体"/>
          <w:sz w:val="24"/>
          <w:szCs w:val="24"/>
        </w:rPr>
        <w:t>为成交候选</w:t>
      </w:r>
      <w:r>
        <w:rPr>
          <w:rFonts w:hint="eastAsia" w:ascii="宋体" w:hAnsi="宋体" w:eastAsia="宋体" w:cs="宋体"/>
          <w:sz w:val="24"/>
          <w:szCs w:val="24"/>
          <w:lang w:eastAsia="zh-CN"/>
        </w:rPr>
        <w:t>投标人</w:t>
      </w:r>
      <w:r>
        <w:rPr>
          <w:rFonts w:hint="eastAsia" w:ascii="宋体" w:hAnsi="宋体" w:eastAsia="宋体" w:cs="宋体"/>
          <w:sz w:val="24"/>
          <w:szCs w:val="24"/>
        </w:rPr>
        <w:t>。磋商总得分</w:t>
      </w:r>
      <w:r>
        <w:rPr>
          <w:rFonts w:hint="eastAsia" w:ascii="宋体" w:hAnsi="宋体" w:eastAsia="宋体" w:cs="宋体"/>
          <w:sz w:val="24"/>
          <w:szCs w:val="24"/>
          <w:lang w:eastAsia="zh-CN"/>
        </w:rPr>
        <w:t>和</w:t>
      </w:r>
      <w:r>
        <w:rPr>
          <w:rFonts w:hint="eastAsia" w:ascii="宋体" w:hAnsi="宋体" w:eastAsia="宋体" w:cs="宋体"/>
          <w:sz w:val="24"/>
          <w:szCs w:val="24"/>
        </w:rPr>
        <w:t>最后报价</w:t>
      </w:r>
      <w:r>
        <w:rPr>
          <w:rFonts w:hint="eastAsia" w:ascii="宋体" w:hAnsi="宋体" w:eastAsia="宋体" w:cs="宋体"/>
          <w:sz w:val="24"/>
          <w:szCs w:val="24"/>
          <w:lang w:eastAsia="zh-CN"/>
        </w:rPr>
        <w:t>都</w:t>
      </w:r>
      <w:r>
        <w:rPr>
          <w:rFonts w:hint="eastAsia" w:ascii="宋体" w:hAnsi="宋体" w:eastAsia="宋体" w:cs="宋体"/>
          <w:sz w:val="24"/>
          <w:szCs w:val="24"/>
        </w:rPr>
        <w:t>相同的，按照技术指标优劣顺序推荐。</w:t>
      </w:r>
    </w:p>
    <w:p w14:paraId="02741B7F">
      <w:pPr>
        <w:pageBreakBefore w:val="0"/>
        <w:wordWrap/>
        <w:topLinePunct w:val="0"/>
        <w:autoSpaceDE/>
        <w:autoSpaceDN/>
        <w:bidi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（3）磋商小组根据以下内容进行综合比较，自主打分，按最后得分由高到低汇总排序，以项目为单位分别推荐三名以上成交候选</w:t>
      </w:r>
      <w:r>
        <w:rPr>
          <w:rFonts w:hint="eastAsia" w:ascii="宋体" w:hAnsi="宋体" w:eastAsia="宋体" w:cs="宋体"/>
          <w:sz w:val="24"/>
          <w:szCs w:val="24"/>
          <w:lang w:eastAsia="zh-CN"/>
        </w:rPr>
        <w:t>投标人</w:t>
      </w:r>
      <w:r>
        <w:rPr>
          <w:rFonts w:hint="eastAsia" w:ascii="宋体" w:hAnsi="宋体" w:eastAsia="宋体" w:cs="宋体"/>
          <w:sz w:val="24"/>
          <w:szCs w:val="24"/>
        </w:rPr>
        <w:t>；磋商小组根据磋商结果写出磋商意见。如果磋商小组出现对磋商结果有不同意见的，应当书面签署不同意见和理由。磋商小组拒绝在磋商意见中签字又不书面说明其不同意见和理由的，视为同意磋商结果。</w:t>
      </w:r>
    </w:p>
    <w:p w14:paraId="4C243B75">
      <w:pPr>
        <w:pStyle w:val="98"/>
        <w:pageBreakBefore w:val="0"/>
        <w:numPr>
          <w:ilvl w:val="0"/>
          <w:numId w:val="0"/>
        </w:numPr>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）磋商小组须对畸高、畸低的重大差异评分进行复核或书面说明理由。</w:t>
      </w:r>
    </w:p>
    <w:p w14:paraId="3B8A7E85">
      <w:pPr>
        <w:pStyle w:val="8"/>
        <w:pageBreakBefore w:val="0"/>
        <w:wordWrap/>
        <w:topLinePunct w:val="0"/>
        <w:autoSpaceDE/>
        <w:autoSpaceDN/>
        <w:bidi w:val="0"/>
        <w:spacing w:line="336"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定标</w:t>
      </w:r>
      <w:bookmarkEnd w:id="91"/>
      <w:bookmarkEnd w:id="92"/>
    </w:p>
    <w:p w14:paraId="7E0F73DD">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8.1代理机构在评审结束后2个工作日内将评审报告送达采购单位，采购单位在收到评审报告后5个工作日内，按照评审报告中推荐的成交候选人顺序确认第一成交候选人为成交单位，同时书面复函代理机构</w:t>
      </w:r>
      <w:r>
        <w:rPr>
          <w:rFonts w:hint="eastAsia" w:ascii="宋体" w:hAnsi="宋体" w:eastAsia="宋体" w:cs="宋体"/>
          <w:sz w:val="24"/>
          <w:szCs w:val="24"/>
          <w:lang w:eastAsia="zh-CN"/>
        </w:rPr>
        <w:t>。</w:t>
      </w:r>
    </w:p>
    <w:p w14:paraId="7976A7C9">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sz w:val="24"/>
          <w:szCs w:val="24"/>
        </w:rPr>
        <w:t>8.2代理机构收到采购单位“定标复函”后2</w:t>
      </w:r>
      <w:r>
        <w:rPr>
          <w:rFonts w:hint="eastAsia" w:ascii="宋体" w:hAnsi="宋体" w:eastAsia="宋体" w:cs="宋体"/>
          <w:sz w:val="24"/>
          <w:szCs w:val="24"/>
          <w:lang w:val="en-US" w:eastAsia="zh-CN"/>
        </w:rPr>
        <w:t>个工作</w:t>
      </w:r>
      <w:r>
        <w:rPr>
          <w:rFonts w:hint="eastAsia" w:ascii="宋体" w:hAnsi="宋体" w:eastAsia="宋体" w:cs="宋体"/>
          <w:sz w:val="24"/>
          <w:szCs w:val="24"/>
        </w:rPr>
        <w:t>日内，在财政部门指定的政府采购信息媒体上发布公告，并向成交</w:t>
      </w:r>
      <w:r>
        <w:rPr>
          <w:rFonts w:hint="eastAsia" w:ascii="宋体" w:hAnsi="宋体" w:eastAsia="宋体" w:cs="宋体"/>
          <w:sz w:val="24"/>
          <w:szCs w:val="24"/>
          <w:lang w:eastAsia="zh-CN"/>
        </w:rPr>
        <w:t>投标人</w:t>
      </w:r>
      <w:r>
        <w:rPr>
          <w:rFonts w:hint="eastAsia" w:ascii="宋体" w:hAnsi="宋体" w:eastAsia="宋体" w:cs="宋体"/>
          <w:sz w:val="24"/>
          <w:szCs w:val="24"/>
        </w:rPr>
        <w:t>发出“成交通知书”。</w:t>
      </w:r>
    </w:p>
    <w:p w14:paraId="37680BBC">
      <w:pPr>
        <w:pageBreakBefore w:val="0"/>
        <w:widowControl/>
        <w:numPr>
          <w:ilvl w:val="0"/>
          <w:numId w:val="5"/>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color w:val="auto"/>
          <w:kern w:val="0"/>
          <w:sz w:val="24"/>
          <w:szCs w:val="24"/>
        </w:rPr>
      </w:pPr>
      <w:bookmarkStart w:id="93" w:name="_Toc19543341"/>
      <w:bookmarkStart w:id="94" w:name="_Toc536202384"/>
      <w:bookmarkStart w:id="95" w:name="_Toc536202315"/>
      <w:bookmarkStart w:id="96" w:name="_Toc25308"/>
      <w:bookmarkStart w:id="97" w:name="_Toc536429324"/>
      <w:bookmarkStart w:id="98" w:name="_Toc11870"/>
      <w:bookmarkStart w:id="99" w:name="_Toc536429377"/>
      <w:bookmarkStart w:id="100" w:name="_Toc19972"/>
      <w:r>
        <w:rPr>
          <w:rFonts w:hint="eastAsia" w:ascii="宋体" w:hAnsi="宋体" w:eastAsia="宋体" w:cs="宋体"/>
          <w:b/>
          <w:bCs/>
          <w:color w:val="auto"/>
          <w:kern w:val="0"/>
          <w:sz w:val="24"/>
          <w:szCs w:val="24"/>
        </w:rPr>
        <w:t>签订合同</w:t>
      </w:r>
      <w:bookmarkEnd w:id="93"/>
      <w:bookmarkEnd w:id="94"/>
      <w:bookmarkEnd w:id="95"/>
      <w:bookmarkEnd w:id="96"/>
      <w:bookmarkEnd w:id="97"/>
      <w:bookmarkEnd w:id="98"/>
      <w:bookmarkEnd w:id="99"/>
      <w:bookmarkEnd w:id="100"/>
    </w:p>
    <w:p w14:paraId="250835FB">
      <w:pPr>
        <w:pageBreakBefore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成交后，成交</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在收到成交通知书后</w:t>
      </w:r>
      <w:r>
        <w:rPr>
          <w:rFonts w:hint="eastAsia" w:ascii="宋体" w:hAnsi="宋体" w:eastAsia="宋体" w:cs="宋体"/>
          <w:color w:val="auto"/>
          <w:sz w:val="24"/>
          <w:szCs w:val="24"/>
          <w:lang w:val="en-US" w:eastAsia="zh-CN"/>
        </w:rPr>
        <w:t>二十五</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）个日历日内，应按磋商文件的要求与采购人洽谈合同条款，并签订</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合同，同时送监督机构备案，磋商文件及成交</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的响应文件均作为合同的组成部分</w:t>
      </w:r>
      <w:r>
        <w:rPr>
          <w:rFonts w:hint="eastAsia" w:ascii="宋体" w:hAnsi="宋体" w:eastAsia="宋体" w:cs="宋体"/>
          <w:color w:val="auto"/>
          <w:sz w:val="24"/>
          <w:szCs w:val="24"/>
          <w:lang w:eastAsia="zh-CN"/>
        </w:rPr>
        <w:t>。</w:t>
      </w:r>
    </w:p>
    <w:p w14:paraId="171E5D27">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采购人不得向成交</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提出超出磋商文件以外的任何要求作为签订合同的条件，不得与成交</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订立背离磋商文件确定的合同文本以及采购服务要求实质性内容的协议。</w:t>
      </w:r>
    </w:p>
    <w:p w14:paraId="54EA4624">
      <w:pPr>
        <w:pStyle w:val="98"/>
        <w:pageBreakBefore w:val="0"/>
        <w:numPr>
          <w:ilvl w:val="0"/>
          <w:numId w:val="0"/>
        </w:numPr>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成交</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因不可抗力或者自身原因不能履行政府采购合同的，采购人可以与排序在成交</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之后第一位的成交候选</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签订政府采购合同，以此类推，也可以重新开展采购活动。因自身原因拒绝签订政府采购合同的成交</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不得参加对该项目重新开展的采购活动。</w:t>
      </w:r>
    </w:p>
    <w:p w14:paraId="60C3ABBC">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政府采购合同在执行过程中，确需修改、变更时，应当按照相应的审核批准程序办理。</w:t>
      </w:r>
    </w:p>
    <w:p w14:paraId="15B5A848">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磋商文件、响应文件、澄清等为政府采购合同的组成部分，具有同等法律效力。</w:t>
      </w:r>
    </w:p>
    <w:p w14:paraId="248EC3C4">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rPr>
      </w:pPr>
      <w:bookmarkStart w:id="101" w:name="_Toc536429325"/>
      <w:bookmarkStart w:id="102" w:name="_Toc536202385"/>
      <w:bookmarkStart w:id="103" w:name="_Toc28110"/>
      <w:bookmarkStart w:id="104" w:name="_Toc26132"/>
      <w:bookmarkStart w:id="105" w:name="_Toc32237"/>
      <w:bookmarkStart w:id="106" w:name="_Toc536202316"/>
      <w:bookmarkStart w:id="107" w:name="_Toc536429378"/>
      <w:r>
        <w:rPr>
          <w:rFonts w:hint="eastAsia" w:ascii="宋体" w:hAnsi="宋体" w:eastAsia="宋体" w:cs="宋体"/>
          <w:color w:val="auto"/>
          <w:sz w:val="24"/>
          <w:szCs w:val="24"/>
          <w:lang w:eastAsia="zh-CN"/>
        </w:rPr>
        <w:t>6.</w:t>
      </w:r>
      <w:r>
        <w:rPr>
          <w:rFonts w:hint="eastAsia" w:ascii="宋体" w:hAnsi="宋体" w:eastAsia="宋体" w:cs="宋体"/>
          <w:color w:val="auto"/>
          <w:sz w:val="24"/>
          <w:szCs w:val="24"/>
        </w:rPr>
        <w:t>政府采购管理部门在合同履行期间以及履行期后，可以随时检查项目的执行情况，对采购标准、采购内容进行调查核实，并对发现的问题进行处理。</w:t>
      </w:r>
    </w:p>
    <w:p w14:paraId="7B1F09B8">
      <w:pPr>
        <w:pageBreakBefore w:val="0"/>
        <w:widowControl/>
        <w:numPr>
          <w:ilvl w:val="0"/>
          <w:numId w:val="5"/>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color w:val="auto"/>
          <w:kern w:val="0"/>
          <w:sz w:val="24"/>
          <w:szCs w:val="24"/>
        </w:rPr>
      </w:pPr>
      <w:bookmarkStart w:id="108" w:name="_Toc19543342"/>
      <w:r>
        <w:rPr>
          <w:rFonts w:hint="eastAsia" w:ascii="宋体" w:hAnsi="宋体" w:eastAsia="宋体" w:cs="宋体"/>
          <w:b/>
          <w:bCs/>
          <w:color w:val="auto"/>
          <w:kern w:val="0"/>
          <w:sz w:val="24"/>
          <w:szCs w:val="24"/>
        </w:rPr>
        <w:t>代理服务费</w:t>
      </w:r>
      <w:bookmarkEnd w:id="101"/>
      <w:bookmarkEnd w:id="102"/>
      <w:bookmarkEnd w:id="103"/>
      <w:bookmarkEnd w:id="104"/>
      <w:bookmarkEnd w:id="105"/>
      <w:bookmarkEnd w:id="106"/>
      <w:bookmarkEnd w:id="107"/>
      <w:bookmarkEnd w:id="108"/>
    </w:p>
    <w:p w14:paraId="5FA0D023">
      <w:pPr>
        <w:pageBreakBefore w:val="0"/>
        <w:widowControl/>
        <w:numPr>
          <w:ilvl w:val="0"/>
          <w:numId w:val="0"/>
        </w:numPr>
        <w:wordWrap/>
        <w:topLinePunct w:val="0"/>
        <w:autoSpaceDE/>
        <w:autoSpaceDN/>
        <w:bidi w:val="0"/>
        <w:spacing w:line="336" w:lineRule="auto"/>
        <w:jc w:val="both"/>
        <w:textAlignment w:val="auto"/>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8"/>
          <w:lang w:val="en-US" w:eastAsia="zh-CN"/>
        </w:rPr>
        <w:t>代理服务费参照国家计委关于印发《招标代理服务收费管理暂行办法》的通知（计价格[2002]1980号）和《国家发展改革委办公厅关于招标代理服务收费有关问题的通知》（发改办价格[2003]857号）规定标准计取。</w:t>
      </w:r>
      <w:r>
        <w:rPr>
          <w:rFonts w:hint="eastAsia" w:ascii="宋体" w:hAnsi="宋体" w:eastAsia="宋体" w:cs="宋体"/>
          <w:b w:val="0"/>
          <w:bCs w:val="0"/>
          <w:color w:val="auto"/>
          <w:sz w:val="24"/>
          <w:szCs w:val="24"/>
        </w:rPr>
        <w:t>采购代理机构开户名称：</w:t>
      </w:r>
      <w:r>
        <w:rPr>
          <w:rFonts w:hint="eastAsia" w:ascii="宋体" w:hAnsi="宋体" w:eastAsia="宋体" w:cs="宋体"/>
          <w:b w:val="0"/>
          <w:bCs w:val="0"/>
          <w:color w:val="auto"/>
          <w:sz w:val="24"/>
          <w:szCs w:val="24"/>
          <w:lang w:eastAsia="zh-CN"/>
        </w:rPr>
        <w:t>兰天项目管理有限公司</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开户行名称：安康农商银行学苑支行、</w:t>
      </w:r>
      <w:r>
        <w:rPr>
          <w:rFonts w:hint="eastAsia" w:ascii="宋体" w:hAnsi="宋体" w:eastAsia="宋体" w:cs="宋体"/>
          <w:b w:val="0"/>
          <w:bCs w:val="0"/>
          <w:color w:val="auto"/>
          <w:sz w:val="24"/>
          <w:szCs w:val="24"/>
          <w:lang w:eastAsia="zh-CN"/>
        </w:rPr>
        <w:t>账</w:t>
      </w:r>
      <w:r>
        <w:rPr>
          <w:rFonts w:hint="eastAsia" w:ascii="宋体" w:hAnsi="宋体" w:eastAsia="宋体" w:cs="宋体"/>
          <w:b w:val="0"/>
          <w:bCs w:val="0"/>
          <w:color w:val="auto"/>
          <w:sz w:val="24"/>
          <w:szCs w:val="24"/>
        </w:rPr>
        <w:t xml:space="preserve">  号：</w:t>
      </w:r>
      <w:r>
        <w:rPr>
          <w:rFonts w:hint="eastAsia" w:ascii="宋体" w:hAnsi="宋体" w:eastAsia="宋体" w:cs="宋体"/>
          <w:b w:val="0"/>
          <w:bCs w:val="0"/>
          <w:color w:val="auto"/>
          <w:sz w:val="24"/>
          <w:szCs w:val="24"/>
          <w:lang w:val="en-US" w:eastAsia="zh-CN"/>
        </w:rPr>
        <w:t>2720012501201000009805</w:t>
      </w:r>
      <w:r>
        <w:rPr>
          <w:rFonts w:hint="eastAsia" w:ascii="宋体" w:hAnsi="宋体" w:eastAsia="宋体" w:cs="宋体"/>
          <w:b w:val="0"/>
          <w:bCs w:val="0"/>
          <w:color w:val="auto"/>
          <w:sz w:val="24"/>
          <w:szCs w:val="24"/>
        </w:rPr>
        <w:t xml:space="preserve"> </w:t>
      </w:r>
    </w:p>
    <w:p w14:paraId="16403CFA">
      <w:pPr>
        <w:pageBreakBefore w:val="0"/>
        <w:numPr>
          <w:ilvl w:val="0"/>
          <w:numId w:val="0"/>
        </w:numPr>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成交</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在领取成交通知书前，须向</w:t>
      </w:r>
      <w:r>
        <w:rPr>
          <w:rFonts w:hint="eastAsia" w:ascii="宋体" w:hAnsi="宋体" w:eastAsia="宋体" w:cs="宋体"/>
          <w:color w:val="auto"/>
          <w:sz w:val="24"/>
          <w:szCs w:val="24"/>
          <w:lang w:eastAsia="zh-CN"/>
        </w:rPr>
        <w:t>兰天项目管理有限公司（</w:t>
      </w:r>
      <w:r>
        <w:rPr>
          <w:rFonts w:hint="eastAsia" w:ascii="宋体" w:hAnsi="宋体" w:eastAsia="宋体" w:cs="宋体"/>
          <w:color w:val="auto"/>
          <w:sz w:val="24"/>
          <w:szCs w:val="24"/>
        </w:rPr>
        <w:t>采购代理机构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一次性支付招标代理服务费；代理服务费以转账、电汇或现金等形式交纳。</w:t>
      </w:r>
    </w:p>
    <w:p w14:paraId="7E0793AF">
      <w:pPr>
        <w:pageBreakBefore w:val="0"/>
        <w:widowControl/>
        <w:numPr>
          <w:ilvl w:val="0"/>
          <w:numId w:val="5"/>
        </w:numPr>
        <w:wordWrap/>
        <w:topLinePunct w:val="0"/>
        <w:autoSpaceDE/>
        <w:autoSpaceDN/>
        <w:bidi w:val="0"/>
        <w:spacing w:line="336" w:lineRule="auto"/>
        <w:ind w:firstLine="0"/>
        <w:jc w:val="center"/>
        <w:textAlignment w:val="auto"/>
        <w:outlineLvl w:val="1"/>
        <w:rPr>
          <w:rFonts w:hint="eastAsia" w:ascii="宋体" w:hAnsi="宋体" w:eastAsia="宋体" w:cs="宋体"/>
          <w:b/>
          <w:bCs/>
          <w:color w:val="auto"/>
          <w:kern w:val="0"/>
          <w:sz w:val="24"/>
          <w:szCs w:val="24"/>
        </w:rPr>
      </w:pPr>
      <w:bookmarkStart w:id="109" w:name="_Toc19543343"/>
      <w:bookmarkStart w:id="110" w:name="_Toc664"/>
      <w:bookmarkStart w:id="111" w:name="_Toc536429379"/>
      <w:bookmarkStart w:id="112" w:name="_Toc536202317"/>
      <w:bookmarkStart w:id="113" w:name="_Toc11491"/>
      <w:bookmarkStart w:id="114" w:name="_Toc536202386"/>
      <w:bookmarkStart w:id="115" w:name="_Toc536429326"/>
      <w:r>
        <w:rPr>
          <w:rFonts w:hint="eastAsia" w:ascii="宋体" w:hAnsi="宋体" w:eastAsia="宋体" w:cs="宋体"/>
          <w:b/>
          <w:bCs/>
          <w:color w:val="auto"/>
          <w:kern w:val="0"/>
          <w:sz w:val="24"/>
          <w:szCs w:val="24"/>
        </w:rPr>
        <w:t>质疑和投诉</w:t>
      </w:r>
      <w:bookmarkEnd w:id="109"/>
      <w:bookmarkEnd w:id="110"/>
      <w:bookmarkEnd w:id="111"/>
      <w:bookmarkEnd w:id="112"/>
      <w:bookmarkEnd w:id="113"/>
      <w:bookmarkEnd w:id="114"/>
      <w:bookmarkEnd w:id="115"/>
    </w:p>
    <w:p w14:paraId="02659047">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质疑或投诉的接收和处理应当按照《中华人民共和国政府采购法》及其实施条例、《政府采购质疑和投诉办法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财政部关于加强政府采购</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投诉受理审查工作的通知》等的相关规定办理。</w:t>
      </w:r>
    </w:p>
    <w:p w14:paraId="6B6484D5">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1.投标人</w:t>
      </w:r>
      <w:r>
        <w:rPr>
          <w:rFonts w:hint="eastAsia" w:ascii="宋体" w:hAnsi="宋体" w:eastAsia="宋体" w:cs="宋体"/>
          <w:color w:val="auto"/>
          <w:sz w:val="24"/>
          <w:szCs w:val="24"/>
        </w:rPr>
        <w:t>认为采购文件、采购过程和中标、成交结果使自己的权益受到损害的，可以在知道或者应知其权益受到损害之日起七个工作日内，以书面形式向采购人或采购代理机构提出质疑，逾期质疑无效。</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应知其权益受到损害之日，是指：</w:t>
      </w:r>
    </w:p>
    <w:p w14:paraId="196CBC10">
      <w:pPr>
        <w:pageBreakBefore w:val="0"/>
        <w:wordWrap/>
        <w:topLinePunct w:val="0"/>
        <w:autoSpaceDE/>
        <w:autoSpaceDN/>
        <w:bidi w:val="0"/>
        <w:spacing w:line="336" w:lineRule="auto"/>
        <w:ind w:firstLine="240" w:firstLine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（1）对采购文件提出质疑的，为收到采购文件之日或者采购文件公告期限届满之日；</w:t>
      </w:r>
    </w:p>
    <w:p w14:paraId="20E86A20">
      <w:pPr>
        <w:pageBreakBefore w:val="0"/>
        <w:wordWrap/>
        <w:topLinePunct w:val="0"/>
        <w:autoSpaceDE/>
        <w:autoSpaceDN/>
        <w:bidi w:val="0"/>
        <w:spacing w:line="336" w:lineRule="auto"/>
        <w:ind w:firstLine="240" w:firstLine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（2）对采购过程提出质疑的，为各采购程序环节结束之日；</w:t>
      </w:r>
    </w:p>
    <w:p w14:paraId="2CE6A8D8">
      <w:pPr>
        <w:pageBreakBefore w:val="0"/>
        <w:wordWrap/>
        <w:topLinePunct w:val="0"/>
        <w:autoSpaceDE/>
        <w:autoSpaceDN/>
        <w:bidi w:val="0"/>
        <w:spacing w:line="336" w:lineRule="auto"/>
        <w:ind w:firstLine="240" w:firstLine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（3）对中标或者成交结果提出质疑的，为中标或者成交结果公告期限届满之日。</w:t>
      </w:r>
    </w:p>
    <w:p w14:paraId="254058E2">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2.投标人</w:t>
      </w:r>
      <w:r>
        <w:rPr>
          <w:rFonts w:hint="eastAsia" w:ascii="宋体" w:hAnsi="宋体" w:eastAsia="宋体" w:cs="宋体"/>
          <w:color w:val="auto"/>
          <w:sz w:val="24"/>
          <w:szCs w:val="24"/>
        </w:rPr>
        <w:t>应当在法定质疑期内一次性提出针对同一采购程序环节的质疑。</w:t>
      </w:r>
    </w:p>
    <w:p w14:paraId="23E75FBD">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rPr>
        <w:t>质疑函应当包括下列主要内容：</w:t>
      </w:r>
    </w:p>
    <w:p w14:paraId="640A164E">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的姓名或者名称、地址、邮编、联系人及联系电话；</w:t>
      </w:r>
    </w:p>
    <w:p w14:paraId="65F345C8">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（2）质疑项目的名称、编号；</w:t>
      </w:r>
    </w:p>
    <w:p w14:paraId="798935A2">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（3）具体、明确的质疑事项和与质疑事项相关的请求；</w:t>
      </w:r>
    </w:p>
    <w:p w14:paraId="6871EE4C">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（4）事实依据；</w:t>
      </w:r>
    </w:p>
    <w:p w14:paraId="5606F67D">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（5）必要的法律依据；</w:t>
      </w:r>
    </w:p>
    <w:p w14:paraId="2DF23C37">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（6）提出质疑的日期。</w:t>
      </w:r>
    </w:p>
    <w:p w14:paraId="33341E5E">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4.投标人</w:t>
      </w:r>
      <w:r>
        <w:rPr>
          <w:rFonts w:hint="eastAsia" w:ascii="宋体" w:hAnsi="宋体" w:eastAsia="宋体" w:cs="宋体"/>
          <w:color w:val="auto"/>
          <w:sz w:val="24"/>
          <w:szCs w:val="24"/>
        </w:rPr>
        <w:t>可以委托代理人进行质疑和投诉。其授权委托书应当载明代理人的姓名或者名称、代理事项、具体权限、期限和相关事项。</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为自然人的，应当由本人签字；</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为法人或者其他组织的，应当由法定代表人、主要负责人，或者其授权代表签字或盖章，并加盖公章。代理人提出质疑和投诉，应当提交</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签署的授权委托书。</w:t>
      </w:r>
    </w:p>
    <w:p w14:paraId="7E1E9EC9">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质疑函内容不得含有虚假、恶意</w:t>
      </w:r>
      <w:r>
        <w:rPr>
          <w:rFonts w:hint="eastAsia" w:ascii="宋体" w:hAnsi="宋体" w:eastAsia="宋体" w:cs="宋体"/>
          <w:color w:val="auto"/>
          <w:sz w:val="24"/>
          <w:szCs w:val="24"/>
          <w:lang w:eastAsia="zh-CN"/>
        </w:rPr>
        <w:t>成分</w:t>
      </w:r>
      <w:r>
        <w:rPr>
          <w:rFonts w:hint="eastAsia" w:ascii="宋体" w:hAnsi="宋体" w:eastAsia="宋体" w:cs="宋体"/>
          <w:color w:val="auto"/>
          <w:sz w:val="24"/>
          <w:szCs w:val="24"/>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686DE4DB">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6.</w:t>
      </w:r>
      <w:r>
        <w:rPr>
          <w:rFonts w:hint="eastAsia" w:ascii="宋体" w:hAnsi="宋体" w:eastAsia="宋体" w:cs="宋体"/>
          <w:color w:val="auto"/>
          <w:sz w:val="24"/>
          <w:szCs w:val="24"/>
        </w:rPr>
        <w:t xml:space="preserve">质疑函接收方式：由自然人本人或法定代表人或者其授权代表携带书面原件及身份证明原件到现场递交，否则不予受理。 </w:t>
      </w:r>
    </w:p>
    <w:p w14:paraId="11AE03A6">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7.</w:t>
      </w:r>
      <w:r>
        <w:rPr>
          <w:rFonts w:hint="eastAsia" w:ascii="宋体" w:hAnsi="宋体" w:eastAsia="宋体" w:cs="宋体"/>
          <w:color w:val="auto"/>
          <w:sz w:val="24"/>
          <w:szCs w:val="24"/>
        </w:rPr>
        <w:t>质疑受理部门：兰天项目管理有限公司</w:t>
      </w:r>
    </w:p>
    <w:p w14:paraId="5CD88B9E">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  质疑受理电话： </w:t>
      </w:r>
      <w:r>
        <w:rPr>
          <w:rFonts w:hint="eastAsia" w:ascii="宋体" w:hAnsi="宋体" w:eastAsia="宋体" w:cs="宋体"/>
          <w:color w:val="auto"/>
          <w:sz w:val="24"/>
          <w:szCs w:val="24"/>
          <w:lang w:val="en-US" w:eastAsia="zh-CN"/>
        </w:rPr>
        <w:t>13571922922</w:t>
      </w:r>
    </w:p>
    <w:p w14:paraId="544AED13">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提交质疑函地点：</w:t>
      </w:r>
      <w:r>
        <w:rPr>
          <w:rFonts w:hint="eastAsia" w:ascii="宋体" w:hAnsi="宋体" w:eastAsia="宋体" w:cs="宋体"/>
          <w:color w:val="auto"/>
          <w:sz w:val="24"/>
          <w:szCs w:val="24"/>
          <w:lang w:val="en-US" w:eastAsia="zh-CN"/>
        </w:rPr>
        <w:t>陕西省西安市碑林区红缨路9号豪盛大厦A座10604室</w:t>
      </w:r>
      <w:r>
        <w:rPr>
          <w:rFonts w:hint="eastAsia" w:ascii="宋体" w:hAnsi="宋体" w:eastAsia="宋体" w:cs="宋体"/>
          <w:color w:val="auto"/>
          <w:sz w:val="24"/>
          <w:szCs w:val="24"/>
        </w:rPr>
        <w:t xml:space="preserve"> </w:t>
      </w:r>
    </w:p>
    <w:p w14:paraId="29161B96">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本次采购活动中，采购代理机构对质疑函回复的书面文件的送达方式为现场取件。</w:t>
      </w:r>
    </w:p>
    <w:p w14:paraId="70638E60">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如所质疑的问题比较复杂，采购人或者采购代理机构在规定的答复时间内无法回复，应事先告知提出质疑的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，同时向同级政府采购监督管理部门报告。</w:t>
      </w:r>
    </w:p>
    <w:p w14:paraId="1978E0EC">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质疑</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对采购人、采购代理机构的答复不满意，或者采购人、采购代理机构未在规定的时间内作出答复的，可以在答复期满后15个工作日内向采购人的同级政府采购监督管理部门投诉。</w:t>
      </w:r>
    </w:p>
    <w:p w14:paraId="319600A1">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质疑函应当使用中文。</w:t>
      </w:r>
    </w:p>
    <w:p w14:paraId="59D6CAF9">
      <w:pPr>
        <w:keepNext w:val="0"/>
        <w:keepLines w:val="0"/>
        <w:pageBreakBefore w:val="0"/>
        <w:widowControl/>
        <w:numPr>
          <w:ilvl w:val="0"/>
          <w:numId w:val="5"/>
        </w:numPr>
        <w:kinsoku/>
        <w:wordWrap/>
        <w:overflowPunct/>
        <w:topLinePunct w:val="0"/>
        <w:autoSpaceDE/>
        <w:autoSpaceDN/>
        <w:bidi w:val="0"/>
        <w:adjustRightInd/>
        <w:snapToGrid/>
        <w:spacing w:line="336" w:lineRule="auto"/>
        <w:ind w:firstLine="0"/>
        <w:jc w:val="center"/>
        <w:textAlignment w:val="auto"/>
        <w:outlineLvl w:val="1"/>
        <w:rPr>
          <w:rFonts w:hint="eastAsia" w:ascii="宋体" w:hAnsi="宋体" w:eastAsia="宋体" w:cs="宋体"/>
          <w:b/>
          <w:bCs/>
          <w:color w:val="auto"/>
          <w:kern w:val="0"/>
          <w:sz w:val="24"/>
          <w:szCs w:val="24"/>
        </w:rPr>
      </w:pPr>
      <w:bookmarkStart w:id="116" w:name="_Toc536202387"/>
      <w:bookmarkStart w:id="117" w:name="_Toc19543344"/>
      <w:bookmarkStart w:id="118" w:name="_Toc536429327"/>
      <w:bookmarkStart w:id="119" w:name="_Toc536429380"/>
      <w:bookmarkStart w:id="120" w:name="_Toc536202318"/>
      <w:r>
        <w:rPr>
          <w:rFonts w:hint="eastAsia" w:ascii="宋体" w:hAnsi="宋体" w:eastAsia="宋体" w:cs="宋体"/>
          <w:b/>
          <w:bCs/>
          <w:color w:val="auto"/>
          <w:kern w:val="0"/>
          <w:sz w:val="24"/>
          <w:szCs w:val="24"/>
        </w:rPr>
        <w:t>其他</w:t>
      </w:r>
      <w:bookmarkEnd w:id="116"/>
      <w:bookmarkEnd w:id="117"/>
      <w:bookmarkEnd w:id="118"/>
      <w:bookmarkEnd w:id="119"/>
      <w:bookmarkEnd w:id="120"/>
    </w:p>
    <w:p w14:paraId="5F593B3C">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rPr>
      </w:pPr>
      <w:bookmarkStart w:id="121" w:name="_Toc3298"/>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0A29E1F9">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（1）因情况变化，不再符合规定的竞争性磋商采购方式适用情形的；</w:t>
      </w:r>
    </w:p>
    <w:p w14:paraId="78B0D55C">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05C5C6C1">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（3）政府购买服务项目（含政府和社会资本合作项目）、市场竞争不充分的科研项目以及需要扶持的科技成果转化项目符合要求的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或者报价未超过采购预算的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不足2家的；其他项目符合要求的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或者报价未超过采购预算的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不足3家的；</w:t>
      </w:r>
    </w:p>
    <w:p w14:paraId="5D80FF11">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243E6A38">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磋商失败后，除采购任务取消外，将重新组织采购</w:t>
      </w:r>
      <w:bookmarkEnd w:id="121"/>
      <w:bookmarkStart w:id="122" w:name="_Toc536429381"/>
      <w:bookmarkStart w:id="123" w:name="_Toc536429328"/>
      <w:bookmarkStart w:id="124" w:name="_Toc25345"/>
      <w:bookmarkStart w:id="125" w:name="_Toc536202319"/>
      <w:bookmarkStart w:id="126" w:name="_Toc536202388"/>
      <w:r>
        <w:rPr>
          <w:rFonts w:hint="eastAsia" w:ascii="宋体" w:hAnsi="宋体" w:eastAsia="宋体" w:cs="宋体"/>
          <w:color w:val="auto"/>
          <w:sz w:val="24"/>
          <w:szCs w:val="24"/>
        </w:rPr>
        <w:t>。</w:t>
      </w:r>
      <w:bookmarkEnd w:id="122"/>
      <w:bookmarkEnd w:id="123"/>
      <w:bookmarkEnd w:id="124"/>
      <w:bookmarkEnd w:id="125"/>
      <w:bookmarkEnd w:id="126"/>
    </w:p>
    <w:p w14:paraId="3F04C2E1">
      <w:pPr>
        <w:widowControl/>
        <w:jc w:val="left"/>
        <w:rPr>
          <w:rFonts w:hint="eastAsia" w:ascii="宋体" w:hAnsi="宋体" w:eastAsia="宋体" w:cs="宋体"/>
          <w:b/>
          <w:bCs/>
          <w:caps/>
          <w:color w:val="auto"/>
          <w:sz w:val="36"/>
          <w:szCs w:val="20"/>
        </w:rPr>
      </w:pPr>
      <w:bookmarkStart w:id="127" w:name="_Toc19543345"/>
      <w:r>
        <w:rPr>
          <w:rFonts w:hint="eastAsia" w:ascii="宋体" w:hAnsi="宋体" w:eastAsia="宋体" w:cs="宋体"/>
          <w:color w:val="auto"/>
          <w:sz w:val="36"/>
        </w:rPr>
        <w:br w:type="page"/>
      </w:r>
    </w:p>
    <w:p w14:paraId="1B8A3A2A">
      <w:pPr>
        <w:jc w:val="center"/>
        <w:rPr>
          <w:rFonts w:hint="eastAsia" w:ascii="宋体" w:hAnsi="宋体" w:eastAsia="宋体" w:cs="宋体"/>
          <w:b/>
          <w:bCs/>
          <w:color w:val="auto"/>
          <w:sz w:val="36"/>
        </w:rPr>
      </w:pPr>
      <w:bookmarkStart w:id="128" w:name="_Toc9689"/>
      <w:r>
        <w:rPr>
          <w:rFonts w:hint="eastAsia" w:ascii="宋体" w:hAnsi="宋体" w:eastAsia="宋体" w:cs="宋体"/>
          <w:b/>
          <w:bCs/>
          <w:color w:val="auto"/>
          <w:sz w:val="36"/>
        </w:rPr>
        <w:t>评分标准</w:t>
      </w:r>
      <w:bookmarkEnd w:id="127"/>
      <w:bookmarkEnd w:id="128"/>
      <w:bookmarkStart w:id="129" w:name="_Toc262"/>
    </w:p>
    <w:tbl>
      <w:tblPr>
        <w:tblStyle w:val="195"/>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22"/>
        <w:gridCol w:w="1082"/>
        <w:gridCol w:w="772"/>
        <w:gridCol w:w="6590"/>
      </w:tblGrid>
      <w:tr w14:paraId="50BA2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343" w:type="pct"/>
            <w:vAlign w:val="center"/>
          </w:tcPr>
          <w:p w14:paraId="7ABB2345">
            <w:pPr>
              <w:pStyle w:val="203"/>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pacing w:val="-9"/>
                <w14:textFill>
                  <w14:solidFill>
                    <w14:schemeClr w14:val="tx1"/>
                  </w14:solidFill>
                </w14:textFill>
              </w:rPr>
              <w:t>序号</w:t>
            </w:r>
          </w:p>
        </w:tc>
        <w:tc>
          <w:tcPr>
            <w:tcW w:w="597" w:type="pct"/>
            <w:vAlign w:val="center"/>
          </w:tcPr>
          <w:p w14:paraId="7845019A">
            <w:pPr>
              <w:pStyle w:val="203"/>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pacing w:val="-6"/>
                <w14:textFill>
                  <w14:solidFill>
                    <w14:schemeClr w14:val="tx1"/>
                  </w14:solidFill>
                </w14:textFill>
              </w:rPr>
              <w:t>评审要素</w:t>
            </w:r>
          </w:p>
        </w:tc>
        <w:tc>
          <w:tcPr>
            <w:tcW w:w="426" w:type="pct"/>
            <w:vAlign w:val="center"/>
          </w:tcPr>
          <w:p w14:paraId="0A5B74BF">
            <w:pPr>
              <w:pStyle w:val="203"/>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pacing w:val="-11"/>
                <w14:textFill>
                  <w14:solidFill>
                    <w14:schemeClr w14:val="tx1"/>
                  </w14:solidFill>
                </w14:textFill>
              </w:rPr>
              <w:t>分值</w:t>
            </w:r>
          </w:p>
        </w:tc>
        <w:tc>
          <w:tcPr>
            <w:tcW w:w="3634" w:type="pct"/>
            <w:vAlign w:val="center"/>
          </w:tcPr>
          <w:p w14:paraId="719A8A57">
            <w:pPr>
              <w:pStyle w:val="203"/>
              <w:ind w:firstLine="458"/>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pacing w:val="-6"/>
                <w14:textFill>
                  <w14:solidFill>
                    <w14:schemeClr w14:val="tx1"/>
                  </w14:solidFill>
                </w14:textFill>
              </w:rPr>
              <w:t>评分标准</w:t>
            </w:r>
          </w:p>
        </w:tc>
      </w:tr>
      <w:tr w14:paraId="76824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jc w:val="center"/>
        </w:trPr>
        <w:tc>
          <w:tcPr>
            <w:tcW w:w="343" w:type="pct"/>
            <w:vAlign w:val="center"/>
          </w:tcPr>
          <w:p w14:paraId="1143951E">
            <w:pPr>
              <w:pStyle w:val="203"/>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position w:val="1"/>
                <w14:textFill>
                  <w14:solidFill>
                    <w14:schemeClr w14:val="tx1"/>
                  </w14:solidFill>
                </w14:textFill>
              </w:rPr>
              <w:t>1</w:t>
            </w:r>
          </w:p>
        </w:tc>
        <w:tc>
          <w:tcPr>
            <w:tcW w:w="597" w:type="pct"/>
            <w:vAlign w:val="center"/>
          </w:tcPr>
          <w:p w14:paraId="68BC6A60">
            <w:pPr>
              <w:pStyle w:val="203"/>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投标报价</w:t>
            </w:r>
          </w:p>
        </w:tc>
        <w:tc>
          <w:tcPr>
            <w:tcW w:w="426" w:type="pct"/>
            <w:vAlign w:val="center"/>
          </w:tcPr>
          <w:p w14:paraId="1F49D3D9">
            <w:pPr>
              <w:pStyle w:val="203"/>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10分</w:t>
            </w:r>
          </w:p>
        </w:tc>
        <w:tc>
          <w:tcPr>
            <w:tcW w:w="3634" w:type="pct"/>
            <w:vAlign w:val="center"/>
          </w:tcPr>
          <w:p w14:paraId="6E50DFAE">
            <w:pPr>
              <w:ind w:firstLine="476"/>
              <w:rPr>
                <w:rFonts w:hint="eastAsia" w:ascii="宋体" w:hAnsi="宋体" w:eastAsia="宋体" w:cs="宋体"/>
                <w:snapToGrid w:val="0"/>
                <w:color w:val="000000" w:themeColor="text1"/>
                <w:spacing w:val="-1"/>
                <w:kern w:val="0"/>
                <w:sz w:val="24"/>
                <w:szCs w:val="24"/>
                <w14:textFill>
                  <w14:solidFill>
                    <w14:schemeClr w14:val="tx1"/>
                  </w14:solidFill>
                </w14:textFill>
              </w:rPr>
            </w:pPr>
            <w:r>
              <w:rPr>
                <w:rFonts w:hint="eastAsia" w:ascii="宋体" w:hAnsi="宋体" w:eastAsia="宋体" w:cs="宋体"/>
                <w:snapToGrid w:val="0"/>
                <w:color w:val="000000" w:themeColor="text1"/>
                <w:spacing w:val="-1"/>
                <w:kern w:val="0"/>
                <w:sz w:val="24"/>
                <w:szCs w:val="24"/>
                <w14:textFill>
                  <w14:solidFill>
                    <w14:schemeClr w14:val="tx1"/>
                  </w14:solidFill>
                </w14:textFill>
              </w:rPr>
              <w:t>价格分采用低价优先法计算，即满足磋商文件要求且投标价格最低的投标报价为评审基准价，其价格分为满分。其他投标人的价格分统一按照下列公式计算：</w:t>
            </w:r>
          </w:p>
          <w:p w14:paraId="2FA20ABA">
            <w:pPr>
              <w:pStyle w:val="203"/>
              <w:ind w:right="103" w:firstLine="476"/>
              <w:jc w:val="both"/>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投标报价得分=（评审基准价/投标报价）×10</w:t>
            </w:r>
          </w:p>
        </w:tc>
      </w:tr>
      <w:tr w14:paraId="5E8F8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jc w:val="center"/>
        </w:trPr>
        <w:tc>
          <w:tcPr>
            <w:tcW w:w="343" w:type="pct"/>
            <w:vAlign w:val="center"/>
          </w:tcPr>
          <w:p w14:paraId="7ED4C106">
            <w:pPr>
              <w:pStyle w:val="203"/>
              <w:jc w:val="center"/>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2</w:t>
            </w:r>
          </w:p>
        </w:tc>
        <w:tc>
          <w:tcPr>
            <w:tcW w:w="597" w:type="pct"/>
            <w:vAlign w:val="center"/>
          </w:tcPr>
          <w:p w14:paraId="42FE0614">
            <w:pPr>
              <w:pStyle w:val="203"/>
              <w:jc w:val="center"/>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商务响应</w:t>
            </w:r>
          </w:p>
        </w:tc>
        <w:tc>
          <w:tcPr>
            <w:tcW w:w="426" w:type="pct"/>
            <w:vAlign w:val="center"/>
          </w:tcPr>
          <w:p w14:paraId="263C13B2">
            <w:pPr>
              <w:pStyle w:val="203"/>
              <w:jc w:val="center"/>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5分</w:t>
            </w:r>
          </w:p>
        </w:tc>
        <w:tc>
          <w:tcPr>
            <w:tcW w:w="3634" w:type="pct"/>
            <w:vAlign w:val="center"/>
          </w:tcPr>
          <w:p w14:paraId="69CC52C0">
            <w:pPr>
              <w:pStyle w:val="203"/>
              <w:ind w:right="103" w:firstLine="476"/>
              <w:jc w:val="both"/>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经过有效性和符合性审核合格的投标人，对商务要求完全响应磋商文件要求的计3分。商务偏离表中有优于情况的计5分。无响应或部分响应的不计分。</w:t>
            </w:r>
          </w:p>
        </w:tc>
      </w:tr>
      <w:tr w14:paraId="67DA5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343" w:type="pct"/>
            <w:vAlign w:val="center"/>
          </w:tcPr>
          <w:p w14:paraId="443C1931">
            <w:pPr>
              <w:pStyle w:val="203"/>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position w:val="1"/>
                <w:lang w:val="en-US" w:eastAsia="zh-CN"/>
                <w14:textFill>
                  <w14:solidFill>
                    <w14:schemeClr w14:val="tx1"/>
                  </w14:solidFill>
                </w14:textFill>
              </w:rPr>
              <w:t>3</w:t>
            </w:r>
          </w:p>
        </w:tc>
        <w:tc>
          <w:tcPr>
            <w:tcW w:w="597" w:type="pct"/>
            <w:vAlign w:val="center"/>
          </w:tcPr>
          <w:p w14:paraId="509F4EBB">
            <w:pPr>
              <w:pStyle w:val="203"/>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总体服务方案</w:t>
            </w:r>
          </w:p>
        </w:tc>
        <w:tc>
          <w:tcPr>
            <w:tcW w:w="426" w:type="pct"/>
            <w:vAlign w:val="center"/>
          </w:tcPr>
          <w:p w14:paraId="0A9C4549">
            <w:pPr>
              <w:pStyle w:val="203"/>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4"/>
                <w:lang w:eastAsia="zh-CN"/>
                <w14:textFill>
                  <w14:solidFill>
                    <w14:schemeClr w14:val="tx1"/>
                  </w14:solidFill>
                </w14:textFill>
              </w:rPr>
              <w:t>50</w:t>
            </w:r>
            <w:r>
              <w:rPr>
                <w:rFonts w:hint="eastAsia" w:ascii="宋体" w:hAnsi="宋体" w:eastAsia="宋体" w:cs="宋体"/>
                <w:color w:val="000000" w:themeColor="text1"/>
                <w:spacing w:val="-4"/>
                <w14:textFill>
                  <w14:solidFill>
                    <w14:schemeClr w14:val="tx1"/>
                  </w14:solidFill>
                </w14:textFill>
              </w:rPr>
              <w:t>分</w:t>
            </w:r>
          </w:p>
        </w:tc>
        <w:tc>
          <w:tcPr>
            <w:tcW w:w="3634" w:type="pct"/>
            <w:vAlign w:val="center"/>
          </w:tcPr>
          <w:p w14:paraId="281AC3D5">
            <w:pPr>
              <w:pStyle w:val="203"/>
              <w:ind w:firstLine="476"/>
              <w:jc w:val="both"/>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1</w:t>
            </w:r>
            <w:r>
              <w:rPr>
                <w:rFonts w:hint="eastAsia" w:ascii="宋体" w:hAnsi="宋体" w:eastAsia="宋体" w:cs="宋体"/>
                <w:b/>
                <w:bCs/>
                <w:color w:val="000000" w:themeColor="text1"/>
                <w:spacing w:val="-1"/>
                <w:lang w:eastAsia="zh-CN"/>
                <w14:textFill>
                  <w14:solidFill>
                    <w14:schemeClr w14:val="tx1"/>
                  </w14:solidFill>
                </w14:textFill>
              </w:rPr>
              <w:t>.</w:t>
            </w:r>
            <w:r>
              <w:rPr>
                <w:rFonts w:hint="eastAsia" w:ascii="宋体" w:hAnsi="宋体" w:eastAsia="宋体" w:cs="宋体"/>
                <w:b/>
                <w:bCs/>
                <w:color w:val="000000" w:themeColor="text1"/>
                <w:lang w:eastAsia="zh-CN"/>
                <w14:textFill>
                  <w14:solidFill>
                    <w14:schemeClr w14:val="tx1"/>
                  </w14:solidFill>
                </w14:textFill>
              </w:rPr>
              <w:t xml:space="preserve"> </w:t>
            </w:r>
            <w:r>
              <w:rPr>
                <w:rFonts w:hint="eastAsia" w:ascii="宋体" w:hAnsi="宋体" w:eastAsia="宋体" w:cs="宋体"/>
                <w:b/>
                <w:bCs/>
                <w:color w:val="000000" w:themeColor="text1"/>
                <w:spacing w:val="-1"/>
                <w:lang w:eastAsia="zh-CN"/>
                <w14:textFill>
                  <w14:solidFill>
                    <w14:schemeClr w14:val="tx1"/>
                  </w14:solidFill>
                </w14:textFill>
              </w:rPr>
              <w:t>场地认知</w:t>
            </w:r>
            <w:r>
              <w:rPr>
                <w:rFonts w:hint="eastAsia" w:ascii="宋体" w:hAnsi="宋体" w:eastAsia="宋体" w:cs="宋体"/>
                <w:color w:val="000000" w:themeColor="text1"/>
                <w:spacing w:val="-1"/>
                <w:lang w:eastAsia="zh-CN"/>
                <w14:textFill>
                  <w14:solidFill>
                    <w14:schemeClr w14:val="tx1"/>
                  </w14:solidFill>
                </w14:textFill>
              </w:rPr>
              <w:t>(10分):</w:t>
            </w:r>
          </w:p>
          <w:p w14:paraId="25D792B4">
            <w:pPr>
              <w:pStyle w:val="203"/>
              <w:ind w:firstLine="476"/>
              <w:jc w:val="both"/>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投标人对项目规划区充分分析场地的基本情况、现状特征、地域文化特征以及周边环境情况等。对项目现状典型分析透彻、主要问题把握全面、符合当地现状。</w:t>
            </w:r>
          </w:p>
          <w:p w14:paraId="5A23D270">
            <w:pPr>
              <w:pStyle w:val="203"/>
              <w:ind w:firstLine="476"/>
              <w:jc w:val="both"/>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（1）分析充分合理，计</w:t>
            </w:r>
            <w:bookmarkStart w:id="130" w:name="OLE_LINK20"/>
            <w:bookmarkStart w:id="131" w:name="OLE_LINK19"/>
            <w:bookmarkStart w:id="132" w:name="OLE_LINK16"/>
            <w:r>
              <w:rPr>
                <w:rFonts w:hint="eastAsia" w:ascii="宋体" w:hAnsi="宋体" w:eastAsia="宋体" w:cs="宋体"/>
                <w:color w:val="000000" w:themeColor="text1"/>
                <w:spacing w:val="-1"/>
                <w:lang w:eastAsia="zh-CN"/>
                <w14:textFill>
                  <w14:solidFill>
                    <w14:schemeClr w14:val="tx1"/>
                  </w14:solidFill>
                </w14:textFill>
              </w:rPr>
              <w:t>7.1-10</w:t>
            </w:r>
            <w:bookmarkEnd w:id="130"/>
            <w:bookmarkEnd w:id="131"/>
            <w:bookmarkEnd w:id="132"/>
            <w:r>
              <w:rPr>
                <w:rFonts w:hint="eastAsia" w:ascii="宋体" w:hAnsi="宋体" w:eastAsia="宋体" w:cs="宋体"/>
                <w:color w:val="000000" w:themeColor="text1"/>
                <w:spacing w:val="-1"/>
                <w:lang w:eastAsia="zh-CN"/>
                <w14:textFill>
                  <w14:solidFill>
                    <w14:schemeClr w14:val="tx1"/>
                  </w14:solidFill>
                </w14:textFill>
              </w:rPr>
              <w:t>分；</w:t>
            </w:r>
          </w:p>
          <w:p w14:paraId="2B4D04BB">
            <w:pPr>
              <w:pStyle w:val="203"/>
              <w:ind w:firstLine="476"/>
              <w:jc w:val="both"/>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（2）分析基本充分合理，计</w:t>
            </w:r>
            <w:bookmarkStart w:id="133" w:name="OLE_LINK22"/>
            <w:bookmarkStart w:id="134" w:name="OLE_LINK21"/>
            <w:r>
              <w:rPr>
                <w:rFonts w:hint="eastAsia" w:ascii="宋体" w:hAnsi="宋体" w:eastAsia="宋体" w:cs="宋体"/>
                <w:color w:val="000000" w:themeColor="text1"/>
                <w:spacing w:val="-1"/>
                <w:lang w:eastAsia="zh-CN"/>
                <w14:textFill>
                  <w14:solidFill>
                    <w14:schemeClr w14:val="tx1"/>
                  </w14:solidFill>
                </w14:textFill>
              </w:rPr>
              <w:t>4.1-7</w:t>
            </w:r>
            <w:bookmarkEnd w:id="133"/>
            <w:bookmarkEnd w:id="134"/>
            <w:r>
              <w:rPr>
                <w:rFonts w:hint="eastAsia" w:ascii="宋体" w:hAnsi="宋体" w:eastAsia="宋体" w:cs="宋体"/>
                <w:color w:val="000000" w:themeColor="text1"/>
                <w:spacing w:val="-1"/>
                <w:lang w:eastAsia="zh-CN"/>
                <w14:textFill>
                  <w14:solidFill>
                    <w14:schemeClr w14:val="tx1"/>
                  </w14:solidFill>
                </w14:textFill>
              </w:rPr>
              <w:t>分；</w:t>
            </w:r>
          </w:p>
          <w:p w14:paraId="44BB3EF1">
            <w:pPr>
              <w:pStyle w:val="203"/>
              <w:ind w:firstLine="476"/>
              <w:jc w:val="both"/>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（3）分析不充分、不合理，计</w:t>
            </w:r>
            <w:bookmarkStart w:id="135" w:name="OLE_LINK24"/>
            <w:bookmarkStart w:id="136" w:name="OLE_LINK23"/>
            <w:r>
              <w:rPr>
                <w:rFonts w:hint="eastAsia" w:ascii="宋体" w:hAnsi="宋体" w:eastAsia="宋体" w:cs="宋体"/>
                <w:color w:val="000000" w:themeColor="text1"/>
                <w:spacing w:val="-1"/>
                <w:lang w:eastAsia="zh-CN"/>
                <w14:textFill>
                  <w14:solidFill>
                    <w14:schemeClr w14:val="tx1"/>
                  </w14:solidFill>
                </w14:textFill>
              </w:rPr>
              <w:t>0.1-4</w:t>
            </w:r>
            <w:bookmarkEnd w:id="135"/>
            <w:bookmarkEnd w:id="136"/>
            <w:r>
              <w:rPr>
                <w:rFonts w:hint="eastAsia" w:ascii="宋体" w:hAnsi="宋体" w:eastAsia="宋体" w:cs="宋体"/>
                <w:color w:val="000000" w:themeColor="text1"/>
                <w:spacing w:val="-1"/>
                <w:lang w:eastAsia="zh-CN"/>
                <w14:textFill>
                  <w14:solidFill>
                    <w14:schemeClr w14:val="tx1"/>
                  </w14:solidFill>
                </w14:textFill>
              </w:rPr>
              <w:t>分。未提供不得分。</w:t>
            </w:r>
          </w:p>
          <w:p w14:paraId="5E6A888D">
            <w:pPr>
              <w:pStyle w:val="203"/>
              <w:ind w:firstLine="476"/>
              <w:jc w:val="both"/>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2</w:t>
            </w:r>
            <w:r>
              <w:rPr>
                <w:rFonts w:hint="eastAsia" w:ascii="宋体" w:hAnsi="宋体" w:eastAsia="宋体" w:cs="宋体"/>
                <w:b/>
                <w:bCs/>
                <w:color w:val="000000" w:themeColor="text1"/>
                <w:spacing w:val="-1"/>
                <w:lang w:eastAsia="zh-CN"/>
                <w14:textFill>
                  <w14:solidFill>
                    <w14:schemeClr w14:val="tx1"/>
                  </w14:solidFill>
                </w14:textFill>
              </w:rPr>
              <w:t>.规划理念</w:t>
            </w:r>
            <w:r>
              <w:rPr>
                <w:rFonts w:hint="eastAsia" w:ascii="宋体" w:hAnsi="宋体" w:eastAsia="宋体" w:cs="宋体"/>
                <w:color w:val="000000" w:themeColor="text1"/>
                <w:spacing w:val="-1"/>
                <w:lang w:eastAsia="zh-CN"/>
                <w14:textFill>
                  <w14:solidFill>
                    <w14:schemeClr w14:val="tx1"/>
                  </w14:solidFill>
                </w14:textFill>
              </w:rPr>
              <w:t>(15分):</w:t>
            </w:r>
          </w:p>
          <w:p w14:paraId="380583BB">
            <w:pPr>
              <w:pStyle w:val="203"/>
              <w:ind w:firstLine="476"/>
              <w:jc w:val="both"/>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针对本项目，具有先进的规划理念，符合项目实际情况。对项目需求进行优化规划，对关键步骤、环节提出合理的建议且内容准确全面，思路清晰，逻辑严密，满足技术要求，符合相关规范及地方法规政策要求，有较强的指导性及可操作性。</w:t>
            </w:r>
          </w:p>
          <w:p w14:paraId="469B7619">
            <w:pPr>
              <w:pStyle w:val="203"/>
              <w:ind w:firstLine="476"/>
              <w:jc w:val="both"/>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（1）完全满足本项目要求的，计</w:t>
            </w:r>
            <w:bookmarkStart w:id="137" w:name="OLE_LINK10"/>
            <w:bookmarkStart w:id="138" w:name="OLE_LINK11"/>
            <w:r>
              <w:rPr>
                <w:rFonts w:hint="eastAsia" w:ascii="宋体" w:hAnsi="宋体" w:eastAsia="宋体" w:cs="宋体"/>
                <w:color w:val="000000" w:themeColor="text1"/>
                <w:spacing w:val="-1"/>
                <w:lang w:eastAsia="zh-CN"/>
                <w14:textFill>
                  <w14:solidFill>
                    <w14:schemeClr w14:val="tx1"/>
                  </w14:solidFill>
                </w14:textFill>
              </w:rPr>
              <w:t>10.1-15</w:t>
            </w:r>
            <w:bookmarkEnd w:id="137"/>
            <w:bookmarkEnd w:id="138"/>
            <w:r>
              <w:rPr>
                <w:rFonts w:hint="eastAsia" w:ascii="宋体" w:hAnsi="宋体" w:eastAsia="宋体" w:cs="宋体"/>
                <w:color w:val="000000" w:themeColor="text1"/>
                <w:spacing w:val="-1"/>
                <w:lang w:eastAsia="zh-CN"/>
                <w14:textFill>
                  <w14:solidFill>
                    <w14:schemeClr w14:val="tx1"/>
                  </w14:solidFill>
                </w14:textFill>
              </w:rPr>
              <w:t>分；</w:t>
            </w:r>
          </w:p>
          <w:p w14:paraId="550E7CC4">
            <w:pPr>
              <w:pStyle w:val="203"/>
              <w:ind w:firstLine="476"/>
              <w:jc w:val="both"/>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（2）基本能满足本项目要求的，计</w:t>
            </w:r>
            <w:bookmarkStart w:id="139" w:name="OLE_LINK12"/>
            <w:bookmarkStart w:id="140" w:name="OLE_LINK13"/>
            <w:r>
              <w:rPr>
                <w:rFonts w:hint="eastAsia" w:ascii="宋体" w:hAnsi="宋体" w:eastAsia="宋体" w:cs="宋体"/>
                <w:color w:val="000000" w:themeColor="text1"/>
                <w:spacing w:val="-1"/>
                <w:lang w:eastAsia="zh-CN"/>
                <w14:textFill>
                  <w14:solidFill>
                    <w14:schemeClr w14:val="tx1"/>
                  </w14:solidFill>
                </w14:textFill>
              </w:rPr>
              <w:t>6.1-10</w:t>
            </w:r>
            <w:bookmarkEnd w:id="139"/>
            <w:bookmarkEnd w:id="140"/>
            <w:r>
              <w:rPr>
                <w:rFonts w:hint="eastAsia" w:ascii="宋体" w:hAnsi="宋体" w:eastAsia="宋体" w:cs="宋体"/>
                <w:color w:val="000000" w:themeColor="text1"/>
                <w:spacing w:val="-1"/>
                <w:lang w:eastAsia="zh-CN"/>
                <w14:textFill>
                  <w14:solidFill>
                    <w14:schemeClr w14:val="tx1"/>
                  </w14:solidFill>
                </w14:textFill>
              </w:rPr>
              <w:t>分；</w:t>
            </w:r>
          </w:p>
          <w:p w14:paraId="27D54352">
            <w:pPr>
              <w:pStyle w:val="203"/>
              <w:ind w:firstLine="476"/>
              <w:jc w:val="both"/>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（3）无法满足本项目要求的，计</w:t>
            </w:r>
            <w:bookmarkStart w:id="141" w:name="OLE_LINK14"/>
            <w:bookmarkStart w:id="142" w:name="OLE_LINK15"/>
            <w:r>
              <w:rPr>
                <w:rFonts w:hint="eastAsia" w:ascii="宋体" w:hAnsi="宋体" w:eastAsia="宋体" w:cs="宋体"/>
                <w:color w:val="000000" w:themeColor="text1"/>
                <w:spacing w:val="-1"/>
                <w:lang w:eastAsia="zh-CN"/>
                <w14:textFill>
                  <w14:solidFill>
                    <w14:schemeClr w14:val="tx1"/>
                  </w14:solidFill>
                </w14:textFill>
              </w:rPr>
              <w:t>0.1-6</w:t>
            </w:r>
            <w:bookmarkEnd w:id="141"/>
            <w:bookmarkEnd w:id="142"/>
            <w:r>
              <w:rPr>
                <w:rFonts w:hint="eastAsia" w:ascii="宋体" w:hAnsi="宋体" w:eastAsia="宋体" w:cs="宋体"/>
                <w:color w:val="000000" w:themeColor="text1"/>
                <w:spacing w:val="-1"/>
                <w:lang w:eastAsia="zh-CN"/>
                <w14:textFill>
                  <w14:solidFill>
                    <w14:schemeClr w14:val="tx1"/>
                  </w14:solidFill>
                </w14:textFill>
              </w:rPr>
              <w:t>分。未提供不得分。</w:t>
            </w:r>
          </w:p>
          <w:p w14:paraId="3B846BA5">
            <w:pPr>
              <w:pStyle w:val="203"/>
              <w:ind w:firstLine="478"/>
              <w:jc w:val="both"/>
              <w:rPr>
                <w:rFonts w:hint="eastAsia" w:ascii="宋体" w:hAnsi="宋体" w:eastAsia="宋体" w:cs="宋体"/>
                <w:b/>
                <w:bCs/>
                <w:color w:val="000000" w:themeColor="text1"/>
                <w:spacing w:val="-1"/>
                <w:lang w:eastAsia="zh-CN"/>
                <w14:textFill>
                  <w14:solidFill>
                    <w14:schemeClr w14:val="tx1"/>
                  </w14:solidFill>
                </w14:textFill>
              </w:rPr>
            </w:pPr>
            <w:r>
              <w:rPr>
                <w:rFonts w:hint="eastAsia" w:ascii="宋体" w:hAnsi="宋体" w:eastAsia="宋体" w:cs="宋体"/>
                <w:b/>
                <w:bCs/>
                <w:color w:val="000000" w:themeColor="text1"/>
                <w:spacing w:val="-1"/>
                <w:lang w:eastAsia="zh-CN"/>
                <w14:textFill>
                  <w14:solidFill>
                    <w14:schemeClr w14:val="tx1"/>
                  </w14:solidFill>
                </w14:textFill>
              </w:rPr>
              <w:t>3.规划思路</w:t>
            </w:r>
            <w:r>
              <w:rPr>
                <w:rFonts w:hint="eastAsia" w:ascii="宋体" w:hAnsi="宋体" w:eastAsia="宋体" w:cs="宋体"/>
                <w:color w:val="000000" w:themeColor="text1"/>
                <w:spacing w:val="-1"/>
                <w:lang w:eastAsia="zh-CN"/>
                <w14:textFill>
                  <w14:solidFill>
                    <w14:schemeClr w14:val="tx1"/>
                  </w14:solidFill>
                </w14:textFill>
              </w:rPr>
              <w:t>(15分):</w:t>
            </w:r>
          </w:p>
          <w:p w14:paraId="62225E06">
            <w:pPr>
              <w:pStyle w:val="203"/>
              <w:ind w:firstLine="476"/>
              <w:jc w:val="both"/>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（1）针对本项目有详细可行的规划思路，内容完整、合理有效、描述详细，计10.1-15分；</w:t>
            </w:r>
          </w:p>
          <w:p w14:paraId="5B7DF826">
            <w:pPr>
              <w:pStyle w:val="203"/>
              <w:ind w:firstLine="476"/>
              <w:jc w:val="both"/>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（2）内容基本完整、基本合理有效、描述基本详细，计6.1-10分；</w:t>
            </w:r>
          </w:p>
          <w:p w14:paraId="0AA5C032">
            <w:pPr>
              <w:pStyle w:val="203"/>
              <w:ind w:firstLine="476"/>
              <w:jc w:val="both"/>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（3）内容不完整、不合理有效、描述不详细，0.1-6分。未提供不得分。</w:t>
            </w:r>
          </w:p>
          <w:p w14:paraId="13CAF158">
            <w:pPr>
              <w:pStyle w:val="203"/>
              <w:ind w:firstLine="478"/>
              <w:jc w:val="both"/>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b/>
                <w:bCs/>
                <w:color w:val="000000" w:themeColor="text1"/>
                <w:spacing w:val="-1"/>
                <w:lang w:eastAsia="zh-CN"/>
                <w14:textFill>
                  <w14:solidFill>
                    <w14:schemeClr w14:val="tx1"/>
                  </w14:solidFill>
                </w14:textFill>
              </w:rPr>
              <w:t>4.重难点分析</w:t>
            </w:r>
            <w:r>
              <w:rPr>
                <w:rFonts w:hint="eastAsia" w:ascii="宋体" w:hAnsi="宋体" w:eastAsia="宋体" w:cs="宋体"/>
                <w:color w:val="000000" w:themeColor="text1"/>
                <w:spacing w:val="-1"/>
                <w:lang w:eastAsia="zh-CN"/>
                <w14:textFill>
                  <w14:solidFill>
                    <w14:schemeClr w14:val="tx1"/>
                  </w14:solidFill>
                </w14:textFill>
              </w:rPr>
              <w:t>（10分）</w:t>
            </w:r>
          </w:p>
          <w:p w14:paraId="6B9972C4">
            <w:pPr>
              <w:pStyle w:val="203"/>
              <w:ind w:firstLine="476"/>
              <w:jc w:val="both"/>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供应商对规划重点和难点进行说明，针对本项目实际，发掘本项目规划工作中的重点与难点内容，并做出有针对性其进行分析，提出解决方案。</w:t>
            </w:r>
          </w:p>
          <w:p w14:paraId="78D4B313">
            <w:pPr>
              <w:pStyle w:val="203"/>
              <w:ind w:firstLine="476"/>
              <w:jc w:val="both"/>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（1）分析全面，深刻了解项目需求、重点、难点突出的计7.1-10分；</w:t>
            </w:r>
          </w:p>
          <w:p w14:paraId="12E6D312">
            <w:pPr>
              <w:pStyle w:val="203"/>
              <w:ind w:firstLine="476"/>
              <w:jc w:val="both"/>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（2）分析较全面，基本能满足项目要求，计4.1-7分；</w:t>
            </w:r>
          </w:p>
          <w:p w14:paraId="3C3C140F">
            <w:pPr>
              <w:pStyle w:val="203"/>
              <w:ind w:firstLine="476"/>
              <w:jc w:val="both"/>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（3）分析不全面或者不合理的，计0.1-4分。未提供不得分。</w:t>
            </w:r>
          </w:p>
        </w:tc>
      </w:tr>
      <w:tr w14:paraId="48956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jc w:val="center"/>
        </w:trPr>
        <w:tc>
          <w:tcPr>
            <w:tcW w:w="343" w:type="pct"/>
            <w:vAlign w:val="center"/>
          </w:tcPr>
          <w:p w14:paraId="3E6D9ABD">
            <w:pPr>
              <w:pStyle w:val="203"/>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4</w:t>
            </w:r>
          </w:p>
        </w:tc>
        <w:tc>
          <w:tcPr>
            <w:tcW w:w="597" w:type="pct"/>
            <w:vAlign w:val="center"/>
          </w:tcPr>
          <w:p w14:paraId="0DD60FBE">
            <w:pPr>
              <w:pStyle w:val="203"/>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pacing w:val="-4"/>
                <w:lang w:eastAsia="zh-CN"/>
                <w14:textFill>
                  <w14:solidFill>
                    <w14:schemeClr w14:val="tx1"/>
                  </w14:solidFill>
                </w14:textFill>
              </w:rPr>
              <w:t>工作进度计划</w:t>
            </w:r>
            <w:r>
              <w:rPr>
                <w:rFonts w:hint="eastAsia" w:ascii="宋体" w:hAnsi="宋体" w:eastAsia="宋体" w:cs="宋体"/>
                <w:color w:val="000000" w:themeColor="text1"/>
                <w:spacing w:val="-3"/>
                <w:lang w:eastAsia="zh-CN"/>
                <w14:textFill>
                  <w14:solidFill>
                    <w14:schemeClr w14:val="tx1"/>
                  </w14:solidFill>
                </w14:textFill>
              </w:rPr>
              <w:t>及质量保障措</w:t>
            </w:r>
            <w:r>
              <w:rPr>
                <w:rFonts w:hint="eastAsia" w:ascii="宋体" w:hAnsi="宋体" w:eastAsia="宋体" w:cs="宋体"/>
                <w:color w:val="000000" w:themeColor="text1"/>
                <w:lang w:eastAsia="zh-CN"/>
                <w14:textFill>
                  <w14:solidFill>
                    <w14:schemeClr w14:val="tx1"/>
                  </w14:solidFill>
                </w14:textFill>
              </w:rPr>
              <w:t>施</w:t>
            </w:r>
          </w:p>
        </w:tc>
        <w:tc>
          <w:tcPr>
            <w:tcW w:w="426" w:type="pct"/>
            <w:vAlign w:val="center"/>
          </w:tcPr>
          <w:p w14:paraId="68269FA6">
            <w:pPr>
              <w:pStyle w:val="203"/>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8"/>
                <w:lang w:eastAsia="zh-CN"/>
                <w14:textFill>
                  <w14:solidFill>
                    <w14:schemeClr w14:val="tx1"/>
                  </w14:solidFill>
                </w14:textFill>
              </w:rPr>
              <w:t>5</w:t>
            </w:r>
            <w:r>
              <w:rPr>
                <w:rFonts w:hint="eastAsia" w:ascii="宋体" w:hAnsi="宋体" w:eastAsia="宋体" w:cs="宋体"/>
                <w:color w:val="000000" w:themeColor="text1"/>
                <w:spacing w:val="-8"/>
                <w14:textFill>
                  <w14:solidFill>
                    <w14:schemeClr w14:val="tx1"/>
                  </w14:solidFill>
                </w14:textFill>
              </w:rPr>
              <w:t>分</w:t>
            </w:r>
          </w:p>
        </w:tc>
        <w:tc>
          <w:tcPr>
            <w:tcW w:w="3634" w:type="pct"/>
            <w:vAlign w:val="center"/>
          </w:tcPr>
          <w:p w14:paraId="2CC782EA">
            <w:pPr>
              <w:pStyle w:val="203"/>
              <w:ind w:right="103" w:firstLine="476"/>
              <w:jc w:val="both"/>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投标人应针对项目实际需求编制工作进度计划及质量保障措施，包含且不限于以下内容：</w:t>
            </w:r>
          </w:p>
          <w:p w14:paraId="7CF61C27">
            <w:pPr>
              <w:pStyle w:val="203"/>
              <w:ind w:right="103" w:firstLine="476"/>
              <w:jc w:val="both"/>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（1）工作进度计划安排；</w:t>
            </w:r>
          </w:p>
          <w:p w14:paraId="08A2F982">
            <w:pPr>
              <w:pStyle w:val="203"/>
              <w:ind w:right="103" w:firstLine="476"/>
              <w:jc w:val="both"/>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（2）工作进度保障措施；</w:t>
            </w:r>
          </w:p>
          <w:p w14:paraId="6F4AB515">
            <w:pPr>
              <w:pStyle w:val="203"/>
              <w:ind w:right="103" w:firstLine="476"/>
              <w:jc w:val="both"/>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（3）规划工期保障措施；</w:t>
            </w:r>
          </w:p>
          <w:p w14:paraId="2011E410">
            <w:pPr>
              <w:pStyle w:val="203"/>
              <w:ind w:right="103" w:firstLine="476"/>
              <w:jc w:val="both"/>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（4）服务质量保证体系；</w:t>
            </w:r>
          </w:p>
          <w:p w14:paraId="6966EFFC">
            <w:pPr>
              <w:pStyle w:val="203"/>
              <w:ind w:right="103" w:firstLine="476"/>
              <w:jc w:val="both"/>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（5）质量保障措施等。</w:t>
            </w:r>
          </w:p>
          <w:p w14:paraId="2D117CE7">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（1）针对上述要求逐条详细描述且项目实施计划切实可行，</w:t>
            </w:r>
            <w:r>
              <w:rPr>
                <w:rFonts w:hint="eastAsia" w:ascii="宋体" w:hAnsi="宋体" w:eastAsia="宋体" w:cs="宋体"/>
                <w:color w:val="000000" w:themeColor="text1"/>
                <w:sz w:val="24"/>
                <w14:textFill>
                  <w14:solidFill>
                    <w14:schemeClr w14:val="tx1"/>
                  </w14:solidFill>
                </w14:textFill>
              </w:rPr>
              <w:t>措施完善详尽、可行</w:t>
            </w:r>
            <w:r>
              <w:rPr>
                <w:rFonts w:hint="eastAsia" w:ascii="宋体" w:hAnsi="宋体" w:eastAsia="宋体" w:cs="宋体"/>
                <w:color w:val="000000" w:themeColor="text1"/>
                <w:sz w:val="24"/>
                <w:szCs w:val="24"/>
                <w14:textFill>
                  <w14:solidFill>
                    <w14:schemeClr w14:val="tx1"/>
                  </w14:solidFill>
                </w14:textFill>
              </w:rPr>
              <w:t>的计3.1-5分；</w:t>
            </w:r>
          </w:p>
          <w:p w14:paraId="12F1620B">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（2）提供的实施方案仅有部分进行了描述且细节待完善，但基本符合项目实际情况的计2.1-3分；</w:t>
            </w:r>
          </w:p>
          <w:p w14:paraId="514AF558">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（3）实施方案欠合理，存在部分缺陷和不足，与项目实际情况不符的计1-2分；</w:t>
            </w:r>
          </w:p>
          <w:p w14:paraId="43B31765">
            <w:pPr>
              <w:pStyle w:val="203"/>
              <w:keepNext w:val="0"/>
              <w:keepLines w:val="0"/>
              <w:pageBreakBefore w:val="0"/>
              <w:wordWrap/>
              <w:overflowPunct/>
              <w:topLinePunct w:val="0"/>
              <w:bidi w:val="0"/>
              <w:ind w:right="103" w:firstLine="480" w:firstLineChars="200"/>
              <w:jc w:val="both"/>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（4</w:t>
            </w:r>
            <w:r>
              <w:rPr>
                <w:rFonts w:hint="eastAsia" w:ascii="宋体" w:hAnsi="宋体" w:eastAsia="宋体" w:cs="宋体"/>
                <w:snapToGrid/>
                <w:color w:val="000000" w:themeColor="text1"/>
                <w:kern w:val="2"/>
                <w:lang w:eastAsia="zh-CN"/>
                <w14:textFill>
                  <w14:solidFill>
                    <w14:schemeClr w14:val="tx1"/>
                  </w14:solidFill>
                </w14:textFill>
              </w:rPr>
              <w:t>）无法体现采购人基本需求的,或未提供本项内容的,不得分。</w:t>
            </w:r>
          </w:p>
        </w:tc>
      </w:tr>
      <w:tr w14:paraId="3137B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jc w:val="center"/>
        </w:trPr>
        <w:tc>
          <w:tcPr>
            <w:tcW w:w="343" w:type="pct"/>
            <w:tcBorders>
              <w:bottom w:val="single" w:color="auto" w:sz="4" w:space="0"/>
            </w:tcBorders>
            <w:vAlign w:val="center"/>
          </w:tcPr>
          <w:p w14:paraId="26095A09">
            <w:pPr>
              <w:pStyle w:val="203"/>
              <w:jc w:val="center"/>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5</w:t>
            </w:r>
          </w:p>
        </w:tc>
        <w:tc>
          <w:tcPr>
            <w:tcW w:w="597" w:type="pct"/>
            <w:tcBorders>
              <w:bottom w:val="single" w:color="auto" w:sz="4" w:space="0"/>
            </w:tcBorders>
            <w:vAlign w:val="center"/>
          </w:tcPr>
          <w:p w14:paraId="4FCFCBB5">
            <w:pPr>
              <w:pStyle w:val="203"/>
              <w:jc w:val="center"/>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保密措施</w:t>
            </w:r>
          </w:p>
        </w:tc>
        <w:tc>
          <w:tcPr>
            <w:tcW w:w="426" w:type="pct"/>
            <w:tcBorders>
              <w:bottom w:val="single" w:color="auto" w:sz="4" w:space="0"/>
            </w:tcBorders>
            <w:vAlign w:val="center"/>
          </w:tcPr>
          <w:p w14:paraId="71C6C0AF">
            <w:pPr>
              <w:pStyle w:val="203"/>
              <w:jc w:val="center"/>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9分</w:t>
            </w:r>
          </w:p>
        </w:tc>
        <w:tc>
          <w:tcPr>
            <w:tcW w:w="3634" w:type="pct"/>
            <w:tcBorders>
              <w:bottom w:val="single" w:color="auto" w:sz="4" w:space="0"/>
            </w:tcBorders>
            <w:vAlign w:val="center"/>
          </w:tcPr>
          <w:p w14:paraId="70DAE2EC">
            <w:pPr>
              <w:adjustRightInd w:val="0"/>
              <w:snapToGrid w:val="0"/>
              <w:ind w:firstLine="476"/>
              <w:rPr>
                <w:rFonts w:hint="eastAsia" w:ascii="宋体" w:hAnsi="宋体" w:eastAsia="宋体" w:cs="宋体"/>
                <w:snapToGrid w:val="0"/>
                <w:color w:val="000000" w:themeColor="text1"/>
                <w:spacing w:val="-1"/>
                <w:kern w:val="0"/>
                <w:sz w:val="24"/>
                <w:szCs w:val="24"/>
                <w14:textFill>
                  <w14:solidFill>
                    <w14:schemeClr w14:val="tx1"/>
                  </w14:solidFill>
                </w14:textFill>
              </w:rPr>
            </w:pPr>
            <w:r>
              <w:rPr>
                <w:rFonts w:hint="eastAsia" w:ascii="宋体" w:hAnsi="宋体" w:eastAsia="宋体" w:cs="宋体"/>
                <w:snapToGrid w:val="0"/>
                <w:color w:val="000000" w:themeColor="text1"/>
                <w:spacing w:val="-1"/>
                <w:kern w:val="0"/>
                <w:sz w:val="24"/>
                <w:szCs w:val="24"/>
                <w14:textFill>
                  <w14:solidFill>
                    <w14:schemeClr w14:val="tx1"/>
                  </w14:solidFill>
                </w14:textFill>
              </w:rPr>
              <w:t>投标人具有完善的国家法律法规规定的保密制度和措施，保证项目实施过程中的相关信息不泄密，并提供保密承诺。</w:t>
            </w:r>
          </w:p>
          <w:p w14:paraId="18406090">
            <w:pPr>
              <w:adjustRightInd w:val="0"/>
              <w:snapToGrid w:val="0"/>
              <w:ind w:firstLine="476"/>
              <w:rPr>
                <w:rFonts w:hint="eastAsia" w:ascii="宋体" w:hAnsi="宋体" w:eastAsia="宋体" w:cs="宋体"/>
                <w:snapToGrid w:val="0"/>
                <w:color w:val="000000" w:themeColor="text1"/>
                <w:spacing w:val="-1"/>
                <w:kern w:val="0"/>
                <w:sz w:val="24"/>
                <w:szCs w:val="24"/>
                <w14:textFill>
                  <w14:solidFill>
                    <w14:schemeClr w14:val="tx1"/>
                  </w14:solidFill>
                </w14:textFill>
              </w:rPr>
            </w:pPr>
            <w:r>
              <w:rPr>
                <w:rFonts w:hint="eastAsia" w:ascii="宋体" w:hAnsi="宋体" w:eastAsia="宋体" w:cs="宋体"/>
                <w:snapToGrid w:val="0"/>
                <w:color w:val="000000" w:themeColor="text1"/>
                <w:spacing w:val="-1"/>
                <w:kern w:val="0"/>
                <w:sz w:val="24"/>
                <w:szCs w:val="24"/>
                <w14:textFill>
                  <w14:solidFill>
                    <w14:schemeClr w14:val="tx1"/>
                  </w14:solidFill>
                </w14:textFill>
              </w:rPr>
              <w:t>（1）措施及承诺编制全面合理、完整详尽、符合本项目实际情况计6.1-9分；</w:t>
            </w:r>
          </w:p>
          <w:p w14:paraId="78C52C48">
            <w:pPr>
              <w:adjustRightInd w:val="0"/>
              <w:snapToGrid w:val="0"/>
              <w:ind w:firstLine="476"/>
              <w:rPr>
                <w:rFonts w:hint="eastAsia" w:ascii="宋体" w:hAnsi="宋体" w:eastAsia="宋体" w:cs="宋体"/>
                <w:snapToGrid w:val="0"/>
                <w:color w:val="000000" w:themeColor="text1"/>
                <w:spacing w:val="-1"/>
                <w:kern w:val="0"/>
                <w:sz w:val="24"/>
                <w:szCs w:val="24"/>
                <w14:textFill>
                  <w14:solidFill>
                    <w14:schemeClr w14:val="tx1"/>
                  </w14:solidFill>
                </w14:textFill>
              </w:rPr>
            </w:pPr>
            <w:r>
              <w:rPr>
                <w:rFonts w:hint="eastAsia" w:ascii="宋体" w:hAnsi="宋体" w:eastAsia="宋体" w:cs="宋体"/>
                <w:snapToGrid w:val="0"/>
                <w:color w:val="000000" w:themeColor="text1"/>
                <w:spacing w:val="-1"/>
                <w:kern w:val="0"/>
                <w:sz w:val="24"/>
                <w:szCs w:val="24"/>
                <w14:textFill>
                  <w14:solidFill>
                    <w14:schemeClr w14:val="tx1"/>
                  </w14:solidFill>
                </w14:textFill>
              </w:rPr>
              <w:t>（2）措施及承诺编制基本完善、基本合理可行计3.1-6分；</w:t>
            </w:r>
          </w:p>
          <w:p w14:paraId="3F40BA4C">
            <w:pPr>
              <w:pStyle w:val="203"/>
              <w:ind w:right="103" w:firstLine="476"/>
              <w:jc w:val="both"/>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（3）措施存在部分缺陷和不足的计0.1-3分。</w:t>
            </w:r>
          </w:p>
        </w:tc>
      </w:tr>
      <w:tr w14:paraId="006AC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42835E74">
            <w:pPr>
              <w:pStyle w:val="203"/>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6</w:t>
            </w:r>
          </w:p>
        </w:tc>
        <w:tc>
          <w:tcPr>
            <w:tcW w:w="597" w:type="pct"/>
            <w:tcBorders>
              <w:top w:val="single" w:color="auto" w:sz="4" w:space="0"/>
              <w:left w:val="single" w:color="auto" w:sz="4" w:space="0"/>
              <w:bottom w:val="single" w:color="auto" w:sz="4" w:space="0"/>
              <w:right w:val="single" w:color="auto" w:sz="4" w:space="0"/>
            </w:tcBorders>
            <w:vAlign w:val="center"/>
          </w:tcPr>
          <w:p w14:paraId="44CB5E88">
            <w:pPr>
              <w:pStyle w:val="203"/>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规划团队</w:t>
            </w:r>
          </w:p>
          <w:p w14:paraId="48F671CE">
            <w:pPr>
              <w:pStyle w:val="203"/>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5"/>
                <w14:textFill>
                  <w14:solidFill>
                    <w14:schemeClr w14:val="tx1"/>
                  </w14:solidFill>
                </w14:textFill>
              </w:rPr>
              <w:t>人员配置</w:t>
            </w:r>
          </w:p>
        </w:tc>
        <w:tc>
          <w:tcPr>
            <w:tcW w:w="426" w:type="pct"/>
            <w:tcBorders>
              <w:top w:val="single" w:color="auto" w:sz="4" w:space="0"/>
              <w:left w:val="single" w:color="auto" w:sz="4" w:space="0"/>
              <w:bottom w:val="single" w:color="auto" w:sz="4" w:space="0"/>
              <w:right w:val="single" w:color="auto" w:sz="4" w:space="0"/>
            </w:tcBorders>
            <w:vAlign w:val="center"/>
          </w:tcPr>
          <w:p w14:paraId="3178C2FB">
            <w:pPr>
              <w:pStyle w:val="203"/>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4"/>
                <w:lang w:eastAsia="zh-CN"/>
                <w14:textFill>
                  <w14:solidFill>
                    <w14:schemeClr w14:val="tx1"/>
                  </w14:solidFill>
                </w14:textFill>
              </w:rPr>
              <w:t>15</w:t>
            </w:r>
            <w:r>
              <w:rPr>
                <w:rFonts w:hint="eastAsia" w:ascii="宋体" w:hAnsi="宋体" w:eastAsia="宋体" w:cs="宋体"/>
                <w:color w:val="000000" w:themeColor="text1"/>
                <w:spacing w:val="-4"/>
                <w14:textFill>
                  <w14:solidFill>
                    <w14:schemeClr w14:val="tx1"/>
                  </w14:solidFill>
                </w14:textFill>
              </w:rPr>
              <w:t>分</w:t>
            </w:r>
          </w:p>
        </w:tc>
        <w:tc>
          <w:tcPr>
            <w:tcW w:w="3634" w:type="pct"/>
            <w:tcBorders>
              <w:top w:val="single" w:color="auto" w:sz="4" w:space="0"/>
              <w:left w:val="single" w:color="auto" w:sz="4" w:space="0"/>
              <w:bottom w:val="single" w:color="auto" w:sz="4" w:space="0"/>
              <w:right w:val="single" w:color="auto" w:sz="4" w:space="0"/>
            </w:tcBorders>
            <w:vAlign w:val="center"/>
          </w:tcPr>
          <w:p w14:paraId="00DCD42E">
            <w:pPr>
              <w:pStyle w:val="203"/>
              <w:ind w:right="127"/>
              <w:jc w:val="both"/>
              <w:rPr>
                <w:rFonts w:hint="eastAsia" w:ascii="宋体" w:hAnsi="宋体" w:eastAsia="宋体" w:cs="宋体"/>
                <w:b/>
                <w:bCs/>
                <w:color w:val="000000" w:themeColor="text1"/>
                <w:spacing w:val="-1"/>
                <w:lang w:eastAsia="zh-CN"/>
                <w14:textFill>
                  <w14:solidFill>
                    <w14:schemeClr w14:val="tx1"/>
                  </w14:solidFill>
                </w14:textFill>
              </w:rPr>
            </w:pPr>
            <w:r>
              <w:rPr>
                <w:rFonts w:hint="eastAsia" w:ascii="宋体" w:hAnsi="宋体" w:eastAsia="宋体" w:cs="宋体"/>
                <w:b/>
                <w:bCs/>
                <w:color w:val="000000" w:themeColor="text1"/>
                <w:spacing w:val="-1"/>
                <w:lang w:eastAsia="zh-CN"/>
                <w14:textFill>
                  <w14:solidFill>
                    <w14:schemeClr w14:val="tx1"/>
                  </w14:solidFill>
                </w14:textFill>
              </w:rPr>
              <w:t>（1）项目负责人：</w:t>
            </w:r>
          </w:p>
          <w:p w14:paraId="32C496A5">
            <w:pPr>
              <w:pStyle w:val="203"/>
              <w:ind w:right="127" w:firstLine="476" w:firstLineChars="200"/>
              <w:jc w:val="both"/>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提供</w:t>
            </w:r>
            <w:bookmarkStart w:id="143" w:name="OLE_LINK2"/>
            <w:r>
              <w:rPr>
                <w:rFonts w:hint="eastAsia" w:ascii="宋体" w:hAnsi="宋体" w:eastAsia="宋体" w:cs="宋体"/>
                <w:color w:val="000000" w:themeColor="text1"/>
                <w:spacing w:val="-1"/>
                <w:lang w:eastAsia="zh-CN"/>
                <w14:textFill>
                  <w14:solidFill>
                    <w14:schemeClr w14:val="tx1"/>
                  </w14:solidFill>
                </w14:textFill>
              </w:rPr>
              <w:t>规划专业</w:t>
            </w:r>
            <w:bookmarkEnd w:id="143"/>
            <w:r>
              <w:rPr>
                <w:rFonts w:hint="eastAsia" w:ascii="宋体" w:hAnsi="宋体" w:eastAsia="宋体" w:cs="宋体"/>
                <w:color w:val="000000" w:themeColor="text1"/>
                <w:spacing w:val="-1"/>
                <w:lang w:eastAsia="zh-CN"/>
                <w14:textFill>
                  <w14:solidFill>
                    <w14:schemeClr w14:val="tx1"/>
                  </w14:solidFill>
                </w14:textFill>
              </w:rPr>
              <w:t>高级职称和</w:t>
            </w:r>
            <w:r>
              <w:rPr>
                <w:rFonts w:hint="eastAsia" w:ascii="宋体" w:hAnsi="宋体" w:eastAsia="宋体" w:cs="宋体"/>
                <w:color w:val="000000" w:themeColor="text1"/>
                <w:spacing w:val="-3"/>
                <w:lang w:eastAsia="zh-CN"/>
                <w14:textFill>
                  <w14:solidFill>
                    <w14:schemeClr w14:val="tx1"/>
                  </w14:solidFill>
                </w14:textFill>
              </w:rPr>
              <w:t>注册规划师执业证书</w:t>
            </w:r>
            <w:r>
              <w:rPr>
                <w:rFonts w:hint="eastAsia" w:ascii="宋体" w:hAnsi="宋体" w:eastAsia="宋体" w:cs="宋体"/>
                <w:color w:val="000000" w:themeColor="text1"/>
                <w:spacing w:val="-1"/>
                <w:lang w:eastAsia="zh-CN"/>
                <w14:textFill>
                  <w14:solidFill>
                    <w14:schemeClr w14:val="tx1"/>
                  </w14:solidFill>
                </w14:textFill>
              </w:rPr>
              <w:t>得3分</w:t>
            </w:r>
            <w:r>
              <w:rPr>
                <w:rFonts w:hint="eastAsia" w:ascii="宋体" w:hAnsi="宋体" w:eastAsia="宋体" w:cs="宋体"/>
                <w:color w:val="000000" w:themeColor="text1"/>
                <w:spacing w:val="-3"/>
                <w:lang w:eastAsia="zh-CN"/>
                <w14:textFill>
                  <w14:solidFill>
                    <w14:schemeClr w14:val="tx1"/>
                  </w14:solidFill>
                </w14:textFill>
              </w:rPr>
              <w:t>，</w:t>
            </w:r>
            <w:r>
              <w:rPr>
                <w:rFonts w:hint="eastAsia" w:ascii="宋体" w:hAnsi="宋体" w:eastAsia="宋体" w:cs="宋体"/>
                <w:color w:val="000000" w:themeColor="text1"/>
                <w:spacing w:val="-1"/>
                <w:lang w:eastAsia="zh-CN"/>
                <w14:textFill>
                  <w14:solidFill>
                    <w14:schemeClr w14:val="tx1"/>
                  </w14:solidFill>
                </w14:textFill>
              </w:rPr>
              <w:t>本项最高得3分。</w:t>
            </w:r>
          </w:p>
          <w:p w14:paraId="3AD3F8AE">
            <w:pPr>
              <w:pStyle w:val="203"/>
              <w:jc w:val="both"/>
              <w:rPr>
                <w:rFonts w:hint="eastAsia" w:ascii="宋体" w:hAnsi="宋体" w:eastAsia="宋体" w:cs="宋体"/>
                <w:color w:val="000000" w:themeColor="text1"/>
                <w:spacing w:val="-3"/>
                <w:lang w:eastAsia="zh-CN"/>
                <w14:textFill>
                  <w14:solidFill>
                    <w14:schemeClr w14:val="tx1"/>
                  </w14:solidFill>
                </w14:textFill>
              </w:rPr>
            </w:pPr>
            <w:r>
              <w:rPr>
                <w:rFonts w:hint="eastAsia" w:ascii="宋体" w:hAnsi="宋体" w:eastAsia="宋体" w:cs="宋体"/>
                <w:b/>
                <w:bCs/>
                <w:color w:val="000000" w:themeColor="text1"/>
                <w:spacing w:val="-3"/>
                <w:lang w:eastAsia="zh-CN"/>
                <w14:textFill>
                  <w14:solidFill>
                    <w14:schemeClr w14:val="tx1"/>
                  </w14:solidFill>
                </w14:textFill>
              </w:rPr>
              <w:t>（2）拟投入本项目组成人员(项目负责人除外)</w:t>
            </w:r>
            <w:r>
              <w:rPr>
                <w:rFonts w:hint="eastAsia" w:ascii="宋体" w:hAnsi="宋体" w:eastAsia="宋体" w:cs="宋体"/>
                <w:color w:val="000000" w:themeColor="text1"/>
                <w:spacing w:val="-3"/>
                <w:lang w:eastAsia="zh-CN"/>
                <w14:textFill>
                  <w14:solidFill>
                    <w14:schemeClr w14:val="tx1"/>
                  </w14:solidFill>
                </w14:textFill>
              </w:rPr>
              <w:t>(1</w:t>
            </w:r>
            <w:r>
              <w:rPr>
                <w:rFonts w:hint="eastAsia" w:ascii="宋体" w:hAnsi="宋体" w:eastAsia="宋体" w:cs="宋体"/>
                <w:color w:val="000000" w:themeColor="text1"/>
                <w:spacing w:val="-3"/>
                <w:lang w:val="en-US" w:eastAsia="zh-CN"/>
                <w14:textFill>
                  <w14:solidFill>
                    <w14:schemeClr w14:val="tx1"/>
                  </w14:solidFill>
                </w14:textFill>
              </w:rPr>
              <w:t>2</w:t>
            </w:r>
            <w:r>
              <w:rPr>
                <w:rFonts w:hint="eastAsia" w:ascii="宋体" w:hAnsi="宋体" w:eastAsia="宋体" w:cs="宋体"/>
                <w:color w:val="000000" w:themeColor="text1"/>
                <w:spacing w:val="-3"/>
                <w:lang w:eastAsia="zh-CN"/>
                <w14:textFill>
                  <w14:solidFill>
                    <w14:schemeClr w14:val="tx1"/>
                  </w14:solidFill>
                </w14:textFill>
              </w:rPr>
              <w:t>分):</w:t>
            </w:r>
          </w:p>
          <w:p w14:paraId="70F80E27">
            <w:pPr>
              <w:pStyle w:val="203"/>
              <w:ind w:firstLine="468"/>
              <w:jc w:val="both"/>
              <w:rPr>
                <w:rFonts w:hint="eastAsia" w:ascii="宋体" w:hAnsi="宋体" w:eastAsia="宋体" w:cs="宋体"/>
                <w:color w:val="000000" w:themeColor="text1"/>
                <w:spacing w:val="-3"/>
                <w:lang w:eastAsia="zh-CN"/>
                <w14:textFill>
                  <w14:solidFill>
                    <w14:schemeClr w14:val="tx1"/>
                  </w14:solidFill>
                </w14:textFill>
              </w:rPr>
            </w:pPr>
            <w:r>
              <w:rPr>
                <w:rFonts w:hint="eastAsia" w:ascii="宋体" w:hAnsi="宋体" w:eastAsia="宋体" w:cs="宋体"/>
                <w:color w:val="000000" w:themeColor="text1"/>
                <w:spacing w:val="-3"/>
                <w:lang w:eastAsia="zh-CN"/>
                <w14:textFill>
                  <w14:solidFill>
                    <w14:schemeClr w14:val="tx1"/>
                  </w14:solidFill>
                </w14:textFill>
              </w:rPr>
              <w:t>具备满足本项目要求的专业规划团队。每提供一个中级职称得1分；高级职称及以上技术职称得2分</w:t>
            </w:r>
            <w:bookmarkStart w:id="144" w:name="OLE_LINK6"/>
            <w:bookmarkStart w:id="145" w:name="OLE_LINK5"/>
            <w:r>
              <w:rPr>
                <w:rFonts w:hint="eastAsia" w:ascii="宋体" w:hAnsi="宋体" w:eastAsia="宋体" w:cs="宋体"/>
                <w:color w:val="auto"/>
                <w:spacing w:val="-3"/>
                <w:lang w:eastAsia="zh-CN"/>
              </w:rPr>
              <w:t>；该人员</w:t>
            </w:r>
            <w:r>
              <w:rPr>
                <w:rFonts w:hint="eastAsia" w:ascii="宋体" w:hAnsi="宋体" w:eastAsia="宋体" w:cs="宋体"/>
                <w:color w:val="000000" w:themeColor="text1"/>
                <w:spacing w:val="-3"/>
                <w:lang w:eastAsia="zh-CN"/>
                <w14:textFill>
                  <w14:solidFill>
                    <w14:schemeClr w14:val="tx1"/>
                  </w14:solidFill>
                </w14:textFill>
              </w:rPr>
              <w:t>同时具备高级职称及以上技术职称和注册规划师执业证书得3分</w:t>
            </w:r>
            <w:bookmarkEnd w:id="144"/>
            <w:bookmarkEnd w:id="145"/>
            <w:r>
              <w:rPr>
                <w:rFonts w:hint="eastAsia" w:ascii="宋体" w:hAnsi="宋体" w:eastAsia="宋体" w:cs="宋体"/>
                <w:color w:val="000000" w:themeColor="text1"/>
                <w:spacing w:val="-3"/>
                <w:lang w:eastAsia="zh-CN"/>
                <w14:textFill>
                  <w14:solidFill>
                    <w14:schemeClr w14:val="tx1"/>
                  </w14:solidFill>
                </w14:textFill>
              </w:rPr>
              <w:t>，最多得12分。</w:t>
            </w:r>
          </w:p>
          <w:p w14:paraId="7743D5B7">
            <w:pPr>
              <w:pStyle w:val="203"/>
              <w:ind w:firstLine="468"/>
              <w:jc w:val="both"/>
              <w:rPr>
                <w:rFonts w:hint="eastAsia" w:ascii="宋体" w:hAnsi="宋体" w:eastAsia="宋体" w:cs="宋体"/>
                <w:b/>
                <w:bCs/>
                <w:color w:val="000000" w:themeColor="text1"/>
                <w:spacing w:val="-6"/>
                <w:lang w:eastAsia="zh-CN"/>
                <w14:textFill>
                  <w14:solidFill>
                    <w14:schemeClr w14:val="tx1"/>
                  </w14:solidFill>
                </w14:textFill>
              </w:rPr>
            </w:pPr>
            <w:r>
              <w:rPr>
                <w:rFonts w:hint="eastAsia" w:ascii="宋体" w:hAnsi="宋体" w:eastAsia="宋体" w:cs="宋体"/>
                <w:b/>
                <w:color w:val="000000" w:themeColor="text1"/>
                <w:spacing w:val="-3"/>
                <w:sz w:val="22"/>
                <w:lang w:eastAsia="zh-CN"/>
                <w14:textFill>
                  <w14:solidFill>
                    <w14:schemeClr w14:val="tx1"/>
                  </w14:solidFill>
                </w14:textFill>
              </w:rPr>
              <w:t>注：投标文件中需同时附以下佐证材料并加盖投标人公章：</w:t>
            </w:r>
            <w:r>
              <w:rPr>
                <w:rFonts w:hint="eastAsia" w:ascii="宋体" w:hAnsi="宋体" w:eastAsia="宋体" w:cs="宋体"/>
                <w:b/>
                <w:bCs/>
                <w:color w:val="000000" w:themeColor="text1"/>
                <w:spacing w:val="-6"/>
                <w:sz w:val="22"/>
                <w:lang w:eastAsia="zh-CN"/>
                <w14:textFill>
                  <w14:solidFill>
                    <w14:schemeClr w14:val="tx1"/>
                  </w14:solidFill>
                </w14:textFill>
              </w:rPr>
              <w:t>①人员身份证、注册证（如有）等相关证件复印件；②以上</w:t>
            </w:r>
            <w:r>
              <w:rPr>
                <w:rFonts w:hint="eastAsia" w:ascii="宋体" w:hAnsi="宋体" w:eastAsia="宋体" w:cs="宋体"/>
                <w:b/>
                <w:bCs/>
                <w:color w:val="000000" w:themeColor="text1"/>
                <w:spacing w:val="-2"/>
                <w:sz w:val="22"/>
                <w:lang w:eastAsia="zh-CN"/>
                <w14:textFill>
                  <w14:solidFill>
                    <w14:schemeClr w14:val="tx1"/>
                  </w14:solidFill>
                </w14:textFill>
              </w:rPr>
              <w:t>人员近</w:t>
            </w:r>
            <w:r>
              <w:rPr>
                <w:rFonts w:hint="eastAsia" w:ascii="宋体" w:hAnsi="宋体" w:eastAsia="宋体" w:cs="宋体"/>
                <w:b/>
                <w:bCs/>
                <w:color w:val="000000" w:themeColor="text1"/>
                <w:spacing w:val="-6"/>
                <w:sz w:val="22"/>
                <w:lang w:eastAsia="zh-CN"/>
                <w14:textFill>
                  <w14:solidFill>
                    <w14:schemeClr w14:val="tx1"/>
                  </w14:solidFill>
                </w14:textFill>
              </w:rPr>
              <w:t>2025年6月至今</w:t>
            </w:r>
            <w:r>
              <w:rPr>
                <w:rFonts w:hint="eastAsia" w:ascii="宋体" w:hAnsi="宋体" w:eastAsia="宋体" w:cs="宋体"/>
                <w:b/>
                <w:bCs/>
                <w:color w:val="000000" w:themeColor="text1"/>
                <w:spacing w:val="-2"/>
                <w:sz w:val="22"/>
                <w:lang w:eastAsia="zh-CN"/>
                <w14:textFill>
                  <w14:solidFill>
                    <w14:schemeClr w14:val="tx1"/>
                  </w14:solidFill>
                </w14:textFill>
              </w:rPr>
              <w:t>任意1个月的养老保险缴纳证明材料或劳动合同或聘用</w:t>
            </w:r>
            <w:r>
              <w:rPr>
                <w:rFonts w:hint="eastAsia" w:ascii="宋体" w:hAnsi="宋体" w:eastAsia="宋体" w:cs="宋体"/>
                <w:b/>
                <w:bCs/>
                <w:color w:val="000000" w:themeColor="text1"/>
                <w:spacing w:val="-4"/>
                <w:sz w:val="22"/>
                <w:lang w:eastAsia="zh-CN"/>
                <w14:textFill>
                  <w14:solidFill>
                    <w14:schemeClr w14:val="tx1"/>
                  </w14:solidFill>
                </w14:textFill>
              </w:rPr>
              <w:t>证书复印件</w:t>
            </w: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spacing w:val="-2"/>
                <w:sz w:val="22"/>
                <w:lang w:eastAsia="zh-CN"/>
                <w14:textFill>
                  <w14:solidFill>
                    <w14:schemeClr w14:val="tx1"/>
                  </w14:solidFill>
                </w14:textFill>
              </w:rPr>
              <w:t>劳动合同或聘用证书为退休返聘人员使用，非退休人员必须提供本公司缴纳社保，否则不计分</w:t>
            </w: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spacing w:val="-4"/>
                <w:sz w:val="22"/>
                <w:lang w:eastAsia="zh-CN"/>
                <w14:textFill>
                  <w14:solidFill>
                    <w14:schemeClr w14:val="tx1"/>
                  </w14:solidFill>
                </w14:textFill>
              </w:rPr>
              <w:t>。</w:t>
            </w:r>
          </w:p>
        </w:tc>
      </w:tr>
      <w:tr w14:paraId="3861D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5"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1C8F8241">
            <w:pPr>
              <w:pStyle w:val="203"/>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7</w:t>
            </w:r>
          </w:p>
        </w:tc>
        <w:tc>
          <w:tcPr>
            <w:tcW w:w="597" w:type="pct"/>
            <w:tcBorders>
              <w:top w:val="single" w:color="auto" w:sz="4" w:space="0"/>
              <w:left w:val="single" w:color="auto" w:sz="4" w:space="0"/>
              <w:bottom w:val="single" w:color="auto" w:sz="4" w:space="0"/>
              <w:right w:val="single" w:color="auto" w:sz="4" w:space="0"/>
            </w:tcBorders>
            <w:vAlign w:val="center"/>
          </w:tcPr>
          <w:p w14:paraId="4884BC66">
            <w:pPr>
              <w:pStyle w:val="203"/>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7"/>
                <w14:textFill>
                  <w14:solidFill>
                    <w14:schemeClr w14:val="tx1"/>
                  </w14:solidFill>
                </w14:textFill>
              </w:rPr>
              <w:t>业绩</w:t>
            </w:r>
          </w:p>
        </w:tc>
        <w:tc>
          <w:tcPr>
            <w:tcW w:w="426" w:type="pct"/>
            <w:tcBorders>
              <w:top w:val="single" w:color="auto" w:sz="4" w:space="0"/>
              <w:left w:val="single" w:color="auto" w:sz="4" w:space="0"/>
              <w:bottom w:val="single" w:color="auto" w:sz="4" w:space="0"/>
              <w:right w:val="single" w:color="auto" w:sz="4" w:space="0"/>
            </w:tcBorders>
            <w:vAlign w:val="center"/>
          </w:tcPr>
          <w:p w14:paraId="273C70A8">
            <w:pPr>
              <w:pStyle w:val="203"/>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5"/>
                <w:lang w:eastAsia="zh-CN"/>
                <w14:textFill>
                  <w14:solidFill>
                    <w14:schemeClr w14:val="tx1"/>
                  </w14:solidFill>
                </w14:textFill>
              </w:rPr>
              <w:t>6</w:t>
            </w:r>
            <w:r>
              <w:rPr>
                <w:rFonts w:hint="eastAsia" w:ascii="宋体" w:hAnsi="宋体" w:eastAsia="宋体" w:cs="宋体"/>
                <w:color w:val="000000" w:themeColor="text1"/>
                <w:spacing w:val="-5"/>
                <w14:textFill>
                  <w14:solidFill>
                    <w14:schemeClr w14:val="tx1"/>
                  </w14:solidFill>
                </w14:textFill>
              </w:rPr>
              <w:t>分</w:t>
            </w:r>
          </w:p>
        </w:tc>
        <w:tc>
          <w:tcPr>
            <w:tcW w:w="3634" w:type="pct"/>
            <w:tcBorders>
              <w:top w:val="single" w:color="auto" w:sz="4" w:space="0"/>
              <w:left w:val="single" w:color="auto" w:sz="4" w:space="0"/>
              <w:bottom w:val="single" w:color="auto" w:sz="4" w:space="0"/>
              <w:right w:val="single" w:color="auto" w:sz="4" w:space="0"/>
            </w:tcBorders>
            <w:vAlign w:val="center"/>
          </w:tcPr>
          <w:p w14:paraId="54BAA5DC">
            <w:pPr>
              <w:pStyle w:val="203"/>
              <w:ind w:right="100" w:firstLine="460" w:firstLineChars="200"/>
              <w:jc w:val="both"/>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pacing w:val="-5"/>
                <w:lang w:eastAsia="zh-CN"/>
                <w14:textFill>
                  <w14:solidFill>
                    <w14:schemeClr w14:val="tx1"/>
                  </w14:solidFill>
                </w14:textFill>
              </w:rPr>
              <w:t>提供投标人近</w:t>
            </w:r>
            <w:r>
              <w:rPr>
                <w:rFonts w:hint="eastAsia" w:ascii="宋体" w:hAnsi="宋体" w:eastAsia="宋体" w:cs="宋体"/>
                <w:color w:val="000000" w:themeColor="text1"/>
                <w:spacing w:val="-1"/>
                <w:lang w:eastAsia="zh-CN"/>
                <w14:textFill>
                  <w14:solidFill>
                    <w14:schemeClr w14:val="tx1"/>
                  </w14:solidFill>
                </w14:textFill>
              </w:rPr>
              <w:t>三年（自2022年09月01日至今）</w:t>
            </w:r>
            <w:r>
              <w:rPr>
                <w:rFonts w:hint="eastAsia" w:ascii="宋体" w:hAnsi="宋体" w:eastAsia="宋体" w:cs="宋体"/>
                <w:color w:val="000000" w:themeColor="text1"/>
                <w:spacing w:val="-5"/>
                <w:lang w:eastAsia="zh-CN"/>
                <w14:textFill>
                  <w14:solidFill>
                    <w14:schemeClr w14:val="tx1"/>
                  </w14:solidFill>
                </w14:textFill>
              </w:rPr>
              <w:t>已完成的类似业绩</w:t>
            </w:r>
            <w:r>
              <w:rPr>
                <w:rFonts w:hint="eastAsia" w:ascii="宋体" w:hAnsi="宋体" w:eastAsia="宋体" w:cs="宋体"/>
                <w:color w:val="000000" w:themeColor="text1"/>
                <w:spacing w:val="-1"/>
                <w:lang w:eastAsia="zh-CN"/>
                <w14:textFill>
                  <w14:solidFill>
                    <w14:schemeClr w14:val="tx1"/>
                  </w14:solidFill>
                </w14:textFill>
              </w:rPr>
              <w:t>证明材料，每提供一份有效业绩证明材料计3分，此项最高6分。</w:t>
            </w:r>
          </w:p>
          <w:p w14:paraId="1779D80B">
            <w:pPr>
              <w:pStyle w:val="203"/>
              <w:ind w:right="103"/>
              <w:jc w:val="both"/>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b/>
                <w:bCs/>
                <w:color w:val="000000" w:themeColor="text1"/>
                <w:spacing w:val="-6"/>
                <w:sz w:val="22"/>
                <w:lang w:eastAsia="zh-CN"/>
                <w14:textFill>
                  <w14:solidFill>
                    <w14:schemeClr w14:val="tx1"/>
                  </w14:solidFill>
                </w14:textFill>
              </w:rPr>
              <w:t>注：提供中标通知书或合同扫描件加盖供应商公章，其中合同协议书至少应包含合同首页、合同金额所在页、签字盖章页，否则不予认可。</w:t>
            </w:r>
          </w:p>
        </w:tc>
      </w:tr>
    </w:tbl>
    <w:p w14:paraId="5C3FB0CC">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备注</w:t>
      </w:r>
      <w:r>
        <w:rPr>
          <w:rFonts w:hint="eastAsia" w:ascii="宋体" w:hAnsi="宋体" w:eastAsia="宋体" w:cs="宋体"/>
          <w:bCs/>
          <w:color w:val="auto"/>
          <w:sz w:val="24"/>
          <w:szCs w:val="24"/>
        </w:rPr>
        <w:t>：</w:t>
      </w:r>
    </w:p>
    <w:p w14:paraId="0A99697D">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1.</w:t>
      </w:r>
      <w:r>
        <w:rPr>
          <w:rFonts w:hint="eastAsia" w:ascii="宋体" w:hAnsi="宋体" w:eastAsia="宋体" w:cs="宋体"/>
          <w:bCs/>
          <w:color w:val="auto"/>
          <w:sz w:val="24"/>
          <w:szCs w:val="24"/>
        </w:rPr>
        <w:t>以上各项打分均由</w:t>
      </w:r>
      <w:r>
        <w:rPr>
          <w:rFonts w:hint="eastAsia" w:ascii="宋体" w:hAnsi="宋体" w:eastAsia="宋体" w:cs="宋体"/>
          <w:bCs/>
          <w:color w:val="auto"/>
          <w:sz w:val="24"/>
          <w:szCs w:val="24"/>
          <w:lang w:eastAsia="zh-CN"/>
        </w:rPr>
        <w:t>磋商小组</w:t>
      </w:r>
      <w:r>
        <w:rPr>
          <w:rFonts w:hint="eastAsia" w:ascii="宋体" w:hAnsi="宋体" w:eastAsia="宋体" w:cs="宋体"/>
          <w:bCs/>
          <w:color w:val="auto"/>
          <w:sz w:val="24"/>
          <w:szCs w:val="24"/>
        </w:rPr>
        <w:t>独立评分，评分相邻两档之间的得分，归属于较低一档</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两档之间可取小数点进行打分，按评审后综合得分由高到低推荐一至三名中标候选人。</w:t>
      </w:r>
    </w:p>
    <w:p w14:paraId="3DFBCFAF">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w:t>
      </w:r>
      <w:r>
        <w:rPr>
          <w:rFonts w:hint="eastAsia" w:ascii="宋体" w:hAnsi="宋体" w:eastAsia="宋体" w:cs="宋体"/>
          <w:bCs/>
          <w:color w:val="auto"/>
          <w:sz w:val="24"/>
          <w:szCs w:val="24"/>
        </w:rPr>
        <w:t>对于非专门面向中小企业的项目，对小型和微型企业产品的价格给予</w:t>
      </w: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rPr>
        <w:t>的扣除，用扣除后的价格参与评审</w:t>
      </w:r>
      <w:r>
        <w:rPr>
          <w:rFonts w:hint="eastAsia" w:ascii="宋体" w:hAnsi="宋体" w:eastAsia="宋体" w:cs="宋体"/>
          <w:bCs/>
          <w:color w:val="auto"/>
          <w:sz w:val="24"/>
          <w:szCs w:val="24"/>
          <w:lang w:eastAsia="zh-CN"/>
        </w:rPr>
        <w:t>。</w:t>
      </w:r>
    </w:p>
    <w:p w14:paraId="35CB8920">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w:t>
      </w:r>
      <w:r>
        <w:rPr>
          <w:rFonts w:hint="eastAsia" w:ascii="宋体" w:hAnsi="宋体" w:eastAsia="宋体" w:cs="宋体"/>
          <w:bCs/>
          <w:color w:val="auto"/>
          <w:sz w:val="24"/>
          <w:szCs w:val="24"/>
        </w:rPr>
        <w:t>对于非专门面向中小企业的项目、残疾人福利性单位的项目，对小型和微型企业，残疾人福利性单位产品的价格给予</w:t>
      </w: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rPr>
        <w:t>的扣除，用扣除后的价格参与评审，残疾人福利性单位属于小型、微型企业的，不重复享受政策</w:t>
      </w:r>
      <w:r>
        <w:rPr>
          <w:rFonts w:hint="eastAsia" w:ascii="宋体" w:hAnsi="宋体" w:eastAsia="宋体" w:cs="宋体"/>
          <w:bCs/>
          <w:color w:val="auto"/>
          <w:sz w:val="24"/>
          <w:szCs w:val="24"/>
          <w:lang w:eastAsia="zh-CN"/>
        </w:rPr>
        <w:t>。</w:t>
      </w:r>
    </w:p>
    <w:p w14:paraId="47331284">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4.</w:t>
      </w:r>
      <w:r>
        <w:rPr>
          <w:rFonts w:hint="eastAsia" w:ascii="宋体" w:hAnsi="宋体" w:eastAsia="宋体" w:cs="宋体"/>
          <w:bCs/>
          <w:color w:val="auto"/>
          <w:sz w:val="24"/>
          <w:szCs w:val="24"/>
        </w:rPr>
        <w:t>《关于政府采购支持监狱企业发展有关问题的通知》（财库[2014]68号）的规定，对监狱企业给予</w:t>
      </w: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rPr>
        <w:t>%的价格扣除，用扣除后的价格参与评审（提供由省级以上监狱管理局、戒毒管理局（含新疆生产建设兵团）出具的属于监狱企业的证明文件）。</w:t>
      </w:r>
    </w:p>
    <w:p w14:paraId="550F2CB3">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5.磋商小组</w:t>
      </w:r>
      <w:r>
        <w:rPr>
          <w:rFonts w:hint="eastAsia" w:ascii="宋体" w:hAnsi="宋体" w:eastAsia="宋体" w:cs="宋体"/>
          <w:bCs/>
          <w:color w:val="auto"/>
          <w:sz w:val="24"/>
          <w:szCs w:val="24"/>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eastAsia="宋体" w:cs="宋体"/>
          <w:bCs/>
          <w:color w:val="auto"/>
          <w:sz w:val="24"/>
          <w:szCs w:val="24"/>
          <w:lang w:eastAsia="zh-CN"/>
        </w:rPr>
        <w:t>磋商小组</w:t>
      </w:r>
      <w:r>
        <w:rPr>
          <w:rFonts w:hint="eastAsia" w:ascii="宋体" w:hAnsi="宋体" w:eastAsia="宋体" w:cs="宋体"/>
          <w:bCs/>
          <w:color w:val="auto"/>
          <w:sz w:val="24"/>
          <w:szCs w:val="24"/>
        </w:rPr>
        <w:t>应当将其作为无效投标处理。</w:t>
      </w:r>
    </w:p>
    <w:p w14:paraId="7E05BB16">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6.</w:t>
      </w:r>
      <w:r>
        <w:rPr>
          <w:rFonts w:hint="eastAsia" w:ascii="宋体" w:hAnsi="宋体" w:eastAsia="宋体" w:cs="宋体"/>
          <w:bCs/>
          <w:color w:val="auto"/>
          <w:sz w:val="24"/>
          <w:szCs w:val="24"/>
        </w:rPr>
        <w:t>若出现综合得分并列时，按投标报价由低到高顺序排列。得分且投标报价相同的并列。投标文件满足</w:t>
      </w:r>
      <w:r>
        <w:rPr>
          <w:rFonts w:hint="eastAsia" w:ascii="宋体" w:hAnsi="宋体" w:eastAsia="宋体" w:cs="宋体"/>
          <w:bCs/>
          <w:color w:val="auto"/>
          <w:sz w:val="24"/>
          <w:szCs w:val="24"/>
          <w:lang w:eastAsia="zh-CN"/>
        </w:rPr>
        <w:t>磋商文件</w:t>
      </w:r>
      <w:r>
        <w:rPr>
          <w:rFonts w:hint="eastAsia" w:ascii="宋体" w:hAnsi="宋体" w:eastAsia="宋体" w:cs="宋体"/>
          <w:bCs/>
          <w:color w:val="auto"/>
          <w:sz w:val="24"/>
          <w:szCs w:val="24"/>
        </w:rPr>
        <w:t>全部实质性要求，且按照评审因素的量化指标评审得分最高的投标人为排名第一的中标候选人。</w:t>
      </w:r>
    </w:p>
    <w:bookmarkEnd w:id="129"/>
    <w:p w14:paraId="6E8ACD89">
      <w:pPr>
        <w:pStyle w:val="6"/>
        <w:pageBreakBefore/>
        <w:numPr>
          <w:ilvl w:val="0"/>
          <w:numId w:val="9"/>
        </w:numPr>
        <w:kinsoku/>
        <w:wordWrap/>
        <w:overflowPunct/>
        <w:topLinePunct w:val="0"/>
        <w:autoSpaceDE/>
        <w:autoSpaceDN/>
        <w:bidi w:val="0"/>
        <w:snapToGrid/>
        <w:ind w:left="0" w:leftChars="0" w:firstLine="643" w:firstLineChars="200"/>
        <w:textAlignment w:val="auto"/>
        <w:rPr>
          <w:rFonts w:hint="eastAsia" w:ascii="宋体" w:hAnsi="宋体" w:eastAsia="宋体" w:cs="宋体"/>
          <w:color w:val="auto"/>
          <w:highlight w:val="none"/>
        </w:rPr>
      </w:pPr>
      <w:bookmarkStart w:id="146" w:name="_Toc6835"/>
      <w:bookmarkStart w:id="147" w:name="_Toc15647"/>
      <w:r>
        <w:rPr>
          <w:rFonts w:hint="eastAsia" w:ascii="宋体" w:hAnsi="宋体" w:eastAsia="宋体" w:cs="宋体"/>
          <w:color w:val="auto"/>
          <w:highlight w:val="none"/>
        </w:rPr>
        <w:t xml:space="preserve"> </w:t>
      </w:r>
      <w:bookmarkStart w:id="148" w:name="_Toc27414"/>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内容及</w:t>
      </w:r>
      <w:r>
        <w:rPr>
          <w:rFonts w:hint="eastAsia" w:ascii="宋体" w:hAnsi="宋体" w:eastAsia="宋体" w:cs="宋体"/>
          <w:color w:val="auto"/>
          <w:highlight w:val="none"/>
          <w:lang w:val="en-US" w:eastAsia="zh-CN"/>
        </w:rPr>
        <w:t>技术</w:t>
      </w:r>
      <w:r>
        <w:rPr>
          <w:rFonts w:hint="eastAsia" w:ascii="宋体" w:hAnsi="宋体" w:eastAsia="宋体" w:cs="宋体"/>
          <w:color w:val="auto"/>
          <w:highlight w:val="none"/>
        </w:rPr>
        <w:t>要求</w:t>
      </w:r>
      <w:bookmarkEnd w:id="148"/>
    </w:p>
    <w:p w14:paraId="28E7BB1D">
      <w:pPr>
        <w:pStyle w:val="4"/>
        <w:spacing w:after="0" w:line="560" w:lineRule="exact"/>
        <w:ind w:firstLine="482" w:firstLineChars="200"/>
        <w:outlineLvl w:val="1"/>
        <w:rPr>
          <w:rFonts w:hint="eastAsia" w:ascii="宋体" w:hAnsi="宋体" w:eastAsia="宋体" w:cs="宋体"/>
          <w:b/>
          <w:bCs w:val="0"/>
          <w:color w:val="auto"/>
          <w:sz w:val="24"/>
          <w:szCs w:val="24"/>
          <w:lang w:eastAsia="zh-CN"/>
        </w:rPr>
      </w:pPr>
      <w:bookmarkStart w:id="149" w:name="_Toc10286"/>
      <w:bookmarkStart w:id="150" w:name="_Toc536202391"/>
      <w:bookmarkStart w:id="151" w:name="_Toc536429331"/>
      <w:bookmarkStart w:id="152" w:name="_Toc536429384"/>
      <w:bookmarkStart w:id="153" w:name="_Toc536202322"/>
      <w:bookmarkStart w:id="154" w:name="_Toc30668"/>
      <w:bookmarkStart w:id="155" w:name="_Toc19543347"/>
      <w:r>
        <w:rPr>
          <w:rFonts w:hint="eastAsia" w:ascii="宋体" w:hAnsi="宋体" w:eastAsia="宋体" w:cs="宋体"/>
          <w:b/>
          <w:bCs w:val="0"/>
          <w:color w:val="auto"/>
          <w:sz w:val="24"/>
          <w:szCs w:val="24"/>
        </w:rPr>
        <w:t>一、采购</w:t>
      </w:r>
      <w:r>
        <w:rPr>
          <w:rFonts w:hint="eastAsia" w:ascii="宋体" w:hAnsi="宋体" w:eastAsia="宋体" w:cs="宋体"/>
          <w:b/>
          <w:bCs w:val="0"/>
          <w:color w:val="auto"/>
          <w:sz w:val="24"/>
          <w:szCs w:val="24"/>
          <w:lang w:val="en-US" w:eastAsia="zh-CN"/>
        </w:rPr>
        <w:t>内容</w:t>
      </w:r>
    </w:p>
    <w:p w14:paraId="1DA25339">
      <w:pPr>
        <w:pStyle w:val="4"/>
        <w:spacing w:after="0" w:line="560" w:lineRule="exact"/>
        <w:ind w:firstLine="480" w:firstLineChars="200"/>
        <w:outlineLvl w:val="1"/>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1.项目名称：“一湖两岸”城文旅融合发展专项规划编制采购项目</w:t>
      </w:r>
    </w:p>
    <w:p w14:paraId="42289ABF">
      <w:pPr>
        <w:pStyle w:val="4"/>
        <w:spacing w:after="0" w:line="560" w:lineRule="exact"/>
        <w:ind w:firstLine="480" w:firstLineChars="200"/>
        <w:outlineLvl w:val="1"/>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2.服务地点：采购人指定地点</w:t>
      </w:r>
    </w:p>
    <w:p w14:paraId="60989EED">
      <w:pPr>
        <w:pStyle w:val="4"/>
        <w:spacing w:after="0" w:line="560" w:lineRule="exact"/>
        <w:ind w:firstLine="482" w:firstLineChars="200"/>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二、项目概况</w:t>
      </w:r>
    </w:p>
    <w:p w14:paraId="576DE731">
      <w:pPr>
        <w:pStyle w:val="38"/>
        <w:spacing w:line="440" w:lineRule="exact"/>
        <w:ind w:left="0" w:leftChars="0"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auto"/>
          <w:sz w:val="24"/>
          <w:highlight w:val="none"/>
        </w:rPr>
        <w:t>1、本规划分为研究范围和核心区范围两个层次。研究范围以中心城区段为核心，向外延伸至支流区域，划定汉江沿岸100米、支流50米范围，总面积约5</w:t>
      </w:r>
      <w:r>
        <w:rPr>
          <w:rFonts w:hint="eastAsia" w:ascii="宋体" w:hAnsi="宋体" w:eastAsia="宋体" w:cs="宋体"/>
          <w:bCs/>
          <w:color w:val="000000" w:themeColor="text1"/>
          <w:sz w:val="24"/>
          <w:highlight w:val="none"/>
          <w14:textFill>
            <w14:solidFill>
              <w14:schemeClr w14:val="tx1"/>
            </w14:solidFill>
          </w14:textFill>
        </w:rPr>
        <w:t>1平方公里（水域面积约23平方公里）。核心区范围总面积约21.76平方公里（水域面积约8.6平方公里），西起银百高速汉江大桥，东至石梯镇(石梯汉江大桥)，北以G211、江北大道到张岭、黄沟为界，南以鼓楼街、枣园路到黄洋河大桥、张石大道为界。</w:t>
      </w:r>
    </w:p>
    <w:p w14:paraId="2E4B3598">
      <w:pPr>
        <w:pStyle w:val="38"/>
        <w:spacing w:line="440" w:lineRule="exact"/>
        <w:ind w:left="0" w:leftChars="0"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一湖两岸”城文旅融合发展专项规划编制采购项目主要为贯彻国家“美丽城市、美丽河湖”建设要求，充分发挥安康湖资源优势，落实安康市“一湖两岸”城文旅融合发展战略意图。统筹制定“一湖两岸”保护与开发蓝图与实施路径。实现规划的上下贯通，从“蓝图愿景”到“行动方案”确保规划合理；实现项目的综合统筹，从“项目拼合”到“要素整合”确保项目落地；实现城文旅深度融合，从“简单叠加”到“深</w:t>
      </w:r>
      <w:r>
        <w:rPr>
          <w:rFonts w:hint="eastAsia" w:ascii="宋体" w:hAnsi="宋体" w:eastAsia="宋体" w:cs="宋体"/>
          <w:bCs/>
          <w:color w:val="auto"/>
          <w:sz w:val="24"/>
          <w:highlight w:val="none"/>
        </w:rPr>
        <w:t>度耦合”确保融合发展</w:t>
      </w:r>
      <w:r>
        <w:rPr>
          <w:rFonts w:hint="eastAsia" w:ascii="宋体" w:hAnsi="宋体" w:eastAsia="宋体" w:cs="宋体"/>
          <w:bCs/>
          <w:color w:val="000000" w:themeColor="text1"/>
          <w:sz w:val="24"/>
          <w:highlight w:val="none"/>
          <w14:textFill>
            <w14:solidFill>
              <w14:schemeClr w14:val="tx1"/>
            </w14:solidFill>
          </w14:textFill>
        </w:rPr>
        <w:t>。助力“一湖两岸”建成为彰显城市特色的重要名片，国家生态屏障与绿色发展的“安康范本”。</w:t>
      </w:r>
    </w:p>
    <w:p w14:paraId="1653C630">
      <w:pPr>
        <w:pStyle w:val="38"/>
        <w:spacing w:line="440" w:lineRule="exact"/>
        <w:ind w:left="0" w:leftChars="0" w:firstLine="480" w:firstLineChars="200"/>
        <w:rPr>
          <w:rFonts w:hint="eastAsia" w:ascii="宋体" w:hAnsi="宋体" w:eastAsia="宋体" w:cs="宋体"/>
          <w:bCs/>
          <w:sz w:val="24"/>
        </w:rPr>
      </w:pPr>
      <w:r>
        <w:rPr>
          <w:rFonts w:hint="eastAsia" w:ascii="宋体" w:hAnsi="宋体" w:eastAsia="宋体" w:cs="宋体"/>
          <w:bCs/>
          <w:sz w:val="24"/>
        </w:rPr>
        <w:t>3、采购内容为：计划采购有能力、有资质的</w:t>
      </w:r>
      <w:r>
        <w:rPr>
          <w:rFonts w:hint="eastAsia" w:ascii="宋体" w:hAnsi="宋体" w:eastAsia="宋体" w:cs="宋体"/>
          <w:bCs/>
          <w:sz w:val="24"/>
          <w:lang w:eastAsia="zh-CN"/>
        </w:rPr>
        <w:t>投标人</w:t>
      </w:r>
      <w:r>
        <w:rPr>
          <w:rFonts w:hint="eastAsia" w:ascii="宋体" w:hAnsi="宋体" w:eastAsia="宋体" w:cs="宋体"/>
          <w:bCs/>
          <w:sz w:val="24"/>
        </w:rPr>
        <w:t>，对“一湖两岸”城文旅融合发展专项规划编制</w:t>
      </w:r>
      <w:r>
        <w:rPr>
          <w:rFonts w:hint="eastAsia" w:ascii="宋体" w:hAnsi="宋体" w:eastAsia="宋体" w:cs="宋体"/>
          <w:bCs/>
          <w:sz w:val="24"/>
          <w:lang w:val="en-US" w:eastAsia="zh-CN"/>
        </w:rPr>
        <w:t>服务</w:t>
      </w:r>
      <w:r>
        <w:rPr>
          <w:rFonts w:hint="eastAsia" w:ascii="宋体" w:hAnsi="宋体" w:eastAsia="宋体" w:cs="宋体"/>
          <w:bCs/>
          <w:sz w:val="24"/>
        </w:rPr>
        <w:t>，并形成规划编制方案，最终成果应通过采购人或相关专家评审。</w:t>
      </w:r>
    </w:p>
    <w:p w14:paraId="26E6DB3B">
      <w:pPr>
        <w:pStyle w:val="38"/>
        <w:spacing w:line="440" w:lineRule="exact"/>
        <w:ind w:left="0" w:leftChars="0"/>
        <w:rPr>
          <w:rFonts w:hint="eastAsia" w:ascii="宋体" w:hAnsi="宋体" w:eastAsia="宋体" w:cs="宋体"/>
          <w:b/>
          <w:sz w:val="24"/>
        </w:rPr>
      </w:pPr>
      <w:r>
        <w:rPr>
          <w:rFonts w:hint="eastAsia" w:ascii="宋体" w:hAnsi="宋体" w:eastAsia="宋体" w:cs="宋体"/>
          <w:b/>
          <w:sz w:val="24"/>
          <w:lang w:val="en-US" w:eastAsia="zh-CN"/>
        </w:rPr>
        <w:t>三</w:t>
      </w:r>
      <w:r>
        <w:rPr>
          <w:rFonts w:hint="eastAsia" w:ascii="宋体" w:hAnsi="宋体" w:eastAsia="宋体" w:cs="宋体"/>
          <w:b/>
          <w:sz w:val="24"/>
        </w:rPr>
        <w:t>、规划设计编制依据</w:t>
      </w:r>
    </w:p>
    <w:p w14:paraId="01753E54">
      <w:pPr>
        <w:widowControl/>
        <w:spacing w:line="480" w:lineRule="exact"/>
        <w:ind w:firstLine="482" w:firstLineChars="200"/>
        <w:jc w:val="left"/>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color w:val="000000"/>
          <w:kern w:val="0"/>
          <w:sz w:val="24"/>
          <w:szCs w:val="24"/>
          <w:lang w:bidi="ar"/>
        </w:rPr>
        <w:t xml:space="preserve">规划设计编制应符合下列法律法规及政策性文件（包含但不限于下列内容）： </w:t>
      </w:r>
    </w:p>
    <w:p w14:paraId="09E4D278">
      <w:pPr>
        <w:widowControl/>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（1）法律法规</w:t>
      </w:r>
    </w:p>
    <w:p w14:paraId="2A6AF0AE">
      <w:pPr>
        <w:widowControl/>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《中华人民共和国土地管理法》； </w:t>
      </w:r>
    </w:p>
    <w:p w14:paraId="63A01332">
      <w:pPr>
        <w:widowControl/>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《中华人民共和国城乡规划法》； </w:t>
      </w:r>
    </w:p>
    <w:p w14:paraId="0F0D4E67">
      <w:pPr>
        <w:widowControl/>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《中华人民共和国环境保护法》； </w:t>
      </w:r>
    </w:p>
    <w:p w14:paraId="0C859080">
      <w:pPr>
        <w:widowControl/>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《中华人民共和国土地管理法实施条例》； </w:t>
      </w:r>
    </w:p>
    <w:p w14:paraId="7B05321F">
      <w:pPr>
        <w:widowControl/>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《历史文化名城名镇名村保护条例》； </w:t>
      </w:r>
    </w:p>
    <w:p w14:paraId="1160D53D">
      <w:pPr>
        <w:widowControl/>
        <w:spacing w:line="48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《城市规划编制办法》（建设部令第146 号）</w:t>
      </w:r>
    </w:p>
    <w:p w14:paraId="4AE12FF2">
      <w:pPr>
        <w:widowControl/>
        <w:spacing w:line="48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《城市规划编制办法实施细则》（建设部）</w:t>
      </w:r>
    </w:p>
    <w:p w14:paraId="3BF925E4">
      <w:pPr>
        <w:widowControl/>
        <w:spacing w:line="48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《城市规划强制性内容暂行办法》</w:t>
      </w:r>
    </w:p>
    <w:p w14:paraId="602F6089">
      <w:pPr>
        <w:widowControl/>
        <w:spacing w:line="48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《城市用地分类与规划建设用地标准》GB50137-2011</w:t>
      </w:r>
    </w:p>
    <w:p w14:paraId="14975744">
      <w:pPr>
        <w:widowControl/>
        <w:spacing w:line="48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《国土空间调查、规划、用途管制用地用海分类指南（试行）》</w:t>
      </w:r>
    </w:p>
    <w:p w14:paraId="0CFB89F9">
      <w:pPr>
        <w:widowControl/>
        <w:spacing w:line="48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《建设用地容积率管理办法》建规{2012}22 号</w:t>
      </w:r>
    </w:p>
    <w:p w14:paraId="28E8C6C3">
      <w:pPr>
        <w:widowControl/>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《城市居住区规划设计标准》（GB 50180-2018）； </w:t>
      </w:r>
    </w:p>
    <w:p w14:paraId="051DEE40">
      <w:pPr>
        <w:ind w:firstLine="482" w:firstLineChars="200"/>
        <w:rPr>
          <w:rFonts w:hint="eastAsia" w:ascii="宋体" w:hAnsi="宋体" w:eastAsia="宋体" w:cs="宋体"/>
        </w:rPr>
      </w:pPr>
      <w:r>
        <w:rPr>
          <w:rFonts w:hint="eastAsia" w:ascii="宋体" w:hAnsi="宋体" w:eastAsia="宋体" w:cs="宋体"/>
          <w:b/>
          <w:sz w:val="24"/>
          <w:szCs w:val="24"/>
        </w:rPr>
        <w:t>（</w:t>
      </w:r>
      <w:r>
        <w:rPr>
          <w:rFonts w:hint="eastAsia" w:ascii="宋体" w:hAnsi="宋体" w:eastAsia="宋体" w:cs="宋体"/>
          <w:b/>
          <w:bCs/>
          <w:sz w:val="24"/>
          <w:szCs w:val="24"/>
        </w:rPr>
        <w:t>以上技术标准若有最新版，按照最新版执行</w:t>
      </w:r>
      <w:r>
        <w:rPr>
          <w:rFonts w:hint="eastAsia" w:ascii="宋体" w:hAnsi="宋体" w:eastAsia="宋体" w:cs="宋体"/>
          <w:b/>
          <w:sz w:val="24"/>
          <w:szCs w:val="24"/>
        </w:rPr>
        <w:t>）</w:t>
      </w:r>
    </w:p>
    <w:p w14:paraId="6849C4B2">
      <w:pPr>
        <w:pStyle w:val="38"/>
        <w:spacing w:line="440" w:lineRule="exact"/>
        <w:ind w:left="0" w:leftChars="0"/>
        <w:rPr>
          <w:rFonts w:hint="eastAsia" w:ascii="宋体" w:hAnsi="宋体" w:eastAsia="宋体" w:cs="宋体"/>
          <w:b/>
          <w:sz w:val="24"/>
        </w:rPr>
      </w:pPr>
      <w:r>
        <w:rPr>
          <w:rFonts w:hint="eastAsia" w:ascii="宋体" w:hAnsi="宋体" w:eastAsia="宋体" w:cs="宋体"/>
          <w:b/>
          <w:sz w:val="24"/>
        </w:rPr>
        <w:t>3、服务要求</w:t>
      </w:r>
    </w:p>
    <w:p w14:paraId="710BCA63">
      <w:pPr>
        <w:widowControl/>
        <w:spacing w:line="480" w:lineRule="exact"/>
        <w:ind w:firstLine="480" w:firstLineChars="200"/>
        <w:jc w:val="left"/>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（1）根据采购人提供的有关资料和上级部门的相关要求，依照有关法规和规范等要求，按双方拟定的进度，按时、保质、保量提供相关数据及文件资料。 </w:t>
      </w:r>
    </w:p>
    <w:p w14:paraId="6C601D1E">
      <w:pPr>
        <w:widowControl/>
        <w:spacing w:line="480" w:lineRule="exact"/>
        <w:ind w:firstLine="480" w:firstLineChars="200"/>
        <w:jc w:val="left"/>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（2）负责项目工作会议涉及项目方案的汇报工作，负责提供会议汇报材料、成果等。 </w:t>
      </w:r>
    </w:p>
    <w:p w14:paraId="3E49EA21">
      <w:pPr>
        <w:widowControl/>
        <w:spacing w:line="480" w:lineRule="exact"/>
        <w:ind w:firstLine="480" w:firstLineChars="200"/>
        <w:jc w:val="left"/>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（3）在项目工作过程和成果报过程中与采购人密切配合，做好成果的修改完善。 </w:t>
      </w:r>
    </w:p>
    <w:p w14:paraId="34A7D2EC">
      <w:pPr>
        <w:widowControl/>
        <w:spacing w:line="480" w:lineRule="exact"/>
        <w:ind w:firstLine="480" w:firstLineChars="200"/>
        <w:jc w:val="left"/>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（4）协助配合采购人组织项目成果评审和报审工作。 </w:t>
      </w:r>
    </w:p>
    <w:p w14:paraId="255386E5">
      <w:pPr>
        <w:widowControl/>
        <w:spacing w:line="480" w:lineRule="exact"/>
        <w:ind w:firstLine="480" w:firstLineChars="200"/>
        <w:jc w:val="left"/>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（5）在服务期间，若省、市出台其他规定，应以省、市其他规定为准，如遇上级政策调整，应按上级新的时间要求和新的编制规程及政策要求,对所做成果进行调整和完善，并满足采购人对本项目的使用。 </w:t>
      </w:r>
    </w:p>
    <w:p w14:paraId="106ACCE5">
      <w:pPr>
        <w:widowControl/>
        <w:spacing w:line="480" w:lineRule="exact"/>
        <w:ind w:firstLine="480" w:firstLineChars="200"/>
        <w:jc w:val="left"/>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（6）应保护采购人的知识产权。未经采购人同意，不得向第三方转让采购人提供有关图纸等技术经济资料。如发生以上情况并给采购人造成损失，采购人有权提出索赔。 </w:t>
      </w:r>
    </w:p>
    <w:p w14:paraId="6C432E87">
      <w:pPr>
        <w:pStyle w:val="38"/>
        <w:spacing w:line="440" w:lineRule="exact"/>
        <w:ind w:left="0" w:leftChars="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四</w:t>
      </w:r>
      <w:r>
        <w:rPr>
          <w:rFonts w:hint="eastAsia" w:ascii="宋体" w:hAnsi="宋体" w:eastAsia="宋体" w:cs="宋体"/>
          <w:b/>
          <w:color w:val="000000" w:themeColor="text1"/>
          <w:sz w:val="24"/>
          <w:highlight w:val="none"/>
          <w14:textFill>
            <w14:solidFill>
              <w14:schemeClr w14:val="tx1"/>
            </w14:solidFill>
          </w14:textFill>
        </w:rPr>
        <w:t>、成果文件要求</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650"/>
        <w:gridCol w:w="2079"/>
        <w:gridCol w:w="945"/>
        <w:gridCol w:w="1642"/>
        <w:gridCol w:w="1464"/>
      </w:tblGrid>
      <w:tr w14:paraId="31C0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685CD9DE">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bidi="ar"/>
                <w14:textFill>
                  <w14:solidFill>
                    <w14:schemeClr w14:val="tx1"/>
                  </w14:solidFill>
                </w14:textFill>
              </w:rPr>
              <w:t>序号</w:t>
            </w:r>
          </w:p>
        </w:tc>
        <w:tc>
          <w:tcPr>
            <w:tcW w:w="1650" w:type="dxa"/>
            <w:vAlign w:val="center"/>
          </w:tcPr>
          <w:p w14:paraId="4D1EF7FC">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bidi="ar"/>
                <w14:textFill>
                  <w14:solidFill>
                    <w14:schemeClr w14:val="tx1"/>
                  </w14:solidFill>
                </w14:textFill>
              </w:rPr>
              <w:t>成果名称</w:t>
            </w:r>
          </w:p>
        </w:tc>
        <w:tc>
          <w:tcPr>
            <w:tcW w:w="2079" w:type="dxa"/>
            <w:vAlign w:val="center"/>
          </w:tcPr>
          <w:p w14:paraId="381C4C53">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bidi="ar"/>
                <w14:textFill>
                  <w14:solidFill>
                    <w14:schemeClr w14:val="tx1"/>
                  </w14:solidFill>
                </w14:textFill>
              </w:rPr>
              <w:t>成果内容</w:t>
            </w:r>
          </w:p>
        </w:tc>
        <w:tc>
          <w:tcPr>
            <w:tcW w:w="945" w:type="dxa"/>
            <w:vAlign w:val="center"/>
          </w:tcPr>
          <w:p w14:paraId="30A8D476">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bidi="ar"/>
                <w14:textFill>
                  <w14:solidFill>
                    <w14:schemeClr w14:val="tx1"/>
                  </w14:solidFill>
                </w14:textFill>
              </w:rPr>
              <w:t>数量</w:t>
            </w:r>
          </w:p>
        </w:tc>
        <w:tc>
          <w:tcPr>
            <w:tcW w:w="1642" w:type="dxa"/>
            <w:vAlign w:val="center"/>
          </w:tcPr>
          <w:p w14:paraId="57EB7135">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bidi="ar"/>
                <w14:textFill>
                  <w14:solidFill>
                    <w14:schemeClr w14:val="tx1"/>
                  </w14:solidFill>
                </w14:textFill>
              </w:rPr>
              <w:t>存储介质</w:t>
            </w:r>
          </w:p>
        </w:tc>
        <w:tc>
          <w:tcPr>
            <w:tcW w:w="1464" w:type="dxa"/>
            <w:vAlign w:val="center"/>
          </w:tcPr>
          <w:p w14:paraId="7E62DCE3">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bidi="ar"/>
                <w14:textFill>
                  <w14:solidFill>
                    <w14:schemeClr w14:val="tx1"/>
                  </w14:solidFill>
                </w14:textFill>
              </w:rPr>
              <w:t>存储介质</w:t>
            </w:r>
          </w:p>
        </w:tc>
      </w:tr>
      <w:tr w14:paraId="6643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42" w:type="dxa"/>
            <w:vAlign w:val="center"/>
          </w:tcPr>
          <w:p w14:paraId="4E7C68DF">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1</w:t>
            </w:r>
          </w:p>
        </w:tc>
        <w:tc>
          <w:tcPr>
            <w:tcW w:w="1650" w:type="dxa"/>
            <w:vAlign w:val="center"/>
          </w:tcPr>
          <w:p w14:paraId="15D000CA">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规划文本</w:t>
            </w:r>
          </w:p>
        </w:tc>
        <w:tc>
          <w:tcPr>
            <w:tcW w:w="2079" w:type="dxa"/>
            <w:vAlign w:val="center"/>
          </w:tcPr>
          <w:p w14:paraId="67BB0DB0">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文本、图件、表格、</w:t>
            </w:r>
          </w:p>
        </w:tc>
        <w:tc>
          <w:tcPr>
            <w:tcW w:w="945" w:type="dxa"/>
            <w:vAlign w:val="center"/>
          </w:tcPr>
          <w:p w14:paraId="0E08FDA5">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1</w:t>
            </w:r>
          </w:p>
        </w:tc>
        <w:tc>
          <w:tcPr>
            <w:tcW w:w="1642" w:type="dxa"/>
            <w:vAlign w:val="center"/>
          </w:tcPr>
          <w:p w14:paraId="09F75B37">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纸质 3 套</w:t>
            </w:r>
          </w:p>
        </w:tc>
        <w:tc>
          <w:tcPr>
            <w:tcW w:w="1464" w:type="dxa"/>
            <w:vAlign w:val="center"/>
          </w:tcPr>
          <w:p w14:paraId="71731043">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电子 2 套</w:t>
            </w:r>
          </w:p>
        </w:tc>
      </w:tr>
    </w:tbl>
    <w:p w14:paraId="54CA90BE">
      <w:pPr>
        <w:spacing w:line="440" w:lineRule="exact"/>
        <w:rPr>
          <w:rFonts w:hint="eastAsia" w:ascii="宋体" w:hAnsi="宋体" w:eastAsia="宋体" w:cs="宋体"/>
          <w:sz w:val="24"/>
          <w:szCs w:val="24"/>
        </w:rPr>
      </w:pPr>
      <w:r>
        <w:rPr>
          <w:rFonts w:hint="eastAsia" w:ascii="宋体" w:hAnsi="宋体" w:eastAsia="宋体" w:cs="宋体"/>
          <w:b/>
          <w:bCs/>
          <w:color w:val="000000"/>
          <w:kern w:val="0"/>
          <w:sz w:val="24"/>
          <w:szCs w:val="24"/>
          <w:lang w:bidi="ar"/>
        </w:rPr>
        <w:t>注：纸质成果与电子成果应同时交付采购人，纸质成果按照采购人要求装订，电子成果光盘 1 套、U 盘 1 套。</w:t>
      </w:r>
    </w:p>
    <w:p w14:paraId="7A1FA089">
      <w:pPr>
        <w:spacing w:line="440" w:lineRule="exact"/>
        <w:rPr>
          <w:rFonts w:hint="eastAsia" w:ascii="宋体" w:hAnsi="宋体" w:eastAsia="宋体" w:cs="宋体"/>
          <w:b/>
          <w:bCs/>
          <w:sz w:val="32"/>
          <w:szCs w:val="32"/>
        </w:rPr>
      </w:pPr>
      <w:r>
        <w:rPr>
          <w:rFonts w:hint="eastAsia" w:ascii="宋体" w:hAnsi="宋体" w:eastAsia="宋体" w:cs="宋体"/>
          <w:b/>
          <w:bCs/>
          <w:sz w:val="32"/>
          <w:szCs w:val="32"/>
        </w:rPr>
        <w:br w:type="page"/>
      </w:r>
    </w:p>
    <w:p w14:paraId="0111D775">
      <w:pPr>
        <w:spacing w:line="540" w:lineRule="exact"/>
        <w:ind w:firstLine="482" w:firstLineChars="200"/>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五、商务条款要求</w:t>
      </w:r>
    </w:p>
    <w:p w14:paraId="0D44C2DC">
      <w:pPr>
        <w:pStyle w:val="43"/>
        <w:spacing w:before="0" w:beforeAutospacing="0" w:after="0" w:afterAutospacing="0" w:line="440" w:lineRule="exact"/>
        <w:jc w:val="both"/>
        <w:rPr>
          <w:rFonts w:hint="eastAsia" w:ascii="宋体" w:hAnsi="宋体" w:eastAsia="宋体" w:cs="宋体"/>
          <w:sz w:val="24"/>
          <w:szCs w:val="24"/>
          <w:shd w:val="clear" w:color="auto" w:fill="FFFFFF"/>
        </w:rPr>
      </w:pPr>
      <w:bookmarkStart w:id="156" w:name="_Toc167715235"/>
      <w:bookmarkStart w:id="157" w:name="_Toc167714038"/>
      <w:bookmarkStart w:id="158" w:name="_Toc167712840"/>
      <w:r>
        <w:rPr>
          <w:rFonts w:hint="eastAsia" w:ascii="宋体" w:hAnsi="宋体" w:eastAsia="宋体" w:cs="宋体"/>
          <w:b/>
          <w:sz w:val="24"/>
          <w:szCs w:val="24"/>
        </w:rPr>
        <w:t>一、服务期限：</w:t>
      </w:r>
      <w:r>
        <w:rPr>
          <w:rFonts w:hint="eastAsia" w:ascii="宋体" w:hAnsi="宋体" w:eastAsia="宋体" w:cs="宋体"/>
          <w:sz w:val="24"/>
          <w:szCs w:val="24"/>
          <w:shd w:val="clear" w:color="auto" w:fill="FFFFFF"/>
        </w:rPr>
        <w:t>自合同签订之日起120日历天完成本项目。</w:t>
      </w:r>
    </w:p>
    <w:p w14:paraId="78588D8F">
      <w:pPr>
        <w:spacing w:line="440" w:lineRule="exact"/>
        <w:rPr>
          <w:rFonts w:hint="eastAsia" w:ascii="宋体" w:hAnsi="宋体" w:eastAsia="宋体" w:cs="宋体"/>
          <w:b/>
          <w:sz w:val="24"/>
        </w:rPr>
      </w:pPr>
      <w:r>
        <w:rPr>
          <w:rFonts w:hint="eastAsia" w:ascii="宋体" w:hAnsi="宋体" w:eastAsia="宋体" w:cs="宋体"/>
          <w:b/>
          <w:sz w:val="24"/>
          <w:szCs w:val="24"/>
        </w:rPr>
        <w:t>二、服务地点：</w:t>
      </w:r>
      <w:bookmarkEnd w:id="156"/>
      <w:bookmarkEnd w:id="157"/>
      <w:bookmarkEnd w:id="158"/>
      <w:bookmarkStart w:id="159" w:name="_Toc167714047"/>
      <w:bookmarkStart w:id="160" w:name="_Toc167712849"/>
      <w:bookmarkStart w:id="161" w:name="_Toc167715244"/>
      <w:r>
        <w:rPr>
          <w:rFonts w:hint="eastAsia" w:ascii="宋体" w:hAnsi="宋体" w:eastAsia="宋体" w:cs="宋体"/>
          <w:b/>
          <w:sz w:val="24"/>
          <w:szCs w:val="24"/>
          <w:lang w:val="en-US" w:eastAsia="zh-CN"/>
        </w:rPr>
        <w:t>采购人指定地点</w:t>
      </w:r>
    </w:p>
    <w:p w14:paraId="55A0BFA3">
      <w:pPr>
        <w:pStyle w:val="38"/>
        <w:spacing w:line="440" w:lineRule="exact"/>
        <w:ind w:left="0" w:leftChars="0"/>
        <w:rPr>
          <w:rFonts w:hint="eastAsia" w:ascii="宋体" w:hAnsi="宋体" w:eastAsia="宋体" w:cs="宋体"/>
          <w:b/>
          <w:sz w:val="24"/>
          <w:lang w:val="en-US" w:eastAsia="zh-CN"/>
        </w:rPr>
      </w:pPr>
      <w:r>
        <w:rPr>
          <w:rFonts w:hint="eastAsia" w:ascii="宋体" w:hAnsi="宋体" w:eastAsia="宋体" w:cs="宋体"/>
          <w:b/>
          <w:sz w:val="24"/>
        </w:rPr>
        <w:t>三、付款方式</w:t>
      </w:r>
      <w:r>
        <w:rPr>
          <w:rFonts w:hint="eastAsia" w:ascii="宋体" w:hAnsi="宋体" w:eastAsia="宋体" w:cs="宋体"/>
          <w:b/>
          <w:sz w:val="24"/>
          <w:lang w:val="en-US" w:eastAsia="zh-CN"/>
        </w:rPr>
        <w:t>及结算方式</w:t>
      </w:r>
    </w:p>
    <w:p w14:paraId="17C35A04">
      <w:pPr>
        <w:widowControl/>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合同总价即</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价，</w:t>
      </w:r>
      <w:r>
        <w:rPr>
          <w:rFonts w:hint="eastAsia" w:ascii="宋体" w:hAnsi="宋体" w:eastAsia="宋体" w:cs="宋体"/>
          <w:color w:val="auto"/>
          <w:sz w:val="24"/>
          <w:szCs w:val="24"/>
          <w:lang w:val="en-US" w:eastAsia="zh-CN"/>
        </w:rPr>
        <w:t>凡涉及与本项目服务相关的所有费用一次性计入投标总价</w:t>
      </w:r>
      <w:r>
        <w:rPr>
          <w:rFonts w:hint="eastAsia" w:ascii="宋体" w:hAnsi="宋体" w:eastAsia="宋体" w:cs="宋体"/>
          <w:color w:val="auto"/>
          <w:sz w:val="24"/>
          <w:szCs w:val="24"/>
        </w:rPr>
        <w:t>，不受市场价变化或实际工作量变化的影响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合同履约过程中采购人不在支付其他额外费用。</w:t>
      </w:r>
    </w:p>
    <w:p w14:paraId="4C388AD0">
      <w:pPr>
        <w:pStyle w:val="32"/>
        <w:ind w:firstLine="482" w:firstLineChars="200"/>
        <w:rPr>
          <w:rFonts w:hint="eastAsia" w:ascii="宋体" w:hAnsi="宋体" w:eastAsia="宋体" w:cs="宋体"/>
          <w:b/>
          <w:bCs w:val="0"/>
          <w:caps w:val="0"/>
          <w:smallCaps/>
          <w:kern w:val="2"/>
          <w:sz w:val="24"/>
          <w:szCs w:val="20"/>
          <w:lang w:val="en-US" w:eastAsia="zh-CN" w:bidi="ar-SA"/>
        </w:rPr>
      </w:pPr>
      <w:r>
        <w:rPr>
          <w:rFonts w:hint="eastAsia" w:ascii="宋体" w:hAnsi="宋体" w:eastAsia="宋体" w:cs="宋体"/>
          <w:b/>
          <w:bCs w:val="0"/>
          <w:caps w:val="0"/>
          <w:smallCaps/>
          <w:kern w:val="2"/>
          <w:sz w:val="24"/>
          <w:szCs w:val="20"/>
          <w:lang w:val="en-US" w:eastAsia="zh-CN" w:bidi="ar-SA"/>
        </w:rPr>
        <w:t>2.付款方式和程序</w:t>
      </w:r>
    </w:p>
    <w:p w14:paraId="58A5256D">
      <w:pPr>
        <w:spacing w:line="44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（1）合同签订后10天内支付合同总金额的30%；</w:t>
      </w:r>
    </w:p>
    <w:p w14:paraId="2FD590A8">
      <w:pPr>
        <w:spacing w:line="44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（2）投标人提交规划初稿文件后10天内支付合同总金额的30%；</w:t>
      </w:r>
    </w:p>
    <w:p w14:paraId="17141189">
      <w:pPr>
        <w:spacing w:line="44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（3）投标人提交的技术成果通过评审后10天内，支付合同总金额的20%。 </w:t>
      </w:r>
    </w:p>
    <w:p w14:paraId="38C51847">
      <w:pPr>
        <w:spacing w:line="44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（4）投标人提交最终技术后10天内，支付合同总金额的20%</w:t>
      </w:r>
    </w:p>
    <w:p w14:paraId="7E954DB0">
      <w:pPr>
        <w:spacing w:line="44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（5）付款方式：由甲方负责结算。付款前，乙方须开具与合同金额相应的发票给甲方。</w:t>
      </w:r>
    </w:p>
    <w:p w14:paraId="2363AECF">
      <w:pPr>
        <w:pStyle w:val="32"/>
        <w:rPr>
          <w:rFonts w:hint="eastAsia" w:ascii="宋体" w:hAnsi="宋体" w:eastAsia="宋体" w:cs="宋体"/>
          <w:sz w:val="24"/>
          <w:lang w:val="en-US" w:eastAsia="zh-CN"/>
        </w:rPr>
      </w:pPr>
      <w:r>
        <w:rPr>
          <w:rFonts w:hint="eastAsia" w:ascii="宋体" w:hAnsi="宋体" w:eastAsia="宋体" w:cs="宋体"/>
          <w:sz w:val="24"/>
          <w:lang w:val="en-US" w:eastAsia="zh-CN"/>
        </w:rPr>
        <w:t>四</w:t>
      </w:r>
      <w:r>
        <w:rPr>
          <w:rFonts w:hint="eastAsia" w:ascii="宋体" w:hAnsi="宋体" w:eastAsia="宋体" w:cs="宋体"/>
          <w:b/>
          <w:sz w:val="24"/>
        </w:rPr>
        <w:t>、</w:t>
      </w:r>
      <w:r>
        <w:rPr>
          <w:rFonts w:hint="eastAsia" w:ascii="宋体" w:hAnsi="宋体" w:eastAsia="宋体" w:cs="宋体"/>
          <w:b/>
          <w:sz w:val="24"/>
          <w:lang w:val="en-US" w:eastAsia="zh-CN"/>
        </w:rPr>
        <w:t>质量标准：</w:t>
      </w:r>
    </w:p>
    <w:p w14:paraId="09FC3A04">
      <w:pPr>
        <w:spacing w:line="44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质量标准：符合国家法律法规及行业现行标准</w:t>
      </w:r>
    </w:p>
    <w:p w14:paraId="319B8594">
      <w:pPr>
        <w:pStyle w:val="38"/>
        <w:spacing w:line="440" w:lineRule="exact"/>
        <w:ind w:left="0" w:leftChars="0"/>
        <w:rPr>
          <w:rFonts w:hint="eastAsia" w:ascii="宋体" w:hAnsi="宋体" w:eastAsia="宋体" w:cs="宋体"/>
          <w:b/>
          <w:sz w:val="24"/>
          <w:lang w:val="en-US"/>
        </w:rPr>
      </w:pPr>
      <w:r>
        <w:rPr>
          <w:rFonts w:hint="eastAsia" w:ascii="宋体" w:hAnsi="宋体" w:eastAsia="宋体" w:cs="宋体"/>
          <w:b/>
          <w:smallCaps/>
          <w:kern w:val="2"/>
          <w:sz w:val="24"/>
          <w:szCs w:val="20"/>
          <w:lang w:val="en-US" w:eastAsia="zh-CN" w:bidi="ar-SA"/>
        </w:rPr>
        <w:t>五</w:t>
      </w:r>
      <w:r>
        <w:rPr>
          <w:rFonts w:hint="eastAsia" w:ascii="宋体" w:hAnsi="宋体" w:eastAsia="宋体" w:cs="宋体"/>
          <w:b/>
          <w:sz w:val="24"/>
        </w:rPr>
        <w:t>、</w:t>
      </w:r>
      <w:r>
        <w:rPr>
          <w:rFonts w:hint="eastAsia" w:ascii="宋体" w:hAnsi="宋体" w:eastAsia="宋体" w:cs="宋体"/>
          <w:b/>
          <w:sz w:val="24"/>
          <w:lang w:val="en-US" w:eastAsia="zh-CN"/>
        </w:rPr>
        <w:t>验收</w:t>
      </w:r>
    </w:p>
    <w:p w14:paraId="36603DB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1、按照国家、省、市有关专项规划的验收标准执行，通过采购人验收。</w:t>
      </w:r>
    </w:p>
    <w:p w14:paraId="11CA95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2、最终经过相关部门评审报批备案通过视为验收合格。</w:t>
      </w:r>
    </w:p>
    <w:p w14:paraId="35A727EF">
      <w:pPr>
        <w:spacing w:line="440" w:lineRule="exact"/>
        <w:rPr>
          <w:rFonts w:hint="eastAsia" w:ascii="宋体" w:hAnsi="宋体" w:eastAsia="宋体" w:cs="宋体"/>
          <w:b/>
          <w:smallCaps/>
          <w:kern w:val="2"/>
          <w:sz w:val="24"/>
          <w:szCs w:val="20"/>
          <w:lang w:val="en-US" w:eastAsia="zh-CN" w:bidi="ar-SA"/>
        </w:rPr>
      </w:pPr>
      <w:r>
        <w:rPr>
          <w:rFonts w:hint="eastAsia" w:ascii="宋体" w:hAnsi="宋体" w:eastAsia="宋体" w:cs="宋体"/>
          <w:b/>
          <w:smallCaps/>
          <w:kern w:val="2"/>
          <w:sz w:val="24"/>
          <w:szCs w:val="20"/>
          <w:lang w:val="en-US" w:eastAsia="zh-CN" w:bidi="ar-SA"/>
        </w:rPr>
        <w:t>六、成果属权</w:t>
      </w:r>
    </w:p>
    <w:p w14:paraId="68B3C7BA">
      <w:pPr>
        <w:spacing w:line="440" w:lineRule="exact"/>
        <w:ind w:firstLine="480" w:firstLineChars="200"/>
        <w:rPr>
          <w:rFonts w:hint="eastAsia" w:ascii="宋体" w:hAnsi="宋体" w:eastAsia="宋体" w:cs="宋体"/>
          <w:kern w:val="0"/>
          <w:sz w:val="24"/>
          <w:szCs w:val="20"/>
        </w:rPr>
      </w:pPr>
      <w:r>
        <w:rPr>
          <w:rFonts w:hint="eastAsia" w:ascii="宋体" w:hAnsi="宋体" w:eastAsia="宋体" w:cs="宋体"/>
          <w:kern w:val="0"/>
          <w:sz w:val="24"/>
          <w:szCs w:val="20"/>
        </w:rPr>
        <w:t>本项目所指的全部原始资料、中间过渡及最终成果所有权属于采购人。未经采购人书面许可，成交单位不得擅自将原始资料、中间过渡或最终成果复制自留或提供给其他任何单位和个人，为自己或其他任何单位和个人谋取利益。</w:t>
      </w:r>
    </w:p>
    <w:p w14:paraId="54021B7D">
      <w:pPr>
        <w:adjustRightInd w:val="0"/>
        <w:spacing w:line="440" w:lineRule="exact"/>
        <w:rPr>
          <w:rFonts w:hint="eastAsia" w:ascii="宋体" w:hAnsi="宋体" w:eastAsia="宋体" w:cs="宋体"/>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rPr>
        <w:t>、保密要求</w:t>
      </w:r>
    </w:p>
    <w:p w14:paraId="6FE559FB">
      <w:pPr>
        <w:adjustRightIn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1、采购人向成交单位提供的全部外业调查、图件及所有其它资料，被视为保密资料，仅被用于它所规定的用途。除非得到采购人的同意，否则不能向任何第三方透露。</w:t>
      </w:r>
    </w:p>
    <w:p w14:paraId="4CB9EEA4">
      <w:pPr>
        <w:adjustRightIn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2、按照国家保密规定，对采购人提供的有关资料与作业成果严格保密，作业成果未经采购人同意不得使用，不得外传。</w:t>
      </w:r>
    </w:p>
    <w:p w14:paraId="1404D82E">
      <w:pPr>
        <w:adjustRightIn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3、成交单位在本项目实施过程中，涉及属于涉密资料的，由成交单位按照国家涉密要求执行，实施前应签定数据成果使用保密协议书，保密协议书作为合同文件的组成部分。</w:t>
      </w:r>
    </w:p>
    <w:p w14:paraId="18E624F2">
      <w:pPr>
        <w:adjustRightInd w:val="0"/>
        <w:spacing w:line="440" w:lineRule="exact"/>
        <w:rPr>
          <w:rFonts w:hint="eastAsia" w:ascii="宋体" w:hAnsi="宋体" w:eastAsia="宋体" w:cs="宋体"/>
          <w:sz w:val="24"/>
          <w:szCs w:val="24"/>
        </w:rPr>
      </w:pPr>
      <w:r>
        <w:rPr>
          <w:rFonts w:hint="eastAsia" w:ascii="宋体" w:hAnsi="宋体" w:eastAsia="宋体" w:cs="宋体"/>
          <w:b/>
          <w:sz w:val="24"/>
          <w:szCs w:val="24"/>
          <w:lang w:val="en-US" w:eastAsia="zh-CN"/>
        </w:rPr>
        <w:t>八</w:t>
      </w:r>
      <w:r>
        <w:rPr>
          <w:rFonts w:hint="eastAsia" w:ascii="宋体" w:hAnsi="宋体" w:eastAsia="宋体" w:cs="宋体"/>
          <w:b/>
          <w:sz w:val="24"/>
          <w:szCs w:val="24"/>
        </w:rPr>
        <w:t>、合同实施</w:t>
      </w:r>
      <w:bookmarkStart w:id="162" w:name="_Toc167714067"/>
      <w:bookmarkStart w:id="163" w:name="_Toc167712869"/>
      <w:bookmarkStart w:id="164" w:name="_Toc167715264"/>
    </w:p>
    <w:p w14:paraId="50240F49">
      <w:pPr>
        <w:adjustRightIn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bookmarkEnd w:id="162"/>
      <w:bookmarkEnd w:id="163"/>
      <w:bookmarkEnd w:id="164"/>
      <w:r>
        <w:rPr>
          <w:rFonts w:hint="eastAsia" w:ascii="宋体" w:hAnsi="宋体" w:eastAsia="宋体" w:cs="宋体"/>
          <w:sz w:val="24"/>
          <w:szCs w:val="24"/>
        </w:rPr>
        <w:t>.成交单位应在合同签订后2个日历日内安排人员（项目组成人员简历表所列）与采购人就本项目相关工作进行安排、部署。</w:t>
      </w:r>
      <w:bookmarkStart w:id="165" w:name="_Toc167714068"/>
      <w:bookmarkStart w:id="166" w:name="_Toc167712870"/>
      <w:bookmarkStart w:id="167" w:name="_Toc167715265"/>
    </w:p>
    <w:p w14:paraId="126B4647">
      <w:pPr>
        <w:adjustRightIn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bookmarkEnd w:id="165"/>
      <w:bookmarkEnd w:id="166"/>
      <w:bookmarkEnd w:id="167"/>
      <w:r>
        <w:rPr>
          <w:rFonts w:hint="eastAsia" w:ascii="宋体" w:hAnsi="宋体" w:eastAsia="宋体" w:cs="宋体"/>
          <w:sz w:val="24"/>
          <w:szCs w:val="24"/>
        </w:rPr>
        <w:t>.若未能在服务期限内完成合同规定的义务，由此对采购人造成的延误和一切损失，由成交单位承担和赔偿。</w:t>
      </w:r>
    </w:p>
    <w:p w14:paraId="3873D4B4">
      <w:pPr>
        <w:spacing w:line="440" w:lineRule="exact"/>
        <w:rPr>
          <w:rFonts w:hint="eastAsia" w:ascii="宋体" w:hAnsi="宋体" w:eastAsia="宋体" w:cs="宋体"/>
          <w:sz w:val="24"/>
          <w:szCs w:val="24"/>
        </w:rPr>
      </w:pPr>
      <w:r>
        <w:rPr>
          <w:rFonts w:hint="eastAsia" w:ascii="宋体" w:hAnsi="宋体" w:eastAsia="宋体" w:cs="宋体"/>
          <w:b/>
          <w:sz w:val="24"/>
          <w:szCs w:val="24"/>
          <w:lang w:val="en-US" w:eastAsia="zh-CN"/>
        </w:rPr>
        <w:t>九</w:t>
      </w:r>
      <w:r>
        <w:rPr>
          <w:rFonts w:hint="eastAsia" w:ascii="宋体" w:hAnsi="宋体" w:eastAsia="宋体" w:cs="宋体"/>
          <w:b/>
          <w:sz w:val="24"/>
          <w:szCs w:val="24"/>
        </w:rPr>
        <w:t>、违约责任</w:t>
      </w:r>
    </w:p>
    <w:bookmarkEnd w:id="159"/>
    <w:bookmarkEnd w:id="160"/>
    <w:bookmarkEnd w:id="161"/>
    <w:p w14:paraId="4EB3DF19">
      <w:pPr>
        <w:keepNext w:val="0"/>
        <w:keepLines w:val="0"/>
        <w:pageBreakBefore w:val="0"/>
        <w:widowControl w:val="0"/>
        <w:tabs>
          <w:tab w:val="left" w:pos="0"/>
          <w:tab w:val="left" w:pos="397"/>
          <w:tab w:val="left" w:pos="993"/>
          <w:tab w:val="left" w:pos="1134"/>
        </w:tabs>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1.按《中华人民共和国民法典》中的相关条款执行。</w:t>
      </w:r>
    </w:p>
    <w:p w14:paraId="65829686">
      <w:pPr>
        <w:keepNext w:val="0"/>
        <w:keepLines w:val="0"/>
        <w:pageBreakBefore w:val="0"/>
        <w:widowControl w:val="0"/>
        <w:tabs>
          <w:tab w:val="left" w:pos="0"/>
          <w:tab w:val="left" w:pos="397"/>
          <w:tab w:val="left" w:pos="993"/>
          <w:tab w:val="left" w:pos="1134"/>
        </w:tabs>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2.未经采购人同意，出现随意变动实施人员或后期提供服务跟进不到位等问题的，采购人有权终止合同。</w:t>
      </w:r>
    </w:p>
    <w:p w14:paraId="66560037">
      <w:pPr>
        <w:keepNext w:val="0"/>
        <w:keepLines w:val="0"/>
        <w:pageBreakBefore w:val="0"/>
        <w:widowControl w:val="0"/>
        <w:kinsoku/>
        <w:wordWrap/>
        <w:overflowPunct/>
        <w:topLinePunct w:val="0"/>
        <w:autoSpaceDE/>
        <w:autoSpaceDN/>
        <w:bidi w:val="0"/>
        <w:adjustRightInd/>
        <w:spacing w:line="540" w:lineRule="exact"/>
        <w:ind w:firstLine="480" w:firstLineChars="200"/>
        <w:textAlignment w:val="auto"/>
        <w:rPr>
          <w:rFonts w:hint="eastAsia" w:ascii="宋体" w:hAnsi="宋体" w:eastAsia="宋体" w:cs="宋体"/>
          <w:color w:val="auto"/>
          <w:lang w:eastAsia="zh-CN"/>
        </w:rPr>
        <w:sectPr>
          <w:pgSz w:w="11906" w:h="16838"/>
          <w:pgMar w:top="1361" w:right="1423" w:bottom="1361" w:left="1423" w:header="1134" w:footer="992" w:gutter="0"/>
          <w:pgNumType w:fmt="decimal"/>
          <w:cols w:space="0" w:num="1"/>
          <w:titlePg/>
          <w:rtlGutter w:val="0"/>
          <w:docGrid w:type="lines" w:linePitch="317" w:charSpace="0"/>
        </w:sectPr>
      </w:pPr>
      <w:r>
        <w:rPr>
          <w:rFonts w:hint="eastAsia" w:ascii="宋体" w:hAnsi="宋体" w:eastAsia="宋体" w:cs="宋体"/>
          <w:bCs/>
          <w:sz w:val="24"/>
          <w:szCs w:val="24"/>
        </w:rPr>
        <w:t>3.未按合同要求提供服务或服务质量不能满足采购人要求，采购人有权终止合同，同时报请政府采购管理部门对其违约行为进行追究</w:t>
      </w:r>
      <w:r>
        <w:rPr>
          <w:rFonts w:hint="eastAsia" w:ascii="宋体" w:hAnsi="宋体" w:eastAsia="宋体" w:cs="宋体"/>
          <w:bCs/>
          <w:sz w:val="24"/>
          <w:szCs w:val="24"/>
          <w:lang w:eastAsia="zh-CN"/>
        </w:rPr>
        <w:t>。</w:t>
      </w:r>
    </w:p>
    <w:p w14:paraId="33BCD91F">
      <w:pPr>
        <w:pStyle w:val="6"/>
        <w:keepNext/>
        <w:keepLines/>
        <w:pageBreakBefore/>
        <w:widowControl w:val="0"/>
        <w:kinsoku/>
        <w:wordWrap/>
        <w:overflowPunct/>
        <w:topLinePunct w:val="0"/>
        <w:autoSpaceDE/>
        <w:autoSpaceDN/>
        <w:bidi w:val="0"/>
        <w:adjustRightInd/>
        <w:snapToGrid/>
        <w:textAlignment w:val="auto"/>
        <w:rPr>
          <w:rFonts w:hint="eastAsia" w:ascii="宋体" w:hAnsi="宋体" w:eastAsia="宋体" w:cs="宋体"/>
          <w:color w:val="auto"/>
          <w:sz w:val="36"/>
          <w:szCs w:val="52"/>
        </w:rPr>
      </w:pPr>
      <w:bookmarkStart w:id="168" w:name="_Toc6963"/>
      <w:r>
        <w:rPr>
          <w:rFonts w:hint="eastAsia" w:ascii="宋体" w:hAnsi="宋体" w:eastAsia="宋体" w:cs="宋体"/>
          <w:color w:val="auto"/>
          <w:sz w:val="40"/>
          <w:szCs w:val="40"/>
        </w:rPr>
        <w:t xml:space="preserve">第六部分  </w:t>
      </w:r>
      <w:bookmarkEnd w:id="146"/>
      <w:bookmarkEnd w:id="147"/>
      <w:bookmarkEnd w:id="149"/>
      <w:bookmarkEnd w:id="150"/>
      <w:bookmarkEnd w:id="151"/>
      <w:bookmarkEnd w:id="152"/>
      <w:bookmarkEnd w:id="153"/>
      <w:bookmarkStart w:id="169" w:name="_Toc3837039"/>
      <w:r>
        <w:rPr>
          <w:rFonts w:hint="eastAsia" w:ascii="宋体" w:hAnsi="宋体" w:eastAsia="宋体" w:cs="宋体"/>
          <w:color w:val="auto"/>
          <w:sz w:val="40"/>
          <w:szCs w:val="40"/>
        </w:rPr>
        <w:t>商务及合同主要条款</w:t>
      </w:r>
      <w:bookmarkEnd w:id="154"/>
      <w:bookmarkEnd w:id="155"/>
      <w:bookmarkEnd w:id="168"/>
      <w:bookmarkEnd w:id="169"/>
    </w:p>
    <w:p w14:paraId="1BEB77C4">
      <w:pPr>
        <w:pStyle w:val="4"/>
        <w:ind w:firstLine="200"/>
        <w:rPr>
          <w:rFonts w:hint="eastAsia" w:ascii="宋体" w:hAnsi="宋体" w:eastAsia="宋体" w:cs="宋体"/>
          <w:color w:val="auto"/>
        </w:rPr>
      </w:pPr>
      <w:bookmarkStart w:id="170" w:name="_Toc536429332"/>
      <w:bookmarkStart w:id="171" w:name="_Toc2234"/>
      <w:bookmarkStart w:id="172" w:name="_Toc19543348"/>
      <w:bookmarkStart w:id="173" w:name="_Toc536429385"/>
      <w:bookmarkStart w:id="174" w:name="_Toc13998"/>
      <w:bookmarkStart w:id="175" w:name="_Toc536202323"/>
      <w:bookmarkStart w:id="176" w:name="_Toc536202392"/>
    </w:p>
    <w:p w14:paraId="47C523B2">
      <w:pPr>
        <w:pStyle w:val="2"/>
        <w:rPr>
          <w:rFonts w:hint="eastAsia" w:ascii="宋体" w:hAnsi="宋体" w:eastAsia="宋体" w:cs="宋体"/>
          <w:color w:val="auto"/>
        </w:rPr>
      </w:pPr>
    </w:p>
    <w:p w14:paraId="4B538CD2">
      <w:pPr>
        <w:pStyle w:val="4"/>
        <w:ind w:firstLine="200"/>
        <w:rPr>
          <w:rFonts w:hint="eastAsia" w:ascii="宋体" w:hAnsi="宋体" w:eastAsia="宋体" w:cs="宋体"/>
          <w:color w:val="auto"/>
        </w:rPr>
      </w:pPr>
    </w:p>
    <w:p w14:paraId="43A4EA9C">
      <w:pPr>
        <w:spacing w:line="800" w:lineRule="exact"/>
        <w:jc w:val="center"/>
        <w:rPr>
          <w:rFonts w:hint="eastAsia" w:ascii="宋体" w:hAnsi="宋体" w:eastAsia="宋体" w:cs="宋体"/>
          <w:b/>
          <w:bCs/>
          <w:color w:val="auto"/>
          <w:sz w:val="72"/>
          <w:szCs w:val="32"/>
        </w:rPr>
      </w:pPr>
      <w:r>
        <w:rPr>
          <w:rFonts w:hint="eastAsia" w:ascii="宋体" w:hAnsi="宋体" w:eastAsia="宋体" w:cs="宋体"/>
          <w:b/>
          <w:bCs/>
          <w:color w:val="auto"/>
          <w:kern w:val="44"/>
          <w:sz w:val="48"/>
          <w:szCs w:val="48"/>
          <w:lang w:val="en-US" w:eastAsia="zh-CN" w:bidi="ar-SA"/>
        </w:rPr>
        <w:t>“一湖两岸”城文旅融合发展专项规划编制采购项目</w:t>
      </w:r>
      <w:r>
        <w:rPr>
          <w:rFonts w:hint="eastAsia" w:ascii="宋体" w:hAnsi="宋体" w:eastAsia="宋体" w:cs="宋体"/>
          <w:b/>
          <w:bCs/>
          <w:color w:val="auto"/>
          <w:sz w:val="72"/>
          <w:szCs w:val="32"/>
          <w:lang w:val="en-US" w:eastAsia="zh-CN"/>
        </w:rPr>
        <w:t xml:space="preserve">     </w:t>
      </w:r>
    </w:p>
    <w:p w14:paraId="30808056">
      <w:pPr>
        <w:spacing w:line="800" w:lineRule="exact"/>
        <w:jc w:val="center"/>
        <w:rPr>
          <w:rFonts w:hint="eastAsia" w:ascii="宋体" w:hAnsi="宋体" w:eastAsia="宋体" w:cs="宋体"/>
          <w:b/>
          <w:bCs/>
          <w:color w:val="auto"/>
          <w:sz w:val="72"/>
          <w:szCs w:val="32"/>
        </w:rPr>
      </w:pPr>
    </w:p>
    <w:p w14:paraId="6627487B">
      <w:pPr>
        <w:spacing w:line="800" w:lineRule="exact"/>
        <w:jc w:val="center"/>
        <w:rPr>
          <w:rFonts w:hint="eastAsia" w:ascii="宋体" w:hAnsi="宋体" w:eastAsia="宋体" w:cs="宋体"/>
          <w:b/>
          <w:bCs/>
          <w:color w:val="auto"/>
          <w:sz w:val="72"/>
          <w:szCs w:val="32"/>
        </w:rPr>
      </w:pPr>
    </w:p>
    <w:p w14:paraId="35A40855">
      <w:pPr>
        <w:spacing w:line="800" w:lineRule="exact"/>
        <w:jc w:val="center"/>
        <w:rPr>
          <w:rFonts w:hint="eastAsia" w:ascii="宋体" w:hAnsi="宋体" w:eastAsia="宋体" w:cs="宋体"/>
          <w:b/>
          <w:bCs/>
          <w:color w:val="auto"/>
          <w:sz w:val="72"/>
          <w:szCs w:val="32"/>
        </w:rPr>
      </w:pPr>
    </w:p>
    <w:p w14:paraId="735B54C3">
      <w:pPr>
        <w:spacing w:line="800" w:lineRule="exact"/>
        <w:jc w:val="center"/>
        <w:rPr>
          <w:rFonts w:hint="eastAsia" w:ascii="宋体" w:hAnsi="宋体" w:eastAsia="宋体" w:cs="宋体"/>
          <w:b/>
          <w:bCs/>
          <w:color w:val="auto"/>
          <w:sz w:val="72"/>
          <w:szCs w:val="32"/>
        </w:rPr>
      </w:pPr>
      <w:r>
        <w:rPr>
          <w:rFonts w:hint="eastAsia" w:ascii="宋体" w:hAnsi="宋体" w:eastAsia="宋体" w:cs="宋体"/>
          <w:b/>
          <w:bCs/>
          <w:color w:val="auto"/>
          <w:sz w:val="72"/>
          <w:szCs w:val="32"/>
        </w:rPr>
        <w:t>服务合同</w:t>
      </w:r>
    </w:p>
    <w:p w14:paraId="3D4916F2">
      <w:pPr>
        <w:spacing w:line="800" w:lineRule="exact"/>
        <w:jc w:val="left"/>
        <w:rPr>
          <w:rFonts w:hint="eastAsia" w:ascii="宋体" w:hAnsi="宋体" w:eastAsia="宋体" w:cs="宋体"/>
          <w:color w:val="auto"/>
          <w:sz w:val="24"/>
        </w:rPr>
      </w:pPr>
    </w:p>
    <w:p w14:paraId="098F970D">
      <w:pPr>
        <w:spacing w:line="360" w:lineRule="exact"/>
        <w:jc w:val="left"/>
        <w:rPr>
          <w:rFonts w:hint="eastAsia" w:ascii="宋体" w:hAnsi="宋体" w:eastAsia="宋体" w:cs="宋体"/>
          <w:color w:val="auto"/>
          <w:sz w:val="24"/>
        </w:rPr>
      </w:pPr>
    </w:p>
    <w:p w14:paraId="55A5FB09">
      <w:pPr>
        <w:spacing w:line="360" w:lineRule="exact"/>
        <w:jc w:val="left"/>
        <w:rPr>
          <w:rFonts w:hint="eastAsia" w:ascii="宋体" w:hAnsi="宋体" w:eastAsia="宋体" w:cs="宋体"/>
          <w:color w:val="auto"/>
          <w:sz w:val="24"/>
        </w:rPr>
      </w:pPr>
    </w:p>
    <w:p w14:paraId="5CAC23FD">
      <w:pPr>
        <w:pStyle w:val="2"/>
        <w:rPr>
          <w:rFonts w:hint="eastAsia" w:ascii="宋体" w:hAnsi="宋体" w:eastAsia="宋体" w:cs="宋体"/>
          <w:color w:val="auto"/>
          <w:sz w:val="24"/>
        </w:rPr>
      </w:pPr>
    </w:p>
    <w:p w14:paraId="2116EE8C">
      <w:pPr>
        <w:pStyle w:val="4"/>
        <w:rPr>
          <w:rFonts w:hint="eastAsia" w:ascii="宋体" w:hAnsi="宋体" w:eastAsia="宋体" w:cs="宋体"/>
        </w:rPr>
      </w:pPr>
    </w:p>
    <w:p w14:paraId="7C48F446">
      <w:pPr>
        <w:spacing w:line="360" w:lineRule="exact"/>
        <w:jc w:val="left"/>
        <w:rPr>
          <w:rFonts w:hint="eastAsia" w:ascii="宋体" w:hAnsi="宋体" w:eastAsia="宋体" w:cs="宋体"/>
          <w:color w:val="auto"/>
          <w:sz w:val="24"/>
        </w:rPr>
      </w:pPr>
    </w:p>
    <w:p w14:paraId="59C3C5C3">
      <w:pPr>
        <w:spacing w:line="360" w:lineRule="exact"/>
        <w:jc w:val="left"/>
        <w:rPr>
          <w:rFonts w:hint="eastAsia" w:ascii="宋体" w:hAnsi="宋体" w:eastAsia="宋体" w:cs="宋体"/>
          <w:color w:val="auto"/>
          <w:sz w:val="24"/>
        </w:rPr>
      </w:pPr>
    </w:p>
    <w:p w14:paraId="1164274D">
      <w:pPr>
        <w:spacing w:line="48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委   托   方：</w:t>
      </w:r>
      <w:r>
        <w:rPr>
          <w:rFonts w:hint="eastAsia" w:ascii="宋体" w:hAnsi="宋体" w:eastAsia="宋体" w:cs="宋体"/>
          <w:b/>
          <w:bCs/>
          <w:sz w:val="28"/>
          <w:szCs w:val="28"/>
          <w:u w:val="single"/>
        </w:rPr>
        <w:t xml:space="preserve">   安康市住房和城乡建设局   </w:t>
      </w:r>
    </w:p>
    <w:p w14:paraId="4A4478A2">
      <w:pPr>
        <w:spacing w:line="480" w:lineRule="auto"/>
        <w:ind w:firstLine="562" w:firstLineChars="200"/>
        <w:rPr>
          <w:rFonts w:hint="eastAsia" w:ascii="宋体" w:hAnsi="宋体" w:eastAsia="宋体" w:cs="宋体"/>
          <w:b/>
          <w:bCs/>
          <w:sz w:val="28"/>
          <w:szCs w:val="28"/>
          <w:u w:val="single"/>
        </w:rPr>
      </w:pPr>
      <w:r>
        <w:rPr>
          <w:rFonts w:hint="eastAsia" w:ascii="宋体" w:hAnsi="宋体" w:eastAsia="宋体" w:cs="宋体"/>
          <w:b/>
          <w:bCs/>
          <w:sz w:val="28"/>
          <w:szCs w:val="28"/>
        </w:rPr>
        <w:t>受   托   方：</w:t>
      </w:r>
      <w:r>
        <w:rPr>
          <w:rFonts w:hint="eastAsia" w:ascii="宋体" w:hAnsi="宋体" w:eastAsia="宋体" w:cs="宋体"/>
          <w:b/>
          <w:bCs/>
          <w:sz w:val="28"/>
          <w:szCs w:val="28"/>
          <w:u w:val="single"/>
        </w:rPr>
        <w:t xml:space="preserve">                                </w:t>
      </w:r>
    </w:p>
    <w:p w14:paraId="3FD4B984">
      <w:pPr>
        <w:spacing w:line="48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 xml:space="preserve">签 订 日 期 ： </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年</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 xml:space="preserve">月 </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日</w:t>
      </w:r>
    </w:p>
    <w:p w14:paraId="61050DAD">
      <w:pPr>
        <w:spacing w:line="500" w:lineRule="exact"/>
        <w:rPr>
          <w:rFonts w:hint="eastAsia" w:ascii="宋体" w:hAnsi="宋体" w:eastAsia="宋体" w:cs="宋体"/>
          <w:color w:val="auto"/>
          <w:sz w:val="24"/>
        </w:rPr>
      </w:pPr>
    </w:p>
    <w:p w14:paraId="35A4A664">
      <w:pPr>
        <w:rPr>
          <w:rFonts w:hint="eastAsia" w:ascii="宋体" w:hAnsi="宋体" w:eastAsia="宋体" w:cs="宋体"/>
        </w:rPr>
      </w:pPr>
    </w:p>
    <w:p w14:paraId="0F4BB2D2">
      <w:pPr>
        <w:pStyle w:val="18"/>
        <w:ind w:left="0" w:leftChars="0" w:firstLine="0" w:firstLineChars="0"/>
        <w:rPr>
          <w:rFonts w:hint="eastAsia" w:ascii="宋体" w:hAnsi="宋体" w:eastAsia="宋体" w:cs="宋体"/>
          <w:color w:val="auto"/>
        </w:rPr>
      </w:pPr>
    </w:p>
    <w:p w14:paraId="12129E8E">
      <w:pPr>
        <w:keepNext w:val="0"/>
        <w:keepLines w:val="0"/>
        <w:pageBreakBefore w:val="0"/>
        <w:kinsoku/>
        <w:wordWrap/>
        <w:overflowPunct/>
        <w:topLinePunct w:val="0"/>
        <w:autoSpaceDE/>
        <w:autoSpaceDN/>
        <w:bidi w:val="0"/>
        <w:spacing w:line="380" w:lineRule="exact"/>
        <w:jc w:val="center"/>
        <w:textAlignment w:val="auto"/>
        <w:rPr>
          <w:rFonts w:hint="eastAsia" w:ascii="宋体" w:hAnsi="宋体" w:eastAsia="宋体" w:cs="宋体"/>
          <w:color w:val="auto"/>
        </w:rPr>
      </w:pPr>
      <w:r>
        <w:rPr>
          <w:rFonts w:hint="eastAsia" w:ascii="宋体" w:hAnsi="宋体" w:eastAsia="宋体" w:cs="宋体"/>
          <w:b/>
          <w:bCs/>
          <w:color w:val="auto"/>
          <w:sz w:val="28"/>
          <w:szCs w:val="36"/>
        </w:rPr>
        <w:t>合同主要条款</w:t>
      </w:r>
    </w:p>
    <w:p w14:paraId="532ADC5B">
      <w:pPr>
        <w:keepNext w:val="0"/>
        <w:keepLines w:val="0"/>
        <w:pageBreakBefore w:val="0"/>
        <w:kinsoku/>
        <w:wordWrap/>
        <w:overflowPunct/>
        <w:topLinePunct w:val="0"/>
        <w:autoSpaceDE/>
        <w:autoSpaceDN/>
        <w:bidi w:val="0"/>
        <w:spacing w:line="38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（说明：本合同作为合同的基本格式，不作为最终合同，甲方有权在签订合同时对合同的相关条款及内容作进一步的细化和修改。）</w:t>
      </w:r>
    </w:p>
    <w:p w14:paraId="27C0BFE2">
      <w:pPr>
        <w:keepNext w:val="0"/>
        <w:keepLines w:val="0"/>
        <w:pageBreakBefore w:val="0"/>
        <w:kinsoku/>
        <w:wordWrap/>
        <w:overflowPunct/>
        <w:topLinePunct w:val="0"/>
        <w:autoSpaceDE/>
        <w:autoSpaceDN/>
        <w:bidi w:val="0"/>
        <w:snapToGrid/>
        <w:spacing w:line="3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甲方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(以下简称甲方)</w:t>
      </w:r>
      <w:r>
        <w:rPr>
          <w:rFonts w:hint="eastAsia" w:ascii="宋体" w:hAnsi="宋体" w:eastAsia="宋体" w:cs="宋体"/>
          <w:color w:val="auto"/>
          <w:sz w:val="24"/>
          <w:szCs w:val="24"/>
          <w:lang w:val="en-US" w:eastAsia="zh-CN"/>
        </w:rPr>
        <w:t xml:space="preserve">                      </w:t>
      </w:r>
    </w:p>
    <w:p w14:paraId="16F449A4">
      <w:pPr>
        <w:keepNext w:val="0"/>
        <w:keepLines w:val="0"/>
        <w:pageBreakBefore w:val="0"/>
        <w:kinsoku/>
        <w:wordWrap/>
        <w:overflowPunct/>
        <w:topLinePunct w:val="0"/>
        <w:autoSpaceDE/>
        <w:autoSpaceDN/>
        <w:bidi w:val="0"/>
        <w:snapToGrid/>
        <w:spacing w:line="3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乙方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(以下简称乙方)</w:t>
      </w:r>
      <w:r>
        <w:rPr>
          <w:rFonts w:hint="eastAsia" w:ascii="宋体" w:hAnsi="宋体" w:eastAsia="宋体" w:cs="宋体"/>
          <w:color w:val="auto"/>
          <w:sz w:val="24"/>
          <w:szCs w:val="24"/>
          <w:lang w:val="en-US" w:eastAsia="zh-CN"/>
        </w:rPr>
        <w:t xml:space="preserve">              </w:t>
      </w:r>
    </w:p>
    <w:p w14:paraId="36EBFF9F">
      <w:pPr>
        <w:keepNext w:val="0"/>
        <w:keepLines w:val="0"/>
        <w:pageBreakBefore w:val="0"/>
        <w:kinsoku/>
        <w:wordWrap/>
        <w:overflowPunct/>
        <w:topLinePunct w:val="0"/>
        <w:autoSpaceDE/>
        <w:autoSpaceDN/>
        <w:bidi w:val="0"/>
        <w:snapToGrid/>
        <w:spacing w:line="3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》及其他有关法律、法规，遵循平等、自愿、公平和诚信的原则，双方就下述项目范围与相关服务事项协商一致，订立本合同。</w:t>
      </w:r>
    </w:p>
    <w:p w14:paraId="5D7C5E7A">
      <w:pPr>
        <w:keepNext w:val="0"/>
        <w:keepLines w:val="0"/>
        <w:pageBreakBefore w:val="0"/>
        <w:widowControl/>
        <w:kinsoku/>
        <w:wordWrap/>
        <w:overflowPunct/>
        <w:topLinePunct w:val="0"/>
        <w:autoSpaceDE/>
        <w:autoSpaceDN/>
        <w:bidi w:val="0"/>
        <w:spacing w:line="380" w:lineRule="exact"/>
        <w:ind w:firstLine="482" w:firstLineChars="200"/>
        <w:jc w:val="left"/>
        <w:textAlignment w:val="auto"/>
        <w:rPr>
          <w:rFonts w:hint="eastAsia" w:ascii="宋体" w:hAnsi="宋体" w:eastAsia="宋体" w:cs="宋体"/>
          <w:b/>
          <w:bCs/>
          <w:color w:val="000000"/>
          <w:kern w:val="0"/>
          <w:sz w:val="24"/>
          <w:szCs w:val="24"/>
          <w:lang w:bidi="ar"/>
        </w:rPr>
      </w:pPr>
      <w:bookmarkStart w:id="177" w:name="_Toc32731"/>
      <w:r>
        <w:rPr>
          <w:rFonts w:hint="eastAsia" w:ascii="宋体" w:hAnsi="宋体" w:eastAsia="宋体" w:cs="宋体"/>
          <w:b/>
          <w:bCs/>
          <w:color w:val="000000"/>
          <w:kern w:val="0"/>
          <w:sz w:val="24"/>
          <w:szCs w:val="24"/>
          <w:lang w:bidi="ar"/>
        </w:rPr>
        <w:t xml:space="preserve">第一条 合同标的 </w:t>
      </w:r>
    </w:p>
    <w:p w14:paraId="07414E75">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1.1 项目概况：</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 xml:space="preserve"> </w:t>
      </w:r>
    </w:p>
    <w:p w14:paraId="6F6B93B3">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u w:val="single"/>
        </w:rPr>
      </w:pPr>
      <w:r>
        <w:rPr>
          <w:rFonts w:hint="eastAsia" w:ascii="宋体" w:hAnsi="宋体" w:eastAsia="宋体" w:cs="宋体"/>
          <w:color w:val="000000"/>
          <w:kern w:val="0"/>
          <w:sz w:val="24"/>
          <w:szCs w:val="24"/>
          <w:lang w:bidi="ar"/>
        </w:rPr>
        <w:t>1.1.1 项目名称：</w:t>
      </w:r>
      <w:r>
        <w:rPr>
          <w:rFonts w:hint="eastAsia" w:ascii="宋体" w:hAnsi="宋体" w:eastAsia="宋体" w:cs="宋体"/>
          <w:color w:val="000000"/>
          <w:kern w:val="0"/>
          <w:sz w:val="24"/>
          <w:szCs w:val="24"/>
          <w:u w:val="single"/>
          <w:lang w:bidi="ar"/>
        </w:rPr>
        <w:t xml:space="preserve">                </w:t>
      </w:r>
    </w:p>
    <w:p w14:paraId="0D0E38E2">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u w:val="single"/>
        </w:rPr>
      </w:pPr>
      <w:r>
        <w:rPr>
          <w:rFonts w:hint="eastAsia" w:ascii="宋体" w:hAnsi="宋体" w:eastAsia="宋体" w:cs="宋体"/>
          <w:color w:val="000000"/>
          <w:kern w:val="0"/>
          <w:sz w:val="24"/>
          <w:szCs w:val="24"/>
          <w:lang w:bidi="ar"/>
        </w:rPr>
        <w:t>1.2 项目目标：</w:t>
      </w:r>
      <w:r>
        <w:rPr>
          <w:rFonts w:hint="eastAsia" w:ascii="宋体" w:hAnsi="宋体" w:eastAsia="宋体" w:cs="宋体"/>
          <w:color w:val="000000"/>
          <w:kern w:val="0"/>
          <w:sz w:val="24"/>
          <w:szCs w:val="24"/>
          <w:u w:val="single"/>
          <w:lang w:bidi="ar"/>
        </w:rPr>
        <w:t xml:space="preserve">                 </w:t>
      </w:r>
    </w:p>
    <w:p w14:paraId="75A8FD81">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 xml:space="preserve">1.3 执行标准和规范 </w:t>
      </w:r>
    </w:p>
    <w:p w14:paraId="6F124209">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u w:val="single"/>
        </w:rPr>
      </w:pPr>
      <w:r>
        <w:rPr>
          <w:rFonts w:hint="eastAsia" w:ascii="宋体" w:hAnsi="宋体" w:eastAsia="宋体" w:cs="宋体"/>
          <w:color w:val="auto"/>
          <w:kern w:val="0"/>
          <w:sz w:val="24"/>
          <w:szCs w:val="24"/>
          <w:lang w:bidi="ar"/>
        </w:rPr>
        <w:t>项目的技术指标、质量要求</w:t>
      </w:r>
      <w:r>
        <w:rPr>
          <w:rFonts w:hint="eastAsia" w:ascii="宋体" w:hAnsi="宋体" w:eastAsia="宋体" w:cs="宋体"/>
          <w:color w:val="auto"/>
          <w:kern w:val="0"/>
          <w:sz w:val="24"/>
          <w:szCs w:val="24"/>
          <w:lang w:val="en-US" w:eastAsia="zh-CN" w:bidi="ar"/>
        </w:rPr>
        <w:t>符合国家法律法规及行业现行标准</w:t>
      </w:r>
      <w:r>
        <w:rPr>
          <w:rFonts w:hint="eastAsia" w:ascii="宋体" w:hAnsi="宋体" w:eastAsia="宋体" w:cs="宋体"/>
          <w:color w:val="auto"/>
          <w:kern w:val="0"/>
          <w:sz w:val="24"/>
          <w:szCs w:val="24"/>
          <w:lang w:bidi="ar"/>
        </w:rPr>
        <w:t>、规范，主要包括：</w:t>
      </w:r>
      <w:r>
        <w:rPr>
          <w:rFonts w:hint="eastAsia" w:ascii="宋体" w:hAnsi="宋体" w:eastAsia="宋体" w:cs="宋体"/>
          <w:color w:val="auto"/>
          <w:kern w:val="0"/>
          <w:sz w:val="24"/>
          <w:szCs w:val="24"/>
          <w:u w:val="single"/>
          <w:lang w:bidi="ar"/>
        </w:rPr>
        <w:t xml:space="preserve">  </w:t>
      </w:r>
      <w:r>
        <w:rPr>
          <w:rFonts w:hint="eastAsia" w:ascii="宋体" w:hAnsi="宋体" w:eastAsia="宋体" w:cs="宋体"/>
          <w:color w:val="000000"/>
          <w:kern w:val="0"/>
          <w:sz w:val="24"/>
          <w:szCs w:val="24"/>
          <w:u w:val="single"/>
          <w:lang w:bidi="ar"/>
        </w:rPr>
        <w:t xml:space="preserve">        </w:t>
      </w:r>
    </w:p>
    <w:p w14:paraId="2A7C3CFF">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 xml:space="preserve">1.4 主要工作量 </w:t>
      </w:r>
    </w:p>
    <w:p w14:paraId="7B3CC180">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详见：采购文件第</w:t>
      </w:r>
      <w:r>
        <w:rPr>
          <w:rFonts w:hint="eastAsia" w:ascii="宋体" w:hAnsi="宋体" w:eastAsia="宋体" w:cs="宋体"/>
          <w:color w:val="000000"/>
          <w:kern w:val="0"/>
          <w:sz w:val="24"/>
          <w:szCs w:val="24"/>
          <w:lang w:val="en-US" w:eastAsia="zh-CN" w:bidi="ar"/>
        </w:rPr>
        <w:t>五</w:t>
      </w:r>
      <w:r>
        <w:rPr>
          <w:rFonts w:hint="eastAsia" w:ascii="宋体" w:hAnsi="宋体" w:eastAsia="宋体" w:cs="宋体"/>
          <w:color w:val="000000"/>
          <w:kern w:val="0"/>
          <w:sz w:val="24"/>
          <w:szCs w:val="24"/>
          <w:lang w:bidi="ar"/>
        </w:rPr>
        <w:t xml:space="preserve">部分 </w:t>
      </w:r>
      <w:r>
        <w:rPr>
          <w:rFonts w:hint="eastAsia" w:ascii="宋体" w:hAnsi="宋体" w:eastAsia="宋体" w:cs="宋体"/>
          <w:color w:val="000000"/>
          <w:kern w:val="0"/>
          <w:sz w:val="24"/>
          <w:szCs w:val="24"/>
          <w:lang w:val="en-US" w:eastAsia="zh-CN" w:bidi="ar"/>
        </w:rPr>
        <w:t>采购</w:t>
      </w:r>
      <w:r>
        <w:rPr>
          <w:rFonts w:hint="eastAsia" w:ascii="宋体" w:hAnsi="宋体" w:eastAsia="宋体" w:cs="宋体"/>
          <w:color w:val="000000"/>
          <w:kern w:val="0"/>
          <w:sz w:val="24"/>
          <w:szCs w:val="24"/>
          <w:lang w:bidi="ar"/>
        </w:rPr>
        <w:t>内容及</w:t>
      </w:r>
      <w:r>
        <w:rPr>
          <w:rFonts w:hint="eastAsia" w:ascii="宋体" w:hAnsi="宋体" w:eastAsia="宋体" w:cs="宋体"/>
          <w:color w:val="000000"/>
          <w:kern w:val="0"/>
          <w:sz w:val="24"/>
          <w:szCs w:val="24"/>
          <w:lang w:val="en-US" w:eastAsia="zh-CN" w:bidi="ar"/>
        </w:rPr>
        <w:t>技术</w:t>
      </w:r>
      <w:r>
        <w:rPr>
          <w:rFonts w:hint="eastAsia" w:ascii="宋体" w:hAnsi="宋体" w:eastAsia="宋体" w:cs="宋体"/>
          <w:color w:val="000000"/>
          <w:kern w:val="0"/>
          <w:sz w:val="24"/>
          <w:szCs w:val="24"/>
          <w:lang w:bidi="ar"/>
        </w:rPr>
        <w:t xml:space="preserve">要求。 </w:t>
      </w:r>
    </w:p>
    <w:p w14:paraId="64D8348C">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 xml:space="preserve">1.5 预期成果清单 </w:t>
      </w:r>
    </w:p>
    <w:p w14:paraId="5564D22C">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详见：采购文件第</w:t>
      </w:r>
      <w:r>
        <w:rPr>
          <w:rFonts w:hint="eastAsia" w:ascii="宋体" w:hAnsi="宋体" w:eastAsia="宋体" w:cs="宋体"/>
          <w:color w:val="000000"/>
          <w:kern w:val="0"/>
          <w:sz w:val="24"/>
          <w:szCs w:val="24"/>
          <w:lang w:val="en-US" w:eastAsia="zh-CN" w:bidi="ar"/>
        </w:rPr>
        <w:t>五</w:t>
      </w:r>
      <w:r>
        <w:rPr>
          <w:rFonts w:hint="eastAsia" w:ascii="宋体" w:hAnsi="宋体" w:eastAsia="宋体" w:cs="宋体"/>
          <w:color w:val="000000"/>
          <w:kern w:val="0"/>
          <w:sz w:val="24"/>
          <w:szCs w:val="24"/>
          <w:lang w:bidi="ar"/>
        </w:rPr>
        <w:t xml:space="preserve">部分 </w:t>
      </w:r>
      <w:r>
        <w:rPr>
          <w:rFonts w:hint="eastAsia" w:ascii="宋体" w:hAnsi="宋体" w:eastAsia="宋体" w:cs="宋体"/>
          <w:color w:val="000000"/>
          <w:kern w:val="0"/>
          <w:sz w:val="24"/>
          <w:szCs w:val="24"/>
          <w:lang w:val="en-US" w:eastAsia="zh-CN" w:bidi="ar"/>
        </w:rPr>
        <w:t>采购</w:t>
      </w:r>
      <w:r>
        <w:rPr>
          <w:rFonts w:hint="eastAsia" w:ascii="宋体" w:hAnsi="宋体" w:eastAsia="宋体" w:cs="宋体"/>
          <w:color w:val="000000"/>
          <w:kern w:val="0"/>
          <w:sz w:val="24"/>
          <w:szCs w:val="24"/>
          <w:lang w:bidi="ar"/>
        </w:rPr>
        <w:t>内容及</w:t>
      </w:r>
      <w:r>
        <w:rPr>
          <w:rFonts w:hint="eastAsia" w:ascii="宋体" w:hAnsi="宋体" w:eastAsia="宋体" w:cs="宋体"/>
          <w:color w:val="000000"/>
          <w:kern w:val="0"/>
          <w:sz w:val="24"/>
          <w:szCs w:val="24"/>
          <w:lang w:val="en-US" w:eastAsia="zh-CN" w:bidi="ar"/>
        </w:rPr>
        <w:t>技术</w:t>
      </w:r>
      <w:r>
        <w:rPr>
          <w:rFonts w:hint="eastAsia" w:ascii="宋体" w:hAnsi="宋体" w:eastAsia="宋体" w:cs="宋体"/>
          <w:color w:val="000000"/>
          <w:kern w:val="0"/>
          <w:sz w:val="24"/>
          <w:szCs w:val="24"/>
          <w:lang w:bidi="ar"/>
        </w:rPr>
        <w:t xml:space="preserve">要求。 </w:t>
      </w:r>
    </w:p>
    <w:p w14:paraId="17DFD0BB">
      <w:pPr>
        <w:keepNext w:val="0"/>
        <w:keepLines w:val="0"/>
        <w:pageBreakBefore w:val="0"/>
        <w:widowControl/>
        <w:kinsoku/>
        <w:wordWrap/>
        <w:overflowPunct/>
        <w:topLinePunct w:val="0"/>
        <w:autoSpaceDE/>
        <w:autoSpaceDN/>
        <w:bidi w:val="0"/>
        <w:spacing w:line="380" w:lineRule="exact"/>
        <w:ind w:firstLine="482" w:firstLineChars="200"/>
        <w:jc w:val="left"/>
        <w:textAlignment w:val="auto"/>
        <w:rPr>
          <w:rFonts w:hint="eastAsia" w:ascii="宋体" w:hAnsi="宋体" w:eastAsia="宋体" w:cs="宋体"/>
        </w:rPr>
      </w:pPr>
      <w:r>
        <w:rPr>
          <w:rFonts w:hint="eastAsia" w:ascii="宋体" w:hAnsi="宋体" w:eastAsia="宋体" w:cs="宋体"/>
          <w:b/>
          <w:bCs/>
          <w:color w:val="000000"/>
          <w:kern w:val="0"/>
          <w:sz w:val="24"/>
          <w:szCs w:val="24"/>
          <w:lang w:bidi="ar"/>
        </w:rPr>
        <w:t xml:space="preserve">第二条 项目周期 </w:t>
      </w:r>
    </w:p>
    <w:p w14:paraId="00575B3F">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u w:val="single"/>
        </w:rPr>
      </w:pPr>
      <w:r>
        <w:rPr>
          <w:rFonts w:hint="eastAsia" w:ascii="宋体" w:hAnsi="宋体" w:eastAsia="宋体" w:cs="宋体"/>
          <w:color w:val="000000"/>
          <w:kern w:val="0"/>
          <w:sz w:val="24"/>
          <w:szCs w:val="24"/>
          <w:lang w:bidi="ar"/>
        </w:rPr>
        <w:t>2.1 各主要工作阶段时间：</w:t>
      </w:r>
      <w:r>
        <w:rPr>
          <w:rFonts w:hint="eastAsia" w:ascii="宋体" w:hAnsi="宋体" w:eastAsia="宋体" w:cs="宋体"/>
          <w:color w:val="000000"/>
          <w:kern w:val="0"/>
          <w:sz w:val="24"/>
          <w:szCs w:val="24"/>
          <w:u w:val="single"/>
          <w:lang w:bidi="ar"/>
        </w:rPr>
        <w:t xml:space="preserve">                            </w:t>
      </w:r>
    </w:p>
    <w:p w14:paraId="3254340A">
      <w:pPr>
        <w:pStyle w:val="43"/>
        <w:keepNext w:val="0"/>
        <w:keepLines w:val="0"/>
        <w:pageBreakBefore w:val="0"/>
        <w:kinsoku/>
        <w:wordWrap/>
        <w:overflowPunct/>
        <w:topLinePunct w:val="0"/>
        <w:autoSpaceDE/>
        <w:autoSpaceDN/>
        <w:bidi w:val="0"/>
        <w:spacing w:before="0" w:beforeAutospacing="0" w:after="0" w:afterAutospacing="0" w:line="380" w:lineRule="exact"/>
        <w:ind w:firstLine="480" w:firstLineChars="200"/>
        <w:jc w:val="both"/>
        <w:textAlignment w:val="auto"/>
        <w:rPr>
          <w:rFonts w:hint="eastAsia" w:ascii="宋体" w:hAnsi="宋体" w:eastAsia="宋体" w:cs="宋体"/>
          <w:sz w:val="24"/>
          <w:szCs w:val="24"/>
          <w:u w:val="single"/>
          <w:shd w:val="clear" w:color="auto" w:fill="FFFFFF"/>
        </w:rPr>
      </w:pPr>
      <w:r>
        <w:rPr>
          <w:rFonts w:hint="eastAsia" w:ascii="宋体" w:hAnsi="宋体" w:eastAsia="宋体" w:cs="宋体"/>
          <w:color w:val="000000"/>
          <w:sz w:val="24"/>
          <w:szCs w:val="24"/>
          <w:lang w:bidi="ar"/>
        </w:rPr>
        <w:t>2.2 服务期限：</w:t>
      </w:r>
      <w:r>
        <w:rPr>
          <w:rFonts w:hint="eastAsia" w:ascii="宋体" w:hAnsi="宋体" w:eastAsia="宋体" w:cs="宋体"/>
          <w:color w:val="000000"/>
          <w:sz w:val="24"/>
          <w:szCs w:val="24"/>
          <w:u w:val="single"/>
          <w:lang w:bidi="ar"/>
        </w:rPr>
        <w:t xml:space="preserve"> 自合同签订之日起120日历天完成本项目</w:t>
      </w:r>
      <w:r>
        <w:rPr>
          <w:rFonts w:hint="eastAsia" w:ascii="宋体" w:hAnsi="宋体" w:eastAsia="宋体" w:cs="宋体"/>
          <w:sz w:val="24"/>
          <w:szCs w:val="24"/>
          <w:u w:val="single"/>
          <w:shd w:val="clear" w:color="auto" w:fill="FFFFFF"/>
        </w:rPr>
        <w:t>。</w:t>
      </w:r>
    </w:p>
    <w:p w14:paraId="635D274B">
      <w:pPr>
        <w:keepNext w:val="0"/>
        <w:keepLines w:val="0"/>
        <w:pageBreakBefore w:val="0"/>
        <w:widowControl/>
        <w:kinsoku/>
        <w:wordWrap/>
        <w:overflowPunct/>
        <w:topLinePunct w:val="0"/>
        <w:autoSpaceDE/>
        <w:autoSpaceDN/>
        <w:bidi w:val="0"/>
        <w:spacing w:line="380" w:lineRule="exact"/>
        <w:ind w:firstLine="482" w:firstLineChars="200"/>
        <w:jc w:val="left"/>
        <w:textAlignment w:val="auto"/>
        <w:rPr>
          <w:rFonts w:hint="eastAsia" w:ascii="宋体" w:hAnsi="宋体" w:eastAsia="宋体" w:cs="宋体"/>
        </w:rPr>
      </w:pPr>
      <w:r>
        <w:rPr>
          <w:rFonts w:hint="eastAsia" w:ascii="宋体" w:hAnsi="宋体" w:eastAsia="宋体" w:cs="宋体"/>
          <w:b/>
          <w:bCs/>
          <w:color w:val="000000"/>
          <w:kern w:val="0"/>
          <w:sz w:val="24"/>
          <w:szCs w:val="24"/>
          <w:lang w:bidi="ar"/>
        </w:rPr>
        <w:t xml:space="preserve">第三条 责任和义务 </w:t>
      </w:r>
    </w:p>
    <w:p w14:paraId="07B9514D">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3.1 甲方责任和义务 </w:t>
      </w:r>
    </w:p>
    <w:p w14:paraId="6B709D69">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3.1.1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合同签订后</w:t>
      </w:r>
      <w:r>
        <w:rPr>
          <w:rFonts w:hint="eastAsia" w:ascii="宋体" w:hAnsi="宋体" w:eastAsia="宋体" w:cs="宋体"/>
          <w:color w:val="000000" w:themeColor="text1"/>
          <w:kern w:val="0"/>
          <w:sz w:val="24"/>
          <w:szCs w:val="24"/>
          <w:highlight w:val="none"/>
          <w:lang w:bidi="ar"/>
          <w14:textFill>
            <w14:solidFill>
              <w14:schemeClr w14:val="tx1"/>
            </w14:solidFill>
          </w14:textFill>
        </w:rPr>
        <w:t>甲方按规定的内容，在规定的时问内向乙方提交资料及文件，并对其完整性、正确性及时限负责，</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由于甲方原因，造成规划设计所需资料不齐、不准、错误或收集困难时，乙方交付成果时间按本合同约定期限顺延，</w:t>
      </w:r>
      <w:r>
        <w:rPr>
          <w:rFonts w:hint="eastAsia" w:ascii="宋体" w:hAnsi="宋体" w:eastAsia="宋体" w:cs="宋体"/>
          <w:color w:val="000000" w:themeColor="text1"/>
          <w:kern w:val="0"/>
          <w:sz w:val="24"/>
          <w:szCs w:val="24"/>
          <w:highlight w:val="none"/>
          <w:lang w:bidi="ar"/>
          <w14:textFill>
            <w14:solidFill>
              <w14:schemeClr w14:val="tx1"/>
            </w14:solidFill>
          </w14:textFill>
        </w:rPr>
        <w:t>甲方不得要求乙方违反国家有关标准进行规划编制工作。</w:t>
      </w:r>
    </w:p>
    <w:p w14:paraId="66FED0D4">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auto"/>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3.1.3甲方应保护乙方的规划方案、文件、资料图纸、数据、计算软件和专利技术等。</w:t>
      </w:r>
      <w:r>
        <w:rPr>
          <w:rFonts w:hint="eastAsia" w:ascii="宋体" w:hAnsi="宋体" w:eastAsia="宋体" w:cs="宋体"/>
          <w:sz w:val="24"/>
          <w:szCs w:val="24"/>
          <w:highlight w:val="none"/>
        </w:rPr>
        <w:t>甲方享有本项目实施过程中产生的知识成果及知识产权。</w:t>
      </w:r>
      <w:r>
        <w:rPr>
          <w:rFonts w:hint="eastAsia" w:ascii="宋体" w:hAnsi="宋体" w:eastAsia="宋体" w:cs="宋体"/>
          <w:kern w:val="0"/>
          <w:sz w:val="24"/>
          <w:szCs w:val="20"/>
          <w:highlight w:val="none"/>
        </w:rPr>
        <w:t>本项目所</w:t>
      </w:r>
      <w:r>
        <w:rPr>
          <w:rFonts w:hint="eastAsia" w:ascii="宋体" w:hAnsi="宋体" w:eastAsia="宋体" w:cs="宋体"/>
          <w:kern w:val="0"/>
          <w:sz w:val="24"/>
          <w:szCs w:val="20"/>
        </w:rPr>
        <w:t>涉及的全部原始资料、中间过渡及最终成果所有权属于甲方。未经甲方书面许可，乙方不得擅自将原始资料、中间过渡或最终成果复制自留或提供给其他任何单位和个人，为自己或其他任何单位和个人谋取利益</w:t>
      </w:r>
      <w:r>
        <w:rPr>
          <w:rFonts w:hint="eastAsia" w:ascii="宋体" w:hAnsi="宋体" w:eastAsia="宋体" w:cs="宋体"/>
          <w:color w:val="000000" w:themeColor="text1"/>
          <w:kern w:val="0"/>
          <w:sz w:val="24"/>
          <w:szCs w:val="24"/>
          <w:highlight w:val="none"/>
          <w:lang w:bidi="ar"/>
          <w14:textFill>
            <w14:solidFill>
              <w14:schemeClr w14:val="tx1"/>
            </w14:solidFill>
          </w14:textFill>
        </w:rPr>
        <w:t>。</w:t>
      </w:r>
    </w:p>
    <w:p w14:paraId="146DF1FD">
      <w:pPr>
        <w:pStyle w:val="4"/>
        <w:keepNext w:val="0"/>
        <w:keepLines w:val="0"/>
        <w:pageBreakBefore w:val="0"/>
        <w:kinsoku/>
        <w:wordWrap/>
        <w:overflowPunct/>
        <w:topLinePunct w:val="0"/>
        <w:autoSpaceDE/>
        <w:autoSpaceDN/>
        <w:bidi w:val="0"/>
        <w:spacing w:line="38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3.1.4、甲方应按照本合同约定的付款方式、付款时间及金额向乙方支付技术服务报酬。 </w:t>
      </w:r>
    </w:p>
    <w:p w14:paraId="7A715960">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3.2 乙方责任和义务 </w:t>
      </w:r>
    </w:p>
    <w:p w14:paraId="697EBBBF">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3.2.1乙方应按国家技术规范、标准、规程及甲方提出的设计要求，进行规划编制工作，按合同规定的进度要求提交质量合格的设计资料，并对其负责。</w:t>
      </w:r>
    </w:p>
    <w:p w14:paraId="3DF5829A">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3.2.2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乙方应根据合同约定按时向甲方汇报相应阶段的工作成果，并配合甲方向本项目相关政府部门进行汇报或说明</w:t>
      </w:r>
      <w:r>
        <w:rPr>
          <w:rFonts w:hint="eastAsia" w:ascii="宋体" w:hAnsi="宋体" w:eastAsia="宋体" w:cs="宋体"/>
          <w:color w:val="000000" w:themeColor="text1"/>
          <w:kern w:val="0"/>
          <w:sz w:val="24"/>
          <w:szCs w:val="24"/>
          <w:highlight w:val="none"/>
          <w:lang w:bidi="ar"/>
          <w14:textFill>
            <w14:solidFill>
              <w14:schemeClr w14:val="tx1"/>
            </w14:solidFill>
          </w14:textFill>
        </w:rPr>
        <w:t>。</w:t>
      </w:r>
    </w:p>
    <w:p w14:paraId="0EA01D39">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3.2.3乙方交付编制资料及文件后，按规定参加有关的规划审查，并根据审查结论负责对不超出原定范围的内容做必要调整补充。</w:t>
      </w:r>
    </w:p>
    <w:p w14:paraId="2F8DCDED">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3.2.4乙方应保护甲方的知识产权，不得向第三人泄露、转让甲方提交的产品图纸等技术经济资料。如发生以上情况并给甲方造成经济损失，甲方有权向乙方索赔。 </w:t>
      </w:r>
    </w:p>
    <w:p w14:paraId="3C09C354">
      <w:pPr>
        <w:pStyle w:val="5"/>
        <w:keepNext w:val="0"/>
        <w:keepLines w:val="0"/>
        <w:pageBreakBefore w:val="0"/>
        <w:kinsoku/>
        <w:wordWrap/>
        <w:overflowPunct/>
        <w:topLinePunct w:val="0"/>
        <w:autoSpaceDE/>
        <w:autoSpaceDN/>
        <w:bidi w:val="0"/>
        <w:spacing w:after="0" w:line="380" w:lineRule="exact"/>
        <w:ind w:firstLine="480" w:firstLineChars="200"/>
        <w:textAlignment w:val="auto"/>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3.2.5若因乙方原因造成成果文件出现较大修改，乙方应在</w:t>
      </w:r>
      <w:r>
        <w:rPr>
          <w:rFonts w:hint="eastAsia" w:ascii="宋体" w:hAnsi="宋体" w:eastAsia="宋体" w:cs="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个日历日内无条件对编制内容进行修改，由此造成的一切损失由乙方自行承担。对于修改时限超出约定时限造成甲方项目不能按时完结的，由乙方全权承担甲方响应损失。</w:t>
      </w:r>
    </w:p>
    <w:p w14:paraId="0F42E9E0">
      <w:pPr>
        <w:pStyle w:val="4"/>
        <w:keepNext w:val="0"/>
        <w:keepLines w:val="0"/>
        <w:pageBreakBefore w:val="0"/>
        <w:kinsoku/>
        <w:wordWrap/>
        <w:overflowPunct/>
        <w:topLinePunct w:val="0"/>
        <w:autoSpaceDE/>
        <w:autoSpaceDN/>
        <w:bidi w:val="0"/>
        <w:spacing w:after="0" w:line="380" w:lineRule="exact"/>
        <w:ind w:firstLine="480" w:firstLineChars="200"/>
        <w:textAlignment w:val="auto"/>
        <w:rPr>
          <w:rFonts w:hint="eastAsia" w:ascii="宋体" w:hAnsi="宋体" w:eastAsia="宋体" w:cs="宋体"/>
        </w:rPr>
      </w:pPr>
      <w:r>
        <w:rPr>
          <w:rFonts w:hint="eastAsia" w:ascii="宋体" w:hAnsi="宋体" w:eastAsia="宋体" w:cs="宋体"/>
          <w:color w:val="000000" w:themeColor="text1"/>
          <w:sz w:val="24"/>
          <w:szCs w:val="24"/>
          <w:lang w:bidi="ar"/>
          <w14:textFill>
            <w14:solidFill>
              <w14:schemeClr w14:val="tx1"/>
            </w14:solidFill>
          </w14:textFill>
        </w:rPr>
        <w:t>3.2.6乙</w:t>
      </w:r>
      <w:r>
        <w:rPr>
          <w:rFonts w:hint="eastAsia" w:ascii="宋体" w:hAnsi="宋体" w:eastAsia="宋体" w:cs="宋体"/>
          <w:color w:val="000000"/>
          <w:sz w:val="24"/>
          <w:szCs w:val="24"/>
          <w:lang w:bidi="ar"/>
        </w:rPr>
        <w:t>方对规划文件出现的遗漏或错误负责修改或补充。由于规划错误造成工程质量事故损失，乙方除负责采取补救措施外，免收受损失部分的设计费。</w:t>
      </w:r>
    </w:p>
    <w:p w14:paraId="6E21DC1B">
      <w:pPr>
        <w:keepNext w:val="0"/>
        <w:keepLines w:val="0"/>
        <w:pageBreakBefore w:val="0"/>
        <w:widowControl/>
        <w:kinsoku/>
        <w:wordWrap/>
        <w:overflowPunct/>
        <w:topLinePunct w:val="0"/>
        <w:autoSpaceDE/>
        <w:autoSpaceDN/>
        <w:bidi w:val="0"/>
        <w:spacing w:line="380" w:lineRule="exact"/>
        <w:ind w:firstLine="482" w:firstLineChars="200"/>
        <w:jc w:val="left"/>
        <w:textAlignment w:val="auto"/>
        <w:rPr>
          <w:rFonts w:hint="eastAsia" w:ascii="宋体" w:hAnsi="宋体" w:eastAsia="宋体" w:cs="宋体"/>
        </w:rPr>
      </w:pPr>
      <w:r>
        <w:rPr>
          <w:rFonts w:hint="eastAsia" w:ascii="宋体" w:hAnsi="宋体" w:eastAsia="宋体" w:cs="宋体"/>
          <w:b/>
          <w:bCs/>
          <w:color w:val="000000"/>
          <w:kern w:val="0"/>
          <w:sz w:val="24"/>
          <w:szCs w:val="24"/>
          <w:lang w:bidi="ar"/>
        </w:rPr>
        <w:t xml:space="preserve">第四条 合同价款拨付和结算 </w:t>
      </w:r>
    </w:p>
    <w:p w14:paraId="2405DDF0">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4.1 合同总金额为人民币（大写）</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元整（￥</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 xml:space="preserve">元）。 </w:t>
      </w:r>
    </w:p>
    <w:p w14:paraId="0ADA0053">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0000FF"/>
          <w:sz w:val="24"/>
          <w:szCs w:val="24"/>
        </w:rPr>
      </w:pPr>
      <w:r>
        <w:rPr>
          <w:rFonts w:hint="eastAsia" w:ascii="宋体" w:hAnsi="宋体" w:eastAsia="宋体" w:cs="宋体"/>
          <w:color w:val="auto"/>
          <w:sz w:val="24"/>
          <w:szCs w:val="24"/>
          <w:lang w:val="en-US" w:eastAsia="zh-CN"/>
        </w:rPr>
        <w:t>4.2</w:t>
      </w:r>
      <w:r>
        <w:rPr>
          <w:rFonts w:hint="eastAsia" w:ascii="宋体" w:hAnsi="宋体" w:eastAsia="宋体" w:cs="宋体"/>
          <w:color w:val="auto"/>
          <w:sz w:val="24"/>
          <w:szCs w:val="24"/>
        </w:rPr>
        <w:t>合同总价即</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价，</w:t>
      </w:r>
      <w:r>
        <w:rPr>
          <w:rFonts w:hint="eastAsia" w:ascii="宋体" w:hAnsi="宋体" w:eastAsia="宋体" w:cs="宋体"/>
          <w:color w:val="auto"/>
          <w:sz w:val="24"/>
          <w:szCs w:val="24"/>
          <w:lang w:val="en-US" w:eastAsia="zh-CN"/>
        </w:rPr>
        <w:t>凡涉及与本项目服务相关的所有费用一次性计入投标总价</w:t>
      </w:r>
      <w:r>
        <w:rPr>
          <w:rFonts w:hint="eastAsia" w:ascii="宋体" w:hAnsi="宋体" w:eastAsia="宋体" w:cs="宋体"/>
          <w:color w:val="auto"/>
          <w:sz w:val="24"/>
          <w:szCs w:val="24"/>
        </w:rPr>
        <w:t>，不受市场价变化或实际工作量变化的影响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合同履约过程中采购人不在支付其他额外费用</w:t>
      </w:r>
      <w:r>
        <w:rPr>
          <w:rFonts w:hint="eastAsia" w:ascii="宋体" w:hAnsi="宋体" w:eastAsia="宋体" w:cs="宋体"/>
          <w:color w:val="0000FF"/>
          <w:sz w:val="24"/>
          <w:szCs w:val="24"/>
        </w:rPr>
        <w:t xml:space="preserve">。 </w:t>
      </w:r>
    </w:p>
    <w:p w14:paraId="772093B4">
      <w:pPr>
        <w:pStyle w:val="32"/>
        <w:keepNext w:val="0"/>
        <w:keepLines w:val="0"/>
        <w:pageBreakBefore w:val="0"/>
        <w:numPr>
          <w:ilvl w:val="0"/>
          <w:numId w:val="0"/>
        </w:numPr>
        <w:kinsoku/>
        <w:wordWrap/>
        <w:overflowPunct/>
        <w:topLinePunct w:val="0"/>
        <w:autoSpaceDE/>
        <w:autoSpaceDN/>
        <w:bidi w:val="0"/>
        <w:spacing w:line="380" w:lineRule="exact"/>
        <w:ind w:leftChars="200"/>
        <w:textAlignment w:val="auto"/>
        <w:rPr>
          <w:rFonts w:hint="eastAsia" w:ascii="宋体" w:hAnsi="宋体" w:eastAsia="宋体" w:cs="宋体"/>
          <w:b/>
          <w:bCs/>
          <w:caps w:val="0"/>
          <w:color w:val="000000"/>
          <w:kern w:val="0"/>
          <w:sz w:val="24"/>
          <w:szCs w:val="24"/>
          <w:lang w:val="en-US" w:eastAsia="zh-CN" w:bidi="ar"/>
        </w:rPr>
      </w:pPr>
      <w:r>
        <w:rPr>
          <w:rFonts w:hint="eastAsia" w:ascii="宋体" w:hAnsi="宋体" w:eastAsia="宋体" w:cs="宋体"/>
          <w:b/>
          <w:bCs/>
          <w:caps w:val="0"/>
          <w:color w:val="000000"/>
          <w:kern w:val="0"/>
          <w:sz w:val="24"/>
          <w:szCs w:val="24"/>
          <w:lang w:val="en-US" w:eastAsia="zh-CN" w:bidi="ar"/>
        </w:rPr>
        <w:t>付款方式：</w:t>
      </w:r>
      <w:r>
        <w:rPr>
          <w:rFonts w:hint="eastAsia" w:ascii="宋体" w:hAnsi="宋体" w:eastAsia="宋体" w:cs="宋体"/>
          <w:color w:val="000000"/>
          <w:kern w:val="0"/>
          <w:sz w:val="24"/>
          <w:szCs w:val="24"/>
          <w:lang w:bidi="ar"/>
        </w:rPr>
        <w:t>约定</w:t>
      </w:r>
      <w:r>
        <w:rPr>
          <w:rFonts w:hint="eastAsia" w:ascii="宋体" w:hAnsi="宋体" w:eastAsia="宋体" w:cs="宋体"/>
          <w:color w:val="auto"/>
          <w:kern w:val="0"/>
          <w:sz w:val="24"/>
          <w:szCs w:val="24"/>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w:t>
      </w:r>
      <w:r>
        <w:rPr>
          <w:rFonts w:hint="eastAsia" w:ascii="宋体" w:hAnsi="宋体" w:eastAsia="宋体" w:cs="宋体"/>
          <w:color w:val="auto"/>
          <w:kern w:val="0"/>
          <w:sz w:val="24"/>
          <w:szCs w:val="24"/>
          <w:lang w:bidi="ar"/>
        </w:rPr>
        <w:t>期</w:t>
      </w:r>
      <w:r>
        <w:rPr>
          <w:rFonts w:hint="eastAsia" w:ascii="宋体" w:hAnsi="宋体" w:eastAsia="宋体" w:cs="宋体"/>
          <w:color w:val="000000" w:themeColor="text1"/>
          <w:kern w:val="0"/>
          <w:sz w:val="24"/>
          <w:szCs w:val="24"/>
          <w:lang w:bidi="ar"/>
          <w14:textFill>
            <w14:solidFill>
              <w14:schemeClr w14:val="tx1"/>
            </w14:solidFill>
          </w14:textFill>
        </w:rPr>
        <w:t>支</w:t>
      </w:r>
      <w:r>
        <w:rPr>
          <w:rFonts w:hint="eastAsia" w:ascii="宋体" w:hAnsi="宋体" w:eastAsia="宋体" w:cs="宋体"/>
          <w:color w:val="000000"/>
          <w:kern w:val="0"/>
          <w:sz w:val="24"/>
          <w:szCs w:val="24"/>
          <w:lang w:bidi="ar"/>
        </w:rPr>
        <w:t xml:space="preserve">付。 </w:t>
      </w:r>
    </w:p>
    <w:p w14:paraId="14E9BF79">
      <w:pPr>
        <w:keepNext w:val="0"/>
        <w:keepLines w:val="0"/>
        <w:pageBreakBefore w:val="0"/>
        <w:kinsoku/>
        <w:wordWrap/>
        <w:overflowPunct/>
        <w:topLinePunct w:val="0"/>
        <w:autoSpaceDE/>
        <w:autoSpaceDN/>
        <w:bidi w:val="0"/>
        <w:spacing w:line="38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（1）合同签订后10天内支付合同总金额的30%；</w:t>
      </w:r>
    </w:p>
    <w:p w14:paraId="1D5CEBE0">
      <w:pPr>
        <w:keepNext w:val="0"/>
        <w:keepLines w:val="0"/>
        <w:pageBreakBefore w:val="0"/>
        <w:kinsoku/>
        <w:wordWrap/>
        <w:overflowPunct/>
        <w:topLinePunct w:val="0"/>
        <w:autoSpaceDE/>
        <w:autoSpaceDN/>
        <w:bidi w:val="0"/>
        <w:spacing w:line="38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（2）投标人提交规划初稿文件后10天内支付合同总金额的30%；</w:t>
      </w:r>
    </w:p>
    <w:p w14:paraId="610EE6E2">
      <w:pPr>
        <w:keepNext w:val="0"/>
        <w:keepLines w:val="0"/>
        <w:pageBreakBefore w:val="0"/>
        <w:kinsoku/>
        <w:wordWrap/>
        <w:overflowPunct/>
        <w:topLinePunct w:val="0"/>
        <w:autoSpaceDE/>
        <w:autoSpaceDN/>
        <w:bidi w:val="0"/>
        <w:spacing w:line="38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（3）投标人提交的技术成果通过评审后10天内，支付合同总金额的20%。 </w:t>
      </w:r>
    </w:p>
    <w:p w14:paraId="000D4657">
      <w:pPr>
        <w:keepNext w:val="0"/>
        <w:keepLines w:val="0"/>
        <w:pageBreakBefore w:val="0"/>
        <w:kinsoku/>
        <w:wordWrap/>
        <w:overflowPunct/>
        <w:topLinePunct w:val="0"/>
        <w:autoSpaceDE/>
        <w:autoSpaceDN/>
        <w:bidi w:val="0"/>
        <w:spacing w:line="38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（4）投标人提交最终技术后10天内，支付合同总金额的20%</w:t>
      </w:r>
    </w:p>
    <w:p w14:paraId="58EABFE5">
      <w:pPr>
        <w:keepNext w:val="0"/>
        <w:keepLines w:val="0"/>
        <w:pageBreakBefore w:val="0"/>
        <w:kinsoku/>
        <w:wordWrap/>
        <w:overflowPunct/>
        <w:topLinePunct w:val="0"/>
        <w:autoSpaceDE/>
        <w:autoSpaceDN/>
        <w:bidi w:val="0"/>
        <w:spacing w:line="38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sz w:val="24"/>
          <w:highlight w:val="none"/>
          <w:lang w:val="en-US" w:eastAsia="zh-CN"/>
        </w:rPr>
        <w:t>（5）付款方式：由甲方负责结算。付款前，乙方须开具与合同金额相应的发票给甲方。</w:t>
      </w:r>
    </w:p>
    <w:p w14:paraId="09ACA7B7">
      <w:pPr>
        <w:keepNext w:val="0"/>
        <w:keepLines w:val="0"/>
        <w:pageBreakBefore w:val="0"/>
        <w:widowControl/>
        <w:kinsoku/>
        <w:wordWrap/>
        <w:overflowPunct/>
        <w:topLinePunct w:val="0"/>
        <w:autoSpaceDE/>
        <w:autoSpaceDN/>
        <w:bidi w:val="0"/>
        <w:spacing w:line="380" w:lineRule="exact"/>
        <w:ind w:firstLine="482" w:firstLineChars="200"/>
        <w:jc w:val="left"/>
        <w:textAlignment w:val="auto"/>
        <w:rPr>
          <w:rFonts w:hint="eastAsia" w:ascii="宋体" w:hAnsi="宋体" w:eastAsia="宋体" w:cs="宋体"/>
        </w:rPr>
      </w:pPr>
      <w:r>
        <w:rPr>
          <w:rFonts w:hint="eastAsia" w:ascii="宋体" w:hAnsi="宋体" w:eastAsia="宋体" w:cs="宋体"/>
          <w:b/>
          <w:bCs/>
          <w:color w:val="000000"/>
          <w:kern w:val="0"/>
          <w:sz w:val="24"/>
          <w:szCs w:val="24"/>
          <w:lang w:bidi="ar"/>
        </w:rPr>
        <w:t xml:space="preserve">第五条 变更 </w:t>
      </w:r>
    </w:p>
    <w:p w14:paraId="3FAABDB2">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 xml:space="preserve">5.1 除另有约定，合同当事人在合同履行中发生以下情形，应按本条约定协商变更： </w:t>
      </w:r>
    </w:p>
    <w:p w14:paraId="143C2192">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 xml:space="preserve">⑴因不可抗力影响，造成合同履行困难，但可以部分或延期履行； </w:t>
      </w:r>
    </w:p>
    <w:p w14:paraId="61E09197">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 xml:space="preserve">⑵改变合同中任何工作的质量标准或其他特性。 </w:t>
      </w:r>
    </w:p>
    <w:p w14:paraId="7F3E267E">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 xml:space="preserve">5.2 提出变更一方，应及时提出变更要求，收到变更要求一方，应在收到变更要求之日起 5个工作日内做出书面答复。 </w:t>
      </w:r>
    </w:p>
    <w:p w14:paraId="0E57AB69">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5.3 因变更引起项目周期变化的，合同当事人均可要求调整主要工作阶段时间。</w:t>
      </w:r>
    </w:p>
    <w:p w14:paraId="54578388">
      <w:pPr>
        <w:keepNext w:val="0"/>
        <w:keepLines w:val="0"/>
        <w:pageBreakBefore w:val="0"/>
        <w:widowControl/>
        <w:kinsoku/>
        <w:wordWrap/>
        <w:overflowPunct/>
        <w:topLinePunct w:val="0"/>
        <w:autoSpaceDE/>
        <w:autoSpaceDN/>
        <w:bidi w:val="0"/>
        <w:spacing w:line="380" w:lineRule="exact"/>
        <w:ind w:firstLine="482" w:firstLineChars="200"/>
        <w:jc w:val="left"/>
        <w:textAlignment w:val="auto"/>
        <w:rPr>
          <w:rFonts w:hint="eastAsia" w:ascii="宋体" w:hAnsi="宋体" w:eastAsia="宋体" w:cs="宋体"/>
        </w:rPr>
      </w:pPr>
      <w:r>
        <w:rPr>
          <w:rFonts w:hint="eastAsia" w:ascii="宋体" w:hAnsi="宋体" w:eastAsia="宋体" w:cs="宋体"/>
          <w:b/>
          <w:bCs/>
          <w:color w:val="000000"/>
          <w:kern w:val="0"/>
          <w:sz w:val="24"/>
          <w:szCs w:val="24"/>
          <w:lang w:bidi="ar"/>
        </w:rPr>
        <w:t xml:space="preserve">第六条 合同解除 </w:t>
      </w:r>
    </w:p>
    <w:p w14:paraId="3C5DCE93">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 xml:space="preserve">发生下列情形之一，合同随之终止，合同当事人不再追索对方违约责任，项目进入结算程序： </w:t>
      </w:r>
    </w:p>
    <w:p w14:paraId="75CAB2E4">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 xml:space="preserve">⑴因不可抗力致使本合同不能继续履行的，由乙方书面提出申请，甲方认可； </w:t>
      </w:r>
    </w:p>
    <w:p w14:paraId="7C3DDEB1">
      <w:pPr>
        <w:keepNext w:val="0"/>
        <w:keepLines w:val="0"/>
        <w:pageBreakBefore w:val="0"/>
        <w:widowControl/>
        <w:kinsoku/>
        <w:wordWrap/>
        <w:overflowPunct/>
        <w:topLinePunct w:val="0"/>
        <w:autoSpaceDE/>
        <w:autoSpaceDN/>
        <w:bidi w:val="0"/>
        <w:spacing w:line="380" w:lineRule="exact"/>
        <w:ind w:firstLine="482" w:firstLineChars="200"/>
        <w:jc w:val="left"/>
        <w:textAlignment w:val="auto"/>
        <w:rPr>
          <w:rFonts w:hint="eastAsia" w:ascii="宋体" w:hAnsi="宋体" w:eastAsia="宋体" w:cs="宋体"/>
        </w:rPr>
      </w:pPr>
      <w:r>
        <w:rPr>
          <w:rFonts w:hint="eastAsia" w:ascii="宋体" w:hAnsi="宋体" w:eastAsia="宋体" w:cs="宋体"/>
          <w:b/>
          <w:bCs/>
          <w:color w:val="000000"/>
          <w:kern w:val="0"/>
          <w:sz w:val="24"/>
          <w:szCs w:val="24"/>
          <w:lang w:bidi="ar"/>
        </w:rPr>
        <w:t xml:space="preserve">第七条 违约责任 </w:t>
      </w:r>
    </w:p>
    <w:p w14:paraId="6C9534E5">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 xml:space="preserve">违约方应向守约方支付违约金并赔偿损失。 </w:t>
      </w:r>
    </w:p>
    <w:p w14:paraId="331B1420">
      <w:pPr>
        <w:keepNext w:val="0"/>
        <w:keepLines w:val="0"/>
        <w:pageBreakBefore w:val="0"/>
        <w:widowControl/>
        <w:kinsoku/>
        <w:wordWrap/>
        <w:overflowPunct/>
        <w:topLinePunct w:val="0"/>
        <w:autoSpaceDE/>
        <w:autoSpaceDN/>
        <w:bidi w:val="0"/>
        <w:spacing w:line="380" w:lineRule="exact"/>
        <w:ind w:firstLine="482" w:firstLineChars="200"/>
        <w:jc w:val="left"/>
        <w:textAlignment w:val="auto"/>
        <w:rPr>
          <w:rFonts w:hint="eastAsia" w:ascii="宋体" w:hAnsi="宋体" w:eastAsia="宋体" w:cs="宋体"/>
        </w:rPr>
      </w:pPr>
      <w:r>
        <w:rPr>
          <w:rFonts w:hint="eastAsia" w:ascii="宋体" w:hAnsi="宋体" w:eastAsia="宋体" w:cs="宋体"/>
          <w:b/>
          <w:bCs/>
          <w:color w:val="000000"/>
          <w:kern w:val="0"/>
          <w:sz w:val="24"/>
          <w:szCs w:val="24"/>
          <w:lang w:bidi="ar"/>
        </w:rPr>
        <w:t xml:space="preserve">第八条 合同生效及终止 </w:t>
      </w:r>
    </w:p>
    <w:p w14:paraId="30DFEEDC">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 xml:space="preserve">本合同经双方约定签字盖章后生效。在乙方提交的项目成果经甲方全部验收合格，按规定汇交资料，办理完项目结算手续，双方责任与义务履行完毕，合同终止。 </w:t>
      </w:r>
    </w:p>
    <w:p w14:paraId="19DB4298">
      <w:pPr>
        <w:keepNext w:val="0"/>
        <w:keepLines w:val="0"/>
        <w:pageBreakBefore w:val="0"/>
        <w:widowControl/>
        <w:kinsoku/>
        <w:wordWrap/>
        <w:overflowPunct/>
        <w:topLinePunct w:val="0"/>
        <w:autoSpaceDE/>
        <w:autoSpaceDN/>
        <w:bidi w:val="0"/>
        <w:spacing w:line="380" w:lineRule="exact"/>
        <w:ind w:firstLine="482" w:firstLineChars="200"/>
        <w:jc w:val="left"/>
        <w:textAlignment w:val="auto"/>
        <w:rPr>
          <w:rFonts w:hint="eastAsia" w:ascii="宋体" w:hAnsi="宋体" w:eastAsia="宋体" w:cs="宋体"/>
        </w:rPr>
      </w:pPr>
      <w:r>
        <w:rPr>
          <w:rFonts w:hint="eastAsia" w:ascii="宋体" w:hAnsi="宋体" w:eastAsia="宋体" w:cs="宋体"/>
          <w:b/>
          <w:bCs/>
          <w:color w:val="000000"/>
          <w:kern w:val="0"/>
          <w:sz w:val="24"/>
          <w:szCs w:val="24"/>
          <w:lang w:bidi="ar"/>
        </w:rPr>
        <w:t xml:space="preserve">第九条 其他 </w:t>
      </w:r>
    </w:p>
    <w:p w14:paraId="0B967E70">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 xml:space="preserve">9.1 合同附件 </w:t>
      </w:r>
    </w:p>
    <w:p w14:paraId="277D5186">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 xml:space="preserve">除另有约定外，解释合同文件的优先顺序如下： </w:t>
      </w:r>
    </w:p>
    <w:p w14:paraId="0DAD5C6C">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 xml:space="preserve">⑴合同书； </w:t>
      </w:r>
    </w:p>
    <w:p w14:paraId="4EBF4D70">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 xml:space="preserve">⑵合同补充协议； </w:t>
      </w:r>
    </w:p>
    <w:p w14:paraId="1C0A8FFD">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 xml:space="preserve">上述各项合同文件包括合同当事人就该项合同文件所作出的补充和修改，属于同一类内容的文件，应以最新签署的为准。 </w:t>
      </w:r>
    </w:p>
    <w:p w14:paraId="5C42AFA1">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 xml:space="preserve">9.2 如本合同条款或履行合同中存在争议，合同当事人可以协商达成一致，经双方签字并盖章后作为合同补充文件。如果合同当事人未就争议达成协议，当事人一方可选择下列任一方式： </w:t>
      </w:r>
    </w:p>
    <w:p w14:paraId="0558A1B6">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 xml:space="preserve">⑴向所在地仲裁委员会提出仲裁； </w:t>
      </w:r>
    </w:p>
    <w:p w14:paraId="34407E03">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⑵向</w:t>
      </w:r>
      <w:r>
        <w:rPr>
          <w:rFonts w:hint="eastAsia" w:ascii="宋体" w:hAnsi="宋体" w:eastAsia="宋体" w:cs="宋体"/>
          <w:color w:val="000000"/>
          <w:kern w:val="0"/>
          <w:sz w:val="24"/>
          <w:szCs w:val="24"/>
          <w:lang w:val="en-US" w:eastAsia="zh-CN" w:bidi="ar"/>
        </w:rPr>
        <w:t>项目</w:t>
      </w:r>
      <w:r>
        <w:rPr>
          <w:rFonts w:hint="eastAsia" w:ascii="宋体" w:hAnsi="宋体" w:eastAsia="宋体" w:cs="宋体"/>
          <w:color w:val="000000"/>
          <w:kern w:val="0"/>
          <w:sz w:val="24"/>
          <w:szCs w:val="24"/>
          <w:lang w:bidi="ar"/>
        </w:rPr>
        <w:t xml:space="preserve">所在地法院提起诉讼。 </w:t>
      </w:r>
    </w:p>
    <w:p w14:paraId="292F0A17">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 xml:space="preserve">9.3 合同未尽事宜，合同当事人另行签订补充协议。补充协议与本合同具有同等法律效力。 </w:t>
      </w:r>
    </w:p>
    <w:p w14:paraId="0CA2D566">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9.4 本合同一式</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bidi="ar"/>
        </w:rPr>
        <w:t>份，具有同等法律效力。甲、乙双方各执</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bidi="ar"/>
        </w:rPr>
        <w:t xml:space="preserve">份。 </w:t>
      </w:r>
    </w:p>
    <w:p w14:paraId="5DE150A4">
      <w:pPr>
        <w:keepNext w:val="0"/>
        <w:keepLines w:val="0"/>
        <w:pageBreakBefore w:val="0"/>
        <w:widowControl/>
        <w:kinsoku/>
        <w:wordWrap/>
        <w:overflowPunct/>
        <w:topLinePunct w:val="0"/>
        <w:autoSpaceDE/>
        <w:autoSpaceDN/>
        <w:bidi w:val="0"/>
        <w:spacing w:line="380" w:lineRule="exact"/>
        <w:jc w:val="left"/>
        <w:textAlignment w:val="auto"/>
        <w:rPr>
          <w:rFonts w:hint="eastAsia" w:ascii="宋体" w:hAnsi="宋体" w:eastAsia="宋体" w:cs="宋体"/>
          <w:color w:val="000000"/>
          <w:kern w:val="0"/>
          <w:sz w:val="24"/>
          <w:szCs w:val="24"/>
          <w:lang w:bidi="ar"/>
        </w:rPr>
      </w:pPr>
    </w:p>
    <w:p w14:paraId="27DF9253">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委托方（甲方）(公章)：                  受托方（乙方）(公章)：</w:t>
      </w:r>
    </w:p>
    <w:p w14:paraId="46FD3F76">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法定或委托代表人(签字)：                受托方（乙方）(公章)：</w:t>
      </w:r>
    </w:p>
    <w:p w14:paraId="7C786C61">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经办人：                               经办人：</w:t>
      </w:r>
    </w:p>
    <w:p w14:paraId="32E2AF43">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电 话：                                电 话：</w:t>
      </w:r>
    </w:p>
    <w:p w14:paraId="3D6A7814">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传 真：                                传 真：</w:t>
      </w:r>
    </w:p>
    <w:p w14:paraId="388D6FD5">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开户银行：                             开户银行：</w:t>
      </w:r>
    </w:p>
    <w:p w14:paraId="25080CAE">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账 号：                                账 号：</w:t>
      </w:r>
    </w:p>
    <w:p w14:paraId="40DB41EF">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单位地址：                             单位地址：</w:t>
      </w:r>
    </w:p>
    <w:p w14:paraId="367D35AE">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邮政编码：                             邮政编码：</w:t>
      </w:r>
    </w:p>
    <w:p w14:paraId="7C813577">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000000"/>
          <w:kern w:val="0"/>
          <w:sz w:val="24"/>
          <w:szCs w:val="24"/>
          <w:lang w:bidi="ar"/>
        </w:rPr>
      </w:pPr>
    </w:p>
    <w:p w14:paraId="03ED0D98">
      <w:pPr>
        <w:keepNext w:val="0"/>
        <w:keepLines w:val="0"/>
        <w:pageBreakBefore w:val="0"/>
        <w:widowControl/>
        <w:kinsoku/>
        <w:wordWrap/>
        <w:overflowPunct/>
        <w:topLinePunct w:val="0"/>
        <w:autoSpaceDE/>
        <w:autoSpaceDN/>
        <w:bidi w:val="0"/>
        <w:spacing w:line="380" w:lineRule="exact"/>
        <w:ind w:firstLine="1920" w:firstLineChars="800"/>
        <w:jc w:val="left"/>
        <w:textAlignment w:val="auto"/>
        <w:rPr>
          <w:rFonts w:hint="eastAsia" w:ascii="宋体" w:hAnsi="宋体" w:eastAsia="宋体" w:cs="宋体"/>
        </w:rPr>
      </w:pPr>
      <w:r>
        <w:rPr>
          <w:rFonts w:hint="eastAsia" w:ascii="宋体" w:hAnsi="宋体" w:eastAsia="宋体" w:cs="宋体"/>
          <w:color w:val="000000"/>
          <w:kern w:val="0"/>
          <w:sz w:val="24"/>
          <w:szCs w:val="24"/>
          <w:lang w:bidi="ar"/>
        </w:rPr>
        <w:t xml:space="preserve">签字地点： </w:t>
      </w:r>
    </w:p>
    <w:p w14:paraId="382F4155">
      <w:pPr>
        <w:pStyle w:val="29"/>
        <w:keepNext w:val="0"/>
        <w:keepLines w:val="0"/>
        <w:pageBreakBefore w:val="0"/>
        <w:kinsoku/>
        <w:wordWrap/>
        <w:overflowPunct/>
        <w:topLinePunct w:val="0"/>
        <w:autoSpaceDE/>
        <w:autoSpaceDN/>
        <w:bidi w:val="0"/>
        <w:spacing w:line="380" w:lineRule="exact"/>
        <w:ind w:firstLine="480"/>
        <w:textAlignment w:val="auto"/>
        <w:rPr>
          <w:rFonts w:hint="eastAsia" w:ascii="宋体" w:hAnsi="宋体" w:eastAsia="宋体" w:cs="宋体"/>
          <w:color w:val="000000"/>
          <w:sz w:val="24"/>
          <w:szCs w:val="24"/>
          <w:lang w:bidi="ar"/>
        </w:rPr>
      </w:pPr>
    </w:p>
    <w:p w14:paraId="07EA2DCD">
      <w:pPr>
        <w:pStyle w:val="29"/>
        <w:keepNext w:val="0"/>
        <w:keepLines w:val="0"/>
        <w:pageBreakBefore w:val="0"/>
        <w:kinsoku/>
        <w:wordWrap/>
        <w:overflowPunct/>
        <w:topLinePunct w:val="0"/>
        <w:autoSpaceDE/>
        <w:autoSpaceDN/>
        <w:bidi w:val="0"/>
        <w:spacing w:line="380" w:lineRule="exact"/>
        <w:ind w:firstLine="1502" w:firstLineChars="626"/>
        <w:textAlignment w:val="auto"/>
        <w:rPr>
          <w:rFonts w:hint="eastAsia" w:ascii="宋体" w:hAnsi="宋体" w:eastAsia="宋体" w:cs="宋体"/>
          <w:sz w:val="24"/>
          <w:szCs w:val="24"/>
        </w:rPr>
      </w:pPr>
      <w:r>
        <w:rPr>
          <w:rFonts w:hint="eastAsia" w:ascii="宋体" w:hAnsi="宋体" w:eastAsia="宋体" w:cs="宋体"/>
          <w:color w:val="000000"/>
          <w:sz w:val="24"/>
          <w:szCs w:val="24"/>
          <w:lang w:bidi="ar"/>
        </w:rPr>
        <w:t>签字时间：    年    月     日</w:t>
      </w:r>
    </w:p>
    <w:p w14:paraId="16F57971">
      <w:pPr>
        <w:pStyle w:val="6"/>
        <w:keepNext w:val="0"/>
        <w:keepLines/>
        <w:pageBreakBefore/>
        <w:widowControl w:val="0"/>
        <w:kinsoku/>
        <w:wordWrap/>
        <w:overflowPunct/>
        <w:topLinePunct w:val="0"/>
        <w:autoSpaceDE/>
        <w:autoSpaceDN/>
        <w:bidi w:val="0"/>
        <w:adjustRightInd/>
        <w:snapToGrid/>
        <w:textAlignment w:val="auto"/>
        <w:rPr>
          <w:rFonts w:hint="eastAsia" w:ascii="宋体" w:hAnsi="宋体" w:eastAsia="宋体" w:cs="宋体"/>
          <w:color w:val="auto"/>
        </w:rPr>
      </w:pPr>
      <w:bookmarkStart w:id="178" w:name="_Toc26708"/>
      <w:r>
        <w:rPr>
          <w:rFonts w:hint="eastAsia" w:ascii="宋体" w:hAnsi="宋体" w:eastAsia="宋体" w:cs="宋体"/>
          <w:color w:val="auto"/>
        </w:rPr>
        <w:t>第七部分  响应文件格式</w:t>
      </w:r>
      <w:bookmarkEnd w:id="170"/>
      <w:bookmarkEnd w:id="171"/>
      <w:bookmarkEnd w:id="172"/>
      <w:bookmarkEnd w:id="173"/>
      <w:bookmarkEnd w:id="174"/>
      <w:bookmarkEnd w:id="175"/>
      <w:bookmarkEnd w:id="176"/>
      <w:bookmarkEnd w:id="177"/>
      <w:bookmarkEnd w:id="178"/>
    </w:p>
    <w:p w14:paraId="534B006D">
      <w:pPr>
        <w:widowControl/>
        <w:spacing w:line="400" w:lineRule="exact"/>
        <w:jc w:val="right"/>
        <w:rPr>
          <w:rFonts w:hint="eastAsia" w:ascii="宋体" w:hAnsi="宋体" w:eastAsia="宋体" w:cs="宋体"/>
          <w:b/>
          <w:color w:val="auto"/>
          <w:sz w:val="36"/>
          <w:szCs w:val="36"/>
          <w:bdr w:val="single" w:color="auto" w:sz="4" w:space="0"/>
          <w:shd w:val="pct10" w:color="auto" w:fill="FFFFFF"/>
        </w:rPr>
      </w:pPr>
      <w:r>
        <w:rPr>
          <w:rFonts w:hint="eastAsia" w:ascii="宋体" w:hAnsi="宋体" w:eastAsia="宋体" w:cs="宋体"/>
          <w:b/>
          <w:color w:val="auto"/>
          <w:sz w:val="36"/>
          <w:szCs w:val="36"/>
          <w:bdr w:val="single" w:color="auto" w:sz="4" w:space="0"/>
          <w:shd w:val="pct10" w:color="auto" w:fill="FFFFFF"/>
        </w:rPr>
        <w:t>政府采购项目</w:t>
      </w:r>
    </w:p>
    <w:p w14:paraId="09E3D193">
      <w:pPr>
        <w:widowControl/>
        <w:spacing w:line="440" w:lineRule="exact"/>
        <w:rPr>
          <w:rFonts w:hint="eastAsia" w:ascii="宋体" w:hAnsi="宋体" w:eastAsia="宋体" w:cs="宋体"/>
          <w:bCs/>
          <w:color w:val="auto"/>
          <w:sz w:val="32"/>
          <w:szCs w:val="32"/>
          <w:lang w:val="en-US"/>
        </w:rPr>
      </w:pPr>
      <w:r>
        <w:rPr>
          <w:rFonts w:hint="eastAsia" w:ascii="宋体" w:hAnsi="宋体" w:eastAsia="宋体" w:cs="宋体"/>
          <w:b/>
          <w:bCs/>
          <w:color w:val="auto"/>
          <w:kern w:val="44"/>
          <w:sz w:val="32"/>
          <w:szCs w:val="32"/>
          <w:lang w:eastAsia="zh-CN"/>
        </w:rPr>
        <w:t>项目</w:t>
      </w:r>
      <w:r>
        <w:rPr>
          <w:rFonts w:hint="eastAsia" w:ascii="宋体" w:hAnsi="宋体" w:eastAsia="宋体" w:cs="宋体"/>
          <w:b/>
          <w:bCs/>
          <w:color w:val="auto"/>
          <w:kern w:val="44"/>
          <w:sz w:val="32"/>
          <w:szCs w:val="32"/>
        </w:rPr>
        <w:t>编号</w:t>
      </w:r>
      <w:r>
        <w:rPr>
          <w:rFonts w:hint="eastAsia" w:ascii="宋体" w:hAnsi="宋体" w:eastAsia="宋体" w:cs="宋体"/>
          <w:b/>
          <w:bCs/>
          <w:color w:val="auto"/>
          <w:kern w:val="44"/>
          <w:sz w:val="32"/>
          <w:szCs w:val="32"/>
          <w:lang w:eastAsia="zh-CN"/>
        </w:rPr>
        <w:t>：</w:t>
      </w:r>
      <w:r>
        <w:rPr>
          <w:rFonts w:hint="eastAsia" w:ascii="宋体" w:hAnsi="宋体" w:eastAsia="宋体" w:cs="宋体"/>
          <w:b/>
          <w:bCs/>
          <w:color w:val="auto"/>
          <w:kern w:val="44"/>
          <w:sz w:val="32"/>
          <w:szCs w:val="32"/>
          <w:lang w:val="en-US" w:eastAsia="zh-CN"/>
        </w:rPr>
        <w:t>LTZB-2025-020</w:t>
      </w:r>
    </w:p>
    <w:p w14:paraId="25ABDBBB">
      <w:pPr>
        <w:widowControl/>
        <w:spacing w:line="600" w:lineRule="exact"/>
        <w:rPr>
          <w:rFonts w:hint="eastAsia" w:ascii="宋体" w:hAnsi="宋体" w:eastAsia="宋体" w:cs="宋体"/>
          <w:bCs/>
          <w:color w:val="auto"/>
          <w:spacing w:val="20"/>
          <w:kern w:val="0"/>
          <w:sz w:val="84"/>
          <w:szCs w:val="84"/>
        </w:rPr>
      </w:pPr>
    </w:p>
    <w:p w14:paraId="26C80A29">
      <w:pPr>
        <w:pStyle w:val="9"/>
        <w:rPr>
          <w:rFonts w:hint="eastAsia" w:ascii="宋体" w:hAnsi="宋体" w:eastAsia="宋体" w:cs="宋体"/>
          <w:color w:val="auto"/>
        </w:rPr>
      </w:pPr>
    </w:p>
    <w:p w14:paraId="3574CAD9">
      <w:pPr>
        <w:widowControl/>
        <w:spacing w:before="158" w:beforeLines="50" w:line="800" w:lineRule="exact"/>
        <w:jc w:val="center"/>
        <w:rPr>
          <w:rFonts w:hint="eastAsia" w:ascii="宋体" w:hAnsi="宋体" w:eastAsia="宋体" w:cs="宋体"/>
          <w:b/>
          <w:color w:val="auto"/>
          <w:spacing w:val="20"/>
          <w:kern w:val="0"/>
          <w:sz w:val="84"/>
          <w:szCs w:val="84"/>
        </w:rPr>
      </w:pPr>
    </w:p>
    <w:p w14:paraId="33E0DC22">
      <w:pPr>
        <w:widowControl/>
        <w:spacing w:before="158" w:beforeLines="50" w:line="800" w:lineRule="exact"/>
        <w:jc w:val="center"/>
        <w:rPr>
          <w:rFonts w:hint="eastAsia" w:ascii="宋体" w:hAnsi="宋体" w:eastAsia="宋体" w:cs="宋体"/>
          <w:b/>
          <w:color w:val="auto"/>
          <w:spacing w:val="20"/>
          <w:kern w:val="0"/>
          <w:sz w:val="84"/>
          <w:szCs w:val="84"/>
          <w:lang w:val="en-US" w:eastAsia="zh-CN"/>
        </w:rPr>
      </w:pPr>
    </w:p>
    <w:p w14:paraId="76D05A73">
      <w:pPr>
        <w:widowControl/>
        <w:spacing w:before="158" w:beforeLines="50" w:line="800" w:lineRule="exact"/>
        <w:jc w:val="center"/>
        <w:rPr>
          <w:rFonts w:hint="eastAsia" w:ascii="宋体" w:hAnsi="宋体" w:eastAsia="宋体" w:cs="宋体"/>
          <w:b/>
          <w:color w:val="auto"/>
          <w:spacing w:val="20"/>
          <w:kern w:val="0"/>
          <w:sz w:val="56"/>
          <w:szCs w:val="56"/>
        </w:rPr>
      </w:pPr>
      <w:r>
        <w:rPr>
          <w:rFonts w:hint="eastAsia" w:ascii="宋体" w:hAnsi="宋体" w:eastAsia="宋体" w:cs="宋体"/>
          <w:b/>
          <w:color w:val="auto"/>
          <w:spacing w:val="20"/>
          <w:kern w:val="0"/>
          <w:sz w:val="56"/>
          <w:szCs w:val="56"/>
        </w:rPr>
        <w:t>“一湖两岸”城文旅融合发展专项规划编制采购项目</w:t>
      </w:r>
    </w:p>
    <w:p w14:paraId="22AB7BC9">
      <w:pPr>
        <w:widowControl/>
        <w:spacing w:before="158" w:beforeLines="50" w:line="800" w:lineRule="exact"/>
        <w:jc w:val="center"/>
        <w:rPr>
          <w:rFonts w:hint="eastAsia" w:ascii="宋体" w:hAnsi="宋体" w:eastAsia="宋体" w:cs="宋体"/>
          <w:b/>
          <w:color w:val="auto"/>
          <w:spacing w:val="20"/>
          <w:kern w:val="0"/>
          <w:sz w:val="84"/>
          <w:szCs w:val="84"/>
        </w:rPr>
      </w:pPr>
    </w:p>
    <w:p w14:paraId="5574D51C">
      <w:pPr>
        <w:pStyle w:val="29"/>
        <w:rPr>
          <w:rFonts w:hint="eastAsia" w:ascii="宋体" w:hAnsi="宋体" w:eastAsia="宋体" w:cs="宋体"/>
          <w:color w:val="auto"/>
        </w:rPr>
      </w:pPr>
    </w:p>
    <w:p w14:paraId="1F7272E5">
      <w:pPr>
        <w:pStyle w:val="29"/>
        <w:rPr>
          <w:rFonts w:hint="eastAsia" w:ascii="宋体" w:hAnsi="宋体" w:eastAsia="宋体" w:cs="宋体"/>
          <w:color w:val="auto"/>
        </w:rPr>
      </w:pPr>
    </w:p>
    <w:p w14:paraId="2A99C708">
      <w:pPr>
        <w:widowControl/>
        <w:spacing w:before="158" w:beforeLines="50" w:line="800" w:lineRule="exact"/>
        <w:jc w:val="center"/>
        <w:rPr>
          <w:rFonts w:hint="eastAsia" w:ascii="宋体" w:hAnsi="宋体" w:eastAsia="宋体" w:cs="宋体"/>
          <w:b/>
          <w:color w:val="auto"/>
          <w:spacing w:val="20"/>
          <w:kern w:val="0"/>
          <w:sz w:val="84"/>
          <w:szCs w:val="84"/>
        </w:rPr>
      </w:pPr>
      <w:r>
        <w:rPr>
          <w:rFonts w:hint="eastAsia" w:ascii="宋体" w:hAnsi="宋体" w:eastAsia="宋体" w:cs="宋体"/>
          <w:b/>
          <w:color w:val="auto"/>
          <w:spacing w:val="20"/>
          <w:kern w:val="0"/>
          <w:sz w:val="84"/>
          <w:szCs w:val="84"/>
        </w:rPr>
        <w:t>响应文件</w:t>
      </w:r>
    </w:p>
    <w:p w14:paraId="631274D0">
      <w:pPr>
        <w:pStyle w:val="29"/>
        <w:rPr>
          <w:rFonts w:hint="eastAsia" w:ascii="宋体" w:hAnsi="宋体" w:eastAsia="宋体" w:cs="宋体"/>
          <w:color w:val="auto"/>
        </w:rPr>
      </w:pPr>
    </w:p>
    <w:p w14:paraId="64B31C8D">
      <w:pPr>
        <w:widowControl/>
        <w:spacing w:line="480" w:lineRule="exact"/>
        <w:rPr>
          <w:rFonts w:hint="eastAsia" w:ascii="宋体" w:hAnsi="宋体" w:eastAsia="宋体" w:cs="宋体"/>
          <w:bCs/>
          <w:color w:val="auto"/>
          <w:sz w:val="44"/>
          <w:szCs w:val="44"/>
        </w:rPr>
      </w:pPr>
      <w:r>
        <w:rPr>
          <w:rFonts w:hint="eastAsia" w:ascii="宋体" w:hAnsi="宋体" w:eastAsia="宋体" w:cs="宋体"/>
          <w:bCs/>
          <w:color w:val="auto"/>
          <w:sz w:val="32"/>
          <w:szCs w:val="28"/>
        </w:rPr>
        <w:t xml:space="preserve">                     </w:t>
      </w:r>
    </w:p>
    <w:p w14:paraId="01078D0C">
      <w:pPr>
        <w:widowControl/>
        <w:spacing w:line="400" w:lineRule="exact"/>
        <w:rPr>
          <w:rFonts w:hint="eastAsia" w:ascii="宋体" w:hAnsi="宋体" w:eastAsia="宋体" w:cs="宋体"/>
          <w:bCs/>
          <w:color w:val="auto"/>
          <w:sz w:val="18"/>
          <w:szCs w:val="18"/>
        </w:rPr>
      </w:pPr>
    </w:p>
    <w:p w14:paraId="50902E6C">
      <w:pPr>
        <w:widowControl/>
        <w:spacing w:line="400" w:lineRule="exact"/>
        <w:rPr>
          <w:rFonts w:hint="eastAsia" w:ascii="宋体" w:hAnsi="宋体" w:eastAsia="宋体" w:cs="宋体"/>
          <w:bCs/>
          <w:color w:val="auto"/>
          <w:sz w:val="18"/>
          <w:szCs w:val="18"/>
        </w:rPr>
      </w:pPr>
    </w:p>
    <w:p w14:paraId="4CF713E6">
      <w:pPr>
        <w:pStyle w:val="5"/>
        <w:rPr>
          <w:rFonts w:hint="eastAsia" w:ascii="宋体" w:hAnsi="宋体" w:eastAsia="宋体" w:cs="宋体"/>
          <w:color w:val="auto"/>
        </w:rPr>
      </w:pPr>
    </w:p>
    <w:p w14:paraId="7B8BA670">
      <w:pPr>
        <w:keepNext w:val="0"/>
        <w:keepLines w:val="0"/>
        <w:pageBreakBefore w:val="0"/>
        <w:widowControl w:val="0"/>
        <w:kinsoku/>
        <w:wordWrap/>
        <w:overflowPunct/>
        <w:topLinePunct w:val="0"/>
        <w:autoSpaceDE/>
        <w:autoSpaceDN/>
        <w:bidi w:val="0"/>
        <w:adjustRightInd/>
        <w:snapToGrid w:val="0"/>
        <w:spacing w:line="740" w:lineRule="exact"/>
        <w:ind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lang w:val="zh-CN"/>
        </w:rPr>
        <w:t>（单位名称及公章）：</w:t>
      </w:r>
      <w:r>
        <w:rPr>
          <w:rFonts w:hint="eastAsia" w:ascii="宋体" w:hAnsi="宋体" w:eastAsia="宋体" w:cs="宋体"/>
          <w:color w:val="auto"/>
          <w:sz w:val="24"/>
          <w:szCs w:val="24"/>
        </w:rPr>
        <w:t>____________________________</w:t>
      </w:r>
    </w:p>
    <w:p w14:paraId="721C7A3E">
      <w:pPr>
        <w:keepNext w:val="0"/>
        <w:keepLines w:val="0"/>
        <w:pageBreakBefore w:val="0"/>
        <w:widowControl w:val="0"/>
        <w:kinsoku/>
        <w:wordWrap/>
        <w:overflowPunct/>
        <w:topLinePunct w:val="0"/>
        <w:autoSpaceDE/>
        <w:autoSpaceDN/>
        <w:bidi w:val="0"/>
        <w:adjustRightInd/>
        <w:snapToGrid w:val="0"/>
        <w:spacing w:line="7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lang w:val="zh-CN"/>
        </w:rPr>
        <w:t>被授权人（</w:t>
      </w:r>
      <w:r>
        <w:rPr>
          <w:rFonts w:hint="eastAsia" w:ascii="宋体" w:hAnsi="宋体" w:eastAsia="宋体" w:cs="宋体"/>
          <w:color w:val="auto"/>
          <w:spacing w:val="4"/>
          <w:sz w:val="24"/>
          <w:lang w:val="en-US" w:eastAsia="zh-CN"/>
        </w:rPr>
        <w:t>签字或盖章</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________________________</w:t>
      </w:r>
    </w:p>
    <w:p w14:paraId="6FDE86AC">
      <w:pPr>
        <w:keepNext w:val="0"/>
        <w:keepLines w:val="0"/>
        <w:pageBreakBefore w:val="0"/>
        <w:widowControl w:val="0"/>
        <w:kinsoku/>
        <w:wordWrap/>
        <w:overflowPunct/>
        <w:topLinePunct w:val="0"/>
        <w:autoSpaceDE/>
        <w:autoSpaceDN/>
        <w:bidi w:val="0"/>
        <w:adjustRightInd/>
        <w:snapToGrid w:val="0"/>
        <w:spacing w:line="7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________________________________________________</w:t>
      </w:r>
      <w:bookmarkEnd w:id="0"/>
    </w:p>
    <w:p w14:paraId="4B03569C">
      <w:pPr>
        <w:pStyle w:val="67"/>
        <w:rPr>
          <w:rFonts w:hint="eastAsia" w:ascii="宋体" w:hAnsi="宋体" w:eastAsia="宋体" w:cs="宋体"/>
          <w:color w:val="auto"/>
          <w:sz w:val="24"/>
          <w:szCs w:val="24"/>
        </w:rPr>
      </w:pPr>
    </w:p>
    <w:p w14:paraId="353FA379">
      <w:pPr>
        <w:pStyle w:val="67"/>
        <w:rPr>
          <w:rFonts w:hint="eastAsia" w:ascii="宋体" w:hAnsi="宋体" w:eastAsia="宋体" w:cs="宋体"/>
          <w:color w:val="auto"/>
          <w:sz w:val="24"/>
          <w:szCs w:val="24"/>
        </w:rPr>
      </w:pPr>
    </w:p>
    <w:p w14:paraId="15186333">
      <w:pPr>
        <w:pStyle w:val="29"/>
        <w:keepNext w:val="0"/>
        <w:keepLines w:val="0"/>
        <w:widowControl w:val="0"/>
        <w:kinsoku/>
        <w:wordWrap/>
        <w:overflowPunct/>
        <w:topLinePunct w:val="0"/>
        <w:autoSpaceDE/>
        <w:autoSpaceDN/>
        <w:bidi w:val="0"/>
        <w:adjustRightInd/>
        <w:spacing w:line="360" w:lineRule="auto"/>
        <w:ind w:left="945" w:leftChars="450"/>
        <w:jc w:val="center"/>
        <w:textAlignment w:val="auto"/>
        <w:rPr>
          <w:rFonts w:hint="eastAsia" w:ascii="宋体" w:hAnsi="宋体" w:eastAsia="宋体" w:cs="宋体"/>
          <w:color w:val="auto"/>
          <w:sz w:val="48"/>
          <w:szCs w:val="44"/>
          <w:lang w:val="en-US" w:eastAsia="zh-CN"/>
        </w:rPr>
      </w:pPr>
    </w:p>
    <w:p w14:paraId="7557867B">
      <w:pPr>
        <w:pStyle w:val="29"/>
        <w:keepNext w:val="0"/>
        <w:keepLines w:val="0"/>
        <w:widowControl w:val="0"/>
        <w:kinsoku/>
        <w:wordWrap/>
        <w:overflowPunct/>
        <w:topLinePunct w:val="0"/>
        <w:autoSpaceDE/>
        <w:autoSpaceDN/>
        <w:bidi w:val="0"/>
        <w:adjustRightInd/>
        <w:spacing w:line="360" w:lineRule="auto"/>
        <w:ind w:left="945" w:leftChars="450"/>
        <w:jc w:val="center"/>
        <w:textAlignment w:val="auto"/>
        <w:rPr>
          <w:rFonts w:hint="eastAsia" w:ascii="宋体" w:hAnsi="宋体" w:eastAsia="宋体" w:cs="宋体"/>
          <w:color w:val="auto"/>
          <w:sz w:val="48"/>
          <w:szCs w:val="44"/>
          <w:lang w:val="en-US" w:eastAsia="zh-CN"/>
        </w:rPr>
      </w:pPr>
      <w:r>
        <w:rPr>
          <w:rFonts w:hint="eastAsia" w:ascii="宋体" w:hAnsi="宋体" w:eastAsia="宋体" w:cs="宋体"/>
          <w:color w:val="auto"/>
          <w:sz w:val="48"/>
          <w:szCs w:val="44"/>
          <w:lang w:val="en-US" w:eastAsia="zh-CN"/>
        </w:rPr>
        <w:t>目   录</w:t>
      </w:r>
    </w:p>
    <w:p w14:paraId="5A55B35B">
      <w:pPr>
        <w:pStyle w:val="29"/>
        <w:keepNext w:val="0"/>
        <w:keepLines w:val="0"/>
        <w:widowControl w:val="0"/>
        <w:kinsoku/>
        <w:wordWrap/>
        <w:overflowPunct/>
        <w:topLinePunct w:val="0"/>
        <w:autoSpaceDE/>
        <w:autoSpaceDN/>
        <w:bidi w:val="0"/>
        <w:adjustRightInd/>
        <w:spacing w:line="360" w:lineRule="auto"/>
        <w:ind w:left="945" w:leftChars="450"/>
        <w:textAlignment w:val="auto"/>
        <w:rPr>
          <w:rFonts w:hint="eastAsia" w:ascii="宋体" w:hAnsi="宋体" w:eastAsia="宋体" w:cs="宋体"/>
          <w:color w:val="auto"/>
          <w:sz w:val="32"/>
          <w:szCs w:val="28"/>
        </w:rPr>
      </w:pPr>
    </w:p>
    <w:p w14:paraId="176CB29E">
      <w:pPr>
        <w:pStyle w:val="29"/>
        <w:keepNext w:val="0"/>
        <w:keepLines w:val="0"/>
        <w:widowControl w:val="0"/>
        <w:kinsoku/>
        <w:wordWrap/>
        <w:overflowPunct/>
        <w:topLinePunct w:val="0"/>
        <w:autoSpaceDE/>
        <w:autoSpaceDN/>
        <w:bidi w:val="0"/>
        <w:adjustRightInd/>
        <w:spacing w:line="360" w:lineRule="auto"/>
        <w:ind w:left="945" w:leftChars="450"/>
        <w:textAlignment w:val="auto"/>
        <w:rPr>
          <w:rFonts w:hint="eastAsia" w:ascii="宋体" w:hAnsi="宋体" w:eastAsia="宋体" w:cs="宋体"/>
          <w:color w:val="auto"/>
          <w:sz w:val="32"/>
          <w:szCs w:val="28"/>
        </w:rPr>
      </w:pPr>
      <w:r>
        <w:rPr>
          <w:rFonts w:hint="eastAsia" w:ascii="宋体" w:hAnsi="宋体" w:eastAsia="宋体" w:cs="宋体"/>
          <w:color w:val="auto"/>
          <w:sz w:val="32"/>
          <w:szCs w:val="28"/>
        </w:rPr>
        <w:t>第一章   磋商响应函</w:t>
      </w:r>
    </w:p>
    <w:p w14:paraId="43203E43">
      <w:pPr>
        <w:pStyle w:val="29"/>
        <w:keepNext w:val="0"/>
        <w:keepLines w:val="0"/>
        <w:widowControl w:val="0"/>
        <w:kinsoku/>
        <w:wordWrap/>
        <w:overflowPunct/>
        <w:topLinePunct w:val="0"/>
        <w:autoSpaceDE/>
        <w:autoSpaceDN/>
        <w:bidi w:val="0"/>
        <w:adjustRightInd/>
        <w:spacing w:line="360" w:lineRule="auto"/>
        <w:ind w:left="945" w:leftChars="450"/>
        <w:textAlignment w:val="auto"/>
        <w:rPr>
          <w:rFonts w:hint="eastAsia" w:ascii="宋体" w:hAnsi="宋体" w:eastAsia="宋体" w:cs="宋体"/>
          <w:color w:val="auto"/>
          <w:sz w:val="32"/>
          <w:szCs w:val="28"/>
        </w:rPr>
      </w:pPr>
      <w:r>
        <w:rPr>
          <w:rFonts w:hint="eastAsia" w:ascii="宋体" w:hAnsi="宋体" w:eastAsia="宋体" w:cs="宋体"/>
          <w:color w:val="auto"/>
          <w:sz w:val="32"/>
          <w:szCs w:val="28"/>
        </w:rPr>
        <w:t>第二章   响应报价表</w:t>
      </w:r>
    </w:p>
    <w:p w14:paraId="68D605FB">
      <w:pPr>
        <w:pStyle w:val="29"/>
        <w:keepNext w:val="0"/>
        <w:keepLines w:val="0"/>
        <w:widowControl w:val="0"/>
        <w:kinsoku/>
        <w:wordWrap/>
        <w:overflowPunct/>
        <w:topLinePunct w:val="0"/>
        <w:autoSpaceDE/>
        <w:autoSpaceDN/>
        <w:bidi w:val="0"/>
        <w:adjustRightInd/>
        <w:spacing w:line="360" w:lineRule="auto"/>
        <w:ind w:left="945" w:leftChars="450"/>
        <w:textAlignment w:val="auto"/>
        <w:rPr>
          <w:rFonts w:hint="eastAsia" w:ascii="宋体" w:hAnsi="宋体" w:eastAsia="宋体" w:cs="宋体"/>
          <w:color w:val="auto"/>
          <w:sz w:val="32"/>
          <w:szCs w:val="28"/>
        </w:rPr>
      </w:pPr>
      <w:r>
        <w:rPr>
          <w:rFonts w:hint="eastAsia" w:ascii="宋体" w:hAnsi="宋体" w:eastAsia="宋体" w:cs="宋体"/>
          <w:color w:val="auto"/>
          <w:sz w:val="32"/>
          <w:szCs w:val="28"/>
        </w:rPr>
        <w:t>第三章   资格证明文件</w:t>
      </w:r>
    </w:p>
    <w:p w14:paraId="4F8F2E3F">
      <w:pPr>
        <w:pStyle w:val="29"/>
        <w:keepNext w:val="0"/>
        <w:keepLines w:val="0"/>
        <w:widowControl w:val="0"/>
        <w:kinsoku/>
        <w:wordWrap/>
        <w:overflowPunct/>
        <w:topLinePunct w:val="0"/>
        <w:autoSpaceDE/>
        <w:autoSpaceDN/>
        <w:bidi w:val="0"/>
        <w:adjustRightInd/>
        <w:spacing w:line="360" w:lineRule="auto"/>
        <w:ind w:left="945" w:leftChars="450"/>
        <w:textAlignment w:val="auto"/>
        <w:rPr>
          <w:rFonts w:hint="eastAsia" w:ascii="宋体" w:hAnsi="宋体" w:eastAsia="宋体" w:cs="宋体"/>
          <w:color w:val="auto"/>
          <w:sz w:val="32"/>
          <w:szCs w:val="28"/>
        </w:rPr>
      </w:pPr>
      <w:r>
        <w:rPr>
          <w:rFonts w:hint="eastAsia" w:ascii="宋体" w:hAnsi="宋体" w:eastAsia="宋体" w:cs="宋体"/>
          <w:color w:val="auto"/>
          <w:sz w:val="32"/>
          <w:szCs w:val="28"/>
        </w:rPr>
        <w:t>第四章   技术</w:t>
      </w:r>
      <w:r>
        <w:rPr>
          <w:rFonts w:hint="eastAsia" w:ascii="宋体" w:hAnsi="宋体" w:eastAsia="宋体" w:cs="宋体"/>
          <w:color w:val="auto"/>
          <w:sz w:val="32"/>
          <w:szCs w:val="28"/>
          <w:lang w:val="en-US" w:eastAsia="zh-CN"/>
        </w:rPr>
        <w:t>商务响应</w:t>
      </w:r>
      <w:r>
        <w:rPr>
          <w:rFonts w:hint="eastAsia" w:ascii="宋体" w:hAnsi="宋体" w:eastAsia="宋体" w:cs="宋体"/>
          <w:color w:val="auto"/>
          <w:sz w:val="32"/>
          <w:szCs w:val="28"/>
        </w:rPr>
        <w:t>偏离表</w:t>
      </w:r>
    </w:p>
    <w:p w14:paraId="3895A20B">
      <w:pPr>
        <w:pStyle w:val="29"/>
        <w:keepNext w:val="0"/>
        <w:keepLines w:val="0"/>
        <w:widowControl w:val="0"/>
        <w:kinsoku/>
        <w:wordWrap/>
        <w:overflowPunct/>
        <w:topLinePunct w:val="0"/>
        <w:autoSpaceDE/>
        <w:autoSpaceDN/>
        <w:bidi w:val="0"/>
        <w:adjustRightInd/>
        <w:spacing w:line="360" w:lineRule="auto"/>
        <w:ind w:left="945" w:leftChars="450"/>
        <w:textAlignment w:val="auto"/>
        <w:rPr>
          <w:rFonts w:hint="eastAsia" w:ascii="宋体" w:hAnsi="宋体" w:eastAsia="宋体" w:cs="宋体"/>
          <w:color w:val="auto"/>
          <w:sz w:val="32"/>
          <w:szCs w:val="28"/>
        </w:rPr>
      </w:pPr>
      <w:r>
        <w:rPr>
          <w:rFonts w:hint="eastAsia" w:ascii="宋体" w:hAnsi="宋体" w:eastAsia="宋体" w:cs="宋体"/>
          <w:color w:val="auto"/>
          <w:sz w:val="32"/>
          <w:szCs w:val="28"/>
        </w:rPr>
        <w:t xml:space="preserve">第五章   </w:t>
      </w:r>
      <w:r>
        <w:rPr>
          <w:rFonts w:hint="eastAsia" w:ascii="宋体" w:hAnsi="宋体" w:eastAsia="宋体" w:cs="宋体"/>
          <w:color w:val="auto"/>
          <w:sz w:val="32"/>
          <w:szCs w:val="28"/>
          <w:lang w:val="en-US" w:eastAsia="zh-CN"/>
        </w:rPr>
        <w:t>响应</w:t>
      </w:r>
      <w:r>
        <w:rPr>
          <w:rFonts w:hint="eastAsia" w:ascii="宋体" w:hAnsi="宋体" w:eastAsia="宋体" w:cs="宋体"/>
          <w:color w:val="auto"/>
          <w:sz w:val="32"/>
          <w:szCs w:val="28"/>
        </w:rPr>
        <w:t>方案</w:t>
      </w:r>
    </w:p>
    <w:p w14:paraId="654603AF">
      <w:pPr>
        <w:pStyle w:val="29"/>
        <w:keepNext w:val="0"/>
        <w:keepLines w:val="0"/>
        <w:widowControl w:val="0"/>
        <w:kinsoku/>
        <w:wordWrap/>
        <w:overflowPunct/>
        <w:topLinePunct w:val="0"/>
        <w:autoSpaceDE/>
        <w:autoSpaceDN/>
        <w:bidi w:val="0"/>
        <w:adjustRightInd/>
        <w:spacing w:line="360" w:lineRule="auto"/>
        <w:ind w:left="945" w:leftChars="450"/>
        <w:textAlignment w:val="auto"/>
        <w:rPr>
          <w:rFonts w:hint="eastAsia" w:ascii="宋体" w:hAnsi="宋体" w:eastAsia="宋体" w:cs="宋体"/>
          <w:color w:val="auto"/>
          <w:sz w:val="32"/>
          <w:szCs w:val="28"/>
        </w:rPr>
      </w:pPr>
      <w:r>
        <w:rPr>
          <w:rFonts w:hint="eastAsia" w:ascii="宋体" w:hAnsi="宋体" w:eastAsia="宋体" w:cs="宋体"/>
          <w:color w:val="auto"/>
          <w:sz w:val="32"/>
          <w:szCs w:val="28"/>
        </w:rPr>
        <w:t>第</w:t>
      </w:r>
      <w:r>
        <w:rPr>
          <w:rFonts w:hint="eastAsia" w:ascii="宋体" w:hAnsi="宋体" w:eastAsia="宋体" w:cs="宋体"/>
          <w:color w:val="auto"/>
          <w:sz w:val="32"/>
          <w:szCs w:val="28"/>
          <w:lang w:eastAsia="zh-CN"/>
        </w:rPr>
        <w:t>六</w:t>
      </w:r>
      <w:r>
        <w:rPr>
          <w:rFonts w:hint="eastAsia" w:ascii="宋体" w:hAnsi="宋体" w:eastAsia="宋体" w:cs="宋体"/>
          <w:color w:val="auto"/>
          <w:sz w:val="32"/>
          <w:szCs w:val="28"/>
        </w:rPr>
        <w:t>章   投标人拒绝政府采购领域商业贿赂承诺书</w:t>
      </w:r>
    </w:p>
    <w:p w14:paraId="724B2511">
      <w:pPr>
        <w:keepNext w:val="0"/>
        <w:keepLines w:val="0"/>
        <w:pageBreakBefore w:val="0"/>
        <w:widowControl w:val="0"/>
        <w:kinsoku/>
        <w:wordWrap/>
        <w:overflowPunct/>
        <w:topLinePunct w:val="0"/>
        <w:autoSpaceDE/>
        <w:autoSpaceDN/>
        <w:bidi w:val="0"/>
        <w:adjustRightInd/>
        <w:snapToGrid/>
        <w:spacing w:line="600" w:lineRule="exact"/>
        <w:ind w:firstLine="1044" w:firstLineChars="290"/>
        <w:textAlignment w:val="auto"/>
        <w:rPr>
          <w:rFonts w:hint="eastAsia" w:ascii="宋体" w:hAnsi="宋体" w:eastAsia="宋体" w:cs="宋体"/>
          <w:b w:val="0"/>
          <w:bCs/>
          <w:color w:val="auto"/>
          <w:sz w:val="36"/>
          <w:szCs w:val="36"/>
        </w:rPr>
      </w:pPr>
    </w:p>
    <w:p w14:paraId="79E53D50">
      <w:pPr>
        <w:pStyle w:val="29"/>
        <w:spacing w:line="360" w:lineRule="auto"/>
        <w:ind w:left="1155" w:leftChars="550"/>
        <w:rPr>
          <w:rFonts w:hint="eastAsia" w:ascii="宋体" w:hAnsi="宋体" w:eastAsia="宋体" w:cs="宋体"/>
          <w:color w:val="auto"/>
          <w:sz w:val="32"/>
          <w:szCs w:val="28"/>
        </w:rPr>
      </w:pPr>
    </w:p>
    <w:p w14:paraId="717460CF">
      <w:pPr>
        <w:pStyle w:val="29"/>
        <w:spacing w:line="480" w:lineRule="auto"/>
        <w:ind w:left="945" w:leftChars="450"/>
        <w:rPr>
          <w:rFonts w:hint="eastAsia" w:ascii="宋体" w:hAnsi="宋体" w:eastAsia="宋体" w:cs="宋体"/>
          <w:color w:val="auto"/>
        </w:rPr>
      </w:pPr>
      <w:r>
        <w:rPr>
          <w:rFonts w:hint="eastAsia" w:ascii="宋体" w:hAnsi="宋体" w:eastAsia="宋体" w:cs="宋体"/>
          <w:color w:val="auto"/>
          <w:sz w:val="30"/>
          <w:szCs w:val="30"/>
        </w:rPr>
        <w:tab/>
      </w:r>
    </w:p>
    <w:p w14:paraId="7AB178C6">
      <w:pPr>
        <w:widowControl/>
        <w:jc w:val="left"/>
        <w:rPr>
          <w:rFonts w:hint="eastAsia" w:ascii="宋体" w:hAnsi="宋体" w:eastAsia="宋体" w:cs="宋体"/>
          <w:b/>
          <w:color w:val="auto"/>
          <w:sz w:val="32"/>
          <w:szCs w:val="32"/>
        </w:rPr>
      </w:pPr>
      <w:bookmarkStart w:id="179" w:name="_Toc25514"/>
      <w:bookmarkStart w:id="180" w:name="_Toc536202334"/>
      <w:bookmarkStart w:id="181" w:name="_Toc536202403"/>
      <w:bookmarkStart w:id="182" w:name="_Toc536429396"/>
      <w:bookmarkStart w:id="183" w:name="_Toc536429343"/>
      <w:r>
        <w:rPr>
          <w:rFonts w:hint="eastAsia" w:ascii="宋体" w:hAnsi="宋体" w:eastAsia="宋体" w:cs="宋体"/>
          <w:b/>
          <w:color w:val="auto"/>
          <w:sz w:val="32"/>
          <w:szCs w:val="32"/>
        </w:rPr>
        <w:br w:type="page"/>
      </w:r>
    </w:p>
    <w:p w14:paraId="3EAEE05E">
      <w:pPr>
        <w:autoSpaceDE w:val="0"/>
        <w:autoSpaceDN w:val="0"/>
        <w:adjustRightInd w:val="0"/>
        <w:snapToGrid w:val="0"/>
        <w:spacing w:line="600" w:lineRule="exact"/>
        <w:ind w:firstLine="3213" w:firstLineChars="1000"/>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 xml:space="preserve">第一章 </w:t>
      </w:r>
      <w:r>
        <w:rPr>
          <w:rFonts w:hint="eastAsia" w:ascii="宋体" w:hAnsi="宋体" w:eastAsia="宋体" w:cs="宋体"/>
          <w:b/>
          <w:color w:val="auto"/>
          <w:sz w:val="32"/>
          <w:szCs w:val="32"/>
        </w:rPr>
        <w:t>磋商响应函</w:t>
      </w:r>
    </w:p>
    <w:p w14:paraId="46BEF2D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兰天项目管理有限公司</w:t>
      </w:r>
      <w:r>
        <w:rPr>
          <w:rFonts w:hint="eastAsia" w:ascii="宋体" w:hAnsi="宋体" w:eastAsia="宋体" w:cs="宋体"/>
          <w:color w:val="auto"/>
          <w:sz w:val="24"/>
          <w:szCs w:val="24"/>
        </w:rPr>
        <w:t>：</w:t>
      </w:r>
    </w:p>
    <w:p w14:paraId="595DD7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我单位收到贵公司</w:t>
      </w:r>
      <w:r>
        <w:rPr>
          <w:rFonts w:hint="eastAsia" w:ascii="宋体" w:hAnsi="宋体" w:eastAsia="宋体" w:cs="宋体"/>
          <w:color w:val="auto"/>
          <w:sz w:val="24"/>
          <w:szCs w:val="24"/>
          <w:u w:val="single"/>
        </w:rPr>
        <w:t xml:space="preserve">  （项目名称） （项目编号）     </w:t>
      </w:r>
      <w:r>
        <w:rPr>
          <w:rFonts w:hint="eastAsia" w:ascii="宋体" w:hAnsi="宋体" w:eastAsia="宋体" w:cs="宋体"/>
          <w:color w:val="auto"/>
          <w:sz w:val="24"/>
          <w:szCs w:val="24"/>
        </w:rPr>
        <w:t>的竞争性磋商文件，经详细研究，我公司决定参加本次磋商活动。为此，我方郑重承诺以下诸点，并负法律责任。</w:t>
      </w:r>
    </w:p>
    <w:p w14:paraId="41C556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愿意按照竞争性磋商文件中的全部要求，提供合格的产品及完善的技术服务，履行合同的责任和义务。</w:t>
      </w:r>
    </w:p>
    <w:p w14:paraId="792BFB6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按照竞争性磋商文件的规定，我公司的响应总报价为：</w:t>
      </w:r>
    </w:p>
    <w:p w14:paraId="5337278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人民币（大写）：______________元；（小写）￥：______元；</w:t>
      </w:r>
    </w:p>
    <w:p w14:paraId="165BCE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我们已详细阅读了竞争性磋商文件，完全理解并同意放弃提出含糊不清和误解问题的权力。</w:t>
      </w:r>
    </w:p>
    <w:p w14:paraId="180D06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同意向贵方提供贵方可能要求的、与本次磋商有关的任何证据资料。</w:t>
      </w:r>
    </w:p>
    <w:p w14:paraId="56633D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我方承诺响应有效期为磋商后______日历日内有效。</w:t>
      </w:r>
    </w:p>
    <w:p w14:paraId="3CF087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所有关于本次磋商的函电，请按下列地址联系：</w:t>
      </w:r>
    </w:p>
    <w:p w14:paraId="0321B0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p>
    <w:p w14:paraId="06F0C6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（单位名称及公章）：__________</w:t>
      </w:r>
      <w:r>
        <w:rPr>
          <w:rFonts w:hint="eastAsia" w:ascii="宋体" w:hAnsi="宋体" w:eastAsia="宋体" w:cs="宋体"/>
          <w:color w:val="auto"/>
          <w:sz w:val="24"/>
          <w:szCs w:val="24"/>
          <w:u w:val="none"/>
        </w:rPr>
        <w:t>____________</w:t>
      </w:r>
      <w:r>
        <w:rPr>
          <w:rFonts w:hint="eastAsia" w:ascii="宋体" w:hAnsi="宋体" w:eastAsia="宋体" w:cs="宋体"/>
          <w:color w:val="auto"/>
          <w:sz w:val="24"/>
          <w:szCs w:val="24"/>
        </w:rPr>
        <w:t>____</w:t>
      </w:r>
    </w:p>
    <w:p w14:paraId="342A7B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w:t>
      </w:r>
      <w:r>
        <w:rPr>
          <w:rFonts w:hint="eastAsia" w:ascii="宋体" w:hAnsi="宋体" w:eastAsia="宋体" w:cs="宋体"/>
          <w:color w:val="auto"/>
          <w:spacing w:val="4"/>
          <w:sz w:val="24"/>
          <w:lang w:val="en-US" w:eastAsia="zh-CN"/>
        </w:rPr>
        <w:t>签字或盖章</w:t>
      </w:r>
      <w:r>
        <w:rPr>
          <w:rFonts w:hint="eastAsia" w:ascii="宋体" w:hAnsi="宋体" w:eastAsia="宋体" w:cs="宋体"/>
          <w:color w:val="auto"/>
          <w:sz w:val="24"/>
          <w:szCs w:val="24"/>
        </w:rPr>
        <w:t>）：_____________________</w:t>
      </w:r>
    </w:p>
    <w:p w14:paraId="31E132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址：___________________________________</w:t>
      </w:r>
    </w:p>
    <w:p w14:paraId="6A3A98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开户银行：___________________________________</w:t>
      </w:r>
    </w:p>
    <w:p w14:paraId="1BAA53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lang w:eastAsia="zh-CN"/>
        </w:rPr>
        <w:t>账</w:t>
      </w:r>
      <w:r>
        <w:rPr>
          <w:rFonts w:hint="eastAsia" w:ascii="宋体" w:hAnsi="宋体" w:eastAsia="宋体" w:cs="宋体"/>
          <w:color w:val="auto"/>
          <w:sz w:val="24"/>
          <w:szCs w:val="24"/>
        </w:rPr>
        <w:t xml:space="preserve">    号：___________________________________</w:t>
      </w:r>
    </w:p>
    <w:p w14:paraId="062070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电    话：___________________________________</w:t>
      </w:r>
    </w:p>
    <w:p w14:paraId="5CAD39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邮    编：___________________________________</w:t>
      </w:r>
    </w:p>
    <w:p w14:paraId="492157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sectPr>
          <w:pgSz w:w="11906" w:h="16838"/>
          <w:pgMar w:top="1361" w:right="1423" w:bottom="1361" w:left="1423" w:header="1134" w:footer="992" w:gutter="0"/>
          <w:pgNumType w:fmt="decimal"/>
          <w:cols w:space="0" w:num="1"/>
          <w:titlePg/>
          <w:rtlGutter w:val="0"/>
          <w:docGrid w:type="lines" w:linePitch="317" w:charSpace="0"/>
        </w:sectPr>
      </w:pPr>
      <w:r>
        <w:rPr>
          <w:rFonts w:hint="eastAsia" w:ascii="宋体" w:hAnsi="宋体" w:eastAsia="宋体" w:cs="宋体"/>
          <w:color w:val="auto"/>
          <w:sz w:val="24"/>
          <w:szCs w:val="24"/>
        </w:rPr>
        <w:t>日    期：_______年_______月_______日</w:t>
      </w:r>
    </w:p>
    <w:p w14:paraId="2553853C">
      <w:pPr>
        <w:autoSpaceDE w:val="0"/>
        <w:autoSpaceDN w:val="0"/>
        <w:adjustRightInd w:val="0"/>
        <w:snapToGrid w:val="0"/>
        <w:spacing w:line="360" w:lineRule="auto"/>
        <w:jc w:val="cente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第二章 响应报价表</w:t>
      </w:r>
    </w:p>
    <w:p w14:paraId="12050064">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7B217B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14:paraId="705F1660">
      <w:pPr>
        <w:pStyle w:val="5"/>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项目编号：</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none"/>
        </w:rPr>
        <w:t xml:space="preserve"> </w:t>
      </w:r>
      <w:r>
        <w:rPr>
          <w:rFonts w:hint="eastAsia" w:ascii="宋体" w:hAnsi="宋体" w:eastAsia="宋体" w:cs="宋体"/>
          <w:color w:val="auto"/>
          <w:sz w:val="28"/>
          <w:szCs w:val="28"/>
        </w:rPr>
        <w:t xml:space="preserve">      </w:t>
      </w:r>
    </w:p>
    <w:tbl>
      <w:tblPr>
        <w:tblStyle w:val="46"/>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9"/>
        <w:gridCol w:w="2953"/>
        <w:gridCol w:w="1978"/>
        <w:gridCol w:w="2038"/>
      </w:tblGrid>
      <w:tr w14:paraId="0F10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jc w:val="center"/>
        </w:trPr>
        <w:tc>
          <w:tcPr>
            <w:tcW w:w="2649" w:type="dxa"/>
            <w:tcBorders>
              <w:tl2br w:val="single" w:color="auto" w:sz="4" w:space="0"/>
            </w:tcBorders>
          </w:tcPr>
          <w:p w14:paraId="5FD982B9">
            <w:pPr>
              <w:keepNext w:val="0"/>
              <w:keepLines w:val="0"/>
              <w:suppressLineNumbers w:val="0"/>
              <w:kinsoku w:val="0"/>
              <w:spacing w:before="0" w:beforeAutospacing="0" w:after="0" w:afterAutospacing="0" w:line="500" w:lineRule="exact"/>
              <w:ind w:left="0" w:right="0"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报价内容</w:t>
            </w:r>
          </w:p>
          <w:p w14:paraId="49101C5E">
            <w:pPr>
              <w:keepNext w:val="0"/>
              <w:keepLines w:val="0"/>
              <w:suppressLineNumbers w:val="0"/>
              <w:kinsoku w:val="0"/>
              <w:spacing w:before="0" w:beforeAutospacing="0" w:after="0" w:afterAutospacing="0" w:line="500" w:lineRule="exact"/>
              <w:ind w:left="0" w:right="0"/>
              <w:rPr>
                <w:rFonts w:hint="eastAsia" w:ascii="宋体" w:hAnsi="宋体" w:eastAsia="宋体" w:cs="宋体"/>
                <w:color w:val="auto"/>
                <w:sz w:val="24"/>
                <w:szCs w:val="24"/>
              </w:rPr>
            </w:pPr>
          </w:p>
          <w:p w14:paraId="4650C44B">
            <w:pPr>
              <w:keepNext w:val="0"/>
              <w:keepLines w:val="0"/>
              <w:suppressLineNumbers w:val="0"/>
              <w:kinsoku w:val="0"/>
              <w:spacing w:before="0" w:beforeAutospacing="0" w:after="0" w:afterAutospacing="0" w:line="500" w:lineRule="exact"/>
              <w:ind w:left="0" w:right="0"/>
              <w:rPr>
                <w:rFonts w:hint="eastAsia" w:ascii="宋体" w:hAnsi="宋体" w:eastAsia="宋体" w:cs="宋体"/>
                <w:color w:val="auto"/>
                <w:sz w:val="24"/>
                <w:szCs w:val="24"/>
              </w:rPr>
            </w:pPr>
          </w:p>
          <w:p w14:paraId="6A471A55">
            <w:pPr>
              <w:keepNext w:val="0"/>
              <w:keepLines w:val="0"/>
              <w:suppressLineNumbers w:val="0"/>
              <w:kinsoku w:val="0"/>
              <w:spacing w:before="0" w:beforeAutospacing="0" w:after="0" w:afterAutospacing="0" w:line="500" w:lineRule="exact"/>
              <w:ind w:left="0" w:right="0"/>
              <w:rPr>
                <w:rFonts w:hint="eastAsia" w:ascii="宋体" w:hAnsi="宋体" w:eastAsia="宋体" w:cs="宋体"/>
                <w:color w:val="auto"/>
                <w:sz w:val="24"/>
                <w:szCs w:val="24"/>
              </w:rPr>
            </w:pPr>
          </w:p>
          <w:p w14:paraId="1D4E96BF">
            <w:pPr>
              <w:keepNext w:val="0"/>
              <w:keepLines w:val="0"/>
              <w:suppressLineNumbers w:val="0"/>
              <w:kinsoku w:val="0"/>
              <w:spacing w:before="0" w:beforeAutospacing="0" w:after="0" w:afterAutospacing="0" w:line="5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投标内容</w:t>
            </w:r>
          </w:p>
        </w:tc>
        <w:tc>
          <w:tcPr>
            <w:tcW w:w="2953" w:type="dxa"/>
            <w:vAlign w:val="center"/>
          </w:tcPr>
          <w:p w14:paraId="38121F51">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lang w:val="en-US" w:eastAsia="zh-CN"/>
              </w:rPr>
              <w:t>总</w:t>
            </w:r>
            <w:r>
              <w:rPr>
                <w:rFonts w:hint="eastAsia" w:ascii="宋体" w:hAnsi="宋体" w:eastAsia="宋体" w:cs="宋体"/>
                <w:color w:val="auto"/>
                <w:sz w:val="24"/>
                <w:szCs w:val="24"/>
                <w:lang w:eastAsia="zh-CN"/>
              </w:rPr>
              <w:t>报价</w:t>
            </w:r>
          </w:p>
          <w:p w14:paraId="2C48F274">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eastAsia="宋体" w:cs="宋体"/>
                <w:color w:val="auto"/>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eastAsia="zh-CN"/>
              </w:rPr>
              <w:t>）</w:t>
            </w:r>
          </w:p>
        </w:tc>
        <w:tc>
          <w:tcPr>
            <w:tcW w:w="1978" w:type="dxa"/>
            <w:vAlign w:val="center"/>
          </w:tcPr>
          <w:p w14:paraId="36C4BD6E">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eastAsia="宋体" w:cs="宋体"/>
                <w:color w:val="auto"/>
                <w:sz w:val="24"/>
                <w:szCs w:val="24"/>
              </w:rPr>
            </w:pPr>
            <w:r>
              <w:rPr>
                <w:rFonts w:hint="eastAsia" w:ascii="宋体" w:hAnsi="宋体" w:eastAsia="宋体" w:cs="宋体"/>
                <w:bCs/>
                <w:sz w:val="24"/>
                <w:szCs w:val="24"/>
              </w:rPr>
              <w:t>服务期限</w:t>
            </w:r>
          </w:p>
        </w:tc>
        <w:tc>
          <w:tcPr>
            <w:tcW w:w="2038" w:type="dxa"/>
            <w:vAlign w:val="center"/>
          </w:tcPr>
          <w:p w14:paraId="2D3C6023">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auto"/>
                <w:sz w:val="24"/>
                <w:szCs w:val="24"/>
                <w:lang w:val="en-US" w:eastAsia="zh-CN"/>
              </w:rPr>
            </w:pPr>
            <w:r>
              <w:rPr>
                <w:rFonts w:hint="eastAsia" w:ascii="宋体" w:hAnsi="宋体" w:eastAsia="宋体" w:cs="宋体"/>
                <w:bCs/>
                <w:sz w:val="24"/>
                <w:szCs w:val="24"/>
                <w:lang w:val="en-US" w:eastAsia="zh-CN"/>
              </w:rPr>
              <w:t>备注</w:t>
            </w:r>
          </w:p>
        </w:tc>
      </w:tr>
      <w:tr w14:paraId="2AD8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2649" w:type="dxa"/>
            <w:vAlign w:val="center"/>
          </w:tcPr>
          <w:p w14:paraId="4475D8B1">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“一湖两岸”城文旅融合发展专项规划编制采购项目</w:t>
            </w:r>
          </w:p>
        </w:tc>
        <w:tc>
          <w:tcPr>
            <w:tcW w:w="2953" w:type="dxa"/>
            <w:vAlign w:val="center"/>
          </w:tcPr>
          <w:p w14:paraId="3476378D">
            <w:pPr>
              <w:keepNext w:val="0"/>
              <w:keepLines w:val="0"/>
              <w:suppressLineNumbers w:val="0"/>
              <w:spacing w:before="0" w:beforeAutospacing="0" w:after="0" w:afterAutospacing="0"/>
              <w:ind w:left="0" w:right="0"/>
              <w:jc w:val="left"/>
              <w:rPr>
                <w:rFonts w:hint="eastAsia" w:ascii="宋体" w:hAnsi="宋体" w:eastAsia="宋体" w:cs="宋体"/>
                <w:bCs/>
                <w:sz w:val="24"/>
                <w:szCs w:val="24"/>
              </w:rPr>
            </w:pPr>
            <w:r>
              <w:rPr>
                <w:rFonts w:hint="eastAsia" w:ascii="宋体" w:hAnsi="宋体" w:eastAsia="宋体" w:cs="宋体"/>
                <w:bCs/>
                <w:sz w:val="24"/>
                <w:szCs w:val="24"/>
              </w:rPr>
              <w:t>小写：</w:t>
            </w:r>
          </w:p>
          <w:p w14:paraId="363DEAAC">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rPr>
            </w:pPr>
          </w:p>
          <w:p w14:paraId="064F8876">
            <w:pPr>
              <w:keepNext w:val="0"/>
              <w:keepLines w:val="0"/>
              <w:suppressLineNumbers w:val="0"/>
              <w:kinsoku w:val="0"/>
              <w:spacing w:before="0" w:beforeAutospacing="0" w:after="0" w:afterAutospacing="0" w:line="500" w:lineRule="exact"/>
              <w:ind w:left="0" w:right="0"/>
              <w:rPr>
                <w:rFonts w:hint="eastAsia" w:ascii="宋体" w:hAnsi="宋体" w:eastAsia="宋体" w:cs="宋体"/>
                <w:color w:val="auto"/>
                <w:sz w:val="24"/>
                <w:szCs w:val="24"/>
              </w:rPr>
            </w:pPr>
            <w:r>
              <w:rPr>
                <w:rFonts w:hint="eastAsia" w:ascii="宋体" w:hAnsi="宋体" w:eastAsia="宋体" w:cs="宋体"/>
                <w:bCs/>
                <w:sz w:val="24"/>
                <w:szCs w:val="24"/>
              </w:rPr>
              <w:t>大写：</w:t>
            </w:r>
          </w:p>
        </w:tc>
        <w:tc>
          <w:tcPr>
            <w:tcW w:w="1978" w:type="dxa"/>
            <w:vAlign w:val="center"/>
          </w:tcPr>
          <w:p w14:paraId="1EBDC65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auto"/>
                <w:sz w:val="24"/>
                <w:szCs w:val="24"/>
                <w:lang w:val="en-US" w:eastAsia="zh-CN"/>
              </w:rPr>
            </w:pPr>
          </w:p>
        </w:tc>
        <w:tc>
          <w:tcPr>
            <w:tcW w:w="2038" w:type="dxa"/>
            <w:vAlign w:val="center"/>
          </w:tcPr>
          <w:p w14:paraId="291CD069">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auto"/>
                <w:sz w:val="24"/>
                <w:szCs w:val="24"/>
              </w:rPr>
            </w:pPr>
          </w:p>
        </w:tc>
      </w:tr>
    </w:tbl>
    <w:p w14:paraId="69BBF742">
      <w:pPr>
        <w:spacing w:line="360" w:lineRule="auto"/>
        <w:rPr>
          <w:rFonts w:hint="eastAsia" w:ascii="宋体" w:hAnsi="宋体" w:eastAsia="宋体" w:cs="宋体"/>
          <w:sz w:val="24"/>
          <w:szCs w:val="24"/>
        </w:rPr>
      </w:pPr>
      <w:r>
        <w:rPr>
          <w:rFonts w:hint="eastAsia" w:ascii="宋体" w:hAnsi="宋体" w:eastAsia="宋体" w:cs="宋体"/>
          <w:b/>
          <w:sz w:val="24"/>
          <w:szCs w:val="24"/>
        </w:rPr>
        <w:t>注：报价精确到小数点后两位。</w:t>
      </w:r>
    </w:p>
    <w:p w14:paraId="21D71B8D">
      <w:pPr>
        <w:spacing w:line="360" w:lineRule="auto"/>
        <w:jc w:val="left"/>
        <w:rPr>
          <w:rFonts w:hint="eastAsia" w:ascii="宋体" w:hAnsi="宋体" w:eastAsia="宋体" w:cs="宋体"/>
          <w:color w:val="auto"/>
          <w:sz w:val="24"/>
          <w:szCs w:val="24"/>
        </w:rPr>
      </w:pPr>
    </w:p>
    <w:p w14:paraId="2186DEF9">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备注：</w:t>
      </w:r>
    </w:p>
    <w:p w14:paraId="6347F4BE">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投标人所报的价格应考虑到可能发生的所有与完成本项目相关服务及履行合同义务有关的一切费用。</w:t>
      </w:r>
    </w:p>
    <w:p w14:paraId="676E2733">
      <w:pPr>
        <w:kinsoku w:val="0"/>
        <w:spacing w:line="360" w:lineRule="auto"/>
        <w:jc w:val="left"/>
        <w:rPr>
          <w:rFonts w:hint="eastAsia" w:ascii="宋体" w:hAnsi="宋体" w:eastAsia="宋体" w:cs="宋体"/>
          <w:color w:val="auto"/>
          <w:sz w:val="24"/>
          <w:szCs w:val="24"/>
        </w:rPr>
      </w:pPr>
    </w:p>
    <w:p w14:paraId="2A2E811E">
      <w:pPr>
        <w:adjustRightInd w:val="0"/>
        <w:snapToGrid w:val="0"/>
        <w:spacing w:line="480" w:lineRule="auto"/>
        <w:jc w:val="left"/>
        <w:rPr>
          <w:rFonts w:hint="eastAsia" w:ascii="宋体" w:hAnsi="宋体" w:eastAsia="宋体" w:cs="宋体"/>
          <w:color w:val="auto"/>
          <w:lang w:val="en-US" w:eastAsia="zh-CN"/>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（单位名称及公章）：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1FEF4C6E">
      <w:pPr>
        <w:adjustRightInd w:val="0"/>
        <w:snapToGrid w:val="0"/>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w:t>
      </w:r>
      <w:r>
        <w:rPr>
          <w:rFonts w:hint="eastAsia" w:ascii="宋体" w:hAnsi="宋体" w:eastAsia="宋体" w:cs="宋体"/>
          <w:color w:val="auto"/>
          <w:spacing w:val="4"/>
          <w:sz w:val="24"/>
          <w:lang w:val="en-US" w:eastAsia="zh-CN"/>
        </w:rPr>
        <w:t>签字或盖章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p>
    <w:p w14:paraId="6BB9854E">
      <w:pPr>
        <w:adjustRightInd w:val="0"/>
        <w:snapToGrid w:val="0"/>
        <w:spacing w:line="480" w:lineRule="auto"/>
        <w:rPr>
          <w:rFonts w:hint="eastAsia" w:ascii="宋体" w:hAnsi="宋体" w:eastAsia="宋体" w:cs="宋体"/>
          <w:color w:val="auto"/>
          <w:sz w:val="24"/>
          <w:szCs w:val="24"/>
        </w:rPr>
        <w:sectPr>
          <w:pgSz w:w="11906" w:h="16838"/>
          <w:pgMar w:top="1361" w:right="1423" w:bottom="1361" w:left="1423" w:header="1134" w:footer="992" w:gutter="0"/>
          <w:pgNumType w:fmt="decimal"/>
          <w:cols w:space="0" w:num="1"/>
          <w:titlePg/>
          <w:rtlGutter w:val="0"/>
          <w:docGrid w:type="lines" w:linePitch="317" w:charSpace="0"/>
        </w:sect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lang w:val="en-US" w:eastAsia="zh-CN"/>
        </w:rPr>
        <w:t xml:space="preserve">                   </w:t>
      </w:r>
    </w:p>
    <w:p w14:paraId="28A61259">
      <w:pPr>
        <w:pStyle w:val="7"/>
        <w:jc w:val="center"/>
        <w:rPr>
          <w:rFonts w:hint="eastAsia" w:ascii="宋体" w:hAnsi="宋体" w:eastAsia="宋体" w:cs="宋体"/>
          <w:color w:val="auto"/>
          <w:sz w:val="32"/>
          <w:szCs w:val="32"/>
        </w:rPr>
      </w:pPr>
      <w:r>
        <w:rPr>
          <w:rFonts w:hint="eastAsia" w:ascii="宋体" w:hAnsi="宋体" w:eastAsia="宋体" w:cs="宋体"/>
          <w:color w:val="auto"/>
          <w:sz w:val="32"/>
          <w:szCs w:val="32"/>
        </w:rPr>
        <w:t>投标分项报价表</w:t>
      </w:r>
    </w:p>
    <w:p w14:paraId="773E9DEE">
      <w:pPr>
        <w:tabs>
          <w:tab w:val="right" w:pos="8435"/>
        </w:tabs>
        <w:ind w:firstLine="280" w:firstLineChars="1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投标人</w:t>
      </w:r>
      <w:r>
        <w:rPr>
          <w:rFonts w:hint="eastAsia" w:ascii="宋体" w:hAnsi="宋体" w:eastAsia="宋体" w:cs="宋体"/>
          <w:color w:val="auto"/>
          <w:sz w:val="28"/>
          <w:szCs w:val="28"/>
        </w:rPr>
        <w:t>名称：</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金额单位：人民币 （元）</w:t>
      </w:r>
      <w:r>
        <w:rPr>
          <w:rFonts w:hint="eastAsia" w:ascii="宋体" w:hAnsi="宋体" w:eastAsia="宋体" w:cs="宋体"/>
          <w:color w:val="auto"/>
          <w:sz w:val="28"/>
          <w:szCs w:val="28"/>
          <w:lang w:val="en-US" w:eastAsia="zh-CN"/>
        </w:rPr>
        <w:t xml:space="preserve"> </w:t>
      </w:r>
    </w:p>
    <w:tbl>
      <w:tblPr>
        <w:tblStyle w:val="46"/>
        <w:tblW w:w="4996"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496"/>
        <w:gridCol w:w="1540"/>
        <w:gridCol w:w="1077"/>
        <w:gridCol w:w="914"/>
        <w:gridCol w:w="862"/>
        <w:gridCol w:w="1155"/>
        <w:gridCol w:w="1647"/>
        <w:gridCol w:w="1578"/>
      </w:tblGrid>
      <w:tr w14:paraId="573DE7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267" w:type="pct"/>
            <w:vAlign w:val="center"/>
          </w:tcPr>
          <w:p w14:paraId="5D679A0F">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831" w:type="pct"/>
            <w:vAlign w:val="center"/>
          </w:tcPr>
          <w:p w14:paraId="25FCFEFA">
            <w:pPr>
              <w:keepNext w:val="0"/>
              <w:keepLines w:val="0"/>
              <w:widowControl/>
              <w:suppressLineNumbers w:val="0"/>
              <w:topLinePunct/>
              <w:snapToGrid w:val="0"/>
              <w:spacing w:before="0" w:beforeAutospacing="0" w:after="0" w:afterAutospacing="0"/>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rPr>
              <w:t>分项名称</w:t>
            </w:r>
          </w:p>
        </w:tc>
        <w:tc>
          <w:tcPr>
            <w:tcW w:w="581" w:type="pct"/>
            <w:vAlign w:val="center"/>
          </w:tcPr>
          <w:p w14:paraId="44145081">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rPr>
              <w:t>数量</w:t>
            </w:r>
          </w:p>
        </w:tc>
        <w:tc>
          <w:tcPr>
            <w:tcW w:w="493" w:type="pct"/>
            <w:vAlign w:val="center"/>
          </w:tcPr>
          <w:p w14:paraId="1550E1A9">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单位</w:t>
            </w:r>
          </w:p>
        </w:tc>
        <w:tc>
          <w:tcPr>
            <w:tcW w:w="463" w:type="pct"/>
            <w:vAlign w:val="center"/>
          </w:tcPr>
          <w:p w14:paraId="47749B14">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rPr>
              <w:t>单价</w:t>
            </w:r>
          </w:p>
        </w:tc>
        <w:tc>
          <w:tcPr>
            <w:tcW w:w="623" w:type="pct"/>
            <w:vAlign w:val="center"/>
          </w:tcPr>
          <w:p w14:paraId="08AE6991">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rPr>
              <w:t>总价</w:t>
            </w:r>
          </w:p>
        </w:tc>
        <w:tc>
          <w:tcPr>
            <w:tcW w:w="888" w:type="pct"/>
            <w:vAlign w:val="center"/>
          </w:tcPr>
          <w:p w14:paraId="6285F4B6">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小计</w:t>
            </w:r>
          </w:p>
        </w:tc>
        <w:tc>
          <w:tcPr>
            <w:tcW w:w="851" w:type="pct"/>
            <w:vAlign w:val="center"/>
          </w:tcPr>
          <w:p w14:paraId="40BAB501">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备注</w:t>
            </w:r>
          </w:p>
        </w:tc>
      </w:tr>
      <w:tr w14:paraId="6961E4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267" w:type="pct"/>
            <w:vAlign w:val="center"/>
          </w:tcPr>
          <w:p w14:paraId="46ACAD50">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831" w:type="pct"/>
            <w:vAlign w:val="center"/>
          </w:tcPr>
          <w:p w14:paraId="751A69D6">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color w:val="auto"/>
                <w:kern w:val="2"/>
                <w:sz w:val="28"/>
                <w:szCs w:val="28"/>
                <w:lang w:val="en-US" w:eastAsia="zh-CN" w:bidi="ar-SA"/>
              </w:rPr>
            </w:pPr>
          </w:p>
        </w:tc>
        <w:tc>
          <w:tcPr>
            <w:tcW w:w="581" w:type="pct"/>
            <w:vAlign w:val="center"/>
          </w:tcPr>
          <w:p w14:paraId="2D35C40A">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493" w:type="pct"/>
            <w:vAlign w:val="center"/>
          </w:tcPr>
          <w:p w14:paraId="7B0059F4">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463" w:type="pct"/>
            <w:vAlign w:val="center"/>
          </w:tcPr>
          <w:p w14:paraId="4A06134B">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623" w:type="pct"/>
            <w:vAlign w:val="center"/>
          </w:tcPr>
          <w:p w14:paraId="1DFC3419">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888" w:type="pct"/>
            <w:vAlign w:val="center"/>
          </w:tcPr>
          <w:p w14:paraId="0E5C0778">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851" w:type="pct"/>
            <w:vAlign w:val="center"/>
          </w:tcPr>
          <w:p w14:paraId="6766EABD">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r>
      <w:tr w14:paraId="7B7EC4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267" w:type="pct"/>
            <w:vAlign w:val="center"/>
          </w:tcPr>
          <w:p w14:paraId="48CDFB08">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p>
        </w:tc>
        <w:tc>
          <w:tcPr>
            <w:tcW w:w="831" w:type="pct"/>
            <w:vAlign w:val="center"/>
          </w:tcPr>
          <w:p w14:paraId="71E60CF4">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color w:val="auto"/>
                <w:kern w:val="2"/>
                <w:sz w:val="28"/>
                <w:szCs w:val="28"/>
                <w:lang w:val="en-US" w:eastAsia="zh-CN" w:bidi="ar-SA"/>
              </w:rPr>
            </w:pPr>
          </w:p>
        </w:tc>
        <w:tc>
          <w:tcPr>
            <w:tcW w:w="581" w:type="pct"/>
            <w:vAlign w:val="center"/>
          </w:tcPr>
          <w:p w14:paraId="2112CCD1">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493" w:type="pct"/>
            <w:vAlign w:val="center"/>
          </w:tcPr>
          <w:p w14:paraId="46BD55E8">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463" w:type="pct"/>
            <w:vAlign w:val="center"/>
          </w:tcPr>
          <w:p w14:paraId="6B4DB190">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623" w:type="pct"/>
            <w:vAlign w:val="center"/>
          </w:tcPr>
          <w:p w14:paraId="709EEEF2">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888" w:type="pct"/>
            <w:vAlign w:val="center"/>
          </w:tcPr>
          <w:p w14:paraId="2369C6BE">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851" w:type="pct"/>
            <w:vAlign w:val="center"/>
          </w:tcPr>
          <w:p w14:paraId="2D5233A2">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r>
      <w:tr w14:paraId="35B102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267" w:type="pct"/>
            <w:vAlign w:val="center"/>
          </w:tcPr>
          <w:p w14:paraId="53191E25">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w:t>
            </w:r>
          </w:p>
        </w:tc>
        <w:tc>
          <w:tcPr>
            <w:tcW w:w="831" w:type="pct"/>
            <w:vAlign w:val="center"/>
          </w:tcPr>
          <w:p w14:paraId="606EABE1">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color w:val="auto"/>
                <w:kern w:val="2"/>
                <w:sz w:val="28"/>
                <w:szCs w:val="28"/>
                <w:lang w:val="en-US" w:eastAsia="zh-CN" w:bidi="ar-SA"/>
              </w:rPr>
            </w:pPr>
          </w:p>
        </w:tc>
        <w:tc>
          <w:tcPr>
            <w:tcW w:w="581" w:type="pct"/>
            <w:vAlign w:val="center"/>
          </w:tcPr>
          <w:p w14:paraId="6071A91B">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493" w:type="pct"/>
            <w:vAlign w:val="center"/>
          </w:tcPr>
          <w:p w14:paraId="7E45EE05">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463" w:type="pct"/>
            <w:vAlign w:val="center"/>
          </w:tcPr>
          <w:p w14:paraId="77E21E68">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623" w:type="pct"/>
            <w:vAlign w:val="center"/>
          </w:tcPr>
          <w:p w14:paraId="1AF8C1BC">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888" w:type="pct"/>
            <w:vAlign w:val="center"/>
          </w:tcPr>
          <w:p w14:paraId="1F3E08B4">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851" w:type="pct"/>
            <w:vAlign w:val="center"/>
          </w:tcPr>
          <w:p w14:paraId="727FBCAE">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r>
      <w:tr w14:paraId="3E7A7B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267" w:type="pct"/>
            <w:vAlign w:val="center"/>
          </w:tcPr>
          <w:p w14:paraId="1C308697">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p>
        </w:tc>
        <w:tc>
          <w:tcPr>
            <w:tcW w:w="831" w:type="pct"/>
            <w:vAlign w:val="center"/>
          </w:tcPr>
          <w:p w14:paraId="486B975E">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color w:val="auto"/>
                <w:kern w:val="2"/>
                <w:sz w:val="28"/>
                <w:szCs w:val="28"/>
                <w:lang w:val="en-US" w:eastAsia="zh-CN" w:bidi="ar-SA"/>
              </w:rPr>
            </w:pPr>
          </w:p>
        </w:tc>
        <w:tc>
          <w:tcPr>
            <w:tcW w:w="581" w:type="pct"/>
            <w:vAlign w:val="center"/>
          </w:tcPr>
          <w:p w14:paraId="6A27B131">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493" w:type="pct"/>
            <w:vAlign w:val="center"/>
          </w:tcPr>
          <w:p w14:paraId="36C8EC9E">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463" w:type="pct"/>
            <w:vAlign w:val="center"/>
          </w:tcPr>
          <w:p w14:paraId="4A73105B">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623" w:type="pct"/>
            <w:vAlign w:val="center"/>
          </w:tcPr>
          <w:p w14:paraId="6B6CCEFA">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888" w:type="pct"/>
            <w:vAlign w:val="center"/>
          </w:tcPr>
          <w:p w14:paraId="3F35C3BB">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851" w:type="pct"/>
            <w:vAlign w:val="center"/>
          </w:tcPr>
          <w:p w14:paraId="42835B12">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r>
      <w:tr w14:paraId="79CE4E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267" w:type="pct"/>
            <w:vAlign w:val="center"/>
          </w:tcPr>
          <w:p w14:paraId="77A95FA3">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w:t>
            </w:r>
          </w:p>
        </w:tc>
        <w:tc>
          <w:tcPr>
            <w:tcW w:w="831" w:type="pct"/>
            <w:vAlign w:val="center"/>
          </w:tcPr>
          <w:p w14:paraId="6605EC28">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color w:val="auto"/>
                <w:kern w:val="2"/>
                <w:sz w:val="28"/>
                <w:szCs w:val="28"/>
                <w:lang w:val="en-US" w:eastAsia="zh-CN" w:bidi="ar-SA"/>
              </w:rPr>
            </w:pPr>
          </w:p>
        </w:tc>
        <w:tc>
          <w:tcPr>
            <w:tcW w:w="581" w:type="pct"/>
            <w:vAlign w:val="center"/>
          </w:tcPr>
          <w:p w14:paraId="6BAECA70">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493" w:type="pct"/>
            <w:vAlign w:val="center"/>
          </w:tcPr>
          <w:p w14:paraId="5C3A6C88">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463" w:type="pct"/>
            <w:vAlign w:val="center"/>
          </w:tcPr>
          <w:p w14:paraId="79EF2857">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623" w:type="pct"/>
            <w:vAlign w:val="center"/>
          </w:tcPr>
          <w:p w14:paraId="54A61315">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888" w:type="pct"/>
            <w:vAlign w:val="center"/>
          </w:tcPr>
          <w:p w14:paraId="112B6C8E">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851" w:type="pct"/>
            <w:vAlign w:val="center"/>
          </w:tcPr>
          <w:p w14:paraId="3344EA59">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r>
      <w:tr w14:paraId="0F692C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267" w:type="pct"/>
            <w:vAlign w:val="center"/>
          </w:tcPr>
          <w:p w14:paraId="48F0F6EC">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p>
        </w:tc>
        <w:tc>
          <w:tcPr>
            <w:tcW w:w="831" w:type="pct"/>
            <w:vAlign w:val="center"/>
          </w:tcPr>
          <w:p w14:paraId="0BF85B98">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color w:val="auto"/>
                <w:kern w:val="2"/>
                <w:sz w:val="28"/>
                <w:szCs w:val="28"/>
                <w:lang w:val="en-US" w:eastAsia="zh-CN" w:bidi="ar-SA"/>
              </w:rPr>
            </w:pPr>
          </w:p>
        </w:tc>
        <w:tc>
          <w:tcPr>
            <w:tcW w:w="581" w:type="pct"/>
            <w:vAlign w:val="center"/>
          </w:tcPr>
          <w:p w14:paraId="3B200B5D">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493" w:type="pct"/>
            <w:vAlign w:val="center"/>
          </w:tcPr>
          <w:p w14:paraId="4E487280">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463" w:type="pct"/>
            <w:vAlign w:val="center"/>
          </w:tcPr>
          <w:p w14:paraId="351EC7BF">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623" w:type="pct"/>
            <w:vAlign w:val="center"/>
          </w:tcPr>
          <w:p w14:paraId="518016D8">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888" w:type="pct"/>
            <w:vAlign w:val="center"/>
          </w:tcPr>
          <w:p w14:paraId="304F9DB3">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851" w:type="pct"/>
            <w:vAlign w:val="center"/>
          </w:tcPr>
          <w:p w14:paraId="73D3D3C8">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r>
      <w:tr w14:paraId="197C5F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267" w:type="pct"/>
            <w:vAlign w:val="center"/>
          </w:tcPr>
          <w:p w14:paraId="2D53B442">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831" w:type="pct"/>
            <w:vAlign w:val="center"/>
          </w:tcPr>
          <w:p w14:paraId="712DE4F7">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581" w:type="pct"/>
            <w:vAlign w:val="center"/>
          </w:tcPr>
          <w:p w14:paraId="13176E71">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493" w:type="pct"/>
            <w:vAlign w:val="center"/>
          </w:tcPr>
          <w:p w14:paraId="32B71A74">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463" w:type="pct"/>
            <w:vAlign w:val="center"/>
          </w:tcPr>
          <w:p w14:paraId="54C39F68">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623" w:type="pct"/>
            <w:vAlign w:val="center"/>
          </w:tcPr>
          <w:p w14:paraId="0E6B170B">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888" w:type="pct"/>
            <w:vAlign w:val="center"/>
          </w:tcPr>
          <w:p w14:paraId="3037D9E3">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851" w:type="pct"/>
            <w:vAlign w:val="center"/>
          </w:tcPr>
          <w:p w14:paraId="7DE6FB00">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r>
      <w:tr w14:paraId="3597C0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4" w:hRule="atLeast"/>
        </w:trPr>
        <w:tc>
          <w:tcPr>
            <w:tcW w:w="2637" w:type="pct"/>
            <w:gridSpan w:val="5"/>
            <w:vAlign w:val="center"/>
          </w:tcPr>
          <w:p w14:paraId="2412268F">
            <w:pPr>
              <w:keepNext w:val="0"/>
              <w:keepLines w:val="0"/>
              <w:suppressLineNumbers w:val="0"/>
              <w:spacing w:before="0" w:beforeAutospacing="0" w:after="0" w:afterAutospacing="0"/>
              <w:ind w:left="0" w:right="0"/>
              <w:rPr>
                <w:rFonts w:hint="eastAsia" w:ascii="宋体" w:hAnsi="宋体" w:eastAsia="宋体" w:cs="宋体"/>
                <w:color w:val="auto"/>
                <w:sz w:val="28"/>
                <w:szCs w:val="28"/>
              </w:rPr>
            </w:pPr>
            <w:r>
              <w:rPr>
                <w:rFonts w:hint="eastAsia" w:ascii="宋体" w:hAnsi="宋体" w:eastAsia="宋体" w:cs="宋体"/>
                <w:color w:val="auto"/>
                <w:sz w:val="28"/>
                <w:szCs w:val="28"/>
              </w:rPr>
              <w:t>总计（大写）：</w:t>
            </w:r>
          </w:p>
        </w:tc>
        <w:tc>
          <w:tcPr>
            <w:tcW w:w="623" w:type="pct"/>
            <w:vAlign w:val="center"/>
          </w:tcPr>
          <w:p w14:paraId="7AF55FE6">
            <w:pPr>
              <w:keepNext w:val="0"/>
              <w:keepLines w:val="0"/>
              <w:suppressLineNumbers w:val="0"/>
              <w:spacing w:before="0" w:beforeAutospacing="0" w:after="0" w:afterAutospacing="0"/>
              <w:ind w:left="0" w:right="0"/>
              <w:rPr>
                <w:rFonts w:hint="eastAsia" w:ascii="宋体" w:hAnsi="宋体" w:eastAsia="宋体" w:cs="宋体"/>
                <w:color w:val="auto"/>
                <w:sz w:val="28"/>
                <w:szCs w:val="28"/>
              </w:rPr>
            </w:pPr>
          </w:p>
        </w:tc>
        <w:tc>
          <w:tcPr>
            <w:tcW w:w="888" w:type="pct"/>
            <w:vAlign w:val="center"/>
          </w:tcPr>
          <w:p w14:paraId="7A0B7683">
            <w:pPr>
              <w:keepNext w:val="0"/>
              <w:keepLines w:val="0"/>
              <w:suppressLineNumbers w:val="0"/>
              <w:spacing w:before="0" w:beforeAutospacing="0" w:after="0" w:afterAutospacing="0"/>
              <w:ind w:left="0" w:right="0"/>
              <w:rPr>
                <w:rFonts w:hint="eastAsia" w:ascii="宋体" w:hAnsi="宋体" w:eastAsia="宋体" w:cs="宋体"/>
                <w:color w:val="auto"/>
                <w:sz w:val="28"/>
                <w:szCs w:val="28"/>
              </w:rPr>
            </w:pPr>
            <w:r>
              <w:rPr>
                <w:rFonts w:hint="eastAsia" w:ascii="宋体" w:hAnsi="宋体" w:eastAsia="宋体" w:cs="宋体"/>
                <w:color w:val="auto"/>
                <w:sz w:val="28"/>
                <w:szCs w:val="28"/>
              </w:rPr>
              <w:t>小写：</w:t>
            </w:r>
          </w:p>
        </w:tc>
        <w:tc>
          <w:tcPr>
            <w:tcW w:w="851" w:type="pct"/>
            <w:vAlign w:val="center"/>
          </w:tcPr>
          <w:p w14:paraId="34698083">
            <w:pPr>
              <w:keepNext w:val="0"/>
              <w:keepLines w:val="0"/>
              <w:suppressLineNumbers w:val="0"/>
              <w:spacing w:before="0" w:beforeAutospacing="0" w:after="0" w:afterAutospacing="0"/>
              <w:ind w:left="0" w:right="0"/>
              <w:rPr>
                <w:rFonts w:hint="eastAsia" w:ascii="宋体" w:hAnsi="宋体" w:eastAsia="宋体" w:cs="宋体"/>
                <w:color w:val="auto"/>
                <w:sz w:val="28"/>
                <w:szCs w:val="28"/>
              </w:rPr>
            </w:pPr>
          </w:p>
        </w:tc>
      </w:tr>
    </w:tbl>
    <w:p w14:paraId="4E461EA6">
      <w:pPr>
        <w:widowControl/>
        <w:jc w:val="left"/>
        <w:rPr>
          <w:rFonts w:hint="eastAsia" w:ascii="宋体" w:hAnsi="宋体" w:eastAsia="宋体" w:cs="宋体"/>
          <w:bCs/>
          <w:sz w:val="24"/>
          <w:szCs w:val="24"/>
        </w:rPr>
      </w:pPr>
      <w:r>
        <w:rPr>
          <w:rFonts w:hint="eastAsia" w:ascii="宋体" w:hAnsi="宋体" w:eastAsia="宋体" w:cs="宋体"/>
          <w:bCs/>
          <w:sz w:val="24"/>
          <w:szCs w:val="24"/>
        </w:rPr>
        <w:t>注：1、如果按单价计算的结果与合计不一致，以单价为准修正合计。</w:t>
      </w:r>
    </w:p>
    <w:p w14:paraId="0685A67F">
      <w:pPr>
        <w:widowControl/>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3、报价精确到小数点后两位。</w:t>
      </w:r>
    </w:p>
    <w:p w14:paraId="5B00EA25">
      <w:pPr>
        <w:spacing w:line="3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4、根据实际情况对具体附属服务项目进行说明。</w:t>
      </w:r>
    </w:p>
    <w:p w14:paraId="5B915C2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.投标人可根据实际情况自行扩展表格细项。</w:t>
      </w:r>
    </w:p>
    <w:p w14:paraId="1916E37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.所投货币为人民币。</w:t>
      </w:r>
    </w:p>
    <w:p w14:paraId="336D6593">
      <w:pPr>
        <w:pStyle w:val="29"/>
        <w:rPr>
          <w:rFonts w:hint="eastAsia" w:ascii="宋体" w:hAnsi="宋体" w:eastAsia="宋体" w:cs="宋体"/>
          <w:color w:val="auto"/>
        </w:rPr>
      </w:pPr>
    </w:p>
    <w:p w14:paraId="6159FA6D">
      <w:pPr>
        <w:pStyle w:val="29"/>
        <w:rPr>
          <w:rFonts w:hint="eastAsia" w:ascii="宋体" w:hAnsi="宋体" w:eastAsia="宋体" w:cs="宋体"/>
          <w:color w:val="auto"/>
        </w:rPr>
      </w:pPr>
    </w:p>
    <w:p w14:paraId="5317BB1A">
      <w:pPr>
        <w:adjustRightInd w:val="0"/>
        <w:snapToGrid w:val="0"/>
        <w:spacing w:line="480" w:lineRule="auto"/>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（单位名称及公章）：</w:t>
      </w:r>
      <w:r>
        <w:rPr>
          <w:rFonts w:hint="eastAsia" w:ascii="宋体" w:hAnsi="宋体" w:eastAsia="宋体" w:cs="宋体"/>
          <w:color w:val="auto"/>
          <w:sz w:val="24"/>
          <w:szCs w:val="24"/>
          <w:u w:val="single"/>
          <w:lang w:val="en-US" w:eastAsia="zh-CN"/>
        </w:rPr>
        <w:t xml:space="preserve">                   </w:t>
      </w:r>
    </w:p>
    <w:p w14:paraId="3FDA9478">
      <w:pPr>
        <w:adjustRightInd w:val="0"/>
        <w:snapToGrid w:val="0"/>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w:t>
      </w:r>
      <w:r>
        <w:rPr>
          <w:rFonts w:hint="eastAsia" w:ascii="宋体" w:hAnsi="宋体" w:eastAsia="宋体" w:cs="宋体"/>
          <w:color w:val="auto"/>
          <w:spacing w:val="4"/>
          <w:sz w:val="24"/>
          <w:lang w:val="en-US" w:eastAsia="zh-CN"/>
        </w:rPr>
        <w:t>签字或盖章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p>
    <w:p w14:paraId="0EFB7A32">
      <w:pPr>
        <w:adjustRightInd w:val="0"/>
        <w:snapToGrid w:val="0"/>
        <w:spacing w:line="480" w:lineRule="auto"/>
        <w:rPr>
          <w:rFonts w:hint="eastAsia" w:ascii="宋体" w:hAnsi="宋体" w:eastAsia="宋体" w:cs="宋体"/>
          <w:color w:val="auto"/>
          <w:sz w:val="24"/>
          <w:szCs w:val="24"/>
        </w:rPr>
        <w:sectPr>
          <w:pgSz w:w="11906" w:h="16838"/>
          <w:pgMar w:top="1361" w:right="1423" w:bottom="1361" w:left="1423" w:header="1134" w:footer="992" w:gutter="0"/>
          <w:pgNumType w:fmt="decimal"/>
          <w:cols w:space="0" w:num="1"/>
          <w:titlePg/>
          <w:rtlGutter w:val="0"/>
          <w:docGrid w:type="lines" w:linePitch="317" w:charSpace="0"/>
        </w:sect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w:t>
      </w:r>
    </w:p>
    <w:p w14:paraId="4560F34F">
      <w:pPr>
        <w:keepNext w:val="0"/>
        <w:keepLines w:val="0"/>
        <w:pageBreakBefore w:val="0"/>
        <w:numPr>
          <w:ilvl w:val="0"/>
          <w:numId w:val="10"/>
        </w:numPr>
        <w:kinsoku/>
        <w:wordWrap/>
        <w:overflowPunct/>
        <w:topLinePunct w:val="0"/>
        <w:autoSpaceDE/>
        <w:autoSpaceDN/>
        <w:bidi w:val="0"/>
        <w:adjustRightInd w:val="0"/>
        <w:snapToGrid w:val="0"/>
        <w:spacing w:line="460" w:lineRule="exact"/>
        <w:ind w:left="150" w:leftChars="0" w:firstLine="480" w:firstLineChars="0"/>
        <w:jc w:val="center"/>
        <w:textAlignment w:val="auto"/>
        <w:rPr>
          <w:rFonts w:hint="eastAsia" w:ascii="宋体" w:hAnsi="宋体" w:eastAsia="宋体" w:cs="宋体"/>
          <w:b/>
          <w:bCs/>
          <w:color w:val="auto"/>
          <w:sz w:val="40"/>
          <w:szCs w:val="40"/>
        </w:rPr>
      </w:pPr>
      <w:r>
        <w:rPr>
          <w:rFonts w:hint="eastAsia" w:ascii="宋体" w:hAnsi="宋体" w:eastAsia="宋体" w:cs="宋体"/>
          <w:b/>
          <w:bCs/>
          <w:color w:val="auto"/>
          <w:sz w:val="40"/>
          <w:szCs w:val="40"/>
        </w:rPr>
        <w:t>资格证明文件</w:t>
      </w:r>
    </w:p>
    <w:p w14:paraId="7A0D9305">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（1）具有独立承担民事责任能力的法人、其他组织或自然人，并出具合法有效的营业执照或事业单位法人证书等国家规定的相关证明，自然人参与的提供其身份证明。</w:t>
      </w:r>
    </w:p>
    <w:p w14:paraId="553CDDF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（2）法定代表人授权书及被授权人身份证复印件（法定代表人直接投标只需提交其身份证明资料）。</w:t>
      </w:r>
    </w:p>
    <w:p w14:paraId="5960329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4"/>
          <w:highlight w:val="none"/>
          <w:lang w:val="en-US" w:eastAsia="zh-CN"/>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2"/>
          <w:lang w:val="en-US" w:eastAsia="zh-CN"/>
        </w:rPr>
        <w:t>（4）书面声明：投标人必须提供参加政府采购活动前3年内在经营活动中没有重大违法记录的书面声明。</w:t>
      </w:r>
    </w:p>
    <w:p w14:paraId="21168961">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（5）财务状况报告：提供2023年度或2024年度经审计的财务审计报告或投标截止时间前六个月内基本开户银行出具的资信证明（成立时间至提交响应文件截止时间不足一年的可提供成立后任意时段的资产负债表）。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5CA610D1">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税收缴纳证明：提供2025年1月至今任意一个月缴纳的纳税证明或完税证明，依法免税或缓缴的单位应提供相关证明材料，纳税证明或完税证明上应有代收机构或税务机关的公章或业务专用章（成立时间至提交投标文件截止时间不足三个月的可不提供）。</w:t>
      </w:r>
    </w:p>
    <w:p w14:paraId="1BA9E961">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社会保障资金缴纳证明：提供2025年1月至今任意一个月社会保障资金缴存单据或社保机构开具的社会保险参保缴费情况证明，依法不需要缴纳社会保障资金的单位应提供相关证明材料，单据或证明上应有社保机构或代收机构的印章（成立时间至提交投标文件截止时间不足三个月的可不提供）。</w:t>
      </w:r>
    </w:p>
    <w:p w14:paraId="200BA5E0">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bCs/>
          <w:color w:val="auto"/>
          <w:kern w:val="2"/>
          <w:sz w:val="24"/>
          <w:szCs w:val="24"/>
          <w:highlight w:val="none"/>
          <w:lang w:eastAsia="zh-CN" w:bidi="ar-SA"/>
        </w:rPr>
      </w:pPr>
      <w:r>
        <w:rPr>
          <w:rFonts w:hint="eastAsia" w:ascii="宋体" w:hAnsi="宋体" w:eastAsia="宋体" w:cs="宋体"/>
          <w:bCs/>
          <w:color w:val="auto"/>
          <w:sz w:val="24"/>
          <w:szCs w:val="24"/>
          <w:highlight w:val="none"/>
          <w:lang w:val="en-US" w:eastAsia="zh-CN"/>
        </w:rPr>
        <w:t>（8）投标人须具有</w:t>
      </w:r>
      <w:r>
        <w:rPr>
          <w:rFonts w:hint="eastAsia" w:ascii="宋体" w:hAnsi="宋体" w:eastAsia="宋体" w:cs="宋体"/>
          <w:bCs/>
          <w:color w:val="auto"/>
          <w:sz w:val="24"/>
          <w:szCs w:val="24"/>
          <w:highlight w:val="none"/>
        </w:rPr>
        <w:t>【城乡规划编制甲级】资质</w:t>
      </w:r>
      <w:r>
        <w:rPr>
          <w:rFonts w:hint="eastAsia" w:ascii="宋体" w:hAnsi="宋体" w:eastAsia="宋体" w:cs="宋体"/>
          <w:bCs/>
          <w:color w:val="auto"/>
          <w:kern w:val="2"/>
          <w:sz w:val="24"/>
          <w:szCs w:val="24"/>
          <w:highlight w:val="none"/>
          <w:lang w:eastAsia="zh-CN" w:bidi="ar-SA"/>
        </w:rPr>
        <w:t>。</w:t>
      </w:r>
    </w:p>
    <w:p w14:paraId="78BC496C">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（9）本项目不接受联合体投标。</w:t>
      </w:r>
    </w:p>
    <w:p w14:paraId="1891F267">
      <w:pPr>
        <w:widowControl/>
        <w:jc w:val="left"/>
        <w:rPr>
          <w:rFonts w:hint="eastAsia" w:ascii="宋体" w:hAnsi="宋体" w:eastAsia="宋体" w:cs="宋体"/>
          <w:color w:val="auto"/>
          <w:sz w:val="24"/>
        </w:rPr>
      </w:pPr>
    </w:p>
    <w:p w14:paraId="62CBA04A">
      <w:pPr>
        <w:widowControl/>
        <w:jc w:val="center"/>
        <w:rPr>
          <w:rFonts w:hint="eastAsia" w:ascii="宋体" w:hAnsi="宋体" w:eastAsia="宋体" w:cs="宋体"/>
          <w:b/>
          <w:color w:val="auto"/>
          <w:sz w:val="28"/>
          <w:szCs w:val="32"/>
        </w:rPr>
      </w:pPr>
    </w:p>
    <w:p w14:paraId="1AF3CCB8">
      <w:pPr>
        <w:widowControl/>
        <w:jc w:val="center"/>
        <w:rPr>
          <w:rFonts w:hint="eastAsia" w:ascii="宋体" w:hAnsi="宋体" w:eastAsia="宋体" w:cs="宋体"/>
          <w:b/>
          <w:color w:val="auto"/>
          <w:sz w:val="28"/>
          <w:szCs w:val="32"/>
        </w:rPr>
      </w:pPr>
    </w:p>
    <w:p w14:paraId="7F410A51">
      <w:pPr>
        <w:widowControl/>
        <w:jc w:val="center"/>
        <w:rPr>
          <w:rFonts w:hint="eastAsia" w:ascii="宋体" w:hAnsi="宋体" w:eastAsia="宋体" w:cs="宋体"/>
          <w:b/>
          <w:color w:val="auto"/>
          <w:sz w:val="28"/>
          <w:szCs w:val="32"/>
        </w:rPr>
      </w:pPr>
    </w:p>
    <w:p w14:paraId="6F89F409">
      <w:pPr>
        <w:widowControl/>
        <w:jc w:val="center"/>
        <w:rPr>
          <w:rFonts w:hint="eastAsia" w:ascii="宋体" w:hAnsi="宋体" w:eastAsia="宋体" w:cs="宋体"/>
          <w:b/>
          <w:color w:val="auto"/>
          <w:sz w:val="28"/>
          <w:szCs w:val="32"/>
        </w:rPr>
      </w:pPr>
      <w:r>
        <w:rPr>
          <w:rFonts w:hint="eastAsia" w:ascii="宋体" w:hAnsi="宋体" w:eastAsia="宋体" w:cs="宋体"/>
          <w:b/>
          <w:color w:val="auto"/>
          <w:sz w:val="28"/>
          <w:szCs w:val="32"/>
        </w:rPr>
        <w:t>法定代表人证明书</w:t>
      </w:r>
    </w:p>
    <w:p w14:paraId="7672754C">
      <w:pPr>
        <w:rPr>
          <w:rFonts w:hint="eastAsia" w:ascii="宋体" w:hAnsi="宋体" w:eastAsia="宋体" w:cs="宋体"/>
          <w:color w:val="auto"/>
        </w:rPr>
      </w:pPr>
      <w:r>
        <w:rPr>
          <w:rFonts w:hint="eastAsia" w:ascii="宋体" w:hAnsi="宋体" w:eastAsia="宋体" w:cs="宋体"/>
          <w:color w:val="auto"/>
        </w:rPr>
        <w:t xml:space="preserve"> </w:t>
      </w:r>
    </w:p>
    <w:tbl>
      <w:tblPr>
        <w:tblStyle w:val="46"/>
        <w:tblW w:w="93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2146"/>
        <w:gridCol w:w="2129"/>
        <w:gridCol w:w="1448"/>
        <w:gridCol w:w="2575"/>
      </w:tblGrid>
      <w:tr w14:paraId="33D1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320" w:type="dxa"/>
            <w:gridSpan w:val="5"/>
            <w:tcBorders>
              <w:top w:val="single" w:color="auto" w:sz="4" w:space="0"/>
              <w:left w:val="single" w:color="auto" w:sz="4" w:space="0"/>
              <w:bottom w:val="single" w:color="auto" w:sz="4" w:space="0"/>
              <w:right w:val="single" w:color="auto" w:sz="4" w:space="0"/>
            </w:tcBorders>
          </w:tcPr>
          <w:p w14:paraId="2D5FC0AA">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lang w:eastAsia="zh-CN"/>
              </w:rPr>
            </w:pPr>
            <w:r>
              <w:rPr>
                <w:rFonts w:hint="eastAsia" w:ascii="宋体" w:hAnsi="宋体" w:eastAsia="宋体" w:cs="宋体"/>
                <w:bCs/>
                <w:caps/>
                <w:color w:val="auto"/>
                <w:sz w:val="24"/>
                <w:szCs w:val="24"/>
              </w:rPr>
              <w:t>致：</w:t>
            </w:r>
            <w:r>
              <w:rPr>
                <w:rFonts w:hint="eastAsia" w:ascii="宋体" w:hAnsi="宋体" w:eastAsia="宋体" w:cs="宋体"/>
                <w:bCs/>
                <w:caps/>
                <w:color w:val="auto"/>
                <w:sz w:val="24"/>
                <w:szCs w:val="24"/>
                <w:lang w:eastAsia="zh-CN"/>
              </w:rPr>
              <w:t>兰天项目管理有限公司</w:t>
            </w:r>
          </w:p>
        </w:tc>
      </w:tr>
      <w:tr w14:paraId="0D59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22" w:type="dxa"/>
            <w:vMerge w:val="restart"/>
            <w:tcBorders>
              <w:top w:val="single" w:color="auto" w:sz="4" w:space="0"/>
              <w:left w:val="single" w:color="auto" w:sz="4" w:space="0"/>
              <w:bottom w:val="single" w:color="auto" w:sz="4" w:space="0"/>
              <w:right w:val="single" w:color="auto" w:sz="4" w:space="0"/>
            </w:tcBorders>
          </w:tcPr>
          <w:p w14:paraId="098C7613">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eastAsia" w:ascii="宋体" w:hAnsi="宋体" w:eastAsia="宋体" w:cs="宋体"/>
                <w:bCs/>
                <w:caps/>
                <w:color w:val="auto"/>
                <w:sz w:val="24"/>
                <w:szCs w:val="24"/>
              </w:rPr>
            </w:pPr>
          </w:p>
          <w:p w14:paraId="2F44D6C5">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eastAsia" w:ascii="宋体" w:hAnsi="宋体" w:eastAsia="宋体" w:cs="宋体"/>
                <w:bCs/>
                <w:caps/>
                <w:color w:val="auto"/>
                <w:sz w:val="24"/>
                <w:szCs w:val="24"/>
              </w:rPr>
            </w:pPr>
          </w:p>
          <w:p w14:paraId="593D82AA">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企</w:t>
            </w:r>
          </w:p>
          <w:p w14:paraId="51DEA703">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业</w:t>
            </w:r>
          </w:p>
          <w:p w14:paraId="07A862CB">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法</w:t>
            </w:r>
          </w:p>
          <w:p w14:paraId="19103879">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人</w:t>
            </w:r>
          </w:p>
        </w:tc>
        <w:tc>
          <w:tcPr>
            <w:tcW w:w="2146" w:type="dxa"/>
            <w:tcBorders>
              <w:top w:val="single" w:color="auto" w:sz="4" w:space="0"/>
              <w:left w:val="single" w:color="auto" w:sz="4" w:space="0"/>
              <w:bottom w:val="single" w:color="auto" w:sz="4" w:space="0"/>
              <w:right w:val="single" w:color="auto" w:sz="4" w:space="0"/>
            </w:tcBorders>
          </w:tcPr>
          <w:p w14:paraId="0E85D762">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 xml:space="preserve">企 业 名 称 </w:t>
            </w:r>
          </w:p>
        </w:tc>
        <w:tc>
          <w:tcPr>
            <w:tcW w:w="6152" w:type="dxa"/>
            <w:gridSpan w:val="3"/>
            <w:tcBorders>
              <w:top w:val="single" w:color="auto" w:sz="4" w:space="0"/>
              <w:left w:val="single" w:color="auto" w:sz="4" w:space="0"/>
              <w:bottom w:val="single" w:color="auto" w:sz="4" w:space="0"/>
              <w:right w:val="single" w:color="auto" w:sz="4" w:space="0"/>
            </w:tcBorders>
          </w:tcPr>
          <w:p w14:paraId="7A54CFCC">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rPr>
            </w:pPr>
          </w:p>
        </w:tc>
      </w:tr>
      <w:tr w14:paraId="1A14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22" w:type="dxa"/>
            <w:vMerge w:val="continue"/>
            <w:tcBorders>
              <w:top w:val="single" w:color="auto" w:sz="4" w:space="0"/>
              <w:left w:val="single" w:color="auto" w:sz="4" w:space="0"/>
              <w:bottom w:val="single" w:color="auto" w:sz="4" w:space="0"/>
              <w:right w:val="single" w:color="auto" w:sz="4" w:space="0"/>
            </w:tcBorders>
            <w:vAlign w:val="center"/>
          </w:tcPr>
          <w:p w14:paraId="3FFA7C60">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bCs/>
                <w:caps/>
                <w:color w:val="auto"/>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1940782">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法 定 地 址</w:t>
            </w:r>
          </w:p>
        </w:tc>
        <w:tc>
          <w:tcPr>
            <w:tcW w:w="6152" w:type="dxa"/>
            <w:gridSpan w:val="3"/>
            <w:tcBorders>
              <w:top w:val="single" w:color="auto" w:sz="4" w:space="0"/>
              <w:left w:val="single" w:color="auto" w:sz="4" w:space="0"/>
              <w:bottom w:val="single" w:color="auto" w:sz="4" w:space="0"/>
              <w:right w:val="single" w:color="auto" w:sz="4" w:space="0"/>
            </w:tcBorders>
          </w:tcPr>
          <w:p w14:paraId="31EED59F">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rPr>
            </w:pPr>
          </w:p>
        </w:tc>
      </w:tr>
      <w:tr w14:paraId="1C01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22" w:type="dxa"/>
            <w:vMerge w:val="continue"/>
            <w:tcBorders>
              <w:top w:val="single" w:color="auto" w:sz="4" w:space="0"/>
              <w:left w:val="single" w:color="auto" w:sz="4" w:space="0"/>
              <w:bottom w:val="single" w:color="auto" w:sz="4" w:space="0"/>
              <w:right w:val="single" w:color="auto" w:sz="4" w:space="0"/>
            </w:tcBorders>
            <w:vAlign w:val="center"/>
          </w:tcPr>
          <w:p w14:paraId="6DFE6C04">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bCs/>
                <w:caps/>
                <w:color w:val="auto"/>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F52A02E">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邮 政 编 码</w:t>
            </w:r>
          </w:p>
        </w:tc>
        <w:tc>
          <w:tcPr>
            <w:tcW w:w="6152" w:type="dxa"/>
            <w:gridSpan w:val="3"/>
            <w:tcBorders>
              <w:top w:val="single" w:color="auto" w:sz="4" w:space="0"/>
              <w:left w:val="single" w:color="auto" w:sz="4" w:space="0"/>
              <w:bottom w:val="single" w:color="auto" w:sz="4" w:space="0"/>
              <w:right w:val="single" w:color="auto" w:sz="4" w:space="0"/>
            </w:tcBorders>
          </w:tcPr>
          <w:p w14:paraId="2F9D3C17">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rPr>
            </w:pPr>
          </w:p>
        </w:tc>
      </w:tr>
      <w:tr w14:paraId="5531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22" w:type="dxa"/>
            <w:vMerge w:val="continue"/>
            <w:tcBorders>
              <w:top w:val="single" w:color="auto" w:sz="4" w:space="0"/>
              <w:left w:val="single" w:color="auto" w:sz="4" w:space="0"/>
              <w:bottom w:val="single" w:color="auto" w:sz="4" w:space="0"/>
              <w:right w:val="single" w:color="auto" w:sz="4" w:space="0"/>
            </w:tcBorders>
            <w:vAlign w:val="center"/>
          </w:tcPr>
          <w:p w14:paraId="240781FD">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bCs/>
                <w:caps/>
                <w:color w:val="auto"/>
                <w:sz w:val="24"/>
                <w:szCs w:val="24"/>
              </w:rPr>
            </w:pPr>
          </w:p>
        </w:tc>
        <w:tc>
          <w:tcPr>
            <w:tcW w:w="2146" w:type="dxa"/>
            <w:tcBorders>
              <w:top w:val="single" w:color="auto" w:sz="4" w:space="0"/>
              <w:left w:val="single" w:color="auto" w:sz="4" w:space="0"/>
              <w:bottom w:val="single" w:color="auto" w:sz="4" w:space="0"/>
              <w:right w:val="single" w:color="auto" w:sz="4" w:space="0"/>
            </w:tcBorders>
          </w:tcPr>
          <w:p w14:paraId="2A2F6998">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网       址</w:t>
            </w:r>
          </w:p>
        </w:tc>
        <w:tc>
          <w:tcPr>
            <w:tcW w:w="6152" w:type="dxa"/>
            <w:gridSpan w:val="3"/>
            <w:tcBorders>
              <w:top w:val="single" w:color="auto" w:sz="4" w:space="0"/>
              <w:left w:val="single" w:color="auto" w:sz="4" w:space="0"/>
              <w:bottom w:val="single" w:color="auto" w:sz="4" w:space="0"/>
              <w:right w:val="single" w:color="auto" w:sz="4" w:space="0"/>
            </w:tcBorders>
          </w:tcPr>
          <w:p w14:paraId="13CF8171">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rPr>
            </w:pPr>
          </w:p>
        </w:tc>
      </w:tr>
      <w:tr w14:paraId="0D91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22" w:type="dxa"/>
            <w:vMerge w:val="continue"/>
            <w:tcBorders>
              <w:top w:val="single" w:color="auto" w:sz="4" w:space="0"/>
              <w:left w:val="single" w:color="auto" w:sz="4" w:space="0"/>
              <w:bottom w:val="single" w:color="auto" w:sz="4" w:space="0"/>
              <w:right w:val="single" w:color="auto" w:sz="4" w:space="0"/>
            </w:tcBorders>
            <w:vAlign w:val="center"/>
          </w:tcPr>
          <w:p w14:paraId="76377CFA">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bCs/>
                <w:caps/>
                <w:color w:val="auto"/>
                <w:sz w:val="24"/>
                <w:szCs w:val="24"/>
              </w:rPr>
            </w:pPr>
          </w:p>
        </w:tc>
        <w:tc>
          <w:tcPr>
            <w:tcW w:w="2146" w:type="dxa"/>
            <w:tcBorders>
              <w:top w:val="single" w:color="auto" w:sz="4" w:space="0"/>
              <w:left w:val="single" w:color="auto" w:sz="4" w:space="0"/>
              <w:bottom w:val="single" w:color="auto" w:sz="4" w:space="0"/>
              <w:right w:val="single" w:color="auto" w:sz="4" w:space="0"/>
            </w:tcBorders>
          </w:tcPr>
          <w:p w14:paraId="478B02E5">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工商登记机关</w:t>
            </w:r>
          </w:p>
        </w:tc>
        <w:tc>
          <w:tcPr>
            <w:tcW w:w="6152" w:type="dxa"/>
            <w:gridSpan w:val="3"/>
            <w:tcBorders>
              <w:top w:val="single" w:color="auto" w:sz="4" w:space="0"/>
              <w:left w:val="single" w:color="auto" w:sz="4" w:space="0"/>
              <w:bottom w:val="single" w:color="auto" w:sz="4" w:space="0"/>
              <w:right w:val="single" w:color="auto" w:sz="4" w:space="0"/>
            </w:tcBorders>
          </w:tcPr>
          <w:p w14:paraId="4AA16B65">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0" w:firstLineChars="1000"/>
              <w:jc w:val="left"/>
              <w:rPr>
                <w:rFonts w:hint="eastAsia" w:ascii="宋体" w:hAnsi="宋体" w:eastAsia="宋体" w:cs="宋体"/>
                <w:bCs/>
                <w:caps/>
                <w:color w:val="auto"/>
                <w:sz w:val="24"/>
                <w:szCs w:val="24"/>
              </w:rPr>
            </w:pPr>
          </w:p>
        </w:tc>
      </w:tr>
      <w:tr w14:paraId="11E8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022" w:type="dxa"/>
            <w:vMerge w:val="continue"/>
            <w:tcBorders>
              <w:top w:val="single" w:color="auto" w:sz="4" w:space="0"/>
              <w:left w:val="single" w:color="auto" w:sz="4" w:space="0"/>
              <w:bottom w:val="single" w:color="auto" w:sz="4" w:space="0"/>
              <w:right w:val="single" w:color="auto" w:sz="4" w:space="0"/>
            </w:tcBorders>
            <w:vAlign w:val="center"/>
          </w:tcPr>
          <w:p w14:paraId="730453D2">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bCs/>
                <w:caps/>
                <w:color w:val="auto"/>
                <w:sz w:val="24"/>
                <w:szCs w:val="24"/>
              </w:rPr>
            </w:pPr>
          </w:p>
        </w:tc>
        <w:tc>
          <w:tcPr>
            <w:tcW w:w="2146" w:type="dxa"/>
            <w:tcBorders>
              <w:top w:val="single" w:color="auto" w:sz="4" w:space="0"/>
              <w:left w:val="single" w:color="auto" w:sz="4" w:space="0"/>
              <w:bottom w:val="single" w:color="auto" w:sz="4" w:space="0"/>
              <w:right w:val="single" w:color="auto" w:sz="4" w:space="0"/>
            </w:tcBorders>
            <w:vAlign w:val="center"/>
          </w:tcPr>
          <w:p w14:paraId="53BFDE4C">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税务登记机关</w:t>
            </w:r>
          </w:p>
        </w:tc>
        <w:tc>
          <w:tcPr>
            <w:tcW w:w="6152" w:type="dxa"/>
            <w:gridSpan w:val="3"/>
            <w:tcBorders>
              <w:top w:val="single" w:color="auto" w:sz="4" w:space="0"/>
              <w:left w:val="single" w:color="auto" w:sz="4" w:space="0"/>
              <w:bottom w:val="single" w:color="auto" w:sz="4" w:space="0"/>
              <w:right w:val="single" w:color="auto" w:sz="4" w:space="0"/>
            </w:tcBorders>
          </w:tcPr>
          <w:p w14:paraId="65E4FE47">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rPr>
            </w:pPr>
          </w:p>
        </w:tc>
      </w:tr>
      <w:tr w14:paraId="31D4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22" w:type="dxa"/>
            <w:vMerge w:val="continue"/>
            <w:tcBorders>
              <w:top w:val="single" w:color="auto" w:sz="4" w:space="0"/>
              <w:left w:val="single" w:color="auto" w:sz="4" w:space="0"/>
              <w:bottom w:val="single" w:color="auto" w:sz="4" w:space="0"/>
              <w:right w:val="single" w:color="auto" w:sz="4" w:space="0"/>
            </w:tcBorders>
            <w:vAlign w:val="center"/>
          </w:tcPr>
          <w:p w14:paraId="2D4848BC">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bCs/>
                <w:caps/>
                <w:color w:val="auto"/>
                <w:sz w:val="24"/>
                <w:szCs w:val="24"/>
              </w:rPr>
            </w:pPr>
          </w:p>
        </w:tc>
        <w:tc>
          <w:tcPr>
            <w:tcW w:w="2146" w:type="dxa"/>
            <w:tcBorders>
              <w:top w:val="single" w:color="auto" w:sz="4" w:space="0"/>
              <w:left w:val="single" w:color="auto" w:sz="4" w:space="0"/>
              <w:bottom w:val="single" w:color="auto" w:sz="4" w:space="0"/>
              <w:right w:val="single" w:color="auto" w:sz="4" w:space="0"/>
            </w:tcBorders>
          </w:tcPr>
          <w:p w14:paraId="27E15A7B">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机构代码证号</w:t>
            </w:r>
          </w:p>
        </w:tc>
        <w:tc>
          <w:tcPr>
            <w:tcW w:w="6152" w:type="dxa"/>
            <w:gridSpan w:val="3"/>
            <w:tcBorders>
              <w:top w:val="single" w:color="auto" w:sz="4" w:space="0"/>
              <w:left w:val="single" w:color="auto" w:sz="4" w:space="0"/>
              <w:bottom w:val="single" w:color="auto" w:sz="4" w:space="0"/>
              <w:right w:val="single" w:color="auto" w:sz="4" w:space="0"/>
            </w:tcBorders>
          </w:tcPr>
          <w:p w14:paraId="1C17D693">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rPr>
            </w:pPr>
            <w:r>
              <w:rPr>
                <w:rFonts w:hint="eastAsia" w:ascii="宋体" w:hAnsi="宋体" w:eastAsia="宋体" w:cs="宋体"/>
                <w:bCs/>
                <w:color w:val="auto"/>
                <w:kern w:val="0"/>
                <w:sz w:val="24"/>
                <w:szCs w:val="24"/>
              </w:rPr>
              <w:t>（若三证合一则填统一信用代码证号）</w:t>
            </w:r>
          </w:p>
        </w:tc>
      </w:tr>
      <w:tr w14:paraId="7109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22" w:type="dxa"/>
            <w:vMerge w:val="restart"/>
            <w:tcBorders>
              <w:top w:val="single" w:color="auto" w:sz="4" w:space="0"/>
              <w:left w:val="single" w:color="auto" w:sz="4" w:space="0"/>
              <w:bottom w:val="single" w:color="auto" w:sz="4" w:space="0"/>
              <w:right w:val="single" w:color="auto" w:sz="4" w:space="0"/>
            </w:tcBorders>
            <w:vAlign w:val="center"/>
          </w:tcPr>
          <w:p w14:paraId="1C151F10">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法 定</w:t>
            </w:r>
          </w:p>
          <w:p w14:paraId="3E56AD54">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代 表</w:t>
            </w:r>
          </w:p>
          <w:p w14:paraId="2C6CB1D6">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人</w:t>
            </w:r>
          </w:p>
        </w:tc>
        <w:tc>
          <w:tcPr>
            <w:tcW w:w="2146" w:type="dxa"/>
            <w:tcBorders>
              <w:top w:val="single" w:color="auto" w:sz="4" w:space="0"/>
              <w:left w:val="single" w:color="auto" w:sz="4" w:space="0"/>
              <w:bottom w:val="single" w:color="auto" w:sz="4" w:space="0"/>
              <w:right w:val="single" w:color="auto" w:sz="4" w:space="0"/>
            </w:tcBorders>
          </w:tcPr>
          <w:p w14:paraId="68C070D8">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姓    名</w:t>
            </w:r>
          </w:p>
        </w:tc>
        <w:tc>
          <w:tcPr>
            <w:tcW w:w="2129" w:type="dxa"/>
            <w:tcBorders>
              <w:top w:val="single" w:color="auto" w:sz="4" w:space="0"/>
              <w:left w:val="single" w:color="auto" w:sz="4" w:space="0"/>
              <w:bottom w:val="single" w:color="auto" w:sz="4" w:space="0"/>
              <w:right w:val="single" w:color="auto" w:sz="4" w:space="0"/>
            </w:tcBorders>
          </w:tcPr>
          <w:p w14:paraId="22BD71C9">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rPr>
            </w:pPr>
          </w:p>
        </w:tc>
        <w:tc>
          <w:tcPr>
            <w:tcW w:w="1448" w:type="dxa"/>
            <w:tcBorders>
              <w:top w:val="single" w:color="auto" w:sz="4" w:space="0"/>
              <w:left w:val="single" w:color="auto" w:sz="4" w:space="0"/>
              <w:bottom w:val="single" w:color="auto" w:sz="4" w:space="0"/>
              <w:right w:val="single" w:color="auto" w:sz="4" w:space="0"/>
            </w:tcBorders>
          </w:tcPr>
          <w:p w14:paraId="3F3AF346">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性    别</w:t>
            </w:r>
          </w:p>
        </w:tc>
        <w:tc>
          <w:tcPr>
            <w:tcW w:w="2575" w:type="dxa"/>
            <w:tcBorders>
              <w:top w:val="single" w:color="auto" w:sz="4" w:space="0"/>
              <w:left w:val="single" w:color="auto" w:sz="4" w:space="0"/>
              <w:bottom w:val="single" w:color="auto" w:sz="4" w:space="0"/>
              <w:right w:val="single" w:color="auto" w:sz="4" w:space="0"/>
            </w:tcBorders>
          </w:tcPr>
          <w:p w14:paraId="5AF3B87E">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rPr>
            </w:pPr>
          </w:p>
        </w:tc>
      </w:tr>
      <w:tr w14:paraId="0465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22" w:type="dxa"/>
            <w:vMerge w:val="continue"/>
            <w:tcBorders>
              <w:top w:val="single" w:color="auto" w:sz="4" w:space="0"/>
              <w:left w:val="single" w:color="auto" w:sz="4" w:space="0"/>
              <w:bottom w:val="single" w:color="auto" w:sz="4" w:space="0"/>
              <w:right w:val="single" w:color="auto" w:sz="4" w:space="0"/>
            </w:tcBorders>
            <w:vAlign w:val="center"/>
          </w:tcPr>
          <w:p w14:paraId="1DDFE233">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bCs/>
                <w:caps/>
                <w:color w:val="auto"/>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1C634DD">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职    务</w:t>
            </w:r>
          </w:p>
        </w:tc>
        <w:tc>
          <w:tcPr>
            <w:tcW w:w="2129" w:type="dxa"/>
            <w:tcBorders>
              <w:top w:val="single" w:color="auto" w:sz="4" w:space="0"/>
              <w:left w:val="single" w:color="auto" w:sz="4" w:space="0"/>
              <w:bottom w:val="single" w:color="auto" w:sz="4" w:space="0"/>
              <w:right w:val="single" w:color="auto" w:sz="4" w:space="0"/>
            </w:tcBorders>
          </w:tcPr>
          <w:p w14:paraId="79F70334">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rPr>
            </w:pPr>
          </w:p>
        </w:tc>
        <w:tc>
          <w:tcPr>
            <w:tcW w:w="1448" w:type="dxa"/>
            <w:tcBorders>
              <w:top w:val="single" w:color="auto" w:sz="4" w:space="0"/>
              <w:left w:val="single" w:color="auto" w:sz="4" w:space="0"/>
              <w:bottom w:val="single" w:color="auto" w:sz="4" w:space="0"/>
              <w:right w:val="single" w:color="auto" w:sz="4" w:space="0"/>
            </w:tcBorders>
          </w:tcPr>
          <w:p w14:paraId="4A60A633">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联系电话</w:t>
            </w:r>
          </w:p>
        </w:tc>
        <w:tc>
          <w:tcPr>
            <w:tcW w:w="2575" w:type="dxa"/>
            <w:tcBorders>
              <w:top w:val="single" w:color="auto" w:sz="4" w:space="0"/>
              <w:left w:val="single" w:color="auto" w:sz="4" w:space="0"/>
              <w:bottom w:val="single" w:color="auto" w:sz="4" w:space="0"/>
              <w:right w:val="single" w:color="auto" w:sz="4" w:space="0"/>
            </w:tcBorders>
          </w:tcPr>
          <w:p w14:paraId="6AA01C68">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rPr>
            </w:pPr>
          </w:p>
        </w:tc>
      </w:tr>
      <w:tr w14:paraId="36D9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22" w:type="dxa"/>
            <w:vMerge w:val="continue"/>
            <w:tcBorders>
              <w:top w:val="single" w:color="auto" w:sz="4" w:space="0"/>
              <w:left w:val="single" w:color="auto" w:sz="4" w:space="0"/>
              <w:bottom w:val="single" w:color="auto" w:sz="4" w:space="0"/>
              <w:right w:val="single" w:color="auto" w:sz="4" w:space="0"/>
            </w:tcBorders>
            <w:vAlign w:val="center"/>
          </w:tcPr>
          <w:p w14:paraId="79A4FFA7">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bCs/>
                <w:caps/>
                <w:color w:val="auto"/>
                <w:sz w:val="24"/>
                <w:szCs w:val="24"/>
              </w:rPr>
            </w:pPr>
          </w:p>
        </w:tc>
        <w:tc>
          <w:tcPr>
            <w:tcW w:w="2146" w:type="dxa"/>
            <w:tcBorders>
              <w:top w:val="single" w:color="auto" w:sz="4" w:space="0"/>
              <w:left w:val="single" w:color="auto" w:sz="4" w:space="0"/>
              <w:bottom w:val="single" w:color="auto" w:sz="4" w:space="0"/>
              <w:right w:val="single" w:color="auto" w:sz="4" w:space="0"/>
            </w:tcBorders>
          </w:tcPr>
          <w:p w14:paraId="0B97A3A7">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传    真</w:t>
            </w:r>
          </w:p>
        </w:tc>
        <w:tc>
          <w:tcPr>
            <w:tcW w:w="6152" w:type="dxa"/>
            <w:gridSpan w:val="3"/>
            <w:tcBorders>
              <w:top w:val="single" w:color="auto" w:sz="4" w:space="0"/>
              <w:left w:val="single" w:color="auto" w:sz="4" w:space="0"/>
              <w:bottom w:val="single" w:color="auto" w:sz="4" w:space="0"/>
              <w:right w:val="single" w:color="auto" w:sz="4" w:space="0"/>
            </w:tcBorders>
          </w:tcPr>
          <w:p w14:paraId="41006A5F">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rPr>
            </w:pPr>
          </w:p>
        </w:tc>
      </w:tr>
      <w:tr w14:paraId="49DF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trPr>
        <w:tc>
          <w:tcPr>
            <w:tcW w:w="1022" w:type="dxa"/>
            <w:vMerge w:val="restart"/>
            <w:tcBorders>
              <w:top w:val="single" w:color="auto" w:sz="4" w:space="0"/>
              <w:left w:val="single" w:color="auto" w:sz="4" w:space="0"/>
              <w:bottom w:val="single" w:color="auto" w:sz="4" w:space="0"/>
              <w:right w:val="single" w:color="auto" w:sz="4" w:space="0"/>
            </w:tcBorders>
          </w:tcPr>
          <w:p w14:paraId="7A3F57BA">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rPr>
            </w:pPr>
          </w:p>
          <w:p w14:paraId="39E026AA">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法定代表人身份证复印件</w:t>
            </w:r>
          </w:p>
        </w:tc>
        <w:tc>
          <w:tcPr>
            <w:tcW w:w="4275" w:type="dxa"/>
            <w:gridSpan w:val="2"/>
            <w:vMerge w:val="restart"/>
            <w:tcBorders>
              <w:top w:val="single" w:color="auto" w:sz="4" w:space="0"/>
              <w:left w:val="single" w:color="auto" w:sz="4" w:space="0"/>
              <w:bottom w:val="single" w:color="auto" w:sz="4" w:space="0"/>
              <w:right w:val="single" w:color="auto" w:sz="4" w:space="0"/>
            </w:tcBorders>
            <w:vAlign w:val="center"/>
          </w:tcPr>
          <w:p w14:paraId="5AEBEC27">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center"/>
              <w:rPr>
                <w:rFonts w:hint="eastAsia" w:ascii="宋体" w:hAnsi="宋体" w:eastAsia="宋体" w:cs="宋体"/>
                <w:bCs/>
                <w:caps/>
                <w:color w:val="auto"/>
                <w:sz w:val="24"/>
                <w:szCs w:val="24"/>
              </w:rPr>
            </w:pPr>
          </w:p>
          <w:p w14:paraId="6DAC2C57">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center"/>
              <w:rPr>
                <w:rFonts w:hint="eastAsia" w:ascii="宋体" w:hAnsi="宋体" w:eastAsia="宋体" w:cs="宋体"/>
                <w:bCs/>
                <w:caps/>
                <w:color w:val="auto"/>
                <w:sz w:val="24"/>
                <w:szCs w:val="24"/>
              </w:rPr>
            </w:pPr>
          </w:p>
          <w:p w14:paraId="39113CF4">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center"/>
              <w:rPr>
                <w:rFonts w:hint="eastAsia" w:ascii="宋体" w:hAnsi="宋体" w:eastAsia="宋体" w:cs="宋体"/>
                <w:bCs/>
                <w:caps/>
                <w:color w:val="auto"/>
                <w:sz w:val="24"/>
                <w:szCs w:val="24"/>
              </w:rPr>
            </w:pPr>
            <w:r>
              <w:rPr>
                <w:rFonts w:hint="eastAsia" w:ascii="宋体" w:hAnsi="宋体" w:eastAsia="宋体" w:cs="宋体"/>
                <w:bCs/>
                <w:color w:val="auto"/>
                <w:spacing w:val="-4"/>
                <w:sz w:val="24"/>
                <w:szCs w:val="24"/>
              </w:rPr>
              <w:t>二代身份证正、反两面都需复印</w:t>
            </w:r>
          </w:p>
          <w:p w14:paraId="4686C153">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firstLine="960" w:firstLineChars="400"/>
              <w:jc w:val="center"/>
              <w:rPr>
                <w:rFonts w:hint="eastAsia" w:ascii="宋体" w:hAnsi="宋体" w:eastAsia="宋体" w:cs="宋体"/>
                <w:bCs/>
                <w:caps/>
                <w:color w:val="auto"/>
                <w:sz w:val="24"/>
                <w:szCs w:val="24"/>
              </w:rPr>
            </w:pPr>
          </w:p>
          <w:p w14:paraId="436924F7">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center"/>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（粘贴处）</w:t>
            </w:r>
          </w:p>
        </w:tc>
        <w:tc>
          <w:tcPr>
            <w:tcW w:w="4023" w:type="dxa"/>
            <w:gridSpan w:val="2"/>
            <w:tcBorders>
              <w:top w:val="single" w:color="auto" w:sz="4" w:space="0"/>
              <w:left w:val="single" w:color="auto" w:sz="4" w:space="0"/>
              <w:bottom w:val="single" w:color="auto" w:sz="4" w:space="0"/>
              <w:right w:val="single" w:color="auto" w:sz="4" w:space="0"/>
            </w:tcBorders>
          </w:tcPr>
          <w:p w14:paraId="6564E52C">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 xml:space="preserve">  </w:t>
            </w:r>
          </w:p>
          <w:p w14:paraId="5AFD8FDC">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 xml:space="preserve"> （法定代表人</w:t>
            </w:r>
            <w:r>
              <w:rPr>
                <w:rFonts w:hint="eastAsia" w:ascii="宋体" w:hAnsi="宋体" w:eastAsia="宋体" w:cs="宋体"/>
                <w:color w:val="auto"/>
                <w:spacing w:val="4"/>
                <w:sz w:val="24"/>
                <w:lang w:val="en-US" w:eastAsia="zh-CN"/>
              </w:rPr>
              <w:t>签字或盖章</w:t>
            </w:r>
            <w:r>
              <w:rPr>
                <w:rFonts w:hint="eastAsia" w:ascii="宋体" w:hAnsi="宋体" w:eastAsia="宋体" w:cs="宋体"/>
                <w:bCs/>
                <w:caps/>
                <w:color w:val="auto"/>
                <w:sz w:val="24"/>
                <w:szCs w:val="24"/>
              </w:rPr>
              <w:t>）</w:t>
            </w:r>
          </w:p>
        </w:tc>
      </w:tr>
      <w:tr w14:paraId="5B9B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1022" w:type="dxa"/>
            <w:vMerge w:val="continue"/>
            <w:tcBorders>
              <w:top w:val="single" w:color="auto" w:sz="4" w:space="0"/>
              <w:left w:val="single" w:color="auto" w:sz="4" w:space="0"/>
              <w:bottom w:val="single" w:color="auto" w:sz="4" w:space="0"/>
              <w:right w:val="single" w:color="auto" w:sz="4" w:space="0"/>
            </w:tcBorders>
            <w:vAlign w:val="center"/>
          </w:tcPr>
          <w:p w14:paraId="678FB53B">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bCs/>
                <w:caps/>
                <w:color w:val="auto"/>
                <w:sz w:val="24"/>
                <w:szCs w:val="24"/>
              </w:rPr>
            </w:pPr>
          </w:p>
        </w:tc>
        <w:tc>
          <w:tcPr>
            <w:tcW w:w="4275" w:type="dxa"/>
            <w:gridSpan w:val="2"/>
            <w:vMerge w:val="continue"/>
            <w:tcBorders>
              <w:top w:val="single" w:color="auto" w:sz="4" w:space="0"/>
              <w:left w:val="single" w:color="auto" w:sz="4" w:space="0"/>
              <w:bottom w:val="single" w:color="auto" w:sz="4" w:space="0"/>
              <w:right w:val="single" w:color="auto" w:sz="4" w:space="0"/>
            </w:tcBorders>
            <w:vAlign w:val="center"/>
          </w:tcPr>
          <w:p w14:paraId="52ECF0BD">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bCs/>
                <w:caps/>
                <w:color w:val="auto"/>
                <w:sz w:val="24"/>
                <w:szCs w:val="24"/>
              </w:rPr>
            </w:pPr>
          </w:p>
        </w:tc>
        <w:tc>
          <w:tcPr>
            <w:tcW w:w="4023" w:type="dxa"/>
            <w:gridSpan w:val="2"/>
            <w:tcBorders>
              <w:top w:val="single" w:color="auto" w:sz="4" w:space="0"/>
              <w:left w:val="single" w:color="auto" w:sz="4" w:space="0"/>
              <w:bottom w:val="single" w:color="auto" w:sz="4" w:space="0"/>
              <w:right w:val="single" w:color="auto" w:sz="4" w:space="0"/>
            </w:tcBorders>
          </w:tcPr>
          <w:p w14:paraId="485D26FA">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rPr>
            </w:pPr>
          </w:p>
          <w:p w14:paraId="212E6BBA">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rPr>
            </w:pPr>
          </w:p>
          <w:p w14:paraId="6874547A">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rPr>
            </w:pPr>
          </w:p>
          <w:p w14:paraId="16D9ABA6">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firstLine="120" w:firstLineChars="50"/>
              <w:jc w:val="left"/>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（企业公章）</w:t>
            </w:r>
          </w:p>
          <w:p w14:paraId="0A97A667">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 xml:space="preserve">    </w:t>
            </w:r>
          </w:p>
          <w:p w14:paraId="70E4014A">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rPr>
            </w:pPr>
          </w:p>
          <w:p w14:paraId="4C640D29">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1440" w:firstLineChars="600"/>
              <w:jc w:val="left"/>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年  月  日</w:t>
            </w:r>
          </w:p>
        </w:tc>
      </w:tr>
    </w:tbl>
    <w:p w14:paraId="492EF707">
      <w:pPr>
        <w:tabs>
          <w:tab w:val="left" w:pos="210"/>
        </w:tabs>
        <w:spacing w:line="320" w:lineRule="exact"/>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（法定代表人直接</w:t>
      </w:r>
      <w:r>
        <w:rPr>
          <w:rFonts w:hint="eastAsia" w:ascii="宋体" w:hAnsi="宋体" w:eastAsia="宋体" w:cs="宋体"/>
          <w:color w:val="auto"/>
          <w:kern w:val="0"/>
          <w:sz w:val="24"/>
          <w:szCs w:val="20"/>
          <w:lang w:eastAsia="zh-CN"/>
        </w:rPr>
        <w:t>磋商</w:t>
      </w:r>
      <w:r>
        <w:rPr>
          <w:rFonts w:hint="eastAsia" w:ascii="宋体" w:hAnsi="宋体" w:eastAsia="宋体" w:cs="宋体"/>
          <w:color w:val="auto"/>
          <w:kern w:val="0"/>
          <w:sz w:val="24"/>
          <w:szCs w:val="20"/>
        </w:rPr>
        <w:t>，</w:t>
      </w:r>
      <w:r>
        <w:rPr>
          <w:rFonts w:hint="eastAsia" w:ascii="宋体" w:hAnsi="宋体" w:eastAsia="宋体" w:cs="宋体"/>
          <w:color w:val="auto"/>
          <w:kern w:val="0"/>
          <w:sz w:val="24"/>
          <w:szCs w:val="20"/>
          <w:lang w:eastAsia="zh-CN"/>
        </w:rPr>
        <w:t>只需</w:t>
      </w:r>
      <w:r>
        <w:rPr>
          <w:rFonts w:hint="eastAsia" w:ascii="宋体" w:hAnsi="宋体" w:eastAsia="宋体" w:cs="宋体"/>
          <w:color w:val="auto"/>
          <w:kern w:val="0"/>
          <w:sz w:val="24"/>
          <w:szCs w:val="20"/>
        </w:rPr>
        <w:t>提供法定代表人证明书及身份证</w:t>
      </w:r>
      <w:r>
        <w:rPr>
          <w:rFonts w:hint="eastAsia" w:ascii="宋体" w:hAnsi="宋体" w:eastAsia="宋体" w:cs="宋体"/>
          <w:color w:val="auto"/>
          <w:kern w:val="0"/>
          <w:sz w:val="24"/>
          <w:szCs w:val="20"/>
          <w:lang w:val="en-US" w:eastAsia="zh-CN"/>
        </w:rPr>
        <w:t>复印</w:t>
      </w:r>
      <w:r>
        <w:rPr>
          <w:rFonts w:hint="eastAsia" w:ascii="宋体" w:hAnsi="宋体" w:eastAsia="宋体" w:cs="宋体"/>
          <w:color w:val="auto"/>
          <w:kern w:val="0"/>
          <w:sz w:val="24"/>
          <w:szCs w:val="20"/>
        </w:rPr>
        <w:t>件）</w:t>
      </w:r>
    </w:p>
    <w:p w14:paraId="5F77EFE2">
      <w:pPr>
        <w:tabs>
          <w:tab w:val="left" w:pos="210"/>
        </w:tabs>
        <w:spacing w:line="320" w:lineRule="exact"/>
        <w:jc w:val="center"/>
        <w:rPr>
          <w:rFonts w:hint="eastAsia" w:ascii="宋体" w:hAnsi="宋体" w:eastAsia="宋体" w:cs="宋体"/>
          <w:color w:val="auto"/>
          <w:kern w:val="0"/>
          <w:sz w:val="24"/>
          <w:szCs w:val="20"/>
        </w:rPr>
      </w:pPr>
    </w:p>
    <w:p w14:paraId="0CC56705">
      <w:pPr>
        <w:rPr>
          <w:rFonts w:hint="eastAsia" w:ascii="宋体" w:hAnsi="宋体" w:eastAsia="宋体" w:cs="宋体"/>
          <w:color w:val="auto"/>
        </w:rPr>
      </w:pPr>
    </w:p>
    <w:p w14:paraId="40966ECA">
      <w:pPr>
        <w:pStyle w:val="192"/>
        <w:rPr>
          <w:rFonts w:hint="eastAsia" w:ascii="宋体" w:hAnsi="宋体" w:eastAsia="宋体" w:cs="宋体"/>
        </w:rPr>
      </w:pPr>
    </w:p>
    <w:p w14:paraId="19EC6394">
      <w:pPr>
        <w:widowControl/>
        <w:jc w:val="center"/>
        <w:rPr>
          <w:rFonts w:hint="eastAsia" w:ascii="宋体" w:hAnsi="宋体" w:eastAsia="宋体" w:cs="宋体"/>
          <w:b/>
          <w:color w:val="auto"/>
          <w:sz w:val="28"/>
          <w:szCs w:val="32"/>
        </w:rPr>
      </w:pPr>
      <w:r>
        <w:rPr>
          <w:rFonts w:hint="eastAsia" w:ascii="宋体" w:hAnsi="宋体" w:eastAsia="宋体" w:cs="宋体"/>
          <w:b/>
          <w:color w:val="auto"/>
          <w:sz w:val="28"/>
          <w:szCs w:val="32"/>
        </w:rPr>
        <w:t>法定代表人授权书</w:t>
      </w:r>
    </w:p>
    <w:p w14:paraId="1E3CC4C1">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兰天项目管理有限公司</w:t>
      </w:r>
      <w:r>
        <w:rPr>
          <w:rFonts w:hint="eastAsia" w:ascii="宋体" w:hAnsi="宋体" w:eastAsia="宋体" w:cs="宋体"/>
          <w:color w:val="auto"/>
          <w:sz w:val="24"/>
          <w:szCs w:val="24"/>
        </w:rPr>
        <w:t>：</w:t>
      </w:r>
    </w:p>
    <w:p w14:paraId="6EB9EA49">
      <w:pPr>
        <w:keepNext w:val="0"/>
        <w:keepLines w:val="0"/>
        <w:pageBreakBefore w:val="0"/>
        <w:widowControl w:val="0"/>
        <w:tabs>
          <w:tab w:val="left" w:pos="8820"/>
        </w:tabs>
        <w:kinsoku/>
        <w:wordWrap/>
        <w:overflowPunct/>
        <w:topLinePunct w:val="0"/>
        <w:autoSpaceDE/>
        <w:autoSpaceDN/>
        <w:bidi w:val="0"/>
        <w:adjustRightInd/>
        <w:snapToGrid/>
        <w:spacing w:line="336" w:lineRule="auto"/>
        <w:ind w:firstLine="57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本授权委托书声明：我</w:t>
      </w:r>
      <w:r>
        <w:rPr>
          <w:rFonts w:hint="eastAsia" w:ascii="宋体" w:hAnsi="宋体" w:eastAsia="宋体" w:cs="宋体"/>
          <w:color w:val="auto"/>
          <w:sz w:val="24"/>
          <w:szCs w:val="24"/>
          <w:u w:val="single"/>
        </w:rPr>
        <w:t xml:space="preserve">（法定代表人姓名）   </w:t>
      </w:r>
      <w:r>
        <w:rPr>
          <w:rFonts w:hint="eastAsia" w:ascii="宋体" w:hAnsi="宋体" w:eastAsia="宋体" w:cs="宋体"/>
          <w:color w:val="auto"/>
          <w:sz w:val="24"/>
          <w:szCs w:val="24"/>
        </w:rPr>
        <w:t>系注册于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投标人</w:t>
      </w:r>
      <w:r>
        <w:rPr>
          <w:rFonts w:hint="eastAsia" w:ascii="宋体" w:hAnsi="宋体" w:eastAsia="宋体" w:cs="宋体"/>
          <w:color w:val="auto"/>
          <w:sz w:val="24"/>
          <w:szCs w:val="24"/>
          <w:u w:val="single"/>
        </w:rPr>
        <w:t>地址）</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eastAsia="zh-CN"/>
        </w:rPr>
        <w:t>投标人</w:t>
      </w:r>
      <w:r>
        <w:rPr>
          <w:rFonts w:hint="eastAsia" w:ascii="宋体" w:hAnsi="宋体" w:eastAsia="宋体" w:cs="宋体"/>
          <w:color w:val="auto"/>
          <w:sz w:val="24"/>
          <w:szCs w:val="24"/>
          <w:u w:val="single"/>
        </w:rPr>
        <w:t xml:space="preserve">名称）  </w:t>
      </w:r>
      <w:r>
        <w:rPr>
          <w:rFonts w:hint="eastAsia" w:ascii="宋体" w:hAnsi="宋体" w:eastAsia="宋体" w:cs="宋体"/>
          <w:color w:val="auto"/>
          <w:sz w:val="24"/>
          <w:szCs w:val="24"/>
        </w:rPr>
        <w:t>的法定代表人，现代表公司授权下面签字的</w:t>
      </w:r>
      <w:r>
        <w:rPr>
          <w:rFonts w:hint="eastAsia" w:ascii="宋体" w:hAnsi="宋体" w:eastAsia="宋体" w:cs="宋体"/>
          <w:color w:val="auto"/>
          <w:sz w:val="24"/>
          <w:szCs w:val="24"/>
          <w:u w:val="single"/>
        </w:rPr>
        <w:t xml:space="preserve">（被授权人的姓名、职务）   </w:t>
      </w:r>
      <w:r>
        <w:rPr>
          <w:rFonts w:hint="eastAsia" w:ascii="宋体" w:hAnsi="宋体" w:eastAsia="宋体" w:cs="宋体"/>
          <w:color w:val="auto"/>
          <w:sz w:val="24"/>
          <w:szCs w:val="24"/>
        </w:rPr>
        <w:t>为我公司合法代理人，代表本公司参加</w:t>
      </w:r>
      <w:r>
        <w:rPr>
          <w:rFonts w:hint="eastAsia" w:ascii="宋体" w:hAnsi="宋体" w:eastAsia="宋体" w:cs="宋体"/>
          <w:color w:val="auto"/>
          <w:sz w:val="24"/>
          <w:szCs w:val="24"/>
          <w:u w:val="single"/>
        </w:rPr>
        <w:t xml:space="preserve">  （项目名称）  </w:t>
      </w:r>
      <w:r>
        <w:rPr>
          <w:rFonts w:hint="eastAsia" w:ascii="宋体" w:hAnsi="宋体" w:eastAsia="宋体" w:cs="宋体"/>
          <w:color w:val="auto"/>
          <w:sz w:val="24"/>
          <w:szCs w:val="24"/>
        </w:rPr>
        <w:t>采购项目编号为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的采购活动。以我方名义全权处理该项目有关</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、签订合同以及执行合同等一切事宜。</w:t>
      </w:r>
    </w:p>
    <w:p w14:paraId="64D643F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有效期自</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之日起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日历日，特此声明。</w:t>
      </w:r>
    </w:p>
    <w:p w14:paraId="4150F9F4">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（单位名称及公章）：________</w:t>
      </w:r>
    </w:p>
    <w:p w14:paraId="23C3D40D">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法定代表人（签字或盖章）：________</w:t>
      </w:r>
    </w:p>
    <w:p w14:paraId="0FF23796">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签发日期：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日</w:t>
      </w:r>
    </w:p>
    <w:p w14:paraId="1ABFC916">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被授权人（</w:t>
      </w:r>
      <w:r>
        <w:rPr>
          <w:rFonts w:hint="eastAsia" w:ascii="宋体" w:hAnsi="宋体" w:eastAsia="宋体" w:cs="宋体"/>
          <w:color w:val="auto"/>
          <w:spacing w:val="4"/>
          <w:sz w:val="24"/>
          <w:lang w:val="en-US" w:eastAsia="zh-CN"/>
        </w:rPr>
        <w:t>签字或盖章</w:t>
      </w:r>
      <w:r>
        <w:rPr>
          <w:rFonts w:hint="eastAsia" w:ascii="宋体" w:hAnsi="宋体" w:eastAsia="宋体" w:cs="宋体"/>
          <w:color w:val="auto"/>
          <w:sz w:val="24"/>
          <w:szCs w:val="24"/>
        </w:rPr>
        <w:t>）：________性别：________</w:t>
      </w:r>
    </w:p>
    <w:p w14:paraId="0A9B122C">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联系地址：________________</w:t>
      </w:r>
    </w:p>
    <w:p w14:paraId="13E88698">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联系电话：________________</w:t>
      </w:r>
    </w:p>
    <w:p w14:paraId="3A6B09FA">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法定代表人及被授权人身份证复印件（注：身份证复印件须加盖企业公章）</w:t>
      </w:r>
    </w:p>
    <w:tbl>
      <w:tblPr>
        <w:tblStyle w:val="46"/>
        <w:tblW w:w="92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4"/>
        <w:gridCol w:w="4495"/>
      </w:tblGrid>
      <w:tr w14:paraId="4AD7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7" w:hRule="atLeast"/>
        </w:trPr>
        <w:tc>
          <w:tcPr>
            <w:tcW w:w="4744" w:type="dxa"/>
            <w:shd w:val="clear" w:color="auto" w:fill="D9D9D9"/>
            <w:vAlign w:val="center"/>
          </w:tcPr>
          <w:p w14:paraId="4B19BF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宋体" w:hAnsi="宋体" w:eastAsia="宋体" w:cs="宋体"/>
                <w:color w:val="auto"/>
                <w:sz w:val="24"/>
                <w:szCs w:val="24"/>
                <w:shd w:val="pct10" w:color="auto" w:fill="FFFFFF"/>
              </w:rPr>
            </w:pPr>
            <w:r>
              <w:rPr>
                <w:rFonts w:hint="eastAsia" w:ascii="宋体" w:hAnsi="宋体" w:eastAsia="宋体" w:cs="宋体"/>
                <w:color w:val="auto"/>
                <w:sz w:val="24"/>
                <w:szCs w:val="24"/>
                <w:shd w:val="pct10" w:color="auto" w:fill="FFFFFF"/>
              </w:rPr>
              <w:t>法定代表人身份证复印件（正面）</w:t>
            </w:r>
          </w:p>
        </w:tc>
        <w:tc>
          <w:tcPr>
            <w:tcW w:w="4495" w:type="dxa"/>
            <w:shd w:val="clear" w:color="auto" w:fill="D9D9D9"/>
            <w:vAlign w:val="center"/>
          </w:tcPr>
          <w:p w14:paraId="3E91CD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firstLine="480" w:firstLineChars="200"/>
              <w:jc w:val="left"/>
              <w:textAlignment w:val="auto"/>
              <w:rPr>
                <w:rFonts w:hint="eastAsia" w:ascii="宋体" w:hAnsi="宋体" w:eastAsia="宋体" w:cs="宋体"/>
                <w:color w:val="auto"/>
                <w:sz w:val="24"/>
                <w:szCs w:val="24"/>
                <w:shd w:val="pct10" w:color="auto" w:fill="FFFFFF"/>
              </w:rPr>
            </w:pPr>
            <w:r>
              <w:rPr>
                <w:rFonts w:hint="eastAsia" w:ascii="宋体" w:hAnsi="宋体" w:eastAsia="宋体" w:cs="宋体"/>
                <w:color w:val="auto"/>
                <w:sz w:val="24"/>
                <w:szCs w:val="24"/>
                <w:shd w:val="pct10" w:color="auto" w:fill="FFFFFF"/>
              </w:rPr>
              <w:t>被授权人身份证复印件（正面）</w:t>
            </w:r>
          </w:p>
        </w:tc>
      </w:tr>
      <w:tr w14:paraId="232C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9" w:hRule="atLeast"/>
        </w:trPr>
        <w:tc>
          <w:tcPr>
            <w:tcW w:w="4744" w:type="dxa"/>
            <w:shd w:val="clear" w:color="auto" w:fill="D9D9D9"/>
            <w:vAlign w:val="center"/>
          </w:tcPr>
          <w:p w14:paraId="7DF697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宋体" w:hAnsi="宋体" w:eastAsia="宋体" w:cs="宋体"/>
                <w:color w:val="auto"/>
                <w:sz w:val="24"/>
                <w:szCs w:val="24"/>
                <w:shd w:val="pct10" w:color="auto" w:fill="FFFFFF"/>
              </w:rPr>
            </w:pPr>
            <w:r>
              <w:rPr>
                <w:rFonts w:hint="eastAsia" w:ascii="宋体" w:hAnsi="宋体" w:eastAsia="宋体" w:cs="宋体"/>
                <w:color w:val="auto"/>
                <w:sz w:val="24"/>
                <w:szCs w:val="24"/>
                <w:shd w:val="pct10" w:color="auto" w:fill="FFFFFF"/>
              </w:rPr>
              <w:t>法定代表人身份证复印件（反面）</w:t>
            </w:r>
          </w:p>
        </w:tc>
        <w:tc>
          <w:tcPr>
            <w:tcW w:w="4495" w:type="dxa"/>
            <w:shd w:val="clear" w:color="auto" w:fill="D9D9D9"/>
            <w:vAlign w:val="center"/>
          </w:tcPr>
          <w:p w14:paraId="103D33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firstLine="480" w:firstLineChars="200"/>
              <w:jc w:val="left"/>
              <w:textAlignment w:val="auto"/>
              <w:rPr>
                <w:rFonts w:hint="eastAsia" w:ascii="宋体" w:hAnsi="宋体" w:eastAsia="宋体" w:cs="宋体"/>
                <w:color w:val="auto"/>
                <w:sz w:val="24"/>
                <w:szCs w:val="24"/>
                <w:shd w:val="pct10" w:color="auto" w:fill="FFFFFF"/>
              </w:rPr>
            </w:pPr>
            <w:r>
              <w:rPr>
                <w:rFonts w:hint="eastAsia" w:ascii="宋体" w:hAnsi="宋体" w:eastAsia="宋体" w:cs="宋体"/>
                <w:color w:val="auto"/>
                <w:sz w:val="24"/>
                <w:szCs w:val="24"/>
                <w:shd w:val="pct10" w:color="auto" w:fill="FFFFFF"/>
              </w:rPr>
              <w:t>被授权人身份证复印件（反面）</w:t>
            </w:r>
          </w:p>
        </w:tc>
      </w:tr>
    </w:tbl>
    <w:p w14:paraId="11D01532">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045F31E5">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1．本授权书有效期自招标大会之日计算不得少于90日历日。</w:t>
      </w:r>
    </w:p>
    <w:p w14:paraId="14B102E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2．授权书内容填写要明确，文字要工整清楚，涂改无效。</w:t>
      </w:r>
    </w:p>
    <w:p w14:paraId="4C6BF431">
      <w:pPr>
        <w:spacing w:line="520" w:lineRule="exact"/>
        <w:jc w:val="center"/>
        <w:rPr>
          <w:rFonts w:hint="eastAsia" w:ascii="宋体" w:hAnsi="宋体" w:eastAsia="宋体" w:cs="宋体"/>
          <w:b/>
          <w:bCs/>
          <w:color w:val="auto"/>
          <w:sz w:val="32"/>
          <w:szCs w:val="32"/>
        </w:rPr>
      </w:pPr>
    </w:p>
    <w:p w14:paraId="3D2D4D30">
      <w:pPr>
        <w:pStyle w:val="7"/>
        <w:jc w:val="center"/>
        <w:rPr>
          <w:rFonts w:hint="eastAsia" w:ascii="宋体" w:hAnsi="宋体" w:eastAsia="宋体" w:cs="宋体"/>
          <w:color w:val="auto"/>
        </w:rPr>
      </w:pPr>
      <w:bookmarkStart w:id="184" w:name="_Toc24284"/>
      <w:r>
        <w:rPr>
          <w:rFonts w:hint="eastAsia" w:ascii="宋体" w:hAnsi="宋体" w:eastAsia="宋体" w:cs="宋体"/>
          <w:color w:val="auto"/>
        </w:rPr>
        <w:t>无重大违法记录声明</w:t>
      </w:r>
      <w:bookmarkEnd w:id="184"/>
    </w:p>
    <w:p w14:paraId="471A1BE7">
      <w:pPr>
        <w:snapToGrid w:val="0"/>
        <w:spacing w:line="480" w:lineRule="auto"/>
        <w:ind w:firstLine="480" w:firstLineChars="200"/>
        <w:jc w:val="left"/>
        <w:rPr>
          <w:rFonts w:hint="eastAsia" w:ascii="宋体" w:hAnsi="宋体" w:eastAsia="宋体" w:cs="宋体"/>
          <w:color w:val="auto"/>
          <w:kern w:val="0"/>
          <w:sz w:val="24"/>
          <w:szCs w:val="24"/>
        </w:rPr>
      </w:pPr>
    </w:p>
    <w:p w14:paraId="216C3803">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24"/>
        </w:rPr>
        <w:t>我单位参与</w:t>
      </w:r>
      <w:r>
        <w:rPr>
          <w:rFonts w:hint="eastAsia" w:ascii="宋体" w:hAnsi="宋体" w:eastAsia="宋体" w:cs="宋体"/>
          <w:color w:val="auto"/>
          <w:sz w:val="24"/>
          <w:szCs w:val="24"/>
          <w:lang w:eastAsia="zh-CN"/>
        </w:rPr>
        <w:t>兰天项目管理有限公司</w:t>
      </w:r>
      <w:r>
        <w:rPr>
          <w:rFonts w:hint="eastAsia" w:ascii="宋体" w:hAnsi="宋体" w:eastAsia="宋体" w:cs="宋体"/>
          <w:color w:val="auto"/>
          <w:sz w:val="24"/>
          <w:szCs w:val="24"/>
        </w:rPr>
        <w:t>组织的</w:t>
      </w:r>
      <w:r>
        <w:rPr>
          <w:rFonts w:hint="eastAsia" w:ascii="宋体" w:hAnsi="宋体" w:eastAsia="宋体" w:cs="宋体"/>
          <w:color w:val="auto"/>
          <w:sz w:val="24"/>
          <w:szCs w:val="24"/>
          <w:u w:val="single"/>
        </w:rPr>
        <w:t xml:space="preserve">     （项目名称）（项目编号）    </w:t>
      </w:r>
      <w:r>
        <w:rPr>
          <w:rFonts w:hint="eastAsia" w:ascii="宋体" w:hAnsi="宋体" w:eastAsia="宋体" w:cs="宋体"/>
          <w:color w:val="auto"/>
          <w:sz w:val="24"/>
          <w:szCs w:val="24"/>
          <w:lang w:eastAsia="zh-CN"/>
        </w:rPr>
        <w:t>竞争性</w:t>
      </w:r>
      <w:r>
        <w:rPr>
          <w:rFonts w:hint="eastAsia" w:ascii="宋体" w:hAnsi="宋体" w:eastAsia="宋体" w:cs="宋体"/>
          <w:color w:val="auto"/>
          <w:sz w:val="24"/>
          <w:szCs w:val="24"/>
          <w:lang w:val="en-US" w:eastAsia="zh-CN"/>
        </w:rPr>
        <w:t>磋商采购活动</w:t>
      </w:r>
      <w:r>
        <w:rPr>
          <w:rFonts w:hint="eastAsia" w:ascii="宋体" w:hAnsi="宋体" w:eastAsia="宋体" w:cs="宋体"/>
          <w:color w:val="auto"/>
          <w:sz w:val="24"/>
          <w:szCs w:val="24"/>
        </w:rPr>
        <w:t>，我单位郑重声明：我方参加本项目招标工作前三年内无重大违法活动记录，符合《中华人民共和国政府采购法》规定的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资格条件，我方对此声明负全部法律责任。</w:t>
      </w:r>
    </w:p>
    <w:p w14:paraId="6445F516">
      <w:pPr>
        <w:spacing w:line="360" w:lineRule="auto"/>
        <w:rPr>
          <w:rFonts w:hint="eastAsia" w:ascii="宋体" w:hAnsi="宋体" w:eastAsia="宋体" w:cs="宋体"/>
          <w:color w:val="auto"/>
          <w:sz w:val="24"/>
          <w:szCs w:val="24"/>
        </w:rPr>
      </w:pPr>
    </w:p>
    <w:p w14:paraId="129527D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4337EB69">
      <w:pPr>
        <w:spacing w:line="360" w:lineRule="auto"/>
        <w:rPr>
          <w:rFonts w:hint="eastAsia" w:ascii="宋体" w:hAnsi="宋体" w:eastAsia="宋体" w:cs="宋体"/>
          <w:color w:val="auto"/>
          <w:sz w:val="24"/>
          <w:szCs w:val="24"/>
        </w:rPr>
      </w:pPr>
    </w:p>
    <w:p w14:paraId="6392E13C">
      <w:pPr>
        <w:spacing w:line="360" w:lineRule="auto"/>
        <w:rPr>
          <w:rFonts w:hint="eastAsia" w:ascii="宋体" w:hAnsi="宋体" w:eastAsia="宋体" w:cs="宋体"/>
          <w:color w:val="auto"/>
          <w:sz w:val="24"/>
          <w:szCs w:val="24"/>
        </w:rPr>
      </w:pPr>
    </w:p>
    <w:p w14:paraId="5EFEC173">
      <w:pPr>
        <w:spacing w:line="360" w:lineRule="auto"/>
        <w:rPr>
          <w:rFonts w:hint="eastAsia" w:ascii="宋体" w:hAnsi="宋体" w:eastAsia="宋体" w:cs="宋体"/>
          <w:color w:val="auto"/>
          <w:sz w:val="24"/>
          <w:szCs w:val="24"/>
          <w:lang w:eastAsia="zh-CN"/>
        </w:rPr>
      </w:pPr>
    </w:p>
    <w:p w14:paraId="08943A0E">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（单位名称及公章）：</w:t>
      </w:r>
      <w:r>
        <w:rPr>
          <w:rFonts w:hint="eastAsia" w:ascii="宋体" w:hAnsi="宋体" w:eastAsia="宋体" w:cs="宋体"/>
          <w:color w:val="auto"/>
          <w:sz w:val="24"/>
          <w:szCs w:val="24"/>
          <w:u w:val="single"/>
          <w:lang w:val="en-US" w:eastAsia="zh-CN"/>
        </w:rPr>
        <w:t xml:space="preserve">                   </w:t>
      </w:r>
    </w:p>
    <w:p w14:paraId="0C4B8B61">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被授权人（签字）：</w:t>
      </w:r>
      <w:r>
        <w:rPr>
          <w:rFonts w:hint="eastAsia" w:ascii="宋体" w:hAnsi="宋体" w:eastAsia="宋体" w:cs="宋体"/>
          <w:color w:val="auto"/>
          <w:sz w:val="24"/>
          <w:szCs w:val="24"/>
          <w:u w:val="single"/>
          <w:lang w:val="en-US" w:eastAsia="zh-CN"/>
        </w:rPr>
        <w:t xml:space="preserve">                   </w:t>
      </w:r>
    </w:p>
    <w:p w14:paraId="27D52B89">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lang w:val="en-US" w:eastAsia="zh-CN"/>
        </w:rPr>
        <w:t xml:space="preserve">                   </w:t>
      </w:r>
    </w:p>
    <w:p w14:paraId="54FC6960">
      <w:pPr>
        <w:keepNext w:val="0"/>
        <w:keepLines w:val="0"/>
        <w:pageBreakBefore w:val="0"/>
        <w:widowControl w:val="0"/>
        <w:kinsoku/>
        <w:wordWrap/>
        <w:overflowPunct/>
        <w:topLinePunct w:val="0"/>
        <w:autoSpaceDE/>
        <w:autoSpaceDN/>
        <w:bidi w:val="0"/>
        <w:spacing w:line="408" w:lineRule="auto"/>
        <w:textAlignment w:val="auto"/>
        <w:rPr>
          <w:rFonts w:hint="eastAsia" w:ascii="宋体" w:hAnsi="宋体" w:eastAsia="宋体" w:cs="宋体"/>
          <w:color w:val="auto"/>
        </w:rPr>
        <w:sectPr>
          <w:pgSz w:w="11906" w:h="16838"/>
          <w:pgMar w:top="1361" w:right="1423" w:bottom="1361" w:left="1423" w:header="1134" w:footer="992" w:gutter="0"/>
          <w:pgNumType w:fmt="decimal"/>
          <w:cols w:space="0" w:num="1"/>
          <w:titlePg/>
          <w:rtlGutter w:val="0"/>
          <w:docGrid w:type="lines" w:linePitch="317" w:charSpace="0"/>
        </w:sectPr>
      </w:pPr>
    </w:p>
    <w:p w14:paraId="1B7A2106">
      <w:pPr>
        <w:adjustRightInd w:val="0"/>
        <w:snapToGrid w:val="0"/>
        <w:spacing w:line="360" w:lineRule="auto"/>
        <w:jc w:val="center"/>
        <w:rPr>
          <w:rFonts w:hint="eastAsia" w:ascii="宋体" w:hAnsi="宋体" w:eastAsia="宋体" w:cs="宋体"/>
          <w:b/>
          <w:bCs/>
          <w:color w:val="auto"/>
          <w:sz w:val="28"/>
          <w:szCs w:val="28"/>
        </w:rPr>
      </w:pPr>
    </w:p>
    <w:p w14:paraId="12785737">
      <w:pPr>
        <w:adjustRightInd w:val="0"/>
        <w:snapToGrid w:val="0"/>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投标人非联合体投标声明</w:t>
      </w:r>
    </w:p>
    <w:p w14:paraId="403A8993">
      <w:pPr>
        <w:adjustRightInd w:val="0"/>
        <w:snapToGrid w:val="0"/>
        <w:spacing w:line="360" w:lineRule="auto"/>
        <w:rPr>
          <w:rFonts w:hint="eastAsia" w:ascii="宋体" w:hAnsi="宋体" w:eastAsia="宋体" w:cs="宋体"/>
          <w:bCs/>
          <w:color w:val="auto"/>
          <w:sz w:val="28"/>
          <w:szCs w:val="28"/>
        </w:rPr>
      </w:pPr>
    </w:p>
    <w:p w14:paraId="5988BCB5">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lang w:eastAsia="zh-CN"/>
        </w:rPr>
        <w:t>兰天项目管理有限公司</w:t>
      </w:r>
      <w:r>
        <w:rPr>
          <w:rFonts w:hint="eastAsia" w:ascii="宋体" w:hAnsi="宋体" w:eastAsia="宋体" w:cs="宋体"/>
          <w:bCs/>
          <w:color w:val="auto"/>
          <w:sz w:val="24"/>
          <w:szCs w:val="24"/>
        </w:rPr>
        <w:t>：</w:t>
      </w:r>
    </w:p>
    <w:p w14:paraId="1C01F80A">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我方愿响应贵方</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日发布的</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项目（项目编号：</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）招标内容，参与投标，提供采购人需求中规定的全部内容。本公司就参加投标工作，作出郑重声明：</w:t>
      </w:r>
    </w:p>
    <w:p w14:paraId="647B1E4A">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1.本公司保证在本项目投标中不与其他单位围标、串标，不出让投标资格，不向采购人、采购代理机构和</w:t>
      </w:r>
      <w:r>
        <w:rPr>
          <w:rFonts w:hint="eastAsia" w:ascii="宋体" w:hAnsi="宋体" w:eastAsia="宋体" w:cs="宋体"/>
          <w:bCs/>
          <w:color w:val="auto"/>
          <w:sz w:val="24"/>
          <w:szCs w:val="24"/>
          <w:lang w:eastAsia="zh-CN"/>
        </w:rPr>
        <w:t>磋商小组</w:t>
      </w:r>
      <w:r>
        <w:rPr>
          <w:rFonts w:hint="eastAsia" w:ascii="宋体" w:hAnsi="宋体" w:eastAsia="宋体" w:cs="宋体"/>
          <w:bCs/>
          <w:color w:val="auto"/>
          <w:sz w:val="24"/>
          <w:szCs w:val="24"/>
        </w:rPr>
        <w:t>成员行贿。</w:t>
      </w:r>
    </w:p>
    <w:p w14:paraId="13D4B600">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2.本公司保证本项目并非联合体投标，本项目服务由本公司独立承担。</w:t>
      </w:r>
    </w:p>
    <w:p w14:paraId="504EFE9D">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本公司违反上述保证，或本声明陈述与事实不符，经查实，我方自行承担一切后果及法律责任。</w:t>
      </w:r>
    </w:p>
    <w:p w14:paraId="665A0692">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特此声明。</w:t>
      </w:r>
    </w:p>
    <w:p w14:paraId="0EBF97DD">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szCs w:val="24"/>
        </w:rPr>
      </w:pPr>
    </w:p>
    <w:p w14:paraId="32F4C33C">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szCs w:val="24"/>
        </w:rPr>
      </w:pPr>
    </w:p>
    <w:p w14:paraId="35ADA153">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szCs w:val="24"/>
        </w:rPr>
      </w:pPr>
    </w:p>
    <w:p w14:paraId="5A63DC9B">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投标人名称（加盖公章）：</w:t>
      </w:r>
      <w:r>
        <w:rPr>
          <w:rFonts w:hint="eastAsia" w:ascii="宋体" w:hAnsi="宋体" w:eastAsia="宋体" w:cs="宋体"/>
          <w:color w:val="auto"/>
          <w:sz w:val="24"/>
          <w:szCs w:val="24"/>
          <w:u w:val="single"/>
          <w:lang w:val="en-US" w:eastAsia="zh-CN"/>
        </w:rPr>
        <w:t xml:space="preserve">                   </w:t>
      </w:r>
    </w:p>
    <w:p w14:paraId="3A570B6F">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kern w:val="0"/>
          <w:sz w:val="24"/>
          <w:szCs w:val="24"/>
        </w:rPr>
        <w:t>法定代表人或被授权代表（</w:t>
      </w:r>
      <w:r>
        <w:rPr>
          <w:rFonts w:hint="eastAsia" w:ascii="宋体" w:hAnsi="宋体" w:eastAsia="宋体" w:cs="宋体"/>
          <w:color w:val="auto"/>
          <w:spacing w:val="4"/>
          <w:sz w:val="24"/>
          <w:lang w:val="en-US" w:eastAsia="zh-CN"/>
        </w:rPr>
        <w:t>签字或盖章</w:t>
      </w:r>
      <w:r>
        <w:rPr>
          <w:rFonts w:hint="eastAsia" w:ascii="宋体" w:hAnsi="宋体" w:eastAsia="宋体" w:cs="宋体"/>
          <w:bCs/>
          <w:color w:val="auto"/>
          <w:kern w:val="0"/>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Cs/>
          <w:color w:val="auto"/>
          <w:kern w:val="0"/>
          <w:sz w:val="24"/>
          <w:szCs w:val="24"/>
        </w:rPr>
        <w:t xml:space="preserve"> </w:t>
      </w:r>
    </w:p>
    <w:p w14:paraId="1702F549">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日   期：</w:t>
      </w:r>
      <w:r>
        <w:rPr>
          <w:rFonts w:hint="eastAsia" w:ascii="宋体" w:hAnsi="宋体" w:eastAsia="宋体" w:cs="宋体"/>
          <w:color w:val="auto"/>
          <w:sz w:val="24"/>
          <w:szCs w:val="24"/>
          <w:u w:val="single"/>
          <w:lang w:val="en-US" w:eastAsia="zh-CN"/>
        </w:rPr>
        <w:t xml:space="preserve">                   </w:t>
      </w:r>
    </w:p>
    <w:p w14:paraId="7901FD9B">
      <w:pPr>
        <w:pStyle w:val="64"/>
        <w:pageBreakBefore w:val="0"/>
        <w:kinsoku/>
        <w:wordWrap/>
        <w:overflowPunct/>
        <w:topLinePunct w:val="0"/>
        <w:autoSpaceDE/>
        <w:autoSpaceDN/>
        <w:bidi w:val="0"/>
        <w:spacing w:before="0" w:line="408" w:lineRule="auto"/>
        <w:textAlignment w:val="auto"/>
        <w:rPr>
          <w:rFonts w:hint="eastAsia" w:ascii="宋体" w:hAnsi="宋体" w:eastAsia="宋体" w:cs="宋体"/>
          <w:color w:val="auto"/>
          <w:sz w:val="24"/>
          <w:szCs w:val="24"/>
        </w:rPr>
        <w:sectPr>
          <w:pgSz w:w="11906" w:h="16838"/>
          <w:pgMar w:top="1361" w:right="1423" w:bottom="1361" w:left="1423" w:header="1134" w:footer="992" w:gutter="0"/>
          <w:pgNumType w:fmt="decimal"/>
          <w:cols w:space="0" w:num="1"/>
          <w:titlePg/>
          <w:rtlGutter w:val="0"/>
          <w:docGrid w:type="lines" w:linePitch="317" w:charSpace="0"/>
        </w:sectPr>
      </w:pPr>
    </w:p>
    <w:p w14:paraId="13FBD961">
      <w:pPr>
        <w:spacing w:after="190" w:afterLines="50" w:line="480" w:lineRule="exact"/>
        <w:jc w:val="center"/>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中小企业声明函（工程、服务）</w:t>
      </w:r>
    </w:p>
    <w:p w14:paraId="2C94CB95">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0FC956C5">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3B2366C2">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44C704C0">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34013F80">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5C29DC4E">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35BA4CE0">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499923ED">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7DFA6C3E">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39A0C95D">
      <w:pPr>
        <w:pStyle w:val="125"/>
        <w:rPr>
          <w:rFonts w:hint="eastAsia" w:ascii="宋体" w:hAnsi="宋体" w:eastAsia="宋体" w:cs="宋体"/>
          <w:color w:val="auto"/>
          <w:lang w:val="en-US" w:eastAsia="zh-CN"/>
        </w:rPr>
      </w:pPr>
    </w:p>
    <w:p w14:paraId="7A6A4311">
      <w:pPr>
        <w:pStyle w:val="4"/>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6E00DAD2">
      <w:pPr>
        <w:pStyle w:val="5"/>
        <w:rPr>
          <w:rFonts w:hint="eastAsia" w:ascii="宋体" w:hAnsi="宋体" w:eastAsia="宋体" w:cs="宋体"/>
          <w:lang w:val="en-US" w:eastAsia="zh-CN"/>
        </w:rPr>
      </w:pPr>
    </w:p>
    <w:p w14:paraId="73E9CDC3">
      <w:pPr>
        <w:snapToGrid w:val="0"/>
        <w:spacing w:line="440" w:lineRule="exact"/>
        <w:ind w:firstLine="420" w:firstLineChars="200"/>
        <w:rPr>
          <w:rFonts w:hint="eastAsia" w:ascii="宋体" w:hAnsi="宋体" w:eastAsia="宋体" w:cs="宋体"/>
          <w:color w:val="000000" w:themeColor="text1"/>
          <w:kern w:val="0"/>
          <w:szCs w:val="24"/>
          <w:highlight w:val="none"/>
          <w:lang w:val="en-US" w:eastAsia="zh-CN"/>
          <w14:textFill>
            <w14:solidFill>
              <w14:schemeClr w14:val="tx1"/>
            </w14:solidFill>
          </w14:textFill>
        </w:rPr>
      </w:pPr>
    </w:p>
    <w:p w14:paraId="1EB4B519">
      <w:pPr>
        <w:pStyle w:val="5"/>
        <w:rPr>
          <w:rFonts w:hint="eastAsia" w:ascii="宋体" w:hAnsi="宋体" w:eastAsia="宋体" w:cs="宋体"/>
          <w:color w:val="auto"/>
          <w:sz w:val="24"/>
          <w:szCs w:val="24"/>
        </w:rPr>
        <w:sectPr>
          <w:pgSz w:w="11906" w:h="16838"/>
          <w:pgMar w:top="1361" w:right="1423" w:bottom="1361" w:left="1423" w:header="1134" w:footer="992" w:gutter="0"/>
          <w:pgNumType w:fmt="decimal"/>
          <w:cols w:space="0" w:num="1"/>
          <w:titlePg/>
          <w:rtlGutter w:val="0"/>
          <w:docGrid w:type="lines" w:linePitch="317" w:charSpace="0"/>
        </w:sectPr>
      </w:pPr>
    </w:p>
    <w:p w14:paraId="4B4D1101">
      <w:pPr>
        <w:pStyle w:val="7"/>
        <w:numPr>
          <w:ilvl w:val="0"/>
          <w:numId w:val="11"/>
        </w:numPr>
        <w:ind w:firstLine="482" w:firstLineChars="150"/>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技术商务</w:t>
      </w:r>
      <w:r>
        <w:rPr>
          <w:rFonts w:hint="eastAsia" w:ascii="宋体" w:hAnsi="宋体" w:eastAsia="宋体" w:cs="宋体"/>
          <w:b/>
          <w:bCs/>
          <w:color w:val="auto"/>
          <w:sz w:val="32"/>
          <w:szCs w:val="32"/>
          <w:lang w:val="en-US" w:eastAsia="zh-CN"/>
        </w:rPr>
        <w:t>响应</w:t>
      </w:r>
      <w:r>
        <w:rPr>
          <w:rFonts w:hint="eastAsia" w:ascii="宋体" w:hAnsi="宋体" w:eastAsia="宋体" w:cs="宋体"/>
          <w:b/>
          <w:bCs/>
          <w:color w:val="auto"/>
          <w:sz w:val="32"/>
          <w:szCs w:val="32"/>
        </w:rPr>
        <w:t xml:space="preserve">偏离表 </w:t>
      </w:r>
    </w:p>
    <w:p w14:paraId="1DBB76A5">
      <w:pPr>
        <w:pStyle w:val="7"/>
        <w:numPr>
          <w:ilvl w:val="0"/>
          <w:numId w:val="0"/>
        </w:num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技术响应偏离表</w:t>
      </w:r>
    </w:p>
    <w:tbl>
      <w:tblPr>
        <w:tblStyle w:val="46"/>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050"/>
        <w:gridCol w:w="3934"/>
        <w:gridCol w:w="1583"/>
        <w:gridCol w:w="1369"/>
      </w:tblGrid>
      <w:tr w14:paraId="2F5E8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237918B2">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序号</w:t>
            </w:r>
          </w:p>
        </w:tc>
        <w:tc>
          <w:tcPr>
            <w:tcW w:w="2050" w:type="dxa"/>
            <w:vAlign w:val="center"/>
          </w:tcPr>
          <w:p w14:paraId="6AB1DE47">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磋商文件</w:t>
            </w:r>
          </w:p>
          <w:p w14:paraId="6C677254">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技术要求</w:t>
            </w:r>
          </w:p>
        </w:tc>
        <w:tc>
          <w:tcPr>
            <w:tcW w:w="3934" w:type="dxa"/>
            <w:vAlign w:val="center"/>
          </w:tcPr>
          <w:p w14:paraId="45E5D603">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投标文件技术参数</w:t>
            </w:r>
            <w:r>
              <w:rPr>
                <w:rFonts w:hint="eastAsia" w:ascii="宋体" w:hAnsi="宋体" w:eastAsia="宋体" w:cs="宋体"/>
                <w:b w:val="0"/>
                <w:bCs/>
                <w:color w:val="auto"/>
                <w:sz w:val="24"/>
                <w:szCs w:val="24"/>
                <w:lang w:val="en-US" w:eastAsia="zh-CN"/>
              </w:rPr>
              <w:t>应答</w:t>
            </w:r>
          </w:p>
        </w:tc>
        <w:tc>
          <w:tcPr>
            <w:tcW w:w="1583" w:type="dxa"/>
            <w:vAlign w:val="center"/>
          </w:tcPr>
          <w:p w14:paraId="5C15D524">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响应/偏离</w:t>
            </w:r>
          </w:p>
        </w:tc>
        <w:tc>
          <w:tcPr>
            <w:tcW w:w="1369" w:type="dxa"/>
            <w:vAlign w:val="center"/>
          </w:tcPr>
          <w:p w14:paraId="6B85FE72">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偏离简述</w:t>
            </w:r>
          </w:p>
        </w:tc>
      </w:tr>
      <w:tr w14:paraId="5403D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145F847C">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p>
        </w:tc>
        <w:tc>
          <w:tcPr>
            <w:tcW w:w="2050" w:type="dxa"/>
          </w:tcPr>
          <w:p w14:paraId="1318D1E6">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3934" w:type="dxa"/>
          </w:tcPr>
          <w:p w14:paraId="7740A8DF">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583" w:type="dxa"/>
          </w:tcPr>
          <w:p w14:paraId="116D6959">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369" w:type="dxa"/>
          </w:tcPr>
          <w:p w14:paraId="3B1AD589">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r>
      <w:tr w14:paraId="017B7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68CC6709">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p>
        </w:tc>
        <w:tc>
          <w:tcPr>
            <w:tcW w:w="2050" w:type="dxa"/>
          </w:tcPr>
          <w:p w14:paraId="215E37D6">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3934" w:type="dxa"/>
          </w:tcPr>
          <w:p w14:paraId="60E84545">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583" w:type="dxa"/>
          </w:tcPr>
          <w:p w14:paraId="12D65887">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369" w:type="dxa"/>
          </w:tcPr>
          <w:p w14:paraId="28D88A05">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r>
      <w:tr w14:paraId="173A5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4FFC4B24">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w:t>
            </w:r>
          </w:p>
        </w:tc>
        <w:tc>
          <w:tcPr>
            <w:tcW w:w="2050" w:type="dxa"/>
          </w:tcPr>
          <w:p w14:paraId="1CB7D0C1">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3934" w:type="dxa"/>
          </w:tcPr>
          <w:p w14:paraId="72D1C00E">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583" w:type="dxa"/>
          </w:tcPr>
          <w:p w14:paraId="3042529C">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369" w:type="dxa"/>
          </w:tcPr>
          <w:p w14:paraId="430CF30E">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r>
      <w:tr w14:paraId="20992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7CD7D44A">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w:t>
            </w:r>
          </w:p>
        </w:tc>
        <w:tc>
          <w:tcPr>
            <w:tcW w:w="2050" w:type="dxa"/>
          </w:tcPr>
          <w:p w14:paraId="511DD6E1">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3934" w:type="dxa"/>
          </w:tcPr>
          <w:p w14:paraId="6C0B01C6">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583" w:type="dxa"/>
          </w:tcPr>
          <w:p w14:paraId="4A6AC9F5">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369" w:type="dxa"/>
          </w:tcPr>
          <w:p w14:paraId="474E5D58">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r>
      <w:tr w14:paraId="551D6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15CED475">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w:t>
            </w:r>
          </w:p>
        </w:tc>
        <w:tc>
          <w:tcPr>
            <w:tcW w:w="2050" w:type="dxa"/>
          </w:tcPr>
          <w:p w14:paraId="1FFB40C4">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3934" w:type="dxa"/>
          </w:tcPr>
          <w:p w14:paraId="38ED873B">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583" w:type="dxa"/>
          </w:tcPr>
          <w:p w14:paraId="3A7EFE2A">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369" w:type="dxa"/>
          </w:tcPr>
          <w:p w14:paraId="60F20EC5">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r>
    </w:tbl>
    <w:p w14:paraId="5E652444">
      <w:pPr>
        <w:pStyle w:val="18"/>
        <w:rPr>
          <w:rFonts w:hint="eastAsia" w:ascii="宋体" w:hAnsi="宋体" w:eastAsia="宋体" w:cs="宋体"/>
          <w:color w:val="auto"/>
        </w:rPr>
      </w:pPr>
      <w:r>
        <w:rPr>
          <w:rFonts w:hint="eastAsia" w:ascii="宋体" w:hAnsi="宋体" w:eastAsia="宋体" w:cs="宋体"/>
          <w:color w:val="auto"/>
          <w:sz w:val="24"/>
          <w:szCs w:val="24"/>
        </w:rPr>
        <w:t>注：投标人可根据实际情况自行扩展表格细项。</w:t>
      </w:r>
    </w:p>
    <w:p w14:paraId="3296833E">
      <w:pPr>
        <w:jc w:val="center"/>
        <w:rPr>
          <w:rFonts w:hint="eastAsia" w:ascii="宋体" w:hAnsi="宋体" w:eastAsia="宋体" w:cs="宋体"/>
          <w:b/>
          <w:color w:val="auto"/>
          <w:sz w:val="24"/>
          <w:szCs w:val="24"/>
        </w:rPr>
      </w:pPr>
    </w:p>
    <w:p w14:paraId="235043E8">
      <w:pPr>
        <w:jc w:val="center"/>
        <w:rPr>
          <w:rFonts w:hint="eastAsia" w:ascii="宋体" w:hAnsi="宋体" w:eastAsia="宋体" w:cs="宋体"/>
          <w:b/>
          <w:color w:val="auto"/>
          <w:sz w:val="24"/>
          <w:szCs w:val="24"/>
        </w:rPr>
      </w:pPr>
    </w:p>
    <w:p w14:paraId="1F15454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2FC3D927">
      <w:pPr>
        <w:spacing w:line="360" w:lineRule="auto"/>
        <w:rPr>
          <w:rFonts w:hint="eastAsia" w:ascii="宋体" w:hAnsi="宋体" w:eastAsia="宋体" w:cs="宋体"/>
          <w:color w:val="auto"/>
          <w:sz w:val="24"/>
          <w:szCs w:val="24"/>
        </w:rPr>
      </w:pPr>
    </w:p>
    <w:p w14:paraId="64125CDB">
      <w:pPr>
        <w:spacing w:line="360" w:lineRule="auto"/>
        <w:ind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投标人名称（盖章）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p>
    <w:p w14:paraId="2DE21830">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法定代表人或被授权人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签字或盖章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p>
    <w:p w14:paraId="6D9D7B96">
      <w:pPr>
        <w:spacing w:line="360" w:lineRule="auto"/>
        <w:ind w:firstLine="240" w:firstLineChars="1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日      期：</w:t>
      </w:r>
      <w:r>
        <w:rPr>
          <w:rFonts w:hint="eastAsia" w:ascii="宋体" w:hAnsi="宋体" w:eastAsia="宋体" w:cs="宋体"/>
          <w:color w:val="auto"/>
          <w:sz w:val="24"/>
          <w:szCs w:val="24"/>
          <w:u w:val="single"/>
          <w:lang w:val="en-US" w:eastAsia="zh-CN"/>
        </w:rPr>
        <w:t xml:space="preserve">                   </w:t>
      </w:r>
    </w:p>
    <w:p w14:paraId="47EDB4CC">
      <w:pPr>
        <w:pStyle w:val="7"/>
        <w:numPr>
          <w:ilvl w:val="0"/>
          <w:numId w:val="0"/>
        </w:numPr>
        <w:jc w:val="both"/>
        <w:rPr>
          <w:rFonts w:hint="eastAsia" w:ascii="宋体" w:hAnsi="宋体" w:eastAsia="宋体" w:cs="宋体"/>
          <w:b/>
          <w:bCs/>
          <w:color w:val="auto"/>
          <w:sz w:val="32"/>
          <w:szCs w:val="32"/>
          <w:lang w:eastAsia="zh-CN"/>
        </w:rPr>
      </w:pPr>
    </w:p>
    <w:p w14:paraId="2A56F1FE">
      <w:pPr>
        <w:pStyle w:val="7"/>
        <w:numPr>
          <w:ilvl w:val="0"/>
          <w:numId w:val="0"/>
        </w:numPr>
        <w:jc w:val="both"/>
        <w:rPr>
          <w:rFonts w:hint="eastAsia" w:ascii="宋体" w:hAnsi="宋体" w:eastAsia="宋体" w:cs="宋体"/>
          <w:b/>
          <w:bCs/>
          <w:color w:val="auto"/>
          <w:sz w:val="32"/>
          <w:szCs w:val="32"/>
          <w:lang w:eastAsia="zh-CN"/>
        </w:rPr>
      </w:pPr>
    </w:p>
    <w:p w14:paraId="3385DC14">
      <w:pPr>
        <w:pStyle w:val="7"/>
        <w:numPr>
          <w:ilvl w:val="0"/>
          <w:numId w:val="0"/>
        </w:numPr>
        <w:jc w:val="both"/>
        <w:rPr>
          <w:rFonts w:hint="eastAsia" w:ascii="宋体" w:hAnsi="宋体" w:eastAsia="宋体" w:cs="宋体"/>
          <w:b/>
          <w:bCs/>
          <w:color w:val="auto"/>
          <w:sz w:val="32"/>
          <w:szCs w:val="32"/>
          <w:lang w:eastAsia="zh-CN"/>
        </w:rPr>
      </w:pPr>
    </w:p>
    <w:p w14:paraId="694EB28C">
      <w:pPr>
        <w:pStyle w:val="7"/>
        <w:numPr>
          <w:ilvl w:val="0"/>
          <w:numId w:val="0"/>
        </w:numPr>
        <w:jc w:val="both"/>
        <w:rPr>
          <w:rFonts w:hint="eastAsia" w:ascii="宋体" w:hAnsi="宋体" w:eastAsia="宋体" w:cs="宋体"/>
          <w:b/>
          <w:bCs/>
          <w:color w:val="auto"/>
          <w:sz w:val="32"/>
          <w:szCs w:val="32"/>
          <w:lang w:eastAsia="zh-CN"/>
        </w:rPr>
      </w:pPr>
    </w:p>
    <w:p w14:paraId="61FC2427">
      <w:pPr>
        <w:pStyle w:val="7"/>
        <w:numPr>
          <w:ilvl w:val="0"/>
          <w:numId w:val="0"/>
        </w:numPr>
        <w:jc w:val="both"/>
        <w:rPr>
          <w:rFonts w:hint="eastAsia" w:ascii="宋体" w:hAnsi="宋体" w:eastAsia="宋体" w:cs="宋体"/>
          <w:b/>
          <w:bCs/>
          <w:color w:val="auto"/>
          <w:sz w:val="32"/>
          <w:szCs w:val="32"/>
          <w:lang w:eastAsia="zh-CN"/>
        </w:rPr>
      </w:pPr>
    </w:p>
    <w:p w14:paraId="17A2829E">
      <w:pPr>
        <w:pStyle w:val="7"/>
        <w:numPr>
          <w:ilvl w:val="0"/>
          <w:numId w:val="0"/>
        </w:numPr>
        <w:jc w:val="both"/>
        <w:rPr>
          <w:rFonts w:hint="eastAsia" w:ascii="宋体" w:hAnsi="宋体" w:eastAsia="宋体" w:cs="宋体"/>
          <w:b/>
          <w:bCs/>
          <w:color w:val="auto"/>
          <w:sz w:val="32"/>
          <w:szCs w:val="32"/>
          <w:lang w:eastAsia="zh-CN"/>
        </w:rPr>
      </w:pPr>
    </w:p>
    <w:p w14:paraId="7A807927">
      <w:pPr>
        <w:pStyle w:val="7"/>
        <w:numPr>
          <w:ilvl w:val="0"/>
          <w:numId w:val="0"/>
        </w:numPr>
        <w:jc w:val="both"/>
        <w:rPr>
          <w:rFonts w:hint="eastAsia" w:ascii="宋体" w:hAnsi="宋体" w:eastAsia="宋体" w:cs="宋体"/>
          <w:b/>
          <w:bCs/>
          <w:color w:val="auto"/>
          <w:sz w:val="32"/>
          <w:szCs w:val="32"/>
          <w:lang w:eastAsia="zh-CN"/>
        </w:rPr>
      </w:pPr>
    </w:p>
    <w:p w14:paraId="1D7330E2">
      <w:pP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br w:type="page"/>
      </w:r>
    </w:p>
    <w:p w14:paraId="2E38676F">
      <w:pPr>
        <w:pStyle w:val="7"/>
        <w:numPr>
          <w:ilvl w:val="0"/>
          <w:numId w:val="0"/>
        </w:numPr>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28"/>
          <w:szCs w:val="28"/>
          <w:lang w:eastAsia="zh-CN"/>
        </w:rPr>
        <w:t>商务</w:t>
      </w:r>
      <w:r>
        <w:rPr>
          <w:rFonts w:hint="eastAsia" w:ascii="宋体" w:hAnsi="宋体" w:eastAsia="宋体" w:cs="宋体"/>
          <w:b/>
          <w:bCs/>
          <w:color w:val="auto"/>
          <w:sz w:val="28"/>
          <w:szCs w:val="28"/>
          <w:lang w:val="en-US" w:eastAsia="zh-CN"/>
        </w:rPr>
        <w:t>响应</w:t>
      </w:r>
      <w:r>
        <w:rPr>
          <w:rFonts w:hint="eastAsia" w:ascii="宋体" w:hAnsi="宋体" w:eastAsia="宋体" w:cs="宋体"/>
          <w:b/>
          <w:bCs/>
          <w:color w:val="auto"/>
          <w:sz w:val="28"/>
          <w:szCs w:val="28"/>
          <w:lang w:eastAsia="zh-CN"/>
        </w:rPr>
        <w:t>偏离表</w:t>
      </w:r>
    </w:p>
    <w:p w14:paraId="6F5525B2">
      <w:pPr>
        <w:numPr>
          <w:ilvl w:val="0"/>
          <w:numId w:val="0"/>
        </w:numPr>
        <w:rPr>
          <w:rFonts w:hint="eastAsia" w:ascii="宋体" w:hAnsi="宋体" w:eastAsia="宋体" w:cs="宋体"/>
          <w:color w:val="auto"/>
        </w:rPr>
      </w:pPr>
    </w:p>
    <w:tbl>
      <w:tblPr>
        <w:tblStyle w:val="46"/>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6A29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463BCA0A">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br w:type="page"/>
            </w:r>
            <w:r>
              <w:rPr>
                <w:rFonts w:hint="eastAsia" w:ascii="宋体" w:hAnsi="宋体" w:eastAsia="宋体" w:cs="宋体"/>
                <w:b w:val="0"/>
                <w:bCs w:val="0"/>
                <w:color w:val="auto"/>
                <w:sz w:val="24"/>
                <w:szCs w:val="24"/>
                <w:lang w:val="en-US" w:eastAsia="zh-CN"/>
              </w:rPr>
              <w:t>序号</w:t>
            </w:r>
          </w:p>
        </w:tc>
        <w:tc>
          <w:tcPr>
            <w:tcW w:w="2835" w:type="dxa"/>
            <w:vAlign w:val="center"/>
          </w:tcPr>
          <w:p w14:paraId="3CC38095">
            <w:pPr>
              <w:keepNext w:val="0"/>
              <w:keepLines w:val="0"/>
              <w:suppressLineNumbers w:val="0"/>
              <w:wordWrap w:val="0"/>
              <w:spacing w:before="0" w:beforeAutospacing="0" w:after="0" w:afterAutospacing="0"/>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磋商文件</w:t>
            </w:r>
            <w:r>
              <w:rPr>
                <w:rFonts w:hint="eastAsia" w:ascii="宋体" w:hAnsi="宋体" w:eastAsia="宋体" w:cs="宋体"/>
                <w:b w:val="0"/>
                <w:bCs w:val="0"/>
                <w:color w:val="auto"/>
                <w:sz w:val="24"/>
                <w:szCs w:val="24"/>
              </w:rPr>
              <w:t>商务要求</w:t>
            </w:r>
          </w:p>
        </w:tc>
        <w:tc>
          <w:tcPr>
            <w:tcW w:w="2552" w:type="dxa"/>
            <w:vAlign w:val="center"/>
          </w:tcPr>
          <w:p w14:paraId="4FB9C2F2">
            <w:pPr>
              <w:keepNext w:val="0"/>
              <w:keepLines w:val="0"/>
              <w:suppressLineNumbers w:val="0"/>
              <w:wordWrap w:val="0"/>
              <w:spacing w:before="0" w:beforeAutospacing="0" w:after="0" w:afterAutospacing="0"/>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投标文件商务应答</w:t>
            </w:r>
          </w:p>
        </w:tc>
        <w:tc>
          <w:tcPr>
            <w:tcW w:w="1516" w:type="dxa"/>
            <w:vAlign w:val="center"/>
          </w:tcPr>
          <w:p w14:paraId="3B79FF38">
            <w:pPr>
              <w:keepNext w:val="0"/>
              <w:keepLines w:val="0"/>
              <w:suppressLineNumbers w:val="0"/>
              <w:wordWrap w:val="0"/>
              <w:spacing w:before="0" w:beforeAutospacing="0" w:after="0" w:afterAutospacing="0"/>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响应/偏离</w:t>
            </w:r>
          </w:p>
        </w:tc>
        <w:tc>
          <w:tcPr>
            <w:tcW w:w="1516" w:type="dxa"/>
            <w:vAlign w:val="center"/>
          </w:tcPr>
          <w:p w14:paraId="169F92C9">
            <w:pPr>
              <w:keepNext w:val="0"/>
              <w:keepLines w:val="0"/>
              <w:suppressLineNumbers w:val="0"/>
              <w:wordWrap w:val="0"/>
              <w:spacing w:before="0" w:beforeAutospacing="0" w:after="0" w:afterAutospacing="0"/>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偏离简述</w:t>
            </w:r>
          </w:p>
        </w:tc>
      </w:tr>
      <w:tr w14:paraId="36B3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5B3EDA1">
            <w:pPr>
              <w:keepNext w:val="0"/>
              <w:keepLines w:val="0"/>
              <w:suppressLineNumbers w:val="0"/>
              <w:wordWrap w:val="0"/>
              <w:spacing w:before="0" w:beforeAutospacing="0" w:after="0" w:afterAutospacing="0"/>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2835" w:type="dxa"/>
            <w:vAlign w:val="center"/>
          </w:tcPr>
          <w:p w14:paraId="5EAA093E">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rPr>
            </w:pPr>
          </w:p>
        </w:tc>
        <w:tc>
          <w:tcPr>
            <w:tcW w:w="2552" w:type="dxa"/>
            <w:vAlign w:val="center"/>
          </w:tcPr>
          <w:p w14:paraId="7D0FD27A">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rPr>
            </w:pPr>
          </w:p>
        </w:tc>
        <w:tc>
          <w:tcPr>
            <w:tcW w:w="1516" w:type="dxa"/>
            <w:vAlign w:val="center"/>
          </w:tcPr>
          <w:p w14:paraId="0BF984FA">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rPr>
            </w:pPr>
          </w:p>
        </w:tc>
        <w:tc>
          <w:tcPr>
            <w:tcW w:w="1516" w:type="dxa"/>
            <w:vAlign w:val="center"/>
          </w:tcPr>
          <w:p w14:paraId="2EF495B6">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rPr>
            </w:pPr>
          </w:p>
        </w:tc>
      </w:tr>
      <w:tr w14:paraId="0167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36E9EE7">
            <w:pPr>
              <w:keepNext w:val="0"/>
              <w:keepLines w:val="0"/>
              <w:suppressLineNumbers w:val="0"/>
              <w:wordWrap w:val="0"/>
              <w:spacing w:before="0" w:beforeAutospacing="0" w:after="0" w:afterAutospacing="0"/>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p>
        </w:tc>
        <w:tc>
          <w:tcPr>
            <w:tcW w:w="2835" w:type="dxa"/>
            <w:vAlign w:val="center"/>
          </w:tcPr>
          <w:p w14:paraId="75A1D409">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rPr>
            </w:pPr>
          </w:p>
        </w:tc>
        <w:tc>
          <w:tcPr>
            <w:tcW w:w="2552" w:type="dxa"/>
            <w:vAlign w:val="center"/>
          </w:tcPr>
          <w:p w14:paraId="397736D3">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rPr>
            </w:pPr>
          </w:p>
        </w:tc>
        <w:tc>
          <w:tcPr>
            <w:tcW w:w="1516" w:type="dxa"/>
            <w:vAlign w:val="center"/>
          </w:tcPr>
          <w:p w14:paraId="2CD71EBB">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rPr>
            </w:pPr>
          </w:p>
        </w:tc>
        <w:tc>
          <w:tcPr>
            <w:tcW w:w="1516" w:type="dxa"/>
            <w:vAlign w:val="center"/>
          </w:tcPr>
          <w:p w14:paraId="221164B3">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rPr>
            </w:pPr>
          </w:p>
        </w:tc>
      </w:tr>
      <w:tr w14:paraId="1C78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8D52C26">
            <w:pPr>
              <w:keepNext w:val="0"/>
              <w:keepLines w:val="0"/>
              <w:suppressLineNumbers w:val="0"/>
              <w:wordWrap w:val="0"/>
              <w:spacing w:before="0" w:beforeAutospacing="0" w:after="0" w:afterAutospacing="0"/>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p>
        </w:tc>
        <w:tc>
          <w:tcPr>
            <w:tcW w:w="2835" w:type="dxa"/>
            <w:vAlign w:val="center"/>
          </w:tcPr>
          <w:p w14:paraId="3BA49B0B">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rPr>
            </w:pPr>
          </w:p>
        </w:tc>
        <w:tc>
          <w:tcPr>
            <w:tcW w:w="2552" w:type="dxa"/>
            <w:vAlign w:val="center"/>
          </w:tcPr>
          <w:p w14:paraId="1EB44749">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rPr>
            </w:pPr>
          </w:p>
        </w:tc>
        <w:tc>
          <w:tcPr>
            <w:tcW w:w="1516" w:type="dxa"/>
            <w:vAlign w:val="center"/>
          </w:tcPr>
          <w:p w14:paraId="5CF4E642">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rPr>
            </w:pPr>
          </w:p>
        </w:tc>
        <w:tc>
          <w:tcPr>
            <w:tcW w:w="1516" w:type="dxa"/>
            <w:vAlign w:val="center"/>
          </w:tcPr>
          <w:p w14:paraId="68DF63BB">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rPr>
            </w:pPr>
          </w:p>
        </w:tc>
      </w:tr>
      <w:tr w14:paraId="7724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11556D5">
            <w:pPr>
              <w:keepNext w:val="0"/>
              <w:keepLines w:val="0"/>
              <w:suppressLineNumbers w:val="0"/>
              <w:wordWrap w:val="0"/>
              <w:spacing w:before="0" w:beforeAutospacing="0" w:after="0" w:afterAutospacing="0"/>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p>
        </w:tc>
        <w:tc>
          <w:tcPr>
            <w:tcW w:w="2835" w:type="dxa"/>
            <w:vAlign w:val="center"/>
          </w:tcPr>
          <w:p w14:paraId="5E328FE1">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rPr>
            </w:pPr>
          </w:p>
        </w:tc>
        <w:tc>
          <w:tcPr>
            <w:tcW w:w="2552" w:type="dxa"/>
            <w:vAlign w:val="center"/>
          </w:tcPr>
          <w:p w14:paraId="7CD55353">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rPr>
            </w:pPr>
          </w:p>
        </w:tc>
        <w:tc>
          <w:tcPr>
            <w:tcW w:w="1516" w:type="dxa"/>
            <w:vAlign w:val="center"/>
          </w:tcPr>
          <w:p w14:paraId="548B1118">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rPr>
            </w:pPr>
          </w:p>
        </w:tc>
        <w:tc>
          <w:tcPr>
            <w:tcW w:w="1516" w:type="dxa"/>
            <w:vAlign w:val="center"/>
          </w:tcPr>
          <w:p w14:paraId="2132A816">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rPr>
            </w:pPr>
          </w:p>
        </w:tc>
      </w:tr>
    </w:tbl>
    <w:p w14:paraId="6132F19B">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注：对</w:t>
      </w:r>
      <w:r>
        <w:rPr>
          <w:rFonts w:hint="eastAsia" w:ascii="宋体" w:hAnsi="宋体" w:eastAsia="宋体" w:cs="宋体"/>
          <w:b/>
          <w:bCs/>
          <w:color w:val="auto"/>
          <w:sz w:val="24"/>
          <w:szCs w:val="24"/>
          <w:lang w:eastAsia="zh-CN"/>
        </w:rPr>
        <w:t>磋商文件</w:t>
      </w:r>
      <w:r>
        <w:rPr>
          <w:rFonts w:hint="eastAsia" w:ascii="宋体" w:hAnsi="宋体" w:eastAsia="宋体" w:cs="宋体"/>
          <w:b/>
          <w:bCs/>
          <w:color w:val="auto"/>
          <w:sz w:val="24"/>
          <w:szCs w:val="24"/>
        </w:rPr>
        <w:t>中要求的商务条款逐条响应并详细说明。</w:t>
      </w:r>
    </w:p>
    <w:p w14:paraId="01580509">
      <w:pPr>
        <w:rPr>
          <w:rFonts w:hint="eastAsia" w:ascii="宋体" w:hAnsi="宋体" w:eastAsia="宋体" w:cs="宋体"/>
          <w:color w:val="auto"/>
          <w:sz w:val="24"/>
          <w:szCs w:val="24"/>
        </w:rPr>
      </w:pPr>
    </w:p>
    <w:p w14:paraId="562586FD">
      <w:pPr>
        <w:spacing w:line="360" w:lineRule="auto"/>
        <w:ind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784040A4">
      <w:pPr>
        <w:spacing w:line="360" w:lineRule="auto"/>
        <w:ind w:firstLine="420" w:firstLineChars="175"/>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   </w:t>
      </w:r>
    </w:p>
    <w:p w14:paraId="4C5C8FEB">
      <w:pPr>
        <w:pStyle w:val="29"/>
        <w:rPr>
          <w:rFonts w:hint="eastAsia" w:ascii="宋体" w:hAnsi="宋体" w:eastAsia="宋体" w:cs="宋体"/>
          <w:color w:val="auto"/>
        </w:rPr>
      </w:pPr>
    </w:p>
    <w:p w14:paraId="04D75339">
      <w:pPr>
        <w:pStyle w:val="29"/>
        <w:rPr>
          <w:rFonts w:hint="eastAsia" w:ascii="宋体" w:hAnsi="宋体" w:eastAsia="宋体" w:cs="宋体"/>
          <w:color w:val="auto"/>
        </w:rPr>
      </w:pPr>
    </w:p>
    <w:p w14:paraId="4977A1D6">
      <w:pPr>
        <w:pStyle w:val="29"/>
        <w:rPr>
          <w:rFonts w:hint="eastAsia" w:ascii="宋体" w:hAnsi="宋体" w:eastAsia="宋体" w:cs="宋体"/>
          <w:color w:val="auto"/>
        </w:rPr>
      </w:pPr>
    </w:p>
    <w:p w14:paraId="16AF5A12">
      <w:pPr>
        <w:adjustRightInd w:val="0"/>
        <w:snapToGrid w:val="0"/>
        <w:spacing w:line="480" w:lineRule="auto"/>
        <w:jc w:val="left"/>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（单位名称及公章）：</w:t>
      </w:r>
      <w:r>
        <w:rPr>
          <w:rFonts w:hint="eastAsia" w:ascii="宋体" w:hAnsi="宋体" w:eastAsia="宋体" w:cs="宋体"/>
          <w:color w:val="auto"/>
          <w:sz w:val="24"/>
          <w:szCs w:val="24"/>
          <w:u w:val="single"/>
          <w:lang w:val="en-US" w:eastAsia="zh-CN"/>
        </w:rPr>
        <w:t xml:space="preserve">                   </w:t>
      </w:r>
    </w:p>
    <w:p w14:paraId="3C2CF98F">
      <w:pPr>
        <w:adjustRightInd w:val="0"/>
        <w:snapToGrid w:val="0"/>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w:t>
      </w:r>
      <w:r>
        <w:rPr>
          <w:rFonts w:hint="eastAsia" w:ascii="宋体" w:hAnsi="宋体" w:eastAsia="宋体" w:cs="宋体"/>
          <w:color w:val="auto"/>
          <w:spacing w:val="4"/>
          <w:sz w:val="24"/>
          <w:lang w:val="en-US" w:eastAsia="zh-CN"/>
        </w:rPr>
        <w:t>签字或盖章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p>
    <w:p w14:paraId="4B2B21E0">
      <w:pPr>
        <w:adjustRightInd w:val="0"/>
        <w:snapToGrid w:val="0"/>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lang w:val="en-US" w:eastAsia="zh-CN"/>
        </w:rPr>
        <w:t xml:space="preserve">                   </w:t>
      </w:r>
    </w:p>
    <w:p w14:paraId="78F5AF4E">
      <w:pPr>
        <w:pStyle w:val="29"/>
        <w:rPr>
          <w:rFonts w:hint="eastAsia" w:ascii="宋体" w:hAnsi="宋体" w:eastAsia="宋体" w:cs="宋体"/>
          <w:color w:val="auto"/>
        </w:rPr>
      </w:pPr>
    </w:p>
    <w:p w14:paraId="71E9ED0D">
      <w:pPr>
        <w:pStyle w:val="7"/>
        <w:pageBreakBefore/>
        <w:rPr>
          <w:rFonts w:hint="eastAsia" w:ascii="宋体" w:hAnsi="宋体" w:eastAsia="宋体" w:cs="宋体"/>
          <w:color w:val="auto"/>
        </w:rPr>
      </w:pPr>
      <w:bookmarkStart w:id="185" w:name="_Toc9172"/>
      <w:bookmarkStart w:id="186" w:name="_Toc14937"/>
      <w:bookmarkStart w:id="187" w:name="_Toc19543359"/>
      <w:bookmarkStart w:id="188" w:name="_Toc536429392"/>
      <w:bookmarkStart w:id="189" w:name="_Toc536202330"/>
      <w:bookmarkStart w:id="190" w:name="_Toc536202399"/>
      <w:bookmarkStart w:id="191" w:name="_Toc536429339"/>
      <w:bookmarkStart w:id="192" w:name="_Toc1803"/>
      <w:r>
        <w:rPr>
          <w:rFonts w:hint="eastAsia" w:ascii="宋体" w:hAnsi="宋体" w:eastAsia="宋体" w:cs="宋体"/>
          <w:color w:val="auto"/>
        </w:rPr>
        <w:t xml:space="preserve">第五章  </w:t>
      </w:r>
      <w:bookmarkEnd w:id="185"/>
      <w:r>
        <w:rPr>
          <w:rFonts w:hint="eastAsia" w:ascii="宋体" w:hAnsi="宋体" w:eastAsia="宋体" w:cs="宋体"/>
          <w:color w:val="auto"/>
          <w:lang w:val="en-US" w:eastAsia="zh-CN"/>
        </w:rPr>
        <w:t>响应</w:t>
      </w:r>
      <w:r>
        <w:rPr>
          <w:rFonts w:hint="eastAsia" w:ascii="宋体" w:hAnsi="宋体" w:eastAsia="宋体" w:cs="宋体"/>
          <w:color w:val="auto"/>
        </w:rPr>
        <w:t>方案</w:t>
      </w:r>
      <w:bookmarkEnd w:id="186"/>
      <w:bookmarkEnd w:id="187"/>
      <w:bookmarkEnd w:id="188"/>
      <w:bookmarkEnd w:id="189"/>
      <w:bookmarkEnd w:id="190"/>
      <w:bookmarkEnd w:id="191"/>
    </w:p>
    <w:p w14:paraId="5725C7F5">
      <w:pPr>
        <w:spacing w:after="190" w:afterLines="50" w:line="480" w:lineRule="exact"/>
        <w:ind w:firstLine="482" w:firstLineChars="200"/>
        <w:jc w:val="both"/>
        <w:rPr>
          <w:rFonts w:hint="eastAsia" w:ascii="宋体" w:hAnsi="宋体" w:eastAsia="宋体" w:cs="宋体"/>
          <w:b w:val="0"/>
          <w:bCs/>
          <w:color w:val="auto"/>
          <w:sz w:val="24"/>
          <w:szCs w:val="24"/>
          <w:lang w:val="en-US" w:eastAsia="zh-CN"/>
        </w:rPr>
      </w:pPr>
      <w:bookmarkStart w:id="193" w:name="_Toc484198844"/>
      <w:bookmarkStart w:id="194" w:name="_Toc528240834"/>
      <w:bookmarkStart w:id="195" w:name="_Toc23258631"/>
      <w:bookmarkStart w:id="196" w:name="_Toc26541342"/>
      <w:bookmarkStart w:id="197" w:name="_Toc19543360"/>
      <w:r>
        <w:rPr>
          <w:rFonts w:hint="eastAsia" w:ascii="宋体" w:hAnsi="宋体" w:eastAsia="宋体" w:cs="宋体"/>
          <w:b/>
          <w:color w:val="auto"/>
          <w:sz w:val="24"/>
          <w:lang w:eastAsia="zh-CN"/>
        </w:rPr>
        <w:t>投标人</w:t>
      </w:r>
      <w:r>
        <w:rPr>
          <w:rFonts w:hint="eastAsia" w:ascii="宋体" w:hAnsi="宋体" w:eastAsia="宋体" w:cs="宋体"/>
          <w:b/>
          <w:color w:val="auto"/>
          <w:sz w:val="24"/>
        </w:rPr>
        <w:t>按照</w:t>
      </w:r>
      <w:r>
        <w:rPr>
          <w:rFonts w:hint="eastAsia" w:ascii="宋体" w:hAnsi="宋体" w:eastAsia="宋体" w:cs="宋体"/>
          <w:b/>
          <w:color w:val="auto"/>
          <w:sz w:val="24"/>
          <w:lang w:val="en-US" w:eastAsia="zh-CN"/>
        </w:rPr>
        <w:t>磋商</w:t>
      </w:r>
      <w:r>
        <w:rPr>
          <w:rFonts w:hint="eastAsia" w:ascii="宋体" w:hAnsi="宋体" w:eastAsia="宋体" w:cs="宋体"/>
          <w:b/>
          <w:color w:val="auto"/>
          <w:sz w:val="24"/>
        </w:rPr>
        <w:t>文件的要求编制的</w:t>
      </w:r>
      <w:r>
        <w:rPr>
          <w:rFonts w:hint="eastAsia" w:ascii="宋体" w:hAnsi="宋体" w:eastAsia="宋体" w:cs="宋体"/>
          <w:b/>
          <w:color w:val="auto"/>
          <w:sz w:val="24"/>
          <w:lang w:val="en-US" w:eastAsia="zh-CN"/>
        </w:rPr>
        <w:t>响应</w:t>
      </w:r>
      <w:r>
        <w:rPr>
          <w:rFonts w:hint="eastAsia" w:ascii="宋体" w:hAnsi="宋体" w:eastAsia="宋体" w:cs="宋体"/>
          <w:b/>
          <w:color w:val="auto"/>
          <w:sz w:val="24"/>
        </w:rPr>
        <w:t>方案说明书，</w:t>
      </w:r>
      <w:r>
        <w:rPr>
          <w:rFonts w:hint="eastAsia" w:ascii="宋体" w:hAnsi="宋体" w:eastAsia="宋体" w:cs="宋体"/>
          <w:b/>
          <w:color w:val="auto"/>
          <w:sz w:val="24"/>
          <w:lang w:val="en-US" w:eastAsia="zh-CN"/>
        </w:rPr>
        <w:t>响应</w:t>
      </w:r>
      <w:r>
        <w:rPr>
          <w:rFonts w:hint="eastAsia" w:ascii="宋体" w:hAnsi="宋体" w:eastAsia="宋体" w:cs="宋体"/>
          <w:b/>
          <w:color w:val="auto"/>
          <w:sz w:val="24"/>
        </w:rPr>
        <w:t>方案由</w:t>
      </w:r>
      <w:r>
        <w:rPr>
          <w:rFonts w:hint="eastAsia" w:ascii="宋体" w:hAnsi="宋体" w:eastAsia="宋体" w:cs="宋体"/>
          <w:b/>
          <w:color w:val="auto"/>
          <w:sz w:val="24"/>
          <w:lang w:eastAsia="zh-CN"/>
        </w:rPr>
        <w:t>投标人</w:t>
      </w:r>
      <w:r>
        <w:rPr>
          <w:rFonts w:hint="eastAsia" w:ascii="宋体" w:hAnsi="宋体" w:eastAsia="宋体" w:cs="宋体"/>
          <w:b/>
          <w:color w:val="auto"/>
          <w:sz w:val="24"/>
        </w:rPr>
        <w:t>自行编写，无具体格式，参照</w:t>
      </w:r>
      <w:r>
        <w:rPr>
          <w:rFonts w:hint="eastAsia" w:ascii="宋体" w:hAnsi="宋体" w:eastAsia="宋体" w:cs="宋体"/>
          <w:b/>
          <w:color w:val="auto"/>
          <w:sz w:val="24"/>
          <w:lang w:val="en-US" w:eastAsia="zh-CN"/>
        </w:rPr>
        <w:t>磋商</w:t>
      </w:r>
      <w:r>
        <w:rPr>
          <w:rFonts w:hint="eastAsia" w:ascii="宋体" w:hAnsi="宋体" w:eastAsia="宋体" w:cs="宋体"/>
          <w:b/>
          <w:color w:val="auto"/>
          <w:sz w:val="24"/>
        </w:rPr>
        <w:t>文件中的《综合评分明细表》各条款的要求</w:t>
      </w:r>
      <w:r>
        <w:rPr>
          <w:rFonts w:hint="eastAsia" w:ascii="宋体" w:hAnsi="宋体" w:eastAsia="宋体" w:cs="宋体"/>
          <w:b/>
          <w:color w:val="auto"/>
          <w:sz w:val="24"/>
          <w:lang w:val="en-US" w:eastAsia="zh-CN"/>
        </w:rPr>
        <w:t>及</w:t>
      </w:r>
      <w:r>
        <w:rPr>
          <w:rFonts w:hint="eastAsia" w:ascii="宋体" w:hAnsi="宋体" w:eastAsia="宋体" w:cs="宋体"/>
          <w:b/>
          <w:color w:val="auto"/>
          <w:sz w:val="24"/>
        </w:rPr>
        <w:t>《采购内容》进行编制</w:t>
      </w:r>
      <w:r>
        <w:rPr>
          <w:rFonts w:hint="eastAsia" w:ascii="宋体" w:hAnsi="宋体" w:eastAsia="宋体" w:cs="宋体"/>
          <w:b/>
          <w:color w:val="auto"/>
          <w:sz w:val="24"/>
          <w:lang w:val="en-US" w:eastAsia="zh-CN"/>
        </w:rPr>
        <w:t>响应</w:t>
      </w:r>
      <w:r>
        <w:rPr>
          <w:rFonts w:hint="eastAsia" w:ascii="宋体" w:hAnsi="宋体" w:eastAsia="宋体" w:cs="宋体"/>
          <w:b/>
          <w:color w:val="auto"/>
          <w:sz w:val="24"/>
        </w:rPr>
        <w:t>方案。</w:t>
      </w:r>
      <w:r>
        <w:rPr>
          <w:rFonts w:hint="eastAsia" w:ascii="宋体" w:hAnsi="宋体" w:eastAsia="宋体" w:cs="宋体"/>
          <w:b w:val="0"/>
          <w:bCs/>
          <w:color w:val="auto"/>
          <w:sz w:val="24"/>
          <w:szCs w:val="24"/>
          <w:lang w:val="en-US" w:eastAsia="zh-CN"/>
        </w:rPr>
        <w:br w:type="page"/>
      </w:r>
    </w:p>
    <w:bookmarkEnd w:id="192"/>
    <w:bookmarkEnd w:id="193"/>
    <w:bookmarkEnd w:id="194"/>
    <w:bookmarkEnd w:id="195"/>
    <w:bookmarkEnd w:id="196"/>
    <w:bookmarkEnd w:id="197"/>
    <w:p w14:paraId="0D4D87D2">
      <w:pPr>
        <w:keepNext/>
        <w:keepLines/>
        <w:spacing w:before="260" w:after="260" w:line="416" w:lineRule="auto"/>
        <w:ind w:firstLine="482" w:firstLineChars="150"/>
        <w:jc w:val="center"/>
        <w:outlineLvl w:val="1"/>
        <w:rPr>
          <w:rFonts w:hint="eastAsia" w:ascii="宋体" w:hAnsi="宋体" w:eastAsia="宋体" w:cs="宋体"/>
          <w:b/>
          <w:bCs/>
          <w:color w:val="auto"/>
          <w:sz w:val="32"/>
          <w:szCs w:val="32"/>
        </w:rPr>
      </w:pPr>
      <w:bookmarkStart w:id="198" w:name="_Hlt491573425"/>
      <w:bookmarkEnd w:id="198"/>
      <w:bookmarkStart w:id="199" w:name="_Hlt491765944"/>
      <w:bookmarkEnd w:id="199"/>
      <w:bookmarkStart w:id="200" w:name="_Hlt491765868"/>
      <w:bookmarkEnd w:id="200"/>
      <w:bookmarkStart w:id="201" w:name="_Hlt491572882"/>
      <w:bookmarkEnd w:id="201"/>
      <w:bookmarkStart w:id="202" w:name="_Hlt491766019"/>
      <w:bookmarkEnd w:id="202"/>
      <w:r>
        <w:rPr>
          <w:rFonts w:hint="eastAsia" w:ascii="宋体" w:hAnsi="宋体" w:eastAsia="宋体" w:cs="宋体"/>
          <w:b/>
          <w:bCs/>
          <w:color w:val="auto"/>
          <w:sz w:val="32"/>
          <w:szCs w:val="32"/>
        </w:rPr>
        <w:t>投标人情况表</w:t>
      </w:r>
    </w:p>
    <w:p w14:paraId="1764BAD8">
      <w:pPr>
        <w:autoSpaceDE w:val="0"/>
        <w:autoSpaceDN w:val="0"/>
        <w:adjustRightInd w:val="0"/>
        <w:spacing w:line="360" w:lineRule="exact"/>
        <w:jc w:val="center"/>
        <w:textAlignment w:val="baseline"/>
        <w:rPr>
          <w:rFonts w:hint="eastAsia" w:ascii="宋体" w:hAnsi="宋体" w:eastAsia="宋体" w:cs="宋体"/>
          <w:b/>
          <w:bCs/>
          <w:color w:val="auto"/>
          <w:kern w:val="20"/>
          <w:sz w:val="24"/>
          <w:szCs w:val="24"/>
        </w:rPr>
      </w:pPr>
      <w:bookmarkStart w:id="203" w:name="_Toc426457710"/>
      <w:bookmarkStart w:id="204" w:name="_Toc2768"/>
      <w:bookmarkStart w:id="205" w:name="_Toc214"/>
      <w:bookmarkStart w:id="206" w:name="_Toc4115"/>
      <w:bookmarkStart w:id="207" w:name="_Toc403077652"/>
      <w:bookmarkStart w:id="208" w:name="_Toc396304714"/>
      <w:bookmarkStart w:id="209" w:name="_Toc14631"/>
      <w:bookmarkStart w:id="210" w:name="_Toc17592"/>
      <w:r>
        <w:rPr>
          <w:rFonts w:hint="eastAsia" w:ascii="宋体" w:hAnsi="宋体" w:eastAsia="宋体" w:cs="宋体"/>
          <w:b/>
          <w:bCs/>
          <w:color w:val="auto"/>
          <w:kern w:val="20"/>
          <w:sz w:val="24"/>
          <w:szCs w:val="24"/>
        </w:rPr>
        <w:t>（一）本项目拟投入人员汇总表</w:t>
      </w:r>
      <w:bookmarkEnd w:id="203"/>
      <w:bookmarkEnd w:id="204"/>
      <w:bookmarkEnd w:id="205"/>
      <w:bookmarkEnd w:id="206"/>
      <w:bookmarkEnd w:id="207"/>
      <w:bookmarkEnd w:id="208"/>
      <w:bookmarkEnd w:id="209"/>
      <w:bookmarkEnd w:id="210"/>
    </w:p>
    <w:p w14:paraId="39FA63BC">
      <w:pPr>
        <w:pStyle w:val="9"/>
        <w:rPr>
          <w:rFonts w:hint="eastAsia" w:ascii="宋体" w:hAnsi="宋体" w:eastAsia="宋体" w:cs="宋体"/>
          <w:color w:val="auto"/>
        </w:rPr>
      </w:pPr>
    </w:p>
    <w:tbl>
      <w:tblPr>
        <w:tblStyle w:val="46"/>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2"/>
        <w:gridCol w:w="1740"/>
        <w:gridCol w:w="800"/>
        <w:gridCol w:w="800"/>
        <w:gridCol w:w="800"/>
        <w:gridCol w:w="1049"/>
        <w:gridCol w:w="2635"/>
        <w:gridCol w:w="954"/>
      </w:tblGrid>
      <w:tr w14:paraId="486F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tblHeader/>
          <w:jc w:val="center"/>
        </w:trPr>
        <w:tc>
          <w:tcPr>
            <w:tcW w:w="782" w:type="dxa"/>
            <w:tcMar>
              <w:top w:w="15" w:type="dxa"/>
              <w:left w:w="15" w:type="dxa"/>
              <w:bottom w:w="0" w:type="dxa"/>
              <w:right w:w="15" w:type="dxa"/>
            </w:tcMar>
            <w:vAlign w:val="center"/>
          </w:tcPr>
          <w:p w14:paraId="589C519F">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序号</w:t>
            </w:r>
          </w:p>
        </w:tc>
        <w:tc>
          <w:tcPr>
            <w:tcW w:w="1740" w:type="dxa"/>
            <w:tcMar>
              <w:top w:w="15" w:type="dxa"/>
              <w:left w:w="15" w:type="dxa"/>
              <w:bottom w:w="0" w:type="dxa"/>
              <w:right w:w="15" w:type="dxa"/>
            </w:tcMar>
            <w:vAlign w:val="center"/>
          </w:tcPr>
          <w:p w14:paraId="5A484CA6">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姓  名</w:t>
            </w:r>
          </w:p>
        </w:tc>
        <w:tc>
          <w:tcPr>
            <w:tcW w:w="800" w:type="dxa"/>
            <w:tcMar>
              <w:top w:w="15" w:type="dxa"/>
              <w:left w:w="15" w:type="dxa"/>
              <w:bottom w:w="0" w:type="dxa"/>
              <w:right w:w="15" w:type="dxa"/>
            </w:tcMar>
            <w:vAlign w:val="center"/>
          </w:tcPr>
          <w:p w14:paraId="67DBEAE6">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性别</w:t>
            </w:r>
          </w:p>
        </w:tc>
        <w:tc>
          <w:tcPr>
            <w:tcW w:w="800" w:type="dxa"/>
            <w:tcMar>
              <w:top w:w="15" w:type="dxa"/>
              <w:left w:w="15" w:type="dxa"/>
              <w:bottom w:w="0" w:type="dxa"/>
              <w:right w:w="15" w:type="dxa"/>
            </w:tcMar>
            <w:vAlign w:val="center"/>
          </w:tcPr>
          <w:p w14:paraId="78D7BB40">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年龄</w:t>
            </w:r>
          </w:p>
        </w:tc>
        <w:tc>
          <w:tcPr>
            <w:tcW w:w="800" w:type="dxa"/>
            <w:tcMar>
              <w:top w:w="15" w:type="dxa"/>
              <w:left w:w="15" w:type="dxa"/>
              <w:bottom w:w="0" w:type="dxa"/>
              <w:right w:w="15" w:type="dxa"/>
            </w:tcMar>
            <w:vAlign w:val="center"/>
          </w:tcPr>
          <w:p w14:paraId="3D67ECF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学历</w:t>
            </w:r>
          </w:p>
        </w:tc>
        <w:tc>
          <w:tcPr>
            <w:tcW w:w="1049" w:type="dxa"/>
            <w:tcMar>
              <w:top w:w="15" w:type="dxa"/>
              <w:left w:w="15" w:type="dxa"/>
              <w:bottom w:w="0" w:type="dxa"/>
              <w:right w:w="15" w:type="dxa"/>
            </w:tcMar>
            <w:vAlign w:val="center"/>
          </w:tcPr>
          <w:p w14:paraId="5AC1FA3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工作</w:t>
            </w:r>
          </w:p>
          <w:p w14:paraId="3162D6AE">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年限</w:t>
            </w:r>
          </w:p>
        </w:tc>
        <w:tc>
          <w:tcPr>
            <w:tcW w:w="2635" w:type="dxa"/>
            <w:tcMar>
              <w:top w:w="15" w:type="dxa"/>
              <w:left w:w="15" w:type="dxa"/>
              <w:bottom w:w="0" w:type="dxa"/>
              <w:right w:w="15" w:type="dxa"/>
            </w:tcMar>
            <w:vAlign w:val="center"/>
          </w:tcPr>
          <w:p w14:paraId="30D0605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拟担任的职务</w:t>
            </w:r>
          </w:p>
        </w:tc>
        <w:tc>
          <w:tcPr>
            <w:tcW w:w="954" w:type="dxa"/>
            <w:tcMar>
              <w:top w:w="15" w:type="dxa"/>
              <w:left w:w="15" w:type="dxa"/>
              <w:bottom w:w="0" w:type="dxa"/>
              <w:right w:w="15" w:type="dxa"/>
            </w:tcMar>
            <w:vAlign w:val="center"/>
          </w:tcPr>
          <w:p w14:paraId="1B07738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岗位</w:t>
            </w:r>
          </w:p>
          <w:p w14:paraId="0FFB92B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情况</w:t>
            </w:r>
          </w:p>
        </w:tc>
      </w:tr>
      <w:tr w14:paraId="27E8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14AA71FD">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1740" w:type="dxa"/>
            <w:tcMar>
              <w:top w:w="15" w:type="dxa"/>
              <w:left w:w="15" w:type="dxa"/>
              <w:bottom w:w="0" w:type="dxa"/>
              <w:right w:w="15" w:type="dxa"/>
            </w:tcMar>
            <w:vAlign w:val="bottom"/>
          </w:tcPr>
          <w:p w14:paraId="2D3451D8">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6D519DED">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009EFD0B">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10654AF1">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1049" w:type="dxa"/>
            <w:tcMar>
              <w:top w:w="15" w:type="dxa"/>
              <w:left w:w="15" w:type="dxa"/>
              <w:bottom w:w="0" w:type="dxa"/>
              <w:right w:w="15" w:type="dxa"/>
            </w:tcMar>
            <w:vAlign w:val="bottom"/>
          </w:tcPr>
          <w:p w14:paraId="3C4CD829">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2635" w:type="dxa"/>
            <w:tcMar>
              <w:top w:w="15" w:type="dxa"/>
              <w:left w:w="15" w:type="dxa"/>
              <w:bottom w:w="0" w:type="dxa"/>
              <w:right w:w="15" w:type="dxa"/>
            </w:tcMar>
            <w:vAlign w:val="bottom"/>
          </w:tcPr>
          <w:p w14:paraId="4F2D4843">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954" w:type="dxa"/>
            <w:tcMar>
              <w:top w:w="15" w:type="dxa"/>
              <w:left w:w="15" w:type="dxa"/>
              <w:bottom w:w="0" w:type="dxa"/>
              <w:right w:w="15" w:type="dxa"/>
            </w:tcMar>
            <w:vAlign w:val="bottom"/>
          </w:tcPr>
          <w:p w14:paraId="36C15391">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r>
      <w:tr w14:paraId="61CE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06051008">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1740" w:type="dxa"/>
            <w:tcMar>
              <w:top w:w="15" w:type="dxa"/>
              <w:left w:w="15" w:type="dxa"/>
              <w:bottom w:w="0" w:type="dxa"/>
              <w:right w:w="15" w:type="dxa"/>
            </w:tcMar>
            <w:vAlign w:val="bottom"/>
          </w:tcPr>
          <w:p w14:paraId="45BEC45F">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182D49BE">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7B6C362E">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19272961">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1049" w:type="dxa"/>
            <w:tcMar>
              <w:top w:w="15" w:type="dxa"/>
              <w:left w:w="15" w:type="dxa"/>
              <w:bottom w:w="0" w:type="dxa"/>
              <w:right w:w="15" w:type="dxa"/>
            </w:tcMar>
            <w:vAlign w:val="bottom"/>
          </w:tcPr>
          <w:p w14:paraId="6638819B">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2635" w:type="dxa"/>
            <w:tcMar>
              <w:top w:w="15" w:type="dxa"/>
              <w:left w:w="15" w:type="dxa"/>
              <w:bottom w:w="0" w:type="dxa"/>
              <w:right w:w="15" w:type="dxa"/>
            </w:tcMar>
            <w:vAlign w:val="bottom"/>
          </w:tcPr>
          <w:p w14:paraId="3968665E">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954" w:type="dxa"/>
            <w:tcMar>
              <w:top w:w="15" w:type="dxa"/>
              <w:left w:w="15" w:type="dxa"/>
              <w:bottom w:w="0" w:type="dxa"/>
              <w:right w:w="15" w:type="dxa"/>
            </w:tcMar>
            <w:vAlign w:val="bottom"/>
          </w:tcPr>
          <w:p w14:paraId="51E4FA25">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r>
      <w:tr w14:paraId="53DF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33878F2C">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1740" w:type="dxa"/>
            <w:tcMar>
              <w:top w:w="15" w:type="dxa"/>
              <w:left w:w="15" w:type="dxa"/>
              <w:bottom w:w="0" w:type="dxa"/>
              <w:right w:w="15" w:type="dxa"/>
            </w:tcMar>
            <w:vAlign w:val="bottom"/>
          </w:tcPr>
          <w:p w14:paraId="2EC0E023">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47074D3C">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1DF8E677">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357EA55C">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1049" w:type="dxa"/>
            <w:tcMar>
              <w:top w:w="15" w:type="dxa"/>
              <w:left w:w="15" w:type="dxa"/>
              <w:bottom w:w="0" w:type="dxa"/>
              <w:right w:w="15" w:type="dxa"/>
            </w:tcMar>
            <w:vAlign w:val="bottom"/>
          </w:tcPr>
          <w:p w14:paraId="6D5AD9ED">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2635" w:type="dxa"/>
            <w:tcMar>
              <w:top w:w="15" w:type="dxa"/>
              <w:left w:w="15" w:type="dxa"/>
              <w:bottom w:w="0" w:type="dxa"/>
              <w:right w:w="15" w:type="dxa"/>
            </w:tcMar>
            <w:vAlign w:val="bottom"/>
          </w:tcPr>
          <w:p w14:paraId="35A69154">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954" w:type="dxa"/>
            <w:tcMar>
              <w:top w:w="15" w:type="dxa"/>
              <w:left w:w="15" w:type="dxa"/>
              <w:bottom w:w="0" w:type="dxa"/>
              <w:right w:w="15" w:type="dxa"/>
            </w:tcMar>
            <w:vAlign w:val="bottom"/>
          </w:tcPr>
          <w:p w14:paraId="5C95BF55">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r>
      <w:tr w14:paraId="05B2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A124874">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1740" w:type="dxa"/>
            <w:tcMar>
              <w:top w:w="15" w:type="dxa"/>
              <w:left w:w="15" w:type="dxa"/>
              <w:bottom w:w="0" w:type="dxa"/>
              <w:right w:w="15" w:type="dxa"/>
            </w:tcMar>
            <w:vAlign w:val="bottom"/>
          </w:tcPr>
          <w:p w14:paraId="72724121">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01B6C0D7">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11871104">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03C14992">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1049" w:type="dxa"/>
            <w:tcMar>
              <w:top w:w="15" w:type="dxa"/>
              <w:left w:w="15" w:type="dxa"/>
              <w:bottom w:w="0" w:type="dxa"/>
              <w:right w:w="15" w:type="dxa"/>
            </w:tcMar>
            <w:vAlign w:val="bottom"/>
          </w:tcPr>
          <w:p w14:paraId="4E9014AD">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2635" w:type="dxa"/>
            <w:tcMar>
              <w:top w:w="15" w:type="dxa"/>
              <w:left w:w="15" w:type="dxa"/>
              <w:bottom w:w="0" w:type="dxa"/>
              <w:right w:w="15" w:type="dxa"/>
            </w:tcMar>
            <w:vAlign w:val="bottom"/>
          </w:tcPr>
          <w:p w14:paraId="5B0423D1">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954" w:type="dxa"/>
            <w:tcMar>
              <w:top w:w="15" w:type="dxa"/>
              <w:left w:w="15" w:type="dxa"/>
              <w:bottom w:w="0" w:type="dxa"/>
              <w:right w:w="15" w:type="dxa"/>
            </w:tcMar>
            <w:vAlign w:val="bottom"/>
          </w:tcPr>
          <w:p w14:paraId="3270CEB2">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r>
      <w:tr w14:paraId="5560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50B6C886">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1740" w:type="dxa"/>
            <w:tcMar>
              <w:top w:w="15" w:type="dxa"/>
              <w:left w:w="15" w:type="dxa"/>
              <w:bottom w:w="0" w:type="dxa"/>
              <w:right w:w="15" w:type="dxa"/>
            </w:tcMar>
            <w:vAlign w:val="bottom"/>
          </w:tcPr>
          <w:p w14:paraId="2060425C">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2FFA0C23">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6173F3CB">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51041D20">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1049" w:type="dxa"/>
            <w:tcMar>
              <w:top w:w="15" w:type="dxa"/>
              <w:left w:w="15" w:type="dxa"/>
              <w:bottom w:w="0" w:type="dxa"/>
              <w:right w:w="15" w:type="dxa"/>
            </w:tcMar>
            <w:vAlign w:val="bottom"/>
          </w:tcPr>
          <w:p w14:paraId="0348F8A0">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2635" w:type="dxa"/>
            <w:tcMar>
              <w:top w:w="15" w:type="dxa"/>
              <w:left w:w="15" w:type="dxa"/>
              <w:bottom w:w="0" w:type="dxa"/>
              <w:right w:w="15" w:type="dxa"/>
            </w:tcMar>
            <w:vAlign w:val="bottom"/>
          </w:tcPr>
          <w:p w14:paraId="6A7135F4">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954" w:type="dxa"/>
            <w:tcMar>
              <w:top w:w="15" w:type="dxa"/>
              <w:left w:w="15" w:type="dxa"/>
              <w:bottom w:w="0" w:type="dxa"/>
              <w:right w:w="15" w:type="dxa"/>
            </w:tcMar>
            <w:vAlign w:val="bottom"/>
          </w:tcPr>
          <w:p w14:paraId="49E8AC59">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r>
      <w:tr w14:paraId="26CE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206C0BF6">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1740" w:type="dxa"/>
            <w:tcMar>
              <w:top w:w="15" w:type="dxa"/>
              <w:left w:w="15" w:type="dxa"/>
              <w:bottom w:w="0" w:type="dxa"/>
              <w:right w:w="15" w:type="dxa"/>
            </w:tcMar>
            <w:vAlign w:val="bottom"/>
          </w:tcPr>
          <w:p w14:paraId="39525529">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75E5166F">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52FA0570">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5B34DBE4">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1049" w:type="dxa"/>
            <w:tcMar>
              <w:top w:w="15" w:type="dxa"/>
              <w:left w:w="15" w:type="dxa"/>
              <w:bottom w:w="0" w:type="dxa"/>
              <w:right w:w="15" w:type="dxa"/>
            </w:tcMar>
            <w:vAlign w:val="bottom"/>
          </w:tcPr>
          <w:p w14:paraId="6B118E6D">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2635" w:type="dxa"/>
            <w:tcMar>
              <w:top w:w="15" w:type="dxa"/>
              <w:left w:w="15" w:type="dxa"/>
              <w:bottom w:w="0" w:type="dxa"/>
              <w:right w:w="15" w:type="dxa"/>
            </w:tcMar>
            <w:vAlign w:val="bottom"/>
          </w:tcPr>
          <w:p w14:paraId="52EE6D49">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954" w:type="dxa"/>
            <w:tcMar>
              <w:top w:w="15" w:type="dxa"/>
              <w:left w:w="15" w:type="dxa"/>
              <w:bottom w:w="0" w:type="dxa"/>
              <w:right w:w="15" w:type="dxa"/>
            </w:tcMar>
            <w:vAlign w:val="bottom"/>
          </w:tcPr>
          <w:p w14:paraId="53A8692F">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r>
      <w:tr w14:paraId="469F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2E31873A">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1740" w:type="dxa"/>
            <w:tcMar>
              <w:top w:w="15" w:type="dxa"/>
              <w:left w:w="15" w:type="dxa"/>
              <w:bottom w:w="0" w:type="dxa"/>
              <w:right w:w="15" w:type="dxa"/>
            </w:tcMar>
            <w:vAlign w:val="bottom"/>
          </w:tcPr>
          <w:p w14:paraId="6C47D60E">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0E744CE2">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59055AB7">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379C07D4">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1049" w:type="dxa"/>
            <w:tcMar>
              <w:top w:w="15" w:type="dxa"/>
              <w:left w:w="15" w:type="dxa"/>
              <w:bottom w:w="0" w:type="dxa"/>
              <w:right w:w="15" w:type="dxa"/>
            </w:tcMar>
            <w:vAlign w:val="bottom"/>
          </w:tcPr>
          <w:p w14:paraId="0E79B83F">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2635" w:type="dxa"/>
            <w:tcMar>
              <w:top w:w="15" w:type="dxa"/>
              <w:left w:w="15" w:type="dxa"/>
              <w:bottom w:w="0" w:type="dxa"/>
              <w:right w:w="15" w:type="dxa"/>
            </w:tcMar>
            <w:vAlign w:val="bottom"/>
          </w:tcPr>
          <w:p w14:paraId="3280B2C4">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954" w:type="dxa"/>
            <w:tcMar>
              <w:top w:w="15" w:type="dxa"/>
              <w:left w:w="15" w:type="dxa"/>
              <w:bottom w:w="0" w:type="dxa"/>
              <w:right w:w="15" w:type="dxa"/>
            </w:tcMar>
            <w:vAlign w:val="bottom"/>
          </w:tcPr>
          <w:p w14:paraId="7D8538AD">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r>
      <w:tr w14:paraId="044A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545B7DD5">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1740" w:type="dxa"/>
            <w:tcMar>
              <w:top w:w="15" w:type="dxa"/>
              <w:left w:w="15" w:type="dxa"/>
              <w:bottom w:w="0" w:type="dxa"/>
              <w:right w:w="15" w:type="dxa"/>
            </w:tcMar>
            <w:vAlign w:val="bottom"/>
          </w:tcPr>
          <w:p w14:paraId="4C07990B">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77C73091">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61359F1A">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4DCA063D">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1049" w:type="dxa"/>
            <w:tcMar>
              <w:top w:w="15" w:type="dxa"/>
              <w:left w:w="15" w:type="dxa"/>
              <w:bottom w:w="0" w:type="dxa"/>
              <w:right w:w="15" w:type="dxa"/>
            </w:tcMar>
            <w:vAlign w:val="bottom"/>
          </w:tcPr>
          <w:p w14:paraId="6224DFAD">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2635" w:type="dxa"/>
            <w:tcMar>
              <w:top w:w="15" w:type="dxa"/>
              <w:left w:w="15" w:type="dxa"/>
              <w:bottom w:w="0" w:type="dxa"/>
              <w:right w:w="15" w:type="dxa"/>
            </w:tcMar>
            <w:vAlign w:val="bottom"/>
          </w:tcPr>
          <w:p w14:paraId="26D94E6E">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954" w:type="dxa"/>
            <w:tcMar>
              <w:top w:w="15" w:type="dxa"/>
              <w:left w:w="15" w:type="dxa"/>
              <w:bottom w:w="0" w:type="dxa"/>
              <w:right w:w="15" w:type="dxa"/>
            </w:tcMar>
            <w:vAlign w:val="bottom"/>
          </w:tcPr>
          <w:p w14:paraId="236F6BC3">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r>
      <w:tr w14:paraId="07F5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3CFC291D">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1740" w:type="dxa"/>
            <w:tcMar>
              <w:top w:w="15" w:type="dxa"/>
              <w:left w:w="15" w:type="dxa"/>
              <w:bottom w:w="0" w:type="dxa"/>
              <w:right w:w="15" w:type="dxa"/>
            </w:tcMar>
            <w:vAlign w:val="bottom"/>
          </w:tcPr>
          <w:p w14:paraId="5291F6CF">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094F879C">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5ACCF090">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7889863A">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1049" w:type="dxa"/>
            <w:tcMar>
              <w:top w:w="15" w:type="dxa"/>
              <w:left w:w="15" w:type="dxa"/>
              <w:bottom w:w="0" w:type="dxa"/>
              <w:right w:w="15" w:type="dxa"/>
            </w:tcMar>
            <w:vAlign w:val="bottom"/>
          </w:tcPr>
          <w:p w14:paraId="0586CD8E">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2635" w:type="dxa"/>
            <w:tcMar>
              <w:top w:w="15" w:type="dxa"/>
              <w:left w:w="15" w:type="dxa"/>
              <w:bottom w:w="0" w:type="dxa"/>
              <w:right w:w="15" w:type="dxa"/>
            </w:tcMar>
            <w:vAlign w:val="bottom"/>
          </w:tcPr>
          <w:p w14:paraId="1D8CC6EF">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954" w:type="dxa"/>
            <w:tcMar>
              <w:top w:w="15" w:type="dxa"/>
              <w:left w:w="15" w:type="dxa"/>
              <w:bottom w:w="0" w:type="dxa"/>
              <w:right w:w="15" w:type="dxa"/>
            </w:tcMar>
            <w:vAlign w:val="bottom"/>
          </w:tcPr>
          <w:p w14:paraId="5E485110">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r>
      <w:tr w14:paraId="0B62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0C73762E">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1740" w:type="dxa"/>
            <w:tcMar>
              <w:top w:w="15" w:type="dxa"/>
              <w:left w:w="15" w:type="dxa"/>
              <w:bottom w:w="0" w:type="dxa"/>
              <w:right w:w="15" w:type="dxa"/>
            </w:tcMar>
            <w:vAlign w:val="bottom"/>
          </w:tcPr>
          <w:p w14:paraId="507FCD21">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3B384EF2">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1DF5457C">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30CF42F4">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1049" w:type="dxa"/>
            <w:tcMar>
              <w:top w:w="15" w:type="dxa"/>
              <w:left w:w="15" w:type="dxa"/>
              <w:bottom w:w="0" w:type="dxa"/>
              <w:right w:w="15" w:type="dxa"/>
            </w:tcMar>
            <w:vAlign w:val="bottom"/>
          </w:tcPr>
          <w:p w14:paraId="46797ED6">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2635" w:type="dxa"/>
            <w:tcMar>
              <w:top w:w="15" w:type="dxa"/>
              <w:left w:w="15" w:type="dxa"/>
              <w:bottom w:w="0" w:type="dxa"/>
              <w:right w:w="15" w:type="dxa"/>
            </w:tcMar>
            <w:vAlign w:val="bottom"/>
          </w:tcPr>
          <w:p w14:paraId="6A3D7A82">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954" w:type="dxa"/>
            <w:tcMar>
              <w:top w:w="15" w:type="dxa"/>
              <w:left w:w="15" w:type="dxa"/>
              <w:bottom w:w="0" w:type="dxa"/>
              <w:right w:w="15" w:type="dxa"/>
            </w:tcMar>
            <w:vAlign w:val="bottom"/>
          </w:tcPr>
          <w:p w14:paraId="398D3571">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r>
      <w:tr w14:paraId="4D11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1E855D57">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1740" w:type="dxa"/>
            <w:tcMar>
              <w:top w:w="15" w:type="dxa"/>
              <w:left w:w="15" w:type="dxa"/>
              <w:bottom w:w="0" w:type="dxa"/>
              <w:right w:w="15" w:type="dxa"/>
            </w:tcMar>
            <w:vAlign w:val="bottom"/>
          </w:tcPr>
          <w:p w14:paraId="3FF63707">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5045195C">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67F01D43">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6FE144CE">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1049" w:type="dxa"/>
            <w:tcMar>
              <w:top w:w="15" w:type="dxa"/>
              <w:left w:w="15" w:type="dxa"/>
              <w:bottom w:w="0" w:type="dxa"/>
              <w:right w:w="15" w:type="dxa"/>
            </w:tcMar>
            <w:vAlign w:val="bottom"/>
          </w:tcPr>
          <w:p w14:paraId="28347EAA">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2635" w:type="dxa"/>
            <w:tcMar>
              <w:top w:w="15" w:type="dxa"/>
              <w:left w:w="15" w:type="dxa"/>
              <w:bottom w:w="0" w:type="dxa"/>
              <w:right w:w="15" w:type="dxa"/>
            </w:tcMar>
            <w:vAlign w:val="bottom"/>
          </w:tcPr>
          <w:p w14:paraId="7309E8E9">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954" w:type="dxa"/>
            <w:tcMar>
              <w:top w:w="15" w:type="dxa"/>
              <w:left w:w="15" w:type="dxa"/>
              <w:bottom w:w="0" w:type="dxa"/>
              <w:right w:w="15" w:type="dxa"/>
            </w:tcMar>
            <w:vAlign w:val="bottom"/>
          </w:tcPr>
          <w:p w14:paraId="019E9C69">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r>
      <w:tr w14:paraId="43FE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076FD707">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1740" w:type="dxa"/>
            <w:tcMar>
              <w:top w:w="15" w:type="dxa"/>
              <w:left w:w="15" w:type="dxa"/>
              <w:bottom w:w="0" w:type="dxa"/>
              <w:right w:w="15" w:type="dxa"/>
            </w:tcMar>
            <w:vAlign w:val="bottom"/>
          </w:tcPr>
          <w:p w14:paraId="1A2811D3">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7AE6C192">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2595A471">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31780B89">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1049" w:type="dxa"/>
            <w:tcMar>
              <w:top w:w="15" w:type="dxa"/>
              <w:left w:w="15" w:type="dxa"/>
              <w:bottom w:w="0" w:type="dxa"/>
              <w:right w:w="15" w:type="dxa"/>
            </w:tcMar>
            <w:vAlign w:val="bottom"/>
          </w:tcPr>
          <w:p w14:paraId="48157D35">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2635" w:type="dxa"/>
            <w:tcMar>
              <w:top w:w="15" w:type="dxa"/>
              <w:left w:w="15" w:type="dxa"/>
              <w:bottom w:w="0" w:type="dxa"/>
              <w:right w:w="15" w:type="dxa"/>
            </w:tcMar>
            <w:vAlign w:val="bottom"/>
          </w:tcPr>
          <w:p w14:paraId="1760DC68">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954" w:type="dxa"/>
            <w:tcMar>
              <w:top w:w="15" w:type="dxa"/>
              <w:left w:w="15" w:type="dxa"/>
              <w:bottom w:w="0" w:type="dxa"/>
              <w:right w:w="15" w:type="dxa"/>
            </w:tcMar>
            <w:vAlign w:val="bottom"/>
          </w:tcPr>
          <w:p w14:paraId="4FC060B0">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r>
      <w:tr w14:paraId="680D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7B245AB0">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1740" w:type="dxa"/>
            <w:tcMar>
              <w:top w:w="15" w:type="dxa"/>
              <w:left w:w="15" w:type="dxa"/>
              <w:bottom w:w="0" w:type="dxa"/>
              <w:right w:w="15" w:type="dxa"/>
            </w:tcMar>
            <w:vAlign w:val="bottom"/>
          </w:tcPr>
          <w:p w14:paraId="705F0E79">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292FBD80">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75B472A9">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66456973">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1049" w:type="dxa"/>
            <w:tcMar>
              <w:top w:w="15" w:type="dxa"/>
              <w:left w:w="15" w:type="dxa"/>
              <w:bottom w:w="0" w:type="dxa"/>
              <w:right w:w="15" w:type="dxa"/>
            </w:tcMar>
            <w:vAlign w:val="bottom"/>
          </w:tcPr>
          <w:p w14:paraId="74675989">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2635" w:type="dxa"/>
            <w:tcMar>
              <w:top w:w="15" w:type="dxa"/>
              <w:left w:w="15" w:type="dxa"/>
              <w:bottom w:w="0" w:type="dxa"/>
              <w:right w:w="15" w:type="dxa"/>
            </w:tcMar>
            <w:vAlign w:val="bottom"/>
          </w:tcPr>
          <w:p w14:paraId="514E78D4">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954" w:type="dxa"/>
            <w:tcMar>
              <w:top w:w="15" w:type="dxa"/>
              <w:left w:w="15" w:type="dxa"/>
              <w:bottom w:w="0" w:type="dxa"/>
              <w:right w:w="15" w:type="dxa"/>
            </w:tcMar>
            <w:vAlign w:val="bottom"/>
          </w:tcPr>
          <w:p w14:paraId="0A3B7B4A">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r>
      <w:tr w14:paraId="172B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B8AFD98">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1740" w:type="dxa"/>
            <w:tcMar>
              <w:top w:w="15" w:type="dxa"/>
              <w:left w:w="15" w:type="dxa"/>
              <w:bottom w:w="0" w:type="dxa"/>
              <w:right w:w="15" w:type="dxa"/>
            </w:tcMar>
            <w:vAlign w:val="bottom"/>
          </w:tcPr>
          <w:p w14:paraId="14E9B851">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1A99F9FA">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4CD90603">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800" w:type="dxa"/>
            <w:tcMar>
              <w:top w:w="15" w:type="dxa"/>
              <w:left w:w="15" w:type="dxa"/>
              <w:bottom w:w="0" w:type="dxa"/>
              <w:right w:w="15" w:type="dxa"/>
            </w:tcMar>
            <w:vAlign w:val="bottom"/>
          </w:tcPr>
          <w:p w14:paraId="3C31392A">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1049" w:type="dxa"/>
            <w:tcMar>
              <w:top w:w="15" w:type="dxa"/>
              <w:left w:w="15" w:type="dxa"/>
              <w:bottom w:w="0" w:type="dxa"/>
              <w:right w:w="15" w:type="dxa"/>
            </w:tcMar>
            <w:vAlign w:val="bottom"/>
          </w:tcPr>
          <w:p w14:paraId="6F333FA2">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2635" w:type="dxa"/>
            <w:tcMar>
              <w:top w:w="15" w:type="dxa"/>
              <w:left w:w="15" w:type="dxa"/>
              <w:bottom w:w="0" w:type="dxa"/>
              <w:right w:w="15" w:type="dxa"/>
            </w:tcMar>
            <w:vAlign w:val="bottom"/>
          </w:tcPr>
          <w:p w14:paraId="457DE3A3">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c>
          <w:tcPr>
            <w:tcW w:w="954" w:type="dxa"/>
            <w:tcMar>
              <w:top w:w="15" w:type="dxa"/>
              <w:left w:w="15" w:type="dxa"/>
              <w:bottom w:w="0" w:type="dxa"/>
              <w:right w:w="15" w:type="dxa"/>
            </w:tcMar>
            <w:vAlign w:val="bottom"/>
          </w:tcPr>
          <w:p w14:paraId="57290B1A">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rPr>
            </w:pPr>
          </w:p>
        </w:tc>
      </w:tr>
    </w:tbl>
    <w:p w14:paraId="21E5575A">
      <w:pPr>
        <w:spacing w:line="360" w:lineRule="auto"/>
        <w:ind w:right="-161"/>
        <w:rPr>
          <w:rFonts w:hint="eastAsia" w:ascii="宋体" w:hAnsi="宋体" w:eastAsia="宋体" w:cs="宋体"/>
          <w:color w:val="auto"/>
          <w:sz w:val="24"/>
          <w:szCs w:val="24"/>
        </w:rPr>
      </w:pPr>
    </w:p>
    <w:p w14:paraId="1BF1BAF4">
      <w:pPr>
        <w:spacing w:line="360" w:lineRule="auto"/>
        <w:ind w:right="-161"/>
        <w:rPr>
          <w:rFonts w:hint="eastAsia" w:ascii="宋体" w:hAnsi="宋体" w:eastAsia="宋体" w:cs="宋体"/>
          <w:color w:val="auto"/>
          <w:sz w:val="24"/>
          <w:szCs w:val="24"/>
        </w:rPr>
      </w:pPr>
    </w:p>
    <w:p w14:paraId="1EF745BF">
      <w:pPr>
        <w:spacing w:line="360" w:lineRule="auto"/>
        <w:ind w:right="-161"/>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法定代表人或被授权人(签字或盖章)：</w:t>
      </w:r>
    </w:p>
    <w:p w14:paraId="4E8D597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投标人名称（盖章）</w:t>
      </w:r>
      <w:r>
        <w:rPr>
          <w:rFonts w:hint="eastAsia" w:ascii="宋体" w:hAnsi="宋体" w:eastAsia="宋体" w:cs="宋体"/>
          <w:color w:val="auto"/>
          <w:sz w:val="24"/>
          <w:szCs w:val="24"/>
          <w:lang w:eastAsia="zh-CN"/>
        </w:rPr>
        <w:t>：</w:t>
      </w:r>
    </w:p>
    <w:p w14:paraId="5ACE158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    期：    年     月     日</w:t>
      </w:r>
    </w:p>
    <w:p w14:paraId="790CB46A">
      <w:pPr>
        <w:rPr>
          <w:rFonts w:hint="eastAsia" w:ascii="宋体" w:hAnsi="宋体" w:eastAsia="宋体" w:cs="宋体"/>
          <w:color w:val="auto"/>
          <w:sz w:val="24"/>
          <w:szCs w:val="24"/>
        </w:rPr>
      </w:pPr>
    </w:p>
    <w:p w14:paraId="666199CE">
      <w:pPr>
        <w:autoSpaceDE w:val="0"/>
        <w:autoSpaceDN w:val="0"/>
        <w:adjustRightInd w:val="0"/>
        <w:spacing w:line="400" w:lineRule="exact"/>
        <w:jc w:val="center"/>
        <w:textAlignment w:val="baseline"/>
        <w:rPr>
          <w:rFonts w:hint="eastAsia" w:ascii="宋体" w:hAnsi="宋体" w:eastAsia="宋体" w:cs="宋体"/>
          <w:b/>
          <w:bCs/>
          <w:color w:val="auto"/>
          <w:kern w:val="20"/>
          <w:sz w:val="24"/>
          <w:szCs w:val="24"/>
        </w:rPr>
        <w:sectPr>
          <w:footerReference r:id="rId13" w:type="first"/>
          <w:footerReference r:id="rId12" w:type="default"/>
          <w:pgSz w:w="11906" w:h="16838"/>
          <w:pgMar w:top="1361" w:right="1417" w:bottom="1361" w:left="1417" w:header="850" w:footer="992" w:gutter="0"/>
          <w:pgNumType w:fmt="decimal"/>
          <w:cols w:space="0" w:num="1"/>
          <w:titlePg/>
          <w:rtlGutter w:val="0"/>
          <w:docGrid w:type="lines" w:linePitch="317" w:charSpace="0"/>
        </w:sectPr>
      </w:pPr>
    </w:p>
    <w:p w14:paraId="28CA6F4E">
      <w:pPr>
        <w:autoSpaceDE w:val="0"/>
        <w:autoSpaceDN w:val="0"/>
        <w:adjustRightInd w:val="0"/>
        <w:spacing w:line="400" w:lineRule="exact"/>
        <w:jc w:val="center"/>
        <w:textAlignment w:val="baseline"/>
        <w:rPr>
          <w:rFonts w:hint="eastAsia" w:ascii="宋体" w:hAnsi="宋体" w:eastAsia="宋体" w:cs="宋体"/>
          <w:b/>
          <w:bCs/>
          <w:color w:val="auto"/>
          <w:kern w:val="20"/>
          <w:sz w:val="24"/>
          <w:szCs w:val="24"/>
        </w:rPr>
      </w:pPr>
      <w:r>
        <w:rPr>
          <w:rFonts w:hint="eastAsia" w:ascii="宋体" w:hAnsi="宋体" w:eastAsia="宋体" w:cs="宋体"/>
          <w:b/>
          <w:bCs/>
          <w:color w:val="auto"/>
          <w:kern w:val="20"/>
          <w:sz w:val="24"/>
          <w:szCs w:val="24"/>
        </w:rPr>
        <w:t>（二） 本项目拟投入主要人员简历表</w:t>
      </w:r>
      <w:r>
        <w:rPr>
          <w:rFonts w:hint="eastAsia" w:ascii="宋体" w:hAnsi="宋体" w:eastAsia="宋体" w:cs="宋体"/>
          <w:b/>
          <w:bCs/>
          <w:color w:val="auto"/>
          <w:kern w:val="20"/>
          <w:sz w:val="24"/>
          <w:szCs w:val="24"/>
          <w:lang w:eastAsia="zh-CN"/>
        </w:rPr>
        <w:t>（</w:t>
      </w:r>
      <w:r>
        <w:rPr>
          <w:rFonts w:hint="eastAsia" w:ascii="宋体" w:hAnsi="宋体" w:eastAsia="宋体" w:cs="宋体"/>
          <w:b/>
          <w:bCs/>
          <w:color w:val="auto"/>
          <w:kern w:val="20"/>
          <w:sz w:val="24"/>
          <w:szCs w:val="24"/>
          <w:lang w:val="en-US" w:eastAsia="zh-CN"/>
        </w:rPr>
        <w:t>每人填写一张表</w:t>
      </w:r>
      <w:r>
        <w:rPr>
          <w:rFonts w:hint="eastAsia" w:ascii="宋体" w:hAnsi="宋体" w:eastAsia="宋体" w:cs="宋体"/>
          <w:b/>
          <w:bCs/>
          <w:color w:val="auto"/>
          <w:kern w:val="20"/>
          <w:sz w:val="24"/>
          <w:szCs w:val="24"/>
          <w:lang w:eastAsia="zh-CN"/>
        </w:rPr>
        <w:t>）</w:t>
      </w:r>
    </w:p>
    <w:p w14:paraId="0101B666">
      <w:pPr>
        <w:autoSpaceDE w:val="0"/>
        <w:autoSpaceDN w:val="0"/>
        <w:adjustRightInd w:val="0"/>
        <w:spacing w:line="400" w:lineRule="exact"/>
        <w:textAlignment w:val="baseline"/>
        <w:rPr>
          <w:rFonts w:hint="eastAsia" w:ascii="宋体" w:hAnsi="宋体" w:eastAsia="宋体" w:cs="宋体"/>
          <w:b/>
          <w:bCs/>
          <w:color w:val="auto"/>
          <w:kern w:val="20"/>
          <w:sz w:val="24"/>
          <w:szCs w:val="24"/>
        </w:rPr>
      </w:pPr>
    </w:p>
    <w:tbl>
      <w:tblPr>
        <w:tblStyle w:val="46"/>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275"/>
        <w:gridCol w:w="1595"/>
        <w:gridCol w:w="1543"/>
        <w:gridCol w:w="1346"/>
        <w:gridCol w:w="1729"/>
        <w:gridCol w:w="7"/>
        <w:gridCol w:w="1145"/>
      </w:tblGrid>
      <w:tr w14:paraId="7171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792" w:type="dxa"/>
            <w:gridSpan w:val="2"/>
            <w:vAlign w:val="center"/>
          </w:tcPr>
          <w:p w14:paraId="57049BD3">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  名</w:t>
            </w:r>
          </w:p>
        </w:tc>
        <w:tc>
          <w:tcPr>
            <w:tcW w:w="1595" w:type="dxa"/>
            <w:vAlign w:val="center"/>
          </w:tcPr>
          <w:p w14:paraId="7773C39D">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rPr>
            </w:pPr>
          </w:p>
        </w:tc>
        <w:tc>
          <w:tcPr>
            <w:tcW w:w="1543" w:type="dxa"/>
            <w:vAlign w:val="center"/>
          </w:tcPr>
          <w:p w14:paraId="7906C71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性 别</w:t>
            </w:r>
          </w:p>
        </w:tc>
        <w:tc>
          <w:tcPr>
            <w:tcW w:w="1346" w:type="dxa"/>
            <w:vAlign w:val="center"/>
          </w:tcPr>
          <w:p w14:paraId="27FABA01">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rPr>
            </w:pPr>
          </w:p>
        </w:tc>
        <w:tc>
          <w:tcPr>
            <w:tcW w:w="1729" w:type="dxa"/>
            <w:vAlign w:val="center"/>
          </w:tcPr>
          <w:p w14:paraId="735E9B6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年 龄</w:t>
            </w:r>
          </w:p>
        </w:tc>
        <w:tc>
          <w:tcPr>
            <w:tcW w:w="1152" w:type="dxa"/>
            <w:gridSpan w:val="2"/>
            <w:vAlign w:val="center"/>
          </w:tcPr>
          <w:p w14:paraId="24AD6FE3">
            <w:pPr>
              <w:keepNext w:val="0"/>
              <w:keepLines w:val="0"/>
              <w:suppressLineNumbers w:val="0"/>
              <w:adjustRightInd w:val="0"/>
              <w:snapToGrid w:val="0"/>
              <w:spacing w:before="0" w:beforeAutospacing="0" w:after="0" w:afterAutospacing="0" w:line="400" w:lineRule="exact"/>
              <w:ind w:left="0" w:right="0" w:firstLine="480" w:firstLineChars="200"/>
              <w:jc w:val="center"/>
              <w:rPr>
                <w:rFonts w:hint="eastAsia" w:ascii="宋体" w:hAnsi="宋体" w:eastAsia="宋体" w:cs="宋体"/>
                <w:color w:val="auto"/>
                <w:kern w:val="0"/>
                <w:sz w:val="24"/>
                <w:szCs w:val="24"/>
              </w:rPr>
            </w:pPr>
          </w:p>
        </w:tc>
      </w:tr>
      <w:tr w14:paraId="1E45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92" w:type="dxa"/>
            <w:gridSpan w:val="2"/>
            <w:vAlign w:val="center"/>
          </w:tcPr>
          <w:p w14:paraId="3F5F3EC6">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身份证号</w:t>
            </w:r>
          </w:p>
        </w:tc>
        <w:tc>
          <w:tcPr>
            <w:tcW w:w="1595" w:type="dxa"/>
            <w:vAlign w:val="center"/>
          </w:tcPr>
          <w:p w14:paraId="7B619752">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rPr>
            </w:pPr>
          </w:p>
        </w:tc>
        <w:tc>
          <w:tcPr>
            <w:tcW w:w="1543" w:type="dxa"/>
            <w:vAlign w:val="center"/>
          </w:tcPr>
          <w:p w14:paraId="0C9E941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毕业时间</w:t>
            </w:r>
          </w:p>
        </w:tc>
        <w:tc>
          <w:tcPr>
            <w:tcW w:w="1346" w:type="dxa"/>
            <w:vAlign w:val="center"/>
          </w:tcPr>
          <w:p w14:paraId="5379A92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rPr>
            </w:pPr>
          </w:p>
        </w:tc>
        <w:tc>
          <w:tcPr>
            <w:tcW w:w="1729" w:type="dxa"/>
            <w:vAlign w:val="center"/>
          </w:tcPr>
          <w:p w14:paraId="5D3B94F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从业时间</w:t>
            </w:r>
          </w:p>
        </w:tc>
        <w:tc>
          <w:tcPr>
            <w:tcW w:w="1152" w:type="dxa"/>
            <w:gridSpan w:val="2"/>
            <w:vAlign w:val="center"/>
          </w:tcPr>
          <w:p w14:paraId="7A3BCAFA">
            <w:pPr>
              <w:keepNext w:val="0"/>
              <w:keepLines w:val="0"/>
              <w:suppressLineNumbers w:val="0"/>
              <w:adjustRightInd w:val="0"/>
              <w:snapToGrid w:val="0"/>
              <w:spacing w:before="0" w:beforeAutospacing="0" w:after="0" w:afterAutospacing="0" w:line="400" w:lineRule="exact"/>
              <w:ind w:left="0" w:right="0" w:firstLine="480" w:firstLineChars="200"/>
              <w:jc w:val="center"/>
              <w:rPr>
                <w:rFonts w:hint="eastAsia" w:ascii="宋体" w:hAnsi="宋体" w:eastAsia="宋体" w:cs="宋体"/>
                <w:color w:val="auto"/>
                <w:kern w:val="0"/>
                <w:sz w:val="24"/>
                <w:szCs w:val="24"/>
              </w:rPr>
            </w:pPr>
          </w:p>
        </w:tc>
      </w:tr>
      <w:tr w14:paraId="0FED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792" w:type="dxa"/>
            <w:gridSpan w:val="2"/>
            <w:vAlign w:val="center"/>
          </w:tcPr>
          <w:p w14:paraId="77C73E74">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专业/年限</w:t>
            </w:r>
          </w:p>
        </w:tc>
        <w:tc>
          <w:tcPr>
            <w:tcW w:w="1595" w:type="dxa"/>
            <w:vAlign w:val="center"/>
          </w:tcPr>
          <w:p w14:paraId="502C81DB">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rPr>
            </w:pPr>
          </w:p>
        </w:tc>
        <w:tc>
          <w:tcPr>
            <w:tcW w:w="1543" w:type="dxa"/>
            <w:vAlign w:val="center"/>
          </w:tcPr>
          <w:p w14:paraId="4805BCD3">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毕业学校</w:t>
            </w:r>
          </w:p>
        </w:tc>
        <w:tc>
          <w:tcPr>
            <w:tcW w:w="1346" w:type="dxa"/>
            <w:vAlign w:val="center"/>
          </w:tcPr>
          <w:p w14:paraId="66D8DCFB">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rPr>
            </w:pPr>
          </w:p>
        </w:tc>
        <w:tc>
          <w:tcPr>
            <w:tcW w:w="1729" w:type="dxa"/>
            <w:vAlign w:val="center"/>
          </w:tcPr>
          <w:p w14:paraId="679BA6A3">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学历/专业</w:t>
            </w:r>
          </w:p>
        </w:tc>
        <w:tc>
          <w:tcPr>
            <w:tcW w:w="1152" w:type="dxa"/>
            <w:gridSpan w:val="2"/>
            <w:vAlign w:val="center"/>
          </w:tcPr>
          <w:p w14:paraId="65CB1A14">
            <w:pPr>
              <w:keepNext w:val="0"/>
              <w:keepLines w:val="0"/>
              <w:suppressLineNumbers w:val="0"/>
              <w:adjustRightInd w:val="0"/>
              <w:snapToGrid w:val="0"/>
              <w:spacing w:before="0" w:beforeAutospacing="0" w:after="0" w:afterAutospacing="0" w:line="400" w:lineRule="exact"/>
              <w:ind w:left="0" w:right="0" w:firstLine="480" w:firstLineChars="200"/>
              <w:jc w:val="center"/>
              <w:rPr>
                <w:rFonts w:hint="eastAsia" w:ascii="宋体" w:hAnsi="宋体" w:eastAsia="宋体" w:cs="宋体"/>
                <w:color w:val="auto"/>
                <w:kern w:val="0"/>
                <w:sz w:val="24"/>
                <w:szCs w:val="24"/>
              </w:rPr>
            </w:pPr>
          </w:p>
        </w:tc>
      </w:tr>
      <w:tr w14:paraId="1421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387" w:type="dxa"/>
            <w:gridSpan w:val="3"/>
            <w:vAlign w:val="center"/>
          </w:tcPr>
          <w:p w14:paraId="5B19D156">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是否属投标人固定雇员</w:t>
            </w:r>
          </w:p>
        </w:tc>
        <w:tc>
          <w:tcPr>
            <w:tcW w:w="1543" w:type="dxa"/>
            <w:vAlign w:val="center"/>
          </w:tcPr>
          <w:p w14:paraId="770FBC1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rPr>
            </w:pPr>
          </w:p>
        </w:tc>
        <w:tc>
          <w:tcPr>
            <w:tcW w:w="3075" w:type="dxa"/>
            <w:gridSpan w:val="2"/>
            <w:vAlign w:val="center"/>
          </w:tcPr>
          <w:p w14:paraId="247B4BC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为投标人服务时间</w:t>
            </w:r>
          </w:p>
        </w:tc>
        <w:tc>
          <w:tcPr>
            <w:tcW w:w="1152" w:type="dxa"/>
            <w:gridSpan w:val="2"/>
            <w:vAlign w:val="center"/>
          </w:tcPr>
          <w:p w14:paraId="679121A5">
            <w:pPr>
              <w:keepNext w:val="0"/>
              <w:keepLines w:val="0"/>
              <w:suppressLineNumbers w:val="0"/>
              <w:adjustRightInd w:val="0"/>
              <w:snapToGrid w:val="0"/>
              <w:spacing w:before="0" w:beforeAutospacing="0" w:after="0" w:afterAutospacing="0" w:line="400" w:lineRule="exact"/>
              <w:ind w:left="0" w:right="0" w:firstLine="480" w:firstLineChars="200"/>
              <w:jc w:val="center"/>
              <w:rPr>
                <w:rFonts w:hint="eastAsia" w:ascii="宋体" w:hAnsi="宋体" w:eastAsia="宋体" w:cs="宋体"/>
                <w:color w:val="auto"/>
                <w:kern w:val="0"/>
                <w:sz w:val="24"/>
                <w:szCs w:val="24"/>
              </w:rPr>
            </w:pPr>
          </w:p>
        </w:tc>
      </w:tr>
      <w:tr w14:paraId="03E6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3387" w:type="dxa"/>
            <w:gridSpan w:val="3"/>
            <w:vAlign w:val="center"/>
          </w:tcPr>
          <w:p w14:paraId="461D4912">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拟在本项目担任职务</w:t>
            </w:r>
          </w:p>
        </w:tc>
        <w:tc>
          <w:tcPr>
            <w:tcW w:w="5770" w:type="dxa"/>
            <w:gridSpan w:val="5"/>
            <w:vAlign w:val="center"/>
          </w:tcPr>
          <w:p w14:paraId="4E5D454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rPr>
            </w:pPr>
          </w:p>
        </w:tc>
      </w:tr>
      <w:tr w14:paraId="64E6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157" w:type="dxa"/>
            <w:gridSpan w:val="8"/>
            <w:vAlign w:val="center"/>
          </w:tcPr>
          <w:p w14:paraId="7EEAFED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教育和培训背景</w:t>
            </w:r>
          </w:p>
        </w:tc>
      </w:tr>
      <w:tr w14:paraId="7D02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9157" w:type="dxa"/>
            <w:gridSpan w:val="8"/>
          </w:tcPr>
          <w:p w14:paraId="1B4E4520">
            <w:pPr>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szCs w:val="24"/>
              </w:rPr>
            </w:pPr>
          </w:p>
        </w:tc>
      </w:tr>
      <w:tr w14:paraId="5198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157" w:type="dxa"/>
            <w:gridSpan w:val="8"/>
            <w:vAlign w:val="center"/>
          </w:tcPr>
          <w:p w14:paraId="29D951A8">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工作经历</w:t>
            </w:r>
          </w:p>
        </w:tc>
      </w:tr>
      <w:tr w14:paraId="733A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517" w:type="dxa"/>
            <w:vAlign w:val="center"/>
          </w:tcPr>
          <w:p w14:paraId="350E6828">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时  间</w:t>
            </w:r>
          </w:p>
        </w:tc>
        <w:tc>
          <w:tcPr>
            <w:tcW w:w="3413" w:type="dxa"/>
            <w:gridSpan w:val="3"/>
            <w:vAlign w:val="center"/>
          </w:tcPr>
          <w:p w14:paraId="38407C7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参加过的项目名称</w:t>
            </w:r>
          </w:p>
          <w:p w14:paraId="423F0AC8">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及当时所在单位</w:t>
            </w:r>
          </w:p>
        </w:tc>
        <w:tc>
          <w:tcPr>
            <w:tcW w:w="1346" w:type="dxa"/>
            <w:vAlign w:val="center"/>
          </w:tcPr>
          <w:p w14:paraId="30F8816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担任何职</w:t>
            </w:r>
          </w:p>
        </w:tc>
        <w:tc>
          <w:tcPr>
            <w:tcW w:w="1736" w:type="dxa"/>
            <w:gridSpan w:val="2"/>
            <w:vAlign w:val="center"/>
          </w:tcPr>
          <w:p w14:paraId="7CA3540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主要工作内容</w:t>
            </w:r>
          </w:p>
        </w:tc>
        <w:tc>
          <w:tcPr>
            <w:tcW w:w="1145" w:type="dxa"/>
            <w:vAlign w:val="center"/>
          </w:tcPr>
          <w:p w14:paraId="1EAEE414">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备 注</w:t>
            </w:r>
          </w:p>
        </w:tc>
      </w:tr>
      <w:tr w14:paraId="3365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17" w:type="dxa"/>
            <w:vAlign w:val="center"/>
          </w:tcPr>
          <w:p w14:paraId="036C0E7C">
            <w:pPr>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szCs w:val="24"/>
              </w:rPr>
            </w:pPr>
          </w:p>
        </w:tc>
        <w:tc>
          <w:tcPr>
            <w:tcW w:w="3413" w:type="dxa"/>
            <w:gridSpan w:val="3"/>
            <w:vAlign w:val="center"/>
          </w:tcPr>
          <w:p w14:paraId="7D54C720">
            <w:pPr>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szCs w:val="24"/>
              </w:rPr>
            </w:pPr>
          </w:p>
        </w:tc>
        <w:tc>
          <w:tcPr>
            <w:tcW w:w="1346" w:type="dxa"/>
            <w:vAlign w:val="center"/>
          </w:tcPr>
          <w:p w14:paraId="5CCE247C">
            <w:pPr>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szCs w:val="24"/>
              </w:rPr>
            </w:pPr>
          </w:p>
        </w:tc>
        <w:tc>
          <w:tcPr>
            <w:tcW w:w="1736" w:type="dxa"/>
            <w:gridSpan w:val="2"/>
            <w:vAlign w:val="center"/>
          </w:tcPr>
          <w:p w14:paraId="45438478">
            <w:pPr>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szCs w:val="24"/>
              </w:rPr>
            </w:pPr>
          </w:p>
        </w:tc>
        <w:tc>
          <w:tcPr>
            <w:tcW w:w="1145" w:type="dxa"/>
            <w:vAlign w:val="center"/>
          </w:tcPr>
          <w:p w14:paraId="4D6E525A">
            <w:pPr>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szCs w:val="24"/>
              </w:rPr>
            </w:pPr>
          </w:p>
        </w:tc>
      </w:tr>
      <w:tr w14:paraId="75E4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517" w:type="dxa"/>
            <w:vAlign w:val="center"/>
          </w:tcPr>
          <w:p w14:paraId="3E78A49A">
            <w:pPr>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szCs w:val="24"/>
              </w:rPr>
            </w:pPr>
          </w:p>
        </w:tc>
        <w:tc>
          <w:tcPr>
            <w:tcW w:w="3413" w:type="dxa"/>
            <w:gridSpan w:val="3"/>
            <w:vAlign w:val="center"/>
          </w:tcPr>
          <w:p w14:paraId="61263F1A">
            <w:pPr>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szCs w:val="24"/>
              </w:rPr>
            </w:pPr>
          </w:p>
        </w:tc>
        <w:tc>
          <w:tcPr>
            <w:tcW w:w="1346" w:type="dxa"/>
            <w:vAlign w:val="center"/>
          </w:tcPr>
          <w:p w14:paraId="372DF899">
            <w:pPr>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szCs w:val="24"/>
              </w:rPr>
            </w:pPr>
          </w:p>
        </w:tc>
        <w:tc>
          <w:tcPr>
            <w:tcW w:w="1736" w:type="dxa"/>
            <w:gridSpan w:val="2"/>
            <w:vAlign w:val="center"/>
          </w:tcPr>
          <w:p w14:paraId="55182E1E">
            <w:pPr>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szCs w:val="24"/>
              </w:rPr>
            </w:pPr>
          </w:p>
        </w:tc>
        <w:tc>
          <w:tcPr>
            <w:tcW w:w="1145" w:type="dxa"/>
            <w:vAlign w:val="center"/>
          </w:tcPr>
          <w:p w14:paraId="25F4DF33">
            <w:pPr>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szCs w:val="24"/>
              </w:rPr>
            </w:pPr>
          </w:p>
        </w:tc>
      </w:tr>
      <w:tr w14:paraId="13D9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17" w:type="dxa"/>
            <w:vAlign w:val="center"/>
          </w:tcPr>
          <w:p w14:paraId="686F89F0">
            <w:pPr>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szCs w:val="24"/>
              </w:rPr>
            </w:pPr>
          </w:p>
        </w:tc>
        <w:tc>
          <w:tcPr>
            <w:tcW w:w="3413" w:type="dxa"/>
            <w:gridSpan w:val="3"/>
            <w:vAlign w:val="center"/>
          </w:tcPr>
          <w:p w14:paraId="20ED65C1">
            <w:pPr>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szCs w:val="24"/>
              </w:rPr>
            </w:pPr>
          </w:p>
        </w:tc>
        <w:tc>
          <w:tcPr>
            <w:tcW w:w="1346" w:type="dxa"/>
            <w:vAlign w:val="center"/>
          </w:tcPr>
          <w:p w14:paraId="4BB948A7">
            <w:pPr>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szCs w:val="24"/>
              </w:rPr>
            </w:pPr>
          </w:p>
        </w:tc>
        <w:tc>
          <w:tcPr>
            <w:tcW w:w="1736" w:type="dxa"/>
            <w:gridSpan w:val="2"/>
            <w:vAlign w:val="center"/>
          </w:tcPr>
          <w:p w14:paraId="5C766AF6">
            <w:pPr>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szCs w:val="24"/>
              </w:rPr>
            </w:pPr>
          </w:p>
        </w:tc>
        <w:tc>
          <w:tcPr>
            <w:tcW w:w="1145" w:type="dxa"/>
            <w:vAlign w:val="center"/>
          </w:tcPr>
          <w:p w14:paraId="17645012">
            <w:pPr>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szCs w:val="24"/>
              </w:rPr>
            </w:pPr>
          </w:p>
        </w:tc>
      </w:tr>
      <w:tr w14:paraId="5E34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17" w:type="dxa"/>
            <w:vAlign w:val="center"/>
          </w:tcPr>
          <w:p w14:paraId="5A9212F2">
            <w:pPr>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szCs w:val="24"/>
              </w:rPr>
            </w:pPr>
          </w:p>
        </w:tc>
        <w:tc>
          <w:tcPr>
            <w:tcW w:w="3413" w:type="dxa"/>
            <w:gridSpan w:val="3"/>
            <w:vAlign w:val="center"/>
          </w:tcPr>
          <w:p w14:paraId="58F3FF97">
            <w:pPr>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szCs w:val="24"/>
              </w:rPr>
            </w:pPr>
          </w:p>
        </w:tc>
        <w:tc>
          <w:tcPr>
            <w:tcW w:w="1346" w:type="dxa"/>
            <w:vAlign w:val="center"/>
          </w:tcPr>
          <w:p w14:paraId="30C73EF3">
            <w:pPr>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szCs w:val="24"/>
              </w:rPr>
            </w:pPr>
          </w:p>
        </w:tc>
        <w:tc>
          <w:tcPr>
            <w:tcW w:w="1736" w:type="dxa"/>
            <w:gridSpan w:val="2"/>
            <w:vAlign w:val="center"/>
          </w:tcPr>
          <w:p w14:paraId="28588225">
            <w:pPr>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szCs w:val="24"/>
              </w:rPr>
            </w:pPr>
          </w:p>
        </w:tc>
        <w:tc>
          <w:tcPr>
            <w:tcW w:w="1145" w:type="dxa"/>
            <w:vAlign w:val="center"/>
          </w:tcPr>
          <w:p w14:paraId="528CE6B5">
            <w:pPr>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szCs w:val="24"/>
              </w:rPr>
            </w:pPr>
          </w:p>
        </w:tc>
      </w:tr>
      <w:tr w14:paraId="7F0B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17" w:type="dxa"/>
            <w:vAlign w:val="center"/>
          </w:tcPr>
          <w:p w14:paraId="179606C4">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szCs w:val="24"/>
              </w:rPr>
            </w:pPr>
          </w:p>
        </w:tc>
        <w:tc>
          <w:tcPr>
            <w:tcW w:w="3413" w:type="dxa"/>
            <w:gridSpan w:val="3"/>
            <w:vAlign w:val="center"/>
          </w:tcPr>
          <w:p w14:paraId="1AB43680">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szCs w:val="24"/>
              </w:rPr>
            </w:pPr>
          </w:p>
        </w:tc>
        <w:tc>
          <w:tcPr>
            <w:tcW w:w="1346" w:type="dxa"/>
            <w:vAlign w:val="center"/>
          </w:tcPr>
          <w:p w14:paraId="7A276E35">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szCs w:val="24"/>
              </w:rPr>
            </w:pPr>
          </w:p>
        </w:tc>
        <w:tc>
          <w:tcPr>
            <w:tcW w:w="1736" w:type="dxa"/>
            <w:gridSpan w:val="2"/>
            <w:vAlign w:val="center"/>
          </w:tcPr>
          <w:p w14:paraId="06559BB8">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szCs w:val="24"/>
              </w:rPr>
            </w:pPr>
          </w:p>
        </w:tc>
        <w:tc>
          <w:tcPr>
            <w:tcW w:w="1145" w:type="dxa"/>
            <w:vAlign w:val="center"/>
          </w:tcPr>
          <w:p w14:paraId="007D0CE0">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szCs w:val="24"/>
              </w:rPr>
            </w:pPr>
          </w:p>
        </w:tc>
      </w:tr>
      <w:tr w14:paraId="4605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517" w:type="dxa"/>
            <w:vAlign w:val="center"/>
          </w:tcPr>
          <w:p w14:paraId="2D72FBEE">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szCs w:val="24"/>
              </w:rPr>
            </w:pPr>
          </w:p>
        </w:tc>
        <w:tc>
          <w:tcPr>
            <w:tcW w:w="3413" w:type="dxa"/>
            <w:gridSpan w:val="3"/>
            <w:vAlign w:val="center"/>
          </w:tcPr>
          <w:p w14:paraId="5E47E923">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szCs w:val="24"/>
              </w:rPr>
            </w:pPr>
          </w:p>
        </w:tc>
        <w:tc>
          <w:tcPr>
            <w:tcW w:w="1346" w:type="dxa"/>
            <w:vAlign w:val="center"/>
          </w:tcPr>
          <w:p w14:paraId="5ECF83B0">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szCs w:val="24"/>
              </w:rPr>
            </w:pPr>
          </w:p>
        </w:tc>
        <w:tc>
          <w:tcPr>
            <w:tcW w:w="1736" w:type="dxa"/>
            <w:gridSpan w:val="2"/>
            <w:vAlign w:val="center"/>
          </w:tcPr>
          <w:p w14:paraId="074A4377">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szCs w:val="24"/>
              </w:rPr>
            </w:pPr>
          </w:p>
        </w:tc>
        <w:tc>
          <w:tcPr>
            <w:tcW w:w="1145" w:type="dxa"/>
            <w:vAlign w:val="center"/>
          </w:tcPr>
          <w:p w14:paraId="0BF322EC">
            <w:pPr>
              <w:keepNext w:val="0"/>
              <w:keepLines w:val="0"/>
              <w:suppressLineNumbers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szCs w:val="24"/>
              </w:rPr>
            </w:pPr>
          </w:p>
        </w:tc>
      </w:tr>
    </w:tbl>
    <w:p w14:paraId="5495D2C3">
      <w:pPr>
        <w:pStyle w:val="2"/>
        <w:ind w:left="0" w:leftChars="0" w:firstLine="0" w:firstLineChars="0"/>
        <w:rPr>
          <w:rFonts w:hint="eastAsia"/>
          <w:b/>
          <w:bCs/>
          <w:lang w:val="en-US" w:eastAsia="zh-CN"/>
        </w:rPr>
      </w:pPr>
      <w:r>
        <w:rPr>
          <w:rFonts w:hint="eastAsia"/>
          <w:b/>
          <w:bCs/>
          <w:lang w:val="en-US" w:eastAsia="zh-CN"/>
        </w:rPr>
        <w:t>注:本表后需同时附以下佐证材料并加盖投标人公章:①人员身份证、注册证(如有)等相关证件复印件，②)以上人员近2025年6月至今任意1个月的养老保险缴纳证明材料或劳动合同或聘用证书复印件(劳动合同或聘用证书为退休返聘人员使用，非退休人员必须提供本公司缴纳社保，）</w:t>
      </w:r>
    </w:p>
    <w:p w14:paraId="55AAD3F9">
      <w:pPr>
        <w:spacing w:line="360" w:lineRule="auto"/>
        <w:ind w:firstLine="492" w:firstLineChars="175"/>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业绩</w:t>
      </w:r>
    </w:p>
    <w:tbl>
      <w:tblPr>
        <w:tblStyle w:val="46"/>
        <w:tblW w:w="920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414"/>
        <w:gridCol w:w="2364"/>
        <w:gridCol w:w="2409"/>
        <w:gridCol w:w="2409"/>
      </w:tblGrid>
      <w:tr w14:paraId="7E149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8E0DAD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414" w:type="dxa"/>
            <w:vAlign w:val="center"/>
          </w:tcPr>
          <w:p w14:paraId="7C9999D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2364" w:type="dxa"/>
            <w:vAlign w:val="center"/>
          </w:tcPr>
          <w:p w14:paraId="1EF078C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项目内容</w:t>
            </w:r>
          </w:p>
        </w:tc>
        <w:tc>
          <w:tcPr>
            <w:tcW w:w="2409" w:type="dxa"/>
            <w:vAlign w:val="center"/>
          </w:tcPr>
          <w:p w14:paraId="6C64BE9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合同金额</w:t>
            </w:r>
          </w:p>
        </w:tc>
        <w:tc>
          <w:tcPr>
            <w:tcW w:w="2409" w:type="dxa"/>
            <w:vAlign w:val="center"/>
          </w:tcPr>
          <w:p w14:paraId="4B2971E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采购人名称</w:t>
            </w:r>
          </w:p>
        </w:tc>
      </w:tr>
      <w:tr w14:paraId="542BE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6C397145">
            <w:pPr>
              <w:keepNext w:val="0"/>
              <w:keepLines w:val="0"/>
              <w:suppressLineNumbers w:val="0"/>
              <w:spacing w:before="0" w:beforeAutospacing="0" w:after="0" w:afterAutospacing="0"/>
              <w:ind w:left="12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414" w:type="dxa"/>
            <w:vAlign w:val="center"/>
          </w:tcPr>
          <w:p w14:paraId="5D66836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364" w:type="dxa"/>
            <w:vAlign w:val="center"/>
          </w:tcPr>
          <w:p w14:paraId="50FDB49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409" w:type="dxa"/>
          </w:tcPr>
          <w:p w14:paraId="6E4F715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409" w:type="dxa"/>
          </w:tcPr>
          <w:p w14:paraId="37EAF43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42814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35DEF0D">
            <w:pPr>
              <w:keepNext w:val="0"/>
              <w:keepLines w:val="0"/>
              <w:suppressLineNumbers w:val="0"/>
              <w:spacing w:before="0" w:beforeAutospacing="0" w:after="0" w:afterAutospacing="0"/>
              <w:ind w:left="12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414" w:type="dxa"/>
            <w:vAlign w:val="center"/>
          </w:tcPr>
          <w:p w14:paraId="3FDA91B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364" w:type="dxa"/>
            <w:vAlign w:val="center"/>
          </w:tcPr>
          <w:p w14:paraId="3A578AC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409" w:type="dxa"/>
          </w:tcPr>
          <w:p w14:paraId="0F35671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409" w:type="dxa"/>
          </w:tcPr>
          <w:p w14:paraId="7180610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58C59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34A4548">
            <w:pPr>
              <w:keepNext w:val="0"/>
              <w:keepLines w:val="0"/>
              <w:suppressLineNumbers w:val="0"/>
              <w:spacing w:before="0" w:beforeAutospacing="0" w:after="0" w:afterAutospacing="0"/>
              <w:ind w:left="12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414" w:type="dxa"/>
            <w:vAlign w:val="center"/>
          </w:tcPr>
          <w:p w14:paraId="369552D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364" w:type="dxa"/>
            <w:vAlign w:val="center"/>
          </w:tcPr>
          <w:p w14:paraId="02E856E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409" w:type="dxa"/>
          </w:tcPr>
          <w:p w14:paraId="59AB297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409" w:type="dxa"/>
          </w:tcPr>
          <w:p w14:paraId="425480A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5B679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218B9AED">
            <w:pPr>
              <w:keepNext w:val="0"/>
              <w:keepLines w:val="0"/>
              <w:suppressLineNumbers w:val="0"/>
              <w:spacing w:before="0" w:beforeAutospacing="0" w:after="0" w:afterAutospacing="0"/>
              <w:ind w:left="12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414" w:type="dxa"/>
            <w:vAlign w:val="center"/>
          </w:tcPr>
          <w:p w14:paraId="4BFAD68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364" w:type="dxa"/>
            <w:vAlign w:val="center"/>
          </w:tcPr>
          <w:p w14:paraId="6EEE77A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409" w:type="dxa"/>
          </w:tcPr>
          <w:p w14:paraId="444D62D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409" w:type="dxa"/>
          </w:tcPr>
          <w:p w14:paraId="3700C41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6AF21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7C694FA">
            <w:pPr>
              <w:keepNext w:val="0"/>
              <w:keepLines w:val="0"/>
              <w:suppressLineNumbers w:val="0"/>
              <w:spacing w:before="0" w:beforeAutospacing="0" w:after="0" w:afterAutospacing="0"/>
              <w:ind w:left="12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414" w:type="dxa"/>
            <w:vAlign w:val="center"/>
          </w:tcPr>
          <w:p w14:paraId="3F04011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364" w:type="dxa"/>
            <w:vAlign w:val="center"/>
          </w:tcPr>
          <w:p w14:paraId="49C876E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409" w:type="dxa"/>
          </w:tcPr>
          <w:p w14:paraId="7780CA1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409" w:type="dxa"/>
          </w:tcPr>
          <w:p w14:paraId="1C9AEE5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1E675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A9FA3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414" w:type="dxa"/>
            <w:vAlign w:val="center"/>
          </w:tcPr>
          <w:p w14:paraId="52D358E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364" w:type="dxa"/>
            <w:vAlign w:val="center"/>
          </w:tcPr>
          <w:p w14:paraId="5DAD817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409" w:type="dxa"/>
          </w:tcPr>
          <w:p w14:paraId="7AEFB94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409" w:type="dxa"/>
          </w:tcPr>
          <w:p w14:paraId="3BBD4F6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5B3DD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6993AE4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1414" w:type="dxa"/>
            <w:vAlign w:val="center"/>
          </w:tcPr>
          <w:p w14:paraId="273E9B0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364" w:type="dxa"/>
            <w:vAlign w:val="center"/>
          </w:tcPr>
          <w:p w14:paraId="449A1C3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409" w:type="dxa"/>
          </w:tcPr>
          <w:p w14:paraId="71D9332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409" w:type="dxa"/>
          </w:tcPr>
          <w:p w14:paraId="154A80A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24710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8A4190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1414" w:type="dxa"/>
            <w:vAlign w:val="center"/>
          </w:tcPr>
          <w:p w14:paraId="2C520D8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364" w:type="dxa"/>
            <w:vAlign w:val="center"/>
          </w:tcPr>
          <w:p w14:paraId="59C5E7F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409" w:type="dxa"/>
          </w:tcPr>
          <w:p w14:paraId="359E0D7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409" w:type="dxa"/>
          </w:tcPr>
          <w:p w14:paraId="28DCE4C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14239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5880AC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1414" w:type="dxa"/>
            <w:vAlign w:val="center"/>
          </w:tcPr>
          <w:p w14:paraId="2DB1938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364" w:type="dxa"/>
            <w:vAlign w:val="center"/>
          </w:tcPr>
          <w:p w14:paraId="0A0C594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409" w:type="dxa"/>
          </w:tcPr>
          <w:p w14:paraId="18AA3BB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409" w:type="dxa"/>
          </w:tcPr>
          <w:p w14:paraId="5A0EFCF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43E5B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096D0DBE">
            <w:pPr>
              <w:keepNext w:val="0"/>
              <w:keepLines w:val="0"/>
              <w:suppressLineNumbers w:val="0"/>
              <w:spacing w:before="0" w:beforeAutospacing="0" w:after="0" w:afterAutospacing="0"/>
              <w:ind w:left="120" w:right="0"/>
              <w:jc w:val="center"/>
              <w:rPr>
                <w:rFonts w:hint="eastAsia" w:ascii="宋体" w:hAnsi="宋体" w:eastAsia="宋体" w:cs="宋体"/>
                <w:color w:val="auto"/>
                <w:sz w:val="24"/>
                <w:szCs w:val="24"/>
              </w:rPr>
            </w:pPr>
          </w:p>
        </w:tc>
        <w:tc>
          <w:tcPr>
            <w:tcW w:w="1414" w:type="dxa"/>
            <w:vAlign w:val="center"/>
          </w:tcPr>
          <w:p w14:paraId="0C00CF3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364" w:type="dxa"/>
            <w:vAlign w:val="center"/>
          </w:tcPr>
          <w:p w14:paraId="61F427B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409" w:type="dxa"/>
          </w:tcPr>
          <w:p w14:paraId="00CBF64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409" w:type="dxa"/>
          </w:tcPr>
          <w:p w14:paraId="0D8E9FD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bl>
    <w:p w14:paraId="3056FC17">
      <w:pPr>
        <w:tabs>
          <w:tab w:val="left" w:pos="8782"/>
        </w:tabs>
        <w:snapToGrid w:val="0"/>
        <w:spacing w:line="360" w:lineRule="auto"/>
        <w:ind w:firstLine="480" w:firstLineChars="200"/>
        <w:rPr>
          <w:rFonts w:hint="eastAsia" w:ascii="宋体" w:hAnsi="宋体" w:eastAsia="宋体" w:cs="宋体"/>
          <w:color w:val="auto"/>
          <w:sz w:val="24"/>
          <w:szCs w:val="24"/>
        </w:rPr>
      </w:pPr>
    </w:p>
    <w:p w14:paraId="7D778D04">
      <w:pPr>
        <w:tabs>
          <w:tab w:val="left" w:pos="8782"/>
        </w:tabs>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注：投标人应如实列出以上情况，如有隐瞒，一经查实将导致其报价申请被拒绝。</w:t>
      </w:r>
    </w:p>
    <w:p w14:paraId="177E514E">
      <w:pPr>
        <w:tabs>
          <w:tab w:val="left" w:pos="8782"/>
        </w:tabs>
        <w:snapToGrid w:val="0"/>
        <w:spacing w:line="360" w:lineRule="auto"/>
        <w:ind w:firstLine="478" w:firstLineChars="200"/>
        <w:rPr>
          <w:rFonts w:hint="eastAsia" w:ascii="宋体" w:hAnsi="宋体" w:eastAsia="宋体" w:cs="宋体"/>
          <w:b/>
          <w:bCs/>
          <w:snapToGrid w:val="0"/>
          <w:color w:val="auto"/>
          <w:spacing w:val="-1"/>
          <w:kern w:val="0"/>
          <w:sz w:val="24"/>
          <w:szCs w:val="24"/>
          <w:highlight w:val="none"/>
          <w:lang w:val="en-US" w:eastAsia="zh-CN" w:bidi="ar-SA"/>
        </w:rPr>
      </w:pPr>
      <w:r>
        <w:rPr>
          <w:rFonts w:hint="eastAsia" w:ascii="宋体" w:hAnsi="宋体" w:eastAsia="宋体" w:cs="宋体"/>
          <w:b/>
          <w:bCs/>
          <w:snapToGrid w:val="0"/>
          <w:color w:val="auto"/>
          <w:spacing w:val="-1"/>
          <w:kern w:val="0"/>
          <w:sz w:val="24"/>
          <w:szCs w:val="24"/>
          <w:highlight w:val="none"/>
          <w:lang w:val="en-US" w:eastAsia="zh-CN" w:bidi="ar-SA"/>
        </w:rPr>
        <w:t>（附相关证明材料提供中标通知书或合同扫描件加盖供应商公章，其中合同协议书至少应包含合同首页、合同金额所在页、签字盖章页，否则不予认可。</w:t>
      </w:r>
    </w:p>
    <w:p w14:paraId="78C22FF1">
      <w:pPr>
        <w:adjustRightInd w:val="0"/>
        <w:snapToGrid w:val="0"/>
        <w:spacing w:line="480" w:lineRule="auto"/>
        <w:jc w:val="left"/>
        <w:rPr>
          <w:rFonts w:hint="eastAsia" w:ascii="宋体" w:hAnsi="宋体" w:eastAsia="宋体" w:cs="宋体"/>
          <w:color w:val="auto"/>
          <w:sz w:val="24"/>
          <w:szCs w:val="24"/>
        </w:rPr>
      </w:pPr>
    </w:p>
    <w:p w14:paraId="3B559F23">
      <w:pPr>
        <w:adjustRightInd w:val="0"/>
        <w:snapToGrid w:val="0"/>
        <w:spacing w:line="480" w:lineRule="auto"/>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（单位名称及公章）：____________________</w:t>
      </w:r>
    </w:p>
    <w:p w14:paraId="1FA475A6">
      <w:pPr>
        <w:adjustRightInd w:val="0"/>
        <w:snapToGrid w:val="0"/>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被授权人（签字）：____________________</w:t>
      </w:r>
    </w:p>
    <w:p w14:paraId="7564A361">
      <w:pPr>
        <w:adjustRightInd w:val="0"/>
        <w:snapToGrid w:val="0"/>
        <w:spacing w:line="480" w:lineRule="auto"/>
        <w:rPr>
          <w:rFonts w:hint="eastAsia" w:ascii="宋体" w:hAnsi="宋体" w:eastAsia="宋体" w:cs="宋体"/>
          <w:color w:val="auto"/>
          <w:sz w:val="28"/>
          <w:szCs w:val="28"/>
        </w:rPr>
      </w:pPr>
      <w:r>
        <w:rPr>
          <w:rFonts w:hint="eastAsia" w:ascii="宋体" w:hAnsi="宋体" w:eastAsia="宋体" w:cs="宋体"/>
          <w:color w:val="auto"/>
          <w:sz w:val="24"/>
          <w:szCs w:val="24"/>
        </w:rPr>
        <w:t>日    期：________年________月________日</w:t>
      </w:r>
    </w:p>
    <w:p w14:paraId="3542B2D8">
      <w:pPr>
        <w:widowControl/>
        <w:jc w:val="center"/>
        <w:rPr>
          <w:rFonts w:hint="eastAsia" w:ascii="宋体" w:hAnsi="宋体" w:eastAsia="宋体" w:cs="宋体"/>
          <w:b/>
          <w:bCs/>
          <w:color w:val="auto"/>
          <w:sz w:val="32"/>
          <w:szCs w:val="32"/>
          <w:lang w:val="en-US" w:eastAsia="zh-CN"/>
        </w:rPr>
        <w:sectPr>
          <w:footerReference r:id="rId15" w:type="first"/>
          <w:footerReference r:id="rId14" w:type="default"/>
          <w:pgSz w:w="11906" w:h="16838"/>
          <w:pgMar w:top="1361" w:right="1417" w:bottom="1361" w:left="1417" w:header="850" w:footer="992" w:gutter="0"/>
          <w:pgNumType w:fmt="decimal"/>
          <w:cols w:space="0" w:num="1"/>
          <w:titlePg/>
          <w:rtlGutter w:val="0"/>
          <w:docGrid w:type="lines" w:linePitch="317" w:charSpace="0"/>
        </w:sectPr>
      </w:pPr>
    </w:p>
    <w:p w14:paraId="00A19651">
      <w:pPr>
        <w:widowControl/>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 xml:space="preserve">第六章   </w:t>
      </w:r>
      <w:r>
        <w:rPr>
          <w:rFonts w:hint="eastAsia" w:ascii="宋体" w:hAnsi="宋体" w:eastAsia="宋体" w:cs="宋体"/>
          <w:b/>
          <w:bCs/>
          <w:color w:val="auto"/>
          <w:sz w:val="32"/>
          <w:szCs w:val="32"/>
        </w:rPr>
        <w:t>投标人拒绝政府采购领域商业贿赂承诺书</w:t>
      </w:r>
    </w:p>
    <w:p w14:paraId="11B4A049">
      <w:pPr>
        <w:widowControl/>
        <w:spacing w:line="480" w:lineRule="exact"/>
        <w:jc w:val="center"/>
        <w:rPr>
          <w:rFonts w:hint="eastAsia" w:ascii="宋体" w:hAnsi="宋体" w:eastAsia="宋体" w:cs="宋体"/>
          <w:bCs/>
          <w:color w:val="auto"/>
          <w:kern w:val="0"/>
          <w:sz w:val="24"/>
          <w:szCs w:val="28"/>
        </w:rPr>
      </w:pPr>
      <w:r>
        <w:rPr>
          <w:rFonts w:hint="eastAsia" w:ascii="宋体" w:hAnsi="宋体" w:eastAsia="宋体" w:cs="宋体"/>
          <w:bCs/>
          <w:color w:val="auto"/>
          <w:kern w:val="0"/>
          <w:sz w:val="24"/>
          <w:szCs w:val="28"/>
        </w:rPr>
        <w:t>政府采购</w:t>
      </w:r>
      <w:r>
        <w:rPr>
          <w:rFonts w:hint="eastAsia" w:ascii="宋体" w:hAnsi="宋体" w:eastAsia="宋体" w:cs="宋体"/>
          <w:bCs/>
          <w:color w:val="auto"/>
          <w:kern w:val="0"/>
          <w:sz w:val="24"/>
          <w:szCs w:val="28"/>
          <w:lang w:eastAsia="zh-CN"/>
        </w:rPr>
        <w:t>投标人</w:t>
      </w:r>
      <w:r>
        <w:rPr>
          <w:rFonts w:hint="eastAsia" w:ascii="宋体" w:hAnsi="宋体" w:eastAsia="宋体" w:cs="宋体"/>
          <w:bCs/>
          <w:color w:val="auto"/>
          <w:kern w:val="0"/>
          <w:sz w:val="24"/>
          <w:szCs w:val="28"/>
        </w:rPr>
        <w:t>拒绝政府采购领域商业贿赂承诺书</w:t>
      </w:r>
    </w:p>
    <w:p w14:paraId="29893828">
      <w:pPr>
        <w:widowControl/>
        <w:spacing w:line="240" w:lineRule="exact"/>
        <w:ind w:firstLine="420" w:firstLineChars="200"/>
        <w:jc w:val="left"/>
        <w:rPr>
          <w:rFonts w:hint="eastAsia" w:ascii="宋体" w:hAnsi="宋体" w:eastAsia="宋体" w:cs="宋体"/>
          <w:bCs/>
          <w:color w:val="auto"/>
          <w:kern w:val="0"/>
        </w:rPr>
      </w:pPr>
    </w:p>
    <w:p w14:paraId="209831D9">
      <w:pPr>
        <w:widowControl/>
        <w:spacing w:line="440" w:lineRule="exact"/>
        <w:ind w:firstLine="480" w:firstLineChars="200"/>
        <w:rPr>
          <w:rFonts w:hint="eastAsia" w:ascii="宋体" w:hAnsi="宋体" w:eastAsia="宋体" w:cs="宋体"/>
          <w:bCs/>
          <w:color w:val="auto"/>
          <w:kern w:val="0"/>
          <w:sz w:val="24"/>
          <w:szCs w:val="28"/>
          <w:lang w:eastAsia="zh-CN"/>
        </w:rPr>
      </w:pPr>
      <w:r>
        <w:rPr>
          <w:rFonts w:hint="eastAsia" w:ascii="宋体" w:hAnsi="宋体" w:eastAsia="宋体" w:cs="宋体"/>
          <w:bCs/>
          <w:color w:val="auto"/>
          <w:kern w:val="0"/>
          <w:sz w:val="24"/>
          <w:szCs w:val="28"/>
        </w:rPr>
        <w:t xml:space="preserve">为响应党中央、国务院关于治理政府采购领域商业贿赂行为的号召，我单位在此庄严承诺： </w:t>
      </w:r>
    </w:p>
    <w:p w14:paraId="2CF4E353">
      <w:pPr>
        <w:widowControl/>
        <w:spacing w:line="440" w:lineRule="exact"/>
        <w:ind w:firstLine="480" w:firstLineChars="200"/>
        <w:rPr>
          <w:rFonts w:hint="eastAsia" w:ascii="宋体" w:hAnsi="宋体" w:eastAsia="宋体" w:cs="宋体"/>
          <w:bCs/>
          <w:color w:val="auto"/>
          <w:kern w:val="0"/>
          <w:sz w:val="24"/>
          <w:szCs w:val="28"/>
          <w:lang w:eastAsia="zh-CN"/>
        </w:rPr>
      </w:pPr>
      <w:r>
        <w:rPr>
          <w:rFonts w:hint="eastAsia" w:ascii="宋体" w:hAnsi="宋体" w:eastAsia="宋体" w:cs="宋体"/>
          <w:bCs/>
          <w:color w:val="auto"/>
          <w:kern w:val="0"/>
          <w:sz w:val="24"/>
          <w:szCs w:val="28"/>
          <w:lang w:eastAsia="zh-CN"/>
        </w:rPr>
        <w:t>1.</w:t>
      </w:r>
      <w:r>
        <w:rPr>
          <w:rFonts w:hint="eastAsia" w:ascii="宋体" w:hAnsi="宋体" w:eastAsia="宋体" w:cs="宋体"/>
          <w:bCs/>
          <w:color w:val="auto"/>
          <w:kern w:val="0"/>
          <w:sz w:val="24"/>
          <w:szCs w:val="28"/>
        </w:rPr>
        <w:t xml:space="preserve">在参与政府采购活动中遵纪守法、诚信经营、公平竞标。 </w:t>
      </w:r>
    </w:p>
    <w:p w14:paraId="31893968">
      <w:pPr>
        <w:widowControl/>
        <w:spacing w:line="440" w:lineRule="exact"/>
        <w:ind w:firstLine="480" w:firstLineChars="200"/>
        <w:rPr>
          <w:rFonts w:hint="eastAsia" w:ascii="宋体" w:hAnsi="宋体" w:eastAsia="宋体" w:cs="宋体"/>
          <w:bCs/>
          <w:color w:val="auto"/>
          <w:kern w:val="0"/>
          <w:sz w:val="24"/>
          <w:szCs w:val="28"/>
          <w:lang w:eastAsia="zh-CN"/>
        </w:rPr>
      </w:pPr>
      <w:r>
        <w:rPr>
          <w:rFonts w:hint="eastAsia" w:ascii="宋体" w:hAnsi="宋体" w:eastAsia="宋体" w:cs="宋体"/>
          <w:bCs/>
          <w:color w:val="auto"/>
          <w:kern w:val="0"/>
          <w:sz w:val="24"/>
          <w:szCs w:val="28"/>
          <w:lang w:eastAsia="zh-CN"/>
        </w:rPr>
        <w:t>2.</w:t>
      </w:r>
      <w:r>
        <w:rPr>
          <w:rFonts w:hint="eastAsia" w:ascii="宋体" w:hAnsi="宋体" w:eastAsia="宋体" w:cs="宋体"/>
          <w:bCs/>
          <w:color w:val="auto"/>
          <w:kern w:val="0"/>
          <w:sz w:val="24"/>
          <w:szCs w:val="28"/>
        </w:rPr>
        <w:t xml:space="preserve">不向采购人、招标代理机构和政府采购评审专家进行任何形式的商业贿赂以谋取交易机会。 </w:t>
      </w:r>
    </w:p>
    <w:p w14:paraId="296CF821">
      <w:pPr>
        <w:widowControl/>
        <w:spacing w:line="440" w:lineRule="exact"/>
        <w:ind w:firstLine="480" w:firstLineChars="200"/>
        <w:rPr>
          <w:rFonts w:hint="eastAsia" w:ascii="宋体" w:hAnsi="宋体" w:eastAsia="宋体" w:cs="宋体"/>
          <w:bCs/>
          <w:color w:val="auto"/>
          <w:kern w:val="0"/>
          <w:sz w:val="24"/>
          <w:szCs w:val="28"/>
          <w:lang w:eastAsia="zh-CN"/>
        </w:rPr>
      </w:pPr>
      <w:r>
        <w:rPr>
          <w:rFonts w:hint="eastAsia" w:ascii="宋体" w:hAnsi="宋体" w:eastAsia="宋体" w:cs="宋体"/>
          <w:bCs/>
          <w:color w:val="auto"/>
          <w:kern w:val="0"/>
          <w:sz w:val="24"/>
          <w:szCs w:val="28"/>
          <w:lang w:eastAsia="zh-CN"/>
        </w:rPr>
        <w:t>3.</w:t>
      </w:r>
      <w:r>
        <w:rPr>
          <w:rFonts w:hint="eastAsia" w:ascii="宋体" w:hAnsi="宋体" w:eastAsia="宋体" w:cs="宋体"/>
          <w:bCs/>
          <w:color w:val="auto"/>
          <w:kern w:val="0"/>
          <w:sz w:val="24"/>
          <w:szCs w:val="28"/>
        </w:rPr>
        <w:t xml:space="preserve">不向政府采购招标代理机构和采购人提供虚假资质文件或采用虚假应标方式参与政府采购市场竞争并谋取成交、成交。 </w:t>
      </w:r>
    </w:p>
    <w:p w14:paraId="69B1B3DA">
      <w:pPr>
        <w:widowControl/>
        <w:spacing w:line="440" w:lineRule="exact"/>
        <w:ind w:firstLine="480" w:firstLineChars="200"/>
        <w:rPr>
          <w:rFonts w:hint="eastAsia" w:ascii="宋体" w:hAnsi="宋体" w:eastAsia="宋体" w:cs="宋体"/>
          <w:bCs/>
          <w:color w:val="auto"/>
          <w:kern w:val="0"/>
          <w:sz w:val="24"/>
          <w:szCs w:val="28"/>
          <w:lang w:eastAsia="zh-CN"/>
        </w:rPr>
      </w:pPr>
      <w:r>
        <w:rPr>
          <w:rFonts w:hint="eastAsia" w:ascii="宋体" w:hAnsi="宋体" w:eastAsia="宋体" w:cs="宋体"/>
          <w:bCs/>
          <w:color w:val="auto"/>
          <w:kern w:val="0"/>
          <w:sz w:val="24"/>
          <w:szCs w:val="28"/>
          <w:lang w:eastAsia="zh-CN"/>
        </w:rPr>
        <w:t>4.</w:t>
      </w:r>
      <w:r>
        <w:rPr>
          <w:rFonts w:hint="eastAsia" w:ascii="宋体" w:hAnsi="宋体" w:eastAsia="宋体" w:cs="宋体"/>
          <w:bCs/>
          <w:color w:val="auto"/>
          <w:kern w:val="0"/>
          <w:sz w:val="24"/>
          <w:szCs w:val="28"/>
        </w:rPr>
        <w:t xml:space="preserve">不采取“围标、陪标”等商业欺诈手段获得政府采购定单。 </w:t>
      </w:r>
    </w:p>
    <w:p w14:paraId="297C2DDE">
      <w:pPr>
        <w:widowControl/>
        <w:spacing w:line="440" w:lineRule="exact"/>
        <w:ind w:firstLine="480" w:firstLineChars="200"/>
        <w:rPr>
          <w:rFonts w:hint="eastAsia" w:ascii="宋体" w:hAnsi="宋体" w:eastAsia="宋体" w:cs="宋体"/>
          <w:bCs/>
          <w:color w:val="auto"/>
          <w:kern w:val="0"/>
          <w:sz w:val="24"/>
          <w:szCs w:val="28"/>
          <w:lang w:eastAsia="zh-CN"/>
        </w:rPr>
      </w:pPr>
      <w:r>
        <w:rPr>
          <w:rFonts w:hint="eastAsia" w:ascii="宋体" w:hAnsi="宋体" w:eastAsia="宋体" w:cs="宋体"/>
          <w:bCs/>
          <w:color w:val="auto"/>
          <w:kern w:val="0"/>
          <w:sz w:val="24"/>
          <w:szCs w:val="28"/>
          <w:lang w:eastAsia="zh-CN"/>
        </w:rPr>
        <w:t>5.</w:t>
      </w:r>
      <w:r>
        <w:rPr>
          <w:rFonts w:hint="eastAsia" w:ascii="宋体" w:hAnsi="宋体" w:eastAsia="宋体" w:cs="宋体"/>
          <w:bCs/>
          <w:color w:val="auto"/>
          <w:kern w:val="0"/>
          <w:sz w:val="24"/>
          <w:szCs w:val="28"/>
        </w:rPr>
        <w:t>不采取不正当手段低毁、排挤其他</w:t>
      </w:r>
      <w:r>
        <w:rPr>
          <w:rFonts w:hint="eastAsia" w:ascii="宋体" w:hAnsi="宋体" w:eastAsia="宋体" w:cs="宋体"/>
          <w:bCs/>
          <w:color w:val="auto"/>
          <w:kern w:val="0"/>
          <w:sz w:val="24"/>
          <w:szCs w:val="28"/>
          <w:lang w:eastAsia="zh-CN"/>
        </w:rPr>
        <w:t>投标人</w:t>
      </w:r>
      <w:r>
        <w:rPr>
          <w:rFonts w:hint="eastAsia" w:ascii="宋体" w:hAnsi="宋体" w:eastAsia="宋体" w:cs="宋体"/>
          <w:bCs/>
          <w:color w:val="auto"/>
          <w:kern w:val="0"/>
          <w:sz w:val="24"/>
          <w:szCs w:val="28"/>
        </w:rPr>
        <w:t xml:space="preserve">。 </w:t>
      </w:r>
    </w:p>
    <w:p w14:paraId="0A043C6A">
      <w:pPr>
        <w:widowControl/>
        <w:spacing w:line="440" w:lineRule="exact"/>
        <w:ind w:firstLine="480" w:firstLineChars="200"/>
        <w:rPr>
          <w:rFonts w:hint="eastAsia" w:ascii="宋体" w:hAnsi="宋体" w:eastAsia="宋体" w:cs="宋体"/>
          <w:bCs/>
          <w:color w:val="auto"/>
          <w:kern w:val="0"/>
          <w:sz w:val="24"/>
          <w:szCs w:val="28"/>
          <w:lang w:eastAsia="zh-CN"/>
        </w:rPr>
      </w:pPr>
      <w:r>
        <w:rPr>
          <w:rFonts w:hint="eastAsia" w:ascii="宋体" w:hAnsi="宋体" w:eastAsia="宋体" w:cs="宋体"/>
          <w:bCs/>
          <w:color w:val="auto"/>
          <w:kern w:val="0"/>
          <w:sz w:val="24"/>
          <w:szCs w:val="28"/>
          <w:lang w:eastAsia="zh-CN"/>
        </w:rPr>
        <w:t>6.</w:t>
      </w:r>
      <w:r>
        <w:rPr>
          <w:rFonts w:hint="eastAsia" w:ascii="宋体" w:hAnsi="宋体" w:eastAsia="宋体" w:cs="宋体"/>
          <w:bCs/>
          <w:color w:val="auto"/>
          <w:kern w:val="0"/>
          <w:sz w:val="24"/>
          <w:szCs w:val="28"/>
        </w:rPr>
        <w:t xml:space="preserve">不在提供商品和服务时“偷梁换柱、以次充好”损害采购人的合法权益。 </w:t>
      </w:r>
    </w:p>
    <w:p w14:paraId="533D0583">
      <w:pPr>
        <w:widowControl/>
        <w:spacing w:line="440" w:lineRule="exact"/>
        <w:ind w:firstLine="480" w:firstLineChars="200"/>
        <w:rPr>
          <w:rFonts w:hint="eastAsia" w:ascii="宋体" w:hAnsi="宋体" w:eastAsia="宋体" w:cs="宋体"/>
          <w:bCs/>
          <w:color w:val="auto"/>
          <w:kern w:val="0"/>
          <w:sz w:val="24"/>
          <w:szCs w:val="28"/>
          <w:lang w:eastAsia="zh-CN"/>
        </w:rPr>
      </w:pPr>
      <w:r>
        <w:rPr>
          <w:rFonts w:hint="eastAsia" w:ascii="宋体" w:hAnsi="宋体" w:eastAsia="宋体" w:cs="宋体"/>
          <w:bCs/>
          <w:color w:val="auto"/>
          <w:kern w:val="0"/>
          <w:sz w:val="24"/>
          <w:szCs w:val="28"/>
          <w:lang w:eastAsia="zh-CN"/>
        </w:rPr>
        <w:t>7.</w:t>
      </w:r>
      <w:r>
        <w:rPr>
          <w:rFonts w:hint="eastAsia" w:ascii="宋体" w:hAnsi="宋体" w:eastAsia="宋体" w:cs="宋体"/>
          <w:bCs/>
          <w:color w:val="auto"/>
          <w:kern w:val="0"/>
          <w:sz w:val="24"/>
          <w:szCs w:val="28"/>
        </w:rPr>
        <w:t>不与采购人、招标代理机构政府采购评审专家或其它</w:t>
      </w:r>
      <w:r>
        <w:rPr>
          <w:rFonts w:hint="eastAsia" w:ascii="宋体" w:hAnsi="宋体" w:eastAsia="宋体" w:cs="宋体"/>
          <w:bCs/>
          <w:color w:val="auto"/>
          <w:kern w:val="0"/>
          <w:sz w:val="24"/>
          <w:szCs w:val="28"/>
          <w:lang w:eastAsia="zh-CN"/>
        </w:rPr>
        <w:t>投标人</w:t>
      </w:r>
      <w:r>
        <w:rPr>
          <w:rFonts w:hint="eastAsia" w:ascii="宋体" w:hAnsi="宋体" w:eastAsia="宋体" w:cs="宋体"/>
          <w:bCs/>
          <w:color w:val="auto"/>
          <w:kern w:val="0"/>
          <w:sz w:val="24"/>
          <w:szCs w:val="28"/>
        </w:rPr>
        <w:t xml:space="preserve">恶意串通，进行质疑和投诉，维护政府采购市场秩序。 </w:t>
      </w:r>
    </w:p>
    <w:p w14:paraId="2FB15343">
      <w:pPr>
        <w:widowControl/>
        <w:spacing w:line="440" w:lineRule="exact"/>
        <w:ind w:firstLine="480" w:firstLineChars="200"/>
        <w:rPr>
          <w:rFonts w:hint="eastAsia" w:ascii="宋体" w:hAnsi="宋体" w:eastAsia="宋体" w:cs="宋体"/>
          <w:bCs/>
          <w:color w:val="auto"/>
          <w:kern w:val="0"/>
          <w:sz w:val="24"/>
          <w:szCs w:val="28"/>
          <w:lang w:eastAsia="zh-CN"/>
        </w:rPr>
      </w:pPr>
      <w:r>
        <w:rPr>
          <w:rFonts w:hint="eastAsia" w:ascii="宋体" w:hAnsi="宋体" w:eastAsia="宋体" w:cs="宋体"/>
          <w:bCs/>
          <w:color w:val="auto"/>
          <w:kern w:val="0"/>
          <w:sz w:val="24"/>
          <w:szCs w:val="28"/>
        </w:rPr>
        <w:t>8</w:t>
      </w:r>
      <w:r>
        <w:rPr>
          <w:rFonts w:hint="eastAsia" w:ascii="宋体" w:hAnsi="宋体" w:eastAsia="宋体" w:cs="宋体"/>
          <w:bCs/>
          <w:color w:val="auto"/>
          <w:kern w:val="0"/>
          <w:sz w:val="24"/>
          <w:szCs w:val="28"/>
          <w:lang w:val="en-US" w:eastAsia="zh-CN"/>
        </w:rPr>
        <w:t>.</w:t>
      </w:r>
      <w:r>
        <w:rPr>
          <w:rFonts w:hint="eastAsia" w:ascii="宋体" w:hAnsi="宋体" w:eastAsia="宋体" w:cs="宋体"/>
          <w:bCs/>
          <w:color w:val="auto"/>
          <w:kern w:val="0"/>
          <w:sz w:val="24"/>
          <w:szCs w:val="28"/>
        </w:rPr>
        <w:t xml:space="preserve">尊重和接受政府采购监督管理部门的监督和政府招标代理机构招标要求，承担因违约行为给采购人造成的损失。 </w:t>
      </w:r>
    </w:p>
    <w:p w14:paraId="5DA4E118">
      <w:pPr>
        <w:widowControl/>
        <w:spacing w:line="440" w:lineRule="exact"/>
        <w:ind w:firstLine="480" w:firstLineChars="200"/>
        <w:rPr>
          <w:rFonts w:hint="eastAsia" w:ascii="宋体" w:hAnsi="宋体" w:eastAsia="宋体" w:cs="宋体"/>
          <w:bCs/>
          <w:color w:val="auto"/>
          <w:kern w:val="0"/>
          <w:sz w:val="22"/>
          <w:szCs w:val="24"/>
        </w:rPr>
      </w:pPr>
      <w:r>
        <w:rPr>
          <w:rFonts w:hint="eastAsia" w:ascii="宋体" w:hAnsi="宋体" w:eastAsia="宋体" w:cs="宋体"/>
          <w:bCs/>
          <w:color w:val="auto"/>
          <w:kern w:val="0"/>
          <w:sz w:val="24"/>
          <w:szCs w:val="28"/>
        </w:rPr>
        <w:t>9</w:t>
      </w:r>
      <w:r>
        <w:rPr>
          <w:rFonts w:hint="eastAsia" w:ascii="宋体" w:hAnsi="宋体" w:eastAsia="宋体" w:cs="宋体"/>
          <w:bCs/>
          <w:color w:val="auto"/>
          <w:kern w:val="0"/>
          <w:sz w:val="24"/>
          <w:szCs w:val="28"/>
          <w:lang w:val="en-US" w:eastAsia="zh-CN"/>
        </w:rPr>
        <w:t>.</w:t>
      </w:r>
      <w:r>
        <w:rPr>
          <w:rFonts w:hint="eastAsia" w:ascii="宋体" w:hAnsi="宋体" w:eastAsia="宋体" w:cs="宋体"/>
          <w:bCs/>
          <w:color w:val="auto"/>
          <w:kern w:val="0"/>
          <w:sz w:val="24"/>
          <w:szCs w:val="28"/>
        </w:rPr>
        <w:t xml:space="preserve">不发生其他有悖于政府采购公开、公平、公正和诚信原则的行为。 </w:t>
      </w:r>
    </w:p>
    <w:p w14:paraId="2170DA87">
      <w:pPr>
        <w:widowControl/>
        <w:spacing w:line="440" w:lineRule="exact"/>
        <w:ind w:firstLine="960" w:firstLineChars="400"/>
        <w:rPr>
          <w:rFonts w:hint="eastAsia" w:ascii="宋体" w:hAnsi="宋体" w:eastAsia="宋体" w:cs="宋体"/>
          <w:bCs/>
          <w:color w:val="auto"/>
          <w:kern w:val="0"/>
          <w:sz w:val="24"/>
          <w:szCs w:val="28"/>
        </w:rPr>
      </w:pPr>
    </w:p>
    <w:p w14:paraId="15F05F0D">
      <w:pPr>
        <w:widowControl/>
        <w:spacing w:line="440" w:lineRule="exact"/>
        <w:ind w:firstLine="960" w:firstLineChars="400"/>
        <w:rPr>
          <w:rFonts w:hint="eastAsia" w:ascii="宋体" w:hAnsi="宋体" w:eastAsia="宋体" w:cs="宋体"/>
          <w:bCs/>
          <w:color w:val="auto"/>
          <w:kern w:val="0"/>
          <w:sz w:val="24"/>
          <w:szCs w:val="28"/>
        </w:rPr>
      </w:pPr>
      <w:r>
        <w:rPr>
          <w:rFonts w:hint="eastAsia" w:ascii="宋体" w:hAnsi="宋体" w:eastAsia="宋体" w:cs="宋体"/>
          <w:bCs/>
          <w:color w:val="auto"/>
          <w:kern w:val="0"/>
          <w:sz w:val="24"/>
          <w:szCs w:val="28"/>
        </w:rPr>
        <w:t>承诺单位：</w:t>
      </w:r>
      <w:r>
        <w:rPr>
          <w:rFonts w:hint="eastAsia" w:ascii="宋体" w:hAnsi="宋体" w:eastAsia="宋体" w:cs="宋体"/>
          <w:bCs/>
          <w:color w:val="auto"/>
          <w:kern w:val="0"/>
          <w:sz w:val="24"/>
          <w:szCs w:val="28"/>
          <w:u w:val="single"/>
        </w:rPr>
        <w:t>　　                 　</w:t>
      </w:r>
      <w:r>
        <w:rPr>
          <w:rFonts w:hint="eastAsia" w:ascii="宋体" w:hAnsi="宋体" w:eastAsia="宋体" w:cs="宋体"/>
          <w:bCs/>
          <w:color w:val="auto"/>
          <w:kern w:val="0"/>
          <w:sz w:val="24"/>
          <w:szCs w:val="28"/>
        </w:rPr>
        <w:t>（盖章）</w:t>
      </w:r>
    </w:p>
    <w:p w14:paraId="0E61166D">
      <w:pPr>
        <w:widowControl/>
        <w:spacing w:line="440" w:lineRule="exact"/>
        <w:ind w:firstLine="480" w:firstLineChars="200"/>
        <w:rPr>
          <w:rFonts w:hint="eastAsia" w:ascii="宋体" w:hAnsi="宋体" w:eastAsia="宋体" w:cs="宋体"/>
          <w:bCs/>
          <w:color w:val="auto"/>
          <w:kern w:val="0"/>
          <w:sz w:val="24"/>
          <w:szCs w:val="28"/>
        </w:rPr>
      </w:pPr>
      <w:r>
        <w:rPr>
          <w:rFonts w:hint="eastAsia" w:ascii="宋体" w:hAnsi="宋体" w:eastAsia="宋体" w:cs="宋体"/>
          <w:bCs/>
          <w:color w:val="auto"/>
          <w:kern w:val="0"/>
          <w:sz w:val="24"/>
          <w:szCs w:val="28"/>
        </w:rPr>
        <w:t>  全权代表：</w:t>
      </w:r>
      <w:r>
        <w:rPr>
          <w:rFonts w:hint="eastAsia" w:ascii="宋体" w:hAnsi="宋体" w:eastAsia="宋体" w:cs="宋体"/>
          <w:bCs/>
          <w:color w:val="auto"/>
          <w:kern w:val="0"/>
          <w:sz w:val="24"/>
          <w:szCs w:val="28"/>
          <w:u w:val="single"/>
        </w:rPr>
        <w:t>　　　　　     　　　　</w:t>
      </w:r>
      <w:r>
        <w:rPr>
          <w:rFonts w:hint="eastAsia" w:ascii="宋体" w:hAnsi="宋体" w:eastAsia="宋体" w:cs="宋体"/>
          <w:bCs/>
          <w:color w:val="auto"/>
          <w:kern w:val="0"/>
          <w:sz w:val="24"/>
          <w:szCs w:val="28"/>
        </w:rPr>
        <w:t xml:space="preserve">（签字） </w:t>
      </w:r>
    </w:p>
    <w:p w14:paraId="1C2381A9">
      <w:pPr>
        <w:widowControl/>
        <w:spacing w:line="520" w:lineRule="exact"/>
        <w:ind w:firstLine="480" w:firstLineChars="200"/>
        <w:rPr>
          <w:rFonts w:hint="eastAsia" w:ascii="宋体" w:hAnsi="宋体" w:eastAsia="宋体" w:cs="宋体"/>
          <w:bCs/>
          <w:color w:val="auto"/>
          <w:kern w:val="0"/>
          <w:sz w:val="24"/>
          <w:szCs w:val="28"/>
          <w:u w:val="single"/>
        </w:rPr>
      </w:pPr>
      <w:r>
        <w:rPr>
          <w:rFonts w:hint="eastAsia" w:ascii="宋体" w:hAnsi="宋体" w:eastAsia="宋体" w:cs="宋体"/>
          <w:bCs/>
          <w:color w:val="auto"/>
          <w:kern w:val="0"/>
          <w:sz w:val="24"/>
          <w:szCs w:val="28"/>
        </w:rPr>
        <w:t xml:space="preserve">    地　　址：</w:t>
      </w:r>
      <w:r>
        <w:rPr>
          <w:rFonts w:hint="eastAsia" w:ascii="宋体" w:hAnsi="宋体" w:eastAsia="宋体" w:cs="宋体"/>
          <w:bCs/>
          <w:color w:val="auto"/>
          <w:kern w:val="0"/>
          <w:sz w:val="24"/>
          <w:szCs w:val="28"/>
          <w:u w:val="single"/>
        </w:rPr>
        <w:t xml:space="preserve">                       </w:t>
      </w:r>
    </w:p>
    <w:p w14:paraId="04CF50CE">
      <w:pPr>
        <w:widowControl/>
        <w:spacing w:line="520" w:lineRule="exact"/>
        <w:ind w:firstLine="480" w:firstLineChars="200"/>
        <w:rPr>
          <w:rFonts w:hint="eastAsia" w:ascii="宋体" w:hAnsi="宋体" w:eastAsia="宋体" w:cs="宋体"/>
          <w:bCs/>
          <w:color w:val="auto"/>
          <w:kern w:val="0"/>
          <w:sz w:val="24"/>
          <w:szCs w:val="28"/>
        </w:rPr>
      </w:pPr>
      <w:r>
        <w:rPr>
          <w:rFonts w:hint="eastAsia" w:ascii="宋体" w:hAnsi="宋体" w:eastAsia="宋体" w:cs="宋体"/>
          <w:bCs/>
          <w:color w:val="auto"/>
          <w:kern w:val="0"/>
          <w:sz w:val="24"/>
          <w:szCs w:val="28"/>
        </w:rPr>
        <w:t xml:space="preserve">    邮    编：</w:t>
      </w:r>
      <w:r>
        <w:rPr>
          <w:rFonts w:hint="eastAsia" w:ascii="宋体" w:hAnsi="宋体" w:eastAsia="宋体" w:cs="宋体"/>
          <w:bCs/>
          <w:color w:val="auto"/>
          <w:kern w:val="0"/>
          <w:sz w:val="24"/>
          <w:szCs w:val="28"/>
          <w:u w:val="single"/>
        </w:rPr>
        <w:t xml:space="preserve">　　                  </w:t>
      </w:r>
      <w:r>
        <w:rPr>
          <w:rFonts w:hint="eastAsia" w:ascii="宋体" w:hAnsi="宋体" w:eastAsia="宋体" w:cs="宋体"/>
          <w:bCs/>
          <w:color w:val="auto"/>
          <w:kern w:val="0"/>
          <w:sz w:val="24"/>
          <w:szCs w:val="28"/>
          <w:u w:val="single"/>
          <w:lang w:val="en-US" w:eastAsia="zh-CN"/>
        </w:rPr>
        <w:t xml:space="preserve"> </w:t>
      </w:r>
      <w:r>
        <w:rPr>
          <w:rFonts w:hint="eastAsia" w:ascii="宋体" w:hAnsi="宋体" w:eastAsia="宋体" w:cs="宋体"/>
          <w:bCs/>
          <w:color w:val="auto"/>
          <w:kern w:val="0"/>
          <w:sz w:val="24"/>
          <w:szCs w:val="28"/>
        </w:rPr>
        <w:t>   </w:t>
      </w:r>
    </w:p>
    <w:p w14:paraId="51299BE5">
      <w:pPr>
        <w:widowControl/>
        <w:spacing w:line="520" w:lineRule="exact"/>
        <w:ind w:firstLine="720" w:firstLineChars="300"/>
        <w:rPr>
          <w:rFonts w:hint="eastAsia" w:ascii="宋体" w:hAnsi="宋体" w:eastAsia="宋体" w:cs="宋体"/>
          <w:bCs/>
          <w:color w:val="auto"/>
          <w:kern w:val="0"/>
          <w:sz w:val="24"/>
          <w:szCs w:val="28"/>
        </w:rPr>
      </w:pPr>
      <w:r>
        <w:rPr>
          <w:rFonts w:hint="eastAsia" w:ascii="宋体" w:hAnsi="宋体" w:eastAsia="宋体" w:cs="宋体"/>
          <w:bCs/>
          <w:color w:val="auto"/>
          <w:kern w:val="0"/>
          <w:sz w:val="24"/>
          <w:szCs w:val="28"/>
        </w:rPr>
        <w:t> 电　　话：</w:t>
      </w:r>
      <w:r>
        <w:rPr>
          <w:rFonts w:hint="eastAsia" w:ascii="宋体" w:hAnsi="宋体" w:eastAsia="宋体" w:cs="宋体"/>
          <w:bCs/>
          <w:color w:val="auto"/>
          <w:kern w:val="0"/>
          <w:sz w:val="24"/>
          <w:szCs w:val="28"/>
          <w:u w:val="single"/>
        </w:rPr>
        <w:t xml:space="preserve">　　　            </w:t>
      </w:r>
      <w:r>
        <w:rPr>
          <w:rFonts w:hint="eastAsia" w:ascii="宋体" w:hAnsi="宋体" w:eastAsia="宋体" w:cs="宋体"/>
          <w:bCs/>
          <w:color w:val="auto"/>
          <w:kern w:val="0"/>
          <w:sz w:val="24"/>
          <w:szCs w:val="28"/>
          <w:u w:val="single"/>
          <w:lang w:val="en-US" w:eastAsia="zh-CN"/>
        </w:rPr>
        <w:t xml:space="preserve"> </w:t>
      </w:r>
      <w:r>
        <w:rPr>
          <w:rFonts w:hint="eastAsia" w:ascii="宋体" w:hAnsi="宋体" w:eastAsia="宋体" w:cs="宋体"/>
          <w:bCs/>
          <w:color w:val="auto"/>
          <w:kern w:val="0"/>
          <w:sz w:val="24"/>
          <w:szCs w:val="28"/>
          <w:u w:val="single"/>
        </w:rPr>
        <w:t xml:space="preserve">    </w:t>
      </w:r>
      <w:r>
        <w:rPr>
          <w:rFonts w:hint="eastAsia" w:ascii="宋体" w:hAnsi="宋体" w:eastAsia="宋体" w:cs="宋体"/>
          <w:bCs/>
          <w:color w:val="auto"/>
          <w:kern w:val="0"/>
          <w:sz w:val="24"/>
          <w:szCs w:val="28"/>
        </w:rPr>
        <w:t xml:space="preserve">　　 </w:t>
      </w:r>
    </w:p>
    <w:p w14:paraId="10ABA168">
      <w:pPr>
        <w:widowControl/>
        <w:spacing w:line="340" w:lineRule="exact"/>
        <w:rPr>
          <w:rFonts w:hint="eastAsia" w:ascii="宋体" w:hAnsi="宋体" w:eastAsia="宋体" w:cs="宋体"/>
          <w:bCs/>
          <w:color w:val="auto"/>
          <w:kern w:val="0"/>
          <w:sz w:val="24"/>
          <w:szCs w:val="28"/>
          <w:lang w:val="en-US" w:eastAsia="zh-CN"/>
        </w:rPr>
      </w:pPr>
      <w:r>
        <w:rPr>
          <w:rFonts w:hint="eastAsia" w:ascii="宋体" w:hAnsi="宋体" w:eastAsia="宋体" w:cs="宋体"/>
          <w:bCs/>
          <w:color w:val="auto"/>
          <w:kern w:val="0"/>
          <w:sz w:val="24"/>
          <w:szCs w:val="28"/>
          <w:lang w:val="en-US" w:eastAsia="zh-CN"/>
        </w:rPr>
        <w:t xml:space="preserve"> </w:t>
      </w:r>
    </w:p>
    <w:p w14:paraId="56D72BEA">
      <w:pPr>
        <w:widowControl/>
        <w:spacing w:line="340" w:lineRule="exact"/>
        <w:ind w:firstLine="4920" w:firstLineChars="2050"/>
        <w:rPr>
          <w:rFonts w:hint="eastAsia" w:ascii="宋体" w:hAnsi="宋体" w:eastAsia="宋体" w:cs="宋体"/>
          <w:bCs/>
          <w:color w:val="auto"/>
          <w:sz w:val="36"/>
          <w:szCs w:val="40"/>
        </w:rPr>
      </w:pPr>
      <w:r>
        <w:rPr>
          <w:rFonts w:hint="eastAsia" w:ascii="宋体" w:hAnsi="宋体" w:eastAsia="宋体" w:cs="宋体"/>
          <w:bCs/>
          <w:color w:val="auto"/>
          <w:kern w:val="0"/>
          <w:sz w:val="24"/>
          <w:szCs w:val="28"/>
        </w:rPr>
        <w:t>年　　月　　日</w:t>
      </w:r>
    </w:p>
    <w:p w14:paraId="7F88D4DE">
      <w:pPr>
        <w:widowControl/>
        <w:spacing w:line="640" w:lineRule="exact"/>
        <w:jc w:val="center"/>
        <w:rPr>
          <w:rFonts w:hint="eastAsia" w:ascii="宋体" w:hAnsi="宋体" w:eastAsia="宋体" w:cs="宋体"/>
          <w:bCs/>
          <w:color w:val="auto"/>
          <w:sz w:val="36"/>
          <w:szCs w:val="40"/>
        </w:rPr>
      </w:pPr>
    </w:p>
    <w:p w14:paraId="74371EF7">
      <w:pPr>
        <w:widowControl/>
        <w:tabs>
          <w:tab w:val="left" w:pos="3930"/>
        </w:tabs>
        <w:spacing w:line="400" w:lineRule="exact"/>
        <w:jc w:val="left"/>
        <w:rPr>
          <w:rFonts w:hint="eastAsia" w:ascii="宋体" w:hAnsi="宋体" w:eastAsia="宋体" w:cs="宋体"/>
          <w:bCs/>
          <w:color w:val="auto"/>
          <w:sz w:val="40"/>
          <w:szCs w:val="40"/>
        </w:rPr>
      </w:pPr>
      <w:r>
        <w:rPr>
          <w:rFonts w:hint="eastAsia" w:ascii="宋体" w:hAnsi="宋体" w:eastAsia="宋体" w:cs="宋体"/>
          <w:bCs/>
          <w:color w:val="auto"/>
          <w:sz w:val="40"/>
          <w:szCs w:val="40"/>
        </w:rPr>
        <w:tab/>
      </w:r>
    </w:p>
    <w:p w14:paraId="319A00A7">
      <w:pPr>
        <w:widowControl/>
        <w:jc w:val="left"/>
        <w:rPr>
          <w:rFonts w:hint="eastAsia" w:ascii="宋体" w:hAnsi="宋体" w:eastAsia="宋体" w:cs="宋体"/>
          <w:bCs/>
          <w:color w:val="auto"/>
          <w:kern w:val="0"/>
          <w:sz w:val="32"/>
          <w:szCs w:val="32"/>
        </w:rPr>
      </w:pPr>
    </w:p>
    <w:p w14:paraId="59E6435C">
      <w:pPr>
        <w:widowControl/>
        <w:shd w:val="clear" w:color="auto" w:fill="FFFFFF"/>
        <w:spacing w:before="100" w:beforeAutospacing="1" w:after="100" w:afterAutospacing="1" w:line="400" w:lineRule="exact"/>
        <w:jc w:val="center"/>
        <w:rPr>
          <w:rFonts w:hint="eastAsia" w:ascii="宋体" w:hAnsi="宋体" w:eastAsia="宋体" w:cs="宋体"/>
          <w:bCs/>
          <w:color w:val="auto"/>
          <w:kern w:val="0"/>
          <w:sz w:val="32"/>
          <w:szCs w:val="32"/>
        </w:rPr>
        <w:sectPr>
          <w:footerReference r:id="rId17" w:type="first"/>
          <w:footerReference r:id="rId16" w:type="default"/>
          <w:pgSz w:w="11906" w:h="16838"/>
          <w:pgMar w:top="1361" w:right="1417" w:bottom="1361" w:left="1417" w:header="850" w:footer="992" w:gutter="0"/>
          <w:pgNumType w:fmt="decimal"/>
          <w:cols w:space="0" w:num="1"/>
          <w:titlePg/>
          <w:rtlGutter w:val="0"/>
          <w:docGrid w:type="lines" w:linePitch="317" w:charSpace="0"/>
        </w:sectPr>
      </w:pPr>
    </w:p>
    <w:p w14:paraId="15DC7A7C">
      <w:pPr>
        <w:widowControl/>
        <w:shd w:val="clear" w:color="auto" w:fill="FFFFFF"/>
        <w:spacing w:before="100" w:beforeAutospacing="1" w:after="100" w:afterAutospacing="1" w:line="400" w:lineRule="exac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32"/>
          <w:szCs w:val="32"/>
        </w:rPr>
        <w:t>承诺书Ⅱ</w:t>
      </w:r>
    </w:p>
    <w:p w14:paraId="79BE1210">
      <w:pPr>
        <w:widowControl/>
        <w:spacing w:line="440" w:lineRule="exact"/>
        <w:rPr>
          <w:rFonts w:hint="eastAsia" w:ascii="宋体" w:hAnsi="宋体" w:eastAsia="宋体" w:cs="宋体"/>
          <w:color w:val="auto"/>
          <w:sz w:val="24"/>
          <w:szCs w:val="28"/>
          <w:lang w:eastAsia="zh-CN"/>
        </w:rPr>
      </w:pPr>
      <w:r>
        <w:rPr>
          <w:rFonts w:hint="eastAsia" w:ascii="宋体" w:hAnsi="宋体" w:eastAsia="宋体" w:cs="宋体"/>
          <w:color w:val="auto"/>
          <w:sz w:val="24"/>
          <w:szCs w:val="28"/>
        </w:rPr>
        <w:t>致：</w:t>
      </w:r>
      <w:r>
        <w:rPr>
          <w:rFonts w:hint="eastAsia" w:ascii="宋体" w:hAnsi="宋体" w:eastAsia="宋体" w:cs="宋体"/>
          <w:color w:val="auto"/>
          <w:sz w:val="24"/>
          <w:szCs w:val="28"/>
          <w:lang w:eastAsia="zh-CN"/>
        </w:rPr>
        <w:t>兰天项目管理有限公司</w:t>
      </w:r>
    </w:p>
    <w:p w14:paraId="0E9FBFC2">
      <w:pPr>
        <w:widowControl/>
        <w:spacing w:line="440" w:lineRule="exact"/>
        <w:ind w:firstLine="472" w:firstLineChars="197"/>
        <w:rPr>
          <w:rFonts w:hint="eastAsia" w:ascii="宋体" w:hAnsi="宋体" w:eastAsia="宋体" w:cs="宋体"/>
          <w:color w:val="auto"/>
          <w:sz w:val="24"/>
          <w:szCs w:val="28"/>
        </w:rPr>
      </w:pPr>
      <w:r>
        <w:rPr>
          <w:rFonts w:hint="eastAsia" w:ascii="宋体" w:hAnsi="宋体" w:eastAsia="宋体" w:cs="宋体"/>
          <w:color w:val="auto"/>
          <w:sz w:val="24"/>
          <w:szCs w:val="28"/>
        </w:rPr>
        <w:t>为了诚实、客观、有序地参与政府采购活动，愿就以下内容作出承诺：</w:t>
      </w:r>
    </w:p>
    <w:p w14:paraId="297510B0">
      <w:pPr>
        <w:widowControl/>
        <w:spacing w:line="440" w:lineRule="exact"/>
        <w:ind w:firstLine="472" w:firstLineChars="197"/>
        <w:rPr>
          <w:rFonts w:hint="eastAsia" w:ascii="宋体" w:hAnsi="宋体" w:eastAsia="宋体" w:cs="宋体"/>
          <w:color w:val="auto"/>
          <w:sz w:val="24"/>
          <w:szCs w:val="28"/>
        </w:rPr>
      </w:pPr>
      <w:r>
        <w:rPr>
          <w:rFonts w:hint="eastAsia" w:ascii="宋体" w:hAnsi="宋体" w:eastAsia="宋体" w:cs="宋体"/>
          <w:color w:val="auto"/>
          <w:sz w:val="24"/>
          <w:szCs w:val="28"/>
          <w:lang w:eastAsia="zh-CN"/>
        </w:rPr>
        <w:t>1.</w:t>
      </w:r>
      <w:r>
        <w:rPr>
          <w:rFonts w:hint="eastAsia" w:ascii="宋体" w:hAnsi="宋体" w:eastAsia="宋体" w:cs="宋体"/>
          <w:color w:val="auto"/>
          <w:sz w:val="24"/>
          <w:szCs w:val="28"/>
        </w:rPr>
        <w:t>参加采购代理机构组织的政府采购活动时，严格按照磋商文件的规定和要求提供所需的相关材料，并对所提供的各类资料的真实性负责，不虚假应标，不虚列业绩。</w:t>
      </w:r>
    </w:p>
    <w:p w14:paraId="54F02FCB">
      <w:pPr>
        <w:widowControl/>
        <w:shd w:val="clear" w:color="auto" w:fill="FFFFFF"/>
        <w:spacing w:line="440" w:lineRule="exact"/>
        <w:ind w:firstLine="480"/>
        <w:rPr>
          <w:rFonts w:hint="eastAsia" w:ascii="宋体" w:hAnsi="宋体" w:eastAsia="宋体" w:cs="宋体"/>
          <w:bCs/>
          <w:color w:val="auto"/>
          <w:kern w:val="0"/>
          <w:sz w:val="24"/>
          <w:szCs w:val="28"/>
        </w:rPr>
      </w:pPr>
      <w:r>
        <w:rPr>
          <w:rFonts w:hint="eastAsia" w:ascii="宋体" w:hAnsi="宋体" w:eastAsia="宋体" w:cs="宋体"/>
          <w:bCs/>
          <w:color w:val="auto"/>
          <w:kern w:val="0"/>
          <w:sz w:val="24"/>
          <w:szCs w:val="28"/>
          <w:lang w:eastAsia="zh-CN"/>
        </w:rPr>
        <w:t>2.</w:t>
      </w:r>
      <w:r>
        <w:rPr>
          <w:rFonts w:hint="eastAsia" w:ascii="宋体" w:hAnsi="宋体" w:eastAsia="宋体" w:cs="宋体"/>
          <w:bCs/>
          <w:color w:val="auto"/>
          <w:kern w:val="0"/>
          <w:sz w:val="24"/>
          <w:szCs w:val="28"/>
        </w:rPr>
        <w:t>尊重参与政府采购活动各相关方的合法行为，接受政府采购活动依法形成的意见、结果。</w:t>
      </w:r>
    </w:p>
    <w:p w14:paraId="65DC9866">
      <w:pPr>
        <w:widowControl/>
        <w:shd w:val="clear" w:color="auto" w:fill="FFFFFF"/>
        <w:spacing w:line="440" w:lineRule="exact"/>
        <w:ind w:firstLine="480"/>
        <w:rPr>
          <w:rFonts w:hint="eastAsia" w:ascii="宋体" w:hAnsi="宋体" w:eastAsia="宋体" w:cs="宋体"/>
          <w:bCs/>
          <w:color w:val="auto"/>
          <w:kern w:val="0"/>
          <w:sz w:val="24"/>
          <w:szCs w:val="28"/>
        </w:rPr>
      </w:pPr>
      <w:r>
        <w:rPr>
          <w:rFonts w:hint="eastAsia" w:ascii="宋体" w:hAnsi="宋体" w:eastAsia="宋体" w:cs="宋体"/>
          <w:bCs/>
          <w:color w:val="auto"/>
          <w:kern w:val="0"/>
          <w:sz w:val="24"/>
          <w:szCs w:val="28"/>
          <w:lang w:eastAsia="zh-CN"/>
        </w:rPr>
        <w:t>3.</w:t>
      </w:r>
      <w:r>
        <w:rPr>
          <w:rFonts w:hint="eastAsia" w:ascii="宋体" w:hAnsi="宋体" w:eastAsia="宋体" w:cs="宋体"/>
          <w:bCs/>
          <w:color w:val="auto"/>
          <w:kern w:val="0"/>
          <w:sz w:val="24"/>
          <w:szCs w:val="28"/>
        </w:rPr>
        <w:t>依法参加政府采购活动，不围标、串标，维护市场秩序。近三年因项目质量问题的不法行为记录为</w:t>
      </w:r>
      <w:r>
        <w:rPr>
          <w:rFonts w:hint="eastAsia" w:ascii="宋体" w:hAnsi="宋体" w:eastAsia="宋体" w:cs="宋体"/>
          <w:bCs/>
          <w:color w:val="auto"/>
          <w:kern w:val="0"/>
          <w:sz w:val="24"/>
          <w:szCs w:val="28"/>
          <w:u w:val="single"/>
        </w:rPr>
        <w:t>   </w:t>
      </w:r>
      <w:r>
        <w:rPr>
          <w:rFonts w:hint="eastAsia" w:ascii="宋体" w:hAnsi="宋体" w:eastAsia="宋体" w:cs="宋体"/>
          <w:bCs/>
          <w:color w:val="auto"/>
          <w:kern w:val="0"/>
          <w:sz w:val="24"/>
          <w:szCs w:val="28"/>
        </w:rPr>
        <w:t>次（没有填零），如有隐瞒实情，愿承担一切责任及后果。</w:t>
      </w:r>
    </w:p>
    <w:p w14:paraId="2ED26751">
      <w:pPr>
        <w:widowControl/>
        <w:shd w:val="clear" w:color="auto" w:fill="FFFFFF"/>
        <w:spacing w:line="440" w:lineRule="exact"/>
        <w:ind w:firstLine="480"/>
        <w:rPr>
          <w:rFonts w:hint="eastAsia" w:ascii="宋体" w:hAnsi="宋体" w:eastAsia="宋体" w:cs="宋体"/>
          <w:bCs/>
          <w:color w:val="auto"/>
          <w:kern w:val="0"/>
          <w:sz w:val="24"/>
          <w:szCs w:val="28"/>
        </w:rPr>
      </w:pPr>
      <w:r>
        <w:rPr>
          <w:rFonts w:hint="eastAsia" w:ascii="宋体" w:hAnsi="宋体" w:eastAsia="宋体" w:cs="宋体"/>
          <w:bCs/>
          <w:color w:val="auto"/>
          <w:kern w:val="0"/>
          <w:sz w:val="24"/>
          <w:szCs w:val="28"/>
          <w:lang w:eastAsia="zh-CN"/>
        </w:rPr>
        <w:t>4.</w:t>
      </w:r>
      <w:r>
        <w:rPr>
          <w:rFonts w:hint="eastAsia" w:ascii="宋体" w:hAnsi="宋体" w:eastAsia="宋体" w:cs="宋体"/>
          <w:bCs/>
          <w:color w:val="auto"/>
          <w:kern w:val="0"/>
          <w:sz w:val="24"/>
          <w:szCs w:val="28"/>
        </w:rPr>
        <w:t>作为参加贵公司组织的采购项目的响应单位，本公司承诺：在参加本项目磋商之前不存在被依法禁止经营行为、财产被接管或冻结的情况，如有隐瞒实情，愿承担一切责任及后果。</w:t>
      </w:r>
    </w:p>
    <w:p w14:paraId="6FE58B96">
      <w:pPr>
        <w:widowControl/>
        <w:shd w:val="clear" w:color="auto" w:fill="FFFFFF"/>
        <w:spacing w:line="440" w:lineRule="exact"/>
        <w:ind w:firstLine="480"/>
        <w:rPr>
          <w:rFonts w:hint="eastAsia" w:ascii="宋体" w:hAnsi="宋体" w:eastAsia="宋体" w:cs="宋体"/>
          <w:bCs/>
          <w:color w:val="auto"/>
          <w:kern w:val="0"/>
          <w:sz w:val="24"/>
          <w:szCs w:val="28"/>
        </w:rPr>
      </w:pPr>
      <w:r>
        <w:rPr>
          <w:rFonts w:hint="eastAsia" w:ascii="宋体" w:hAnsi="宋体" w:eastAsia="宋体" w:cs="宋体"/>
          <w:bCs/>
          <w:color w:val="auto"/>
          <w:kern w:val="0"/>
          <w:sz w:val="24"/>
          <w:szCs w:val="28"/>
          <w:lang w:eastAsia="zh-CN"/>
        </w:rPr>
        <w:t>5.</w:t>
      </w:r>
      <w:r>
        <w:rPr>
          <w:rFonts w:hint="eastAsia" w:ascii="宋体" w:hAnsi="宋体" w:eastAsia="宋体" w:cs="宋体"/>
          <w:bCs/>
          <w:color w:val="auto"/>
          <w:kern w:val="0"/>
          <w:sz w:val="24"/>
          <w:szCs w:val="28"/>
        </w:rPr>
        <w:t>近三年受到有关行政主管部门的行政处理、不良行为记录为</w:t>
      </w:r>
      <w:r>
        <w:rPr>
          <w:rFonts w:hint="eastAsia" w:ascii="宋体" w:hAnsi="宋体" w:eastAsia="宋体" w:cs="宋体"/>
          <w:bCs/>
          <w:color w:val="auto"/>
          <w:kern w:val="0"/>
          <w:sz w:val="24"/>
          <w:szCs w:val="28"/>
          <w:u w:val="single"/>
        </w:rPr>
        <w:t>    </w:t>
      </w:r>
      <w:r>
        <w:rPr>
          <w:rFonts w:hint="eastAsia" w:ascii="宋体" w:hAnsi="宋体" w:eastAsia="宋体" w:cs="宋体"/>
          <w:bCs/>
          <w:color w:val="auto"/>
          <w:kern w:val="0"/>
          <w:sz w:val="24"/>
          <w:szCs w:val="28"/>
        </w:rPr>
        <w:t>次（没有填零），如有隐瞒实情，愿承担一切责任及后果。</w:t>
      </w:r>
    </w:p>
    <w:p w14:paraId="0E7AF7FA">
      <w:pPr>
        <w:widowControl/>
        <w:shd w:val="clear" w:color="auto" w:fill="FFFFFF"/>
        <w:spacing w:line="440" w:lineRule="exact"/>
        <w:ind w:firstLine="480"/>
        <w:rPr>
          <w:rFonts w:hint="eastAsia" w:ascii="宋体" w:hAnsi="宋体" w:eastAsia="宋体" w:cs="宋体"/>
          <w:bCs/>
          <w:color w:val="auto"/>
          <w:kern w:val="0"/>
          <w:sz w:val="24"/>
          <w:szCs w:val="28"/>
        </w:rPr>
      </w:pPr>
      <w:r>
        <w:rPr>
          <w:rFonts w:hint="eastAsia" w:ascii="宋体" w:hAnsi="宋体" w:eastAsia="宋体" w:cs="宋体"/>
          <w:bCs/>
          <w:color w:val="auto"/>
          <w:kern w:val="0"/>
          <w:sz w:val="24"/>
          <w:szCs w:val="28"/>
          <w:lang w:eastAsia="zh-CN"/>
        </w:rPr>
        <w:t>6.</w:t>
      </w:r>
      <w:r>
        <w:rPr>
          <w:rFonts w:hint="eastAsia" w:ascii="宋体" w:hAnsi="宋体" w:eastAsia="宋体" w:cs="宋体"/>
          <w:bCs/>
          <w:color w:val="auto"/>
          <w:kern w:val="0"/>
          <w:sz w:val="24"/>
          <w:szCs w:val="28"/>
        </w:rPr>
        <w:t>参加本次磋商提交的所有资</w:t>
      </w:r>
      <w:r>
        <w:rPr>
          <w:rFonts w:hint="eastAsia" w:ascii="宋体" w:hAnsi="宋体" w:eastAsia="宋体" w:cs="宋体"/>
          <w:bCs/>
          <w:color w:val="auto"/>
          <w:kern w:val="0"/>
          <w:sz w:val="24"/>
          <w:szCs w:val="28"/>
          <w:lang w:val="en-US" w:eastAsia="zh-CN"/>
        </w:rPr>
        <w:t>格</w:t>
      </w:r>
      <w:r>
        <w:rPr>
          <w:rFonts w:hint="eastAsia" w:ascii="宋体" w:hAnsi="宋体" w:eastAsia="宋体" w:cs="宋体"/>
          <w:bCs/>
          <w:color w:val="auto"/>
          <w:kern w:val="0"/>
          <w:sz w:val="24"/>
          <w:szCs w:val="28"/>
        </w:rPr>
        <w:t>证明文件及业绩证明是真实的、有效的，如有隐瞒实情，愿承担一切责任及后果。</w:t>
      </w:r>
    </w:p>
    <w:p w14:paraId="1170B66E">
      <w:pPr>
        <w:widowControl/>
        <w:shd w:val="clear" w:color="auto" w:fill="FFFFFF"/>
        <w:spacing w:line="440" w:lineRule="exact"/>
        <w:ind w:firstLine="480"/>
        <w:rPr>
          <w:rFonts w:hint="eastAsia" w:ascii="宋体" w:hAnsi="宋体" w:eastAsia="宋体" w:cs="宋体"/>
          <w:bCs/>
          <w:color w:val="auto"/>
          <w:kern w:val="0"/>
          <w:sz w:val="24"/>
          <w:szCs w:val="28"/>
        </w:rPr>
      </w:pPr>
      <w:r>
        <w:rPr>
          <w:rFonts w:hint="eastAsia" w:ascii="宋体" w:hAnsi="宋体" w:eastAsia="宋体" w:cs="宋体"/>
          <w:bCs/>
          <w:color w:val="auto"/>
          <w:kern w:val="0"/>
          <w:sz w:val="24"/>
          <w:szCs w:val="28"/>
          <w:lang w:eastAsia="zh-CN"/>
        </w:rPr>
        <w:t>7.</w:t>
      </w:r>
      <w:r>
        <w:rPr>
          <w:rFonts w:hint="eastAsia" w:ascii="宋体" w:hAnsi="宋体" w:eastAsia="宋体" w:cs="宋体"/>
          <w:bCs/>
          <w:color w:val="auto"/>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7B37F97B">
      <w:pPr>
        <w:widowControl/>
        <w:shd w:val="clear" w:color="auto" w:fill="FFFFFF"/>
        <w:spacing w:line="440" w:lineRule="exact"/>
        <w:ind w:firstLine="480"/>
        <w:rPr>
          <w:rFonts w:hint="eastAsia" w:ascii="宋体" w:hAnsi="宋体" w:eastAsia="宋体" w:cs="宋体"/>
          <w:bCs/>
          <w:color w:val="auto"/>
          <w:kern w:val="0"/>
          <w:sz w:val="24"/>
          <w:szCs w:val="28"/>
        </w:rPr>
      </w:pPr>
      <w:r>
        <w:rPr>
          <w:rFonts w:hint="eastAsia" w:ascii="宋体" w:hAnsi="宋体" w:eastAsia="宋体" w:cs="宋体"/>
          <w:bCs/>
          <w:color w:val="auto"/>
          <w:kern w:val="0"/>
          <w:sz w:val="24"/>
          <w:szCs w:val="28"/>
        </w:rPr>
        <w:t>8</w:t>
      </w:r>
      <w:r>
        <w:rPr>
          <w:rFonts w:hint="eastAsia" w:ascii="宋体" w:hAnsi="宋体" w:eastAsia="宋体" w:cs="宋体"/>
          <w:bCs/>
          <w:color w:val="auto"/>
          <w:kern w:val="0"/>
          <w:sz w:val="24"/>
          <w:szCs w:val="28"/>
          <w:lang w:val="en-US" w:eastAsia="zh-CN"/>
        </w:rPr>
        <w:t>.</w:t>
      </w:r>
      <w:r>
        <w:rPr>
          <w:rFonts w:hint="eastAsia" w:ascii="宋体" w:hAnsi="宋体" w:eastAsia="宋体" w:cs="宋体"/>
          <w:bCs/>
          <w:color w:val="auto"/>
          <w:kern w:val="0"/>
          <w:sz w:val="24"/>
          <w:szCs w:val="28"/>
        </w:rPr>
        <w:t>认真履行成交单位应承担的责任和义务，全面执行采购合同规定的各项内容，保质保量地按时提供采购物品。</w:t>
      </w:r>
    </w:p>
    <w:p w14:paraId="060E274A">
      <w:pPr>
        <w:widowControl/>
        <w:shd w:val="clear" w:color="auto" w:fill="FFFFFF"/>
        <w:spacing w:line="440" w:lineRule="exact"/>
        <w:ind w:firstLine="480"/>
        <w:rPr>
          <w:rFonts w:hint="eastAsia" w:ascii="宋体" w:hAnsi="宋体" w:eastAsia="宋体" w:cs="宋体"/>
          <w:bCs/>
          <w:color w:val="auto"/>
          <w:kern w:val="0"/>
          <w:sz w:val="24"/>
          <w:szCs w:val="28"/>
        </w:rPr>
      </w:pPr>
      <w:r>
        <w:rPr>
          <w:rFonts w:hint="eastAsia" w:ascii="宋体" w:hAnsi="宋体" w:eastAsia="宋体" w:cs="宋体"/>
          <w:bCs/>
          <w:color w:val="auto"/>
          <w:kern w:val="0"/>
          <w:sz w:val="24"/>
          <w:szCs w:val="28"/>
        </w:rPr>
        <w:t>若本企业（单位）发生有悖于上述承诺的行为，愿意接受《中华人民共和国政府采购法》和《中华人民共和国政府采购法实施条例》中对响应单位的相关处理。</w:t>
      </w:r>
    </w:p>
    <w:p w14:paraId="575BCA0D">
      <w:pPr>
        <w:widowControl/>
        <w:shd w:val="clear" w:color="auto" w:fill="FFFFFF"/>
        <w:spacing w:line="440" w:lineRule="exact"/>
        <w:ind w:firstLine="480"/>
        <w:rPr>
          <w:rFonts w:hint="eastAsia" w:ascii="宋体" w:hAnsi="宋体" w:eastAsia="宋体" w:cs="宋体"/>
          <w:bCs/>
          <w:color w:val="auto"/>
          <w:kern w:val="0"/>
          <w:sz w:val="24"/>
          <w:szCs w:val="28"/>
        </w:rPr>
      </w:pPr>
      <w:r>
        <w:rPr>
          <w:rFonts w:hint="eastAsia" w:ascii="宋体" w:hAnsi="宋体" w:eastAsia="宋体" w:cs="宋体"/>
          <w:bCs/>
          <w:color w:val="auto"/>
          <w:kern w:val="0"/>
          <w:sz w:val="24"/>
          <w:szCs w:val="28"/>
        </w:rPr>
        <w:t>本承诺是采购项目响应文件的组成部分。</w:t>
      </w:r>
    </w:p>
    <w:p w14:paraId="705DF187">
      <w:pPr>
        <w:widowControl/>
        <w:shd w:val="clear" w:color="auto" w:fill="FFFFFF"/>
        <w:spacing w:line="440" w:lineRule="exact"/>
        <w:ind w:firstLine="2152" w:firstLineChars="897"/>
        <w:rPr>
          <w:rFonts w:hint="eastAsia" w:ascii="宋体" w:hAnsi="宋体" w:eastAsia="宋体" w:cs="宋体"/>
          <w:bCs/>
          <w:color w:val="auto"/>
          <w:kern w:val="0"/>
          <w:sz w:val="24"/>
          <w:szCs w:val="28"/>
        </w:rPr>
      </w:pPr>
    </w:p>
    <w:p w14:paraId="234EF820">
      <w:pPr>
        <w:widowControl/>
        <w:shd w:val="clear" w:color="auto" w:fill="FFFFFF"/>
        <w:spacing w:line="440" w:lineRule="exact"/>
        <w:ind w:firstLine="2152" w:firstLineChars="897"/>
        <w:rPr>
          <w:rFonts w:hint="eastAsia" w:ascii="宋体" w:hAnsi="宋体" w:eastAsia="宋体" w:cs="宋体"/>
          <w:bCs/>
          <w:color w:val="auto"/>
          <w:kern w:val="0"/>
          <w:sz w:val="24"/>
          <w:szCs w:val="28"/>
        </w:rPr>
      </w:pPr>
    </w:p>
    <w:p w14:paraId="407D011A">
      <w:pPr>
        <w:widowControl/>
        <w:shd w:val="clear" w:color="auto" w:fill="FFFFFF"/>
        <w:spacing w:line="440" w:lineRule="exact"/>
        <w:ind w:firstLine="2152" w:firstLineChars="897"/>
        <w:rPr>
          <w:rFonts w:hint="eastAsia" w:ascii="宋体" w:hAnsi="宋体" w:eastAsia="宋体" w:cs="宋体"/>
          <w:bCs/>
          <w:color w:val="auto"/>
          <w:kern w:val="0"/>
          <w:sz w:val="24"/>
          <w:szCs w:val="28"/>
        </w:rPr>
      </w:pPr>
      <w:r>
        <w:rPr>
          <w:rFonts w:hint="eastAsia" w:ascii="宋体" w:hAnsi="宋体" w:eastAsia="宋体" w:cs="宋体"/>
          <w:bCs/>
          <w:color w:val="auto"/>
          <w:kern w:val="0"/>
          <w:sz w:val="24"/>
          <w:szCs w:val="28"/>
        </w:rPr>
        <w:t>承诺单位（盖章）：</w:t>
      </w:r>
      <w:r>
        <w:rPr>
          <w:rFonts w:hint="eastAsia" w:ascii="宋体" w:hAnsi="宋体" w:eastAsia="宋体" w:cs="宋体"/>
          <w:bCs/>
          <w:color w:val="auto"/>
          <w:kern w:val="0"/>
          <w:sz w:val="24"/>
          <w:szCs w:val="28"/>
          <w:u w:val="single"/>
        </w:rPr>
        <w:t xml:space="preserve">                    </w:t>
      </w:r>
    </w:p>
    <w:p w14:paraId="578D5B54">
      <w:pPr>
        <w:widowControl/>
        <w:shd w:val="clear" w:color="auto" w:fill="FFFFFF"/>
        <w:spacing w:line="440" w:lineRule="exact"/>
        <w:ind w:firstLine="2152" w:firstLineChars="897"/>
        <w:rPr>
          <w:rFonts w:hint="eastAsia" w:ascii="宋体" w:hAnsi="宋体" w:eastAsia="宋体" w:cs="宋体"/>
          <w:bCs/>
          <w:color w:val="auto"/>
          <w:kern w:val="0"/>
          <w:sz w:val="24"/>
          <w:szCs w:val="28"/>
        </w:rPr>
      </w:pPr>
      <w:r>
        <w:rPr>
          <w:rFonts w:hint="eastAsia" w:ascii="宋体" w:hAnsi="宋体" w:eastAsia="宋体" w:cs="宋体"/>
          <w:bCs/>
          <w:color w:val="auto"/>
          <w:kern w:val="0"/>
          <w:sz w:val="24"/>
          <w:szCs w:val="28"/>
        </w:rPr>
        <w:t>全权代表（签字）：</w:t>
      </w:r>
      <w:r>
        <w:rPr>
          <w:rFonts w:hint="eastAsia" w:ascii="宋体" w:hAnsi="宋体" w:eastAsia="宋体" w:cs="宋体"/>
          <w:bCs/>
          <w:color w:val="auto"/>
          <w:kern w:val="0"/>
          <w:sz w:val="24"/>
          <w:szCs w:val="28"/>
          <w:u w:val="single"/>
        </w:rPr>
        <w:t xml:space="preserve">                    </w:t>
      </w:r>
    </w:p>
    <w:p w14:paraId="608CD502">
      <w:pPr>
        <w:widowControl/>
        <w:shd w:val="clear" w:color="auto" w:fill="FFFFFF"/>
        <w:spacing w:line="440" w:lineRule="exact"/>
        <w:ind w:firstLine="2160" w:firstLineChars="900"/>
        <w:rPr>
          <w:rFonts w:hint="eastAsia" w:ascii="宋体" w:hAnsi="宋体" w:eastAsia="宋体" w:cs="宋体"/>
          <w:bCs/>
          <w:color w:val="auto"/>
          <w:sz w:val="24"/>
          <w:szCs w:val="28"/>
        </w:rPr>
      </w:pPr>
      <w:r>
        <w:rPr>
          <w:rFonts w:hint="eastAsia" w:ascii="宋体" w:hAnsi="宋体" w:eastAsia="宋体" w:cs="宋体"/>
          <w:bCs/>
          <w:color w:val="auto"/>
          <w:kern w:val="0"/>
          <w:sz w:val="24"/>
          <w:szCs w:val="28"/>
        </w:rPr>
        <w:t xml:space="preserve">日  </w:t>
      </w:r>
      <w:r>
        <w:rPr>
          <w:rFonts w:hint="eastAsia" w:ascii="宋体" w:hAnsi="宋体" w:eastAsia="宋体" w:cs="宋体"/>
          <w:bCs/>
          <w:color w:val="auto"/>
          <w:kern w:val="0"/>
          <w:sz w:val="24"/>
          <w:szCs w:val="28"/>
          <w:lang w:val="en-US" w:eastAsia="zh-CN"/>
        </w:rPr>
        <w:t xml:space="preserve">        </w:t>
      </w:r>
      <w:r>
        <w:rPr>
          <w:rFonts w:hint="eastAsia" w:ascii="宋体" w:hAnsi="宋体" w:eastAsia="宋体" w:cs="宋体"/>
          <w:bCs/>
          <w:color w:val="auto"/>
          <w:kern w:val="0"/>
          <w:sz w:val="24"/>
          <w:szCs w:val="28"/>
        </w:rPr>
        <w:t xml:space="preserve">  期：</w:t>
      </w:r>
      <w:r>
        <w:rPr>
          <w:rFonts w:hint="eastAsia" w:ascii="宋体" w:hAnsi="宋体" w:eastAsia="宋体" w:cs="宋体"/>
          <w:bCs/>
          <w:color w:val="auto"/>
          <w:kern w:val="0"/>
          <w:sz w:val="24"/>
          <w:szCs w:val="28"/>
          <w:u w:val="single"/>
        </w:rPr>
        <w:t xml:space="preserve">     </w:t>
      </w:r>
      <w:r>
        <w:rPr>
          <w:rFonts w:hint="eastAsia" w:ascii="宋体" w:hAnsi="宋体" w:eastAsia="宋体" w:cs="宋体"/>
          <w:bCs/>
          <w:color w:val="auto"/>
          <w:kern w:val="0"/>
          <w:sz w:val="24"/>
          <w:szCs w:val="28"/>
        </w:rPr>
        <w:t>年</w:t>
      </w:r>
      <w:r>
        <w:rPr>
          <w:rFonts w:hint="eastAsia" w:ascii="宋体" w:hAnsi="宋体" w:eastAsia="宋体" w:cs="宋体"/>
          <w:bCs/>
          <w:color w:val="auto"/>
          <w:kern w:val="0"/>
          <w:sz w:val="24"/>
          <w:szCs w:val="28"/>
          <w:u w:val="single"/>
        </w:rPr>
        <w:t xml:space="preserve">     </w:t>
      </w:r>
      <w:r>
        <w:rPr>
          <w:rFonts w:hint="eastAsia" w:ascii="宋体" w:hAnsi="宋体" w:eastAsia="宋体" w:cs="宋体"/>
          <w:bCs/>
          <w:color w:val="auto"/>
          <w:kern w:val="0"/>
          <w:sz w:val="24"/>
          <w:szCs w:val="28"/>
        </w:rPr>
        <w:t>月</w:t>
      </w:r>
      <w:r>
        <w:rPr>
          <w:rFonts w:hint="eastAsia" w:ascii="宋体" w:hAnsi="宋体" w:eastAsia="宋体" w:cs="宋体"/>
          <w:bCs/>
          <w:color w:val="auto"/>
          <w:sz w:val="28"/>
          <w:szCs w:val="32"/>
          <w:u w:val="single"/>
        </w:rPr>
        <w:t xml:space="preserve">    </w:t>
      </w:r>
      <w:r>
        <w:rPr>
          <w:rFonts w:hint="eastAsia" w:ascii="宋体" w:hAnsi="宋体" w:eastAsia="宋体" w:cs="宋体"/>
          <w:bCs/>
          <w:color w:val="auto"/>
          <w:sz w:val="24"/>
          <w:szCs w:val="28"/>
        </w:rPr>
        <w:t>日</w:t>
      </w:r>
    </w:p>
    <w:p w14:paraId="0029578A">
      <w:pPr>
        <w:outlineLvl w:val="0"/>
        <w:rPr>
          <w:rFonts w:hint="eastAsia" w:ascii="宋体" w:hAnsi="宋体" w:eastAsia="宋体" w:cs="宋体"/>
          <w:b/>
          <w:color w:val="auto"/>
          <w:sz w:val="32"/>
          <w:szCs w:val="32"/>
        </w:rPr>
      </w:pPr>
    </w:p>
    <w:bookmarkEnd w:id="179"/>
    <w:bookmarkEnd w:id="180"/>
    <w:bookmarkEnd w:id="181"/>
    <w:bookmarkEnd w:id="182"/>
    <w:bookmarkEnd w:id="183"/>
    <w:p w14:paraId="1BE502A5">
      <w:pPr>
        <w:pStyle w:val="29"/>
        <w:rPr>
          <w:rFonts w:hint="eastAsia" w:ascii="宋体" w:hAnsi="宋体" w:eastAsia="宋体" w:cs="宋体"/>
          <w:color w:val="auto"/>
        </w:rPr>
      </w:pPr>
    </w:p>
    <w:p w14:paraId="6787C9F6">
      <w:pPr>
        <w:pStyle w:val="29"/>
        <w:rPr>
          <w:rFonts w:hint="eastAsia" w:ascii="宋体" w:hAnsi="宋体" w:eastAsia="宋体" w:cs="宋体"/>
          <w:color w:val="auto"/>
        </w:rPr>
      </w:pPr>
    </w:p>
    <w:p w14:paraId="3FB76BAC">
      <w:pPr>
        <w:pStyle w:val="29"/>
        <w:rPr>
          <w:rFonts w:hint="eastAsia" w:ascii="宋体" w:hAnsi="宋体" w:eastAsia="宋体" w:cs="宋体"/>
          <w:color w:val="auto"/>
        </w:rPr>
      </w:pPr>
    </w:p>
    <w:p w14:paraId="29FDC3D8">
      <w:pPr>
        <w:pStyle w:val="29"/>
        <w:rPr>
          <w:rFonts w:hint="eastAsia" w:ascii="宋体" w:hAnsi="宋体" w:eastAsia="宋体" w:cs="宋体"/>
          <w:color w:val="auto"/>
        </w:rPr>
      </w:pPr>
    </w:p>
    <w:p w14:paraId="1AA5C5D6">
      <w:pPr>
        <w:pStyle w:val="29"/>
        <w:rPr>
          <w:rFonts w:hint="eastAsia" w:ascii="宋体" w:hAnsi="宋体" w:eastAsia="宋体" w:cs="宋体"/>
          <w:color w:val="auto"/>
        </w:rPr>
      </w:pPr>
    </w:p>
    <w:p w14:paraId="1609C208">
      <w:pPr>
        <w:pStyle w:val="29"/>
        <w:rPr>
          <w:rFonts w:hint="eastAsia" w:ascii="宋体" w:hAnsi="宋体" w:eastAsia="宋体" w:cs="宋体"/>
          <w:color w:val="auto"/>
        </w:rPr>
      </w:pPr>
    </w:p>
    <w:p w14:paraId="3333A22A">
      <w:pPr>
        <w:pStyle w:val="29"/>
        <w:rPr>
          <w:rFonts w:hint="eastAsia" w:ascii="宋体" w:hAnsi="宋体" w:eastAsia="宋体" w:cs="宋体"/>
          <w:color w:val="auto"/>
        </w:rPr>
      </w:pPr>
    </w:p>
    <w:p w14:paraId="11200212">
      <w:pPr>
        <w:pStyle w:val="29"/>
        <w:rPr>
          <w:rFonts w:hint="eastAsia" w:ascii="宋体" w:hAnsi="宋体" w:eastAsia="宋体" w:cs="宋体"/>
          <w:color w:val="auto"/>
        </w:rPr>
      </w:pPr>
    </w:p>
    <w:p w14:paraId="27D5F553">
      <w:pPr>
        <w:pStyle w:val="29"/>
        <w:rPr>
          <w:rFonts w:hint="eastAsia" w:ascii="宋体" w:hAnsi="宋体" w:eastAsia="宋体" w:cs="宋体"/>
          <w:color w:val="auto"/>
        </w:rPr>
      </w:pPr>
    </w:p>
    <w:p w14:paraId="26E5B34F">
      <w:pPr>
        <w:pStyle w:val="29"/>
        <w:rPr>
          <w:rFonts w:hint="eastAsia" w:ascii="宋体" w:hAnsi="宋体" w:eastAsia="宋体" w:cs="宋体"/>
          <w:color w:val="auto"/>
        </w:rPr>
      </w:pPr>
    </w:p>
    <w:p w14:paraId="685DF954">
      <w:pPr>
        <w:pStyle w:val="29"/>
        <w:rPr>
          <w:rFonts w:hint="eastAsia" w:ascii="宋体" w:hAnsi="宋体" w:eastAsia="宋体" w:cs="宋体"/>
          <w:color w:val="auto"/>
        </w:rPr>
      </w:pPr>
    </w:p>
    <w:p w14:paraId="28443545">
      <w:pPr>
        <w:pStyle w:val="29"/>
        <w:rPr>
          <w:rFonts w:hint="eastAsia" w:ascii="宋体" w:hAnsi="宋体" w:eastAsia="宋体" w:cs="宋体"/>
          <w:color w:val="auto"/>
        </w:rPr>
      </w:pPr>
    </w:p>
    <w:p w14:paraId="1AFAE8E0">
      <w:pPr>
        <w:pStyle w:val="29"/>
        <w:rPr>
          <w:rFonts w:hint="eastAsia" w:ascii="宋体" w:hAnsi="宋体" w:eastAsia="宋体" w:cs="宋体"/>
          <w:color w:val="auto"/>
        </w:rPr>
      </w:pPr>
    </w:p>
    <w:p w14:paraId="024BD006">
      <w:pPr>
        <w:pStyle w:val="29"/>
        <w:rPr>
          <w:rFonts w:hint="eastAsia" w:ascii="宋体" w:hAnsi="宋体" w:eastAsia="宋体" w:cs="宋体"/>
          <w:color w:val="auto"/>
        </w:rPr>
      </w:pPr>
    </w:p>
    <w:p w14:paraId="2129F7EB">
      <w:pPr>
        <w:pStyle w:val="29"/>
        <w:rPr>
          <w:rFonts w:hint="eastAsia" w:ascii="宋体" w:hAnsi="宋体" w:eastAsia="宋体" w:cs="宋体"/>
          <w:color w:val="auto"/>
        </w:rPr>
      </w:pPr>
    </w:p>
    <w:p w14:paraId="2203B635">
      <w:pPr>
        <w:pStyle w:val="29"/>
        <w:rPr>
          <w:rFonts w:hint="eastAsia" w:ascii="宋体" w:hAnsi="宋体" w:eastAsia="宋体" w:cs="宋体"/>
          <w:color w:val="auto"/>
        </w:rPr>
      </w:pPr>
    </w:p>
    <w:p w14:paraId="2EFEF60D">
      <w:pPr>
        <w:pStyle w:val="29"/>
        <w:rPr>
          <w:rFonts w:hint="eastAsia" w:ascii="宋体" w:hAnsi="宋体" w:eastAsia="宋体" w:cs="宋体"/>
          <w:color w:val="auto"/>
        </w:rPr>
      </w:pPr>
    </w:p>
    <w:p w14:paraId="0A98D61C">
      <w:pPr>
        <w:pStyle w:val="29"/>
        <w:rPr>
          <w:rFonts w:hint="eastAsia" w:ascii="宋体" w:hAnsi="宋体" w:eastAsia="宋体" w:cs="宋体"/>
          <w:color w:val="auto"/>
        </w:rPr>
      </w:pPr>
    </w:p>
    <w:p w14:paraId="4E9A9827">
      <w:pPr>
        <w:pStyle w:val="29"/>
        <w:rPr>
          <w:rFonts w:hint="eastAsia" w:ascii="宋体" w:hAnsi="宋体" w:eastAsia="宋体" w:cs="宋体"/>
          <w:color w:val="auto"/>
        </w:rPr>
      </w:pPr>
    </w:p>
    <w:p w14:paraId="3CF9226A">
      <w:pPr>
        <w:pStyle w:val="29"/>
        <w:rPr>
          <w:rFonts w:hint="eastAsia" w:ascii="宋体" w:hAnsi="宋体" w:eastAsia="宋体" w:cs="宋体"/>
          <w:color w:val="auto"/>
        </w:rPr>
      </w:pPr>
    </w:p>
    <w:p w14:paraId="4965B003">
      <w:pPr>
        <w:pStyle w:val="29"/>
        <w:rPr>
          <w:rFonts w:hint="eastAsia" w:ascii="宋体" w:hAnsi="宋体" w:eastAsia="宋体" w:cs="宋体"/>
          <w:color w:val="auto"/>
        </w:rPr>
      </w:pPr>
    </w:p>
    <w:p w14:paraId="2FF88323">
      <w:pPr>
        <w:pStyle w:val="29"/>
        <w:rPr>
          <w:rFonts w:hint="eastAsia" w:ascii="宋体" w:hAnsi="宋体" w:eastAsia="宋体" w:cs="宋体"/>
          <w:color w:val="auto"/>
        </w:rPr>
      </w:pPr>
    </w:p>
    <w:p w14:paraId="35BB59DD">
      <w:pPr>
        <w:pStyle w:val="29"/>
        <w:rPr>
          <w:rFonts w:hint="eastAsia" w:ascii="宋体" w:hAnsi="宋体" w:eastAsia="宋体" w:cs="宋体"/>
          <w:color w:val="auto"/>
        </w:rPr>
      </w:pPr>
    </w:p>
    <w:p w14:paraId="569B16CE">
      <w:pPr>
        <w:pStyle w:val="29"/>
        <w:rPr>
          <w:rFonts w:hint="eastAsia" w:ascii="宋体" w:hAnsi="宋体" w:eastAsia="宋体" w:cs="宋体"/>
          <w:color w:val="auto"/>
        </w:rPr>
      </w:pPr>
    </w:p>
    <w:p w14:paraId="2AD12C94">
      <w:pPr>
        <w:pStyle w:val="29"/>
        <w:rPr>
          <w:rFonts w:hint="eastAsia" w:ascii="宋体" w:hAnsi="宋体" w:eastAsia="宋体" w:cs="宋体"/>
          <w:color w:val="auto"/>
        </w:rPr>
      </w:pPr>
    </w:p>
    <w:p w14:paraId="62528509">
      <w:pPr>
        <w:pStyle w:val="29"/>
        <w:rPr>
          <w:rFonts w:hint="eastAsia" w:ascii="宋体" w:hAnsi="宋体" w:eastAsia="宋体" w:cs="宋体"/>
          <w:color w:val="auto"/>
        </w:rPr>
      </w:pPr>
    </w:p>
    <w:p w14:paraId="7A182417">
      <w:pPr>
        <w:pStyle w:val="29"/>
        <w:rPr>
          <w:rFonts w:hint="eastAsia" w:ascii="宋体" w:hAnsi="宋体" w:eastAsia="宋体" w:cs="宋体"/>
          <w:color w:val="auto"/>
        </w:rPr>
      </w:pPr>
    </w:p>
    <w:p w14:paraId="79EFF2C0">
      <w:pPr>
        <w:pStyle w:val="29"/>
        <w:rPr>
          <w:rFonts w:hint="eastAsia" w:ascii="宋体" w:hAnsi="宋体" w:eastAsia="宋体" w:cs="宋体"/>
          <w:color w:val="auto"/>
        </w:rPr>
      </w:pPr>
    </w:p>
    <w:p w14:paraId="03C0BFE7">
      <w:pPr>
        <w:pStyle w:val="29"/>
        <w:rPr>
          <w:rFonts w:hint="eastAsia" w:ascii="宋体" w:hAnsi="宋体" w:eastAsia="宋体" w:cs="宋体"/>
          <w:color w:val="auto"/>
        </w:rPr>
      </w:pPr>
    </w:p>
    <w:p w14:paraId="5BE231FC">
      <w:pPr>
        <w:pStyle w:val="29"/>
        <w:rPr>
          <w:rFonts w:hint="eastAsia" w:ascii="宋体" w:hAnsi="宋体" w:eastAsia="宋体" w:cs="宋体"/>
          <w:color w:val="auto"/>
        </w:rPr>
      </w:pPr>
    </w:p>
    <w:p w14:paraId="75CEA225">
      <w:pPr>
        <w:pStyle w:val="29"/>
        <w:rPr>
          <w:rFonts w:hint="eastAsia" w:ascii="宋体" w:hAnsi="宋体" w:eastAsia="宋体" w:cs="宋体"/>
          <w:color w:val="auto"/>
        </w:rPr>
      </w:pPr>
    </w:p>
    <w:p w14:paraId="45AE3721">
      <w:pPr>
        <w:pStyle w:val="29"/>
        <w:rPr>
          <w:rFonts w:hint="eastAsia" w:ascii="宋体" w:hAnsi="宋体" w:eastAsia="宋体" w:cs="宋体"/>
          <w:color w:val="auto"/>
        </w:rPr>
      </w:pPr>
    </w:p>
    <w:p w14:paraId="2E2689F0">
      <w:pPr>
        <w:pStyle w:val="29"/>
        <w:rPr>
          <w:rFonts w:hint="eastAsia" w:ascii="宋体" w:hAnsi="宋体" w:eastAsia="宋体" w:cs="宋体"/>
          <w:color w:val="auto"/>
        </w:rPr>
      </w:pPr>
    </w:p>
    <w:p w14:paraId="40B2F463">
      <w:pPr>
        <w:pStyle w:val="29"/>
        <w:rPr>
          <w:rFonts w:hint="eastAsia" w:ascii="宋体" w:hAnsi="宋体" w:eastAsia="宋体" w:cs="宋体"/>
          <w:color w:val="auto"/>
        </w:rPr>
      </w:pPr>
    </w:p>
    <w:p w14:paraId="68444E31">
      <w:pPr>
        <w:pStyle w:val="29"/>
        <w:rPr>
          <w:rFonts w:hint="eastAsia" w:ascii="宋体" w:hAnsi="宋体" w:eastAsia="宋体" w:cs="宋体"/>
          <w:color w:val="auto"/>
        </w:rPr>
      </w:pPr>
    </w:p>
    <w:p w14:paraId="778E389E">
      <w:pPr>
        <w:pStyle w:val="29"/>
        <w:rPr>
          <w:rFonts w:hint="eastAsia" w:ascii="宋体" w:hAnsi="宋体" w:eastAsia="宋体" w:cs="宋体"/>
          <w:color w:val="auto"/>
        </w:rPr>
      </w:pPr>
    </w:p>
    <w:p w14:paraId="37DC0FC9">
      <w:pPr>
        <w:pStyle w:val="29"/>
        <w:rPr>
          <w:rFonts w:hint="eastAsia" w:ascii="宋体" w:hAnsi="宋体" w:eastAsia="宋体" w:cs="宋体"/>
          <w:color w:val="auto"/>
        </w:rPr>
      </w:pPr>
    </w:p>
    <w:p w14:paraId="716E6ECA">
      <w:pPr>
        <w:pStyle w:val="29"/>
        <w:rPr>
          <w:rFonts w:hint="eastAsia" w:ascii="宋体" w:hAnsi="宋体" w:eastAsia="宋体" w:cs="宋体"/>
          <w:color w:val="auto"/>
        </w:rPr>
      </w:pPr>
    </w:p>
    <w:p w14:paraId="3BD087EC">
      <w:pPr>
        <w:pStyle w:val="29"/>
        <w:rPr>
          <w:rFonts w:hint="eastAsia" w:ascii="宋体" w:hAnsi="宋体" w:eastAsia="宋体" w:cs="宋体"/>
          <w:color w:val="auto"/>
        </w:rPr>
      </w:pPr>
    </w:p>
    <w:p w14:paraId="3AACCA47">
      <w:pPr>
        <w:pStyle w:val="29"/>
        <w:rPr>
          <w:rFonts w:hint="eastAsia" w:ascii="宋体" w:hAnsi="宋体" w:eastAsia="宋体" w:cs="宋体"/>
          <w:color w:val="auto"/>
        </w:rPr>
      </w:pPr>
    </w:p>
    <w:p w14:paraId="56F17904">
      <w:pPr>
        <w:pStyle w:val="29"/>
        <w:rPr>
          <w:rFonts w:hint="eastAsia" w:ascii="宋体" w:hAnsi="宋体" w:eastAsia="宋体" w:cs="宋体"/>
          <w:color w:val="auto"/>
        </w:rPr>
      </w:pPr>
    </w:p>
    <w:p w14:paraId="29657B04">
      <w:pPr>
        <w:pStyle w:val="29"/>
        <w:rPr>
          <w:rFonts w:hint="eastAsia" w:ascii="宋体" w:hAnsi="宋体" w:eastAsia="宋体" w:cs="宋体"/>
          <w:color w:val="auto"/>
        </w:rPr>
      </w:pPr>
    </w:p>
    <w:p w14:paraId="0B6DF1AA">
      <w:pPr>
        <w:pStyle w:val="29"/>
        <w:rPr>
          <w:rFonts w:hint="eastAsia" w:ascii="宋体" w:hAnsi="宋体" w:eastAsia="宋体" w:cs="宋体"/>
          <w:color w:val="auto"/>
          <w:sz w:val="16"/>
          <w:szCs w:val="16"/>
        </w:rPr>
      </w:pPr>
    </w:p>
    <w:p w14:paraId="3094115D">
      <w:pPr>
        <w:spacing w:line="440" w:lineRule="exact"/>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rPr>
        <w:t>兰天项目管理有限公司</w:t>
      </w:r>
    </w:p>
    <w:p w14:paraId="76194B1D">
      <w:pPr>
        <w:spacing w:line="440" w:lineRule="exact"/>
        <w:jc w:val="center"/>
        <w:rPr>
          <w:rFonts w:hint="eastAsia" w:ascii="宋体" w:hAnsi="宋体" w:eastAsia="宋体" w:cs="宋体"/>
          <w:color w:val="auto"/>
          <w:sz w:val="32"/>
          <w:szCs w:val="32"/>
        </w:rPr>
      </w:pPr>
      <w:r>
        <w:rPr>
          <w:rFonts w:hint="eastAsia" w:ascii="宋体" w:hAnsi="宋体" w:eastAsia="宋体" w:cs="宋体"/>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pt;width:423pt;z-index:251660288;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Kp9jTAAAABgEAAA8AAAAAAAAAAQAgAAAAIgAAAGRycy9kb3ducmV2LnhtbFBLAQIUABQA&#10;AAAIAIdO4kAGz2ya9QEAAOUDAAAOAAAAAAAAAAEAIAAAACIBAABkcnMvZTJvRG9jLnhtbFBLBQYA&#10;AAAABgAGAFkBAACJBQAAAAA=&#10;">
                <v:fill on="f" focussize="0,0"/>
                <v:stroke weight="1.5pt" color="#000000" joinstyle="round"/>
                <v:imagedata o:title=""/>
                <o:lock v:ext="edit" aspectratio="f"/>
              </v:line>
            </w:pict>
          </mc:Fallback>
        </mc:AlternateContent>
      </w:r>
    </w:p>
    <w:p w14:paraId="1091E0CA">
      <w:pPr>
        <w:autoSpaceDE w:val="0"/>
        <w:autoSpaceDN w:val="0"/>
        <w:spacing w:line="440" w:lineRule="exac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9"/>
          <w:w w:val="100"/>
          <w:kern w:val="0"/>
          <w:sz w:val="24"/>
          <w:szCs w:val="24"/>
          <w:fitText w:val="1050" w:id="1853234953"/>
        </w:rPr>
        <w:t xml:space="preserve">地    </w:t>
      </w:r>
      <w:r>
        <w:rPr>
          <w:rFonts w:hint="eastAsia" w:ascii="宋体" w:hAnsi="宋体" w:eastAsia="宋体" w:cs="宋体"/>
          <w:color w:val="auto"/>
          <w:spacing w:val="0"/>
          <w:w w:val="100"/>
          <w:kern w:val="0"/>
          <w:sz w:val="24"/>
          <w:szCs w:val="24"/>
          <w:fitText w:val="1050" w:id="1853234953"/>
        </w:rPr>
        <w:t>址</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6"/>
          <w:sz w:val="24"/>
          <w:szCs w:val="24"/>
          <w:lang w:val="en-US" w:eastAsia="zh-CN"/>
        </w:rPr>
        <w:t>陕西省西安市碑林区红缨路9号豪盛大厦A座10604室</w:t>
      </w:r>
    </w:p>
    <w:p w14:paraId="63523C04">
      <w:pPr>
        <w:autoSpaceDE w:val="0"/>
        <w:autoSpaceDN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pacing w:val="9"/>
          <w:w w:val="100"/>
          <w:kern w:val="0"/>
          <w:sz w:val="24"/>
          <w:szCs w:val="24"/>
          <w:fitText w:val="1050" w:id="1242980643"/>
        </w:rPr>
        <w:t xml:space="preserve">电    </w:t>
      </w:r>
      <w:r>
        <w:rPr>
          <w:rFonts w:hint="eastAsia" w:ascii="宋体" w:hAnsi="宋体" w:eastAsia="宋体" w:cs="宋体"/>
          <w:color w:val="auto"/>
          <w:spacing w:val="0"/>
          <w:w w:val="100"/>
          <w:kern w:val="0"/>
          <w:sz w:val="24"/>
          <w:szCs w:val="24"/>
          <w:fitText w:val="1050" w:id="1242980643"/>
        </w:rPr>
        <w:t>话</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13571922922</w:t>
      </w:r>
    </w:p>
    <w:p w14:paraId="35AD7FFD">
      <w:pPr>
        <w:autoSpaceDE w:val="0"/>
        <w:autoSpaceDN w:val="0"/>
        <w:spacing w:line="440" w:lineRule="exact"/>
        <w:rPr>
          <w:rFonts w:hint="eastAsia" w:ascii="宋体" w:hAnsi="宋体" w:eastAsia="宋体" w:cs="宋体"/>
          <w:color w:val="auto"/>
          <w:sz w:val="24"/>
          <w:szCs w:val="24"/>
        </w:rPr>
      </w:pPr>
      <w:r>
        <w:rPr>
          <w:rFonts w:hint="eastAsia" w:ascii="宋体" w:hAnsi="宋体" w:eastAsia="宋体" w:cs="宋体"/>
          <w:color w:val="auto"/>
          <w:spacing w:val="15"/>
          <w:w w:val="100"/>
          <w:kern w:val="0"/>
          <w:sz w:val="24"/>
          <w:szCs w:val="24"/>
          <w:fitText w:val="1050" w:id="663646200"/>
          <w:lang w:eastAsia="zh-CN"/>
        </w:rPr>
        <w:t>公司名</w:t>
      </w:r>
      <w:r>
        <w:rPr>
          <w:rFonts w:hint="eastAsia" w:ascii="宋体" w:hAnsi="宋体" w:eastAsia="宋体" w:cs="宋体"/>
          <w:color w:val="auto"/>
          <w:spacing w:val="0"/>
          <w:w w:val="100"/>
          <w:kern w:val="0"/>
          <w:sz w:val="24"/>
          <w:szCs w:val="24"/>
          <w:fitText w:val="1050" w:id="663646200"/>
          <w:lang w:eastAsia="zh-CN"/>
        </w:rPr>
        <w:t>称</w:t>
      </w:r>
      <w:r>
        <w:rPr>
          <w:rFonts w:hint="eastAsia" w:ascii="宋体" w:hAnsi="宋体" w:eastAsia="宋体" w:cs="宋体"/>
          <w:color w:val="auto"/>
          <w:sz w:val="24"/>
          <w:szCs w:val="24"/>
        </w:rPr>
        <w:t>：兰天项目管理有限公司</w:t>
      </w:r>
    </w:p>
    <w:p w14:paraId="1BD63A02">
      <w:pPr>
        <w:autoSpaceDE w:val="0"/>
        <w:autoSpaceDN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pacing w:val="15"/>
          <w:w w:val="100"/>
          <w:kern w:val="0"/>
          <w:sz w:val="24"/>
          <w:szCs w:val="24"/>
          <w:fitText w:val="1050" w:id="840000201"/>
        </w:rPr>
        <w:t>开户银</w:t>
      </w:r>
      <w:r>
        <w:rPr>
          <w:rFonts w:hint="eastAsia" w:ascii="宋体" w:hAnsi="宋体" w:eastAsia="宋体" w:cs="宋体"/>
          <w:color w:val="auto"/>
          <w:spacing w:val="0"/>
          <w:w w:val="100"/>
          <w:kern w:val="0"/>
          <w:sz w:val="24"/>
          <w:szCs w:val="24"/>
          <w:fitText w:val="1050" w:id="840000201"/>
        </w:rPr>
        <w:t>行</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安康农商银行学苑支行</w:t>
      </w:r>
    </w:p>
    <w:p w14:paraId="26ABDA89">
      <w:pPr>
        <w:spacing w:line="440" w:lineRule="exact"/>
        <w:rPr>
          <w:rFonts w:hint="eastAsia" w:ascii="宋体" w:hAnsi="宋体" w:eastAsia="宋体" w:cs="宋体"/>
          <w:color w:val="auto"/>
        </w:rPr>
      </w:pPr>
      <w:r>
        <w:rPr>
          <w:rFonts w:hint="eastAsia" w:ascii="宋体" w:hAnsi="宋体" w:eastAsia="宋体" w:cs="宋体"/>
          <w:color w:val="auto"/>
          <w:spacing w:val="9"/>
          <w:w w:val="100"/>
          <w:kern w:val="0"/>
          <w:sz w:val="24"/>
          <w:szCs w:val="24"/>
          <w:fitText w:val="1050" w:id="47844478"/>
        </w:rPr>
        <w:t xml:space="preserve">账    </w:t>
      </w:r>
      <w:r>
        <w:rPr>
          <w:rFonts w:hint="eastAsia" w:ascii="宋体" w:hAnsi="宋体" w:eastAsia="宋体" w:cs="宋体"/>
          <w:color w:val="auto"/>
          <w:spacing w:val="0"/>
          <w:w w:val="100"/>
          <w:kern w:val="0"/>
          <w:sz w:val="24"/>
          <w:szCs w:val="24"/>
          <w:fitText w:val="1050" w:id="47844478"/>
        </w:rPr>
        <w:t>号</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2720012501201000009805</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lang w:val="en-US"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6" name="直接连接符 6"/>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pt;width:423pt;z-index:251659264;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1gLTAAAABgEAAA8AAAAAAAAAAQAgAAAAIgAAAGRycy9kb3ducmV2LnhtbFBLAQIUABQA&#10;AAAIAIdO4kCtAgsl9QEAAOUDAAAOAAAAAAAAAAEAIAAAACIBAABkcnMvZTJvRG9jLnhtbFBLBQYA&#10;AAAABgAGAFkBAACJBQAAAAA=&#10;">
                <v:fill on="f" focussize="0,0"/>
                <v:stroke weight="1.5pt" color="#000000" joinstyle="round"/>
                <v:imagedata o:title=""/>
                <o:lock v:ext="edit" aspectratio="f"/>
              </v:line>
            </w:pict>
          </mc:Fallback>
        </mc:AlternateContent>
      </w:r>
    </w:p>
    <w:p w14:paraId="1474E763">
      <w:pPr>
        <w:pStyle w:val="29"/>
        <w:rPr>
          <w:rFonts w:hint="eastAsia" w:ascii="宋体" w:hAnsi="宋体" w:eastAsia="宋体" w:cs="宋体"/>
          <w:color w:val="auto"/>
        </w:rPr>
      </w:pPr>
    </w:p>
    <w:sectPr>
      <w:headerReference r:id="rId18" w:type="first"/>
      <w:footerReference r:id="rId20" w:type="first"/>
      <w:footerReference r:id="rId19" w:type="default"/>
      <w:pgSz w:w="11906" w:h="16838"/>
      <w:pgMar w:top="1361" w:right="1423" w:bottom="1361" w:left="1423" w:header="1134" w:footer="992" w:gutter="0"/>
      <w:pgNumType w:fmt="decimal"/>
      <w:cols w:space="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0FEC2">
    <w:pPr>
      <w:pStyle w:val="29"/>
      <w:jc w:val="right"/>
      <w:rPr>
        <w:rFonts w:hint="eastAsia" w:ascii="宋体" w:eastAsia="宋体" w:cs="Times New Roman"/>
        <w:lang w:eastAsia="zh-CN"/>
      </w:rPr>
    </w:pPr>
    <w:r>
      <w:rPr>
        <w:rFonts w:hint="eastAsia" w:ascii="宋体" w:hAnsi="宋体" w:cs="宋体"/>
        <w:lang w:eastAsia="zh-CN"/>
      </w:rPr>
      <w:t>兰天项目管理有限公司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1B218">
    <w:pPr>
      <w:pStyle w:val="29"/>
      <w:tabs>
        <w:tab w:val="center" w:pos="4819"/>
        <w:tab w:val="left" w:pos="7440"/>
      </w:tabs>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EB322">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78EB322">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03AAC">
                          <w:pPr>
                            <w:pStyle w:val="29"/>
                          </w:pPr>
                          <w:r>
                            <w:t xml:space="preserve">第 </w:t>
                          </w:r>
                          <w:r>
                            <w:rPr>
                              <w:rFonts w:hint="eastAsia"/>
                              <w:lang w:val="en-US" w:eastAsia="zh-CN"/>
                            </w:rPr>
                            <w:t>51</w:t>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0C03AAC">
                    <w:pPr>
                      <w:pStyle w:val="29"/>
                    </w:pPr>
                    <w:r>
                      <w:t xml:space="preserve">第 </w:t>
                    </w:r>
                    <w:r>
                      <w:rPr>
                        <w:rFonts w:hint="eastAsia"/>
                        <w:lang w:val="en-US" w:eastAsia="zh-CN"/>
                      </w:rPr>
                      <w:t>51</w:t>
                    </w:r>
                    <w:r>
                      <w:t xml:space="preserve"> 页 共 </w:t>
                    </w:r>
                    <w:r>
                      <w:rPr>
                        <w:rFonts w:hint="eastAsia"/>
                        <w:lang w:val="en-US" w:eastAsia="zh-CN"/>
                      </w:rPr>
                      <w:t>51</w:t>
                    </w:r>
                    <w:r>
                      <w:t xml:space="preserve"> 页</w:t>
                    </w:r>
                  </w:p>
                </w:txbxContent>
              </v:textbox>
            </v:shape>
          </w:pict>
        </mc:Fallback>
      </mc:AlternateContent>
    </w:r>
    <w:r>
      <w:tab/>
    </w:r>
  </w:p>
  <w:p w14:paraId="5AFCABC4">
    <w:pPr>
      <w:pStyle w:val="29"/>
      <w:ind w:right="360"/>
      <w:jc w:val="center"/>
      <w:rPr>
        <w:rFonts w:ascii="宋体"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772F8">
    <w:pPr>
      <w:pStyle w:val="2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C7B5C">
                          <w:pPr>
                            <w:pStyle w:val="29"/>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5FC7B5C">
                    <w:pPr>
                      <w:pStyle w:val="29"/>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88E78">
    <w:pPr>
      <w:pStyle w:val="29"/>
      <w:tabs>
        <w:tab w:val="center" w:pos="4819"/>
        <w:tab w:val="left" w:pos="7440"/>
      </w:tabs>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A716B">
                          <w:pPr>
                            <w:pStyle w:val="29"/>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44A716B">
                    <w:pPr>
                      <w:pStyle w:val="29"/>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r>
      <w:tab/>
    </w:r>
  </w:p>
  <w:p w14:paraId="6B595641">
    <w:pPr>
      <w:pStyle w:val="29"/>
      <w:tabs>
        <w:tab w:val="left" w:pos="5093"/>
      </w:tabs>
      <w:ind w:right="360"/>
      <w:jc w:val="left"/>
      <w:rPr>
        <w:rFonts w:hint="eastAsia" w:ascii="宋体" w:eastAsia="宋体" w:cs="Times New Roman"/>
        <w:lang w:eastAsia="zh-CN"/>
      </w:rPr>
    </w:pPr>
    <w:r>
      <w:rPr>
        <w:rFonts w:hint="eastAsia" w:ascii="宋体" w:cs="Times New Roman"/>
        <w:lang w:eastAsia="zh-CN"/>
      </w:rPr>
      <w:tab/>
    </w:r>
    <w:r>
      <w:rPr>
        <w:rFonts w:hint="eastAsia" w:ascii="宋体" w:cs="Times New Roman"/>
        <w:lang w:eastAsia="zh-CN"/>
      </w:rP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240DD">
    <w:pPr>
      <w:pStyle w:val="2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653BD">
                          <w:pPr>
                            <w:pStyle w:val="29"/>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26653BD">
                    <w:pPr>
                      <w:pStyle w:val="29"/>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A5A0A">
    <w:pPr>
      <w:pStyle w:val="29"/>
      <w:tabs>
        <w:tab w:val="center" w:pos="4819"/>
        <w:tab w:val="left" w:pos="7440"/>
      </w:tabs>
    </w:pPr>
    <w:r>
      <w:tab/>
    </w:r>
  </w:p>
  <w:p w14:paraId="3821E496">
    <w:pPr>
      <w:pStyle w:val="29"/>
      <w:ind w:right="360"/>
      <w:jc w:val="center"/>
      <w:rPr>
        <w:rFonts w:ascii="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1891E">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1DB90">
    <w:pPr>
      <w:pStyle w:val="29"/>
      <w:tabs>
        <w:tab w:val="center" w:pos="4819"/>
        <w:tab w:val="left" w:pos="7440"/>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B0026">
                          <w:pPr>
                            <w:pStyle w:val="2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AEB0026">
                    <w:pPr>
                      <w:pStyle w:val="2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r>
      <w:tab/>
    </w:r>
  </w:p>
  <w:p w14:paraId="1CEC1762">
    <w:pPr>
      <w:pStyle w:val="29"/>
      <w:ind w:right="360"/>
      <w:jc w:val="center"/>
      <w:rPr>
        <w:rFonts w:ascii="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22432">
    <w:pPr>
      <w:pStyle w:val="29"/>
      <w:tabs>
        <w:tab w:val="clear" w:pos="4153"/>
      </w:tabs>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2039B">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0D2039B">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2A468">
    <w:pPr>
      <w:pStyle w:val="29"/>
      <w:tabs>
        <w:tab w:val="center" w:pos="4819"/>
        <w:tab w:val="left" w:pos="7440"/>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F8517">
                          <w:pPr>
                            <w:pStyle w:val="29"/>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34F8517">
                    <w:pPr>
                      <w:pStyle w:val="29"/>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r>
      <w:tab/>
    </w:r>
  </w:p>
  <w:p w14:paraId="37CFEC64">
    <w:pPr>
      <w:pStyle w:val="29"/>
      <w:ind w:right="360"/>
      <w:jc w:val="center"/>
      <w:rPr>
        <w:rFonts w:ascii="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7C501">
    <w:pPr>
      <w:pStyle w:val="2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ADB68">
                          <w:pPr>
                            <w:pStyle w:val="29"/>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1BADB68">
                    <w:pPr>
                      <w:pStyle w:val="29"/>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3A138">
    <w:pPr>
      <w:pStyle w:val="29"/>
      <w:tabs>
        <w:tab w:val="center" w:pos="4819"/>
        <w:tab w:val="left" w:pos="7440"/>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375A4">
                          <w:pPr>
                            <w:pStyle w:val="29"/>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22375A4">
                    <w:pPr>
                      <w:pStyle w:val="29"/>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80EED">
                          <w:pPr>
                            <w:pStyle w:val="29"/>
                          </w:pPr>
                          <w:r>
                            <w:t xml:space="preserve">第 </w:t>
                          </w:r>
                          <w:r>
                            <w:rPr>
                              <w:rFonts w:hint="eastAsia"/>
                              <w:lang w:val="en-US" w:eastAsia="zh-CN"/>
                            </w:rPr>
                            <w:t>51</w:t>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6980EED">
                    <w:pPr>
                      <w:pStyle w:val="29"/>
                    </w:pPr>
                    <w:r>
                      <w:t xml:space="preserve">第 </w:t>
                    </w:r>
                    <w:r>
                      <w:rPr>
                        <w:rFonts w:hint="eastAsia"/>
                        <w:lang w:val="en-US" w:eastAsia="zh-CN"/>
                      </w:rPr>
                      <w:t>51</w:t>
                    </w:r>
                    <w:r>
                      <w:t xml:space="preserve"> 页 共 </w:t>
                    </w:r>
                    <w:r>
                      <w:rPr>
                        <w:rFonts w:hint="eastAsia"/>
                        <w:lang w:val="en-US" w:eastAsia="zh-CN"/>
                      </w:rPr>
                      <w:t>51</w:t>
                    </w:r>
                    <w:r>
                      <w:t xml:space="preserve"> 页</w:t>
                    </w:r>
                  </w:p>
                </w:txbxContent>
              </v:textbox>
            </v:shape>
          </w:pict>
        </mc:Fallback>
      </mc:AlternateContent>
    </w:r>
    <w:r>
      <w:tab/>
    </w:r>
  </w:p>
  <w:p w14:paraId="3C290309">
    <w:pPr>
      <w:pStyle w:val="29"/>
      <w:ind w:right="360"/>
      <w:jc w:val="center"/>
      <w:rPr>
        <w:rFonts w:ascii="宋体" w:cs="Times New Roma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DE682">
    <w:pPr>
      <w:pStyle w:val="2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0E451">
                          <w:pPr>
                            <w:pStyle w:val="29"/>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8F0E451">
                    <w:pPr>
                      <w:pStyle w:val="29"/>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D4FFD">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240" w:lineRule="auto"/>
      <w:jc w:val="left"/>
      <w:textAlignment w:val="auto"/>
      <w:rPr>
        <w:rFonts w:hint="default" w:ascii="宋体" w:eastAsia="宋体" w:cs="Times New Roman"/>
        <w:highlight w:val="red"/>
        <w:u w:val="none"/>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B47FB">
    <w:pPr>
      <w:pStyle w:val="31"/>
      <w:pBdr>
        <w:bottom w:val="none" w:color="auto" w:sz="0" w:space="1"/>
      </w:pBdr>
      <w:jc w:val="left"/>
      <w:rPr>
        <w:rFonts w:hint="eastAsia" w:ascii="宋体" w:hAnsi="Calibri" w:eastAsia="宋体" w:cs="Times New Roman"/>
        <w:kern w:val="2"/>
        <w:sz w:val="21"/>
        <w:szCs w:val="21"/>
        <w:highlight w:val="none"/>
        <w:u w:val="none"/>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6F946">
    <w:pPr>
      <w:pStyle w:val="31"/>
      <w:pBdr>
        <w:bottom w:val="none" w:color="auto" w:sz="0" w:space="1"/>
      </w:pBdr>
      <w:jc w:val="left"/>
      <w:rPr>
        <w:rFonts w:hint="eastAsia" w:ascii="宋体" w:hAnsi="Calibri" w:eastAsia="宋体" w:cs="Times New Roman"/>
        <w:kern w:val="2"/>
        <w:sz w:val="20"/>
        <w:szCs w:val="20"/>
        <w:highlight w:val="none"/>
        <w:u w:val="none"/>
        <w:lang w:val="en-US" w:eastAsia="zh-CN" w:bidi="ar-SA"/>
      </w:rPr>
    </w:pPr>
  </w:p>
  <w:p w14:paraId="08067143">
    <w:pPr>
      <w:pStyle w:val="31"/>
      <w:pBdr>
        <w:bottom w:val="single" w:color="auto" w:sz="4" w:space="1"/>
      </w:pBdr>
      <w:jc w:val="left"/>
      <w:rPr>
        <w:rFonts w:hint="default" w:ascii="宋体" w:cs="Times New Roman"/>
        <w:kern w:val="2"/>
        <w:sz w:val="21"/>
        <w:szCs w:val="21"/>
        <w:highlight w:val="none"/>
        <w:u w:val="none"/>
        <w:lang w:val="en-US" w:eastAsia="zh-CN" w:bidi="ar-SA"/>
      </w:rPr>
    </w:pPr>
    <w:r>
      <w:rPr>
        <w:rFonts w:hint="eastAsia" w:ascii="宋体" w:hAnsi="Calibri" w:eastAsia="宋体" w:cs="Times New Roman"/>
        <w:kern w:val="2"/>
        <w:sz w:val="20"/>
        <w:szCs w:val="20"/>
        <w:highlight w:val="none"/>
        <w:u w:val="none"/>
        <w:lang w:val="en-US" w:eastAsia="zh-CN" w:bidi="ar-SA"/>
      </w:rPr>
      <w:t>项目名称：“一湖两岸”城文旅融合发展专项规划编制采购项目</w:t>
    </w:r>
    <w:r>
      <w:rPr>
        <w:rFonts w:hint="eastAsia" w:ascii="宋体" w:cs="Times New Roman"/>
        <w:kern w:val="2"/>
        <w:sz w:val="20"/>
        <w:szCs w:val="20"/>
        <w:highlight w:val="none"/>
        <w:u w:val="none"/>
        <w:lang w:val="en-US" w:eastAsia="zh-CN" w:bidi="ar-SA"/>
      </w:rPr>
      <w:t xml:space="preserve">           项目编号：LTZB-2025-020</w:t>
    </w:r>
    <w:r>
      <w:rPr>
        <w:rFonts w:hint="eastAsia" w:ascii="宋体" w:cs="Times New Roman"/>
        <w:kern w:val="2"/>
        <w:sz w:val="21"/>
        <w:szCs w:val="21"/>
        <w:highlight w:val="none"/>
        <w:u w:val="none"/>
        <w:lang w:val="en-US" w:eastAsia="zh-CN" w:bidi="ar-S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F67AF">
    <w:pPr>
      <w:pBdr>
        <w:bottom w:val="single" w:color="auto" w:sz="4" w:space="0"/>
      </w:pBdr>
      <w:tabs>
        <w:tab w:val="left" w:pos="7400"/>
      </w:tabs>
      <w:adjustRightInd w:val="0"/>
      <w:snapToGrid w:val="0"/>
      <w:spacing w:line="360" w:lineRule="auto"/>
      <w:rPr>
        <w:rFonts w:hint="eastAsia" w:ascii="宋体" w:hAnsi="Calibri" w:eastAsia="宋体" w:cs="Times New Roman"/>
        <w:kern w:val="2"/>
        <w:sz w:val="20"/>
        <w:szCs w:val="20"/>
        <w:highlight w:val="none"/>
        <w:u w:val="none"/>
        <w:lang w:val="en-US" w:eastAsia="zh-CN" w:bidi="ar-SA"/>
      </w:rPr>
    </w:pPr>
  </w:p>
  <w:p w14:paraId="3C8B1D9B">
    <w:pPr>
      <w:pBdr>
        <w:bottom w:val="single" w:color="auto" w:sz="4" w:space="0"/>
      </w:pBdr>
      <w:tabs>
        <w:tab w:val="left" w:pos="7400"/>
      </w:tabs>
      <w:adjustRightInd w:val="0"/>
      <w:snapToGrid w:val="0"/>
      <w:spacing w:line="360" w:lineRule="auto"/>
      <w:rPr>
        <w:rFonts w:hint="default" w:ascii="宋体" w:hAnsi="Calibri" w:eastAsia="宋体" w:cs="Times New Roman"/>
        <w:kern w:val="2"/>
        <w:sz w:val="20"/>
        <w:szCs w:val="20"/>
        <w:highlight w:val="none"/>
        <w:u w:val="none"/>
        <w:lang w:val="en-US" w:eastAsia="zh-CN" w:bidi="ar-SA"/>
      </w:rPr>
    </w:pPr>
    <w:r>
      <w:rPr>
        <w:rFonts w:hint="eastAsia" w:ascii="宋体" w:hAnsi="Calibri" w:eastAsia="宋体" w:cs="Times New Roman"/>
        <w:kern w:val="2"/>
        <w:sz w:val="20"/>
        <w:szCs w:val="20"/>
        <w:highlight w:val="none"/>
        <w:u w:val="none"/>
        <w:lang w:val="en-US" w:eastAsia="zh-CN" w:bidi="ar-SA"/>
      </w:rPr>
      <w:t>项目名称：“一湖两岸”城文旅融合发展专项规划编制采购项目</w:t>
    </w:r>
    <w:r>
      <w:rPr>
        <w:rFonts w:hint="eastAsia" w:ascii="宋体" w:cs="Times New Roman"/>
        <w:kern w:val="2"/>
        <w:sz w:val="20"/>
        <w:szCs w:val="20"/>
        <w:highlight w:val="none"/>
        <w:u w:val="none"/>
        <w:lang w:val="en-US" w:eastAsia="zh-CN" w:bidi="ar-SA"/>
      </w:rPr>
      <w:t xml:space="preserve">               项目编号：LTZB-2025-020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C2EB2">
    <w:pPr>
      <w:pStyle w:val="31"/>
      <w:rPr>
        <w:rFonts w:hint="default"/>
        <w:lang w:val="en-US" w:eastAsia="zh-CN"/>
      </w:rPr>
    </w:pPr>
    <w:r>
      <w:rPr>
        <w:rFonts w:hint="eastAsia" w:ascii="宋体" w:hAnsi="Calibri" w:eastAsia="宋体" w:cs="Times New Roman"/>
        <w:kern w:val="2"/>
        <w:sz w:val="20"/>
        <w:szCs w:val="20"/>
        <w:highlight w:val="none"/>
        <w:u w:val="none"/>
        <w:lang w:val="en-US" w:eastAsia="zh-CN" w:bidi="ar-SA"/>
      </w:rPr>
      <w:t>项目名称：“一湖两岸”城文旅融合发展专项规划编制采购项目</w:t>
    </w:r>
    <w:r>
      <w:rPr>
        <w:rFonts w:hint="eastAsia" w:ascii="宋体" w:cs="Times New Roman"/>
        <w:kern w:val="2"/>
        <w:sz w:val="20"/>
        <w:szCs w:val="20"/>
        <w:highlight w:val="none"/>
        <w:u w:val="none"/>
        <w:lang w:val="en-US" w:eastAsia="zh-CN" w:bidi="ar-SA"/>
      </w:rPr>
      <w:t xml:space="preserve">               项目编号：LTZB-2025-020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2238F"/>
    <w:multiLevelType w:val="multilevel"/>
    <w:tmpl w:val="8AF2238F"/>
    <w:lvl w:ilvl="0" w:tentative="0">
      <w:start w:val="1"/>
      <w:numFmt w:val="decimal"/>
      <w:isLgl/>
      <w:suff w:val="space"/>
      <w:lvlText w:val="第%1章 "/>
      <w:lvlJc w:val="left"/>
      <w:pPr>
        <w:tabs>
          <w:tab w:val="left" w:pos="0"/>
        </w:tabs>
        <w:ind w:left="20" w:hanging="20"/>
      </w:pPr>
      <w:rPr>
        <w:rFonts w:hint="default" w:ascii="Times New Roman" w:hAnsi="Times New Roman" w:eastAsia="微软雅黑" w:cs="微软雅黑"/>
        <w:b/>
        <w:bCs/>
        <w:sz w:val="36"/>
        <w:szCs w:val="36"/>
      </w:rPr>
    </w:lvl>
    <w:lvl w:ilvl="1" w:tentative="0">
      <w:start w:val="1"/>
      <w:numFmt w:val="decimal"/>
      <w:pStyle w:val="198"/>
      <w:isLgl/>
      <w:suff w:val="space"/>
      <w:lvlText w:val="%1.%2"/>
      <w:lvlJc w:val="left"/>
      <w:pPr>
        <w:tabs>
          <w:tab w:val="left" w:pos="0"/>
        </w:tabs>
        <w:ind w:left="283" w:firstLine="0"/>
      </w:pPr>
      <w:rPr>
        <w:rFonts w:hint="default" w:ascii="Times New Roman" w:hAnsi="Times New Roman" w:eastAsia="微软雅黑" w:cs="微软雅黑"/>
        <w:b/>
        <w:bCs/>
        <w:sz w:val="30"/>
        <w:szCs w:val="30"/>
      </w:rPr>
    </w:lvl>
    <w:lvl w:ilvl="2" w:tentative="0">
      <w:start w:val="1"/>
      <w:numFmt w:val="decimal"/>
      <w:isLgl/>
      <w:suff w:val="space"/>
      <w:lvlText w:val="%1.%2.%3"/>
      <w:lvlJc w:val="left"/>
      <w:pPr>
        <w:tabs>
          <w:tab w:val="left" w:pos="0"/>
        </w:tabs>
        <w:ind w:left="2160" w:hanging="1593"/>
      </w:pPr>
      <w:rPr>
        <w:rFonts w:hint="default" w:ascii="Times New Roman" w:hAnsi="Times New Roman" w:eastAsia="微软雅黑" w:cs="微软雅黑"/>
        <w:b/>
        <w:bCs/>
        <w:sz w:val="30"/>
        <w:szCs w:val="30"/>
      </w:rPr>
    </w:lvl>
    <w:lvl w:ilvl="3" w:tentative="0">
      <w:start w:val="1"/>
      <w:numFmt w:val="decimal"/>
      <w:isLgl/>
      <w:suff w:val="space"/>
      <w:lvlText w:val="%1.%2.%3.%4."/>
      <w:lvlJc w:val="left"/>
      <w:pPr>
        <w:ind w:left="864" w:hanging="294"/>
      </w:pPr>
      <w:rPr>
        <w:rFonts w:hint="eastAsia"/>
      </w:rPr>
    </w:lvl>
    <w:lvl w:ilvl="4" w:tentative="0">
      <w:start w:val="1"/>
      <w:numFmt w:val="none"/>
      <w:lvlText w:val="%1.%2.%3"/>
      <w:lvlJc w:val="left"/>
      <w:pPr>
        <w:ind w:left="1008" w:hanging="1008"/>
      </w:pPr>
      <w:rPr>
        <w:rFonts w:hint="default" w:ascii="宋体" w:hAnsi="宋体" w:eastAsia="宋体" w:cs="宋体"/>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B6C6ED33"/>
    <w:multiLevelType w:val="singleLevel"/>
    <w:tmpl w:val="B6C6ED33"/>
    <w:lvl w:ilvl="0" w:tentative="0">
      <w:start w:val="4"/>
      <w:numFmt w:val="chineseCounting"/>
      <w:suff w:val="space"/>
      <w:lvlText w:val="第%1部分"/>
      <w:lvlJc w:val="left"/>
      <w:rPr>
        <w:rFonts w:hint="eastAsia"/>
      </w:rPr>
    </w:lvl>
  </w:abstractNum>
  <w:abstractNum w:abstractNumId="2">
    <w:nsid w:val="CC260F63"/>
    <w:multiLevelType w:val="singleLevel"/>
    <w:tmpl w:val="CC260F63"/>
    <w:lvl w:ilvl="0" w:tentative="0">
      <w:start w:val="1"/>
      <w:numFmt w:val="decimal"/>
      <w:pStyle w:val="16"/>
      <w:lvlText w:val="%1."/>
      <w:lvlJc w:val="left"/>
      <w:pPr>
        <w:tabs>
          <w:tab w:val="left" w:pos="780"/>
        </w:tabs>
        <w:ind w:left="780" w:hanging="360"/>
      </w:pPr>
    </w:lvl>
  </w:abstractNum>
  <w:abstractNum w:abstractNumId="3">
    <w:nsid w:val="D93EA129"/>
    <w:multiLevelType w:val="singleLevel"/>
    <w:tmpl w:val="D93EA129"/>
    <w:lvl w:ilvl="0" w:tentative="0">
      <w:start w:val="3"/>
      <w:numFmt w:val="chineseCounting"/>
      <w:suff w:val="space"/>
      <w:lvlText w:val="第%1章"/>
      <w:lvlJc w:val="left"/>
      <w:pPr>
        <w:ind w:left="150"/>
      </w:pPr>
      <w:rPr>
        <w:rFonts w:hint="eastAsia"/>
      </w:rPr>
    </w:lvl>
  </w:abstractNum>
  <w:abstractNum w:abstractNumId="4">
    <w:nsid w:val="09362F92"/>
    <w:multiLevelType w:val="singleLevel"/>
    <w:tmpl w:val="09362F92"/>
    <w:lvl w:ilvl="0" w:tentative="0">
      <w:start w:val="1"/>
      <w:numFmt w:val="decimal"/>
      <w:suff w:val="space"/>
      <w:lvlText w:val="（%1）"/>
      <w:lvlJc w:val="left"/>
    </w:lvl>
  </w:abstractNum>
  <w:abstractNum w:abstractNumId="5">
    <w:nsid w:val="0C380015"/>
    <w:multiLevelType w:val="multilevel"/>
    <w:tmpl w:val="0C38001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9E72C7A"/>
    <w:multiLevelType w:val="singleLevel"/>
    <w:tmpl w:val="29E72C7A"/>
    <w:lvl w:ilvl="0" w:tentative="0">
      <w:start w:val="4"/>
      <w:numFmt w:val="chineseCounting"/>
      <w:suff w:val="space"/>
      <w:lvlText w:val="第%1章"/>
      <w:lvlJc w:val="left"/>
      <w:rPr>
        <w:rFonts w:hint="eastAsia"/>
      </w:rPr>
    </w:lvl>
  </w:abstractNum>
  <w:abstractNum w:abstractNumId="7">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8">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9">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10">
    <w:nsid w:val="5C4C21CA"/>
    <w:multiLevelType w:val="multilevel"/>
    <w:tmpl w:val="5C4C21CA"/>
    <w:lvl w:ilvl="0" w:tentative="0">
      <w:start w:val="1"/>
      <w:numFmt w:val="chineseCountingThousand"/>
      <w:lvlText w:val="%1、"/>
      <w:lvlJc w:val="left"/>
      <w:pPr>
        <w:ind w:left="0" w:firstLine="0"/>
      </w:pPr>
      <w:rPr>
        <w:rFonts w:hint="eastAsia"/>
        <w:b/>
        <w:lang w:val="en-US"/>
      </w:rPr>
    </w:lvl>
    <w:lvl w:ilvl="1" w:tentative="0">
      <w:start w:val="1"/>
      <w:numFmt w:val="decimal"/>
      <w:isLgl/>
      <w:lvlText w:val="%1.%2、"/>
      <w:lvlJc w:val="left"/>
      <w:pPr>
        <w:ind w:left="142" w:firstLine="0"/>
      </w:pPr>
      <w:rPr>
        <w:rFonts w:hint="eastAsia"/>
        <w:b/>
        <w:color w:val="auto"/>
        <w:sz w:val="30"/>
        <w:szCs w:val="30"/>
      </w:rPr>
    </w:lvl>
    <w:lvl w:ilvl="2" w:tentative="0">
      <w:start w:val="1"/>
      <w:numFmt w:val="decimal"/>
      <w:pStyle w:val="149"/>
      <w:isLgl/>
      <w:lvlText w:val="%1.%2.%3、"/>
      <w:lvlJc w:val="left"/>
      <w:pPr>
        <w:ind w:left="142" w:firstLine="0"/>
      </w:pPr>
      <w:rPr>
        <w:rFonts w:hint="eastAsia"/>
        <w:b/>
        <w:i w:val="0"/>
      </w:rPr>
    </w:lvl>
    <w:lvl w:ilvl="3" w:tentative="0">
      <w:start w:val="1"/>
      <w:numFmt w:val="decimal"/>
      <w:isLgl/>
      <w:lvlText w:val="%1.%2.%3.%4、"/>
      <w:lvlJc w:val="left"/>
      <w:pPr>
        <w:ind w:left="0" w:firstLine="0"/>
      </w:pPr>
      <w:rPr>
        <w:rFonts w:hint="eastAsia"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w:lvlJc w:val="left"/>
      <w:pPr>
        <w:ind w:left="977" w:hanging="1008"/>
      </w:pPr>
      <w:rPr>
        <w:rFonts w:hint="eastAsia"/>
      </w:rPr>
    </w:lvl>
    <w:lvl w:ilvl="5" w:tentative="0">
      <w:start w:val="1"/>
      <w:numFmt w:val="decimal"/>
      <w:isLgl/>
      <w:lvlText w:val="%1.%2.%3.%4.%5.%6、"/>
      <w:lvlJc w:val="left"/>
      <w:pPr>
        <w:ind w:left="1121" w:hanging="1152"/>
      </w:pPr>
      <w:rPr>
        <w:rFonts w:hint="eastAsia"/>
      </w:rPr>
    </w:lvl>
    <w:lvl w:ilvl="6" w:tentative="0">
      <w:start w:val="1"/>
      <w:numFmt w:val="decimal"/>
      <w:lvlText w:val="%1.%2.%3.%4.%5.%6.%7"/>
      <w:lvlJc w:val="left"/>
      <w:pPr>
        <w:ind w:left="1265" w:hanging="1296"/>
      </w:pPr>
      <w:rPr>
        <w:rFonts w:hint="eastAsia"/>
      </w:rPr>
    </w:lvl>
    <w:lvl w:ilvl="7" w:tentative="0">
      <w:start w:val="1"/>
      <w:numFmt w:val="decimal"/>
      <w:lvlText w:val="%1.%2.%3.%4.%5.%6.%7.%8"/>
      <w:lvlJc w:val="left"/>
      <w:pPr>
        <w:ind w:left="1409" w:hanging="1440"/>
      </w:pPr>
      <w:rPr>
        <w:rFonts w:hint="eastAsia"/>
      </w:rPr>
    </w:lvl>
    <w:lvl w:ilvl="8" w:tentative="0">
      <w:start w:val="1"/>
      <w:numFmt w:val="decimal"/>
      <w:lvlText w:val="%1.%2.%3.%4.%5.%6.%7.%8.%9"/>
      <w:lvlJc w:val="left"/>
      <w:pPr>
        <w:ind w:left="1553" w:hanging="1584"/>
      </w:pPr>
      <w:rPr>
        <w:rFonts w:hint="eastAsia"/>
      </w:rPr>
    </w:lvl>
  </w:abstractNum>
  <w:num w:numId="1">
    <w:abstractNumId w:val="2"/>
  </w:num>
  <w:num w:numId="2">
    <w:abstractNumId w:val="10"/>
  </w:num>
  <w:num w:numId="3">
    <w:abstractNumId w:val="0"/>
  </w:num>
  <w:num w:numId="4">
    <w:abstractNumId w:val="5"/>
  </w:num>
  <w:num w:numId="5">
    <w:abstractNumId w:val="7"/>
  </w:num>
  <w:num w:numId="6">
    <w:abstractNumId w:val="4"/>
  </w:num>
  <w:num w:numId="7">
    <w:abstractNumId w:val="8"/>
  </w:num>
  <w:num w:numId="8">
    <w:abstractNumId w:val="9"/>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oNotHyphenateCaps/>
  <w:drawingGridHorizontalSpacing w:val="210"/>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1OGE3YTllNWRkNjgwY2M5ZDEwMmY0ODQzZDFhY2IifQ=="/>
  </w:docVars>
  <w:rsids>
    <w:rsidRoot w:val="00172A27"/>
    <w:rsid w:val="00004BA7"/>
    <w:rsid w:val="00005B32"/>
    <w:rsid w:val="00010EA2"/>
    <w:rsid w:val="00015CE5"/>
    <w:rsid w:val="0001630B"/>
    <w:rsid w:val="00016924"/>
    <w:rsid w:val="000215F9"/>
    <w:rsid w:val="0002193F"/>
    <w:rsid w:val="000251B2"/>
    <w:rsid w:val="00040CAE"/>
    <w:rsid w:val="0005257D"/>
    <w:rsid w:val="0005463B"/>
    <w:rsid w:val="00056A18"/>
    <w:rsid w:val="0006270F"/>
    <w:rsid w:val="00071A2D"/>
    <w:rsid w:val="0007624A"/>
    <w:rsid w:val="00076793"/>
    <w:rsid w:val="00082A12"/>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3C89"/>
    <w:rsid w:val="0018646C"/>
    <w:rsid w:val="00190C06"/>
    <w:rsid w:val="00191202"/>
    <w:rsid w:val="001959E2"/>
    <w:rsid w:val="001962AD"/>
    <w:rsid w:val="00197C4D"/>
    <w:rsid w:val="001A1334"/>
    <w:rsid w:val="001B1E3E"/>
    <w:rsid w:val="001B2AD6"/>
    <w:rsid w:val="001B52F6"/>
    <w:rsid w:val="001B6D88"/>
    <w:rsid w:val="001D1EB4"/>
    <w:rsid w:val="001D57DB"/>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092C"/>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4C04"/>
    <w:rsid w:val="00337601"/>
    <w:rsid w:val="00340F9B"/>
    <w:rsid w:val="00341158"/>
    <w:rsid w:val="00342A63"/>
    <w:rsid w:val="00343014"/>
    <w:rsid w:val="00345FCC"/>
    <w:rsid w:val="00347BE2"/>
    <w:rsid w:val="00352F14"/>
    <w:rsid w:val="0036013A"/>
    <w:rsid w:val="00360C09"/>
    <w:rsid w:val="00362391"/>
    <w:rsid w:val="003627F8"/>
    <w:rsid w:val="003859D8"/>
    <w:rsid w:val="00387321"/>
    <w:rsid w:val="003A1D85"/>
    <w:rsid w:val="003A43A3"/>
    <w:rsid w:val="003A612C"/>
    <w:rsid w:val="003A6630"/>
    <w:rsid w:val="003B53CC"/>
    <w:rsid w:val="003C206A"/>
    <w:rsid w:val="003C29FE"/>
    <w:rsid w:val="003C44B3"/>
    <w:rsid w:val="003C4988"/>
    <w:rsid w:val="003D37C1"/>
    <w:rsid w:val="003D50DD"/>
    <w:rsid w:val="003D7E3F"/>
    <w:rsid w:val="003E65D8"/>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507FE"/>
    <w:rsid w:val="005616C3"/>
    <w:rsid w:val="00571370"/>
    <w:rsid w:val="005728D1"/>
    <w:rsid w:val="005764B7"/>
    <w:rsid w:val="005767B4"/>
    <w:rsid w:val="00576E24"/>
    <w:rsid w:val="00581C8C"/>
    <w:rsid w:val="005826D4"/>
    <w:rsid w:val="00586FEC"/>
    <w:rsid w:val="00587171"/>
    <w:rsid w:val="005918D7"/>
    <w:rsid w:val="005A4A37"/>
    <w:rsid w:val="005B156F"/>
    <w:rsid w:val="005B2147"/>
    <w:rsid w:val="005B3960"/>
    <w:rsid w:val="005B792D"/>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703"/>
    <w:rsid w:val="00642F93"/>
    <w:rsid w:val="006657C9"/>
    <w:rsid w:val="006739A1"/>
    <w:rsid w:val="00675301"/>
    <w:rsid w:val="00676150"/>
    <w:rsid w:val="0068208A"/>
    <w:rsid w:val="00686E29"/>
    <w:rsid w:val="00691EC3"/>
    <w:rsid w:val="00696FBA"/>
    <w:rsid w:val="006A2AC7"/>
    <w:rsid w:val="006A2D96"/>
    <w:rsid w:val="006A3734"/>
    <w:rsid w:val="006B38D0"/>
    <w:rsid w:val="006C4563"/>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A1658"/>
    <w:rsid w:val="007A16A6"/>
    <w:rsid w:val="007A2512"/>
    <w:rsid w:val="007A36C0"/>
    <w:rsid w:val="007B2B77"/>
    <w:rsid w:val="007B6B64"/>
    <w:rsid w:val="007B6BCF"/>
    <w:rsid w:val="007B6D05"/>
    <w:rsid w:val="007C18C2"/>
    <w:rsid w:val="007C1CAA"/>
    <w:rsid w:val="007C7DEA"/>
    <w:rsid w:val="007D00DF"/>
    <w:rsid w:val="007E3909"/>
    <w:rsid w:val="007E7467"/>
    <w:rsid w:val="007F01CC"/>
    <w:rsid w:val="007F20B0"/>
    <w:rsid w:val="007F33CE"/>
    <w:rsid w:val="007F7861"/>
    <w:rsid w:val="008004E4"/>
    <w:rsid w:val="0080581E"/>
    <w:rsid w:val="0081303D"/>
    <w:rsid w:val="00816B21"/>
    <w:rsid w:val="00821D41"/>
    <w:rsid w:val="008234BC"/>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EAE"/>
    <w:rsid w:val="008710F1"/>
    <w:rsid w:val="00876563"/>
    <w:rsid w:val="008839DC"/>
    <w:rsid w:val="008866C0"/>
    <w:rsid w:val="00887D1E"/>
    <w:rsid w:val="00891290"/>
    <w:rsid w:val="008962A7"/>
    <w:rsid w:val="00897D92"/>
    <w:rsid w:val="008A0975"/>
    <w:rsid w:val="008A367A"/>
    <w:rsid w:val="008B2891"/>
    <w:rsid w:val="008B3BC3"/>
    <w:rsid w:val="008B3D14"/>
    <w:rsid w:val="008B7CA5"/>
    <w:rsid w:val="008C227D"/>
    <w:rsid w:val="008C6D84"/>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4CF1"/>
    <w:rsid w:val="00956521"/>
    <w:rsid w:val="00962505"/>
    <w:rsid w:val="00964B6E"/>
    <w:rsid w:val="0096516F"/>
    <w:rsid w:val="0096641E"/>
    <w:rsid w:val="00967538"/>
    <w:rsid w:val="0097045D"/>
    <w:rsid w:val="0097134B"/>
    <w:rsid w:val="009729CB"/>
    <w:rsid w:val="00983FAD"/>
    <w:rsid w:val="0098589A"/>
    <w:rsid w:val="009859B0"/>
    <w:rsid w:val="009935A5"/>
    <w:rsid w:val="009A4A76"/>
    <w:rsid w:val="009A6B98"/>
    <w:rsid w:val="009A77A9"/>
    <w:rsid w:val="009B5F0C"/>
    <w:rsid w:val="009C0F48"/>
    <w:rsid w:val="009C28C6"/>
    <w:rsid w:val="009C52D9"/>
    <w:rsid w:val="009C65C7"/>
    <w:rsid w:val="009D4358"/>
    <w:rsid w:val="009D657F"/>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466B"/>
    <w:rsid w:val="00A248F4"/>
    <w:rsid w:val="00A27424"/>
    <w:rsid w:val="00A27FA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36D8"/>
    <w:rsid w:val="00B05802"/>
    <w:rsid w:val="00B05FE4"/>
    <w:rsid w:val="00B07C59"/>
    <w:rsid w:val="00B2348B"/>
    <w:rsid w:val="00B30AD2"/>
    <w:rsid w:val="00B32079"/>
    <w:rsid w:val="00B355AC"/>
    <w:rsid w:val="00B3706C"/>
    <w:rsid w:val="00B40362"/>
    <w:rsid w:val="00B45CC9"/>
    <w:rsid w:val="00B46918"/>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E1802"/>
    <w:rsid w:val="00BE3DA8"/>
    <w:rsid w:val="00C01460"/>
    <w:rsid w:val="00C03A4F"/>
    <w:rsid w:val="00C0667B"/>
    <w:rsid w:val="00C06804"/>
    <w:rsid w:val="00C11350"/>
    <w:rsid w:val="00C1147B"/>
    <w:rsid w:val="00C16128"/>
    <w:rsid w:val="00C27EF0"/>
    <w:rsid w:val="00C36694"/>
    <w:rsid w:val="00C43EB2"/>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5562"/>
    <w:rsid w:val="00E57423"/>
    <w:rsid w:val="00E57D7D"/>
    <w:rsid w:val="00E60A9C"/>
    <w:rsid w:val="00E61F55"/>
    <w:rsid w:val="00E63219"/>
    <w:rsid w:val="00E65DC8"/>
    <w:rsid w:val="00E83E90"/>
    <w:rsid w:val="00E90E0A"/>
    <w:rsid w:val="00E9724B"/>
    <w:rsid w:val="00EA1ECE"/>
    <w:rsid w:val="00EA67DE"/>
    <w:rsid w:val="00EB067D"/>
    <w:rsid w:val="00EB0F5E"/>
    <w:rsid w:val="00EC1730"/>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B583C"/>
    <w:rsid w:val="010E06D4"/>
    <w:rsid w:val="011221F0"/>
    <w:rsid w:val="013302FA"/>
    <w:rsid w:val="013A223F"/>
    <w:rsid w:val="01525A0A"/>
    <w:rsid w:val="015F531D"/>
    <w:rsid w:val="016A454D"/>
    <w:rsid w:val="017D3840"/>
    <w:rsid w:val="018E640A"/>
    <w:rsid w:val="01920D21"/>
    <w:rsid w:val="01A4012F"/>
    <w:rsid w:val="01AC2FBF"/>
    <w:rsid w:val="01BB3CD7"/>
    <w:rsid w:val="01BC4501"/>
    <w:rsid w:val="01C726FC"/>
    <w:rsid w:val="01DA363D"/>
    <w:rsid w:val="01F90F7C"/>
    <w:rsid w:val="020600F6"/>
    <w:rsid w:val="02064B47"/>
    <w:rsid w:val="022A49B8"/>
    <w:rsid w:val="022D433C"/>
    <w:rsid w:val="02374638"/>
    <w:rsid w:val="023C7D0C"/>
    <w:rsid w:val="02683F8F"/>
    <w:rsid w:val="02854F8C"/>
    <w:rsid w:val="02856FA3"/>
    <w:rsid w:val="028F7244"/>
    <w:rsid w:val="02922D3D"/>
    <w:rsid w:val="02AD4E24"/>
    <w:rsid w:val="02B56978"/>
    <w:rsid w:val="02C56FBB"/>
    <w:rsid w:val="02CB14A4"/>
    <w:rsid w:val="02E57ADC"/>
    <w:rsid w:val="02F61685"/>
    <w:rsid w:val="02FA17E2"/>
    <w:rsid w:val="02FD5BFC"/>
    <w:rsid w:val="02FE73C3"/>
    <w:rsid w:val="030A0C9E"/>
    <w:rsid w:val="03226FE8"/>
    <w:rsid w:val="032A1114"/>
    <w:rsid w:val="03442B37"/>
    <w:rsid w:val="03442ED4"/>
    <w:rsid w:val="034C725D"/>
    <w:rsid w:val="034F2928"/>
    <w:rsid w:val="03982137"/>
    <w:rsid w:val="03B31109"/>
    <w:rsid w:val="03C10C9F"/>
    <w:rsid w:val="03C921C1"/>
    <w:rsid w:val="03F1578E"/>
    <w:rsid w:val="03FD053E"/>
    <w:rsid w:val="040B7728"/>
    <w:rsid w:val="040D5331"/>
    <w:rsid w:val="042475F2"/>
    <w:rsid w:val="04266BE9"/>
    <w:rsid w:val="044912F8"/>
    <w:rsid w:val="045B26AD"/>
    <w:rsid w:val="045F7B15"/>
    <w:rsid w:val="046D2F85"/>
    <w:rsid w:val="04CB26A7"/>
    <w:rsid w:val="04CD0688"/>
    <w:rsid w:val="04CE3D21"/>
    <w:rsid w:val="04D502BA"/>
    <w:rsid w:val="04DA7FAF"/>
    <w:rsid w:val="04DF4866"/>
    <w:rsid w:val="04F06D3D"/>
    <w:rsid w:val="050438CD"/>
    <w:rsid w:val="051B014A"/>
    <w:rsid w:val="0527382F"/>
    <w:rsid w:val="05275FEA"/>
    <w:rsid w:val="052B0940"/>
    <w:rsid w:val="05341DD6"/>
    <w:rsid w:val="053973B5"/>
    <w:rsid w:val="05402991"/>
    <w:rsid w:val="054E1CE0"/>
    <w:rsid w:val="056A24FD"/>
    <w:rsid w:val="056C728C"/>
    <w:rsid w:val="057A7F6E"/>
    <w:rsid w:val="058E2B26"/>
    <w:rsid w:val="05A377A7"/>
    <w:rsid w:val="05D137D6"/>
    <w:rsid w:val="05D27302"/>
    <w:rsid w:val="05FA123D"/>
    <w:rsid w:val="05FB4E02"/>
    <w:rsid w:val="05FF224E"/>
    <w:rsid w:val="060454DB"/>
    <w:rsid w:val="06110D47"/>
    <w:rsid w:val="06127C3D"/>
    <w:rsid w:val="061439B5"/>
    <w:rsid w:val="063F6A07"/>
    <w:rsid w:val="06587E65"/>
    <w:rsid w:val="065A46B0"/>
    <w:rsid w:val="065B3B93"/>
    <w:rsid w:val="066D1D57"/>
    <w:rsid w:val="06AE2CCC"/>
    <w:rsid w:val="06B12629"/>
    <w:rsid w:val="06BD3616"/>
    <w:rsid w:val="06BE30D0"/>
    <w:rsid w:val="06CB49BC"/>
    <w:rsid w:val="06CD112D"/>
    <w:rsid w:val="06D27251"/>
    <w:rsid w:val="06D505D2"/>
    <w:rsid w:val="06DC7813"/>
    <w:rsid w:val="06E56C12"/>
    <w:rsid w:val="06FD0807"/>
    <w:rsid w:val="06FD5DC2"/>
    <w:rsid w:val="07224610"/>
    <w:rsid w:val="0724687D"/>
    <w:rsid w:val="073278A0"/>
    <w:rsid w:val="073E5E68"/>
    <w:rsid w:val="0745019D"/>
    <w:rsid w:val="07610E7C"/>
    <w:rsid w:val="07621A18"/>
    <w:rsid w:val="077166EC"/>
    <w:rsid w:val="07892C9E"/>
    <w:rsid w:val="07C84A57"/>
    <w:rsid w:val="07E562BD"/>
    <w:rsid w:val="07FC0B21"/>
    <w:rsid w:val="07FC0D88"/>
    <w:rsid w:val="08145F16"/>
    <w:rsid w:val="082E3912"/>
    <w:rsid w:val="08366DA4"/>
    <w:rsid w:val="084D4872"/>
    <w:rsid w:val="085A28FF"/>
    <w:rsid w:val="087D1536"/>
    <w:rsid w:val="089E6E52"/>
    <w:rsid w:val="08B16FB6"/>
    <w:rsid w:val="08B8390C"/>
    <w:rsid w:val="08E53CD3"/>
    <w:rsid w:val="08E74CA6"/>
    <w:rsid w:val="090A42F6"/>
    <w:rsid w:val="092266DC"/>
    <w:rsid w:val="09271A18"/>
    <w:rsid w:val="0949327F"/>
    <w:rsid w:val="094C0F29"/>
    <w:rsid w:val="097A7578"/>
    <w:rsid w:val="099106B6"/>
    <w:rsid w:val="09913C41"/>
    <w:rsid w:val="09941115"/>
    <w:rsid w:val="09A147B1"/>
    <w:rsid w:val="09AA6D36"/>
    <w:rsid w:val="09BA2AC6"/>
    <w:rsid w:val="09C33728"/>
    <w:rsid w:val="09CF513B"/>
    <w:rsid w:val="09E25AD9"/>
    <w:rsid w:val="09EA213D"/>
    <w:rsid w:val="09FC4E8C"/>
    <w:rsid w:val="0A0976BB"/>
    <w:rsid w:val="0A14041D"/>
    <w:rsid w:val="0A182BFC"/>
    <w:rsid w:val="0A1C2CAC"/>
    <w:rsid w:val="0A367760"/>
    <w:rsid w:val="0A3E3F88"/>
    <w:rsid w:val="0A4A14DE"/>
    <w:rsid w:val="0A571DB8"/>
    <w:rsid w:val="0A672A35"/>
    <w:rsid w:val="0A706A46"/>
    <w:rsid w:val="0A877FB0"/>
    <w:rsid w:val="0A891706"/>
    <w:rsid w:val="0A9A2CCF"/>
    <w:rsid w:val="0A9E72DA"/>
    <w:rsid w:val="0A9F0E0E"/>
    <w:rsid w:val="0AC27E84"/>
    <w:rsid w:val="0ACC0D02"/>
    <w:rsid w:val="0ADA51CD"/>
    <w:rsid w:val="0AE54C46"/>
    <w:rsid w:val="0AEE50E0"/>
    <w:rsid w:val="0AFC5610"/>
    <w:rsid w:val="0B1F7084"/>
    <w:rsid w:val="0B224DC6"/>
    <w:rsid w:val="0B4C599F"/>
    <w:rsid w:val="0B561C5B"/>
    <w:rsid w:val="0B5D1A85"/>
    <w:rsid w:val="0B5D1E36"/>
    <w:rsid w:val="0B651A2B"/>
    <w:rsid w:val="0B741EC5"/>
    <w:rsid w:val="0BB5243F"/>
    <w:rsid w:val="0BD04822"/>
    <w:rsid w:val="0BE50B71"/>
    <w:rsid w:val="0BED26A5"/>
    <w:rsid w:val="0BF027CF"/>
    <w:rsid w:val="0BF91A7F"/>
    <w:rsid w:val="0BFC7A1C"/>
    <w:rsid w:val="0C0A394D"/>
    <w:rsid w:val="0C405504"/>
    <w:rsid w:val="0C495E24"/>
    <w:rsid w:val="0C4A5A7C"/>
    <w:rsid w:val="0C5F0865"/>
    <w:rsid w:val="0C786384"/>
    <w:rsid w:val="0C943AA2"/>
    <w:rsid w:val="0CA21D1B"/>
    <w:rsid w:val="0CAD034B"/>
    <w:rsid w:val="0CB5191B"/>
    <w:rsid w:val="0CB6728F"/>
    <w:rsid w:val="0CCE2B10"/>
    <w:rsid w:val="0CE1187B"/>
    <w:rsid w:val="0CF11F12"/>
    <w:rsid w:val="0CFD25BD"/>
    <w:rsid w:val="0D1C3C2A"/>
    <w:rsid w:val="0D1F6213"/>
    <w:rsid w:val="0D371B9D"/>
    <w:rsid w:val="0D452987"/>
    <w:rsid w:val="0D462DD6"/>
    <w:rsid w:val="0D62596E"/>
    <w:rsid w:val="0D6C19EE"/>
    <w:rsid w:val="0D7B32BC"/>
    <w:rsid w:val="0D933F5C"/>
    <w:rsid w:val="0D991370"/>
    <w:rsid w:val="0DA67FA3"/>
    <w:rsid w:val="0DA800E4"/>
    <w:rsid w:val="0DC3433B"/>
    <w:rsid w:val="0DDA5616"/>
    <w:rsid w:val="0E005C7A"/>
    <w:rsid w:val="0E0C42FA"/>
    <w:rsid w:val="0E140209"/>
    <w:rsid w:val="0E381521"/>
    <w:rsid w:val="0E3C57BD"/>
    <w:rsid w:val="0E475B7F"/>
    <w:rsid w:val="0E69691F"/>
    <w:rsid w:val="0E6E32AD"/>
    <w:rsid w:val="0E7756DA"/>
    <w:rsid w:val="0EA91CC7"/>
    <w:rsid w:val="0EAF24CD"/>
    <w:rsid w:val="0EC875FE"/>
    <w:rsid w:val="0EDD34DE"/>
    <w:rsid w:val="0EE00EC5"/>
    <w:rsid w:val="0EEC44E6"/>
    <w:rsid w:val="0EFD2AF6"/>
    <w:rsid w:val="0F03025E"/>
    <w:rsid w:val="0F0F5662"/>
    <w:rsid w:val="0F1C13DE"/>
    <w:rsid w:val="0F3A24B8"/>
    <w:rsid w:val="0F3F00D1"/>
    <w:rsid w:val="0F537409"/>
    <w:rsid w:val="0F79260C"/>
    <w:rsid w:val="0F904E63"/>
    <w:rsid w:val="0F987E27"/>
    <w:rsid w:val="0FBB76E3"/>
    <w:rsid w:val="0FC54506"/>
    <w:rsid w:val="0FC66DA3"/>
    <w:rsid w:val="0FEB1C2B"/>
    <w:rsid w:val="100E0796"/>
    <w:rsid w:val="101D1E30"/>
    <w:rsid w:val="10204FBD"/>
    <w:rsid w:val="10252948"/>
    <w:rsid w:val="10372E26"/>
    <w:rsid w:val="103966FB"/>
    <w:rsid w:val="103D6845"/>
    <w:rsid w:val="104E5594"/>
    <w:rsid w:val="106C132D"/>
    <w:rsid w:val="108E6DDE"/>
    <w:rsid w:val="10B45CAD"/>
    <w:rsid w:val="10DD209D"/>
    <w:rsid w:val="10EC5C5A"/>
    <w:rsid w:val="10FF1E8F"/>
    <w:rsid w:val="113A4C18"/>
    <w:rsid w:val="118013C7"/>
    <w:rsid w:val="118D5872"/>
    <w:rsid w:val="119963B1"/>
    <w:rsid w:val="11A622AD"/>
    <w:rsid w:val="11B361D3"/>
    <w:rsid w:val="11BB4D58"/>
    <w:rsid w:val="11BB6630"/>
    <w:rsid w:val="12543AB7"/>
    <w:rsid w:val="12655CC4"/>
    <w:rsid w:val="12793BBE"/>
    <w:rsid w:val="127B5FEA"/>
    <w:rsid w:val="127C4C76"/>
    <w:rsid w:val="128C33F4"/>
    <w:rsid w:val="12B15F90"/>
    <w:rsid w:val="12EF690E"/>
    <w:rsid w:val="12F47048"/>
    <w:rsid w:val="131A7145"/>
    <w:rsid w:val="131C06AC"/>
    <w:rsid w:val="133A4EB7"/>
    <w:rsid w:val="13487675"/>
    <w:rsid w:val="13631AD8"/>
    <w:rsid w:val="137447B2"/>
    <w:rsid w:val="13830E2C"/>
    <w:rsid w:val="138D11BC"/>
    <w:rsid w:val="139D2FCC"/>
    <w:rsid w:val="13D80718"/>
    <w:rsid w:val="13D84C83"/>
    <w:rsid w:val="13EA285B"/>
    <w:rsid w:val="13FE2A78"/>
    <w:rsid w:val="142468C7"/>
    <w:rsid w:val="143C5260"/>
    <w:rsid w:val="14661880"/>
    <w:rsid w:val="146673F5"/>
    <w:rsid w:val="14991C55"/>
    <w:rsid w:val="149C20CC"/>
    <w:rsid w:val="14AF4B49"/>
    <w:rsid w:val="14B45A92"/>
    <w:rsid w:val="14F838A9"/>
    <w:rsid w:val="15164403"/>
    <w:rsid w:val="15273101"/>
    <w:rsid w:val="152C2AC9"/>
    <w:rsid w:val="153062F0"/>
    <w:rsid w:val="153E2DB6"/>
    <w:rsid w:val="15550B09"/>
    <w:rsid w:val="155550C1"/>
    <w:rsid w:val="15576ACE"/>
    <w:rsid w:val="1568217F"/>
    <w:rsid w:val="15761223"/>
    <w:rsid w:val="15784E47"/>
    <w:rsid w:val="157C2A57"/>
    <w:rsid w:val="158F4E06"/>
    <w:rsid w:val="159517A5"/>
    <w:rsid w:val="159A3ED7"/>
    <w:rsid w:val="15A07014"/>
    <w:rsid w:val="15A74B21"/>
    <w:rsid w:val="15B17473"/>
    <w:rsid w:val="15CE3B81"/>
    <w:rsid w:val="15E23CA8"/>
    <w:rsid w:val="15EC04AB"/>
    <w:rsid w:val="15EE5FD1"/>
    <w:rsid w:val="15F75500"/>
    <w:rsid w:val="15FA6095"/>
    <w:rsid w:val="15FF1F8C"/>
    <w:rsid w:val="161517B0"/>
    <w:rsid w:val="166B3507"/>
    <w:rsid w:val="166F203B"/>
    <w:rsid w:val="16AD7C3A"/>
    <w:rsid w:val="16C2284B"/>
    <w:rsid w:val="16CB423B"/>
    <w:rsid w:val="16D95682"/>
    <w:rsid w:val="16DC3460"/>
    <w:rsid w:val="17062F69"/>
    <w:rsid w:val="17173305"/>
    <w:rsid w:val="171750B3"/>
    <w:rsid w:val="17423544"/>
    <w:rsid w:val="17450DD5"/>
    <w:rsid w:val="17575561"/>
    <w:rsid w:val="176D73C9"/>
    <w:rsid w:val="1779199A"/>
    <w:rsid w:val="177F15B3"/>
    <w:rsid w:val="17885FB1"/>
    <w:rsid w:val="178F7398"/>
    <w:rsid w:val="17907B2D"/>
    <w:rsid w:val="179944DC"/>
    <w:rsid w:val="17A06173"/>
    <w:rsid w:val="17B56054"/>
    <w:rsid w:val="17CB4BCC"/>
    <w:rsid w:val="17DF536C"/>
    <w:rsid w:val="17EA0C48"/>
    <w:rsid w:val="18120EEB"/>
    <w:rsid w:val="18163EED"/>
    <w:rsid w:val="181C4CF1"/>
    <w:rsid w:val="182B6938"/>
    <w:rsid w:val="183D0E38"/>
    <w:rsid w:val="1841587E"/>
    <w:rsid w:val="18501E4D"/>
    <w:rsid w:val="185D0505"/>
    <w:rsid w:val="18630E03"/>
    <w:rsid w:val="186F3E63"/>
    <w:rsid w:val="187857E7"/>
    <w:rsid w:val="187B19AA"/>
    <w:rsid w:val="18811F09"/>
    <w:rsid w:val="188321C6"/>
    <w:rsid w:val="18921717"/>
    <w:rsid w:val="18A25EE0"/>
    <w:rsid w:val="18AD6D67"/>
    <w:rsid w:val="18CE5C46"/>
    <w:rsid w:val="18D3007D"/>
    <w:rsid w:val="18D53492"/>
    <w:rsid w:val="190D3CF6"/>
    <w:rsid w:val="190E1B7D"/>
    <w:rsid w:val="191C2E55"/>
    <w:rsid w:val="192F739D"/>
    <w:rsid w:val="196C2D76"/>
    <w:rsid w:val="19B86374"/>
    <w:rsid w:val="19CF50D1"/>
    <w:rsid w:val="19D13C3F"/>
    <w:rsid w:val="19DC5DE9"/>
    <w:rsid w:val="19E315C8"/>
    <w:rsid w:val="19E42EEC"/>
    <w:rsid w:val="19E7490A"/>
    <w:rsid w:val="19FC4F49"/>
    <w:rsid w:val="19FF69FF"/>
    <w:rsid w:val="1A041828"/>
    <w:rsid w:val="1A206E13"/>
    <w:rsid w:val="1A324F2D"/>
    <w:rsid w:val="1A462475"/>
    <w:rsid w:val="1A542986"/>
    <w:rsid w:val="1A613215"/>
    <w:rsid w:val="1A6612FE"/>
    <w:rsid w:val="1A6E4083"/>
    <w:rsid w:val="1A754C02"/>
    <w:rsid w:val="1A855D7B"/>
    <w:rsid w:val="1AB71087"/>
    <w:rsid w:val="1AC06A39"/>
    <w:rsid w:val="1ACC4F36"/>
    <w:rsid w:val="1AE043B8"/>
    <w:rsid w:val="1AF11218"/>
    <w:rsid w:val="1AF44A0B"/>
    <w:rsid w:val="1B115D3C"/>
    <w:rsid w:val="1B1E0896"/>
    <w:rsid w:val="1B281F85"/>
    <w:rsid w:val="1B306794"/>
    <w:rsid w:val="1B3B23A6"/>
    <w:rsid w:val="1B483F91"/>
    <w:rsid w:val="1B614048"/>
    <w:rsid w:val="1B6C2973"/>
    <w:rsid w:val="1B6C41BD"/>
    <w:rsid w:val="1B7156DA"/>
    <w:rsid w:val="1B7A3E63"/>
    <w:rsid w:val="1B807337"/>
    <w:rsid w:val="1BA47C58"/>
    <w:rsid w:val="1BB80F43"/>
    <w:rsid w:val="1BC170B5"/>
    <w:rsid w:val="1BC63CDD"/>
    <w:rsid w:val="1BC85289"/>
    <w:rsid w:val="1BDC02C0"/>
    <w:rsid w:val="1BEB4B83"/>
    <w:rsid w:val="1BF0529D"/>
    <w:rsid w:val="1C185B56"/>
    <w:rsid w:val="1C1B61AE"/>
    <w:rsid w:val="1C2C33AF"/>
    <w:rsid w:val="1C415F19"/>
    <w:rsid w:val="1C446BE5"/>
    <w:rsid w:val="1C5A0FCE"/>
    <w:rsid w:val="1C6D0873"/>
    <w:rsid w:val="1C915866"/>
    <w:rsid w:val="1C962F1E"/>
    <w:rsid w:val="1CC22F08"/>
    <w:rsid w:val="1CC96E50"/>
    <w:rsid w:val="1CD84A63"/>
    <w:rsid w:val="1CDC4DD5"/>
    <w:rsid w:val="1CE4569C"/>
    <w:rsid w:val="1CF15954"/>
    <w:rsid w:val="1D226C08"/>
    <w:rsid w:val="1D295B40"/>
    <w:rsid w:val="1D2E3157"/>
    <w:rsid w:val="1D385997"/>
    <w:rsid w:val="1D395687"/>
    <w:rsid w:val="1D3F7112"/>
    <w:rsid w:val="1D491BE1"/>
    <w:rsid w:val="1D5E31C4"/>
    <w:rsid w:val="1D6B0D1C"/>
    <w:rsid w:val="1D7546CA"/>
    <w:rsid w:val="1D864D41"/>
    <w:rsid w:val="1D8D5C15"/>
    <w:rsid w:val="1DA3054A"/>
    <w:rsid w:val="1DA31A6F"/>
    <w:rsid w:val="1DB51F23"/>
    <w:rsid w:val="1DB7314C"/>
    <w:rsid w:val="1DC65199"/>
    <w:rsid w:val="1DE55082"/>
    <w:rsid w:val="1DEB7A42"/>
    <w:rsid w:val="1DF443A0"/>
    <w:rsid w:val="1DF97E9A"/>
    <w:rsid w:val="1E086E80"/>
    <w:rsid w:val="1E0B7D87"/>
    <w:rsid w:val="1E1B0B02"/>
    <w:rsid w:val="1E4B44C2"/>
    <w:rsid w:val="1E5E18A6"/>
    <w:rsid w:val="1EC331FD"/>
    <w:rsid w:val="1F101B4B"/>
    <w:rsid w:val="1F1F3A24"/>
    <w:rsid w:val="1F206854"/>
    <w:rsid w:val="1F244EC9"/>
    <w:rsid w:val="1F3C3390"/>
    <w:rsid w:val="1F514A73"/>
    <w:rsid w:val="1F5A3842"/>
    <w:rsid w:val="1F690A75"/>
    <w:rsid w:val="1F78690B"/>
    <w:rsid w:val="1F7977EE"/>
    <w:rsid w:val="1F895E51"/>
    <w:rsid w:val="1FA020AF"/>
    <w:rsid w:val="1FA073B6"/>
    <w:rsid w:val="1FB12B7F"/>
    <w:rsid w:val="1FD06747"/>
    <w:rsid w:val="20025D99"/>
    <w:rsid w:val="200A7EAB"/>
    <w:rsid w:val="203A68C1"/>
    <w:rsid w:val="2054435F"/>
    <w:rsid w:val="205B0707"/>
    <w:rsid w:val="205E2FD5"/>
    <w:rsid w:val="20670906"/>
    <w:rsid w:val="20933A77"/>
    <w:rsid w:val="2096276F"/>
    <w:rsid w:val="20971013"/>
    <w:rsid w:val="209D643B"/>
    <w:rsid w:val="20A77C09"/>
    <w:rsid w:val="20A83220"/>
    <w:rsid w:val="20A9275D"/>
    <w:rsid w:val="20C52024"/>
    <w:rsid w:val="20E03EA8"/>
    <w:rsid w:val="211D78B0"/>
    <w:rsid w:val="21221225"/>
    <w:rsid w:val="21222497"/>
    <w:rsid w:val="212E72D0"/>
    <w:rsid w:val="213C76E2"/>
    <w:rsid w:val="213E32F0"/>
    <w:rsid w:val="2149131F"/>
    <w:rsid w:val="2149340F"/>
    <w:rsid w:val="214B2529"/>
    <w:rsid w:val="214E43E5"/>
    <w:rsid w:val="217E38DF"/>
    <w:rsid w:val="21AE3C52"/>
    <w:rsid w:val="21B53414"/>
    <w:rsid w:val="21E40288"/>
    <w:rsid w:val="21E5038E"/>
    <w:rsid w:val="21E8206B"/>
    <w:rsid w:val="220426D8"/>
    <w:rsid w:val="222D7E81"/>
    <w:rsid w:val="223E6CF8"/>
    <w:rsid w:val="224156DA"/>
    <w:rsid w:val="2243364A"/>
    <w:rsid w:val="22520F0A"/>
    <w:rsid w:val="226823A3"/>
    <w:rsid w:val="227C1E95"/>
    <w:rsid w:val="227E06DD"/>
    <w:rsid w:val="22A73267"/>
    <w:rsid w:val="22AF5BBC"/>
    <w:rsid w:val="22B42350"/>
    <w:rsid w:val="22C677C0"/>
    <w:rsid w:val="22CD1033"/>
    <w:rsid w:val="22CF47A8"/>
    <w:rsid w:val="22DD3C85"/>
    <w:rsid w:val="22E25187"/>
    <w:rsid w:val="22F15352"/>
    <w:rsid w:val="22FA0357"/>
    <w:rsid w:val="231F34A9"/>
    <w:rsid w:val="23220DED"/>
    <w:rsid w:val="23740A0F"/>
    <w:rsid w:val="23773046"/>
    <w:rsid w:val="238A31D0"/>
    <w:rsid w:val="23A2444D"/>
    <w:rsid w:val="23B42767"/>
    <w:rsid w:val="23DD1433"/>
    <w:rsid w:val="23E303FA"/>
    <w:rsid w:val="23EB5574"/>
    <w:rsid w:val="23F911BA"/>
    <w:rsid w:val="23FE56CB"/>
    <w:rsid w:val="23FF49C8"/>
    <w:rsid w:val="242D516F"/>
    <w:rsid w:val="245247ED"/>
    <w:rsid w:val="24575A93"/>
    <w:rsid w:val="248144B4"/>
    <w:rsid w:val="24831FDA"/>
    <w:rsid w:val="2496646F"/>
    <w:rsid w:val="24BF3406"/>
    <w:rsid w:val="24FE0C07"/>
    <w:rsid w:val="2508212D"/>
    <w:rsid w:val="251D0807"/>
    <w:rsid w:val="252437BD"/>
    <w:rsid w:val="252B038C"/>
    <w:rsid w:val="252E1698"/>
    <w:rsid w:val="2542651B"/>
    <w:rsid w:val="25543DDA"/>
    <w:rsid w:val="255F7AD2"/>
    <w:rsid w:val="2562439C"/>
    <w:rsid w:val="256D4FBD"/>
    <w:rsid w:val="25755DC7"/>
    <w:rsid w:val="25777033"/>
    <w:rsid w:val="257E016B"/>
    <w:rsid w:val="25A84311"/>
    <w:rsid w:val="25AA58E4"/>
    <w:rsid w:val="25AD6D4C"/>
    <w:rsid w:val="25AF576B"/>
    <w:rsid w:val="25B52A47"/>
    <w:rsid w:val="25BE081E"/>
    <w:rsid w:val="25C10491"/>
    <w:rsid w:val="25C46D47"/>
    <w:rsid w:val="25CE035B"/>
    <w:rsid w:val="25E074E7"/>
    <w:rsid w:val="25EE4017"/>
    <w:rsid w:val="25F807A6"/>
    <w:rsid w:val="25F82554"/>
    <w:rsid w:val="25F97290"/>
    <w:rsid w:val="26217CFD"/>
    <w:rsid w:val="26223B26"/>
    <w:rsid w:val="26241D26"/>
    <w:rsid w:val="2627224F"/>
    <w:rsid w:val="26461511"/>
    <w:rsid w:val="265B0A5D"/>
    <w:rsid w:val="266360FF"/>
    <w:rsid w:val="266B72B6"/>
    <w:rsid w:val="266C4868"/>
    <w:rsid w:val="2675758F"/>
    <w:rsid w:val="269D762C"/>
    <w:rsid w:val="26A10A3D"/>
    <w:rsid w:val="26A65805"/>
    <w:rsid w:val="26B75F6B"/>
    <w:rsid w:val="26BB3AF4"/>
    <w:rsid w:val="26C976F8"/>
    <w:rsid w:val="26D7660D"/>
    <w:rsid w:val="26EF72E5"/>
    <w:rsid w:val="26FB2A32"/>
    <w:rsid w:val="26FC4A2E"/>
    <w:rsid w:val="26FF3381"/>
    <w:rsid w:val="27004A9E"/>
    <w:rsid w:val="270B0E4A"/>
    <w:rsid w:val="2714654E"/>
    <w:rsid w:val="27180E6A"/>
    <w:rsid w:val="271E393C"/>
    <w:rsid w:val="271E669F"/>
    <w:rsid w:val="272A2BE1"/>
    <w:rsid w:val="272B10D0"/>
    <w:rsid w:val="272E6A36"/>
    <w:rsid w:val="27333A9E"/>
    <w:rsid w:val="2734089E"/>
    <w:rsid w:val="273D0B66"/>
    <w:rsid w:val="273D5A6D"/>
    <w:rsid w:val="274023D4"/>
    <w:rsid w:val="274253D5"/>
    <w:rsid w:val="27663E92"/>
    <w:rsid w:val="276D74EC"/>
    <w:rsid w:val="276F6A21"/>
    <w:rsid w:val="2778394C"/>
    <w:rsid w:val="278A534F"/>
    <w:rsid w:val="27BF77CD"/>
    <w:rsid w:val="27C7445F"/>
    <w:rsid w:val="27D163B4"/>
    <w:rsid w:val="27D8263D"/>
    <w:rsid w:val="27FE6547"/>
    <w:rsid w:val="28213FE4"/>
    <w:rsid w:val="282B36F9"/>
    <w:rsid w:val="28373807"/>
    <w:rsid w:val="284B4DA9"/>
    <w:rsid w:val="28667C49"/>
    <w:rsid w:val="286839C1"/>
    <w:rsid w:val="287813D0"/>
    <w:rsid w:val="28A813E1"/>
    <w:rsid w:val="28AB3CCD"/>
    <w:rsid w:val="28B92E20"/>
    <w:rsid w:val="28B93CEB"/>
    <w:rsid w:val="28BE3C7A"/>
    <w:rsid w:val="28E02A8F"/>
    <w:rsid w:val="28E1683E"/>
    <w:rsid w:val="29125D60"/>
    <w:rsid w:val="292B1C11"/>
    <w:rsid w:val="2960365F"/>
    <w:rsid w:val="29A02DFD"/>
    <w:rsid w:val="29D10A88"/>
    <w:rsid w:val="2A1A3264"/>
    <w:rsid w:val="2A1A46E9"/>
    <w:rsid w:val="2A2A2452"/>
    <w:rsid w:val="2A355B25"/>
    <w:rsid w:val="2A3717F0"/>
    <w:rsid w:val="2A383867"/>
    <w:rsid w:val="2A41096D"/>
    <w:rsid w:val="2A4144C9"/>
    <w:rsid w:val="2A441BE1"/>
    <w:rsid w:val="2A4836B1"/>
    <w:rsid w:val="2A4A0382"/>
    <w:rsid w:val="2A7E55B1"/>
    <w:rsid w:val="2A851BD9"/>
    <w:rsid w:val="2A863893"/>
    <w:rsid w:val="2A932720"/>
    <w:rsid w:val="2AA02867"/>
    <w:rsid w:val="2AB357E7"/>
    <w:rsid w:val="2AB93A74"/>
    <w:rsid w:val="2ABC4498"/>
    <w:rsid w:val="2ABF038A"/>
    <w:rsid w:val="2AC9578D"/>
    <w:rsid w:val="2ACC5C5A"/>
    <w:rsid w:val="2AF04F6E"/>
    <w:rsid w:val="2B000827"/>
    <w:rsid w:val="2B305649"/>
    <w:rsid w:val="2B420288"/>
    <w:rsid w:val="2B421328"/>
    <w:rsid w:val="2B56310A"/>
    <w:rsid w:val="2B5B524A"/>
    <w:rsid w:val="2B641D7F"/>
    <w:rsid w:val="2B674942"/>
    <w:rsid w:val="2B6D3C7A"/>
    <w:rsid w:val="2B786D85"/>
    <w:rsid w:val="2B955445"/>
    <w:rsid w:val="2B98481C"/>
    <w:rsid w:val="2B9B40AD"/>
    <w:rsid w:val="2BB23B01"/>
    <w:rsid w:val="2BB32D41"/>
    <w:rsid w:val="2BC069D0"/>
    <w:rsid w:val="2BC367B8"/>
    <w:rsid w:val="2BE960EF"/>
    <w:rsid w:val="2BF57C61"/>
    <w:rsid w:val="2C071A15"/>
    <w:rsid w:val="2C1B0D4A"/>
    <w:rsid w:val="2C2D3420"/>
    <w:rsid w:val="2C3D09FE"/>
    <w:rsid w:val="2C55425C"/>
    <w:rsid w:val="2C7B4E8C"/>
    <w:rsid w:val="2C8A0D2C"/>
    <w:rsid w:val="2C9446A0"/>
    <w:rsid w:val="2CA04D25"/>
    <w:rsid w:val="2CA45E23"/>
    <w:rsid w:val="2CC75B19"/>
    <w:rsid w:val="2CDF446E"/>
    <w:rsid w:val="2CED77C1"/>
    <w:rsid w:val="2CF617E0"/>
    <w:rsid w:val="2D1537B9"/>
    <w:rsid w:val="2D16631A"/>
    <w:rsid w:val="2D1A08C1"/>
    <w:rsid w:val="2D4C5A5E"/>
    <w:rsid w:val="2D5A4743"/>
    <w:rsid w:val="2D5E5546"/>
    <w:rsid w:val="2D681179"/>
    <w:rsid w:val="2D6F134E"/>
    <w:rsid w:val="2D744BB6"/>
    <w:rsid w:val="2D944CD1"/>
    <w:rsid w:val="2D9B6A06"/>
    <w:rsid w:val="2DBB723B"/>
    <w:rsid w:val="2DC37DF1"/>
    <w:rsid w:val="2DCE0619"/>
    <w:rsid w:val="2DD35AE8"/>
    <w:rsid w:val="2DE64BF5"/>
    <w:rsid w:val="2DE84AF7"/>
    <w:rsid w:val="2E0D173F"/>
    <w:rsid w:val="2E2267BD"/>
    <w:rsid w:val="2E307DB7"/>
    <w:rsid w:val="2E3E5270"/>
    <w:rsid w:val="2E4A5917"/>
    <w:rsid w:val="2E6011D7"/>
    <w:rsid w:val="2E961606"/>
    <w:rsid w:val="2EB116BB"/>
    <w:rsid w:val="2ECD6C74"/>
    <w:rsid w:val="2ED81367"/>
    <w:rsid w:val="2EFE7D6E"/>
    <w:rsid w:val="2F236894"/>
    <w:rsid w:val="2F3A3764"/>
    <w:rsid w:val="2F58679B"/>
    <w:rsid w:val="2F61116A"/>
    <w:rsid w:val="2F89313C"/>
    <w:rsid w:val="2F8A6913"/>
    <w:rsid w:val="2F984ABB"/>
    <w:rsid w:val="2FA71273"/>
    <w:rsid w:val="2FAB0637"/>
    <w:rsid w:val="2FAD1FDF"/>
    <w:rsid w:val="2FC17E5A"/>
    <w:rsid w:val="302C39C4"/>
    <w:rsid w:val="30561692"/>
    <w:rsid w:val="307F4047"/>
    <w:rsid w:val="30AA13BF"/>
    <w:rsid w:val="30BC6FA0"/>
    <w:rsid w:val="30ED32FC"/>
    <w:rsid w:val="30F524B2"/>
    <w:rsid w:val="31195802"/>
    <w:rsid w:val="312A74ED"/>
    <w:rsid w:val="313034EA"/>
    <w:rsid w:val="313533BC"/>
    <w:rsid w:val="313E4759"/>
    <w:rsid w:val="31480833"/>
    <w:rsid w:val="314B1C9B"/>
    <w:rsid w:val="31602DF6"/>
    <w:rsid w:val="31612184"/>
    <w:rsid w:val="3163384A"/>
    <w:rsid w:val="317D0C73"/>
    <w:rsid w:val="318872A5"/>
    <w:rsid w:val="318B24CE"/>
    <w:rsid w:val="31926D16"/>
    <w:rsid w:val="3194218A"/>
    <w:rsid w:val="31A40595"/>
    <w:rsid w:val="31A57943"/>
    <w:rsid w:val="31B444D7"/>
    <w:rsid w:val="31C342A2"/>
    <w:rsid w:val="31D52EAC"/>
    <w:rsid w:val="31F83438"/>
    <w:rsid w:val="31FC5556"/>
    <w:rsid w:val="32170FF5"/>
    <w:rsid w:val="322D0CB7"/>
    <w:rsid w:val="32356B5E"/>
    <w:rsid w:val="324474DF"/>
    <w:rsid w:val="324E226E"/>
    <w:rsid w:val="326B740D"/>
    <w:rsid w:val="32746E3F"/>
    <w:rsid w:val="329A50BF"/>
    <w:rsid w:val="32A61CB5"/>
    <w:rsid w:val="32C1086E"/>
    <w:rsid w:val="32D103B5"/>
    <w:rsid w:val="32D4454C"/>
    <w:rsid w:val="32D9156D"/>
    <w:rsid w:val="32F341BB"/>
    <w:rsid w:val="330001A2"/>
    <w:rsid w:val="330E33B7"/>
    <w:rsid w:val="332130EA"/>
    <w:rsid w:val="332A6927"/>
    <w:rsid w:val="3340183B"/>
    <w:rsid w:val="33434A04"/>
    <w:rsid w:val="334713E7"/>
    <w:rsid w:val="33531246"/>
    <w:rsid w:val="335C0F0C"/>
    <w:rsid w:val="335E433E"/>
    <w:rsid w:val="3363480C"/>
    <w:rsid w:val="338257CE"/>
    <w:rsid w:val="338B39C2"/>
    <w:rsid w:val="33B3536E"/>
    <w:rsid w:val="33CB6B29"/>
    <w:rsid w:val="33D47543"/>
    <w:rsid w:val="33EA3E24"/>
    <w:rsid w:val="33EA4F8B"/>
    <w:rsid w:val="340B2F67"/>
    <w:rsid w:val="341A1198"/>
    <w:rsid w:val="343D2294"/>
    <w:rsid w:val="344A5CAF"/>
    <w:rsid w:val="34627E84"/>
    <w:rsid w:val="346C4843"/>
    <w:rsid w:val="34761B3D"/>
    <w:rsid w:val="347C6980"/>
    <w:rsid w:val="34861646"/>
    <w:rsid w:val="34A07DB6"/>
    <w:rsid w:val="34AE6BFF"/>
    <w:rsid w:val="34C07527"/>
    <w:rsid w:val="34ED2EF3"/>
    <w:rsid w:val="34FB6280"/>
    <w:rsid w:val="35184C6D"/>
    <w:rsid w:val="351E1A52"/>
    <w:rsid w:val="353D1B92"/>
    <w:rsid w:val="35643762"/>
    <w:rsid w:val="356A2C20"/>
    <w:rsid w:val="35773F4E"/>
    <w:rsid w:val="35777939"/>
    <w:rsid w:val="357C4F4F"/>
    <w:rsid w:val="3584155B"/>
    <w:rsid w:val="358B1967"/>
    <w:rsid w:val="35906410"/>
    <w:rsid w:val="35BE61A8"/>
    <w:rsid w:val="35D903FF"/>
    <w:rsid w:val="35DB2555"/>
    <w:rsid w:val="35E1119D"/>
    <w:rsid w:val="35EF609A"/>
    <w:rsid w:val="360E3D96"/>
    <w:rsid w:val="361E3E3A"/>
    <w:rsid w:val="36462289"/>
    <w:rsid w:val="365437D6"/>
    <w:rsid w:val="36657B90"/>
    <w:rsid w:val="368178C2"/>
    <w:rsid w:val="36892FDF"/>
    <w:rsid w:val="36897EB8"/>
    <w:rsid w:val="369301F2"/>
    <w:rsid w:val="369F5F8F"/>
    <w:rsid w:val="36A1205A"/>
    <w:rsid w:val="36A46172"/>
    <w:rsid w:val="36C26364"/>
    <w:rsid w:val="36CD7058"/>
    <w:rsid w:val="36D90673"/>
    <w:rsid w:val="36DA0180"/>
    <w:rsid w:val="36DB7F8A"/>
    <w:rsid w:val="370666E5"/>
    <w:rsid w:val="370E6147"/>
    <w:rsid w:val="373511EA"/>
    <w:rsid w:val="374E3698"/>
    <w:rsid w:val="375111F8"/>
    <w:rsid w:val="375120DE"/>
    <w:rsid w:val="37785578"/>
    <w:rsid w:val="379501B2"/>
    <w:rsid w:val="37A97B52"/>
    <w:rsid w:val="37AB75F3"/>
    <w:rsid w:val="37B02C8E"/>
    <w:rsid w:val="37C4304B"/>
    <w:rsid w:val="37CB5122"/>
    <w:rsid w:val="3818637F"/>
    <w:rsid w:val="38414AE1"/>
    <w:rsid w:val="384F24A7"/>
    <w:rsid w:val="385F1A9D"/>
    <w:rsid w:val="387C0DC3"/>
    <w:rsid w:val="3883540B"/>
    <w:rsid w:val="38910707"/>
    <w:rsid w:val="389712F2"/>
    <w:rsid w:val="38B42B1B"/>
    <w:rsid w:val="38DD3307"/>
    <w:rsid w:val="38EC0F5C"/>
    <w:rsid w:val="38F62BF1"/>
    <w:rsid w:val="390447E4"/>
    <w:rsid w:val="390F1C92"/>
    <w:rsid w:val="39293DB0"/>
    <w:rsid w:val="392C292C"/>
    <w:rsid w:val="3932357B"/>
    <w:rsid w:val="394713D0"/>
    <w:rsid w:val="395444FA"/>
    <w:rsid w:val="39573B48"/>
    <w:rsid w:val="398630C2"/>
    <w:rsid w:val="39945775"/>
    <w:rsid w:val="39A03524"/>
    <w:rsid w:val="39A93E39"/>
    <w:rsid w:val="39B13AE1"/>
    <w:rsid w:val="39D0223F"/>
    <w:rsid w:val="39E83444"/>
    <w:rsid w:val="39E901AB"/>
    <w:rsid w:val="39F36619"/>
    <w:rsid w:val="3A015BD2"/>
    <w:rsid w:val="3A0D284C"/>
    <w:rsid w:val="3A376E72"/>
    <w:rsid w:val="3A433954"/>
    <w:rsid w:val="3A4831EA"/>
    <w:rsid w:val="3A5A3DEC"/>
    <w:rsid w:val="3A5E6443"/>
    <w:rsid w:val="3A5F0C68"/>
    <w:rsid w:val="3A6E01EF"/>
    <w:rsid w:val="3A8D3267"/>
    <w:rsid w:val="3A9622C4"/>
    <w:rsid w:val="3A993EAE"/>
    <w:rsid w:val="3A9A5F88"/>
    <w:rsid w:val="3A9B3EA5"/>
    <w:rsid w:val="3A9E0B45"/>
    <w:rsid w:val="3AD30754"/>
    <w:rsid w:val="3AD31A4B"/>
    <w:rsid w:val="3AD631C7"/>
    <w:rsid w:val="3AD63FAA"/>
    <w:rsid w:val="3AD82BC6"/>
    <w:rsid w:val="3ADD7DDA"/>
    <w:rsid w:val="3AE74C19"/>
    <w:rsid w:val="3AFE2C6B"/>
    <w:rsid w:val="3B176C14"/>
    <w:rsid w:val="3B1866F7"/>
    <w:rsid w:val="3B1952ED"/>
    <w:rsid w:val="3B25014C"/>
    <w:rsid w:val="3B376687"/>
    <w:rsid w:val="3B3E6939"/>
    <w:rsid w:val="3B4E2EEA"/>
    <w:rsid w:val="3B4F12B2"/>
    <w:rsid w:val="3B5E1424"/>
    <w:rsid w:val="3B730A2C"/>
    <w:rsid w:val="3B7A3CDF"/>
    <w:rsid w:val="3B807805"/>
    <w:rsid w:val="3B983E5F"/>
    <w:rsid w:val="3BAE5839"/>
    <w:rsid w:val="3BBF7182"/>
    <w:rsid w:val="3BDB763B"/>
    <w:rsid w:val="3BFB5246"/>
    <w:rsid w:val="3C0A04BB"/>
    <w:rsid w:val="3C3360EC"/>
    <w:rsid w:val="3C3643F9"/>
    <w:rsid w:val="3C452831"/>
    <w:rsid w:val="3C5D17C0"/>
    <w:rsid w:val="3C7057AE"/>
    <w:rsid w:val="3CA53C3A"/>
    <w:rsid w:val="3CA74A0B"/>
    <w:rsid w:val="3CA97F92"/>
    <w:rsid w:val="3CC1259B"/>
    <w:rsid w:val="3CEA08C2"/>
    <w:rsid w:val="3CEA1C78"/>
    <w:rsid w:val="3CEC0EB8"/>
    <w:rsid w:val="3CED228F"/>
    <w:rsid w:val="3CF0119C"/>
    <w:rsid w:val="3D127F47"/>
    <w:rsid w:val="3D251A29"/>
    <w:rsid w:val="3D37642D"/>
    <w:rsid w:val="3D4B442E"/>
    <w:rsid w:val="3D5F13DF"/>
    <w:rsid w:val="3D672756"/>
    <w:rsid w:val="3D6D69CE"/>
    <w:rsid w:val="3D8D5B29"/>
    <w:rsid w:val="3DB13B3B"/>
    <w:rsid w:val="3DC065C6"/>
    <w:rsid w:val="3DC70F93"/>
    <w:rsid w:val="3DDC0B07"/>
    <w:rsid w:val="3DED3DB0"/>
    <w:rsid w:val="3DEF5B24"/>
    <w:rsid w:val="3DF338D5"/>
    <w:rsid w:val="3E01315A"/>
    <w:rsid w:val="3E0169BD"/>
    <w:rsid w:val="3E3D3FF6"/>
    <w:rsid w:val="3E4D1237"/>
    <w:rsid w:val="3E5700F6"/>
    <w:rsid w:val="3E584838"/>
    <w:rsid w:val="3E7B17BF"/>
    <w:rsid w:val="3E9E048A"/>
    <w:rsid w:val="3EA3400F"/>
    <w:rsid w:val="3EB721C8"/>
    <w:rsid w:val="3EC7628C"/>
    <w:rsid w:val="3EDC6A5F"/>
    <w:rsid w:val="3EF472CF"/>
    <w:rsid w:val="3F1477BD"/>
    <w:rsid w:val="3F197280"/>
    <w:rsid w:val="3F217B27"/>
    <w:rsid w:val="3F372FE2"/>
    <w:rsid w:val="3F4B496B"/>
    <w:rsid w:val="3F4B6BB2"/>
    <w:rsid w:val="3F5A6CFB"/>
    <w:rsid w:val="3FA46EF8"/>
    <w:rsid w:val="3FEA02AB"/>
    <w:rsid w:val="3FEC6BE3"/>
    <w:rsid w:val="401A45DC"/>
    <w:rsid w:val="402203F5"/>
    <w:rsid w:val="4028158A"/>
    <w:rsid w:val="402A6773"/>
    <w:rsid w:val="405427A2"/>
    <w:rsid w:val="40574F8A"/>
    <w:rsid w:val="40A47108"/>
    <w:rsid w:val="40AE5034"/>
    <w:rsid w:val="40B35057"/>
    <w:rsid w:val="40B936EE"/>
    <w:rsid w:val="40BC6B48"/>
    <w:rsid w:val="410D1B59"/>
    <w:rsid w:val="41303C39"/>
    <w:rsid w:val="41364AA2"/>
    <w:rsid w:val="413766D8"/>
    <w:rsid w:val="41436921"/>
    <w:rsid w:val="41486006"/>
    <w:rsid w:val="414A5704"/>
    <w:rsid w:val="414F74CB"/>
    <w:rsid w:val="41507DFE"/>
    <w:rsid w:val="415B6654"/>
    <w:rsid w:val="41636FFF"/>
    <w:rsid w:val="41662EBF"/>
    <w:rsid w:val="416745BC"/>
    <w:rsid w:val="417C2EE6"/>
    <w:rsid w:val="418D41A3"/>
    <w:rsid w:val="41BB761A"/>
    <w:rsid w:val="41CC7416"/>
    <w:rsid w:val="41D10E44"/>
    <w:rsid w:val="41D12A32"/>
    <w:rsid w:val="41D301C3"/>
    <w:rsid w:val="41D623AF"/>
    <w:rsid w:val="41E62FB4"/>
    <w:rsid w:val="41EA7903"/>
    <w:rsid w:val="41F6377C"/>
    <w:rsid w:val="41F67CB0"/>
    <w:rsid w:val="41F8370A"/>
    <w:rsid w:val="420B66EE"/>
    <w:rsid w:val="42170C1E"/>
    <w:rsid w:val="42254279"/>
    <w:rsid w:val="422F49B3"/>
    <w:rsid w:val="4230334A"/>
    <w:rsid w:val="423767ED"/>
    <w:rsid w:val="424B6BAB"/>
    <w:rsid w:val="426E68C9"/>
    <w:rsid w:val="427D5F12"/>
    <w:rsid w:val="42802614"/>
    <w:rsid w:val="42A15733"/>
    <w:rsid w:val="42AE5ABE"/>
    <w:rsid w:val="42B01704"/>
    <w:rsid w:val="42BA70B7"/>
    <w:rsid w:val="42CC4106"/>
    <w:rsid w:val="42D22B67"/>
    <w:rsid w:val="42DB59FF"/>
    <w:rsid w:val="42DC0E76"/>
    <w:rsid w:val="42E92879"/>
    <w:rsid w:val="42EA23E3"/>
    <w:rsid w:val="42EC69CA"/>
    <w:rsid w:val="42F475E3"/>
    <w:rsid w:val="42FB4A28"/>
    <w:rsid w:val="431F1AE3"/>
    <w:rsid w:val="43220D06"/>
    <w:rsid w:val="432F13A9"/>
    <w:rsid w:val="433858A5"/>
    <w:rsid w:val="43527105"/>
    <w:rsid w:val="436D4954"/>
    <w:rsid w:val="438753A5"/>
    <w:rsid w:val="43891048"/>
    <w:rsid w:val="43920E07"/>
    <w:rsid w:val="43951B04"/>
    <w:rsid w:val="43A24887"/>
    <w:rsid w:val="43AA0EDA"/>
    <w:rsid w:val="43E72CA9"/>
    <w:rsid w:val="43F715ED"/>
    <w:rsid w:val="44000E21"/>
    <w:rsid w:val="440D15A1"/>
    <w:rsid w:val="44394188"/>
    <w:rsid w:val="444B4C5F"/>
    <w:rsid w:val="44623562"/>
    <w:rsid w:val="44655A6C"/>
    <w:rsid w:val="4467168F"/>
    <w:rsid w:val="44766B6D"/>
    <w:rsid w:val="447E15BF"/>
    <w:rsid w:val="44864A89"/>
    <w:rsid w:val="448F50C0"/>
    <w:rsid w:val="44984355"/>
    <w:rsid w:val="449E046C"/>
    <w:rsid w:val="44A8226D"/>
    <w:rsid w:val="44AA08C6"/>
    <w:rsid w:val="44AF57BC"/>
    <w:rsid w:val="44EF4A70"/>
    <w:rsid w:val="451E064E"/>
    <w:rsid w:val="452364C9"/>
    <w:rsid w:val="45342FB5"/>
    <w:rsid w:val="454C0370"/>
    <w:rsid w:val="4550153F"/>
    <w:rsid w:val="455A248C"/>
    <w:rsid w:val="45631ACD"/>
    <w:rsid w:val="45660998"/>
    <w:rsid w:val="45765517"/>
    <w:rsid w:val="4585213C"/>
    <w:rsid w:val="458B3F95"/>
    <w:rsid w:val="45AA2F38"/>
    <w:rsid w:val="45CF1BC3"/>
    <w:rsid w:val="45DC3D7A"/>
    <w:rsid w:val="45E5269D"/>
    <w:rsid w:val="4601483F"/>
    <w:rsid w:val="46025A85"/>
    <w:rsid w:val="461A266E"/>
    <w:rsid w:val="462E5DF2"/>
    <w:rsid w:val="465530CB"/>
    <w:rsid w:val="465C6807"/>
    <w:rsid w:val="46760020"/>
    <w:rsid w:val="467C4143"/>
    <w:rsid w:val="46945277"/>
    <w:rsid w:val="46982676"/>
    <w:rsid w:val="46A0105D"/>
    <w:rsid w:val="46A7659A"/>
    <w:rsid w:val="46B06807"/>
    <w:rsid w:val="47024B89"/>
    <w:rsid w:val="4710374A"/>
    <w:rsid w:val="4722388C"/>
    <w:rsid w:val="47370E22"/>
    <w:rsid w:val="474B4C0A"/>
    <w:rsid w:val="47630D4C"/>
    <w:rsid w:val="476A5FE9"/>
    <w:rsid w:val="477041E8"/>
    <w:rsid w:val="4790205D"/>
    <w:rsid w:val="479804CC"/>
    <w:rsid w:val="47A35D49"/>
    <w:rsid w:val="47A4273C"/>
    <w:rsid w:val="47B75E90"/>
    <w:rsid w:val="47C529A4"/>
    <w:rsid w:val="48066D69"/>
    <w:rsid w:val="48082BD4"/>
    <w:rsid w:val="482374AD"/>
    <w:rsid w:val="483319A6"/>
    <w:rsid w:val="483413B6"/>
    <w:rsid w:val="48383932"/>
    <w:rsid w:val="483F377D"/>
    <w:rsid w:val="48490A61"/>
    <w:rsid w:val="485F652A"/>
    <w:rsid w:val="48700F0D"/>
    <w:rsid w:val="4876346A"/>
    <w:rsid w:val="487657D6"/>
    <w:rsid w:val="487B2340"/>
    <w:rsid w:val="4880422B"/>
    <w:rsid w:val="489D2DBB"/>
    <w:rsid w:val="48B16866"/>
    <w:rsid w:val="48D664FA"/>
    <w:rsid w:val="49001E86"/>
    <w:rsid w:val="49081412"/>
    <w:rsid w:val="49262DB0"/>
    <w:rsid w:val="492A223F"/>
    <w:rsid w:val="493279A7"/>
    <w:rsid w:val="494030A4"/>
    <w:rsid w:val="49500C1A"/>
    <w:rsid w:val="495B1646"/>
    <w:rsid w:val="496D50BB"/>
    <w:rsid w:val="498E1308"/>
    <w:rsid w:val="49953FD2"/>
    <w:rsid w:val="49A67FEA"/>
    <w:rsid w:val="49AA39E1"/>
    <w:rsid w:val="49AA4032"/>
    <w:rsid w:val="49B42357"/>
    <w:rsid w:val="49C16F7D"/>
    <w:rsid w:val="49CC282C"/>
    <w:rsid w:val="49D14C7B"/>
    <w:rsid w:val="49D46724"/>
    <w:rsid w:val="49DC5B65"/>
    <w:rsid w:val="49ED7A5F"/>
    <w:rsid w:val="49F1378E"/>
    <w:rsid w:val="49F509D5"/>
    <w:rsid w:val="49F64E88"/>
    <w:rsid w:val="4A442DE8"/>
    <w:rsid w:val="4A4A6F73"/>
    <w:rsid w:val="4A4C3C76"/>
    <w:rsid w:val="4A582F08"/>
    <w:rsid w:val="4A5C19ED"/>
    <w:rsid w:val="4A713EF7"/>
    <w:rsid w:val="4A71669A"/>
    <w:rsid w:val="4A836030"/>
    <w:rsid w:val="4A91694F"/>
    <w:rsid w:val="4A990DB8"/>
    <w:rsid w:val="4AB30EDE"/>
    <w:rsid w:val="4ABA019F"/>
    <w:rsid w:val="4AD772CA"/>
    <w:rsid w:val="4ADB7BCB"/>
    <w:rsid w:val="4AE87797"/>
    <w:rsid w:val="4AF92654"/>
    <w:rsid w:val="4B140282"/>
    <w:rsid w:val="4B341F77"/>
    <w:rsid w:val="4B536B77"/>
    <w:rsid w:val="4B7324F9"/>
    <w:rsid w:val="4B762FA5"/>
    <w:rsid w:val="4B7D207A"/>
    <w:rsid w:val="4B875EB6"/>
    <w:rsid w:val="4B8D42B7"/>
    <w:rsid w:val="4BAB533E"/>
    <w:rsid w:val="4BC63073"/>
    <w:rsid w:val="4BE96317"/>
    <w:rsid w:val="4C3D761E"/>
    <w:rsid w:val="4C416153"/>
    <w:rsid w:val="4C5621CF"/>
    <w:rsid w:val="4C7D1FFD"/>
    <w:rsid w:val="4C7E4E04"/>
    <w:rsid w:val="4C7E75E5"/>
    <w:rsid w:val="4C8A275C"/>
    <w:rsid w:val="4C8B0032"/>
    <w:rsid w:val="4C904C1A"/>
    <w:rsid w:val="4CA74208"/>
    <w:rsid w:val="4CB37051"/>
    <w:rsid w:val="4CB5235D"/>
    <w:rsid w:val="4CCA7F5B"/>
    <w:rsid w:val="4CD77BE9"/>
    <w:rsid w:val="4CE938F8"/>
    <w:rsid w:val="4CF5763E"/>
    <w:rsid w:val="4D1819AE"/>
    <w:rsid w:val="4D1E7969"/>
    <w:rsid w:val="4D1F41F5"/>
    <w:rsid w:val="4D2A0882"/>
    <w:rsid w:val="4D3F7CBF"/>
    <w:rsid w:val="4D6F1F52"/>
    <w:rsid w:val="4D8C1650"/>
    <w:rsid w:val="4DA65831"/>
    <w:rsid w:val="4DA8651E"/>
    <w:rsid w:val="4DAB5F7A"/>
    <w:rsid w:val="4DB41F2C"/>
    <w:rsid w:val="4DBA61BD"/>
    <w:rsid w:val="4DBD01E1"/>
    <w:rsid w:val="4DC46301"/>
    <w:rsid w:val="4DCB331F"/>
    <w:rsid w:val="4DCD6596"/>
    <w:rsid w:val="4DF71CA3"/>
    <w:rsid w:val="4DF807D9"/>
    <w:rsid w:val="4DFE3CC8"/>
    <w:rsid w:val="4E1230AB"/>
    <w:rsid w:val="4E151227"/>
    <w:rsid w:val="4E4B32B9"/>
    <w:rsid w:val="4E4E418E"/>
    <w:rsid w:val="4E7B208C"/>
    <w:rsid w:val="4E8167AD"/>
    <w:rsid w:val="4EA902EC"/>
    <w:rsid w:val="4ED44C8F"/>
    <w:rsid w:val="4F0A7123"/>
    <w:rsid w:val="4F2A3762"/>
    <w:rsid w:val="4F2E0DB1"/>
    <w:rsid w:val="4F3A75B6"/>
    <w:rsid w:val="4F686F94"/>
    <w:rsid w:val="4F802128"/>
    <w:rsid w:val="4F90653F"/>
    <w:rsid w:val="4FAD44DF"/>
    <w:rsid w:val="4FD41C1D"/>
    <w:rsid w:val="4FD64C5B"/>
    <w:rsid w:val="4FE30C63"/>
    <w:rsid w:val="4FED2322"/>
    <w:rsid w:val="4FFD53C6"/>
    <w:rsid w:val="4FFE7E2F"/>
    <w:rsid w:val="500B7593"/>
    <w:rsid w:val="501040B3"/>
    <w:rsid w:val="50120532"/>
    <w:rsid w:val="50321789"/>
    <w:rsid w:val="50353485"/>
    <w:rsid w:val="503D1B16"/>
    <w:rsid w:val="506D7517"/>
    <w:rsid w:val="508E47DC"/>
    <w:rsid w:val="50970A38"/>
    <w:rsid w:val="50A41AD5"/>
    <w:rsid w:val="50AE3F83"/>
    <w:rsid w:val="50CF7A4B"/>
    <w:rsid w:val="50E92709"/>
    <w:rsid w:val="510065DD"/>
    <w:rsid w:val="51030026"/>
    <w:rsid w:val="51064DEA"/>
    <w:rsid w:val="510C4F82"/>
    <w:rsid w:val="5123342E"/>
    <w:rsid w:val="512C5624"/>
    <w:rsid w:val="512F7738"/>
    <w:rsid w:val="51354115"/>
    <w:rsid w:val="5137564E"/>
    <w:rsid w:val="514E0A72"/>
    <w:rsid w:val="51576FE4"/>
    <w:rsid w:val="515D0EE9"/>
    <w:rsid w:val="5173793E"/>
    <w:rsid w:val="517C5281"/>
    <w:rsid w:val="518B40E7"/>
    <w:rsid w:val="518E3BE9"/>
    <w:rsid w:val="519F488C"/>
    <w:rsid w:val="51C5493F"/>
    <w:rsid w:val="51C969CF"/>
    <w:rsid w:val="51EC265D"/>
    <w:rsid w:val="520713EF"/>
    <w:rsid w:val="520923F4"/>
    <w:rsid w:val="52144AB5"/>
    <w:rsid w:val="52214A5D"/>
    <w:rsid w:val="5222282D"/>
    <w:rsid w:val="52302A27"/>
    <w:rsid w:val="52324AB8"/>
    <w:rsid w:val="524D48C9"/>
    <w:rsid w:val="52547F54"/>
    <w:rsid w:val="525A311A"/>
    <w:rsid w:val="526957D2"/>
    <w:rsid w:val="527833CA"/>
    <w:rsid w:val="527F07B8"/>
    <w:rsid w:val="529A6D62"/>
    <w:rsid w:val="529D4EC7"/>
    <w:rsid w:val="529E7DC9"/>
    <w:rsid w:val="52A1157D"/>
    <w:rsid w:val="52E00474"/>
    <w:rsid w:val="52E812BE"/>
    <w:rsid w:val="53033126"/>
    <w:rsid w:val="5306295B"/>
    <w:rsid w:val="530B2D71"/>
    <w:rsid w:val="530B5DAD"/>
    <w:rsid w:val="53110619"/>
    <w:rsid w:val="532452B2"/>
    <w:rsid w:val="53300208"/>
    <w:rsid w:val="5345477B"/>
    <w:rsid w:val="535B4CF0"/>
    <w:rsid w:val="535F52BB"/>
    <w:rsid w:val="53693CDD"/>
    <w:rsid w:val="538006C3"/>
    <w:rsid w:val="538B06C2"/>
    <w:rsid w:val="53B05F43"/>
    <w:rsid w:val="53BA08AE"/>
    <w:rsid w:val="53BC278B"/>
    <w:rsid w:val="53DF24DA"/>
    <w:rsid w:val="5400093A"/>
    <w:rsid w:val="541A1B62"/>
    <w:rsid w:val="54387BD1"/>
    <w:rsid w:val="543B6670"/>
    <w:rsid w:val="543E150A"/>
    <w:rsid w:val="545F5524"/>
    <w:rsid w:val="546B0211"/>
    <w:rsid w:val="54760CFA"/>
    <w:rsid w:val="547747B8"/>
    <w:rsid w:val="547F24EC"/>
    <w:rsid w:val="54AA6F8B"/>
    <w:rsid w:val="54D538DD"/>
    <w:rsid w:val="54E164AC"/>
    <w:rsid w:val="55012924"/>
    <w:rsid w:val="551B6B41"/>
    <w:rsid w:val="55230827"/>
    <w:rsid w:val="55411377"/>
    <w:rsid w:val="55855303"/>
    <w:rsid w:val="55992746"/>
    <w:rsid w:val="55A15285"/>
    <w:rsid w:val="55A96275"/>
    <w:rsid w:val="55BD684B"/>
    <w:rsid w:val="55C15F9E"/>
    <w:rsid w:val="55EC5061"/>
    <w:rsid w:val="56063D5E"/>
    <w:rsid w:val="561A0428"/>
    <w:rsid w:val="561F5757"/>
    <w:rsid w:val="5625421C"/>
    <w:rsid w:val="5629339A"/>
    <w:rsid w:val="563034C0"/>
    <w:rsid w:val="564306A0"/>
    <w:rsid w:val="564E3912"/>
    <w:rsid w:val="56542B2C"/>
    <w:rsid w:val="565B2641"/>
    <w:rsid w:val="56783F58"/>
    <w:rsid w:val="569B59A6"/>
    <w:rsid w:val="56AC02FC"/>
    <w:rsid w:val="56BF65F2"/>
    <w:rsid w:val="56CE6835"/>
    <w:rsid w:val="56EC1920"/>
    <w:rsid w:val="56F73FDE"/>
    <w:rsid w:val="57003958"/>
    <w:rsid w:val="570B0F42"/>
    <w:rsid w:val="57132F95"/>
    <w:rsid w:val="5717642E"/>
    <w:rsid w:val="572664EB"/>
    <w:rsid w:val="572D4E3F"/>
    <w:rsid w:val="572D56F6"/>
    <w:rsid w:val="5732287F"/>
    <w:rsid w:val="57606393"/>
    <w:rsid w:val="5765719A"/>
    <w:rsid w:val="57733E7E"/>
    <w:rsid w:val="57831D16"/>
    <w:rsid w:val="578810DA"/>
    <w:rsid w:val="57894A0E"/>
    <w:rsid w:val="57A6492F"/>
    <w:rsid w:val="57A71560"/>
    <w:rsid w:val="57BF2D4E"/>
    <w:rsid w:val="57C02302"/>
    <w:rsid w:val="57C63600"/>
    <w:rsid w:val="57C87053"/>
    <w:rsid w:val="57E4643B"/>
    <w:rsid w:val="57E8417C"/>
    <w:rsid w:val="57F06DD9"/>
    <w:rsid w:val="581D479D"/>
    <w:rsid w:val="58315DB1"/>
    <w:rsid w:val="583A23D4"/>
    <w:rsid w:val="58430210"/>
    <w:rsid w:val="585838C1"/>
    <w:rsid w:val="5863214C"/>
    <w:rsid w:val="58704048"/>
    <w:rsid w:val="587040B4"/>
    <w:rsid w:val="58717162"/>
    <w:rsid w:val="58857496"/>
    <w:rsid w:val="588F5D7E"/>
    <w:rsid w:val="58B96227"/>
    <w:rsid w:val="58C6010C"/>
    <w:rsid w:val="58ED44C3"/>
    <w:rsid w:val="58F00CE5"/>
    <w:rsid w:val="59024877"/>
    <w:rsid w:val="5939268C"/>
    <w:rsid w:val="593F5822"/>
    <w:rsid w:val="594B20C2"/>
    <w:rsid w:val="59647B33"/>
    <w:rsid w:val="596C7E01"/>
    <w:rsid w:val="596F18FE"/>
    <w:rsid w:val="59741916"/>
    <w:rsid w:val="597B5739"/>
    <w:rsid w:val="597F1615"/>
    <w:rsid w:val="59801346"/>
    <w:rsid w:val="59914276"/>
    <w:rsid w:val="59A246D5"/>
    <w:rsid w:val="59AE7800"/>
    <w:rsid w:val="59B158D6"/>
    <w:rsid w:val="59B6154D"/>
    <w:rsid w:val="59D25232"/>
    <w:rsid w:val="59D2668C"/>
    <w:rsid w:val="59DC43D8"/>
    <w:rsid w:val="59EF609B"/>
    <w:rsid w:val="5A270225"/>
    <w:rsid w:val="5A317807"/>
    <w:rsid w:val="5A3572F7"/>
    <w:rsid w:val="5A400973"/>
    <w:rsid w:val="5A6139B8"/>
    <w:rsid w:val="5A641845"/>
    <w:rsid w:val="5A6C1C98"/>
    <w:rsid w:val="5A7F451A"/>
    <w:rsid w:val="5A8E70C9"/>
    <w:rsid w:val="5A9A799F"/>
    <w:rsid w:val="5AA549B2"/>
    <w:rsid w:val="5AD84127"/>
    <w:rsid w:val="5ADC7386"/>
    <w:rsid w:val="5AEB20AC"/>
    <w:rsid w:val="5B207E02"/>
    <w:rsid w:val="5B231846"/>
    <w:rsid w:val="5B3B7DF9"/>
    <w:rsid w:val="5B413A7A"/>
    <w:rsid w:val="5B5104F9"/>
    <w:rsid w:val="5B5D0855"/>
    <w:rsid w:val="5B604085"/>
    <w:rsid w:val="5B6674A3"/>
    <w:rsid w:val="5B6B6D49"/>
    <w:rsid w:val="5B7764CD"/>
    <w:rsid w:val="5B784986"/>
    <w:rsid w:val="5B817F90"/>
    <w:rsid w:val="5B9118FE"/>
    <w:rsid w:val="5BAC4E3A"/>
    <w:rsid w:val="5BB1170A"/>
    <w:rsid w:val="5BB20871"/>
    <w:rsid w:val="5BBD471D"/>
    <w:rsid w:val="5BC87CA3"/>
    <w:rsid w:val="5BE21C71"/>
    <w:rsid w:val="5C012B8C"/>
    <w:rsid w:val="5C0E1789"/>
    <w:rsid w:val="5C362AF4"/>
    <w:rsid w:val="5C3E4720"/>
    <w:rsid w:val="5C526BB4"/>
    <w:rsid w:val="5C615D0C"/>
    <w:rsid w:val="5C694A3B"/>
    <w:rsid w:val="5C9B09C7"/>
    <w:rsid w:val="5CC85BD5"/>
    <w:rsid w:val="5CDC5954"/>
    <w:rsid w:val="5CE018DD"/>
    <w:rsid w:val="5CE714C9"/>
    <w:rsid w:val="5CFC62EF"/>
    <w:rsid w:val="5D186A5C"/>
    <w:rsid w:val="5D1B01A7"/>
    <w:rsid w:val="5D503C8D"/>
    <w:rsid w:val="5D5B7D4A"/>
    <w:rsid w:val="5D8D744A"/>
    <w:rsid w:val="5DA41EC2"/>
    <w:rsid w:val="5DB554E1"/>
    <w:rsid w:val="5E074110"/>
    <w:rsid w:val="5E084769"/>
    <w:rsid w:val="5E0B0171"/>
    <w:rsid w:val="5E123848"/>
    <w:rsid w:val="5E477499"/>
    <w:rsid w:val="5E60690D"/>
    <w:rsid w:val="5E6200F2"/>
    <w:rsid w:val="5E795C4D"/>
    <w:rsid w:val="5E8E1E7B"/>
    <w:rsid w:val="5E933865"/>
    <w:rsid w:val="5E9D308B"/>
    <w:rsid w:val="5EAB1F71"/>
    <w:rsid w:val="5EB1181D"/>
    <w:rsid w:val="5EC52109"/>
    <w:rsid w:val="5EDC6635"/>
    <w:rsid w:val="5EDF242A"/>
    <w:rsid w:val="5EEC4CC9"/>
    <w:rsid w:val="5EF03EB9"/>
    <w:rsid w:val="5EF85E29"/>
    <w:rsid w:val="5EFC424F"/>
    <w:rsid w:val="5F0861B2"/>
    <w:rsid w:val="5F0932AE"/>
    <w:rsid w:val="5F0C62EC"/>
    <w:rsid w:val="5F1C2834"/>
    <w:rsid w:val="5F2142EE"/>
    <w:rsid w:val="5F3062DF"/>
    <w:rsid w:val="5F387DD8"/>
    <w:rsid w:val="5F610F9A"/>
    <w:rsid w:val="5F6601DC"/>
    <w:rsid w:val="5F706225"/>
    <w:rsid w:val="5F712D16"/>
    <w:rsid w:val="5F812FDF"/>
    <w:rsid w:val="5F925D02"/>
    <w:rsid w:val="5FA6205D"/>
    <w:rsid w:val="5FB477AB"/>
    <w:rsid w:val="5FBD7E8C"/>
    <w:rsid w:val="5FC00571"/>
    <w:rsid w:val="5FC72CEE"/>
    <w:rsid w:val="5FC97B37"/>
    <w:rsid w:val="5FE17054"/>
    <w:rsid w:val="5FF04AF3"/>
    <w:rsid w:val="602A655E"/>
    <w:rsid w:val="602C20DD"/>
    <w:rsid w:val="6039156C"/>
    <w:rsid w:val="60397415"/>
    <w:rsid w:val="60442474"/>
    <w:rsid w:val="60452D1D"/>
    <w:rsid w:val="604D1429"/>
    <w:rsid w:val="60932FCA"/>
    <w:rsid w:val="60A42833"/>
    <w:rsid w:val="60B12374"/>
    <w:rsid w:val="60B12B22"/>
    <w:rsid w:val="60B8658C"/>
    <w:rsid w:val="60CB5CDD"/>
    <w:rsid w:val="60CD1661"/>
    <w:rsid w:val="60E7163C"/>
    <w:rsid w:val="611C7D9F"/>
    <w:rsid w:val="61224919"/>
    <w:rsid w:val="61314591"/>
    <w:rsid w:val="61565DA5"/>
    <w:rsid w:val="615A5895"/>
    <w:rsid w:val="61623A9A"/>
    <w:rsid w:val="61700C15"/>
    <w:rsid w:val="617519E8"/>
    <w:rsid w:val="618A7FBC"/>
    <w:rsid w:val="61B42655"/>
    <w:rsid w:val="61DE2022"/>
    <w:rsid w:val="61EB04E9"/>
    <w:rsid w:val="620A1069"/>
    <w:rsid w:val="621E68C3"/>
    <w:rsid w:val="622F4266"/>
    <w:rsid w:val="62462A72"/>
    <w:rsid w:val="6259166C"/>
    <w:rsid w:val="625E4FBF"/>
    <w:rsid w:val="62793B49"/>
    <w:rsid w:val="62846CDE"/>
    <w:rsid w:val="62B22A23"/>
    <w:rsid w:val="62B95A2A"/>
    <w:rsid w:val="62E55EDB"/>
    <w:rsid w:val="62EA6460"/>
    <w:rsid w:val="63030F14"/>
    <w:rsid w:val="630E6937"/>
    <w:rsid w:val="6311467A"/>
    <w:rsid w:val="63161C90"/>
    <w:rsid w:val="63257F98"/>
    <w:rsid w:val="633839B4"/>
    <w:rsid w:val="634F2183"/>
    <w:rsid w:val="63607EDD"/>
    <w:rsid w:val="636440AD"/>
    <w:rsid w:val="637C0957"/>
    <w:rsid w:val="63806113"/>
    <w:rsid w:val="638306D0"/>
    <w:rsid w:val="63942F1D"/>
    <w:rsid w:val="639A2F94"/>
    <w:rsid w:val="639C4AC6"/>
    <w:rsid w:val="63D26110"/>
    <w:rsid w:val="63D57637"/>
    <w:rsid w:val="63DE49A4"/>
    <w:rsid w:val="63E477B4"/>
    <w:rsid w:val="63E57DDF"/>
    <w:rsid w:val="63ED6827"/>
    <w:rsid w:val="63F83144"/>
    <w:rsid w:val="642E1717"/>
    <w:rsid w:val="6437274E"/>
    <w:rsid w:val="643C74D4"/>
    <w:rsid w:val="6453132F"/>
    <w:rsid w:val="6470710A"/>
    <w:rsid w:val="649B6252"/>
    <w:rsid w:val="64A036C7"/>
    <w:rsid w:val="64A4397A"/>
    <w:rsid w:val="64C22BED"/>
    <w:rsid w:val="64D82908"/>
    <w:rsid w:val="64D91523"/>
    <w:rsid w:val="64DB2E27"/>
    <w:rsid w:val="64DD0CB7"/>
    <w:rsid w:val="64EC5F80"/>
    <w:rsid w:val="64FE322C"/>
    <w:rsid w:val="65122A16"/>
    <w:rsid w:val="6514280C"/>
    <w:rsid w:val="65143FAD"/>
    <w:rsid w:val="653E5C84"/>
    <w:rsid w:val="653F727C"/>
    <w:rsid w:val="654B1ECF"/>
    <w:rsid w:val="654D6C3E"/>
    <w:rsid w:val="65585BAA"/>
    <w:rsid w:val="656E52FB"/>
    <w:rsid w:val="65705687"/>
    <w:rsid w:val="65851F22"/>
    <w:rsid w:val="658D680B"/>
    <w:rsid w:val="659D4F99"/>
    <w:rsid w:val="65A12770"/>
    <w:rsid w:val="65D9161D"/>
    <w:rsid w:val="65F60066"/>
    <w:rsid w:val="66035B03"/>
    <w:rsid w:val="661462F7"/>
    <w:rsid w:val="66150AEC"/>
    <w:rsid w:val="662C033D"/>
    <w:rsid w:val="6650158D"/>
    <w:rsid w:val="665A22F4"/>
    <w:rsid w:val="666F5A8E"/>
    <w:rsid w:val="667D14DA"/>
    <w:rsid w:val="668B5CC3"/>
    <w:rsid w:val="66D238E8"/>
    <w:rsid w:val="66E30E48"/>
    <w:rsid w:val="66F61BBC"/>
    <w:rsid w:val="67010AE3"/>
    <w:rsid w:val="67251571"/>
    <w:rsid w:val="67322B5A"/>
    <w:rsid w:val="67412446"/>
    <w:rsid w:val="6741309B"/>
    <w:rsid w:val="675A62B4"/>
    <w:rsid w:val="67713939"/>
    <w:rsid w:val="67817451"/>
    <w:rsid w:val="6783286B"/>
    <w:rsid w:val="678A5539"/>
    <w:rsid w:val="6794124F"/>
    <w:rsid w:val="679E7E8D"/>
    <w:rsid w:val="67C373D8"/>
    <w:rsid w:val="67C6316E"/>
    <w:rsid w:val="67EE40CD"/>
    <w:rsid w:val="67F035BE"/>
    <w:rsid w:val="68002120"/>
    <w:rsid w:val="68183231"/>
    <w:rsid w:val="684E5A28"/>
    <w:rsid w:val="68596801"/>
    <w:rsid w:val="687112E4"/>
    <w:rsid w:val="68811569"/>
    <w:rsid w:val="688D5AAB"/>
    <w:rsid w:val="6897117D"/>
    <w:rsid w:val="689F47D3"/>
    <w:rsid w:val="68B64DE1"/>
    <w:rsid w:val="68E814B4"/>
    <w:rsid w:val="68EA0367"/>
    <w:rsid w:val="68F91EAB"/>
    <w:rsid w:val="69071751"/>
    <w:rsid w:val="690F3409"/>
    <w:rsid w:val="69121E3A"/>
    <w:rsid w:val="69154D60"/>
    <w:rsid w:val="691F4D9F"/>
    <w:rsid w:val="69206401"/>
    <w:rsid w:val="692430D7"/>
    <w:rsid w:val="693879CC"/>
    <w:rsid w:val="693E71F2"/>
    <w:rsid w:val="694859D6"/>
    <w:rsid w:val="694A6DBA"/>
    <w:rsid w:val="6968596A"/>
    <w:rsid w:val="69723EB6"/>
    <w:rsid w:val="697374ED"/>
    <w:rsid w:val="697913F7"/>
    <w:rsid w:val="699954C4"/>
    <w:rsid w:val="699D36D6"/>
    <w:rsid w:val="699E4CF1"/>
    <w:rsid w:val="69A7578F"/>
    <w:rsid w:val="69AF73BD"/>
    <w:rsid w:val="69B779BF"/>
    <w:rsid w:val="69C21B11"/>
    <w:rsid w:val="69C53AC8"/>
    <w:rsid w:val="69CA6B62"/>
    <w:rsid w:val="69CD7FDE"/>
    <w:rsid w:val="69E017FD"/>
    <w:rsid w:val="69F06D97"/>
    <w:rsid w:val="69F83779"/>
    <w:rsid w:val="6A07214F"/>
    <w:rsid w:val="6A097C8B"/>
    <w:rsid w:val="6A2E2210"/>
    <w:rsid w:val="6A2F7723"/>
    <w:rsid w:val="6A3F387A"/>
    <w:rsid w:val="6A797BB0"/>
    <w:rsid w:val="6A7A0D56"/>
    <w:rsid w:val="6A7E510F"/>
    <w:rsid w:val="6A845731"/>
    <w:rsid w:val="6A9F44B9"/>
    <w:rsid w:val="6AA10091"/>
    <w:rsid w:val="6AA61B4B"/>
    <w:rsid w:val="6AB5342E"/>
    <w:rsid w:val="6ADB2F03"/>
    <w:rsid w:val="6ADF496C"/>
    <w:rsid w:val="6AE2354A"/>
    <w:rsid w:val="6AEB5722"/>
    <w:rsid w:val="6AF1795F"/>
    <w:rsid w:val="6AF8649D"/>
    <w:rsid w:val="6AFB24CA"/>
    <w:rsid w:val="6AFE1987"/>
    <w:rsid w:val="6AFF2463"/>
    <w:rsid w:val="6B0542A1"/>
    <w:rsid w:val="6B0874EA"/>
    <w:rsid w:val="6B1F10AD"/>
    <w:rsid w:val="6B22477C"/>
    <w:rsid w:val="6B320A31"/>
    <w:rsid w:val="6B3555BC"/>
    <w:rsid w:val="6B43771B"/>
    <w:rsid w:val="6B491DA4"/>
    <w:rsid w:val="6B594672"/>
    <w:rsid w:val="6B5D28FD"/>
    <w:rsid w:val="6B5E4D2E"/>
    <w:rsid w:val="6B8974A3"/>
    <w:rsid w:val="6B8C6026"/>
    <w:rsid w:val="6BA77929"/>
    <w:rsid w:val="6BA81B12"/>
    <w:rsid w:val="6BB05F5F"/>
    <w:rsid w:val="6BE116D3"/>
    <w:rsid w:val="6BE84004"/>
    <w:rsid w:val="6C104DE4"/>
    <w:rsid w:val="6C117498"/>
    <w:rsid w:val="6C2A7865"/>
    <w:rsid w:val="6C2E1DF8"/>
    <w:rsid w:val="6C620EF9"/>
    <w:rsid w:val="6C627CF4"/>
    <w:rsid w:val="6C6A54FD"/>
    <w:rsid w:val="6C730D81"/>
    <w:rsid w:val="6C950FE9"/>
    <w:rsid w:val="6CF6746A"/>
    <w:rsid w:val="6D0E1C7F"/>
    <w:rsid w:val="6D127D3D"/>
    <w:rsid w:val="6D1A412B"/>
    <w:rsid w:val="6D2D03F9"/>
    <w:rsid w:val="6D464F20"/>
    <w:rsid w:val="6D700C91"/>
    <w:rsid w:val="6D8538A3"/>
    <w:rsid w:val="6D94212F"/>
    <w:rsid w:val="6D995C5A"/>
    <w:rsid w:val="6D9E588E"/>
    <w:rsid w:val="6DA94262"/>
    <w:rsid w:val="6DB70CB4"/>
    <w:rsid w:val="6DBD5A44"/>
    <w:rsid w:val="6DD163E6"/>
    <w:rsid w:val="6DD931CD"/>
    <w:rsid w:val="6DDB7D5E"/>
    <w:rsid w:val="6DDD5884"/>
    <w:rsid w:val="6E054D8C"/>
    <w:rsid w:val="6E094352"/>
    <w:rsid w:val="6E0A2C2C"/>
    <w:rsid w:val="6E1120F1"/>
    <w:rsid w:val="6E135B2D"/>
    <w:rsid w:val="6E2F1FF3"/>
    <w:rsid w:val="6E361E1A"/>
    <w:rsid w:val="6E3631E6"/>
    <w:rsid w:val="6E4B50D7"/>
    <w:rsid w:val="6E573888"/>
    <w:rsid w:val="6E5864AC"/>
    <w:rsid w:val="6E600263"/>
    <w:rsid w:val="6E7579F1"/>
    <w:rsid w:val="6E796191"/>
    <w:rsid w:val="6E92195E"/>
    <w:rsid w:val="6E9D66DB"/>
    <w:rsid w:val="6EB74327"/>
    <w:rsid w:val="6ECE3012"/>
    <w:rsid w:val="6EEA2BEE"/>
    <w:rsid w:val="6EFB30C5"/>
    <w:rsid w:val="6F19182E"/>
    <w:rsid w:val="6F1F64EE"/>
    <w:rsid w:val="6F251EF4"/>
    <w:rsid w:val="6F3626B6"/>
    <w:rsid w:val="6F3F40AE"/>
    <w:rsid w:val="6F815117"/>
    <w:rsid w:val="6FAD7EFC"/>
    <w:rsid w:val="6FC12833"/>
    <w:rsid w:val="6FDB5DF3"/>
    <w:rsid w:val="700417EE"/>
    <w:rsid w:val="70234308"/>
    <w:rsid w:val="702A2DF0"/>
    <w:rsid w:val="7072050B"/>
    <w:rsid w:val="708020B9"/>
    <w:rsid w:val="708F3F4F"/>
    <w:rsid w:val="709771CD"/>
    <w:rsid w:val="70B623BC"/>
    <w:rsid w:val="70BC647D"/>
    <w:rsid w:val="70BE17D3"/>
    <w:rsid w:val="70DA275C"/>
    <w:rsid w:val="71155E1B"/>
    <w:rsid w:val="712C479A"/>
    <w:rsid w:val="71393588"/>
    <w:rsid w:val="714D6812"/>
    <w:rsid w:val="7170308B"/>
    <w:rsid w:val="718524BB"/>
    <w:rsid w:val="719E503F"/>
    <w:rsid w:val="71A5799C"/>
    <w:rsid w:val="71A73954"/>
    <w:rsid w:val="71AC3D91"/>
    <w:rsid w:val="71CC455D"/>
    <w:rsid w:val="71CF1B05"/>
    <w:rsid w:val="71E65261"/>
    <w:rsid w:val="71E72A8A"/>
    <w:rsid w:val="71EF5B86"/>
    <w:rsid w:val="71FF0740"/>
    <w:rsid w:val="71FF0BB1"/>
    <w:rsid w:val="720712C4"/>
    <w:rsid w:val="7238693B"/>
    <w:rsid w:val="723D27EE"/>
    <w:rsid w:val="72851A38"/>
    <w:rsid w:val="72856C67"/>
    <w:rsid w:val="72873C71"/>
    <w:rsid w:val="72896FE0"/>
    <w:rsid w:val="728E5F19"/>
    <w:rsid w:val="72952BD1"/>
    <w:rsid w:val="72A31F40"/>
    <w:rsid w:val="72C02CDD"/>
    <w:rsid w:val="72FD42D3"/>
    <w:rsid w:val="73013FCC"/>
    <w:rsid w:val="730B2E93"/>
    <w:rsid w:val="730E696E"/>
    <w:rsid w:val="73245D0B"/>
    <w:rsid w:val="73300DA0"/>
    <w:rsid w:val="733866F9"/>
    <w:rsid w:val="733A6CBD"/>
    <w:rsid w:val="73547991"/>
    <w:rsid w:val="736938A6"/>
    <w:rsid w:val="736D75D5"/>
    <w:rsid w:val="73796EEC"/>
    <w:rsid w:val="738E6C88"/>
    <w:rsid w:val="739169F9"/>
    <w:rsid w:val="73972979"/>
    <w:rsid w:val="739D39C9"/>
    <w:rsid w:val="73A52AED"/>
    <w:rsid w:val="73BE0C18"/>
    <w:rsid w:val="73CD33BB"/>
    <w:rsid w:val="73EA2AA9"/>
    <w:rsid w:val="74031DA5"/>
    <w:rsid w:val="741B2C62"/>
    <w:rsid w:val="742D4234"/>
    <w:rsid w:val="74326F65"/>
    <w:rsid w:val="743F4CBA"/>
    <w:rsid w:val="74454183"/>
    <w:rsid w:val="74816ECD"/>
    <w:rsid w:val="748A000B"/>
    <w:rsid w:val="748B62B1"/>
    <w:rsid w:val="749330FE"/>
    <w:rsid w:val="74936C9D"/>
    <w:rsid w:val="74942EB6"/>
    <w:rsid w:val="7499627D"/>
    <w:rsid w:val="749E119A"/>
    <w:rsid w:val="74A356E3"/>
    <w:rsid w:val="74CA5A5B"/>
    <w:rsid w:val="74D33EF6"/>
    <w:rsid w:val="74D81279"/>
    <w:rsid w:val="74DD4D68"/>
    <w:rsid w:val="75324A75"/>
    <w:rsid w:val="753A7A60"/>
    <w:rsid w:val="75461F61"/>
    <w:rsid w:val="7550303E"/>
    <w:rsid w:val="757356C1"/>
    <w:rsid w:val="7585337A"/>
    <w:rsid w:val="758F1B5A"/>
    <w:rsid w:val="759E6F12"/>
    <w:rsid w:val="75A41F9F"/>
    <w:rsid w:val="75B456A9"/>
    <w:rsid w:val="75B74C0D"/>
    <w:rsid w:val="75B82733"/>
    <w:rsid w:val="75C404DC"/>
    <w:rsid w:val="75C50AA6"/>
    <w:rsid w:val="75D94171"/>
    <w:rsid w:val="75EA51DF"/>
    <w:rsid w:val="75EB4A8F"/>
    <w:rsid w:val="76051776"/>
    <w:rsid w:val="760B6FB5"/>
    <w:rsid w:val="76177C1A"/>
    <w:rsid w:val="76183A28"/>
    <w:rsid w:val="764B2F46"/>
    <w:rsid w:val="769D4442"/>
    <w:rsid w:val="76AF515A"/>
    <w:rsid w:val="76B61F68"/>
    <w:rsid w:val="76BE7161"/>
    <w:rsid w:val="76C4477C"/>
    <w:rsid w:val="76CC1292"/>
    <w:rsid w:val="76D33CC8"/>
    <w:rsid w:val="76F65C52"/>
    <w:rsid w:val="77070825"/>
    <w:rsid w:val="771B0458"/>
    <w:rsid w:val="77210231"/>
    <w:rsid w:val="772C2D05"/>
    <w:rsid w:val="773D64AD"/>
    <w:rsid w:val="775070C7"/>
    <w:rsid w:val="775F555C"/>
    <w:rsid w:val="77752345"/>
    <w:rsid w:val="77761B41"/>
    <w:rsid w:val="777703EE"/>
    <w:rsid w:val="778902AB"/>
    <w:rsid w:val="779F1DFC"/>
    <w:rsid w:val="77A33763"/>
    <w:rsid w:val="77B106E0"/>
    <w:rsid w:val="77B77A99"/>
    <w:rsid w:val="77CD7881"/>
    <w:rsid w:val="77CF26E1"/>
    <w:rsid w:val="77D01510"/>
    <w:rsid w:val="77D71C53"/>
    <w:rsid w:val="77E2543A"/>
    <w:rsid w:val="77FE6267"/>
    <w:rsid w:val="78203AD8"/>
    <w:rsid w:val="78235BFF"/>
    <w:rsid w:val="78437924"/>
    <w:rsid w:val="78531D63"/>
    <w:rsid w:val="78615D56"/>
    <w:rsid w:val="78830490"/>
    <w:rsid w:val="788C71F2"/>
    <w:rsid w:val="789456D9"/>
    <w:rsid w:val="78A15077"/>
    <w:rsid w:val="78A21DC2"/>
    <w:rsid w:val="78B54873"/>
    <w:rsid w:val="78C445BB"/>
    <w:rsid w:val="78C83AD2"/>
    <w:rsid w:val="78F81FC0"/>
    <w:rsid w:val="790106AE"/>
    <w:rsid w:val="79351464"/>
    <w:rsid w:val="79516F63"/>
    <w:rsid w:val="79565544"/>
    <w:rsid w:val="79614697"/>
    <w:rsid w:val="796946E1"/>
    <w:rsid w:val="796E1666"/>
    <w:rsid w:val="797846B3"/>
    <w:rsid w:val="798A5C60"/>
    <w:rsid w:val="798B6ADC"/>
    <w:rsid w:val="79A07515"/>
    <w:rsid w:val="79A9103A"/>
    <w:rsid w:val="79AB36F9"/>
    <w:rsid w:val="79C142AC"/>
    <w:rsid w:val="79DD1D32"/>
    <w:rsid w:val="79EF06E6"/>
    <w:rsid w:val="79F06745"/>
    <w:rsid w:val="7A00729F"/>
    <w:rsid w:val="7A0C00F4"/>
    <w:rsid w:val="7A1B7BD6"/>
    <w:rsid w:val="7A2C6BF7"/>
    <w:rsid w:val="7A3B7866"/>
    <w:rsid w:val="7A3D749F"/>
    <w:rsid w:val="7A3E7628"/>
    <w:rsid w:val="7A402138"/>
    <w:rsid w:val="7A4A4C3A"/>
    <w:rsid w:val="7A4C0B89"/>
    <w:rsid w:val="7A51551F"/>
    <w:rsid w:val="7A5C78B1"/>
    <w:rsid w:val="7A793768"/>
    <w:rsid w:val="7AA754C8"/>
    <w:rsid w:val="7AB212CD"/>
    <w:rsid w:val="7AC83418"/>
    <w:rsid w:val="7ACA5466"/>
    <w:rsid w:val="7AD45C10"/>
    <w:rsid w:val="7AD522D5"/>
    <w:rsid w:val="7AE240F9"/>
    <w:rsid w:val="7AE318EE"/>
    <w:rsid w:val="7AE61E56"/>
    <w:rsid w:val="7AFC4D0A"/>
    <w:rsid w:val="7B07175A"/>
    <w:rsid w:val="7B0A6A9B"/>
    <w:rsid w:val="7B0D2818"/>
    <w:rsid w:val="7B334D35"/>
    <w:rsid w:val="7B375499"/>
    <w:rsid w:val="7B92467D"/>
    <w:rsid w:val="7B994E29"/>
    <w:rsid w:val="7B9D745B"/>
    <w:rsid w:val="7B9E5BEB"/>
    <w:rsid w:val="7BAD3F83"/>
    <w:rsid w:val="7BB12C0A"/>
    <w:rsid w:val="7BBC2F7D"/>
    <w:rsid w:val="7BC96E50"/>
    <w:rsid w:val="7BDF0A19"/>
    <w:rsid w:val="7BE00437"/>
    <w:rsid w:val="7C005CAF"/>
    <w:rsid w:val="7C011166"/>
    <w:rsid w:val="7C0B7A60"/>
    <w:rsid w:val="7C176EDF"/>
    <w:rsid w:val="7C25032B"/>
    <w:rsid w:val="7C254F1C"/>
    <w:rsid w:val="7C374CF9"/>
    <w:rsid w:val="7C425CF3"/>
    <w:rsid w:val="7C4C2BF6"/>
    <w:rsid w:val="7C60651C"/>
    <w:rsid w:val="7C640CBC"/>
    <w:rsid w:val="7C6A0C2B"/>
    <w:rsid w:val="7C796B8F"/>
    <w:rsid w:val="7C812178"/>
    <w:rsid w:val="7C8A5B63"/>
    <w:rsid w:val="7C9B7036"/>
    <w:rsid w:val="7CB82DCD"/>
    <w:rsid w:val="7CB9026D"/>
    <w:rsid w:val="7CBC3199"/>
    <w:rsid w:val="7CC12815"/>
    <w:rsid w:val="7CD66DE6"/>
    <w:rsid w:val="7CD84E2D"/>
    <w:rsid w:val="7CE57657"/>
    <w:rsid w:val="7CEA46C7"/>
    <w:rsid w:val="7CFD384D"/>
    <w:rsid w:val="7D3F20B7"/>
    <w:rsid w:val="7D5C585E"/>
    <w:rsid w:val="7D6F1CD1"/>
    <w:rsid w:val="7D8E3A4A"/>
    <w:rsid w:val="7D9A2209"/>
    <w:rsid w:val="7DA93B03"/>
    <w:rsid w:val="7DA9460F"/>
    <w:rsid w:val="7DC80B9A"/>
    <w:rsid w:val="7DD47EE4"/>
    <w:rsid w:val="7DDD542C"/>
    <w:rsid w:val="7DE03DE0"/>
    <w:rsid w:val="7DE65FBE"/>
    <w:rsid w:val="7DFF6F70"/>
    <w:rsid w:val="7E111217"/>
    <w:rsid w:val="7E2461C2"/>
    <w:rsid w:val="7E252460"/>
    <w:rsid w:val="7E292420"/>
    <w:rsid w:val="7E397349"/>
    <w:rsid w:val="7E3B2283"/>
    <w:rsid w:val="7E3E30CD"/>
    <w:rsid w:val="7E7E7C85"/>
    <w:rsid w:val="7E826950"/>
    <w:rsid w:val="7E904003"/>
    <w:rsid w:val="7E9064E4"/>
    <w:rsid w:val="7E951337"/>
    <w:rsid w:val="7EA66AB7"/>
    <w:rsid w:val="7EB76F44"/>
    <w:rsid w:val="7EBB18A6"/>
    <w:rsid w:val="7EC30AC6"/>
    <w:rsid w:val="7ED122C0"/>
    <w:rsid w:val="7EFF5CB3"/>
    <w:rsid w:val="7F0A35C9"/>
    <w:rsid w:val="7F113622"/>
    <w:rsid w:val="7F314CA2"/>
    <w:rsid w:val="7F4A08A0"/>
    <w:rsid w:val="7F5B485B"/>
    <w:rsid w:val="7F5F6C47"/>
    <w:rsid w:val="7F7057E9"/>
    <w:rsid w:val="7F7405C7"/>
    <w:rsid w:val="7F7F75D9"/>
    <w:rsid w:val="7F917565"/>
    <w:rsid w:val="7FAF6BB9"/>
    <w:rsid w:val="7FBE2AC9"/>
    <w:rsid w:val="7FCC21D0"/>
    <w:rsid w:val="7FD62549"/>
    <w:rsid w:val="7FD77D9C"/>
    <w:rsid w:val="7FDF55E5"/>
    <w:rsid w:val="7FFA2F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99"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6">
    <w:name w:val="heading 1"/>
    <w:basedOn w:val="1"/>
    <w:next w:val="1"/>
    <w:link w:val="69"/>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7">
    <w:name w:val="heading 2"/>
    <w:basedOn w:val="1"/>
    <w:next w:val="1"/>
    <w:link w:val="70"/>
    <w:qFormat/>
    <w:uiPriority w:val="0"/>
    <w:pPr>
      <w:keepNext/>
      <w:keepLines/>
      <w:spacing w:line="413" w:lineRule="auto"/>
      <w:jc w:val="center"/>
      <w:outlineLvl w:val="1"/>
    </w:pPr>
    <w:rPr>
      <w:rFonts w:ascii="Arial" w:hAnsi="Arial" w:cs="Arial"/>
      <w:b/>
      <w:bCs/>
      <w:sz w:val="28"/>
      <w:szCs w:val="28"/>
    </w:rPr>
  </w:style>
  <w:style w:type="paragraph" w:styleId="8">
    <w:name w:val="heading 3"/>
    <w:basedOn w:val="1"/>
    <w:next w:val="1"/>
    <w:link w:val="71"/>
    <w:qFormat/>
    <w:uiPriority w:val="0"/>
    <w:pPr>
      <w:keepNext/>
      <w:keepLines/>
      <w:spacing w:line="413" w:lineRule="auto"/>
      <w:outlineLvl w:val="2"/>
    </w:pPr>
    <w:rPr>
      <w:b/>
      <w:bCs/>
      <w:sz w:val="32"/>
      <w:szCs w:val="32"/>
    </w:rPr>
  </w:style>
  <w:style w:type="paragraph" w:styleId="9">
    <w:name w:val="heading 4"/>
    <w:basedOn w:val="1"/>
    <w:next w:val="1"/>
    <w:link w:val="72"/>
    <w:qFormat/>
    <w:uiPriority w:val="0"/>
    <w:pPr>
      <w:keepNext/>
      <w:keepLines/>
      <w:jc w:val="left"/>
      <w:outlineLvl w:val="3"/>
    </w:pPr>
    <w:rPr>
      <w:rFonts w:ascii="Arial" w:hAnsi="Arial" w:cs="Arial"/>
      <w:b/>
      <w:bCs/>
      <w:sz w:val="32"/>
      <w:szCs w:val="32"/>
    </w:rPr>
  </w:style>
  <w:style w:type="paragraph" w:styleId="10">
    <w:name w:val="heading 5"/>
    <w:basedOn w:val="1"/>
    <w:next w:val="1"/>
    <w:link w:val="160"/>
    <w:qFormat/>
    <w:uiPriority w:val="0"/>
    <w:pPr>
      <w:keepNext/>
      <w:keepLines/>
      <w:spacing w:before="280" w:after="290" w:line="372" w:lineRule="auto"/>
      <w:ind w:firstLine="0" w:firstLineChars="0"/>
      <w:jc w:val="left"/>
      <w:outlineLvl w:val="4"/>
    </w:pPr>
    <w:rPr>
      <w:rFonts w:ascii="Times New Roman" w:hAnsi="Times New Roman" w:eastAsia="宋体" w:cs="Times New Roman"/>
      <w:b/>
      <w:bCs/>
      <w:sz w:val="28"/>
      <w:szCs w:val="28"/>
    </w:rPr>
  </w:style>
  <w:style w:type="paragraph" w:styleId="11">
    <w:name w:val="heading 6"/>
    <w:basedOn w:val="10"/>
    <w:next w:val="1"/>
    <w:link w:val="161"/>
    <w:qFormat/>
    <w:uiPriority w:val="0"/>
    <w:pPr>
      <w:tabs>
        <w:tab w:val="left" w:pos="1440"/>
      </w:tabs>
      <w:spacing w:before="260" w:after="260" w:line="360" w:lineRule="auto"/>
      <w:outlineLvl w:val="5"/>
    </w:pPr>
    <w:rPr>
      <w:sz w:val="30"/>
      <w:szCs w:val="18"/>
    </w:rPr>
  </w:style>
  <w:style w:type="paragraph" w:styleId="12">
    <w:name w:val="heading 7"/>
    <w:basedOn w:val="11"/>
    <w:next w:val="1"/>
    <w:link w:val="163"/>
    <w:qFormat/>
    <w:uiPriority w:val="0"/>
    <w:pPr>
      <w:tabs>
        <w:tab w:val="left" w:pos="1800"/>
        <w:tab w:val="clear" w:pos="1440"/>
      </w:tabs>
      <w:outlineLvl w:val="6"/>
    </w:pPr>
  </w:style>
  <w:style w:type="paragraph" w:styleId="13">
    <w:name w:val="heading 8"/>
    <w:basedOn w:val="12"/>
    <w:next w:val="1"/>
    <w:link w:val="164"/>
    <w:qFormat/>
    <w:uiPriority w:val="0"/>
    <w:pPr>
      <w:outlineLvl w:val="7"/>
    </w:pPr>
  </w:style>
  <w:style w:type="paragraph" w:styleId="14">
    <w:name w:val="heading 9"/>
    <w:basedOn w:val="13"/>
    <w:next w:val="1"/>
    <w:link w:val="165"/>
    <w:qFormat/>
    <w:uiPriority w:val="0"/>
    <w:pPr>
      <w:tabs>
        <w:tab w:val="left" w:pos="2160"/>
        <w:tab w:val="clear" w:pos="1800"/>
      </w:tabs>
      <w:outlineLvl w:val="8"/>
    </w:pPr>
  </w:style>
  <w:style w:type="character" w:default="1" w:styleId="48">
    <w:name w:val="Default Paragraph Font"/>
    <w:semiHidden/>
    <w:unhideWhenUsed/>
    <w:qFormat/>
    <w:uiPriority w:val="1"/>
  </w:style>
  <w:style w:type="table" w:default="1" w:styleId="4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First Indent 2"/>
    <w:basedOn w:val="3"/>
    <w:next w:val="4"/>
    <w:semiHidden/>
    <w:unhideWhenUsed/>
    <w:qFormat/>
    <w:uiPriority w:val="0"/>
    <w:pPr>
      <w:tabs>
        <w:tab w:val="left" w:pos="4900"/>
      </w:tabs>
      <w:ind w:firstLine="420" w:firstLineChars="200"/>
    </w:pPr>
  </w:style>
  <w:style w:type="paragraph" w:styleId="3">
    <w:name w:val="Body Text Indent"/>
    <w:basedOn w:val="1"/>
    <w:next w:val="2"/>
    <w:link w:val="75"/>
    <w:qFormat/>
    <w:uiPriority w:val="0"/>
    <w:pPr>
      <w:spacing w:after="120"/>
      <w:ind w:left="420" w:leftChars="200"/>
    </w:pPr>
  </w:style>
  <w:style w:type="paragraph" w:styleId="4">
    <w:name w:val="Body Text First Indent"/>
    <w:basedOn w:val="5"/>
    <w:next w:val="5"/>
    <w:link w:val="168"/>
    <w:qFormat/>
    <w:uiPriority w:val="0"/>
    <w:pPr>
      <w:ind w:firstLine="420" w:firstLineChars="100"/>
    </w:pPr>
    <w:rPr>
      <w:sz w:val="34"/>
    </w:rPr>
  </w:style>
  <w:style w:type="paragraph" w:styleId="5">
    <w:name w:val="Body Text"/>
    <w:basedOn w:val="1"/>
    <w:next w:val="1"/>
    <w:link w:val="196"/>
    <w:qFormat/>
    <w:uiPriority w:val="0"/>
  </w:style>
  <w:style w:type="paragraph" w:styleId="15">
    <w:name w:val="toc 7"/>
    <w:basedOn w:val="1"/>
    <w:next w:val="1"/>
    <w:qFormat/>
    <w:uiPriority w:val="39"/>
    <w:pPr>
      <w:ind w:left="1260"/>
      <w:jc w:val="left"/>
    </w:pPr>
    <w:rPr>
      <w:rFonts w:asciiTheme="minorHAnsi" w:hAnsiTheme="minorHAnsi"/>
      <w:sz w:val="18"/>
      <w:szCs w:val="18"/>
    </w:rPr>
  </w:style>
  <w:style w:type="paragraph" w:styleId="16">
    <w:name w:val="List Number 2"/>
    <w:basedOn w:val="1"/>
    <w:qFormat/>
    <w:uiPriority w:val="0"/>
    <w:pPr>
      <w:numPr>
        <w:ilvl w:val="0"/>
        <w:numId w:val="1"/>
      </w:numPr>
    </w:pPr>
  </w:style>
  <w:style w:type="paragraph" w:styleId="17">
    <w:name w:val="Normal Indent"/>
    <w:basedOn w:val="1"/>
    <w:next w:val="18"/>
    <w:qFormat/>
    <w:uiPriority w:val="0"/>
    <w:pPr>
      <w:ind w:firstLine="420"/>
    </w:pPr>
  </w:style>
  <w:style w:type="paragraph" w:styleId="18">
    <w:name w:val="toc 4"/>
    <w:basedOn w:val="1"/>
    <w:next w:val="1"/>
    <w:qFormat/>
    <w:uiPriority w:val="39"/>
    <w:pPr>
      <w:ind w:left="630"/>
      <w:jc w:val="left"/>
    </w:pPr>
    <w:rPr>
      <w:rFonts w:asciiTheme="minorHAnsi" w:hAnsiTheme="minorHAnsi"/>
      <w:sz w:val="18"/>
      <w:szCs w:val="18"/>
    </w:rPr>
  </w:style>
  <w:style w:type="paragraph" w:styleId="19">
    <w:name w:val="Document Map"/>
    <w:basedOn w:val="1"/>
    <w:link w:val="171"/>
    <w:qFormat/>
    <w:uiPriority w:val="0"/>
    <w:pPr>
      <w:spacing w:line="360" w:lineRule="auto"/>
      <w:ind w:firstLine="420" w:firstLineChars="200"/>
      <w:jc w:val="left"/>
    </w:pPr>
    <w:rPr>
      <w:rFonts w:ascii="宋体" w:hAnsi="Times New Roman" w:eastAsia="宋体" w:cs="Times New Roman"/>
      <w:sz w:val="18"/>
      <w:szCs w:val="18"/>
    </w:rPr>
  </w:style>
  <w:style w:type="paragraph" w:styleId="20">
    <w:name w:val="annotation text"/>
    <w:basedOn w:val="1"/>
    <w:link w:val="73"/>
    <w:qFormat/>
    <w:uiPriority w:val="0"/>
    <w:pPr>
      <w:jc w:val="left"/>
    </w:pPr>
    <w:rPr>
      <w:rFonts w:ascii="宋体" w:cs="宋体"/>
      <w:kern w:val="0"/>
      <w:sz w:val="34"/>
      <w:szCs w:val="34"/>
    </w:rPr>
  </w:style>
  <w:style w:type="paragraph" w:styleId="21">
    <w:name w:val="Body Text 3"/>
    <w:basedOn w:val="1"/>
    <w:link w:val="201"/>
    <w:qFormat/>
    <w:uiPriority w:val="0"/>
    <w:pPr>
      <w:spacing w:after="120" w:line="360" w:lineRule="auto"/>
      <w:ind w:firstLine="420" w:firstLineChars="200"/>
      <w:jc w:val="left"/>
    </w:pPr>
    <w:rPr>
      <w:rFonts w:ascii="Times New Roman" w:hAnsi="Times New Roman" w:eastAsia="宋体" w:cs="Times New Roman"/>
      <w:sz w:val="16"/>
      <w:szCs w:val="16"/>
    </w:rPr>
  </w:style>
  <w:style w:type="paragraph" w:styleId="22">
    <w:name w:val="toc 5"/>
    <w:basedOn w:val="1"/>
    <w:next w:val="1"/>
    <w:qFormat/>
    <w:uiPriority w:val="39"/>
    <w:pPr>
      <w:ind w:left="840"/>
      <w:jc w:val="left"/>
    </w:pPr>
    <w:rPr>
      <w:rFonts w:asciiTheme="minorHAnsi" w:hAnsiTheme="minorHAnsi"/>
      <w:sz w:val="18"/>
      <w:szCs w:val="18"/>
    </w:rPr>
  </w:style>
  <w:style w:type="paragraph" w:styleId="23">
    <w:name w:val="toc 3"/>
    <w:basedOn w:val="1"/>
    <w:next w:val="1"/>
    <w:qFormat/>
    <w:uiPriority w:val="39"/>
    <w:pPr>
      <w:ind w:left="420"/>
      <w:jc w:val="left"/>
    </w:pPr>
    <w:rPr>
      <w:rFonts w:asciiTheme="minorHAnsi" w:hAnsiTheme="minorHAnsi"/>
      <w:i/>
      <w:iCs/>
      <w:sz w:val="20"/>
      <w:szCs w:val="20"/>
    </w:rPr>
  </w:style>
  <w:style w:type="paragraph" w:styleId="24">
    <w:name w:val="Plain Text"/>
    <w:basedOn w:val="1"/>
    <w:link w:val="76"/>
    <w:qFormat/>
    <w:uiPriority w:val="0"/>
    <w:pPr>
      <w:spacing w:line="324" w:lineRule="auto"/>
    </w:pPr>
    <w:rPr>
      <w:rFonts w:ascii="宋体" w:hAnsi="Courier New" w:cs="宋体"/>
    </w:rPr>
  </w:style>
  <w:style w:type="paragraph" w:styleId="25">
    <w:name w:val="toc 8"/>
    <w:basedOn w:val="1"/>
    <w:next w:val="1"/>
    <w:qFormat/>
    <w:uiPriority w:val="39"/>
    <w:pPr>
      <w:ind w:left="1470"/>
      <w:jc w:val="left"/>
    </w:pPr>
    <w:rPr>
      <w:rFonts w:asciiTheme="minorHAnsi" w:hAnsiTheme="minorHAnsi"/>
      <w:sz w:val="18"/>
      <w:szCs w:val="18"/>
    </w:rPr>
  </w:style>
  <w:style w:type="paragraph" w:styleId="26">
    <w:name w:val="Date"/>
    <w:basedOn w:val="1"/>
    <w:next w:val="1"/>
    <w:link w:val="100"/>
    <w:qFormat/>
    <w:uiPriority w:val="0"/>
    <w:pPr>
      <w:ind w:left="100" w:leftChars="2500"/>
    </w:pPr>
  </w:style>
  <w:style w:type="paragraph" w:styleId="27">
    <w:name w:val="Body Text Indent 2"/>
    <w:basedOn w:val="1"/>
    <w:link w:val="77"/>
    <w:qFormat/>
    <w:uiPriority w:val="0"/>
    <w:pPr>
      <w:spacing w:after="120" w:line="480" w:lineRule="auto"/>
      <w:ind w:left="420" w:leftChars="200"/>
    </w:pPr>
  </w:style>
  <w:style w:type="paragraph" w:styleId="28">
    <w:name w:val="Balloon Text"/>
    <w:basedOn w:val="1"/>
    <w:link w:val="78"/>
    <w:qFormat/>
    <w:uiPriority w:val="0"/>
    <w:rPr>
      <w:sz w:val="18"/>
      <w:szCs w:val="18"/>
    </w:rPr>
  </w:style>
  <w:style w:type="paragraph" w:styleId="29">
    <w:name w:val="footer"/>
    <w:basedOn w:val="1"/>
    <w:link w:val="79"/>
    <w:qFormat/>
    <w:uiPriority w:val="99"/>
    <w:pPr>
      <w:tabs>
        <w:tab w:val="center" w:pos="4153"/>
        <w:tab w:val="right" w:pos="8306"/>
      </w:tabs>
      <w:snapToGrid w:val="0"/>
      <w:jc w:val="left"/>
    </w:pPr>
    <w:rPr>
      <w:sz w:val="18"/>
      <w:szCs w:val="18"/>
    </w:rPr>
  </w:style>
  <w:style w:type="paragraph" w:styleId="30">
    <w:name w:val="envelope return"/>
    <w:basedOn w:val="1"/>
    <w:qFormat/>
    <w:uiPriority w:val="0"/>
    <w:pPr>
      <w:snapToGrid w:val="0"/>
    </w:pPr>
    <w:rPr>
      <w:rFonts w:ascii="Arial" w:hAnsi="Arial"/>
    </w:rPr>
  </w:style>
  <w:style w:type="paragraph" w:styleId="31">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before="120" w:after="120"/>
      <w:jc w:val="left"/>
    </w:pPr>
    <w:rPr>
      <w:rFonts w:asciiTheme="minorHAnsi" w:hAnsiTheme="minorHAnsi"/>
      <w:b/>
      <w:bCs/>
      <w:caps/>
      <w:sz w:val="20"/>
      <w:szCs w:val="20"/>
    </w:rPr>
  </w:style>
  <w:style w:type="paragraph" w:styleId="33">
    <w:name w:val="index heading"/>
    <w:basedOn w:val="1"/>
    <w:next w:val="34"/>
    <w:qFormat/>
    <w:uiPriority w:val="0"/>
    <w:pPr>
      <w:spacing w:line="300" w:lineRule="auto"/>
      <w:ind w:firstLine="420" w:firstLineChars="200"/>
      <w:jc w:val="left"/>
    </w:pPr>
    <w:rPr>
      <w:rFonts w:ascii="Times New Roman" w:hAnsi="Times New Roman" w:eastAsia="楷体_GB2312" w:cs="Times New Roman"/>
      <w:sz w:val="24"/>
      <w:szCs w:val="24"/>
    </w:rPr>
  </w:style>
  <w:style w:type="paragraph" w:styleId="34">
    <w:name w:val="index 1"/>
    <w:basedOn w:val="1"/>
    <w:next w:val="1"/>
    <w:qFormat/>
    <w:uiPriority w:val="0"/>
    <w:pPr>
      <w:spacing w:line="360" w:lineRule="auto"/>
      <w:ind w:firstLine="420" w:firstLineChars="200"/>
      <w:jc w:val="left"/>
    </w:pPr>
    <w:rPr>
      <w:rFonts w:ascii="Times New Roman" w:hAnsi="Times New Roman" w:eastAsia="宋体" w:cs="Times New Roman"/>
      <w:szCs w:val="24"/>
    </w:rPr>
  </w:style>
  <w:style w:type="paragraph" w:styleId="35">
    <w:name w:val="footnote text"/>
    <w:basedOn w:val="1"/>
    <w:semiHidden/>
    <w:unhideWhenUsed/>
    <w:qFormat/>
    <w:uiPriority w:val="0"/>
    <w:pPr>
      <w:snapToGrid w:val="0"/>
      <w:jc w:val="left"/>
    </w:pPr>
    <w:rPr>
      <w:sz w:val="18"/>
    </w:rPr>
  </w:style>
  <w:style w:type="paragraph" w:styleId="36">
    <w:name w:val="toc 6"/>
    <w:basedOn w:val="1"/>
    <w:next w:val="1"/>
    <w:qFormat/>
    <w:uiPriority w:val="39"/>
    <w:pPr>
      <w:ind w:left="1050"/>
      <w:jc w:val="left"/>
    </w:pPr>
    <w:rPr>
      <w:rFonts w:asciiTheme="minorHAnsi" w:hAnsiTheme="minorHAnsi"/>
      <w:sz w:val="18"/>
      <w:szCs w:val="18"/>
    </w:rPr>
  </w:style>
  <w:style w:type="paragraph" w:styleId="37">
    <w:name w:val="Body Text Indent 3"/>
    <w:basedOn w:val="1"/>
    <w:link w:val="170"/>
    <w:qFormat/>
    <w:uiPriority w:val="0"/>
    <w:pPr>
      <w:spacing w:after="120" w:line="360" w:lineRule="auto"/>
      <w:ind w:left="420" w:leftChars="200" w:firstLine="420" w:firstLineChars="200"/>
      <w:jc w:val="left"/>
    </w:pPr>
    <w:rPr>
      <w:rFonts w:ascii="Times New Roman" w:hAnsi="Times New Roman" w:eastAsia="宋体" w:cs="Times New Roman"/>
      <w:sz w:val="16"/>
      <w:szCs w:val="16"/>
    </w:rPr>
  </w:style>
  <w:style w:type="paragraph" w:styleId="38">
    <w:name w:val="toc 2"/>
    <w:basedOn w:val="1"/>
    <w:next w:val="1"/>
    <w:qFormat/>
    <w:uiPriority w:val="39"/>
    <w:pPr>
      <w:ind w:left="210"/>
      <w:jc w:val="left"/>
    </w:pPr>
    <w:rPr>
      <w:rFonts w:asciiTheme="minorHAnsi" w:hAnsiTheme="minorHAnsi"/>
      <w:smallCaps/>
      <w:sz w:val="20"/>
      <w:szCs w:val="20"/>
    </w:rPr>
  </w:style>
  <w:style w:type="paragraph" w:styleId="39">
    <w:name w:val="toc 9"/>
    <w:basedOn w:val="1"/>
    <w:next w:val="1"/>
    <w:qFormat/>
    <w:uiPriority w:val="39"/>
    <w:pPr>
      <w:ind w:left="1680"/>
      <w:jc w:val="left"/>
    </w:pPr>
    <w:rPr>
      <w:rFonts w:asciiTheme="minorHAnsi" w:hAnsiTheme="minorHAnsi"/>
      <w:sz w:val="18"/>
      <w:szCs w:val="18"/>
    </w:rPr>
  </w:style>
  <w:style w:type="paragraph" w:styleId="40">
    <w:name w:val="Body Text 2"/>
    <w:basedOn w:val="1"/>
    <w:link w:val="81"/>
    <w:qFormat/>
    <w:uiPriority w:val="0"/>
    <w:pPr>
      <w:jc w:val="center"/>
    </w:pPr>
    <w:rPr>
      <w:b/>
      <w:bCs/>
      <w:spacing w:val="-20"/>
      <w:w w:val="130"/>
      <w:sz w:val="48"/>
      <w:szCs w:val="48"/>
    </w:rPr>
  </w:style>
  <w:style w:type="paragraph" w:styleId="41">
    <w:name w:val="Message Header"/>
    <w:basedOn w:val="1"/>
    <w:link w:val="200"/>
    <w:semiHidden/>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4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8" w:lineRule="atLeast"/>
      <w:jc w:val="left"/>
    </w:pPr>
    <w:rPr>
      <w:rFonts w:ascii="Arial" w:hAnsi="Arial"/>
      <w:sz w:val="23"/>
      <w:szCs w:val="23"/>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4">
    <w:name w:val="Title"/>
    <w:basedOn w:val="1"/>
    <w:link w:val="162"/>
    <w:qFormat/>
    <w:uiPriority w:val="0"/>
    <w:pPr>
      <w:tabs>
        <w:tab w:val="left" w:pos="432"/>
      </w:tabs>
      <w:spacing w:before="240" w:after="60" w:line="360" w:lineRule="auto"/>
      <w:ind w:left="432" w:hanging="432" w:firstLineChars="200"/>
      <w:jc w:val="center"/>
      <w:outlineLvl w:val="0"/>
    </w:pPr>
    <w:rPr>
      <w:rFonts w:ascii="Arial" w:hAnsi="Arial" w:eastAsia="宋体" w:cs="Arial"/>
      <w:b/>
      <w:bCs/>
      <w:sz w:val="32"/>
      <w:szCs w:val="32"/>
    </w:rPr>
  </w:style>
  <w:style w:type="paragraph" w:styleId="45">
    <w:name w:val="annotation subject"/>
    <w:basedOn w:val="20"/>
    <w:next w:val="1"/>
    <w:link w:val="110"/>
    <w:semiHidden/>
    <w:unhideWhenUsed/>
    <w:qFormat/>
    <w:uiPriority w:val="0"/>
    <w:rPr>
      <w:rFonts w:ascii="Calibri" w:cs="Calibri"/>
      <w:b/>
      <w:bCs/>
      <w:kern w:val="2"/>
      <w:sz w:val="21"/>
      <w:szCs w:val="21"/>
    </w:rPr>
  </w:style>
  <w:style w:type="table" w:styleId="47">
    <w:name w:val="Table Grid"/>
    <w:basedOn w:val="46"/>
    <w:semiHidden/>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sz w:val="24"/>
      <w:szCs w:val="24"/>
    </w:rPr>
  </w:style>
  <w:style w:type="character" w:styleId="50">
    <w:name w:val="page number"/>
    <w:basedOn w:val="48"/>
    <w:qFormat/>
    <w:uiPriority w:val="0"/>
  </w:style>
  <w:style w:type="character" w:styleId="51">
    <w:name w:val="FollowedHyperlink"/>
    <w:basedOn w:val="48"/>
    <w:qFormat/>
    <w:uiPriority w:val="0"/>
    <w:rPr>
      <w:color w:val="800080"/>
      <w:u w:val="none"/>
    </w:rPr>
  </w:style>
  <w:style w:type="character" w:styleId="52">
    <w:name w:val="Emphasis"/>
    <w:qFormat/>
    <w:uiPriority w:val="20"/>
    <w:rPr>
      <w:i/>
      <w:iCs/>
    </w:rPr>
  </w:style>
  <w:style w:type="character" w:styleId="53">
    <w:name w:val="HTML Definition"/>
    <w:basedOn w:val="48"/>
    <w:semiHidden/>
    <w:unhideWhenUsed/>
    <w:qFormat/>
    <w:uiPriority w:val="0"/>
  </w:style>
  <w:style w:type="character" w:styleId="54">
    <w:name w:val="HTML Typewriter"/>
    <w:basedOn w:val="48"/>
    <w:semiHidden/>
    <w:unhideWhenUsed/>
    <w:qFormat/>
    <w:uiPriority w:val="0"/>
    <w:rPr>
      <w:rFonts w:hint="default" w:ascii="monospace" w:hAnsi="monospace" w:eastAsia="monospace" w:cs="monospace"/>
      <w:sz w:val="20"/>
    </w:rPr>
  </w:style>
  <w:style w:type="character" w:styleId="55">
    <w:name w:val="HTML Acronym"/>
    <w:basedOn w:val="48"/>
    <w:semiHidden/>
    <w:unhideWhenUsed/>
    <w:qFormat/>
    <w:uiPriority w:val="0"/>
  </w:style>
  <w:style w:type="character" w:styleId="56">
    <w:name w:val="HTML Variable"/>
    <w:basedOn w:val="48"/>
    <w:semiHidden/>
    <w:unhideWhenUsed/>
    <w:qFormat/>
    <w:uiPriority w:val="0"/>
  </w:style>
  <w:style w:type="character" w:styleId="57">
    <w:name w:val="Hyperlink"/>
    <w:basedOn w:val="48"/>
    <w:qFormat/>
    <w:uiPriority w:val="99"/>
    <w:rPr>
      <w:color w:val="0000FF"/>
      <w:u w:val="single"/>
    </w:rPr>
  </w:style>
  <w:style w:type="character" w:styleId="58">
    <w:name w:val="HTML Code"/>
    <w:basedOn w:val="48"/>
    <w:semiHidden/>
    <w:unhideWhenUsed/>
    <w:qFormat/>
    <w:uiPriority w:val="0"/>
    <w:rPr>
      <w:rFonts w:hint="default" w:ascii="monospace" w:hAnsi="monospace" w:eastAsia="monospace" w:cs="monospace"/>
      <w:sz w:val="20"/>
    </w:rPr>
  </w:style>
  <w:style w:type="character" w:styleId="59">
    <w:name w:val="annotation reference"/>
    <w:qFormat/>
    <w:uiPriority w:val="0"/>
    <w:rPr>
      <w:sz w:val="21"/>
      <w:szCs w:val="21"/>
    </w:rPr>
  </w:style>
  <w:style w:type="character" w:styleId="60">
    <w:name w:val="HTML Cite"/>
    <w:semiHidden/>
    <w:unhideWhenUsed/>
    <w:qFormat/>
    <w:uiPriority w:val="0"/>
    <w:rPr>
      <w:sz w:val="24"/>
      <w:szCs w:val="24"/>
    </w:rPr>
  </w:style>
  <w:style w:type="character" w:styleId="61">
    <w:name w:val="footnote reference"/>
    <w:basedOn w:val="48"/>
    <w:semiHidden/>
    <w:unhideWhenUsed/>
    <w:qFormat/>
    <w:uiPriority w:val="0"/>
    <w:rPr>
      <w:vertAlign w:val="superscript"/>
    </w:rPr>
  </w:style>
  <w:style w:type="character" w:styleId="62">
    <w:name w:val="HTML Keyboard"/>
    <w:basedOn w:val="48"/>
    <w:semiHidden/>
    <w:unhideWhenUsed/>
    <w:qFormat/>
    <w:uiPriority w:val="0"/>
    <w:rPr>
      <w:rFonts w:ascii="monospace" w:hAnsi="monospace" w:eastAsia="monospace" w:cs="monospace"/>
      <w:sz w:val="20"/>
    </w:rPr>
  </w:style>
  <w:style w:type="character" w:styleId="63">
    <w:name w:val="HTML Sample"/>
    <w:basedOn w:val="48"/>
    <w:semiHidden/>
    <w:unhideWhenUsed/>
    <w:qFormat/>
    <w:uiPriority w:val="0"/>
    <w:rPr>
      <w:rFonts w:hint="default" w:ascii="monospace" w:hAnsi="monospace" w:eastAsia="monospace" w:cs="monospace"/>
    </w:rPr>
  </w:style>
  <w:style w:type="paragraph" w:customStyle="1" w:styleId="64">
    <w:name w:val="TOC 标题1"/>
    <w:basedOn w:val="6"/>
    <w:next w:val="1"/>
    <w:qFormat/>
    <w:uiPriority w:val="99"/>
    <w:pPr>
      <w:spacing w:before="480" w:after="0" w:line="276" w:lineRule="auto"/>
      <w:outlineLvl w:val="9"/>
    </w:pPr>
    <w:rPr>
      <w:rFonts w:ascii="仿宋" w:hAnsi="仿宋" w:eastAsia="仿宋" w:cs="仿宋"/>
      <w:color w:val="000000"/>
      <w:kern w:val="0"/>
    </w:rPr>
  </w:style>
  <w:style w:type="paragraph" w:customStyle="1" w:styleId="6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正文缩进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67">
    <w:name w:val="+正文"/>
    <w:basedOn w:val="1"/>
    <w:qFormat/>
    <w:uiPriority w:val="99"/>
    <w:pPr>
      <w:spacing w:line="360" w:lineRule="auto"/>
      <w:ind w:firstLine="200" w:firstLineChars="200"/>
    </w:pPr>
  </w:style>
  <w:style w:type="paragraph" w:customStyle="1" w:styleId="68">
    <w:name w:val="列出段落1"/>
    <w:basedOn w:val="1"/>
    <w:qFormat/>
    <w:uiPriority w:val="99"/>
    <w:pPr>
      <w:ind w:firstLine="420" w:firstLineChars="200"/>
    </w:pPr>
  </w:style>
  <w:style w:type="character" w:customStyle="1" w:styleId="69">
    <w:name w:val="标题 1 Char"/>
    <w:link w:val="6"/>
    <w:qFormat/>
    <w:locked/>
    <w:uiPriority w:val="99"/>
    <w:rPr>
      <w:rFonts w:ascii="Calibri" w:hAnsi="Calibri" w:cs="Calibri"/>
      <w:b/>
      <w:bCs/>
      <w:kern w:val="44"/>
      <w:sz w:val="44"/>
      <w:szCs w:val="44"/>
    </w:rPr>
  </w:style>
  <w:style w:type="character" w:customStyle="1" w:styleId="70">
    <w:name w:val="标题 2 Char"/>
    <w:link w:val="7"/>
    <w:qFormat/>
    <w:locked/>
    <w:uiPriority w:val="99"/>
    <w:rPr>
      <w:rFonts w:ascii="Cambria" w:hAnsi="Cambria" w:eastAsia="宋体" w:cs="Cambria"/>
      <w:b/>
      <w:bCs/>
      <w:sz w:val="32"/>
      <w:szCs w:val="32"/>
    </w:rPr>
  </w:style>
  <w:style w:type="character" w:customStyle="1" w:styleId="71">
    <w:name w:val="标题 3 Char"/>
    <w:link w:val="8"/>
    <w:semiHidden/>
    <w:qFormat/>
    <w:locked/>
    <w:uiPriority w:val="99"/>
    <w:rPr>
      <w:rFonts w:ascii="Calibri" w:hAnsi="Calibri" w:cs="Calibri"/>
      <w:b/>
      <w:bCs/>
      <w:sz w:val="32"/>
      <w:szCs w:val="32"/>
    </w:rPr>
  </w:style>
  <w:style w:type="character" w:customStyle="1" w:styleId="72">
    <w:name w:val="标题 4 Char"/>
    <w:link w:val="9"/>
    <w:semiHidden/>
    <w:qFormat/>
    <w:uiPriority w:val="9"/>
    <w:rPr>
      <w:rFonts w:ascii="Cambria" w:hAnsi="Cambria" w:eastAsia="宋体" w:cs="Times New Roman"/>
      <w:b/>
      <w:bCs/>
      <w:sz w:val="28"/>
      <w:szCs w:val="28"/>
    </w:rPr>
  </w:style>
  <w:style w:type="character" w:customStyle="1" w:styleId="73">
    <w:name w:val="批注文字 Char"/>
    <w:link w:val="20"/>
    <w:qFormat/>
    <w:locked/>
    <w:uiPriority w:val="99"/>
    <w:rPr>
      <w:rFonts w:ascii="宋体" w:hAnsi="Calibri" w:eastAsia="宋体" w:cs="宋体"/>
      <w:sz w:val="22"/>
      <w:szCs w:val="22"/>
    </w:rPr>
  </w:style>
  <w:style w:type="character" w:customStyle="1" w:styleId="74">
    <w:name w:val="正文文本 Char"/>
    <w:link w:val="5"/>
    <w:semiHidden/>
    <w:qFormat/>
    <w:locked/>
    <w:uiPriority w:val="99"/>
    <w:rPr>
      <w:rFonts w:ascii="Calibri" w:hAnsi="Calibri" w:cs="Calibri"/>
    </w:rPr>
  </w:style>
  <w:style w:type="character" w:customStyle="1" w:styleId="75">
    <w:name w:val="正文文本缩进 Char"/>
    <w:link w:val="3"/>
    <w:semiHidden/>
    <w:qFormat/>
    <w:uiPriority w:val="99"/>
    <w:rPr>
      <w:rFonts w:ascii="Calibri" w:hAnsi="Calibri" w:cs="Calibri"/>
      <w:szCs w:val="21"/>
    </w:rPr>
  </w:style>
  <w:style w:type="character" w:customStyle="1" w:styleId="76">
    <w:name w:val="纯文本 Char"/>
    <w:link w:val="24"/>
    <w:qFormat/>
    <w:locked/>
    <w:uiPriority w:val="0"/>
    <w:rPr>
      <w:rFonts w:ascii="宋体" w:hAnsi="Courier New" w:cs="宋体"/>
      <w:sz w:val="21"/>
      <w:szCs w:val="21"/>
    </w:rPr>
  </w:style>
  <w:style w:type="character" w:customStyle="1" w:styleId="77">
    <w:name w:val="正文文本缩进 2 Char"/>
    <w:link w:val="27"/>
    <w:semiHidden/>
    <w:qFormat/>
    <w:locked/>
    <w:uiPriority w:val="99"/>
    <w:rPr>
      <w:rFonts w:ascii="Calibri" w:hAnsi="Calibri" w:cs="Calibri"/>
    </w:rPr>
  </w:style>
  <w:style w:type="character" w:customStyle="1" w:styleId="78">
    <w:name w:val="批注框文本 Char"/>
    <w:link w:val="28"/>
    <w:qFormat/>
    <w:locked/>
    <w:uiPriority w:val="99"/>
    <w:rPr>
      <w:rFonts w:ascii="Calibri" w:hAnsi="Calibri" w:eastAsia="宋体" w:cs="Calibri"/>
      <w:kern w:val="2"/>
      <w:sz w:val="18"/>
      <w:szCs w:val="18"/>
    </w:rPr>
  </w:style>
  <w:style w:type="character" w:customStyle="1" w:styleId="79">
    <w:name w:val="页脚 Char"/>
    <w:basedOn w:val="48"/>
    <w:link w:val="29"/>
    <w:qFormat/>
    <w:locked/>
    <w:uiPriority w:val="99"/>
    <w:rPr>
      <w:rFonts w:ascii="Calibri" w:hAnsi="Calibri" w:cs="Calibri"/>
      <w:sz w:val="18"/>
      <w:szCs w:val="18"/>
    </w:rPr>
  </w:style>
  <w:style w:type="character" w:customStyle="1" w:styleId="80">
    <w:name w:val="页眉 Char"/>
    <w:basedOn w:val="48"/>
    <w:link w:val="31"/>
    <w:qFormat/>
    <w:locked/>
    <w:uiPriority w:val="99"/>
    <w:rPr>
      <w:rFonts w:ascii="Calibri" w:hAnsi="Calibri" w:cs="Calibri"/>
      <w:sz w:val="18"/>
      <w:szCs w:val="18"/>
    </w:rPr>
  </w:style>
  <w:style w:type="character" w:customStyle="1" w:styleId="81">
    <w:name w:val="正文文本 2 Char"/>
    <w:link w:val="40"/>
    <w:semiHidden/>
    <w:qFormat/>
    <w:locked/>
    <w:uiPriority w:val="99"/>
    <w:rPr>
      <w:rFonts w:ascii="Calibri" w:hAnsi="Calibri" w:cs="Calibri"/>
    </w:rPr>
  </w:style>
  <w:style w:type="paragraph" w:customStyle="1" w:styleId="82">
    <w:name w:val="Char2 Char Char Char"/>
    <w:basedOn w:val="1"/>
    <w:qFormat/>
    <w:uiPriority w:val="99"/>
    <w:rPr>
      <w:rFonts w:ascii="Tahoma" w:hAnsi="Tahoma" w:cs="Tahoma"/>
      <w:sz w:val="24"/>
      <w:szCs w:val="24"/>
    </w:rPr>
  </w:style>
  <w:style w:type="character" w:customStyle="1" w:styleId="83">
    <w:name w:val="10"/>
    <w:qFormat/>
    <w:uiPriority w:val="99"/>
    <w:rPr>
      <w:rFonts w:ascii="Calibri" w:hAnsi="Calibri" w:cs="Calibri"/>
    </w:rPr>
  </w:style>
  <w:style w:type="character" w:customStyle="1" w:styleId="84">
    <w:name w:val="15"/>
    <w:qFormat/>
    <w:uiPriority w:val="99"/>
    <w:rPr>
      <w:rFonts w:ascii="Calibri" w:hAnsi="Calibri" w:cs="Calibri"/>
      <w:i/>
      <w:iCs/>
    </w:rPr>
  </w:style>
  <w:style w:type="paragraph" w:customStyle="1" w:styleId="85">
    <w:name w:val="_Style 2"/>
    <w:basedOn w:val="1"/>
    <w:qFormat/>
    <w:uiPriority w:val="99"/>
    <w:pPr>
      <w:ind w:firstLine="420" w:firstLineChars="200"/>
    </w:pPr>
  </w:style>
  <w:style w:type="character" w:customStyle="1" w:styleId="86">
    <w:name w:val="apple-style-span"/>
    <w:qFormat/>
    <w:uiPriority w:val="99"/>
  </w:style>
  <w:style w:type="character" w:customStyle="1" w:styleId="87">
    <w:name w:val="del"/>
    <w:basedOn w:val="48"/>
    <w:qFormat/>
    <w:uiPriority w:val="99"/>
  </w:style>
  <w:style w:type="character" w:customStyle="1" w:styleId="88">
    <w:name w:val="del1"/>
    <w:qFormat/>
    <w:uiPriority w:val="99"/>
    <w:rPr>
      <w:vanish/>
      <w:color w:val="auto"/>
      <w:sz w:val="18"/>
      <w:szCs w:val="18"/>
      <w:u w:val="single"/>
    </w:rPr>
  </w:style>
  <w:style w:type="character" w:customStyle="1" w:styleId="89">
    <w:name w:val="del2"/>
    <w:qFormat/>
    <w:uiPriority w:val="99"/>
    <w:rPr>
      <w:vanish/>
    </w:rPr>
  </w:style>
  <w:style w:type="character" w:customStyle="1" w:styleId="90">
    <w:name w:val="del3"/>
    <w:qFormat/>
    <w:uiPriority w:val="99"/>
    <w:rPr>
      <w:vanish/>
    </w:rPr>
  </w:style>
  <w:style w:type="paragraph" w:customStyle="1" w:styleId="91">
    <w:name w:val="_Style 4"/>
    <w:basedOn w:val="1"/>
    <w:qFormat/>
    <w:uiPriority w:val="99"/>
    <w:pPr>
      <w:ind w:firstLine="420" w:firstLineChars="200"/>
    </w:pPr>
  </w:style>
  <w:style w:type="paragraph" w:customStyle="1" w:styleId="92">
    <w:name w:val="pa-1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3">
    <w:name w:val="首行缩进"/>
    <w:basedOn w:val="1"/>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94">
    <w:name w:val="font101"/>
    <w:basedOn w:val="48"/>
    <w:qFormat/>
    <w:uiPriority w:val="0"/>
    <w:rPr>
      <w:rFonts w:hint="eastAsia" w:ascii="宋体" w:hAnsi="宋体" w:eastAsia="宋体" w:cs="宋体"/>
      <w:color w:val="000000"/>
      <w:sz w:val="24"/>
      <w:szCs w:val="24"/>
      <w:u w:val="none"/>
    </w:rPr>
  </w:style>
  <w:style w:type="character" w:customStyle="1" w:styleId="95">
    <w:name w:val="font91"/>
    <w:basedOn w:val="48"/>
    <w:qFormat/>
    <w:uiPriority w:val="0"/>
    <w:rPr>
      <w:rFonts w:hint="eastAsia" w:ascii="宋体" w:hAnsi="宋体" w:eastAsia="宋体" w:cs="宋体"/>
      <w:color w:val="000000"/>
      <w:sz w:val="24"/>
      <w:szCs w:val="24"/>
      <w:u w:val="none"/>
    </w:rPr>
  </w:style>
  <w:style w:type="character" w:customStyle="1" w:styleId="96">
    <w:name w:val="font41"/>
    <w:basedOn w:val="48"/>
    <w:qFormat/>
    <w:uiPriority w:val="0"/>
    <w:rPr>
      <w:rFonts w:hint="eastAsia" w:ascii="宋体" w:hAnsi="宋体" w:eastAsia="宋体" w:cs="宋体"/>
      <w:color w:val="000000"/>
      <w:sz w:val="24"/>
      <w:szCs w:val="24"/>
      <w:u w:val="none"/>
    </w:rPr>
  </w:style>
  <w:style w:type="character" w:customStyle="1" w:styleId="97">
    <w:name w:val="font21"/>
    <w:basedOn w:val="48"/>
    <w:qFormat/>
    <w:uiPriority w:val="0"/>
    <w:rPr>
      <w:rFonts w:hint="eastAsia" w:ascii="宋体" w:hAnsi="宋体" w:eastAsia="宋体" w:cs="宋体"/>
      <w:color w:val="000000"/>
      <w:sz w:val="24"/>
      <w:szCs w:val="24"/>
      <w:u w:val="none"/>
    </w:rPr>
  </w:style>
  <w:style w:type="paragraph" w:styleId="98">
    <w:name w:val="List Paragraph"/>
    <w:basedOn w:val="1"/>
    <w:qFormat/>
    <w:uiPriority w:val="99"/>
    <w:pPr>
      <w:ind w:firstLine="420" w:firstLineChars="200"/>
    </w:pPr>
  </w:style>
  <w:style w:type="table" w:customStyle="1" w:styleId="99">
    <w:name w:val="TableGrid"/>
    <w:qFormat/>
    <w:uiPriority w:val="0"/>
    <w:rPr>
      <w:kern w:val="2"/>
      <w:sz w:val="21"/>
      <w:szCs w:val="22"/>
    </w:rPr>
    <w:tblPr>
      <w:tblCellMar>
        <w:top w:w="0" w:type="dxa"/>
        <w:left w:w="0" w:type="dxa"/>
        <w:bottom w:w="0" w:type="dxa"/>
        <w:right w:w="0" w:type="dxa"/>
      </w:tblCellMar>
    </w:tblPr>
  </w:style>
  <w:style w:type="character" w:customStyle="1" w:styleId="100">
    <w:name w:val="日期 Char"/>
    <w:basedOn w:val="48"/>
    <w:link w:val="26"/>
    <w:qFormat/>
    <w:uiPriority w:val="0"/>
    <w:rPr>
      <w:rFonts w:ascii="Calibri" w:hAnsi="Calibri" w:cs="Calibri"/>
      <w:kern w:val="2"/>
      <w:sz w:val="21"/>
      <w:szCs w:val="21"/>
    </w:rPr>
  </w:style>
  <w:style w:type="character" w:customStyle="1" w:styleId="101">
    <w:name w:val="List Paragraph Char1"/>
    <w:link w:val="102"/>
    <w:qFormat/>
    <w:locked/>
    <w:uiPriority w:val="0"/>
    <w:rPr>
      <w:sz w:val="24"/>
    </w:rPr>
  </w:style>
  <w:style w:type="paragraph" w:customStyle="1" w:styleId="102">
    <w:name w:val="列出段落2"/>
    <w:basedOn w:val="1"/>
    <w:link w:val="101"/>
    <w:qFormat/>
    <w:uiPriority w:val="0"/>
    <w:pPr>
      <w:ind w:firstLine="420" w:firstLineChars="200"/>
    </w:pPr>
    <w:rPr>
      <w:rFonts w:ascii="Times New Roman" w:hAnsi="Times New Roman" w:cs="Times New Roman"/>
      <w:kern w:val="0"/>
      <w:sz w:val="24"/>
      <w:szCs w:val="20"/>
    </w:rPr>
  </w:style>
  <w:style w:type="table" w:customStyle="1" w:styleId="103">
    <w:name w:val="TableGrid1"/>
    <w:qFormat/>
    <w:uiPriority w:val="0"/>
    <w:rPr>
      <w:rFonts w:ascii="Calibri" w:hAnsi="Calibri"/>
      <w:kern w:val="2"/>
      <w:sz w:val="21"/>
      <w:szCs w:val="22"/>
    </w:rPr>
    <w:tblPr>
      <w:tblCellMar>
        <w:top w:w="0" w:type="dxa"/>
        <w:left w:w="0" w:type="dxa"/>
        <w:bottom w:w="0" w:type="dxa"/>
        <w:right w:w="0" w:type="dxa"/>
      </w:tblCellMar>
    </w:tblPr>
  </w:style>
  <w:style w:type="table" w:customStyle="1" w:styleId="104">
    <w:name w:val="TableGrid2"/>
    <w:qFormat/>
    <w:uiPriority w:val="0"/>
    <w:rPr>
      <w:rFonts w:ascii="Calibri" w:hAnsi="Calibri"/>
      <w:kern w:val="2"/>
      <w:sz w:val="21"/>
      <w:szCs w:val="22"/>
    </w:rPr>
    <w:tblPr>
      <w:tblCellMar>
        <w:top w:w="0" w:type="dxa"/>
        <w:left w:w="0" w:type="dxa"/>
        <w:bottom w:w="0" w:type="dxa"/>
        <w:right w:w="0" w:type="dxa"/>
      </w:tblCellMar>
    </w:tblPr>
  </w:style>
  <w:style w:type="table" w:customStyle="1" w:styleId="105">
    <w:name w:val="TableGrid3"/>
    <w:qFormat/>
    <w:uiPriority w:val="0"/>
    <w:rPr>
      <w:rFonts w:ascii="Calibri" w:hAnsi="Calibri"/>
      <w:kern w:val="2"/>
      <w:sz w:val="21"/>
      <w:szCs w:val="22"/>
    </w:rPr>
    <w:tblPr>
      <w:tblCellMar>
        <w:top w:w="0" w:type="dxa"/>
        <w:left w:w="0" w:type="dxa"/>
        <w:bottom w:w="0" w:type="dxa"/>
        <w:right w:w="0" w:type="dxa"/>
      </w:tblCellMar>
    </w:tblPr>
  </w:style>
  <w:style w:type="table" w:customStyle="1" w:styleId="106">
    <w:name w:val="TableGrid4"/>
    <w:qFormat/>
    <w:uiPriority w:val="0"/>
    <w:rPr>
      <w:rFonts w:ascii="Calibri" w:hAnsi="Calibri"/>
      <w:kern w:val="2"/>
      <w:sz w:val="21"/>
      <w:szCs w:val="22"/>
    </w:rPr>
    <w:tblPr>
      <w:tblCellMar>
        <w:top w:w="0" w:type="dxa"/>
        <w:left w:w="0" w:type="dxa"/>
        <w:bottom w:w="0" w:type="dxa"/>
        <w:right w:w="0" w:type="dxa"/>
      </w:tblCellMar>
    </w:tblPr>
  </w:style>
  <w:style w:type="table" w:customStyle="1" w:styleId="107">
    <w:name w:val="TableGrid5"/>
    <w:qFormat/>
    <w:uiPriority w:val="0"/>
    <w:rPr>
      <w:rFonts w:ascii="Calibri" w:hAnsi="Calibri"/>
      <w:kern w:val="2"/>
      <w:sz w:val="21"/>
      <w:szCs w:val="22"/>
    </w:rPr>
    <w:tblPr>
      <w:tblCellMar>
        <w:top w:w="0" w:type="dxa"/>
        <w:left w:w="0" w:type="dxa"/>
        <w:bottom w:w="0" w:type="dxa"/>
        <w:right w:w="0" w:type="dxa"/>
      </w:tblCellMar>
    </w:tblPr>
  </w:style>
  <w:style w:type="table" w:customStyle="1" w:styleId="108">
    <w:name w:val="TableGrid6"/>
    <w:qFormat/>
    <w:uiPriority w:val="0"/>
    <w:rPr>
      <w:rFonts w:ascii="Calibri" w:hAnsi="Calibri"/>
      <w:kern w:val="2"/>
      <w:sz w:val="21"/>
      <w:szCs w:val="22"/>
    </w:rPr>
    <w:tblPr>
      <w:tblCellMar>
        <w:top w:w="0" w:type="dxa"/>
        <w:left w:w="0" w:type="dxa"/>
        <w:bottom w:w="0" w:type="dxa"/>
        <w:right w:w="0" w:type="dxa"/>
      </w:tblCellMar>
    </w:tblPr>
  </w:style>
  <w:style w:type="table" w:customStyle="1" w:styleId="109">
    <w:name w:val="TableGrid7"/>
    <w:qFormat/>
    <w:uiPriority w:val="0"/>
    <w:rPr>
      <w:rFonts w:ascii="Calibri" w:hAnsi="Calibri"/>
      <w:kern w:val="2"/>
      <w:sz w:val="21"/>
      <w:szCs w:val="22"/>
    </w:rPr>
    <w:tblPr>
      <w:tblCellMar>
        <w:top w:w="0" w:type="dxa"/>
        <w:left w:w="0" w:type="dxa"/>
        <w:bottom w:w="0" w:type="dxa"/>
        <w:right w:w="0" w:type="dxa"/>
      </w:tblCellMar>
    </w:tblPr>
  </w:style>
  <w:style w:type="character" w:customStyle="1" w:styleId="110">
    <w:name w:val="批注主题 Char"/>
    <w:basedOn w:val="73"/>
    <w:link w:val="45"/>
    <w:semiHidden/>
    <w:qFormat/>
    <w:uiPriority w:val="99"/>
    <w:rPr>
      <w:rFonts w:ascii="Calibri" w:hAnsi="Calibri" w:eastAsia="宋体" w:cs="Calibri"/>
      <w:b/>
      <w:bCs/>
      <w:kern w:val="2"/>
      <w:sz w:val="21"/>
      <w:szCs w:val="21"/>
    </w:rPr>
  </w:style>
  <w:style w:type="paragraph" w:customStyle="1" w:styleId="111">
    <w:name w:val="列出段落3"/>
    <w:basedOn w:val="1"/>
    <w:qFormat/>
    <w:uiPriority w:val="0"/>
    <w:pPr>
      <w:ind w:firstLine="420" w:firstLineChars="200"/>
    </w:pPr>
    <w:rPr>
      <w:rFonts w:ascii="Times New Roman" w:hAnsi="Times New Roman" w:cs="Times New Roman"/>
      <w:kern w:val="0"/>
      <w:sz w:val="24"/>
      <w:szCs w:val="20"/>
    </w:rPr>
  </w:style>
  <w:style w:type="table" w:customStyle="1" w:styleId="112">
    <w:name w:val="TableGrid8"/>
    <w:qFormat/>
    <w:uiPriority w:val="0"/>
    <w:rPr>
      <w:rFonts w:ascii="Calibri" w:hAnsi="Calibri"/>
      <w:kern w:val="2"/>
      <w:sz w:val="21"/>
      <w:szCs w:val="22"/>
    </w:rPr>
    <w:tblPr>
      <w:tblCellMar>
        <w:top w:w="0" w:type="dxa"/>
        <w:left w:w="0" w:type="dxa"/>
        <w:bottom w:w="0" w:type="dxa"/>
        <w:right w:w="0" w:type="dxa"/>
      </w:tblCellMar>
    </w:tblPr>
  </w:style>
  <w:style w:type="table" w:customStyle="1" w:styleId="113">
    <w:name w:val="TableGrid9"/>
    <w:qFormat/>
    <w:uiPriority w:val="0"/>
    <w:rPr>
      <w:kern w:val="2"/>
      <w:sz w:val="21"/>
      <w:szCs w:val="22"/>
    </w:rPr>
    <w:tblPr>
      <w:tblCellMar>
        <w:top w:w="0" w:type="dxa"/>
        <w:left w:w="0" w:type="dxa"/>
        <w:bottom w:w="0" w:type="dxa"/>
        <w:right w:w="0" w:type="dxa"/>
      </w:tblCellMar>
    </w:tblPr>
  </w:style>
  <w:style w:type="table" w:customStyle="1" w:styleId="114">
    <w:name w:val="TableGrid10"/>
    <w:qFormat/>
    <w:uiPriority w:val="0"/>
    <w:rPr>
      <w:rFonts w:ascii="Calibri" w:hAnsi="Calibri"/>
      <w:kern w:val="2"/>
      <w:sz w:val="21"/>
      <w:szCs w:val="22"/>
    </w:rPr>
    <w:tblPr>
      <w:tblCellMar>
        <w:top w:w="0" w:type="dxa"/>
        <w:left w:w="0" w:type="dxa"/>
        <w:bottom w:w="0" w:type="dxa"/>
        <w:right w:w="0" w:type="dxa"/>
      </w:tblCellMar>
    </w:tblPr>
  </w:style>
  <w:style w:type="table" w:customStyle="1" w:styleId="115">
    <w:name w:val="TableGrid11"/>
    <w:qFormat/>
    <w:uiPriority w:val="0"/>
    <w:rPr>
      <w:rFonts w:ascii="Calibri" w:hAnsi="Calibri"/>
      <w:kern w:val="2"/>
      <w:sz w:val="21"/>
      <w:szCs w:val="22"/>
    </w:rPr>
    <w:tblPr>
      <w:tblCellMar>
        <w:top w:w="0" w:type="dxa"/>
        <w:left w:w="0" w:type="dxa"/>
        <w:bottom w:w="0" w:type="dxa"/>
        <w:right w:w="0" w:type="dxa"/>
      </w:tblCellMar>
    </w:tblPr>
  </w:style>
  <w:style w:type="table" w:customStyle="1" w:styleId="116">
    <w:name w:val="TableGrid12"/>
    <w:qFormat/>
    <w:uiPriority w:val="0"/>
    <w:rPr>
      <w:kern w:val="2"/>
      <w:sz w:val="21"/>
      <w:szCs w:val="22"/>
    </w:rPr>
    <w:tblPr>
      <w:tblCellMar>
        <w:top w:w="0" w:type="dxa"/>
        <w:left w:w="0" w:type="dxa"/>
        <w:bottom w:w="0" w:type="dxa"/>
        <w:right w:w="0" w:type="dxa"/>
      </w:tblCellMar>
    </w:tblPr>
  </w:style>
  <w:style w:type="table" w:customStyle="1" w:styleId="117">
    <w:name w:val="TableGrid13"/>
    <w:qFormat/>
    <w:uiPriority w:val="0"/>
    <w:rPr>
      <w:rFonts w:ascii="Calibri" w:hAnsi="Calibri"/>
      <w:kern w:val="2"/>
      <w:sz w:val="21"/>
      <w:szCs w:val="22"/>
    </w:rPr>
    <w:tblPr>
      <w:tblCellMar>
        <w:top w:w="0" w:type="dxa"/>
        <w:left w:w="0" w:type="dxa"/>
        <w:bottom w:w="0" w:type="dxa"/>
        <w:right w:w="0" w:type="dxa"/>
      </w:tblCellMar>
    </w:tblPr>
  </w:style>
  <w:style w:type="table" w:customStyle="1" w:styleId="118">
    <w:name w:val="TableGrid14"/>
    <w:qFormat/>
    <w:uiPriority w:val="0"/>
    <w:rPr>
      <w:rFonts w:ascii="Calibri" w:hAnsi="Calibri"/>
      <w:kern w:val="2"/>
      <w:sz w:val="21"/>
      <w:szCs w:val="22"/>
    </w:rPr>
    <w:tblPr>
      <w:tblCellMar>
        <w:top w:w="0" w:type="dxa"/>
        <w:left w:w="0" w:type="dxa"/>
        <w:bottom w:w="0" w:type="dxa"/>
        <w:right w:w="0" w:type="dxa"/>
      </w:tblCellMar>
    </w:tblPr>
  </w:style>
  <w:style w:type="table" w:customStyle="1" w:styleId="119">
    <w:name w:val="TableGrid15"/>
    <w:qFormat/>
    <w:uiPriority w:val="0"/>
    <w:rPr>
      <w:rFonts w:ascii="Calibri" w:hAnsi="Calibri"/>
      <w:kern w:val="2"/>
      <w:sz w:val="21"/>
      <w:szCs w:val="22"/>
    </w:rPr>
    <w:tblPr>
      <w:tblCellMar>
        <w:top w:w="0" w:type="dxa"/>
        <w:left w:w="0" w:type="dxa"/>
        <w:bottom w:w="0" w:type="dxa"/>
        <w:right w:w="0" w:type="dxa"/>
      </w:tblCellMar>
    </w:tblPr>
  </w:style>
  <w:style w:type="table" w:customStyle="1" w:styleId="120">
    <w:name w:val="网格型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1">
    <w:name w:val="high-light-bg4"/>
    <w:basedOn w:val="48"/>
    <w:qFormat/>
    <w:uiPriority w:val="0"/>
  </w:style>
  <w:style w:type="paragraph" w:customStyle="1" w:styleId="122">
    <w:name w:val="!正文"/>
    <w:qFormat/>
    <w:uiPriority w:val="0"/>
    <w:pPr>
      <w:widowControl w:val="0"/>
      <w:spacing w:line="360" w:lineRule="auto"/>
      <w:ind w:firstLine="200" w:firstLineChars="200"/>
      <w:jc w:val="both"/>
    </w:pPr>
    <w:rPr>
      <w:rFonts w:ascii="宋体" w:hAnsi="宋体" w:eastAsia="宋体" w:cs="Times New Roman"/>
      <w:kern w:val="2"/>
      <w:sz w:val="24"/>
      <w:szCs w:val="28"/>
      <w:lang w:val="en-US" w:eastAsia="zh-CN" w:bidi="ar-SA"/>
    </w:rPr>
  </w:style>
  <w:style w:type="character" w:customStyle="1" w:styleId="123">
    <w:name w:val="font71"/>
    <w:basedOn w:val="48"/>
    <w:qFormat/>
    <w:uiPriority w:val="0"/>
    <w:rPr>
      <w:rFonts w:hint="eastAsia" w:ascii="宋体" w:hAnsi="宋体" w:eastAsia="宋体" w:cs="宋体"/>
      <w:color w:val="000000"/>
      <w:sz w:val="24"/>
      <w:szCs w:val="24"/>
      <w:u w:val="none"/>
    </w:rPr>
  </w:style>
  <w:style w:type="paragraph" w:customStyle="1" w:styleId="124">
    <w:name w:val="Table Paragraph"/>
    <w:basedOn w:val="1"/>
    <w:unhideWhenUsed/>
    <w:qFormat/>
    <w:uiPriority w:val="1"/>
    <w:rPr>
      <w:rFonts w:hint="default"/>
      <w:sz w:val="24"/>
    </w:rPr>
  </w:style>
  <w:style w:type="paragraph" w:customStyle="1" w:styleId="125">
    <w:name w:val="正文格式"/>
    <w:basedOn w:val="1"/>
    <w:qFormat/>
    <w:uiPriority w:val="0"/>
    <w:pPr>
      <w:adjustRightInd w:val="0"/>
      <w:snapToGrid w:val="0"/>
      <w:spacing w:line="400" w:lineRule="atLeast"/>
      <w:ind w:firstLine="482"/>
      <w:textAlignment w:val="baseline"/>
    </w:pPr>
  </w:style>
  <w:style w:type="paragraph" w:customStyle="1" w:styleId="126">
    <w:name w:val="xl29"/>
    <w:basedOn w:val="1"/>
    <w:qFormat/>
    <w:uiPriority w:val="0"/>
    <w:pPr>
      <w:widowControl/>
      <w:pBdr>
        <w:bottom w:val="single" w:color="auto" w:sz="4" w:space="0"/>
        <w:right w:val="single" w:color="auto" w:sz="12" w:space="0"/>
      </w:pBdr>
      <w:spacing w:before="100" w:beforeAutospacing="1" w:after="100" w:afterAutospacing="1" w:line="360" w:lineRule="auto"/>
      <w:ind w:firstLine="420" w:firstLineChars="200"/>
      <w:jc w:val="left"/>
      <w:textAlignment w:val="top"/>
    </w:pPr>
    <w:rPr>
      <w:rFonts w:ascii="Arial Unicode MS" w:hAnsi="Times New Roman" w:eastAsia="Arial Unicode MS" w:cs="Times New Roman"/>
      <w:kern w:val="0"/>
      <w:sz w:val="24"/>
      <w:szCs w:val="24"/>
    </w:rPr>
  </w:style>
  <w:style w:type="paragraph" w:customStyle="1" w:styleId="127">
    <w:name w:val="正文无缩进"/>
    <w:basedOn w:val="1"/>
    <w:qFormat/>
    <w:uiPriority w:val="0"/>
    <w:pPr>
      <w:spacing w:beforeLines="50" w:line="300" w:lineRule="auto"/>
      <w:ind w:firstLine="420" w:firstLineChars="200"/>
      <w:jc w:val="center"/>
    </w:pPr>
    <w:rPr>
      <w:rFonts w:ascii="宋体" w:hAnsi="宋体" w:eastAsia="宋体" w:cs="Times New Roman"/>
      <w:sz w:val="24"/>
      <w:szCs w:val="24"/>
    </w:rPr>
  </w:style>
  <w:style w:type="paragraph" w:customStyle="1" w:styleId="12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9">
    <w:name w:val="Char Char1"/>
    <w:basedOn w:val="1"/>
    <w:qFormat/>
    <w:uiPriority w:val="0"/>
    <w:pPr>
      <w:widowControl/>
      <w:spacing w:after="160" w:line="240" w:lineRule="exact"/>
      <w:ind w:firstLine="420" w:firstLineChars="200"/>
      <w:jc w:val="left"/>
    </w:pPr>
    <w:rPr>
      <w:rFonts w:ascii="Verdana" w:hAnsi="Verdana" w:eastAsia="宋体" w:cs="Times New Roman"/>
      <w:kern w:val="0"/>
      <w:sz w:val="20"/>
      <w:szCs w:val="24"/>
      <w:lang w:eastAsia="en-US"/>
    </w:rPr>
  </w:style>
  <w:style w:type="paragraph" w:customStyle="1" w:styleId="130">
    <w:name w:val="4"/>
    <w:basedOn w:val="1"/>
    <w:qFormat/>
    <w:uiPriority w:val="0"/>
    <w:pPr>
      <w:spacing w:line="300" w:lineRule="auto"/>
      <w:ind w:firstLine="480" w:firstLineChars="200"/>
      <w:jc w:val="left"/>
    </w:pPr>
    <w:rPr>
      <w:rFonts w:ascii="Times New Roman" w:hAnsi="Times New Roman" w:eastAsia="宋体" w:cs="Times New Roman"/>
      <w:sz w:val="24"/>
      <w:szCs w:val="20"/>
    </w:rPr>
  </w:style>
  <w:style w:type="paragraph" w:customStyle="1" w:styleId="131">
    <w:name w:val="Char"/>
    <w:basedOn w:val="1"/>
    <w:qFormat/>
    <w:uiPriority w:val="0"/>
    <w:pPr>
      <w:tabs>
        <w:tab w:val="left" w:pos="360"/>
      </w:tabs>
      <w:spacing w:line="360" w:lineRule="auto"/>
      <w:ind w:firstLine="420" w:firstLineChars="200"/>
      <w:jc w:val="left"/>
    </w:pPr>
    <w:rPr>
      <w:rFonts w:ascii="Times New Roman" w:hAnsi="Times New Roman" w:eastAsia="宋体" w:cs="Times New Roman"/>
      <w:sz w:val="24"/>
      <w:szCs w:val="24"/>
    </w:rPr>
  </w:style>
  <w:style w:type="paragraph" w:customStyle="1" w:styleId="132">
    <w:name w:val="Char Char3 Char Char Char Char"/>
    <w:basedOn w:val="1"/>
    <w:qFormat/>
    <w:uiPriority w:val="0"/>
    <w:pPr>
      <w:widowControl/>
      <w:spacing w:after="160" w:line="240" w:lineRule="exact"/>
      <w:ind w:firstLine="420" w:firstLineChars="200"/>
      <w:jc w:val="left"/>
    </w:pPr>
    <w:rPr>
      <w:rFonts w:ascii="Verdana" w:hAnsi="Verdana" w:eastAsia="宋体" w:cs="Times New Roman"/>
      <w:kern w:val="0"/>
      <w:sz w:val="20"/>
      <w:szCs w:val="20"/>
      <w:lang w:eastAsia="en-US"/>
    </w:rPr>
  </w:style>
  <w:style w:type="paragraph" w:customStyle="1" w:styleId="133">
    <w:name w:val="Char Char Char Char"/>
    <w:basedOn w:val="19"/>
    <w:qFormat/>
    <w:uiPriority w:val="0"/>
    <w:pPr>
      <w:widowControl/>
      <w:shd w:val="clear" w:color="auto" w:fill="000080"/>
      <w:ind w:firstLine="454"/>
    </w:pPr>
    <w:rPr>
      <w:rFonts w:ascii="Tahoma" w:hAnsi="Tahoma" w:cs="宋体"/>
      <w:kern w:val="0"/>
      <w:sz w:val="21"/>
      <w:szCs w:val="20"/>
    </w:rPr>
  </w:style>
  <w:style w:type="paragraph" w:customStyle="1" w:styleId="134">
    <w:name w:val="Indent Normal"/>
    <w:basedOn w:val="1"/>
    <w:qFormat/>
    <w:uiPriority w:val="0"/>
    <w:pPr>
      <w:spacing w:line="360" w:lineRule="auto"/>
      <w:ind w:firstLine="150" w:firstLineChars="150"/>
      <w:jc w:val="left"/>
    </w:pPr>
    <w:rPr>
      <w:rFonts w:ascii="Times New Roman" w:hAnsi="Times New Roman" w:eastAsia="宋体" w:cs="Times New Roman"/>
      <w:sz w:val="24"/>
      <w:szCs w:val="24"/>
    </w:rPr>
  </w:style>
  <w:style w:type="paragraph" w:customStyle="1" w:styleId="135">
    <w:name w:val="助手文本"/>
    <w:basedOn w:val="1"/>
    <w:qFormat/>
    <w:uiPriority w:val="0"/>
    <w:pPr>
      <w:autoSpaceDE w:val="0"/>
      <w:autoSpaceDN w:val="0"/>
      <w:adjustRightInd w:val="0"/>
      <w:spacing w:beforeLines="50" w:afterLines="50" w:line="360" w:lineRule="auto"/>
      <w:ind w:left="14" w:firstLine="434" w:firstLineChars="200"/>
      <w:jc w:val="left"/>
      <w:textAlignment w:val="baseline"/>
    </w:pPr>
    <w:rPr>
      <w:rFonts w:ascii="楷体_GB2312" w:hAnsi="Times New Roman" w:eastAsia="楷体_GB2312" w:cs="Times New Roman"/>
      <w:kern w:val="0"/>
      <w:sz w:val="24"/>
      <w:szCs w:val="20"/>
      <w:u w:val="single"/>
    </w:rPr>
  </w:style>
  <w:style w:type="paragraph" w:customStyle="1" w:styleId="136">
    <w:name w:val="样式1"/>
    <w:basedOn w:val="1"/>
    <w:link w:val="190"/>
    <w:qFormat/>
    <w:uiPriority w:val="0"/>
    <w:pPr>
      <w:spacing w:line="300" w:lineRule="auto"/>
      <w:ind w:firstLine="480" w:firstLineChars="200"/>
      <w:jc w:val="left"/>
    </w:pPr>
    <w:rPr>
      <w:rFonts w:ascii="Times New Roman" w:hAnsi="Times New Roman" w:eastAsia="宋体" w:cs="Times New Roman"/>
      <w:sz w:val="24"/>
      <w:szCs w:val="24"/>
    </w:rPr>
  </w:style>
  <w:style w:type="paragraph" w:customStyle="1" w:styleId="137">
    <w:name w:val="正文--表格内正文"/>
    <w:basedOn w:val="1"/>
    <w:qFormat/>
    <w:uiPriority w:val="0"/>
    <w:pPr>
      <w:spacing w:beforeLines="50" w:line="0" w:lineRule="atLeast"/>
      <w:ind w:firstLine="420" w:firstLineChars="200"/>
      <w:jc w:val="center"/>
    </w:pPr>
    <w:rPr>
      <w:rFonts w:ascii="宋体" w:hAnsi="宋体" w:eastAsia="宋体" w:cs="Times New Roman"/>
      <w:sz w:val="24"/>
      <w:szCs w:val="24"/>
    </w:rPr>
  </w:style>
  <w:style w:type="paragraph" w:customStyle="1" w:styleId="138">
    <w:name w:val="Char Char1 Char Char Char Char Char Char"/>
    <w:basedOn w:val="1"/>
    <w:qFormat/>
    <w:uiPriority w:val="0"/>
    <w:pPr>
      <w:widowControl/>
      <w:spacing w:after="160" w:line="240" w:lineRule="exact"/>
      <w:ind w:firstLine="420" w:firstLineChars="200"/>
      <w:jc w:val="left"/>
    </w:pPr>
    <w:rPr>
      <w:rFonts w:ascii="Verdana" w:hAnsi="Verdana" w:eastAsia="仿宋_GB2312" w:cs="Times New Roman"/>
      <w:kern w:val="0"/>
      <w:sz w:val="24"/>
      <w:szCs w:val="20"/>
      <w:lang w:eastAsia="en-US"/>
    </w:rPr>
  </w:style>
  <w:style w:type="paragraph" w:customStyle="1" w:styleId="139">
    <w:name w:val="样式4 Char"/>
    <w:basedOn w:val="1"/>
    <w:qFormat/>
    <w:uiPriority w:val="0"/>
    <w:pPr>
      <w:widowControl/>
      <w:spacing w:line="360" w:lineRule="auto"/>
      <w:ind w:firstLine="480" w:firstLineChars="200"/>
      <w:jc w:val="left"/>
    </w:pPr>
    <w:rPr>
      <w:rFonts w:ascii="Times New Roman" w:hAnsi="Times New Roman" w:eastAsia="宋体" w:cs="Times New Roman"/>
      <w:color w:val="000000"/>
      <w:kern w:val="0"/>
      <w:sz w:val="24"/>
      <w:szCs w:val="24"/>
    </w:rPr>
  </w:style>
  <w:style w:type="paragraph" w:customStyle="1" w:styleId="140">
    <w:name w:val="paragraphindent"/>
    <w:basedOn w:val="1"/>
    <w:qFormat/>
    <w:uiPriority w:val="0"/>
    <w:pPr>
      <w:widowControl/>
      <w:spacing w:before="100" w:beforeAutospacing="1" w:after="100" w:afterAutospacing="1" w:line="360" w:lineRule="auto"/>
      <w:ind w:firstLine="420" w:firstLineChars="200"/>
      <w:jc w:val="left"/>
    </w:pPr>
    <w:rPr>
      <w:rFonts w:ascii="宋体" w:hAnsi="宋体" w:eastAsia="宋体" w:cs="宋体"/>
      <w:kern w:val="0"/>
      <w:sz w:val="24"/>
      <w:szCs w:val="24"/>
    </w:rPr>
  </w:style>
  <w:style w:type="paragraph" w:customStyle="1" w:styleId="141">
    <w:name w:val="FA正文"/>
    <w:basedOn w:val="1"/>
    <w:link w:val="172"/>
    <w:qFormat/>
    <w:uiPriority w:val="0"/>
    <w:pPr>
      <w:tabs>
        <w:tab w:val="left" w:pos="3375"/>
      </w:tabs>
      <w:spacing w:line="360" w:lineRule="auto"/>
      <w:ind w:firstLine="520" w:firstLineChars="200"/>
      <w:jc w:val="left"/>
    </w:pPr>
    <w:rPr>
      <w:rFonts w:ascii="宋体" w:hAnsi="宋体" w:eastAsia="宋体" w:cs="Times New Roman"/>
      <w:spacing w:val="10"/>
      <w:sz w:val="24"/>
      <w:szCs w:val="24"/>
    </w:rPr>
  </w:style>
  <w:style w:type="paragraph" w:customStyle="1" w:styleId="142">
    <w:name w:val="14_black"/>
    <w:basedOn w:val="1"/>
    <w:qFormat/>
    <w:uiPriority w:val="0"/>
    <w:pPr>
      <w:widowControl/>
      <w:spacing w:before="100" w:beforeAutospacing="1" w:after="100" w:afterAutospacing="1" w:line="360" w:lineRule="auto"/>
      <w:ind w:firstLine="420" w:firstLineChars="200"/>
      <w:jc w:val="left"/>
    </w:pPr>
    <w:rPr>
      <w:rFonts w:ascii="宋体" w:hAnsi="宋体" w:eastAsia="宋体" w:cs="宋体"/>
      <w:color w:val="000000"/>
      <w:kern w:val="0"/>
      <w:sz w:val="23"/>
      <w:szCs w:val="23"/>
    </w:rPr>
  </w:style>
  <w:style w:type="paragraph" w:customStyle="1" w:styleId="143">
    <w:name w:val="È±Ê¡ÎÄ±¾"/>
    <w:basedOn w:val="1"/>
    <w:qFormat/>
    <w:uiPriority w:val="0"/>
    <w:pPr>
      <w:widowControl/>
      <w:overflowPunct w:val="0"/>
      <w:autoSpaceDE w:val="0"/>
      <w:autoSpaceDN w:val="0"/>
      <w:adjustRightInd w:val="0"/>
      <w:spacing w:line="360" w:lineRule="auto"/>
      <w:ind w:firstLine="420" w:firstLineChars="200"/>
      <w:jc w:val="left"/>
      <w:textAlignment w:val="baseline"/>
    </w:pPr>
    <w:rPr>
      <w:rFonts w:ascii="Times New Roman" w:hAnsi="Times New Roman" w:eastAsia="宋体" w:cs="Times New Roman"/>
      <w:kern w:val="0"/>
      <w:sz w:val="24"/>
      <w:szCs w:val="20"/>
    </w:rPr>
  </w:style>
  <w:style w:type="paragraph" w:customStyle="1" w:styleId="144">
    <w:name w:val="样式2"/>
    <w:basedOn w:val="1"/>
    <w:link w:val="176"/>
    <w:qFormat/>
    <w:uiPriority w:val="0"/>
    <w:pPr>
      <w:spacing w:before="120" w:after="120" w:line="360" w:lineRule="auto"/>
      <w:ind w:firstLine="420" w:firstLineChars="200"/>
      <w:jc w:val="left"/>
      <w:outlineLvl w:val="1"/>
    </w:pPr>
    <w:rPr>
      <w:rFonts w:ascii="Times New Roman" w:hAnsi="Times New Roman" w:eastAsia="宋体" w:cs="Times New Roman"/>
      <w:b/>
      <w:sz w:val="30"/>
      <w:szCs w:val="24"/>
    </w:rPr>
  </w:style>
  <w:style w:type="paragraph" w:customStyle="1" w:styleId="145">
    <w:name w:val="样式3"/>
    <w:basedOn w:val="31"/>
    <w:link w:val="177"/>
    <w:qFormat/>
    <w:uiPriority w:val="0"/>
    <w:pPr>
      <w:pBdr>
        <w:bottom w:val="none" w:color="auto" w:sz="0" w:space="0"/>
      </w:pBdr>
      <w:spacing w:line="360" w:lineRule="auto"/>
      <w:ind w:firstLine="360" w:firstLineChars="200"/>
    </w:pPr>
    <w:rPr>
      <w:rFonts w:ascii="Times New Roman" w:hAnsi="Times New Roman" w:eastAsia="宋体" w:cs="Times New Roman"/>
    </w:rPr>
  </w:style>
  <w:style w:type="paragraph" w:customStyle="1" w:styleId="146">
    <w:name w:val="样式4"/>
    <w:basedOn w:val="145"/>
    <w:link w:val="178"/>
    <w:qFormat/>
    <w:uiPriority w:val="0"/>
  </w:style>
  <w:style w:type="paragraph" w:customStyle="1" w:styleId="147">
    <w:name w:val="样式5"/>
    <w:basedOn w:val="31"/>
    <w:link w:val="179"/>
    <w:qFormat/>
    <w:uiPriority w:val="0"/>
    <w:pPr>
      <w:pBdr>
        <w:bottom w:val="none" w:color="auto" w:sz="0" w:space="0"/>
      </w:pBdr>
      <w:spacing w:line="360" w:lineRule="auto"/>
      <w:ind w:firstLine="360" w:firstLineChars="200"/>
    </w:pPr>
    <w:rPr>
      <w:rFonts w:ascii="Times New Roman" w:hAnsi="Times New Roman" w:eastAsia="宋体" w:cs="Times New Roman"/>
    </w:rPr>
  </w:style>
  <w:style w:type="paragraph" w:customStyle="1" w:styleId="148">
    <w:name w:val="样式6"/>
    <w:basedOn w:val="31"/>
    <w:link w:val="180"/>
    <w:qFormat/>
    <w:uiPriority w:val="0"/>
    <w:pPr>
      <w:pBdr>
        <w:bottom w:val="none" w:color="auto" w:sz="0" w:space="0"/>
      </w:pBdr>
      <w:spacing w:line="360" w:lineRule="auto"/>
      <w:ind w:firstLine="360" w:firstLineChars="200"/>
    </w:pPr>
    <w:rPr>
      <w:rFonts w:ascii="Times New Roman" w:hAnsi="Times New Roman" w:eastAsia="宋体" w:cs="Times New Roman"/>
    </w:rPr>
  </w:style>
  <w:style w:type="paragraph" w:customStyle="1" w:styleId="149">
    <w:name w:val="样式7"/>
    <w:basedOn w:val="8"/>
    <w:link w:val="181"/>
    <w:qFormat/>
    <w:uiPriority w:val="0"/>
    <w:pPr>
      <w:numPr>
        <w:ilvl w:val="2"/>
        <w:numId w:val="2"/>
      </w:numPr>
      <w:tabs>
        <w:tab w:val="left" w:pos="567"/>
      </w:tabs>
      <w:spacing w:before="120" w:after="120" w:line="360" w:lineRule="auto"/>
      <w:ind w:firstLine="420" w:firstLineChars="0"/>
    </w:pPr>
    <w:rPr>
      <w:rFonts w:ascii="Times New Roman" w:hAnsi="Times New Roman" w:eastAsia="宋体" w:cs="Times New Roman"/>
      <w:sz w:val="28"/>
      <w:szCs w:val="18"/>
    </w:rPr>
  </w:style>
  <w:style w:type="paragraph" w:customStyle="1" w:styleId="150">
    <w:name w:val="样式8"/>
    <w:basedOn w:val="29"/>
    <w:link w:val="182"/>
    <w:qFormat/>
    <w:uiPriority w:val="0"/>
    <w:pPr>
      <w:spacing w:line="360" w:lineRule="auto"/>
      <w:ind w:firstLine="0" w:firstLineChars="0"/>
      <w:jc w:val="left"/>
    </w:pPr>
    <w:rPr>
      <w:rFonts w:ascii="Times New Roman" w:hAnsi="Times New Roman" w:eastAsia="宋体" w:cs="Times New Roman"/>
    </w:rPr>
  </w:style>
  <w:style w:type="paragraph" w:customStyle="1" w:styleId="151">
    <w:name w:val="样式9"/>
    <w:basedOn w:val="150"/>
    <w:link w:val="183"/>
    <w:qFormat/>
    <w:uiPriority w:val="0"/>
    <w:pPr>
      <w:jc w:val="center"/>
    </w:pPr>
  </w:style>
  <w:style w:type="paragraph" w:customStyle="1" w:styleId="152">
    <w:name w:val="样式10"/>
    <w:basedOn w:val="151"/>
    <w:link w:val="184"/>
    <w:qFormat/>
    <w:uiPriority w:val="0"/>
    <w:pPr>
      <w:pBdr>
        <w:top w:val="single" w:color="76923C" w:sz="24" w:space="1"/>
      </w:pBdr>
    </w:pPr>
  </w:style>
  <w:style w:type="paragraph" w:customStyle="1" w:styleId="153">
    <w:name w:val="样式11"/>
    <w:basedOn w:val="152"/>
    <w:link w:val="185"/>
    <w:qFormat/>
    <w:uiPriority w:val="0"/>
    <w:pPr>
      <w:pBdr>
        <w:top w:val="none" w:color="auto" w:sz="0" w:space="0"/>
      </w:pBdr>
    </w:pPr>
  </w:style>
  <w:style w:type="paragraph" w:customStyle="1" w:styleId="154">
    <w:name w:val="样式12"/>
    <w:basedOn w:val="153"/>
    <w:link w:val="186"/>
    <w:qFormat/>
    <w:uiPriority w:val="0"/>
  </w:style>
  <w:style w:type="paragraph" w:customStyle="1" w:styleId="155">
    <w:name w:val="样式13"/>
    <w:basedOn w:val="149"/>
    <w:link w:val="187"/>
    <w:qFormat/>
    <w:uiPriority w:val="0"/>
  </w:style>
  <w:style w:type="paragraph" w:customStyle="1" w:styleId="156">
    <w:name w:val="2"/>
    <w:basedOn w:val="1"/>
    <w:link w:val="188"/>
    <w:qFormat/>
    <w:uiPriority w:val="0"/>
    <w:pPr>
      <w:autoSpaceDE w:val="0"/>
      <w:autoSpaceDN w:val="0"/>
      <w:adjustRightInd w:val="0"/>
      <w:spacing w:line="360" w:lineRule="auto"/>
      <w:ind w:firstLine="0" w:firstLineChars="0"/>
      <w:jc w:val="center"/>
    </w:pPr>
    <w:rPr>
      <w:rFonts w:ascii="Times New Roman" w:hAnsi="Times New Roman" w:eastAsia="宋体" w:cs="Times New Roman"/>
      <w:spacing w:val="4"/>
      <w:szCs w:val="24"/>
    </w:rPr>
  </w:style>
  <w:style w:type="paragraph" w:customStyle="1" w:styleId="157">
    <w:name w:val="1"/>
    <w:basedOn w:val="1"/>
    <w:link w:val="189"/>
    <w:qFormat/>
    <w:uiPriority w:val="0"/>
    <w:pPr>
      <w:spacing w:line="360" w:lineRule="auto"/>
      <w:ind w:firstLine="0" w:firstLineChars="0"/>
      <w:jc w:val="left"/>
    </w:pPr>
    <w:rPr>
      <w:rFonts w:ascii="Times New Roman" w:hAnsi="Times New Roman" w:eastAsia="宋体" w:cs="Times New Roman"/>
      <w:szCs w:val="24"/>
    </w:rPr>
  </w:style>
  <w:style w:type="paragraph" w:customStyle="1" w:styleId="158">
    <w:name w:val="飞越型"/>
    <w:qFormat/>
    <w:uiPriority w:val="0"/>
    <w:pPr>
      <w:spacing w:after="200" w:line="276" w:lineRule="auto"/>
    </w:pPr>
    <w:rPr>
      <w:rFonts w:ascii="Calibri" w:hAnsi="Calibri" w:eastAsia="宋体" w:cs="黑体"/>
      <w:sz w:val="22"/>
      <w:szCs w:val="22"/>
      <w:lang w:val="en-US" w:eastAsia="zh-CN" w:bidi="ar-SA"/>
    </w:rPr>
  </w:style>
  <w:style w:type="paragraph" w:customStyle="1" w:styleId="159">
    <w:name w:val="无间隔1"/>
    <w:qFormat/>
    <w:uiPriority w:val="1"/>
    <w:pPr>
      <w:widowControl w:val="0"/>
      <w:ind w:firstLine="420" w:firstLineChars="200"/>
    </w:pPr>
    <w:rPr>
      <w:rFonts w:ascii="Times New Roman" w:hAnsi="Times New Roman" w:eastAsia="宋体" w:cs="Times New Roman"/>
      <w:kern w:val="2"/>
      <w:sz w:val="21"/>
      <w:szCs w:val="24"/>
      <w:lang w:val="en-US" w:eastAsia="zh-CN" w:bidi="ar-SA"/>
    </w:rPr>
  </w:style>
  <w:style w:type="character" w:customStyle="1" w:styleId="160">
    <w:name w:val="标题 5 Char"/>
    <w:link w:val="10"/>
    <w:qFormat/>
    <w:uiPriority w:val="0"/>
    <w:rPr>
      <w:rFonts w:ascii="Times New Roman" w:hAnsi="Times New Roman" w:eastAsia="宋体" w:cs="Times New Roman"/>
      <w:b/>
      <w:bCs/>
      <w:sz w:val="28"/>
      <w:szCs w:val="28"/>
    </w:rPr>
  </w:style>
  <w:style w:type="character" w:customStyle="1" w:styleId="161">
    <w:name w:val="标题 6 Char"/>
    <w:link w:val="11"/>
    <w:qFormat/>
    <w:uiPriority w:val="0"/>
    <w:rPr>
      <w:rFonts w:ascii="Times New Roman" w:hAnsi="Times New Roman" w:eastAsia="宋体" w:cs="Times New Roman"/>
      <w:sz w:val="30"/>
      <w:szCs w:val="18"/>
    </w:rPr>
  </w:style>
  <w:style w:type="character" w:customStyle="1" w:styleId="162">
    <w:name w:val="标题 Char"/>
    <w:link w:val="44"/>
    <w:qFormat/>
    <w:uiPriority w:val="0"/>
    <w:rPr>
      <w:rFonts w:ascii="Arial" w:hAnsi="Arial" w:eastAsia="宋体" w:cs="Arial"/>
      <w:b/>
      <w:bCs/>
      <w:sz w:val="32"/>
      <w:szCs w:val="32"/>
    </w:rPr>
  </w:style>
  <w:style w:type="character" w:customStyle="1" w:styleId="163">
    <w:name w:val="标题 7 Char"/>
    <w:link w:val="12"/>
    <w:qFormat/>
    <w:uiPriority w:val="0"/>
    <w:rPr>
      <w:rFonts w:ascii="Times New Roman" w:hAnsi="Times New Roman" w:eastAsia="宋体" w:cs="Times New Roman"/>
    </w:rPr>
  </w:style>
  <w:style w:type="character" w:customStyle="1" w:styleId="164">
    <w:name w:val="标题 8 Char"/>
    <w:link w:val="13"/>
    <w:qFormat/>
    <w:uiPriority w:val="0"/>
    <w:rPr>
      <w:rFonts w:ascii="Times New Roman" w:hAnsi="Times New Roman" w:eastAsia="宋体" w:cs="Times New Roman"/>
    </w:rPr>
  </w:style>
  <w:style w:type="character" w:customStyle="1" w:styleId="165">
    <w:name w:val="标题 9 Char"/>
    <w:link w:val="14"/>
    <w:qFormat/>
    <w:uiPriority w:val="0"/>
    <w:rPr>
      <w:rFonts w:ascii="Times New Roman" w:hAnsi="Times New Roman" w:eastAsia="宋体" w:cs="Times New Roman"/>
    </w:rPr>
  </w:style>
  <w:style w:type="character" w:customStyle="1" w:styleId="166">
    <w:name w:val="large1"/>
    <w:qFormat/>
    <w:uiPriority w:val="0"/>
    <w:rPr>
      <w:rFonts w:hint="eastAsia" w:ascii="宋体" w:hAnsi="宋体" w:eastAsia="宋体" w:cs="Times New Roman"/>
      <w:sz w:val="22"/>
      <w:szCs w:val="22"/>
    </w:rPr>
  </w:style>
  <w:style w:type="character" w:customStyle="1" w:styleId="167">
    <w:name w:val="14_black1"/>
    <w:qFormat/>
    <w:uiPriority w:val="0"/>
    <w:rPr>
      <w:rFonts w:ascii="Times New Roman" w:hAnsi="Times New Roman" w:eastAsia="宋体" w:cs="Times New Roman"/>
      <w:color w:val="000000"/>
      <w:sz w:val="23"/>
      <w:szCs w:val="23"/>
    </w:rPr>
  </w:style>
  <w:style w:type="character" w:customStyle="1" w:styleId="168">
    <w:name w:val="正文首行缩进 Char"/>
    <w:link w:val="4"/>
    <w:qFormat/>
    <w:uiPriority w:val="0"/>
    <w:rPr>
      <w:rFonts w:ascii="Times New Roman" w:hAnsi="Times New Roman" w:eastAsia="宋体" w:cs="Times New Roman"/>
      <w:sz w:val="34"/>
    </w:rPr>
  </w:style>
  <w:style w:type="character" w:customStyle="1" w:styleId="169">
    <w:name w:val="f141"/>
    <w:qFormat/>
    <w:uiPriority w:val="0"/>
    <w:rPr>
      <w:rFonts w:ascii="Times New Roman" w:hAnsi="Times New Roman" w:eastAsia="宋体" w:cs="Times New Roman"/>
      <w:sz w:val="21"/>
      <w:szCs w:val="21"/>
    </w:rPr>
  </w:style>
  <w:style w:type="character" w:customStyle="1" w:styleId="170">
    <w:name w:val="正文文本缩进 3 Char"/>
    <w:link w:val="37"/>
    <w:qFormat/>
    <w:uiPriority w:val="0"/>
    <w:rPr>
      <w:rFonts w:ascii="Times New Roman" w:hAnsi="Times New Roman" w:eastAsia="宋体" w:cs="Times New Roman"/>
      <w:sz w:val="16"/>
      <w:szCs w:val="16"/>
    </w:rPr>
  </w:style>
  <w:style w:type="character" w:customStyle="1" w:styleId="171">
    <w:name w:val="文档结构图 Char"/>
    <w:link w:val="19"/>
    <w:qFormat/>
    <w:uiPriority w:val="0"/>
    <w:rPr>
      <w:rFonts w:ascii="宋体" w:hAnsi="Times New Roman" w:eastAsia="宋体" w:cs="Times New Roman"/>
      <w:sz w:val="18"/>
      <w:szCs w:val="18"/>
    </w:rPr>
  </w:style>
  <w:style w:type="character" w:customStyle="1" w:styleId="172">
    <w:name w:val="FA正文 Char"/>
    <w:link w:val="141"/>
    <w:qFormat/>
    <w:uiPriority w:val="0"/>
    <w:rPr>
      <w:rFonts w:ascii="宋体" w:hAnsi="宋体" w:eastAsia="宋体" w:cs="Times New Roman"/>
      <w:spacing w:val="10"/>
      <w:sz w:val="24"/>
    </w:rPr>
  </w:style>
  <w:style w:type="character" w:customStyle="1" w:styleId="173">
    <w:name w:val="正文文本 3 Char"/>
    <w:link w:val="21"/>
    <w:qFormat/>
    <w:uiPriority w:val="0"/>
    <w:rPr>
      <w:rFonts w:ascii="Times New Roman" w:hAnsi="Times New Roman" w:eastAsia="宋体" w:cs="Times New Roman"/>
      <w:sz w:val="16"/>
      <w:szCs w:val="16"/>
    </w:rPr>
  </w:style>
  <w:style w:type="character" w:customStyle="1" w:styleId="174">
    <w:name w:val="Indent Normal Char"/>
    <w:qFormat/>
    <w:uiPriority w:val="0"/>
    <w:rPr>
      <w:rFonts w:ascii="Times New Roman" w:hAnsi="Times New Roman" w:eastAsia="宋体" w:cs="Times New Roman"/>
      <w:kern w:val="2"/>
      <w:sz w:val="21"/>
      <w:szCs w:val="24"/>
      <w:lang w:val="en-US" w:eastAsia="zh-CN" w:bidi="ar-SA"/>
    </w:rPr>
  </w:style>
  <w:style w:type="character" w:customStyle="1" w:styleId="175">
    <w:name w:val="p11b1"/>
    <w:qFormat/>
    <w:uiPriority w:val="0"/>
    <w:rPr>
      <w:rFonts w:ascii="Times New Roman" w:hAnsi="Times New Roman" w:eastAsia="宋体" w:cs="Times New Roman"/>
      <w:color w:val="000000"/>
      <w:spacing w:val="320"/>
      <w:sz w:val="20"/>
      <w:szCs w:val="20"/>
      <w:u w:val="none"/>
    </w:rPr>
  </w:style>
  <w:style w:type="character" w:customStyle="1" w:styleId="176">
    <w:name w:val="样式2 Char"/>
    <w:link w:val="144"/>
    <w:qFormat/>
    <w:uiPriority w:val="0"/>
    <w:rPr>
      <w:rFonts w:ascii="Times New Roman" w:hAnsi="Times New Roman" w:eastAsia="宋体" w:cs="Times New Roman"/>
      <w:b/>
      <w:sz w:val="30"/>
    </w:rPr>
  </w:style>
  <w:style w:type="character" w:customStyle="1" w:styleId="177">
    <w:name w:val="样式3 Char"/>
    <w:link w:val="145"/>
    <w:qFormat/>
    <w:uiPriority w:val="0"/>
    <w:rPr>
      <w:rFonts w:ascii="Times New Roman" w:hAnsi="Times New Roman" w:eastAsia="宋体" w:cs="Times New Roman"/>
    </w:rPr>
  </w:style>
  <w:style w:type="character" w:customStyle="1" w:styleId="178">
    <w:name w:val="样式4 Char1"/>
    <w:link w:val="146"/>
    <w:qFormat/>
    <w:uiPriority w:val="0"/>
    <w:rPr>
      <w:rFonts w:ascii="Times New Roman" w:hAnsi="Times New Roman" w:eastAsia="宋体" w:cs="Times New Roman"/>
    </w:rPr>
  </w:style>
  <w:style w:type="character" w:customStyle="1" w:styleId="179">
    <w:name w:val="样式5 Char"/>
    <w:link w:val="147"/>
    <w:qFormat/>
    <w:uiPriority w:val="0"/>
    <w:rPr>
      <w:rFonts w:ascii="Times New Roman" w:hAnsi="Times New Roman" w:eastAsia="宋体" w:cs="Times New Roman"/>
    </w:rPr>
  </w:style>
  <w:style w:type="character" w:customStyle="1" w:styleId="180">
    <w:name w:val="样式6 Char"/>
    <w:link w:val="148"/>
    <w:qFormat/>
    <w:uiPriority w:val="0"/>
    <w:rPr>
      <w:rFonts w:ascii="Times New Roman" w:hAnsi="Times New Roman" w:eastAsia="宋体" w:cs="Times New Roman"/>
    </w:rPr>
  </w:style>
  <w:style w:type="character" w:customStyle="1" w:styleId="181">
    <w:name w:val="样式7 Char"/>
    <w:link w:val="149"/>
    <w:qFormat/>
    <w:uiPriority w:val="0"/>
    <w:rPr>
      <w:rFonts w:ascii="Times New Roman" w:hAnsi="Times New Roman" w:eastAsia="宋体" w:cs="Times New Roman"/>
    </w:rPr>
  </w:style>
  <w:style w:type="character" w:customStyle="1" w:styleId="182">
    <w:name w:val="样式8 Char"/>
    <w:link w:val="150"/>
    <w:qFormat/>
    <w:uiPriority w:val="0"/>
    <w:rPr>
      <w:rFonts w:ascii="Times New Roman" w:hAnsi="Times New Roman" w:eastAsia="宋体" w:cs="Times New Roman"/>
    </w:rPr>
  </w:style>
  <w:style w:type="character" w:customStyle="1" w:styleId="183">
    <w:name w:val="样式9 Char"/>
    <w:link w:val="151"/>
    <w:qFormat/>
    <w:uiPriority w:val="0"/>
    <w:rPr>
      <w:rFonts w:ascii="Times New Roman" w:hAnsi="Times New Roman" w:eastAsia="宋体" w:cs="Times New Roman"/>
    </w:rPr>
  </w:style>
  <w:style w:type="character" w:customStyle="1" w:styleId="184">
    <w:name w:val="样式10 Char"/>
    <w:link w:val="152"/>
    <w:qFormat/>
    <w:uiPriority w:val="0"/>
    <w:rPr>
      <w:rFonts w:ascii="Times New Roman" w:hAnsi="Times New Roman" w:eastAsia="宋体" w:cs="Times New Roman"/>
    </w:rPr>
  </w:style>
  <w:style w:type="character" w:customStyle="1" w:styleId="185">
    <w:name w:val="样式11 Char"/>
    <w:link w:val="153"/>
    <w:qFormat/>
    <w:uiPriority w:val="0"/>
    <w:rPr>
      <w:rFonts w:ascii="Times New Roman" w:hAnsi="Times New Roman" w:eastAsia="宋体" w:cs="Times New Roman"/>
    </w:rPr>
  </w:style>
  <w:style w:type="character" w:customStyle="1" w:styleId="186">
    <w:name w:val="样式12 Char"/>
    <w:link w:val="154"/>
    <w:qFormat/>
    <w:uiPriority w:val="0"/>
    <w:rPr>
      <w:rFonts w:ascii="Times New Roman" w:hAnsi="Times New Roman" w:eastAsia="宋体" w:cs="Times New Roman"/>
    </w:rPr>
  </w:style>
  <w:style w:type="character" w:customStyle="1" w:styleId="187">
    <w:name w:val="样式13 Char"/>
    <w:link w:val="155"/>
    <w:qFormat/>
    <w:uiPriority w:val="0"/>
    <w:rPr>
      <w:rFonts w:ascii="Times New Roman" w:hAnsi="Times New Roman" w:eastAsia="宋体" w:cs="Times New Roman"/>
    </w:rPr>
  </w:style>
  <w:style w:type="character" w:customStyle="1" w:styleId="188">
    <w:name w:val="2 Char"/>
    <w:link w:val="156"/>
    <w:qFormat/>
    <w:uiPriority w:val="0"/>
    <w:rPr>
      <w:rFonts w:ascii="Times New Roman" w:hAnsi="Times New Roman" w:eastAsia="宋体" w:cs="Times New Roman"/>
      <w:spacing w:val="4"/>
    </w:rPr>
  </w:style>
  <w:style w:type="character" w:customStyle="1" w:styleId="189">
    <w:name w:val="1 Char"/>
    <w:link w:val="157"/>
    <w:qFormat/>
    <w:uiPriority w:val="0"/>
    <w:rPr>
      <w:rFonts w:ascii="Times New Roman" w:hAnsi="Times New Roman" w:eastAsia="宋体" w:cs="Times New Roman"/>
    </w:rPr>
  </w:style>
  <w:style w:type="character" w:customStyle="1" w:styleId="190">
    <w:name w:val="样式1 Char"/>
    <w:link w:val="136"/>
    <w:qFormat/>
    <w:uiPriority w:val="0"/>
    <w:rPr>
      <w:rFonts w:ascii="Times New Roman" w:hAnsi="Times New Roman" w:eastAsia="宋体" w:cs="Times New Roman"/>
      <w:sz w:val="24"/>
    </w:rPr>
  </w:style>
  <w:style w:type="paragraph" w:styleId="191">
    <w:name w:val="No Spacing"/>
    <w:qFormat/>
    <w:uiPriority w:val="1"/>
    <w:pPr>
      <w:widowControl w:val="0"/>
      <w:spacing w:line="360" w:lineRule="auto"/>
    </w:pPr>
    <w:rPr>
      <w:rFonts w:ascii="Times New Roman" w:hAnsi="Times New Roman" w:eastAsia="宋体" w:cs="Times New Roman"/>
      <w:kern w:val="2"/>
      <w:sz w:val="21"/>
      <w:szCs w:val="24"/>
      <w:lang w:val="en-US" w:eastAsia="zh-CN" w:bidi="ar-SA"/>
    </w:rPr>
  </w:style>
  <w:style w:type="paragraph" w:customStyle="1" w:styleId="192">
    <w:name w:val="Default"/>
    <w:qFormat/>
    <w:uiPriority w:val="0"/>
    <w:pPr>
      <w:widowControl w:val="0"/>
      <w:autoSpaceDE w:val="0"/>
      <w:autoSpaceDN w:val="0"/>
      <w:adjustRightInd w:val="0"/>
    </w:pPr>
    <w:rPr>
      <w:rFonts w:ascii="宋体" w:eastAsia="宋体" w:cs="宋体" w:hAnsiTheme="minorHAnsi"/>
      <w:color w:val="000000"/>
      <w:sz w:val="24"/>
      <w:szCs w:val="24"/>
      <w:lang w:val="en-US" w:eastAsia="en-US" w:bidi="ar-SA"/>
    </w:rPr>
  </w:style>
  <w:style w:type="character" w:customStyle="1" w:styleId="193">
    <w:name w:val="layui-layer-tabnow"/>
    <w:basedOn w:val="48"/>
    <w:qFormat/>
    <w:uiPriority w:val="0"/>
    <w:rPr>
      <w:bdr w:val="single" w:color="CCCCCC" w:sz="6" w:space="0"/>
      <w:shd w:val="clear" w:fill="FFFFFF"/>
    </w:rPr>
  </w:style>
  <w:style w:type="character" w:customStyle="1" w:styleId="194">
    <w:name w:val="first-child"/>
    <w:basedOn w:val="48"/>
    <w:qFormat/>
    <w:uiPriority w:val="0"/>
  </w:style>
  <w:style w:type="table" w:customStyle="1" w:styleId="195">
    <w:name w:val="Table Normal"/>
    <w:semiHidden/>
    <w:unhideWhenUsed/>
    <w:qFormat/>
    <w:uiPriority w:val="0"/>
    <w:tblPr>
      <w:tblCellMar>
        <w:top w:w="0" w:type="dxa"/>
        <w:left w:w="0" w:type="dxa"/>
        <w:bottom w:w="0" w:type="dxa"/>
        <w:right w:w="0" w:type="dxa"/>
      </w:tblCellMar>
    </w:tblPr>
  </w:style>
  <w:style w:type="character" w:customStyle="1" w:styleId="196">
    <w:name w:val="正文文本 字符"/>
    <w:basedOn w:val="48"/>
    <w:link w:val="5"/>
    <w:qFormat/>
    <w:uiPriority w:val="0"/>
    <w:rPr>
      <w:kern w:val="2"/>
      <w:sz w:val="21"/>
      <w:szCs w:val="24"/>
    </w:rPr>
  </w:style>
  <w:style w:type="paragraph" w:customStyle="1" w:styleId="197">
    <w:name w:val="样式 首行缩进:  2 字符"/>
    <w:basedOn w:val="1"/>
    <w:qFormat/>
    <w:uiPriority w:val="0"/>
    <w:pPr>
      <w:widowControl/>
      <w:spacing w:line="400" w:lineRule="exact"/>
      <w:ind w:firstLine="200" w:firstLineChars="200"/>
    </w:pPr>
    <w:rPr>
      <w:rFonts w:ascii="宋体" w:cs="宋体"/>
      <w:sz w:val="24"/>
    </w:rPr>
  </w:style>
  <w:style w:type="paragraph" w:customStyle="1" w:styleId="198">
    <w:name w:val="Heading2"/>
    <w:basedOn w:val="1"/>
    <w:next w:val="1"/>
    <w:qFormat/>
    <w:uiPriority w:val="0"/>
    <w:pPr>
      <w:keepNext/>
      <w:keepLines/>
      <w:numPr>
        <w:ilvl w:val="1"/>
        <w:numId w:val="3"/>
      </w:numPr>
      <w:spacing w:before="20" w:after="20" w:line="360" w:lineRule="auto"/>
      <w:jc w:val="left"/>
    </w:pPr>
    <w:rPr>
      <w:rFonts w:eastAsia="微软雅黑" w:cs="微软雅黑"/>
      <w:b/>
      <w:bCs/>
      <w:sz w:val="30"/>
      <w:szCs w:val="30"/>
    </w:rPr>
  </w:style>
  <w:style w:type="paragraph" w:customStyle="1" w:styleId="19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00">
    <w:name w:val="信息标题 字符"/>
    <w:basedOn w:val="48"/>
    <w:link w:val="41"/>
    <w:qFormat/>
    <w:uiPriority w:val="0"/>
    <w:rPr>
      <w:rFonts w:ascii="Cambria" w:hAnsi="Cambria" w:eastAsia="宋体" w:cs="Times New Roman"/>
      <w:kern w:val="2"/>
      <w:sz w:val="24"/>
      <w:szCs w:val="24"/>
      <w:shd w:val="pct20" w:color="auto" w:fill="auto"/>
    </w:rPr>
  </w:style>
  <w:style w:type="character" w:customStyle="1" w:styleId="201">
    <w:name w:val="正文文本 3 字符"/>
    <w:basedOn w:val="48"/>
    <w:link w:val="21"/>
    <w:qFormat/>
    <w:uiPriority w:val="0"/>
    <w:rPr>
      <w:kern w:val="2"/>
      <w:sz w:val="16"/>
      <w:szCs w:val="16"/>
    </w:rPr>
  </w:style>
  <w:style w:type="paragraph" w:customStyle="1" w:styleId="202">
    <w:name w:val="HTML Preformatted"/>
    <w:basedOn w:val="1"/>
    <w:qFormat/>
    <w:uiPriority w:val="0"/>
    <w:rPr>
      <w:rFonts w:ascii="Courier New" w:hAnsi="Courier New"/>
      <w:sz w:val="20"/>
    </w:rPr>
  </w:style>
  <w:style w:type="paragraph" w:customStyle="1" w:styleId="203">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4"/>
      <w:szCs w:val="24"/>
      <w:lang w:eastAsia="en-US"/>
    </w:rPr>
  </w:style>
  <w:style w:type="paragraph" w:customStyle="1" w:styleId="204">
    <w:name w:val="largefont"/>
    <w:basedOn w:val="1"/>
    <w:autoRedefine/>
    <w:qFormat/>
    <w:uiPriority w:val="0"/>
    <w:pPr>
      <w:spacing w:beforeAutospacing="1" w:afterAutospacing="1" w:line="360" w:lineRule="auto"/>
      <w:ind w:firstLine="480"/>
    </w:pPr>
    <w:rPr>
      <w:rFonts w:ascii="宋体" w:hAnsi="宋体"/>
      <w:sz w:val="24"/>
    </w:rPr>
  </w:style>
  <w:style w:type="paragraph" w:customStyle="1" w:styleId="20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3.jpeg"/><Relationship Id="rId23" Type="http://schemas.openxmlformats.org/officeDocument/2006/relationships/image" Target="media/image2.jpeg"/><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江苏国泰新点软件有限公司  0512-58188000</Company>
  <Pages>59</Pages>
  <Words>16201</Words>
  <Characters>17511</Characters>
  <Lines>36</Lines>
  <Paragraphs>10</Paragraphs>
  <TotalTime>55</TotalTime>
  <ScaleCrop>false</ScaleCrop>
  <LinksUpToDate>false</LinksUpToDate>
  <CharactersWithSpaces>17777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2014-05-09T02:07:00Z</dcterms:created>
  <dc:creator>黄晨;陆俊峰</dc:creator>
  <cp:lastModifiedBy>WPS_1528011989</cp:lastModifiedBy>
  <cp:lastPrinted>2022-11-07T03:55:00Z</cp:lastPrinted>
  <dcterms:modified xsi:type="dcterms:W3CDTF">2025-10-23T08:03:31Z</dcterms:modified>
  <dc:title>操作手册</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BDB8E620AB9542B78B2AFCE25DE3804A_13</vt:lpwstr>
  </property>
  <property fmtid="{D5CDD505-2E9C-101B-9397-08002B2CF9AE}" pid="4" name="KSOTemplateDocerSaveRecord">
    <vt:lpwstr>eyJoZGlkIjoiMGQ2NmIzODMyNmM4ZWRlMzQ2NzE2ODNmZGMxZDZjMWEiLCJ1c2VySWQiOiIzNzU3MTM1MjkifQ==</vt:lpwstr>
  </property>
</Properties>
</file>