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C7563">
      <w:pPr>
        <w:pageBreakBefore w:val="0"/>
        <w:kinsoku/>
        <w:overflowPunct/>
        <w:topLinePunct w:val="0"/>
        <w:bidi w:val="0"/>
        <w:spacing w:after="0" w:line="560" w:lineRule="auto"/>
        <w:rPr>
          <w:rFonts w:hint="eastAsia" w:ascii="宋体" w:hAnsi="宋体" w:eastAsia="宋体" w:cs="宋体"/>
          <w:b/>
          <w:sz w:val="28"/>
          <w:lang w:eastAsia="zh-CN"/>
        </w:rPr>
      </w:pPr>
      <w:r>
        <w:rPr>
          <w:rFonts w:hint="eastAsia" w:ascii="宋体" w:hAnsi="宋体" w:eastAsia="宋体" w:cs="宋体"/>
          <w:b/>
          <w:sz w:val="28"/>
        </w:rPr>
        <w:t>项目编号：</w:t>
      </w:r>
      <w:r>
        <w:rPr>
          <w:rFonts w:hint="eastAsia" w:ascii="宋体" w:hAnsi="宋体" w:eastAsia="宋体" w:cs="宋体"/>
          <w:b/>
          <w:sz w:val="28"/>
          <w:lang w:eastAsia="zh-CN"/>
        </w:rPr>
        <w:t>SXZY-AK202581</w:t>
      </w:r>
    </w:p>
    <w:p w14:paraId="42B05465">
      <w:pPr>
        <w:pageBreakBefore w:val="0"/>
        <w:kinsoku/>
        <w:overflowPunct/>
        <w:topLinePunct w:val="0"/>
        <w:bidi w:val="0"/>
        <w:spacing w:after="0" w:line="480" w:lineRule="auto"/>
        <w:rPr>
          <w:rFonts w:hint="eastAsia" w:ascii="宋体" w:hAnsi="宋体" w:eastAsia="宋体" w:cs="宋体"/>
          <w:b/>
          <w:sz w:val="36"/>
        </w:rPr>
      </w:pPr>
    </w:p>
    <w:p w14:paraId="01A2833B">
      <w:pPr>
        <w:pageBreakBefore w:val="0"/>
        <w:kinsoku/>
        <w:overflowPunct/>
        <w:topLinePunct w:val="0"/>
        <w:bidi w:val="0"/>
        <w:spacing w:after="0" w:line="480" w:lineRule="auto"/>
        <w:jc w:val="both"/>
        <w:rPr>
          <w:rFonts w:hint="eastAsia" w:ascii="宋体" w:hAnsi="宋体" w:eastAsia="宋体" w:cs="宋体"/>
          <w:b/>
          <w:sz w:val="36"/>
        </w:rPr>
      </w:pPr>
    </w:p>
    <w:p w14:paraId="52912E6C">
      <w:pPr>
        <w:pageBreakBefore w:val="0"/>
        <w:kinsoku/>
        <w:overflowPunct/>
        <w:topLinePunct w:val="0"/>
        <w:bidi w:val="0"/>
        <w:spacing w:after="0" w:line="480" w:lineRule="auto"/>
        <w:jc w:val="center"/>
        <w:rPr>
          <w:rFonts w:hint="eastAsia" w:ascii="宋体" w:hAnsi="宋体" w:eastAsia="宋体" w:cs="宋体"/>
          <w:b/>
          <w:sz w:val="48"/>
          <w:lang w:eastAsia="zh-CN"/>
        </w:rPr>
      </w:pPr>
      <w:r>
        <w:rPr>
          <w:rFonts w:hint="eastAsia" w:ascii="宋体" w:hAnsi="宋体" w:eastAsia="宋体" w:cs="宋体"/>
          <w:b/>
          <w:sz w:val="48"/>
          <w:lang w:eastAsia="zh-CN"/>
        </w:rPr>
        <w:t>汉阴县 2025 年松树钻蛀类害虫系统调查工作项目</w:t>
      </w:r>
    </w:p>
    <w:p w14:paraId="26AEC3B9">
      <w:pPr>
        <w:pageBreakBefore w:val="0"/>
        <w:kinsoku/>
        <w:overflowPunct/>
        <w:topLinePunct w:val="0"/>
        <w:bidi w:val="0"/>
        <w:spacing w:after="0" w:line="480" w:lineRule="auto"/>
        <w:jc w:val="center"/>
        <w:rPr>
          <w:rFonts w:hint="eastAsia" w:ascii="宋体" w:hAnsi="宋体" w:eastAsia="宋体" w:cs="宋体"/>
          <w:b/>
          <w:sz w:val="52"/>
        </w:rPr>
      </w:pPr>
    </w:p>
    <w:p w14:paraId="4B4F0A1C">
      <w:pPr>
        <w:pageBreakBefore w:val="0"/>
        <w:kinsoku/>
        <w:overflowPunct/>
        <w:topLinePunct w:val="0"/>
        <w:bidi w:val="0"/>
        <w:spacing w:after="0" w:line="480" w:lineRule="auto"/>
        <w:jc w:val="center"/>
        <w:rPr>
          <w:rFonts w:hint="eastAsia" w:ascii="宋体" w:hAnsi="宋体" w:eastAsia="宋体" w:cs="宋体"/>
          <w:b/>
          <w:sz w:val="72"/>
        </w:rPr>
      </w:pPr>
      <w:r>
        <w:rPr>
          <w:rFonts w:hint="eastAsia" w:ascii="宋体" w:hAnsi="宋体" w:eastAsia="宋体" w:cs="宋体"/>
        </w:rPr>
        <w:object>
          <v:shape id="_x0000_i1025" o:spt="75" type="#_x0000_t75" style="height:260.15pt;width:260.15pt;" o:ole="t" filled="f" o:preferrelative="t" stroked="f" coordsize="21600,21600">
            <v:path/>
            <v:fill on="f" focussize="0,0"/>
            <v:stroke on="f"/>
            <v:imagedata r:id="rId7" o:title=""/>
            <o:lock v:ext="edit" aspectratio="t"/>
            <w10:wrap type="none"/>
            <w10:anchorlock/>
          </v:shape>
          <o:OLEObject Type="Embed" ProgID="StaticMetafile" ShapeID="_x0000_i1025" DrawAspect="Content" ObjectID="_1468075725" r:id="rId6">
            <o:LockedField>false</o:LockedField>
          </o:OLEObject>
        </w:object>
      </w:r>
    </w:p>
    <w:p w14:paraId="3243B940">
      <w:pPr>
        <w:pageBreakBefore w:val="0"/>
        <w:kinsoku/>
        <w:overflowPunct/>
        <w:topLinePunct w:val="0"/>
        <w:bidi w:val="0"/>
        <w:spacing w:after="0" w:line="480" w:lineRule="auto"/>
        <w:jc w:val="center"/>
        <w:rPr>
          <w:rFonts w:hint="eastAsia" w:ascii="宋体" w:hAnsi="宋体" w:eastAsia="宋体" w:cs="宋体"/>
          <w:b/>
          <w:sz w:val="72"/>
        </w:rPr>
      </w:pPr>
      <w:r>
        <w:rPr>
          <w:rFonts w:hint="eastAsia" w:ascii="宋体" w:hAnsi="宋体" w:eastAsia="宋体" w:cs="宋体"/>
          <w:b/>
          <w:sz w:val="72"/>
        </w:rPr>
        <w:t>竞争性磋商文件</w:t>
      </w:r>
    </w:p>
    <w:p w14:paraId="6B26A75C">
      <w:pPr>
        <w:pageBreakBefore w:val="0"/>
        <w:kinsoku/>
        <w:overflowPunct/>
        <w:topLinePunct w:val="0"/>
        <w:bidi w:val="0"/>
        <w:spacing w:after="0" w:line="240" w:lineRule="auto"/>
        <w:jc w:val="both"/>
        <w:rPr>
          <w:rFonts w:hint="eastAsia" w:ascii="宋体" w:hAnsi="宋体" w:eastAsia="宋体" w:cs="宋体"/>
          <w:sz w:val="18"/>
        </w:rPr>
      </w:pPr>
    </w:p>
    <w:p w14:paraId="44EF6FD4">
      <w:pPr>
        <w:pageBreakBefore w:val="0"/>
        <w:kinsoku/>
        <w:overflowPunct/>
        <w:topLinePunct w:val="0"/>
        <w:bidi w:val="0"/>
        <w:spacing w:after="0" w:line="240" w:lineRule="auto"/>
        <w:jc w:val="both"/>
        <w:rPr>
          <w:rFonts w:hint="eastAsia" w:ascii="宋体" w:hAnsi="宋体" w:eastAsia="宋体" w:cs="宋体"/>
          <w:sz w:val="18"/>
        </w:rPr>
      </w:pPr>
    </w:p>
    <w:p w14:paraId="30A1F826">
      <w:pPr>
        <w:pageBreakBefore w:val="0"/>
        <w:kinsoku/>
        <w:overflowPunct/>
        <w:topLinePunct w:val="0"/>
        <w:bidi w:val="0"/>
        <w:spacing w:after="0" w:line="600" w:lineRule="auto"/>
        <w:ind w:firstLine="964"/>
        <w:rPr>
          <w:rFonts w:hint="eastAsia" w:ascii="宋体" w:hAnsi="宋体" w:eastAsia="宋体" w:cs="宋体"/>
          <w:b/>
          <w:sz w:val="32"/>
          <w:lang w:eastAsia="zh-CN"/>
        </w:rPr>
      </w:pPr>
      <w:r>
        <w:rPr>
          <w:rFonts w:hint="eastAsia" w:ascii="宋体" w:hAnsi="宋体" w:eastAsia="宋体" w:cs="宋体"/>
          <w:b/>
          <w:sz w:val="32"/>
        </w:rPr>
        <w:t>采  购  人：</w:t>
      </w:r>
      <w:r>
        <w:rPr>
          <w:rFonts w:hint="eastAsia" w:ascii="宋体" w:hAnsi="宋体" w:eastAsia="宋体" w:cs="宋体"/>
          <w:b/>
          <w:sz w:val="32"/>
          <w:lang w:eastAsia="zh-CN"/>
        </w:rPr>
        <w:t>汉阴县林业局</w:t>
      </w:r>
    </w:p>
    <w:p w14:paraId="50B9A55E">
      <w:pPr>
        <w:pageBreakBefore w:val="0"/>
        <w:kinsoku/>
        <w:overflowPunct/>
        <w:topLinePunct w:val="0"/>
        <w:bidi w:val="0"/>
        <w:spacing w:after="0" w:line="600" w:lineRule="auto"/>
        <w:ind w:firstLine="964"/>
        <w:rPr>
          <w:rFonts w:hint="eastAsia" w:ascii="宋体" w:hAnsi="宋体" w:eastAsia="宋体" w:cs="宋体"/>
          <w:b/>
          <w:sz w:val="32"/>
        </w:rPr>
      </w:pPr>
      <w:r>
        <w:rPr>
          <w:rFonts w:hint="eastAsia" w:ascii="宋体" w:hAnsi="宋体" w:eastAsia="宋体" w:cs="宋体"/>
          <w:b/>
          <w:sz w:val="32"/>
        </w:rPr>
        <w:t>采购代理人：陕西中源项目管理有限公司</w:t>
      </w:r>
    </w:p>
    <w:p w14:paraId="7ED55DE8">
      <w:pPr>
        <w:pageBreakBefore w:val="0"/>
        <w:kinsoku/>
        <w:overflowPunct/>
        <w:topLinePunct w:val="0"/>
        <w:bidi w:val="0"/>
        <w:spacing w:after="0" w:line="600" w:lineRule="auto"/>
        <w:ind w:firstLine="964"/>
        <w:jc w:val="center"/>
        <w:rPr>
          <w:rFonts w:hint="eastAsia" w:ascii="宋体" w:hAnsi="宋体" w:eastAsia="宋体" w:cs="宋体"/>
          <w:b/>
          <w:sz w:val="30"/>
        </w:rPr>
      </w:pPr>
      <w:r>
        <w:rPr>
          <w:rFonts w:hint="eastAsia" w:ascii="宋体" w:hAnsi="宋体" w:eastAsia="宋体" w:cs="宋体"/>
          <w:b/>
          <w:sz w:val="32"/>
        </w:rPr>
        <w:t>二〇二五年</w:t>
      </w:r>
      <w:r>
        <w:rPr>
          <w:rFonts w:hint="eastAsia" w:ascii="宋体" w:hAnsi="宋体" w:eastAsia="宋体" w:cs="宋体"/>
          <w:b/>
          <w:sz w:val="32"/>
          <w:lang w:val="en-US" w:eastAsia="zh-CN"/>
        </w:rPr>
        <w:t>十</w:t>
      </w:r>
      <w:r>
        <w:rPr>
          <w:rFonts w:hint="eastAsia" w:ascii="宋体" w:hAnsi="宋体" w:eastAsia="宋体" w:cs="宋体"/>
          <w:b/>
          <w:sz w:val="32"/>
        </w:rPr>
        <w:t>月</w:t>
      </w:r>
    </w:p>
    <w:p w14:paraId="5A808A7C">
      <w:pPr>
        <w:pageBreakBefore w:val="0"/>
        <w:kinsoku/>
        <w:overflowPunct/>
        <w:topLinePunct w:val="0"/>
        <w:bidi w:val="0"/>
        <w:spacing w:after="0" w:line="600" w:lineRule="auto"/>
        <w:ind w:firstLine="904"/>
        <w:jc w:val="center"/>
        <w:rPr>
          <w:rFonts w:hint="eastAsia" w:ascii="宋体" w:hAnsi="宋体" w:eastAsia="宋体" w:cs="宋体"/>
          <w:b/>
          <w:sz w:val="30"/>
        </w:rPr>
        <w:sectPr>
          <w:pgSz w:w="11906" w:h="16838"/>
          <w:pgMar w:top="1440" w:right="1080" w:bottom="1440" w:left="1080" w:header="851" w:footer="992" w:gutter="0"/>
          <w:cols w:space="425" w:num="1"/>
          <w:docGrid w:type="lines" w:linePitch="312" w:charSpace="0"/>
        </w:sectPr>
      </w:pPr>
    </w:p>
    <w:p w14:paraId="0B8AD5E8">
      <w:pPr>
        <w:pageBreakBefore w:val="0"/>
        <w:kinsoku/>
        <w:overflowPunct/>
        <w:topLinePunct w:val="0"/>
        <w:bidi w:val="0"/>
        <w:spacing w:after="0" w:line="600" w:lineRule="auto"/>
        <w:ind w:firstLine="904"/>
        <w:jc w:val="center"/>
        <w:rPr>
          <w:rFonts w:hint="eastAsia" w:ascii="宋体" w:hAnsi="宋体" w:eastAsia="宋体" w:cs="宋体"/>
          <w:b/>
          <w:sz w:val="30"/>
        </w:rPr>
        <w:sectPr>
          <w:pgSz w:w="11906" w:h="16838"/>
          <w:pgMar w:top="1440" w:right="1080" w:bottom="1440" w:left="1080" w:header="851" w:footer="992" w:gutter="0"/>
          <w:cols w:space="425" w:num="1"/>
          <w:docGrid w:type="lines" w:linePitch="312" w:charSpace="0"/>
        </w:sectPr>
      </w:pPr>
    </w:p>
    <w:p w14:paraId="607D5C11">
      <w:pPr>
        <w:pageBreakBefore w:val="0"/>
        <w:kinsoku/>
        <w:overflowPunct/>
        <w:topLinePunct w:val="0"/>
        <w:bidi w:val="0"/>
        <w:spacing w:after="0" w:line="600" w:lineRule="auto"/>
        <w:ind w:firstLine="904"/>
        <w:jc w:val="center"/>
        <w:rPr>
          <w:rFonts w:hint="eastAsia" w:ascii="宋体" w:hAnsi="宋体" w:eastAsia="宋体" w:cs="宋体"/>
          <w:b/>
          <w:sz w:val="30"/>
        </w:rPr>
      </w:pPr>
    </w:p>
    <w:p w14:paraId="104DA4F8">
      <w:pPr>
        <w:pageBreakBefore w:val="0"/>
        <w:kinsoku/>
        <w:overflowPunct/>
        <w:topLinePunct w:val="0"/>
        <w:bidi w:val="0"/>
        <w:spacing w:after="0" w:line="240" w:lineRule="auto"/>
        <w:jc w:val="center"/>
        <w:rPr>
          <w:rFonts w:hint="eastAsia" w:ascii="宋体" w:hAnsi="宋体" w:eastAsia="宋体" w:cs="宋体"/>
          <w:b/>
          <w:sz w:val="32"/>
        </w:rPr>
      </w:pPr>
      <w:r>
        <w:rPr>
          <w:rFonts w:hint="eastAsia" w:ascii="宋体" w:hAnsi="宋体" w:eastAsia="宋体" w:cs="宋体"/>
          <w:b/>
          <w:sz w:val="32"/>
        </w:rPr>
        <w:t>目录</w:t>
      </w:r>
    </w:p>
    <w:p w14:paraId="0DBE837B">
      <w:pPr>
        <w:pageBreakBefore w:val="0"/>
        <w:tabs>
          <w:tab w:val="right" w:leader="dot" w:pos="9680"/>
        </w:tabs>
        <w:kinsoku/>
        <w:overflowPunct/>
        <w:topLinePunct w:val="0"/>
        <w:bidi w:val="0"/>
        <w:spacing w:after="0" w:line="240" w:lineRule="auto"/>
        <w:jc w:val="both"/>
        <w:rPr>
          <w:rFonts w:hint="eastAsia" w:ascii="宋体" w:hAnsi="宋体" w:eastAsia="宋体" w:cs="宋体"/>
          <w:sz w:val="24"/>
        </w:rPr>
      </w:pPr>
    </w:p>
    <w:p w14:paraId="3D65902F">
      <w:pPr>
        <w:pageBreakBefore w:val="0"/>
        <w:numPr>
          <w:ilvl w:val="0"/>
          <w:numId w:val="1"/>
        </w:numPr>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 xml:space="preserve"> 竞争性磋商公告</w:t>
      </w:r>
    </w:p>
    <w:p w14:paraId="43DF5E60">
      <w:pPr>
        <w:pageBreakBefore w:val="0"/>
        <w:numPr>
          <w:ilvl w:val="0"/>
          <w:numId w:val="0"/>
        </w:numPr>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第二章  投标须知前附表</w:t>
      </w:r>
    </w:p>
    <w:p w14:paraId="1229E92C">
      <w:pPr>
        <w:pageBreakBefore w:val="0"/>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第三章  投标须知</w:t>
      </w:r>
    </w:p>
    <w:p w14:paraId="53E9D615">
      <w:pPr>
        <w:pageBreakBefore w:val="0"/>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第四章  采购内容及要求</w:t>
      </w:r>
    </w:p>
    <w:p w14:paraId="4CC6C7F5">
      <w:pPr>
        <w:pageBreakBefore w:val="0"/>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第五章  合同范本</w:t>
      </w:r>
    </w:p>
    <w:p w14:paraId="00F1E42A">
      <w:pPr>
        <w:pageBreakBefore w:val="0"/>
        <w:tabs>
          <w:tab w:val="right" w:leader="dot" w:pos="9684"/>
        </w:tabs>
        <w:kinsoku/>
        <w:overflowPunct/>
        <w:topLinePunct w:val="0"/>
        <w:bidi w:val="0"/>
        <w:spacing w:after="0" w:line="240" w:lineRule="auto"/>
        <w:rPr>
          <w:rFonts w:hint="eastAsia" w:ascii="宋体" w:hAnsi="宋体" w:eastAsia="宋体" w:cs="宋体"/>
          <w:sz w:val="32"/>
        </w:rPr>
      </w:pPr>
      <w:r>
        <w:rPr>
          <w:rFonts w:hint="eastAsia" w:ascii="宋体" w:hAnsi="宋体" w:eastAsia="宋体" w:cs="宋体"/>
          <w:sz w:val="32"/>
        </w:rPr>
        <w:t>第六章  磋商响应文件格式</w:t>
      </w:r>
    </w:p>
    <w:p w14:paraId="5ACAD0C9">
      <w:pPr>
        <w:pageBreakBefore w:val="0"/>
        <w:tabs>
          <w:tab w:val="right" w:leader="dot" w:pos="9684"/>
        </w:tabs>
        <w:kinsoku/>
        <w:overflowPunct/>
        <w:topLinePunct w:val="0"/>
        <w:bidi w:val="0"/>
        <w:spacing w:after="0" w:line="240" w:lineRule="auto"/>
        <w:rPr>
          <w:rFonts w:hint="eastAsia" w:ascii="宋体" w:hAnsi="宋体" w:eastAsia="宋体" w:cs="宋体"/>
          <w:sz w:val="32"/>
        </w:rPr>
      </w:pPr>
    </w:p>
    <w:p w14:paraId="31B88B55">
      <w:pPr>
        <w:pageBreakBefore w:val="0"/>
        <w:kinsoku/>
        <w:overflowPunct/>
        <w:topLinePunct w:val="0"/>
        <w:bidi w:val="0"/>
        <w:spacing w:after="0" w:line="240" w:lineRule="auto"/>
        <w:jc w:val="both"/>
        <w:rPr>
          <w:rFonts w:hint="eastAsia" w:ascii="宋体" w:hAnsi="宋体" w:eastAsia="宋体" w:cs="宋体"/>
          <w:sz w:val="24"/>
        </w:rPr>
      </w:pPr>
    </w:p>
    <w:p w14:paraId="0FC618CB">
      <w:pPr>
        <w:keepNext/>
        <w:keepLines/>
        <w:pageBreakBefore w:val="0"/>
        <w:kinsoku/>
        <w:overflowPunct/>
        <w:topLinePunct w:val="0"/>
        <w:bidi w:val="0"/>
        <w:spacing w:after="0" w:line="240" w:lineRule="auto"/>
        <w:jc w:val="center"/>
        <w:rPr>
          <w:rFonts w:hint="eastAsia" w:ascii="宋体" w:hAnsi="宋体" w:eastAsia="宋体" w:cs="宋体"/>
          <w:sz w:val="24"/>
        </w:rPr>
      </w:pPr>
    </w:p>
    <w:p w14:paraId="3DB1E037">
      <w:pPr>
        <w:keepNext/>
        <w:keepLines/>
        <w:pageBreakBefore w:val="0"/>
        <w:kinsoku/>
        <w:overflowPunct/>
        <w:topLinePunct w:val="0"/>
        <w:bidi w:val="0"/>
        <w:spacing w:after="0" w:line="240" w:lineRule="auto"/>
        <w:jc w:val="center"/>
        <w:rPr>
          <w:rFonts w:hint="eastAsia" w:ascii="宋体" w:hAnsi="宋体" w:eastAsia="宋体" w:cs="宋体"/>
          <w:b/>
          <w:sz w:val="32"/>
        </w:rPr>
      </w:pPr>
    </w:p>
    <w:p w14:paraId="3CD20466">
      <w:pPr>
        <w:pageBreakBefore w:val="0"/>
        <w:kinsoku/>
        <w:overflowPunct/>
        <w:topLinePunct w:val="0"/>
        <w:bidi w:val="0"/>
        <w:spacing w:after="0"/>
        <w:rPr>
          <w:rFonts w:hint="eastAsia" w:ascii="宋体" w:hAnsi="宋体" w:eastAsia="宋体" w:cs="宋体"/>
          <w:b/>
          <w:sz w:val="32"/>
        </w:rPr>
      </w:pPr>
      <w:r>
        <w:rPr>
          <w:rFonts w:hint="eastAsia" w:ascii="宋体" w:hAnsi="宋体" w:eastAsia="宋体" w:cs="宋体"/>
          <w:b/>
          <w:sz w:val="32"/>
        </w:rPr>
        <w:br w:type="page"/>
      </w:r>
    </w:p>
    <w:p w14:paraId="6BF367DB">
      <w:pPr>
        <w:keepNext/>
        <w:keepLines/>
        <w:pageBreakBefore w:val="0"/>
        <w:kinsoku/>
        <w:overflowPunct/>
        <w:topLinePunct w:val="0"/>
        <w:bidi w:val="0"/>
        <w:spacing w:after="0" w:line="240" w:lineRule="auto"/>
        <w:jc w:val="center"/>
        <w:rPr>
          <w:rFonts w:hint="eastAsia" w:ascii="宋体" w:hAnsi="宋体" w:eastAsia="宋体" w:cs="宋体"/>
          <w:b/>
          <w:sz w:val="32"/>
        </w:rPr>
      </w:pPr>
      <w:r>
        <w:rPr>
          <w:rFonts w:hint="eastAsia" w:ascii="宋体" w:hAnsi="宋体" w:eastAsia="宋体" w:cs="宋体"/>
          <w:b/>
          <w:sz w:val="32"/>
        </w:rPr>
        <w:t>第一章 竞争性磋商公告</w:t>
      </w:r>
    </w:p>
    <w:p w14:paraId="73E44081">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受</w:t>
      </w:r>
      <w:r>
        <w:rPr>
          <w:rFonts w:hint="eastAsia" w:ascii="宋体" w:hAnsi="宋体" w:eastAsia="宋体" w:cs="宋体"/>
          <w:sz w:val="24"/>
          <w:lang w:eastAsia="zh-CN"/>
        </w:rPr>
        <w:t>汉阴县林业局</w:t>
      </w:r>
      <w:r>
        <w:rPr>
          <w:rFonts w:hint="eastAsia" w:ascii="宋体" w:hAnsi="宋体" w:eastAsia="宋体" w:cs="宋体"/>
          <w:sz w:val="24"/>
        </w:rPr>
        <w:t>的委托，陕西中源项目管理有限公司拟就</w:t>
      </w:r>
      <w:r>
        <w:rPr>
          <w:rFonts w:hint="eastAsia" w:ascii="宋体" w:hAnsi="宋体" w:eastAsia="宋体" w:cs="宋体"/>
          <w:sz w:val="24"/>
          <w:lang w:eastAsia="zh-CN"/>
        </w:rPr>
        <w:t>汉阴县 2025 年松树钻蛀类害虫系统调查工作项目</w:t>
      </w:r>
      <w:r>
        <w:rPr>
          <w:rFonts w:hint="eastAsia" w:ascii="宋体" w:hAnsi="宋体" w:eastAsia="宋体" w:cs="宋体"/>
          <w:sz w:val="24"/>
        </w:rPr>
        <w:t>进行竞争性磋商，项目已具备磋商条件，欢迎符合资格要求的、有能力提供本项目所需服务的供应商参加磋商。</w:t>
      </w:r>
    </w:p>
    <w:p w14:paraId="168B9020">
      <w:pPr>
        <w:pageBreakBefore w:val="0"/>
        <w:kinsoku/>
        <w:overflowPunct/>
        <w:topLinePunct w:val="0"/>
        <w:bidi w:val="0"/>
        <w:spacing w:after="0" w:line="360" w:lineRule="auto"/>
        <w:ind w:firstLine="480"/>
        <w:rPr>
          <w:rFonts w:hint="eastAsia" w:ascii="宋体" w:hAnsi="宋体" w:eastAsia="宋体" w:cs="宋体"/>
          <w:sz w:val="24"/>
          <w:lang w:eastAsia="zh-CN"/>
        </w:rPr>
      </w:pPr>
      <w:r>
        <w:rPr>
          <w:rFonts w:hint="eastAsia" w:ascii="宋体" w:hAnsi="宋体" w:eastAsia="宋体" w:cs="宋体"/>
          <w:sz w:val="24"/>
        </w:rPr>
        <w:t>一、采购项目编号：</w:t>
      </w:r>
      <w:r>
        <w:rPr>
          <w:rFonts w:hint="eastAsia" w:ascii="宋体" w:hAnsi="宋体" w:eastAsia="宋体" w:cs="宋体"/>
          <w:sz w:val="24"/>
          <w:lang w:eastAsia="zh-CN"/>
        </w:rPr>
        <w:t>SXZY-AK202581</w:t>
      </w:r>
    </w:p>
    <w:p w14:paraId="0324C776">
      <w:pPr>
        <w:pageBreakBefore w:val="0"/>
        <w:kinsoku/>
        <w:overflowPunct/>
        <w:topLinePunct w:val="0"/>
        <w:bidi w:val="0"/>
        <w:spacing w:after="0" w:line="360" w:lineRule="auto"/>
        <w:ind w:right="-197" w:firstLine="480"/>
        <w:jc w:val="both"/>
        <w:rPr>
          <w:rFonts w:hint="eastAsia" w:ascii="宋体" w:hAnsi="宋体" w:eastAsia="宋体" w:cs="宋体"/>
          <w:spacing w:val="-6"/>
          <w:sz w:val="24"/>
          <w:lang w:eastAsia="zh-CN"/>
        </w:rPr>
      </w:pPr>
      <w:r>
        <w:rPr>
          <w:rFonts w:hint="eastAsia" w:ascii="宋体" w:hAnsi="宋体" w:eastAsia="宋体" w:cs="宋体"/>
          <w:sz w:val="24"/>
        </w:rPr>
        <w:t>二、采购项目名称：</w:t>
      </w:r>
      <w:r>
        <w:rPr>
          <w:rFonts w:hint="eastAsia" w:ascii="宋体" w:hAnsi="宋体" w:eastAsia="宋体" w:cs="宋体"/>
          <w:spacing w:val="-6"/>
          <w:sz w:val="24"/>
          <w:lang w:eastAsia="zh-CN"/>
        </w:rPr>
        <w:t>汉阴县 2025 年松树钻蛀类害虫系统调查工作项目</w:t>
      </w:r>
    </w:p>
    <w:p w14:paraId="3504B74F">
      <w:pPr>
        <w:pageBreakBefore w:val="0"/>
        <w:tabs>
          <w:tab w:val="left" w:pos="1620"/>
        </w:tabs>
        <w:kinsoku/>
        <w:overflowPunct/>
        <w:topLinePunct w:val="0"/>
        <w:bidi w:val="0"/>
        <w:spacing w:after="0" w:line="360" w:lineRule="auto"/>
        <w:ind w:right="-197" w:firstLine="480"/>
        <w:rPr>
          <w:rFonts w:hint="eastAsia" w:ascii="宋体" w:hAnsi="宋体" w:eastAsia="宋体" w:cs="宋体"/>
          <w:sz w:val="24"/>
          <w:lang w:eastAsia="zh-CN"/>
        </w:rPr>
      </w:pPr>
      <w:r>
        <w:rPr>
          <w:rFonts w:hint="eastAsia" w:ascii="宋体" w:hAnsi="宋体" w:eastAsia="宋体" w:cs="宋体"/>
          <w:sz w:val="24"/>
        </w:rPr>
        <w:t>三、采购人名称：</w:t>
      </w:r>
      <w:r>
        <w:rPr>
          <w:rFonts w:hint="eastAsia" w:ascii="宋体" w:hAnsi="宋体" w:eastAsia="宋体" w:cs="宋体"/>
          <w:sz w:val="24"/>
          <w:lang w:eastAsia="zh-CN"/>
        </w:rPr>
        <w:t>汉阴县林业局</w:t>
      </w:r>
    </w:p>
    <w:p w14:paraId="10F92972">
      <w:pPr>
        <w:pageBreakBefore w:val="0"/>
        <w:tabs>
          <w:tab w:val="left" w:pos="1620"/>
        </w:tabs>
        <w:kinsoku/>
        <w:overflowPunct/>
        <w:topLinePunct w:val="0"/>
        <w:bidi w:val="0"/>
        <w:spacing w:after="0" w:line="360" w:lineRule="auto"/>
        <w:ind w:right="-197" w:firstLine="96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lang w:eastAsia="zh-CN"/>
        </w:rPr>
        <w:t>陕西省安康市汉阴县凤凰大道与广场路丁字路口处</w:t>
      </w:r>
      <w:r>
        <w:rPr>
          <w:rFonts w:hint="eastAsia" w:ascii="宋体" w:hAnsi="宋体" w:eastAsia="宋体" w:cs="宋体"/>
          <w:sz w:val="24"/>
        </w:rPr>
        <w:t xml:space="preserve">   </w:t>
      </w:r>
    </w:p>
    <w:p w14:paraId="41B7B96E">
      <w:pPr>
        <w:pageBreakBefore w:val="0"/>
        <w:tabs>
          <w:tab w:val="left" w:pos="1620"/>
        </w:tabs>
        <w:kinsoku/>
        <w:overflowPunct/>
        <w:topLinePunct w:val="0"/>
        <w:bidi w:val="0"/>
        <w:spacing w:after="0" w:line="360" w:lineRule="auto"/>
        <w:ind w:right="-197" w:firstLine="480"/>
        <w:rPr>
          <w:rFonts w:hint="eastAsia" w:ascii="宋体" w:hAnsi="宋体" w:eastAsia="宋体" w:cs="宋体"/>
          <w:sz w:val="24"/>
        </w:rPr>
      </w:pPr>
      <w:r>
        <w:rPr>
          <w:rFonts w:hint="eastAsia" w:ascii="宋体" w:hAnsi="宋体" w:eastAsia="宋体" w:cs="宋体"/>
          <w:sz w:val="24"/>
        </w:rPr>
        <w:t>四、采购代理机构名称：陕西中源项目管理有限公司</w:t>
      </w:r>
    </w:p>
    <w:p w14:paraId="40518196">
      <w:pPr>
        <w:pageBreakBefore w:val="0"/>
        <w:kinsoku/>
        <w:overflowPunct/>
        <w:topLinePunct w:val="0"/>
        <w:bidi w:val="0"/>
        <w:spacing w:after="0" w:line="360" w:lineRule="auto"/>
        <w:ind w:firstLine="960"/>
        <w:rPr>
          <w:rFonts w:hint="eastAsia" w:ascii="宋体" w:hAnsi="宋体" w:eastAsia="宋体" w:cs="宋体"/>
          <w:sz w:val="24"/>
        </w:rPr>
      </w:pPr>
      <w:r>
        <w:rPr>
          <w:rFonts w:hint="eastAsia" w:ascii="宋体" w:hAnsi="宋体" w:eastAsia="宋体" w:cs="宋体"/>
          <w:sz w:val="24"/>
        </w:rPr>
        <w:t>地址：安康市汉滨区木竹桥安置点一栋三楼</w:t>
      </w:r>
    </w:p>
    <w:p w14:paraId="11E51C0E">
      <w:pPr>
        <w:pageBreakBefore w:val="0"/>
        <w:tabs>
          <w:tab w:val="left" w:pos="1620"/>
        </w:tabs>
        <w:kinsoku/>
        <w:overflowPunct/>
        <w:topLinePunct w:val="0"/>
        <w:bidi w:val="0"/>
        <w:spacing w:after="0" w:line="360" w:lineRule="auto"/>
        <w:ind w:right="-197"/>
        <w:rPr>
          <w:rFonts w:hint="eastAsia" w:ascii="宋体" w:hAnsi="宋体" w:eastAsia="宋体" w:cs="宋体"/>
          <w:sz w:val="24"/>
        </w:rPr>
      </w:pPr>
      <w:r>
        <w:rPr>
          <w:rFonts w:hint="eastAsia" w:ascii="宋体" w:hAnsi="宋体" w:eastAsia="宋体" w:cs="宋体"/>
          <w:sz w:val="24"/>
        </w:rPr>
        <w:t xml:space="preserve">        联系方式：16609151911</w:t>
      </w:r>
    </w:p>
    <w:p w14:paraId="1D720048">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五、采购内容及要求：</w:t>
      </w:r>
    </w:p>
    <w:p w14:paraId="398190AA">
      <w:pPr>
        <w:pageBreakBefore w:val="0"/>
        <w:kinsoku/>
        <w:overflowPunct/>
        <w:topLinePunct w:val="0"/>
        <w:bidi w:val="0"/>
        <w:spacing w:after="0" w:line="360" w:lineRule="auto"/>
        <w:ind w:firstLine="720"/>
        <w:rPr>
          <w:rFonts w:hint="eastAsia" w:ascii="宋体" w:hAnsi="宋体" w:eastAsia="宋体" w:cs="宋体"/>
          <w:sz w:val="24"/>
        </w:rPr>
      </w:pPr>
      <w:r>
        <w:rPr>
          <w:rFonts w:hint="eastAsia" w:ascii="宋体" w:hAnsi="宋体" w:eastAsia="宋体" w:cs="宋体"/>
          <w:sz w:val="24"/>
        </w:rPr>
        <w:t>1.项目内容及用途：</w:t>
      </w:r>
      <w:r>
        <w:rPr>
          <w:rFonts w:hint="eastAsia" w:ascii="宋体" w:hAnsi="宋体" w:eastAsia="宋体" w:cs="宋体"/>
          <w:sz w:val="24"/>
          <w:lang w:val="en-US" w:eastAsia="zh-CN"/>
        </w:rPr>
        <w:t>详见采购文件</w:t>
      </w:r>
      <w:r>
        <w:rPr>
          <w:rFonts w:hint="eastAsia" w:ascii="宋体" w:hAnsi="宋体" w:eastAsia="宋体" w:cs="宋体"/>
          <w:sz w:val="24"/>
        </w:rPr>
        <w:t>。</w:t>
      </w:r>
    </w:p>
    <w:p w14:paraId="3A97A0AD">
      <w:pPr>
        <w:pageBreakBefore w:val="0"/>
        <w:tabs>
          <w:tab w:val="left" w:pos="1620"/>
        </w:tabs>
        <w:kinsoku/>
        <w:overflowPunct/>
        <w:topLinePunct w:val="0"/>
        <w:bidi w:val="0"/>
        <w:spacing w:after="0" w:line="360" w:lineRule="auto"/>
        <w:ind w:right="-197"/>
        <w:jc w:val="both"/>
        <w:rPr>
          <w:rFonts w:hint="eastAsia" w:ascii="宋体" w:hAnsi="宋体" w:eastAsia="宋体" w:cs="宋体"/>
          <w:sz w:val="24"/>
        </w:rPr>
      </w:pPr>
      <w:r>
        <w:rPr>
          <w:rFonts w:hint="eastAsia" w:ascii="宋体" w:hAnsi="宋体" w:eastAsia="宋体" w:cs="宋体"/>
          <w:sz w:val="24"/>
        </w:rPr>
        <w:t xml:space="preserve">      2.项目性质：财政资金。</w:t>
      </w:r>
    </w:p>
    <w:p w14:paraId="65FBDB4C">
      <w:pPr>
        <w:pageBreakBefore w:val="0"/>
        <w:kinsoku/>
        <w:overflowPunct/>
        <w:topLinePunct w:val="0"/>
        <w:bidi w:val="0"/>
        <w:spacing w:after="0" w:line="360" w:lineRule="auto"/>
        <w:ind w:firstLine="720"/>
        <w:rPr>
          <w:rFonts w:hint="eastAsia" w:ascii="宋体" w:hAnsi="宋体" w:eastAsia="宋体" w:cs="宋体"/>
          <w:sz w:val="24"/>
        </w:rPr>
      </w:pPr>
      <w:r>
        <w:rPr>
          <w:rFonts w:hint="eastAsia" w:ascii="宋体" w:hAnsi="宋体" w:eastAsia="宋体" w:cs="宋体"/>
          <w:sz w:val="24"/>
        </w:rPr>
        <w:t>3.预算金额：</w:t>
      </w:r>
      <w:r>
        <w:rPr>
          <w:rFonts w:hint="eastAsia" w:ascii="宋体" w:hAnsi="宋体" w:eastAsia="宋体" w:cs="宋体"/>
          <w:sz w:val="24"/>
          <w:lang w:eastAsia="zh-CN"/>
        </w:rPr>
        <w:t>288191.50</w:t>
      </w:r>
      <w:r>
        <w:rPr>
          <w:rFonts w:hint="eastAsia" w:ascii="宋体" w:hAnsi="宋体" w:eastAsia="宋体" w:cs="宋体"/>
          <w:sz w:val="24"/>
        </w:rPr>
        <w:t>元</w:t>
      </w:r>
      <w:r>
        <w:rPr>
          <w:rFonts w:hint="eastAsia" w:ascii="宋体" w:hAnsi="宋体" w:eastAsia="宋体" w:cs="宋体"/>
          <w:sz w:val="24"/>
          <w:lang w:eastAsia="zh-CN"/>
        </w:rPr>
        <w:t>，</w:t>
      </w:r>
      <w:r>
        <w:rPr>
          <w:rFonts w:hint="eastAsia" w:ascii="宋体" w:hAnsi="宋体" w:eastAsia="宋体" w:cs="宋体"/>
          <w:sz w:val="24"/>
        </w:rPr>
        <w:t xml:space="preserve"> 磋商响应报价不得超出预算金额，超出则废标。</w:t>
      </w:r>
    </w:p>
    <w:p w14:paraId="0A18D345">
      <w:pPr>
        <w:pageBreakBefore w:val="0"/>
        <w:tabs>
          <w:tab w:val="left" w:pos="1620"/>
        </w:tabs>
        <w:kinsoku/>
        <w:overflowPunct/>
        <w:topLinePunct w:val="0"/>
        <w:bidi w:val="0"/>
        <w:spacing w:after="0" w:line="360" w:lineRule="auto"/>
        <w:ind w:right="-197" w:firstLine="240"/>
        <w:rPr>
          <w:rFonts w:hint="eastAsia" w:ascii="宋体" w:hAnsi="宋体" w:eastAsia="宋体" w:cs="宋体"/>
          <w:sz w:val="24"/>
        </w:rPr>
      </w:pPr>
      <w:r>
        <w:rPr>
          <w:rFonts w:hint="eastAsia" w:ascii="宋体" w:hAnsi="宋体" w:eastAsia="宋体" w:cs="宋体"/>
          <w:sz w:val="24"/>
        </w:rPr>
        <w:t>六、供应商资格要求：</w:t>
      </w:r>
    </w:p>
    <w:p w14:paraId="756DBDAD">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0E129E38">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（2）提供法定代表人授权书（附法定代表人身份证复印件）及被授权代表身份证复印件（法定代表人直接参加只须提供法定代表人身份证复印件）；</w:t>
      </w:r>
    </w:p>
    <w:p w14:paraId="7B4C944B">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3）税收缴纳证明:自2025年1月1日以来任意1个月的纳税证明或完税证明(提供增值税、企业所得税至少一种),纳税证明或完税证明上应有代收机构或税务机关的公章或业务专用章。依法免税的供应商应提供相关文件证明；</w:t>
      </w:r>
    </w:p>
    <w:p w14:paraId="43E20C2A">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4）社会保障资金缴纳证明:自2025年1月1日以来已缴存的任意1个月的社会保障资金缴存单据或社保机构开具的社会保险参保缴费情况证明，单据或证明上应有社保机构或代收机构的印章。依法不需要缴纳社会保障资金的供应商应提供相关文件证明；</w:t>
      </w:r>
    </w:p>
    <w:p w14:paraId="51F9781B">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5）财务状况报告:提供近三年任意一年度经审计的财务会计报告（(至少应包含资产负债表、利润表和现金流量表)，成立时间至提交投标文件截止时间不足一年的可提供成立后任意时段的资产负债表，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p w14:paraId="6A817D45">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（6）参加政府采购活动前3年内（</w:t>
      </w:r>
      <w:r>
        <w:rPr>
          <w:rFonts w:hint="eastAsia" w:ascii="宋体" w:hAnsi="宋体" w:eastAsia="宋体" w:cs="宋体"/>
          <w:sz w:val="24"/>
          <w:lang w:eastAsia="zh-CN"/>
        </w:rPr>
        <w:t>2022年10月</w:t>
      </w:r>
      <w:r>
        <w:rPr>
          <w:rFonts w:hint="eastAsia" w:ascii="宋体" w:hAnsi="宋体" w:eastAsia="宋体" w:cs="宋体"/>
          <w:sz w:val="24"/>
        </w:rPr>
        <w:t>至今）在经营活动中没有重大违法记录的书面声明（供应商自行出具声明书并加盖公章）；</w:t>
      </w:r>
    </w:p>
    <w:p w14:paraId="04AFBBA1">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（7）供应商通过“信用中国”网站</w:t>
      </w:r>
      <w:r>
        <w:rPr>
          <w:rFonts w:hint="eastAsia" w:ascii="宋体" w:hAnsi="宋体" w:eastAsia="宋体" w:cs="宋体"/>
          <w:color w:val="auto"/>
          <w:sz w:val="24"/>
        </w:rPr>
        <w:t>(</w:t>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HYPERLINK "http://www.creditchina.gov.cn/" \h </w:instrText>
      </w:r>
      <w:r>
        <w:rPr>
          <w:rFonts w:hint="eastAsia" w:ascii="宋体" w:hAnsi="宋体" w:eastAsia="宋体" w:cs="宋体"/>
          <w:color w:val="auto"/>
          <w:u w:val="none"/>
        </w:rPr>
        <w:fldChar w:fldCharType="separate"/>
      </w:r>
      <w:r>
        <w:rPr>
          <w:rFonts w:hint="eastAsia" w:ascii="宋体" w:hAnsi="宋体" w:eastAsia="宋体" w:cs="宋体"/>
          <w:color w:val="auto"/>
          <w:sz w:val="24"/>
          <w:u w:val="none"/>
        </w:rPr>
        <w:t>www.creditchina.gov.cn</w:t>
      </w:r>
      <w:r>
        <w:rPr>
          <w:rFonts w:hint="eastAsia" w:ascii="宋体" w:hAnsi="宋体" w:eastAsia="宋体" w:cs="宋体"/>
          <w:color w:val="auto"/>
          <w:sz w:val="24"/>
          <w:u w:val="none"/>
        </w:rPr>
        <w:fldChar w:fldCharType="end"/>
      </w:r>
      <w:r>
        <w:rPr>
          <w:rFonts w:hint="eastAsia" w:ascii="宋体" w:hAnsi="宋体" w:eastAsia="宋体" w:cs="宋体"/>
          <w:color w:val="auto"/>
          <w:sz w:val="24"/>
        </w:rPr>
        <w:t>)“信用服务”中“失信被执行人、重大税收违法案件当事人名单、政府采购严重违法失信名单”查询记录截图和中国政府采购网(</w:t>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HYPERLINK "http://www.ccgp.gov.cn/" \h </w:instrText>
      </w:r>
      <w:r>
        <w:rPr>
          <w:rFonts w:hint="eastAsia" w:ascii="宋体" w:hAnsi="宋体" w:eastAsia="宋体" w:cs="宋体"/>
          <w:color w:val="auto"/>
          <w:u w:val="none"/>
        </w:rPr>
        <w:fldChar w:fldCharType="separate"/>
      </w:r>
      <w:r>
        <w:rPr>
          <w:rFonts w:hint="eastAsia" w:ascii="宋体" w:hAnsi="宋体" w:eastAsia="宋体" w:cs="宋体"/>
          <w:color w:val="auto"/>
          <w:sz w:val="24"/>
          <w:u w:val="none"/>
        </w:rPr>
        <w:t>www.ccgp.gov.cn</w:t>
      </w:r>
      <w:r>
        <w:rPr>
          <w:rFonts w:hint="eastAsia" w:ascii="宋体" w:hAnsi="宋体" w:eastAsia="宋体" w:cs="宋体"/>
          <w:color w:val="auto"/>
          <w:sz w:val="24"/>
          <w:u w:val="none"/>
        </w:rPr>
        <w:fldChar w:fldCharType="end"/>
      </w:r>
      <w:r>
        <w:rPr>
          <w:rFonts w:hint="eastAsia" w:ascii="宋体" w:hAnsi="宋体" w:eastAsia="宋体" w:cs="宋体"/>
          <w:color w:val="auto"/>
          <w:sz w:val="24"/>
        </w:rPr>
        <w:t>)</w:t>
      </w:r>
      <w:r>
        <w:rPr>
          <w:rFonts w:hint="eastAsia" w:ascii="宋体" w:hAnsi="宋体" w:eastAsia="宋体" w:cs="宋体"/>
          <w:sz w:val="24"/>
        </w:rPr>
        <w:t>“政府采购严重违法失信行为信息记录”的查询记录截图（网站查询截图加盖企业公章）；</w:t>
      </w:r>
    </w:p>
    <w:p w14:paraId="4762C121">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本项目专门面向中小企业</w:t>
      </w:r>
      <w:r>
        <w:rPr>
          <w:rFonts w:hint="eastAsia" w:ascii="宋体" w:hAnsi="宋体" w:eastAsia="宋体" w:cs="宋体"/>
          <w:sz w:val="24"/>
        </w:rPr>
        <w:t>，供应商须提供中小企业声明函。供应商自行根据《国民经济行业分类》（GB/T4754-2017）、《国家统计局关于印发&lt;统计上大中小微型企业划分办法（2017）&gt;的通知》国统字〔2017〕213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p w14:paraId="63EDD09C">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具备</w:t>
      </w:r>
      <w:r>
        <w:rPr>
          <w:rFonts w:hint="eastAsia" w:ascii="宋体" w:hAnsi="宋体" w:eastAsia="宋体" w:cs="宋体"/>
          <w:sz w:val="24"/>
          <w:lang w:eastAsia="zh-CN"/>
        </w:rPr>
        <w:t>林业有害生物防治调查设计</w:t>
      </w:r>
      <w:r>
        <w:rPr>
          <w:rFonts w:hint="eastAsia" w:ascii="宋体" w:hAnsi="宋体" w:eastAsia="宋体" w:cs="宋体"/>
          <w:sz w:val="24"/>
        </w:rPr>
        <w:t>丙级及以上资质；</w:t>
      </w:r>
    </w:p>
    <w:p w14:paraId="64BDB0C1">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r>
        <w:rPr>
          <w:rFonts w:hint="eastAsia" w:ascii="宋体" w:hAnsi="宋体" w:eastAsia="宋体" w:cs="宋体"/>
          <w:sz w:val="24"/>
        </w:rPr>
        <w:t>本项目不接受联合体投标（格式自拟）。</w:t>
      </w:r>
    </w:p>
    <w:p w14:paraId="5C32CED4">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七、采购项目需要落实的政府采购政策：</w:t>
      </w:r>
    </w:p>
    <w:p w14:paraId="24357861">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满足《中华人民共和国政府采购法》第二十二条规定；</w:t>
      </w:r>
    </w:p>
    <w:p w14:paraId="3257E127">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(1)陕西省财政厅关于印发《陕西省中小企业政府采购信用融资办法》（陕财办采〔2018〕23 号）；</w:t>
      </w:r>
    </w:p>
    <w:p w14:paraId="70656CAE">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(2)《关于印发环境标志产品政府采购品目清单的通知》(财库〔2019〕18号)；</w:t>
      </w:r>
    </w:p>
    <w:p w14:paraId="7E075567">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(3)《关于印发节能产品政府采购品目清单的通知》(财库〔2019〕19号)；</w:t>
      </w:r>
    </w:p>
    <w:p w14:paraId="7A645CE8">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(4)《财政部国务院扶贫办关于运用政府采购政策支持脱贫攻坚的通知》（财库〔2019〕27 号）；</w:t>
      </w:r>
    </w:p>
    <w:p w14:paraId="774D204C">
      <w:pPr>
        <w:keepLines/>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(5)《财政部国家发展改革委关于印发〈节能产品政府采购实施意见〉的通知》(财库〔2004〕185号)；</w:t>
      </w:r>
    </w:p>
    <w:p w14:paraId="64DCF2BA">
      <w:pPr>
        <w:keepLines/>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(6)《财政部环保总局关于环境标志产品政府采购实施的意见》(财库〔2006〕90号)；</w:t>
      </w:r>
    </w:p>
    <w:p w14:paraId="0B58B1CD">
      <w:pPr>
        <w:keepLines/>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(7)《国务院办公厅关于建立政府强制采购节能产品制度的通知》(国办发〔2007〕51号)；</w:t>
      </w:r>
    </w:p>
    <w:p w14:paraId="64A9ABFC">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(8)《财政部司法部关于政府采购支持监狱企业发展有关问题的通知》(财库〔2014〕68号)；</w:t>
      </w:r>
    </w:p>
    <w:p w14:paraId="5C37CA52">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(9)《财政部民政部中国残疾人联合会关于促进残疾人就业政府采购政策的通知》(财库〔2017〕141号)；</w:t>
      </w:r>
    </w:p>
    <w:p w14:paraId="63599B95">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(10)《财政部发展改革委生态环境部市场监管总局关于调整优化节能产品、环境标志产品政府采购执行机制的通知》(财库〔2019〕9号)；</w:t>
      </w:r>
    </w:p>
    <w:p w14:paraId="7FB27D44">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(11)《政府采购促进中小企业发展管理办法》(财库〔2020〕46号)；</w:t>
      </w:r>
    </w:p>
    <w:p w14:paraId="7D7C873F">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(12)《财政部农业农村部国家乡村振兴局关于运用政府采购政策支持乡村产业振兴的通知》财库〔2021〕19号；</w:t>
      </w:r>
    </w:p>
    <w:p w14:paraId="2D5D6B4E">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(13)财政部关于进一步加大政府采购支持中小企业力度的通知(财库〔2022〕19号)；</w:t>
      </w:r>
    </w:p>
    <w:p w14:paraId="73EA6D12">
      <w:pPr>
        <w:pageBreakBefore w:val="0"/>
        <w:kinsoku/>
        <w:overflowPunct/>
        <w:topLinePunct w:val="0"/>
        <w:bidi w:val="0"/>
        <w:spacing w:after="0" w:line="360" w:lineRule="auto"/>
        <w:ind w:firstLine="480"/>
        <w:rPr>
          <w:rFonts w:hint="eastAsia" w:ascii="宋体" w:hAnsi="宋体" w:eastAsia="宋体" w:cs="宋体"/>
          <w:b/>
          <w:sz w:val="24"/>
        </w:rPr>
      </w:pPr>
      <w:r>
        <w:rPr>
          <w:rFonts w:hint="eastAsia" w:ascii="宋体" w:hAnsi="宋体" w:eastAsia="宋体" w:cs="宋体"/>
          <w:sz w:val="24"/>
        </w:rPr>
        <w:t>(14)其他需要落实的政府采购政策，如有最新颁布的政府采购政策，按最新的文件执行。</w:t>
      </w:r>
    </w:p>
    <w:p w14:paraId="03672E4C">
      <w:pPr>
        <w:pageBreakBefore w:val="0"/>
        <w:tabs>
          <w:tab w:val="left" w:pos="1620"/>
        </w:tabs>
        <w:kinsoku/>
        <w:overflowPunct/>
        <w:topLinePunct w:val="0"/>
        <w:bidi w:val="0"/>
        <w:spacing w:after="0" w:line="360" w:lineRule="auto"/>
        <w:ind w:right="-197" w:firstLine="240"/>
        <w:rPr>
          <w:rFonts w:hint="eastAsia" w:ascii="宋体" w:hAnsi="宋体" w:eastAsia="宋体" w:cs="宋体"/>
          <w:sz w:val="24"/>
        </w:rPr>
      </w:pPr>
      <w:r>
        <w:rPr>
          <w:rFonts w:hint="eastAsia" w:ascii="宋体" w:hAnsi="宋体" w:eastAsia="宋体" w:cs="宋体"/>
          <w:sz w:val="24"/>
        </w:rPr>
        <w:t xml:space="preserve">八、磋商文件的获取： </w:t>
      </w:r>
    </w:p>
    <w:p w14:paraId="2867DCAC">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1、领取时间：2025年</w:t>
      </w:r>
      <w:r>
        <w:rPr>
          <w:rFonts w:hint="eastAsia" w:ascii="宋体" w:hAnsi="宋体" w:eastAsia="宋体" w:cs="宋体"/>
          <w:sz w:val="24"/>
          <w:lang w:eastAsia="zh-CN"/>
        </w:rPr>
        <w:t>10月</w:t>
      </w:r>
      <w:r>
        <w:rPr>
          <w:rFonts w:hint="eastAsia" w:ascii="宋体" w:hAnsi="宋体" w:eastAsia="宋体" w:cs="宋体"/>
          <w:sz w:val="24"/>
          <w:lang w:val="en-US" w:eastAsia="zh-CN"/>
        </w:rPr>
        <w:t>30</w:t>
      </w:r>
      <w:r>
        <w:rPr>
          <w:rFonts w:hint="eastAsia" w:ascii="宋体" w:hAnsi="宋体" w:eastAsia="宋体" w:cs="宋体"/>
          <w:sz w:val="24"/>
          <w:lang w:eastAsia="zh-CN"/>
        </w:rPr>
        <w:t>日</w:t>
      </w:r>
      <w:r>
        <w:rPr>
          <w:rFonts w:hint="eastAsia" w:ascii="宋体" w:hAnsi="宋体" w:eastAsia="宋体" w:cs="宋体"/>
          <w:sz w:val="24"/>
        </w:rPr>
        <w:t>-2025年</w:t>
      </w:r>
      <w:r>
        <w:rPr>
          <w:rFonts w:hint="eastAsia" w:ascii="宋体" w:hAnsi="宋体" w:eastAsia="宋体" w:cs="宋体"/>
          <w:sz w:val="24"/>
          <w:lang w:eastAsia="zh-CN"/>
        </w:rPr>
        <w:t>11月</w:t>
      </w:r>
      <w:r>
        <w:rPr>
          <w:rFonts w:hint="eastAsia" w:ascii="宋体" w:hAnsi="宋体" w:eastAsia="宋体" w:cs="宋体"/>
          <w:sz w:val="24"/>
          <w:lang w:val="en-US" w:eastAsia="zh-CN"/>
        </w:rPr>
        <w:t>5</w:t>
      </w:r>
      <w:r>
        <w:rPr>
          <w:rFonts w:hint="eastAsia" w:ascii="宋体" w:hAnsi="宋体" w:eastAsia="宋体" w:cs="宋体"/>
          <w:sz w:val="24"/>
          <w:lang w:eastAsia="zh-CN"/>
        </w:rPr>
        <w:t>日</w:t>
      </w:r>
      <w:r>
        <w:rPr>
          <w:rFonts w:hint="eastAsia" w:ascii="宋体" w:hAnsi="宋体" w:eastAsia="宋体" w:cs="宋体"/>
          <w:sz w:val="24"/>
        </w:rPr>
        <w:t>（09:00-12:00,14:00-18:00时）</w:t>
      </w:r>
    </w:p>
    <w:p w14:paraId="33897BC4">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2、领取方式：</w:t>
      </w:r>
      <w:bookmarkStart w:id="17" w:name="_GoBack"/>
      <w:bookmarkEnd w:id="17"/>
      <w:r>
        <w:rPr>
          <w:rFonts w:hint="eastAsia" w:ascii="宋体" w:hAnsi="宋体" w:eastAsia="宋体" w:cs="宋体"/>
          <w:sz w:val="24"/>
        </w:rPr>
        <w:t>线上获取</w:t>
      </w:r>
    </w:p>
    <w:p w14:paraId="3C5DDA68">
      <w:pPr>
        <w:pageBreakBefore w:val="0"/>
        <w:kinsoku/>
        <w:overflowPunct/>
        <w:topLinePunct w:val="0"/>
        <w:bidi w:val="0"/>
        <w:spacing w:after="0" w:line="360" w:lineRule="auto"/>
        <w:ind w:firstLine="480"/>
        <w:rPr>
          <w:rFonts w:hint="eastAsia" w:ascii="宋体" w:hAnsi="宋体" w:eastAsia="宋体" w:cs="宋体"/>
          <w:sz w:val="24"/>
        </w:rPr>
      </w:pPr>
      <w:r>
        <w:rPr>
          <w:rFonts w:hint="eastAsia" w:ascii="宋体" w:hAnsi="宋体" w:eastAsia="宋体" w:cs="宋体"/>
          <w:sz w:val="24"/>
        </w:rPr>
        <w:t>3、获取方式：领取磋商文件时须将企业联系电话、企业介绍信（加盖单位公章）以上资料发送至邮箱（</w:t>
      </w:r>
      <w:r>
        <w:rPr>
          <w:rFonts w:hint="eastAsia" w:ascii="宋体" w:hAnsi="宋体" w:eastAsia="宋体" w:cs="宋体"/>
          <w:sz w:val="24"/>
          <w:lang w:eastAsia="zh-CN"/>
        </w:rPr>
        <w:t>752171105</w:t>
      </w:r>
      <w:r>
        <w:rPr>
          <w:rFonts w:hint="eastAsia" w:ascii="宋体" w:hAnsi="宋体" w:eastAsia="宋体" w:cs="宋体"/>
          <w:sz w:val="24"/>
        </w:rPr>
        <w:t>@qq.com）并联系电话16609151911确认参与磋商。</w:t>
      </w:r>
    </w:p>
    <w:p w14:paraId="77909734">
      <w:pPr>
        <w:pageBreakBefore w:val="0"/>
        <w:tabs>
          <w:tab w:val="left" w:pos="1620"/>
        </w:tabs>
        <w:kinsoku/>
        <w:overflowPunct/>
        <w:topLinePunct w:val="0"/>
        <w:bidi w:val="0"/>
        <w:spacing w:after="0" w:line="360" w:lineRule="auto"/>
        <w:ind w:right="-197" w:firstLine="240"/>
        <w:rPr>
          <w:rFonts w:hint="eastAsia" w:ascii="宋体" w:hAnsi="宋体" w:eastAsia="宋体" w:cs="宋体"/>
          <w:sz w:val="24"/>
        </w:rPr>
      </w:pPr>
      <w:r>
        <w:rPr>
          <w:rFonts w:hint="eastAsia" w:ascii="宋体" w:hAnsi="宋体" w:eastAsia="宋体" w:cs="宋体"/>
          <w:sz w:val="24"/>
        </w:rPr>
        <w:t xml:space="preserve">九、投标文件提交截止时间及开标时间和地点： </w:t>
      </w:r>
    </w:p>
    <w:p w14:paraId="0105946A">
      <w:pPr>
        <w:pageBreakBefore w:val="0"/>
        <w:tabs>
          <w:tab w:val="left" w:pos="1620"/>
        </w:tabs>
        <w:kinsoku/>
        <w:overflowPunct/>
        <w:topLinePunct w:val="0"/>
        <w:bidi w:val="0"/>
        <w:spacing w:after="0" w:line="360" w:lineRule="auto"/>
        <w:ind w:right="-197" w:firstLine="720"/>
        <w:rPr>
          <w:rFonts w:hint="eastAsia" w:ascii="宋体" w:hAnsi="宋体" w:eastAsia="宋体" w:cs="宋体"/>
          <w:sz w:val="24"/>
        </w:rPr>
      </w:pPr>
      <w:r>
        <w:rPr>
          <w:rFonts w:hint="eastAsia" w:ascii="宋体" w:hAnsi="宋体" w:eastAsia="宋体" w:cs="宋体"/>
          <w:sz w:val="24"/>
        </w:rPr>
        <w:t>1、磋商响应文件提交截止时间：2025年</w:t>
      </w:r>
      <w:r>
        <w:rPr>
          <w:rFonts w:hint="eastAsia" w:ascii="宋体" w:hAnsi="宋体" w:eastAsia="宋体" w:cs="宋体"/>
          <w:sz w:val="24"/>
          <w:lang w:eastAsia="zh-CN"/>
        </w:rPr>
        <w:t>11月10日</w:t>
      </w:r>
      <w:r>
        <w:rPr>
          <w:rFonts w:hint="eastAsia" w:ascii="宋体" w:hAnsi="宋体" w:eastAsia="宋体" w:cs="宋体"/>
          <w:sz w:val="24"/>
        </w:rPr>
        <w:t>15时00分</w:t>
      </w:r>
    </w:p>
    <w:p w14:paraId="4E1B56FC">
      <w:pPr>
        <w:pageBreakBefore w:val="0"/>
        <w:tabs>
          <w:tab w:val="left" w:pos="1620"/>
        </w:tabs>
        <w:kinsoku/>
        <w:overflowPunct/>
        <w:topLinePunct w:val="0"/>
        <w:bidi w:val="0"/>
        <w:spacing w:after="0" w:line="360" w:lineRule="auto"/>
        <w:ind w:right="-197" w:firstLine="720"/>
        <w:rPr>
          <w:rFonts w:hint="eastAsia" w:ascii="宋体" w:hAnsi="宋体" w:eastAsia="宋体" w:cs="宋体"/>
          <w:sz w:val="24"/>
        </w:rPr>
      </w:pPr>
      <w:r>
        <w:rPr>
          <w:rFonts w:hint="eastAsia" w:ascii="宋体" w:hAnsi="宋体" w:eastAsia="宋体" w:cs="宋体"/>
          <w:sz w:val="24"/>
        </w:rPr>
        <w:t>2、磋商时间：2025年</w:t>
      </w:r>
      <w:r>
        <w:rPr>
          <w:rFonts w:hint="eastAsia" w:ascii="宋体" w:hAnsi="宋体" w:eastAsia="宋体" w:cs="宋体"/>
          <w:sz w:val="24"/>
          <w:lang w:eastAsia="zh-CN"/>
        </w:rPr>
        <w:t>11月10日</w:t>
      </w:r>
      <w:r>
        <w:rPr>
          <w:rFonts w:hint="eastAsia" w:ascii="宋体" w:hAnsi="宋体" w:eastAsia="宋体" w:cs="宋体"/>
          <w:sz w:val="24"/>
        </w:rPr>
        <w:t xml:space="preserve">15时00分 </w:t>
      </w:r>
    </w:p>
    <w:p w14:paraId="09E4EF66">
      <w:pPr>
        <w:pageBreakBefore w:val="0"/>
        <w:tabs>
          <w:tab w:val="left" w:pos="1620"/>
        </w:tabs>
        <w:kinsoku/>
        <w:overflowPunct/>
        <w:topLinePunct w:val="0"/>
        <w:bidi w:val="0"/>
        <w:spacing w:after="0" w:line="360" w:lineRule="auto"/>
        <w:ind w:right="-197" w:firstLine="720"/>
        <w:rPr>
          <w:rFonts w:hint="eastAsia" w:ascii="宋体" w:hAnsi="宋体" w:eastAsia="宋体" w:cs="宋体"/>
          <w:sz w:val="24"/>
        </w:rPr>
      </w:pPr>
      <w:r>
        <w:rPr>
          <w:rFonts w:hint="eastAsia" w:ascii="宋体" w:hAnsi="宋体" w:eastAsia="宋体" w:cs="宋体"/>
          <w:sz w:val="24"/>
        </w:rPr>
        <w:t>3、磋商地点：陕西中源项目管理有限公司会议室</w:t>
      </w:r>
    </w:p>
    <w:p w14:paraId="2EC0BF92">
      <w:pPr>
        <w:pageBreakBefore w:val="0"/>
        <w:tabs>
          <w:tab w:val="left" w:pos="1620"/>
        </w:tabs>
        <w:kinsoku/>
        <w:overflowPunct/>
        <w:topLinePunct w:val="0"/>
        <w:bidi w:val="0"/>
        <w:spacing w:after="0" w:line="360" w:lineRule="auto"/>
        <w:ind w:right="-197" w:firstLine="240"/>
        <w:rPr>
          <w:rFonts w:hint="eastAsia" w:ascii="宋体" w:hAnsi="宋体" w:eastAsia="宋体" w:cs="宋体"/>
          <w:sz w:val="24"/>
        </w:rPr>
      </w:pPr>
      <w:r>
        <w:rPr>
          <w:rFonts w:hint="eastAsia" w:ascii="宋体" w:hAnsi="宋体" w:eastAsia="宋体" w:cs="宋体"/>
          <w:sz w:val="24"/>
        </w:rPr>
        <w:t>十、对本次招标提出询问，请按以下方式联系：</w:t>
      </w:r>
    </w:p>
    <w:p w14:paraId="338221A0">
      <w:pPr>
        <w:pageBreakBefore w:val="0"/>
        <w:kinsoku/>
        <w:overflowPunct/>
        <w:topLinePunct w:val="0"/>
        <w:bidi w:val="0"/>
        <w:spacing w:after="0" w:line="360" w:lineRule="auto"/>
        <w:ind w:firstLine="720" w:firstLineChars="300"/>
        <w:jc w:val="both"/>
        <w:rPr>
          <w:rFonts w:hint="eastAsia" w:ascii="宋体" w:hAnsi="宋体" w:eastAsia="宋体" w:cs="宋体"/>
          <w:sz w:val="24"/>
          <w:lang w:eastAsia="zh-CN"/>
        </w:rPr>
      </w:pPr>
      <w:r>
        <w:rPr>
          <w:rFonts w:hint="eastAsia" w:ascii="宋体" w:hAnsi="宋体" w:eastAsia="宋体" w:cs="宋体"/>
          <w:sz w:val="24"/>
        </w:rPr>
        <w:t>1、采购人信息：</w:t>
      </w:r>
      <w:r>
        <w:rPr>
          <w:rFonts w:hint="eastAsia" w:ascii="宋体" w:hAnsi="宋体" w:eastAsia="宋体" w:cs="宋体"/>
          <w:sz w:val="24"/>
          <w:lang w:eastAsia="zh-CN"/>
        </w:rPr>
        <w:t>汉阴县林业局</w:t>
      </w:r>
    </w:p>
    <w:p w14:paraId="2250CBF2">
      <w:pPr>
        <w:pageBreakBefore w:val="0"/>
        <w:kinsoku/>
        <w:overflowPunct/>
        <w:topLinePunct w:val="0"/>
        <w:bidi w:val="0"/>
        <w:spacing w:after="0" w:line="360" w:lineRule="auto"/>
        <w:ind w:firstLine="960"/>
        <w:jc w:val="both"/>
        <w:rPr>
          <w:rFonts w:hint="eastAsia"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eastAsia="zh-CN"/>
        </w:rPr>
        <w:t>黄嘉铭</w:t>
      </w:r>
      <w:r>
        <w:rPr>
          <w:rFonts w:hint="eastAsia" w:ascii="宋体" w:hAnsi="宋体" w:eastAsia="宋体" w:cs="宋体"/>
          <w:sz w:val="24"/>
          <w:lang w:val="en-US" w:eastAsia="zh-CN"/>
        </w:rPr>
        <w:tab/>
      </w:r>
    </w:p>
    <w:p w14:paraId="10ACCE12">
      <w:pPr>
        <w:pageBreakBefore w:val="0"/>
        <w:kinsoku/>
        <w:overflowPunct/>
        <w:topLinePunct w:val="0"/>
        <w:bidi w:val="0"/>
        <w:spacing w:after="0" w:line="360" w:lineRule="auto"/>
        <w:ind w:firstLine="960"/>
        <w:jc w:val="both"/>
        <w:rPr>
          <w:rFonts w:hint="eastAsia" w:ascii="宋体" w:hAnsi="宋体" w:eastAsia="宋体" w:cs="宋体"/>
          <w:sz w:val="24"/>
          <w:lang w:eastAsia="zh-CN"/>
        </w:rPr>
      </w:pPr>
      <w:r>
        <w:rPr>
          <w:rFonts w:hint="eastAsia" w:ascii="宋体" w:hAnsi="宋体" w:eastAsia="宋体" w:cs="宋体"/>
          <w:sz w:val="24"/>
        </w:rPr>
        <w:t>联系地址：</w:t>
      </w:r>
      <w:r>
        <w:rPr>
          <w:rFonts w:hint="eastAsia" w:ascii="宋体" w:hAnsi="宋体" w:eastAsia="宋体" w:cs="宋体"/>
          <w:sz w:val="24"/>
          <w:lang w:eastAsia="zh-CN"/>
        </w:rPr>
        <w:t>陕西省安康市汉阴县凤凰大道与广场路丁字路口处</w:t>
      </w:r>
    </w:p>
    <w:p w14:paraId="506A4322">
      <w:pPr>
        <w:pageBreakBefore w:val="0"/>
        <w:kinsoku/>
        <w:overflowPunct/>
        <w:topLinePunct w:val="0"/>
        <w:bidi w:val="0"/>
        <w:spacing w:after="0" w:line="360" w:lineRule="auto"/>
        <w:ind w:firstLine="960"/>
        <w:jc w:val="both"/>
        <w:rPr>
          <w:rFonts w:hint="eastAsia" w:ascii="宋体" w:hAnsi="宋体" w:eastAsia="宋体" w:cs="宋体"/>
          <w:sz w:val="24"/>
        </w:rPr>
      </w:pPr>
      <w:r>
        <w:rPr>
          <w:rFonts w:hint="eastAsia" w:ascii="宋体" w:hAnsi="宋体" w:eastAsia="宋体" w:cs="宋体"/>
          <w:sz w:val="24"/>
        </w:rPr>
        <w:t>联系电话：18509153500</w:t>
      </w:r>
    </w:p>
    <w:p w14:paraId="179E4AD8">
      <w:pPr>
        <w:pageBreakBefore w:val="0"/>
        <w:kinsoku/>
        <w:overflowPunct/>
        <w:topLinePunct w:val="0"/>
        <w:bidi w:val="0"/>
        <w:spacing w:after="0" w:line="360" w:lineRule="auto"/>
        <w:ind w:firstLine="960"/>
        <w:jc w:val="both"/>
        <w:rPr>
          <w:rFonts w:hint="eastAsia" w:ascii="宋体" w:hAnsi="宋体" w:eastAsia="宋体" w:cs="宋体"/>
          <w:sz w:val="24"/>
        </w:rPr>
      </w:pPr>
      <w:r>
        <w:rPr>
          <w:rFonts w:hint="eastAsia" w:ascii="宋体" w:hAnsi="宋体" w:eastAsia="宋体" w:cs="宋体"/>
          <w:sz w:val="24"/>
        </w:rPr>
        <w:t>2、采购代理机构信息</w:t>
      </w:r>
    </w:p>
    <w:p w14:paraId="4430E8BC">
      <w:pPr>
        <w:pageBreakBefore w:val="0"/>
        <w:kinsoku/>
        <w:overflowPunct/>
        <w:topLinePunct w:val="0"/>
        <w:bidi w:val="0"/>
        <w:spacing w:after="0" w:line="360" w:lineRule="auto"/>
        <w:ind w:firstLine="960"/>
        <w:jc w:val="both"/>
        <w:rPr>
          <w:rFonts w:hint="eastAsia" w:ascii="宋体" w:hAnsi="宋体" w:eastAsia="宋体" w:cs="宋体"/>
          <w:sz w:val="24"/>
        </w:rPr>
      </w:pPr>
      <w:r>
        <w:rPr>
          <w:rFonts w:hint="eastAsia" w:ascii="宋体" w:hAnsi="宋体" w:eastAsia="宋体" w:cs="宋体"/>
          <w:sz w:val="24"/>
        </w:rPr>
        <w:t>名称：陕西中源项目管理有限公司</w:t>
      </w:r>
    </w:p>
    <w:p w14:paraId="46CD51A9">
      <w:pPr>
        <w:pageBreakBefore w:val="0"/>
        <w:kinsoku/>
        <w:overflowPunct/>
        <w:topLinePunct w:val="0"/>
        <w:bidi w:val="0"/>
        <w:spacing w:after="0" w:line="360" w:lineRule="auto"/>
        <w:ind w:firstLine="960"/>
        <w:jc w:val="both"/>
        <w:rPr>
          <w:rFonts w:hint="eastAsia" w:ascii="宋体" w:hAnsi="宋体" w:eastAsia="宋体" w:cs="宋体"/>
          <w:sz w:val="24"/>
        </w:rPr>
      </w:pPr>
      <w:r>
        <w:rPr>
          <w:rFonts w:hint="eastAsia" w:ascii="宋体" w:hAnsi="宋体" w:eastAsia="宋体" w:cs="宋体"/>
          <w:sz w:val="24"/>
        </w:rPr>
        <w:t>联系地址：安康市汉滨区木竹桥安置点一栋三楼中源公司</w:t>
      </w:r>
    </w:p>
    <w:p w14:paraId="2EA9EBA1">
      <w:pPr>
        <w:pageBreakBefore w:val="0"/>
        <w:kinsoku/>
        <w:overflowPunct/>
        <w:topLinePunct w:val="0"/>
        <w:bidi w:val="0"/>
        <w:spacing w:after="0" w:line="360" w:lineRule="auto"/>
        <w:ind w:firstLine="960"/>
        <w:jc w:val="both"/>
        <w:rPr>
          <w:rFonts w:hint="eastAsia" w:ascii="宋体" w:hAnsi="宋体" w:eastAsia="宋体" w:cs="宋体"/>
          <w:sz w:val="24"/>
          <w:lang w:eastAsia="zh-CN"/>
        </w:rPr>
      </w:pPr>
      <w:r>
        <w:rPr>
          <w:rFonts w:hint="eastAsia" w:ascii="宋体" w:hAnsi="宋体" w:eastAsia="宋体" w:cs="宋体"/>
          <w:sz w:val="24"/>
        </w:rPr>
        <w:t>项目联系人：</w:t>
      </w:r>
      <w:r>
        <w:rPr>
          <w:rFonts w:hint="eastAsia" w:ascii="宋体" w:hAnsi="宋体" w:eastAsia="宋体" w:cs="宋体"/>
          <w:sz w:val="24"/>
          <w:lang w:eastAsia="zh-CN"/>
        </w:rPr>
        <w:t>徐金金</w:t>
      </w:r>
    </w:p>
    <w:p w14:paraId="47C14AF1">
      <w:pPr>
        <w:pageBreakBefore w:val="0"/>
        <w:kinsoku/>
        <w:overflowPunct/>
        <w:topLinePunct w:val="0"/>
        <w:bidi w:val="0"/>
        <w:spacing w:after="0" w:line="360" w:lineRule="auto"/>
        <w:ind w:firstLine="960"/>
        <w:jc w:val="both"/>
        <w:rPr>
          <w:rFonts w:hint="eastAsia" w:ascii="宋体" w:hAnsi="宋体" w:eastAsia="宋体" w:cs="宋体"/>
          <w:sz w:val="24"/>
        </w:rPr>
      </w:pPr>
      <w:r>
        <w:rPr>
          <w:rFonts w:hint="eastAsia" w:ascii="宋体" w:hAnsi="宋体" w:eastAsia="宋体" w:cs="宋体"/>
          <w:sz w:val="24"/>
        </w:rPr>
        <w:t>电 话：16609151911</w:t>
      </w:r>
    </w:p>
    <w:p w14:paraId="368E38C3">
      <w:pPr>
        <w:pageBreakBefore w:val="0"/>
        <w:kinsoku/>
        <w:overflowPunct/>
        <w:topLinePunct w:val="0"/>
        <w:bidi w:val="0"/>
        <w:spacing w:after="0" w:line="360" w:lineRule="auto"/>
        <w:ind w:firstLine="480"/>
        <w:jc w:val="right"/>
        <w:rPr>
          <w:rFonts w:hint="eastAsia" w:ascii="宋体" w:hAnsi="宋体" w:eastAsia="宋体" w:cs="宋体"/>
          <w:sz w:val="24"/>
        </w:rPr>
      </w:pPr>
      <w:r>
        <w:rPr>
          <w:rFonts w:hint="eastAsia" w:ascii="宋体" w:hAnsi="宋体" w:eastAsia="宋体" w:cs="宋体"/>
          <w:sz w:val="24"/>
        </w:rPr>
        <w:t>陕西中源项目管理有限公司                                                          2025年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29</w:t>
      </w:r>
      <w:r>
        <w:rPr>
          <w:rFonts w:hint="eastAsia" w:ascii="宋体" w:hAnsi="宋体" w:eastAsia="宋体" w:cs="宋体"/>
          <w:sz w:val="24"/>
        </w:rPr>
        <w:t>日</w:t>
      </w:r>
    </w:p>
    <w:p w14:paraId="467E6A54">
      <w:pPr>
        <w:pageBreakBefore w:val="0"/>
        <w:kinsoku/>
        <w:overflowPunct/>
        <w:topLinePunct w:val="0"/>
        <w:bidi w:val="0"/>
        <w:spacing w:after="0" w:line="360" w:lineRule="auto"/>
        <w:ind w:firstLine="643"/>
        <w:jc w:val="center"/>
        <w:rPr>
          <w:rFonts w:hint="eastAsia" w:ascii="宋体" w:hAnsi="宋体" w:eastAsia="宋体" w:cs="宋体"/>
          <w:b/>
          <w:sz w:val="32"/>
        </w:rPr>
      </w:pPr>
    </w:p>
    <w:p w14:paraId="4FF93558">
      <w:pPr>
        <w:pageBreakBefore w:val="0"/>
        <w:kinsoku/>
        <w:overflowPunct/>
        <w:topLinePunct w:val="0"/>
        <w:bidi w:val="0"/>
        <w:spacing w:after="0" w:line="360" w:lineRule="auto"/>
        <w:ind w:firstLine="643"/>
        <w:jc w:val="center"/>
        <w:rPr>
          <w:rFonts w:hint="eastAsia" w:ascii="宋体" w:hAnsi="宋体" w:eastAsia="宋体" w:cs="宋体"/>
          <w:b/>
          <w:sz w:val="32"/>
        </w:rPr>
      </w:pPr>
    </w:p>
    <w:p w14:paraId="0890AB13">
      <w:pPr>
        <w:pageBreakBefore w:val="0"/>
        <w:kinsoku/>
        <w:overflowPunct/>
        <w:topLinePunct w:val="0"/>
        <w:bidi w:val="0"/>
        <w:spacing w:after="0" w:line="360" w:lineRule="auto"/>
        <w:ind w:firstLine="643"/>
        <w:jc w:val="center"/>
        <w:rPr>
          <w:rFonts w:hint="eastAsia" w:ascii="宋体" w:hAnsi="宋体" w:eastAsia="宋体" w:cs="宋体"/>
          <w:b/>
          <w:sz w:val="32"/>
        </w:rPr>
      </w:pPr>
    </w:p>
    <w:p w14:paraId="5FA7F0A5">
      <w:pPr>
        <w:rPr>
          <w:rFonts w:hint="eastAsia" w:ascii="宋体" w:hAnsi="宋体" w:eastAsia="宋体" w:cs="宋体"/>
          <w:b/>
          <w:sz w:val="32"/>
        </w:rPr>
      </w:pPr>
      <w:r>
        <w:rPr>
          <w:rFonts w:hint="eastAsia" w:ascii="宋体" w:hAnsi="宋体" w:eastAsia="宋体" w:cs="宋体"/>
          <w:b/>
          <w:sz w:val="32"/>
        </w:rPr>
        <w:br w:type="page"/>
      </w:r>
    </w:p>
    <w:p w14:paraId="49750E9F">
      <w:pPr>
        <w:pageBreakBefore w:val="0"/>
        <w:kinsoku/>
        <w:overflowPunct/>
        <w:topLinePunct w:val="0"/>
        <w:bidi w:val="0"/>
        <w:spacing w:after="0" w:line="360" w:lineRule="auto"/>
        <w:ind w:firstLine="643"/>
        <w:jc w:val="center"/>
        <w:rPr>
          <w:rFonts w:hint="eastAsia" w:ascii="宋体" w:hAnsi="宋体" w:eastAsia="宋体" w:cs="宋体"/>
          <w:b/>
          <w:sz w:val="32"/>
        </w:rPr>
      </w:pPr>
      <w:r>
        <w:rPr>
          <w:rFonts w:hint="eastAsia" w:ascii="宋体" w:hAnsi="宋体" w:eastAsia="宋体" w:cs="宋体"/>
          <w:b/>
          <w:sz w:val="32"/>
        </w:rPr>
        <w:t>第二章  投标须知前附表</w:t>
      </w:r>
    </w:p>
    <w:tbl>
      <w:tblPr>
        <w:tblStyle w:val="13"/>
        <w:tblW w:w="0" w:type="auto"/>
        <w:jc w:val="center"/>
        <w:tblLayout w:type="autofit"/>
        <w:tblCellMar>
          <w:top w:w="0" w:type="dxa"/>
          <w:left w:w="10" w:type="dxa"/>
          <w:bottom w:w="0" w:type="dxa"/>
          <w:right w:w="10" w:type="dxa"/>
        </w:tblCellMar>
      </w:tblPr>
      <w:tblGrid>
        <w:gridCol w:w="782"/>
        <w:gridCol w:w="2501"/>
        <w:gridCol w:w="6456"/>
      </w:tblGrid>
      <w:tr w14:paraId="7441E1DE">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BED6DC">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序号</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57B61">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内容</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B20B0">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编  列  内  容</w:t>
            </w:r>
          </w:p>
        </w:tc>
      </w:tr>
      <w:tr w14:paraId="757DDACB">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2EB00">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7E2177">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采购人</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D68A21">
            <w:pPr>
              <w:pageBreakBefore w:val="0"/>
              <w:kinsoku/>
              <w:overflowPunct/>
              <w:topLinePunct w:val="0"/>
              <w:bidi w:val="0"/>
              <w:spacing w:after="0" w:line="240" w:lineRule="auto"/>
              <w:jc w:val="both"/>
              <w:rPr>
                <w:rFonts w:hint="eastAsia" w:ascii="宋体" w:hAnsi="宋体" w:eastAsia="宋体" w:cs="宋体"/>
                <w:lang w:eastAsia="zh-CN"/>
              </w:rPr>
            </w:pPr>
            <w:r>
              <w:rPr>
                <w:rFonts w:hint="eastAsia" w:ascii="宋体" w:hAnsi="宋体" w:eastAsia="宋体" w:cs="宋体"/>
                <w:lang w:eastAsia="zh-CN"/>
              </w:rPr>
              <w:t>汉阴县林业局</w:t>
            </w:r>
          </w:p>
        </w:tc>
      </w:tr>
      <w:tr w14:paraId="27C0F4EC">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3F9088">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2</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8BC19">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采购代理</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74ED50">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陕西中源项目管理有限公司</w:t>
            </w:r>
          </w:p>
        </w:tc>
      </w:tr>
      <w:tr w14:paraId="09D67904">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0D9ED">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3</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52AEB">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项目名称</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C60B2">
            <w:pPr>
              <w:pageBreakBefore w:val="0"/>
              <w:kinsoku/>
              <w:overflowPunct/>
              <w:topLinePunct w:val="0"/>
              <w:bidi w:val="0"/>
              <w:spacing w:after="0" w:line="240" w:lineRule="auto"/>
              <w:jc w:val="both"/>
              <w:rPr>
                <w:rFonts w:hint="eastAsia" w:ascii="宋体" w:hAnsi="宋体" w:eastAsia="宋体" w:cs="宋体"/>
                <w:lang w:eastAsia="zh-CN"/>
              </w:rPr>
            </w:pPr>
            <w:r>
              <w:rPr>
                <w:rFonts w:hint="eastAsia" w:ascii="宋体" w:hAnsi="宋体" w:eastAsia="宋体" w:cs="宋体"/>
                <w:lang w:eastAsia="zh-CN"/>
              </w:rPr>
              <w:t>汉阴县 2025 年松树钻蛀类害虫系统调查工作项目</w:t>
            </w:r>
          </w:p>
        </w:tc>
      </w:tr>
      <w:tr w14:paraId="796BB127">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D3498">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4</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077027">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采购类型</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66634">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竞争性磋商</w:t>
            </w:r>
          </w:p>
        </w:tc>
      </w:tr>
      <w:tr w14:paraId="361F3582">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782453">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5</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64112">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质量标准</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B1CDE">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国家及行业标准：合格</w:t>
            </w:r>
          </w:p>
        </w:tc>
      </w:tr>
      <w:tr w14:paraId="6D0CDA6D">
        <w:tblPrEx>
          <w:tblCellMar>
            <w:top w:w="0" w:type="dxa"/>
            <w:left w:w="10" w:type="dxa"/>
            <w:bottom w:w="0" w:type="dxa"/>
            <w:right w:w="10" w:type="dxa"/>
          </w:tblCellMar>
        </w:tblPrEx>
        <w:trPr>
          <w:trHeight w:val="861"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4934B">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6</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380A2">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最高限价</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A9F43">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人民币：</w:t>
            </w:r>
            <w:r>
              <w:rPr>
                <w:rFonts w:hint="eastAsia" w:ascii="宋体" w:hAnsi="宋体" w:eastAsia="宋体" w:cs="宋体"/>
                <w:sz w:val="24"/>
                <w:lang w:eastAsia="zh-CN"/>
              </w:rPr>
              <w:t>288191.50</w:t>
            </w:r>
            <w:r>
              <w:rPr>
                <w:rFonts w:hint="eastAsia" w:ascii="宋体" w:hAnsi="宋体" w:eastAsia="宋体" w:cs="宋体"/>
                <w:sz w:val="24"/>
              </w:rPr>
              <w:t>元</w:t>
            </w:r>
            <w:r>
              <w:rPr>
                <w:rFonts w:hint="eastAsia" w:ascii="宋体" w:hAnsi="宋体" w:eastAsia="宋体" w:cs="宋体"/>
              </w:rPr>
              <w:t>，磋商响应报价不得超出限价金额，超出则废标。</w:t>
            </w:r>
          </w:p>
        </w:tc>
      </w:tr>
      <w:tr w14:paraId="32FE77BD">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48900">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7</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A89327">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资金来源</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2203F5">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财政资金</w:t>
            </w:r>
          </w:p>
        </w:tc>
      </w:tr>
      <w:tr w14:paraId="3F672326">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46E2A">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8</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33FA9">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磋商响应文件有效期</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EE20A4">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从磋商之日起</w:t>
            </w:r>
            <w:r>
              <w:rPr>
                <w:rFonts w:hint="eastAsia" w:ascii="宋体" w:hAnsi="宋体" w:eastAsia="宋体" w:cs="宋体"/>
                <w:u w:val="single"/>
              </w:rPr>
              <w:t xml:space="preserve"> 90 </w:t>
            </w:r>
            <w:r>
              <w:rPr>
                <w:rFonts w:hint="eastAsia" w:ascii="宋体" w:hAnsi="宋体" w:eastAsia="宋体" w:cs="宋体"/>
              </w:rPr>
              <w:t xml:space="preserve">天 </w:t>
            </w:r>
          </w:p>
        </w:tc>
      </w:tr>
      <w:tr w14:paraId="4A3C9944">
        <w:tblPrEx>
          <w:tblCellMar>
            <w:top w:w="0" w:type="dxa"/>
            <w:left w:w="10" w:type="dxa"/>
            <w:bottom w:w="0" w:type="dxa"/>
            <w:right w:w="10" w:type="dxa"/>
          </w:tblCellMar>
        </w:tblPrEx>
        <w:trPr>
          <w:trHeight w:val="826"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C2E1C">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9</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41E90D">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补遗书</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965B62">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所有补遗书（有正式编号）和其它正式有效函件，均是磋商文件的组成部分，编制磋商响应文件时须附在响应文件内</w:t>
            </w:r>
          </w:p>
        </w:tc>
      </w:tr>
      <w:tr w14:paraId="44AB7B03">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D0974E">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10</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93766">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磋商保证金</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EF00A">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b/>
              </w:rPr>
              <w:t>不需要缴纳保证金</w:t>
            </w:r>
          </w:p>
        </w:tc>
      </w:tr>
      <w:tr w14:paraId="790CE6C4">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9AF198">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11</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2FCFB">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磋商响应文件份数</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FFBD5">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正本1份，副本 1份，正、副本分开密封为两袋。</w:t>
            </w:r>
          </w:p>
        </w:tc>
      </w:tr>
      <w:tr w14:paraId="0CCFB478">
        <w:tblPrEx>
          <w:tblCellMar>
            <w:top w:w="0" w:type="dxa"/>
            <w:left w:w="10" w:type="dxa"/>
            <w:bottom w:w="0" w:type="dxa"/>
            <w:right w:w="10" w:type="dxa"/>
          </w:tblCellMar>
        </w:tblPrEx>
        <w:trPr>
          <w:trHeight w:val="461"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DE13A">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12</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B66594">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磋商时间</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3D42E">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sz w:val="24"/>
              </w:rPr>
              <w:t>2025年</w:t>
            </w:r>
            <w:r>
              <w:rPr>
                <w:rFonts w:hint="eastAsia" w:ascii="宋体" w:hAnsi="宋体" w:eastAsia="宋体" w:cs="宋体"/>
                <w:sz w:val="24"/>
                <w:lang w:val="en-US" w:eastAsia="zh-CN"/>
              </w:rPr>
              <w:t>11月10日</w:t>
            </w:r>
            <w:r>
              <w:rPr>
                <w:rFonts w:hint="eastAsia" w:ascii="宋体" w:hAnsi="宋体" w:eastAsia="宋体" w:cs="宋体"/>
                <w:sz w:val="24"/>
              </w:rPr>
              <w:t>15时00分</w:t>
            </w:r>
          </w:p>
        </w:tc>
      </w:tr>
      <w:tr w14:paraId="1F3AB571">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B0536">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13</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13A323">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磋商地点</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64A3B">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陕西中源项目管理有限公司会议室</w:t>
            </w:r>
          </w:p>
        </w:tc>
      </w:tr>
      <w:tr w14:paraId="1DF3A550">
        <w:tblPrEx>
          <w:tblCellMar>
            <w:top w:w="0" w:type="dxa"/>
            <w:left w:w="10" w:type="dxa"/>
            <w:bottom w:w="0" w:type="dxa"/>
            <w:right w:w="10" w:type="dxa"/>
          </w:tblCellMar>
        </w:tblPrEx>
        <w:trPr>
          <w:trHeight w:val="461"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F7B35">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14</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65AD9">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磋商文件递交截止期</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481252">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sz w:val="24"/>
              </w:rPr>
              <w:t>2025年</w:t>
            </w:r>
            <w:r>
              <w:rPr>
                <w:rFonts w:hint="eastAsia" w:ascii="宋体" w:hAnsi="宋体" w:eastAsia="宋体" w:cs="宋体"/>
                <w:sz w:val="24"/>
                <w:lang w:val="en-US" w:eastAsia="zh-CN"/>
              </w:rPr>
              <w:t>11月10日</w:t>
            </w:r>
            <w:r>
              <w:rPr>
                <w:rFonts w:hint="eastAsia" w:ascii="宋体" w:hAnsi="宋体" w:eastAsia="宋体" w:cs="宋体"/>
                <w:sz w:val="24"/>
              </w:rPr>
              <w:t>15时00分</w:t>
            </w:r>
            <w:r>
              <w:rPr>
                <w:rFonts w:hint="eastAsia" w:ascii="宋体" w:hAnsi="宋体" w:eastAsia="宋体" w:cs="宋体"/>
              </w:rPr>
              <w:t>之前</w:t>
            </w:r>
          </w:p>
        </w:tc>
      </w:tr>
      <w:tr w14:paraId="5C03742E">
        <w:tblPrEx>
          <w:tblCellMar>
            <w:top w:w="0" w:type="dxa"/>
            <w:left w:w="10" w:type="dxa"/>
            <w:bottom w:w="0" w:type="dxa"/>
            <w:right w:w="10" w:type="dxa"/>
          </w:tblCellMar>
        </w:tblPrEx>
        <w:trPr>
          <w:trHeight w:val="826"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9B984">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15</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ED36C">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成交供应商签署合同书期限</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1A13E">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收到中标通知书后</w:t>
            </w:r>
            <w:r>
              <w:rPr>
                <w:rFonts w:hint="eastAsia" w:ascii="宋体" w:hAnsi="宋体" w:eastAsia="宋体" w:cs="宋体"/>
                <w:u w:val="single"/>
              </w:rPr>
              <w:t xml:space="preserve"> 10 </w:t>
            </w:r>
            <w:r>
              <w:rPr>
                <w:rFonts w:hint="eastAsia" w:ascii="宋体" w:hAnsi="宋体" w:eastAsia="宋体" w:cs="宋体"/>
              </w:rPr>
              <w:t>天内</w:t>
            </w:r>
          </w:p>
        </w:tc>
      </w:tr>
      <w:tr w14:paraId="2A7C2B1F">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CEC72">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16</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577BD3">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现场踏勘</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62027">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不集中组织，自行踏勘。</w:t>
            </w:r>
          </w:p>
        </w:tc>
      </w:tr>
      <w:tr w14:paraId="56032F90">
        <w:tblPrEx>
          <w:tblCellMar>
            <w:top w:w="0" w:type="dxa"/>
            <w:left w:w="10" w:type="dxa"/>
            <w:bottom w:w="0" w:type="dxa"/>
            <w:right w:w="10" w:type="dxa"/>
          </w:tblCellMar>
        </w:tblPrEx>
        <w:trPr>
          <w:trHeight w:val="42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8F0B84">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17</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9BD31">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服务期</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BCC8E">
            <w:pPr>
              <w:pageBreakBefore w:val="0"/>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lang w:val="en-US" w:eastAsia="zh-CN"/>
              </w:rPr>
              <w:t>自合同签订之日起至2026年8月31日</w:t>
            </w:r>
          </w:p>
        </w:tc>
      </w:tr>
      <w:tr w14:paraId="7894AC6B">
        <w:tblPrEx>
          <w:tblCellMar>
            <w:top w:w="0" w:type="dxa"/>
            <w:left w:w="10" w:type="dxa"/>
            <w:bottom w:w="0" w:type="dxa"/>
            <w:right w:w="10" w:type="dxa"/>
          </w:tblCellMar>
        </w:tblPrEx>
        <w:trPr>
          <w:trHeight w:val="826"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48832">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18</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29BAB0">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磋商小组成员</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EBA137">
            <w:pPr>
              <w:pageBreakBefore w:val="0"/>
              <w:kinsoku/>
              <w:overflowPunct/>
              <w:topLinePunct w:val="0"/>
              <w:bidi w:val="0"/>
              <w:spacing w:after="0" w:line="240" w:lineRule="auto"/>
              <w:jc w:val="both"/>
              <w:rPr>
                <w:rFonts w:hint="eastAsia" w:ascii="宋体" w:hAnsi="宋体" w:eastAsia="宋体" w:cs="宋体"/>
                <w:highlight w:val="yellow"/>
              </w:rPr>
            </w:pPr>
            <w:r>
              <w:rPr>
                <w:rFonts w:hint="eastAsia" w:ascii="宋体" w:hAnsi="宋体" w:eastAsia="宋体" w:cs="宋体"/>
                <w:lang w:val="en-US" w:eastAsia="zh-CN"/>
              </w:rPr>
              <w:t>磋商小组由采购人代表及评审专家组成，评审专家从政府采购专家库中随机抽取产生。</w:t>
            </w:r>
          </w:p>
        </w:tc>
      </w:tr>
      <w:tr w14:paraId="1C57010B">
        <w:tblPrEx>
          <w:tblCellMar>
            <w:top w:w="0" w:type="dxa"/>
            <w:left w:w="10" w:type="dxa"/>
            <w:bottom w:w="0" w:type="dxa"/>
            <w:right w:w="10" w:type="dxa"/>
          </w:tblCellMar>
        </w:tblPrEx>
        <w:trPr>
          <w:trHeight w:val="1406"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78538">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19</w:t>
            </w:r>
          </w:p>
        </w:tc>
        <w:tc>
          <w:tcPr>
            <w:tcW w:w="2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EBB65">
            <w:pPr>
              <w:pageBreakBefore w:val="0"/>
              <w:kinsoku/>
              <w:overflowPunct/>
              <w:topLinePunct w:val="0"/>
              <w:bidi w:val="0"/>
              <w:spacing w:after="0" w:line="240" w:lineRule="auto"/>
              <w:jc w:val="center"/>
              <w:rPr>
                <w:rFonts w:hint="eastAsia" w:ascii="宋体" w:hAnsi="宋体" w:eastAsia="宋体" w:cs="宋体"/>
              </w:rPr>
            </w:pPr>
            <w:r>
              <w:rPr>
                <w:rFonts w:hint="eastAsia" w:ascii="宋体" w:hAnsi="宋体" w:eastAsia="宋体" w:cs="宋体"/>
              </w:rPr>
              <w:t>其他事项</w:t>
            </w:r>
          </w:p>
        </w:tc>
        <w:tc>
          <w:tcPr>
            <w:tcW w:w="64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7C385">
            <w:pPr>
              <w:pageBreakBefore w:val="0"/>
              <w:numPr>
                <w:ilvl w:val="0"/>
                <w:numId w:val="0"/>
              </w:numPr>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法人或其授权委托人参加磋商会，必须携带身份证原件，委托人还需提供一份被授权委托书，由委托人签字。</w:t>
            </w:r>
          </w:p>
          <w:p w14:paraId="22F49724">
            <w:pPr>
              <w:pageBreakBefore w:val="0"/>
              <w:numPr>
                <w:ilvl w:val="0"/>
                <w:numId w:val="0"/>
              </w:numPr>
              <w:kinsoku/>
              <w:overflowPunct/>
              <w:topLinePunct w:val="0"/>
              <w:bidi w:val="0"/>
              <w:spacing w:after="0" w:line="240" w:lineRule="auto"/>
              <w:jc w:val="both"/>
              <w:rPr>
                <w:rFonts w:hint="eastAsia" w:ascii="宋体" w:hAnsi="宋体" w:eastAsia="宋体" w:cs="宋体"/>
              </w:rPr>
            </w:pPr>
            <w:r>
              <w:rPr>
                <w:rFonts w:hint="eastAsia" w:ascii="宋体" w:hAnsi="宋体" w:eastAsia="宋体" w:cs="宋体"/>
              </w:rPr>
              <w:t>本竞争性磋商文件依据《中华人民共和国政府采购法》等编写，磋商响应单位应自备上述资料，如有未尽事项以上述资料为准。</w:t>
            </w:r>
          </w:p>
        </w:tc>
      </w:tr>
    </w:tbl>
    <w:p w14:paraId="47318087">
      <w:pPr>
        <w:pageBreakBefore w:val="0"/>
        <w:kinsoku/>
        <w:overflowPunct/>
        <w:topLinePunct w:val="0"/>
        <w:bidi w:val="0"/>
        <w:spacing w:after="0"/>
        <w:rPr>
          <w:rFonts w:hint="eastAsia" w:ascii="宋体" w:hAnsi="宋体" w:eastAsia="宋体" w:cs="宋体"/>
          <w:b/>
          <w:sz w:val="32"/>
        </w:rPr>
      </w:pPr>
      <w:r>
        <w:rPr>
          <w:rFonts w:hint="eastAsia" w:ascii="宋体" w:hAnsi="宋体" w:eastAsia="宋体" w:cs="宋体"/>
          <w:b/>
          <w:sz w:val="32"/>
        </w:rPr>
        <w:br w:type="page"/>
      </w:r>
    </w:p>
    <w:p w14:paraId="50CFC8FA">
      <w:pPr>
        <w:keepNext/>
        <w:keepLines/>
        <w:pageBreakBefore w:val="0"/>
        <w:kinsoku/>
        <w:overflowPunct/>
        <w:topLinePunct w:val="0"/>
        <w:bidi w:val="0"/>
        <w:spacing w:after="0" w:line="578" w:lineRule="auto"/>
        <w:jc w:val="center"/>
        <w:rPr>
          <w:rFonts w:hint="eastAsia" w:ascii="宋体" w:hAnsi="宋体" w:eastAsia="宋体" w:cs="宋体"/>
          <w:b/>
          <w:sz w:val="32"/>
        </w:rPr>
      </w:pPr>
      <w:r>
        <w:rPr>
          <w:rFonts w:hint="eastAsia" w:ascii="宋体" w:hAnsi="宋体" w:eastAsia="宋体" w:cs="宋体"/>
          <w:b/>
          <w:sz w:val="32"/>
        </w:rPr>
        <w:t>第三章  投标须知</w:t>
      </w:r>
    </w:p>
    <w:p w14:paraId="4E5E11A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本项目采购招标依据为《中华人民共和国招标投标法》《中华人民共和国政府采购法</w:t>
      </w:r>
      <w:r>
        <w:rPr>
          <w:rFonts w:hint="eastAsia" w:ascii="宋体" w:hAnsi="宋体" w:eastAsia="宋体" w:cs="宋体"/>
          <w:sz w:val="24"/>
          <w:lang w:eastAsia="zh-CN"/>
        </w:rPr>
        <w:t>》和</w:t>
      </w:r>
      <w:r>
        <w:rPr>
          <w:rFonts w:hint="eastAsia" w:ascii="宋体" w:hAnsi="宋体" w:eastAsia="宋体" w:cs="宋体"/>
          <w:sz w:val="24"/>
        </w:rPr>
        <w:t>国家发展计划委员会等七部委《评标委员会和评标方法暂行规定》等有关</w:t>
      </w:r>
      <w:r>
        <w:rPr>
          <w:rFonts w:hint="eastAsia" w:ascii="宋体" w:hAnsi="宋体" w:eastAsia="宋体" w:cs="宋体"/>
          <w:sz w:val="24"/>
          <w:lang w:eastAsia="zh-CN"/>
        </w:rPr>
        <w:t>法律法规</w:t>
      </w:r>
      <w:r>
        <w:rPr>
          <w:rFonts w:hint="eastAsia" w:ascii="宋体" w:hAnsi="宋体" w:eastAsia="宋体" w:cs="宋体"/>
          <w:sz w:val="24"/>
        </w:rPr>
        <w:t>及规定。</w:t>
      </w:r>
    </w:p>
    <w:p w14:paraId="09D951E0">
      <w:pPr>
        <w:pageBreakBefore w:val="0"/>
        <w:kinsoku/>
        <w:overflowPunct/>
        <w:topLinePunct w:val="0"/>
        <w:bidi w:val="0"/>
        <w:spacing w:after="0" w:line="560" w:lineRule="auto"/>
        <w:jc w:val="center"/>
        <w:rPr>
          <w:rFonts w:hint="eastAsia" w:ascii="宋体" w:hAnsi="宋体" w:eastAsia="宋体" w:cs="宋体"/>
          <w:sz w:val="32"/>
        </w:rPr>
      </w:pPr>
      <w:r>
        <w:rPr>
          <w:rFonts w:hint="eastAsia" w:ascii="宋体" w:hAnsi="宋体" w:eastAsia="宋体" w:cs="宋体"/>
          <w:sz w:val="32"/>
        </w:rPr>
        <w:t>A．总  则</w:t>
      </w:r>
    </w:p>
    <w:p w14:paraId="7126B60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1．采购范围</w:t>
      </w:r>
    </w:p>
    <w:p w14:paraId="7522C29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1．1 采购人发出项目公告，</w:t>
      </w:r>
      <w:r>
        <w:rPr>
          <w:rFonts w:hint="eastAsia" w:ascii="宋体" w:hAnsi="宋体" w:eastAsia="宋体" w:cs="宋体"/>
          <w:sz w:val="24"/>
          <w:lang w:eastAsia="zh-CN"/>
        </w:rPr>
        <w:t>汉阴县 2025 年松树钻蛀类害虫系统调查工作项目</w:t>
      </w:r>
      <w:r>
        <w:rPr>
          <w:rFonts w:hint="eastAsia" w:ascii="宋体" w:hAnsi="宋体" w:eastAsia="宋体" w:cs="宋体"/>
          <w:sz w:val="24"/>
        </w:rPr>
        <w:t>进行竞争性磋商。</w:t>
      </w:r>
    </w:p>
    <w:p w14:paraId="51914D1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1．2 项目概况及采购范围详见本投标须知。</w:t>
      </w:r>
    </w:p>
    <w:p w14:paraId="4E46500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1．3 成交供应商应在签订合同书后在采购人规定的服务期周期内，完成</w:t>
      </w:r>
      <w:r>
        <w:rPr>
          <w:rFonts w:hint="eastAsia" w:ascii="宋体" w:hAnsi="宋体" w:eastAsia="宋体" w:cs="宋体"/>
          <w:sz w:val="24"/>
          <w:lang w:eastAsia="zh-CN"/>
        </w:rPr>
        <w:t>汉阴县 2025 年松树钻蛀类害虫系统调查工作项目</w:t>
      </w:r>
      <w:r>
        <w:rPr>
          <w:rFonts w:hint="eastAsia" w:ascii="宋体" w:hAnsi="宋体" w:eastAsia="宋体" w:cs="宋体"/>
          <w:sz w:val="24"/>
        </w:rPr>
        <w:t>。</w:t>
      </w:r>
    </w:p>
    <w:p w14:paraId="7A7907F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1．4 服务工作应满足下列要求： </w:t>
      </w:r>
    </w:p>
    <w:p w14:paraId="44758E33">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供应商应以</w:t>
      </w:r>
      <w:r>
        <w:rPr>
          <w:rFonts w:hint="eastAsia" w:ascii="宋体" w:hAnsi="宋体" w:eastAsia="宋体" w:cs="宋体"/>
          <w:sz w:val="24"/>
          <w:lang w:eastAsia="zh-CN"/>
        </w:rPr>
        <w:t>汉阴县 2025 年松树钻蛀类害虫系统调查工作项目</w:t>
      </w:r>
      <w:r>
        <w:rPr>
          <w:rFonts w:hint="eastAsia" w:ascii="宋体" w:hAnsi="宋体" w:eastAsia="宋体" w:cs="宋体"/>
          <w:sz w:val="24"/>
        </w:rPr>
        <w:t>技术要求为依据，根据本磋商文件规定的工作内容和计划工作量，自行测算投标报价费用。</w:t>
      </w:r>
    </w:p>
    <w:p w14:paraId="6CDD1B0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2．资金来源</w:t>
      </w:r>
    </w:p>
    <w:p w14:paraId="7963004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2．1 财政资金。</w:t>
      </w:r>
    </w:p>
    <w:p w14:paraId="660FC10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3．供应商的合格条件</w:t>
      </w:r>
    </w:p>
    <w:p w14:paraId="056CD36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3．1 供应商应通过资格初审后。在送交磋商响应文件时，供应商应按磋商文件的要求，按通过资格初审后的新情况对资格审核材料进行更新或补充，重新提供有关材料，以证明其仍能继续满足资格初审合格的最低标准。供应商提供的相关证明材料应符合采购人的要求，否则，采购人对该证明情况将不予考虑。</w:t>
      </w:r>
    </w:p>
    <w:p w14:paraId="3AF7EB0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3．2 供应商拟参加本项目工作的人员资历，均不得低于磋商文件中规定的强制性资格标准，否则，视为供应商自动放弃参与评标的资格。投标中标后，应按磋商响应文件中承诺的人员名单安排任务，在特殊情况下供应商可以同等资历的人员代替，但应事先得到业主的批准。</w:t>
      </w:r>
    </w:p>
    <w:p w14:paraId="5400D4C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3．3 供应商不得将本合同规定的主体、关键性工作进行转包，但经业主批准同意，供应商可将部分非主体、非关键性工作分包（或外委）给具有相应资质的单位。凡违反上述规定的，业主有权取消供应商的中标资格。</w:t>
      </w:r>
    </w:p>
    <w:p w14:paraId="3EF05ABE">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3．4 本项目不接受联合体投标</w:t>
      </w:r>
    </w:p>
    <w:p w14:paraId="25D6138D">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3．5 供应商如有分包计划，必须遵守以下规定：</w:t>
      </w:r>
    </w:p>
    <w:p w14:paraId="20B8CA9D">
      <w:pPr>
        <w:pageBreakBefore w:val="0"/>
        <w:kinsoku/>
        <w:overflowPunct/>
        <w:topLinePunct w:val="0"/>
        <w:bidi w:val="0"/>
        <w:spacing w:after="0" w:line="360" w:lineRule="auto"/>
        <w:ind w:left="1140" w:hanging="720"/>
        <w:jc w:val="both"/>
        <w:rPr>
          <w:rFonts w:hint="eastAsia" w:ascii="宋体" w:hAnsi="宋体" w:eastAsia="宋体" w:cs="宋体"/>
          <w:sz w:val="24"/>
        </w:rPr>
      </w:pPr>
      <w:r>
        <w:rPr>
          <w:rFonts w:hint="eastAsia" w:ascii="宋体" w:hAnsi="宋体" w:eastAsia="宋体" w:cs="宋体"/>
          <w:sz w:val="24"/>
        </w:rPr>
        <w:t>（1）必须是非主体、非关键性工作的分包，且必须经业主批准。</w:t>
      </w:r>
    </w:p>
    <w:p w14:paraId="6C4199F6">
      <w:pPr>
        <w:pageBreakBefore w:val="0"/>
        <w:kinsoku/>
        <w:overflowPunct/>
        <w:topLinePunct w:val="0"/>
        <w:bidi w:val="0"/>
        <w:spacing w:after="0" w:line="360" w:lineRule="auto"/>
        <w:ind w:left="1140" w:hanging="720"/>
        <w:jc w:val="both"/>
        <w:rPr>
          <w:rFonts w:hint="eastAsia" w:ascii="宋体" w:hAnsi="宋体" w:eastAsia="宋体" w:cs="宋体"/>
          <w:sz w:val="24"/>
        </w:rPr>
      </w:pPr>
      <w:r>
        <w:rPr>
          <w:rFonts w:hint="eastAsia" w:ascii="宋体" w:hAnsi="宋体" w:eastAsia="宋体" w:cs="宋体"/>
          <w:sz w:val="24"/>
        </w:rPr>
        <w:t>（2）分包单位的资质和能力应当与其承担的项目规模和标准相适应。</w:t>
      </w:r>
    </w:p>
    <w:p w14:paraId="2BBC63A9">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（3）供应商必须在磋商响应文件中填写分包人表，载明分包计划，并提供分包人的营业执照、资质等级、参加人员基本情况等资料以及拟分包的设计内容和工作量。</w:t>
      </w:r>
    </w:p>
    <w:p w14:paraId="75481672">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3．6 供应商中标后，将部分工程分包给未在磋商响应文件中载明的分包单位，业主将视为供应商违约，并按合同条款的相应规定采取措施。</w:t>
      </w:r>
    </w:p>
    <w:p w14:paraId="6991FB43">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4．投标费用</w:t>
      </w:r>
    </w:p>
    <w:p w14:paraId="20613041">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4．1供应商在投标过程中的一切费用，不论中标与否，均由供应商自负，且磋商响应文件售后不退。</w:t>
      </w:r>
    </w:p>
    <w:p w14:paraId="4B84EB34">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 xml:space="preserve">4.2 </w:t>
      </w:r>
      <w:r>
        <w:rPr>
          <w:rFonts w:hint="eastAsia" w:ascii="宋体" w:hAnsi="宋体" w:eastAsia="宋体" w:cs="宋体"/>
          <w:b/>
          <w:sz w:val="24"/>
        </w:rPr>
        <w:t>招标代理服务费由成交供应商支付</w:t>
      </w:r>
      <w:r>
        <w:rPr>
          <w:rFonts w:hint="eastAsia" w:ascii="宋体" w:hAnsi="宋体" w:eastAsia="宋体" w:cs="宋体"/>
          <w:sz w:val="24"/>
        </w:rPr>
        <w:t>，成交供应商应在领取成交通知书（中标通知书）之前，依据国家发展计划委员会计价格﹝2011﹞534号文件规定的收取标准及计算办法，向陕西中源项目管理有限公司缴纳招标代理服务费。</w:t>
      </w:r>
    </w:p>
    <w:p w14:paraId="45400F91">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5现场考察</w:t>
      </w:r>
    </w:p>
    <w:p w14:paraId="45A21A2C">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5．1 采购人不统一组织供应商对现场及其周围环境进行考察，供应商自行查明或核实有关编制磋商响应文件和签订合同所必需的资料。现场考察期间的交通和食宿由供应商自行安排，费用自理。</w:t>
      </w:r>
    </w:p>
    <w:p w14:paraId="76D2E46B">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5．2 在现场考察过程中，供应商如果发生意外人身伤亡、财物或其他损失，除国家法律、法规有规定的之外，采购人均不负责。</w:t>
      </w:r>
    </w:p>
    <w:p w14:paraId="1391E64B">
      <w:pPr>
        <w:pageBreakBefore w:val="0"/>
        <w:kinsoku/>
        <w:overflowPunct/>
        <w:topLinePunct w:val="0"/>
        <w:bidi w:val="0"/>
        <w:spacing w:after="0" w:line="360" w:lineRule="auto"/>
        <w:jc w:val="center"/>
        <w:rPr>
          <w:rFonts w:hint="eastAsia" w:ascii="宋体" w:hAnsi="宋体" w:eastAsia="宋体" w:cs="宋体"/>
          <w:sz w:val="32"/>
        </w:rPr>
      </w:pPr>
      <w:r>
        <w:rPr>
          <w:rFonts w:hint="eastAsia" w:ascii="宋体" w:hAnsi="宋体" w:eastAsia="宋体" w:cs="宋体"/>
          <w:sz w:val="32"/>
        </w:rPr>
        <w:t>B．磋  商  文  件</w:t>
      </w:r>
    </w:p>
    <w:p w14:paraId="5F3C83D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6．磋商文件的内容</w:t>
      </w:r>
    </w:p>
    <w:p w14:paraId="2F99C81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6．1 磋商文件由下列文件组成：</w:t>
      </w:r>
    </w:p>
    <w:p w14:paraId="399DC1B2">
      <w:pPr>
        <w:pageBreakBefore w:val="0"/>
        <w:kinsoku/>
        <w:overflowPunct/>
        <w:topLinePunct w:val="0"/>
        <w:bidi w:val="0"/>
        <w:spacing w:after="0" w:line="360" w:lineRule="auto"/>
        <w:ind w:firstLine="914"/>
        <w:jc w:val="both"/>
        <w:rPr>
          <w:rFonts w:hint="eastAsia" w:ascii="宋体" w:hAnsi="宋体" w:eastAsia="宋体" w:cs="宋体"/>
          <w:sz w:val="24"/>
        </w:rPr>
      </w:pPr>
      <w:r>
        <w:rPr>
          <w:rFonts w:hint="eastAsia" w:ascii="宋体" w:hAnsi="宋体" w:eastAsia="宋体" w:cs="宋体"/>
          <w:sz w:val="24"/>
        </w:rPr>
        <w:t>第一章  竞争性磋商公告</w:t>
      </w:r>
    </w:p>
    <w:p w14:paraId="741C8B00">
      <w:pPr>
        <w:pageBreakBefore w:val="0"/>
        <w:kinsoku/>
        <w:overflowPunct/>
        <w:topLinePunct w:val="0"/>
        <w:bidi w:val="0"/>
        <w:spacing w:after="0" w:line="360" w:lineRule="auto"/>
        <w:ind w:firstLine="914"/>
        <w:jc w:val="both"/>
        <w:rPr>
          <w:rFonts w:hint="eastAsia" w:ascii="宋体" w:hAnsi="宋体" w:eastAsia="宋体" w:cs="宋体"/>
          <w:sz w:val="24"/>
        </w:rPr>
      </w:pPr>
      <w:r>
        <w:rPr>
          <w:rFonts w:hint="eastAsia" w:ascii="宋体" w:hAnsi="宋体" w:eastAsia="宋体" w:cs="宋体"/>
          <w:sz w:val="24"/>
        </w:rPr>
        <w:t>第二章  投标须知前附表</w:t>
      </w:r>
    </w:p>
    <w:p w14:paraId="060D67D4">
      <w:pPr>
        <w:pageBreakBefore w:val="0"/>
        <w:kinsoku/>
        <w:overflowPunct/>
        <w:topLinePunct w:val="0"/>
        <w:bidi w:val="0"/>
        <w:spacing w:after="0" w:line="360" w:lineRule="auto"/>
        <w:ind w:firstLine="914"/>
        <w:jc w:val="both"/>
        <w:rPr>
          <w:rFonts w:hint="eastAsia" w:ascii="宋体" w:hAnsi="宋体" w:eastAsia="宋体" w:cs="宋体"/>
          <w:sz w:val="24"/>
        </w:rPr>
      </w:pPr>
      <w:r>
        <w:rPr>
          <w:rFonts w:hint="eastAsia" w:ascii="宋体" w:hAnsi="宋体" w:eastAsia="宋体" w:cs="宋体"/>
          <w:sz w:val="24"/>
        </w:rPr>
        <w:t>第三章  投标须知</w:t>
      </w:r>
    </w:p>
    <w:p w14:paraId="4B54E7FD">
      <w:pPr>
        <w:pageBreakBefore w:val="0"/>
        <w:kinsoku/>
        <w:overflowPunct/>
        <w:topLinePunct w:val="0"/>
        <w:bidi w:val="0"/>
        <w:spacing w:after="0" w:line="360" w:lineRule="auto"/>
        <w:ind w:firstLine="914"/>
        <w:jc w:val="both"/>
        <w:rPr>
          <w:rFonts w:hint="eastAsia" w:ascii="宋体" w:hAnsi="宋体" w:eastAsia="宋体" w:cs="宋体"/>
          <w:sz w:val="24"/>
        </w:rPr>
      </w:pPr>
      <w:r>
        <w:rPr>
          <w:rFonts w:hint="eastAsia" w:ascii="宋体" w:hAnsi="宋体" w:eastAsia="宋体" w:cs="宋体"/>
          <w:sz w:val="24"/>
        </w:rPr>
        <w:t>第四章  采购需求</w:t>
      </w:r>
    </w:p>
    <w:p w14:paraId="1354A2B0">
      <w:pPr>
        <w:pageBreakBefore w:val="0"/>
        <w:kinsoku/>
        <w:overflowPunct/>
        <w:topLinePunct w:val="0"/>
        <w:bidi w:val="0"/>
        <w:spacing w:after="0" w:line="360" w:lineRule="auto"/>
        <w:ind w:firstLine="914"/>
        <w:jc w:val="both"/>
        <w:rPr>
          <w:rFonts w:hint="eastAsia" w:ascii="宋体" w:hAnsi="宋体" w:eastAsia="宋体" w:cs="宋体"/>
          <w:sz w:val="24"/>
        </w:rPr>
      </w:pPr>
      <w:r>
        <w:rPr>
          <w:rFonts w:hint="eastAsia" w:ascii="宋体" w:hAnsi="宋体" w:eastAsia="宋体" w:cs="宋体"/>
          <w:sz w:val="24"/>
        </w:rPr>
        <w:t>第五章  磋商响应文件格式</w:t>
      </w:r>
    </w:p>
    <w:p w14:paraId="4F4CE93A">
      <w:pPr>
        <w:pageBreakBefore w:val="0"/>
        <w:kinsoku/>
        <w:overflowPunct/>
        <w:topLinePunct w:val="0"/>
        <w:bidi w:val="0"/>
        <w:spacing w:after="0" w:line="360" w:lineRule="auto"/>
        <w:jc w:val="center"/>
        <w:rPr>
          <w:rFonts w:hint="eastAsia" w:ascii="宋体" w:hAnsi="宋体" w:eastAsia="宋体" w:cs="宋体"/>
          <w:sz w:val="24"/>
        </w:rPr>
      </w:pPr>
      <w:r>
        <w:rPr>
          <w:rFonts w:hint="eastAsia" w:ascii="宋体" w:hAnsi="宋体" w:eastAsia="宋体" w:cs="宋体"/>
          <w:sz w:val="32"/>
        </w:rPr>
        <w:t>C．磋商响应文件的编制</w:t>
      </w:r>
    </w:p>
    <w:p w14:paraId="549C34B4">
      <w:pPr>
        <w:pageBreakBefore w:val="0"/>
        <w:numPr>
          <w:ilvl w:val="0"/>
          <w:numId w:val="2"/>
        </w:numPr>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磋商响应文件的语言</w:t>
      </w:r>
    </w:p>
    <w:p w14:paraId="079EC70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7．1 磋商响应文件及供应商与采购人之间来往的一切信函、文件均使用中文。</w:t>
      </w:r>
    </w:p>
    <w:p w14:paraId="7146A8D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7．2 磋商响应文件的组成  </w:t>
      </w:r>
    </w:p>
    <w:p w14:paraId="3EC74021">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7.2.磋商响应文件的组成：</w:t>
      </w:r>
    </w:p>
    <w:p w14:paraId="7CF4028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一、磋商响应函</w:t>
      </w:r>
    </w:p>
    <w:p w14:paraId="381225B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二、报价一览表</w:t>
      </w:r>
    </w:p>
    <w:p w14:paraId="2B3E100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三、资格证明文件</w:t>
      </w:r>
    </w:p>
    <w:p w14:paraId="06F9FD5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四、服务方案</w:t>
      </w:r>
    </w:p>
    <w:p w14:paraId="3F78C4C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五、企业业绩</w:t>
      </w:r>
    </w:p>
    <w:p w14:paraId="1722D04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六、服务承诺</w:t>
      </w:r>
    </w:p>
    <w:p w14:paraId="2D9D0B8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七、供应商拒绝政府采购领域商业贿赂承诺书</w:t>
      </w:r>
    </w:p>
    <w:p w14:paraId="7CD0552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7．3 磋商响应文件的编制应遵循如下原则，否则，按废标处理。</w:t>
      </w:r>
    </w:p>
    <w:p w14:paraId="5F5F4621">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（1）磋商响应文件的内容和格式必须按照磋商文件《磋商响应文件格式》的内容和要求编制，除采购人另有规定者外，供应商不得修改。</w:t>
      </w:r>
    </w:p>
    <w:p w14:paraId="65124A2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（2）磋商响应文件不得采用活页夹而应采用左侧胶装，磋商响应文件应印刷清晰整洁，不提倡装帧豪华。高档豪华的磋商响应文件对评标结果不产生任何影响。</w:t>
      </w:r>
    </w:p>
    <w:p w14:paraId="09B3EF8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7．4 磋商响应文件格式</w:t>
      </w:r>
    </w:p>
    <w:p w14:paraId="56F7A47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p>
    <w:p w14:paraId="756E48F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8．投标价</w:t>
      </w:r>
    </w:p>
    <w:p w14:paraId="22F13738">
      <w:pPr>
        <w:pageBreakBefore w:val="0"/>
        <w:kinsoku/>
        <w:overflowPunct/>
        <w:topLinePunct w:val="0"/>
        <w:bidi w:val="0"/>
        <w:spacing w:after="0" w:line="360" w:lineRule="auto"/>
        <w:ind w:firstLine="420"/>
        <w:jc w:val="both"/>
        <w:rPr>
          <w:rFonts w:hint="eastAsia" w:ascii="宋体" w:hAnsi="宋体" w:eastAsia="宋体" w:cs="宋体"/>
          <w:color w:val="FFFFFF" w:themeColor="background1"/>
          <w:sz w:val="24"/>
          <w14:textFill>
            <w14:solidFill>
              <w14:schemeClr w14:val="bg1"/>
            </w14:solidFill>
          </w14:textFill>
        </w:rPr>
      </w:pPr>
      <w:r>
        <w:rPr>
          <w:rFonts w:hint="eastAsia" w:ascii="宋体" w:hAnsi="宋体" w:eastAsia="宋体" w:cs="宋体"/>
          <w:sz w:val="24"/>
        </w:rPr>
        <w:t>8．1 本合同为总价合同，投标价应包含供应商完成本采购项目所有工作量及后续服务要求的全部费用。</w:t>
      </w:r>
    </w:p>
    <w:p w14:paraId="1AE027F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8．2 取费应当根据本磋商文件规定的工作内容和计划工作量，自行测算。</w:t>
      </w:r>
    </w:p>
    <w:p w14:paraId="24696F7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8．3 供应商应在磋商响应文件磋商响应报价一览表中，认真填写磋商报价的总价金额。</w:t>
      </w:r>
    </w:p>
    <w:p w14:paraId="7BE702EC">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8．4 根据合同规定，由成交供应商支付的所有税费，都应包括在供应商提交的磋商响应文件磋商响应报价一览表中，中标后，业主不另行支付。</w:t>
      </w:r>
    </w:p>
    <w:p w14:paraId="686802E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8．5 采购人向成交供应商实际支付的服务费，将不高于财政审批概算中相应的审批额，超出审批额部分采购人将予以扣除，各合同段合同总价则相应变更，不足部分采购人将不另行支付。</w:t>
      </w:r>
    </w:p>
    <w:p w14:paraId="7943685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8．6 在合同实施期间，服务费用不随国家政策或法规、标准及市场因素的变化而进行调整（注：采购人也可根据招标项目实际情况，酌情决定。）</w:t>
      </w:r>
    </w:p>
    <w:p w14:paraId="2A070CC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9．磋商响应文件的有效期</w:t>
      </w:r>
    </w:p>
    <w:p w14:paraId="6B81FE3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9．1 磋商响应文件有效期为开标之日后本须知资料表所载明的时间内，在此期限内，所有磋商响应文件均保持有效。</w:t>
      </w:r>
    </w:p>
    <w:p w14:paraId="7503631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9．2 在特殊情况下，采购人在原定磋商响应文件有效期内可以根据需要向供应商提出延长磋商响应文件有效期的</w:t>
      </w:r>
      <w:r>
        <w:rPr>
          <w:rFonts w:hint="eastAsia" w:ascii="宋体" w:hAnsi="宋体" w:eastAsia="宋体" w:cs="宋体"/>
          <w:sz w:val="24"/>
          <w:lang w:val="en-US" w:eastAsia="zh-CN"/>
        </w:rPr>
        <w:t>要</w:t>
      </w:r>
      <w:r>
        <w:rPr>
          <w:rFonts w:hint="eastAsia" w:ascii="宋体" w:hAnsi="宋体" w:eastAsia="宋体" w:cs="宋体"/>
          <w:sz w:val="24"/>
        </w:rPr>
        <w:t>求，供应商应于24小时内以传真等书面形式对此要求向采购人作出答复。供应商可以拒绝采购人的要求，而不会因此被没收投标担保。同意延期的供应商应相应延长投标担保的有效期，但不得因此提出修改磋商响应文件的要求。</w:t>
      </w:r>
    </w:p>
    <w:p w14:paraId="1DFD7027">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10磋商保证金</w:t>
      </w:r>
    </w:p>
    <w:p w14:paraId="1EC45951">
      <w:pPr>
        <w:pageBreakBefore w:val="0"/>
        <w:kinsoku/>
        <w:overflowPunct/>
        <w:topLinePunct w:val="0"/>
        <w:bidi w:val="0"/>
        <w:spacing w:after="0" w:line="360" w:lineRule="auto"/>
        <w:ind w:firstLine="420"/>
        <w:jc w:val="both"/>
        <w:rPr>
          <w:rFonts w:hint="eastAsia" w:ascii="宋体" w:hAnsi="宋体" w:eastAsia="宋体" w:cs="宋体"/>
          <w:b/>
          <w:sz w:val="24"/>
        </w:rPr>
      </w:pPr>
      <w:r>
        <w:rPr>
          <w:rFonts w:hint="eastAsia" w:ascii="宋体" w:hAnsi="宋体" w:eastAsia="宋体" w:cs="宋体"/>
          <w:b/>
          <w:sz w:val="24"/>
        </w:rPr>
        <w:t>本项目不缴纳磋商保证金</w:t>
      </w:r>
    </w:p>
    <w:p w14:paraId="6DA3476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11．磋商响应文件的签署</w:t>
      </w:r>
    </w:p>
    <w:p w14:paraId="2BF6FF2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11.1 供应商应按磋商文件的规定，向采购人递交磋商响应文件正本1份和副本</w:t>
      </w:r>
      <w:r>
        <w:rPr>
          <w:rFonts w:hint="eastAsia" w:ascii="宋体" w:hAnsi="宋体" w:eastAsia="宋体" w:cs="宋体"/>
          <w:sz w:val="24"/>
          <w:u w:val="single"/>
        </w:rPr>
        <w:t xml:space="preserve"> 1 </w:t>
      </w:r>
      <w:r>
        <w:rPr>
          <w:rFonts w:hint="eastAsia" w:ascii="宋体" w:hAnsi="宋体" w:eastAsia="宋体" w:cs="宋体"/>
          <w:sz w:val="24"/>
        </w:rPr>
        <w:t>份，并明确写明：“正本”和“副本”。正本和副本中有不一致之处，以正本为准。</w:t>
      </w:r>
    </w:p>
    <w:p w14:paraId="3DA65E3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11.2 磋商响应文件的正本应使用不褪色的墨水书写或打印。</w:t>
      </w:r>
    </w:p>
    <w:p w14:paraId="32786966">
      <w:pPr>
        <w:pageBreakBefore w:val="0"/>
        <w:kinsoku/>
        <w:overflowPunct/>
        <w:topLinePunct w:val="0"/>
        <w:bidi w:val="0"/>
        <w:spacing w:after="0" w:line="360" w:lineRule="auto"/>
        <w:ind w:firstLine="420"/>
        <w:jc w:val="both"/>
        <w:rPr>
          <w:rFonts w:hint="eastAsia" w:ascii="宋体" w:hAnsi="宋体" w:eastAsia="宋体" w:cs="宋体"/>
          <w:sz w:val="24"/>
        </w:rPr>
      </w:pPr>
      <w:r>
        <w:rPr>
          <w:rFonts w:hint="eastAsia" w:ascii="宋体" w:hAnsi="宋体" w:eastAsia="宋体" w:cs="宋体"/>
          <w:sz w:val="24"/>
        </w:rPr>
        <w:t>如果是代理人签署，则必须附有法定代表人出具的授权书；如果是法定代表人亲自签署，则不需提交代理人授权书。</w:t>
      </w:r>
    </w:p>
    <w:p w14:paraId="5070419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11.3 磋商响应文件的任何一页如有修改，必须在修改处由法定代表人或经正式授权的代理人签字确认。</w:t>
      </w:r>
    </w:p>
    <w:p w14:paraId="7D9178B9">
      <w:pPr>
        <w:pageBreakBefore w:val="0"/>
        <w:kinsoku/>
        <w:overflowPunct/>
        <w:topLinePunct w:val="0"/>
        <w:bidi w:val="0"/>
        <w:spacing w:after="0" w:line="360" w:lineRule="auto"/>
        <w:jc w:val="center"/>
        <w:rPr>
          <w:rFonts w:hint="eastAsia" w:ascii="宋体" w:hAnsi="宋体" w:eastAsia="宋体" w:cs="宋体"/>
          <w:sz w:val="32"/>
        </w:rPr>
      </w:pPr>
      <w:r>
        <w:rPr>
          <w:rFonts w:hint="eastAsia" w:ascii="宋体" w:hAnsi="宋体" w:eastAsia="宋体" w:cs="宋体"/>
          <w:sz w:val="32"/>
        </w:rPr>
        <w:t>D．磋商响应文件的递交</w:t>
      </w:r>
    </w:p>
    <w:p w14:paraId="50D151DC">
      <w:pPr>
        <w:pageBreakBefore w:val="0"/>
        <w:kinsoku/>
        <w:overflowPunct/>
        <w:topLinePunct w:val="0"/>
        <w:bidi w:val="0"/>
        <w:spacing w:after="0" w:line="360" w:lineRule="auto"/>
        <w:jc w:val="both"/>
        <w:rPr>
          <w:rFonts w:hint="eastAsia" w:ascii="宋体" w:hAnsi="宋体" w:eastAsia="宋体" w:cs="宋体"/>
          <w:sz w:val="24"/>
        </w:rPr>
      </w:pPr>
    </w:p>
    <w:p w14:paraId="093E3A1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12.磋商响应文件的密封和标记</w:t>
      </w:r>
    </w:p>
    <w:p w14:paraId="3348588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12.1供应商应将磋商响应文件正本和所有副本用密封袋密封，并在封口启封处粘贴密封条加盖供应商单位公章或法定代表人/授权代表印章或签字。</w:t>
      </w:r>
    </w:p>
    <w:p w14:paraId="797925C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12.2密封袋上标记要求。</w:t>
      </w:r>
    </w:p>
    <w:p w14:paraId="37AA60D7">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(1)清楚标明“递交至陕西中源项目管理有限公司”；</w:t>
      </w:r>
    </w:p>
    <w:p w14:paraId="1E51D82C">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(2)注明项目名称、项目编号和“在2025年</w:t>
      </w:r>
      <w:r>
        <w:rPr>
          <w:rFonts w:hint="eastAsia" w:ascii="宋体" w:hAnsi="宋体" w:eastAsia="宋体" w:cs="宋体"/>
          <w:sz w:val="24"/>
          <w:lang w:val="en-US" w:eastAsia="zh-CN"/>
        </w:rPr>
        <w:t>11月10日</w:t>
      </w:r>
      <w:r>
        <w:rPr>
          <w:rFonts w:hint="eastAsia" w:ascii="宋体" w:hAnsi="宋体" w:eastAsia="宋体" w:cs="宋体"/>
          <w:sz w:val="24"/>
        </w:rPr>
        <w:t>15时00分前不得启封”的字样；</w:t>
      </w:r>
    </w:p>
    <w:p w14:paraId="44DECF13">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(3) 标明供应商名称和地址并加盖供应商公章。</w:t>
      </w:r>
    </w:p>
    <w:p w14:paraId="32BAE37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12.3如果磋商响应文件未按本须知第7.3款、11款要求装订和加写标记及密封，采购代理机构对误投或过早启封概不负责。对由此造成提前开封的响应文件，采购代理机构有权予以拒绝，并退回供应商。</w:t>
      </w:r>
    </w:p>
    <w:p w14:paraId="46B63F9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13.磋商响应文件的提交</w:t>
      </w:r>
    </w:p>
    <w:p w14:paraId="58B1CC5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13.1供应商应按磋商文件第一章《竞争性磋商公告》中规定的地点，于磋商当日截止时间前向采购代理机构提交磋商响应文件。</w:t>
      </w:r>
    </w:p>
    <w:p w14:paraId="37F8C23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14.磋商截止时间</w:t>
      </w:r>
    </w:p>
    <w:p w14:paraId="5D4013B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14.1磋商截止时间见磋商文件第一章《竞争性磋商公告》。</w:t>
      </w:r>
    </w:p>
    <w:p w14:paraId="7E4256B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5205532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15.迟交的磋商响应文件</w:t>
      </w:r>
    </w:p>
    <w:p w14:paraId="3154646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采购代理机构将拒绝并原封退回在其规定的磋商大会开始时间以后收到的任何磋商响应文件。</w:t>
      </w:r>
    </w:p>
    <w:p w14:paraId="0D9B82DB">
      <w:pPr>
        <w:pageBreakBefore w:val="0"/>
        <w:kinsoku/>
        <w:overflowPunct/>
        <w:topLinePunct w:val="0"/>
        <w:bidi w:val="0"/>
        <w:spacing w:after="0" w:line="360" w:lineRule="auto"/>
        <w:jc w:val="center"/>
        <w:rPr>
          <w:rFonts w:hint="eastAsia" w:ascii="宋体" w:hAnsi="宋体" w:eastAsia="宋体" w:cs="宋体"/>
          <w:sz w:val="32"/>
        </w:rPr>
      </w:pPr>
      <w:r>
        <w:rPr>
          <w:rFonts w:hint="eastAsia" w:ascii="宋体" w:hAnsi="宋体" w:eastAsia="宋体" w:cs="宋体"/>
          <w:sz w:val="32"/>
        </w:rPr>
        <w:t>E、磋商、评审与成交</w:t>
      </w:r>
    </w:p>
    <w:p w14:paraId="21F7C61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16.磋商一般规定</w:t>
      </w:r>
    </w:p>
    <w:p w14:paraId="3976C1C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采购代理机构将在磋商文件第一章《竞争性磋商公告》中规定的时间和地点组织竞争性磋商，供应商应委派代表准时参加，参加磋商的供应商代表须签名以证明其出席。</w:t>
      </w:r>
    </w:p>
    <w:p w14:paraId="1BF511A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竞争性磋商会议程序如下：</w:t>
      </w:r>
    </w:p>
    <w:p w14:paraId="23B371D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16.1 宣读竞争性磋商会议纪律；</w:t>
      </w:r>
    </w:p>
    <w:p w14:paraId="3622F8B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16.2 进行会议情况介绍；</w:t>
      </w:r>
    </w:p>
    <w:p w14:paraId="76ACFD8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16.3 采购人代表简要介绍项目内容及相关要求；</w:t>
      </w:r>
    </w:p>
    <w:p w14:paraId="65878EA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16.4 参会供应商检查响应文件的密封情况；</w:t>
      </w:r>
    </w:p>
    <w:p w14:paraId="1C781EF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4749C1F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16.6 拆封各供应商的响应文件，并进行首轮报价的记录；</w:t>
      </w:r>
    </w:p>
    <w:p w14:paraId="73A272A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16.7磋商小组对各供应商的响应文件进行响应性及详细评审。评审结束后，磋商小组将根据需要与各响应单位进行磋商；</w:t>
      </w:r>
    </w:p>
    <w:p w14:paraId="3A152F4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16.8 响应文件经响应性评审合格的供应商现场进行二轮报价，磋商文件能够详细列明采购标的的技术、服务要求的，磋商结束后，所有实质性响应的供应商应在规定时间内提交最后报价；； </w:t>
      </w:r>
    </w:p>
    <w:p w14:paraId="59C4BDD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16.9 磋商小组审定最终成交结果。</w:t>
      </w:r>
    </w:p>
    <w:p w14:paraId="6BB3E0A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磋商会议过程中如果发生非常情况或重大争议，可暂时休会，待有关问题得到澄清或解决后再行复会。</w:t>
      </w:r>
    </w:p>
    <w:p w14:paraId="6EBD868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17.磋商响应文件的有效性</w:t>
      </w:r>
    </w:p>
    <w:p w14:paraId="77DF0DF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17.1磋商时，磋商响应文件出现下列情形之一的，应当作为无效磋商响应文件：</w:t>
      </w:r>
    </w:p>
    <w:p w14:paraId="4327684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17.1.1逾期送达或者未送达指定地点的。</w:t>
      </w:r>
    </w:p>
    <w:p w14:paraId="59D7C0B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17.1.2未按要求密封和标记的。</w:t>
      </w:r>
    </w:p>
    <w:p w14:paraId="4508CEF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17.1.3法律、法规及磋商文件规定的其它情况。</w:t>
      </w:r>
    </w:p>
    <w:p w14:paraId="7DF8090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18.磋商小组</w:t>
      </w:r>
    </w:p>
    <w:p w14:paraId="2F7F600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18.1磋商后，采购代理机构将立即组织磋商小组进行评审。</w:t>
      </w:r>
    </w:p>
    <w:p w14:paraId="4494E58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18.2采购代理机构将根据本项目的特点依法组建磋商小组，其成员由采购人和有关专家组成。</w:t>
      </w:r>
    </w:p>
    <w:p w14:paraId="1F357FB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18.3磋商小组独立开展工作，负责审议所有磋商响应文件，并向采购人推荐成交供应商。</w:t>
      </w:r>
    </w:p>
    <w:p w14:paraId="6270B6D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19.磋商过程的保密性</w:t>
      </w:r>
    </w:p>
    <w:p w14:paraId="1923348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19.1开始磋商后，直至向成交供应商授予合同时止，凡是与审查、澄清、评价和比较报价的有关资料等，均不得向供应商及与磋商无关的其他人员透露。</w:t>
      </w:r>
    </w:p>
    <w:p w14:paraId="76A280B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19.2在评审过程中，如果供应商试图向采购人和参与评审的人员施加任何影响,都将会导致其报价被拒绝。</w:t>
      </w:r>
    </w:p>
    <w:p w14:paraId="5330173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20.磋商响应文件的评审</w:t>
      </w:r>
    </w:p>
    <w:p w14:paraId="76F757D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20.1首先对供应商进行资格性审查，如发现下列情况之一的，其报价将被拒绝：</w:t>
      </w:r>
    </w:p>
    <w:p w14:paraId="09F1E28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20.1.1供应商未按磋商文件要求交纳磋商保证金的。</w:t>
      </w:r>
    </w:p>
    <w:p w14:paraId="1F8BD54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20.1.2法定代表人授权委托书中未加盖供应商单位公章；法定代表人授权委托书中法定代表人未签字/印章（或签字/印章人无法定代表人有效授权书的）。</w:t>
      </w:r>
    </w:p>
    <w:p w14:paraId="5281807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20.1.3供应商的磋商响应文件不符合磋商文件要求的。</w:t>
      </w:r>
    </w:p>
    <w:p w14:paraId="4D29811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20.1.4磋商响应文件符合磋商文件中规定无效报价的其它条款。</w:t>
      </w:r>
    </w:p>
    <w:p w14:paraId="4C4A038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20.1.5法律、法规规定的其它情况。</w:t>
      </w:r>
    </w:p>
    <w:p w14:paraId="4E7555E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066CC02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20.2.1磋商响应文件未加盖单位公章及法定代表人或委托代理人印章或签字的；</w:t>
      </w:r>
    </w:p>
    <w:p w14:paraId="1513839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20.2.2磋商响应文件未按磋商文件规定制作或未响应磋商文件要求的；</w:t>
      </w:r>
    </w:p>
    <w:p w14:paraId="28ABE3E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20.2.3磋商响应文件的关键内容字迹模糊、无法辨认的；</w:t>
      </w:r>
    </w:p>
    <w:p w14:paraId="65535A5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20.2.4供应商递交两份或多份内容不同的磋商响应文件，或在一份磋商响应文件中对同一磋商项目报有两个或多个报价，且未声明哪一个有效的；</w:t>
      </w:r>
    </w:p>
    <w:p w14:paraId="49BE207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20.2.5所提供有关证明材料涂改、转让或提供虚假材料的；</w:t>
      </w:r>
    </w:p>
    <w:p w14:paraId="1DEF383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21.磋商成交办法</w:t>
      </w:r>
    </w:p>
    <w:p w14:paraId="7D4B588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（1）分步评审，每一步评审不符合者，不进入下一步评审。</w:t>
      </w:r>
    </w:p>
    <w:p w14:paraId="4E915EF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A、磋商开始前将当众检验磋商文件的密封情况，确认无误后方可进行拆封、磋商。</w:t>
      </w:r>
    </w:p>
    <w:p w14:paraId="39F4C45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B、由磋商小组成员集中与单一参加磋商供应商分别进行谈判。磋商结束后磋商小组应当要求所有继续参加磋商的供应商在规定时间内提交最后报价。</w:t>
      </w:r>
    </w:p>
    <w:p w14:paraId="7E1CB6DC">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C、在磋商过程中，磋商小组可以根据磋商文件和磋商情况实质性变动采购需求中的技术、服务要求以及合同草案条款，但不得变动磋商文件中的其他内容。实质性变动的内容，须经采购人代表确认。</w:t>
      </w:r>
    </w:p>
    <w:p w14:paraId="2EA008C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D、已提交响应文件的供应商，在提交最后报价之前，可以根据磋商情况退出磋商。</w:t>
      </w:r>
    </w:p>
    <w:p w14:paraId="4C7DF264">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E、经磋商确定最终采购需求和提交最后报价的供应商后，由磋商小组采用综合评分法对提交最后报价的供应商的响应文件和最后报价进行综合评分。</w:t>
      </w:r>
    </w:p>
    <w:p w14:paraId="16C8CB5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302D500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p>
    <w:p w14:paraId="5563CF58">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（4）评审指标分值构成（总计100分）</w:t>
      </w:r>
    </w:p>
    <w:p w14:paraId="711642A6">
      <w:pPr>
        <w:pageBreakBefore w:val="0"/>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 xml:space="preserve">  （5）评审内容</w:t>
      </w:r>
    </w:p>
    <w:p w14:paraId="7E07D8C8">
      <w:pPr>
        <w:pageBreakBefore w:val="0"/>
        <w:kinsoku/>
        <w:overflowPunct/>
        <w:topLinePunct w:val="0"/>
        <w:bidi w:val="0"/>
        <w:spacing w:after="0" w:line="440" w:lineRule="auto"/>
        <w:jc w:val="both"/>
        <w:rPr>
          <w:rFonts w:hint="eastAsia" w:ascii="宋体" w:hAnsi="宋体" w:eastAsia="宋体" w:cs="宋体"/>
          <w:sz w:val="24"/>
        </w:rPr>
      </w:pPr>
      <w:r>
        <w:rPr>
          <w:rFonts w:hint="eastAsia" w:ascii="宋体" w:hAnsi="宋体" w:eastAsia="宋体" w:cs="宋体"/>
          <w:sz w:val="24"/>
        </w:rPr>
        <w:t>1）资格审查标准</w:t>
      </w:r>
    </w:p>
    <w:tbl>
      <w:tblPr>
        <w:tblStyle w:val="13"/>
        <w:tblW w:w="0" w:type="auto"/>
        <w:tblInd w:w="108" w:type="dxa"/>
        <w:tblLayout w:type="autofit"/>
        <w:tblCellMar>
          <w:top w:w="0" w:type="dxa"/>
          <w:left w:w="10" w:type="dxa"/>
          <w:bottom w:w="0" w:type="dxa"/>
          <w:right w:w="10" w:type="dxa"/>
        </w:tblCellMar>
      </w:tblPr>
      <w:tblGrid>
        <w:gridCol w:w="1012"/>
        <w:gridCol w:w="1674"/>
        <w:gridCol w:w="6932"/>
      </w:tblGrid>
      <w:tr w14:paraId="44BB113C">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0E1461E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序号</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3EFB938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评审内容</w:t>
            </w:r>
          </w:p>
        </w:tc>
        <w:tc>
          <w:tcPr>
            <w:tcW w:w="693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457BB5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评审标准</w:t>
            </w:r>
          </w:p>
        </w:tc>
      </w:tr>
      <w:tr w14:paraId="5146FB23">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79104B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716E92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营业执照</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3A00F1B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具有独立承担民事责任能力的法人、其他组织或自然人，提供合法有效的营业执照/事业单位法人证书/专业服务机构执业许可证/民办非企业单位登记证书等相关证明，自然人参与的提供其身份证明</w:t>
            </w:r>
          </w:p>
        </w:tc>
      </w:tr>
      <w:tr w14:paraId="0E153771">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2B1D43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1CC20A9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授权委托书</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5B1D4CB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法定代表人或负责人授权书（附法定代表人或负责人身份证复印件）及被授权人身份证；（法定代表人直接参加投标只须提供法定代表人身份证）</w:t>
            </w:r>
          </w:p>
        </w:tc>
      </w:tr>
      <w:tr w14:paraId="136BC4D3">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EFCA28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1CF4AD0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税收缴纳证明</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719F9D8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自2025年1月1日以来任意1个月的纳税证明或完税证明(提供增值税、企业所得税至少一种),纳税证明或完税证明上应有代收机构或税务机关的公章或业务专用章。依法免税的供应商应提供相关文件证明</w:t>
            </w:r>
          </w:p>
        </w:tc>
      </w:tr>
      <w:tr w14:paraId="242C5488">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286A98B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1C71519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社会保障资金缴纳证明</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4253CEA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自2025年1月1日以来已缴存的任意1个月的社会保障资金缴存单据或社保机构开具的社会保险参保缴费情况证明，单据或证明上应有社保机构或代收机构的印章。依法不需要缴纳社会保障资金的供应商应提供相关文件证明；</w:t>
            </w:r>
          </w:p>
        </w:tc>
      </w:tr>
      <w:tr w14:paraId="1AC0E20C">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3B3BA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30F92E5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财务状况报告</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627417C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提供近三年任意一年度经审计的财务会计报告（(至少应包含资产负债表、利润表和现金流量表)，成立时间至提交投标文件截止时间不足一年的可提供成立后任意时段的资产负债表，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tc>
      </w:tr>
      <w:tr w14:paraId="760F1F8B">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74AC950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1BDE80B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三年无重大</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41FBDB0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rPr>
            </w:pPr>
            <w:r>
              <w:rPr>
                <w:rFonts w:hint="eastAsia" w:ascii="宋体" w:hAnsi="宋体" w:eastAsia="宋体" w:cs="宋体"/>
                <w:sz w:val="21"/>
              </w:rPr>
              <w:t>参加政府采购活动前3年内（</w:t>
            </w:r>
            <w:r>
              <w:rPr>
                <w:rFonts w:hint="eastAsia" w:ascii="宋体" w:hAnsi="宋体" w:eastAsia="宋体" w:cs="宋体"/>
                <w:sz w:val="21"/>
                <w:lang w:eastAsia="zh-CN"/>
              </w:rPr>
              <w:t>2022年10月</w:t>
            </w:r>
            <w:r>
              <w:rPr>
                <w:rFonts w:hint="eastAsia" w:ascii="宋体" w:hAnsi="宋体" w:eastAsia="宋体" w:cs="宋体"/>
                <w:sz w:val="21"/>
              </w:rPr>
              <w:t>至今）在经营活动中没有重大违法记录的书面声明（供应商自行出具声明书并加盖公章）</w:t>
            </w:r>
          </w:p>
        </w:tc>
      </w:tr>
      <w:tr w14:paraId="1BB98A97">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3D39FC9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749B6E9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供应商信用</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09EE72D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1"/>
                <w:u w:val="none"/>
              </w:rPr>
            </w:pPr>
            <w:r>
              <w:rPr>
                <w:rFonts w:hint="eastAsia" w:ascii="宋体" w:hAnsi="宋体" w:eastAsia="宋体" w:cs="宋体"/>
                <w:b w:val="0"/>
                <w:bCs w:val="0"/>
                <w:color w:val="auto"/>
                <w:sz w:val="21"/>
                <w:u w:val="none"/>
              </w:rPr>
              <w:t>供应商通过“信用中国”网站(</w:t>
            </w:r>
            <w:r>
              <w:rPr>
                <w:rFonts w:hint="eastAsia" w:ascii="宋体" w:hAnsi="宋体" w:eastAsia="宋体" w:cs="宋体"/>
                <w:b w:val="0"/>
                <w:bCs w:val="0"/>
                <w:color w:val="auto"/>
                <w:sz w:val="21"/>
                <w:u w:val="none"/>
              </w:rPr>
              <w:fldChar w:fldCharType="begin"/>
            </w:r>
            <w:r>
              <w:rPr>
                <w:rFonts w:hint="eastAsia" w:ascii="宋体" w:hAnsi="宋体" w:eastAsia="宋体" w:cs="宋体"/>
                <w:b w:val="0"/>
                <w:bCs w:val="0"/>
                <w:color w:val="auto"/>
                <w:sz w:val="21"/>
                <w:u w:val="none"/>
              </w:rPr>
              <w:instrText xml:space="preserve"> HYPERLINK "http://www.creditchina.gov.cn/" \h </w:instrText>
            </w:r>
            <w:r>
              <w:rPr>
                <w:rFonts w:hint="eastAsia" w:ascii="宋体" w:hAnsi="宋体" w:eastAsia="宋体" w:cs="宋体"/>
                <w:b w:val="0"/>
                <w:bCs w:val="0"/>
                <w:color w:val="auto"/>
                <w:sz w:val="21"/>
                <w:u w:val="none"/>
              </w:rPr>
              <w:fldChar w:fldCharType="separate"/>
            </w:r>
            <w:r>
              <w:rPr>
                <w:rFonts w:hint="eastAsia" w:ascii="宋体" w:hAnsi="宋体" w:eastAsia="宋体" w:cs="宋体"/>
                <w:b w:val="0"/>
                <w:bCs w:val="0"/>
                <w:color w:val="auto"/>
                <w:sz w:val="21"/>
                <w:u w:val="none"/>
              </w:rPr>
              <w:t>www.creditchina.gov.cn</w:t>
            </w:r>
            <w:r>
              <w:rPr>
                <w:rFonts w:hint="eastAsia" w:ascii="宋体" w:hAnsi="宋体" w:eastAsia="宋体" w:cs="宋体"/>
                <w:b w:val="0"/>
                <w:bCs w:val="0"/>
                <w:color w:val="auto"/>
                <w:sz w:val="21"/>
                <w:u w:val="none"/>
              </w:rPr>
              <w:fldChar w:fldCharType="end"/>
            </w:r>
            <w:r>
              <w:rPr>
                <w:rFonts w:hint="eastAsia" w:ascii="宋体" w:hAnsi="宋体" w:eastAsia="宋体" w:cs="宋体"/>
                <w:b w:val="0"/>
                <w:bCs w:val="0"/>
                <w:color w:val="auto"/>
                <w:sz w:val="21"/>
                <w:u w:val="none"/>
              </w:rPr>
              <w:t>)“信用服务”中“失信被执行人、重大税收违法案件当事人名单、政府采购严重违法失信名单”查询记录截图和中国政府采购网(</w:t>
            </w:r>
            <w:r>
              <w:rPr>
                <w:rFonts w:hint="eastAsia" w:ascii="宋体" w:hAnsi="宋体" w:eastAsia="宋体" w:cs="宋体"/>
                <w:b w:val="0"/>
                <w:bCs w:val="0"/>
                <w:color w:val="auto"/>
                <w:sz w:val="21"/>
                <w:u w:val="none"/>
              </w:rPr>
              <w:fldChar w:fldCharType="begin"/>
            </w:r>
            <w:r>
              <w:rPr>
                <w:rFonts w:hint="eastAsia" w:ascii="宋体" w:hAnsi="宋体" w:eastAsia="宋体" w:cs="宋体"/>
                <w:b w:val="0"/>
                <w:bCs w:val="0"/>
                <w:color w:val="auto"/>
                <w:sz w:val="21"/>
                <w:u w:val="none"/>
              </w:rPr>
              <w:instrText xml:space="preserve"> HYPERLINK "http://www.ccgp.gov.cn/" \h </w:instrText>
            </w:r>
            <w:r>
              <w:rPr>
                <w:rFonts w:hint="eastAsia" w:ascii="宋体" w:hAnsi="宋体" w:eastAsia="宋体" w:cs="宋体"/>
                <w:b w:val="0"/>
                <w:bCs w:val="0"/>
                <w:color w:val="auto"/>
                <w:sz w:val="21"/>
                <w:u w:val="none"/>
              </w:rPr>
              <w:fldChar w:fldCharType="separate"/>
            </w:r>
            <w:r>
              <w:rPr>
                <w:rFonts w:hint="eastAsia" w:ascii="宋体" w:hAnsi="宋体" w:eastAsia="宋体" w:cs="宋体"/>
                <w:b w:val="0"/>
                <w:bCs w:val="0"/>
                <w:color w:val="auto"/>
                <w:sz w:val="21"/>
                <w:u w:val="none"/>
              </w:rPr>
              <w:t>www.ccgp.gov.cn</w:t>
            </w:r>
            <w:r>
              <w:rPr>
                <w:rFonts w:hint="eastAsia" w:ascii="宋体" w:hAnsi="宋体" w:eastAsia="宋体" w:cs="宋体"/>
                <w:b w:val="0"/>
                <w:bCs w:val="0"/>
                <w:color w:val="auto"/>
                <w:sz w:val="21"/>
                <w:u w:val="none"/>
              </w:rPr>
              <w:fldChar w:fldCharType="end"/>
            </w:r>
            <w:r>
              <w:rPr>
                <w:rFonts w:hint="eastAsia" w:ascii="宋体" w:hAnsi="宋体" w:eastAsia="宋体" w:cs="宋体"/>
                <w:b w:val="0"/>
                <w:bCs w:val="0"/>
                <w:color w:val="auto"/>
                <w:sz w:val="21"/>
                <w:u w:val="none"/>
              </w:rPr>
              <w:t>)“政府采购严重违法失信行为信息记录”的查询记录截图（网站查询截图加盖企业公章）</w:t>
            </w:r>
          </w:p>
        </w:tc>
      </w:tr>
      <w:tr w14:paraId="16A603D2">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85E23D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4BF5D9A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中小企业声明函</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5E4F08E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1"/>
                <w:u w:val="none"/>
              </w:rPr>
            </w:pPr>
            <w:r>
              <w:rPr>
                <w:rFonts w:hint="eastAsia" w:ascii="宋体" w:hAnsi="宋体" w:eastAsia="宋体" w:cs="宋体"/>
                <w:b w:val="0"/>
                <w:bCs w:val="0"/>
                <w:color w:val="auto"/>
                <w:sz w:val="21"/>
                <w:u w:val="none"/>
                <w:lang w:eastAsia="zh-CN"/>
              </w:rPr>
              <w:t>本项目专门面向中小企业</w:t>
            </w:r>
            <w:r>
              <w:rPr>
                <w:rFonts w:hint="eastAsia" w:ascii="宋体" w:hAnsi="宋体" w:eastAsia="宋体" w:cs="宋体"/>
                <w:b w:val="0"/>
                <w:bCs w:val="0"/>
                <w:color w:val="auto"/>
                <w:sz w:val="21"/>
                <w:u w:val="none"/>
              </w:rPr>
              <w:t>，供应商须提供中小企业声明函。供应商自行根据《国民经济行业分类》（GB/T4754-2017）、《国家统计局关于印发&lt;统计上大中小微型企业划分办法（2017）&gt;的通知》国统字〔2017〕213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tc>
      </w:tr>
      <w:tr w14:paraId="3CDF3F0B">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56202B6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0F53BE5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1"/>
                <w:lang w:val="en-US" w:eastAsia="zh-CN"/>
              </w:rPr>
            </w:pPr>
            <w:r>
              <w:rPr>
                <w:rFonts w:hint="eastAsia" w:ascii="宋体" w:hAnsi="宋体" w:eastAsia="宋体" w:cs="宋体"/>
                <w:sz w:val="21"/>
                <w:lang w:val="en-US" w:eastAsia="zh-CN"/>
              </w:rPr>
              <w:t>林业调查资质</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16A67FF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1"/>
                <w:u w:val="none"/>
              </w:rPr>
            </w:pPr>
            <w:r>
              <w:rPr>
                <w:rFonts w:hint="eastAsia" w:ascii="宋体" w:hAnsi="宋体" w:eastAsia="宋体" w:cs="宋体"/>
                <w:b w:val="0"/>
                <w:bCs w:val="0"/>
                <w:color w:val="auto"/>
                <w:sz w:val="21"/>
                <w:u w:val="none"/>
              </w:rPr>
              <w:t>具备</w:t>
            </w:r>
            <w:r>
              <w:rPr>
                <w:rFonts w:hint="eastAsia" w:ascii="宋体" w:hAnsi="宋体" w:eastAsia="宋体" w:cs="宋体"/>
                <w:b w:val="0"/>
                <w:bCs w:val="0"/>
                <w:color w:val="auto"/>
                <w:sz w:val="21"/>
                <w:u w:val="none"/>
                <w:lang w:eastAsia="zh-CN"/>
              </w:rPr>
              <w:t>林业有害生物防治调查设计</w:t>
            </w:r>
            <w:r>
              <w:rPr>
                <w:rFonts w:hint="eastAsia" w:ascii="宋体" w:hAnsi="宋体" w:eastAsia="宋体" w:cs="宋体"/>
                <w:b w:val="0"/>
                <w:bCs w:val="0"/>
                <w:color w:val="auto"/>
                <w:sz w:val="21"/>
                <w:u w:val="none"/>
              </w:rPr>
              <w:t>丙级及以上资质；</w:t>
            </w:r>
          </w:p>
        </w:tc>
      </w:tr>
      <w:tr w14:paraId="286E9615">
        <w:tblPrEx>
          <w:tblCellMar>
            <w:top w:w="0" w:type="dxa"/>
            <w:left w:w="10" w:type="dxa"/>
            <w:bottom w:w="0" w:type="dxa"/>
            <w:right w:w="10" w:type="dxa"/>
          </w:tblCellMar>
        </w:tblPrEx>
        <w:tc>
          <w:tcPr>
            <w:tcW w:w="1012"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380671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lang w:val="en-US" w:eastAsia="zh-CN"/>
              </w:rPr>
            </w:pPr>
            <w:r>
              <w:rPr>
                <w:rFonts w:hint="eastAsia" w:ascii="宋体" w:hAnsi="宋体" w:eastAsia="宋体" w:cs="宋体"/>
                <w:sz w:val="21"/>
                <w:lang w:val="en-US" w:eastAsia="zh-CN"/>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FDEADA"/>
            <w:tcMar>
              <w:left w:w="108" w:type="dxa"/>
              <w:right w:w="108" w:type="dxa"/>
            </w:tcMar>
            <w:vAlign w:val="center"/>
          </w:tcPr>
          <w:p w14:paraId="6A3B94F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rPr>
            </w:pPr>
            <w:r>
              <w:rPr>
                <w:rFonts w:hint="eastAsia" w:ascii="宋体" w:hAnsi="宋体" w:eastAsia="宋体" w:cs="宋体"/>
                <w:sz w:val="21"/>
              </w:rPr>
              <w:t>非联合体声明</w:t>
            </w:r>
          </w:p>
        </w:tc>
        <w:tc>
          <w:tcPr>
            <w:tcW w:w="6932" w:type="dxa"/>
            <w:tcBorders>
              <w:top w:val="single" w:color="000000" w:sz="4" w:space="0"/>
              <w:left w:val="single" w:color="000000" w:sz="4" w:space="0"/>
              <w:bottom w:val="single" w:color="000000" w:sz="4" w:space="0"/>
              <w:right w:val="single" w:color="000000" w:sz="4" w:space="0"/>
            </w:tcBorders>
            <w:shd w:val="clear" w:color="auto" w:fill="EBF1DE"/>
            <w:tcMar>
              <w:left w:w="108" w:type="dxa"/>
              <w:right w:w="108" w:type="dxa"/>
            </w:tcMar>
            <w:vAlign w:val="center"/>
          </w:tcPr>
          <w:p w14:paraId="0ACE53B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1"/>
                <w:u w:val="none"/>
              </w:rPr>
            </w:pPr>
            <w:r>
              <w:rPr>
                <w:rFonts w:hint="eastAsia" w:ascii="宋体" w:hAnsi="宋体" w:eastAsia="宋体" w:cs="宋体"/>
                <w:b w:val="0"/>
                <w:bCs w:val="0"/>
                <w:color w:val="auto"/>
                <w:sz w:val="21"/>
                <w:u w:val="none"/>
              </w:rPr>
              <w:t>非联合体投标声明（格式自拟）</w:t>
            </w:r>
          </w:p>
        </w:tc>
      </w:tr>
    </w:tbl>
    <w:p w14:paraId="5A7DDC81">
      <w:pPr>
        <w:pageBreakBefore w:val="0"/>
        <w:kinsoku/>
        <w:overflowPunct/>
        <w:topLinePunct w:val="0"/>
        <w:bidi w:val="0"/>
        <w:spacing w:after="0" w:line="520" w:lineRule="auto"/>
        <w:jc w:val="both"/>
        <w:rPr>
          <w:rFonts w:hint="eastAsia" w:ascii="宋体" w:hAnsi="宋体" w:eastAsia="宋体" w:cs="宋体"/>
          <w:sz w:val="24"/>
        </w:rPr>
      </w:pPr>
      <w:r>
        <w:rPr>
          <w:rFonts w:hint="eastAsia" w:ascii="宋体" w:hAnsi="宋体" w:eastAsia="宋体" w:cs="宋体"/>
          <w:sz w:val="24"/>
        </w:rPr>
        <w:t>符合性审查按下表进行：</w:t>
      </w:r>
    </w:p>
    <w:tbl>
      <w:tblPr>
        <w:tblStyle w:val="13"/>
        <w:tblpPr w:leftFromText="180" w:rightFromText="180" w:vertAnchor="text" w:horzAnchor="page" w:tblpX="1032" w:tblpY="258"/>
        <w:tblOverlap w:val="never"/>
        <w:tblW w:w="9435" w:type="dxa"/>
        <w:tblInd w:w="0" w:type="dxa"/>
        <w:tblLayout w:type="fixed"/>
        <w:tblCellMar>
          <w:top w:w="0" w:type="dxa"/>
          <w:left w:w="30" w:type="dxa"/>
          <w:bottom w:w="0" w:type="dxa"/>
          <w:right w:w="30" w:type="dxa"/>
        </w:tblCellMar>
      </w:tblPr>
      <w:tblGrid>
        <w:gridCol w:w="915"/>
        <w:gridCol w:w="3270"/>
        <w:gridCol w:w="5250"/>
      </w:tblGrid>
      <w:tr w14:paraId="1642DC91">
        <w:tblPrEx>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FDEADA"/>
            <w:vAlign w:val="center"/>
          </w:tcPr>
          <w:p w14:paraId="30260E9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序号</w:t>
            </w:r>
          </w:p>
        </w:tc>
        <w:tc>
          <w:tcPr>
            <w:tcW w:w="8520" w:type="dxa"/>
            <w:gridSpan w:val="2"/>
            <w:tcBorders>
              <w:top w:val="single" w:color="auto" w:sz="4" w:space="0"/>
              <w:left w:val="single" w:color="auto" w:sz="6" w:space="0"/>
              <w:bottom w:val="single" w:color="auto" w:sz="6" w:space="0"/>
              <w:right w:val="single" w:color="auto" w:sz="4" w:space="0"/>
            </w:tcBorders>
            <w:shd w:val="clear" w:color="auto" w:fill="FDEADA"/>
            <w:vAlign w:val="center"/>
          </w:tcPr>
          <w:p w14:paraId="5F581C5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审查内容</w:t>
            </w:r>
          </w:p>
        </w:tc>
      </w:tr>
      <w:tr w14:paraId="7A332ACE">
        <w:tblPrEx>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FDEADA"/>
            <w:vAlign w:val="center"/>
          </w:tcPr>
          <w:p w14:paraId="6B89EC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3270" w:type="dxa"/>
            <w:tcBorders>
              <w:top w:val="single" w:color="auto" w:sz="4" w:space="0"/>
              <w:left w:val="single" w:color="auto" w:sz="6" w:space="0"/>
              <w:bottom w:val="single" w:color="auto" w:sz="6" w:space="0"/>
              <w:right w:val="single" w:color="auto" w:sz="6" w:space="0"/>
            </w:tcBorders>
            <w:shd w:val="clear" w:color="auto" w:fill="FDEADA"/>
            <w:vAlign w:val="center"/>
          </w:tcPr>
          <w:p w14:paraId="3BE440C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供应商名称</w:t>
            </w:r>
          </w:p>
        </w:tc>
        <w:tc>
          <w:tcPr>
            <w:tcW w:w="5250" w:type="dxa"/>
            <w:tcBorders>
              <w:top w:val="single" w:color="auto" w:sz="4" w:space="0"/>
              <w:left w:val="single" w:color="auto" w:sz="6" w:space="0"/>
              <w:bottom w:val="single" w:color="auto" w:sz="6" w:space="0"/>
              <w:right w:val="single" w:color="auto" w:sz="4" w:space="0"/>
            </w:tcBorders>
            <w:shd w:val="clear" w:color="auto" w:fill="EBF1DE"/>
            <w:vAlign w:val="center"/>
          </w:tcPr>
          <w:p w14:paraId="2CE7830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与营业执照、税务登记证和组织机构代码证一致</w:t>
            </w:r>
          </w:p>
        </w:tc>
      </w:tr>
      <w:tr w14:paraId="4A5ED85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7B21456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A289F4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响应文件标注、签字、盖章</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66BA7A4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符合</w:t>
            </w:r>
            <w:r>
              <w:rPr>
                <w:rFonts w:hint="eastAsia" w:ascii="宋体" w:hAnsi="宋体" w:eastAsia="宋体" w:cs="宋体"/>
                <w:color w:val="auto"/>
                <w:lang w:eastAsia="zh-CN"/>
              </w:rPr>
              <w:t>磋商文件</w:t>
            </w:r>
            <w:r>
              <w:rPr>
                <w:rFonts w:hint="eastAsia" w:ascii="宋体" w:hAnsi="宋体" w:eastAsia="宋体" w:cs="宋体"/>
                <w:color w:val="auto"/>
              </w:rPr>
              <w:t>要求，签字盖章无遗漏</w:t>
            </w:r>
          </w:p>
        </w:tc>
      </w:tr>
      <w:tr w14:paraId="3881CEC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2440C11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0D0ED7E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响应文件格式</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2CE9DFB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符合</w:t>
            </w:r>
            <w:r>
              <w:rPr>
                <w:rFonts w:hint="eastAsia" w:ascii="宋体" w:hAnsi="宋体" w:eastAsia="宋体" w:cs="宋体"/>
                <w:color w:val="auto"/>
                <w:lang w:eastAsia="zh-CN"/>
              </w:rPr>
              <w:t>磋商文件</w:t>
            </w:r>
            <w:r>
              <w:rPr>
                <w:rFonts w:hint="eastAsia" w:ascii="宋体" w:hAnsi="宋体" w:eastAsia="宋体" w:cs="宋体"/>
                <w:color w:val="auto"/>
              </w:rPr>
              <w:t>要求</w:t>
            </w:r>
          </w:p>
        </w:tc>
      </w:tr>
      <w:tr w14:paraId="3DE4278D">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6F2BFF6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749125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报价唯一</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116F8A2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只能有一个有效报价且不超过预算</w:t>
            </w:r>
          </w:p>
        </w:tc>
      </w:tr>
      <w:tr w14:paraId="43217750">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3797135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A3D4B5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投标内容</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69AE864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符合</w:t>
            </w:r>
            <w:r>
              <w:rPr>
                <w:rFonts w:hint="eastAsia" w:ascii="宋体" w:hAnsi="宋体" w:eastAsia="宋体" w:cs="宋体"/>
                <w:color w:val="auto"/>
                <w:lang w:eastAsia="zh-CN"/>
              </w:rPr>
              <w:t>磋商文件</w:t>
            </w:r>
            <w:r>
              <w:rPr>
                <w:rFonts w:hint="eastAsia" w:ascii="宋体" w:hAnsi="宋体" w:eastAsia="宋体" w:cs="宋体"/>
                <w:color w:val="auto"/>
              </w:rPr>
              <w:t>规定</w:t>
            </w:r>
          </w:p>
        </w:tc>
      </w:tr>
      <w:tr w14:paraId="2AA5C274">
        <w:tblPrEx>
          <w:tblCellMar>
            <w:top w:w="0" w:type="dxa"/>
            <w:left w:w="30" w:type="dxa"/>
            <w:bottom w:w="0" w:type="dxa"/>
            <w:right w:w="30" w:type="dxa"/>
          </w:tblCellMar>
        </w:tblPrEx>
        <w:trPr>
          <w:trHeight w:val="373" w:hRule="atLeast"/>
        </w:trPr>
        <w:tc>
          <w:tcPr>
            <w:tcW w:w="915" w:type="dxa"/>
            <w:tcBorders>
              <w:top w:val="single" w:color="auto" w:sz="6" w:space="0"/>
              <w:left w:val="single" w:color="auto" w:sz="6" w:space="0"/>
              <w:bottom w:val="single" w:color="auto" w:sz="4" w:space="0"/>
              <w:right w:val="single" w:color="auto" w:sz="6" w:space="0"/>
            </w:tcBorders>
            <w:shd w:val="clear" w:color="auto" w:fill="FDEADA"/>
            <w:vAlign w:val="center"/>
          </w:tcPr>
          <w:p w14:paraId="0FCF3AA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3270" w:type="dxa"/>
            <w:tcBorders>
              <w:top w:val="single" w:color="auto" w:sz="6" w:space="0"/>
              <w:left w:val="single" w:color="auto" w:sz="6" w:space="0"/>
              <w:bottom w:val="single" w:color="auto" w:sz="4" w:space="0"/>
              <w:right w:val="single" w:color="auto" w:sz="6" w:space="0"/>
            </w:tcBorders>
            <w:shd w:val="clear" w:color="auto" w:fill="FDEADA"/>
            <w:vAlign w:val="center"/>
          </w:tcPr>
          <w:p w14:paraId="2806E6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投标有效期</w:t>
            </w:r>
          </w:p>
        </w:tc>
        <w:tc>
          <w:tcPr>
            <w:tcW w:w="5250" w:type="dxa"/>
            <w:tcBorders>
              <w:top w:val="single" w:color="auto" w:sz="6" w:space="0"/>
              <w:left w:val="single" w:color="auto" w:sz="6" w:space="0"/>
              <w:bottom w:val="single" w:color="auto" w:sz="4" w:space="0"/>
              <w:right w:val="single" w:color="auto" w:sz="4" w:space="0"/>
            </w:tcBorders>
            <w:shd w:val="clear" w:color="auto" w:fill="EBF1DE"/>
            <w:vAlign w:val="center"/>
          </w:tcPr>
          <w:p w14:paraId="3C94463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符合</w:t>
            </w:r>
            <w:r>
              <w:rPr>
                <w:rFonts w:hint="eastAsia" w:ascii="宋体" w:hAnsi="宋体" w:eastAsia="宋体" w:cs="宋体"/>
                <w:color w:val="auto"/>
                <w:lang w:eastAsia="zh-CN"/>
              </w:rPr>
              <w:t>磋商文件</w:t>
            </w:r>
            <w:r>
              <w:rPr>
                <w:rFonts w:hint="eastAsia" w:ascii="宋体" w:hAnsi="宋体" w:eastAsia="宋体" w:cs="宋体"/>
                <w:color w:val="auto"/>
              </w:rPr>
              <w:t>规定</w:t>
            </w:r>
          </w:p>
        </w:tc>
      </w:tr>
    </w:tbl>
    <w:p w14:paraId="599C6B67">
      <w:pPr>
        <w:pageBreakBefore w:val="0"/>
        <w:numPr>
          <w:ilvl w:val="0"/>
          <w:numId w:val="3"/>
        </w:numPr>
        <w:kinsoku/>
        <w:overflowPunct/>
        <w:topLinePunct w:val="0"/>
        <w:bidi w:val="0"/>
        <w:spacing w:after="0" w:line="360" w:lineRule="auto"/>
        <w:jc w:val="both"/>
        <w:rPr>
          <w:rFonts w:hint="eastAsia" w:ascii="宋体" w:hAnsi="宋体" w:eastAsia="宋体" w:cs="宋体"/>
          <w:sz w:val="24"/>
        </w:rPr>
      </w:pPr>
      <w:r>
        <w:rPr>
          <w:rFonts w:hint="eastAsia" w:ascii="宋体" w:hAnsi="宋体" w:eastAsia="宋体" w:cs="宋体"/>
          <w:sz w:val="24"/>
        </w:rPr>
        <w:t>评分标准</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350"/>
        <w:gridCol w:w="861"/>
        <w:gridCol w:w="6481"/>
      </w:tblGrid>
      <w:tr w14:paraId="65C7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20" w:type="dxa"/>
            <w:gridSpan w:val="2"/>
            <w:shd w:val="clear" w:color="auto" w:fill="FBE5D6" w:themeFill="accent2" w:themeFillTint="32"/>
            <w:noWrap w:val="0"/>
            <w:vAlign w:val="center"/>
          </w:tcPr>
          <w:p w14:paraId="7AF3E34F">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b/>
                <w:color w:val="auto"/>
                <w:sz w:val="22"/>
                <w:lang w:val="en-US"/>
              </w:rPr>
            </w:pPr>
            <w:r>
              <w:rPr>
                <w:rFonts w:hint="eastAsia" w:ascii="宋体" w:hAnsi="宋体" w:eastAsia="宋体" w:cs="宋体"/>
                <w:b/>
                <w:color w:val="auto"/>
                <w:sz w:val="22"/>
                <w:lang w:val="en-US"/>
              </w:rPr>
              <w:t>评分因素</w:t>
            </w:r>
          </w:p>
        </w:tc>
        <w:tc>
          <w:tcPr>
            <w:tcW w:w="861" w:type="dxa"/>
            <w:shd w:val="clear" w:color="auto" w:fill="FBE5D6" w:themeFill="accent2" w:themeFillTint="32"/>
            <w:noWrap w:val="0"/>
            <w:vAlign w:val="center"/>
          </w:tcPr>
          <w:p w14:paraId="517F7D46">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b/>
                <w:color w:val="auto"/>
                <w:sz w:val="22"/>
                <w:szCs w:val="24"/>
                <w:lang w:val="en-US"/>
              </w:rPr>
            </w:pPr>
            <w:r>
              <w:rPr>
                <w:rFonts w:hint="eastAsia" w:ascii="宋体" w:hAnsi="宋体" w:eastAsia="宋体" w:cs="宋体"/>
                <w:b/>
                <w:color w:val="auto"/>
                <w:sz w:val="22"/>
                <w:lang w:val="en-US"/>
              </w:rPr>
              <w:t>分值</w:t>
            </w:r>
          </w:p>
        </w:tc>
        <w:tc>
          <w:tcPr>
            <w:tcW w:w="6481" w:type="dxa"/>
            <w:shd w:val="clear" w:color="auto" w:fill="FBE5D6" w:themeFill="accent2" w:themeFillTint="32"/>
            <w:noWrap w:val="0"/>
            <w:vAlign w:val="center"/>
          </w:tcPr>
          <w:p w14:paraId="63A18BC6">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b/>
                <w:color w:val="auto"/>
                <w:sz w:val="22"/>
                <w:szCs w:val="24"/>
              </w:rPr>
            </w:pPr>
            <w:r>
              <w:rPr>
                <w:rFonts w:hint="eastAsia" w:ascii="宋体" w:hAnsi="宋体" w:eastAsia="宋体" w:cs="宋体"/>
                <w:b/>
                <w:color w:val="auto"/>
                <w:sz w:val="22"/>
                <w:shd w:val="clear" w:fill="E2EFDA" w:themeFill="accent6" w:themeFillTint="32"/>
              </w:rPr>
              <w:t>评分标准</w:t>
            </w:r>
          </w:p>
        </w:tc>
      </w:tr>
      <w:tr w14:paraId="0A41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620" w:type="dxa"/>
            <w:gridSpan w:val="2"/>
            <w:shd w:val="clear" w:color="auto" w:fill="FBE5D6" w:themeFill="accent2" w:themeFillTint="32"/>
            <w:noWrap w:val="0"/>
            <w:vAlign w:val="center"/>
          </w:tcPr>
          <w:p w14:paraId="4D2E3300">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磋商报价</w:t>
            </w:r>
          </w:p>
          <w:p w14:paraId="38C5E780">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en-US"/>
              </w:rPr>
              <w:t>分</w:t>
            </w:r>
            <w:r>
              <w:rPr>
                <w:rFonts w:hint="eastAsia" w:ascii="宋体" w:hAnsi="宋体" w:eastAsia="宋体" w:cs="宋体"/>
                <w:color w:val="auto"/>
                <w:sz w:val="21"/>
                <w:szCs w:val="21"/>
              </w:rPr>
              <w:t>）</w:t>
            </w:r>
          </w:p>
        </w:tc>
        <w:tc>
          <w:tcPr>
            <w:tcW w:w="861" w:type="dxa"/>
            <w:shd w:val="clear" w:color="auto" w:fill="FBE5D6" w:themeFill="accent2" w:themeFillTint="32"/>
            <w:noWrap w:val="0"/>
            <w:vAlign w:val="center"/>
          </w:tcPr>
          <w:p w14:paraId="1D935436">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6481" w:type="dxa"/>
            <w:shd w:val="clear" w:color="auto" w:fill="E2EFDA" w:themeFill="accent6" w:themeFillTint="32"/>
            <w:noWrap w:val="0"/>
            <w:vAlign w:val="center"/>
          </w:tcPr>
          <w:p w14:paraId="12D46A3F">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ascii="宋体" w:hAnsi="宋体" w:eastAsia="宋体" w:cs="宋体"/>
                <w:color w:val="auto"/>
                <w:sz w:val="21"/>
                <w:szCs w:val="21"/>
              </w:rPr>
            </w:pPr>
            <w:r>
              <w:rPr>
                <w:rFonts w:hint="eastAsia" w:ascii="宋体" w:hAnsi="宋体" w:eastAsia="宋体" w:cs="宋体"/>
                <w:color w:val="auto"/>
                <w:sz w:val="21"/>
                <w:lang w:val="en-US"/>
              </w:rPr>
              <w:t>价格分采用低价优先法计算，即满足竞争性磋商文件要求且投标报价最低的投标报价为评标基准价，其价格分为满分。其他供应商的价格分统一按照下列公式计算：投标报价得分=（评标基准价/ 投标报价）×价格权值×100。</w:t>
            </w:r>
          </w:p>
        </w:tc>
      </w:tr>
      <w:tr w14:paraId="4DAC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70" w:type="dxa"/>
            <w:vMerge w:val="restart"/>
            <w:shd w:val="clear" w:color="auto" w:fill="FBE5D6" w:themeFill="accent2" w:themeFillTint="32"/>
            <w:noWrap w:val="0"/>
            <w:vAlign w:val="center"/>
          </w:tcPr>
          <w:p w14:paraId="66F30ECE">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w:t>
            </w:r>
          </w:p>
        </w:tc>
        <w:tc>
          <w:tcPr>
            <w:tcW w:w="1350" w:type="dxa"/>
            <w:shd w:val="clear" w:color="auto" w:fill="FBE5D6" w:themeFill="accent2" w:themeFillTint="32"/>
            <w:noWrap w:val="0"/>
            <w:vAlign w:val="center"/>
          </w:tcPr>
          <w:p w14:paraId="03E9BC88">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总体方案</w:t>
            </w:r>
          </w:p>
        </w:tc>
        <w:tc>
          <w:tcPr>
            <w:tcW w:w="861" w:type="dxa"/>
            <w:shd w:val="clear" w:color="auto" w:fill="FBE5D6" w:themeFill="accent2" w:themeFillTint="32"/>
            <w:noWrap w:val="0"/>
            <w:vAlign w:val="center"/>
          </w:tcPr>
          <w:p w14:paraId="5F1FDEFA">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25分</w:t>
            </w:r>
          </w:p>
        </w:tc>
        <w:tc>
          <w:tcPr>
            <w:tcW w:w="6481" w:type="dxa"/>
            <w:shd w:val="clear" w:color="auto" w:fill="E2EFDA" w:themeFill="accent6" w:themeFillTint="32"/>
            <w:noWrap w:val="0"/>
            <w:vAlign w:val="center"/>
          </w:tcPr>
          <w:p w14:paraId="2BA6A9C0">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针对本项目的总体实施方案，包含具体技术措施、野外作业、设施设备投入、技术评估、标本采集与鉴定、报告编制等全面、合理可行计18-25分；基本完善、合理计10-18分；欠缺、不完全合理根据内容计1-10分；未提供不计分。</w:t>
            </w:r>
          </w:p>
        </w:tc>
      </w:tr>
      <w:tr w14:paraId="0BAF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70" w:type="dxa"/>
            <w:vMerge w:val="continue"/>
            <w:shd w:val="clear" w:color="auto" w:fill="FBE5D6" w:themeFill="accent2" w:themeFillTint="32"/>
            <w:noWrap w:val="0"/>
            <w:vAlign w:val="center"/>
          </w:tcPr>
          <w:p w14:paraId="784D638D">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p>
        </w:tc>
        <w:tc>
          <w:tcPr>
            <w:tcW w:w="1350" w:type="dxa"/>
            <w:shd w:val="clear" w:color="auto" w:fill="FBE5D6" w:themeFill="accent2" w:themeFillTint="32"/>
            <w:noWrap w:val="0"/>
            <w:vAlign w:val="center"/>
          </w:tcPr>
          <w:p w14:paraId="018765AE">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项目实施进度计划要求</w:t>
            </w:r>
          </w:p>
        </w:tc>
        <w:tc>
          <w:tcPr>
            <w:tcW w:w="861" w:type="dxa"/>
            <w:shd w:val="clear" w:color="auto" w:fill="FBE5D6" w:themeFill="accent2" w:themeFillTint="32"/>
            <w:noWrap w:val="0"/>
            <w:vAlign w:val="center"/>
          </w:tcPr>
          <w:p w14:paraId="60F84638">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6481" w:type="dxa"/>
            <w:shd w:val="clear" w:color="auto" w:fill="E2EFDA" w:themeFill="accent6" w:themeFillTint="32"/>
            <w:noWrap w:val="0"/>
            <w:vAlign w:val="center"/>
          </w:tcPr>
          <w:p w14:paraId="07D2B6EE">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针对本项目提供进度计划，描述详细，安排合理，切实可行计10-15分；进度计划基本满足项目实施需要的计5-10分；进度计划差，不足以满足项目实施的计1-5分；未提供不计分。</w:t>
            </w:r>
          </w:p>
        </w:tc>
      </w:tr>
      <w:tr w14:paraId="39B8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0" w:type="dxa"/>
            <w:vMerge w:val="continue"/>
            <w:shd w:val="clear" w:color="auto" w:fill="FBE5D6" w:themeFill="accent2" w:themeFillTint="32"/>
            <w:noWrap w:val="0"/>
            <w:vAlign w:val="center"/>
          </w:tcPr>
          <w:p w14:paraId="1CFA2DAD">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p>
        </w:tc>
        <w:tc>
          <w:tcPr>
            <w:tcW w:w="1350" w:type="dxa"/>
            <w:shd w:val="clear" w:color="auto" w:fill="FBE5D6" w:themeFill="accent2" w:themeFillTint="32"/>
            <w:noWrap w:val="0"/>
            <w:vAlign w:val="center"/>
          </w:tcPr>
          <w:p w14:paraId="3A920FB2">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应急突发事件处理措施</w:t>
            </w:r>
          </w:p>
        </w:tc>
        <w:tc>
          <w:tcPr>
            <w:tcW w:w="861" w:type="dxa"/>
            <w:shd w:val="clear" w:color="auto" w:fill="FBE5D6" w:themeFill="accent2" w:themeFillTint="32"/>
            <w:noWrap w:val="0"/>
            <w:vAlign w:val="center"/>
          </w:tcPr>
          <w:p w14:paraId="6A4D4C91">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7分</w:t>
            </w:r>
          </w:p>
        </w:tc>
        <w:tc>
          <w:tcPr>
            <w:tcW w:w="6481" w:type="dxa"/>
            <w:shd w:val="clear" w:color="auto" w:fill="E2EFDA" w:themeFill="accent6" w:themeFillTint="32"/>
            <w:noWrap w:val="0"/>
            <w:vAlign w:val="center"/>
          </w:tcPr>
          <w:p w14:paraId="46C2E89A">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应急和突发事件的处理措施方案全面、科学、合理的计5-7分；基本完整、要点较合理可行的计3-5分；不完整不合理的计1-3分；未提供不计分。</w:t>
            </w:r>
          </w:p>
        </w:tc>
      </w:tr>
      <w:tr w14:paraId="49D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0" w:type="dxa"/>
            <w:vMerge w:val="continue"/>
            <w:shd w:val="clear" w:color="auto" w:fill="FBE5D6" w:themeFill="accent2" w:themeFillTint="32"/>
            <w:noWrap w:val="0"/>
            <w:vAlign w:val="center"/>
          </w:tcPr>
          <w:p w14:paraId="70D20808">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p>
        </w:tc>
        <w:tc>
          <w:tcPr>
            <w:tcW w:w="1350" w:type="dxa"/>
            <w:shd w:val="clear" w:color="auto" w:fill="FBE5D6" w:themeFill="accent2" w:themeFillTint="32"/>
            <w:noWrap w:val="0"/>
            <w:vAlign w:val="center"/>
          </w:tcPr>
          <w:p w14:paraId="63EAD9F5">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履约能力及服务承诺</w:t>
            </w:r>
          </w:p>
        </w:tc>
        <w:tc>
          <w:tcPr>
            <w:tcW w:w="861" w:type="dxa"/>
            <w:shd w:val="clear" w:color="auto" w:fill="FBE5D6" w:themeFill="accent2" w:themeFillTint="32"/>
            <w:noWrap w:val="0"/>
            <w:vAlign w:val="center"/>
          </w:tcPr>
          <w:p w14:paraId="6529BD1B">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6481" w:type="dxa"/>
            <w:shd w:val="clear" w:color="auto" w:fill="E2EFDA" w:themeFill="accent6" w:themeFillTint="32"/>
            <w:noWrap w:val="0"/>
            <w:vAlign w:val="center"/>
          </w:tcPr>
          <w:p w14:paraId="4DCFDE60">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针对本项目提供服务质量保证、合理化建议、安全保障方案等承诺。承诺全面、科学合理、切实可行、针对性强，得7-10分；承诺较全面，较为科学合理、具有可行性，得4-7分；内容简单，但能满足项目需求，得1-3分；不提供不得分。</w:t>
            </w:r>
          </w:p>
        </w:tc>
      </w:tr>
      <w:tr w14:paraId="527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0" w:type="dxa"/>
            <w:vMerge w:val="restart"/>
            <w:shd w:val="clear" w:color="auto" w:fill="FBE5D6" w:themeFill="accent2" w:themeFillTint="32"/>
            <w:noWrap w:val="0"/>
            <w:vAlign w:val="center"/>
          </w:tcPr>
          <w:p w14:paraId="58AB9814">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商务</w:t>
            </w:r>
          </w:p>
          <w:p w14:paraId="770F1E84">
            <w:pPr>
              <w:keepNext w:val="0"/>
              <w:keepLines w:val="0"/>
              <w:pageBreakBefore w:val="0"/>
              <w:kinsoku/>
              <w:wordWrap/>
              <w:overflowPunct/>
              <w:topLinePunct w:val="0"/>
              <w:autoSpaceDE/>
              <w:autoSpaceDN/>
              <w:bidi w:val="0"/>
              <w:adjustRightInd/>
              <w:snapToGrid w:val="0"/>
              <w:spacing w:after="0" w:line="360" w:lineRule="auto"/>
              <w:ind w:left="0" w:leftChars="0" w:right="0" w:rightChars="0"/>
              <w:jc w:val="center"/>
              <w:textAlignment w:val="auto"/>
              <w:rPr>
                <w:rFonts w:ascii="宋体" w:hAnsi="宋体" w:eastAsia="宋体" w:cs="宋体"/>
                <w:color w:val="auto"/>
                <w:sz w:val="21"/>
                <w:szCs w:val="21"/>
                <w:lang w:val="en-US"/>
              </w:rPr>
            </w:pPr>
            <w:r>
              <w:rPr>
                <w:rFonts w:hint="eastAsia" w:ascii="宋体" w:hAnsi="宋体" w:eastAsia="宋体" w:cs="宋体"/>
                <w:color w:val="auto"/>
                <w:sz w:val="21"/>
                <w:szCs w:val="21"/>
              </w:rPr>
              <w:t>部分</w:t>
            </w:r>
          </w:p>
        </w:tc>
        <w:tc>
          <w:tcPr>
            <w:tcW w:w="1350" w:type="dxa"/>
            <w:shd w:val="clear" w:color="auto" w:fill="FBE5D6" w:themeFill="accent2" w:themeFillTint="32"/>
            <w:noWrap w:val="0"/>
            <w:vAlign w:val="center"/>
          </w:tcPr>
          <w:p w14:paraId="15ED21F4">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w:t>
            </w:r>
          </w:p>
        </w:tc>
        <w:tc>
          <w:tcPr>
            <w:tcW w:w="861" w:type="dxa"/>
            <w:shd w:val="clear" w:color="auto" w:fill="FBE5D6" w:themeFill="accent2" w:themeFillTint="32"/>
            <w:noWrap w:val="0"/>
            <w:vAlign w:val="center"/>
          </w:tcPr>
          <w:p w14:paraId="54D95959">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481" w:type="dxa"/>
            <w:shd w:val="clear" w:color="auto" w:fill="E2EFDA" w:themeFill="accent6" w:themeFillTint="32"/>
            <w:noWrap w:val="0"/>
            <w:vAlign w:val="center"/>
          </w:tcPr>
          <w:p w14:paraId="271206DB">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提供2022年10月至今类似项目业绩，提供该项目中标通知书或合同，一个业绩计2 分，未提供不得分，最多得6分。</w:t>
            </w:r>
          </w:p>
        </w:tc>
      </w:tr>
      <w:tr w14:paraId="13A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0" w:type="dxa"/>
            <w:vMerge w:val="continue"/>
            <w:shd w:val="clear" w:color="auto" w:fill="FBE5D6" w:themeFill="accent2" w:themeFillTint="32"/>
            <w:noWrap w:val="0"/>
            <w:vAlign w:val="center"/>
          </w:tcPr>
          <w:p w14:paraId="26CFF632">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ascii="宋体" w:hAnsi="宋体" w:eastAsia="宋体" w:cs="宋体"/>
                <w:color w:val="auto"/>
                <w:sz w:val="21"/>
                <w:szCs w:val="21"/>
              </w:rPr>
            </w:pPr>
          </w:p>
        </w:tc>
        <w:tc>
          <w:tcPr>
            <w:tcW w:w="1350" w:type="dxa"/>
            <w:vMerge w:val="restart"/>
            <w:shd w:val="clear" w:color="auto" w:fill="FBE5D6" w:themeFill="accent2" w:themeFillTint="32"/>
            <w:noWrap w:val="0"/>
            <w:vAlign w:val="center"/>
          </w:tcPr>
          <w:p w14:paraId="0640F5CA">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人员配备</w:t>
            </w:r>
          </w:p>
        </w:tc>
        <w:tc>
          <w:tcPr>
            <w:tcW w:w="861" w:type="dxa"/>
            <w:shd w:val="clear" w:color="auto" w:fill="FBE5D6" w:themeFill="accent2" w:themeFillTint="32"/>
            <w:noWrap w:val="0"/>
            <w:vAlign w:val="center"/>
          </w:tcPr>
          <w:p w14:paraId="4576ABF0">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19分</w:t>
            </w:r>
          </w:p>
        </w:tc>
        <w:tc>
          <w:tcPr>
            <w:tcW w:w="6481" w:type="dxa"/>
            <w:shd w:val="clear" w:color="auto" w:fill="E2EFDA" w:themeFill="accent6" w:themeFillTint="32"/>
            <w:noWrap w:val="0"/>
            <w:vAlign w:val="center"/>
          </w:tcPr>
          <w:p w14:paraId="4FA90F27">
            <w:pPr>
              <w:keepNext w:val="0"/>
              <w:keepLines w:val="0"/>
              <w:pageBreakBefore w:val="0"/>
              <w:numPr>
                <w:ilvl w:val="0"/>
                <w:numId w:val="0"/>
              </w:numPr>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14:ligatures w14:val="standardContextual"/>
              </w:rPr>
              <w:t>①</w:t>
            </w:r>
            <w:r>
              <w:rPr>
                <w:rFonts w:hint="eastAsia" w:ascii="宋体" w:hAnsi="宋体" w:eastAsia="宋体" w:cs="宋体"/>
                <w:color w:val="auto"/>
                <w:sz w:val="21"/>
                <w:szCs w:val="21"/>
                <w:lang w:val="en-US" w:eastAsia="zh-CN"/>
              </w:rPr>
              <w:t>提供项目负责人、技术负责人、安全负责人在本单位的社保缴纳证明，专项安全员需提供红十字救护员证书（须提供劳动合同或在本单位缴纳社保的证明），满足以上条件计3分，未提供不得分。</w:t>
            </w:r>
          </w:p>
          <w:p w14:paraId="1C9680CA">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②项目组成员中的主要技术人员须具备陕西省林业有害生物社会化防治人员技术培训合格证书且不少于3人（少于3人本项不得分）；具有一名人员计2分，最多计 16分； </w:t>
            </w:r>
          </w:p>
        </w:tc>
      </w:tr>
      <w:tr w14:paraId="292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0" w:type="dxa"/>
            <w:vMerge w:val="continue"/>
            <w:shd w:val="clear" w:color="auto" w:fill="FBE5D6" w:themeFill="accent2" w:themeFillTint="32"/>
            <w:noWrap w:val="0"/>
            <w:vAlign w:val="center"/>
          </w:tcPr>
          <w:p w14:paraId="7FBBA6A6">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ascii="宋体" w:hAnsi="宋体" w:eastAsia="宋体" w:cs="宋体"/>
                <w:color w:val="auto"/>
                <w:sz w:val="21"/>
                <w:szCs w:val="21"/>
              </w:rPr>
            </w:pPr>
          </w:p>
        </w:tc>
        <w:tc>
          <w:tcPr>
            <w:tcW w:w="1350" w:type="dxa"/>
            <w:vMerge w:val="continue"/>
            <w:shd w:val="clear" w:color="auto" w:fill="FBE5D6" w:themeFill="accent2" w:themeFillTint="32"/>
            <w:noWrap w:val="0"/>
            <w:vAlign w:val="center"/>
          </w:tcPr>
          <w:p w14:paraId="548A7147">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861" w:type="dxa"/>
            <w:shd w:val="clear" w:color="auto" w:fill="FBE5D6" w:themeFill="accent2" w:themeFillTint="32"/>
            <w:noWrap w:val="0"/>
            <w:vAlign w:val="center"/>
          </w:tcPr>
          <w:p w14:paraId="729565FA">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8分</w:t>
            </w:r>
          </w:p>
        </w:tc>
        <w:tc>
          <w:tcPr>
            <w:tcW w:w="6481" w:type="dxa"/>
            <w:shd w:val="clear" w:color="auto" w:fill="E2EFDA" w:themeFill="accent6" w:themeFillTint="32"/>
            <w:noWrap w:val="0"/>
            <w:vAlign w:val="center"/>
          </w:tcPr>
          <w:p w14:paraId="00F124FC">
            <w:pPr>
              <w:keepNext w:val="0"/>
              <w:keepLines w:val="0"/>
              <w:pageBreakBefore w:val="0"/>
              <w:kinsoku/>
              <w:wordWrap/>
              <w:overflowPunct/>
              <w:topLinePunct w:val="0"/>
              <w:autoSpaceDE/>
              <w:autoSpaceDN/>
              <w:bidi w:val="0"/>
              <w:adjustRightInd/>
              <w:snapToGrid w:val="0"/>
              <w:spacing w:after="0" w:line="36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项目团队人员配备合理，职责分工明确，能够高效优质的实施招标工作，根据响应情况计1-8分。</w:t>
            </w:r>
          </w:p>
        </w:tc>
      </w:tr>
    </w:tbl>
    <w:p w14:paraId="3F17A433">
      <w:pPr>
        <w:pageBreakBefore w:val="0"/>
        <w:numPr>
          <w:ilvl w:val="0"/>
          <w:numId w:val="0"/>
        </w:numPr>
        <w:kinsoku/>
        <w:overflowPunct/>
        <w:topLinePunct w:val="0"/>
        <w:bidi w:val="0"/>
        <w:spacing w:after="0" w:line="360" w:lineRule="auto"/>
        <w:jc w:val="both"/>
        <w:rPr>
          <w:rFonts w:hint="eastAsia" w:ascii="宋体" w:hAnsi="宋体" w:eastAsia="宋体" w:cs="宋体"/>
          <w:sz w:val="24"/>
        </w:rPr>
      </w:pPr>
    </w:p>
    <w:p w14:paraId="2DA76835">
      <w:pPr>
        <w:pageBreakBefore w:val="0"/>
        <w:kinsoku/>
        <w:overflowPunct/>
        <w:topLinePunct w:val="0"/>
        <w:bidi w:val="0"/>
        <w:spacing w:after="0" w:line="360" w:lineRule="auto"/>
        <w:ind w:firstLine="480"/>
        <w:jc w:val="both"/>
        <w:rPr>
          <w:rFonts w:hint="eastAsia" w:ascii="宋体" w:hAnsi="宋体" w:eastAsia="宋体" w:cs="宋体"/>
          <w:sz w:val="24"/>
        </w:rPr>
      </w:pPr>
      <w:r>
        <w:rPr>
          <w:rFonts w:hint="eastAsia" w:ascii="宋体" w:hAnsi="宋体" w:eastAsia="宋体" w:cs="宋体"/>
          <w:sz w:val="24"/>
        </w:rPr>
        <w:t>22.磋商响应文件的澄清</w:t>
      </w:r>
    </w:p>
    <w:p w14:paraId="0A5584C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22.1评审期间，为有助于对磋商响应文件的审查、评价和比较，磋商小组有权要求供应商对其磋商响应文件进行澄清，但并非对每个供应商都做澄清要求。</w:t>
      </w:r>
    </w:p>
    <w:p w14:paraId="0DD3CA1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22.2接到磋商小组澄清要求的供应商应派人对磋商小组做出书面澄清，书面澄清的内容须由供应商法定代表人或授权代表签署，并作为磋商响应文件的补充部分。</w:t>
      </w:r>
    </w:p>
    <w:p w14:paraId="10FCC19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23.采购过程中，出现下列情形之一的，应予废标： </w:t>
      </w:r>
    </w:p>
    <w:p w14:paraId="4B9C045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23.1、因重大变故，采购任务取消的；</w:t>
      </w:r>
    </w:p>
    <w:p w14:paraId="3B5F5DD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23.2、因情况变化，不再符合规定的竞争性磋商采购方式适用情形的；</w:t>
      </w:r>
    </w:p>
    <w:p w14:paraId="549ED71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23.3、有效供应商不足3家的（经财政部门批准可继续与两家供应商进行竞争性磋商采购的除外）；</w:t>
      </w:r>
    </w:p>
    <w:p w14:paraId="6CAE8816">
      <w:pPr>
        <w:pageBreakBefore w:val="0"/>
        <w:kinsoku/>
        <w:overflowPunct/>
        <w:topLinePunct w:val="0"/>
        <w:bidi w:val="0"/>
        <w:spacing w:after="0" w:line="360" w:lineRule="auto"/>
        <w:ind w:firstLine="422"/>
        <w:jc w:val="both"/>
        <w:rPr>
          <w:rFonts w:hint="eastAsia" w:ascii="宋体" w:hAnsi="宋体" w:eastAsia="宋体" w:cs="宋体"/>
          <w:sz w:val="21"/>
        </w:rPr>
      </w:pPr>
      <w:r>
        <w:rPr>
          <w:rFonts w:hint="eastAsia" w:ascii="宋体" w:hAnsi="宋体" w:eastAsia="宋体" w:cs="宋体"/>
          <w:sz w:val="24"/>
        </w:rPr>
        <w:t>废标后，采购人或者采购代理机构应当按照财政部门审批意见重新组织采购活动。</w:t>
      </w:r>
    </w:p>
    <w:p w14:paraId="7EA7A20F">
      <w:pPr>
        <w:pageBreakBefore w:val="0"/>
        <w:kinsoku/>
        <w:overflowPunct/>
        <w:topLinePunct w:val="0"/>
        <w:bidi w:val="0"/>
        <w:spacing w:after="0" w:line="360" w:lineRule="auto"/>
        <w:jc w:val="center"/>
        <w:rPr>
          <w:rFonts w:hint="eastAsia" w:ascii="宋体" w:hAnsi="宋体" w:eastAsia="宋体" w:cs="宋体"/>
          <w:b/>
          <w:sz w:val="32"/>
        </w:rPr>
      </w:pPr>
      <w:r>
        <w:rPr>
          <w:rFonts w:hint="eastAsia" w:ascii="宋体" w:hAnsi="宋体" w:eastAsia="宋体" w:cs="宋体"/>
          <w:sz w:val="32"/>
        </w:rPr>
        <w:t>F、合同的授予</w:t>
      </w:r>
    </w:p>
    <w:p w14:paraId="0001133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24.合同授予标准</w:t>
      </w:r>
    </w:p>
    <w:p w14:paraId="444AB88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本项目的采购合同将授予按本须知第21款规定确定的成交供应商。磋商结束发布成交公告后1个工作日，公告期满无异议后给成交供应商发放成交通知书。</w:t>
      </w:r>
    </w:p>
    <w:p w14:paraId="0196494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25.签订合同</w:t>
      </w:r>
    </w:p>
    <w:p w14:paraId="7D85BA2C">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成交供应商应当自成交通知书发出之日起7个工作日内与采购人签订采购合同；确因特殊原因的，经采购人书面同意，可适当放宽合同签订要求期限，但最迟应在成交通知书发出之日起10日内完成合同签订。磋商文件、成交供应商的磋商响应文件及澄清文件等，均为签订合同的依据。</w:t>
      </w:r>
    </w:p>
    <w:p w14:paraId="0E442F9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26.其他事项</w:t>
      </w:r>
    </w:p>
    <w:p w14:paraId="68E2476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成交供应商拒绝与采购人签订合同的，采购人可以按照评审报告推荐的成交候选人名单排序，确定下一候选人为成交供应商，并报政府采购监督管理部门备案；采购人也可重新开展政府采购活动。</w:t>
      </w:r>
    </w:p>
    <w:p w14:paraId="4BDA70A5">
      <w:pPr>
        <w:pageBreakBefore w:val="0"/>
        <w:kinsoku/>
        <w:overflowPunct/>
        <w:topLinePunct w:val="0"/>
        <w:bidi w:val="0"/>
        <w:spacing w:after="0" w:line="360" w:lineRule="auto"/>
        <w:jc w:val="center"/>
        <w:rPr>
          <w:rFonts w:hint="eastAsia" w:ascii="宋体" w:hAnsi="宋体" w:eastAsia="宋体" w:cs="宋体"/>
          <w:b/>
          <w:sz w:val="32"/>
        </w:rPr>
      </w:pPr>
    </w:p>
    <w:p w14:paraId="16203A31">
      <w:pPr>
        <w:pageBreakBefore w:val="0"/>
        <w:kinsoku/>
        <w:overflowPunct/>
        <w:topLinePunct w:val="0"/>
        <w:bidi w:val="0"/>
        <w:spacing w:after="0" w:line="360" w:lineRule="auto"/>
        <w:jc w:val="center"/>
        <w:rPr>
          <w:rFonts w:hint="eastAsia" w:ascii="宋体" w:hAnsi="宋体" w:eastAsia="宋体" w:cs="宋体"/>
          <w:b/>
          <w:sz w:val="32"/>
        </w:rPr>
      </w:pPr>
    </w:p>
    <w:p w14:paraId="3977081B">
      <w:pPr>
        <w:pageBreakBefore w:val="0"/>
        <w:kinsoku/>
        <w:overflowPunct/>
        <w:topLinePunct w:val="0"/>
        <w:bidi w:val="0"/>
        <w:spacing w:after="0"/>
        <w:rPr>
          <w:rFonts w:hint="eastAsia" w:ascii="宋体" w:hAnsi="宋体" w:eastAsia="宋体" w:cs="宋体"/>
          <w:b/>
          <w:sz w:val="32"/>
        </w:rPr>
      </w:pPr>
      <w:r>
        <w:rPr>
          <w:rFonts w:hint="eastAsia" w:ascii="宋体" w:hAnsi="宋体" w:eastAsia="宋体" w:cs="宋体"/>
          <w:b/>
          <w:sz w:val="32"/>
        </w:rPr>
        <w:br w:type="page"/>
      </w:r>
    </w:p>
    <w:p w14:paraId="6D6531E1">
      <w:pPr>
        <w:pageBreakBefore w:val="0"/>
        <w:kinsoku/>
        <w:overflowPunct/>
        <w:topLinePunct w:val="0"/>
        <w:bidi w:val="0"/>
        <w:spacing w:after="0" w:line="360" w:lineRule="auto"/>
        <w:jc w:val="center"/>
        <w:rPr>
          <w:rFonts w:hint="eastAsia" w:ascii="宋体" w:hAnsi="宋体" w:eastAsia="宋体" w:cs="宋体"/>
          <w:sz w:val="21"/>
        </w:rPr>
      </w:pPr>
      <w:r>
        <w:rPr>
          <w:rFonts w:hint="eastAsia" w:ascii="宋体" w:hAnsi="宋体" w:eastAsia="宋体" w:cs="宋体"/>
          <w:b/>
          <w:sz w:val="32"/>
        </w:rPr>
        <w:t>第四章</w:t>
      </w:r>
      <w:r>
        <w:rPr>
          <w:rFonts w:hint="eastAsia" w:ascii="宋体" w:hAnsi="宋体" w:eastAsia="宋体" w:cs="宋体"/>
          <w:sz w:val="21"/>
        </w:rPr>
        <w:t xml:space="preserve"> </w:t>
      </w:r>
      <w:r>
        <w:rPr>
          <w:rFonts w:hint="eastAsia" w:ascii="宋体" w:hAnsi="宋体" w:eastAsia="宋体" w:cs="宋体"/>
          <w:b/>
          <w:sz w:val="32"/>
        </w:rPr>
        <w:t>采购内容及要求</w:t>
      </w:r>
    </w:p>
    <w:p w14:paraId="46872C15">
      <w:pPr>
        <w:pageBreakBefore w:val="0"/>
        <w:kinsoku/>
        <w:overflowPunct/>
        <w:topLinePunct w:val="0"/>
        <w:bidi w:val="0"/>
        <w:spacing w:after="0" w:line="360" w:lineRule="auto"/>
        <w:ind w:firstLine="422"/>
        <w:jc w:val="both"/>
        <w:rPr>
          <w:rFonts w:hint="eastAsia" w:ascii="宋体" w:hAnsi="宋体" w:eastAsia="宋体" w:cs="宋体"/>
          <w:sz w:val="24"/>
        </w:rPr>
      </w:pPr>
    </w:p>
    <w:p w14:paraId="3DC4C222">
      <w:pPr>
        <w:pStyle w:val="2"/>
        <w:pageBreakBefore w:val="0"/>
        <w:widowControl w:val="0"/>
        <w:kinsoku/>
        <w:wordWrap/>
        <w:overflowPunct/>
        <w:topLinePunct w:val="0"/>
        <w:autoSpaceDE/>
        <w:autoSpaceDN/>
        <w:bidi w:val="0"/>
        <w:adjustRightInd/>
        <w:snapToGrid/>
        <w:spacing w:beforeLines="0" w:after="0" w:afterLines="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一、调查目的</w:t>
      </w:r>
    </w:p>
    <w:p w14:paraId="6575F3F1">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w:t>
      </w:r>
      <w:r>
        <w:rPr>
          <w:rFonts w:hint="eastAsia" w:ascii="宋体" w:hAnsi="宋体" w:eastAsia="宋体" w:cs="宋体"/>
          <w:sz w:val="24"/>
          <w:szCs w:val="24"/>
        </w:rPr>
        <w:t>掌握目标区域内钻蛀类害虫的种类、分布、发生密度及危害程度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二是</w:t>
      </w:r>
      <w:r>
        <w:rPr>
          <w:rFonts w:hint="eastAsia" w:ascii="宋体" w:hAnsi="宋体" w:eastAsia="宋体" w:cs="宋体"/>
          <w:sz w:val="24"/>
          <w:szCs w:val="24"/>
        </w:rPr>
        <w:t>分析害虫发生规律与寄主植物、环境条件的关系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三是</w:t>
      </w:r>
      <w:r>
        <w:rPr>
          <w:rFonts w:hint="eastAsia" w:ascii="宋体" w:hAnsi="宋体" w:eastAsia="宋体" w:cs="宋体"/>
          <w:sz w:val="24"/>
          <w:szCs w:val="24"/>
        </w:rPr>
        <w:t>为科学制定防治措施提供数据支持</w:t>
      </w:r>
      <w:r>
        <w:rPr>
          <w:rFonts w:hint="eastAsia" w:ascii="宋体" w:hAnsi="宋体" w:eastAsia="宋体" w:cs="宋体"/>
          <w:sz w:val="24"/>
          <w:szCs w:val="24"/>
          <w:lang w:val="en-US" w:eastAsia="zh-CN"/>
        </w:rPr>
        <w:t>。</w:t>
      </w:r>
    </w:p>
    <w:p w14:paraId="416BE86C">
      <w:pPr>
        <w:pStyle w:val="2"/>
        <w:pageBreakBefore w:val="0"/>
        <w:widowControl w:val="0"/>
        <w:kinsoku/>
        <w:wordWrap/>
        <w:overflowPunct/>
        <w:topLinePunct w:val="0"/>
        <w:autoSpaceDE/>
        <w:autoSpaceDN/>
        <w:bidi w:val="0"/>
        <w:adjustRightInd/>
        <w:snapToGrid/>
        <w:spacing w:beforeLines="0" w:after="0" w:afterLines="0" w:line="360" w:lineRule="auto"/>
        <w:ind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二、调查对象、范围及单元</w:t>
      </w:r>
    </w:p>
    <w:p w14:paraId="2D568EC1">
      <w:pPr>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rPr>
      </w:pPr>
      <w:r>
        <w:rPr>
          <w:rStyle w:val="22"/>
          <w:rFonts w:hint="eastAsia" w:ascii="宋体" w:hAnsi="宋体" w:eastAsia="宋体" w:cs="宋体"/>
          <w:sz w:val="24"/>
          <w:szCs w:val="24"/>
          <w:lang w:val="en-US" w:eastAsia="zh-CN"/>
        </w:rPr>
        <w:t>（一）调</w:t>
      </w:r>
      <w:r>
        <w:rPr>
          <w:rStyle w:val="22"/>
          <w:rFonts w:hint="eastAsia" w:ascii="宋体" w:hAnsi="宋体" w:eastAsia="宋体" w:cs="宋体"/>
          <w:sz w:val="24"/>
          <w:szCs w:val="24"/>
        </w:rPr>
        <w:t>查对象。</w:t>
      </w:r>
      <w:r>
        <w:rPr>
          <w:rFonts w:hint="eastAsia" w:ascii="宋体" w:hAnsi="宋体" w:eastAsia="宋体" w:cs="宋体"/>
          <w:sz w:val="24"/>
          <w:szCs w:val="24"/>
          <w:lang w:val="en-US" w:eastAsia="zh-CN"/>
        </w:rPr>
        <w:t>危害松科植物并造成经济或生态损失的钻</w:t>
      </w:r>
      <w:r>
        <w:rPr>
          <w:rFonts w:hint="eastAsia" w:ascii="宋体" w:hAnsi="宋体" w:eastAsia="宋体" w:cs="宋体"/>
          <w:sz w:val="24"/>
          <w:szCs w:val="24"/>
        </w:rPr>
        <w:t>蛀类害虫，包括天牛类、小蠹虫类、木蠹象类、螟蛾类、吉丁类、树蜂类等；松树钻蛀类害虫的天敌昆虫。</w:t>
      </w:r>
    </w:p>
    <w:p w14:paraId="09EB7936">
      <w:pPr>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（二）</w:t>
      </w:r>
      <w:r>
        <w:rPr>
          <w:rStyle w:val="22"/>
          <w:rFonts w:hint="eastAsia" w:ascii="宋体" w:hAnsi="宋体" w:eastAsia="宋体" w:cs="宋体"/>
          <w:sz w:val="24"/>
          <w:szCs w:val="24"/>
          <w:lang w:val="en-US" w:eastAsia="zh-CN"/>
        </w:rPr>
        <w:t>调</w:t>
      </w:r>
      <w:r>
        <w:rPr>
          <w:rStyle w:val="22"/>
          <w:rFonts w:hint="eastAsia" w:ascii="宋体" w:hAnsi="宋体" w:eastAsia="宋体" w:cs="宋体"/>
          <w:sz w:val="24"/>
          <w:szCs w:val="24"/>
        </w:rPr>
        <w:t>查范围。</w:t>
      </w:r>
      <w:r>
        <w:rPr>
          <w:rFonts w:hint="eastAsia" w:ascii="宋体" w:hAnsi="宋体" w:eastAsia="宋体" w:cs="宋体"/>
          <w:sz w:val="24"/>
          <w:szCs w:val="24"/>
          <w:lang w:val="en-US" w:eastAsia="zh-CN"/>
        </w:rPr>
        <w:t>全县域内松科植物分布的小班，含零散</w:t>
      </w:r>
      <w:r>
        <w:rPr>
          <w:rFonts w:hint="eastAsia" w:ascii="宋体" w:hAnsi="宋体" w:eastAsia="宋体" w:cs="宋体"/>
          <w:sz w:val="24"/>
          <w:szCs w:val="24"/>
        </w:rPr>
        <w:t>分布的松科植物。</w:t>
      </w:r>
    </w:p>
    <w:p w14:paraId="4C436E2F">
      <w:pPr>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（三）</w:t>
      </w:r>
      <w:r>
        <w:rPr>
          <w:rStyle w:val="22"/>
          <w:rFonts w:hint="eastAsia" w:ascii="宋体" w:hAnsi="宋体" w:eastAsia="宋体" w:cs="宋体"/>
          <w:sz w:val="24"/>
          <w:szCs w:val="24"/>
          <w:lang w:val="en-US" w:eastAsia="zh-CN"/>
        </w:rPr>
        <w:t>调</w:t>
      </w:r>
      <w:r>
        <w:rPr>
          <w:rFonts w:hint="eastAsia" w:ascii="宋体" w:hAnsi="宋体" w:eastAsia="宋体" w:cs="宋体"/>
          <w:position w:val="-1"/>
          <w:sz w:val="24"/>
          <w:szCs w:val="24"/>
        </w:rPr>
        <mc:AlternateContent>
          <mc:Choice Requires="wpg">
            <w:drawing>
              <wp:anchor distT="0" distB="0" distL="114300" distR="114300" simplePos="0" relativeHeight="251659264" behindDoc="0" locked="0" layoutInCell="1" allowOverlap="1">
                <wp:simplePos x="0" y="0"/>
                <wp:positionH relativeFrom="column">
                  <wp:posOffset>1036320</wp:posOffset>
                </wp:positionH>
                <wp:positionV relativeFrom="paragraph">
                  <wp:posOffset>9419590</wp:posOffset>
                </wp:positionV>
                <wp:extent cx="5551805" cy="153035"/>
                <wp:effectExtent l="0" t="0" r="7620" b="0"/>
                <wp:wrapNone/>
                <wp:docPr id="22" name="组合 22"/>
                <wp:cNvGraphicFramePr/>
                <a:graphic xmlns:a="http://schemas.openxmlformats.org/drawingml/2006/main">
                  <a:graphicData uri="http://schemas.microsoft.com/office/word/2010/wordprocessingGroup">
                    <wpg:wgp>
                      <wpg:cNvGrpSpPr/>
                      <wpg:grpSpPr>
                        <a:xfrm>
                          <a:off x="1055370" y="9623425"/>
                          <a:ext cx="5551805" cy="153035"/>
                          <a:chOff x="253" y="4"/>
                          <a:chExt cx="9207" cy="58"/>
                        </a:xfrm>
                        <a:effectLst/>
                      </wpg:grpSpPr>
                      <wps:wsp>
                        <wps:cNvPr id="23" name="任意多边形 6"/>
                        <wps:cNvSpPr/>
                        <wps:spPr>
                          <a:xfrm>
                            <a:off x="253" y="4"/>
                            <a:ext cx="9207" cy="58"/>
                          </a:xfrm>
                          <a:custGeom>
                            <a:avLst/>
                            <a:gdLst/>
                            <a:ahLst/>
                            <a:cxnLst/>
                            <a:pathLst>
                              <a:path w="9207" h="58">
                                <a:moveTo>
                                  <a:pt x="0" y="28"/>
                                </a:moveTo>
                                <a:lnTo>
                                  <a:pt x="9206" y="28"/>
                                </a:lnTo>
                              </a:path>
                            </a:pathLst>
                          </a:custGeom>
                          <a:noFill/>
                          <a:ln w="36576" cap="flat" cmpd="sng">
                            <a:solidFill>
                              <a:srgbClr val="FF0000"/>
                            </a:solidFill>
                            <a:prstDash val="solid"/>
                            <a:headEnd type="none" w="med" len="med"/>
                            <a:tailEnd type="none" w="med" len="med"/>
                          </a:ln>
                          <a:effectLst/>
                        </wps:spPr>
                        <wps:bodyPr rot="0" vert="horz" wrap="square" lIns="91440" tIns="45720" rIns="91440" bIns="45720" anchor="t" anchorCtr="0"/>
                      </wps:wsp>
                      <wps:wsp>
                        <wps:cNvPr id="24" name="任意多边形 7"/>
                        <wps:cNvSpPr/>
                        <wps:spPr>
                          <a:xfrm>
                            <a:off x="253" y="10"/>
                            <a:ext cx="9207" cy="15"/>
                          </a:xfrm>
                          <a:custGeom>
                            <a:avLst/>
                            <a:gdLst/>
                            <a:ahLst/>
                            <a:cxnLst/>
                            <a:pathLst>
                              <a:path w="9207" h="15">
                                <a:moveTo>
                                  <a:pt x="0" y="7"/>
                                </a:moveTo>
                                <a:lnTo>
                                  <a:pt x="9206" y="7"/>
                                </a:lnTo>
                              </a:path>
                            </a:pathLst>
                          </a:custGeom>
                          <a:noFill/>
                          <a:ln w="9144" cap="flat" cmpd="sng">
                            <a:solidFill>
                              <a:srgbClr val="FF0000"/>
                            </a:solidFill>
                            <a:prstDash val="solid"/>
                            <a:headEnd type="none" w="med" len="med"/>
                            <a:tailEnd type="none" w="med" len="med"/>
                          </a:ln>
                          <a:effectLst/>
                        </wps:spPr>
                        <wps:bodyPr rot="0" vert="horz" wrap="square" lIns="91440" tIns="45720" rIns="91440" bIns="45720" anchor="t" anchorCtr="0"/>
                      </wps:wsp>
                    </wpg:wgp>
                  </a:graphicData>
                </a:graphic>
              </wp:anchor>
            </w:drawing>
          </mc:Choice>
          <mc:Fallback>
            <w:pict>
              <v:group id="_x0000_s1026" o:spid="_x0000_s1026" o:spt="203" style="position:absolute;left:0pt;margin-left:81.6pt;margin-top:741.7pt;height:12.05pt;width:437.15pt;z-index:251659264;mso-width-relative:page;mso-height-relative:page;" coordorigin="253,4" coordsize="9207,58" o:gfxdata="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CfDh9sAAAAOAQAADwAAAAAAAAAB&#10;ACAAAAAiAAAAZHJzL2Rvd25yZXYueG1sUEsBAhQAFAAAAAgAh07iQI0tlSIqAwAAYgkAAA4AAAAA&#10;AAAAAQAgAAAAKgEAAGRycy9lMm9Eb2MueG1sUEsFBgAAAAAGAAYAWQEAAMYGAAAAAA==&#10;">
                <o:lock v:ext="edit" aspectratio="f"/>
                <v:shape id="任意多边形 6" o:spid="_x0000_s1026" o:spt="100" style="position:absolute;left:253;top:4;height:58;width:9207;" filled="f" stroked="t" coordsize="9207,58" o:gfxdata="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D35rsAAADb&#10;AAAADwAAAAAAAAABACAAAAAiAAAAZHJzL2Rvd25yZXYueG1sUEsBAhQAFAAAAAgAh07iQDMvBZ47&#10;AAAAOQAAABAAAAAAAAAAAQAgAAAACgEAAGRycy9zaGFwZXhtbC54bWxQSwUGAAAAAAYABgBbAQAA&#10;tAMAAAAA&#10;" path="m0,28l9206,28e">
                  <v:fill on="f" focussize="0,0"/>
                  <v:stroke weight="2.88pt" color="#FF0000" joinstyle="round"/>
                  <v:imagedata o:title=""/>
                  <o:lock v:ext="edit" aspectratio="f"/>
                </v:shape>
                <v:shape id="任意多边形 7" o:spid="_x0000_s1026" o:spt="100" style="position:absolute;left:253;top:10;height:15;width:9207;" filled="f" stroked="t" coordsize="9207,15" o:gfxdata="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xWr4A&#10;AADbAAAADwAAAAAAAAABACAAAAAiAAAAZHJzL2Rvd25yZXYueG1sUEsBAhQAFAAAAAgAh07iQDMv&#10;BZ47AAAAOQAAABAAAAAAAAAAAQAgAAAADQEAAGRycy9zaGFwZXhtbC54bWxQSwUGAAAAAAYABgBb&#10;AQAAtwMAAAAA&#10;" path="m0,7l9206,7e">
                  <v:fill on="f" focussize="0,0"/>
                  <v:stroke weight="0.72pt" color="#FF0000" joinstyle="round"/>
                  <v:imagedata o:title=""/>
                  <o:lock v:ext="edit" aspectratio="f"/>
                </v:shape>
              </v:group>
            </w:pict>
          </mc:Fallback>
        </mc:AlternateContent>
      </w:r>
      <w:r>
        <w:rPr>
          <w:rStyle w:val="22"/>
          <w:rFonts w:hint="eastAsia" w:ascii="宋体" w:hAnsi="宋体" w:eastAsia="宋体" w:cs="宋体"/>
          <w:sz w:val="24"/>
          <w:szCs w:val="24"/>
        </w:rPr>
        <w:t>查单元。</w:t>
      </w:r>
      <w:r>
        <w:rPr>
          <w:rFonts w:hint="eastAsia" w:ascii="宋体" w:hAnsi="宋体" w:eastAsia="宋体" w:cs="宋体"/>
          <w:sz w:val="24"/>
          <w:szCs w:val="24"/>
        </w:rPr>
        <w:t>按照属地管理原则，</w:t>
      </w:r>
      <w:r>
        <w:rPr>
          <w:rFonts w:hint="eastAsia" w:ascii="宋体" w:hAnsi="宋体" w:eastAsia="宋体" w:cs="宋体"/>
          <w:sz w:val="24"/>
          <w:szCs w:val="24"/>
          <w:lang w:eastAsia="zh-CN"/>
        </w:rPr>
        <w:t>以各镇和国有凤凰山林场</w:t>
      </w:r>
      <w:r>
        <w:rPr>
          <w:rFonts w:hint="eastAsia" w:ascii="宋体" w:hAnsi="宋体" w:eastAsia="宋体" w:cs="宋体"/>
          <w:sz w:val="24"/>
          <w:szCs w:val="24"/>
          <w:lang w:val="en-US" w:eastAsia="zh-CN"/>
        </w:rPr>
        <w:t>为调</w:t>
      </w:r>
      <w:r>
        <w:rPr>
          <w:rFonts w:hint="eastAsia" w:ascii="宋体" w:hAnsi="宋体" w:eastAsia="宋体" w:cs="宋体"/>
          <w:sz w:val="24"/>
          <w:szCs w:val="24"/>
        </w:rPr>
        <w:t>查单元</w:t>
      </w:r>
      <w:r>
        <w:rPr>
          <w:rFonts w:hint="eastAsia" w:ascii="宋体" w:hAnsi="宋体" w:eastAsia="宋体" w:cs="宋体"/>
          <w:sz w:val="24"/>
          <w:szCs w:val="24"/>
          <w:lang w:eastAsia="zh-CN"/>
        </w:rPr>
        <w:t>，通过</w:t>
      </w:r>
      <w:r>
        <w:rPr>
          <w:rFonts w:hint="eastAsia" w:ascii="宋体" w:hAnsi="宋体" w:eastAsia="宋体" w:cs="宋体"/>
          <w:sz w:val="24"/>
          <w:szCs w:val="24"/>
          <w:lang w:val="en-US" w:eastAsia="zh-CN"/>
        </w:rPr>
        <w:t>政府采购</w:t>
      </w:r>
      <w:r>
        <w:rPr>
          <w:rFonts w:hint="eastAsia" w:ascii="宋体" w:hAnsi="宋体" w:eastAsia="宋体" w:cs="宋体"/>
          <w:sz w:val="24"/>
          <w:szCs w:val="24"/>
          <w:lang w:eastAsia="zh-CN"/>
        </w:rPr>
        <w:t>引入具备调查资质的第三方</w:t>
      </w:r>
      <w:r>
        <w:rPr>
          <w:rFonts w:hint="eastAsia" w:ascii="宋体" w:hAnsi="宋体" w:eastAsia="宋体" w:cs="宋体"/>
          <w:sz w:val="24"/>
          <w:szCs w:val="24"/>
        </w:rPr>
        <w:t>开展</w:t>
      </w:r>
      <w:r>
        <w:rPr>
          <w:rFonts w:hint="eastAsia" w:ascii="宋体" w:hAnsi="宋体" w:eastAsia="宋体" w:cs="宋体"/>
          <w:sz w:val="24"/>
          <w:szCs w:val="24"/>
          <w:lang w:val="en-US" w:eastAsia="zh-CN"/>
        </w:rPr>
        <w:t>调</w:t>
      </w:r>
      <w:r>
        <w:rPr>
          <w:rFonts w:hint="eastAsia" w:ascii="宋体" w:hAnsi="宋体" w:eastAsia="宋体" w:cs="宋体"/>
          <w:sz w:val="24"/>
          <w:szCs w:val="24"/>
        </w:rPr>
        <w:t>查工作（以下简称</w:t>
      </w:r>
      <w:r>
        <w:rPr>
          <w:rFonts w:hint="eastAsia" w:ascii="宋体" w:hAnsi="宋体" w:eastAsia="宋体" w:cs="宋体"/>
          <w:sz w:val="24"/>
          <w:szCs w:val="24"/>
          <w:lang w:val="en-US" w:eastAsia="zh-CN"/>
        </w:rPr>
        <w:t>调</w:t>
      </w:r>
      <w:r>
        <w:rPr>
          <w:rFonts w:hint="eastAsia" w:ascii="宋体" w:hAnsi="宋体" w:eastAsia="宋体" w:cs="宋体"/>
          <w:sz w:val="24"/>
          <w:szCs w:val="24"/>
        </w:rPr>
        <w:t>查单元）。</w:t>
      </w:r>
    </w:p>
    <w:p w14:paraId="34462F36">
      <w:pPr>
        <w:pStyle w:val="2"/>
        <w:pageBreakBefore w:val="0"/>
        <w:widowControl w:val="0"/>
        <w:kinsoku/>
        <w:wordWrap/>
        <w:overflowPunct/>
        <w:topLinePunct w:val="0"/>
        <w:autoSpaceDE/>
        <w:autoSpaceDN/>
        <w:bidi w:val="0"/>
        <w:adjustRightInd/>
        <w:snapToGrid/>
        <w:spacing w:beforeLines="0" w:after="0" w:afterLines="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调</w:t>
      </w:r>
      <w:r>
        <w:rPr>
          <w:rFonts w:hint="eastAsia" w:ascii="宋体" w:hAnsi="宋体" w:eastAsia="宋体" w:cs="宋体"/>
          <w:b/>
          <w:bCs/>
          <w:sz w:val="24"/>
          <w:szCs w:val="24"/>
        </w:rPr>
        <w:t>查内容和方法</w:t>
      </w:r>
    </w:p>
    <w:p w14:paraId="0BAABDF2">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调查准备</w:t>
      </w:r>
    </w:p>
    <w:p w14:paraId="31DFF803">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做好此项野外调查工作，提高调查工效，各调查组需配备并携带一些常用的调查工具，如:捕虫网、毒瓶、标本盒、标本夹、玻璃瓶、取样刀(铲或锹)、枝剪(高枝剪)、镊子、斧头、手锤、放大镜、小毛笔、计算器，以及铅笔、采集记录本、标签、望远镜、测树仪、手锯、测绳或测尺、钢卷尺、海拔仪、指南针、70%酒精等。并使用数码相机、摄像机，以及掌上电脑(PDA)等，拍摄松树类钻蛀类害虫的生态照片(如松树类钻蛀类害虫的栖息情况、形态特征、危害状况等)。</w:t>
      </w:r>
    </w:p>
    <w:p w14:paraId="28CCDFE7">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调</w:t>
      </w:r>
      <w:r>
        <w:rPr>
          <w:rFonts w:hint="eastAsia" w:ascii="宋体" w:hAnsi="宋体" w:eastAsia="宋体" w:cs="宋体"/>
          <w:sz w:val="24"/>
          <w:szCs w:val="24"/>
        </w:rPr>
        <w:t>查内容</w:t>
      </w:r>
    </w:p>
    <w:p w14:paraId="37D68D20">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sz w:val="24"/>
          <w:szCs w:val="24"/>
          <w:lang w:val="en-US" w:eastAsia="zh-CN"/>
        </w:rPr>
        <w:t>调</w:t>
      </w:r>
      <w:r>
        <w:rPr>
          <w:rFonts w:hint="eastAsia" w:ascii="宋体" w:hAnsi="宋体" w:eastAsia="宋体" w:cs="宋体"/>
          <w:sz w:val="24"/>
          <w:szCs w:val="24"/>
        </w:rPr>
        <w:t>查名单，调查</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发生地点、发生范围、发生面积、危害程度、传播途径等，结合地理数据网格化，明晰我</w:t>
      </w:r>
      <w:r>
        <w:rPr>
          <w:rFonts w:hint="eastAsia" w:ascii="宋体" w:hAnsi="宋体" w:eastAsia="宋体" w:cs="宋体"/>
          <w:sz w:val="24"/>
          <w:szCs w:val="24"/>
          <w:lang w:eastAsia="zh-CN"/>
        </w:rPr>
        <w:t>县</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的空间分布及其特征。重点完成以下工作内容：</w:t>
      </w:r>
    </w:p>
    <w:p w14:paraId="4819B6C8">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普查单元内</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的种类、分布、生境现状、危害程度、防控现状等基础信息；</w:t>
      </w:r>
    </w:p>
    <w:p w14:paraId="6A0615AF">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采集</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的标本、样品等实物资料和照片、影音等资料采集质量依据</w:t>
      </w:r>
      <w:r>
        <w:rPr>
          <w:rFonts w:hint="eastAsia" w:ascii="宋体" w:hAnsi="宋体" w:eastAsia="宋体" w:cs="宋体"/>
          <w:sz w:val="24"/>
          <w:szCs w:val="24"/>
          <w:lang w:val="en-US" w:eastAsia="zh-CN"/>
        </w:rPr>
        <w:t>松树钻蛀类害虫系统调查技术方案相关</w:t>
      </w:r>
      <w:r>
        <w:rPr>
          <w:rFonts w:hint="eastAsia" w:ascii="宋体" w:hAnsi="宋体" w:eastAsia="宋体" w:cs="宋体"/>
          <w:sz w:val="24"/>
          <w:szCs w:val="24"/>
        </w:rPr>
        <w:t>规程确定</w:t>
      </w:r>
      <w:r>
        <w:rPr>
          <w:rFonts w:hint="eastAsia" w:ascii="宋体" w:hAnsi="宋体" w:eastAsia="宋体" w:cs="宋体"/>
          <w:sz w:val="24"/>
          <w:szCs w:val="24"/>
          <w:lang w:eastAsia="zh-CN"/>
        </w:rPr>
        <w:t>；</w:t>
      </w:r>
    </w:p>
    <w:p w14:paraId="3067D7A3">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其暴发区、新发区及高危风险区等重点区域，开展系统调查监测，测算危害程度、经济影响、生态影响与潜在扩散风险；</w:t>
      </w:r>
    </w:p>
    <w:p w14:paraId="4727F95B">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总结分析基础调查数据</w:t>
      </w:r>
      <w:r>
        <w:rPr>
          <w:rFonts w:hint="eastAsia" w:ascii="宋体" w:hAnsi="宋体" w:eastAsia="宋体" w:cs="宋体"/>
          <w:sz w:val="24"/>
          <w:szCs w:val="24"/>
          <w:lang w:eastAsia="zh-CN"/>
        </w:rPr>
        <w:t>，</w:t>
      </w:r>
      <w:r>
        <w:rPr>
          <w:rFonts w:hint="eastAsia" w:ascii="宋体" w:hAnsi="宋体" w:eastAsia="宋体" w:cs="宋体"/>
          <w:sz w:val="24"/>
          <w:szCs w:val="24"/>
        </w:rPr>
        <w:t>分析研判</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的扩散机制和</w:t>
      </w:r>
      <w:r>
        <w:rPr>
          <w:rFonts w:hint="eastAsia" w:ascii="宋体" w:hAnsi="宋体" w:eastAsia="宋体" w:cs="宋体"/>
          <w:sz w:val="24"/>
          <w:szCs w:val="24"/>
          <w:lang w:val="en-US" w:eastAsia="zh-CN"/>
        </w:rPr>
        <w:t>危害</w:t>
      </w:r>
      <w:r>
        <w:rPr>
          <w:rFonts w:hint="eastAsia" w:ascii="宋体" w:hAnsi="宋体" w:eastAsia="宋体" w:cs="宋体"/>
          <w:sz w:val="24"/>
          <w:szCs w:val="24"/>
        </w:rPr>
        <w:t>趋势</w:t>
      </w:r>
      <w:r>
        <w:rPr>
          <w:rFonts w:hint="eastAsia" w:ascii="宋体" w:hAnsi="宋体" w:eastAsia="宋体" w:cs="宋体"/>
          <w:sz w:val="24"/>
          <w:szCs w:val="24"/>
          <w:lang w:eastAsia="zh-CN"/>
        </w:rPr>
        <w:t>，</w:t>
      </w:r>
      <w:r>
        <w:rPr>
          <w:rFonts w:hint="eastAsia" w:ascii="宋体" w:hAnsi="宋体" w:eastAsia="宋体" w:cs="宋体"/>
          <w:sz w:val="24"/>
          <w:szCs w:val="24"/>
        </w:rPr>
        <w:t>制定风险分级区划</w:t>
      </w:r>
      <w:r>
        <w:rPr>
          <w:rFonts w:hint="eastAsia" w:ascii="宋体" w:hAnsi="宋体" w:eastAsia="宋体" w:cs="宋体"/>
          <w:sz w:val="24"/>
          <w:szCs w:val="24"/>
          <w:lang w:eastAsia="zh-CN"/>
        </w:rPr>
        <w:t>，</w:t>
      </w:r>
      <w:r>
        <w:rPr>
          <w:rFonts w:hint="eastAsia" w:ascii="宋体" w:hAnsi="宋体" w:eastAsia="宋体" w:cs="宋体"/>
          <w:sz w:val="24"/>
          <w:szCs w:val="24"/>
        </w:rPr>
        <w:t>提出预防治理策略规划</w:t>
      </w:r>
      <w:r>
        <w:rPr>
          <w:rFonts w:hint="eastAsia" w:ascii="宋体" w:hAnsi="宋体" w:eastAsia="宋体" w:cs="宋体"/>
          <w:sz w:val="24"/>
          <w:szCs w:val="24"/>
          <w:lang w:eastAsia="zh-CN"/>
        </w:rPr>
        <w:t>。</w:t>
      </w:r>
    </w:p>
    <w:p w14:paraId="5C2DB0FD">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）预期成果</w:t>
      </w:r>
    </w:p>
    <w:p w14:paraId="4241E3B0">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.调</w:t>
      </w:r>
      <w:r>
        <w:rPr>
          <w:rFonts w:hint="eastAsia" w:ascii="宋体" w:hAnsi="宋体" w:eastAsia="宋体" w:cs="宋体"/>
          <w:sz w:val="24"/>
          <w:szCs w:val="24"/>
        </w:rPr>
        <w:t>查单元要形成</w:t>
      </w:r>
      <w:r>
        <w:rPr>
          <w:rFonts w:hint="eastAsia" w:ascii="宋体" w:hAnsi="宋体" w:eastAsia="宋体" w:cs="宋体"/>
          <w:sz w:val="24"/>
          <w:szCs w:val="24"/>
          <w:lang w:eastAsia="zh-CN"/>
        </w:rPr>
        <w:t>汉阴县</w:t>
      </w:r>
      <w:r>
        <w:rPr>
          <w:rFonts w:hint="eastAsia" w:ascii="宋体" w:hAnsi="宋体" w:eastAsia="宋体" w:cs="宋体"/>
          <w:sz w:val="24"/>
          <w:szCs w:val="24"/>
          <w:lang w:val="en-US" w:eastAsia="zh-CN"/>
        </w:rPr>
        <w:t>松树类钻蛀类害虫调</w:t>
      </w:r>
      <w:r>
        <w:rPr>
          <w:rFonts w:hint="eastAsia" w:ascii="宋体" w:hAnsi="宋体" w:eastAsia="宋体" w:cs="宋体"/>
          <w:sz w:val="24"/>
          <w:szCs w:val="24"/>
        </w:rPr>
        <w:t>查结果报告和工作报告，并在规定时限内报市</w:t>
      </w:r>
      <w:r>
        <w:rPr>
          <w:rFonts w:hint="eastAsia" w:ascii="宋体" w:hAnsi="宋体" w:eastAsia="宋体" w:cs="宋体"/>
          <w:sz w:val="24"/>
          <w:szCs w:val="24"/>
          <w:lang w:val="en-US" w:eastAsia="zh-CN"/>
        </w:rPr>
        <w:t>天保中心</w:t>
      </w:r>
      <w:r>
        <w:rPr>
          <w:rFonts w:hint="eastAsia" w:ascii="宋体" w:hAnsi="宋体" w:eastAsia="宋体" w:cs="宋体"/>
          <w:sz w:val="24"/>
          <w:szCs w:val="24"/>
        </w:rPr>
        <w:t>。</w:t>
      </w:r>
    </w:p>
    <w:p w14:paraId="77533ECF">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.调</w:t>
      </w:r>
      <w:r>
        <w:rPr>
          <w:rFonts w:hint="eastAsia" w:ascii="宋体" w:hAnsi="宋体" w:eastAsia="宋体" w:cs="宋体"/>
          <w:sz w:val="24"/>
          <w:szCs w:val="24"/>
        </w:rPr>
        <w:t>查单元要分别形成</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数据库和数字化标本库，并由</w:t>
      </w:r>
      <w:r>
        <w:rPr>
          <w:rFonts w:hint="eastAsia" w:ascii="宋体" w:hAnsi="宋体" w:eastAsia="宋体" w:cs="宋体"/>
          <w:sz w:val="24"/>
          <w:szCs w:val="24"/>
          <w:lang w:eastAsia="zh-CN"/>
        </w:rPr>
        <w:t>县</w:t>
      </w:r>
      <w:r>
        <w:rPr>
          <w:rFonts w:hint="eastAsia" w:ascii="宋体" w:hAnsi="宋体" w:eastAsia="宋体" w:cs="宋体"/>
          <w:sz w:val="24"/>
          <w:szCs w:val="24"/>
        </w:rPr>
        <w:t>林业局审核汇总后，将相关数据报</w:t>
      </w:r>
      <w:r>
        <w:rPr>
          <w:rFonts w:hint="eastAsia" w:ascii="宋体" w:hAnsi="宋体" w:eastAsia="宋体" w:cs="宋体"/>
          <w:sz w:val="24"/>
          <w:szCs w:val="24"/>
          <w:lang w:eastAsia="zh-CN"/>
        </w:rPr>
        <w:t>市</w:t>
      </w:r>
      <w:r>
        <w:rPr>
          <w:rFonts w:hint="eastAsia" w:ascii="宋体" w:hAnsi="宋体" w:eastAsia="宋体" w:cs="宋体"/>
          <w:sz w:val="24"/>
          <w:szCs w:val="24"/>
          <w:lang w:val="en-US" w:eastAsia="zh-CN"/>
        </w:rPr>
        <w:t>天保中心</w:t>
      </w:r>
      <w:r>
        <w:rPr>
          <w:rFonts w:hint="eastAsia" w:ascii="宋体" w:hAnsi="宋体" w:eastAsia="宋体" w:cs="宋体"/>
          <w:sz w:val="24"/>
          <w:szCs w:val="24"/>
        </w:rPr>
        <w:t>，分别建立市</w:t>
      </w:r>
      <w:r>
        <w:rPr>
          <w:rFonts w:hint="eastAsia" w:ascii="宋体" w:hAnsi="宋体" w:eastAsia="宋体" w:cs="宋体"/>
          <w:sz w:val="24"/>
          <w:szCs w:val="24"/>
          <w:lang w:eastAsia="zh-CN"/>
        </w:rPr>
        <w:t>、县</w:t>
      </w:r>
      <w:r>
        <w:rPr>
          <w:rFonts w:hint="eastAsia" w:ascii="宋体" w:hAnsi="宋体" w:eastAsia="宋体" w:cs="宋体"/>
          <w:sz w:val="24"/>
          <w:szCs w:val="24"/>
        </w:rPr>
        <w:t>两级</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数据库和数字化标本库。</w:t>
      </w:r>
    </w:p>
    <w:p w14:paraId="2198F48F">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.调</w:t>
      </w:r>
      <w:r>
        <w:rPr>
          <w:rFonts w:hint="eastAsia" w:ascii="宋体" w:hAnsi="宋体" w:eastAsia="宋体" w:cs="宋体"/>
          <w:sz w:val="24"/>
          <w:szCs w:val="24"/>
        </w:rPr>
        <w:t>查单元要分别形成</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风险分级区划和风险评估报告，发生趋势及预防与治理策略报告，按要求在规定时限内报</w:t>
      </w:r>
      <w:r>
        <w:rPr>
          <w:rFonts w:hint="eastAsia" w:ascii="宋体" w:hAnsi="宋体" w:eastAsia="宋体" w:cs="宋体"/>
          <w:sz w:val="24"/>
          <w:szCs w:val="24"/>
          <w:lang w:eastAsia="zh-CN"/>
        </w:rPr>
        <w:t>县</w:t>
      </w:r>
      <w:r>
        <w:rPr>
          <w:rFonts w:hint="eastAsia" w:ascii="宋体" w:hAnsi="宋体" w:eastAsia="宋体" w:cs="宋体"/>
          <w:sz w:val="24"/>
          <w:szCs w:val="24"/>
        </w:rPr>
        <w:t>林业局，形成</w:t>
      </w:r>
      <w:r>
        <w:rPr>
          <w:rFonts w:hint="eastAsia" w:ascii="宋体" w:hAnsi="宋体" w:eastAsia="宋体" w:cs="宋体"/>
          <w:sz w:val="24"/>
          <w:szCs w:val="24"/>
          <w:lang w:eastAsia="zh-CN"/>
        </w:rPr>
        <w:t>县</w:t>
      </w:r>
      <w:r>
        <w:rPr>
          <w:rFonts w:hint="eastAsia" w:ascii="宋体" w:hAnsi="宋体" w:eastAsia="宋体" w:cs="宋体"/>
          <w:sz w:val="24"/>
          <w:szCs w:val="24"/>
        </w:rPr>
        <w:t>级</w:t>
      </w:r>
      <w:r>
        <w:rPr>
          <w:rFonts w:hint="eastAsia" w:ascii="宋体" w:hAnsi="宋体" w:eastAsia="宋体" w:cs="宋体"/>
          <w:sz w:val="24"/>
          <w:szCs w:val="24"/>
          <w:lang w:val="en-US" w:eastAsia="zh-CN"/>
        </w:rPr>
        <w:t>松树类钻蛀类害虫</w:t>
      </w:r>
      <w:r>
        <w:rPr>
          <w:rFonts w:hint="eastAsia" w:ascii="宋体" w:hAnsi="宋体" w:eastAsia="宋体" w:cs="宋体"/>
          <w:sz w:val="24"/>
          <w:szCs w:val="24"/>
        </w:rPr>
        <w:t>风险分级区划和风险评估报告后报</w:t>
      </w:r>
      <w:r>
        <w:rPr>
          <w:rFonts w:hint="eastAsia" w:ascii="宋体" w:hAnsi="宋体" w:eastAsia="宋体" w:cs="宋体"/>
          <w:sz w:val="24"/>
          <w:szCs w:val="24"/>
          <w:lang w:eastAsia="zh-CN"/>
        </w:rPr>
        <w:t>市</w:t>
      </w:r>
      <w:r>
        <w:rPr>
          <w:rFonts w:hint="eastAsia" w:ascii="宋体" w:hAnsi="宋体" w:eastAsia="宋体" w:cs="宋体"/>
          <w:sz w:val="24"/>
          <w:szCs w:val="24"/>
          <w:lang w:val="en-US" w:eastAsia="zh-CN"/>
        </w:rPr>
        <w:t>天保中心</w:t>
      </w:r>
      <w:r>
        <w:rPr>
          <w:rFonts w:hint="eastAsia" w:ascii="宋体" w:hAnsi="宋体" w:eastAsia="宋体" w:cs="宋体"/>
          <w:sz w:val="24"/>
          <w:szCs w:val="24"/>
        </w:rPr>
        <w:t>。</w:t>
      </w:r>
    </w:p>
    <w:p w14:paraId="120A00CE">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CN"/>
        </w:rPr>
        <w:t>调</w:t>
      </w:r>
      <w:r>
        <w:rPr>
          <w:rFonts w:hint="eastAsia" w:ascii="宋体" w:hAnsi="宋体" w:eastAsia="宋体" w:cs="宋体"/>
          <w:sz w:val="24"/>
          <w:szCs w:val="24"/>
        </w:rPr>
        <w:t>查技术和方法</w:t>
      </w:r>
    </w:p>
    <w:p w14:paraId="0D561622">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调查以松树钻蛀类害虫系统调查技术方案相关要求开展，调</w:t>
      </w:r>
      <w:r>
        <w:rPr>
          <w:rFonts w:hint="eastAsia" w:ascii="宋体" w:hAnsi="宋体" w:eastAsia="宋体" w:cs="宋体"/>
          <w:sz w:val="24"/>
          <w:szCs w:val="24"/>
        </w:rPr>
        <w:t>查主要以地面调查</w:t>
      </w:r>
      <w:r>
        <w:rPr>
          <w:rFonts w:hint="eastAsia" w:ascii="宋体" w:hAnsi="宋体" w:eastAsia="宋体" w:cs="宋体"/>
          <w:sz w:val="24"/>
          <w:szCs w:val="24"/>
          <w:lang w:val="en-US" w:eastAsia="zh-CN"/>
        </w:rPr>
        <w:t>使用松材线虫病疫情防控监管平台</w:t>
      </w:r>
      <w:r>
        <w:rPr>
          <w:rFonts w:hint="eastAsia" w:ascii="宋体" w:hAnsi="宋体" w:eastAsia="宋体" w:cs="宋体"/>
          <w:sz w:val="24"/>
          <w:szCs w:val="24"/>
        </w:rPr>
        <w:t>APP为基础，以无人机遥感调查技术为辅，结合现地踏查、走访调查等方式开展，并利用信息化系统支撑数据</w:t>
      </w:r>
      <w:r>
        <w:rPr>
          <w:rFonts w:hint="eastAsia" w:ascii="宋体" w:hAnsi="宋体" w:eastAsia="宋体" w:cs="宋体"/>
          <w:sz w:val="24"/>
          <w:szCs w:val="24"/>
          <w:lang w:val="en-US" w:eastAsia="zh-CN"/>
        </w:rPr>
        <w:t>收集</w:t>
      </w:r>
      <w:r>
        <w:rPr>
          <w:rFonts w:hint="eastAsia" w:ascii="宋体" w:hAnsi="宋体" w:eastAsia="宋体" w:cs="宋体"/>
          <w:sz w:val="24"/>
          <w:szCs w:val="24"/>
        </w:rPr>
        <w:t>及标本整理，形成最终</w:t>
      </w:r>
      <w:r>
        <w:rPr>
          <w:rFonts w:hint="eastAsia" w:ascii="宋体" w:hAnsi="宋体" w:eastAsia="宋体" w:cs="宋体"/>
          <w:sz w:val="24"/>
          <w:szCs w:val="24"/>
          <w:lang w:val="en-US" w:eastAsia="zh-CN"/>
        </w:rPr>
        <w:t>调</w:t>
      </w:r>
      <w:r>
        <w:rPr>
          <w:rFonts w:hint="eastAsia" w:ascii="宋体" w:hAnsi="宋体" w:eastAsia="宋体" w:cs="宋体"/>
          <w:sz w:val="24"/>
          <w:szCs w:val="24"/>
        </w:rPr>
        <w:t>查成果。</w:t>
      </w:r>
    </w:p>
    <w:p w14:paraId="24427873">
      <w:pPr>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rPr>
      </w:pPr>
      <w:r>
        <w:rPr>
          <w:rStyle w:val="16"/>
          <w:rFonts w:hint="eastAsia" w:ascii="宋体" w:hAnsi="宋体" w:eastAsia="宋体" w:cs="宋体"/>
          <w:sz w:val="24"/>
          <w:szCs w:val="24"/>
          <w:lang w:val="en-US" w:eastAsia="zh-CN"/>
        </w:rPr>
        <w:t>1.</w:t>
      </w:r>
      <w:r>
        <w:rPr>
          <w:rStyle w:val="16"/>
          <w:rFonts w:hint="eastAsia" w:ascii="宋体" w:hAnsi="宋体" w:eastAsia="宋体" w:cs="宋体"/>
          <w:sz w:val="24"/>
          <w:szCs w:val="24"/>
        </w:rPr>
        <w:t>走访调查。</w:t>
      </w:r>
      <w:r>
        <w:rPr>
          <w:rFonts w:hint="eastAsia" w:ascii="宋体" w:hAnsi="宋体" w:eastAsia="宋体" w:cs="宋体"/>
          <w:sz w:val="24"/>
          <w:szCs w:val="24"/>
          <w:lang w:val="en-US" w:eastAsia="zh-CN"/>
        </w:rPr>
        <w:t>调</w:t>
      </w:r>
      <w:r>
        <w:rPr>
          <w:rFonts w:hint="eastAsia" w:ascii="宋体" w:hAnsi="宋体" w:eastAsia="宋体" w:cs="宋体"/>
          <w:sz w:val="24"/>
          <w:szCs w:val="24"/>
        </w:rPr>
        <w:t>查单元通过对</w:t>
      </w:r>
      <w:r>
        <w:rPr>
          <w:rFonts w:hint="eastAsia" w:ascii="宋体" w:hAnsi="宋体" w:eastAsia="宋体" w:cs="宋体"/>
          <w:sz w:val="24"/>
          <w:szCs w:val="24"/>
          <w:lang w:val="en-US" w:eastAsia="zh-CN"/>
        </w:rPr>
        <w:t>各镇及国有凤凰山林场护林员</w:t>
      </w:r>
      <w:r>
        <w:rPr>
          <w:rFonts w:hint="eastAsia" w:ascii="宋体" w:hAnsi="宋体" w:eastAsia="宋体" w:cs="宋体"/>
          <w:sz w:val="24"/>
          <w:szCs w:val="24"/>
        </w:rPr>
        <w:t>及</w:t>
      </w:r>
      <w:r>
        <w:rPr>
          <w:rFonts w:hint="eastAsia" w:ascii="宋体" w:hAnsi="宋体" w:eastAsia="宋体" w:cs="宋体"/>
          <w:sz w:val="24"/>
          <w:szCs w:val="24"/>
          <w:lang w:val="en-US" w:eastAsia="zh-CN"/>
        </w:rPr>
        <w:t>村</w:t>
      </w:r>
      <w:r>
        <w:rPr>
          <w:rFonts w:hint="eastAsia" w:ascii="宋体" w:hAnsi="宋体" w:eastAsia="宋体" w:cs="宋体"/>
          <w:sz w:val="24"/>
          <w:szCs w:val="24"/>
        </w:rPr>
        <w:t>民进行随机走访调查，了解本地</w:t>
      </w:r>
      <w:r>
        <w:rPr>
          <w:rFonts w:hint="eastAsia" w:ascii="宋体" w:hAnsi="宋体" w:eastAsia="宋体" w:cs="宋体"/>
          <w:sz w:val="24"/>
          <w:szCs w:val="24"/>
          <w:lang w:val="en-US" w:eastAsia="zh-CN"/>
        </w:rPr>
        <w:t>松树钻蛀类害虫</w:t>
      </w:r>
      <w:r>
        <w:rPr>
          <w:rFonts w:hint="eastAsia" w:ascii="宋体" w:hAnsi="宋体" w:eastAsia="宋体" w:cs="宋体"/>
          <w:sz w:val="24"/>
          <w:szCs w:val="24"/>
        </w:rPr>
        <w:t>的发生地点、发生范围、危害特性等本底信息，确定重点调查路线和重点调查区域。</w:t>
      </w:r>
    </w:p>
    <w:p w14:paraId="5B6F7280">
      <w:pPr>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野外调查。</w:t>
      </w:r>
      <w:r>
        <w:rPr>
          <w:rFonts w:hint="eastAsia" w:ascii="宋体" w:hAnsi="宋体" w:eastAsia="宋体" w:cs="宋体"/>
          <w:sz w:val="24"/>
          <w:szCs w:val="24"/>
        </w:rPr>
        <w:t>普查单元要依据本地</w:t>
      </w:r>
      <w:r>
        <w:rPr>
          <w:rFonts w:hint="eastAsia" w:ascii="宋体" w:hAnsi="宋体" w:eastAsia="宋体" w:cs="宋体"/>
          <w:sz w:val="24"/>
          <w:szCs w:val="24"/>
          <w:lang w:val="en-US" w:eastAsia="zh-CN"/>
        </w:rPr>
        <w:t>松树钻蛀类害虫</w:t>
      </w:r>
      <w:r>
        <w:rPr>
          <w:rFonts w:hint="eastAsia" w:ascii="宋体" w:hAnsi="宋体" w:eastAsia="宋体" w:cs="宋体"/>
          <w:sz w:val="24"/>
          <w:szCs w:val="24"/>
        </w:rPr>
        <w:t>名单，在</w:t>
      </w:r>
      <w:r>
        <w:rPr>
          <w:rFonts w:hint="eastAsia" w:ascii="宋体" w:hAnsi="宋体" w:eastAsia="宋体" w:cs="宋体"/>
          <w:sz w:val="24"/>
          <w:szCs w:val="24"/>
          <w:lang w:val="en-US" w:eastAsia="zh-CN"/>
        </w:rPr>
        <w:t>钻蛀类害虫</w:t>
      </w:r>
      <w:r>
        <w:rPr>
          <w:rFonts w:hint="eastAsia" w:ascii="宋体" w:hAnsi="宋体" w:eastAsia="宋体" w:cs="宋体"/>
          <w:sz w:val="24"/>
          <w:szCs w:val="24"/>
        </w:rPr>
        <w:t>危害盛期或表现症状期，采取</w:t>
      </w:r>
      <w:r>
        <w:rPr>
          <w:rFonts w:hint="eastAsia" w:ascii="宋体" w:hAnsi="宋体" w:eastAsia="宋体" w:cs="宋体"/>
          <w:sz w:val="24"/>
          <w:szCs w:val="24"/>
          <w:lang w:val="en-US" w:eastAsia="zh-CN"/>
        </w:rPr>
        <w:t>实地踏查</w:t>
      </w:r>
      <w:r>
        <w:rPr>
          <w:rFonts w:hint="eastAsia" w:ascii="宋体" w:hAnsi="宋体" w:eastAsia="宋体" w:cs="宋体"/>
          <w:sz w:val="24"/>
          <w:szCs w:val="24"/>
        </w:rPr>
        <w:t>的方式开展调查。踏查路线的设置应选择所调查种类的典型发生与分布区，通常可沿林间小道、林班线、拟订的调查线或自选有代表性的路线，在行进过程中用目测法调查。踏查的面越大，了解到的情况也就越全面、越接近实际</w:t>
      </w:r>
      <w:r>
        <w:rPr>
          <w:rFonts w:hint="eastAsia" w:ascii="宋体" w:hAnsi="宋体" w:eastAsia="宋体" w:cs="宋体"/>
          <w:sz w:val="24"/>
          <w:szCs w:val="24"/>
          <w:lang w:eastAsia="zh-CN"/>
        </w:rPr>
        <w:t>。</w:t>
      </w:r>
      <w:r>
        <w:rPr>
          <w:rFonts w:hint="eastAsia" w:ascii="宋体" w:hAnsi="宋体" w:eastAsia="宋体" w:cs="宋体"/>
          <w:sz w:val="24"/>
          <w:szCs w:val="24"/>
        </w:rPr>
        <w:t>调查时，调查</w:t>
      </w:r>
      <w:r>
        <w:rPr>
          <w:rFonts w:hint="eastAsia" w:ascii="宋体" w:hAnsi="宋体" w:eastAsia="宋体" w:cs="宋体"/>
          <w:sz w:val="24"/>
          <w:szCs w:val="24"/>
          <w:lang w:val="en-US" w:eastAsia="zh-CN"/>
        </w:rPr>
        <w:t>人员</w:t>
      </w:r>
      <w:r>
        <w:rPr>
          <w:rFonts w:hint="eastAsia" w:ascii="宋体" w:hAnsi="宋体" w:eastAsia="宋体" w:cs="宋体"/>
          <w:sz w:val="24"/>
          <w:szCs w:val="24"/>
        </w:rPr>
        <w:t>应注意线路两边50</w:t>
      </w:r>
      <w:r>
        <w:rPr>
          <w:rFonts w:hint="eastAsia" w:ascii="宋体" w:hAnsi="宋体" w:eastAsia="宋体" w:cs="宋体"/>
          <w:sz w:val="24"/>
          <w:szCs w:val="24"/>
          <w:lang w:val="en-US" w:eastAsia="zh-CN"/>
        </w:rPr>
        <w:t>～</w:t>
      </w:r>
      <w:r>
        <w:rPr>
          <w:rFonts w:hint="eastAsia" w:ascii="宋体" w:hAnsi="宋体" w:eastAsia="宋体" w:cs="宋体"/>
          <w:sz w:val="24"/>
          <w:szCs w:val="24"/>
        </w:rPr>
        <w:t>100m范围内各项因子的变化。调查时应采集详细的调查记录、发生数据、标本和影像拍摄等信息，内容清晰、准确，采用地面调查 APP 填报数据信息。对没有记录的疑似新</w:t>
      </w:r>
      <w:r>
        <w:rPr>
          <w:rFonts w:hint="eastAsia" w:ascii="宋体" w:hAnsi="宋体" w:eastAsia="宋体" w:cs="宋体"/>
          <w:sz w:val="24"/>
          <w:szCs w:val="24"/>
          <w:lang w:val="en-US" w:eastAsia="zh-CN"/>
        </w:rPr>
        <w:t>的钻蛀类害虫</w:t>
      </w:r>
      <w:r>
        <w:rPr>
          <w:rFonts w:hint="eastAsia" w:ascii="宋体" w:hAnsi="宋体" w:eastAsia="宋体" w:cs="宋体"/>
          <w:sz w:val="24"/>
          <w:szCs w:val="24"/>
        </w:rPr>
        <w:t>，应采集标本及相关标本信息，及时交由专家鉴定。</w:t>
      </w:r>
    </w:p>
    <w:p w14:paraId="0DCB4512">
      <w:pPr>
        <w:pageBreakBefore w:val="0"/>
        <w:kinsoku/>
        <w:overflowPunct/>
        <w:topLinePunct w:val="0"/>
        <w:bidi w:val="0"/>
        <w:spacing w:after="0" w:line="240" w:lineRule="auto"/>
        <w:ind w:firstLine="420"/>
        <w:jc w:val="both"/>
        <w:rPr>
          <w:rFonts w:hint="eastAsia" w:ascii="宋体" w:hAnsi="宋体" w:eastAsia="宋体" w:cs="宋体"/>
          <w:sz w:val="24"/>
        </w:rPr>
      </w:pPr>
    </w:p>
    <w:p w14:paraId="0A1EE607">
      <w:pPr>
        <w:pageBreakBefore w:val="0"/>
        <w:kinsoku/>
        <w:overflowPunct/>
        <w:topLinePunct w:val="0"/>
        <w:bidi w:val="0"/>
        <w:spacing w:after="0" w:line="240" w:lineRule="auto"/>
        <w:ind w:firstLine="420"/>
        <w:jc w:val="both"/>
        <w:rPr>
          <w:rFonts w:hint="eastAsia" w:ascii="宋体" w:hAnsi="宋体" w:eastAsia="宋体" w:cs="宋体"/>
          <w:sz w:val="24"/>
        </w:rPr>
      </w:pPr>
    </w:p>
    <w:p w14:paraId="5E6B42DA">
      <w:pPr>
        <w:pageBreakBefore w:val="0"/>
        <w:kinsoku/>
        <w:overflowPunct/>
        <w:topLinePunct w:val="0"/>
        <w:bidi w:val="0"/>
        <w:spacing w:after="0" w:line="240" w:lineRule="auto"/>
        <w:ind w:firstLine="420"/>
        <w:jc w:val="both"/>
        <w:rPr>
          <w:rFonts w:hint="eastAsia" w:ascii="宋体" w:hAnsi="宋体" w:eastAsia="宋体" w:cs="宋体"/>
          <w:sz w:val="24"/>
        </w:rPr>
      </w:pPr>
    </w:p>
    <w:p w14:paraId="53F09AC2">
      <w:pPr>
        <w:pageBreakBefore w:val="0"/>
        <w:kinsoku/>
        <w:overflowPunct/>
        <w:topLinePunct w:val="0"/>
        <w:bidi w:val="0"/>
        <w:spacing w:after="0" w:line="240" w:lineRule="auto"/>
        <w:ind w:firstLine="420"/>
        <w:jc w:val="both"/>
        <w:rPr>
          <w:rFonts w:hint="eastAsia" w:ascii="宋体" w:hAnsi="宋体" w:eastAsia="宋体" w:cs="宋体"/>
          <w:sz w:val="24"/>
        </w:rPr>
      </w:pPr>
    </w:p>
    <w:p w14:paraId="506DDE17">
      <w:pPr>
        <w:pageBreakBefore w:val="0"/>
        <w:kinsoku/>
        <w:overflowPunct/>
        <w:topLinePunct w:val="0"/>
        <w:bidi w:val="0"/>
        <w:spacing w:after="0" w:line="240" w:lineRule="auto"/>
        <w:jc w:val="both"/>
        <w:rPr>
          <w:rFonts w:hint="eastAsia" w:ascii="宋体" w:hAnsi="宋体" w:eastAsia="宋体" w:cs="宋体"/>
          <w:b/>
          <w:sz w:val="32"/>
        </w:rPr>
      </w:pPr>
    </w:p>
    <w:p w14:paraId="7536DFB8">
      <w:pPr>
        <w:pageBreakBefore w:val="0"/>
        <w:kinsoku/>
        <w:overflowPunct/>
        <w:topLinePunct w:val="0"/>
        <w:bidi w:val="0"/>
        <w:spacing w:after="0" w:line="240" w:lineRule="auto"/>
        <w:jc w:val="center"/>
        <w:rPr>
          <w:rFonts w:hint="eastAsia" w:ascii="宋体" w:hAnsi="宋体" w:eastAsia="宋体" w:cs="宋体"/>
          <w:b/>
          <w:sz w:val="72"/>
        </w:rPr>
      </w:pPr>
      <w:r>
        <w:rPr>
          <w:rFonts w:hint="eastAsia" w:ascii="宋体" w:hAnsi="宋体" w:eastAsia="宋体" w:cs="宋体"/>
          <w:b/>
          <w:sz w:val="32"/>
        </w:rPr>
        <w:t>第五章 合同范本</w:t>
      </w:r>
    </w:p>
    <w:p w14:paraId="3E2E3949">
      <w:pPr>
        <w:widowControl/>
        <w:snapToGrid w:val="0"/>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采购人（全称）：</w:t>
      </w:r>
    </w:p>
    <w:p w14:paraId="608C642F">
      <w:pPr>
        <w:widowControl/>
        <w:snapToGrid w:val="0"/>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供应商（全称）：</w:t>
      </w:r>
    </w:p>
    <w:p w14:paraId="243965EB">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松树钻蛀类害虫系统调查技术方案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及《陕西省松树钻蛀类害虫系统调查工作方案（2025-2026）》的相关要求及其他法律法规</w:t>
      </w:r>
      <w:r>
        <w:rPr>
          <w:rFonts w:hint="eastAsia" w:ascii="宋体" w:hAnsi="宋体" w:eastAsia="宋体" w:cs="宋体"/>
          <w:kern w:val="0"/>
          <w:sz w:val="24"/>
          <w:szCs w:val="24"/>
        </w:rPr>
        <w:t>，遵循平等、自愿、公平和诚信的原则，双方就下述项目范围与相关服务事项协商一致，订立本合同。</w:t>
      </w:r>
    </w:p>
    <w:p w14:paraId="61B18CB5">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一、项目概况</w:t>
      </w:r>
    </w:p>
    <w:p w14:paraId="4B4A4008">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汉阴</w:t>
      </w:r>
      <w:r>
        <w:rPr>
          <w:rFonts w:hint="eastAsia" w:ascii="宋体" w:hAnsi="宋体" w:eastAsia="宋体" w:cs="宋体"/>
          <w:b w:val="0"/>
          <w:bCs w:val="0"/>
          <w:sz w:val="24"/>
          <w:szCs w:val="24"/>
          <w:lang w:val="en-US" w:eastAsia="zh-CN"/>
        </w:rPr>
        <w:t>县2025年松树钻蛀类害虫系统调查技术服务项目</w:t>
      </w:r>
    </w:p>
    <w:p w14:paraId="09C90953">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2.项目地点：</w:t>
      </w:r>
      <w:r>
        <w:rPr>
          <w:rFonts w:hint="eastAsia" w:ascii="宋体" w:hAnsi="宋体" w:eastAsia="宋体" w:cs="宋体"/>
          <w:kern w:val="0"/>
          <w:sz w:val="24"/>
          <w:szCs w:val="24"/>
          <w:lang w:val="en-US" w:eastAsia="zh-CN"/>
        </w:rPr>
        <w:t>汉阴</w:t>
      </w:r>
      <w:r>
        <w:rPr>
          <w:rFonts w:hint="eastAsia" w:ascii="宋体" w:hAnsi="宋体" w:eastAsia="宋体" w:cs="宋体"/>
          <w:b w:val="0"/>
          <w:bCs w:val="0"/>
          <w:sz w:val="24"/>
          <w:szCs w:val="24"/>
          <w:lang w:val="en-US" w:eastAsia="zh-CN"/>
        </w:rPr>
        <w:t>县涉及采购内容的相关区域。</w:t>
      </w:r>
    </w:p>
    <w:p w14:paraId="05AA46B8">
      <w:pPr>
        <w:widowControl/>
        <w:snapToGrid w:val="0"/>
        <w:spacing w:line="48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4"/>
          <w:szCs w:val="24"/>
        </w:rPr>
        <w:t>3.项目内容：</w:t>
      </w:r>
      <w:r>
        <w:rPr>
          <w:rFonts w:hint="eastAsia" w:ascii="宋体" w:hAnsi="宋体" w:eastAsia="宋体" w:cs="宋体"/>
          <w:kern w:val="0"/>
          <w:sz w:val="24"/>
          <w:szCs w:val="24"/>
          <w:lang w:val="en-US" w:eastAsia="zh-CN"/>
        </w:rPr>
        <w:t>应用监管平台及其手机端App，以松林小班为单位，</w:t>
      </w:r>
      <w:r>
        <w:rPr>
          <w:rFonts w:hint="eastAsia" w:ascii="宋体" w:hAnsi="宋体" w:eastAsia="宋体" w:cs="宋体"/>
          <w:b w:val="0"/>
          <w:bCs w:val="0"/>
          <w:kern w:val="2"/>
          <w:sz w:val="24"/>
          <w:szCs w:val="24"/>
          <w:highlight w:val="none"/>
          <w:lang w:val="en-US" w:eastAsia="zh-CN" w:bidi="ar-SA"/>
        </w:rPr>
        <w:t>以初步掌握松树钻蛀类害虫发生情况为基础，以危害为导向，</w:t>
      </w:r>
      <w:r>
        <w:rPr>
          <w:rFonts w:hint="eastAsia" w:ascii="宋体" w:hAnsi="宋体" w:eastAsia="宋体" w:cs="宋体"/>
          <w:kern w:val="0"/>
          <w:sz w:val="24"/>
          <w:szCs w:val="24"/>
          <w:lang w:val="en-US" w:eastAsia="zh-CN"/>
        </w:rPr>
        <w:t>调查我县松林健康状况、钻蛀类害虫种类、危害部位、发生程度和寄主植物，</w:t>
      </w:r>
      <w:r>
        <w:rPr>
          <w:rFonts w:hint="eastAsia" w:ascii="宋体" w:hAnsi="宋体" w:eastAsia="宋体" w:cs="宋体"/>
          <w:b w:val="0"/>
          <w:bCs w:val="0"/>
          <w:kern w:val="2"/>
          <w:sz w:val="24"/>
          <w:szCs w:val="24"/>
          <w:highlight w:val="none"/>
          <w:lang w:val="en-US" w:eastAsia="zh-CN" w:bidi="ar-SA"/>
        </w:rPr>
        <w:t>评估主要危害种类灾害及危害风险，研判发生趋势并形成成果报告。</w:t>
      </w:r>
    </w:p>
    <w:p w14:paraId="60F6423D">
      <w:pPr>
        <w:widowControl/>
        <w:snapToGrid w:val="0"/>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二、</w:t>
      </w:r>
      <w:r>
        <w:rPr>
          <w:rFonts w:hint="eastAsia" w:ascii="宋体" w:hAnsi="宋体" w:eastAsia="宋体" w:cs="宋体"/>
          <w:kern w:val="0"/>
          <w:sz w:val="24"/>
          <w:szCs w:val="24"/>
          <w:lang w:val="en-US" w:eastAsia="zh-CN"/>
        </w:rPr>
        <w:t>项目要求及成果提交</w:t>
      </w:r>
    </w:p>
    <w:p w14:paraId="6B36EB64">
      <w:pPr>
        <w:widowControl/>
        <w:snapToGrid w:val="0"/>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项目服务相关要求：符合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松树钻蛀类害虫系统调查技术方案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及《陕西省松树钻蛀类害虫系统调查工作方案（2025-2026）》的相关要求。</w:t>
      </w:r>
    </w:p>
    <w:p w14:paraId="6C48F6C6">
      <w:pPr>
        <w:widowControl/>
        <w:snapToGrid w:val="0"/>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2.成果提交：调查工作报告、主要松树钻蛀类害虫名录及图册、制作实物标本、包含灾害损失及危害风险评估和发生趋势及预防与治理策略的结果报告等成果资料。</w:t>
      </w:r>
    </w:p>
    <w:p w14:paraId="1EB4272F">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三、服务期限：</w:t>
      </w:r>
      <w:r>
        <w:rPr>
          <w:rFonts w:hint="eastAsia" w:ascii="宋体" w:hAnsi="宋体" w:eastAsia="宋体" w:cs="宋体"/>
          <w:kern w:val="0"/>
          <w:sz w:val="24"/>
          <w:szCs w:val="24"/>
          <w:lang w:val="en-US" w:eastAsia="zh-CN"/>
        </w:rPr>
        <w:t>2026年8月31日前。</w:t>
      </w:r>
    </w:p>
    <w:p w14:paraId="60B586E7">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四、合同价款</w:t>
      </w:r>
    </w:p>
    <w:p w14:paraId="75EA8DA3">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1.合同金额（大写）：                            （￥        ）。</w:t>
      </w:r>
    </w:p>
    <w:p w14:paraId="7C8F94BC">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2.合同总价即成交价，</w:t>
      </w:r>
      <w:r>
        <w:rPr>
          <w:rFonts w:hint="eastAsia" w:ascii="宋体" w:hAnsi="宋体" w:eastAsia="宋体" w:cs="宋体"/>
          <w:kern w:val="0"/>
          <w:sz w:val="24"/>
          <w:szCs w:val="24"/>
          <w:lang w:val="en-US" w:eastAsia="zh-CN"/>
        </w:rPr>
        <w:t>包含项目服务所产生的一切实际发生的费用</w:t>
      </w:r>
      <w:r>
        <w:rPr>
          <w:rFonts w:hint="eastAsia" w:ascii="宋体" w:hAnsi="宋体" w:eastAsia="宋体" w:cs="宋体"/>
          <w:kern w:val="0"/>
          <w:sz w:val="24"/>
          <w:szCs w:val="24"/>
        </w:rPr>
        <w:t>。</w:t>
      </w:r>
    </w:p>
    <w:p w14:paraId="6CF352FC">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五、付款方式：</w:t>
      </w:r>
    </w:p>
    <w:p w14:paraId="796229EA">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、知识产权：</w:t>
      </w:r>
    </w:p>
    <w:p w14:paraId="1009A0FE">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七</w:t>
      </w:r>
      <w:r>
        <w:rPr>
          <w:rFonts w:hint="eastAsia" w:ascii="宋体" w:hAnsi="宋体" w:eastAsia="宋体" w:cs="宋体"/>
          <w:kern w:val="0"/>
          <w:sz w:val="24"/>
          <w:szCs w:val="24"/>
        </w:rPr>
        <w:t>、合同争议的解决</w:t>
      </w:r>
    </w:p>
    <w:p w14:paraId="18D53B17">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合同执行中发生争议的，当事人双方应协商解决，协商达不成一致时，可向采购人所在地人民法院提请诉讼。</w:t>
      </w:r>
    </w:p>
    <w:p w14:paraId="0BF2D60C">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八</w:t>
      </w:r>
      <w:r>
        <w:rPr>
          <w:rFonts w:hint="eastAsia" w:ascii="宋体" w:hAnsi="宋体" w:eastAsia="宋体" w:cs="宋体"/>
          <w:kern w:val="0"/>
          <w:sz w:val="24"/>
          <w:szCs w:val="24"/>
        </w:rPr>
        <w:t>、不可抗力情况下的免责约定</w:t>
      </w:r>
    </w:p>
    <w:p w14:paraId="2E8EF180">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双方约定不可抗力情况指：双方不可预见、不可避免、不可克服的客观情况，但不包括双方的违约或疏忽。这些事件包括但不限于：战争、严重火灾、洪水、台风、地震等。</w:t>
      </w:r>
    </w:p>
    <w:p w14:paraId="5E21CC65">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九</w:t>
      </w:r>
      <w:r>
        <w:rPr>
          <w:rFonts w:hint="eastAsia" w:ascii="宋体" w:hAnsi="宋体" w:eastAsia="宋体" w:cs="宋体"/>
          <w:kern w:val="0"/>
          <w:sz w:val="24"/>
          <w:szCs w:val="24"/>
        </w:rPr>
        <w:t>、其他</w:t>
      </w:r>
    </w:p>
    <w:p w14:paraId="1656E090">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十、合同订立</w:t>
      </w:r>
    </w:p>
    <w:p w14:paraId="66EB5B8B">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 订立时间：          年       月      日。</w:t>
      </w:r>
    </w:p>
    <w:p w14:paraId="40D5CD88">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订立地点：                                 。</w:t>
      </w:r>
    </w:p>
    <w:p w14:paraId="7FCE3829">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 本合同一式  份，具有同等法律效力，双方各执  份。各方签字盖章后生效，合同执行完毕自动失效。</w:t>
      </w:r>
    </w:p>
    <w:p w14:paraId="24985D58">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  方（公章）                   乙  方（公章）           </w:t>
      </w:r>
    </w:p>
    <w:p w14:paraId="6EE3A3A5">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单位名称：                       单位名称：              </w:t>
      </w:r>
    </w:p>
    <w:p w14:paraId="01D0E40B">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    址：                       地    址：              </w:t>
      </w:r>
    </w:p>
    <w:p w14:paraId="17D9A410">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法定代表人或</w:t>
      </w:r>
      <w:r>
        <w:rPr>
          <w:rFonts w:hint="eastAsia" w:ascii="宋体" w:hAnsi="宋体" w:eastAsia="宋体" w:cs="宋体"/>
          <w:kern w:val="0"/>
          <w:sz w:val="24"/>
          <w:szCs w:val="24"/>
        </w:rPr>
        <w:t xml:space="preserve">代理人：             </w:t>
      </w:r>
      <w:r>
        <w:rPr>
          <w:rFonts w:hint="eastAsia" w:ascii="宋体" w:hAnsi="宋体" w:eastAsia="宋体" w:cs="宋体"/>
          <w:kern w:val="0"/>
          <w:sz w:val="24"/>
          <w:szCs w:val="24"/>
          <w:lang w:val="en-US" w:eastAsia="zh-CN"/>
        </w:rPr>
        <w:t>法定代表人或</w:t>
      </w:r>
      <w:r>
        <w:rPr>
          <w:rFonts w:hint="eastAsia" w:ascii="宋体" w:hAnsi="宋体" w:eastAsia="宋体" w:cs="宋体"/>
          <w:kern w:val="0"/>
          <w:sz w:val="24"/>
          <w:szCs w:val="24"/>
        </w:rPr>
        <w:t xml:space="preserve">代理人：               </w:t>
      </w:r>
    </w:p>
    <w:p w14:paraId="0352A2AA">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                       联系电话：             </w:t>
      </w:r>
    </w:p>
    <w:p w14:paraId="70844FFB">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统一社会信用代码</w:t>
      </w:r>
      <w:r>
        <w:rPr>
          <w:rFonts w:hint="eastAsia" w:ascii="宋体" w:hAnsi="宋体" w:eastAsia="宋体" w:cs="宋体"/>
          <w:kern w:val="0"/>
          <w:sz w:val="24"/>
          <w:szCs w:val="24"/>
        </w:rPr>
        <w:t>：               账   号：</w:t>
      </w:r>
    </w:p>
    <w:p w14:paraId="09EC6AC7">
      <w:pPr>
        <w:widowControl/>
        <w:snapToGrid w:val="0"/>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开户银行:                                        </w:t>
      </w:r>
    </w:p>
    <w:p w14:paraId="73D1D932">
      <w:pPr>
        <w:widowControl/>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签订日期：                       签订日期：</w:t>
      </w:r>
      <w:r>
        <w:rPr>
          <w:rFonts w:hint="eastAsia" w:ascii="宋体" w:hAnsi="宋体" w:eastAsia="宋体" w:cs="宋体"/>
          <w:b/>
          <w:bCs/>
          <w:kern w:val="0"/>
          <w:sz w:val="24"/>
          <w:szCs w:val="24"/>
        </w:rPr>
        <w:t xml:space="preserve">  </w:t>
      </w:r>
    </w:p>
    <w:p w14:paraId="50454DA3">
      <w:pPr>
        <w:spacing w:before="101" w:line="228" w:lineRule="auto"/>
        <w:rPr>
          <w:rFonts w:hint="eastAsia" w:ascii="宋体" w:hAnsi="宋体" w:eastAsia="宋体" w:cs="宋体"/>
          <w:spacing w:val="8"/>
          <w:sz w:val="24"/>
          <w:szCs w:val="24"/>
        </w:rPr>
      </w:pPr>
    </w:p>
    <w:p w14:paraId="58E69F76">
      <w:pPr>
        <w:rPr>
          <w:rFonts w:hint="eastAsia" w:ascii="宋体" w:hAnsi="宋体" w:eastAsia="宋体" w:cs="宋体"/>
          <w:b/>
          <w:sz w:val="32"/>
        </w:rPr>
      </w:pPr>
    </w:p>
    <w:p w14:paraId="1AB7E501">
      <w:pPr>
        <w:pageBreakBefore w:val="0"/>
        <w:kinsoku/>
        <w:overflowPunct/>
        <w:topLinePunct w:val="0"/>
        <w:bidi w:val="0"/>
        <w:spacing w:after="0" w:line="360" w:lineRule="auto"/>
        <w:jc w:val="center"/>
        <w:rPr>
          <w:rFonts w:hint="eastAsia" w:ascii="宋体" w:hAnsi="宋体" w:eastAsia="宋体" w:cs="宋体"/>
          <w:sz w:val="21"/>
        </w:rPr>
      </w:pPr>
      <w:r>
        <w:rPr>
          <w:rFonts w:hint="eastAsia" w:ascii="宋体" w:hAnsi="宋体" w:eastAsia="宋体" w:cs="宋体"/>
          <w:b/>
          <w:sz w:val="32"/>
        </w:rPr>
        <w:t>第六章 磋商响应文件格式</w:t>
      </w:r>
    </w:p>
    <w:p w14:paraId="1BD9296A">
      <w:pPr>
        <w:pageBreakBefore w:val="0"/>
        <w:kinsoku/>
        <w:overflowPunct/>
        <w:topLinePunct w:val="0"/>
        <w:bidi w:val="0"/>
        <w:spacing w:after="0" w:line="520" w:lineRule="auto"/>
        <w:jc w:val="both"/>
        <w:rPr>
          <w:rFonts w:hint="eastAsia" w:ascii="宋体" w:hAnsi="宋体" w:eastAsia="宋体" w:cs="宋体"/>
          <w:sz w:val="28"/>
        </w:rPr>
      </w:pPr>
      <w:r>
        <w:rPr>
          <w:rFonts w:hint="eastAsia" w:ascii="宋体" w:hAnsi="宋体" w:eastAsia="宋体" w:cs="宋体"/>
          <w:sz w:val="21"/>
        </w:rPr>
        <w:t xml:space="preserve"> </w:t>
      </w:r>
      <w:r>
        <w:rPr>
          <w:rFonts w:hint="eastAsia" w:ascii="宋体" w:hAnsi="宋体" w:eastAsia="宋体" w:cs="宋体"/>
          <w:b/>
          <w:sz w:val="28"/>
        </w:rPr>
        <w:t>采购项目编号：</w:t>
      </w:r>
    </w:p>
    <w:p w14:paraId="75167702">
      <w:pPr>
        <w:pageBreakBefore w:val="0"/>
        <w:kinsoku/>
        <w:overflowPunct/>
        <w:topLinePunct w:val="0"/>
        <w:bidi w:val="0"/>
        <w:spacing w:after="0" w:line="240" w:lineRule="auto"/>
        <w:jc w:val="center"/>
        <w:rPr>
          <w:rFonts w:hint="eastAsia" w:ascii="宋体" w:hAnsi="宋体" w:eastAsia="宋体" w:cs="宋体"/>
          <w:sz w:val="48"/>
        </w:rPr>
      </w:pPr>
    </w:p>
    <w:p w14:paraId="79E08E12">
      <w:pPr>
        <w:pageBreakBefore w:val="0"/>
        <w:kinsoku/>
        <w:overflowPunct/>
        <w:topLinePunct w:val="0"/>
        <w:bidi w:val="0"/>
        <w:spacing w:after="0" w:line="240" w:lineRule="auto"/>
        <w:jc w:val="center"/>
        <w:rPr>
          <w:rFonts w:hint="eastAsia" w:ascii="宋体" w:hAnsi="宋体" w:eastAsia="宋体" w:cs="宋体"/>
          <w:sz w:val="44"/>
          <w:lang w:eastAsia="zh-CN"/>
        </w:rPr>
      </w:pPr>
      <w:r>
        <w:rPr>
          <w:rFonts w:hint="eastAsia" w:ascii="宋体" w:hAnsi="宋体" w:eastAsia="宋体" w:cs="宋体"/>
          <w:sz w:val="44"/>
          <w:lang w:eastAsia="zh-CN"/>
        </w:rPr>
        <w:t>汉阴县 2025 年松树钻蛀类害虫系统调查工作项目</w:t>
      </w:r>
    </w:p>
    <w:p w14:paraId="36B73C9B">
      <w:pPr>
        <w:pageBreakBefore w:val="0"/>
        <w:tabs>
          <w:tab w:val="left" w:pos="632"/>
          <w:tab w:val="left" w:pos="1422"/>
        </w:tabs>
        <w:kinsoku/>
        <w:overflowPunct/>
        <w:topLinePunct w:val="0"/>
        <w:bidi w:val="0"/>
        <w:spacing w:after="0" w:line="240" w:lineRule="auto"/>
        <w:jc w:val="both"/>
        <w:rPr>
          <w:rFonts w:hint="eastAsia" w:ascii="宋体" w:hAnsi="宋体" w:eastAsia="宋体" w:cs="宋体"/>
          <w:sz w:val="24"/>
        </w:rPr>
      </w:pPr>
      <w:r>
        <w:rPr>
          <w:rFonts w:hint="eastAsia" w:ascii="宋体" w:hAnsi="宋体" w:eastAsia="宋体" w:cs="宋体"/>
          <w:sz w:val="24"/>
        </w:rPr>
        <w:t xml:space="preserve">            </w:t>
      </w:r>
    </w:p>
    <w:p w14:paraId="2E9CC7B9">
      <w:pPr>
        <w:pageBreakBefore w:val="0"/>
        <w:kinsoku/>
        <w:overflowPunct/>
        <w:topLinePunct w:val="0"/>
        <w:bidi w:val="0"/>
        <w:spacing w:after="0" w:line="240" w:lineRule="auto"/>
        <w:jc w:val="center"/>
        <w:rPr>
          <w:rFonts w:hint="eastAsia" w:ascii="宋体" w:hAnsi="宋体" w:eastAsia="宋体" w:cs="宋体"/>
          <w:sz w:val="48"/>
        </w:rPr>
      </w:pPr>
    </w:p>
    <w:p w14:paraId="4FA6CDA3">
      <w:pPr>
        <w:pageBreakBefore w:val="0"/>
        <w:kinsoku/>
        <w:overflowPunct/>
        <w:topLinePunct w:val="0"/>
        <w:bidi w:val="0"/>
        <w:spacing w:after="0" w:line="240" w:lineRule="auto"/>
        <w:jc w:val="both"/>
        <w:rPr>
          <w:rFonts w:hint="eastAsia" w:ascii="宋体" w:hAnsi="宋体" w:eastAsia="宋体" w:cs="宋体"/>
          <w:sz w:val="48"/>
        </w:rPr>
      </w:pPr>
    </w:p>
    <w:p w14:paraId="4D2BC05A">
      <w:pPr>
        <w:pageBreakBefore w:val="0"/>
        <w:kinsoku/>
        <w:overflowPunct/>
        <w:topLinePunct w:val="0"/>
        <w:bidi w:val="0"/>
        <w:spacing w:after="0" w:line="240" w:lineRule="auto"/>
        <w:jc w:val="center"/>
        <w:rPr>
          <w:rFonts w:hint="eastAsia" w:ascii="宋体" w:hAnsi="宋体" w:eastAsia="宋体" w:cs="宋体"/>
          <w:sz w:val="84"/>
        </w:rPr>
      </w:pPr>
      <w:r>
        <w:rPr>
          <w:rFonts w:hint="eastAsia" w:ascii="宋体" w:hAnsi="宋体" w:eastAsia="宋体" w:cs="宋体"/>
          <w:sz w:val="48"/>
        </w:rPr>
        <w:t>磋 商 响 应 文 件</w:t>
      </w:r>
    </w:p>
    <w:p w14:paraId="227F2A3E">
      <w:pPr>
        <w:pageBreakBefore w:val="0"/>
        <w:kinsoku/>
        <w:overflowPunct/>
        <w:topLinePunct w:val="0"/>
        <w:bidi w:val="0"/>
        <w:spacing w:after="0" w:line="240" w:lineRule="auto"/>
        <w:jc w:val="center"/>
        <w:rPr>
          <w:rFonts w:hint="eastAsia" w:ascii="宋体" w:hAnsi="宋体" w:eastAsia="宋体" w:cs="宋体"/>
          <w:sz w:val="28"/>
        </w:rPr>
      </w:pPr>
    </w:p>
    <w:p w14:paraId="0384556F">
      <w:pPr>
        <w:pageBreakBefore w:val="0"/>
        <w:kinsoku/>
        <w:overflowPunct/>
        <w:topLinePunct w:val="0"/>
        <w:bidi w:val="0"/>
        <w:spacing w:after="0" w:line="240" w:lineRule="auto"/>
        <w:jc w:val="center"/>
        <w:rPr>
          <w:rFonts w:hint="eastAsia" w:ascii="宋体" w:hAnsi="宋体" w:eastAsia="宋体" w:cs="宋体"/>
          <w:sz w:val="28"/>
        </w:rPr>
      </w:pPr>
    </w:p>
    <w:p w14:paraId="06CE2CB0">
      <w:pPr>
        <w:pageBreakBefore w:val="0"/>
        <w:tabs>
          <w:tab w:val="left" w:pos="632"/>
          <w:tab w:val="left" w:pos="1422"/>
        </w:tabs>
        <w:kinsoku/>
        <w:overflowPunct/>
        <w:topLinePunct w:val="0"/>
        <w:bidi w:val="0"/>
        <w:spacing w:after="0" w:line="240" w:lineRule="auto"/>
        <w:ind w:firstLine="720"/>
        <w:jc w:val="center"/>
        <w:rPr>
          <w:rFonts w:hint="eastAsia" w:ascii="宋体" w:hAnsi="宋体" w:eastAsia="宋体" w:cs="宋体"/>
          <w:sz w:val="36"/>
        </w:rPr>
      </w:pPr>
      <w:r>
        <w:rPr>
          <w:rFonts w:hint="eastAsia" w:ascii="宋体" w:hAnsi="宋体" w:eastAsia="宋体" w:cs="宋体"/>
          <w:sz w:val="36"/>
        </w:rPr>
        <w:t>正本（副本）</w:t>
      </w:r>
    </w:p>
    <w:p w14:paraId="2E95199B">
      <w:pPr>
        <w:pageBreakBefore w:val="0"/>
        <w:kinsoku/>
        <w:overflowPunct/>
        <w:topLinePunct w:val="0"/>
        <w:bidi w:val="0"/>
        <w:spacing w:after="0" w:line="240" w:lineRule="auto"/>
        <w:jc w:val="center"/>
        <w:rPr>
          <w:rFonts w:hint="eastAsia" w:ascii="宋体" w:hAnsi="宋体" w:eastAsia="宋体" w:cs="宋体"/>
          <w:sz w:val="28"/>
        </w:rPr>
      </w:pPr>
      <w:r>
        <w:rPr>
          <w:rFonts w:hint="eastAsia" w:ascii="宋体" w:hAnsi="宋体" w:eastAsia="宋体" w:cs="宋体"/>
          <w:sz w:val="28"/>
        </w:rPr>
        <w:t xml:space="preserve">  </w:t>
      </w:r>
    </w:p>
    <w:p w14:paraId="29041598">
      <w:pPr>
        <w:pageBreakBefore w:val="0"/>
        <w:kinsoku/>
        <w:overflowPunct/>
        <w:topLinePunct w:val="0"/>
        <w:bidi w:val="0"/>
        <w:spacing w:after="0" w:line="440" w:lineRule="auto"/>
        <w:jc w:val="both"/>
        <w:rPr>
          <w:rFonts w:hint="eastAsia" w:ascii="宋体" w:hAnsi="宋体" w:eastAsia="宋体" w:cs="宋体"/>
          <w:sz w:val="28"/>
          <w:u w:val="single"/>
        </w:rPr>
      </w:pPr>
    </w:p>
    <w:p w14:paraId="1CBD2A3C">
      <w:pPr>
        <w:pageBreakBefore w:val="0"/>
        <w:kinsoku/>
        <w:overflowPunct/>
        <w:topLinePunct w:val="0"/>
        <w:bidi w:val="0"/>
        <w:spacing w:after="0" w:line="440" w:lineRule="auto"/>
        <w:jc w:val="both"/>
        <w:rPr>
          <w:rFonts w:hint="eastAsia" w:ascii="宋体" w:hAnsi="宋体" w:eastAsia="宋体" w:cs="宋体"/>
          <w:sz w:val="28"/>
          <w:u w:val="single"/>
        </w:rPr>
      </w:pPr>
    </w:p>
    <w:p w14:paraId="2009F440">
      <w:pPr>
        <w:pageBreakBefore w:val="0"/>
        <w:kinsoku/>
        <w:overflowPunct/>
        <w:topLinePunct w:val="0"/>
        <w:bidi w:val="0"/>
        <w:spacing w:after="0" w:line="440" w:lineRule="auto"/>
        <w:jc w:val="both"/>
        <w:rPr>
          <w:rFonts w:hint="eastAsia" w:ascii="宋体" w:hAnsi="宋体" w:eastAsia="宋体" w:cs="宋体"/>
          <w:sz w:val="28"/>
          <w:u w:val="single"/>
        </w:rPr>
      </w:pPr>
    </w:p>
    <w:p w14:paraId="38EBF46C">
      <w:pPr>
        <w:pageBreakBefore w:val="0"/>
        <w:kinsoku/>
        <w:overflowPunct/>
        <w:topLinePunct w:val="0"/>
        <w:bidi w:val="0"/>
        <w:spacing w:after="0" w:line="440" w:lineRule="auto"/>
        <w:jc w:val="both"/>
        <w:rPr>
          <w:rFonts w:hint="eastAsia" w:ascii="宋体" w:hAnsi="宋体" w:eastAsia="宋体" w:cs="宋体"/>
          <w:sz w:val="28"/>
        </w:rPr>
      </w:pPr>
    </w:p>
    <w:p w14:paraId="4F0C9D6A">
      <w:pPr>
        <w:pageBreakBefore w:val="0"/>
        <w:kinsoku/>
        <w:overflowPunct/>
        <w:topLinePunct w:val="0"/>
        <w:bidi w:val="0"/>
        <w:spacing w:after="0" w:line="440" w:lineRule="auto"/>
        <w:jc w:val="both"/>
        <w:rPr>
          <w:rFonts w:hint="eastAsia" w:ascii="宋体" w:hAnsi="宋体" w:eastAsia="宋体" w:cs="宋体"/>
          <w:sz w:val="28"/>
        </w:rPr>
      </w:pPr>
      <w:r>
        <w:rPr>
          <w:rFonts w:hint="eastAsia" w:ascii="宋体" w:hAnsi="宋体" w:eastAsia="宋体" w:cs="宋体"/>
          <w:sz w:val="28"/>
        </w:rPr>
        <w:t xml:space="preserve">             磋商响应单位：</w:t>
      </w:r>
      <w:r>
        <w:rPr>
          <w:rFonts w:hint="eastAsia" w:ascii="宋体" w:hAnsi="宋体" w:eastAsia="宋体" w:cs="宋体"/>
          <w:sz w:val="28"/>
          <w:u w:val="single"/>
        </w:rPr>
        <w:t xml:space="preserve">                          </w:t>
      </w:r>
      <w:r>
        <w:rPr>
          <w:rFonts w:hint="eastAsia" w:ascii="宋体" w:hAnsi="宋体" w:eastAsia="宋体" w:cs="宋体"/>
          <w:sz w:val="28"/>
        </w:rPr>
        <w:t xml:space="preserve">（盖章） </w:t>
      </w:r>
    </w:p>
    <w:p w14:paraId="31FFBE9B">
      <w:pPr>
        <w:pageBreakBefore w:val="0"/>
        <w:kinsoku/>
        <w:overflowPunct/>
        <w:topLinePunct w:val="0"/>
        <w:bidi w:val="0"/>
        <w:spacing w:after="0" w:line="440" w:lineRule="auto"/>
        <w:ind w:firstLine="1783"/>
        <w:jc w:val="both"/>
        <w:rPr>
          <w:rFonts w:hint="eastAsia" w:ascii="宋体" w:hAnsi="宋体" w:eastAsia="宋体" w:cs="宋体"/>
          <w:sz w:val="28"/>
        </w:rPr>
      </w:pPr>
    </w:p>
    <w:p w14:paraId="3B4004A5">
      <w:pPr>
        <w:pageBreakBefore w:val="0"/>
        <w:kinsoku/>
        <w:overflowPunct/>
        <w:topLinePunct w:val="0"/>
        <w:bidi w:val="0"/>
        <w:spacing w:after="0" w:line="440" w:lineRule="auto"/>
        <w:ind w:firstLine="1783"/>
        <w:jc w:val="both"/>
        <w:rPr>
          <w:rFonts w:hint="eastAsia" w:ascii="宋体" w:hAnsi="宋体" w:eastAsia="宋体" w:cs="宋体"/>
          <w:sz w:val="28"/>
          <w:u w:val="single"/>
        </w:rPr>
      </w:pPr>
      <w:r>
        <w:rPr>
          <w:rFonts w:hint="eastAsia" w:ascii="宋体" w:hAnsi="宋体" w:eastAsia="宋体" w:cs="宋体"/>
          <w:sz w:val="28"/>
        </w:rPr>
        <w:t>法定代表人或其委托代理人：</w:t>
      </w:r>
      <w:r>
        <w:rPr>
          <w:rFonts w:hint="eastAsia" w:ascii="宋体" w:hAnsi="宋体" w:eastAsia="宋体" w:cs="宋体"/>
          <w:sz w:val="28"/>
          <w:u w:val="single"/>
        </w:rPr>
        <w:t xml:space="preserve">           </w:t>
      </w:r>
      <w:r>
        <w:rPr>
          <w:rFonts w:hint="eastAsia" w:ascii="宋体" w:hAnsi="宋体" w:eastAsia="宋体" w:cs="宋体"/>
          <w:sz w:val="28"/>
        </w:rPr>
        <w:t>（ 签字或盖章）</w:t>
      </w:r>
    </w:p>
    <w:p w14:paraId="21FEFA98">
      <w:pPr>
        <w:pageBreakBefore w:val="0"/>
        <w:kinsoku/>
        <w:overflowPunct/>
        <w:topLinePunct w:val="0"/>
        <w:bidi w:val="0"/>
        <w:spacing w:after="0" w:line="440" w:lineRule="auto"/>
        <w:ind w:firstLine="1783"/>
        <w:jc w:val="both"/>
        <w:rPr>
          <w:rFonts w:hint="eastAsia" w:ascii="宋体" w:hAnsi="宋体" w:eastAsia="宋体" w:cs="宋体"/>
          <w:sz w:val="28"/>
          <w:u w:val="single"/>
        </w:rPr>
      </w:pPr>
    </w:p>
    <w:p w14:paraId="4DE06C17">
      <w:pPr>
        <w:pageBreakBefore w:val="0"/>
        <w:kinsoku/>
        <w:overflowPunct/>
        <w:topLinePunct w:val="0"/>
        <w:bidi w:val="0"/>
        <w:spacing w:after="0" w:line="240" w:lineRule="auto"/>
        <w:ind w:firstLine="1783"/>
        <w:jc w:val="both"/>
        <w:rPr>
          <w:rFonts w:hint="eastAsia" w:ascii="宋体" w:hAnsi="宋体" w:eastAsia="宋体" w:cs="宋体"/>
          <w:sz w:val="28"/>
        </w:rPr>
      </w:pPr>
      <w:r>
        <w:rPr>
          <w:rFonts w:hint="eastAsia" w:ascii="宋体" w:hAnsi="宋体" w:eastAsia="宋体" w:cs="宋体"/>
          <w:sz w:val="28"/>
        </w:rPr>
        <w:t>日   期  ：</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w:t>
      </w:r>
      <w:r>
        <w:rPr>
          <w:rFonts w:hint="eastAsia" w:ascii="宋体" w:hAnsi="宋体" w:eastAsia="宋体" w:cs="宋体"/>
          <w:sz w:val="28"/>
          <w:u w:val="single"/>
        </w:rPr>
        <w:t xml:space="preserve">       </w:t>
      </w:r>
      <w:r>
        <w:rPr>
          <w:rFonts w:hint="eastAsia" w:ascii="宋体" w:hAnsi="宋体" w:eastAsia="宋体" w:cs="宋体"/>
          <w:sz w:val="28"/>
        </w:rPr>
        <w:t>日</w:t>
      </w:r>
    </w:p>
    <w:p w14:paraId="359F8426">
      <w:pPr>
        <w:pageBreakBefore w:val="0"/>
        <w:kinsoku/>
        <w:overflowPunct/>
        <w:topLinePunct w:val="0"/>
        <w:bidi w:val="0"/>
        <w:spacing w:after="0" w:line="360" w:lineRule="auto"/>
        <w:jc w:val="center"/>
        <w:rPr>
          <w:rFonts w:hint="eastAsia" w:ascii="宋体" w:hAnsi="宋体" w:eastAsia="宋体" w:cs="宋体"/>
          <w:sz w:val="21"/>
        </w:rPr>
      </w:pPr>
      <w:r>
        <w:rPr>
          <w:rFonts w:hint="eastAsia" w:ascii="宋体" w:hAnsi="宋体" w:eastAsia="宋体" w:cs="宋体"/>
          <w:sz w:val="21"/>
        </w:rPr>
        <w:t xml:space="preserve"> </w:t>
      </w:r>
    </w:p>
    <w:p w14:paraId="1F5B05A9">
      <w:pPr>
        <w:rPr>
          <w:rFonts w:hint="eastAsia" w:ascii="宋体" w:hAnsi="宋体" w:eastAsia="宋体" w:cs="宋体"/>
          <w:b/>
          <w:sz w:val="36"/>
        </w:rPr>
      </w:pPr>
      <w:r>
        <w:rPr>
          <w:rFonts w:hint="eastAsia" w:ascii="宋体" w:hAnsi="宋体" w:eastAsia="宋体" w:cs="宋体"/>
          <w:b/>
          <w:sz w:val="36"/>
        </w:rPr>
        <w:br w:type="page"/>
      </w:r>
    </w:p>
    <w:p w14:paraId="439D7ED2">
      <w:pPr>
        <w:pageBreakBefore w:val="0"/>
        <w:kinsoku/>
        <w:overflowPunct/>
        <w:topLinePunct w:val="0"/>
        <w:bidi w:val="0"/>
        <w:spacing w:after="0" w:line="360" w:lineRule="auto"/>
        <w:jc w:val="center"/>
        <w:rPr>
          <w:rFonts w:hint="eastAsia" w:ascii="宋体" w:hAnsi="宋体" w:eastAsia="宋体" w:cs="宋体"/>
          <w:b/>
          <w:sz w:val="36"/>
        </w:rPr>
      </w:pPr>
      <w:r>
        <w:rPr>
          <w:rFonts w:hint="eastAsia" w:ascii="宋体" w:hAnsi="宋体" w:eastAsia="宋体" w:cs="宋体"/>
          <w:b/>
          <w:sz w:val="36"/>
        </w:rPr>
        <w:t>目   录</w:t>
      </w:r>
    </w:p>
    <w:p w14:paraId="0C17100A">
      <w:pPr>
        <w:pageBreakBefore w:val="0"/>
        <w:kinsoku/>
        <w:overflowPunct/>
        <w:topLinePunct w:val="0"/>
        <w:bidi w:val="0"/>
        <w:spacing w:after="0" w:line="360" w:lineRule="auto"/>
        <w:jc w:val="center"/>
        <w:rPr>
          <w:rFonts w:hint="eastAsia" w:ascii="宋体" w:hAnsi="宋体" w:eastAsia="宋体" w:cs="宋体"/>
          <w:b/>
          <w:sz w:val="32"/>
        </w:rPr>
      </w:pPr>
    </w:p>
    <w:p w14:paraId="6BCF09A0">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一  磋商响应函</w:t>
      </w:r>
    </w:p>
    <w:p w14:paraId="00B12F99">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二  报价一览表</w:t>
      </w:r>
    </w:p>
    <w:p w14:paraId="287BA66C">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三、资格证明文件</w:t>
      </w:r>
    </w:p>
    <w:p w14:paraId="2AAC4CA9">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四、服务方案</w:t>
      </w:r>
    </w:p>
    <w:p w14:paraId="2F05C30E">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五、企业业绩</w:t>
      </w:r>
    </w:p>
    <w:p w14:paraId="0B18AF24">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六、服务承诺</w:t>
      </w:r>
    </w:p>
    <w:p w14:paraId="4D03B901">
      <w:pPr>
        <w:pageBreakBefore w:val="0"/>
        <w:kinsoku/>
        <w:overflowPunct/>
        <w:topLinePunct w:val="0"/>
        <w:bidi w:val="0"/>
        <w:spacing w:after="0" w:line="360" w:lineRule="auto"/>
        <w:ind w:firstLine="2080"/>
        <w:jc w:val="both"/>
        <w:rPr>
          <w:rFonts w:hint="eastAsia" w:ascii="宋体" w:hAnsi="宋体" w:eastAsia="宋体" w:cs="宋体"/>
          <w:b/>
          <w:sz w:val="28"/>
        </w:rPr>
      </w:pPr>
      <w:r>
        <w:rPr>
          <w:rFonts w:hint="eastAsia" w:ascii="宋体" w:hAnsi="宋体" w:eastAsia="宋体" w:cs="宋体"/>
          <w:b/>
          <w:sz w:val="28"/>
        </w:rPr>
        <w:t>七、供应商拒绝政府采购领域商业贿赂承诺书</w:t>
      </w:r>
    </w:p>
    <w:p w14:paraId="22DD310C">
      <w:pPr>
        <w:keepNext/>
        <w:keepLines/>
        <w:pageBreakBefore w:val="0"/>
        <w:kinsoku/>
        <w:overflowPunct/>
        <w:topLinePunct w:val="0"/>
        <w:bidi w:val="0"/>
        <w:spacing w:after="0" w:line="372" w:lineRule="auto"/>
        <w:jc w:val="both"/>
        <w:rPr>
          <w:rFonts w:hint="eastAsia" w:ascii="宋体" w:hAnsi="宋体" w:eastAsia="宋体" w:cs="宋体"/>
          <w:b/>
          <w:sz w:val="28"/>
        </w:rPr>
      </w:pPr>
    </w:p>
    <w:p w14:paraId="1AAF54B5">
      <w:pPr>
        <w:pageBreakBefore w:val="0"/>
        <w:kinsoku/>
        <w:overflowPunct/>
        <w:topLinePunct w:val="0"/>
        <w:bidi w:val="0"/>
        <w:spacing w:after="0" w:line="240" w:lineRule="auto"/>
        <w:jc w:val="both"/>
        <w:rPr>
          <w:rFonts w:hint="eastAsia" w:ascii="宋体" w:hAnsi="宋体" w:eastAsia="宋体" w:cs="宋体"/>
          <w:sz w:val="21"/>
        </w:rPr>
      </w:pPr>
    </w:p>
    <w:p w14:paraId="535151D5">
      <w:pPr>
        <w:pageBreakBefore w:val="0"/>
        <w:kinsoku/>
        <w:overflowPunct/>
        <w:topLinePunct w:val="0"/>
        <w:bidi w:val="0"/>
        <w:spacing w:after="0" w:line="360" w:lineRule="auto"/>
        <w:ind w:left="72" w:right="30"/>
        <w:jc w:val="center"/>
        <w:rPr>
          <w:rFonts w:hint="eastAsia" w:ascii="宋体" w:hAnsi="宋体" w:eastAsia="宋体" w:cs="宋体"/>
          <w:sz w:val="21"/>
        </w:rPr>
      </w:pPr>
    </w:p>
    <w:p w14:paraId="71BD4D6A">
      <w:pPr>
        <w:pageBreakBefore w:val="0"/>
        <w:kinsoku/>
        <w:overflowPunct/>
        <w:topLinePunct w:val="0"/>
        <w:bidi w:val="0"/>
        <w:spacing w:after="0" w:line="600" w:lineRule="auto"/>
        <w:ind w:firstLine="2080"/>
        <w:jc w:val="both"/>
        <w:rPr>
          <w:rFonts w:hint="eastAsia" w:ascii="宋体" w:hAnsi="宋体" w:eastAsia="宋体" w:cs="宋体"/>
          <w:b/>
          <w:sz w:val="28"/>
        </w:rPr>
      </w:pPr>
    </w:p>
    <w:p w14:paraId="064FD113">
      <w:pPr>
        <w:pageBreakBefore w:val="0"/>
        <w:kinsoku/>
        <w:overflowPunct/>
        <w:topLinePunct w:val="0"/>
        <w:bidi w:val="0"/>
        <w:spacing w:after="0" w:line="440" w:lineRule="auto"/>
        <w:jc w:val="both"/>
        <w:rPr>
          <w:rFonts w:hint="eastAsia" w:ascii="宋体" w:hAnsi="宋体" w:eastAsia="宋体" w:cs="宋体"/>
          <w:b/>
          <w:sz w:val="28"/>
        </w:rPr>
      </w:pPr>
    </w:p>
    <w:p w14:paraId="3F14793B">
      <w:pPr>
        <w:pageBreakBefore w:val="0"/>
        <w:kinsoku/>
        <w:overflowPunct/>
        <w:topLinePunct w:val="0"/>
        <w:bidi w:val="0"/>
        <w:spacing w:after="0" w:line="440" w:lineRule="auto"/>
        <w:jc w:val="both"/>
        <w:rPr>
          <w:rFonts w:hint="eastAsia" w:ascii="宋体" w:hAnsi="宋体" w:eastAsia="宋体" w:cs="宋体"/>
          <w:b/>
          <w:sz w:val="28"/>
        </w:rPr>
      </w:pPr>
    </w:p>
    <w:p w14:paraId="0F7B902C">
      <w:pPr>
        <w:pageBreakBefore w:val="0"/>
        <w:kinsoku/>
        <w:overflowPunct/>
        <w:topLinePunct w:val="0"/>
        <w:bidi w:val="0"/>
        <w:spacing w:after="0" w:line="440" w:lineRule="auto"/>
        <w:jc w:val="both"/>
        <w:rPr>
          <w:rFonts w:hint="eastAsia" w:ascii="宋体" w:hAnsi="宋体" w:eastAsia="宋体" w:cs="宋体"/>
          <w:b/>
          <w:sz w:val="28"/>
        </w:rPr>
      </w:pPr>
    </w:p>
    <w:p w14:paraId="1256A341">
      <w:pPr>
        <w:pageBreakBefore w:val="0"/>
        <w:kinsoku/>
        <w:overflowPunct/>
        <w:topLinePunct w:val="0"/>
        <w:bidi w:val="0"/>
        <w:spacing w:after="0" w:line="440" w:lineRule="auto"/>
        <w:jc w:val="both"/>
        <w:rPr>
          <w:rFonts w:hint="eastAsia" w:ascii="宋体" w:hAnsi="宋体" w:eastAsia="宋体" w:cs="宋体"/>
          <w:b/>
          <w:sz w:val="28"/>
        </w:rPr>
      </w:pPr>
    </w:p>
    <w:p w14:paraId="20C1C217">
      <w:pPr>
        <w:pageBreakBefore w:val="0"/>
        <w:kinsoku/>
        <w:overflowPunct/>
        <w:topLinePunct w:val="0"/>
        <w:bidi w:val="0"/>
        <w:spacing w:after="0" w:line="440" w:lineRule="auto"/>
        <w:jc w:val="both"/>
        <w:rPr>
          <w:rFonts w:hint="eastAsia" w:ascii="宋体" w:hAnsi="宋体" w:eastAsia="宋体" w:cs="宋体"/>
          <w:b/>
          <w:sz w:val="28"/>
        </w:rPr>
      </w:pPr>
    </w:p>
    <w:p w14:paraId="443FBF27">
      <w:pPr>
        <w:pageBreakBefore w:val="0"/>
        <w:kinsoku/>
        <w:overflowPunct/>
        <w:topLinePunct w:val="0"/>
        <w:bidi w:val="0"/>
        <w:spacing w:after="0" w:line="440" w:lineRule="auto"/>
        <w:jc w:val="both"/>
        <w:rPr>
          <w:rFonts w:hint="eastAsia" w:ascii="宋体" w:hAnsi="宋体" w:eastAsia="宋体" w:cs="宋体"/>
          <w:b/>
          <w:sz w:val="28"/>
        </w:rPr>
      </w:pPr>
    </w:p>
    <w:p w14:paraId="5C9509FE">
      <w:pPr>
        <w:keepNext/>
        <w:keepLines/>
        <w:pageBreakBefore w:val="0"/>
        <w:kinsoku/>
        <w:overflowPunct/>
        <w:topLinePunct w:val="0"/>
        <w:bidi w:val="0"/>
        <w:spacing w:after="0" w:line="372" w:lineRule="auto"/>
        <w:jc w:val="both"/>
        <w:rPr>
          <w:rFonts w:hint="eastAsia" w:ascii="宋体" w:hAnsi="宋体" w:eastAsia="宋体" w:cs="宋体"/>
          <w:b/>
          <w:sz w:val="28"/>
        </w:rPr>
      </w:pPr>
    </w:p>
    <w:p w14:paraId="5CAD3268">
      <w:pPr>
        <w:pageBreakBefore w:val="0"/>
        <w:kinsoku/>
        <w:overflowPunct/>
        <w:topLinePunct w:val="0"/>
        <w:bidi w:val="0"/>
        <w:spacing w:after="0" w:line="440" w:lineRule="auto"/>
        <w:jc w:val="both"/>
        <w:rPr>
          <w:rFonts w:hint="eastAsia" w:ascii="宋体" w:hAnsi="宋体" w:eastAsia="宋体" w:cs="宋体"/>
          <w:b/>
          <w:sz w:val="28"/>
        </w:rPr>
      </w:pPr>
    </w:p>
    <w:p w14:paraId="4BD5F60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5CFDFE95">
      <w:pPr>
        <w:keepNext w:val="0"/>
        <w:keepLines w:val="0"/>
        <w:pageBreakBefore w:val="0"/>
        <w:widowControl w:val="0"/>
        <w:kinsoku/>
        <w:overflowPunct/>
        <w:topLinePunct w:val="0"/>
        <w:autoSpaceDE w:val="0"/>
        <w:autoSpaceDN w:val="0"/>
        <w:bidi w:val="0"/>
        <w:adjustRightInd w:val="0"/>
        <w:snapToGrid w:val="0"/>
        <w:spacing w:after="0" w:line="360" w:lineRule="auto"/>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768A3FEA">
      <w:pPr>
        <w:keepNext w:val="0"/>
        <w:keepLines w:val="0"/>
        <w:pageBreakBefore w:val="0"/>
        <w:widowControl w:val="0"/>
        <w:kinsoku/>
        <w:overflowPunct/>
        <w:topLinePunct w:val="0"/>
        <w:bidi w:val="0"/>
        <w:spacing w:after="0" w:line="360" w:lineRule="auto"/>
        <w:textAlignment w:val="auto"/>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陕西中源项目管理有限公司</w:t>
      </w:r>
      <w:r>
        <w:rPr>
          <w:rFonts w:hint="eastAsia" w:ascii="宋体" w:hAnsi="宋体" w:eastAsia="宋体" w:cs="宋体"/>
          <w:color w:val="auto"/>
          <w:sz w:val="24"/>
          <w:u w:val="single"/>
        </w:rPr>
        <w:t>：</w:t>
      </w:r>
    </w:p>
    <w:p w14:paraId="68BC49D9">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（项目编号）  </w:t>
      </w:r>
      <w:r>
        <w:rPr>
          <w:rFonts w:hint="eastAsia" w:ascii="宋体" w:hAnsi="宋体" w:eastAsia="宋体" w:cs="宋体"/>
          <w:color w:val="auto"/>
          <w:sz w:val="24"/>
        </w:rPr>
        <w:t>招标采购工程及服务的磋商</w:t>
      </w:r>
      <w:r>
        <w:rPr>
          <w:rFonts w:hint="eastAsia" w:ascii="宋体" w:hAnsi="宋体" w:eastAsia="宋体" w:cs="宋体"/>
          <w:color w:val="auto"/>
          <w:sz w:val="24"/>
          <w:lang w:val="en-US" w:eastAsia="zh-CN"/>
        </w:rPr>
        <w:t>公告</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 xml:space="preserve">名称、地址）   </w:t>
      </w:r>
      <w:r>
        <w:rPr>
          <w:rFonts w:hint="eastAsia" w:ascii="宋体" w:hAnsi="宋体" w:eastAsia="宋体" w:cs="宋体"/>
          <w:color w:val="auto"/>
          <w:sz w:val="24"/>
        </w:rPr>
        <w:t>，提交响应</w:t>
      </w:r>
      <w:r>
        <w:rPr>
          <w:rFonts w:hint="eastAsia" w:ascii="宋体" w:hAnsi="宋体" w:eastAsia="宋体" w:cs="宋体"/>
          <w:color w:val="auto"/>
          <w:sz w:val="24"/>
          <w:lang w:val="en-US" w:eastAsia="zh-CN"/>
        </w:rPr>
        <w:t>文件</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份</w:t>
      </w:r>
      <w:r>
        <w:rPr>
          <w:rFonts w:hint="eastAsia" w:ascii="宋体" w:hAnsi="宋体" w:eastAsia="宋体" w:cs="宋体"/>
          <w:color w:val="auto"/>
          <w:sz w:val="24"/>
        </w:rPr>
        <w:t>。</w:t>
      </w:r>
    </w:p>
    <w:p w14:paraId="7E70E363">
      <w:pPr>
        <w:keepNext w:val="0"/>
        <w:keepLines w:val="0"/>
        <w:pageBreakBefore w:val="0"/>
        <w:widowControl w:val="0"/>
        <w:kinsoku/>
        <w:overflowPunct/>
        <w:topLinePunct w:val="0"/>
        <w:bidi w:val="0"/>
        <w:spacing w:after="0"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23AB72FB">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1．所附报价表中规定的应提交和交付的工程总报价为</w:t>
      </w:r>
      <w:r>
        <w:rPr>
          <w:rFonts w:hint="eastAsia" w:ascii="宋体" w:hAnsi="宋体" w:eastAsia="宋体" w:cs="宋体"/>
          <w:color w:val="auto"/>
          <w:sz w:val="24"/>
          <w:u w:val="single"/>
        </w:rPr>
        <w:t xml:space="preserve">  人民币金额数（同时用汉字大写和数字表示的总报价） </w:t>
      </w:r>
      <w:r>
        <w:rPr>
          <w:rFonts w:hint="eastAsia" w:ascii="宋体" w:hAnsi="宋体" w:eastAsia="宋体" w:cs="宋体"/>
          <w:color w:val="auto"/>
          <w:sz w:val="24"/>
        </w:rPr>
        <w:t>。</w:t>
      </w:r>
    </w:p>
    <w:p w14:paraId="3DE9EABF">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2．我们将按磋商文件的规定履行合同责任和义务。</w:t>
      </w:r>
    </w:p>
    <w:p w14:paraId="0F5C2713">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3．我们已详细审查全部磋商文件。我们完全理解并同意放弃对这方面有不明及误解的权力。</w:t>
      </w:r>
    </w:p>
    <w:p w14:paraId="343D8E37">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4．本磋商有效期为自磋商之日起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的响应文件有效期延长为与合同有效期一致）。</w:t>
      </w:r>
    </w:p>
    <w:p w14:paraId="134BCAAB">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5．我们完全理解并同意贵方在磋商文件中的有关没收磋商保证金和拒绝磋商的条款。</w:t>
      </w:r>
    </w:p>
    <w:p w14:paraId="1F8E8359">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6．我们同意提供按照贵方可能要求的与其磋商有关的一切数据或资料，完全理解贵方不一定接受最低磋商报价的响应文件或收到的任何响应文件。</w:t>
      </w:r>
    </w:p>
    <w:p w14:paraId="64908358">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7．若我方获得成交，我方保证按有关规定向贵方支付成交服务费。</w:t>
      </w:r>
    </w:p>
    <w:p w14:paraId="7C21D309">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8．与本磋商有关的一切正式往来信函请寄：</w:t>
      </w:r>
    </w:p>
    <w:p w14:paraId="63A0B04B">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供应商名称（公章）：</w:t>
      </w:r>
      <w:r>
        <w:rPr>
          <w:rFonts w:hint="eastAsia" w:ascii="宋体" w:hAnsi="宋体" w:eastAsia="宋体" w:cs="宋体"/>
          <w:color w:val="auto"/>
          <w:sz w:val="24"/>
          <w:u w:val="single"/>
        </w:rPr>
        <w:t xml:space="preserve">                              </w:t>
      </w:r>
    </w:p>
    <w:p w14:paraId="32ECB662">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法定代表人或授权代理人</w:t>
      </w:r>
      <w:r>
        <w:rPr>
          <w:rFonts w:hint="eastAsia" w:ascii="宋体" w:hAnsi="宋体" w:eastAsia="宋体" w:cs="宋体"/>
          <w:color w:val="auto"/>
          <w:sz w:val="24"/>
          <w:lang w:eastAsia="zh-CN"/>
        </w:rPr>
        <w:t>（</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w:t>
      </w:r>
      <w:r>
        <w:rPr>
          <w:rFonts w:hint="eastAsia" w:ascii="宋体" w:hAnsi="宋体" w:eastAsia="宋体" w:cs="宋体"/>
          <w:color w:val="auto"/>
          <w:sz w:val="24"/>
          <w:u w:val="single"/>
        </w:rPr>
        <w:t>                 </w:t>
      </w:r>
    </w:p>
    <w:p w14:paraId="49CE00A0">
      <w:pPr>
        <w:keepNext w:val="0"/>
        <w:keepLines w:val="0"/>
        <w:pageBreakBefore w:val="0"/>
        <w:widowControl w:val="0"/>
        <w:kinsoku/>
        <w:overflowPunct/>
        <w:topLinePunct w:val="0"/>
        <w:bidi w:val="0"/>
        <w:spacing w:after="0"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详   细   地   址：</w:t>
      </w:r>
      <w:r>
        <w:rPr>
          <w:rFonts w:hint="eastAsia" w:ascii="宋体" w:hAnsi="宋体" w:eastAsia="宋体" w:cs="宋体"/>
          <w:color w:val="auto"/>
          <w:sz w:val="24"/>
          <w:u w:val="single"/>
        </w:rPr>
        <w:t xml:space="preserve">                                </w:t>
      </w:r>
    </w:p>
    <w:p w14:paraId="11287644">
      <w:pPr>
        <w:keepNext w:val="0"/>
        <w:keepLines w:val="0"/>
        <w:pageBreakBefore w:val="0"/>
        <w:widowControl w:val="0"/>
        <w:tabs>
          <w:tab w:val="left" w:pos="360"/>
        </w:tabs>
        <w:kinsoku/>
        <w:overflowPunct/>
        <w:topLinePunct w:val="0"/>
        <w:bidi w:val="0"/>
        <w:spacing w:after="0"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邮   政   编   码：</w:t>
      </w:r>
      <w:r>
        <w:rPr>
          <w:rFonts w:hint="eastAsia" w:ascii="宋体" w:hAnsi="宋体" w:eastAsia="宋体" w:cs="宋体"/>
          <w:color w:val="auto"/>
          <w:sz w:val="24"/>
          <w:u w:val="single"/>
        </w:rPr>
        <w:t xml:space="preserve">                                </w:t>
      </w:r>
    </w:p>
    <w:p w14:paraId="190215DC">
      <w:pPr>
        <w:keepNext w:val="0"/>
        <w:keepLines w:val="0"/>
        <w:pageBreakBefore w:val="0"/>
        <w:widowControl w:val="0"/>
        <w:kinsoku/>
        <w:overflowPunct/>
        <w:topLinePunct w:val="0"/>
        <w:autoSpaceDE w:val="0"/>
        <w:autoSpaceDN w:val="0"/>
        <w:bidi w:val="0"/>
        <w:adjustRightInd w:val="0"/>
        <w:spacing w:after="0"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电             话：</w:t>
      </w:r>
      <w:r>
        <w:rPr>
          <w:rFonts w:hint="eastAsia" w:ascii="宋体" w:hAnsi="宋体" w:eastAsia="宋体" w:cs="宋体"/>
          <w:color w:val="auto"/>
          <w:sz w:val="24"/>
          <w:u w:val="single"/>
          <w:lang w:val="zh-CN"/>
        </w:rPr>
        <w:t xml:space="preserve">                                                                </w:t>
      </w:r>
    </w:p>
    <w:p w14:paraId="28BB7455">
      <w:pPr>
        <w:keepNext w:val="0"/>
        <w:keepLines w:val="0"/>
        <w:pageBreakBefore w:val="0"/>
        <w:widowControl w:val="0"/>
        <w:tabs>
          <w:tab w:val="left" w:pos="360"/>
        </w:tabs>
        <w:kinsoku/>
        <w:overflowPunct/>
        <w:topLinePunct w:val="0"/>
        <w:bidi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子 邮 件 地 址：</w:t>
      </w:r>
      <w:r>
        <w:rPr>
          <w:rFonts w:hint="eastAsia" w:ascii="宋体" w:hAnsi="宋体" w:eastAsia="宋体" w:cs="宋体"/>
          <w:color w:val="auto"/>
          <w:sz w:val="24"/>
          <w:u w:val="single"/>
        </w:rPr>
        <w:t xml:space="preserve">                                </w:t>
      </w:r>
    </w:p>
    <w:p w14:paraId="158173F4">
      <w:pPr>
        <w:keepNext w:val="0"/>
        <w:keepLines w:val="0"/>
        <w:pageBreakBefore w:val="0"/>
        <w:widowControl w:val="0"/>
        <w:kinsoku/>
        <w:overflowPunct/>
        <w:topLinePunct w:val="0"/>
        <w:autoSpaceDE w:val="0"/>
        <w:autoSpaceDN w:val="0"/>
        <w:bidi w:val="0"/>
        <w:adjustRightInd w:val="0"/>
        <w:spacing w:after="0" w:line="360" w:lineRule="auto"/>
        <w:ind w:firstLine="480" w:firstLineChars="200"/>
        <w:textAlignment w:val="auto"/>
        <w:rPr>
          <w:rFonts w:hint="eastAsia" w:ascii="宋体" w:hAnsi="宋体" w:eastAsia="宋体" w:cs="宋体"/>
          <w:color w:val="auto"/>
          <w:sz w:val="24"/>
          <w:u w:val="single"/>
          <w:lang w:val="zh-CN"/>
        </w:rPr>
      </w:pPr>
      <w:r>
        <w:rPr>
          <w:rFonts w:hint="eastAsia" w:ascii="宋体" w:hAnsi="宋体" w:eastAsia="宋体" w:cs="宋体"/>
          <w:color w:val="auto"/>
          <w:sz w:val="24"/>
          <w:lang w:val="zh-CN"/>
        </w:rPr>
        <w:t>开   户   银   行：</w:t>
      </w:r>
      <w:r>
        <w:rPr>
          <w:rFonts w:hint="eastAsia" w:ascii="宋体" w:hAnsi="宋体" w:eastAsia="宋体" w:cs="宋体"/>
          <w:color w:val="auto"/>
          <w:sz w:val="24"/>
          <w:u w:val="single"/>
          <w:lang w:val="zh-CN"/>
        </w:rPr>
        <w:t xml:space="preserve">                                </w:t>
      </w:r>
    </w:p>
    <w:p w14:paraId="3561989B">
      <w:pPr>
        <w:keepNext w:val="0"/>
        <w:keepLines w:val="0"/>
        <w:pageBreakBefore w:val="0"/>
        <w:widowControl w:val="0"/>
        <w:kinsoku/>
        <w:overflowPunct/>
        <w:topLinePunct w:val="0"/>
        <w:autoSpaceDE w:val="0"/>
        <w:autoSpaceDN w:val="0"/>
        <w:bidi w:val="0"/>
        <w:adjustRightInd w:val="0"/>
        <w:spacing w:after="0"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账             号：</w:t>
      </w:r>
      <w:r>
        <w:rPr>
          <w:rFonts w:hint="eastAsia" w:ascii="宋体" w:hAnsi="宋体" w:eastAsia="宋体" w:cs="宋体"/>
          <w:color w:val="auto"/>
          <w:sz w:val="24"/>
          <w:u w:val="single"/>
          <w:lang w:val="zh-CN"/>
        </w:rPr>
        <w:t xml:space="preserve">                                </w:t>
      </w:r>
    </w:p>
    <w:p w14:paraId="192E7B0D">
      <w:pPr>
        <w:keepNext w:val="0"/>
        <w:keepLines w:val="0"/>
        <w:pageBreakBefore w:val="0"/>
        <w:widowControl w:val="0"/>
        <w:kinsoku/>
        <w:overflowPunct/>
        <w:topLinePunct w:val="0"/>
        <w:autoSpaceDE w:val="0"/>
        <w:autoSpaceDN w:val="0"/>
        <w:bidi w:val="0"/>
        <w:adjustRightInd w:val="0"/>
        <w:spacing w:after="0" w:line="360" w:lineRule="auto"/>
        <w:ind w:right="480" w:firstLine="480" w:firstLineChars="200"/>
        <w:jc w:val="right"/>
        <w:textAlignment w:val="auto"/>
        <w:rPr>
          <w:rFonts w:hint="eastAsia" w:ascii="宋体" w:hAnsi="宋体" w:eastAsia="宋体" w:cs="宋体"/>
          <w:color w:val="auto"/>
          <w:sz w:val="24"/>
          <w:lang w:val="zh-CN"/>
        </w:rPr>
      </w:pPr>
    </w:p>
    <w:p w14:paraId="65F7579E">
      <w:pPr>
        <w:keepNext w:val="0"/>
        <w:keepLines w:val="0"/>
        <w:pageBreakBefore w:val="0"/>
        <w:widowControl w:val="0"/>
        <w:kinsoku/>
        <w:overflowPunct/>
        <w:topLinePunct w:val="0"/>
        <w:autoSpaceDE w:val="0"/>
        <w:autoSpaceDN w:val="0"/>
        <w:bidi w:val="0"/>
        <w:adjustRightInd w:val="0"/>
        <w:spacing w:after="0" w:line="360" w:lineRule="auto"/>
        <w:ind w:right="480" w:firstLine="480" w:firstLineChars="200"/>
        <w:jc w:val="right"/>
        <w:textAlignment w:val="auto"/>
        <w:rPr>
          <w:rFonts w:hint="eastAsia" w:ascii="宋体" w:hAnsi="宋体" w:eastAsia="宋体" w:cs="宋体"/>
          <w:color w:val="auto"/>
          <w:sz w:val="24"/>
        </w:rPr>
      </w:pPr>
    </w:p>
    <w:p w14:paraId="7EFA049B">
      <w:pPr>
        <w:keepNext w:val="0"/>
        <w:keepLines w:val="0"/>
        <w:pageBreakBefore w:val="0"/>
        <w:widowControl w:val="0"/>
        <w:kinsoku/>
        <w:wordWrap w:val="0"/>
        <w:overflowPunct/>
        <w:topLinePunct w:val="0"/>
        <w:bidi w:val="0"/>
        <w:spacing w:after="0" w:line="360" w:lineRule="auto"/>
        <w:ind w:firstLine="4480"/>
        <w:jc w:val="right"/>
        <w:textAlignment w:val="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14D144A">
      <w:pPr>
        <w:pageBreakBefore w:val="0"/>
        <w:numPr>
          <w:ilvl w:val="0"/>
          <w:numId w:val="0"/>
        </w:numPr>
        <w:kinsoku/>
        <w:overflowPunct/>
        <w:topLinePunct w:val="0"/>
        <w:autoSpaceDE w:val="0"/>
        <w:autoSpaceDN w:val="0"/>
        <w:bidi w:val="0"/>
        <w:adjustRightInd w:val="0"/>
        <w:snapToGrid w:val="0"/>
        <w:spacing w:after="0" w:line="360" w:lineRule="auto"/>
        <w:jc w:val="center"/>
        <w:rPr>
          <w:rFonts w:hint="eastAsia" w:ascii="宋体" w:hAnsi="宋体" w:eastAsia="宋体" w:cs="宋体"/>
          <w:b/>
          <w:color w:val="auto"/>
          <w:sz w:val="24"/>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报价一览表</w:t>
      </w:r>
    </w:p>
    <w:p w14:paraId="16C3537F">
      <w:pPr>
        <w:pageBreakBefore w:val="0"/>
        <w:numPr>
          <w:ilvl w:val="0"/>
          <w:numId w:val="0"/>
        </w:numPr>
        <w:kinsoku/>
        <w:overflowPunct/>
        <w:topLinePunct w:val="0"/>
        <w:autoSpaceDE w:val="0"/>
        <w:autoSpaceDN w:val="0"/>
        <w:bidi w:val="0"/>
        <w:adjustRightInd w:val="0"/>
        <w:snapToGrid w:val="0"/>
        <w:spacing w:after="0" w:line="360" w:lineRule="auto"/>
        <w:jc w:val="both"/>
        <w:rPr>
          <w:rFonts w:hint="eastAsia" w:ascii="宋体" w:hAnsi="宋体" w:eastAsia="宋体" w:cs="宋体"/>
          <w:b/>
          <w:color w:val="auto"/>
          <w:sz w:val="24"/>
          <w:lang w:val="en-US" w:eastAsia="zh-CN"/>
        </w:rPr>
      </w:pPr>
      <w:r>
        <w:rPr>
          <w:rFonts w:hint="eastAsia" w:ascii="宋体" w:hAnsi="宋体" w:eastAsia="宋体" w:cs="宋体"/>
          <w:b/>
          <w:color w:val="auto"/>
          <w:sz w:val="32"/>
          <w:szCs w:val="32"/>
        </w:rPr>
        <w:t xml:space="preserve">                                     </w:t>
      </w:r>
      <w:r>
        <w:rPr>
          <w:rFonts w:hint="eastAsia" w:ascii="宋体" w:hAnsi="宋体" w:eastAsia="宋体" w:cs="宋体"/>
          <w:bCs/>
          <w:color w:val="auto"/>
          <w:sz w:val="24"/>
        </w:rPr>
        <w:t>项目编号：</w:t>
      </w:r>
      <w:r>
        <w:rPr>
          <w:rFonts w:hint="eastAsia" w:ascii="宋体" w:hAnsi="宋体" w:eastAsia="宋体" w:cs="宋体"/>
          <w:bCs/>
          <w:color w:val="auto"/>
          <w:sz w:val="24"/>
          <w:lang w:eastAsia="zh-CN"/>
        </w:rPr>
        <w:t>SXZY-AK2025072</w:t>
      </w:r>
    </w:p>
    <w:tbl>
      <w:tblPr>
        <w:tblStyle w:val="13"/>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3698"/>
        <w:gridCol w:w="1847"/>
        <w:gridCol w:w="1545"/>
      </w:tblGrid>
      <w:tr w14:paraId="226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608" w:type="dxa"/>
            <w:vAlign w:val="center"/>
          </w:tcPr>
          <w:p w14:paraId="0AD65836">
            <w:pPr>
              <w:pageBreakBefore w:val="0"/>
              <w:kinsoku/>
              <w:overflowPunct/>
              <w:topLinePunct w:val="0"/>
              <w:bidi w:val="0"/>
              <w:spacing w:after="0"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3698" w:type="dxa"/>
            <w:vAlign w:val="center"/>
          </w:tcPr>
          <w:p w14:paraId="64D176C9">
            <w:pPr>
              <w:pageBreakBefore w:val="0"/>
              <w:kinsoku/>
              <w:overflowPunct/>
              <w:topLinePunct w:val="0"/>
              <w:bidi w:val="0"/>
              <w:spacing w:after="0" w:line="560" w:lineRule="exact"/>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rPr>
              <w:t>总报价</w:t>
            </w:r>
            <w:r>
              <w:rPr>
                <w:rFonts w:hint="eastAsia" w:ascii="宋体" w:hAnsi="宋体" w:eastAsia="宋体" w:cs="宋体"/>
                <w:bCs/>
                <w:color w:val="auto"/>
                <w:sz w:val="24"/>
                <w:lang w:val="en-US" w:eastAsia="zh-CN"/>
              </w:rPr>
              <w:t>(元)</w:t>
            </w:r>
          </w:p>
        </w:tc>
        <w:tc>
          <w:tcPr>
            <w:tcW w:w="1847" w:type="dxa"/>
            <w:vAlign w:val="center"/>
          </w:tcPr>
          <w:p w14:paraId="0BB91E4D">
            <w:pPr>
              <w:pageBreakBefore w:val="0"/>
              <w:kinsoku/>
              <w:overflowPunct/>
              <w:topLinePunct w:val="0"/>
              <w:bidi w:val="0"/>
              <w:spacing w:after="0" w:line="560" w:lineRule="exact"/>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服务期</w:t>
            </w:r>
          </w:p>
        </w:tc>
        <w:tc>
          <w:tcPr>
            <w:tcW w:w="1545" w:type="dxa"/>
            <w:vAlign w:val="center"/>
          </w:tcPr>
          <w:p w14:paraId="47428471">
            <w:pPr>
              <w:pageBreakBefore w:val="0"/>
              <w:kinsoku/>
              <w:overflowPunct/>
              <w:topLinePunct w:val="0"/>
              <w:bidi w:val="0"/>
              <w:spacing w:after="0" w:line="560" w:lineRule="exact"/>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备注</w:t>
            </w:r>
          </w:p>
        </w:tc>
      </w:tr>
      <w:tr w14:paraId="134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2608" w:type="dxa"/>
            <w:vAlign w:val="center"/>
          </w:tcPr>
          <w:p w14:paraId="56FD3116">
            <w:pPr>
              <w:pageBreakBefore w:val="0"/>
              <w:kinsoku/>
              <w:overflowPunct/>
              <w:topLinePunct w:val="0"/>
              <w:bidi w:val="0"/>
              <w:spacing w:after="0" w:line="560" w:lineRule="exact"/>
              <w:jc w:val="center"/>
              <w:rPr>
                <w:rFonts w:hint="eastAsia" w:ascii="宋体" w:hAnsi="宋体" w:eastAsia="宋体" w:cs="宋体"/>
                <w:bCs/>
                <w:color w:val="auto"/>
                <w:sz w:val="24"/>
              </w:rPr>
            </w:pPr>
            <w:r>
              <w:rPr>
                <w:rFonts w:hint="eastAsia" w:ascii="宋体" w:hAnsi="宋体" w:eastAsia="宋体" w:cs="宋体"/>
                <w:bCs/>
                <w:color w:val="auto"/>
                <w:sz w:val="24"/>
                <w:lang w:eastAsia="zh-CN"/>
              </w:rPr>
              <w:t>汉阴县 2025 年松树钻蛀类害虫系统调查工作项目</w:t>
            </w:r>
          </w:p>
        </w:tc>
        <w:tc>
          <w:tcPr>
            <w:tcW w:w="3698" w:type="dxa"/>
            <w:vAlign w:val="center"/>
          </w:tcPr>
          <w:p w14:paraId="27A79494">
            <w:pPr>
              <w:pageBreakBefore w:val="0"/>
              <w:kinsoku/>
              <w:overflowPunct/>
              <w:topLinePunct w:val="0"/>
              <w:bidi w:val="0"/>
              <w:spacing w:after="0" w:line="560" w:lineRule="exact"/>
              <w:jc w:val="center"/>
              <w:rPr>
                <w:rFonts w:hint="eastAsia" w:ascii="宋体" w:hAnsi="宋体" w:eastAsia="宋体" w:cs="宋体"/>
                <w:bCs/>
                <w:color w:val="auto"/>
                <w:sz w:val="24"/>
              </w:rPr>
            </w:pPr>
          </w:p>
        </w:tc>
        <w:tc>
          <w:tcPr>
            <w:tcW w:w="1847" w:type="dxa"/>
            <w:vAlign w:val="center"/>
          </w:tcPr>
          <w:p w14:paraId="39174EEA">
            <w:pPr>
              <w:pageBreakBefore w:val="0"/>
              <w:kinsoku/>
              <w:overflowPunct/>
              <w:topLinePunct w:val="0"/>
              <w:bidi w:val="0"/>
              <w:spacing w:after="0" w:line="560" w:lineRule="exact"/>
              <w:jc w:val="center"/>
              <w:rPr>
                <w:rFonts w:hint="eastAsia" w:ascii="宋体" w:hAnsi="宋体" w:eastAsia="宋体" w:cs="宋体"/>
                <w:bCs/>
                <w:color w:val="auto"/>
                <w:sz w:val="24"/>
                <w:u w:val="single"/>
                <w:lang w:val="en-US" w:eastAsia="zh-CN"/>
              </w:rPr>
            </w:pPr>
          </w:p>
        </w:tc>
        <w:tc>
          <w:tcPr>
            <w:tcW w:w="1545" w:type="dxa"/>
            <w:vAlign w:val="center"/>
          </w:tcPr>
          <w:p w14:paraId="07F418A7">
            <w:pPr>
              <w:pageBreakBefore w:val="0"/>
              <w:kinsoku/>
              <w:overflowPunct/>
              <w:topLinePunct w:val="0"/>
              <w:bidi w:val="0"/>
              <w:spacing w:after="0" w:line="560" w:lineRule="exact"/>
              <w:jc w:val="center"/>
              <w:rPr>
                <w:rFonts w:hint="eastAsia" w:ascii="宋体" w:hAnsi="宋体" w:eastAsia="宋体" w:cs="宋体"/>
                <w:bCs/>
                <w:color w:val="auto"/>
                <w:sz w:val="24"/>
              </w:rPr>
            </w:pPr>
          </w:p>
        </w:tc>
      </w:tr>
      <w:tr w14:paraId="65D3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2608" w:type="dxa"/>
            <w:vAlign w:val="center"/>
          </w:tcPr>
          <w:p w14:paraId="107BD938">
            <w:pPr>
              <w:pageBreakBefore w:val="0"/>
              <w:kinsoku/>
              <w:overflowPunct/>
              <w:topLinePunct w:val="0"/>
              <w:bidi w:val="0"/>
              <w:spacing w:after="0"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总报价（大写）</w:t>
            </w:r>
          </w:p>
        </w:tc>
        <w:tc>
          <w:tcPr>
            <w:tcW w:w="7090" w:type="dxa"/>
            <w:gridSpan w:val="3"/>
            <w:vAlign w:val="center"/>
          </w:tcPr>
          <w:p w14:paraId="0FF8F2DC">
            <w:pPr>
              <w:pageBreakBefore w:val="0"/>
              <w:kinsoku/>
              <w:overflowPunct/>
              <w:topLinePunct w:val="0"/>
              <w:bidi w:val="0"/>
              <w:spacing w:after="0" w:line="560" w:lineRule="exact"/>
              <w:rPr>
                <w:rFonts w:hint="eastAsia" w:ascii="宋体" w:hAnsi="宋体" w:eastAsia="宋体" w:cs="宋体"/>
                <w:bCs/>
                <w:color w:val="auto"/>
                <w:sz w:val="24"/>
              </w:rPr>
            </w:pPr>
          </w:p>
        </w:tc>
      </w:tr>
    </w:tbl>
    <w:p w14:paraId="22CD1651">
      <w:pPr>
        <w:pageBreakBefore w:val="0"/>
        <w:kinsoku/>
        <w:overflowPunct/>
        <w:topLinePunct w:val="0"/>
        <w:bidi w:val="0"/>
        <w:spacing w:after="0"/>
        <w:rPr>
          <w:rFonts w:hint="eastAsia" w:ascii="宋体" w:hAnsi="宋体" w:eastAsia="宋体" w:cs="宋体"/>
          <w:color w:val="auto"/>
          <w:sz w:val="24"/>
        </w:rPr>
      </w:pPr>
    </w:p>
    <w:p w14:paraId="6F76BFF3">
      <w:pPr>
        <w:pageBreakBefore w:val="0"/>
        <w:kinsoku/>
        <w:overflowPunct/>
        <w:topLinePunct w:val="0"/>
        <w:bidi w:val="0"/>
        <w:spacing w:after="0"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6C490A05">
      <w:pPr>
        <w:pageBreakBefore w:val="0"/>
        <w:kinsoku/>
        <w:overflowPunct/>
        <w:topLinePunct w:val="0"/>
        <w:bidi w:val="0"/>
        <w:spacing w:after="0"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3C6350E">
      <w:pPr>
        <w:pageBreakBefore w:val="0"/>
        <w:kinsoku/>
        <w:overflowPunct/>
        <w:topLinePunct w:val="0"/>
        <w:bidi w:val="0"/>
        <w:spacing w:after="0"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115CDE5">
      <w:pPr>
        <w:pageBreakBefore w:val="0"/>
        <w:kinsoku/>
        <w:overflowPunct/>
        <w:topLinePunct w:val="0"/>
        <w:bidi w:val="0"/>
        <w:spacing w:after="0"/>
        <w:rPr>
          <w:rFonts w:hint="eastAsia" w:ascii="宋体" w:hAnsi="宋体" w:eastAsia="宋体" w:cs="宋体"/>
          <w:color w:val="auto"/>
          <w:sz w:val="24"/>
        </w:rPr>
      </w:pPr>
    </w:p>
    <w:p w14:paraId="6562AF56">
      <w:pPr>
        <w:pageBreakBefore w:val="0"/>
        <w:kinsoku/>
        <w:overflowPunct/>
        <w:topLinePunct w:val="0"/>
        <w:bidi w:val="0"/>
        <w:spacing w:after="0"/>
        <w:rPr>
          <w:rFonts w:hint="eastAsia" w:ascii="宋体" w:hAnsi="宋体" w:eastAsia="宋体" w:cs="宋体"/>
          <w:color w:val="auto"/>
          <w:sz w:val="24"/>
        </w:rPr>
      </w:pPr>
    </w:p>
    <w:p w14:paraId="625783A6">
      <w:pPr>
        <w:pageBreakBefore w:val="0"/>
        <w:kinsoku/>
        <w:overflowPunct/>
        <w:topLinePunct w:val="0"/>
        <w:bidi w:val="0"/>
        <w:spacing w:after="0"/>
        <w:ind w:firstLine="4480"/>
        <w:rPr>
          <w:rFonts w:hint="eastAsia" w:ascii="宋体" w:hAnsi="宋体" w:eastAsia="宋体" w:cs="宋体"/>
          <w:color w:val="auto"/>
          <w:sz w:val="24"/>
        </w:rPr>
      </w:pPr>
      <w:r>
        <w:rPr>
          <w:rFonts w:hint="eastAsia" w:ascii="宋体" w:hAnsi="宋体" w:eastAsia="宋体" w:cs="宋体"/>
          <w:color w:val="auto"/>
          <w:sz w:val="24"/>
        </w:rPr>
        <w:t>　</w:t>
      </w:r>
    </w:p>
    <w:p w14:paraId="6D7D0D9A">
      <w:pPr>
        <w:pageBreakBefore w:val="0"/>
        <w:kinsoku/>
        <w:wordWrap w:val="0"/>
        <w:overflowPunct/>
        <w:topLinePunct w:val="0"/>
        <w:bidi w:val="0"/>
        <w:spacing w:after="0"/>
        <w:ind w:firstLine="4480"/>
        <w:jc w:val="right"/>
        <w:rPr>
          <w:rFonts w:hint="eastAsia" w:ascii="宋体" w:hAnsi="宋体" w:eastAsia="宋体" w:cs="宋体"/>
          <w:color w:val="auto"/>
          <w:sz w:val="24"/>
        </w:rPr>
      </w:pPr>
    </w:p>
    <w:p w14:paraId="372C3A88">
      <w:pPr>
        <w:pageBreakBefore w:val="0"/>
        <w:kinsoku/>
        <w:overflowPunct/>
        <w:topLinePunct w:val="0"/>
        <w:bidi w:val="0"/>
        <w:spacing w:after="0"/>
        <w:ind w:firstLine="2249" w:firstLineChars="700"/>
        <w:rPr>
          <w:rFonts w:hint="eastAsia" w:ascii="宋体" w:hAnsi="宋体" w:eastAsia="宋体" w:cs="宋体"/>
          <w:b/>
          <w:color w:val="auto"/>
          <w:sz w:val="32"/>
          <w:szCs w:val="32"/>
        </w:rPr>
      </w:pPr>
    </w:p>
    <w:p w14:paraId="3C3EF7EB">
      <w:pPr>
        <w:pageBreakBefore w:val="0"/>
        <w:kinsoku/>
        <w:overflowPunct/>
        <w:topLinePunct w:val="0"/>
        <w:bidi w:val="0"/>
        <w:spacing w:after="0"/>
        <w:ind w:firstLine="2249" w:firstLineChars="700"/>
        <w:rPr>
          <w:rFonts w:hint="eastAsia" w:ascii="宋体" w:hAnsi="宋体" w:eastAsia="宋体" w:cs="宋体"/>
          <w:b/>
          <w:color w:val="auto"/>
          <w:sz w:val="32"/>
          <w:szCs w:val="32"/>
        </w:rPr>
      </w:pPr>
    </w:p>
    <w:p w14:paraId="1FFACC4A">
      <w:pPr>
        <w:pageBreakBefore w:val="0"/>
        <w:kinsoku/>
        <w:overflowPunct/>
        <w:topLinePunct w:val="0"/>
        <w:bidi w:val="0"/>
        <w:spacing w:after="0"/>
        <w:ind w:firstLine="2249" w:firstLineChars="700"/>
        <w:rPr>
          <w:rFonts w:hint="eastAsia" w:ascii="宋体" w:hAnsi="宋体" w:eastAsia="宋体" w:cs="宋体"/>
          <w:b/>
          <w:color w:val="auto"/>
          <w:sz w:val="32"/>
          <w:szCs w:val="32"/>
        </w:rPr>
      </w:pPr>
    </w:p>
    <w:p w14:paraId="17CCE06B">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22BBF9AB">
      <w:pPr>
        <w:pageBreakBefore w:val="0"/>
        <w:kinsoku/>
        <w:overflowPunct/>
        <w:topLinePunct w:val="0"/>
        <w:bidi w:val="0"/>
        <w:spacing w:after="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资格证明文件</w:t>
      </w:r>
    </w:p>
    <w:p w14:paraId="04B0E64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满足《中华人民共和国政府采购法》第二十二条规定</w:t>
      </w:r>
      <w:r>
        <w:rPr>
          <w:rFonts w:hint="eastAsia" w:ascii="宋体" w:hAnsi="宋体" w:eastAsia="宋体" w:cs="宋体"/>
          <w:color w:val="auto"/>
          <w:sz w:val="21"/>
          <w:szCs w:val="21"/>
          <w:lang w:val="en-US" w:eastAsia="zh-CN"/>
        </w:rPr>
        <w:t>；</w:t>
      </w:r>
    </w:p>
    <w:p w14:paraId="1E9A299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2201088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（2）提供法定代表人授权书（附法定代表人身份证复印件）及被授权代表身份证复印件（法定代表人直接参加只须提供法定代表人身份证复印件）；</w:t>
      </w:r>
    </w:p>
    <w:p w14:paraId="5AEE4C8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税收缴纳证明:自2025年1月1日以来任意1个月的纳税证明或完税证明(提供增值税、企业所得税至少一种),纳税证明或完税证明上应有代收机构或税务机关的公章或业务专用章。依法免税的供应商应提供相关文件证明；</w:t>
      </w:r>
    </w:p>
    <w:p w14:paraId="6881417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社会保障资金缴纳证明:自2025年1月1日以来已缴存的任意1个月的社会保障资金缴存单据或社保机构开具的社会保险参保缴费情况证明，单据或证明上应有社保机构或代收机构的印章。依法不需要缴纳社会保障资金的供应商应提供相关文件证明；</w:t>
      </w:r>
    </w:p>
    <w:p w14:paraId="6A564D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财务状况报告:提供近三年任意一年度经审计的财务会计报告（(至少应包含资产负债表、利润表和现金流量表)，成立时间至提交投标文件截止时间不足一年的可提供成立后任意时段的资产负债表，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p w14:paraId="60209B8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（6）参加政府采购活动前3年内（2022年10月至今）在经营活动中没有重大违法记录的书面声明（供应商自行出具声明书并加盖公章）；</w:t>
      </w:r>
    </w:p>
    <w:p w14:paraId="461EA81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（7）供应商通过“信用中国”网站(</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"http://www.creditchina.gov.cn/" \h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www.creditchina.gov.cn</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)“信用服务”中“失信被执行人、重大税收违法案件当事人名单、政府采购严重违法失信名单”查询记录截图和中国政府采购网(</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"http://www.ccgp.gov.cn/" \h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www.ccgp.gov.cn</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)“政府采购严重违法失信行为信息记录”的查询记录截图（网站查询截图加盖企业公章）；</w:t>
      </w:r>
    </w:p>
    <w:p w14:paraId="125C7DA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本项目专门面向中小企业，供应商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p w14:paraId="1E5A4C8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）具备林业有害生物防治调查设计丙级及以上资质；</w:t>
      </w:r>
    </w:p>
    <w:p w14:paraId="1178FEC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）本项目不接受联合体投标（格式自拟）。</w:t>
      </w:r>
    </w:p>
    <w:p w14:paraId="48973661">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sz w:val="21"/>
          <w:szCs w:val="21"/>
        </w:rPr>
      </w:pPr>
    </w:p>
    <w:p w14:paraId="7A17A320">
      <w:pPr>
        <w:pageBreakBefore w:val="0"/>
        <w:kinsoku/>
        <w:overflowPunct/>
        <w:topLinePunct w:val="0"/>
        <w:bidi w:val="0"/>
        <w:spacing w:after="0"/>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C6B31F5">
      <w:pPr>
        <w:pageBreakBefore w:val="0"/>
        <w:kinsoku/>
        <w:overflowPunct/>
        <w:topLinePunct w:val="0"/>
        <w:bidi w:val="0"/>
        <w:spacing w:after="0"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w:t>
      </w:r>
    </w:p>
    <w:p w14:paraId="3B772FD2">
      <w:pPr>
        <w:pageBreakBefore w:val="0"/>
        <w:shd w:val="clear" w:color="auto" w:fill="auto"/>
        <w:kinsoku/>
        <w:overflowPunct/>
        <w:topLinePunct w:val="0"/>
        <w:bidi w:val="0"/>
        <w:adjustRightInd w:val="0"/>
        <w:snapToGrid w:val="0"/>
        <w:spacing w:after="0" w:line="360" w:lineRule="auto"/>
        <w:jc w:val="center"/>
        <w:outlineLvl w:val="1"/>
        <w:rPr>
          <w:rFonts w:hint="eastAsia" w:ascii="宋体" w:hAnsi="宋体" w:eastAsia="宋体" w:cs="宋体"/>
          <w:b/>
          <w:bCs/>
          <w:color w:val="auto"/>
          <w:sz w:val="36"/>
          <w:szCs w:val="36"/>
          <w:highlight w:val="none"/>
        </w:rPr>
      </w:pPr>
      <w:bookmarkStart w:id="0" w:name="_Toc18271"/>
      <w:bookmarkStart w:id="1" w:name="_Toc10860"/>
      <w:bookmarkStart w:id="2" w:name="_Toc22281"/>
      <w:bookmarkStart w:id="3" w:name="_Toc20808"/>
      <w:bookmarkStart w:id="4" w:name="_Toc28390"/>
      <w:bookmarkStart w:id="5" w:name="_Toc27695"/>
      <w:bookmarkStart w:id="6" w:name="_Toc11433"/>
      <w:r>
        <w:rPr>
          <w:rFonts w:hint="eastAsia" w:ascii="宋体" w:hAnsi="宋体" w:eastAsia="宋体" w:cs="宋体"/>
          <w:b/>
          <w:bCs/>
          <w:color w:val="auto"/>
          <w:sz w:val="32"/>
          <w:szCs w:val="32"/>
          <w:highlight w:val="none"/>
        </w:rPr>
        <w:t>法定代表人身份证明</w:t>
      </w:r>
      <w:bookmarkEnd w:id="0"/>
      <w:bookmarkEnd w:id="1"/>
      <w:bookmarkEnd w:id="2"/>
      <w:bookmarkEnd w:id="3"/>
      <w:bookmarkEnd w:id="4"/>
      <w:bookmarkEnd w:id="5"/>
      <w:bookmarkEnd w:id="6"/>
    </w:p>
    <w:p w14:paraId="45569A66">
      <w:pPr>
        <w:pStyle w:val="9"/>
        <w:pageBreakBefore w:val="0"/>
        <w:shd w:val="clear" w:color="auto" w:fill="auto"/>
        <w:kinsoku/>
        <w:overflowPunct/>
        <w:topLinePunct w:val="0"/>
        <w:bidi w:val="0"/>
        <w:adjustRightInd w:val="0"/>
        <w:spacing w:after="0" w:line="360" w:lineRule="auto"/>
        <w:rPr>
          <w:rFonts w:hint="eastAsia" w:ascii="宋体" w:hAnsi="宋体" w:eastAsia="宋体" w:cs="宋体"/>
          <w:color w:val="auto"/>
          <w:highlight w:val="none"/>
        </w:rPr>
      </w:pPr>
    </w:p>
    <w:p w14:paraId="610F4882">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5B02EE4">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18385A1E">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6C30872">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D680F9">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E61D047">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p>
    <w:p w14:paraId="0648D3E1">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的法定代表人。</w:t>
      </w:r>
    </w:p>
    <w:p w14:paraId="76E30612">
      <w:pPr>
        <w:pStyle w:val="7"/>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4AF5EFB4">
      <w:pPr>
        <w:pageBreakBefore w:val="0"/>
        <w:shd w:val="clear" w:color="auto" w:fill="auto"/>
        <w:tabs>
          <w:tab w:val="left" w:pos="6300"/>
        </w:tabs>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1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50"/>
        <w:gridCol w:w="4550"/>
      </w:tblGrid>
      <w:tr w14:paraId="74DB20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90" w:hRule="atLeast"/>
        </w:trPr>
        <w:tc>
          <w:tcPr>
            <w:tcW w:w="4550" w:type="dxa"/>
            <w:vAlign w:val="center"/>
          </w:tcPr>
          <w:p w14:paraId="2E0EFA5F">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p>
          <w:p w14:paraId="6735E066">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p>
          <w:p w14:paraId="29683DAE">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p w14:paraId="0A157751">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p>
          <w:p w14:paraId="20CBF2CB">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p>
        </w:tc>
        <w:tc>
          <w:tcPr>
            <w:tcW w:w="4550" w:type="dxa"/>
            <w:vAlign w:val="center"/>
          </w:tcPr>
          <w:p w14:paraId="2BBC70A5">
            <w:pPr>
              <w:pageBreakBefore w:val="0"/>
              <w:shd w:val="clear" w:color="auto" w:fill="auto"/>
              <w:tabs>
                <w:tab w:val="left" w:pos="6300"/>
              </w:tabs>
              <w:kinsoku/>
              <w:overflowPunct/>
              <w:topLinePunct w:val="0"/>
              <w:bidi w:val="0"/>
              <w:adjustRightInd w:val="0"/>
              <w:snapToGrid w:val="0"/>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15BC7506">
      <w:pPr>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p>
    <w:p w14:paraId="4A16A80E">
      <w:pPr>
        <w:pageBreakBefore w:val="0"/>
        <w:shd w:val="clear" w:color="auto" w:fill="auto"/>
        <w:kinsoku/>
        <w:overflowPunct/>
        <w:topLinePunct w:val="0"/>
        <w:bidi w:val="0"/>
        <w:adjustRightInd w:val="0"/>
        <w:snapToGrid w:val="0"/>
        <w:spacing w:after="0"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8A2830">
      <w:pPr>
        <w:pageBreakBefore w:val="0"/>
        <w:kinsoku/>
        <w:overflowPunct/>
        <w:topLinePunct w:val="0"/>
        <w:bidi w:val="0"/>
        <w:spacing w:after="0"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5C5DC5C4">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3FC0278B">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0B9F732">
      <w:pPr>
        <w:pStyle w:val="9"/>
        <w:pageBreakBefore w:val="0"/>
        <w:shd w:val="clear" w:color="auto" w:fill="auto"/>
        <w:kinsoku/>
        <w:overflowPunct/>
        <w:topLinePunct w:val="0"/>
        <w:bidi w:val="0"/>
        <w:spacing w:after="0"/>
        <w:rPr>
          <w:rFonts w:hint="eastAsia" w:ascii="宋体" w:hAnsi="宋体" w:eastAsia="宋体" w:cs="宋体"/>
          <w:color w:val="auto"/>
          <w:sz w:val="24"/>
          <w:szCs w:val="24"/>
          <w:highlight w:val="none"/>
        </w:rPr>
      </w:pPr>
    </w:p>
    <w:p w14:paraId="627CDF45">
      <w:pPr>
        <w:pageBreakBefore w:val="0"/>
        <w:shd w:val="clear" w:color="auto" w:fill="auto"/>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p>
    <w:p w14:paraId="4DA4B460">
      <w:pPr>
        <w:pageBreakBefore w:val="0"/>
        <w:shd w:val="clear" w:color="auto" w:fill="auto"/>
        <w:kinsoku/>
        <w:overflowPunct/>
        <w:topLinePunct w:val="0"/>
        <w:bidi w:val="0"/>
        <w:spacing w:after="0"/>
        <w:rPr>
          <w:rFonts w:hint="eastAsia" w:ascii="宋体" w:hAnsi="宋体" w:eastAsia="宋体" w:cs="宋体"/>
          <w:color w:val="auto"/>
          <w:sz w:val="24"/>
          <w:szCs w:val="24"/>
          <w:highlight w:val="none"/>
        </w:rPr>
      </w:pPr>
    </w:p>
    <w:p w14:paraId="732C612E">
      <w:pPr>
        <w:pageBreakBefore w:val="0"/>
        <w:shd w:val="clear" w:color="auto" w:fill="auto"/>
        <w:kinsoku/>
        <w:overflowPunct/>
        <w:topLinePunct w:val="0"/>
        <w:bidi w:val="0"/>
        <w:spacing w:after="0"/>
        <w:jc w:val="center"/>
        <w:outlineLvl w:val="1"/>
        <w:rPr>
          <w:rFonts w:hint="eastAsia" w:ascii="宋体" w:hAnsi="宋体" w:eastAsia="宋体" w:cs="宋体"/>
          <w:b/>
          <w:color w:val="auto"/>
          <w:sz w:val="32"/>
          <w:szCs w:val="32"/>
          <w:highlight w:val="none"/>
        </w:rPr>
      </w:pPr>
      <w:bookmarkStart w:id="7" w:name="_Toc17247"/>
      <w:bookmarkStart w:id="8" w:name="_Toc28465"/>
      <w:bookmarkStart w:id="9" w:name="_Toc31302"/>
      <w:bookmarkStart w:id="10" w:name="_Toc31116"/>
      <w:bookmarkStart w:id="11" w:name="_Toc28002"/>
      <w:bookmarkStart w:id="12" w:name="_Toc17930"/>
      <w:bookmarkStart w:id="13" w:name="_Toc22131"/>
      <w:bookmarkStart w:id="14" w:name="_Toc17041"/>
    </w:p>
    <w:p w14:paraId="21078F3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3E4CAF">
      <w:pPr>
        <w:pageBreakBefore w:val="0"/>
        <w:shd w:val="clear" w:color="auto" w:fill="auto"/>
        <w:kinsoku/>
        <w:overflowPunct/>
        <w:topLinePunct w:val="0"/>
        <w:bidi w:val="0"/>
        <w:spacing w:after="0"/>
        <w:jc w:val="center"/>
        <w:outlineLvl w:val="1"/>
        <w:rPr>
          <w:rFonts w:hint="eastAsia" w:ascii="宋体" w:hAnsi="宋体" w:eastAsia="宋体" w:cs="宋体"/>
          <w:color w:val="auto"/>
          <w:sz w:val="20"/>
          <w:szCs w:val="22"/>
          <w:highlight w:val="none"/>
        </w:rPr>
      </w:pPr>
      <w:r>
        <w:rPr>
          <w:rFonts w:hint="eastAsia" w:ascii="宋体" w:hAnsi="宋体" w:eastAsia="宋体" w:cs="宋体"/>
          <w:b/>
          <w:color w:val="auto"/>
          <w:sz w:val="32"/>
          <w:szCs w:val="32"/>
          <w:highlight w:val="none"/>
        </w:rPr>
        <w:t>法定代表人代表授权委托书</w:t>
      </w:r>
      <w:bookmarkEnd w:id="7"/>
      <w:bookmarkEnd w:id="8"/>
      <w:bookmarkEnd w:id="9"/>
      <w:bookmarkEnd w:id="10"/>
      <w:bookmarkEnd w:id="11"/>
      <w:bookmarkEnd w:id="12"/>
      <w:bookmarkEnd w:id="13"/>
      <w:bookmarkEnd w:id="14"/>
    </w:p>
    <w:p w14:paraId="32B0040F">
      <w:pPr>
        <w:pageBreakBefore w:val="0"/>
        <w:shd w:val="clear" w:color="auto" w:fill="auto"/>
        <w:kinsoku/>
        <w:overflowPunct/>
        <w:topLinePunct w:val="0"/>
        <w:bidi w:val="0"/>
        <w:spacing w:after="0"/>
        <w:jc w:val="center"/>
        <w:rPr>
          <w:rFonts w:hint="eastAsia" w:ascii="宋体" w:hAnsi="宋体" w:eastAsia="宋体" w:cs="宋体"/>
          <w:color w:val="auto"/>
          <w:highlight w:val="none"/>
        </w:rPr>
      </w:pPr>
    </w:p>
    <w:p w14:paraId="0B74845E">
      <w:pPr>
        <w:pageBreakBefore w:val="0"/>
        <w:shd w:val="clear" w:color="auto" w:fill="auto"/>
        <w:kinsoku/>
        <w:overflowPunct/>
        <w:topLinePunct w:val="0"/>
        <w:bidi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p>
    <w:p w14:paraId="53EAF38C">
      <w:pPr>
        <w:pStyle w:val="19"/>
        <w:pageBreakBefore w:val="0"/>
        <w:shd w:val="clear" w:color="auto" w:fill="auto"/>
        <w:kinsoku/>
        <w:overflowPunct/>
        <w:topLinePunct w:val="0"/>
        <w:bidi w:val="0"/>
        <w:snapToGrid w:val="0"/>
        <w:spacing w:after="0"/>
        <w:ind w:firstLine="480"/>
        <w:rPr>
          <w:rFonts w:hint="eastAsia" w:ascii="宋体" w:hAnsi="宋体" w:eastAsia="宋体" w:cs="宋体"/>
          <w:color w:val="auto"/>
          <w:sz w:val="24"/>
          <w:szCs w:val="24"/>
          <w:highlight w:val="none"/>
        </w:rPr>
      </w:pPr>
    </w:p>
    <w:p w14:paraId="36849D7D">
      <w:pPr>
        <w:pageBreakBefore w:val="0"/>
        <w:shd w:val="clear" w:color="auto" w:fill="auto"/>
        <w:kinsoku/>
        <w:overflowPunct/>
        <w:topLinePunct w:val="0"/>
        <w:bidi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按中华人民共和国相关法律于</w:t>
      </w:r>
      <w:r>
        <w:rPr>
          <w:rFonts w:hint="eastAsia" w:ascii="宋体" w:hAnsi="宋体" w:eastAsia="宋体" w:cs="宋体"/>
          <w:color w:val="auto"/>
          <w:sz w:val="24"/>
          <w:szCs w:val="24"/>
          <w:highlight w:val="none"/>
          <w:u w:val="single"/>
        </w:rPr>
        <w:t xml:space="preserve"> （ 年 月  日）</w:t>
      </w:r>
      <w:r>
        <w:rPr>
          <w:rFonts w:hint="eastAsia" w:ascii="宋体" w:hAnsi="宋体" w:eastAsia="宋体" w:cs="宋体"/>
          <w:color w:val="auto"/>
          <w:sz w:val="24"/>
          <w:szCs w:val="24"/>
          <w:highlight w:val="none"/>
        </w:rPr>
        <w:t xml:space="preserve"> 成立。</w:t>
      </w:r>
    </w:p>
    <w:p w14:paraId="25CD3E01">
      <w:pPr>
        <w:pageBreakBefore w:val="0"/>
        <w:shd w:val="clear" w:color="auto" w:fill="auto"/>
        <w:kinsoku/>
        <w:overflowPunct/>
        <w:topLinePunct w:val="0"/>
        <w:bidi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特授权</w:t>
      </w:r>
      <w:r>
        <w:rPr>
          <w:rFonts w:hint="eastAsia" w:ascii="宋体" w:hAnsi="宋体" w:eastAsia="宋体" w:cs="宋体"/>
          <w:color w:val="auto"/>
          <w:sz w:val="24"/>
          <w:szCs w:val="24"/>
          <w:highlight w:val="none"/>
          <w:u w:val="single"/>
        </w:rPr>
        <w:t>（授权委托人姓名）</w:t>
      </w:r>
      <w:r>
        <w:rPr>
          <w:rFonts w:hint="eastAsia" w:ascii="宋体" w:hAnsi="宋体" w:eastAsia="宋体" w:cs="宋体"/>
          <w:color w:val="auto"/>
          <w:sz w:val="24"/>
          <w:szCs w:val="24"/>
          <w:highlight w:val="none"/>
        </w:rPr>
        <w:t>代表我公司全权办理</w:t>
      </w:r>
      <w:r>
        <w:rPr>
          <w:rFonts w:hint="eastAsia" w:ascii="宋体" w:hAnsi="宋体" w:eastAsia="宋体" w:cs="宋体"/>
          <w:color w:val="auto"/>
          <w:sz w:val="24"/>
          <w:szCs w:val="24"/>
          <w:highlight w:val="none"/>
          <w:u w:val="single"/>
        </w:rPr>
        <w:t>（项目名称、编号）</w:t>
      </w:r>
      <w:r>
        <w:rPr>
          <w:rFonts w:hint="eastAsia" w:ascii="宋体" w:hAnsi="宋体" w:eastAsia="宋体" w:cs="宋体"/>
          <w:color w:val="auto"/>
          <w:sz w:val="24"/>
          <w:szCs w:val="24"/>
          <w:highlight w:val="none"/>
        </w:rPr>
        <w:t>的投标工作，以我方名义签署、澄清、递交、撤回、修改</w:t>
      </w:r>
      <w:r>
        <w:rPr>
          <w:rFonts w:hint="eastAsia" w:ascii="宋体" w:hAnsi="宋体" w:eastAsia="宋体" w:cs="宋体"/>
          <w:color w:val="auto"/>
          <w:sz w:val="24"/>
          <w:szCs w:val="24"/>
          <w:highlight w:val="none"/>
          <w:u w:val="single"/>
        </w:rPr>
        <w:t>（项目名称，编号）</w:t>
      </w:r>
      <w:r>
        <w:rPr>
          <w:rFonts w:hint="eastAsia" w:ascii="宋体" w:hAnsi="宋体" w:eastAsia="宋体" w:cs="宋体"/>
          <w:color w:val="auto"/>
          <w:sz w:val="24"/>
          <w:szCs w:val="24"/>
          <w:highlight w:val="none"/>
        </w:rPr>
        <w:t>的投标文件，其法律后果由我方承担。</w:t>
      </w:r>
    </w:p>
    <w:p w14:paraId="49766EE6">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w:t>
      </w:r>
    </w:p>
    <w:p w14:paraId="7D575C11">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p>
    <w:p w14:paraId="525D778B">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授权委托人签字或盖章：     法定代表人签字或盖章： </w:t>
      </w:r>
    </w:p>
    <w:p w14:paraId="657E1250">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职务：                     职务： </w:t>
      </w:r>
    </w:p>
    <w:p w14:paraId="558C0307">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身份证编号：               身份证编号： </w:t>
      </w:r>
    </w:p>
    <w:p w14:paraId="0DF1EF1D">
      <w:pPr>
        <w:pageBreakBefore w:val="0"/>
        <w:shd w:val="clear" w:color="auto" w:fill="auto"/>
        <w:kinsoku/>
        <w:overflowPunct/>
        <w:topLinePunct w:val="0"/>
        <w:bidi w:val="0"/>
        <w:snapToGrid w:val="0"/>
        <w:spacing w:after="0"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所在部门：            </w:t>
      </w:r>
    </w:p>
    <w:tbl>
      <w:tblPr>
        <w:tblStyle w:val="13"/>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84"/>
      </w:tblGrid>
      <w:tr w14:paraId="396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4256" w:type="dxa"/>
          </w:tcPr>
          <w:p w14:paraId="3019813C">
            <w:pPr>
              <w:pageBreakBefore w:val="0"/>
              <w:shd w:val="clear" w:color="auto" w:fill="auto"/>
              <w:kinsoku/>
              <w:overflowPunct/>
              <w:topLinePunct w:val="0"/>
              <w:bidi w:val="0"/>
              <w:snapToGrid w:val="0"/>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w:t>
            </w:r>
          </w:p>
          <w:p w14:paraId="269AA0E8">
            <w:pPr>
              <w:pageBreakBefore w:val="0"/>
              <w:shd w:val="clear" w:color="auto" w:fill="auto"/>
              <w:kinsoku/>
              <w:overflowPunct/>
              <w:topLinePunct w:val="0"/>
              <w:bidi w:val="0"/>
              <w:snapToGrid w:val="0"/>
              <w:spacing w:after="0" w:line="360" w:lineRule="auto"/>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正反面复印件</w:t>
            </w:r>
          </w:p>
        </w:tc>
        <w:tc>
          <w:tcPr>
            <w:tcW w:w="4084" w:type="dxa"/>
          </w:tcPr>
          <w:p w14:paraId="29D5C8C5">
            <w:pPr>
              <w:pageBreakBefore w:val="0"/>
              <w:shd w:val="clear" w:color="auto" w:fill="auto"/>
              <w:kinsoku/>
              <w:overflowPunct/>
              <w:topLinePunct w:val="0"/>
              <w:bidi w:val="0"/>
              <w:snapToGrid w:val="0"/>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w:t>
            </w:r>
          </w:p>
          <w:p w14:paraId="13298149">
            <w:pPr>
              <w:pageBreakBefore w:val="0"/>
              <w:shd w:val="clear" w:color="auto" w:fill="auto"/>
              <w:kinsoku/>
              <w:overflowPunct/>
              <w:topLinePunct w:val="0"/>
              <w:bidi w:val="0"/>
              <w:snapToGrid w:val="0"/>
              <w:spacing w:after="0" w:line="360" w:lineRule="auto"/>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正反面复印件</w:t>
            </w:r>
          </w:p>
        </w:tc>
      </w:tr>
    </w:tbl>
    <w:p w14:paraId="4DA1AB0E">
      <w:pPr>
        <w:pStyle w:val="9"/>
        <w:pageBreakBefore w:val="0"/>
        <w:shd w:val="clear" w:color="auto" w:fill="auto"/>
        <w:kinsoku/>
        <w:overflowPunct/>
        <w:topLinePunct w:val="0"/>
        <w:bidi w:val="0"/>
        <w:spacing w:after="0"/>
        <w:rPr>
          <w:rFonts w:hint="eastAsia" w:ascii="宋体" w:hAnsi="宋体" w:eastAsia="宋体" w:cs="宋体"/>
          <w:color w:val="auto"/>
          <w:sz w:val="24"/>
          <w:szCs w:val="24"/>
          <w:highlight w:val="none"/>
        </w:rPr>
      </w:pPr>
    </w:p>
    <w:p w14:paraId="364063B0">
      <w:pPr>
        <w:pageBreakBefore w:val="0"/>
        <w:kinsoku/>
        <w:overflowPunct/>
        <w:topLinePunct w:val="0"/>
        <w:bidi w:val="0"/>
        <w:spacing w:after="0"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0DC80C31">
      <w:pPr>
        <w:pageBreakBefore w:val="0"/>
        <w:kinsoku/>
        <w:overflowPunct/>
        <w:topLinePunct w:val="0"/>
        <w:bidi w:val="0"/>
        <w:spacing w:after="0"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167E4955">
      <w:pPr>
        <w:pageBreakBefore w:val="0"/>
        <w:kinsoku/>
        <w:overflowPunct/>
        <w:topLinePunct w:val="0"/>
        <w:bidi w:val="0"/>
        <w:spacing w:after="0" w:line="360" w:lineRule="auto"/>
        <w:ind w:firstLine="2640" w:firstLineChars="1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FAE16DB">
      <w:pPr>
        <w:pStyle w:val="4"/>
        <w:pageBreakBefore w:val="0"/>
        <w:shd w:val="clear" w:color="auto" w:fill="auto"/>
        <w:kinsoku/>
        <w:overflowPunct/>
        <w:topLinePunct w:val="0"/>
        <w:bidi w:val="0"/>
        <w:spacing w:before="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注：本项目有授权委托人的，需填写此委托书和本章“法定代表人身份证明”。</w:t>
      </w:r>
    </w:p>
    <w:p w14:paraId="26186260">
      <w:pPr>
        <w:pStyle w:val="6"/>
        <w:pageBreakBefore w:val="0"/>
        <w:kinsoku/>
        <w:overflowPunct/>
        <w:topLinePunct w:val="0"/>
        <w:bidi w:val="0"/>
        <w:spacing w:after="0"/>
        <w:rPr>
          <w:rFonts w:hint="eastAsia" w:ascii="宋体" w:hAnsi="宋体" w:eastAsia="宋体" w:cs="宋体"/>
          <w:color w:val="auto"/>
          <w:sz w:val="24"/>
          <w:szCs w:val="24"/>
        </w:rPr>
      </w:pPr>
    </w:p>
    <w:p w14:paraId="3BF06F01">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2D615627">
      <w:pPr>
        <w:pageBreakBefore w:val="0"/>
        <w:kinsoku/>
        <w:overflowPunct/>
        <w:topLinePunct w:val="0"/>
        <w:bidi w:val="0"/>
        <w:spacing w:after="0" w:line="360" w:lineRule="auto"/>
        <w:ind w:firstLine="643" w:firstLineChars="2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w:t>
      </w:r>
    </w:p>
    <w:p w14:paraId="507E83C6">
      <w:pPr>
        <w:pageBreakBefore w:val="0"/>
        <w:kinsoku/>
        <w:overflowPunct/>
        <w:topLinePunct w:val="0"/>
        <w:bidi w:val="0"/>
        <w:spacing w:after="0" w:line="360" w:lineRule="auto"/>
        <w:ind w:left="1"/>
        <w:jc w:val="center"/>
        <w:rPr>
          <w:rFonts w:hint="eastAsia" w:ascii="宋体" w:hAnsi="宋体" w:eastAsia="宋体" w:cs="宋体"/>
          <w:b/>
          <w:color w:val="auto"/>
          <w:sz w:val="36"/>
          <w:szCs w:val="36"/>
        </w:rPr>
      </w:pPr>
      <w:r>
        <w:rPr>
          <w:rFonts w:hint="eastAsia" w:ascii="宋体" w:hAnsi="宋体" w:eastAsia="宋体" w:cs="宋体"/>
          <w:b/>
          <w:color w:val="auto"/>
          <w:sz w:val="32"/>
          <w:szCs w:val="32"/>
        </w:rPr>
        <w:t>供应商无重大违法记录的书面声明（格式）</w:t>
      </w:r>
    </w:p>
    <w:p w14:paraId="2CF11981">
      <w:pPr>
        <w:pageBreakBefore w:val="0"/>
        <w:kinsoku/>
        <w:overflowPunct/>
        <w:topLinePunct w:val="0"/>
        <w:bidi w:val="0"/>
        <w:spacing w:after="0" w:line="360" w:lineRule="auto"/>
        <w:rPr>
          <w:rFonts w:hint="eastAsia" w:ascii="宋体" w:hAnsi="宋体" w:eastAsia="宋体" w:cs="宋体"/>
          <w:b/>
          <w:color w:val="auto"/>
          <w:spacing w:val="4"/>
          <w:sz w:val="30"/>
          <w:szCs w:val="30"/>
          <w:u w:val="single"/>
        </w:rPr>
      </w:pPr>
    </w:p>
    <w:p w14:paraId="043662D4">
      <w:pPr>
        <w:pageBreakBefore w:val="0"/>
        <w:kinsoku/>
        <w:overflowPunct/>
        <w:topLinePunct w:val="0"/>
        <w:bidi w:val="0"/>
        <w:spacing w:after="0" w:line="36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u w:val="single"/>
        </w:rPr>
        <w:t>致： （采购人名称）</w:t>
      </w:r>
    </w:p>
    <w:p w14:paraId="5941D827">
      <w:pPr>
        <w:pageBreakBefore w:val="0"/>
        <w:kinsoku/>
        <w:overflowPunct/>
        <w:topLinePunct w:val="0"/>
        <w:bidi w:val="0"/>
        <w:spacing w:after="0" w:line="360" w:lineRule="auto"/>
        <w:ind w:firstLine="170"/>
        <w:rPr>
          <w:rFonts w:hint="eastAsia" w:ascii="宋体" w:hAnsi="宋体" w:eastAsia="宋体" w:cs="宋体"/>
          <w:color w:val="auto"/>
          <w:spacing w:val="4"/>
          <w:sz w:val="24"/>
        </w:rPr>
      </w:pPr>
      <w:r>
        <w:rPr>
          <w:rFonts w:hint="eastAsia" w:ascii="宋体" w:hAnsi="宋体" w:eastAsia="宋体" w:cs="宋体"/>
          <w:color w:val="auto"/>
          <w:spacing w:val="4"/>
          <w:sz w:val="24"/>
        </w:rPr>
        <w:t xml:space="preserve"> （————公司）为在中华人民共和国境内合法注册并经营的机构。在此郑重声明，我公司在参与本次政府采购活动近3年内</w:t>
      </w:r>
      <w:r>
        <w:rPr>
          <w:rFonts w:hint="eastAsia" w:ascii="宋体" w:hAnsi="宋体" w:eastAsia="宋体" w:cs="宋体"/>
          <w:color w:val="auto"/>
          <w:sz w:val="24"/>
        </w:rPr>
        <w:t>（</w:t>
      </w:r>
      <w:r>
        <w:rPr>
          <w:rFonts w:hint="eastAsia" w:ascii="宋体" w:hAnsi="宋体" w:eastAsia="宋体" w:cs="宋体"/>
          <w:color w:val="auto"/>
          <w:sz w:val="24"/>
          <w:lang w:eastAsia="zh-CN"/>
        </w:rPr>
        <w:t>2022年9月</w:t>
      </w:r>
      <w:r>
        <w:rPr>
          <w:rFonts w:hint="eastAsia" w:ascii="宋体" w:hAnsi="宋体" w:eastAsia="宋体" w:cs="宋体"/>
          <w:color w:val="auto"/>
          <w:sz w:val="24"/>
        </w:rPr>
        <w:t>至今）</w:t>
      </w:r>
      <w:r>
        <w:rPr>
          <w:rFonts w:hint="eastAsia" w:ascii="宋体" w:hAnsi="宋体" w:eastAsia="宋体" w:cs="宋体"/>
          <w:color w:val="auto"/>
          <w:spacing w:val="4"/>
          <w:sz w:val="24"/>
        </w:rPr>
        <w:t>在经营活动中没有重大违法记录。</w:t>
      </w:r>
    </w:p>
    <w:p w14:paraId="674D2B64">
      <w:pPr>
        <w:pageBreakBefore w:val="0"/>
        <w:kinsoku/>
        <w:overflowPunct/>
        <w:topLinePunct w:val="0"/>
        <w:bidi w:val="0"/>
        <w:spacing w:after="0" w:line="360" w:lineRule="auto"/>
        <w:ind w:firstLine="170"/>
        <w:rPr>
          <w:rFonts w:hint="eastAsia" w:ascii="宋体" w:hAnsi="宋体" w:eastAsia="宋体" w:cs="宋体"/>
          <w:color w:val="auto"/>
          <w:spacing w:val="4"/>
          <w:sz w:val="24"/>
        </w:rPr>
      </w:pPr>
    </w:p>
    <w:p w14:paraId="72F37ACA">
      <w:pPr>
        <w:pageBreakBefore w:val="0"/>
        <w:kinsoku/>
        <w:overflowPunct/>
        <w:topLinePunct w:val="0"/>
        <w:bidi w:val="0"/>
        <w:spacing w:after="0"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7ED32AEF">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E291C84">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CED7D07">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210EB1EE">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56761D55">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26931D56">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0E48A16E">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62160474">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777F855F">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69DBE078">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054F0F74">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36BA008C">
      <w:pPr>
        <w:pageBreakBefore w:val="0"/>
        <w:kinsoku/>
        <w:overflowPunct/>
        <w:topLinePunct w:val="0"/>
        <w:bidi w:val="0"/>
        <w:spacing w:after="0" w:line="360" w:lineRule="auto"/>
        <w:ind w:left="1"/>
        <w:jc w:val="left"/>
        <w:rPr>
          <w:rFonts w:hint="eastAsia" w:ascii="宋体" w:hAnsi="宋体" w:eastAsia="宋体" w:cs="宋体"/>
          <w:color w:val="auto"/>
          <w:sz w:val="22"/>
        </w:rPr>
      </w:pPr>
    </w:p>
    <w:p w14:paraId="6BD73388">
      <w:pPr>
        <w:pageBreakBefore w:val="0"/>
        <w:kinsoku/>
        <w:overflowPunct/>
        <w:topLinePunct w:val="0"/>
        <w:bidi w:val="0"/>
        <w:spacing w:after="0"/>
        <w:rPr>
          <w:rFonts w:hint="eastAsia" w:ascii="宋体" w:hAnsi="宋体" w:eastAsia="宋体" w:cs="宋体"/>
          <w:color w:val="auto"/>
        </w:rPr>
      </w:pPr>
    </w:p>
    <w:p w14:paraId="6313C458">
      <w:pP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br w:type="page"/>
      </w:r>
    </w:p>
    <w:p w14:paraId="76987FA0">
      <w:pPr>
        <w:pageBreakBefore w:val="0"/>
        <w:kinsoku/>
        <w:overflowPunct/>
        <w:topLinePunct w:val="0"/>
        <w:bidi w:val="0"/>
        <w:spacing w:after="0"/>
        <w:jc w:val="left"/>
        <w:rPr>
          <w:rFonts w:hint="eastAsia" w:ascii="宋体" w:hAnsi="宋体" w:eastAsia="宋体" w:cs="宋体"/>
          <w:color w:val="auto"/>
          <w:highlight w:val="none"/>
        </w:rPr>
      </w:pPr>
      <w:r>
        <w:rPr>
          <w:rFonts w:hint="eastAsia" w:ascii="宋体" w:hAnsi="宋体" w:eastAsia="宋体" w:cs="宋体"/>
          <w:b/>
          <w:bCs/>
          <w:color w:val="auto"/>
          <w:kern w:val="2"/>
          <w:sz w:val="32"/>
          <w:szCs w:val="32"/>
          <w:lang w:val="en-US" w:eastAsia="zh-CN" w:bidi="ar-SA"/>
        </w:rPr>
        <w:t>附：中小企业声明函</w:t>
      </w:r>
    </w:p>
    <w:p w14:paraId="4DE02355">
      <w:pPr>
        <w:pageBreakBefore w:val="0"/>
        <w:kinsoku/>
        <w:overflowPunct/>
        <w:topLinePunct w:val="0"/>
        <w:bidi w:val="0"/>
        <w:spacing w:after="0"/>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2"/>
          <w:sz w:val="32"/>
          <w:szCs w:val="32"/>
          <w:lang w:val="en-US" w:eastAsia="zh-CN" w:bidi="ar-SA"/>
        </w:rPr>
        <w:t>中小企业声明函（格式）</w:t>
      </w:r>
    </w:p>
    <w:p w14:paraId="23A4D012">
      <w:pPr>
        <w:pageBreakBefore w:val="0"/>
        <w:kinsoku/>
        <w:overflowPunct/>
        <w:topLinePunct w:val="0"/>
        <w:bidi w:val="0"/>
        <w:spacing w:after="0"/>
        <w:rPr>
          <w:rFonts w:hint="eastAsia" w:ascii="宋体" w:hAnsi="宋体" w:eastAsia="宋体" w:cs="宋体"/>
          <w:color w:val="auto"/>
          <w:sz w:val="24"/>
          <w:szCs w:val="24"/>
          <w:highlight w:val="none"/>
        </w:rPr>
      </w:pPr>
    </w:p>
    <w:p w14:paraId="678D066E">
      <w:pPr>
        <w:pageBreakBefore w:val="0"/>
        <w:kinsoku/>
        <w:overflowPunct/>
        <w:topLinePunct w:val="0"/>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采购活动，服务全部由符合政策要求的</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企业承接。相关企业（含联合体中的</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企业、签订分包意向协议的</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企业）的具体情况如下：</w:t>
      </w:r>
    </w:p>
    <w:p w14:paraId="1B4A5F23">
      <w:pPr>
        <w:pageBreakBefore w:val="0"/>
        <w:kinsoku/>
        <w:overflowPunct/>
        <w:topLinePunct w:val="0"/>
        <w:bidi w:val="0"/>
        <w:spacing w:after="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50A06D5E">
      <w:pPr>
        <w:pageBreakBefore w:val="0"/>
        <w:kinsoku/>
        <w:overflowPunct/>
        <w:topLinePunct w:val="0"/>
        <w:bidi w:val="0"/>
        <w:spacing w:after="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066A3DAE">
      <w:pPr>
        <w:pStyle w:val="11"/>
        <w:pageBreakBefore w:val="0"/>
        <w:kinsoku/>
        <w:overflowPunct/>
        <w:topLinePunct w:val="0"/>
        <w:bidi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2C4150">
      <w:pPr>
        <w:pStyle w:val="11"/>
        <w:pageBreakBefore w:val="0"/>
        <w:kinsoku/>
        <w:overflowPunct/>
        <w:topLinePunct w:val="0"/>
        <w:bidi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大企业的分支机构，不存在控股股东为大企业的情形，也不存在与大企业的负责人为同一人的情形。</w:t>
      </w:r>
    </w:p>
    <w:p w14:paraId="04FF0CF1">
      <w:pPr>
        <w:pageBreakBefore w:val="0"/>
        <w:kinsoku/>
        <w:overflowPunct/>
        <w:topLinePunct w:val="0"/>
        <w:bidi w:val="0"/>
        <w:spacing w:after="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14:paraId="5B8F8BDC">
      <w:pPr>
        <w:pageBreakBefore w:val="0"/>
        <w:kinsoku/>
        <w:overflowPunct/>
        <w:topLinePunct w:val="0"/>
        <w:bidi w:val="0"/>
        <w:spacing w:after="0" w:line="360" w:lineRule="auto"/>
        <w:rPr>
          <w:rFonts w:hint="eastAsia" w:ascii="宋体" w:hAnsi="宋体" w:eastAsia="宋体" w:cs="宋体"/>
          <w:color w:val="auto"/>
          <w:sz w:val="24"/>
          <w:szCs w:val="24"/>
          <w:highlight w:val="none"/>
        </w:rPr>
      </w:pPr>
    </w:p>
    <w:p w14:paraId="6B6BEBB3">
      <w:pPr>
        <w:pageBreakBefore w:val="0"/>
        <w:tabs>
          <w:tab w:val="left" w:pos="4860"/>
        </w:tabs>
        <w:kinsoku/>
        <w:overflowPunct/>
        <w:topLinePunct w:val="0"/>
        <w:bidi w:val="0"/>
        <w:spacing w:after="0" w:line="588" w:lineRule="exact"/>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名称（盖章）： </w:t>
      </w:r>
    </w:p>
    <w:p w14:paraId="2DE9F575">
      <w:pPr>
        <w:pageBreakBefore w:val="0"/>
        <w:kinsoku/>
        <w:overflowPunct/>
        <w:topLinePunct w:val="0"/>
        <w:bidi w:val="0"/>
        <w:spacing w:after="0" w:line="360" w:lineRule="auto"/>
        <w:ind w:firstLine="4800" w:firstLineChars="2000"/>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日    期：</w:t>
      </w:r>
    </w:p>
    <w:p w14:paraId="1BF14626">
      <w:pPr>
        <w:pageBreakBefore w:val="0"/>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6E6335">
      <w:pPr>
        <w:pageBreakBefore w:val="0"/>
        <w:kinsoku/>
        <w:overflowPunct/>
        <w:topLinePunct w:val="0"/>
        <w:bidi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1、供应商如满足《政府采购促进中小企业发展管理办法》（财库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46号）的中小企业，须提供《中小企业声明函》；</w:t>
      </w:r>
    </w:p>
    <w:p w14:paraId="5243DF42">
      <w:pPr>
        <w:pageBreakBefore w:val="0"/>
        <w:kinsoku/>
        <w:overflowPunct/>
        <w:topLinePunct w:val="0"/>
        <w:bidi w:val="0"/>
        <w:spacing w:after="0"/>
        <w:rPr>
          <w:rFonts w:hint="eastAsia" w:ascii="宋体" w:hAnsi="宋体" w:eastAsia="宋体" w:cs="宋体"/>
          <w:b/>
          <w:bCs/>
          <w:color w:val="auto"/>
          <w:sz w:val="28"/>
          <w:szCs w:val="28"/>
          <w:lang w:val="en-US" w:eastAsia="zh-CN"/>
        </w:rPr>
      </w:pPr>
    </w:p>
    <w:p w14:paraId="3C972228">
      <w:pPr>
        <w:rPr>
          <w:rFonts w:hint="eastAsia" w:ascii="宋体" w:hAnsi="宋体" w:eastAsia="宋体" w:cs="宋体"/>
          <w:b/>
          <w:color w:val="auto"/>
          <w:sz w:val="32"/>
          <w:szCs w:val="32"/>
        </w:rPr>
      </w:pPr>
      <w:bookmarkStart w:id="15" w:name="_Toc32499"/>
      <w:bookmarkStart w:id="16" w:name="_Toc26990"/>
      <w:r>
        <w:rPr>
          <w:rFonts w:hint="eastAsia" w:ascii="宋体" w:hAnsi="宋体" w:eastAsia="宋体" w:cs="宋体"/>
          <w:b/>
          <w:color w:val="auto"/>
          <w:sz w:val="32"/>
          <w:szCs w:val="32"/>
        </w:rPr>
        <w:br w:type="page"/>
      </w:r>
    </w:p>
    <w:p w14:paraId="67A7D05F">
      <w:pPr>
        <w:pageBreakBefore w:val="0"/>
        <w:kinsoku/>
        <w:overflowPunct/>
        <w:topLinePunct w:val="0"/>
        <w:bidi w:val="0"/>
        <w:spacing w:after="0"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w:t>
      </w:r>
    </w:p>
    <w:p w14:paraId="29E7CDFA">
      <w:pPr>
        <w:pStyle w:val="3"/>
        <w:pageBreakBefore w:val="0"/>
        <w:tabs>
          <w:tab w:val="left" w:pos="2889"/>
        </w:tabs>
        <w:kinsoku/>
        <w:overflowPunct/>
        <w:topLinePunct w:val="0"/>
        <w:bidi w:val="0"/>
        <w:spacing w:before="0" w:after="0"/>
        <w:jc w:val="center"/>
        <w:rPr>
          <w:rFonts w:hint="eastAsia" w:ascii="宋体" w:hAnsi="宋体" w:eastAsia="宋体" w:cs="宋体"/>
          <w:color w:val="auto"/>
          <w:sz w:val="22"/>
          <w:szCs w:val="22"/>
        </w:rPr>
      </w:pPr>
      <w:r>
        <w:rPr>
          <w:rFonts w:hint="eastAsia" w:ascii="宋体" w:hAnsi="宋体" w:eastAsia="宋体" w:cs="宋体"/>
          <w:color w:val="auto"/>
          <w:sz w:val="32"/>
          <w:szCs w:val="32"/>
        </w:rPr>
        <w:t>非联合体声明   （格式）</w:t>
      </w:r>
    </w:p>
    <w:p w14:paraId="49F5227F">
      <w:pPr>
        <w:pStyle w:val="6"/>
        <w:pageBreakBefore w:val="0"/>
        <w:kinsoku/>
        <w:overflowPunct/>
        <w:topLinePunct w:val="0"/>
        <w:bidi w:val="0"/>
        <w:spacing w:after="0"/>
        <w:rPr>
          <w:rFonts w:hint="eastAsia" w:ascii="宋体" w:hAnsi="宋体" w:eastAsia="宋体" w:cs="宋体"/>
          <w:b/>
          <w:color w:val="auto"/>
        </w:rPr>
      </w:pPr>
    </w:p>
    <w:p w14:paraId="26A201D4">
      <w:pPr>
        <w:pStyle w:val="6"/>
        <w:pageBreakBefore w:val="0"/>
        <w:kinsoku/>
        <w:overflowPunct/>
        <w:topLinePunct w:val="0"/>
        <w:bidi w:val="0"/>
        <w:spacing w:after="0" w:line="391" w:lineRule="auto"/>
        <w:ind w:right="1365"/>
        <w:jc w:val="both"/>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w:t>
      </w:r>
    </w:p>
    <w:p w14:paraId="0D7D6995">
      <w:pPr>
        <w:pageBreakBefore w:val="0"/>
        <w:kinsoku/>
        <w:overflowPunct/>
        <w:topLinePunct w:val="0"/>
        <w:bidi w:val="0"/>
        <w:spacing w:after="0" w:line="360" w:lineRule="auto"/>
        <w:ind w:firstLine="446" w:firstLineChars="18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我公司作为本次项目的投标供应商，根据</w:t>
      </w:r>
      <w:r>
        <w:rPr>
          <w:rFonts w:hint="eastAsia" w:ascii="宋体" w:hAnsi="宋体" w:eastAsia="宋体" w:cs="宋体"/>
          <w:color w:val="auto"/>
          <w:spacing w:val="4"/>
          <w:sz w:val="24"/>
          <w:szCs w:val="24"/>
          <w:lang w:eastAsia="zh-CN"/>
        </w:rPr>
        <w:t>磋商文件</w:t>
      </w:r>
      <w:r>
        <w:rPr>
          <w:rFonts w:hint="eastAsia" w:ascii="宋体" w:hAnsi="宋体" w:eastAsia="宋体" w:cs="宋体"/>
          <w:color w:val="auto"/>
          <w:spacing w:val="4"/>
          <w:sz w:val="24"/>
          <w:szCs w:val="24"/>
        </w:rPr>
        <w:t>要求，现郑重声明如下： 我公司参加本次招标项目为非联合体。</w:t>
      </w:r>
    </w:p>
    <w:p w14:paraId="5D6060E4">
      <w:pPr>
        <w:pageBreakBefore w:val="0"/>
        <w:kinsoku/>
        <w:overflowPunct/>
        <w:topLinePunct w:val="0"/>
        <w:bidi w:val="0"/>
        <w:spacing w:after="0" w:line="360" w:lineRule="auto"/>
        <w:ind w:firstLine="446" w:firstLineChars="18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本公司对上述承诺的内容事项真实性负责。如经查实上述承诺的内容事项存在虚假，我公司愿意接受以提供虚假材料谋取成交的法律责任。</w:t>
      </w:r>
    </w:p>
    <w:p w14:paraId="1568B46B">
      <w:pPr>
        <w:pageBreakBefore w:val="0"/>
        <w:kinsoku/>
        <w:overflowPunct/>
        <w:topLinePunct w:val="0"/>
        <w:bidi w:val="0"/>
        <w:spacing w:after="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特此声明！</w:t>
      </w:r>
    </w:p>
    <w:p w14:paraId="297B1853">
      <w:pPr>
        <w:pStyle w:val="6"/>
        <w:pageBreakBefore w:val="0"/>
        <w:kinsoku/>
        <w:overflowPunct/>
        <w:topLinePunct w:val="0"/>
        <w:bidi w:val="0"/>
        <w:spacing w:after="0"/>
        <w:rPr>
          <w:rFonts w:hint="eastAsia" w:ascii="宋体" w:hAnsi="宋体" w:eastAsia="宋体" w:cs="宋体"/>
          <w:color w:val="auto"/>
        </w:rPr>
      </w:pPr>
    </w:p>
    <w:p w14:paraId="31EED9B6">
      <w:pPr>
        <w:pageBreakBefore w:val="0"/>
        <w:kinsoku/>
        <w:overflowPunct/>
        <w:topLinePunct w:val="0"/>
        <w:bidi w:val="0"/>
        <w:spacing w:after="0"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4BBA8D90">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EC6F99E">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503D612">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0CD08FD2">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39064C02">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3630A096">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5D50C839">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3C6E8C81">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1E005059">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47733F33">
      <w:pPr>
        <w:pageBreakBefore w:val="0"/>
        <w:kinsoku/>
        <w:overflowPunct/>
        <w:topLinePunct w:val="0"/>
        <w:bidi w:val="0"/>
        <w:spacing w:after="0" w:line="360" w:lineRule="auto"/>
        <w:ind w:firstLine="2160" w:firstLineChars="900"/>
        <w:rPr>
          <w:rFonts w:hint="eastAsia" w:ascii="宋体" w:hAnsi="宋体" w:eastAsia="宋体" w:cs="宋体"/>
          <w:color w:val="auto"/>
          <w:sz w:val="24"/>
        </w:rPr>
      </w:pPr>
    </w:p>
    <w:p w14:paraId="1BCDD806">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78C75C39">
      <w:pPr>
        <w:pageBreakBefore w:val="0"/>
        <w:kinsoku/>
        <w:overflowPunct/>
        <w:topLinePunct w:val="0"/>
        <w:bidi w:val="0"/>
        <w:spacing w:after="0" w:line="360" w:lineRule="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w:t>
      </w:r>
    </w:p>
    <w:p w14:paraId="66B52870">
      <w:pPr>
        <w:pStyle w:val="3"/>
        <w:pageBreakBefore w:val="0"/>
        <w:tabs>
          <w:tab w:val="left" w:pos="2889"/>
        </w:tabs>
        <w:kinsoku/>
        <w:overflowPunct/>
        <w:topLinePunct w:val="0"/>
        <w:bidi w:val="0"/>
        <w:spacing w:before="0" w:after="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监狱企业、福利企业等相关资格证明材料</w:t>
      </w:r>
      <w:bookmarkEnd w:id="15"/>
      <w:bookmarkEnd w:id="16"/>
    </w:p>
    <w:p w14:paraId="5CA8A1C9">
      <w:pPr>
        <w:pageBreakBefore w:val="0"/>
        <w:kinsoku/>
        <w:overflowPunct/>
        <w:topLinePunct w:val="0"/>
        <w:bidi w:val="0"/>
        <w:spacing w:after="0" w:line="360" w:lineRule="auto"/>
        <w:ind w:firstLine="480" w:firstLineChars="200"/>
        <w:rPr>
          <w:rFonts w:hint="eastAsia" w:ascii="宋体" w:hAnsi="宋体" w:eastAsia="宋体" w:cs="宋体"/>
          <w:color w:val="auto"/>
          <w:sz w:val="24"/>
        </w:rPr>
      </w:pPr>
    </w:p>
    <w:p w14:paraId="69EDB965">
      <w:pPr>
        <w:pageBreakBefore w:val="0"/>
        <w:kinsoku/>
        <w:overflowPunct/>
        <w:topLinePunct w:val="0"/>
        <w:bidi w:val="0"/>
        <w:snapToGrid w:val="0"/>
        <w:spacing w:after="0" w:line="360" w:lineRule="auto"/>
        <w:jc w:val="center"/>
        <w:rPr>
          <w:rFonts w:hint="eastAsia" w:ascii="宋体" w:hAnsi="宋体" w:eastAsia="宋体" w:cs="宋体"/>
          <w:b/>
          <w:bCs/>
          <w:color w:val="auto"/>
          <w:sz w:val="24"/>
        </w:rPr>
      </w:pPr>
    </w:p>
    <w:p w14:paraId="1AAB08F4">
      <w:pPr>
        <w:pageBreakBefore w:val="0"/>
        <w:kinsoku/>
        <w:overflowPunct/>
        <w:topLinePunct w:val="0"/>
        <w:bidi w:val="0"/>
        <w:snapToGrid w:val="0"/>
        <w:spacing w:after="0" w:line="360" w:lineRule="auto"/>
        <w:jc w:val="center"/>
        <w:rPr>
          <w:rFonts w:hint="eastAsia" w:ascii="宋体" w:hAnsi="宋体" w:eastAsia="宋体" w:cs="宋体"/>
          <w:b/>
          <w:bCs/>
          <w:color w:val="auto"/>
          <w:sz w:val="24"/>
        </w:rPr>
      </w:pPr>
    </w:p>
    <w:p w14:paraId="67DE1939">
      <w:pPr>
        <w:pageBreakBefore w:val="0"/>
        <w:kinsoku/>
        <w:overflowPunct/>
        <w:topLinePunct w:val="0"/>
        <w:bidi w:val="0"/>
        <w:snapToGrid w:val="0"/>
        <w:spacing w:after="0" w:line="360" w:lineRule="auto"/>
        <w:jc w:val="center"/>
        <w:rPr>
          <w:rFonts w:hint="eastAsia" w:ascii="宋体" w:hAnsi="宋体" w:eastAsia="宋体" w:cs="宋体"/>
          <w:b/>
          <w:bCs/>
          <w:color w:val="auto"/>
          <w:sz w:val="24"/>
        </w:rPr>
      </w:pPr>
    </w:p>
    <w:p w14:paraId="79E73C5B">
      <w:pPr>
        <w:pageBreakBefore w:val="0"/>
        <w:kinsoku/>
        <w:overflowPunct/>
        <w:topLinePunct w:val="0"/>
        <w:bidi w:val="0"/>
        <w:snapToGrid w:val="0"/>
        <w:spacing w:after="0" w:line="360" w:lineRule="auto"/>
        <w:jc w:val="center"/>
        <w:rPr>
          <w:rFonts w:hint="eastAsia" w:ascii="宋体" w:hAnsi="宋体" w:eastAsia="宋体" w:cs="宋体"/>
          <w:b/>
          <w:bCs/>
          <w:color w:val="auto"/>
          <w:sz w:val="24"/>
        </w:rPr>
      </w:pPr>
    </w:p>
    <w:p w14:paraId="6C6FB58F">
      <w:pPr>
        <w:pStyle w:val="4"/>
        <w:pageBreakBefore w:val="0"/>
        <w:kinsoku/>
        <w:overflowPunct/>
        <w:topLinePunct w:val="0"/>
        <w:bidi w:val="0"/>
        <w:spacing w:before="0" w:after="0"/>
        <w:rPr>
          <w:rFonts w:hint="eastAsia" w:ascii="宋体" w:hAnsi="宋体" w:eastAsia="宋体" w:cs="宋体"/>
          <w:color w:val="auto"/>
        </w:rPr>
      </w:pPr>
    </w:p>
    <w:p w14:paraId="6962B9A7">
      <w:pPr>
        <w:pageBreakBefore w:val="0"/>
        <w:kinsoku/>
        <w:overflowPunct/>
        <w:topLinePunct w:val="0"/>
        <w:bidi w:val="0"/>
        <w:spacing w:after="0"/>
        <w:rPr>
          <w:rFonts w:hint="eastAsia" w:ascii="宋体" w:hAnsi="宋体" w:eastAsia="宋体" w:cs="宋体"/>
          <w:b/>
          <w:bCs/>
          <w:color w:val="auto"/>
          <w:sz w:val="24"/>
        </w:rPr>
      </w:pPr>
    </w:p>
    <w:p w14:paraId="1556CEC9">
      <w:pPr>
        <w:pageBreakBefore w:val="0"/>
        <w:kinsoku/>
        <w:overflowPunct/>
        <w:topLinePunct w:val="0"/>
        <w:bidi w:val="0"/>
        <w:spacing w:after="0" w:line="520" w:lineRule="exact"/>
        <w:jc w:val="center"/>
        <w:rPr>
          <w:rFonts w:hint="eastAsia" w:ascii="宋体" w:hAnsi="宋体" w:eastAsia="宋体" w:cs="宋体"/>
          <w:b/>
          <w:bCs/>
          <w:color w:val="auto"/>
          <w:sz w:val="32"/>
          <w:szCs w:val="32"/>
        </w:rPr>
      </w:pPr>
    </w:p>
    <w:p w14:paraId="4C88E994">
      <w:pPr>
        <w:pageBreakBefore w:val="0"/>
        <w:kinsoku/>
        <w:overflowPunct/>
        <w:topLinePunct w:val="0"/>
        <w:bidi w:val="0"/>
        <w:spacing w:after="0" w:line="520" w:lineRule="exact"/>
        <w:jc w:val="center"/>
        <w:rPr>
          <w:rFonts w:hint="eastAsia" w:ascii="宋体" w:hAnsi="宋体" w:eastAsia="宋体" w:cs="宋体"/>
          <w:b/>
          <w:bCs/>
          <w:color w:val="auto"/>
          <w:sz w:val="32"/>
          <w:szCs w:val="32"/>
        </w:rPr>
      </w:pPr>
    </w:p>
    <w:p w14:paraId="566EFB81">
      <w:pPr>
        <w:pageBreakBefore w:val="0"/>
        <w:kinsoku/>
        <w:overflowPunct/>
        <w:topLinePunct w:val="0"/>
        <w:bidi w:val="0"/>
        <w:spacing w:after="0" w:line="520" w:lineRule="exact"/>
        <w:jc w:val="center"/>
        <w:rPr>
          <w:rFonts w:hint="eastAsia" w:ascii="宋体" w:hAnsi="宋体" w:eastAsia="宋体" w:cs="宋体"/>
          <w:color w:val="auto"/>
          <w:sz w:val="28"/>
          <w:szCs w:val="28"/>
          <w:lang w:val="en-US" w:eastAsia="zh-CN"/>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eastAsia="宋体" w:cs="宋体"/>
          <w:b/>
          <w:color w:val="auto"/>
          <w:sz w:val="32"/>
          <w:szCs w:val="32"/>
          <w:lang w:val="en-US" w:eastAsia="zh-CN"/>
        </w:rPr>
        <w:t>服务方案</w:t>
      </w:r>
    </w:p>
    <w:p w14:paraId="07E52104">
      <w:pPr>
        <w:pageBreakBefore w:val="0"/>
        <w:kinsoku/>
        <w:overflowPunct/>
        <w:topLinePunct w:val="0"/>
        <w:bidi w:val="0"/>
        <w:spacing w:after="0" w:line="320" w:lineRule="exact"/>
        <w:ind w:firstLine="700" w:firstLineChars="250"/>
        <w:rPr>
          <w:rFonts w:hint="eastAsia" w:ascii="宋体" w:hAnsi="宋体" w:eastAsia="宋体" w:cs="宋体"/>
          <w:color w:val="auto"/>
          <w:sz w:val="28"/>
          <w:szCs w:val="28"/>
        </w:rPr>
      </w:pPr>
    </w:p>
    <w:p w14:paraId="00FC6573">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r>
        <w:rPr>
          <w:rFonts w:hint="eastAsia" w:ascii="宋体" w:hAnsi="宋体" w:eastAsia="宋体" w:cs="宋体"/>
          <w:color w:val="auto"/>
          <w:sz w:val="24"/>
        </w:rPr>
        <w:t>对本次</w:t>
      </w:r>
      <w:r>
        <w:rPr>
          <w:rFonts w:hint="eastAsia" w:ascii="宋体" w:hAnsi="宋体" w:eastAsia="宋体" w:cs="宋体"/>
          <w:color w:val="auto"/>
          <w:sz w:val="24"/>
          <w:lang w:eastAsia="zh-CN"/>
        </w:rPr>
        <w:t>磋商</w:t>
      </w:r>
      <w:r>
        <w:rPr>
          <w:rFonts w:hint="eastAsia" w:ascii="宋体" w:hAnsi="宋体" w:eastAsia="宋体" w:cs="宋体"/>
          <w:color w:val="auto"/>
          <w:sz w:val="24"/>
        </w:rPr>
        <w:t>的</w:t>
      </w:r>
      <w:r>
        <w:rPr>
          <w:rFonts w:hint="eastAsia" w:ascii="宋体" w:hAnsi="宋体" w:eastAsia="宋体" w:cs="宋体"/>
          <w:color w:val="auto"/>
          <w:sz w:val="24"/>
          <w:lang w:val="en-US" w:eastAsia="zh-CN"/>
        </w:rPr>
        <w:t>服务</w:t>
      </w:r>
      <w:r>
        <w:rPr>
          <w:rFonts w:hint="eastAsia" w:ascii="宋体" w:hAnsi="宋体" w:eastAsia="宋体" w:cs="宋体"/>
          <w:color w:val="auto"/>
          <w:sz w:val="24"/>
        </w:rPr>
        <w:t>方案（</w:t>
      </w:r>
      <w:r>
        <w:rPr>
          <w:rFonts w:hint="eastAsia" w:ascii="宋体" w:hAnsi="宋体" w:eastAsia="宋体" w:cs="宋体"/>
          <w:color w:val="auto"/>
          <w:sz w:val="24"/>
          <w:lang w:eastAsia="zh-CN"/>
        </w:rPr>
        <w:t>供应商</w:t>
      </w:r>
      <w:r>
        <w:rPr>
          <w:rFonts w:hint="eastAsia" w:ascii="宋体" w:hAnsi="宋体" w:eastAsia="宋体" w:cs="宋体"/>
          <w:color w:val="auto"/>
          <w:sz w:val="24"/>
        </w:rPr>
        <w:t>视各自情况自行编制）</w:t>
      </w:r>
    </w:p>
    <w:p w14:paraId="293ECB50">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43CD56CB">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30A88344">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763481AA">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3FEE2B52">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751BDE8D">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3934D427">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64CC24F7">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592CE652">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46CE21F1">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02AF822A">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44B55297">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3DA7A4BC">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2CF3409C">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1CC24032">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5A92F475">
      <w:pPr>
        <w:pStyle w:val="20"/>
        <w:pageBreakBefore w:val="0"/>
        <w:kinsoku/>
        <w:overflowPunct/>
        <w:topLinePunct w:val="0"/>
        <w:bidi w:val="0"/>
        <w:spacing w:after="0"/>
        <w:rPr>
          <w:rFonts w:hint="eastAsia" w:ascii="宋体" w:hAnsi="宋体" w:eastAsia="宋体" w:cs="宋体"/>
          <w:color w:val="auto"/>
          <w:sz w:val="24"/>
        </w:rPr>
      </w:pPr>
    </w:p>
    <w:p w14:paraId="1D99534F">
      <w:pPr>
        <w:pStyle w:val="20"/>
        <w:pageBreakBefore w:val="0"/>
        <w:kinsoku/>
        <w:overflowPunct/>
        <w:topLinePunct w:val="0"/>
        <w:bidi w:val="0"/>
        <w:spacing w:after="0"/>
        <w:rPr>
          <w:rFonts w:hint="eastAsia" w:ascii="宋体" w:hAnsi="宋体" w:eastAsia="宋体" w:cs="宋体"/>
          <w:color w:val="auto"/>
          <w:sz w:val="24"/>
        </w:rPr>
      </w:pPr>
    </w:p>
    <w:p w14:paraId="775D6275">
      <w:pPr>
        <w:pStyle w:val="20"/>
        <w:pageBreakBefore w:val="0"/>
        <w:kinsoku/>
        <w:overflowPunct/>
        <w:topLinePunct w:val="0"/>
        <w:bidi w:val="0"/>
        <w:spacing w:after="0"/>
        <w:rPr>
          <w:rFonts w:hint="eastAsia" w:ascii="宋体" w:hAnsi="宋体" w:eastAsia="宋体" w:cs="宋体"/>
          <w:color w:val="auto"/>
          <w:sz w:val="24"/>
        </w:rPr>
      </w:pPr>
    </w:p>
    <w:p w14:paraId="140388FF">
      <w:pPr>
        <w:pStyle w:val="20"/>
        <w:pageBreakBefore w:val="0"/>
        <w:kinsoku/>
        <w:overflowPunct/>
        <w:topLinePunct w:val="0"/>
        <w:bidi w:val="0"/>
        <w:spacing w:after="0"/>
        <w:rPr>
          <w:rFonts w:hint="eastAsia" w:ascii="宋体" w:hAnsi="宋体" w:eastAsia="宋体" w:cs="宋体"/>
          <w:color w:val="auto"/>
          <w:sz w:val="24"/>
        </w:rPr>
      </w:pPr>
    </w:p>
    <w:p w14:paraId="19A54490">
      <w:pPr>
        <w:pStyle w:val="20"/>
        <w:pageBreakBefore w:val="0"/>
        <w:kinsoku/>
        <w:overflowPunct/>
        <w:topLinePunct w:val="0"/>
        <w:bidi w:val="0"/>
        <w:spacing w:after="0"/>
        <w:rPr>
          <w:rFonts w:hint="eastAsia" w:ascii="宋体" w:hAnsi="宋体" w:eastAsia="宋体" w:cs="宋体"/>
          <w:color w:val="auto"/>
          <w:sz w:val="24"/>
        </w:rPr>
      </w:pPr>
    </w:p>
    <w:p w14:paraId="79011A93">
      <w:pPr>
        <w:pStyle w:val="20"/>
        <w:pageBreakBefore w:val="0"/>
        <w:kinsoku/>
        <w:overflowPunct/>
        <w:topLinePunct w:val="0"/>
        <w:bidi w:val="0"/>
        <w:spacing w:after="0"/>
        <w:rPr>
          <w:rFonts w:hint="eastAsia" w:ascii="宋体" w:hAnsi="宋体" w:eastAsia="宋体" w:cs="宋体"/>
          <w:color w:val="auto"/>
          <w:sz w:val="24"/>
        </w:rPr>
      </w:pPr>
    </w:p>
    <w:p w14:paraId="0ACE8BC7">
      <w:pPr>
        <w:pStyle w:val="20"/>
        <w:pageBreakBefore w:val="0"/>
        <w:kinsoku/>
        <w:overflowPunct/>
        <w:topLinePunct w:val="0"/>
        <w:bidi w:val="0"/>
        <w:spacing w:after="0"/>
        <w:rPr>
          <w:rFonts w:hint="eastAsia" w:ascii="宋体" w:hAnsi="宋体" w:eastAsia="宋体" w:cs="宋体"/>
          <w:color w:val="auto"/>
          <w:sz w:val="24"/>
        </w:rPr>
      </w:pPr>
    </w:p>
    <w:p w14:paraId="447DBBA4">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32316961">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2A9E0565">
      <w:pPr>
        <w:pageBreakBefore w:val="0"/>
        <w:kinsoku/>
        <w:overflowPunct/>
        <w:topLinePunct w:val="0"/>
        <w:bidi w:val="0"/>
        <w:adjustRightInd w:val="0"/>
        <w:snapToGrid w:val="0"/>
        <w:spacing w:after="0" w:line="440" w:lineRule="exact"/>
        <w:ind w:firstLine="645"/>
        <w:rPr>
          <w:rFonts w:hint="eastAsia" w:ascii="宋体" w:hAnsi="宋体" w:eastAsia="宋体" w:cs="宋体"/>
          <w:color w:val="auto"/>
          <w:sz w:val="24"/>
        </w:rPr>
      </w:pPr>
    </w:p>
    <w:p w14:paraId="2CBDE8B8">
      <w:pPr>
        <w:pageBreakBefore w:val="0"/>
        <w:widowControl/>
        <w:numPr>
          <w:ilvl w:val="0"/>
          <w:numId w:val="0"/>
        </w:numPr>
        <w:kinsoku/>
        <w:overflowPunct/>
        <w:topLinePunct w:val="0"/>
        <w:bidi w:val="0"/>
        <w:spacing w:after="0"/>
        <w:jc w:val="both"/>
        <w:rPr>
          <w:rFonts w:hint="eastAsia" w:ascii="宋体" w:hAnsi="宋体" w:eastAsia="宋体" w:cs="宋体"/>
          <w:b/>
          <w:bCs/>
          <w:color w:val="auto"/>
          <w:sz w:val="32"/>
          <w:szCs w:val="32"/>
          <w:lang w:val="en-US" w:eastAsia="zh-CN"/>
        </w:rPr>
      </w:pPr>
    </w:p>
    <w:p w14:paraId="39CCB03F">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6A66CEB4">
      <w:pPr>
        <w:pageBreakBefore w:val="0"/>
        <w:widowControl/>
        <w:numPr>
          <w:ilvl w:val="0"/>
          <w:numId w:val="0"/>
        </w:numPr>
        <w:kinsoku/>
        <w:overflowPunct/>
        <w:topLinePunct w:val="0"/>
        <w:bidi w:val="0"/>
        <w:spacing w:after="0"/>
        <w:jc w:val="center"/>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五、企业业绩</w:t>
      </w:r>
    </w:p>
    <w:p w14:paraId="7CE8FA29">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92A3C73">
      <w:pPr>
        <w:pStyle w:val="9"/>
        <w:pageBreakBefore w:val="0"/>
        <w:widowControl w:val="0"/>
        <w:numPr>
          <w:ilvl w:val="0"/>
          <w:numId w:val="0"/>
        </w:numPr>
        <w:kinsoku/>
        <w:overflowPunct/>
        <w:topLinePunct w:val="0"/>
        <w:bidi w:val="0"/>
        <w:snapToGrid w:val="0"/>
        <w:spacing w:after="0"/>
        <w:jc w:val="center"/>
        <w:rPr>
          <w:rFonts w:hint="eastAsia" w:ascii="宋体" w:hAnsi="宋体" w:eastAsia="宋体" w:cs="宋体"/>
          <w:color w:val="auto"/>
          <w:sz w:val="24"/>
          <w:szCs w:val="40"/>
          <w:lang w:val="en-US" w:eastAsia="zh-CN"/>
        </w:rPr>
      </w:pPr>
      <w:r>
        <w:rPr>
          <w:rFonts w:hint="eastAsia" w:ascii="宋体" w:hAnsi="宋体" w:eastAsia="宋体" w:cs="宋体"/>
          <w:color w:val="auto"/>
          <w:sz w:val="24"/>
          <w:szCs w:val="40"/>
          <w:lang w:val="en-US" w:eastAsia="zh-CN"/>
        </w:rPr>
        <w:t>供应商根据文件要求自行编写</w:t>
      </w:r>
    </w:p>
    <w:p w14:paraId="034B496A">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C19887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312806F6">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F9BB18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F2F4F1F">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7171C29">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49390CD1">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9C23B5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BCBED92">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D683B62">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82B767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57D0AF5">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D9866E0">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463AFD3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13F085E">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801C613">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82F611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18F0722">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CF32866">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14F842C">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C00DB0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A75231C">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3ED9BDC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3BC79F8C">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D0E8DAA">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7857D02">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23B0F1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BB97012">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F973334">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96887C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410FE35">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4A1A7094">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EC9DE6B">
      <w:pPr>
        <w:pStyle w:val="8"/>
        <w:pageBreakBefore w:val="0"/>
        <w:kinsoku/>
        <w:overflowPunct/>
        <w:topLinePunct w:val="0"/>
        <w:bidi w:val="0"/>
        <w:spacing w:after="0"/>
        <w:rPr>
          <w:rFonts w:hint="eastAsia" w:ascii="宋体" w:hAnsi="宋体" w:eastAsia="宋体" w:cs="宋体"/>
          <w:color w:val="auto"/>
          <w:lang w:val="en-US" w:eastAsia="zh-CN"/>
        </w:rPr>
      </w:pPr>
    </w:p>
    <w:p w14:paraId="629CC53E">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6249688">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04C381E">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B2ED3A1">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373E24B">
      <w:pPr>
        <w:pStyle w:val="8"/>
        <w:pageBreakBefore w:val="0"/>
        <w:kinsoku/>
        <w:overflowPunct/>
        <w:topLinePunct w:val="0"/>
        <w:bidi w:val="0"/>
        <w:spacing w:after="0"/>
        <w:rPr>
          <w:rFonts w:hint="eastAsia" w:ascii="宋体" w:hAnsi="宋体" w:eastAsia="宋体" w:cs="宋体"/>
          <w:color w:val="auto"/>
          <w:lang w:val="en-US" w:eastAsia="zh-CN"/>
        </w:rPr>
      </w:pPr>
    </w:p>
    <w:p w14:paraId="7B020D9A">
      <w:pPr>
        <w:pageBreakBefore w:val="0"/>
        <w:kinsoku/>
        <w:overflowPunct/>
        <w:topLinePunct w:val="0"/>
        <w:bidi w:val="0"/>
        <w:spacing w:after="0"/>
        <w:rPr>
          <w:rFonts w:hint="eastAsia" w:ascii="宋体" w:hAnsi="宋体" w:eastAsia="宋体" w:cs="宋体"/>
          <w:color w:val="auto"/>
          <w:lang w:val="en-US" w:eastAsia="zh-CN"/>
        </w:rPr>
      </w:pPr>
    </w:p>
    <w:p w14:paraId="76FB802B">
      <w:pPr>
        <w:pStyle w:val="4"/>
        <w:pageBreakBefore w:val="0"/>
        <w:kinsoku/>
        <w:overflowPunct/>
        <w:topLinePunct w:val="0"/>
        <w:bidi w:val="0"/>
        <w:spacing w:before="0" w:after="0"/>
        <w:rPr>
          <w:rFonts w:hint="eastAsia" w:ascii="宋体" w:hAnsi="宋体" w:eastAsia="宋体" w:cs="宋体"/>
          <w:color w:val="auto"/>
          <w:lang w:val="en-US" w:eastAsia="zh-CN"/>
        </w:rPr>
      </w:pPr>
    </w:p>
    <w:p w14:paraId="031021F2">
      <w:pPr>
        <w:pageBreakBefore w:val="0"/>
        <w:kinsoku/>
        <w:overflowPunct/>
        <w:topLinePunct w:val="0"/>
        <w:bidi w:val="0"/>
        <w:spacing w:after="0"/>
        <w:rPr>
          <w:rFonts w:hint="eastAsia" w:ascii="宋体" w:hAnsi="宋体" w:eastAsia="宋体" w:cs="宋体"/>
          <w:color w:val="auto"/>
          <w:lang w:val="en-US" w:eastAsia="zh-CN"/>
        </w:rPr>
      </w:pPr>
    </w:p>
    <w:p w14:paraId="1E994961">
      <w:pPr>
        <w:pageBreakBefore w:val="0"/>
        <w:widowControl/>
        <w:numPr>
          <w:ilvl w:val="0"/>
          <w:numId w:val="0"/>
        </w:numPr>
        <w:kinsoku/>
        <w:overflowPunct/>
        <w:topLinePunct w:val="0"/>
        <w:bidi w:val="0"/>
        <w:spacing w:after="0"/>
        <w:jc w:val="both"/>
        <w:rPr>
          <w:rFonts w:hint="eastAsia" w:ascii="宋体" w:hAnsi="宋体" w:eastAsia="宋体" w:cs="宋体"/>
          <w:b/>
          <w:bCs/>
          <w:color w:val="auto"/>
          <w:sz w:val="32"/>
          <w:szCs w:val="32"/>
          <w:lang w:val="en-US" w:eastAsia="zh-CN"/>
        </w:rPr>
      </w:pPr>
    </w:p>
    <w:p w14:paraId="59AB4972">
      <w:pPr>
        <w:pageBreakBefore w:val="0"/>
        <w:widowControl/>
        <w:numPr>
          <w:ilvl w:val="0"/>
          <w:numId w:val="0"/>
        </w:numPr>
        <w:kinsoku/>
        <w:overflowPunct/>
        <w:topLinePunct w:val="0"/>
        <w:bidi w:val="0"/>
        <w:spacing w:after="0"/>
        <w:jc w:val="center"/>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六、服务承诺</w:t>
      </w:r>
    </w:p>
    <w:p w14:paraId="724FDA13">
      <w:pPr>
        <w:pStyle w:val="9"/>
        <w:pageBreakBefore w:val="0"/>
        <w:widowControl w:val="0"/>
        <w:numPr>
          <w:ilvl w:val="0"/>
          <w:numId w:val="0"/>
        </w:numPr>
        <w:kinsoku/>
        <w:overflowPunct/>
        <w:topLinePunct w:val="0"/>
        <w:bidi w:val="0"/>
        <w:snapToGrid w:val="0"/>
        <w:spacing w:after="0"/>
        <w:jc w:val="center"/>
        <w:rPr>
          <w:rFonts w:hint="eastAsia" w:ascii="宋体" w:hAnsi="宋体" w:eastAsia="宋体" w:cs="宋体"/>
          <w:color w:val="auto"/>
          <w:sz w:val="24"/>
          <w:szCs w:val="40"/>
          <w:lang w:val="en-US" w:eastAsia="zh-CN"/>
        </w:rPr>
      </w:pPr>
      <w:r>
        <w:rPr>
          <w:rFonts w:hint="eastAsia" w:ascii="宋体" w:hAnsi="宋体" w:eastAsia="宋体" w:cs="宋体"/>
          <w:color w:val="auto"/>
          <w:sz w:val="24"/>
          <w:szCs w:val="40"/>
          <w:lang w:val="en-US" w:eastAsia="zh-CN"/>
        </w:rPr>
        <w:t>供应商根据文件要求自行编写</w:t>
      </w:r>
    </w:p>
    <w:p w14:paraId="31FC9DF8">
      <w:pPr>
        <w:pStyle w:val="4"/>
        <w:pageBreakBefore w:val="0"/>
        <w:kinsoku/>
        <w:overflowPunct/>
        <w:topLinePunct w:val="0"/>
        <w:bidi w:val="0"/>
        <w:spacing w:before="0" w:after="0"/>
        <w:rPr>
          <w:rFonts w:hint="eastAsia" w:ascii="宋体" w:hAnsi="宋体" w:eastAsia="宋体" w:cs="宋体"/>
          <w:color w:val="auto"/>
          <w:lang w:val="en-US" w:eastAsia="zh-CN"/>
        </w:rPr>
      </w:pPr>
    </w:p>
    <w:p w14:paraId="7C56A411">
      <w:pPr>
        <w:pageBreakBefore w:val="0"/>
        <w:kinsoku/>
        <w:overflowPunct/>
        <w:topLinePunct w:val="0"/>
        <w:bidi w:val="0"/>
        <w:spacing w:after="0"/>
        <w:rPr>
          <w:rFonts w:hint="eastAsia" w:ascii="宋体" w:hAnsi="宋体" w:eastAsia="宋体" w:cs="宋体"/>
          <w:color w:val="auto"/>
          <w:lang w:val="en-US" w:eastAsia="zh-CN"/>
        </w:rPr>
      </w:pPr>
    </w:p>
    <w:p w14:paraId="51F3DE6E">
      <w:pPr>
        <w:pStyle w:val="4"/>
        <w:pageBreakBefore w:val="0"/>
        <w:kinsoku/>
        <w:overflowPunct/>
        <w:topLinePunct w:val="0"/>
        <w:bidi w:val="0"/>
        <w:spacing w:before="0" w:after="0"/>
        <w:rPr>
          <w:rFonts w:hint="eastAsia" w:ascii="宋体" w:hAnsi="宋体" w:eastAsia="宋体" w:cs="宋体"/>
          <w:color w:val="auto"/>
          <w:lang w:val="en-US" w:eastAsia="zh-CN"/>
        </w:rPr>
      </w:pPr>
    </w:p>
    <w:p w14:paraId="7AAA5FF8">
      <w:pPr>
        <w:pageBreakBefore w:val="0"/>
        <w:kinsoku/>
        <w:overflowPunct/>
        <w:topLinePunct w:val="0"/>
        <w:bidi w:val="0"/>
        <w:spacing w:after="0"/>
        <w:rPr>
          <w:rFonts w:hint="eastAsia" w:ascii="宋体" w:hAnsi="宋体" w:eastAsia="宋体" w:cs="宋体"/>
          <w:color w:val="auto"/>
          <w:lang w:val="en-US" w:eastAsia="zh-CN"/>
        </w:rPr>
      </w:pPr>
    </w:p>
    <w:p w14:paraId="37555D86">
      <w:pPr>
        <w:pStyle w:val="4"/>
        <w:pageBreakBefore w:val="0"/>
        <w:kinsoku/>
        <w:overflowPunct/>
        <w:topLinePunct w:val="0"/>
        <w:bidi w:val="0"/>
        <w:spacing w:before="0" w:after="0"/>
        <w:rPr>
          <w:rFonts w:hint="eastAsia" w:ascii="宋体" w:hAnsi="宋体" w:eastAsia="宋体" w:cs="宋体"/>
          <w:color w:val="auto"/>
          <w:lang w:val="en-US" w:eastAsia="zh-CN"/>
        </w:rPr>
      </w:pPr>
    </w:p>
    <w:p w14:paraId="633BBECD">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A9D76E6">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3C2503F">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E933783">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D259083">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6C16A15">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A6D1C83">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8DF89C9">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C13C830">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5256B28C">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1C9FDA1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0002AE5">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A04B921">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6E346EF">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3F029B6B">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6FFFCA43">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FB9C609">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38547FC">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794A984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408F7316">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07DB8917">
      <w:pPr>
        <w:pStyle w:val="9"/>
        <w:pageBreakBefore w:val="0"/>
        <w:widowControl w:val="0"/>
        <w:numPr>
          <w:ilvl w:val="0"/>
          <w:numId w:val="0"/>
        </w:numPr>
        <w:kinsoku/>
        <w:overflowPunct/>
        <w:topLinePunct w:val="0"/>
        <w:bidi w:val="0"/>
        <w:snapToGrid w:val="0"/>
        <w:spacing w:after="0"/>
        <w:jc w:val="left"/>
        <w:rPr>
          <w:rFonts w:hint="eastAsia" w:ascii="宋体" w:hAnsi="宋体" w:eastAsia="宋体" w:cs="宋体"/>
          <w:color w:val="auto"/>
          <w:lang w:val="en-US" w:eastAsia="zh-CN"/>
        </w:rPr>
      </w:pPr>
    </w:p>
    <w:p w14:paraId="2CCA341A">
      <w:pPr>
        <w:pStyle w:val="8"/>
        <w:pageBreakBefore w:val="0"/>
        <w:kinsoku/>
        <w:overflowPunct/>
        <w:topLinePunct w:val="0"/>
        <w:bidi w:val="0"/>
        <w:spacing w:after="0"/>
        <w:rPr>
          <w:rFonts w:hint="eastAsia" w:ascii="宋体" w:hAnsi="宋体" w:eastAsia="宋体" w:cs="宋体"/>
          <w:color w:val="auto"/>
          <w:lang w:val="en-US" w:eastAsia="zh-CN"/>
        </w:rPr>
      </w:pPr>
    </w:p>
    <w:p w14:paraId="64BF7738">
      <w:pPr>
        <w:pageBreakBefore w:val="0"/>
        <w:kinsoku/>
        <w:overflowPunct/>
        <w:topLinePunct w:val="0"/>
        <w:bidi w:val="0"/>
        <w:spacing w:after="0"/>
        <w:rPr>
          <w:rFonts w:hint="eastAsia" w:ascii="宋体" w:hAnsi="宋体" w:eastAsia="宋体" w:cs="宋体"/>
          <w:color w:val="auto"/>
          <w:lang w:val="en-US" w:eastAsia="zh-CN"/>
        </w:rPr>
      </w:pPr>
    </w:p>
    <w:p w14:paraId="1E474387">
      <w:pPr>
        <w:pStyle w:val="4"/>
        <w:pageBreakBefore w:val="0"/>
        <w:kinsoku/>
        <w:overflowPunct/>
        <w:topLinePunct w:val="0"/>
        <w:bidi w:val="0"/>
        <w:spacing w:before="0" w:after="0"/>
        <w:rPr>
          <w:rFonts w:hint="eastAsia" w:ascii="宋体" w:hAnsi="宋体" w:eastAsia="宋体" w:cs="宋体"/>
          <w:color w:val="auto"/>
          <w:lang w:val="en-US" w:eastAsia="zh-CN"/>
        </w:rPr>
      </w:pPr>
    </w:p>
    <w:p w14:paraId="69AF700A">
      <w:pPr>
        <w:pageBreakBefore w:val="0"/>
        <w:kinsoku/>
        <w:overflowPunct/>
        <w:topLinePunct w:val="0"/>
        <w:bidi w:val="0"/>
        <w:spacing w:after="0"/>
        <w:rPr>
          <w:rFonts w:hint="eastAsia" w:ascii="宋体" w:hAnsi="宋体" w:eastAsia="宋体" w:cs="宋体"/>
          <w:color w:val="auto"/>
          <w:lang w:val="en-US" w:eastAsia="zh-CN"/>
        </w:rPr>
      </w:pPr>
    </w:p>
    <w:p w14:paraId="1E3EDB98">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09001624">
      <w:pPr>
        <w:pageBreakBefore w:val="0"/>
        <w:widowControl/>
        <w:numPr>
          <w:ilvl w:val="0"/>
          <w:numId w:val="0"/>
        </w:numPr>
        <w:kinsoku/>
        <w:overflowPunct/>
        <w:topLinePunct w:val="0"/>
        <w:bidi w:val="0"/>
        <w:spacing w:after="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rPr>
        <w:t>供应商拒绝政府采购领域商业贿赂承诺书Ⅰ</w:t>
      </w:r>
    </w:p>
    <w:p w14:paraId="4CBCFB94">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0F9C2E15">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37255D61">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65970F91">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339BA1F3">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4、不采取“围标、陪标”等商业欺诈手段获得政府采购定单。 </w:t>
      </w:r>
    </w:p>
    <w:p w14:paraId="2BBA2432">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5、不采取不正当手段</w:t>
      </w:r>
      <w:r>
        <w:rPr>
          <w:rFonts w:hint="eastAsia" w:ascii="宋体" w:hAnsi="宋体" w:eastAsia="宋体" w:cs="宋体"/>
          <w:color w:val="auto"/>
          <w:sz w:val="24"/>
          <w:lang w:eastAsia="zh-CN"/>
        </w:rPr>
        <w:t>诋毁</w:t>
      </w:r>
      <w:r>
        <w:rPr>
          <w:rFonts w:hint="eastAsia" w:ascii="宋体" w:hAnsi="宋体" w:eastAsia="宋体" w:cs="宋体"/>
          <w:color w:val="auto"/>
          <w:sz w:val="24"/>
        </w:rPr>
        <w:t xml:space="preserve">、排挤其他供应商。 </w:t>
      </w:r>
    </w:p>
    <w:p w14:paraId="5273F8F9">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15A15B0D">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7、不与采购人、采购代理机</w:t>
      </w:r>
      <w:r>
        <w:rPr>
          <w:rFonts w:hint="eastAsia" w:ascii="宋体" w:hAnsi="宋体" w:eastAsia="宋体" w:cs="宋体"/>
          <w:color w:val="auto"/>
          <w:sz w:val="24"/>
          <w:lang w:eastAsia="zh-CN"/>
        </w:rPr>
        <w:t>构和</w:t>
      </w:r>
      <w:r>
        <w:rPr>
          <w:rFonts w:hint="eastAsia" w:ascii="宋体" w:hAnsi="宋体" w:eastAsia="宋体" w:cs="宋体"/>
          <w:color w:val="auto"/>
          <w:sz w:val="24"/>
        </w:rPr>
        <w:t xml:space="preserve">政府采购评审专家或其它供应商恶意串通，进行质疑和投诉，维护政府采购市场秩序。 </w:t>
      </w:r>
    </w:p>
    <w:p w14:paraId="544DC182">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p>
    <w:p w14:paraId="17B454FC">
      <w:pPr>
        <w:pageBreakBefore w:val="0"/>
        <w:widowControl/>
        <w:kinsoku/>
        <w:overflowPunct/>
        <w:topLinePunct w:val="0"/>
        <w:bidi w:val="0"/>
        <w:spacing w:after="0"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xml:space="preserve">9、不发生其他有悖于政府采购公开、公平、公正和诚信原则的行为。 </w:t>
      </w:r>
    </w:p>
    <w:p w14:paraId="337601A0">
      <w:pPr>
        <w:pStyle w:val="9"/>
        <w:pageBreakBefore w:val="0"/>
        <w:kinsoku/>
        <w:overflowPunct/>
        <w:topLinePunct w:val="0"/>
        <w:bidi w:val="0"/>
        <w:spacing w:after="0"/>
        <w:rPr>
          <w:rFonts w:hint="eastAsia" w:ascii="宋体" w:hAnsi="宋体" w:eastAsia="宋体" w:cs="宋体"/>
          <w:color w:val="auto"/>
          <w:lang w:eastAsia="zh-CN"/>
        </w:rPr>
      </w:pPr>
    </w:p>
    <w:p w14:paraId="7C450F16">
      <w:pPr>
        <w:pageBreakBefore w:val="0"/>
        <w:widowControl/>
        <w:kinsoku/>
        <w:overflowPunct/>
        <w:topLinePunct w:val="0"/>
        <w:bidi w:val="0"/>
        <w:spacing w:after="0" w:line="440" w:lineRule="exact"/>
        <w:ind w:leftChars="10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承诺单位：</w:t>
      </w:r>
      <w:r>
        <w:rPr>
          <w:rFonts w:hint="eastAsia" w:ascii="宋体" w:hAnsi="宋体" w:eastAsia="宋体" w:cs="宋体"/>
          <w:color w:val="auto"/>
          <w:sz w:val="24"/>
          <w:u w:val="single"/>
        </w:rPr>
        <w:t>　　                            　</w:t>
      </w:r>
      <w:r>
        <w:rPr>
          <w:rFonts w:hint="eastAsia" w:ascii="宋体" w:hAnsi="宋体" w:eastAsia="宋体" w:cs="宋体"/>
          <w:color w:val="auto"/>
          <w:sz w:val="24"/>
        </w:rPr>
        <w:t xml:space="preserve">（盖章） </w:t>
      </w:r>
    </w:p>
    <w:p w14:paraId="3DF55999">
      <w:pPr>
        <w:pageBreakBefore w:val="0"/>
        <w:widowControl/>
        <w:kinsoku/>
        <w:overflowPunct/>
        <w:topLinePunct w:val="0"/>
        <w:bidi w:val="0"/>
        <w:spacing w:after="0" w:line="440" w:lineRule="exact"/>
        <w:ind w:leftChars="10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全权代表：</w:t>
      </w:r>
      <w:r>
        <w:rPr>
          <w:rFonts w:hint="eastAsia" w:ascii="宋体" w:hAnsi="宋体" w:eastAsia="宋体" w:cs="宋体"/>
          <w:color w:val="auto"/>
          <w:sz w:val="24"/>
          <w:u w:val="single"/>
        </w:rPr>
        <w:t>　　　　　     　　　           　</w:t>
      </w:r>
      <w:r>
        <w:rPr>
          <w:rFonts w:hint="eastAsia" w:ascii="宋体" w:hAnsi="宋体" w:eastAsia="宋体" w:cs="宋体"/>
          <w:color w:val="auto"/>
          <w:sz w:val="24"/>
        </w:rPr>
        <w:t xml:space="preserve">（签字） </w:t>
      </w:r>
    </w:p>
    <w:p w14:paraId="69909E24">
      <w:pPr>
        <w:pageBreakBefore w:val="0"/>
        <w:widowControl/>
        <w:kinsoku/>
        <w:overflowPunct/>
        <w:topLinePunct w:val="0"/>
        <w:bidi w:val="0"/>
        <w:spacing w:after="0" w:line="440" w:lineRule="exact"/>
        <w:ind w:leftChars="10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E0D2042">
      <w:pPr>
        <w:pageBreakBefore w:val="0"/>
        <w:widowControl/>
        <w:kinsoku/>
        <w:overflowPunct/>
        <w:topLinePunct w:val="0"/>
        <w:bidi w:val="0"/>
        <w:spacing w:after="0" w:line="440" w:lineRule="exact"/>
        <w:ind w:leftChars="10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14:paraId="09DF9D96">
      <w:pPr>
        <w:pageBreakBefore w:val="0"/>
        <w:widowControl/>
        <w:kinsoku/>
        <w:overflowPunct/>
        <w:topLinePunct w:val="0"/>
        <w:bidi w:val="0"/>
        <w:spacing w:after="0" w:line="440" w:lineRule="exact"/>
        <w:ind w:leftChars="100"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电　　话：</w:t>
      </w:r>
      <w:r>
        <w:rPr>
          <w:rFonts w:hint="eastAsia" w:ascii="宋体" w:hAnsi="宋体" w:eastAsia="宋体" w:cs="宋体"/>
          <w:color w:val="auto"/>
          <w:sz w:val="24"/>
          <w:u w:val="single"/>
        </w:rPr>
        <w:t>　　　                　    　　　</w:t>
      </w:r>
    </w:p>
    <w:p w14:paraId="43034FF6">
      <w:pPr>
        <w:pageBreakBefore w:val="0"/>
        <w:widowControl/>
        <w:kinsoku/>
        <w:overflowPunct/>
        <w:topLinePunct w:val="0"/>
        <w:bidi w:val="0"/>
        <w:spacing w:after="0" w:line="440" w:lineRule="exact"/>
        <w:ind w:leftChars="10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6688B403">
      <w:pPr>
        <w:pageBreakBefore w:val="0"/>
        <w:widowControl/>
        <w:kinsoku/>
        <w:overflowPunct/>
        <w:topLinePunct w:val="0"/>
        <w:bidi w:val="0"/>
        <w:spacing w:after="0" w:line="440" w:lineRule="exact"/>
        <w:ind w:leftChars="100"/>
        <w:jc w:val="left"/>
        <w:rPr>
          <w:rFonts w:hint="eastAsia" w:ascii="宋体" w:hAnsi="宋体" w:eastAsia="宋体" w:cs="宋体"/>
          <w:color w:val="auto"/>
          <w:sz w:val="24"/>
          <w:lang w:eastAsia="zh-CN"/>
        </w:rPr>
      </w:pPr>
    </w:p>
    <w:p w14:paraId="631FA407">
      <w:pPr>
        <w:pageBreakBefore w:val="0"/>
        <w:widowControl/>
        <w:kinsoku/>
        <w:overflowPunct/>
        <w:topLinePunct w:val="0"/>
        <w:bidi w:val="0"/>
        <w:spacing w:after="0" w:line="440" w:lineRule="exact"/>
        <w:ind w:leftChars="100"/>
        <w:jc w:val="left"/>
        <w:rPr>
          <w:rFonts w:hint="eastAsia" w:ascii="宋体" w:hAnsi="宋体" w:eastAsia="宋体" w:cs="宋体"/>
          <w:color w:val="auto"/>
          <w:sz w:val="24"/>
        </w:rPr>
      </w:pPr>
      <w:r>
        <w:rPr>
          <w:rFonts w:hint="eastAsia" w:ascii="宋体" w:hAnsi="宋体" w:eastAsia="宋体" w:cs="宋体"/>
          <w:color w:val="auto"/>
          <w:sz w:val="24"/>
        </w:rPr>
        <w:t>                                            年 　 　月 　　 日</w:t>
      </w:r>
    </w:p>
    <w:p w14:paraId="18DF55C4">
      <w:pPr>
        <w:pageBreakBefore w:val="0"/>
        <w:kinsoku/>
        <w:overflowPunct/>
        <w:topLinePunct w:val="0"/>
        <w:bidi w:val="0"/>
        <w:spacing w:after="0" w:line="360" w:lineRule="atLeast"/>
        <w:rPr>
          <w:rFonts w:hint="eastAsia" w:ascii="宋体" w:hAnsi="宋体" w:eastAsia="宋体" w:cs="宋体"/>
          <w:b/>
          <w:color w:val="auto"/>
          <w:sz w:val="32"/>
          <w:szCs w:val="32"/>
        </w:rPr>
      </w:pPr>
    </w:p>
    <w:p w14:paraId="1DD30E83">
      <w:pPr>
        <w:pageBreakBefore w:val="0"/>
        <w:kinsoku/>
        <w:overflowPunct/>
        <w:topLinePunct w:val="0"/>
        <w:bidi w:val="0"/>
        <w:spacing w:after="0" w:line="360" w:lineRule="atLeast"/>
        <w:rPr>
          <w:rFonts w:hint="eastAsia" w:ascii="宋体" w:hAnsi="宋体" w:eastAsia="宋体" w:cs="宋体"/>
          <w:b/>
          <w:color w:val="auto"/>
          <w:sz w:val="32"/>
          <w:szCs w:val="32"/>
        </w:rPr>
      </w:pPr>
    </w:p>
    <w:p w14:paraId="45C909B4">
      <w:pPr>
        <w:pageBreakBefore w:val="0"/>
        <w:kinsoku/>
        <w:overflowPunct/>
        <w:topLinePunct w:val="0"/>
        <w:bidi w:val="0"/>
        <w:spacing w:after="0" w:line="360" w:lineRule="atLeast"/>
        <w:rPr>
          <w:rFonts w:hint="eastAsia" w:ascii="宋体" w:hAnsi="宋体" w:eastAsia="宋体" w:cs="宋体"/>
          <w:b/>
          <w:color w:val="auto"/>
          <w:sz w:val="32"/>
          <w:szCs w:val="32"/>
        </w:rPr>
      </w:pPr>
    </w:p>
    <w:p w14:paraId="01B9C91F">
      <w:pPr>
        <w:pStyle w:val="9"/>
        <w:pageBreakBefore w:val="0"/>
        <w:kinsoku/>
        <w:overflowPunct/>
        <w:topLinePunct w:val="0"/>
        <w:bidi w:val="0"/>
        <w:spacing w:after="0"/>
        <w:rPr>
          <w:rFonts w:hint="eastAsia" w:ascii="宋体" w:hAnsi="宋体" w:eastAsia="宋体" w:cs="宋体"/>
          <w:b/>
          <w:color w:val="auto"/>
          <w:sz w:val="32"/>
          <w:szCs w:val="32"/>
        </w:rPr>
      </w:pPr>
    </w:p>
    <w:p w14:paraId="1AC29A53">
      <w:pPr>
        <w:rPr>
          <w:rFonts w:hint="eastAsia" w:ascii="宋体" w:hAnsi="宋体" w:eastAsia="宋体" w:cs="宋体"/>
          <w:b/>
          <w:color w:val="auto"/>
          <w:sz w:val="24"/>
        </w:rPr>
      </w:pPr>
      <w:r>
        <w:rPr>
          <w:rFonts w:hint="eastAsia" w:ascii="宋体" w:hAnsi="宋体" w:eastAsia="宋体" w:cs="宋体"/>
          <w:b/>
          <w:color w:val="auto"/>
          <w:sz w:val="24"/>
        </w:rPr>
        <w:br w:type="page"/>
      </w:r>
    </w:p>
    <w:p w14:paraId="1856708B">
      <w:pPr>
        <w:pageBreakBefore w:val="0"/>
        <w:kinsoku/>
        <w:overflowPunct/>
        <w:topLinePunct w:val="0"/>
        <w:bidi w:val="0"/>
        <w:spacing w:after="0" w:line="440" w:lineRule="exact"/>
        <w:jc w:val="center"/>
        <w:rPr>
          <w:rFonts w:hint="eastAsia" w:ascii="宋体" w:hAnsi="宋体" w:eastAsia="宋体" w:cs="宋体"/>
          <w:b/>
          <w:color w:val="auto"/>
          <w:sz w:val="24"/>
        </w:rPr>
      </w:pPr>
      <w:r>
        <w:rPr>
          <w:rFonts w:hint="eastAsia" w:ascii="宋体" w:hAnsi="宋体" w:eastAsia="宋体" w:cs="宋体"/>
          <w:b/>
          <w:color w:val="auto"/>
          <w:sz w:val="24"/>
        </w:rPr>
        <w:t>承诺书Ⅱ</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3398"/>
        <w:gridCol w:w="2324"/>
      </w:tblGrid>
      <w:tr w14:paraId="71F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40" w:type="dxa"/>
            <w:gridSpan w:val="3"/>
            <w:noWrap/>
            <w:vAlign w:val="center"/>
          </w:tcPr>
          <w:p w14:paraId="37B52095">
            <w:pPr>
              <w:pageBreakBefore w:val="0"/>
              <w:kinsoku/>
              <w:overflowPunct/>
              <w:topLinePunct w:val="0"/>
              <w:bidi w:val="0"/>
              <w:spacing w:after="0"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陕西中源项目管理有限公司</w:t>
            </w:r>
          </w:p>
        </w:tc>
      </w:tr>
      <w:tr w14:paraId="6F74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8940" w:type="dxa"/>
            <w:gridSpan w:val="3"/>
            <w:noWrap/>
            <w:vAlign w:val="center"/>
          </w:tcPr>
          <w:p w14:paraId="6D2A2B64">
            <w:pPr>
              <w:pageBreakBefore w:val="0"/>
              <w:kinsoku/>
              <w:overflowPunct/>
              <w:topLinePunct w:val="0"/>
              <w:bidi w:val="0"/>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作为参加贵公司组织的采购项目的供应商，本公司承诺：在参加本项目之前不存在被依法禁止经营行为、财产被接管或冻结的情况，如有隐瞒实情，愿承担一切责任及后果。</w:t>
            </w:r>
          </w:p>
        </w:tc>
      </w:tr>
      <w:tr w14:paraId="5B18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18" w:type="dxa"/>
            <w:noWrap/>
            <w:vAlign w:val="center"/>
          </w:tcPr>
          <w:p w14:paraId="5BCBBA8A">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398" w:type="dxa"/>
            <w:noWrap/>
            <w:vAlign w:val="center"/>
          </w:tcPr>
          <w:p w14:paraId="5406EBF7">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24" w:type="dxa"/>
            <w:noWrap/>
            <w:vAlign w:val="center"/>
          </w:tcPr>
          <w:p w14:paraId="52250012">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2B1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3218" w:type="dxa"/>
            <w:noWrap/>
            <w:vAlign w:val="center"/>
          </w:tcPr>
          <w:p w14:paraId="0EF25E65">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398" w:type="dxa"/>
            <w:noWrap/>
            <w:vAlign w:val="center"/>
          </w:tcPr>
          <w:p w14:paraId="4422E020">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24" w:type="dxa"/>
            <w:noWrap/>
            <w:vAlign w:val="center"/>
          </w:tcPr>
          <w:p w14:paraId="2F116BC1">
            <w:pPr>
              <w:pageBreakBefore w:val="0"/>
              <w:kinsoku/>
              <w:overflowPunct/>
              <w:topLinePunct w:val="0"/>
              <w:bidi w:val="0"/>
              <w:spacing w:after="0"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B563375">
      <w:pPr>
        <w:pageBreakBefore w:val="0"/>
        <w:kinsoku/>
        <w:overflowPunct/>
        <w:topLinePunct w:val="0"/>
        <w:bidi w:val="0"/>
        <w:spacing w:after="0" w:line="360" w:lineRule="atLeast"/>
        <w:rPr>
          <w:rFonts w:hint="eastAsia" w:ascii="宋体" w:hAnsi="宋体" w:eastAsia="宋体" w:cs="宋体"/>
          <w:b/>
          <w:color w:val="auto"/>
          <w:sz w:val="24"/>
        </w:rPr>
      </w:pPr>
    </w:p>
    <w:p w14:paraId="7D6BDA9A">
      <w:pPr>
        <w:pageBreakBefore w:val="0"/>
        <w:kinsoku/>
        <w:overflowPunct/>
        <w:topLinePunct w:val="0"/>
        <w:bidi w:val="0"/>
        <w:spacing w:after="0" w:line="360" w:lineRule="atLeast"/>
        <w:jc w:val="center"/>
        <w:rPr>
          <w:rFonts w:hint="eastAsia" w:ascii="宋体" w:hAnsi="宋体" w:eastAsia="宋体" w:cs="宋体"/>
          <w:b/>
          <w:color w:val="auto"/>
          <w:sz w:val="24"/>
        </w:rPr>
      </w:pPr>
      <w:r>
        <w:rPr>
          <w:rFonts w:hint="eastAsia" w:ascii="宋体" w:hAnsi="宋体" w:eastAsia="宋体" w:cs="宋体"/>
          <w:b/>
          <w:color w:val="auto"/>
          <w:sz w:val="24"/>
        </w:rPr>
        <w:t>承诺书Ⅲ</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8B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7144F93B">
            <w:pPr>
              <w:pageBreakBefore w:val="0"/>
              <w:kinsoku/>
              <w:overflowPunct/>
              <w:topLinePunct w:val="0"/>
              <w:bidi w:val="0"/>
              <w:spacing w:after="0"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陕西中源项目管理有限公司</w:t>
            </w:r>
          </w:p>
        </w:tc>
      </w:tr>
      <w:tr w14:paraId="769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23DCDD15">
            <w:pPr>
              <w:pageBreakBefore w:val="0"/>
              <w:kinsoku/>
              <w:overflowPunct/>
              <w:topLinePunct w:val="0"/>
              <w:bidi w:val="0"/>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53F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063FB02A">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noWrap/>
            <w:vAlign w:val="center"/>
          </w:tcPr>
          <w:p w14:paraId="7C605EB7">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noWrap/>
            <w:vAlign w:val="center"/>
          </w:tcPr>
          <w:p w14:paraId="63A95116">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E6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79C31144">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noWrap/>
            <w:vAlign w:val="center"/>
          </w:tcPr>
          <w:p w14:paraId="10B6431F">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noWrap/>
            <w:vAlign w:val="center"/>
          </w:tcPr>
          <w:p w14:paraId="55022120">
            <w:pPr>
              <w:pageBreakBefore w:val="0"/>
              <w:kinsoku/>
              <w:overflowPunct/>
              <w:topLinePunct w:val="0"/>
              <w:bidi w:val="0"/>
              <w:spacing w:after="0"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3AEC873">
      <w:pPr>
        <w:pageBreakBefore w:val="0"/>
        <w:kinsoku/>
        <w:overflowPunct/>
        <w:topLinePunct w:val="0"/>
        <w:bidi w:val="0"/>
        <w:spacing w:after="0" w:line="360" w:lineRule="atLeast"/>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承诺书Ⅳ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9"/>
        <w:gridCol w:w="3450"/>
        <w:gridCol w:w="2361"/>
      </w:tblGrid>
      <w:tr w14:paraId="11EF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80" w:type="dxa"/>
            <w:gridSpan w:val="3"/>
            <w:noWrap/>
            <w:vAlign w:val="center"/>
          </w:tcPr>
          <w:p w14:paraId="14E2B8FA">
            <w:pPr>
              <w:pageBreakBefore w:val="0"/>
              <w:kinsoku/>
              <w:overflowPunct/>
              <w:topLinePunct w:val="0"/>
              <w:bidi w:val="0"/>
              <w:spacing w:after="0"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陕西中源项目管理有限公司</w:t>
            </w:r>
          </w:p>
        </w:tc>
      </w:tr>
      <w:tr w14:paraId="24C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9080" w:type="dxa"/>
            <w:gridSpan w:val="3"/>
            <w:noWrap/>
            <w:vAlign w:val="center"/>
          </w:tcPr>
          <w:p w14:paraId="72C55F1B">
            <w:pPr>
              <w:pageBreakBefore w:val="0"/>
              <w:kinsoku/>
              <w:overflowPunct/>
              <w:topLinePunct w:val="0"/>
              <w:bidi w:val="0"/>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作为参加贵公司组织的采购项目的供应商，本公司郑重申告：近三年因设备供货问题（水货、替代品、次品、翻新品等）的不法行为记录为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p w14:paraId="5CBC179D">
            <w:pPr>
              <w:pageBreakBefore w:val="0"/>
              <w:kinsoku/>
              <w:overflowPunct/>
              <w:topLinePunct w:val="0"/>
              <w:bidi w:val="0"/>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本公司承诺：本次投标设备为正品行货。</w:t>
            </w:r>
          </w:p>
        </w:tc>
      </w:tr>
      <w:tr w14:paraId="1DDC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69" w:type="dxa"/>
            <w:noWrap/>
            <w:vAlign w:val="center"/>
          </w:tcPr>
          <w:p w14:paraId="6B8C03B4">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50" w:type="dxa"/>
            <w:noWrap/>
            <w:vAlign w:val="center"/>
          </w:tcPr>
          <w:p w14:paraId="2EF2E930">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61" w:type="dxa"/>
            <w:noWrap/>
            <w:vAlign w:val="center"/>
          </w:tcPr>
          <w:p w14:paraId="461FED40">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7EC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269" w:type="dxa"/>
            <w:noWrap/>
            <w:vAlign w:val="center"/>
          </w:tcPr>
          <w:p w14:paraId="41358E28">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50" w:type="dxa"/>
            <w:noWrap/>
            <w:vAlign w:val="center"/>
          </w:tcPr>
          <w:p w14:paraId="000C3E5A">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61" w:type="dxa"/>
            <w:noWrap/>
            <w:vAlign w:val="center"/>
          </w:tcPr>
          <w:p w14:paraId="1282FC71">
            <w:pPr>
              <w:pageBreakBefore w:val="0"/>
              <w:kinsoku/>
              <w:overflowPunct/>
              <w:topLinePunct w:val="0"/>
              <w:bidi w:val="0"/>
              <w:spacing w:after="0"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7D11EFB">
      <w:pPr>
        <w:pageBreakBefore w:val="0"/>
        <w:kinsoku/>
        <w:overflowPunct/>
        <w:topLinePunct w:val="0"/>
        <w:bidi w:val="0"/>
        <w:spacing w:after="0" w:line="360" w:lineRule="auto"/>
        <w:ind w:right="480"/>
        <w:rPr>
          <w:rFonts w:hint="eastAsia" w:ascii="宋体" w:hAnsi="宋体" w:eastAsia="宋体" w:cs="宋体"/>
          <w:color w:val="auto"/>
          <w:sz w:val="24"/>
        </w:rPr>
      </w:pPr>
    </w:p>
    <w:p w14:paraId="48CCC3E3">
      <w:pPr>
        <w:pageBreakBefore w:val="0"/>
        <w:kinsoku/>
        <w:overflowPunct/>
        <w:topLinePunct w:val="0"/>
        <w:bidi w:val="0"/>
        <w:spacing w:after="0" w:line="360" w:lineRule="atLeast"/>
        <w:jc w:val="center"/>
        <w:rPr>
          <w:rFonts w:hint="eastAsia" w:ascii="宋体" w:hAnsi="宋体" w:eastAsia="宋体" w:cs="宋体"/>
          <w:b/>
          <w:color w:val="auto"/>
          <w:sz w:val="24"/>
        </w:rPr>
      </w:pPr>
      <w:r>
        <w:rPr>
          <w:rFonts w:hint="eastAsia" w:ascii="宋体" w:hAnsi="宋体" w:eastAsia="宋体" w:cs="宋体"/>
          <w:b/>
          <w:color w:val="auto"/>
          <w:sz w:val="24"/>
        </w:rPr>
        <w:t>承诺书</w:t>
      </w:r>
      <w:r>
        <w:rPr>
          <w:rFonts w:hint="eastAsia" w:ascii="宋体" w:hAnsi="宋体" w:eastAsia="宋体" w:cs="宋体"/>
          <w:b/>
          <w:color w:val="auto"/>
          <w:sz w:val="24"/>
        </w:rPr>
        <w:fldChar w:fldCharType="begin"/>
      </w:r>
      <w:r>
        <w:rPr>
          <w:rFonts w:hint="eastAsia" w:ascii="宋体" w:hAnsi="宋体" w:eastAsia="宋体" w:cs="宋体"/>
          <w:b/>
          <w:color w:val="auto"/>
          <w:sz w:val="24"/>
        </w:rPr>
        <w:instrText xml:space="preserve">= 5 \* ROMAN</w:instrText>
      </w:r>
      <w:r>
        <w:rPr>
          <w:rFonts w:hint="eastAsia" w:ascii="宋体" w:hAnsi="宋体" w:eastAsia="宋体" w:cs="宋体"/>
          <w:b/>
          <w:color w:val="auto"/>
          <w:sz w:val="24"/>
        </w:rPr>
        <w:fldChar w:fldCharType="separate"/>
      </w:r>
      <w:r>
        <w:rPr>
          <w:rFonts w:hint="eastAsia" w:ascii="宋体" w:hAnsi="宋体" w:eastAsia="宋体" w:cs="宋体"/>
          <w:b/>
          <w:color w:val="auto"/>
          <w:sz w:val="24"/>
        </w:rPr>
        <w:t>V</w:t>
      </w:r>
      <w:r>
        <w:rPr>
          <w:rFonts w:hint="eastAsia" w:ascii="宋体" w:hAnsi="宋体" w:eastAsia="宋体" w:cs="宋体"/>
          <w:b/>
          <w:color w:val="auto"/>
          <w:sz w:val="24"/>
        </w:rPr>
        <w:fldChar w:fldCharType="end"/>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C3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42384D21">
            <w:pPr>
              <w:pageBreakBefore w:val="0"/>
              <w:kinsoku/>
              <w:overflowPunct/>
              <w:topLinePunct w:val="0"/>
              <w:bidi w:val="0"/>
              <w:spacing w:after="0"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陕西中源项目管理有限公司</w:t>
            </w:r>
          </w:p>
        </w:tc>
      </w:tr>
      <w:tr w14:paraId="4CD9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6E29CB51">
            <w:pPr>
              <w:pageBreakBefore w:val="0"/>
              <w:kinsoku/>
              <w:overflowPunct/>
              <w:topLinePunct w:val="0"/>
              <w:bidi w:val="0"/>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作为参加贵公司组织的采购项目的供应商，本公司承诺：参加本次投标提交的所有资质证明文件及业绩证明是真实的、有效的，如有隐瞒实情，愿承担一切责任及后果。</w:t>
            </w:r>
          </w:p>
        </w:tc>
      </w:tr>
      <w:tr w14:paraId="16C7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61F2A324">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noWrap/>
            <w:vAlign w:val="center"/>
          </w:tcPr>
          <w:p w14:paraId="75EFB6E2">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noWrap/>
            <w:vAlign w:val="center"/>
          </w:tcPr>
          <w:p w14:paraId="40C86E1B">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09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25761C12">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noWrap/>
            <w:vAlign w:val="center"/>
          </w:tcPr>
          <w:p w14:paraId="2A688DC3">
            <w:pPr>
              <w:pageBreakBefore w:val="0"/>
              <w:kinsoku/>
              <w:overflowPunct/>
              <w:topLinePunct w:val="0"/>
              <w:bidi w:val="0"/>
              <w:spacing w:after="0"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noWrap/>
            <w:vAlign w:val="center"/>
          </w:tcPr>
          <w:p w14:paraId="20DA0D5D">
            <w:pPr>
              <w:pageBreakBefore w:val="0"/>
              <w:kinsoku/>
              <w:overflowPunct/>
              <w:topLinePunct w:val="0"/>
              <w:bidi w:val="0"/>
              <w:spacing w:after="0"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25969AAB">
      <w:pPr>
        <w:pageBreakBefore w:val="0"/>
        <w:kinsoku/>
        <w:overflowPunct/>
        <w:topLinePunct w:val="0"/>
        <w:bidi w:val="0"/>
        <w:spacing w:after="0" w:line="240" w:lineRule="auto"/>
        <w:ind w:right="836"/>
        <w:jc w:val="both"/>
        <w:rPr>
          <w:rFonts w:hint="eastAsia" w:ascii="宋体" w:hAnsi="宋体" w:eastAsia="宋体" w:cs="宋体"/>
          <w:sz w:val="24"/>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D8556"/>
    <w:multiLevelType w:val="singleLevel"/>
    <w:tmpl w:val="E77D8556"/>
    <w:lvl w:ilvl="0" w:tentative="0">
      <w:start w:val="1"/>
      <w:numFmt w:val="chineseCounting"/>
      <w:suff w:val="space"/>
      <w:lvlText w:val="第%1章"/>
      <w:lvlJc w:val="left"/>
      <w:rPr>
        <w:rFonts w:hint="eastAsia"/>
      </w:rPr>
    </w:lvl>
  </w:abstractNum>
  <w:abstractNum w:abstractNumId="1">
    <w:nsid w:val="FE884F79"/>
    <w:multiLevelType w:val="singleLevel"/>
    <w:tmpl w:val="FE884F79"/>
    <w:lvl w:ilvl="0" w:tentative="0">
      <w:start w:val="2"/>
      <w:numFmt w:val="decimal"/>
      <w:suff w:val="nothing"/>
      <w:lvlText w:val="%1）"/>
      <w:lvlJc w:val="left"/>
    </w:lvl>
  </w:abstractNum>
  <w:abstractNum w:abstractNumId="2">
    <w:nsid w:val="1FA66457"/>
    <w:multiLevelType w:val="multilevel"/>
    <w:tmpl w:val="1FA6645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dit="readOnly" w:enforcement="1" w:cryptProviderType="rsaFull" w:cryptAlgorithmClass="hash" w:cryptAlgorithmType="typeAny" w:cryptAlgorithmSid="4" w:cryptSpinCount="0" w:hash="XQr9oTodLFHcXgO6xvHDYSiZIcs=" w:salt="lAqynqxO06B4mZN7BLclNA=="/>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46"/>
    <w:rsid w:val="001E7E46"/>
    <w:rsid w:val="00216CDD"/>
    <w:rsid w:val="004C4880"/>
    <w:rsid w:val="05184508"/>
    <w:rsid w:val="0597207E"/>
    <w:rsid w:val="08A274A7"/>
    <w:rsid w:val="0EF455AD"/>
    <w:rsid w:val="11146F5F"/>
    <w:rsid w:val="1B63559F"/>
    <w:rsid w:val="20CE712B"/>
    <w:rsid w:val="218C2414"/>
    <w:rsid w:val="22F97FA5"/>
    <w:rsid w:val="24292524"/>
    <w:rsid w:val="2D900BB4"/>
    <w:rsid w:val="32C75788"/>
    <w:rsid w:val="372B6663"/>
    <w:rsid w:val="390C6F00"/>
    <w:rsid w:val="39CD1B77"/>
    <w:rsid w:val="3FA30C30"/>
    <w:rsid w:val="3FF23B6F"/>
    <w:rsid w:val="47131993"/>
    <w:rsid w:val="48D6291A"/>
    <w:rsid w:val="509B47EE"/>
    <w:rsid w:val="585427D9"/>
    <w:rsid w:val="61313233"/>
    <w:rsid w:val="6DBF1F5E"/>
    <w:rsid w:val="780E134A"/>
    <w:rsid w:val="7842045C"/>
    <w:rsid w:val="7A6E7FD4"/>
    <w:rsid w:val="7A903C7E"/>
    <w:rsid w:val="7FD00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unhideWhenUsed/>
    <w:qFormat/>
    <w:uiPriority w:val="0"/>
    <w:pPr>
      <w:keepNext/>
      <w:keepLines/>
      <w:spacing w:beforeLines="0" w:beforeAutospacing="0" w:afterLines="0" w:afterAutospacing="0" w:line="560" w:lineRule="exact"/>
      <w:ind w:firstLine="1446" w:firstLineChars="200"/>
      <w:outlineLvl w:val="1"/>
    </w:pPr>
    <w:rPr>
      <w:rFonts w:ascii="Times New Roman" w:hAnsi="Times New Roman" w:eastAsia="黑体"/>
      <w:sz w:val="32"/>
    </w:rPr>
  </w:style>
  <w:style w:type="paragraph" w:styleId="3">
    <w:name w:val="heading 3"/>
    <w:basedOn w:val="1"/>
    <w:next w:val="1"/>
    <w:link w:val="22"/>
    <w:qFormat/>
    <w:uiPriority w:val="0"/>
    <w:pPr>
      <w:keepNext/>
      <w:keepLines/>
      <w:spacing w:before="260" w:after="260" w:line="416" w:lineRule="auto"/>
      <w:outlineLvl w:val="2"/>
    </w:pPr>
    <w:rPr>
      <w:rFonts w:eastAsia="宋体"/>
      <w:b/>
      <w:bCs/>
      <w:sz w:val="28"/>
      <w:szCs w:val="32"/>
    </w:rPr>
  </w:style>
  <w:style w:type="paragraph" w:styleId="4">
    <w:name w:val="heading 4"/>
    <w:basedOn w:val="1"/>
    <w:next w:val="1"/>
    <w:link w:val="16"/>
    <w:qFormat/>
    <w:uiPriority w:val="0"/>
    <w:pPr>
      <w:keepNext/>
      <w:keepLines/>
      <w:spacing w:before="280" w:after="290" w:line="372" w:lineRule="auto"/>
      <w:outlineLvl w:val="3"/>
    </w:pPr>
    <w:rPr>
      <w:rFonts w:ascii="Cambria" w:hAnsi="Cambria" w:eastAsia="宋体" w:cs="Times New Roman"/>
      <w:b/>
      <w:bCs/>
      <w:kern w:val="2"/>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tabs>
        <w:tab w:val="left" w:pos="4117"/>
      </w:tabs>
      <w:overflowPunct w:val="0"/>
      <w:autoSpaceDE w:val="0"/>
      <w:autoSpaceDN w:val="0"/>
      <w:adjustRightInd w:val="0"/>
      <w:spacing w:line="500" w:lineRule="exact"/>
      <w:ind w:firstLine="517" w:firstLineChars="200"/>
    </w:pPr>
    <w:rPr>
      <w:rFonts w:ascii="宋体" w:hAnsi="Times New Roman" w:eastAsia="宋体" w:cs="Times New Roman"/>
      <w:spacing w:val="-20"/>
      <w:kern w:val="0"/>
      <w:sz w:val="24"/>
      <w:szCs w:val="32"/>
    </w:rPr>
  </w:style>
  <w:style w:type="paragraph" w:styleId="6">
    <w:name w:val="Body Text"/>
    <w:basedOn w:val="1"/>
    <w:next w:val="1"/>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toc 8"/>
    <w:basedOn w:val="1"/>
    <w:next w:val="1"/>
    <w:qFormat/>
    <w:uiPriority w:val="39"/>
    <w:pPr>
      <w:ind w:left="2940" w:leftChars="14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toc 1"/>
    <w:basedOn w:val="1"/>
    <w:next w:val="1"/>
    <w:qFormat/>
    <w:uiPriority w:val="39"/>
  </w:style>
  <w:style w:type="paragraph" w:styleId="11">
    <w:name w:val="HTML Preformatted"/>
    <w:basedOn w:val="1"/>
    <w:qFormat/>
    <w:uiPriority w:val="0"/>
    <w:pPr>
      <w:jc w:val="left"/>
    </w:pPr>
    <w:rPr>
      <w:rFonts w:ascii="Arial" w:hAnsi="Arial" w:cs="Arial"/>
      <w:kern w:val="0"/>
      <w:sz w:val="24"/>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4 Char"/>
    <w:link w:val="4"/>
    <w:qFormat/>
    <w:uiPriority w:val="0"/>
    <w:rPr>
      <w:rFonts w:ascii="Cambria" w:hAnsi="Cambria" w:eastAsia="宋体" w:cs="Times New Roman"/>
      <w:b/>
      <w:bCs/>
      <w:kern w:val="2"/>
      <w:sz w:val="28"/>
      <w:szCs w:val="28"/>
    </w:rPr>
  </w:style>
  <w:style w:type="character" w:customStyle="1" w:styleId="17">
    <w:name w:val="apple-converted-space"/>
    <w:basedOn w:val="15"/>
    <w:qFormat/>
    <w:uiPriority w:val="0"/>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样式1"/>
    <w:basedOn w:val="1"/>
    <w:next w:val="4"/>
    <w:qFormat/>
    <w:uiPriority w:val="0"/>
    <w:pPr>
      <w:spacing w:line="360" w:lineRule="auto"/>
      <w:ind w:firstLine="420" w:firstLineChars="200"/>
    </w:pPr>
    <w:rPr>
      <w:rFonts w:ascii="宋体" w:hAnsi="宋体"/>
      <w:szCs w:val="21"/>
    </w:rPr>
  </w:style>
  <w:style w:type="paragraph" w:customStyle="1" w:styleId="20">
    <w:name w:val="BodyText1I"/>
    <w:basedOn w:val="21"/>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21">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22">
    <w:name w:val="标题 3 Char1"/>
    <w:link w:val="3"/>
    <w:qFormat/>
    <w:uiPriority w:val="0"/>
    <w:rPr>
      <w:rFonts w:eastAsia="宋体"/>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2344</Words>
  <Characters>2656</Characters>
  <Lines>141</Lines>
  <Paragraphs>39</Paragraphs>
  <TotalTime>30</TotalTime>
  <ScaleCrop>false</ScaleCrop>
  <LinksUpToDate>false</LinksUpToDate>
  <CharactersWithSpaces>2771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2025-09-15T06:34:00Z</dcterms:created>
  <dc:creator>lenovo</dc:creator>
  <cp:lastModifiedBy>面包 人</cp:lastModifiedBy>
  <cp:lastPrinted>2025-10-29T02:13:00Z</cp:lastPrinted>
  <dcterms:modified xsi:type="dcterms:W3CDTF">2025-11-11T06:49:24Z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eyJoZGlkIjoiYjI3OGExMzIzOTFhYzQxYjc2NTM1YTUxZjk4OWU3ZTIiLCJ1c2VySWQiOiI3MTY4MzQ2ODcifQ==</vt:lpwstr>
  </property>
  <property fmtid="{D5CDD505-2E9C-101B-9397-08002B2CF9AE}" pid="3" name="KSOProductBuildVer">
    <vt:lpwstr>2052-12.1.0.23542</vt:lpwstr>
  </property>
  <property fmtid="{D5CDD505-2E9C-101B-9397-08002B2CF9AE}" pid="4" name="ICV">
    <vt:lpwstr>D62C94E7D4834F9D942D0C77AD01267B_13</vt:lpwstr>
  </property>
</Properties>
</file>