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5A08D">
      <w:pPr>
        <w:pStyle w:val="4"/>
        <w:spacing w:before="0" w:after="0" w:line="600" w:lineRule="exact"/>
        <w:jc w:val="center"/>
        <w:rPr>
          <w:sz w:val="36"/>
          <w:szCs w:val="36"/>
        </w:rPr>
      </w:pPr>
      <w:r>
        <w:rPr>
          <w:rFonts w:hint="eastAsia"/>
          <w:sz w:val="36"/>
          <w:szCs w:val="36"/>
        </w:rPr>
        <w:t>关于</w:t>
      </w:r>
      <w:r>
        <w:rPr>
          <w:rFonts w:hint="eastAsia"/>
          <w:sz w:val="36"/>
          <w:szCs w:val="36"/>
          <w:lang w:eastAsia="zh-CN"/>
        </w:rPr>
        <w:t>西安市智慧环保综合指挥中心房屋租赁项目项目的成交结果公告</w:t>
      </w:r>
    </w:p>
    <w:p w14:paraId="7D5A370C">
      <w:pPr>
        <w:widowControl w:val="0"/>
        <w:adjustRightInd/>
        <w:snapToGrid/>
        <w:spacing w:after="0" w:line="560" w:lineRule="exact"/>
        <w:jc w:val="both"/>
        <w:rPr>
          <w:rFonts w:ascii="黑体" w:hAnsi="黑体" w:eastAsia="黑体" w:cs="Times New Roman"/>
          <w:kern w:val="2"/>
          <w:sz w:val="28"/>
          <w:szCs w:val="28"/>
        </w:rPr>
      </w:pPr>
    </w:p>
    <w:p w14:paraId="702FBAAA">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XCZX2025-0169</w:t>
      </w:r>
    </w:p>
    <w:p w14:paraId="77BA6935">
      <w:pPr>
        <w:widowControl w:val="0"/>
        <w:adjustRightInd/>
        <w:snapToGrid/>
        <w:spacing w:after="0" w:line="560" w:lineRule="exact"/>
        <w:ind w:left="585" w:leftChars="266"/>
        <w:jc w:val="both"/>
        <w:rPr>
          <w:rFonts w:hint="eastAsia" w:ascii="黑体" w:hAnsi="黑体" w:eastAsia="黑体" w:cs="黑体"/>
          <w:kern w:val="2"/>
          <w:sz w:val="28"/>
          <w:szCs w:val="28"/>
          <w:lang w:eastAsia="zh-CN"/>
        </w:rPr>
      </w:pPr>
      <w:r>
        <w:rPr>
          <w:rFonts w:hint="eastAsia" w:ascii="黑体" w:hAnsi="黑体" w:eastAsia="黑体" w:cs="Times New Roman"/>
          <w:kern w:val="2"/>
          <w:sz w:val="28"/>
          <w:szCs w:val="28"/>
          <w:lang w:val="en-US" w:eastAsia="zh-CN"/>
        </w:rPr>
        <w:t>核准</w:t>
      </w:r>
      <w:r>
        <w:rPr>
          <w:rFonts w:hint="eastAsia" w:ascii="黑体" w:hAnsi="黑体" w:eastAsia="黑体" w:cs="Times New Roman"/>
          <w:kern w:val="2"/>
          <w:sz w:val="28"/>
          <w:szCs w:val="28"/>
          <w:lang w:eastAsia="zh-CN"/>
        </w:rPr>
        <w:t>编号：</w:t>
      </w:r>
      <w:r>
        <w:rPr>
          <w:rFonts w:cs="Calibri Light" w:asciiTheme="minorEastAsia" w:hAnsiTheme="minorEastAsia"/>
          <w:color w:val="C00000"/>
          <w:sz w:val="24"/>
          <w:szCs w:val="24"/>
        </w:rPr>
        <w:t>ZCSP-西安市-2025-00814</w:t>
      </w:r>
    </w:p>
    <w:p w14:paraId="3FCAC753">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西安市智慧环保综合指挥中心房屋租赁项目</w:t>
      </w:r>
    </w:p>
    <w:p w14:paraId="09F1F4F2">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w:t>
      </w:r>
      <w:r>
        <w:rPr>
          <w:rFonts w:hint="eastAsia" w:ascii="黑体" w:hAnsi="黑体" w:eastAsia="黑体" w:cs="Times New Roman"/>
          <w:kern w:val="2"/>
          <w:sz w:val="28"/>
          <w:szCs w:val="28"/>
          <w:lang w:eastAsia="zh-CN"/>
        </w:rPr>
        <w:t>成交</w:t>
      </w:r>
      <w:r>
        <w:rPr>
          <w:rFonts w:hint="eastAsia" w:ascii="黑体" w:hAnsi="黑体" w:eastAsia="黑体" w:cs="Times New Roman"/>
          <w:kern w:val="2"/>
          <w:sz w:val="28"/>
          <w:szCs w:val="28"/>
        </w:rPr>
        <w:t>信息</w:t>
      </w:r>
    </w:p>
    <w:p w14:paraId="713FC258">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名称：</w:t>
      </w:r>
      <w:r>
        <w:rPr>
          <w:rFonts w:hint="eastAsia" w:ascii="仿宋" w:hAnsi="仿宋" w:eastAsia="仿宋" w:cs="Times New Roman"/>
          <w:kern w:val="2"/>
          <w:sz w:val="28"/>
          <w:szCs w:val="28"/>
          <w:lang w:eastAsia="zh-CN"/>
        </w:rPr>
        <w:t>西安联益商贸有限公司</w:t>
      </w:r>
    </w:p>
    <w:p w14:paraId="57B82839">
      <w:pPr>
        <w:widowControl w:val="0"/>
        <w:adjustRightInd/>
        <w:snapToGrid/>
        <w:spacing w:after="0" w:line="560" w:lineRule="exact"/>
        <w:ind w:left="559" w:leftChars="254" w:firstLine="0" w:firstLineChars="0"/>
        <w:jc w:val="both"/>
        <w:rPr>
          <w:rFonts w:hint="eastAsia" w:ascii="仿宋" w:hAnsi="仿宋" w:eastAsia="仿宋" w:cs="Times New Roman"/>
          <w:kern w:val="2"/>
          <w:sz w:val="28"/>
          <w:szCs w:val="28"/>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地址：西安市经济技术开发区明光路86号</w:t>
      </w:r>
    </w:p>
    <w:p w14:paraId="516F2190">
      <w:pPr>
        <w:widowControl w:val="0"/>
        <w:adjustRightInd/>
        <w:snapToGrid/>
        <w:spacing w:after="0" w:line="560" w:lineRule="exact"/>
        <w:ind w:left="559" w:leftChars="254" w:firstLine="0" w:firstLineChars="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成交</w:t>
      </w:r>
      <w:r>
        <w:rPr>
          <w:rFonts w:hint="eastAsia" w:ascii="仿宋" w:hAnsi="仿宋" w:eastAsia="仿宋" w:cs="Times New Roman"/>
          <w:kern w:val="2"/>
          <w:sz w:val="28"/>
          <w:szCs w:val="28"/>
          <w:lang w:val="en-US" w:eastAsia="zh-CN"/>
        </w:rPr>
        <w:t>金额：9871200.00元</w:t>
      </w:r>
    </w:p>
    <w:p w14:paraId="2A31BDAA">
      <w:pPr>
        <w:widowControl w:val="0"/>
        <w:adjustRightInd/>
        <w:snapToGrid/>
        <w:spacing w:after="0" w:line="560" w:lineRule="exact"/>
        <w:ind w:firstLine="560" w:firstLineChars="200"/>
        <w:jc w:val="both"/>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联系人：楚涛</w:t>
      </w:r>
    </w:p>
    <w:p w14:paraId="18CF4C46">
      <w:pPr>
        <w:widowControl w:val="0"/>
        <w:adjustRightInd/>
        <w:snapToGrid/>
        <w:spacing w:after="0" w:line="560" w:lineRule="exact"/>
        <w:ind w:firstLine="560" w:firstLineChars="2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联系电话：18602186698</w:t>
      </w:r>
    </w:p>
    <w:p w14:paraId="6C2123FF">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930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14:paraId="10D9411A">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14:paraId="3780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344F092">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sz w:val="28"/>
                <w:szCs w:val="28"/>
                <w:lang w:eastAsia="zh-CN"/>
              </w:rPr>
              <w:t>西安市智慧环保综合指挥中心房屋租赁项目</w:t>
            </w:r>
          </w:p>
          <w:p w14:paraId="1E77AA8D">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w:t>
            </w:r>
            <w:r>
              <w:rPr>
                <w:rFonts w:hint="eastAsia" w:ascii="仿宋" w:hAnsi="仿宋" w:eastAsia="仿宋" w:cs="Times New Roman"/>
                <w:b/>
                <w:bCs/>
                <w:sz w:val="28"/>
                <w:szCs w:val="28"/>
                <w:lang w:val="en-US" w:eastAsia="zh-CN"/>
              </w:rPr>
              <w:t>范围</w:t>
            </w:r>
            <w:r>
              <w:rPr>
                <w:rFonts w:hint="eastAsia" w:ascii="仿宋" w:hAnsi="仿宋" w:eastAsia="仿宋" w:cs="Times New Roman"/>
                <w:b/>
                <w:bCs/>
                <w:sz w:val="28"/>
                <w:szCs w:val="28"/>
              </w:rPr>
              <w:t>：</w:t>
            </w:r>
            <w:r>
              <w:rPr>
                <w:rFonts w:hint="eastAsia" w:ascii="仿宋" w:hAnsi="仿宋" w:eastAsia="仿宋" w:cs="Times New Roman"/>
                <w:sz w:val="28"/>
                <w:szCs w:val="28"/>
                <w:lang w:eastAsia="zh-CN"/>
              </w:rPr>
              <w:t>本项目为西安市智慧环保综合指挥中心采购联益中心3层办公用房、4层专用设备用房租赁项目。详见磋商文件第三章。</w:t>
            </w:r>
          </w:p>
          <w:p w14:paraId="67AE9842">
            <w:pPr>
              <w:spacing w:line="520" w:lineRule="exact"/>
              <w:rPr>
                <w:rFonts w:hint="eastAsia" w:ascii="仿宋" w:hAnsi="仿宋" w:eastAsia="仿宋" w:cs="Times New Roman"/>
                <w:sz w:val="28"/>
                <w:szCs w:val="28"/>
                <w:lang w:eastAsia="zh-CN"/>
              </w:rPr>
            </w:pPr>
            <w:r>
              <w:rPr>
                <w:rFonts w:hint="eastAsia" w:ascii="仿宋" w:hAnsi="仿宋" w:eastAsia="仿宋" w:cs="Times New Roman"/>
                <w:b/>
                <w:bCs/>
                <w:sz w:val="28"/>
                <w:szCs w:val="28"/>
                <w:lang w:val="en-US" w:eastAsia="zh-CN"/>
              </w:rPr>
              <w:t>服务要求</w:t>
            </w:r>
            <w:r>
              <w:rPr>
                <w:rFonts w:hint="eastAsia" w:ascii="仿宋" w:hAnsi="仿宋" w:eastAsia="仿宋" w:cs="Times New Roman"/>
                <w:b/>
                <w:bCs/>
                <w:sz w:val="28"/>
                <w:szCs w:val="28"/>
              </w:rPr>
              <w:t>：</w:t>
            </w:r>
            <w:r>
              <w:rPr>
                <w:rFonts w:hint="eastAsia" w:ascii="仿宋" w:hAnsi="仿宋" w:eastAsia="仿宋" w:cs="Times New Roman"/>
                <w:sz w:val="28"/>
                <w:szCs w:val="28"/>
                <w:lang w:eastAsia="zh-CN"/>
              </w:rPr>
              <w:t>西安市凤城七路联益中心3层办公用房租赁面积为3953㎡，4层专用设备用房租赁面积为296㎡。采购项目仅包含房屋租赁，不包括物业及水电费用。详见磋商文件第三章。</w:t>
            </w:r>
          </w:p>
          <w:p w14:paraId="39522414">
            <w:pPr>
              <w:spacing w:line="520" w:lineRule="exact"/>
              <w:rPr>
                <w:rFonts w:hint="eastAsia" w:ascii="仿宋" w:hAnsi="仿宋" w:eastAsia="仿宋"/>
                <w:sz w:val="28"/>
                <w:szCs w:val="28"/>
              </w:rPr>
            </w:pPr>
            <w:r>
              <w:rPr>
                <w:rFonts w:hint="eastAsia" w:ascii="仿宋" w:hAnsi="仿宋" w:eastAsia="仿宋" w:cs="Times New Roman"/>
                <w:b/>
                <w:bCs/>
                <w:sz w:val="28"/>
                <w:szCs w:val="28"/>
              </w:rPr>
              <w:t>服务</w:t>
            </w:r>
            <w:r>
              <w:rPr>
                <w:rFonts w:hint="eastAsia" w:ascii="仿宋" w:hAnsi="仿宋" w:eastAsia="仿宋" w:cs="Times New Roman"/>
                <w:b/>
                <w:bCs/>
                <w:sz w:val="28"/>
                <w:szCs w:val="28"/>
                <w:lang w:val="en-US" w:eastAsia="zh-CN"/>
              </w:rPr>
              <w:t>期</w:t>
            </w:r>
            <w:r>
              <w:rPr>
                <w:rFonts w:hint="eastAsia" w:ascii="仿宋" w:hAnsi="仿宋" w:eastAsia="仿宋" w:cs="Times New Roman"/>
                <w:b/>
                <w:bCs/>
                <w:sz w:val="28"/>
                <w:szCs w:val="28"/>
              </w:rPr>
              <w:t>：</w:t>
            </w:r>
            <w:r>
              <w:rPr>
                <w:rFonts w:hint="eastAsia" w:ascii="仿宋" w:hAnsi="仿宋" w:eastAsia="仿宋" w:cs="仿宋"/>
                <w:sz w:val="28"/>
                <w:szCs w:val="28"/>
              </w:rPr>
              <w:t>3年，以合同签订时约定的起止时间为准。</w:t>
            </w:r>
          </w:p>
          <w:p w14:paraId="29790849">
            <w:pPr>
              <w:spacing w:line="520" w:lineRule="exact"/>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详见磋商文件第三章。</w:t>
            </w:r>
          </w:p>
        </w:tc>
      </w:tr>
    </w:tbl>
    <w:p w14:paraId="1A9077AC">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 w:hAnsi="仿宋" w:eastAsia="仿宋" w:cs="宋体"/>
          <w:sz w:val="28"/>
          <w:szCs w:val="28"/>
          <w:lang w:val="en-US" w:eastAsia="zh-CN"/>
        </w:rPr>
        <w:t>吴浩、牛羽、贾磊</w:t>
      </w:r>
      <w:r>
        <w:rPr>
          <w:rFonts w:hint="eastAsia" w:ascii="仿宋" w:hAnsi="仿宋" w:eastAsia="仿宋" w:cs="宋体"/>
          <w:sz w:val="28"/>
          <w:szCs w:val="28"/>
          <w:lang w:eastAsia="zh-CN"/>
        </w:rPr>
        <w:t>。</w:t>
      </w:r>
    </w:p>
    <w:p w14:paraId="492415FE">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14:paraId="394697CF">
      <w:pPr>
        <w:widowControl w:val="0"/>
        <w:adjustRightInd/>
        <w:snapToGrid/>
        <w:spacing w:after="0" w:line="560" w:lineRule="exact"/>
        <w:jc w:val="both"/>
        <w:rPr>
          <w:rFonts w:hint="eastAsia" w:ascii="黑体" w:hAnsi="黑体" w:eastAsia="黑体" w:cs="仿宋"/>
          <w:kern w:val="2"/>
          <w:sz w:val="28"/>
          <w:szCs w:val="28"/>
        </w:rPr>
      </w:pPr>
      <w:r>
        <w:rPr>
          <w:rFonts w:hint="eastAsia" w:ascii="黑体" w:hAnsi="黑体" w:eastAsia="黑体" w:cs="仿宋"/>
          <w:kern w:val="2"/>
          <w:sz w:val="28"/>
          <w:szCs w:val="28"/>
        </w:rPr>
        <w:t>七、其他补充事宜</w:t>
      </w:r>
    </w:p>
    <w:p w14:paraId="37DB9EEB">
      <w:pPr>
        <w:widowControl w:val="0"/>
        <w:adjustRightInd/>
        <w:snapToGrid/>
        <w:spacing w:after="0" w:line="560" w:lineRule="exact"/>
        <w:ind w:firstLine="560" w:firstLineChars="200"/>
        <w:jc w:val="both"/>
        <w:rPr>
          <w:rFonts w:hint="default" w:ascii="黑体" w:hAnsi="黑体" w:eastAsia="黑体" w:cs="仿宋"/>
          <w:kern w:val="2"/>
          <w:sz w:val="28"/>
          <w:szCs w:val="28"/>
          <w:lang w:val="en-US"/>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p>
    <w:p w14:paraId="007D11AE">
      <w:pPr>
        <w:widowControl w:val="0"/>
        <w:adjustRightInd/>
        <w:snapToGrid/>
        <w:spacing w:after="0" w:line="560" w:lineRule="exact"/>
        <w:ind w:firstLine="560" w:firstLineChars="200"/>
        <w:jc w:val="both"/>
        <w:rPr>
          <w:rFonts w:ascii="仿宋" w:hAnsi="仿宋" w:eastAsia="仿宋" w:cs="宋体"/>
          <w:bCs/>
          <w:kern w:val="2"/>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于本项目公告期届满之日起前往西安市公共资源交易中心八楼领取成交通知书，同时须提交密封好的纸质响应文件一正两副，内容与电子响应文件完全一致。</w:t>
      </w:r>
    </w:p>
    <w:p w14:paraId="09FD4480">
      <w:pPr>
        <w:widowControl w:val="0"/>
        <w:adjustRightInd/>
        <w:snapToGrid/>
        <w:spacing w:after="0" w:line="560" w:lineRule="exact"/>
        <w:jc w:val="both"/>
        <w:rPr>
          <w:rFonts w:ascii="黑体" w:hAnsi="黑体" w:eastAsia="黑体" w:cs="宋体"/>
          <w:sz w:val="28"/>
          <w:szCs w:val="28"/>
        </w:rPr>
      </w:pPr>
      <w:r>
        <w:rPr>
          <w:rFonts w:hint="eastAsia" w:ascii="黑体" w:hAnsi="黑体" w:eastAsia="黑体" w:cs="宋体"/>
          <w:sz w:val="28"/>
          <w:szCs w:val="28"/>
        </w:rPr>
        <w:t>八、凡对本次公告内容提出询问，请按以下方式联系。</w:t>
      </w:r>
    </w:p>
    <w:p w14:paraId="11F4CEDE">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14:paraId="6DF861D0">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w:t>
      </w:r>
      <w:r>
        <w:rPr>
          <w:rFonts w:hint="eastAsia" w:ascii="仿宋" w:hAnsi="仿宋" w:eastAsia="仿宋" w:cs="Times New Roman"/>
          <w:kern w:val="2"/>
          <w:sz w:val="28"/>
          <w:szCs w:val="28"/>
          <w:lang w:eastAsia="zh-CN"/>
        </w:rPr>
        <w:t>西安市智慧环保综合指挥中心</w:t>
      </w:r>
    </w:p>
    <w:p w14:paraId="7F08B5B0">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 xml:space="preserve">地    址：未央区凤城七路与明光路十字西北角联益中心三楼 </w:t>
      </w:r>
    </w:p>
    <w:p w14:paraId="61AC6450">
      <w:pPr>
        <w:widowControl w:val="0"/>
        <w:adjustRightInd/>
        <w:snapToGrid/>
        <w:spacing w:after="0" w:line="560" w:lineRule="exact"/>
        <w:ind w:firstLine="840" w:firstLineChars="3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联系方式：17809267576</w:t>
      </w:r>
    </w:p>
    <w:p w14:paraId="01668DC1">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2、采购代理机构信息</w:t>
      </w:r>
    </w:p>
    <w:p w14:paraId="34DE7B1C">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名    称：西安市市级单位政府采购中心</w:t>
      </w:r>
    </w:p>
    <w:p w14:paraId="5807D392">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地　  址：西安市未央区文景北路16号白桦林国际B座</w:t>
      </w:r>
    </w:p>
    <w:p w14:paraId="7437F2A4">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项目联系人：刘老师</w:t>
      </w:r>
    </w:p>
    <w:p w14:paraId="2DB487B4">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电　  话：029-86510029、86510365转分机8086</w:t>
      </w:r>
      <w:r>
        <w:rPr>
          <w:rFonts w:hint="eastAsia" w:ascii="仿宋" w:hAnsi="仿宋" w:eastAsia="仿宋" w:cs="Times New Roman"/>
          <w:kern w:val="2"/>
          <w:sz w:val="28"/>
          <w:szCs w:val="28"/>
          <w:lang w:val="en-US" w:eastAsia="zh-CN"/>
        </w:rPr>
        <w:t>2</w:t>
      </w:r>
    </w:p>
    <w:p w14:paraId="4753C0D9">
      <w:pPr>
        <w:numPr>
          <w:ilvl w:val="0"/>
          <w:numId w:val="0"/>
        </w:numPr>
        <w:spacing w:line="560" w:lineRule="exact"/>
        <w:jc w:val="left"/>
        <w:rPr>
          <w:rFonts w:hint="eastAsia" w:ascii="仿宋" w:hAnsi="仿宋" w:eastAsia="仿宋" w:cs="Times New Roman"/>
          <w:kern w:val="2"/>
          <w:sz w:val="28"/>
          <w:szCs w:val="28"/>
          <w:lang w:val="en-US" w:eastAsia="zh-CN"/>
        </w:rPr>
      </w:pPr>
    </w:p>
    <w:p w14:paraId="770A7D4D">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0B479CE1">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2B359DBD">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0EC61505">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46925643">
      <w:pPr>
        <w:widowControl w:val="0"/>
        <w:adjustRightInd/>
        <w:snapToGrid/>
        <w:spacing w:after="0" w:line="560" w:lineRule="exact"/>
        <w:jc w:val="both"/>
        <w:rPr>
          <w:rFonts w:hint="eastAsia" w:ascii="仿宋" w:hAnsi="仿宋" w:eastAsia="仿宋" w:cs="Times New Roman"/>
          <w:kern w:val="2"/>
          <w:sz w:val="28"/>
          <w:szCs w:val="28"/>
          <w:lang w:val="en-US" w:eastAsia="zh-CN"/>
        </w:rPr>
      </w:pPr>
      <w:r>
        <w:rPr>
          <w:rFonts w:hint="eastAsia" w:ascii="黑体" w:hAnsi="黑体" w:eastAsia="黑体" w:cs="宋体"/>
          <w:sz w:val="28"/>
          <w:szCs w:val="28"/>
          <w:lang w:val="en-US" w:eastAsia="zh-CN"/>
        </w:rPr>
        <w:t>九、附件：</w:t>
      </w:r>
    </w:p>
    <w:p w14:paraId="469B418B">
      <w:pPr>
        <w:widowControl w:val="0"/>
        <w:adjustRightInd/>
        <w:snapToGrid/>
        <w:spacing w:after="0" w:line="560" w:lineRule="exact"/>
        <w:ind w:firstLine="4180" w:firstLineChars="1900"/>
        <w:jc w:val="both"/>
        <w:rPr>
          <w:rFonts w:hint="eastAsia" w:ascii="仿宋" w:hAnsi="仿宋" w:eastAsia="仿宋" w:cs="Times New Roman"/>
          <w:kern w:val="2"/>
          <w:sz w:val="28"/>
          <w:szCs w:val="28"/>
          <w:lang w:val="en-US" w:eastAsia="zh-CN"/>
        </w:rPr>
      </w:pPr>
      <w:r>
        <w:drawing>
          <wp:anchor distT="0" distB="0" distL="114300" distR="114300" simplePos="0" relativeHeight="251659264" behindDoc="0" locked="0" layoutInCell="1" allowOverlap="1">
            <wp:simplePos x="0" y="0"/>
            <wp:positionH relativeFrom="column">
              <wp:posOffset>567690</wp:posOffset>
            </wp:positionH>
            <wp:positionV relativeFrom="paragraph">
              <wp:posOffset>213360</wp:posOffset>
            </wp:positionV>
            <wp:extent cx="4248150" cy="55911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248150" cy="5591175"/>
                    </a:xfrm>
                    <a:prstGeom prst="rect">
                      <a:avLst/>
                    </a:prstGeom>
                    <a:noFill/>
                    <a:ln>
                      <a:noFill/>
                    </a:ln>
                  </pic:spPr>
                </pic:pic>
              </a:graphicData>
            </a:graphic>
          </wp:anchor>
        </w:drawing>
      </w:r>
      <w:r>
        <w:rPr>
          <w:rFonts w:hint="eastAsia" w:ascii="仿宋" w:hAnsi="仿宋" w:eastAsia="仿宋" w:cs="Times New Roman"/>
          <w:kern w:val="2"/>
          <w:sz w:val="28"/>
          <w:szCs w:val="28"/>
          <w:lang w:val="en-US" w:eastAsia="zh-CN"/>
        </w:rPr>
        <w:t xml:space="preserve">  </w:t>
      </w:r>
    </w:p>
    <w:p w14:paraId="12CC830F">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3B68C14">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984140B">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4068871E">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0D4629E6">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24CB9C53">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717D2E50">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A68FEFC">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09359538">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60764F03">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73D2131E">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29F5C696">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4500EA44">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49C492B1">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283B2B70">
      <w:pPr>
        <w:widowControl w:val="0"/>
        <w:adjustRightInd/>
        <w:snapToGrid/>
        <w:spacing w:after="0" w:line="560" w:lineRule="exact"/>
        <w:ind w:firstLine="5320" w:firstLineChars="1900"/>
        <w:jc w:val="both"/>
        <w:rPr>
          <w:rFonts w:hint="default" w:ascii="仿宋" w:hAnsi="仿宋" w:eastAsia="仿宋" w:cs="Times New Roman"/>
          <w:kern w:val="2"/>
          <w:sz w:val="28"/>
          <w:szCs w:val="28"/>
          <w:lang w:val="en-US" w:eastAsia="zh-CN"/>
        </w:rPr>
      </w:pPr>
    </w:p>
    <w:p w14:paraId="77D14F21">
      <w:pPr>
        <w:widowControl w:val="0"/>
        <w:adjustRightInd/>
        <w:snapToGrid/>
        <w:spacing w:after="0" w:line="560" w:lineRule="exact"/>
        <w:ind w:firstLine="5320" w:firstLineChars="1900"/>
        <w:jc w:val="both"/>
        <w:rPr>
          <w:rFonts w:hint="default" w:ascii="仿宋" w:hAnsi="仿宋" w:eastAsia="仿宋" w:cs="Times New Roman"/>
          <w:kern w:val="2"/>
          <w:sz w:val="28"/>
          <w:szCs w:val="28"/>
          <w:lang w:val="en-US" w:eastAsia="zh-CN"/>
        </w:rPr>
      </w:pPr>
    </w:p>
    <w:p w14:paraId="3EF9449C">
      <w:pPr>
        <w:widowControl w:val="0"/>
        <w:adjustRightInd/>
        <w:snapToGrid/>
        <w:spacing w:after="0" w:line="560" w:lineRule="exact"/>
        <w:ind w:firstLine="4480" w:firstLineChars="1600"/>
        <w:jc w:val="both"/>
        <w:rPr>
          <w:rFonts w:ascii="仿宋" w:hAnsi="仿宋" w:eastAsia="仿宋" w:cs="Times New Roman"/>
          <w:kern w:val="2"/>
          <w:sz w:val="28"/>
          <w:szCs w:val="28"/>
        </w:rPr>
      </w:pPr>
      <w:r>
        <w:rPr>
          <w:rFonts w:hint="eastAsia" w:ascii="仿宋" w:hAnsi="仿宋" w:eastAsia="仿宋" w:cs="Times New Roman"/>
          <w:kern w:val="2"/>
          <w:sz w:val="28"/>
          <w:szCs w:val="28"/>
        </w:rPr>
        <w:t>西安市市级单位政府采购中心</w:t>
      </w:r>
    </w:p>
    <w:p w14:paraId="09F59042">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5</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11</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12</w:t>
      </w:r>
      <w:bookmarkStart w:id="0" w:name="_GoBack"/>
      <w:bookmarkEnd w:id="0"/>
      <w:r>
        <w:rPr>
          <w:rFonts w:hint="eastAsia" w:ascii="仿宋" w:hAnsi="仿宋" w:eastAsia="仿宋" w:cs="Times New Roman"/>
          <w:kern w:val="2"/>
          <w:sz w:val="28"/>
          <w:szCs w:val="28"/>
        </w:rPr>
        <w:t>日</w:t>
      </w:r>
    </w:p>
    <w:p w14:paraId="23BC4657">
      <w:pPr>
        <w:widowControl w:val="0"/>
        <w:adjustRightInd/>
        <w:snapToGrid/>
        <w:spacing w:after="0" w:line="560" w:lineRule="exact"/>
        <w:ind w:firstLine="5320" w:firstLineChars="1900"/>
        <w:jc w:val="both"/>
        <w:rPr>
          <w:rFonts w:hint="default" w:ascii="仿宋" w:hAnsi="仿宋" w:eastAsia="仿宋" w:cs="Times New Roman"/>
          <w:kern w:val="2"/>
          <w:sz w:val="28"/>
          <w:szCs w:val="28"/>
          <w:lang w:val="en-US" w:eastAsia="zh-C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0B17"/>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7746AE"/>
    <w:rsid w:val="019F69BD"/>
    <w:rsid w:val="02BE5F84"/>
    <w:rsid w:val="04125EC6"/>
    <w:rsid w:val="04FA4B10"/>
    <w:rsid w:val="055170E1"/>
    <w:rsid w:val="059903BE"/>
    <w:rsid w:val="062777CB"/>
    <w:rsid w:val="067C4C7C"/>
    <w:rsid w:val="07066232"/>
    <w:rsid w:val="07B22550"/>
    <w:rsid w:val="0857266B"/>
    <w:rsid w:val="08CE6D91"/>
    <w:rsid w:val="08D520D7"/>
    <w:rsid w:val="09560BA7"/>
    <w:rsid w:val="095B13CA"/>
    <w:rsid w:val="0A416E0B"/>
    <w:rsid w:val="0B3E2E4A"/>
    <w:rsid w:val="0C4C085E"/>
    <w:rsid w:val="0C5C5140"/>
    <w:rsid w:val="0CC632E2"/>
    <w:rsid w:val="0CD60A3D"/>
    <w:rsid w:val="0D126CF7"/>
    <w:rsid w:val="0DE833EB"/>
    <w:rsid w:val="0ECA117D"/>
    <w:rsid w:val="0EE554C9"/>
    <w:rsid w:val="0FA06A80"/>
    <w:rsid w:val="1370501D"/>
    <w:rsid w:val="142246D1"/>
    <w:rsid w:val="15A201D8"/>
    <w:rsid w:val="16ED208D"/>
    <w:rsid w:val="177F3AF5"/>
    <w:rsid w:val="186873A0"/>
    <w:rsid w:val="186F2707"/>
    <w:rsid w:val="1BA93174"/>
    <w:rsid w:val="1F18421A"/>
    <w:rsid w:val="20950F81"/>
    <w:rsid w:val="22055EA4"/>
    <w:rsid w:val="22763DC6"/>
    <w:rsid w:val="2377429F"/>
    <w:rsid w:val="23DD729F"/>
    <w:rsid w:val="241C72F9"/>
    <w:rsid w:val="249C39F5"/>
    <w:rsid w:val="25C956E3"/>
    <w:rsid w:val="28C55CA5"/>
    <w:rsid w:val="29CF38EF"/>
    <w:rsid w:val="2B141854"/>
    <w:rsid w:val="2B6C7DE3"/>
    <w:rsid w:val="2BCE57B2"/>
    <w:rsid w:val="2E1F664B"/>
    <w:rsid w:val="31076EFE"/>
    <w:rsid w:val="322769F1"/>
    <w:rsid w:val="32801246"/>
    <w:rsid w:val="32931682"/>
    <w:rsid w:val="32F93AA5"/>
    <w:rsid w:val="34E83A70"/>
    <w:rsid w:val="35155A31"/>
    <w:rsid w:val="35303969"/>
    <w:rsid w:val="35DD318B"/>
    <w:rsid w:val="37F92006"/>
    <w:rsid w:val="387102B7"/>
    <w:rsid w:val="3A2E6197"/>
    <w:rsid w:val="3A6A7E14"/>
    <w:rsid w:val="3BE66E0F"/>
    <w:rsid w:val="3DEB58CC"/>
    <w:rsid w:val="40065EA7"/>
    <w:rsid w:val="41B60FFE"/>
    <w:rsid w:val="42C07441"/>
    <w:rsid w:val="45EC4ABE"/>
    <w:rsid w:val="461850F0"/>
    <w:rsid w:val="46844065"/>
    <w:rsid w:val="492F4D30"/>
    <w:rsid w:val="49812AB5"/>
    <w:rsid w:val="49C675A5"/>
    <w:rsid w:val="4B8D7117"/>
    <w:rsid w:val="4BDA592E"/>
    <w:rsid w:val="4EB856EA"/>
    <w:rsid w:val="4EE046D3"/>
    <w:rsid w:val="4F073DA1"/>
    <w:rsid w:val="4F594F37"/>
    <w:rsid w:val="53516BE1"/>
    <w:rsid w:val="542613B2"/>
    <w:rsid w:val="55D02326"/>
    <w:rsid w:val="56A9366E"/>
    <w:rsid w:val="581210BF"/>
    <w:rsid w:val="58A3448D"/>
    <w:rsid w:val="58CC34D8"/>
    <w:rsid w:val="59CF07E6"/>
    <w:rsid w:val="5B5F2499"/>
    <w:rsid w:val="5BBF3AF7"/>
    <w:rsid w:val="5E967379"/>
    <w:rsid w:val="5EE7176D"/>
    <w:rsid w:val="5FCD31E5"/>
    <w:rsid w:val="62D63E33"/>
    <w:rsid w:val="62F6594F"/>
    <w:rsid w:val="64086331"/>
    <w:rsid w:val="64F042CB"/>
    <w:rsid w:val="67641810"/>
    <w:rsid w:val="67E32994"/>
    <w:rsid w:val="68130AE1"/>
    <w:rsid w:val="68991375"/>
    <w:rsid w:val="68B201D9"/>
    <w:rsid w:val="69DE5100"/>
    <w:rsid w:val="6A535740"/>
    <w:rsid w:val="6A5945B0"/>
    <w:rsid w:val="6A82608E"/>
    <w:rsid w:val="6ABE5D52"/>
    <w:rsid w:val="6D5F23A2"/>
    <w:rsid w:val="6FD902CD"/>
    <w:rsid w:val="704E514D"/>
    <w:rsid w:val="71106CE6"/>
    <w:rsid w:val="71356E08"/>
    <w:rsid w:val="71717641"/>
    <w:rsid w:val="71865E79"/>
    <w:rsid w:val="729327CA"/>
    <w:rsid w:val="734760B4"/>
    <w:rsid w:val="75101DD1"/>
    <w:rsid w:val="76E5327E"/>
    <w:rsid w:val="773843EB"/>
    <w:rsid w:val="78C05B93"/>
    <w:rsid w:val="78E664FE"/>
    <w:rsid w:val="7A004C6A"/>
    <w:rsid w:val="7A396274"/>
    <w:rsid w:val="7CF56B98"/>
    <w:rsid w:val="7D08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semiHidden/>
    <w:unhideWhenUsed/>
    <w:qFormat/>
    <w:uiPriority w:val="99"/>
    <w:rPr>
      <w:rFonts w:ascii="宋体" w:eastAsia="宋体"/>
      <w:sz w:val="18"/>
      <w:szCs w:val="18"/>
    </w:rPr>
  </w:style>
  <w:style w:type="paragraph" w:styleId="6">
    <w:name w:val="Balloon Text"/>
    <w:basedOn w:val="1"/>
    <w:link w:val="33"/>
    <w:semiHidden/>
    <w:unhideWhenUsed/>
    <w:qFormat/>
    <w:uiPriority w:val="99"/>
    <w:pPr>
      <w:spacing w:after="0"/>
    </w:pPr>
    <w:rPr>
      <w:sz w:val="18"/>
      <w:szCs w:val="18"/>
    </w:rPr>
  </w:style>
  <w:style w:type="paragraph" w:styleId="7">
    <w:name w:val="footer"/>
    <w:basedOn w:val="1"/>
    <w:link w:val="32"/>
    <w:unhideWhenUsed/>
    <w:qFormat/>
    <w:uiPriority w:val="99"/>
    <w:pPr>
      <w:tabs>
        <w:tab w:val="center" w:pos="4153"/>
        <w:tab w:val="right" w:pos="8306"/>
      </w:tabs>
    </w:pPr>
    <w:rPr>
      <w:sz w:val="18"/>
      <w:szCs w:val="18"/>
    </w:rPr>
  </w:style>
  <w:style w:type="paragraph" w:styleId="8">
    <w:name w:val="header"/>
    <w:basedOn w:val="1"/>
    <w:link w:val="3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hint="default"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
    <w:rPr>
      <w:rFonts w:ascii="Tahoma" w:hAnsi="Tahoma"/>
      <w:b/>
      <w:bCs/>
      <w:kern w:val="44"/>
      <w:sz w:val="44"/>
      <w:szCs w:val="44"/>
    </w:rPr>
  </w:style>
  <w:style w:type="character" w:customStyle="1" w:styleId="27">
    <w:name w:val="标题 2 Char"/>
    <w:basedOn w:val="13"/>
    <w:link w:val="3"/>
    <w:qFormat/>
    <w:uiPriority w:val="9"/>
    <w:rPr>
      <w:rFonts w:asciiTheme="majorHAnsi" w:hAnsiTheme="majorHAnsi" w:eastAsiaTheme="majorEastAsia" w:cstheme="majorBidi"/>
      <w:b/>
      <w:bCs/>
      <w:sz w:val="32"/>
      <w:szCs w:val="32"/>
    </w:rPr>
  </w:style>
  <w:style w:type="character" w:customStyle="1" w:styleId="28">
    <w:name w:val="标题 Char"/>
    <w:basedOn w:val="13"/>
    <w:link w:val="10"/>
    <w:qFormat/>
    <w:uiPriority w:val="10"/>
    <w:rPr>
      <w:rFonts w:eastAsia="宋体" w:asciiTheme="majorHAnsi" w:hAnsiTheme="majorHAnsi" w:cstheme="majorBidi"/>
      <w:b/>
      <w:bCs/>
      <w:sz w:val="32"/>
      <w:szCs w:val="32"/>
    </w:rPr>
  </w:style>
  <w:style w:type="character" w:customStyle="1" w:styleId="29">
    <w:name w:val="标题 3 Char"/>
    <w:basedOn w:val="13"/>
    <w:link w:val="4"/>
    <w:qFormat/>
    <w:uiPriority w:val="9"/>
    <w:rPr>
      <w:rFonts w:ascii="Tahoma" w:hAnsi="Tahoma"/>
      <w:b/>
      <w:bCs/>
      <w:sz w:val="32"/>
      <w:szCs w:val="32"/>
    </w:rPr>
  </w:style>
  <w:style w:type="paragraph" w:styleId="30">
    <w:name w:val="List Paragraph"/>
    <w:basedOn w:val="1"/>
    <w:qFormat/>
    <w:uiPriority w:val="34"/>
    <w:pPr>
      <w:ind w:firstLine="420" w:firstLineChars="200"/>
    </w:pPr>
  </w:style>
  <w:style w:type="character" w:customStyle="1" w:styleId="31">
    <w:name w:val="页眉 Char"/>
    <w:basedOn w:val="13"/>
    <w:link w:val="8"/>
    <w:qFormat/>
    <w:uiPriority w:val="99"/>
    <w:rPr>
      <w:rFonts w:ascii="Tahoma" w:hAnsi="Tahoma"/>
      <w:sz w:val="18"/>
      <w:szCs w:val="18"/>
    </w:rPr>
  </w:style>
  <w:style w:type="character" w:customStyle="1" w:styleId="32">
    <w:name w:val="页脚 Char"/>
    <w:basedOn w:val="13"/>
    <w:link w:val="7"/>
    <w:qFormat/>
    <w:uiPriority w:val="99"/>
    <w:rPr>
      <w:rFonts w:ascii="Tahoma" w:hAnsi="Tahoma"/>
      <w:sz w:val="18"/>
      <w:szCs w:val="18"/>
    </w:rPr>
  </w:style>
  <w:style w:type="character" w:customStyle="1" w:styleId="33">
    <w:name w:val="批注框文本 Char"/>
    <w:basedOn w:val="13"/>
    <w:link w:val="6"/>
    <w:semiHidden/>
    <w:qFormat/>
    <w:uiPriority w:val="99"/>
    <w:rPr>
      <w:rFonts w:ascii="Tahoma" w:hAnsi="Tahoma"/>
      <w:sz w:val="18"/>
      <w:szCs w:val="18"/>
    </w:rPr>
  </w:style>
  <w:style w:type="paragraph" w:customStyle="1" w:styleId="34">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5">
    <w:name w:val="※正文（缩进4）"/>
    <w:basedOn w:val="36"/>
    <w:qFormat/>
    <w:uiPriority w:val="0"/>
    <w:pPr>
      <w:ind w:firstLine="400" w:firstLineChars="400"/>
    </w:pPr>
  </w:style>
  <w:style w:type="paragraph" w:customStyle="1" w:styleId="36">
    <w:name w:val="※正文"/>
    <w:basedOn w:val="1"/>
    <w:next w:val="1"/>
    <w:qFormat/>
    <w:uiPriority w:val="0"/>
    <w:pPr>
      <w:wordWrap w:val="0"/>
    </w:pPr>
  </w:style>
  <w:style w:type="character" w:customStyle="1" w:styleId="37">
    <w:name w:val="文档结构图 Char"/>
    <w:basedOn w:val="13"/>
    <w:link w:val="5"/>
    <w:semiHidden/>
    <w:qFormat/>
    <w:uiPriority w:val="99"/>
    <w:rPr>
      <w:rFonts w:ascii="宋体" w:hAnsi="Tahoma" w:eastAsia="宋体"/>
      <w:sz w:val="18"/>
      <w:szCs w:val="18"/>
    </w:rPr>
  </w:style>
  <w:style w:type="character" w:customStyle="1" w:styleId="38">
    <w:name w:val="NormalCharacter"/>
    <w:semiHidden/>
    <w:qFormat/>
    <w:uiPriority w:val="0"/>
    <w:rPr>
      <w:rFonts w:ascii="Calibri Light" w:hAnsi="Calibri Light" w:eastAsia="华文仿宋" w:cstheme="minorBidi"/>
      <w:kern w:val="2"/>
      <w:sz w:val="28"/>
      <w:szCs w:val="28"/>
      <w:lang w:val="en-US" w:eastAsia="zh-CN" w:bidi="ar-SA"/>
    </w:rPr>
  </w:style>
  <w:style w:type="character" w:customStyle="1" w:styleId="39">
    <w:name w:val="layui-layer-tabnow"/>
    <w:basedOn w:val="13"/>
    <w:qFormat/>
    <w:uiPriority w:val="0"/>
    <w:rPr>
      <w:bdr w:val="single" w:color="CCCCCC" w:sz="4" w:space="0"/>
      <w:shd w:val="clear" w:fill="FFFFFF"/>
    </w:rPr>
  </w:style>
  <w:style w:type="character" w:customStyle="1" w:styleId="40">
    <w:name w:val="first-child"/>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669</Words>
  <Characters>758</Characters>
  <Lines>1</Lines>
  <Paragraphs>2</Paragraphs>
  <TotalTime>18</TotalTime>
  <ScaleCrop>false</ScaleCrop>
  <LinksUpToDate>false</LinksUpToDate>
  <CharactersWithSpaces>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小心眼子脾气大</cp:lastModifiedBy>
  <cp:lastPrinted>2025-10-28T02:29:00Z</cp:lastPrinted>
  <dcterms:modified xsi:type="dcterms:W3CDTF">2025-11-12T02:59:45Z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656D4D9D20114066AD70E0F09375592A</vt:lpwstr>
  </property>
  <property fmtid="{D5CDD505-2E9C-101B-9397-08002B2CF9AE}" pid="4" name="KSOTemplateDocerSaveRecord">
    <vt:lpwstr>eyJoZGlkIjoiODc1Y2JlYjU4ZjYyZjIxZjIxNGI5NGNmYzI5YzY0NDIiLCJ1c2VySWQiOiI1NTc5MDkzNTMifQ==</vt:lpwstr>
  </property>
</Properties>
</file>