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88452">
      <w:pPr>
        <w:adjustRightInd w:val="0"/>
        <w:snapToGrid w:val="0"/>
        <w:spacing w:line="360" w:lineRule="auto"/>
        <w:jc w:val="left"/>
        <w:rPr>
          <w:rFonts w:hint="eastAsia" w:asciiTheme="minorEastAsia" w:hAnsiTheme="minorEastAsia" w:eastAsiaTheme="minorEastAsia" w:cstheme="minorEastAsia"/>
          <w:b/>
          <w:bCs/>
          <w:sz w:val="28"/>
          <w:szCs w:val="28"/>
          <w:highlight w:val="none"/>
          <w:lang w:eastAsia="zh-CN"/>
        </w:rPr>
      </w:pPr>
      <w:bookmarkStart w:id="0" w:name="OLE_LINK9"/>
      <w:r>
        <w:rPr>
          <w:rFonts w:hint="eastAsia" w:asciiTheme="minorEastAsia" w:hAnsiTheme="minorEastAsia" w:eastAsiaTheme="minorEastAsia" w:cstheme="minorEastAsia"/>
          <w:b/>
          <w:bCs/>
          <w:sz w:val="28"/>
          <w:szCs w:val="28"/>
          <w:highlight w:val="none"/>
        </w:rPr>
        <w:t>项目编号：</w:t>
      </w:r>
      <w:r>
        <w:rPr>
          <w:rFonts w:hint="eastAsia" w:asciiTheme="minorEastAsia" w:hAnsiTheme="minorEastAsia" w:eastAsiaTheme="minorEastAsia" w:cstheme="minorEastAsia"/>
          <w:b/>
          <w:bCs/>
          <w:sz w:val="28"/>
          <w:szCs w:val="28"/>
          <w:highlight w:val="none"/>
          <w:lang w:eastAsia="zh-CN"/>
        </w:rPr>
        <w:t>SXWZ2025ZB-SXXQ-202A</w:t>
      </w:r>
    </w:p>
    <w:p w14:paraId="7BF2852D">
      <w:pPr>
        <w:adjustRightInd w:val="0"/>
        <w:snapToGrid w:val="0"/>
        <w:spacing w:line="360" w:lineRule="auto"/>
        <w:rPr>
          <w:rFonts w:asciiTheme="minorEastAsia" w:hAnsiTheme="minorEastAsia" w:eastAsiaTheme="minorEastAsia" w:cstheme="minorEastAsia"/>
          <w:b/>
          <w:bCs/>
          <w:sz w:val="56"/>
          <w:szCs w:val="56"/>
          <w:highlight w:val="none"/>
        </w:rPr>
      </w:pPr>
    </w:p>
    <w:p w14:paraId="7195312A">
      <w:pPr>
        <w:adjustRightInd w:val="0"/>
        <w:snapToGrid w:val="0"/>
        <w:spacing w:line="360" w:lineRule="auto"/>
        <w:jc w:val="center"/>
        <w:rPr>
          <w:rFonts w:hint="eastAsia" w:ascii="宋体" w:eastAsia="宋体" w:cs="Times New Roman"/>
          <w:b/>
          <w:bCs/>
          <w:sz w:val="48"/>
          <w:szCs w:val="48"/>
          <w:highlight w:val="none"/>
          <w:lang w:eastAsia="zh-CN"/>
        </w:rPr>
      </w:pPr>
      <w:r>
        <w:rPr>
          <w:rFonts w:hint="eastAsia" w:ascii="宋体" w:cs="Times New Roman"/>
          <w:b/>
          <w:bCs/>
          <w:sz w:val="48"/>
          <w:szCs w:val="48"/>
          <w:highlight w:val="none"/>
          <w:lang w:eastAsia="zh-CN"/>
        </w:rPr>
        <w:t>陕西学前师范学院人工智能创新应用教研训中心建设-卓越中学英语教师智慧虚拟仿真实训中心项目（二次）</w:t>
      </w:r>
    </w:p>
    <w:p w14:paraId="2B3B76CF">
      <w:pPr>
        <w:adjustRightInd w:val="0"/>
        <w:snapToGrid w:val="0"/>
        <w:spacing w:line="360" w:lineRule="auto"/>
        <w:jc w:val="center"/>
        <w:rPr>
          <w:rFonts w:asciiTheme="minorEastAsia" w:hAnsiTheme="minorEastAsia" w:eastAsiaTheme="minorEastAsia" w:cstheme="minorEastAsia"/>
          <w:b/>
          <w:bCs/>
          <w:sz w:val="56"/>
          <w:szCs w:val="56"/>
          <w:highlight w:val="none"/>
        </w:rPr>
      </w:pPr>
    </w:p>
    <w:p w14:paraId="214FAFCB">
      <w:pPr>
        <w:adjustRightInd w:val="0"/>
        <w:snapToGrid w:val="0"/>
        <w:spacing w:line="360" w:lineRule="auto"/>
        <w:jc w:val="left"/>
        <w:rPr>
          <w:rFonts w:asciiTheme="minorEastAsia" w:hAnsiTheme="minorEastAsia" w:eastAsiaTheme="minorEastAsia" w:cstheme="minorEastAsia"/>
          <w:b/>
          <w:bCs/>
          <w:sz w:val="18"/>
          <w:szCs w:val="18"/>
          <w:highlight w:val="none"/>
        </w:rPr>
      </w:pPr>
    </w:p>
    <w:p w14:paraId="7BA5AAAA">
      <w:pPr>
        <w:adjustRightInd w:val="0"/>
        <w:snapToGrid w:val="0"/>
        <w:spacing w:line="360" w:lineRule="auto"/>
        <w:jc w:val="left"/>
        <w:rPr>
          <w:rFonts w:asciiTheme="minorEastAsia" w:hAnsiTheme="minorEastAsia" w:eastAsiaTheme="minorEastAsia" w:cstheme="minorEastAsia"/>
          <w:b/>
          <w:bCs/>
          <w:sz w:val="18"/>
          <w:szCs w:val="18"/>
          <w:highlight w:val="none"/>
        </w:rPr>
      </w:pPr>
      <w:r>
        <w:rPr>
          <w:rFonts w:hint="eastAsia" w:asciiTheme="minorEastAsia" w:hAnsiTheme="minorEastAsia" w:eastAsiaTheme="minorEastAsia" w:cstheme="minorEastAsia"/>
          <w:highlight w:val="none"/>
        </w:rPr>
        <w:drawing>
          <wp:anchor distT="0" distB="0" distL="114300" distR="114300" simplePos="0" relativeHeight="251663360" behindDoc="1" locked="0" layoutInCell="1" allowOverlap="1">
            <wp:simplePos x="0" y="0"/>
            <wp:positionH relativeFrom="column">
              <wp:posOffset>1746250</wp:posOffset>
            </wp:positionH>
            <wp:positionV relativeFrom="paragraph">
              <wp:posOffset>139065</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1"/>
                    <a:stretch>
                      <a:fillRect/>
                    </a:stretch>
                  </pic:blipFill>
                  <pic:spPr>
                    <a:xfrm>
                      <a:off x="0" y="0"/>
                      <a:ext cx="2312670" cy="1447800"/>
                    </a:xfrm>
                    <a:prstGeom prst="rect">
                      <a:avLst/>
                    </a:prstGeom>
                    <a:noFill/>
                    <a:ln w="9525">
                      <a:noFill/>
                    </a:ln>
                  </pic:spPr>
                </pic:pic>
              </a:graphicData>
            </a:graphic>
          </wp:anchor>
        </w:drawing>
      </w:r>
    </w:p>
    <w:p w14:paraId="75C58CCF">
      <w:pPr>
        <w:adjustRightInd w:val="0"/>
        <w:snapToGrid w:val="0"/>
        <w:spacing w:line="360" w:lineRule="auto"/>
        <w:jc w:val="left"/>
        <w:rPr>
          <w:rFonts w:asciiTheme="minorEastAsia" w:hAnsiTheme="minorEastAsia" w:eastAsiaTheme="minorEastAsia" w:cstheme="minorEastAsia"/>
          <w:b/>
          <w:bCs/>
          <w:sz w:val="18"/>
          <w:szCs w:val="18"/>
          <w:highlight w:val="none"/>
        </w:rPr>
      </w:pPr>
    </w:p>
    <w:p w14:paraId="29CC261A">
      <w:pPr>
        <w:adjustRightInd w:val="0"/>
        <w:snapToGrid w:val="0"/>
        <w:spacing w:line="360" w:lineRule="auto"/>
        <w:jc w:val="left"/>
        <w:rPr>
          <w:rFonts w:asciiTheme="minorEastAsia" w:hAnsiTheme="minorEastAsia" w:eastAsiaTheme="minorEastAsia" w:cstheme="minorEastAsia"/>
          <w:b/>
          <w:bCs/>
          <w:sz w:val="18"/>
          <w:szCs w:val="18"/>
          <w:highlight w:val="none"/>
        </w:rPr>
      </w:pPr>
    </w:p>
    <w:p w14:paraId="7BDC6E6E">
      <w:pPr>
        <w:tabs>
          <w:tab w:val="left" w:pos="0"/>
        </w:tabs>
        <w:adjustRightInd w:val="0"/>
        <w:snapToGrid w:val="0"/>
        <w:spacing w:line="360" w:lineRule="auto"/>
        <w:jc w:val="center"/>
        <w:rPr>
          <w:rFonts w:asciiTheme="minorEastAsia" w:hAnsiTheme="minorEastAsia" w:eastAsiaTheme="minorEastAsia" w:cstheme="minorEastAsia"/>
          <w:b/>
          <w:bCs/>
          <w:sz w:val="84"/>
          <w:szCs w:val="84"/>
          <w:highlight w:val="none"/>
        </w:rPr>
      </w:pPr>
    </w:p>
    <w:p w14:paraId="760CB0FD">
      <w:pPr>
        <w:tabs>
          <w:tab w:val="left" w:pos="0"/>
        </w:tabs>
        <w:adjustRightInd w:val="0"/>
        <w:snapToGrid w:val="0"/>
        <w:spacing w:line="360" w:lineRule="auto"/>
        <w:rPr>
          <w:rFonts w:asciiTheme="minorEastAsia" w:hAnsiTheme="minorEastAsia" w:eastAsiaTheme="minorEastAsia" w:cstheme="minorEastAsia"/>
          <w:b/>
          <w:bCs/>
          <w:sz w:val="84"/>
          <w:szCs w:val="84"/>
          <w:highlight w:val="none"/>
        </w:rPr>
      </w:pPr>
    </w:p>
    <w:p w14:paraId="30C8A77D">
      <w:pPr>
        <w:tabs>
          <w:tab w:val="left" w:pos="0"/>
        </w:tabs>
        <w:adjustRightInd w:val="0"/>
        <w:snapToGrid w:val="0"/>
        <w:spacing w:line="360" w:lineRule="auto"/>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84"/>
          <w:szCs w:val="84"/>
          <w:highlight w:val="none"/>
        </w:rPr>
        <w:t>招标文件</w:t>
      </w:r>
    </w:p>
    <w:p w14:paraId="49ED10EF">
      <w:pPr>
        <w:adjustRightInd w:val="0"/>
        <w:snapToGrid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rPr>
        <w:t>采 购 人：</w:t>
      </w:r>
      <w:r>
        <w:rPr>
          <w:rFonts w:hint="eastAsia" w:asciiTheme="minorEastAsia" w:hAnsiTheme="minorEastAsia" w:eastAsiaTheme="minorEastAsia" w:cstheme="minorEastAsia"/>
          <w:b/>
          <w:bCs/>
          <w:sz w:val="28"/>
          <w:szCs w:val="28"/>
          <w:highlight w:val="none"/>
          <w:lang w:eastAsia="zh-CN"/>
        </w:rPr>
        <w:t>陕西学前师范学院</w:t>
      </w:r>
    </w:p>
    <w:p w14:paraId="091523C1">
      <w:pPr>
        <w:adjustRightInd w:val="0"/>
        <w:snapToGrid w:val="0"/>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代理机构：陕西万泽招标有限公司</w:t>
      </w:r>
    </w:p>
    <w:p w14:paraId="221C491C">
      <w:pPr>
        <w:adjustRightInd w:val="0"/>
        <w:snapToGrid w:val="0"/>
        <w:spacing w:line="600" w:lineRule="auto"/>
        <w:jc w:val="center"/>
        <w:rPr>
          <w:rFonts w:asciiTheme="minorEastAsia" w:hAnsiTheme="minorEastAsia" w:eastAsiaTheme="minorEastAsia" w:cstheme="minorEastAsia"/>
          <w:b/>
          <w:bCs/>
          <w:sz w:val="36"/>
          <w:szCs w:val="36"/>
          <w:highlight w:val="none"/>
        </w:rPr>
        <w:sectPr>
          <w:headerReference r:id="rId3" w:type="default"/>
          <w:footerReference r:id="rId4" w:type="default"/>
          <w:pgSz w:w="11906" w:h="16838"/>
          <w:pgMar w:top="1440" w:right="1202" w:bottom="1440" w:left="1406" w:header="851" w:footer="992" w:gutter="0"/>
          <w:cols w:space="0" w:num="1"/>
          <w:docGrid w:type="lines" w:linePitch="312" w:charSpace="0"/>
        </w:sectPr>
      </w:pPr>
      <w:r>
        <w:rPr>
          <w:rFonts w:hint="eastAsia" w:ascii="宋体" w:hAnsi="宋体" w:cs="宋体"/>
          <w:b/>
          <w:bCs/>
          <w:sz w:val="28"/>
          <w:szCs w:val="28"/>
          <w:highlight w:val="none"/>
        </w:rPr>
        <w:t>二〇二</w:t>
      </w:r>
      <w:r>
        <w:rPr>
          <w:rFonts w:hint="eastAsia" w:ascii="宋体" w:hAnsi="宋体" w:cs="宋体"/>
          <w:b/>
          <w:bCs/>
          <w:sz w:val="28"/>
          <w:szCs w:val="28"/>
          <w:highlight w:val="none"/>
          <w:lang w:val="en-US" w:eastAsia="zh-CN"/>
        </w:rPr>
        <w:t>五</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十</w:t>
      </w:r>
      <w:r>
        <w:rPr>
          <w:rFonts w:hint="eastAsia" w:ascii="宋体" w:hAnsi="宋体" w:cs="宋体"/>
          <w:b/>
          <w:bCs/>
          <w:sz w:val="28"/>
          <w:szCs w:val="28"/>
          <w:highlight w:val="none"/>
        </w:rPr>
        <w:t>月</w:t>
      </w:r>
    </w:p>
    <w:p w14:paraId="4945ED21">
      <w:pPr>
        <w:pStyle w:val="19"/>
        <w:tabs>
          <w:tab w:val="right" w:leader="dot" w:pos="8306"/>
        </w:tabs>
        <w:spacing w:line="360" w:lineRule="auto"/>
        <w:jc w:val="center"/>
        <w:rPr>
          <w:rFonts w:asciiTheme="minorEastAsia" w:hAnsiTheme="minorEastAsia" w:eastAsiaTheme="minorEastAsia" w:cstheme="minorEastAsia"/>
          <w:b/>
          <w:bCs/>
          <w:sz w:val="36"/>
          <w:szCs w:val="36"/>
          <w:highlight w:val="none"/>
        </w:rPr>
      </w:pPr>
      <w:r>
        <w:rPr>
          <w:rFonts w:hint="eastAsia" w:asciiTheme="minorEastAsia" w:hAnsiTheme="minorEastAsia" w:eastAsiaTheme="minorEastAsia" w:cstheme="minorEastAsia"/>
          <w:b/>
          <w:bCs/>
          <w:sz w:val="36"/>
          <w:szCs w:val="36"/>
          <w:highlight w:val="none"/>
        </w:rPr>
        <w:t>目 录</w:t>
      </w:r>
    </w:p>
    <w:p w14:paraId="73440729">
      <w:pPr>
        <w:pStyle w:val="19"/>
        <w:tabs>
          <w:tab w:val="right" w:leader="dot" w:pos="9434"/>
        </w:tabs>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_Toc18479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第一部分  公开招标公告</w:t>
      </w:r>
      <w:r>
        <w:tab/>
      </w:r>
      <w:r>
        <w:fldChar w:fldCharType="begin"/>
      </w:r>
      <w:r>
        <w:instrText xml:space="preserve"> PAGEREF _Toc18479 \h </w:instrText>
      </w:r>
      <w:r>
        <w:fldChar w:fldCharType="separate"/>
      </w:r>
      <w:r>
        <w:t>3</w:t>
      </w:r>
      <w:r>
        <w:fldChar w:fldCharType="end"/>
      </w:r>
      <w:r>
        <w:rPr>
          <w:rFonts w:hint="eastAsia" w:ascii="宋体" w:hAnsi="宋体" w:eastAsia="宋体" w:cs="宋体"/>
          <w:szCs w:val="24"/>
          <w:highlight w:val="none"/>
        </w:rPr>
        <w:fldChar w:fldCharType="end"/>
      </w:r>
    </w:p>
    <w:p w14:paraId="432D1754">
      <w:pPr>
        <w:pStyle w:val="19"/>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_Toc19687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第二部分  供应商须知前附表</w:t>
      </w:r>
      <w:r>
        <w:tab/>
      </w:r>
      <w:r>
        <w:fldChar w:fldCharType="begin"/>
      </w:r>
      <w:r>
        <w:instrText xml:space="preserve"> PAGEREF _Toc19687 \h </w:instrText>
      </w:r>
      <w:r>
        <w:fldChar w:fldCharType="separate"/>
      </w:r>
      <w:r>
        <w:t>6</w:t>
      </w:r>
      <w:r>
        <w:fldChar w:fldCharType="end"/>
      </w:r>
      <w:r>
        <w:rPr>
          <w:rFonts w:hint="eastAsia" w:ascii="宋体" w:hAnsi="宋体" w:eastAsia="宋体" w:cs="宋体"/>
          <w:szCs w:val="24"/>
          <w:highlight w:val="none"/>
        </w:rPr>
        <w:fldChar w:fldCharType="end"/>
      </w:r>
    </w:p>
    <w:p w14:paraId="349A9C98">
      <w:pPr>
        <w:pStyle w:val="19"/>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_Toc20058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第三部分  供应商须知</w:t>
      </w:r>
      <w:r>
        <w:tab/>
      </w:r>
      <w:r>
        <w:fldChar w:fldCharType="begin"/>
      </w:r>
      <w:r>
        <w:instrText xml:space="preserve"> PAGEREF _Toc20058 \h </w:instrText>
      </w:r>
      <w:r>
        <w:fldChar w:fldCharType="separate"/>
      </w:r>
      <w:r>
        <w:t>11</w:t>
      </w:r>
      <w:r>
        <w:fldChar w:fldCharType="end"/>
      </w:r>
      <w:r>
        <w:rPr>
          <w:rFonts w:hint="eastAsia" w:ascii="宋体" w:hAnsi="宋体" w:eastAsia="宋体" w:cs="宋体"/>
          <w:szCs w:val="24"/>
          <w:highlight w:val="none"/>
        </w:rPr>
        <w:fldChar w:fldCharType="end"/>
      </w:r>
    </w:p>
    <w:p w14:paraId="6AB76829">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_Toc27612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一、 </w:t>
      </w:r>
      <w:r>
        <w:rPr>
          <w:rFonts w:hint="eastAsia" w:asciiTheme="minorEastAsia" w:hAnsiTheme="minorEastAsia" w:eastAsiaTheme="minorEastAsia" w:cstheme="minorEastAsia"/>
          <w:bCs/>
          <w:kern w:val="0"/>
          <w:szCs w:val="32"/>
          <w:highlight w:val="none"/>
        </w:rPr>
        <w:t>总 则</w:t>
      </w:r>
      <w:r>
        <w:tab/>
      </w:r>
      <w:r>
        <w:fldChar w:fldCharType="begin"/>
      </w:r>
      <w:r>
        <w:instrText xml:space="preserve"> PAGEREF _Toc27612 \h </w:instrText>
      </w:r>
      <w:r>
        <w:fldChar w:fldCharType="separate"/>
      </w:r>
      <w:r>
        <w:t>11</w:t>
      </w:r>
      <w:r>
        <w:fldChar w:fldCharType="end"/>
      </w:r>
      <w:r>
        <w:rPr>
          <w:rFonts w:hint="eastAsia" w:ascii="宋体" w:hAnsi="宋体" w:eastAsia="宋体" w:cs="宋体"/>
          <w:szCs w:val="24"/>
          <w:highlight w:val="none"/>
        </w:rPr>
        <w:fldChar w:fldCharType="end"/>
      </w:r>
    </w:p>
    <w:p w14:paraId="5C23C07E">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_Toc31670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二、 </w:t>
      </w:r>
      <w:r>
        <w:rPr>
          <w:rFonts w:hint="eastAsia" w:asciiTheme="minorEastAsia" w:hAnsiTheme="minorEastAsia" w:eastAsiaTheme="minorEastAsia" w:cstheme="minorEastAsia"/>
          <w:bCs/>
          <w:kern w:val="0"/>
          <w:szCs w:val="32"/>
          <w:highlight w:val="none"/>
        </w:rPr>
        <w:t>招标文件</w:t>
      </w:r>
      <w:r>
        <w:tab/>
      </w:r>
      <w:r>
        <w:fldChar w:fldCharType="begin"/>
      </w:r>
      <w:r>
        <w:instrText xml:space="preserve"> PAGEREF _Toc31670 \h </w:instrText>
      </w:r>
      <w:r>
        <w:fldChar w:fldCharType="separate"/>
      </w:r>
      <w:r>
        <w:t>14</w:t>
      </w:r>
      <w:r>
        <w:fldChar w:fldCharType="end"/>
      </w:r>
      <w:r>
        <w:rPr>
          <w:rFonts w:hint="eastAsia" w:ascii="宋体" w:hAnsi="宋体" w:eastAsia="宋体" w:cs="宋体"/>
          <w:szCs w:val="24"/>
          <w:highlight w:val="none"/>
        </w:rPr>
        <w:fldChar w:fldCharType="end"/>
      </w:r>
    </w:p>
    <w:p w14:paraId="505B544C">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_Toc1771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三、 </w:t>
      </w:r>
      <w:r>
        <w:rPr>
          <w:rFonts w:hint="eastAsia" w:asciiTheme="minorEastAsia" w:hAnsiTheme="minorEastAsia" w:eastAsiaTheme="minorEastAsia" w:cstheme="minorEastAsia"/>
          <w:bCs/>
          <w:kern w:val="0"/>
          <w:szCs w:val="32"/>
          <w:highlight w:val="none"/>
        </w:rPr>
        <w:t>投标文件</w:t>
      </w:r>
      <w:r>
        <w:tab/>
      </w:r>
      <w:r>
        <w:fldChar w:fldCharType="begin"/>
      </w:r>
      <w:r>
        <w:instrText xml:space="preserve"> PAGEREF _Toc1771 \h </w:instrText>
      </w:r>
      <w:r>
        <w:fldChar w:fldCharType="separate"/>
      </w:r>
      <w:r>
        <w:t>16</w:t>
      </w:r>
      <w:r>
        <w:fldChar w:fldCharType="end"/>
      </w:r>
      <w:r>
        <w:rPr>
          <w:rFonts w:hint="eastAsia" w:ascii="宋体" w:hAnsi="宋体" w:eastAsia="宋体" w:cs="宋体"/>
          <w:szCs w:val="24"/>
          <w:highlight w:val="none"/>
        </w:rPr>
        <w:fldChar w:fldCharType="end"/>
      </w:r>
    </w:p>
    <w:p w14:paraId="5FF0507F">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_Toc14648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四、 </w:t>
      </w:r>
      <w:r>
        <w:rPr>
          <w:rFonts w:hint="eastAsia" w:asciiTheme="minorEastAsia" w:hAnsiTheme="minorEastAsia" w:eastAsiaTheme="minorEastAsia" w:cstheme="minorEastAsia"/>
          <w:bCs/>
          <w:kern w:val="0"/>
          <w:szCs w:val="32"/>
          <w:highlight w:val="none"/>
        </w:rPr>
        <w:t>投标文件的递交</w:t>
      </w:r>
      <w:r>
        <w:tab/>
      </w:r>
      <w:r>
        <w:fldChar w:fldCharType="begin"/>
      </w:r>
      <w:r>
        <w:instrText xml:space="preserve"> PAGEREF _Toc14648 \h </w:instrText>
      </w:r>
      <w:r>
        <w:fldChar w:fldCharType="separate"/>
      </w:r>
      <w:r>
        <w:t>19</w:t>
      </w:r>
      <w:r>
        <w:fldChar w:fldCharType="end"/>
      </w:r>
      <w:r>
        <w:rPr>
          <w:rFonts w:hint="eastAsia" w:ascii="宋体" w:hAnsi="宋体" w:eastAsia="宋体" w:cs="宋体"/>
          <w:szCs w:val="24"/>
          <w:highlight w:val="none"/>
        </w:rPr>
        <w:fldChar w:fldCharType="end"/>
      </w:r>
    </w:p>
    <w:p w14:paraId="08D62605">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_Toc23798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五、 </w:t>
      </w:r>
      <w:r>
        <w:rPr>
          <w:rFonts w:hint="eastAsia" w:asciiTheme="minorEastAsia" w:hAnsiTheme="minorEastAsia" w:eastAsiaTheme="minorEastAsia" w:cstheme="minorEastAsia"/>
          <w:bCs/>
          <w:kern w:val="0"/>
          <w:szCs w:val="32"/>
          <w:highlight w:val="none"/>
        </w:rPr>
        <w:t>开标、评审、定标</w:t>
      </w:r>
      <w:r>
        <w:tab/>
      </w:r>
      <w:r>
        <w:fldChar w:fldCharType="begin"/>
      </w:r>
      <w:r>
        <w:instrText xml:space="preserve"> PAGEREF _Toc23798 \h </w:instrText>
      </w:r>
      <w:r>
        <w:fldChar w:fldCharType="separate"/>
      </w:r>
      <w:r>
        <w:t>19</w:t>
      </w:r>
      <w:r>
        <w:fldChar w:fldCharType="end"/>
      </w:r>
      <w:r>
        <w:rPr>
          <w:rFonts w:hint="eastAsia" w:ascii="宋体" w:hAnsi="宋体" w:eastAsia="宋体" w:cs="宋体"/>
          <w:szCs w:val="24"/>
          <w:highlight w:val="none"/>
        </w:rPr>
        <w:fldChar w:fldCharType="end"/>
      </w:r>
    </w:p>
    <w:p w14:paraId="15191A78">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_Toc3368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六、 </w:t>
      </w:r>
      <w:r>
        <w:rPr>
          <w:rFonts w:hint="eastAsia" w:asciiTheme="minorEastAsia" w:hAnsiTheme="minorEastAsia" w:eastAsiaTheme="minorEastAsia" w:cstheme="minorEastAsia"/>
          <w:bCs/>
          <w:kern w:val="0"/>
          <w:szCs w:val="32"/>
          <w:highlight w:val="none"/>
        </w:rPr>
        <w:t>签订合同</w:t>
      </w:r>
      <w:r>
        <w:tab/>
      </w:r>
      <w:r>
        <w:fldChar w:fldCharType="begin"/>
      </w:r>
      <w:r>
        <w:instrText xml:space="preserve"> PAGEREF _Toc3368 \h </w:instrText>
      </w:r>
      <w:r>
        <w:fldChar w:fldCharType="separate"/>
      </w:r>
      <w:r>
        <w:t>25</w:t>
      </w:r>
      <w:r>
        <w:fldChar w:fldCharType="end"/>
      </w:r>
      <w:r>
        <w:rPr>
          <w:rFonts w:hint="eastAsia" w:ascii="宋体" w:hAnsi="宋体" w:eastAsia="宋体" w:cs="宋体"/>
          <w:szCs w:val="24"/>
          <w:highlight w:val="none"/>
        </w:rPr>
        <w:fldChar w:fldCharType="end"/>
      </w:r>
    </w:p>
    <w:p w14:paraId="2D0112EE">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_Toc6400 </w:instrText>
      </w:r>
      <w:r>
        <w:rPr>
          <w:rFonts w:hint="eastAsia" w:ascii="宋体" w:hAnsi="宋体" w:eastAsia="宋体" w:cs="宋体"/>
          <w:szCs w:val="24"/>
          <w:highlight w:val="none"/>
        </w:rPr>
        <w:fldChar w:fldCharType="separate"/>
      </w:r>
      <w:r>
        <w:rPr>
          <w:rFonts w:hint="eastAsia" w:cs="Times New Roman" w:asciiTheme="minorEastAsia" w:hAnsiTheme="minorEastAsia" w:eastAsiaTheme="minorEastAsia"/>
          <w:bCs/>
          <w:kern w:val="0"/>
          <w:szCs w:val="32"/>
        </w:rPr>
        <w:t xml:space="preserve">七、 </w:t>
      </w:r>
      <w:r>
        <w:rPr>
          <w:rFonts w:hint="eastAsia" w:asciiTheme="minorEastAsia" w:hAnsiTheme="minorEastAsia" w:eastAsiaTheme="minorEastAsia" w:cstheme="minorEastAsia"/>
          <w:bCs/>
          <w:kern w:val="0"/>
          <w:szCs w:val="32"/>
          <w:highlight w:val="none"/>
        </w:rPr>
        <w:t>代理服务费</w:t>
      </w:r>
      <w:r>
        <w:tab/>
      </w:r>
      <w:r>
        <w:fldChar w:fldCharType="begin"/>
      </w:r>
      <w:r>
        <w:instrText xml:space="preserve"> PAGEREF _Toc6400 \h </w:instrText>
      </w:r>
      <w:r>
        <w:fldChar w:fldCharType="separate"/>
      </w:r>
      <w:r>
        <w:t>25</w:t>
      </w:r>
      <w:r>
        <w:fldChar w:fldCharType="end"/>
      </w:r>
      <w:r>
        <w:rPr>
          <w:rFonts w:hint="eastAsia" w:ascii="宋体" w:hAnsi="宋体" w:eastAsia="宋体" w:cs="宋体"/>
          <w:szCs w:val="24"/>
          <w:highlight w:val="none"/>
        </w:rPr>
        <w:fldChar w:fldCharType="end"/>
      </w:r>
    </w:p>
    <w:p w14:paraId="5C243967">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_Toc5155 </w:instrText>
      </w:r>
      <w:r>
        <w:rPr>
          <w:rFonts w:hint="eastAsia" w:ascii="宋体" w:hAnsi="宋体" w:eastAsia="宋体" w:cs="宋体"/>
          <w:szCs w:val="24"/>
          <w:highlight w:val="none"/>
        </w:rPr>
        <w:fldChar w:fldCharType="separate"/>
      </w:r>
      <w:r>
        <w:rPr>
          <w:rFonts w:hint="eastAsia" w:ascii="宋体" w:hAnsi="宋体" w:cs="宋体"/>
          <w:bCs/>
          <w:szCs w:val="32"/>
        </w:rPr>
        <w:t xml:space="preserve">八、 </w:t>
      </w:r>
      <w:r>
        <w:rPr>
          <w:rFonts w:hint="eastAsia" w:ascii="宋体" w:hAnsi="宋体" w:cs="宋体"/>
          <w:bCs/>
          <w:szCs w:val="32"/>
          <w:highlight w:val="none"/>
        </w:rPr>
        <w:t>履约验收</w:t>
      </w:r>
      <w:r>
        <w:tab/>
      </w:r>
      <w:r>
        <w:fldChar w:fldCharType="begin"/>
      </w:r>
      <w:r>
        <w:instrText xml:space="preserve"> PAGEREF _Toc5155 \h </w:instrText>
      </w:r>
      <w:r>
        <w:fldChar w:fldCharType="separate"/>
      </w:r>
      <w:r>
        <w:t>25</w:t>
      </w:r>
      <w:r>
        <w:fldChar w:fldCharType="end"/>
      </w:r>
      <w:r>
        <w:rPr>
          <w:rFonts w:hint="eastAsia" w:ascii="宋体" w:hAnsi="宋体" w:eastAsia="宋体" w:cs="宋体"/>
          <w:szCs w:val="24"/>
          <w:highlight w:val="none"/>
        </w:rPr>
        <w:fldChar w:fldCharType="end"/>
      </w:r>
    </w:p>
    <w:p w14:paraId="071630AB">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_Toc10985 </w:instrText>
      </w:r>
      <w:r>
        <w:rPr>
          <w:rFonts w:hint="eastAsia" w:ascii="宋体" w:hAnsi="宋体" w:eastAsia="宋体" w:cs="宋体"/>
          <w:szCs w:val="24"/>
          <w:highlight w:val="none"/>
        </w:rPr>
        <w:fldChar w:fldCharType="separate"/>
      </w:r>
      <w:r>
        <w:rPr>
          <w:rFonts w:hint="eastAsia" w:ascii="宋体" w:hAnsi="宋体" w:cs="宋体"/>
          <w:bCs/>
          <w:szCs w:val="32"/>
        </w:rPr>
        <w:t xml:space="preserve">九、 </w:t>
      </w:r>
      <w:r>
        <w:rPr>
          <w:rFonts w:hint="eastAsia" w:ascii="宋体" w:hAnsi="宋体" w:cs="宋体"/>
          <w:bCs/>
          <w:szCs w:val="32"/>
          <w:highlight w:val="none"/>
        </w:rPr>
        <w:t>质疑和投诉</w:t>
      </w:r>
      <w:r>
        <w:tab/>
      </w:r>
      <w:r>
        <w:fldChar w:fldCharType="begin"/>
      </w:r>
      <w:r>
        <w:instrText xml:space="preserve"> PAGEREF _Toc10985 \h </w:instrText>
      </w:r>
      <w:r>
        <w:fldChar w:fldCharType="separate"/>
      </w:r>
      <w:r>
        <w:t>25</w:t>
      </w:r>
      <w:r>
        <w:fldChar w:fldCharType="end"/>
      </w:r>
      <w:r>
        <w:rPr>
          <w:rFonts w:hint="eastAsia" w:ascii="宋体" w:hAnsi="宋体" w:eastAsia="宋体" w:cs="宋体"/>
          <w:szCs w:val="24"/>
          <w:highlight w:val="none"/>
        </w:rPr>
        <w:fldChar w:fldCharType="end"/>
      </w:r>
    </w:p>
    <w:p w14:paraId="466B2D62">
      <w:pPr>
        <w:pStyle w:val="19"/>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_Toc24956 </w:instrText>
      </w:r>
      <w:r>
        <w:rPr>
          <w:rFonts w:hint="eastAsia" w:ascii="宋体" w:hAnsi="宋体" w:eastAsia="宋体" w:cs="宋体"/>
          <w:szCs w:val="24"/>
          <w:highlight w:val="none"/>
        </w:rPr>
        <w:fldChar w:fldCharType="separate"/>
      </w:r>
      <w:r>
        <w:rPr>
          <w:rFonts w:asciiTheme="minorEastAsia" w:hAnsiTheme="minorEastAsia" w:eastAsiaTheme="minorEastAsia" w:cstheme="minorEastAsia"/>
          <w:szCs w:val="36"/>
        </w:rPr>
        <w:t xml:space="preserve">第四部分 </w:t>
      </w:r>
      <w:r>
        <w:rPr>
          <w:rFonts w:hint="eastAsia" w:asciiTheme="minorEastAsia" w:hAnsiTheme="minorEastAsia" w:eastAsiaTheme="minorEastAsia" w:cstheme="minorEastAsia"/>
          <w:szCs w:val="36"/>
          <w:highlight w:val="none"/>
        </w:rPr>
        <w:t>评分标准</w:t>
      </w:r>
      <w:r>
        <w:tab/>
      </w:r>
      <w:r>
        <w:fldChar w:fldCharType="begin"/>
      </w:r>
      <w:r>
        <w:instrText xml:space="preserve"> PAGEREF _Toc24956 \h </w:instrText>
      </w:r>
      <w:r>
        <w:fldChar w:fldCharType="separate"/>
      </w:r>
      <w:r>
        <w:t>28</w:t>
      </w:r>
      <w:r>
        <w:fldChar w:fldCharType="end"/>
      </w:r>
      <w:r>
        <w:rPr>
          <w:rFonts w:hint="eastAsia" w:ascii="宋体" w:hAnsi="宋体" w:eastAsia="宋体" w:cs="宋体"/>
          <w:szCs w:val="24"/>
          <w:highlight w:val="none"/>
        </w:rPr>
        <w:fldChar w:fldCharType="end"/>
      </w:r>
    </w:p>
    <w:p w14:paraId="159EA6A5">
      <w:pPr>
        <w:pStyle w:val="19"/>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_Toc21186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第五部分  商务条款与采购要求</w:t>
      </w:r>
      <w:r>
        <w:tab/>
      </w:r>
      <w:r>
        <w:fldChar w:fldCharType="begin"/>
      </w:r>
      <w:r>
        <w:instrText xml:space="preserve"> PAGEREF _Toc21186 \h </w:instrText>
      </w:r>
      <w:r>
        <w:fldChar w:fldCharType="separate"/>
      </w:r>
      <w:r>
        <w:t>32</w:t>
      </w:r>
      <w:r>
        <w:fldChar w:fldCharType="end"/>
      </w:r>
      <w:r>
        <w:rPr>
          <w:rFonts w:hint="eastAsia" w:ascii="宋体" w:hAnsi="宋体" w:eastAsia="宋体" w:cs="宋体"/>
          <w:szCs w:val="24"/>
          <w:highlight w:val="none"/>
        </w:rPr>
        <w:fldChar w:fldCharType="end"/>
      </w:r>
    </w:p>
    <w:p w14:paraId="5231D0A6">
      <w:pPr>
        <w:pStyle w:val="19"/>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_Toc28386 </w:instrText>
      </w:r>
      <w:r>
        <w:rPr>
          <w:rFonts w:hint="eastAsia" w:ascii="宋体" w:hAnsi="宋体" w:eastAsia="宋体" w:cs="宋体"/>
          <w:szCs w:val="24"/>
          <w:highlight w:val="none"/>
        </w:rPr>
        <w:fldChar w:fldCharType="separate"/>
      </w:r>
      <w:r>
        <w:rPr>
          <w:rFonts w:hint="eastAsia" w:ascii="宋体" w:hAnsi="宋体" w:cs="宋体"/>
          <w:bCs/>
          <w:kern w:val="44"/>
          <w:szCs w:val="44"/>
          <w:highlight w:val="none"/>
        </w:rPr>
        <w:t>第六部分  合同条款</w:t>
      </w:r>
      <w:r>
        <w:tab/>
      </w:r>
      <w:r>
        <w:fldChar w:fldCharType="begin"/>
      </w:r>
      <w:r>
        <w:instrText xml:space="preserve"> PAGEREF _Toc28386 \h </w:instrText>
      </w:r>
      <w:r>
        <w:fldChar w:fldCharType="separate"/>
      </w:r>
      <w:r>
        <w:t>42</w:t>
      </w:r>
      <w:r>
        <w:fldChar w:fldCharType="end"/>
      </w:r>
      <w:r>
        <w:rPr>
          <w:rFonts w:hint="eastAsia" w:ascii="宋体" w:hAnsi="宋体" w:eastAsia="宋体" w:cs="宋体"/>
          <w:szCs w:val="24"/>
          <w:highlight w:val="none"/>
        </w:rPr>
        <w:fldChar w:fldCharType="end"/>
      </w:r>
    </w:p>
    <w:p w14:paraId="6318556A">
      <w:pPr>
        <w:pStyle w:val="19"/>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_Toc32217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第七部分  投标文件格式</w:t>
      </w:r>
      <w:r>
        <w:tab/>
      </w:r>
      <w:r>
        <w:fldChar w:fldCharType="begin"/>
      </w:r>
      <w:r>
        <w:instrText xml:space="preserve"> PAGEREF _Toc32217 \h </w:instrText>
      </w:r>
      <w:r>
        <w:fldChar w:fldCharType="separate"/>
      </w:r>
      <w:r>
        <w:t>46</w:t>
      </w:r>
      <w:r>
        <w:fldChar w:fldCharType="end"/>
      </w:r>
      <w:r>
        <w:rPr>
          <w:rFonts w:hint="eastAsia" w:ascii="宋体" w:hAnsi="宋体" w:eastAsia="宋体" w:cs="宋体"/>
          <w:szCs w:val="24"/>
          <w:highlight w:val="none"/>
        </w:rPr>
        <w:fldChar w:fldCharType="end"/>
      </w:r>
    </w:p>
    <w:p w14:paraId="737F12D2">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_Toc19806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第一章  报价函</w:t>
      </w:r>
      <w:r>
        <w:tab/>
      </w:r>
      <w:r>
        <w:fldChar w:fldCharType="begin"/>
      </w:r>
      <w:r>
        <w:instrText xml:space="preserve"> PAGEREF _Toc19806 \h </w:instrText>
      </w:r>
      <w:r>
        <w:fldChar w:fldCharType="separate"/>
      </w:r>
      <w:r>
        <w:t>48</w:t>
      </w:r>
      <w:r>
        <w:fldChar w:fldCharType="end"/>
      </w:r>
      <w:r>
        <w:rPr>
          <w:rFonts w:hint="eastAsia" w:ascii="宋体" w:hAnsi="宋体" w:eastAsia="宋体" w:cs="宋体"/>
          <w:szCs w:val="24"/>
          <w:highlight w:val="none"/>
        </w:rPr>
        <w:fldChar w:fldCharType="end"/>
      </w:r>
    </w:p>
    <w:p w14:paraId="7D404060">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_Toc13885 </w:instrText>
      </w:r>
      <w:r>
        <w:rPr>
          <w:rFonts w:hint="eastAsia" w:ascii="宋体" w:hAnsi="宋体" w:eastAsia="宋体" w:cs="宋体"/>
          <w:szCs w:val="24"/>
          <w:highlight w:val="none"/>
        </w:rPr>
        <w:fldChar w:fldCharType="separate"/>
      </w:r>
      <w:r>
        <w:rPr>
          <w:rFonts w:hint="eastAsia" w:ascii="宋体" w:hAnsi="宋体" w:cs="宋体"/>
          <w:szCs w:val="36"/>
          <w:highlight w:val="none"/>
        </w:rPr>
        <w:t>第二章</w:t>
      </w:r>
      <w:r>
        <w:rPr>
          <w:rFonts w:hint="eastAsia" w:ascii="宋体" w:hAnsi="宋体" w:cs="宋体"/>
          <w:szCs w:val="36"/>
          <w:highlight w:val="none"/>
          <w:lang w:val="en-US" w:eastAsia="zh-CN"/>
        </w:rPr>
        <w:t xml:space="preserve">  </w:t>
      </w:r>
      <w:r>
        <w:rPr>
          <w:rFonts w:hint="eastAsia" w:ascii="宋体" w:hAnsi="宋体" w:cs="宋体"/>
          <w:szCs w:val="36"/>
          <w:highlight w:val="none"/>
        </w:rPr>
        <w:t>报价一览表</w:t>
      </w:r>
      <w:r>
        <w:tab/>
      </w:r>
      <w:r>
        <w:fldChar w:fldCharType="begin"/>
      </w:r>
      <w:r>
        <w:instrText xml:space="preserve"> PAGEREF _Toc13885 \h </w:instrText>
      </w:r>
      <w:r>
        <w:fldChar w:fldCharType="separate"/>
      </w:r>
      <w:r>
        <w:t>50</w:t>
      </w:r>
      <w:r>
        <w:fldChar w:fldCharType="end"/>
      </w:r>
      <w:r>
        <w:rPr>
          <w:rFonts w:hint="eastAsia" w:ascii="宋体" w:hAnsi="宋体" w:eastAsia="宋体" w:cs="宋体"/>
          <w:szCs w:val="24"/>
          <w:highlight w:val="none"/>
        </w:rPr>
        <w:fldChar w:fldCharType="end"/>
      </w:r>
    </w:p>
    <w:p w14:paraId="3F5A7F45">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_Toc20297 </w:instrText>
      </w:r>
      <w:r>
        <w:rPr>
          <w:rFonts w:hint="eastAsia" w:ascii="宋体" w:hAnsi="宋体" w:eastAsia="宋体" w:cs="宋体"/>
          <w:szCs w:val="24"/>
          <w:highlight w:val="none"/>
        </w:rPr>
        <w:fldChar w:fldCharType="separate"/>
      </w:r>
      <w:r>
        <w:rPr>
          <w:rFonts w:hint="eastAsia" w:hAnsi="宋体" w:cs="宋体"/>
          <w:bCs/>
          <w:szCs w:val="32"/>
          <w:highlight w:val="none"/>
        </w:rPr>
        <w:t>第三章</w:t>
      </w:r>
      <w:r>
        <w:rPr>
          <w:rFonts w:hint="eastAsia"/>
          <w:bCs/>
          <w:szCs w:val="32"/>
          <w:highlight w:val="none"/>
        </w:rPr>
        <w:t xml:space="preserve">  分项报价表</w:t>
      </w:r>
      <w:r>
        <w:tab/>
      </w:r>
      <w:r>
        <w:fldChar w:fldCharType="begin"/>
      </w:r>
      <w:r>
        <w:instrText xml:space="preserve"> PAGEREF _Toc20297 \h </w:instrText>
      </w:r>
      <w:r>
        <w:fldChar w:fldCharType="separate"/>
      </w:r>
      <w:r>
        <w:t>51</w:t>
      </w:r>
      <w:r>
        <w:fldChar w:fldCharType="end"/>
      </w:r>
      <w:r>
        <w:rPr>
          <w:rFonts w:hint="eastAsia" w:ascii="宋体" w:hAnsi="宋体" w:eastAsia="宋体" w:cs="宋体"/>
          <w:szCs w:val="24"/>
          <w:highlight w:val="none"/>
        </w:rPr>
        <w:fldChar w:fldCharType="end"/>
      </w:r>
    </w:p>
    <w:p w14:paraId="10A2786E">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_Toc15200 </w:instrText>
      </w:r>
      <w:r>
        <w:rPr>
          <w:rFonts w:hint="eastAsia" w:ascii="宋体" w:hAnsi="宋体" w:eastAsia="宋体" w:cs="宋体"/>
          <w:szCs w:val="24"/>
          <w:highlight w:val="none"/>
        </w:rPr>
        <w:fldChar w:fldCharType="separate"/>
      </w:r>
      <w:r>
        <w:rPr>
          <w:rFonts w:hint="eastAsia"/>
          <w:highlight w:val="none"/>
          <w:lang w:val="en-US" w:eastAsia="zh-CN"/>
        </w:rPr>
        <w:t xml:space="preserve">第四章  </w:t>
      </w:r>
      <w:r>
        <w:rPr>
          <w:rFonts w:hint="eastAsia"/>
          <w:highlight w:val="none"/>
        </w:rPr>
        <w:t>供应商资质证明资料</w:t>
      </w:r>
      <w:r>
        <w:tab/>
      </w:r>
      <w:r>
        <w:fldChar w:fldCharType="begin"/>
      </w:r>
      <w:r>
        <w:instrText xml:space="preserve"> PAGEREF _Toc15200 \h </w:instrText>
      </w:r>
      <w:r>
        <w:fldChar w:fldCharType="separate"/>
      </w:r>
      <w:r>
        <w:t>52</w:t>
      </w:r>
      <w:r>
        <w:fldChar w:fldCharType="end"/>
      </w:r>
      <w:r>
        <w:rPr>
          <w:rFonts w:hint="eastAsia" w:ascii="宋体" w:hAnsi="宋体" w:eastAsia="宋体" w:cs="宋体"/>
          <w:szCs w:val="24"/>
          <w:highlight w:val="none"/>
        </w:rPr>
        <w:fldChar w:fldCharType="end"/>
      </w:r>
    </w:p>
    <w:p w14:paraId="04E1CECE">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_Toc31447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五</w:t>
      </w:r>
      <w:r>
        <w:rPr>
          <w:rFonts w:hint="eastAsia"/>
          <w:highlight w:val="none"/>
        </w:rPr>
        <w:t>章  商务和</w:t>
      </w:r>
      <w:r>
        <w:rPr>
          <w:rFonts w:hint="eastAsia"/>
          <w:highlight w:val="none"/>
          <w:lang w:val="en-US" w:eastAsia="zh-CN"/>
        </w:rPr>
        <w:t>技术</w:t>
      </w:r>
      <w:r>
        <w:rPr>
          <w:rFonts w:hint="eastAsia"/>
          <w:highlight w:val="none"/>
        </w:rPr>
        <w:t>响应偏离表</w:t>
      </w:r>
      <w:r>
        <w:tab/>
      </w:r>
      <w:r>
        <w:fldChar w:fldCharType="begin"/>
      </w:r>
      <w:r>
        <w:instrText xml:space="preserve"> PAGEREF _Toc31447 \h </w:instrText>
      </w:r>
      <w:r>
        <w:fldChar w:fldCharType="separate"/>
      </w:r>
      <w:r>
        <w:t>59</w:t>
      </w:r>
      <w:r>
        <w:fldChar w:fldCharType="end"/>
      </w:r>
      <w:r>
        <w:rPr>
          <w:rFonts w:hint="eastAsia" w:ascii="宋体" w:hAnsi="宋体" w:eastAsia="宋体" w:cs="宋体"/>
          <w:szCs w:val="24"/>
          <w:highlight w:val="none"/>
        </w:rPr>
        <w:fldChar w:fldCharType="end"/>
      </w:r>
    </w:p>
    <w:p w14:paraId="6004822E">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_Toc29932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szCs w:val="36"/>
          <w:highlight w:val="none"/>
        </w:rPr>
        <w:t>第</w:t>
      </w:r>
      <w:r>
        <w:rPr>
          <w:rFonts w:hint="eastAsia" w:asciiTheme="minorEastAsia" w:hAnsiTheme="minorEastAsia" w:eastAsiaTheme="minorEastAsia" w:cstheme="minorEastAsia"/>
          <w:szCs w:val="36"/>
          <w:highlight w:val="none"/>
          <w:lang w:eastAsia="zh-CN"/>
        </w:rPr>
        <w:t>六</w:t>
      </w:r>
      <w:r>
        <w:rPr>
          <w:rFonts w:hint="eastAsia" w:asciiTheme="minorEastAsia" w:hAnsiTheme="minorEastAsia" w:eastAsiaTheme="minorEastAsia" w:cstheme="minorEastAsia"/>
          <w:szCs w:val="36"/>
          <w:highlight w:val="none"/>
        </w:rPr>
        <w:t xml:space="preserve">章  </w:t>
      </w:r>
      <w:r>
        <w:rPr>
          <w:rFonts w:hint="eastAsia" w:ascii="宋体" w:hAnsi="宋体" w:cs="宋体"/>
          <w:bCs/>
          <w:szCs w:val="36"/>
          <w:highlight w:val="none"/>
        </w:rPr>
        <w:t>实施方案和技术支持资料</w:t>
      </w:r>
      <w:r>
        <w:tab/>
      </w:r>
      <w:r>
        <w:fldChar w:fldCharType="begin"/>
      </w:r>
      <w:r>
        <w:instrText xml:space="preserve"> PAGEREF _Toc29932 \h </w:instrText>
      </w:r>
      <w:r>
        <w:fldChar w:fldCharType="separate"/>
      </w:r>
      <w:r>
        <w:t>61</w:t>
      </w:r>
      <w:r>
        <w:fldChar w:fldCharType="end"/>
      </w:r>
      <w:r>
        <w:rPr>
          <w:rFonts w:hint="eastAsia" w:ascii="宋体" w:hAnsi="宋体" w:eastAsia="宋体" w:cs="宋体"/>
          <w:szCs w:val="24"/>
          <w:highlight w:val="none"/>
        </w:rPr>
        <w:fldChar w:fldCharType="end"/>
      </w:r>
    </w:p>
    <w:p w14:paraId="3298FFCA">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_Toc21043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bCs/>
          <w:kern w:val="0"/>
          <w:szCs w:val="36"/>
          <w:highlight w:val="none"/>
          <w:lang w:val="en-US" w:eastAsia="zh-CN" w:bidi="ar-SA"/>
        </w:rPr>
        <w:t>第七章  技术方案</w:t>
      </w:r>
      <w:r>
        <w:tab/>
      </w:r>
      <w:r>
        <w:fldChar w:fldCharType="begin"/>
      </w:r>
      <w:r>
        <w:instrText xml:space="preserve"> PAGEREF _Toc21043 \h </w:instrText>
      </w:r>
      <w:r>
        <w:fldChar w:fldCharType="separate"/>
      </w:r>
      <w:r>
        <w:t>62</w:t>
      </w:r>
      <w:r>
        <w:fldChar w:fldCharType="end"/>
      </w:r>
      <w:r>
        <w:rPr>
          <w:rFonts w:hint="eastAsia" w:ascii="宋体" w:hAnsi="宋体" w:eastAsia="宋体" w:cs="宋体"/>
          <w:szCs w:val="24"/>
          <w:highlight w:val="none"/>
        </w:rPr>
        <w:fldChar w:fldCharType="end"/>
      </w:r>
    </w:p>
    <w:p w14:paraId="3EB6B91B">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_Toc14587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bCs/>
          <w:kern w:val="0"/>
          <w:szCs w:val="36"/>
          <w:highlight w:val="none"/>
          <w:lang w:val="en-US" w:eastAsia="zh-CN" w:bidi="ar-SA"/>
        </w:rPr>
        <w:t>第八章  售后服务及培训方案</w:t>
      </w:r>
      <w:r>
        <w:tab/>
      </w:r>
      <w:r>
        <w:fldChar w:fldCharType="begin"/>
      </w:r>
      <w:r>
        <w:instrText xml:space="preserve"> PAGEREF _Toc14587 \h </w:instrText>
      </w:r>
      <w:r>
        <w:fldChar w:fldCharType="separate"/>
      </w:r>
      <w:r>
        <w:t>63</w:t>
      </w:r>
      <w:r>
        <w:fldChar w:fldCharType="end"/>
      </w:r>
      <w:r>
        <w:rPr>
          <w:rFonts w:hint="eastAsia" w:ascii="宋体" w:hAnsi="宋体" w:eastAsia="宋体" w:cs="宋体"/>
          <w:szCs w:val="24"/>
          <w:highlight w:val="none"/>
        </w:rPr>
        <w:fldChar w:fldCharType="end"/>
      </w:r>
    </w:p>
    <w:p w14:paraId="6E614FCB">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_Toc9534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九</w:t>
      </w:r>
      <w:r>
        <w:rPr>
          <w:rFonts w:hint="eastAsia"/>
          <w:highlight w:val="none"/>
        </w:rPr>
        <w:t xml:space="preserve">章  </w:t>
      </w:r>
      <w:r>
        <w:rPr>
          <w:rFonts w:hint="eastAsia"/>
          <w:highlight w:val="none"/>
          <w:lang w:eastAsia="zh-CN"/>
        </w:rPr>
        <w:t>供应商</w:t>
      </w:r>
      <w:r>
        <w:rPr>
          <w:rFonts w:hint="eastAsia"/>
          <w:highlight w:val="none"/>
        </w:rPr>
        <w:t>业绩一览表</w:t>
      </w:r>
      <w:r>
        <w:tab/>
      </w:r>
      <w:r>
        <w:fldChar w:fldCharType="begin"/>
      </w:r>
      <w:r>
        <w:instrText xml:space="preserve"> PAGEREF _Toc9534 \h </w:instrText>
      </w:r>
      <w:r>
        <w:fldChar w:fldCharType="separate"/>
      </w:r>
      <w:r>
        <w:t>64</w:t>
      </w:r>
      <w:r>
        <w:fldChar w:fldCharType="end"/>
      </w:r>
      <w:r>
        <w:rPr>
          <w:rFonts w:hint="eastAsia" w:ascii="宋体" w:hAnsi="宋体" w:eastAsia="宋体" w:cs="宋体"/>
          <w:szCs w:val="24"/>
          <w:highlight w:val="none"/>
        </w:rPr>
        <w:fldChar w:fldCharType="end"/>
      </w:r>
    </w:p>
    <w:p w14:paraId="465D408D">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_Toc26962 </w:instrText>
      </w:r>
      <w:r>
        <w:rPr>
          <w:rFonts w:hint="eastAsia" w:ascii="宋体" w:hAnsi="宋体" w:eastAsia="宋体" w:cs="宋体"/>
          <w:szCs w:val="24"/>
          <w:highlight w:val="none"/>
        </w:rPr>
        <w:fldChar w:fldCharType="separate"/>
      </w:r>
      <w:r>
        <w:rPr>
          <w:rFonts w:hint="eastAsia"/>
          <w:highlight w:val="none"/>
        </w:rPr>
        <w:t>第</w:t>
      </w:r>
      <w:r>
        <w:rPr>
          <w:rFonts w:hint="eastAsia"/>
          <w:highlight w:val="none"/>
          <w:lang w:val="en-US" w:eastAsia="zh-CN"/>
        </w:rPr>
        <w:t>十</w:t>
      </w:r>
      <w:r>
        <w:rPr>
          <w:rFonts w:hint="eastAsia"/>
          <w:highlight w:val="none"/>
        </w:rPr>
        <w:t xml:space="preserve">章  </w:t>
      </w:r>
      <w:r>
        <w:rPr>
          <w:rFonts w:hint="eastAsia"/>
          <w:highlight w:val="none"/>
          <w:lang w:eastAsia="zh-CN"/>
        </w:rPr>
        <w:t>供应商</w:t>
      </w:r>
      <w:r>
        <w:rPr>
          <w:rFonts w:hint="eastAsia"/>
          <w:highlight w:val="none"/>
        </w:rPr>
        <w:t>认为有必要说明的其他问题</w:t>
      </w:r>
      <w:r>
        <w:tab/>
      </w:r>
      <w:r>
        <w:fldChar w:fldCharType="begin"/>
      </w:r>
      <w:r>
        <w:instrText xml:space="preserve"> PAGEREF _Toc26962 \h </w:instrText>
      </w:r>
      <w:r>
        <w:fldChar w:fldCharType="separate"/>
      </w:r>
      <w:r>
        <w:t>65</w:t>
      </w:r>
      <w:r>
        <w:fldChar w:fldCharType="end"/>
      </w:r>
      <w:r>
        <w:rPr>
          <w:rFonts w:hint="eastAsia" w:ascii="宋体" w:hAnsi="宋体" w:eastAsia="宋体" w:cs="宋体"/>
          <w:szCs w:val="24"/>
          <w:highlight w:val="none"/>
        </w:rPr>
        <w:fldChar w:fldCharType="end"/>
      </w:r>
    </w:p>
    <w:p w14:paraId="31497AD8">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_Toc617 </w:instrText>
      </w:r>
      <w:r>
        <w:rPr>
          <w:rFonts w:hint="eastAsia" w:ascii="宋体" w:hAnsi="宋体" w:eastAsia="宋体" w:cs="宋体"/>
          <w:szCs w:val="24"/>
          <w:highlight w:val="none"/>
        </w:rPr>
        <w:fldChar w:fldCharType="separate"/>
      </w:r>
      <w:r>
        <w:rPr>
          <w:rFonts w:hint="eastAsia" w:ascii="宋体" w:hAnsi="宋体" w:eastAsia="宋体" w:cs="宋体"/>
          <w:bCs/>
          <w:kern w:val="0"/>
          <w:szCs w:val="36"/>
          <w:highlight w:val="none"/>
          <w:lang w:val="en-US" w:eastAsia="zh-CN" w:bidi="ar-SA"/>
        </w:rPr>
        <w:t>第十</w:t>
      </w:r>
      <w:r>
        <w:rPr>
          <w:rFonts w:hint="eastAsia" w:ascii="宋体" w:hAnsi="宋体" w:cs="宋体"/>
          <w:bCs/>
          <w:kern w:val="0"/>
          <w:szCs w:val="36"/>
          <w:highlight w:val="none"/>
          <w:lang w:val="en-US" w:eastAsia="zh-CN" w:bidi="ar-SA"/>
        </w:rPr>
        <w:t>一</w:t>
      </w:r>
      <w:r>
        <w:rPr>
          <w:rFonts w:hint="eastAsia" w:ascii="宋体" w:hAnsi="宋体" w:eastAsia="宋体" w:cs="宋体"/>
          <w:bCs/>
          <w:kern w:val="0"/>
          <w:szCs w:val="36"/>
          <w:highlight w:val="none"/>
          <w:lang w:val="en-US" w:eastAsia="zh-CN" w:bidi="ar-SA"/>
        </w:rPr>
        <w:t>章</w:t>
      </w:r>
      <w:r>
        <w:rPr>
          <w:rFonts w:hint="eastAsia"/>
          <w:highlight w:val="none"/>
          <w:lang w:val="en-US" w:eastAsia="zh-CN"/>
        </w:rPr>
        <w:t xml:space="preserve">  </w:t>
      </w:r>
      <w:r>
        <w:rPr>
          <w:rFonts w:hint="eastAsia" w:ascii="宋体" w:hAnsi="宋体" w:cs="宋体"/>
          <w:szCs w:val="36"/>
          <w:highlight w:val="none"/>
        </w:rPr>
        <w:t>供应商承诺书</w:t>
      </w:r>
      <w:r>
        <w:tab/>
      </w:r>
      <w:r>
        <w:fldChar w:fldCharType="begin"/>
      </w:r>
      <w:r>
        <w:instrText xml:space="preserve"> PAGEREF _Toc617 \h </w:instrText>
      </w:r>
      <w:r>
        <w:fldChar w:fldCharType="separate"/>
      </w:r>
      <w:r>
        <w:t>66</w:t>
      </w:r>
      <w:r>
        <w:fldChar w:fldCharType="end"/>
      </w:r>
      <w:r>
        <w:rPr>
          <w:rFonts w:hint="eastAsia" w:ascii="宋体" w:hAnsi="宋体" w:eastAsia="宋体" w:cs="宋体"/>
          <w:szCs w:val="24"/>
          <w:highlight w:val="none"/>
        </w:rPr>
        <w:fldChar w:fldCharType="end"/>
      </w:r>
    </w:p>
    <w:p w14:paraId="7BBA21A0">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_Toc18269 </w:instrText>
      </w:r>
      <w:r>
        <w:rPr>
          <w:rFonts w:hint="eastAsia" w:ascii="宋体" w:hAnsi="宋体" w:eastAsia="宋体" w:cs="宋体"/>
          <w:szCs w:val="24"/>
          <w:highlight w:val="none"/>
        </w:rPr>
        <w:fldChar w:fldCharType="separate"/>
      </w:r>
      <w:r>
        <w:rPr>
          <w:rFonts w:hint="eastAsia"/>
          <w:highlight w:val="none"/>
        </w:rPr>
        <w:t>附件一、封袋正面标识式样</w:t>
      </w:r>
      <w:r>
        <w:tab/>
      </w:r>
      <w:r>
        <w:fldChar w:fldCharType="begin"/>
      </w:r>
      <w:r>
        <w:instrText xml:space="preserve"> PAGEREF _Toc18269 \h </w:instrText>
      </w:r>
      <w:r>
        <w:fldChar w:fldCharType="separate"/>
      </w:r>
      <w:r>
        <w:t>67</w:t>
      </w:r>
      <w:r>
        <w:fldChar w:fldCharType="end"/>
      </w:r>
      <w:r>
        <w:rPr>
          <w:rFonts w:hint="eastAsia" w:ascii="宋体" w:hAnsi="宋体" w:eastAsia="宋体" w:cs="宋体"/>
          <w:szCs w:val="24"/>
          <w:highlight w:val="none"/>
        </w:rPr>
        <w:fldChar w:fldCharType="end"/>
      </w:r>
    </w:p>
    <w:p w14:paraId="77825465">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_Toc18247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附件二、中小企业申明</w:t>
      </w:r>
      <w:r>
        <w:tab/>
      </w:r>
      <w:r>
        <w:fldChar w:fldCharType="begin"/>
      </w:r>
      <w:r>
        <w:instrText xml:space="preserve"> PAGEREF _Toc18247 \h </w:instrText>
      </w:r>
      <w:r>
        <w:fldChar w:fldCharType="separate"/>
      </w:r>
      <w:r>
        <w:t>69</w:t>
      </w:r>
      <w:r>
        <w:fldChar w:fldCharType="end"/>
      </w:r>
      <w:r>
        <w:rPr>
          <w:rFonts w:hint="eastAsia" w:ascii="宋体" w:hAnsi="宋体" w:eastAsia="宋体" w:cs="宋体"/>
          <w:szCs w:val="24"/>
          <w:highlight w:val="none"/>
        </w:rPr>
        <w:fldChar w:fldCharType="end"/>
      </w:r>
    </w:p>
    <w:p w14:paraId="38BCD319">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_Toc7404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附件三、残疾人福利性单位声明</w:t>
      </w:r>
      <w:r>
        <w:tab/>
      </w:r>
      <w:r>
        <w:fldChar w:fldCharType="begin"/>
      </w:r>
      <w:r>
        <w:instrText xml:space="preserve"> PAGEREF _Toc7404 \h </w:instrText>
      </w:r>
      <w:r>
        <w:fldChar w:fldCharType="separate"/>
      </w:r>
      <w:r>
        <w:t>70</w:t>
      </w:r>
      <w:r>
        <w:fldChar w:fldCharType="end"/>
      </w:r>
      <w:r>
        <w:rPr>
          <w:rFonts w:hint="eastAsia" w:ascii="宋体" w:hAnsi="宋体" w:eastAsia="宋体" w:cs="宋体"/>
          <w:szCs w:val="24"/>
          <w:highlight w:val="none"/>
        </w:rPr>
        <w:fldChar w:fldCharType="end"/>
      </w:r>
    </w:p>
    <w:p w14:paraId="2AB47B8B">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_Toc5830 </w:instrText>
      </w:r>
      <w:r>
        <w:rPr>
          <w:rFonts w:hint="eastAsia" w:ascii="宋体" w:hAnsi="宋体" w:eastAsia="宋体" w:cs="宋体"/>
          <w:szCs w:val="24"/>
          <w:highlight w:val="none"/>
        </w:rPr>
        <w:fldChar w:fldCharType="separate"/>
      </w:r>
      <w:r>
        <w:rPr>
          <w:rFonts w:hint="eastAsia"/>
          <w:highlight w:val="none"/>
        </w:rPr>
        <w:t>附件四、监狱企业证明文件</w:t>
      </w:r>
      <w:r>
        <w:tab/>
      </w:r>
      <w:r>
        <w:fldChar w:fldCharType="begin"/>
      </w:r>
      <w:r>
        <w:instrText xml:space="preserve"> PAGEREF _Toc5830 \h </w:instrText>
      </w:r>
      <w:r>
        <w:fldChar w:fldCharType="separate"/>
      </w:r>
      <w:r>
        <w:t>70</w:t>
      </w:r>
      <w:r>
        <w:fldChar w:fldCharType="end"/>
      </w:r>
      <w:r>
        <w:rPr>
          <w:rFonts w:hint="eastAsia" w:ascii="宋体" w:hAnsi="宋体" w:eastAsia="宋体" w:cs="宋体"/>
          <w:szCs w:val="24"/>
          <w:highlight w:val="none"/>
        </w:rPr>
        <w:fldChar w:fldCharType="end"/>
      </w:r>
    </w:p>
    <w:p w14:paraId="1030E3E4">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_Toc2057 </w:instrText>
      </w:r>
      <w:r>
        <w:rPr>
          <w:rFonts w:hint="eastAsia" w:ascii="宋体" w:hAnsi="宋体" w:eastAsia="宋体" w:cs="宋体"/>
          <w:szCs w:val="24"/>
          <w:highlight w:val="none"/>
        </w:rPr>
        <w:fldChar w:fldCharType="separate"/>
      </w:r>
      <w:r>
        <w:rPr>
          <w:rFonts w:hint="eastAsia" w:ascii="宋体" w:hAnsi="宋体" w:cs="宋体"/>
          <w:highlight w:val="none"/>
        </w:rPr>
        <w:t>附件五、“节能产品”，“环境标志产品”证明材料</w:t>
      </w:r>
      <w:r>
        <w:tab/>
      </w:r>
      <w:r>
        <w:fldChar w:fldCharType="begin"/>
      </w:r>
      <w:r>
        <w:instrText xml:space="preserve"> PAGEREF _Toc2057 \h </w:instrText>
      </w:r>
      <w:r>
        <w:fldChar w:fldCharType="separate"/>
      </w:r>
      <w:r>
        <w:t>70</w:t>
      </w:r>
      <w:r>
        <w:fldChar w:fldCharType="end"/>
      </w:r>
      <w:r>
        <w:rPr>
          <w:rFonts w:hint="eastAsia" w:ascii="宋体" w:hAnsi="宋体" w:eastAsia="宋体" w:cs="宋体"/>
          <w:szCs w:val="24"/>
          <w:highlight w:val="none"/>
        </w:rPr>
        <w:fldChar w:fldCharType="end"/>
      </w:r>
    </w:p>
    <w:p w14:paraId="7B7776B7">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_Toc27196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附件六、质疑函样本</w:t>
      </w:r>
      <w:r>
        <w:tab/>
      </w:r>
      <w:r>
        <w:fldChar w:fldCharType="begin"/>
      </w:r>
      <w:r>
        <w:instrText xml:space="preserve"> PAGEREF _Toc27196 \h </w:instrText>
      </w:r>
      <w:r>
        <w:fldChar w:fldCharType="separate"/>
      </w:r>
      <w:r>
        <w:t>71</w:t>
      </w:r>
      <w:r>
        <w:fldChar w:fldCharType="end"/>
      </w:r>
      <w:r>
        <w:rPr>
          <w:rFonts w:hint="eastAsia" w:ascii="宋体" w:hAnsi="宋体" w:eastAsia="宋体" w:cs="宋体"/>
          <w:szCs w:val="24"/>
          <w:highlight w:val="none"/>
        </w:rPr>
        <w:fldChar w:fldCharType="end"/>
      </w:r>
    </w:p>
    <w:p w14:paraId="69CC4A73">
      <w:pPr>
        <w:pStyle w:val="20"/>
        <w:tabs>
          <w:tab w:val="right" w:leader="dot" w:pos="9434"/>
        </w:tabs>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_Toc27236 </w:instrText>
      </w:r>
      <w:r>
        <w:rPr>
          <w:rFonts w:hint="eastAsia" w:ascii="宋体" w:hAnsi="宋体" w:eastAsia="宋体" w:cs="宋体"/>
          <w:szCs w:val="24"/>
          <w:highlight w:val="none"/>
        </w:rPr>
        <w:fldChar w:fldCharType="separate"/>
      </w:r>
      <w:r>
        <w:rPr>
          <w:rFonts w:hint="eastAsia" w:asciiTheme="minorEastAsia" w:hAnsiTheme="minorEastAsia" w:eastAsiaTheme="minorEastAsia" w:cstheme="minorEastAsia"/>
          <w:highlight w:val="none"/>
        </w:rPr>
        <w:t>附件七、保证金退还账户信息确认表</w:t>
      </w:r>
      <w:r>
        <w:tab/>
      </w:r>
      <w:r>
        <w:fldChar w:fldCharType="begin"/>
      </w:r>
      <w:r>
        <w:instrText xml:space="preserve"> PAGEREF _Toc27236 \h </w:instrText>
      </w:r>
      <w:r>
        <w:fldChar w:fldCharType="separate"/>
      </w:r>
      <w:r>
        <w:t>72</w:t>
      </w:r>
      <w:r>
        <w:fldChar w:fldCharType="end"/>
      </w:r>
      <w:r>
        <w:rPr>
          <w:rFonts w:hint="eastAsia" w:ascii="宋体" w:hAnsi="宋体" w:eastAsia="宋体" w:cs="宋体"/>
          <w:szCs w:val="24"/>
          <w:highlight w:val="none"/>
        </w:rPr>
        <w:fldChar w:fldCharType="end"/>
      </w:r>
    </w:p>
    <w:p w14:paraId="5389BEB3">
      <w:pPr>
        <w:pStyle w:val="2"/>
        <w:spacing w:line="300" w:lineRule="auto"/>
        <w:rPr>
          <w:rFonts w:asciiTheme="minorEastAsia" w:hAnsiTheme="minorEastAsia" w:eastAsiaTheme="minorEastAsia" w:cstheme="minorEastAsia"/>
          <w:szCs w:val="24"/>
          <w:highlight w:val="none"/>
        </w:rPr>
        <w:sectPr>
          <w:headerReference r:id="rId5" w:type="default"/>
          <w:footerReference r:id="rId6" w:type="default"/>
          <w:pgSz w:w="11906" w:h="16838"/>
          <w:pgMar w:top="1440" w:right="1236" w:bottom="1440" w:left="1236" w:header="851" w:footer="992" w:gutter="0"/>
          <w:cols w:space="720" w:num="1"/>
          <w:docGrid w:type="lines" w:linePitch="312" w:charSpace="0"/>
        </w:sectPr>
      </w:pPr>
      <w:r>
        <w:rPr>
          <w:rFonts w:hint="eastAsia" w:ascii="宋体" w:hAnsi="宋体" w:eastAsia="宋体" w:cs="宋体"/>
          <w:szCs w:val="24"/>
          <w:highlight w:val="none"/>
        </w:rPr>
        <w:fldChar w:fldCharType="end"/>
      </w:r>
    </w:p>
    <w:p w14:paraId="73F3CD1D">
      <w:pPr>
        <w:pStyle w:val="2"/>
        <w:spacing w:beforeLines="50" w:afterLines="50" w:line="240" w:lineRule="auto"/>
        <w:rPr>
          <w:rFonts w:asciiTheme="minorEastAsia" w:hAnsiTheme="minorEastAsia" w:eastAsiaTheme="minorEastAsia" w:cstheme="minorEastAsia"/>
          <w:sz w:val="36"/>
          <w:szCs w:val="36"/>
          <w:highlight w:val="none"/>
        </w:rPr>
      </w:pPr>
      <w:bookmarkStart w:id="1" w:name="_Toc19428"/>
      <w:bookmarkStart w:id="2" w:name="_Toc9001"/>
      <w:bookmarkStart w:id="3" w:name="_Toc26575"/>
      <w:bookmarkStart w:id="4" w:name="_Toc22714"/>
      <w:bookmarkStart w:id="5" w:name="_Toc3711"/>
      <w:bookmarkStart w:id="6" w:name="_Toc18479"/>
      <w:r>
        <w:rPr>
          <w:rFonts w:hint="eastAsia" w:asciiTheme="minorEastAsia" w:hAnsiTheme="minorEastAsia" w:eastAsiaTheme="minorEastAsia" w:cstheme="minorEastAsia"/>
          <w:sz w:val="36"/>
          <w:szCs w:val="36"/>
          <w:highlight w:val="none"/>
        </w:rPr>
        <w:t>第一部分  公开招标公告</w:t>
      </w:r>
      <w:bookmarkEnd w:id="1"/>
      <w:bookmarkEnd w:id="2"/>
      <w:bookmarkEnd w:id="3"/>
      <w:bookmarkEnd w:id="4"/>
      <w:bookmarkEnd w:id="5"/>
      <w:bookmarkEnd w:id="6"/>
    </w:p>
    <w:p w14:paraId="4CDDBE0C">
      <w:pPr>
        <w:widowControl/>
        <w:wordWrap w:val="0"/>
        <w:snapToGrid w:val="0"/>
        <w:spacing w:line="360" w:lineRule="auto"/>
        <w:ind w:right="-92" w:rightChars="-44"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陕西万泽招标有限公司受</w:t>
      </w:r>
      <w:r>
        <w:rPr>
          <w:rFonts w:hint="eastAsia" w:asciiTheme="minorEastAsia" w:hAnsiTheme="minorEastAsia" w:eastAsiaTheme="minorEastAsia" w:cstheme="minorEastAsia"/>
          <w:kern w:val="0"/>
          <w:sz w:val="24"/>
          <w:szCs w:val="24"/>
          <w:highlight w:val="none"/>
          <w:lang w:eastAsia="zh-CN"/>
        </w:rPr>
        <w:t>陕西学前师范学院</w:t>
      </w:r>
      <w:r>
        <w:rPr>
          <w:rFonts w:hint="eastAsia" w:asciiTheme="minorEastAsia" w:hAnsiTheme="minorEastAsia" w:eastAsiaTheme="minorEastAsia" w:cstheme="minorEastAsia"/>
          <w:kern w:val="0"/>
          <w:sz w:val="24"/>
          <w:szCs w:val="24"/>
          <w:highlight w:val="none"/>
        </w:rPr>
        <w:t>的委托，按照政府采购程序，就</w:t>
      </w:r>
      <w:r>
        <w:rPr>
          <w:rFonts w:hint="eastAsia" w:ascii="宋体" w:hAnsi="宋体" w:cs="宋体" w:eastAsiaTheme="minorEastAsia"/>
          <w:kern w:val="0"/>
          <w:sz w:val="24"/>
          <w:szCs w:val="24"/>
          <w:highlight w:val="none"/>
          <w:lang w:eastAsia="zh-CN"/>
        </w:rPr>
        <w:t>陕西学前师范学院人工智能创新应用教研训中心建设-卓越中学英语教师智慧虚拟仿真实训中心项目（二次）</w:t>
      </w:r>
      <w:r>
        <w:rPr>
          <w:rFonts w:hint="eastAsia" w:asciiTheme="minorEastAsia" w:hAnsiTheme="minorEastAsia" w:eastAsiaTheme="minorEastAsia" w:cstheme="minorEastAsia"/>
          <w:kern w:val="0"/>
          <w:sz w:val="24"/>
          <w:szCs w:val="24"/>
          <w:highlight w:val="none"/>
        </w:rPr>
        <w:t>进行公开招标，欢迎符合资格条件的、有能力提供本次项目所需货物、服务或工程的供货商参加投标。</w:t>
      </w:r>
    </w:p>
    <w:p w14:paraId="21AD4212">
      <w:pPr>
        <w:widowControl/>
        <w:numPr>
          <w:ilvl w:val="0"/>
          <w:numId w:val="1"/>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项目名称：</w:t>
      </w:r>
      <w:r>
        <w:rPr>
          <w:rFonts w:hint="eastAsia" w:asciiTheme="minorEastAsia" w:hAnsiTheme="minorEastAsia" w:eastAsiaTheme="minorEastAsia" w:cstheme="minorEastAsia"/>
          <w:kern w:val="0"/>
          <w:sz w:val="24"/>
          <w:szCs w:val="24"/>
          <w:highlight w:val="none"/>
          <w:lang w:eastAsia="zh-CN"/>
        </w:rPr>
        <w:t>陕西学前师范学院人工智能创新应用教研训中心建设-卓越中学英语教师智慧虚拟仿真实训中心项目（二次）</w:t>
      </w:r>
    </w:p>
    <w:p w14:paraId="35A772E5">
      <w:pPr>
        <w:widowControl/>
        <w:numPr>
          <w:ilvl w:val="0"/>
          <w:numId w:val="1"/>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项目编号：</w:t>
      </w:r>
      <w:r>
        <w:rPr>
          <w:rFonts w:hint="eastAsia" w:asciiTheme="minorEastAsia" w:hAnsiTheme="minorEastAsia" w:eastAsiaTheme="minorEastAsia" w:cstheme="minorEastAsia"/>
          <w:kern w:val="0"/>
          <w:sz w:val="24"/>
          <w:szCs w:val="24"/>
          <w:highlight w:val="none"/>
          <w:lang w:eastAsia="zh-CN"/>
        </w:rPr>
        <w:t>SXWZ2025ZB-SXXQ-202A</w:t>
      </w:r>
    </w:p>
    <w:p w14:paraId="5BDD7484">
      <w:pPr>
        <w:widowControl/>
        <w:numPr>
          <w:ilvl w:val="0"/>
          <w:numId w:val="1"/>
        </w:numPr>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bookmarkStart w:id="7" w:name="OLE_LINK2"/>
      <w:r>
        <w:rPr>
          <w:rFonts w:hint="eastAsia" w:asciiTheme="minorEastAsia" w:hAnsiTheme="minorEastAsia" w:eastAsiaTheme="minorEastAsia" w:cstheme="minorEastAsia"/>
          <w:kern w:val="0"/>
          <w:sz w:val="24"/>
          <w:szCs w:val="24"/>
          <w:highlight w:val="none"/>
        </w:rPr>
        <w:t>采购人名称：</w:t>
      </w:r>
      <w:r>
        <w:rPr>
          <w:rFonts w:hint="eastAsia" w:asciiTheme="minorEastAsia" w:hAnsiTheme="minorEastAsia" w:eastAsiaTheme="minorEastAsia" w:cstheme="minorEastAsia"/>
          <w:kern w:val="0"/>
          <w:sz w:val="24"/>
          <w:szCs w:val="24"/>
          <w:highlight w:val="none"/>
          <w:lang w:eastAsia="zh-CN"/>
        </w:rPr>
        <w:t>陕西学前师范学院</w:t>
      </w:r>
    </w:p>
    <w:p w14:paraId="45676EA0">
      <w:pPr>
        <w:widowControl/>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地址：</w:t>
      </w:r>
      <w:r>
        <w:rPr>
          <w:rFonts w:hint="eastAsia" w:asciiTheme="minorEastAsia" w:hAnsiTheme="minorEastAsia" w:eastAsiaTheme="minorEastAsia" w:cstheme="minorEastAsia"/>
          <w:kern w:val="0"/>
          <w:sz w:val="24"/>
          <w:szCs w:val="24"/>
          <w:highlight w:val="none"/>
          <w:lang w:eastAsia="zh-CN"/>
        </w:rPr>
        <w:t>西安市长安区神禾二路</w:t>
      </w:r>
    </w:p>
    <w:p w14:paraId="158F1199">
      <w:pPr>
        <w:widowControl/>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招标办联系人：杨老师</w:t>
      </w:r>
    </w:p>
    <w:p w14:paraId="3A76FFD6">
      <w:pPr>
        <w:widowControl/>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联系方式：029-81530065</w:t>
      </w:r>
    </w:p>
    <w:p w14:paraId="3BCE0ED4">
      <w:pPr>
        <w:widowControl/>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技术联系人：张老师</w:t>
      </w:r>
    </w:p>
    <w:p w14:paraId="3AF97F69">
      <w:pPr>
        <w:widowControl/>
        <w:wordWrap w:val="0"/>
        <w:snapToGrid w:val="0"/>
        <w:spacing w:line="360" w:lineRule="auto"/>
        <w:ind w:left="958" w:leftChars="456" w:firstLine="0" w:firstLineChars="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联系方式：</w:t>
      </w:r>
      <w:bookmarkEnd w:id="7"/>
      <w:r>
        <w:rPr>
          <w:rFonts w:hint="eastAsia" w:asciiTheme="minorEastAsia" w:hAnsiTheme="minorEastAsia" w:eastAsiaTheme="minorEastAsia" w:cstheme="minorEastAsia"/>
          <w:kern w:val="0"/>
          <w:sz w:val="24"/>
          <w:szCs w:val="24"/>
          <w:highlight w:val="none"/>
          <w:lang w:val="en-US" w:eastAsia="zh-CN"/>
        </w:rPr>
        <w:t>029-81530090</w:t>
      </w:r>
    </w:p>
    <w:p w14:paraId="6CDC72E1">
      <w:pPr>
        <w:widowControl/>
        <w:numPr>
          <w:ilvl w:val="0"/>
          <w:numId w:val="1"/>
        </w:numPr>
        <w:tabs>
          <w:tab w:val="left" w:pos="1620"/>
        </w:tabs>
        <w:wordWrap w:val="0"/>
        <w:snapToGrid w:val="0"/>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采购代理机构名称：陕西万泽招标有限公司</w:t>
      </w:r>
    </w:p>
    <w:p w14:paraId="536BC9E5">
      <w:pPr>
        <w:widowControl/>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地址：</w:t>
      </w:r>
      <w:r>
        <w:rPr>
          <w:rFonts w:hint="eastAsia" w:asciiTheme="minorEastAsia" w:hAnsiTheme="minorEastAsia" w:eastAsiaTheme="minorEastAsia" w:cstheme="minorEastAsia"/>
          <w:kern w:val="0"/>
          <w:sz w:val="24"/>
          <w:szCs w:val="24"/>
          <w:highlight w:val="none"/>
          <w:lang w:eastAsia="zh-CN"/>
        </w:rPr>
        <w:t>西安市高新区唐延路旺座现代城C座25楼250</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lang w:eastAsia="zh-CN"/>
        </w:rPr>
        <w:t>室</w:t>
      </w:r>
    </w:p>
    <w:p w14:paraId="76F990D2">
      <w:pPr>
        <w:widowControl/>
        <w:wordWrap w:val="0"/>
        <w:snapToGrid w:val="0"/>
        <w:spacing w:line="360" w:lineRule="auto"/>
        <w:ind w:firstLine="960" w:firstLineChars="400"/>
        <w:jc w:val="left"/>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联系方式：029-88319689</w:t>
      </w:r>
      <w:r>
        <w:rPr>
          <w:rFonts w:hint="eastAsia" w:asciiTheme="minorEastAsia" w:hAnsiTheme="minorEastAsia" w:eastAsiaTheme="minorEastAsia" w:cstheme="minorEastAsia"/>
          <w:kern w:val="0"/>
          <w:sz w:val="24"/>
          <w:szCs w:val="24"/>
          <w:highlight w:val="none"/>
          <w:lang w:val="en-US" w:eastAsia="zh-CN"/>
        </w:rPr>
        <w:t>-8006</w:t>
      </w:r>
    </w:p>
    <w:p w14:paraId="62C144D8">
      <w:pPr>
        <w:widowControl/>
        <w:numPr>
          <w:ilvl w:val="0"/>
          <w:numId w:val="1"/>
        </w:numPr>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采购内容和要求：</w:t>
      </w:r>
    </w:p>
    <w:p w14:paraId="64CE5620">
      <w:pPr>
        <w:widowControl/>
        <w:numPr>
          <w:ilvl w:val="0"/>
          <w:numId w:val="0"/>
        </w:numPr>
        <w:tabs>
          <w:tab w:val="left" w:pos="1620"/>
        </w:tabs>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采购内容：</w:t>
      </w:r>
      <w:r>
        <w:rPr>
          <w:rFonts w:hint="eastAsia" w:asciiTheme="minorEastAsia" w:hAnsiTheme="minorEastAsia" w:eastAsiaTheme="minorEastAsia" w:cstheme="minorEastAsia"/>
          <w:kern w:val="0"/>
          <w:sz w:val="24"/>
          <w:szCs w:val="24"/>
          <w:highlight w:val="none"/>
          <w:lang w:eastAsia="zh-CN"/>
        </w:rPr>
        <w:t>人工智能创新应用教研训中心建设-卓越中学英语教师智慧虚拟仿真实训中心项目</w:t>
      </w:r>
    </w:p>
    <w:p w14:paraId="1F401C60">
      <w:pPr>
        <w:widowControl/>
        <w:numPr>
          <w:ilvl w:val="0"/>
          <w:numId w:val="0"/>
        </w:numPr>
        <w:tabs>
          <w:tab w:val="left" w:pos="1620"/>
        </w:tabs>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采购预算：</w:t>
      </w:r>
      <w:r>
        <w:rPr>
          <w:rFonts w:hint="eastAsia" w:asciiTheme="minorEastAsia" w:hAnsiTheme="minorEastAsia" w:eastAsiaTheme="minorEastAsia" w:cstheme="minorEastAsia"/>
          <w:kern w:val="0"/>
          <w:sz w:val="24"/>
          <w:szCs w:val="24"/>
          <w:highlight w:val="none"/>
          <w:lang w:val="en-US" w:eastAsia="zh-CN"/>
        </w:rPr>
        <w:t>44.6</w:t>
      </w:r>
      <w:r>
        <w:rPr>
          <w:rFonts w:hint="eastAsia" w:asciiTheme="minorEastAsia" w:hAnsiTheme="minorEastAsia" w:eastAsiaTheme="minorEastAsia" w:cstheme="minorEastAsia"/>
          <w:kern w:val="0"/>
          <w:sz w:val="24"/>
          <w:szCs w:val="24"/>
          <w:highlight w:val="none"/>
        </w:rPr>
        <w:t>万元</w:t>
      </w:r>
    </w:p>
    <w:p w14:paraId="4104E695">
      <w:pPr>
        <w:widowControl/>
        <w:numPr>
          <w:ilvl w:val="0"/>
          <w:numId w:val="0"/>
        </w:numPr>
        <w:tabs>
          <w:tab w:val="left" w:pos="1620"/>
        </w:tabs>
        <w:wordWrap w:val="0"/>
        <w:snapToGrid w:val="0"/>
        <w:spacing w:line="360" w:lineRule="auto"/>
        <w:ind w:firstLine="960" w:firstLineChars="4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项目用途：自用</w:t>
      </w:r>
    </w:p>
    <w:p w14:paraId="68BE97B9">
      <w:pPr>
        <w:widowControl/>
        <w:numPr>
          <w:ilvl w:val="0"/>
          <w:numId w:val="0"/>
        </w:numPr>
        <w:tabs>
          <w:tab w:val="left" w:pos="1620"/>
        </w:tabs>
        <w:wordWrap w:val="0"/>
        <w:snapToGrid w:val="0"/>
        <w:spacing w:line="360" w:lineRule="auto"/>
        <w:ind w:firstLine="960" w:firstLineChars="400"/>
        <w:jc w:val="left"/>
        <w:rPr>
          <w:rFonts w:asciiTheme="minorEastAsia" w:hAnsiTheme="minorEastAsia" w:eastAsiaTheme="minorEastAsia" w:cstheme="minorEastAsia"/>
          <w:kern w:val="0"/>
          <w:sz w:val="24"/>
          <w:szCs w:val="24"/>
          <w:highlight w:val="none"/>
          <w:vertAlign w:val="baseline"/>
        </w:rPr>
      </w:pPr>
      <w:r>
        <w:rPr>
          <w:rFonts w:hint="eastAsia" w:asciiTheme="minorEastAsia" w:hAnsiTheme="minorEastAsia" w:eastAsiaTheme="minorEastAsia" w:cstheme="minorEastAsia"/>
          <w:kern w:val="0"/>
          <w:sz w:val="24"/>
          <w:szCs w:val="24"/>
          <w:highlight w:val="none"/>
        </w:rPr>
        <w:t>项目性质：</w:t>
      </w:r>
      <w:r>
        <w:rPr>
          <w:rFonts w:hint="eastAsia" w:asciiTheme="minorEastAsia" w:hAnsiTheme="minorEastAsia" w:eastAsiaTheme="minorEastAsia" w:cstheme="minorEastAsia"/>
          <w:kern w:val="0"/>
          <w:sz w:val="24"/>
          <w:szCs w:val="24"/>
          <w:highlight w:val="none"/>
          <w:lang w:val="en-US" w:eastAsia="zh-CN"/>
        </w:rPr>
        <w:t>财政</w:t>
      </w:r>
      <w:r>
        <w:rPr>
          <w:rFonts w:hint="eastAsia" w:asciiTheme="minorEastAsia" w:hAnsiTheme="minorEastAsia" w:eastAsiaTheme="minorEastAsia" w:cstheme="minorEastAsia"/>
          <w:kern w:val="0"/>
          <w:sz w:val="24"/>
          <w:szCs w:val="24"/>
          <w:highlight w:val="none"/>
        </w:rPr>
        <w:t>资金</w:t>
      </w:r>
    </w:p>
    <w:p w14:paraId="5B9FEC52">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供应商资质要求：</w:t>
      </w:r>
    </w:p>
    <w:p w14:paraId="42D5CAF3">
      <w:pPr>
        <w:snapToGrid w:val="0"/>
        <w:spacing w:line="360" w:lineRule="auto"/>
        <w:ind w:left="567"/>
        <w:jc w:val="left"/>
        <w:rPr>
          <w:rFonts w:ascii="宋体" w:hAnsi="宋体" w:cs="宋体"/>
          <w:color w:val="000000"/>
          <w:highlight w:val="none"/>
        </w:rPr>
      </w:pPr>
      <w:r>
        <w:rPr>
          <w:rFonts w:hint="eastAsia" w:ascii="宋体" w:hAnsi="宋体" w:cs="宋体"/>
          <w:bCs/>
          <w:color w:val="000000"/>
          <w:kern w:val="0"/>
          <w:sz w:val="24"/>
          <w:szCs w:val="24"/>
          <w:highlight w:val="none"/>
        </w:rPr>
        <w:t>符合《中华人民共和国政府采购法》第二十二条规定，并提供以下材料：</w:t>
      </w:r>
    </w:p>
    <w:p w14:paraId="56FCFFCA">
      <w:pPr>
        <w:snapToGrid w:val="0"/>
        <w:spacing w:line="360" w:lineRule="auto"/>
        <w:ind w:firstLine="480" w:firstLineChars="200"/>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具有独立承担民事责任能力的法人、其他组织或自然人，并出具合法有效的营业执照或事业单位法人证书等国家规定的相关证明，自然人参与的提供其身份证明；</w:t>
      </w:r>
    </w:p>
    <w:p w14:paraId="55E631F6">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2、社会保障资金缴纳证明：供应商提供本单位2025年01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14:paraId="09427735">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3、税收缴纳证明：供应商提供本单位2025年01月至今已缴纳的至少一个月纳税证明或完税证明（以税款所属期为准），依法免税的单位应提供相关证明材料； </w:t>
      </w:r>
    </w:p>
    <w:p w14:paraId="5D3D68DB">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 xml:space="preserve">4、财务状况证明：提供经会计师事务所审计的2023年或2024年任意一年的财务审计报告（带二维码可查验）或在开标日期前六个月内其基本开户银行出具的资信证明；  </w:t>
      </w:r>
    </w:p>
    <w:p w14:paraId="51831547">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5、供应商应出具参加本次政府采购活动前3年内在经营活动中没有重大违法违纪，以及未被列入失信被执行人、重大税收违法案件当事人名单、政府采购严重违法失信行为记录名单的书面声明；</w:t>
      </w:r>
    </w:p>
    <w:p w14:paraId="739443EB">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6、非法定代表人参加投标，须提供法定代表人授权委托书及被授权人身份证原件；法定代表人参加投标时,须提供法定代表人身份证原件；</w:t>
      </w:r>
    </w:p>
    <w:p w14:paraId="109DC41F">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7、供应商须提供投标保证金汇款凭证或担保机构出具的保函；</w:t>
      </w:r>
    </w:p>
    <w:p w14:paraId="062D1499">
      <w:pPr>
        <w:snapToGrid w:val="0"/>
        <w:spacing w:line="360" w:lineRule="auto"/>
        <w:ind w:firstLine="480" w:firstLineChars="200"/>
        <w:jc w:val="left"/>
        <w:rPr>
          <w:rFonts w:ascii="宋体" w:hAnsi="宋体" w:cs="宋体"/>
          <w:bCs/>
          <w:kern w:val="0"/>
          <w:sz w:val="24"/>
          <w:szCs w:val="24"/>
          <w:highlight w:val="none"/>
        </w:rPr>
      </w:pPr>
      <w:r>
        <w:rPr>
          <w:rFonts w:hint="eastAsia" w:ascii="宋体" w:hAnsi="宋体" w:cs="宋体"/>
          <w:bCs/>
          <w:kern w:val="0"/>
          <w:sz w:val="24"/>
          <w:szCs w:val="24"/>
          <w:highlight w:val="none"/>
        </w:rPr>
        <w:t>8、本项目不接受联合体投标。</w:t>
      </w:r>
    </w:p>
    <w:p w14:paraId="43301CCA">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采购项目需要落实的政府采购政策：</w:t>
      </w:r>
    </w:p>
    <w:p w14:paraId="5BE8A4B8">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依据《中华人民共和国政府采购法》和《中华人民共和国政府采购法实施条例》的有关规定，落实政府采购“优先购买节能环保产品、扶持小微企业、监狱企业、福利企业” 等相关政策。</w:t>
      </w:r>
    </w:p>
    <w:p w14:paraId="72D91FCA">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color w:val="000000"/>
          <w:sz w:val="24"/>
          <w:szCs w:val="24"/>
          <w:highlight w:val="none"/>
        </w:rPr>
        <w:t>《政府采购促进中小企业发展管理办法》（财库〔2020〕46号）</w:t>
      </w:r>
      <w:r>
        <w:rPr>
          <w:rFonts w:hint="eastAsia" w:ascii="宋体" w:hAnsi="宋体" w:cs="宋体"/>
          <w:sz w:val="24"/>
          <w:szCs w:val="24"/>
          <w:highlight w:val="none"/>
        </w:rPr>
        <w:t>；</w:t>
      </w:r>
    </w:p>
    <w:p w14:paraId="30B059ED">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2、《财政部 司法部关于政府采购支持监狱企业发展有关问题的通知》（财库〔2014〕68号）； </w:t>
      </w:r>
    </w:p>
    <w:p w14:paraId="059940E7">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3、《国务院办公厅关于建立政府强制采购节能产品制度的通知》（国办发〔2007〕51号）； </w:t>
      </w:r>
    </w:p>
    <w:p w14:paraId="00B2126A">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4、《财政部发展改革委生态环境部市场监督总局关于调整优化节能产品、环境标志产品政府采购执行机制的通知》（财库[2019]9号）；</w:t>
      </w:r>
    </w:p>
    <w:p w14:paraId="170DD11F">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5、《市场监督总局关于发布参与实施政府采购节能产品、环境标志产品认证机构名录的公告》（2019年第16号）；</w:t>
      </w:r>
    </w:p>
    <w:p w14:paraId="62A398B2">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6、《三部门联合发布关于促进残疾人就业政府采购政策的通知》（财库〔2017〕141号）。</w:t>
      </w:r>
    </w:p>
    <w:p w14:paraId="5391EF8E">
      <w:pPr>
        <w:snapToGrid w:val="0"/>
        <w:spacing w:line="288" w:lineRule="auto"/>
        <w:ind w:firstLine="480" w:firstLineChars="200"/>
        <w:rPr>
          <w:rFonts w:ascii="宋体" w:hAnsi="宋体" w:cs="宋体"/>
          <w:sz w:val="24"/>
          <w:szCs w:val="24"/>
          <w:highlight w:val="none"/>
        </w:rPr>
      </w:pPr>
      <w:r>
        <w:rPr>
          <w:rFonts w:hint="eastAsia" w:ascii="宋体" w:hAnsi="宋体" w:cs="宋体"/>
          <w:sz w:val="24"/>
          <w:szCs w:val="24"/>
          <w:highlight w:val="none"/>
        </w:rPr>
        <w:t>7、陕西省财政厅关于印发《陕西省中小企业政府采购信用融资办法》（陕财办采〔2018〕23号）。</w:t>
      </w:r>
    </w:p>
    <w:p w14:paraId="33D7771C">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公开招标文件发售：</w:t>
      </w:r>
    </w:p>
    <w:p w14:paraId="7B747220">
      <w:pPr>
        <w:widowControl/>
        <w:wordWrap w:val="0"/>
        <w:snapToGrid w:val="0"/>
        <w:spacing w:line="288" w:lineRule="auto"/>
        <w:ind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1、发售时间：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日起至202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28</w:t>
      </w:r>
      <w:r>
        <w:rPr>
          <w:rFonts w:hint="eastAsia" w:asciiTheme="minorEastAsia" w:hAnsiTheme="minorEastAsia" w:eastAsiaTheme="minorEastAsia" w:cstheme="minorEastAsia"/>
          <w:sz w:val="24"/>
          <w:szCs w:val="24"/>
          <w:highlight w:val="none"/>
        </w:rPr>
        <w:t>日止</w:t>
      </w:r>
    </w:p>
    <w:p w14:paraId="26DA40BD">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（上午09:00～12:00，下午14:00～17:00发售,法定节假日除外）</w:t>
      </w:r>
    </w:p>
    <w:p w14:paraId="5BDBE239">
      <w:pPr>
        <w:widowControl/>
        <w:wordWrap w:val="0"/>
        <w:snapToGrid w:val="0"/>
        <w:spacing w:line="288" w:lineRule="auto"/>
        <w:ind w:firstLine="480" w:firstLineChars="2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2、发售地点：</w:t>
      </w:r>
      <w:r>
        <w:rPr>
          <w:rFonts w:hint="eastAsia" w:asciiTheme="minorEastAsia" w:hAnsiTheme="minorEastAsia" w:eastAsiaTheme="minorEastAsia" w:cstheme="minorEastAsia"/>
          <w:kern w:val="0"/>
          <w:sz w:val="24"/>
          <w:szCs w:val="24"/>
          <w:highlight w:val="none"/>
          <w:lang w:eastAsia="zh-CN"/>
        </w:rPr>
        <w:t>西安市高新区唐延路旺座现代城C座25楼250</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lang w:eastAsia="zh-CN"/>
        </w:rPr>
        <w:t>室</w:t>
      </w:r>
    </w:p>
    <w:p w14:paraId="4EC9FD90">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3、文件售价：</w:t>
      </w:r>
      <w:r>
        <w:rPr>
          <w:rFonts w:hint="eastAsia" w:asciiTheme="minorEastAsia" w:hAnsiTheme="minorEastAsia" w:eastAsiaTheme="minorEastAsia" w:cstheme="minorEastAsia"/>
          <w:kern w:val="0"/>
          <w:sz w:val="24"/>
          <w:szCs w:val="24"/>
          <w:highlight w:val="none"/>
          <w:lang w:val="en-US" w:eastAsia="zh-CN"/>
        </w:rPr>
        <w:t>500</w:t>
      </w:r>
      <w:r>
        <w:rPr>
          <w:rFonts w:hint="eastAsia" w:asciiTheme="minorEastAsia" w:hAnsiTheme="minorEastAsia" w:eastAsiaTheme="minorEastAsia" w:cstheme="minorEastAsia"/>
          <w:kern w:val="0"/>
          <w:sz w:val="24"/>
          <w:szCs w:val="24"/>
          <w:highlight w:val="none"/>
        </w:rPr>
        <w:t>元/</w:t>
      </w:r>
      <w:r>
        <w:rPr>
          <w:rFonts w:hint="eastAsia" w:asciiTheme="minorEastAsia" w:hAnsiTheme="minorEastAsia" w:eastAsiaTheme="minorEastAsia" w:cstheme="minorEastAsia"/>
          <w:kern w:val="0"/>
          <w:sz w:val="24"/>
          <w:szCs w:val="24"/>
          <w:highlight w:val="none"/>
          <w:lang w:val="en-US" w:eastAsia="zh-CN"/>
        </w:rPr>
        <w:t>套</w:t>
      </w:r>
      <w:r>
        <w:rPr>
          <w:rFonts w:hint="eastAsia" w:asciiTheme="minorEastAsia" w:hAnsiTheme="minorEastAsia" w:eastAsiaTheme="minorEastAsia" w:cstheme="minorEastAsia"/>
          <w:kern w:val="0"/>
          <w:sz w:val="24"/>
          <w:szCs w:val="24"/>
          <w:highlight w:val="none"/>
        </w:rPr>
        <w:t>。售后不退，谢绝邮寄。</w:t>
      </w:r>
    </w:p>
    <w:p w14:paraId="69EBE05B">
      <w:pPr>
        <w:widowControl/>
        <w:wordWrap w:val="0"/>
        <w:snapToGrid w:val="0"/>
        <w:spacing w:line="300" w:lineRule="auto"/>
        <w:ind w:right="-199" w:rightChars="-95"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w:t>
      </w:r>
      <w:r>
        <w:rPr>
          <w:rFonts w:hint="eastAsia" w:asciiTheme="minorEastAsia" w:hAnsiTheme="minorEastAsia" w:cstheme="minorEastAsia"/>
          <w:kern w:val="0"/>
          <w:sz w:val="24"/>
          <w:szCs w:val="24"/>
          <w:highlight w:val="none"/>
        </w:rPr>
        <w:t>（1）供应商购买标书时，请携带单位介绍信及经办人身份证原件及复印件加盖公章，现金购买；</w:t>
      </w:r>
      <w:r>
        <w:rPr>
          <w:rFonts w:hint="eastAsia" w:ascii="宋体" w:hAnsi="宋体" w:cs="宋体"/>
          <w:kern w:val="0"/>
          <w:sz w:val="24"/>
          <w:szCs w:val="24"/>
          <w:highlight w:val="none"/>
        </w:rPr>
        <w:t>（2）提示：请供应商按照陕西省财政厅关于政府采购供应商注册登记有关事项的通知中的要求，通过陕西省政府采购网（http://www.ccgp-shaanxi.gov.cn/）注册登记加入陕西省政府采购供应商库。</w:t>
      </w:r>
    </w:p>
    <w:p w14:paraId="046E0F70">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投标文件递交截止时间及开标时间和地点：</w:t>
      </w:r>
    </w:p>
    <w:p w14:paraId="58400CA2">
      <w:pPr>
        <w:widowControl/>
        <w:tabs>
          <w:tab w:val="left" w:pos="0"/>
        </w:tabs>
        <w:wordWrap w:val="0"/>
        <w:snapToGrid w:val="0"/>
        <w:spacing w:line="288" w:lineRule="auto"/>
        <w:ind w:firstLine="480" w:firstLineChars="200"/>
        <w:jc w:val="left"/>
        <w:rPr>
          <w:rFonts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kern w:val="0"/>
          <w:sz w:val="24"/>
          <w:szCs w:val="24"/>
          <w:highlight w:val="none"/>
        </w:rPr>
        <w:t>1、投标文件递交截止时间：202</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（北京时间）；</w:t>
      </w:r>
    </w:p>
    <w:p w14:paraId="4C451F62">
      <w:pPr>
        <w:widowControl/>
        <w:tabs>
          <w:tab w:val="left" w:pos="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2、开标时间：202</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（北京时间）；</w:t>
      </w:r>
    </w:p>
    <w:p w14:paraId="3291BC2C">
      <w:pPr>
        <w:widowControl/>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3、开标地点：</w:t>
      </w:r>
      <w:r>
        <w:rPr>
          <w:rFonts w:hint="eastAsia" w:asciiTheme="minorEastAsia" w:hAnsiTheme="minorEastAsia" w:eastAsiaTheme="minorEastAsia" w:cstheme="minorEastAsia"/>
          <w:kern w:val="0"/>
          <w:sz w:val="24"/>
          <w:szCs w:val="24"/>
          <w:highlight w:val="none"/>
          <w:lang w:eastAsia="zh-CN"/>
        </w:rPr>
        <w:t>西安市高新区唐延路旺座现代城C座25楼2503室</w:t>
      </w:r>
    </w:p>
    <w:p w14:paraId="24087805">
      <w:pPr>
        <w:widowControl/>
        <w:numPr>
          <w:ilvl w:val="0"/>
          <w:numId w:val="1"/>
        </w:numPr>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其它应说明的事项：</w:t>
      </w:r>
    </w:p>
    <w:p w14:paraId="17DCF741">
      <w:pPr>
        <w:widowControl/>
        <w:numPr>
          <w:ilvl w:val="0"/>
          <w:numId w:val="2"/>
        </w:numPr>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采购项目联系人：张刘艳  郝思思</w:t>
      </w:r>
      <w:r>
        <w:rPr>
          <w:rFonts w:hint="eastAsia" w:asciiTheme="minorEastAsia" w:hAnsiTheme="minorEastAsia" w:eastAsiaTheme="minorEastAsia" w:cstheme="minorEastAsia"/>
          <w:kern w:val="0"/>
          <w:sz w:val="24"/>
          <w:szCs w:val="24"/>
          <w:highlight w:val="none"/>
          <w:lang w:val="en-US" w:eastAsia="zh-CN"/>
        </w:rPr>
        <w:t xml:space="preserve">  张航波</w:t>
      </w:r>
      <w:r>
        <w:rPr>
          <w:rFonts w:hint="eastAsia" w:asciiTheme="minorEastAsia" w:hAnsiTheme="minorEastAsia" w:eastAsiaTheme="minorEastAsia" w:cstheme="minorEastAsia"/>
          <w:kern w:val="0"/>
          <w:sz w:val="24"/>
          <w:szCs w:val="24"/>
          <w:highlight w:val="none"/>
        </w:rPr>
        <w:t xml:space="preserve">  </w:t>
      </w:r>
    </w:p>
    <w:p w14:paraId="45C9F185">
      <w:pPr>
        <w:widowControl/>
        <w:wordWrap w:val="0"/>
        <w:snapToGrid w:val="0"/>
        <w:spacing w:line="288" w:lineRule="auto"/>
        <w:ind w:firstLine="960" w:firstLineChars="400"/>
        <w:jc w:val="left"/>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联系方式（电话/传真）：029-88319689-80</w:t>
      </w:r>
      <w:r>
        <w:rPr>
          <w:rFonts w:hint="eastAsia" w:asciiTheme="minorEastAsia" w:hAnsiTheme="minorEastAsia" w:eastAsiaTheme="minorEastAsia" w:cstheme="minorEastAsia"/>
          <w:kern w:val="0"/>
          <w:sz w:val="24"/>
          <w:szCs w:val="24"/>
          <w:highlight w:val="none"/>
          <w:lang w:val="en-US" w:eastAsia="zh-CN"/>
        </w:rPr>
        <w:t>0</w:t>
      </w:r>
      <w:r>
        <w:rPr>
          <w:rFonts w:hint="eastAsia" w:asciiTheme="minorEastAsia" w:hAnsiTheme="minorEastAsia" w:eastAsiaTheme="minorEastAsia" w:cstheme="minorEastAsia"/>
          <w:kern w:val="0"/>
          <w:sz w:val="24"/>
          <w:szCs w:val="24"/>
          <w:highlight w:val="none"/>
        </w:rPr>
        <w:t>6</w:t>
      </w:r>
    </w:p>
    <w:p w14:paraId="0DA8AAD8">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2、采购代理机构开户名称：陕西万泽招标有限公司</w:t>
      </w:r>
    </w:p>
    <w:p w14:paraId="1313BA99">
      <w:pPr>
        <w:widowControl/>
        <w:wordWrap w:val="0"/>
        <w:snapToGrid w:val="0"/>
        <w:spacing w:line="288"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3、开户行名称：西安银行朝阳门支行</w:t>
      </w:r>
    </w:p>
    <w:p w14:paraId="16C524CD">
      <w:pPr>
        <w:widowControl/>
        <w:tabs>
          <w:tab w:val="left" w:pos="0"/>
        </w:tabs>
        <w:wordWrap w:val="0"/>
        <w:snapToGrid w:val="0"/>
        <w:spacing w:line="288" w:lineRule="auto"/>
        <w:ind w:firstLine="960" w:firstLineChars="4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账      号：211011580000015489</w:t>
      </w:r>
    </w:p>
    <w:p w14:paraId="56978E80">
      <w:pPr>
        <w:pStyle w:val="23"/>
        <w:snapToGrid w:val="0"/>
        <w:spacing w:before="0" w:beforeAutospacing="0" w:after="0" w:afterAutospacing="0" w:line="288" w:lineRule="auto"/>
        <w:ind w:firstLine="420" w:firstLineChars="175"/>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十一、公告期自发布起五个工作日。</w:t>
      </w:r>
    </w:p>
    <w:p w14:paraId="5FC671F1">
      <w:pPr>
        <w:widowControl/>
        <w:tabs>
          <w:tab w:val="left" w:pos="1620"/>
        </w:tabs>
        <w:snapToGrid w:val="0"/>
        <w:spacing w:line="288" w:lineRule="auto"/>
        <w:ind w:firstLine="420" w:firstLineChars="175"/>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陕西万泽招标有限公司</w:t>
      </w:r>
    </w:p>
    <w:p w14:paraId="798FF5BA">
      <w:pPr>
        <w:widowControl/>
        <w:tabs>
          <w:tab w:val="left" w:pos="1620"/>
        </w:tabs>
        <w:snapToGrid w:val="0"/>
        <w:spacing w:line="288" w:lineRule="auto"/>
        <w:ind w:firstLine="420" w:firstLineChars="175"/>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21</w:t>
      </w:r>
      <w:r>
        <w:rPr>
          <w:rFonts w:hint="eastAsia" w:asciiTheme="minorEastAsia" w:hAnsiTheme="minorEastAsia" w:eastAsiaTheme="minorEastAsia" w:cstheme="minorEastAsia"/>
          <w:sz w:val="24"/>
          <w:szCs w:val="24"/>
          <w:highlight w:val="none"/>
        </w:rPr>
        <w:t>日</w:t>
      </w:r>
    </w:p>
    <w:p w14:paraId="786DD6C9">
      <w:pPr>
        <w:spacing w:beforeLines="100" w:afterLines="50" w:line="600" w:lineRule="exact"/>
        <w:rPr>
          <w:rFonts w:asciiTheme="minorEastAsia" w:hAnsiTheme="minorEastAsia" w:eastAsiaTheme="minorEastAsia" w:cstheme="minorEastAsia"/>
          <w:sz w:val="36"/>
          <w:szCs w:val="36"/>
          <w:highlight w:val="none"/>
        </w:rPr>
      </w:pPr>
      <w:bookmarkStart w:id="8" w:name="_Toc11268"/>
      <w:bookmarkStart w:id="9" w:name="_Toc438048787"/>
      <w:bookmarkStart w:id="10" w:name="_Toc11512"/>
      <w:bookmarkStart w:id="11" w:name="_Toc3710"/>
      <w:bookmarkStart w:id="12" w:name="_Toc30089"/>
      <w:bookmarkStart w:id="13" w:name="_Toc10977"/>
    </w:p>
    <w:p w14:paraId="233AAC8C">
      <w:pPr>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1960E3FF">
      <w:pPr>
        <w:pStyle w:val="2"/>
        <w:spacing w:beforeLines="100" w:afterLines="50" w:line="600" w:lineRule="exact"/>
        <w:rPr>
          <w:rFonts w:asciiTheme="minorEastAsia" w:hAnsiTheme="minorEastAsia" w:eastAsiaTheme="minorEastAsia" w:cstheme="minorEastAsia"/>
          <w:sz w:val="36"/>
          <w:szCs w:val="36"/>
          <w:highlight w:val="none"/>
        </w:rPr>
      </w:pPr>
      <w:bookmarkStart w:id="14" w:name="_Toc19687"/>
      <w:r>
        <w:rPr>
          <w:rFonts w:hint="eastAsia" w:asciiTheme="minorEastAsia" w:hAnsiTheme="minorEastAsia" w:eastAsiaTheme="minorEastAsia" w:cstheme="minorEastAsia"/>
          <w:sz w:val="36"/>
          <w:szCs w:val="36"/>
          <w:highlight w:val="none"/>
        </w:rPr>
        <w:t>第二部分  供应商须知前附表</w:t>
      </w:r>
      <w:bookmarkEnd w:id="8"/>
      <w:bookmarkEnd w:id="9"/>
      <w:bookmarkEnd w:id="10"/>
      <w:bookmarkEnd w:id="11"/>
      <w:bookmarkEnd w:id="12"/>
      <w:bookmarkEnd w:id="13"/>
      <w:bookmarkEnd w:id="14"/>
    </w:p>
    <w:tbl>
      <w:tblPr>
        <w:tblStyle w:val="26"/>
        <w:tblW w:w="91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49"/>
        <w:gridCol w:w="897"/>
        <w:gridCol w:w="7894"/>
      </w:tblGrid>
      <w:tr w14:paraId="3B0BA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0" w:hRule="atLeast"/>
          <w:jc w:val="center"/>
        </w:trPr>
        <w:tc>
          <w:tcPr>
            <w:tcW w:w="349" w:type="dxa"/>
          </w:tcPr>
          <w:p w14:paraId="3ECBED10">
            <w:pPr>
              <w:spacing w:beforeLines="50"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897" w:type="dxa"/>
            <w:vAlign w:val="center"/>
          </w:tcPr>
          <w:p w14:paraId="6BD47BE3">
            <w:pPr>
              <w:spacing w:beforeLines="50"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w:t>
            </w:r>
          </w:p>
        </w:tc>
        <w:tc>
          <w:tcPr>
            <w:tcW w:w="7894" w:type="dxa"/>
          </w:tcPr>
          <w:p w14:paraId="28887724">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 列 内 容</w:t>
            </w:r>
          </w:p>
        </w:tc>
      </w:tr>
      <w:tr w14:paraId="26294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349" w:type="dxa"/>
            <w:vAlign w:val="center"/>
          </w:tcPr>
          <w:p w14:paraId="0D9944B1">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1</w:t>
            </w:r>
          </w:p>
        </w:tc>
        <w:tc>
          <w:tcPr>
            <w:tcW w:w="897" w:type="dxa"/>
            <w:vAlign w:val="center"/>
          </w:tcPr>
          <w:p w14:paraId="6947608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p w14:paraId="15CD76B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7894" w:type="dxa"/>
            <w:vAlign w:val="center"/>
          </w:tcPr>
          <w:p w14:paraId="33D8A490">
            <w:pPr>
              <w:spacing w:line="360" w:lineRule="auto"/>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eastAsia="zh-CN"/>
              </w:rPr>
              <w:t>陕西学前师范学院人工智能创新应用教研训中心建设-卓越中学英语教师智慧虚拟仿真实训中心项目（二次）</w:t>
            </w:r>
          </w:p>
        </w:tc>
      </w:tr>
      <w:tr w14:paraId="5A28C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349" w:type="dxa"/>
            <w:vAlign w:val="center"/>
          </w:tcPr>
          <w:p w14:paraId="196ABD35">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2</w:t>
            </w:r>
          </w:p>
        </w:tc>
        <w:tc>
          <w:tcPr>
            <w:tcW w:w="897" w:type="dxa"/>
            <w:vAlign w:val="center"/>
          </w:tcPr>
          <w:p w14:paraId="378E43A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894" w:type="dxa"/>
            <w:vAlign w:val="center"/>
          </w:tcPr>
          <w:p w14:paraId="5E225C83">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lang w:eastAsia="zh-CN"/>
              </w:rPr>
              <w:t>陕西学前师范学院</w:t>
            </w:r>
          </w:p>
          <w:p w14:paraId="7C9ADAB2">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eastAsia="zh-CN"/>
              </w:rPr>
              <w:t>西安市长安区神禾二路</w:t>
            </w:r>
          </w:p>
          <w:p w14:paraId="6655AF10">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招标办联系人：</w:t>
            </w:r>
            <w:r>
              <w:rPr>
                <w:rFonts w:hint="eastAsia" w:ascii="宋体" w:hAnsi="宋体" w:cs="宋体"/>
                <w:sz w:val="21"/>
                <w:szCs w:val="21"/>
                <w:highlight w:val="none"/>
                <w:lang w:val="en-US" w:eastAsia="zh-CN"/>
              </w:rPr>
              <w:t>杨老师</w:t>
            </w:r>
          </w:p>
          <w:p w14:paraId="253ACA42">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联系方式：029-81530065</w:t>
            </w:r>
          </w:p>
          <w:p w14:paraId="3402AB9A">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技术联系人：</w:t>
            </w:r>
            <w:r>
              <w:rPr>
                <w:rFonts w:hint="eastAsia" w:ascii="宋体" w:hAnsi="宋体" w:cs="宋体"/>
                <w:sz w:val="21"/>
                <w:szCs w:val="21"/>
                <w:highlight w:val="none"/>
                <w:lang w:val="en-US" w:eastAsia="zh-CN"/>
              </w:rPr>
              <w:t>张</w:t>
            </w:r>
            <w:r>
              <w:rPr>
                <w:rFonts w:hint="eastAsia" w:ascii="宋体" w:hAnsi="宋体" w:eastAsia="宋体" w:cs="宋体"/>
                <w:sz w:val="21"/>
                <w:szCs w:val="21"/>
                <w:highlight w:val="none"/>
                <w:lang w:val="en-US" w:eastAsia="zh-CN"/>
              </w:rPr>
              <w:t>老师</w:t>
            </w:r>
          </w:p>
          <w:p w14:paraId="33283123">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联系方式：029-81530090</w:t>
            </w:r>
          </w:p>
        </w:tc>
      </w:tr>
      <w:tr w14:paraId="2D529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60" w:hRule="atLeast"/>
          <w:jc w:val="center"/>
        </w:trPr>
        <w:tc>
          <w:tcPr>
            <w:tcW w:w="349" w:type="dxa"/>
            <w:tcBorders>
              <w:top w:val="single" w:color="auto" w:sz="4" w:space="0"/>
              <w:bottom w:val="single" w:color="auto" w:sz="4" w:space="0"/>
            </w:tcBorders>
            <w:vAlign w:val="center"/>
          </w:tcPr>
          <w:p w14:paraId="558F388A">
            <w:pPr>
              <w:spacing w:beforeLines="50"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3</w:t>
            </w:r>
          </w:p>
        </w:tc>
        <w:tc>
          <w:tcPr>
            <w:tcW w:w="897" w:type="dxa"/>
            <w:tcBorders>
              <w:top w:val="single" w:color="auto" w:sz="4" w:space="0"/>
              <w:bottom w:val="single" w:color="auto" w:sz="4" w:space="0"/>
            </w:tcBorders>
            <w:vAlign w:val="center"/>
          </w:tcPr>
          <w:p w14:paraId="6A4F978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7894" w:type="dxa"/>
            <w:tcBorders>
              <w:top w:val="single" w:color="auto" w:sz="4" w:space="0"/>
              <w:bottom w:val="single" w:color="auto" w:sz="4" w:space="0"/>
            </w:tcBorders>
            <w:vAlign w:val="center"/>
          </w:tcPr>
          <w:p w14:paraId="788C67DE">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采购代理机构：陕西万泽招标有限公司</w:t>
            </w:r>
          </w:p>
          <w:p w14:paraId="13974903">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cs="宋体"/>
                <w:sz w:val="21"/>
                <w:szCs w:val="21"/>
                <w:highlight w:val="none"/>
                <w:lang w:eastAsia="zh-CN"/>
              </w:rPr>
              <w:t>西安市高新区唐延路旺座现代城C座25楼250</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室</w:t>
            </w:r>
          </w:p>
          <w:p w14:paraId="2EFED671">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   系   人：</w:t>
            </w:r>
            <w:r>
              <w:rPr>
                <w:rFonts w:hint="eastAsia" w:ascii="宋体" w:hAnsi="宋体" w:eastAsia="宋体" w:cs="宋体"/>
                <w:color w:val="000000"/>
                <w:sz w:val="21"/>
                <w:szCs w:val="21"/>
                <w:highlight w:val="none"/>
              </w:rPr>
              <w:t xml:space="preserve">张刘艳  郝思思  </w:t>
            </w:r>
            <w:r>
              <w:rPr>
                <w:rFonts w:hint="eastAsia" w:ascii="宋体" w:hAnsi="宋体" w:cs="宋体"/>
                <w:color w:val="000000"/>
                <w:sz w:val="21"/>
                <w:szCs w:val="21"/>
                <w:highlight w:val="none"/>
                <w:lang w:val="en-US" w:eastAsia="zh-CN"/>
              </w:rPr>
              <w:t>张航波</w:t>
            </w:r>
          </w:p>
          <w:p w14:paraId="11C5ECC2">
            <w:pPr>
              <w:spacing w:line="36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电        话：029-88319689</w:t>
            </w:r>
            <w:r>
              <w:rPr>
                <w:rFonts w:hint="eastAsia" w:ascii="宋体" w:hAnsi="宋体" w:cs="宋体"/>
                <w:sz w:val="21"/>
                <w:szCs w:val="21"/>
                <w:highlight w:val="none"/>
                <w:lang w:val="en-US" w:eastAsia="zh-CN"/>
              </w:rPr>
              <w:t>-8006</w:t>
            </w:r>
          </w:p>
          <w:p w14:paraId="02BAB386">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邮        箱：</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"mailto:sxwzzb123@163.com" </w:instrText>
            </w:r>
            <w:r>
              <w:rPr>
                <w:rFonts w:hint="eastAsia" w:ascii="宋体" w:hAnsi="宋体" w:eastAsia="宋体" w:cs="宋体"/>
                <w:sz w:val="21"/>
                <w:szCs w:val="21"/>
                <w:highlight w:val="none"/>
              </w:rPr>
              <w:fldChar w:fldCharType="separate"/>
            </w:r>
            <w:r>
              <w:rPr>
                <w:rStyle w:val="33"/>
                <w:rFonts w:hint="eastAsia" w:ascii="宋体" w:hAnsi="宋体" w:eastAsia="宋体" w:cs="宋体"/>
                <w:color w:val="auto"/>
                <w:sz w:val="21"/>
                <w:szCs w:val="21"/>
                <w:highlight w:val="none"/>
              </w:rPr>
              <w:t>sxwzzb123@163.com</w:t>
            </w:r>
            <w:r>
              <w:rPr>
                <w:rStyle w:val="33"/>
                <w:rFonts w:hint="eastAsia" w:ascii="宋体" w:hAnsi="宋体" w:eastAsia="宋体" w:cs="宋体"/>
                <w:color w:val="auto"/>
                <w:sz w:val="21"/>
                <w:szCs w:val="21"/>
                <w:highlight w:val="none"/>
              </w:rPr>
              <w:fldChar w:fldCharType="end"/>
            </w:r>
          </w:p>
        </w:tc>
      </w:tr>
      <w:tr w14:paraId="45513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349" w:type="dxa"/>
            <w:vAlign w:val="center"/>
          </w:tcPr>
          <w:p w14:paraId="43E9FA49">
            <w:pPr>
              <w:spacing w:beforeLines="5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897" w:type="dxa"/>
            <w:vAlign w:val="center"/>
          </w:tcPr>
          <w:p w14:paraId="5963907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联合体形式</w:t>
            </w:r>
          </w:p>
        </w:tc>
        <w:tc>
          <w:tcPr>
            <w:tcW w:w="7894" w:type="dxa"/>
            <w:vAlign w:val="center"/>
          </w:tcPr>
          <w:p w14:paraId="15BA43A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不接受联合体投标</w:t>
            </w:r>
          </w:p>
        </w:tc>
      </w:tr>
      <w:tr w14:paraId="11E8A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349" w:type="dxa"/>
            <w:vAlign w:val="center"/>
          </w:tcPr>
          <w:p w14:paraId="725CBDF8">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897" w:type="dxa"/>
            <w:vAlign w:val="center"/>
          </w:tcPr>
          <w:p w14:paraId="2EF3CED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备选方案</w:t>
            </w:r>
          </w:p>
        </w:tc>
        <w:tc>
          <w:tcPr>
            <w:tcW w:w="7894" w:type="dxa"/>
            <w:vAlign w:val="center"/>
          </w:tcPr>
          <w:p w14:paraId="0CC56EA6">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不允许提供</w:t>
            </w:r>
          </w:p>
        </w:tc>
      </w:tr>
      <w:tr w14:paraId="1CA75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349" w:type="dxa"/>
            <w:vAlign w:val="center"/>
          </w:tcPr>
          <w:p w14:paraId="0CD44CF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897" w:type="dxa"/>
            <w:vAlign w:val="center"/>
          </w:tcPr>
          <w:p w14:paraId="026F914F">
            <w:pPr>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标  段</w:t>
            </w:r>
          </w:p>
        </w:tc>
        <w:tc>
          <w:tcPr>
            <w:tcW w:w="7894" w:type="dxa"/>
            <w:vAlign w:val="center"/>
          </w:tcPr>
          <w:p w14:paraId="78212A78">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本次采购不分包,供应商可根据自身的资质情况和经营范围对本项目进行投标，不得将其自行分解或只对本次项目中的品目进行不完全投标，任何不完全的投标将按无效投标处理。</w:t>
            </w:r>
          </w:p>
        </w:tc>
      </w:tr>
      <w:tr w14:paraId="04529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349" w:type="dxa"/>
            <w:vAlign w:val="center"/>
          </w:tcPr>
          <w:p w14:paraId="23E0646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897" w:type="dxa"/>
            <w:vAlign w:val="center"/>
          </w:tcPr>
          <w:p w14:paraId="49A83D2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w:t>
            </w:r>
          </w:p>
          <w:p w14:paraId="549DEAB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有效期</w:t>
            </w:r>
          </w:p>
        </w:tc>
        <w:tc>
          <w:tcPr>
            <w:tcW w:w="7894" w:type="dxa"/>
            <w:vAlign w:val="center"/>
          </w:tcPr>
          <w:p w14:paraId="6519737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投标文件及法定代表人授权书自递交截止之日起有效期为90日历日</w:t>
            </w:r>
          </w:p>
        </w:tc>
      </w:tr>
      <w:tr w14:paraId="686CC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jc w:val="center"/>
        </w:trPr>
        <w:tc>
          <w:tcPr>
            <w:tcW w:w="349" w:type="dxa"/>
            <w:vAlign w:val="center"/>
          </w:tcPr>
          <w:p w14:paraId="603930B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897" w:type="dxa"/>
            <w:vAlign w:val="center"/>
          </w:tcPr>
          <w:p w14:paraId="6AEF9787">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7894" w:type="dxa"/>
          </w:tcPr>
          <w:p w14:paraId="1E4CBB6B">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符合《中华人民共和国政府采购法》第二十二条规定，并提供以下材料：</w:t>
            </w:r>
          </w:p>
          <w:p w14:paraId="350017AB">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1、具有独立承担民事责任能力的法人、其他组织或自然人，并出具合法有效的营业执照或事业单位法人证书等国家规定的相关证明，自然人参与的提供其身份证明；</w:t>
            </w:r>
          </w:p>
          <w:p w14:paraId="4CB2A971">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社会保障资金缴纳证明：供应商提供本单位2025年01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14:paraId="2F800751">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3、税收缴纳证明：供应商提供本单位2025年01月至今已缴纳的至少一个月纳税证明或完税证明（以税款所属期为准），依法免税的单位应提供相关证明材料； </w:t>
            </w:r>
          </w:p>
          <w:p w14:paraId="24688F39">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4、财务状况证明：提供经会计师事务所审计的2023年或2024年任意一年的财务审计报告（带二维码可查验）或在开标日期前六个月内其基本开户银行出具的资信证明；  </w:t>
            </w:r>
          </w:p>
          <w:p w14:paraId="3113DD98">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5、供应商应出具参加本次政府采购活动前3年内在经营活动中没有重大违法违纪，以及未被列入失信被执行人、重大税收违法案件当事人名单、政府采购严重违法失信行为记录名单的书面声明；</w:t>
            </w:r>
          </w:p>
          <w:p w14:paraId="6CEACC47">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6、非法定代表人参加投标，须提供法定代表人授权委托书及被授权人身份证原件；法定代表人参加投标时,须提供法定代表人身份证原件；</w:t>
            </w:r>
          </w:p>
          <w:p w14:paraId="472C242C">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7、供应商须提供投标保证金汇款凭证或担保机构出具的保函；</w:t>
            </w:r>
          </w:p>
          <w:p w14:paraId="3D40B70D">
            <w:pPr>
              <w:spacing w:line="360" w:lineRule="auto"/>
              <w:ind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8、本项目不接受联合体投标。</w:t>
            </w:r>
          </w:p>
          <w:p w14:paraId="142C280C">
            <w:pPr>
              <w:spacing w:line="360" w:lineRule="auto"/>
              <w:ind w:firstLine="369" w:firstLineChars="175"/>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以上项为资格审查必备资质。评审时，根据供应商</w:t>
            </w:r>
            <w:r>
              <w:rPr>
                <w:rFonts w:hint="eastAsia" w:ascii="宋体" w:hAnsi="宋体" w:cs="宋体"/>
                <w:b/>
                <w:bCs/>
                <w:sz w:val="21"/>
                <w:szCs w:val="21"/>
                <w:highlight w:val="none"/>
                <w:lang w:eastAsia="zh-CN"/>
              </w:rPr>
              <w:t>投标文件</w:t>
            </w:r>
            <w:r>
              <w:rPr>
                <w:rFonts w:hint="eastAsia" w:ascii="宋体" w:hAnsi="宋体" w:eastAsia="宋体" w:cs="宋体"/>
                <w:b/>
                <w:bCs/>
                <w:sz w:val="21"/>
                <w:szCs w:val="21"/>
                <w:highlight w:val="none"/>
              </w:rPr>
              <w:t>中提供的上述资格证明文件（复印件加盖公章，原件备查）进行资格审查，未通过资格审查的，其</w:t>
            </w:r>
            <w:r>
              <w:rPr>
                <w:rFonts w:hint="eastAsia" w:ascii="宋体" w:hAnsi="宋体" w:cs="宋体"/>
                <w:b/>
                <w:bCs/>
                <w:sz w:val="21"/>
                <w:szCs w:val="21"/>
                <w:highlight w:val="none"/>
                <w:lang w:eastAsia="zh-CN"/>
              </w:rPr>
              <w:t>投标文件</w:t>
            </w:r>
            <w:r>
              <w:rPr>
                <w:rFonts w:hint="eastAsia" w:ascii="宋体" w:hAnsi="宋体" w:eastAsia="宋体" w:cs="宋体"/>
                <w:b/>
                <w:bCs/>
                <w:sz w:val="21"/>
                <w:szCs w:val="21"/>
                <w:highlight w:val="none"/>
              </w:rPr>
              <w:t>将按无效响应处理。</w:t>
            </w:r>
          </w:p>
        </w:tc>
      </w:tr>
      <w:tr w14:paraId="4F2CD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jc w:val="center"/>
        </w:trPr>
        <w:tc>
          <w:tcPr>
            <w:tcW w:w="349" w:type="dxa"/>
            <w:vAlign w:val="center"/>
          </w:tcPr>
          <w:p w14:paraId="6443523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897" w:type="dxa"/>
            <w:vAlign w:val="center"/>
          </w:tcPr>
          <w:p w14:paraId="0EEEB015">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投标保证金缴纳</w:t>
            </w:r>
          </w:p>
        </w:tc>
        <w:tc>
          <w:tcPr>
            <w:tcW w:w="7894" w:type="dxa"/>
            <w:vAlign w:val="top"/>
          </w:tcPr>
          <w:p w14:paraId="75C246AE">
            <w:pPr>
              <w:spacing w:line="360" w:lineRule="auto"/>
              <w:jc w:val="left"/>
              <w:rPr>
                <w:rFonts w:hint="eastAsia" w:ascii="宋体" w:hAnsi="宋体" w:eastAsia="宋体" w:cs="宋体"/>
                <w:b/>
                <w:bCs/>
                <w:color w:val="000000"/>
                <w:sz w:val="21"/>
                <w:szCs w:val="21"/>
                <w:highlight w:val="none"/>
              </w:rPr>
            </w:pPr>
            <w:r>
              <w:rPr>
                <w:rFonts w:hint="eastAsia" w:ascii="宋体" w:hAnsi="宋体" w:eastAsia="宋体" w:cs="宋体"/>
                <w:b/>
                <w:bCs/>
                <w:sz w:val="21"/>
                <w:szCs w:val="21"/>
                <w:highlight w:val="none"/>
              </w:rPr>
              <w:t>投标保证金：</w:t>
            </w:r>
            <w:r>
              <w:rPr>
                <w:rFonts w:hint="eastAsia" w:ascii="宋体" w:hAnsi="宋体" w:eastAsia="宋体" w:cs="宋体"/>
                <w:b/>
                <w:bCs/>
                <w:color w:val="000000"/>
                <w:sz w:val="21"/>
                <w:szCs w:val="21"/>
                <w:highlight w:val="none"/>
              </w:rPr>
              <w:t>人民币</w:t>
            </w:r>
            <w:r>
              <w:rPr>
                <w:rFonts w:hint="eastAsia" w:ascii="宋体" w:hAnsi="宋体" w:cs="宋体"/>
                <w:b/>
                <w:bCs/>
                <w:color w:val="000000"/>
                <w:sz w:val="21"/>
                <w:szCs w:val="21"/>
                <w:highlight w:val="none"/>
                <w:lang w:val="en-US" w:eastAsia="zh-CN"/>
              </w:rPr>
              <w:t>捌仟</w:t>
            </w:r>
            <w:r>
              <w:rPr>
                <w:rFonts w:hint="eastAsia" w:ascii="宋体" w:hAnsi="宋体" w:eastAsia="宋体" w:cs="宋体"/>
                <w:b/>
                <w:bCs/>
                <w:color w:val="000000"/>
                <w:sz w:val="21"/>
                <w:szCs w:val="21"/>
                <w:highlight w:val="none"/>
              </w:rPr>
              <w:t>元整（¥</w:t>
            </w:r>
            <w:r>
              <w:rPr>
                <w:rFonts w:hint="eastAsia" w:ascii="宋体" w:hAnsi="宋体" w:cs="宋体"/>
                <w:b/>
                <w:bCs/>
                <w:color w:val="000000"/>
                <w:sz w:val="21"/>
                <w:szCs w:val="21"/>
                <w:highlight w:val="none"/>
                <w:lang w:val="en-US" w:eastAsia="zh-CN"/>
              </w:rPr>
              <w:t>8</w:t>
            </w:r>
            <w:r>
              <w:rPr>
                <w:rFonts w:hint="eastAsia" w:ascii="宋体" w:hAnsi="宋体" w:eastAsia="宋体" w:cs="宋体"/>
                <w:b/>
                <w:bCs/>
                <w:color w:val="000000"/>
                <w:sz w:val="21"/>
                <w:szCs w:val="21"/>
                <w:highlight w:val="none"/>
                <w:lang w:val="en-US" w:eastAsia="zh-CN"/>
              </w:rPr>
              <w:t>000.00</w:t>
            </w:r>
            <w:r>
              <w:rPr>
                <w:rFonts w:hint="eastAsia" w:ascii="宋体" w:hAnsi="宋体" w:eastAsia="宋体" w:cs="宋体"/>
                <w:b/>
                <w:bCs/>
                <w:color w:val="000000"/>
                <w:sz w:val="21"/>
                <w:szCs w:val="21"/>
                <w:highlight w:val="none"/>
              </w:rPr>
              <w:t>元）</w:t>
            </w:r>
          </w:p>
          <w:p w14:paraId="7B0F427C">
            <w:pPr>
              <w:spacing w:line="360" w:lineRule="auto"/>
              <w:ind w:firstLine="369" w:firstLineChars="175"/>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保证金应当以银行转账（公户）、支票、汇票、本票或者金融机构、担保机构出具的保函等非现金形式提交（注投标保证金须以供应商名称汇款），且应在开标前致电代理机构财务部门确认投标保证金到账情况。</w:t>
            </w:r>
          </w:p>
          <w:p w14:paraId="49EE045D">
            <w:pPr>
              <w:spacing w:line="360" w:lineRule="auto"/>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户名:陕西万泽招标有限公司</w:t>
            </w:r>
          </w:p>
          <w:p w14:paraId="1133C9F0">
            <w:pPr>
              <w:spacing w:line="360" w:lineRule="auto"/>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账 号:129906492210000</w:t>
            </w:r>
          </w:p>
          <w:p w14:paraId="0A1AF322">
            <w:pPr>
              <w:spacing w:line="360" w:lineRule="auto"/>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开户行:招商银行西安枫林绿洲支行</w:t>
            </w:r>
          </w:p>
          <w:p w14:paraId="3B0CD64B">
            <w:pPr>
              <w:spacing w:line="360" w:lineRule="auto"/>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咨询电话：苏老师 029-88319689-8008</w:t>
            </w:r>
          </w:p>
          <w:p w14:paraId="0A7870D5">
            <w:pPr>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bCs/>
                <w:color w:val="000000"/>
                <w:sz w:val="21"/>
                <w:szCs w:val="21"/>
                <w:highlight w:val="none"/>
              </w:rPr>
              <w:t>转账事由：</w:t>
            </w:r>
            <w:r>
              <w:rPr>
                <w:rFonts w:hint="eastAsia" w:ascii="宋体" w:hAnsi="宋体" w:eastAsia="宋体" w:cs="宋体"/>
                <w:b/>
                <w:bCs/>
                <w:color w:val="000000"/>
                <w:sz w:val="21"/>
                <w:szCs w:val="21"/>
                <w:highlight w:val="none"/>
                <w:lang w:eastAsia="zh-CN"/>
              </w:rPr>
              <w:t>学前师范</w:t>
            </w:r>
            <w:r>
              <w:rPr>
                <w:rFonts w:hint="eastAsia" w:ascii="宋体" w:hAnsi="宋体" w:eastAsia="宋体" w:cs="宋体"/>
                <w:b/>
                <w:bCs/>
                <w:color w:val="000000"/>
                <w:sz w:val="21"/>
                <w:szCs w:val="21"/>
                <w:highlight w:val="none"/>
              </w:rPr>
              <w:t>-</w:t>
            </w:r>
            <w:r>
              <w:rPr>
                <w:rFonts w:hint="eastAsia" w:ascii="宋体" w:hAnsi="宋体" w:cs="宋体"/>
                <w:b/>
                <w:bCs/>
                <w:color w:val="000000"/>
                <w:sz w:val="21"/>
                <w:szCs w:val="21"/>
                <w:highlight w:val="none"/>
                <w:lang w:val="en-US" w:eastAsia="zh-CN"/>
              </w:rPr>
              <w:t>202A</w:t>
            </w:r>
            <w:r>
              <w:rPr>
                <w:rFonts w:hint="eastAsia" w:ascii="宋体" w:hAnsi="宋体" w:eastAsia="宋体" w:cs="宋体"/>
                <w:b/>
                <w:bCs/>
                <w:color w:val="000000"/>
                <w:sz w:val="21"/>
                <w:szCs w:val="21"/>
                <w:highlight w:val="none"/>
              </w:rPr>
              <w:t>投标保证金（按照要求填写转账事由）</w:t>
            </w:r>
          </w:p>
        </w:tc>
      </w:tr>
      <w:tr w14:paraId="061EA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349" w:type="dxa"/>
            <w:vAlign w:val="center"/>
          </w:tcPr>
          <w:p w14:paraId="2F63A80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p>
        </w:tc>
        <w:tc>
          <w:tcPr>
            <w:tcW w:w="897" w:type="dxa"/>
            <w:vAlign w:val="center"/>
          </w:tcPr>
          <w:p w14:paraId="1121FAB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w:t>
            </w:r>
          </w:p>
          <w:p w14:paraId="0AC93C48">
            <w:pPr>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文件</w:t>
            </w:r>
          </w:p>
        </w:tc>
        <w:tc>
          <w:tcPr>
            <w:tcW w:w="7894" w:type="dxa"/>
            <w:vAlign w:val="center"/>
          </w:tcPr>
          <w:p w14:paraId="11B18BE9">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投标文</w:t>
            </w:r>
            <w:r>
              <w:rPr>
                <w:rFonts w:hint="eastAsia" w:ascii="宋体" w:hAnsi="宋体" w:eastAsia="宋体" w:cs="宋体"/>
                <w:color w:val="000000" w:themeColor="text1"/>
                <w:sz w:val="21"/>
                <w:szCs w:val="21"/>
                <w:highlight w:val="none"/>
                <w14:textFill>
                  <w14:solidFill>
                    <w14:schemeClr w14:val="tx1"/>
                  </w14:solidFill>
                </w14:textFill>
              </w:rPr>
              <w:t>件</w:t>
            </w:r>
            <w:r>
              <w:rPr>
                <w:rFonts w:hint="eastAsia" w:ascii="宋体" w:hAnsi="宋体" w:eastAsia="宋体" w:cs="宋体"/>
                <w:b/>
                <w:bCs/>
                <w:color w:val="000000" w:themeColor="text1"/>
                <w:sz w:val="21"/>
                <w:szCs w:val="21"/>
                <w:highlight w:val="none"/>
                <w14:textFill>
                  <w14:solidFill>
                    <w14:schemeClr w14:val="tx1"/>
                  </w14:solidFill>
                </w14:textFill>
              </w:rPr>
              <w:t>正本壹份、副本肆份</w:t>
            </w:r>
            <w:r>
              <w:rPr>
                <w:rFonts w:hint="eastAsia" w:ascii="宋体" w:hAnsi="宋体" w:eastAsia="宋体" w:cs="宋体"/>
                <w:sz w:val="21"/>
                <w:szCs w:val="21"/>
                <w:highlight w:val="none"/>
              </w:rPr>
              <w:t>，分别胶装装订成册，且封面须清楚地标明“正本”或“副本”；若正本和副本不符，以正本书面文件为准；同时提供与正本内容一致的电子版（U盘、</w:t>
            </w:r>
            <w:r>
              <w:rPr>
                <w:rFonts w:hint="eastAsia" w:ascii="宋体" w:hAnsi="宋体" w:eastAsia="宋体" w:cs="宋体"/>
                <w:b/>
                <w:bCs/>
                <w:sz w:val="21"/>
                <w:szCs w:val="21"/>
                <w:highlight w:val="none"/>
              </w:rPr>
              <w:t>电子文档应为PDF与WORD格式各一份</w:t>
            </w:r>
            <w:r>
              <w:rPr>
                <w:rFonts w:hint="eastAsia" w:ascii="宋体" w:hAnsi="宋体" w:eastAsia="宋体" w:cs="宋体"/>
                <w:sz w:val="21"/>
                <w:szCs w:val="21"/>
                <w:highlight w:val="none"/>
              </w:rPr>
              <w:t>）、开标一览表一份</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用于开标唱标单独提交的“开标一览表”须为原件）。</w:t>
            </w:r>
          </w:p>
        </w:tc>
      </w:tr>
      <w:tr w14:paraId="7628A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349" w:type="dxa"/>
            <w:vAlign w:val="center"/>
          </w:tcPr>
          <w:p w14:paraId="5165393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897" w:type="dxa"/>
            <w:vAlign w:val="center"/>
          </w:tcPr>
          <w:p w14:paraId="7877DC1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文件的签署盖章</w:t>
            </w:r>
          </w:p>
        </w:tc>
        <w:tc>
          <w:tcPr>
            <w:tcW w:w="7894" w:type="dxa"/>
            <w:vAlign w:val="center"/>
          </w:tcPr>
          <w:p w14:paraId="42E445BC">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1、供应商在投标文件中指定的页面的落款处，按招标文件要求由供应商的法定代表人或其授权代表在规定的签章处签字或盖章。</w:t>
            </w:r>
          </w:p>
          <w:p w14:paraId="546C530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2、供应商应按照招标文件要求，在每一份投标文件的正本和副本封面下方以及其他招标文件要求的位置填写供应商全称并加盖公章。</w:t>
            </w:r>
          </w:p>
          <w:p w14:paraId="6B5308EE">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3、投标文件应字迹清楚、内容齐全、不得涂改或增删。如有修改和增删，必须有供应商公章及法定代表人或其授权代表签字。</w:t>
            </w:r>
          </w:p>
          <w:p w14:paraId="7B9F3D0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4、因投标文件字迹潦草或表达不清所引起的不利后果由供应商承担。</w:t>
            </w:r>
          </w:p>
        </w:tc>
      </w:tr>
      <w:tr w14:paraId="3D92F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49" w:type="dxa"/>
            <w:vAlign w:val="center"/>
          </w:tcPr>
          <w:p w14:paraId="2DA698C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897" w:type="dxa"/>
            <w:vAlign w:val="center"/>
          </w:tcPr>
          <w:p w14:paraId="31C96B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包装</w:t>
            </w:r>
          </w:p>
          <w:p w14:paraId="27C92BD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密封</w:t>
            </w:r>
          </w:p>
        </w:tc>
        <w:tc>
          <w:tcPr>
            <w:tcW w:w="7894" w:type="dxa"/>
            <w:vAlign w:val="center"/>
          </w:tcPr>
          <w:p w14:paraId="28E82064">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投标文件正本、所有的副本、电子版、开标一览表需分开密封装在单独的封袋中（封袋不得有破损），且在封袋正面标明“正本”“副本”“电子版”“开标一览表”字样。封袋应密封，并在封线处加盖供应商鲜章，封袋正面要粘贴供应商全称、项目名称、编号等标识，且</w:t>
            </w:r>
            <w:r>
              <w:rPr>
                <w:rFonts w:hint="eastAsia" w:ascii="宋体" w:hAnsi="宋体" w:eastAsia="宋体" w:cs="宋体"/>
                <w:kern w:val="0"/>
                <w:sz w:val="21"/>
                <w:szCs w:val="21"/>
                <w:highlight w:val="none"/>
              </w:rPr>
              <w:t>投标文件袋上应加盖供应商公章（</w:t>
            </w:r>
            <w:r>
              <w:rPr>
                <w:rFonts w:hint="eastAsia" w:ascii="宋体" w:hAnsi="宋体" w:eastAsia="宋体" w:cs="宋体"/>
                <w:sz w:val="21"/>
                <w:szCs w:val="21"/>
                <w:highlight w:val="none"/>
              </w:rPr>
              <w:t>封面标识见招标文件</w:t>
            </w:r>
            <w:r>
              <w:rPr>
                <w:rFonts w:hint="eastAsia" w:ascii="宋体" w:hAnsi="宋体" w:eastAsia="宋体" w:cs="宋体"/>
                <w:b/>
                <w:bCs/>
                <w:sz w:val="21"/>
                <w:szCs w:val="21"/>
                <w:highlight w:val="none"/>
              </w:rPr>
              <w:t>附件一</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如果未按上述规定进行密封，供应商的投标文件有权被拒绝</w:t>
            </w:r>
            <w:r>
              <w:rPr>
                <w:rFonts w:hint="eastAsia" w:ascii="宋体" w:hAnsi="宋体" w:eastAsia="宋体" w:cs="宋体"/>
                <w:sz w:val="21"/>
                <w:szCs w:val="21"/>
                <w:highlight w:val="none"/>
              </w:rPr>
              <w:t>。</w:t>
            </w:r>
          </w:p>
          <w:p w14:paraId="749C372A">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如果供应商未按上述要求密封及加写标记，误投或过早启封的投标文件，将自行承担其投标文件被视为无效投标文件的风险。</w:t>
            </w:r>
          </w:p>
        </w:tc>
      </w:tr>
      <w:tr w14:paraId="2EF0B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49" w:type="dxa"/>
            <w:vAlign w:val="center"/>
          </w:tcPr>
          <w:p w14:paraId="2F28B0AD">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p>
        </w:tc>
        <w:tc>
          <w:tcPr>
            <w:tcW w:w="897" w:type="dxa"/>
            <w:vAlign w:val="center"/>
          </w:tcPr>
          <w:p w14:paraId="2BF6C636">
            <w:pPr>
              <w:spacing w:line="360" w:lineRule="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评</w:t>
            </w:r>
            <w:r>
              <w:rPr>
                <w:rFonts w:hint="eastAsia" w:ascii="宋体" w:hAnsi="宋体" w:eastAsia="宋体" w:cs="宋体"/>
                <w:color w:val="000000"/>
                <w:sz w:val="21"/>
                <w:szCs w:val="21"/>
                <w:highlight w:val="none"/>
                <w:lang w:val="en-US" w:eastAsia="zh-CN"/>
              </w:rPr>
              <w:t>分标准</w:t>
            </w:r>
          </w:p>
        </w:tc>
        <w:tc>
          <w:tcPr>
            <w:tcW w:w="7894" w:type="dxa"/>
            <w:vAlign w:val="center"/>
          </w:tcPr>
          <w:p w14:paraId="0734F8A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综合评分法（详见第四部分）</w:t>
            </w:r>
          </w:p>
        </w:tc>
      </w:tr>
      <w:tr w14:paraId="63E56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49" w:type="dxa"/>
            <w:vAlign w:val="center"/>
          </w:tcPr>
          <w:p w14:paraId="528FD9E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897" w:type="dxa"/>
            <w:vAlign w:val="center"/>
          </w:tcPr>
          <w:p w14:paraId="6FD01360">
            <w:pPr>
              <w:spacing w:line="360" w:lineRule="auto"/>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履约保</w:t>
            </w:r>
          </w:p>
          <w:p w14:paraId="38CF173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证金</w:t>
            </w:r>
          </w:p>
        </w:tc>
        <w:tc>
          <w:tcPr>
            <w:tcW w:w="7894" w:type="dxa"/>
            <w:vAlign w:val="center"/>
          </w:tcPr>
          <w:p w14:paraId="42032BD9">
            <w:pPr>
              <w:pStyle w:val="25"/>
              <w:spacing w:line="36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p>
          <w:p w14:paraId="6359C8F9">
            <w:pPr>
              <w:widowControl w:val="0"/>
              <w:numPr>
                <w:ilvl w:val="0"/>
                <w:numId w:val="0"/>
              </w:numPr>
              <w:spacing w:line="336"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kern w:val="2"/>
                <w:sz w:val="21"/>
                <w:szCs w:val="21"/>
                <w:highlight w:val="none"/>
                <w:lang w:val="en-US" w:eastAsia="zh-CN" w:bidi="ar-SA"/>
              </w:rPr>
              <w:t>本项目履约保证金为合同金额的5%。</w:t>
            </w:r>
          </w:p>
          <w:p w14:paraId="2851321F">
            <w:pPr>
              <w:widowControl w:val="0"/>
              <w:numPr>
                <w:ilvl w:val="0"/>
                <w:numId w:val="0"/>
              </w:numPr>
              <w:spacing w:line="336"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（2）履约保证金交纳时间：中标后七日内需要交纳履约保证金。未在规定时间内缴纳履约保证金视为拒签合同，自动放弃中标资格。</w:t>
            </w:r>
          </w:p>
          <w:p w14:paraId="24337541">
            <w:pPr>
              <w:pStyle w:val="25"/>
              <w:spacing w:line="360" w:lineRule="auto"/>
              <w:ind w:firstLine="0"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（3）履约保证金的缴纳形式：采用银行对公转账、电汇或者金融机构、担保机构出具的保函等非现金的形式对公形式交纳。</w:t>
            </w:r>
          </w:p>
          <w:p w14:paraId="0678C88C">
            <w:pPr>
              <w:pStyle w:val="25"/>
              <w:spacing w:line="360" w:lineRule="auto"/>
              <w:ind w:firstLine="0" w:firstLine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（4）履约保证金的退还：项目验收合格后30个日历日内，无质量问题且不存在争议，一次性无息退还至中标人账户。</w:t>
            </w:r>
          </w:p>
          <w:p w14:paraId="421DE1C2">
            <w:pPr>
              <w:pStyle w:val="25"/>
              <w:spacing w:line="36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由采购单位自行收退</w:t>
            </w:r>
          </w:p>
          <w:p w14:paraId="5E7DE99F">
            <w:pPr>
              <w:pStyle w:val="25"/>
              <w:spacing w:line="360" w:lineRule="auto"/>
              <w:ind w:firstLine="0" w:firstLine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□由代理机构负责收退</w:t>
            </w:r>
          </w:p>
          <w:p w14:paraId="1B9E4C8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w:t>
            </w:r>
          </w:p>
        </w:tc>
      </w:tr>
      <w:tr w14:paraId="5B05F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2" w:hRule="atLeast"/>
          <w:jc w:val="center"/>
        </w:trPr>
        <w:tc>
          <w:tcPr>
            <w:tcW w:w="349" w:type="dxa"/>
            <w:vAlign w:val="center"/>
          </w:tcPr>
          <w:p w14:paraId="13A5253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897" w:type="dxa"/>
            <w:vAlign w:val="center"/>
          </w:tcPr>
          <w:p w14:paraId="28D814D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项目性质</w:t>
            </w:r>
          </w:p>
        </w:tc>
        <w:tc>
          <w:tcPr>
            <w:tcW w:w="7894" w:type="dxa"/>
            <w:vAlign w:val="center"/>
          </w:tcPr>
          <w:p w14:paraId="0D6D89BA">
            <w:pPr>
              <w:spacing w:line="360" w:lineRule="auto"/>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专门面向中小企业采购</w:t>
            </w:r>
          </w:p>
          <w:p w14:paraId="77E04C33">
            <w:pPr>
              <w:spacing w:line="360" w:lineRule="auto"/>
              <w:jc w:val="left"/>
              <w:rPr>
                <w:rFonts w:hint="eastAsia" w:ascii="宋体" w:hAnsi="宋体" w:cs="宋体"/>
                <w:sz w:val="21"/>
                <w:szCs w:val="21"/>
                <w:highlight w:val="none"/>
                <w:lang w:eastAsia="zh-CN"/>
              </w:rPr>
            </w:pPr>
            <w:r>
              <w:rPr>
                <w:rFonts w:hint="eastAsia" w:ascii="宋体" w:hAnsi="宋体" w:eastAsia="宋体" w:cs="宋体"/>
                <w:sz w:val="21"/>
                <w:szCs w:val="21"/>
                <w:highlight w:val="none"/>
              </w:rPr>
              <w:t>仅允许中小企业或小型、微型企业参与投标。</w:t>
            </w:r>
          </w:p>
          <w:p w14:paraId="7A26C919">
            <w:pPr>
              <w:spacing w:line="360" w:lineRule="auto"/>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非专门面向中小企业采购</w:t>
            </w:r>
          </w:p>
          <w:p w14:paraId="21F1A012">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对符合《政府采购促进中小企业发展管理办法》(财库</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2020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46号)规定的小微企业(监狱企业视同小型、微型企业)的报价给予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％)的扣除,用扣除后的价格参加评审。</w:t>
            </w:r>
          </w:p>
          <w:p w14:paraId="6E3D4AA5">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根据《政府采购促进中小企业发展暂行办法》，</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提供的《中小企业声明函》</w:t>
            </w:r>
            <w:r>
              <w:rPr>
                <w:rFonts w:hint="eastAsia" w:ascii="宋体" w:hAnsi="宋体" w:eastAsia="宋体" w:cs="宋体"/>
                <w:b/>
                <w:bCs/>
                <w:sz w:val="21"/>
                <w:szCs w:val="21"/>
                <w:highlight w:val="none"/>
              </w:rPr>
              <w:t>（附件二）</w:t>
            </w:r>
            <w:r>
              <w:rPr>
                <w:rFonts w:hint="eastAsia" w:ascii="宋体" w:hAnsi="宋体" w:eastAsia="宋体" w:cs="宋体"/>
                <w:sz w:val="21"/>
                <w:szCs w:val="21"/>
                <w:highlight w:val="none"/>
              </w:rPr>
              <w:t>。其划型标准严格按照国家工信部、国家统计局、国家发改委、财政部出台的《中小企业划型标准规定》（工信部联企业[2011]300号）执行。</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提供的《中小企业声明函》资料必须真实，否则，按照有关规定予以处理。</w:t>
            </w:r>
          </w:p>
        </w:tc>
      </w:tr>
      <w:tr w14:paraId="69860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349" w:type="dxa"/>
            <w:vAlign w:val="center"/>
          </w:tcPr>
          <w:p w14:paraId="6493B40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897" w:type="dxa"/>
            <w:vAlign w:val="center"/>
          </w:tcPr>
          <w:p w14:paraId="4DAFDB38">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招标代理服务费</w:t>
            </w:r>
          </w:p>
        </w:tc>
        <w:tc>
          <w:tcPr>
            <w:tcW w:w="7894" w:type="dxa"/>
            <w:vAlign w:val="center"/>
          </w:tcPr>
          <w:p w14:paraId="4A095D4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1、采购代理服务费按以下标准计取：</w:t>
            </w:r>
            <w:r>
              <w:rPr>
                <w:rFonts w:hint="eastAsia" w:ascii="宋体" w:hAnsi="宋体" w:cs="宋体"/>
                <w:sz w:val="21"/>
                <w:szCs w:val="21"/>
                <w:highlight w:val="none"/>
                <w:lang w:val="en-US" w:eastAsia="zh-CN"/>
              </w:rPr>
              <w:t>按照定额6000.00元收取，</w:t>
            </w:r>
            <w:r>
              <w:rPr>
                <w:rFonts w:hint="eastAsia" w:ascii="宋体" w:hAnsi="宋体" w:eastAsia="宋体" w:cs="宋体"/>
                <w:sz w:val="21"/>
                <w:szCs w:val="21"/>
                <w:highlight w:val="none"/>
              </w:rPr>
              <w:t>由中标人在领取中标通知书时向代理机构缴纳代理服务费。</w:t>
            </w:r>
          </w:p>
          <w:p w14:paraId="6AC1DD34">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2、支付方式：中标人应在领取通知书的同时，向陕西万泽招标有限公司交纳本项目招标代理服务费。</w:t>
            </w:r>
          </w:p>
        </w:tc>
      </w:tr>
      <w:tr w14:paraId="587A4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349" w:type="dxa"/>
            <w:vAlign w:val="center"/>
          </w:tcPr>
          <w:p w14:paraId="1B9BB0A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897" w:type="dxa"/>
            <w:vAlign w:val="center"/>
          </w:tcPr>
          <w:p w14:paraId="5C807CD5">
            <w:pPr>
              <w:pStyle w:val="13"/>
              <w:spacing w:line="33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供应商信用查询</w:t>
            </w:r>
          </w:p>
        </w:tc>
        <w:tc>
          <w:tcPr>
            <w:tcW w:w="7894" w:type="dxa"/>
            <w:vAlign w:val="center"/>
          </w:tcPr>
          <w:p w14:paraId="47902640">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1、“信用中国”（www.creditchina.gov.cn）和“中国政府采购”（ccgp.gov.cn）为供应商信用信息查询渠道。</w:t>
            </w:r>
          </w:p>
          <w:p w14:paraId="22B906DC">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2、供应商自行查询上述记录；</w:t>
            </w:r>
          </w:p>
          <w:p w14:paraId="62AAA428">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3、如果供应商在开标截止时间前已列入失信被执行人、重大税收违法案件当事人名单、政府采购严重违法失信行为记录名单，其响应无效。</w:t>
            </w:r>
          </w:p>
        </w:tc>
      </w:tr>
      <w:tr w14:paraId="236FF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349" w:type="dxa"/>
            <w:vAlign w:val="center"/>
          </w:tcPr>
          <w:p w14:paraId="28E343D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897" w:type="dxa"/>
            <w:vAlign w:val="center"/>
          </w:tcPr>
          <w:p w14:paraId="6B5BDCC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是否允许采购进口产品</w:t>
            </w:r>
          </w:p>
        </w:tc>
        <w:tc>
          <w:tcPr>
            <w:tcW w:w="7894" w:type="dxa"/>
            <w:vAlign w:val="center"/>
          </w:tcPr>
          <w:p w14:paraId="5C8ADA47">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p w14:paraId="41841190">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所投产品为进口产品时，将被视为无效投标。</w:t>
            </w:r>
          </w:p>
          <w:p w14:paraId="408B8F6F">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□允许</w:t>
            </w:r>
          </w:p>
          <w:p w14:paraId="13C2A1C1">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第五部分采购要求标注为“允许采购进口产品”的可采购进口产品</w:t>
            </w:r>
          </w:p>
          <w:p w14:paraId="5789274C">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进口产品管理办法》（财库【2007】119号）的规定，采购人采购进口产品市，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14:paraId="0C2F4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81" w:hRule="atLeast"/>
          <w:jc w:val="center"/>
        </w:trPr>
        <w:tc>
          <w:tcPr>
            <w:tcW w:w="349" w:type="dxa"/>
            <w:vAlign w:val="center"/>
          </w:tcPr>
          <w:p w14:paraId="2B841DC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897" w:type="dxa"/>
            <w:vAlign w:val="center"/>
          </w:tcPr>
          <w:p w14:paraId="2A6863D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是否组织踏勘或答疑会</w:t>
            </w:r>
          </w:p>
        </w:tc>
        <w:tc>
          <w:tcPr>
            <w:tcW w:w="7894" w:type="dxa"/>
            <w:vAlign w:val="center"/>
          </w:tcPr>
          <w:p w14:paraId="45C85A31">
            <w:pPr>
              <w:pStyle w:val="11"/>
              <w:spacing w:line="36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rPr>
              <w:t>组织:</w:t>
            </w:r>
            <w:r>
              <w:rPr>
                <w:rFonts w:hint="eastAsia" w:ascii="宋体" w:hAnsi="宋体" w:eastAsia="宋体" w:cs="宋体"/>
                <w:sz w:val="21"/>
                <w:szCs w:val="21"/>
                <w:highlight w:val="none"/>
                <w:lang w:eastAsia="zh-CN"/>
              </w:rPr>
              <w:t>报名结束后由代理机构以邮件</w:t>
            </w:r>
            <w:r>
              <w:rPr>
                <w:rFonts w:hint="eastAsia" w:ascii="宋体" w:hAnsi="宋体" w:eastAsia="宋体" w:cs="宋体"/>
                <w:sz w:val="21"/>
                <w:szCs w:val="21"/>
                <w:highlight w:val="none"/>
                <w:lang w:val="en-US" w:eastAsia="zh-CN"/>
              </w:rPr>
              <w:t>+电话的方式</w:t>
            </w:r>
            <w:r>
              <w:rPr>
                <w:rFonts w:hint="eastAsia" w:ascii="宋体" w:hAnsi="宋体" w:eastAsia="宋体" w:cs="宋体"/>
                <w:sz w:val="21"/>
                <w:szCs w:val="21"/>
                <w:highlight w:val="none"/>
                <w:lang w:eastAsia="zh-CN"/>
              </w:rPr>
              <w:t>统一通知</w:t>
            </w:r>
          </w:p>
          <w:p w14:paraId="65FD642A">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不统一组织</w:t>
            </w:r>
          </w:p>
          <w:p w14:paraId="69FCD25E">
            <w:pPr>
              <w:spacing w:line="360" w:lineRule="auto"/>
              <w:rPr>
                <w:rFonts w:hint="eastAsia" w:ascii="宋体" w:hAnsi="宋体" w:eastAsia="宋体" w:cs="宋体"/>
                <w:sz w:val="21"/>
                <w:szCs w:val="21"/>
                <w:highlight w:val="none"/>
              </w:rPr>
            </w:pPr>
          </w:p>
        </w:tc>
      </w:tr>
      <w:tr w14:paraId="47D29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349" w:type="dxa"/>
            <w:vAlign w:val="center"/>
          </w:tcPr>
          <w:p w14:paraId="15DD44C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897" w:type="dxa"/>
            <w:vAlign w:val="center"/>
          </w:tcPr>
          <w:p w14:paraId="57B3539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政府采购融资政策</w:t>
            </w:r>
          </w:p>
        </w:tc>
        <w:tc>
          <w:tcPr>
            <w:tcW w:w="7894" w:type="dxa"/>
            <w:vAlign w:val="center"/>
          </w:tcPr>
          <w:p w14:paraId="4877EB16">
            <w:pPr>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hint="eastAsia" w:ascii="宋体" w:hAnsi="宋体" w:eastAsia="宋体" w:cs="宋体"/>
                <w:sz w:val="21"/>
                <w:szCs w:val="21"/>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22"/>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sz w:val="21"/>
                <w:szCs w:val="21"/>
                <w:highlight w:val="none"/>
              </w:rPr>
              <w:t>www.ccgp-shaanxi.gov.cn/)重要通知专栏中查询了解。</w:t>
            </w:r>
          </w:p>
        </w:tc>
      </w:tr>
      <w:tr w14:paraId="2E8F3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349" w:type="dxa"/>
            <w:vAlign w:val="center"/>
          </w:tcPr>
          <w:p w14:paraId="5B2F40CF">
            <w:pPr>
              <w:spacing w:line="360" w:lineRule="auto"/>
              <w:jc w:val="center"/>
              <w:rPr>
                <w:rFonts w:hint="eastAsia" w:ascii="宋体" w:hAnsi="宋体" w:eastAsia="宋体" w:cs="宋体"/>
                <w:kern w:val="2"/>
                <w:sz w:val="21"/>
                <w:szCs w:val="21"/>
                <w:highlight w:val="none"/>
                <w:lang w:val="en-US" w:eastAsia="zh-CN" w:bidi="ar-SA"/>
              </w:rPr>
            </w:pPr>
            <w:bookmarkStart w:id="15" w:name="_Toc19272"/>
            <w:r>
              <w:rPr>
                <w:rFonts w:hint="eastAsia" w:ascii="宋体" w:hAnsi="宋体" w:eastAsia="宋体" w:cs="宋体"/>
                <w:sz w:val="21"/>
                <w:szCs w:val="21"/>
                <w:highlight w:val="none"/>
              </w:rPr>
              <w:t>21</w:t>
            </w:r>
          </w:p>
        </w:tc>
        <w:tc>
          <w:tcPr>
            <w:tcW w:w="897" w:type="dxa"/>
            <w:vAlign w:val="center"/>
          </w:tcPr>
          <w:p w14:paraId="08EE7EF3">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所属行业</w:t>
            </w:r>
          </w:p>
        </w:tc>
        <w:tc>
          <w:tcPr>
            <w:tcW w:w="7894" w:type="dxa"/>
            <w:vAlign w:val="center"/>
          </w:tcPr>
          <w:p w14:paraId="22A70FB1">
            <w:pPr>
              <w:spacing w:line="36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软件和信息技术服务业</w:t>
            </w:r>
          </w:p>
        </w:tc>
      </w:tr>
    </w:tbl>
    <w:p w14:paraId="66C776F3">
      <w:pPr>
        <w:pStyle w:val="2"/>
        <w:keepLines w:val="0"/>
        <w:spacing w:afterLines="100" w:line="240" w:lineRule="auto"/>
        <w:rPr>
          <w:rFonts w:asciiTheme="minorEastAsia" w:hAnsiTheme="minorEastAsia" w:eastAsiaTheme="minorEastAsia" w:cstheme="minorEastAsia"/>
          <w:sz w:val="36"/>
          <w:szCs w:val="36"/>
          <w:highlight w:val="none"/>
        </w:rPr>
        <w:sectPr>
          <w:headerReference r:id="rId7" w:type="default"/>
          <w:footerReference r:id="rId8" w:type="default"/>
          <w:pgSz w:w="11906" w:h="16838"/>
          <w:pgMar w:top="1440" w:right="1366" w:bottom="1440" w:left="1463" w:header="851" w:footer="992" w:gutter="0"/>
          <w:cols w:space="0" w:num="1"/>
          <w:docGrid w:type="lines" w:linePitch="312" w:charSpace="0"/>
        </w:sectPr>
      </w:pPr>
    </w:p>
    <w:p w14:paraId="39AF679C">
      <w:pPr>
        <w:pStyle w:val="2"/>
        <w:keepLines w:val="0"/>
        <w:spacing w:afterLines="100" w:line="240" w:lineRule="auto"/>
        <w:rPr>
          <w:rFonts w:asciiTheme="minorEastAsia" w:hAnsiTheme="minorEastAsia" w:eastAsiaTheme="minorEastAsia" w:cstheme="minorEastAsia"/>
          <w:sz w:val="36"/>
          <w:szCs w:val="36"/>
          <w:highlight w:val="none"/>
        </w:rPr>
      </w:pPr>
      <w:bookmarkStart w:id="16" w:name="_Toc24776"/>
      <w:bookmarkStart w:id="17" w:name="_Toc16173"/>
      <w:bookmarkStart w:id="18" w:name="_Toc16519"/>
      <w:bookmarkStart w:id="19" w:name="_Toc4695"/>
      <w:bookmarkStart w:id="20" w:name="_Toc20058"/>
      <w:r>
        <w:rPr>
          <w:rFonts w:hint="eastAsia" w:asciiTheme="minorEastAsia" w:hAnsiTheme="minorEastAsia" w:eastAsiaTheme="minorEastAsia" w:cstheme="minorEastAsia"/>
          <w:sz w:val="36"/>
          <w:szCs w:val="36"/>
          <w:highlight w:val="none"/>
        </w:rPr>
        <w:t>第三部分  供应商须知</w:t>
      </w:r>
      <w:bookmarkEnd w:id="15"/>
      <w:bookmarkEnd w:id="16"/>
      <w:bookmarkEnd w:id="17"/>
      <w:bookmarkEnd w:id="18"/>
      <w:bookmarkEnd w:id="19"/>
      <w:bookmarkEnd w:id="20"/>
    </w:p>
    <w:p w14:paraId="5F2CD427">
      <w:pPr>
        <w:widowControl/>
        <w:numPr>
          <w:ilvl w:val="0"/>
          <w:numId w:val="3"/>
        </w:numPr>
        <w:spacing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21" w:name="_Toc26739"/>
      <w:bookmarkStart w:id="22" w:name="_Toc24547"/>
      <w:bookmarkStart w:id="23" w:name="_Toc17085"/>
      <w:bookmarkStart w:id="24" w:name="_Toc10272"/>
      <w:bookmarkStart w:id="25" w:name="_Toc31751"/>
      <w:bookmarkStart w:id="26" w:name="_Toc27612"/>
      <w:r>
        <w:rPr>
          <w:rFonts w:hint="eastAsia" w:asciiTheme="minorEastAsia" w:hAnsiTheme="minorEastAsia" w:eastAsiaTheme="minorEastAsia" w:cstheme="minorEastAsia"/>
          <w:b/>
          <w:bCs/>
          <w:kern w:val="0"/>
          <w:sz w:val="32"/>
          <w:szCs w:val="32"/>
          <w:highlight w:val="none"/>
        </w:rPr>
        <w:t>总 则</w:t>
      </w:r>
      <w:bookmarkEnd w:id="21"/>
      <w:bookmarkEnd w:id="22"/>
      <w:bookmarkEnd w:id="23"/>
      <w:bookmarkEnd w:id="24"/>
      <w:bookmarkEnd w:id="25"/>
      <w:bookmarkEnd w:id="26"/>
    </w:p>
    <w:p w14:paraId="38B566AD">
      <w:pPr>
        <w:pStyle w:val="4"/>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27" w:name="_Toc6742"/>
      <w:bookmarkStart w:id="28" w:name="_Toc9257"/>
      <w:bookmarkStart w:id="29" w:name="_Toc358364319"/>
      <w:bookmarkStart w:id="30" w:name="_Toc380336725"/>
      <w:r>
        <w:rPr>
          <w:rFonts w:hint="eastAsia" w:asciiTheme="minorEastAsia" w:hAnsiTheme="minorEastAsia" w:eastAsiaTheme="minorEastAsia" w:cstheme="minorEastAsia"/>
          <w:sz w:val="24"/>
          <w:szCs w:val="24"/>
          <w:highlight w:val="none"/>
        </w:rPr>
        <w:t>适用范围</w:t>
      </w:r>
      <w:bookmarkEnd w:id="27"/>
      <w:bookmarkEnd w:id="28"/>
      <w:bookmarkEnd w:id="29"/>
      <w:bookmarkEnd w:id="30"/>
    </w:p>
    <w:p w14:paraId="22554B0D">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1.1本招标文件适用于本次招标活动的全过程。</w:t>
      </w:r>
    </w:p>
    <w:p w14:paraId="31C9CC8A">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1.2本次采购属政府采购，采购人、采购代理机构、供应商、评标委员会的相关行为均受《中华人民共和国政府采购法》及实施条例、财政部规章及政府采购项目所在地有关法规、规章的约束，其权利受到上述法律法规的保护。</w:t>
      </w:r>
    </w:p>
    <w:p w14:paraId="24FFE755">
      <w:pPr>
        <w:pStyle w:val="4"/>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31" w:name="_Toc11287"/>
      <w:bookmarkStart w:id="32" w:name="_Toc358364320"/>
      <w:bookmarkStart w:id="33" w:name="_Toc7922"/>
      <w:bookmarkStart w:id="34" w:name="_Toc380336726"/>
      <w:r>
        <w:rPr>
          <w:rFonts w:hint="eastAsia" w:asciiTheme="minorEastAsia" w:hAnsiTheme="minorEastAsia" w:eastAsiaTheme="minorEastAsia" w:cstheme="minorEastAsia"/>
          <w:sz w:val="24"/>
          <w:szCs w:val="24"/>
          <w:highlight w:val="none"/>
        </w:rPr>
        <w:t>定义</w:t>
      </w:r>
      <w:bookmarkEnd w:id="31"/>
      <w:bookmarkEnd w:id="32"/>
      <w:bookmarkEnd w:id="33"/>
      <w:bookmarkEnd w:id="34"/>
    </w:p>
    <w:p w14:paraId="63FB6EC5">
      <w:pPr>
        <w:widowControl/>
        <w:spacing w:line="500" w:lineRule="exact"/>
        <w:ind w:firstLine="480" w:firstLineChars="200"/>
        <w:rPr>
          <w:rFonts w:asciiTheme="minorEastAsia" w:hAnsiTheme="minorEastAsia" w:eastAsiaTheme="minorEastAsia" w:cstheme="minorEastAsia"/>
          <w:kern w:val="0"/>
          <w:sz w:val="24"/>
          <w:szCs w:val="24"/>
          <w:highlight w:val="none"/>
        </w:rPr>
      </w:pPr>
      <w:bookmarkStart w:id="35" w:name="_Toc17676"/>
      <w:bookmarkStart w:id="36" w:name="_Toc358364321"/>
      <w:bookmarkStart w:id="37" w:name="_Toc380336727"/>
      <w:bookmarkStart w:id="38" w:name="_Toc23781"/>
      <w:r>
        <w:rPr>
          <w:rFonts w:hint="eastAsia" w:asciiTheme="minorEastAsia" w:hAnsiTheme="minorEastAsia" w:eastAsiaTheme="minorEastAsia" w:cstheme="minorEastAsia"/>
          <w:kern w:val="0"/>
          <w:sz w:val="24"/>
          <w:szCs w:val="24"/>
          <w:highlight w:val="none"/>
        </w:rPr>
        <w:t>2.1“采购人”是指依法进行政府采购的国家机关、事业单位、团体组织。本次政府采购的采购人名称、地址、电话见供应商须知前附表。</w:t>
      </w:r>
    </w:p>
    <w:p w14:paraId="3158FA77">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2.2“采购代理机构”是指接受采购人委托，代理采购项目的集中采购机构和其他采购代理机构。本次采购代理机构名称、地址、电话见供应商须知前附表。</w:t>
      </w:r>
    </w:p>
    <w:p w14:paraId="0B4EFD6C">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2.3“供应商”是指向采购人提供货物、工程或服务的法人、其他组织或自然人。</w:t>
      </w:r>
    </w:p>
    <w:p w14:paraId="6B37957F">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2.4“货物”是指各种形态和种类的物品，包括原材料、燃料、设备、产品等。按照财政部《政府采购进口产品管理办法》（财库[2007]119号）的有关规定，本招标文件涉及的所有采购内容除特别标注为“进口产品”外，均必须采购国产产品。进口产品特指“通过中国海关报关验放进入中国境内且产自关境外的产品”。</w:t>
      </w:r>
    </w:p>
    <w:p w14:paraId="3E3C6F5B">
      <w:pPr>
        <w:widowControl/>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2.5“服务”指除了货物和工程外的其他政府采购对象。包含除货物以外规定由供应商承担的与货物有关的辅助服务。</w:t>
      </w:r>
    </w:p>
    <w:p w14:paraId="3883E7E4">
      <w:pPr>
        <w:widowControl/>
        <w:spacing w:line="50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kern w:val="0"/>
          <w:sz w:val="24"/>
          <w:szCs w:val="24"/>
          <w:highlight w:val="none"/>
        </w:rPr>
        <w:t xml:space="preserve">    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3B63B752">
      <w:pPr>
        <w:pStyle w:val="4"/>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合格的</w:t>
      </w:r>
      <w:bookmarkEnd w:id="35"/>
      <w:bookmarkEnd w:id="36"/>
      <w:bookmarkEnd w:id="37"/>
      <w:bookmarkEnd w:id="38"/>
      <w:r>
        <w:rPr>
          <w:rFonts w:hint="eastAsia" w:asciiTheme="minorEastAsia" w:hAnsiTheme="minorEastAsia" w:eastAsiaTheme="minorEastAsia" w:cstheme="minorEastAsia"/>
          <w:sz w:val="24"/>
          <w:szCs w:val="24"/>
          <w:highlight w:val="none"/>
        </w:rPr>
        <w:t>供应商</w:t>
      </w:r>
    </w:p>
    <w:p w14:paraId="7F4820C7">
      <w:pPr>
        <w:numPr>
          <w:ilvl w:val="0"/>
          <w:numId w:val="5"/>
        </w:numPr>
        <w:spacing w:line="500" w:lineRule="exact"/>
        <w:ind w:left="6"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具有本项目生产、制造、加工、供应或实施能力，符合、承认并承诺履行本招标文件各项规定的国内供应商。</w:t>
      </w:r>
    </w:p>
    <w:p w14:paraId="5EEBA4F4">
      <w:pPr>
        <w:numPr>
          <w:ilvl w:val="0"/>
          <w:numId w:val="5"/>
        </w:numPr>
        <w:spacing w:line="500" w:lineRule="exact"/>
        <w:ind w:left="6"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供应商应遵守有关的国家法律、法规和条例，具备《中华人民共和国政府采购法》和本文件中规定的条件：</w:t>
      </w:r>
    </w:p>
    <w:p w14:paraId="28939700">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具有独立承担民事责任的能力；</w:t>
      </w:r>
    </w:p>
    <w:p w14:paraId="216F4F44">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具有良好的商业信誉和健全的财务会计制度；</w:t>
      </w:r>
    </w:p>
    <w:p w14:paraId="0565C1E0">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具有履行合同所必需的设备和专业技术能力；</w:t>
      </w:r>
    </w:p>
    <w:p w14:paraId="3F5005C8">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具有依法缴纳税收和社会保障资金的良好记录；</w:t>
      </w:r>
    </w:p>
    <w:p w14:paraId="35DFEEFB">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参加此项采购活动前三年内，在经营活动中没有重大违法记录；</w:t>
      </w:r>
    </w:p>
    <w:p w14:paraId="07A97E93">
      <w:pPr>
        <w:numPr>
          <w:ilvl w:val="0"/>
          <w:numId w:val="6"/>
        </w:numPr>
        <w:spacing w:line="500" w:lineRule="exact"/>
        <w:ind w:left="105" w:leftChars="50"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法律、行政法规规定的其他条件；</w:t>
      </w:r>
    </w:p>
    <w:p w14:paraId="70B02AD9">
      <w:pPr>
        <w:numPr>
          <w:ilvl w:val="0"/>
          <w:numId w:val="5"/>
        </w:numPr>
        <w:spacing w:line="500" w:lineRule="exact"/>
        <w:ind w:left="6"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供应商购买招标文件时应登记备案，并提供有效联系方式。</w:t>
      </w:r>
    </w:p>
    <w:p w14:paraId="39FC74AA">
      <w:pPr>
        <w:numPr>
          <w:ilvl w:val="0"/>
          <w:numId w:val="5"/>
        </w:numPr>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供应商应独立于采购人，不得直接或间接地与采购人为采购本次招标的货物进行设计、编制技术规格和其它文件所委托的咨询公司或其附属机构有任何关联。</w:t>
      </w:r>
    </w:p>
    <w:p w14:paraId="179DF4A5">
      <w:pPr>
        <w:numPr>
          <w:ilvl w:val="0"/>
          <w:numId w:val="5"/>
        </w:numPr>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供应商不得存在下列情形之一：</w:t>
      </w:r>
    </w:p>
    <w:p w14:paraId="6646B2AE">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（1）与采购人采购代理机构存在隶属关系或者其他利害关系。</w:t>
      </w:r>
    </w:p>
    <w:p w14:paraId="4EF30CC0">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（2）与其他供应商的法定代表人（或者负责人）为同一人，或者与其他供应商存在直接控股、管理关系。</w:t>
      </w:r>
    </w:p>
    <w:p w14:paraId="2F1EDDEE">
      <w:pPr>
        <w:tabs>
          <w:tab w:val="left" w:pos="0"/>
        </w:tabs>
        <w:spacing w:line="500" w:lineRule="exact"/>
        <w:ind w:left="6" w:firstLine="480" w:firstLineChars="200"/>
        <w:rPr>
          <w:rFonts w:ascii="宋体" w:hAnsi="宋体" w:cs="宋体"/>
          <w:kern w:val="0"/>
          <w:sz w:val="24"/>
          <w:szCs w:val="24"/>
          <w:highlight w:val="none"/>
        </w:rPr>
      </w:pPr>
      <w:r>
        <w:rPr>
          <w:rFonts w:hint="eastAsia" w:asciiTheme="minorEastAsia" w:hAnsiTheme="minorEastAsia" w:eastAsiaTheme="minorEastAsia" w:cstheme="minorEastAsia"/>
          <w:kern w:val="0"/>
          <w:sz w:val="24"/>
          <w:szCs w:val="24"/>
          <w:highlight w:val="none"/>
        </w:rPr>
        <w:t>（3）</w:t>
      </w:r>
      <w:r>
        <w:rPr>
          <w:rFonts w:hint="eastAsia" w:ascii="宋体" w:hAnsi="宋体" w:cs="宋体"/>
          <w:kern w:val="0"/>
          <w:sz w:val="24"/>
          <w:szCs w:val="24"/>
          <w:highlight w:val="none"/>
        </w:rPr>
        <w:t>受到刑事处罚，或者受较大数额罚款，责令停产停业、在一年至三年内禁止参加政府采购活动、暂扣或吊销许可证、暂扣或吊销执照等情形之一的行政处罚，或者存在财政部门认定的其他重大违法记录。</w:t>
      </w:r>
    </w:p>
    <w:p w14:paraId="450C1EDC">
      <w:pPr>
        <w:tabs>
          <w:tab w:val="left" w:pos="0"/>
        </w:tabs>
        <w:spacing w:line="500" w:lineRule="exact"/>
        <w:ind w:left="6"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w:t>
      </w:r>
      <w:r>
        <w:rPr>
          <w:rFonts w:hint="eastAsia" w:asciiTheme="minorEastAsia" w:hAnsiTheme="minorEastAsia" w:eastAsiaTheme="minorEastAsia" w:cstheme="minorEastAsia"/>
          <w:b/>
          <w:bCs/>
          <w:sz w:val="24"/>
          <w:szCs w:val="24"/>
          <w:highlight w:val="none"/>
        </w:rPr>
        <w:t>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14:paraId="43E52E34">
      <w:pPr>
        <w:pStyle w:val="4"/>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39" w:name="_Toc540"/>
      <w:bookmarkStart w:id="40" w:name="_Toc22444"/>
      <w:bookmarkStart w:id="41" w:name="_Toc380336728"/>
      <w:bookmarkStart w:id="42" w:name="_Toc358364322"/>
      <w:r>
        <w:rPr>
          <w:rFonts w:hint="eastAsia" w:asciiTheme="minorEastAsia" w:hAnsiTheme="minorEastAsia" w:eastAsiaTheme="minorEastAsia" w:cstheme="minorEastAsia"/>
          <w:sz w:val="24"/>
          <w:szCs w:val="24"/>
          <w:highlight w:val="none"/>
        </w:rPr>
        <w:t>费用</w:t>
      </w:r>
      <w:bookmarkEnd w:id="39"/>
      <w:bookmarkEnd w:id="40"/>
      <w:bookmarkEnd w:id="41"/>
      <w:bookmarkEnd w:id="42"/>
    </w:p>
    <w:p w14:paraId="4153ACC6">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kern w:val="0"/>
          <w:sz w:val="24"/>
          <w:szCs w:val="24"/>
          <w:highlight w:val="none"/>
        </w:rPr>
        <w:t>应承担所有与准备和参加投标有关的费用，采购代理机构（或采购人）在任何情况下均无义务和责任承担这些费用。</w:t>
      </w:r>
    </w:p>
    <w:p w14:paraId="5AAFA58E">
      <w:pPr>
        <w:pStyle w:val="4"/>
        <w:numPr>
          <w:ilvl w:val="0"/>
          <w:numId w:val="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采购进口产品</w:t>
      </w:r>
    </w:p>
    <w:p w14:paraId="38FDD404">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5.1 除供应商须知前附表另有规定外，本项目拒绝进口产品参加采购活动。</w:t>
      </w:r>
    </w:p>
    <w:p w14:paraId="1F71AB9A">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5.2 本项目第五部分采购要求中同意购买进口产品的，采购活动不限制满足招标文件要求的国产产品参与本次采购。</w:t>
      </w:r>
    </w:p>
    <w:p w14:paraId="0DDE3E9C">
      <w:pPr>
        <w:pStyle w:val="4"/>
        <w:numPr>
          <w:ilvl w:val="0"/>
          <w:numId w:val="4"/>
        </w:numPr>
        <w:spacing w:before="0" w:afterLines="10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政府采购政策支持</w:t>
      </w:r>
    </w:p>
    <w:p w14:paraId="644F43A8">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6.1对列入财政部、国家发改委发布的《节能产品品目清单》且属于应当“强制采购的节能产品”，按照规定实行强制采购。</w:t>
      </w:r>
    </w:p>
    <w:p w14:paraId="658D4566">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审时进行价格扣除或者加分。</w:t>
      </w:r>
    </w:p>
    <w:p w14:paraId="6FDCC753">
      <w:pPr>
        <w:widowControl/>
        <w:wordWrap w:val="0"/>
        <w:snapToGrid w:val="0"/>
        <w:spacing w:line="360" w:lineRule="auto"/>
        <w:ind w:right="-90" w:rightChars="-43"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6.3产品同时属于“非强制采购节能产品”、环境标志产品的，评审时只有其中一项能享受优先待遇（供应商自行选择，并在报价文件中填写相关信息及数据）</w:t>
      </w:r>
    </w:p>
    <w:p w14:paraId="40EC123F">
      <w:pPr>
        <w:widowControl/>
        <w:wordWrap w:val="0"/>
        <w:snapToGrid w:val="0"/>
        <w:spacing w:line="360" w:lineRule="auto"/>
        <w:ind w:right="-90" w:rightChars="-43"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6.4供应商有融资、担保需求的，具体办理流程按照财政厅及相关政策执行。</w:t>
      </w:r>
    </w:p>
    <w:p w14:paraId="1EDA5D3E">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pPr>
    </w:p>
    <w:p w14:paraId="5C1F0B7E">
      <w:pPr>
        <w:widowControl/>
        <w:wordWrap w:val="0"/>
        <w:snapToGrid w:val="0"/>
        <w:spacing w:line="360" w:lineRule="auto"/>
        <w:ind w:right="-92" w:rightChars="-44" w:firstLine="480" w:firstLineChars="200"/>
        <w:jc w:val="left"/>
        <w:rPr>
          <w:rFonts w:asciiTheme="minorEastAsia" w:hAnsiTheme="minorEastAsia" w:eastAsiaTheme="minorEastAsia" w:cstheme="minorEastAsia"/>
          <w:kern w:val="0"/>
          <w:sz w:val="24"/>
          <w:szCs w:val="24"/>
          <w:highlight w:val="none"/>
        </w:rPr>
        <w:sectPr>
          <w:headerReference r:id="rId9" w:type="default"/>
          <w:pgSz w:w="11906" w:h="16838"/>
          <w:pgMar w:top="1440" w:right="1706" w:bottom="1440" w:left="1701" w:header="851" w:footer="992" w:gutter="0"/>
          <w:cols w:space="720" w:num="1"/>
          <w:docGrid w:type="lines" w:linePitch="312" w:charSpace="0"/>
        </w:sectPr>
      </w:pPr>
    </w:p>
    <w:p w14:paraId="676E7633">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43" w:name="_Toc22364"/>
      <w:bookmarkStart w:id="44" w:name="_Toc4435"/>
      <w:bookmarkStart w:id="45" w:name="_Toc7144"/>
      <w:bookmarkStart w:id="46" w:name="_Toc5442"/>
      <w:bookmarkStart w:id="47" w:name="_Toc21097"/>
      <w:bookmarkStart w:id="48" w:name="_Toc31670"/>
      <w:r>
        <w:rPr>
          <w:rFonts w:hint="eastAsia" w:asciiTheme="minorEastAsia" w:hAnsiTheme="minorEastAsia" w:eastAsiaTheme="minorEastAsia" w:cstheme="minorEastAsia"/>
          <w:b/>
          <w:bCs/>
          <w:kern w:val="0"/>
          <w:sz w:val="32"/>
          <w:szCs w:val="32"/>
          <w:highlight w:val="none"/>
        </w:rPr>
        <w:t>招标文件</w:t>
      </w:r>
      <w:bookmarkEnd w:id="43"/>
      <w:bookmarkEnd w:id="44"/>
      <w:bookmarkEnd w:id="45"/>
      <w:bookmarkEnd w:id="46"/>
      <w:bookmarkEnd w:id="47"/>
      <w:bookmarkEnd w:id="48"/>
    </w:p>
    <w:p w14:paraId="4FEB95ED">
      <w:pPr>
        <w:pStyle w:val="4"/>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49" w:name="_Toc17817"/>
      <w:bookmarkStart w:id="50" w:name="_Toc5801"/>
      <w:r>
        <w:rPr>
          <w:rFonts w:hint="eastAsia" w:asciiTheme="minorEastAsia" w:hAnsiTheme="minorEastAsia" w:eastAsiaTheme="minorEastAsia" w:cstheme="minorEastAsia"/>
          <w:sz w:val="24"/>
          <w:szCs w:val="24"/>
          <w:highlight w:val="none"/>
        </w:rPr>
        <w:t>招标文件</w:t>
      </w:r>
      <w:bookmarkEnd w:id="49"/>
      <w:r>
        <w:rPr>
          <w:rFonts w:hint="eastAsia" w:asciiTheme="minorEastAsia" w:hAnsiTheme="minorEastAsia" w:eastAsiaTheme="minorEastAsia" w:cstheme="minorEastAsia"/>
          <w:sz w:val="24"/>
          <w:szCs w:val="24"/>
          <w:highlight w:val="none"/>
        </w:rPr>
        <w:t>的构成</w:t>
      </w:r>
      <w:bookmarkEnd w:id="50"/>
    </w:p>
    <w:p w14:paraId="3262BBA9">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招标文件是供应商准备投标文件和参加投标的依据，同时也是评标的重要依据，具有准法律文件性质。本招标文件包括以下内容：</w:t>
      </w:r>
    </w:p>
    <w:p w14:paraId="3F745905">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公开招标公告；</w:t>
      </w:r>
    </w:p>
    <w:p w14:paraId="53922B47">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供应商须知前附表；</w:t>
      </w:r>
    </w:p>
    <w:p w14:paraId="5462BFBA">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w:t>
      </w:r>
    </w:p>
    <w:p w14:paraId="38663277">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p w14:paraId="653D5A1B">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商务条款与采购要求；</w:t>
      </w:r>
    </w:p>
    <w:p w14:paraId="34CED44D">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合同条款；</w:t>
      </w:r>
    </w:p>
    <w:p w14:paraId="4B7FA9EE">
      <w:pPr>
        <w:numPr>
          <w:ilvl w:val="0"/>
          <w:numId w:val="8"/>
        </w:num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投标文件格式。</w:t>
      </w:r>
    </w:p>
    <w:p w14:paraId="6852CE15">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供应商应认真阅读采购文件中所有的条款、事项、格式和技术规范、参数及要求等。供应商没有按照采购文件要求提交全部资料，或者没有对采购文件在各方面都做出实质性响应是供应商的风险，有可能导致其投标被拒绝或被认定为无效投标。</w:t>
      </w:r>
    </w:p>
    <w:p w14:paraId="01670715">
      <w:pPr>
        <w:pStyle w:val="4"/>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1" w:name="_Toc19797"/>
      <w:r>
        <w:rPr>
          <w:rFonts w:hint="eastAsia" w:asciiTheme="minorEastAsia" w:hAnsiTheme="minorEastAsia" w:eastAsiaTheme="minorEastAsia" w:cstheme="minorEastAsia"/>
          <w:sz w:val="24"/>
          <w:szCs w:val="24"/>
          <w:highlight w:val="none"/>
        </w:rPr>
        <w:t>招标文件的澄清</w:t>
      </w:r>
      <w:bookmarkEnd w:id="51"/>
    </w:p>
    <w:p w14:paraId="743C2653">
      <w:pPr>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供应商应认真阅读和充分理解招标文件中所有的事项，如有问题或疑议请及时函告。否则，视为同意招标文件的一切条款和要求并承担由此引起的一切法律责任。凡因供应商对公开招标文件阅读不深、理解不透、误解、疏漏、或因市场行情了解不清造成的后果和风险均由供应商自负。</w:t>
      </w:r>
    </w:p>
    <w:p w14:paraId="15713D33">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任何对公开招标文件进行询问或要求进行澄清的供应商，均应在收到招标文件后七个工作日内按公开招标文件中的通讯地址以书面形式递交代理机构，采购人或代理机构对收到的任何询问或澄清要求将在三个工作日内作出书面答复。</w:t>
      </w:r>
    </w:p>
    <w:p w14:paraId="12D5119D">
      <w:pPr>
        <w:pStyle w:val="4"/>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2" w:name="_Toc6390"/>
      <w:r>
        <w:rPr>
          <w:rFonts w:hint="eastAsia" w:asciiTheme="minorEastAsia" w:hAnsiTheme="minorEastAsia" w:eastAsiaTheme="minorEastAsia" w:cstheme="minorEastAsia"/>
          <w:sz w:val="24"/>
          <w:szCs w:val="24"/>
          <w:highlight w:val="none"/>
        </w:rPr>
        <w:t>招标文件的修改</w:t>
      </w:r>
      <w:bookmarkEnd w:id="52"/>
    </w:p>
    <w:p w14:paraId="5E042FB3">
      <w:pPr>
        <w:tabs>
          <w:tab w:val="left" w:pos="0"/>
        </w:tabs>
        <w:adjustRightInd w:val="0"/>
        <w:snapToGrid w:val="0"/>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在投标截止时间十五日前，无论出于何种原因，代理机构可主动地或在解答供应商提出的澄清问题时，对公开招标文件进行修改。公开招标文件的澄清和修改将以书面形式通知所有供应商，并作为公开招标文件的补充，与其具有同等法律效力。</w:t>
      </w:r>
    </w:p>
    <w:p w14:paraId="7160C5A9">
      <w:pPr>
        <w:tabs>
          <w:tab w:val="left" w:pos="0"/>
        </w:tabs>
        <w:adjustRightInd w:val="0"/>
        <w:snapToGrid w:val="0"/>
        <w:spacing w:line="500" w:lineRule="exact"/>
        <w:ind w:firstLine="480"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3.2 为方便供应商对公开招标文件修改或澄清内容有充分的时间进行补充修改，代理机构可适当延长投标截止时间和开标时间，将变更时间书面通知所有购买招标文件的供应商。</w:t>
      </w:r>
    </w:p>
    <w:p w14:paraId="738A81ED">
      <w:pPr>
        <w:pStyle w:val="4"/>
        <w:keepNext w:val="0"/>
        <w:keepLines w:val="0"/>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3" w:name="_Toc31188"/>
      <w:r>
        <w:rPr>
          <w:rFonts w:hint="eastAsia" w:asciiTheme="minorEastAsia" w:hAnsiTheme="minorEastAsia" w:eastAsiaTheme="minorEastAsia" w:cstheme="minorEastAsia"/>
          <w:sz w:val="24"/>
          <w:szCs w:val="24"/>
          <w:highlight w:val="none"/>
        </w:rPr>
        <w:t>招标文件的获取</w:t>
      </w:r>
      <w:bookmarkEnd w:id="53"/>
    </w:p>
    <w:p w14:paraId="0140A210">
      <w:pPr>
        <w:widowControl/>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供应商必须从代理机构购买招标文件，供应商自行转让或复制招标文件视为无效。招标文件一经售出，一律不退，仅作为本次公开招标使用。</w:t>
      </w:r>
    </w:p>
    <w:p w14:paraId="06050490">
      <w:pPr>
        <w:pStyle w:val="4"/>
        <w:numPr>
          <w:ilvl w:val="0"/>
          <w:numId w:val="7"/>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54" w:name="_Toc5095"/>
      <w:r>
        <w:rPr>
          <w:rFonts w:hint="eastAsia" w:asciiTheme="minorEastAsia" w:hAnsiTheme="minorEastAsia" w:eastAsiaTheme="minorEastAsia" w:cstheme="minorEastAsia"/>
          <w:sz w:val="24"/>
          <w:szCs w:val="24"/>
          <w:highlight w:val="none"/>
        </w:rPr>
        <w:t>招标文件的解释权归代理机构</w:t>
      </w:r>
      <w:bookmarkEnd w:id="54"/>
    </w:p>
    <w:p w14:paraId="79FAEC98">
      <w:pPr>
        <w:widowControl/>
        <w:numPr>
          <w:ilvl w:val="0"/>
          <w:numId w:val="3"/>
        </w:numPr>
        <w:spacing w:line="360" w:lineRule="auto"/>
        <w:ind w:firstLine="482" w:firstLineChars="200"/>
        <w:jc w:val="center"/>
        <w:outlineLvl w:val="1"/>
        <w:rPr>
          <w:rFonts w:asciiTheme="minorEastAsia" w:hAnsiTheme="minorEastAsia" w:eastAsiaTheme="minorEastAsia" w:cstheme="minorEastAsia"/>
          <w:b/>
          <w:bCs/>
          <w:kern w:val="0"/>
          <w:sz w:val="24"/>
          <w:szCs w:val="24"/>
          <w:highlight w:val="none"/>
        </w:rPr>
        <w:sectPr>
          <w:pgSz w:w="11906" w:h="16838"/>
          <w:pgMar w:top="1440" w:right="1706" w:bottom="1440" w:left="1800" w:header="851" w:footer="992" w:gutter="0"/>
          <w:cols w:space="720" w:num="1"/>
          <w:docGrid w:type="lines" w:linePitch="312" w:charSpace="0"/>
        </w:sectPr>
      </w:pPr>
    </w:p>
    <w:p w14:paraId="4E834622">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55" w:name="_Toc24897"/>
      <w:bookmarkStart w:id="56" w:name="_Toc25168"/>
      <w:bookmarkStart w:id="57" w:name="_Toc15601"/>
      <w:bookmarkStart w:id="58" w:name="_Toc16243"/>
      <w:bookmarkStart w:id="59" w:name="_Toc23605"/>
      <w:bookmarkStart w:id="60" w:name="_Toc1771"/>
      <w:r>
        <w:rPr>
          <w:rFonts w:hint="eastAsia" w:asciiTheme="minorEastAsia" w:hAnsiTheme="minorEastAsia" w:eastAsiaTheme="minorEastAsia" w:cstheme="minorEastAsia"/>
          <w:b/>
          <w:bCs/>
          <w:kern w:val="0"/>
          <w:sz w:val="32"/>
          <w:szCs w:val="32"/>
          <w:highlight w:val="none"/>
        </w:rPr>
        <w:t>投标文件</w:t>
      </w:r>
      <w:bookmarkEnd w:id="55"/>
      <w:bookmarkEnd w:id="56"/>
      <w:bookmarkEnd w:id="57"/>
      <w:bookmarkEnd w:id="58"/>
      <w:bookmarkEnd w:id="59"/>
      <w:bookmarkEnd w:id="60"/>
    </w:p>
    <w:p w14:paraId="01B93760">
      <w:pPr>
        <w:pStyle w:val="4"/>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1" w:name="_Toc17549"/>
      <w:r>
        <w:rPr>
          <w:rFonts w:hint="eastAsia" w:asciiTheme="minorEastAsia" w:hAnsiTheme="minorEastAsia" w:eastAsiaTheme="minorEastAsia" w:cstheme="minorEastAsia"/>
          <w:sz w:val="24"/>
          <w:szCs w:val="24"/>
          <w:highlight w:val="none"/>
        </w:rPr>
        <w:t>投标文件的编制</w:t>
      </w:r>
      <w:bookmarkEnd w:id="61"/>
    </w:p>
    <w:p w14:paraId="3B05A3D8">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投标文件应根据代理机构发售的招标文件格式和顺序认真编制。具体内容包括：</w:t>
      </w:r>
    </w:p>
    <w:p w14:paraId="0E656371">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投标函；</w:t>
      </w:r>
    </w:p>
    <w:p w14:paraId="10A362B5">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开标一览表；</w:t>
      </w:r>
    </w:p>
    <w:p w14:paraId="33B2D1C9">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分项报价表；</w:t>
      </w:r>
    </w:p>
    <w:p w14:paraId="6E1FD50C">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供应商资质证明资料；</w:t>
      </w:r>
    </w:p>
    <w:p w14:paraId="6881FE96">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商务和技术响应偏离表；</w:t>
      </w:r>
    </w:p>
    <w:p w14:paraId="6BE4C646">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实施方案和技术支持资料；</w:t>
      </w:r>
    </w:p>
    <w:p w14:paraId="5FA73224">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lang w:val="en-US" w:eastAsia="zh-CN"/>
        </w:rPr>
        <w:t>技术方案；</w:t>
      </w:r>
    </w:p>
    <w:p w14:paraId="089F5256">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售后服务</w:t>
      </w:r>
      <w:r>
        <w:rPr>
          <w:rFonts w:hint="eastAsia" w:ascii="宋体" w:hAnsi="宋体" w:cs="宋体"/>
          <w:sz w:val="24"/>
          <w:szCs w:val="24"/>
          <w:highlight w:val="none"/>
          <w:lang w:val="en-US" w:eastAsia="zh-CN"/>
        </w:rPr>
        <w:t>及培训</w:t>
      </w:r>
      <w:r>
        <w:rPr>
          <w:rFonts w:hint="eastAsia" w:ascii="宋体" w:hAnsi="宋体" w:cs="宋体"/>
          <w:sz w:val="24"/>
          <w:szCs w:val="24"/>
          <w:highlight w:val="none"/>
        </w:rPr>
        <w:t>方案；</w:t>
      </w:r>
    </w:p>
    <w:p w14:paraId="2EF8C839">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供应商业绩一览表；</w:t>
      </w:r>
    </w:p>
    <w:p w14:paraId="337B3CE3">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供应商认为有必要说明的其他问题；</w:t>
      </w:r>
    </w:p>
    <w:p w14:paraId="67796D7E">
      <w:pPr>
        <w:numPr>
          <w:ilvl w:val="0"/>
          <w:numId w:val="10"/>
        </w:numPr>
        <w:tabs>
          <w:tab w:val="left" w:pos="0"/>
        </w:tabs>
        <w:spacing w:line="500" w:lineRule="exact"/>
        <w:ind w:firstLine="480"/>
        <w:jc w:val="left"/>
        <w:rPr>
          <w:rFonts w:ascii="宋体" w:hAnsi="宋体" w:cs="宋体"/>
          <w:sz w:val="24"/>
          <w:szCs w:val="24"/>
          <w:highlight w:val="none"/>
        </w:rPr>
      </w:pPr>
      <w:r>
        <w:rPr>
          <w:rFonts w:hint="eastAsia" w:ascii="宋体" w:hAnsi="宋体" w:cs="宋体"/>
          <w:sz w:val="24"/>
          <w:szCs w:val="24"/>
          <w:highlight w:val="none"/>
        </w:rPr>
        <w:t>供应商承诺书</w:t>
      </w:r>
    </w:p>
    <w:p w14:paraId="6EC1200A">
      <w:pPr>
        <w:widowControl/>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供应商须依据招标文件内容和投标文件格式的要求编制投标文件；投标文件规格幅面（A4）</w:t>
      </w:r>
      <w:r>
        <w:rPr>
          <w:rFonts w:hint="eastAsia" w:asciiTheme="minorEastAsia" w:hAnsiTheme="minorEastAsia" w:eastAsiaTheme="minorEastAsia" w:cstheme="minorEastAsia"/>
          <w:b/>
          <w:bCs/>
          <w:sz w:val="24"/>
          <w:szCs w:val="24"/>
          <w:highlight w:val="none"/>
        </w:rPr>
        <w:t>（推荐双面打印）</w:t>
      </w:r>
      <w:r>
        <w:rPr>
          <w:rFonts w:hint="eastAsia" w:asciiTheme="minorEastAsia" w:hAnsiTheme="minorEastAsia" w:eastAsiaTheme="minorEastAsia" w:cstheme="minorEastAsia"/>
          <w:sz w:val="24"/>
          <w:szCs w:val="24"/>
          <w:highlight w:val="none"/>
        </w:rPr>
        <w:t>，按照采购文件所规定的内容顺序，统一编目、编页码装订，技术文件中的各项表格须按照招标文件第七部分投标文件格式要求制作。由于编排混乱导致投标文件被误读或查找不到，其责任应当由供应商承担。装订必须采用胶订形式，不得采用活页装订，必须标注页码。</w:t>
      </w:r>
    </w:p>
    <w:p w14:paraId="1D445098">
      <w:pPr>
        <w:pStyle w:val="4"/>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2" w:name="_Toc27646"/>
      <w:r>
        <w:rPr>
          <w:rFonts w:hint="eastAsia" w:asciiTheme="minorEastAsia" w:hAnsiTheme="minorEastAsia" w:eastAsiaTheme="minorEastAsia" w:cstheme="minorEastAsia"/>
          <w:sz w:val="24"/>
          <w:szCs w:val="24"/>
          <w:highlight w:val="none"/>
        </w:rPr>
        <w:t>投标报价</w:t>
      </w:r>
      <w:bookmarkEnd w:id="62"/>
    </w:p>
    <w:p w14:paraId="772E4C82">
      <w:pPr>
        <w:spacing w:line="360" w:lineRule="auto"/>
        <w:rPr>
          <w:rFonts w:eastAsiaTheme="minorEastAsia"/>
          <w:highlight w:val="none"/>
        </w:rPr>
      </w:pPr>
      <w:r>
        <w:rPr>
          <w:rFonts w:hint="eastAsia" w:asciiTheme="minorEastAsia" w:hAnsiTheme="minorEastAsia" w:eastAsiaTheme="minorEastAsia" w:cstheme="minorEastAsia"/>
          <w:b/>
          <w:bCs/>
          <w:sz w:val="24"/>
          <w:szCs w:val="24"/>
          <w:highlight w:val="none"/>
        </w:rPr>
        <w:t xml:space="preserve"> 详见供应商须知前附表。</w:t>
      </w:r>
    </w:p>
    <w:p w14:paraId="572ADBDE">
      <w:pPr>
        <w:pStyle w:val="4"/>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3" w:name="_Toc29200"/>
      <w:bookmarkStart w:id="64" w:name="_Toc1311"/>
      <w:r>
        <w:rPr>
          <w:rFonts w:hint="eastAsia" w:asciiTheme="minorEastAsia" w:hAnsiTheme="minorEastAsia" w:eastAsiaTheme="minorEastAsia" w:cstheme="minorEastAsia"/>
          <w:sz w:val="24"/>
          <w:szCs w:val="24"/>
          <w:highlight w:val="none"/>
        </w:rPr>
        <w:t>投标货币</w:t>
      </w:r>
      <w:bookmarkEnd w:id="63"/>
    </w:p>
    <w:p w14:paraId="13F3D736">
      <w:pPr>
        <w:spacing w:line="360" w:lineRule="auto"/>
        <w:rPr>
          <w:rFonts w:eastAsiaTheme="minorEastAsia"/>
          <w:highlight w:val="none"/>
        </w:rPr>
      </w:pPr>
      <w:r>
        <w:rPr>
          <w:rFonts w:hint="eastAsia" w:asciiTheme="minorEastAsia" w:hAnsiTheme="minorEastAsia" w:eastAsiaTheme="minorEastAsia" w:cstheme="minorEastAsia"/>
          <w:b/>
          <w:bCs/>
          <w:sz w:val="24"/>
          <w:szCs w:val="24"/>
          <w:highlight w:val="none"/>
        </w:rPr>
        <w:t xml:space="preserve">  详见供应商须知前附表。</w:t>
      </w:r>
    </w:p>
    <w:p w14:paraId="374F6869">
      <w:pPr>
        <w:pStyle w:val="4"/>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w:t>
      </w:r>
      <w:bookmarkEnd w:id="64"/>
    </w:p>
    <w:p w14:paraId="223FE453">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投标保证金按照供应商须知前附表要求缴纳。</w:t>
      </w:r>
    </w:p>
    <w:p w14:paraId="0408E2A7">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 供应商未按照招标文件要求交纳投标保证金的或投标保证金的交付单位和供应商的名称必须一致，视为无效投标。</w:t>
      </w:r>
    </w:p>
    <w:p w14:paraId="60858A80">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 未中标供应商的投标保证金，在中标通知书发出后5个工作日内无息退还；中标供应商的投标保证金在合同签订后5个工作日内无息退还。</w:t>
      </w:r>
    </w:p>
    <w:p w14:paraId="22C95588">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 发生下列情形之一的，代理机构将不予退还供应商交纳的投标保证金：</w:t>
      </w:r>
    </w:p>
    <w:p w14:paraId="5212E82B">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开标后在招标文件规定的投标有效期间，供应商撤回其所投投标文件；</w:t>
      </w:r>
    </w:p>
    <w:p w14:paraId="7B38003D">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在采购人确定中标供应商以前放弃中标候选资格的；</w:t>
      </w:r>
    </w:p>
    <w:p w14:paraId="0CB4F6AA">
      <w:pPr>
        <w:numPr>
          <w:ilvl w:val="0"/>
          <w:numId w:val="11"/>
        </w:numPr>
        <w:tabs>
          <w:tab w:val="left" w:pos="0"/>
        </w:tabs>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在评标期间，供应商企图影响采购机构或评标委员会的任何活动，将导致投标被拒绝，并由其承担相应的法律责任；</w:t>
      </w:r>
    </w:p>
    <w:p w14:paraId="0642F10B">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由于中标供应商原因未能按照招标文件的规定与采购人签订合同；</w:t>
      </w:r>
    </w:p>
    <w:p w14:paraId="2C6E26EC">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由于中标供应商原因未能按照招标文件的规定交纳履约保证金；</w:t>
      </w:r>
    </w:p>
    <w:p w14:paraId="1248CDB4">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投标有效期内，供应商在政府采购活动中有违法、违规、违纪行为。</w:t>
      </w:r>
    </w:p>
    <w:p w14:paraId="1E1ED0A4">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中标供应商与采购人订立背离合同实质性内容的其它协议；</w:t>
      </w:r>
    </w:p>
    <w:p w14:paraId="52D753B3">
      <w:pPr>
        <w:numPr>
          <w:ilvl w:val="0"/>
          <w:numId w:val="11"/>
        </w:num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供应商未按招标文件规定和合同约定履行义务的。</w:t>
      </w:r>
    </w:p>
    <w:p w14:paraId="7456A2B9">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 未中标的供应商在退取投标保证金时，须携带以下资料办理到代理机构的财务部门办理：</w:t>
      </w:r>
    </w:p>
    <w:p w14:paraId="0C8A46F6">
      <w:pPr>
        <w:numPr>
          <w:ilvl w:val="0"/>
          <w:numId w:val="12"/>
        </w:num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保证金汇款凭证复印件加盖公章；</w:t>
      </w:r>
    </w:p>
    <w:p w14:paraId="6A3B12CB">
      <w:pPr>
        <w:numPr>
          <w:ilvl w:val="0"/>
          <w:numId w:val="12"/>
        </w:num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供应商对公银行账户信息（加盖公章）见</w:t>
      </w:r>
      <w:r>
        <w:rPr>
          <w:rFonts w:hint="eastAsia" w:asciiTheme="minorEastAsia" w:hAnsiTheme="minorEastAsia" w:eastAsiaTheme="minorEastAsia" w:cstheme="minorEastAsia"/>
          <w:b/>
          <w:bCs/>
          <w:sz w:val="24"/>
          <w:szCs w:val="24"/>
          <w:highlight w:val="none"/>
        </w:rPr>
        <w:t>附件七</w:t>
      </w:r>
      <w:r>
        <w:rPr>
          <w:rFonts w:hint="eastAsia" w:asciiTheme="minorEastAsia" w:hAnsiTheme="minorEastAsia" w:eastAsiaTheme="minorEastAsia" w:cstheme="minorEastAsia"/>
          <w:sz w:val="24"/>
          <w:szCs w:val="24"/>
          <w:highlight w:val="none"/>
        </w:rPr>
        <w:t>。</w:t>
      </w:r>
    </w:p>
    <w:p w14:paraId="1D1E5E40">
      <w:pPr>
        <w:numPr>
          <w:ilvl w:val="0"/>
          <w:numId w:val="13"/>
        </w:numPr>
        <w:adjustRightInd w:val="0"/>
        <w:snapToGrid w:val="0"/>
        <w:spacing w:line="360" w:lineRule="auto"/>
        <w:ind w:left="0"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14:paraId="446E40D7">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4.6 中标供应商在退取投标保证金时，除携带上述资料外还需递交与采购人签订的采购合同一份。</w:t>
      </w:r>
    </w:p>
    <w:p w14:paraId="2AC81B02">
      <w:pPr>
        <w:pStyle w:val="4"/>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5" w:name="_Toc19668"/>
      <w:r>
        <w:rPr>
          <w:rFonts w:hint="eastAsia" w:asciiTheme="minorEastAsia" w:hAnsiTheme="minorEastAsia" w:eastAsiaTheme="minorEastAsia" w:cstheme="minorEastAsia"/>
          <w:sz w:val="24"/>
          <w:szCs w:val="24"/>
          <w:highlight w:val="none"/>
        </w:rPr>
        <w:t>投标有效期</w:t>
      </w:r>
      <w:bookmarkEnd w:id="65"/>
    </w:p>
    <w:p w14:paraId="7F71C2CC">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bookmarkStart w:id="66" w:name="_Toc24827"/>
      <w:r>
        <w:rPr>
          <w:rFonts w:hint="eastAsia" w:asciiTheme="minorEastAsia" w:hAnsiTheme="minorEastAsia" w:eastAsiaTheme="minorEastAsia" w:cstheme="minorEastAsia"/>
          <w:sz w:val="24"/>
          <w:szCs w:val="24"/>
          <w:highlight w:val="none"/>
        </w:rPr>
        <w:t>投标有效期见供应商须知前附表，无投标有效期或投标有效期短于此规定期限的投标文件，视为无效文件，其投标将被拒绝。</w:t>
      </w:r>
      <w:r>
        <w:rPr>
          <w:rFonts w:hint="eastAsia" w:ascii="宋体" w:hAnsi="宋体" w:cs="宋体" w:eastAsiaTheme="minorEastAsia"/>
          <w:sz w:val="24"/>
          <w:szCs w:val="24"/>
          <w:highlight w:val="none"/>
          <w:lang w:val="en-US" w:eastAsia="zh-CN"/>
        </w:rPr>
        <w:t>中标</w:t>
      </w:r>
      <w:r>
        <w:rPr>
          <w:rFonts w:hint="eastAsia" w:ascii="宋体" w:hAnsi="宋体" w:cs="宋体"/>
          <w:sz w:val="24"/>
          <w:szCs w:val="24"/>
          <w:highlight w:val="none"/>
        </w:rPr>
        <w:t>单位的</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文件有效期延长至合同执行完毕。</w:t>
      </w:r>
    </w:p>
    <w:p w14:paraId="4B950D16">
      <w:pPr>
        <w:pStyle w:val="4"/>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投标文件的装订、密封和签署</w:t>
      </w:r>
      <w:bookmarkEnd w:id="66"/>
    </w:p>
    <w:p w14:paraId="727659CB">
      <w:pPr>
        <w:tabs>
          <w:tab w:val="left" w:pos="0"/>
        </w:tabs>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投标文件的装订</w:t>
      </w:r>
    </w:p>
    <w:p w14:paraId="2D3A8AA4">
      <w:pPr>
        <w:spacing w:line="500" w:lineRule="exact"/>
        <w:ind w:firstLine="482" w:firstLineChars="200"/>
        <w:jc w:val="lef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详见供应商须知前附表。</w:t>
      </w:r>
    </w:p>
    <w:p w14:paraId="6D96ED23">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 投标文件的签署</w:t>
      </w:r>
    </w:p>
    <w:p w14:paraId="4F99FA73">
      <w:pPr>
        <w:spacing w:line="500" w:lineRule="exact"/>
        <w:ind w:firstLine="482"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sz w:val="24"/>
          <w:szCs w:val="24"/>
          <w:highlight w:val="none"/>
        </w:rPr>
        <w:t>详见供应商须知前附表。</w:t>
      </w:r>
    </w:p>
    <w:p w14:paraId="09CC8506">
      <w:pPr>
        <w:spacing w:line="5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6.3 投标文件的密封</w:t>
      </w:r>
    </w:p>
    <w:p w14:paraId="739A9D50">
      <w:pPr>
        <w:spacing w:line="500" w:lineRule="exact"/>
        <w:ind w:firstLine="482" w:firstLineChars="200"/>
        <w:jc w:val="left"/>
        <w:rPr>
          <w:highlight w:val="none"/>
        </w:rPr>
      </w:pPr>
      <w:r>
        <w:rPr>
          <w:rFonts w:hint="eastAsia" w:asciiTheme="minorEastAsia" w:hAnsiTheme="minorEastAsia" w:eastAsiaTheme="minorEastAsia" w:cstheme="minorEastAsia"/>
          <w:b/>
          <w:bCs/>
          <w:sz w:val="24"/>
          <w:szCs w:val="24"/>
          <w:highlight w:val="none"/>
        </w:rPr>
        <w:t>详见供应商须知前附表。</w:t>
      </w:r>
    </w:p>
    <w:p w14:paraId="316EFBED">
      <w:pPr>
        <w:pStyle w:val="4"/>
        <w:numPr>
          <w:ilvl w:val="0"/>
          <w:numId w:val="9"/>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67" w:name="_Toc22752"/>
      <w:r>
        <w:rPr>
          <w:rFonts w:hint="eastAsia" w:asciiTheme="minorEastAsia" w:hAnsiTheme="minorEastAsia" w:eastAsiaTheme="minorEastAsia" w:cstheme="minorEastAsia"/>
          <w:sz w:val="24"/>
          <w:szCs w:val="24"/>
          <w:highlight w:val="none"/>
        </w:rPr>
        <w:t>知识产权</w:t>
      </w:r>
      <w:bookmarkEnd w:id="67"/>
    </w:p>
    <w:p w14:paraId="52543073">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 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3568622A">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 采购人享有本项目在实施过程中产生的知识成果及知识产权。</w:t>
      </w:r>
    </w:p>
    <w:p w14:paraId="130642B3">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 供应商如欲在项目实施过程中采用自有知识成果，需在投标文件中声明，并提供相关知识产权证明文件。使用该知识成果后，供应商须提供开发接口和开发手册等技术文档，并承诺提供无限期技术支持，采购人享有永久使用权。</w:t>
      </w:r>
    </w:p>
    <w:p w14:paraId="451D2706">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 如供应商所不拥有的知识产权，则在投标报价中必须包括合法获取该知识产权的相关费用。</w:t>
      </w:r>
    </w:p>
    <w:p w14:paraId="2B7C11FE">
      <w:pPr>
        <w:widowControl/>
        <w:numPr>
          <w:ilvl w:val="0"/>
          <w:numId w:val="3"/>
        </w:numPr>
        <w:spacing w:line="500" w:lineRule="exact"/>
        <w:ind w:firstLine="482" w:firstLineChars="200"/>
        <w:jc w:val="center"/>
        <w:outlineLvl w:val="1"/>
        <w:rPr>
          <w:rFonts w:asciiTheme="minorEastAsia" w:hAnsiTheme="minorEastAsia" w:eastAsiaTheme="minorEastAsia" w:cstheme="minorEastAsia"/>
          <w:b/>
          <w:bCs/>
          <w:kern w:val="0"/>
          <w:sz w:val="24"/>
          <w:szCs w:val="24"/>
          <w:highlight w:val="none"/>
        </w:rPr>
        <w:sectPr>
          <w:pgSz w:w="11906" w:h="16838"/>
          <w:pgMar w:top="1440" w:right="1706" w:bottom="1440" w:left="1800" w:header="851" w:footer="992" w:gutter="0"/>
          <w:cols w:space="720" w:num="1"/>
          <w:docGrid w:type="lines" w:linePitch="312" w:charSpace="0"/>
        </w:sectPr>
      </w:pPr>
      <w:bookmarkStart w:id="68" w:name="_Toc3736"/>
    </w:p>
    <w:p w14:paraId="052470AB">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69" w:name="_Toc21101"/>
      <w:bookmarkStart w:id="70" w:name="_Toc16722"/>
      <w:bookmarkStart w:id="71" w:name="_Toc25743"/>
      <w:bookmarkStart w:id="72" w:name="_Toc32547"/>
      <w:bookmarkStart w:id="73" w:name="_Toc3565"/>
      <w:bookmarkStart w:id="74" w:name="_Toc14648"/>
      <w:r>
        <w:rPr>
          <w:rFonts w:hint="eastAsia" w:asciiTheme="minorEastAsia" w:hAnsiTheme="minorEastAsia" w:eastAsiaTheme="minorEastAsia" w:cstheme="minorEastAsia"/>
          <w:b/>
          <w:bCs/>
          <w:kern w:val="0"/>
          <w:sz w:val="32"/>
          <w:szCs w:val="32"/>
          <w:highlight w:val="none"/>
        </w:rPr>
        <w:t>投标文件的递交</w:t>
      </w:r>
      <w:bookmarkEnd w:id="69"/>
      <w:bookmarkEnd w:id="70"/>
      <w:bookmarkEnd w:id="71"/>
      <w:bookmarkEnd w:id="72"/>
      <w:bookmarkEnd w:id="73"/>
      <w:bookmarkEnd w:id="74"/>
    </w:p>
    <w:bookmarkEnd w:id="68"/>
    <w:p w14:paraId="39607F61">
      <w:pPr>
        <w:pStyle w:val="4"/>
        <w:keepNext w:val="0"/>
        <w:keepLines w:val="0"/>
        <w:numPr>
          <w:ilvl w:val="0"/>
          <w:numId w:val="14"/>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75" w:name="_Toc3685"/>
      <w:r>
        <w:rPr>
          <w:rFonts w:hint="eastAsia" w:asciiTheme="minorEastAsia" w:hAnsiTheme="minorEastAsia" w:eastAsiaTheme="minorEastAsia" w:cstheme="minorEastAsia"/>
          <w:sz w:val="24"/>
          <w:szCs w:val="24"/>
          <w:highlight w:val="none"/>
        </w:rPr>
        <w:t>投标文件递交</w:t>
      </w:r>
      <w:bookmarkEnd w:id="75"/>
    </w:p>
    <w:p w14:paraId="6F45B872">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bookmarkStart w:id="76" w:name="_Toc12741"/>
      <w:r>
        <w:rPr>
          <w:rFonts w:hint="eastAsia" w:asciiTheme="minorEastAsia" w:hAnsiTheme="minorEastAsia" w:eastAsiaTheme="minorEastAsia" w:cstheme="minorEastAsia"/>
          <w:sz w:val="24"/>
          <w:szCs w:val="24"/>
          <w:highlight w:val="none"/>
        </w:rPr>
        <w:t xml:space="preserve"> 1.1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14:paraId="20CD2976">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1.2逾期送达或者未按照招标文件要求密封的投标文件，采购代理机构应当拒收。</w:t>
      </w:r>
    </w:p>
    <w:p w14:paraId="0AFD2F4B">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1.3代理机构不接受邮寄的投标文件。</w:t>
      </w:r>
    </w:p>
    <w:p w14:paraId="2B647C88">
      <w:pPr>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无论供应商中标与否，其投标文件恕不退还。</w:t>
      </w:r>
    </w:p>
    <w:p w14:paraId="19E581DE">
      <w:pPr>
        <w:pStyle w:val="4"/>
        <w:keepNext w:val="0"/>
        <w:keepLines w:val="0"/>
        <w:numPr>
          <w:ilvl w:val="0"/>
          <w:numId w:val="14"/>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投标文件的修改和撤回</w:t>
      </w:r>
      <w:bookmarkEnd w:id="76"/>
    </w:p>
    <w:p w14:paraId="658563C1">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2.1投标</w:t>
      </w:r>
      <w:r>
        <w:rPr>
          <w:rFonts w:hint="eastAsia" w:ascii="宋体" w:hAnsi="宋体"/>
          <w:sz w:val="24"/>
          <w:highlight w:val="none"/>
        </w:rPr>
        <w:t>文件递交后，如果</w:t>
      </w:r>
      <w:r>
        <w:rPr>
          <w:rFonts w:hint="eastAsia" w:ascii="宋体" w:hAnsi="宋体" w:cs="宋体"/>
          <w:sz w:val="24"/>
          <w:szCs w:val="24"/>
          <w:highlight w:val="none"/>
          <w:lang w:val="en-US" w:eastAsia="zh-CN"/>
        </w:rPr>
        <w:t>供应商</w:t>
      </w:r>
      <w:r>
        <w:rPr>
          <w:rFonts w:hint="eastAsia" w:ascii="宋体" w:hAnsi="宋体"/>
          <w:sz w:val="24"/>
          <w:highlight w:val="none"/>
        </w:rPr>
        <w:t>提出书面修改、补充和撤回</w:t>
      </w:r>
      <w:r>
        <w:rPr>
          <w:rFonts w:hint="eastAsia" w:ascii="宋体" w:hAnsi="宋体"/>
          <w:sz w:val="24"/>
          <w:highlight w:val="none"/>
          <w:lang w:val="en-US" w:eastAsia="zh-CN"/>
        </w:rPr>
        <w:t>投标</w:t>
      </w:r>
      <w:r>
        <w:rPr>
          <w:rFonts w:hint="eastAsia" w:ascii="宋体" w:hAnsi="宋体"/>
          <w:sz w:val="24"/>
          <w:highlight w:val="none"/>
        </w:rPr>
        <w:t>文件要求，在投标截止时间前以书面形式送达采购代理机构；</w:t>
      </w:r>
    </w:p>
    <w:p w14:paraId="4C6B5531">
      <w:pPr>
        <w:spacing w:line="500" w:lineRule="exact"/>
        <w:ind w:firstLine="480" w:firstLineChars="200"/>
        <w:jc w:val="left"/>
        <w:rPr>
          <w:rFonts w:hint="eastAsia" w:ascii="宋体" w:hAnsi="宋体"/>
          <w:sz w:val="24"/>
          <w:highlight w:val="none"/>
        </w:rPr>
      </w:pPr>
      <w:r>
        <w:rPr>
          <w:rFonts w:hint="eastAsia" w:ascii="宋体" w:hAnsi="宋体"/>
          <w:sz w:val="24"/>
          <w:highlight w:val="none"/>
          <w:lang w:val="en-US" w:eastAsia="zh-CN"/>
        </w:rPr>
        <w:t>2.2供应商</w:t>
      </w:r>
      <w:r>
        <w:rPr>
          <w:rFonts w:hint="eastAsia" w:ascii="宋体" w:hAnsi="宋体"/>
          <w:sz w:val="24"/>
          <w:highlight w:val="none"/>
        </w:rPr>
        <w:t>修改</w:t>
      </w:r>
      <w:r>
        <w:rPr>
          <w:rFonts w:hint="eastAsia" w:ascii="宋体" w:hAnsi="宋体"/>
          <w:sz w:val="24"/>
          <w:highlight w:val="none"/>
          <w:lang w:val="en-US" w:eastAsia="zh-CN"/>
        </w:rPr>
        <w:t>投标</w:t>
      </w:r>
      <w:r>
        <w:rPr>
          <w:rFonts w:hint="eastAsia" w:ascii="宋体" w:hAnsi="宋体"/>
          <w:sz w:val="24"/>
          <w:highlight w:val="none"/>
        </w:rPr>
        <w:t>文件的书面材料，须密封送达采购代理机构，修改或补充的内容应按</w:t>
      </w:r>
      <w:r>
        <w:rPr>
          <w:rFonts w:hint="eastAsia" w:ascii="宋体" w:hAnsi="宋体"/>
          <w:sz w:val="24"/>
          <w:highlight w:val="none"/>
          <w:lang w:val="en-US" w:eastAsia="zh-CN"/>
        </w:rPr>
        <w:t>招标</w:t>
      </w:r>
      <w:r>
        <w:rPr>
          <w:rFonts w:hint="eastAsia" w:ascii="宋体" w:hAnsi="宋体"/>
          <w:sz w:val="24"/>
          <w:highlight w:val="none"/>
        </w:rPr>
        <w:t>文件要求签署、盖章、密封、</w:t>
      </w:r>
      <w:r>
        <w:rPr>
          <w:rFonts w:hint="eastAsia" w:ascii="宋体" w:hAnsi="宋体"/>
          <w:sz w:val="24"/>
          <w:highlight w:val="none"/>
          <w:lang w:eastAsia="zh-CN"/>
        </w:rPr>
        <w:t>标记，</w:t>
      </w:r>
      <w:r>
        <w:rPr>
          <w:rFonts w:hint="eastAsia" w:asciiTheme="minorEastAsia" w:hAnsiTheme="minorEastAsia" w:cstheme="minorEastAsia"/>
          <w:sz w:val="24"/>
          <w:szCs w:val="24"/>
          <w:highlight w:val="none"/>
        </w:rPr>
        <w:t>同时应在封套上标明“修改投标文件(并注明项目编号)”和“开标时启封”字样</w:t>
      </w:r>
      <w:r>
        <w:rPr>
          <w:rFonts w:hint="eastAsia" w:ascii="宋体" w:hAnsi="宋体"/>
          <w:sz w:val="24"/>
          <w:highlight w:val="none"/>
        </w:rPr>
        <w:t>，并作为</w:t>
      </w:r>
      <w:r>
        <w:rPr>
          <w:rFonts w:hint="eastAsia" w:ascii="宋体" w:hAnsi="宋体"/>
          <w:sz w:val="24"/>
          <w:highlight w:val="none"/>
          <w:lang w:val="en-US" w:eastAsia="zh-CN"/>
        </w:rPr>
        <w:t>投标</w:t>
      </w:r>
      <w:r>
        <w:rPr>
          <w:rFonts w:hint="eastAsia" w:ascii="宋体" w:hAnsi="宋体"/>
          <w:sz w:val="24"/>
          <w:highlight w:val="none"/>
        </w:rPr>
        <w:t>文件的组成部分；</w:t>
      </w:r>
    </w:p>
    <w:p w14:paraId="61FC6CEE">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2.3</w:t>
      </w:r>
      <w:r>
        <w:rPr>
          <w:rFonts w:hint="eastAsia" w:ascii="宋体" w:hAnsi="宋体"/>
          <w:sz w:val="24"/>
          <w:highlight w:val="none"/>
        </w:rPr>
        <w:t>撤回</w:t>
      </w:r>
      <w:r>
        <w:rPr>
          <w:rFonts w:hint="eastAsia" w:ascii="宋体" w:hAnsi="宋体"/>
          <w:sz w:val="24"/>
          <w:highlight w:val="none"/>
          <w:lang w:val="en-US" w:eastAsia="zh-CN"/>
        </w:rPr>
        <w:t>投标</w:t>
      </w:r>
      <w:r>
        <w:rPr>
          <w:rFonts w:hint="eastAsia" w:ascii="宋体" w:hAnsi="宋体"/>
          <w:sz w:val="24"/>
          <w:highlight w:val="none"/>
        </w:rPr>
        <w:t>文件应以书面的形式通知采购代理机构。采取书面形式撤回</w:t>
      </w:r>
      <w:r>
        <w:rPr>
          <w:rFonts w:hint="eastAsia" w:ascii="宋体" w:hAnsi="宋体"/>
          <w:sz w:val="24"/>
          <w:highlight w:val="none"/>
          <w:lang w:val="en-US" w:eastAsia="zh-CN"/>
        </w:rPr>
        <w:t>投标</w:t>
      </w:r>
      <w:r>
        <w:rPr>
          <w:rFonts w:hint="eastAsia" w:ascii="宋体" w:hAnsi="宋体"/>
          <w:sz w:val="24"/>
          <w:highlight w:val="none"/>
        </w:rPr>
        <w:t>文件，随后必须补充有法定代表人或被授权人签署的要求撤回</w:t>
      </w:r>
      <w:r>
        <w:rPr>
          <w:rFonts w:hint="eastAsia" w:ascii="宋体" w:hAnsi="宋体"/>
          <w:sz w:val="24"/>
          <w:highlight w:val="none"/>
          <w:lang w:val="en-US" w:eastAsia="zh-CN"/>
        </w:rPr>
        <w:t>投标</w:t>
      </w:r>
      <w:r>
        <w:rPr>
          <w:rFonts w:hint="eastAsia" w:ascii="宋体" w:hAnsi="宋体"/>
          <w:sz w:val="24"/>
          <w:highlight w:val="none"/>
        </w:rPr>
        <w:t>文件的正式文件；撤回</w:t>
      </w:r>
      <w:r>
        <w:rPr>
          <w:rFonts w:hint="eastAsia" w:ascii="宋体" w:hAnsi="宋体"/>
          <w:sz w:val="24"/>
          <w:highlight w:val="none"/>
          <w:lang w:val="en-US" w:eastAsia="zh-CN"/>
        </w:rPr>
        <w:t>投标</w:t>
      </w:r>
      <w:r>
        <w:rPr>
          <w:rFonts w:hint="eastAsia" w:ascii="宋体" w:hAnsi="宋体"/>
          <w:sz w:val="24"/>
          <w:highlight w:val="none"/>
        </w:rPr>
        <w:t>文件的时间以送达采购代理机构到达日期为准；</w:t>
      </w:r>
    </w:p>
    <w:p w14:paraId="79680B7E">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2.4</w:t>
      </w:r>
      <w:r>
        <w:rPr>
          <w:rFonts w:hint="eastAsia" w:ascii="宋体" w:hAnsi="宋体"/>
          <w:sz w:val="24"/>
          <w:highlight w:val="none"/>
        </w:rPr>
        <w:t>在投标截止时间后到</w:t>
      </w:r>
      <w:r>
        <w:rPr>
          <w:rFonts w:hint="eastAsia" w:ascii="宋体" w:hAnsi="宋体"/>
          <w:sz w:val="24"/>
          <w:highlight w:val="none"/>
          <w:lang w:val="en-US" w:eastAsia="zh-CN"/>
        </w:rPr>
        <w:t>招标</w:t>
      </w:r>
      <w:r>
        <w:rPr>
          <w:rFonts w:hint="eastAsia" w:ascii="宋体" w:hAnsi="宋体"/>
          <w:sz w:val="24"/>
          <w:highlight w:val="none"/>
        </w:rPr>
        <w:t>文件规定的投标有效期满之间的这段时间内，</w:t>
      </w:r>
      <w:r>
        <w:rPr>
          <w:rFonts w:hint="eastAsia" w:ascii="宋体" w:hAnsi="宋体"/>
          <w:sz w:val="24"/>
          <w:highlight w:val="none"/>
          <w:lang w:val="en-US" w:eastAsia="zh-CN"/>
        </w:rPr>
        <w:t>供应商</w:t>
      </w:r>
      <w:r>
        <w:rPr>
          <w:rFonts w:hint="eastAsia" w:ascii="宋体" w:hAnsi="宋体"/>
          <w:sz w:val="24"/>
          <w:highlight w:val="none"/>
        </w:rPr>
        <w:t>不得撤回其</w:t>
      </w:r>
      <w:r>
        <w:rPr>
          <w:rFonts w:hint="eastAsia" w:ascii="宋体" w:hAnsi="宋体"/>
          <w:sz w:val="24"/>
          <w:highlight w:val="none"/>
          <w:lang w:val="en-US" w:eastAsia="zh-CN"/>
        </w:rPr>
        <w:t>投标</w:t>
      </w:r>
      <w:r>
        <w:rPr>
          <w:rFonts w:hint="eastAsia" w:ascii="宋体" w:hAnsi="宋体"/>
          <w:sz w:val="24"/>
          <w:highlight w:val="none"/>
        </w:rPr>
        <w:t>文件；</w:t>
      </w:r>
    </w:p>
    <w:p w14:paraId="046944FC">
      <w:pPr>
        <w:spacing w:line="500" w:lineRule="exact"/>
        <w:ind w:firstLine="480" w:firstLineChars="200"/>
        <w:jc w:val="left"/>
        <w:rPr>
          <w:rFonts w:asciiTheme="minorEastAsia" w:hAnsiTheme="minorEastAsia" w:eastAsiaTheme="minorEastAsia" w:cstheme="minorEastAsia"/>
          <w:sz w:val="24"/>
          <w:szCs w:val="24"/>
          <w:highlight w:val="none"/>
        </w:rPr>
      </w:pPr>
      <w:bookmarkStart w:id="77" w:name="_Toc14734"/>
      <w:r>
        <w:rPr>
          <w:rFonts w:hint="eastAsia" w:ascii="宋体" w:hAnsi="宋体"/>
          <w:sz w:val="24"/>
          <w:highlight w:val="none"/>
          <w:lang w:val="en-US" w:eastAsia="zh-CN"/>
        </w:rPr>
        <w:t>2.5</w:t>
      </w:r>
      <w:r>
        <w:rPr>
          <w:rFonts w:hint="eastAsia" w:ascii="宋体" w:hAnsi="宋体"/>
          <w:sz w:val="24"/>
          <w:highlight w:val="none"/>
        </w:rPr>
        <w:t>在</w:t>
      </w:r>
      <w:r>
        <w:rPr>
          <w:rFonts w:hint="eastAsia" w:ascii="宋体" w:hAnsi="宋体"/>
          <w:sz w:val="24"/>
          <w:highlight w:val="none"/>
          <w:lang w:val="en-US" w:eastAsia="zh-CN"/>
        </w:rPr>
        <w:t>招标</w:t>
      </w:r>
      <w:r>
        <w:rPr>
          <w:rFonts w:hint="eastAsia" w:ascii="宋体" w:hAnsi="宋体"/>
          <w:sz w:val="24"/>
          <w:highlight w:val="none"/>
        </w:rPr>
        <w:t>截止时间之后，</w:t>
      </w:r>
      <w:r>
        <w:rPr>
          <w:rFonts w:hint="eastAsia" w:ascii="宋体" w:hAnsi="宋体"/>
          <w:sz w:val="24"/>
          <w:highlight w:val="none"/>
          <w:lang w:val="en-US" w:eastAsia="zh-CN"/>
        </w:rPr>
        <w:t>供应商</w:t>
      </w:r>
      <w:r>
        <w:rPr>
          <w:rFonts w:hint="eastAsia" w:ascii="宋体" w:hAnsi="宋体"/>
          <w:sz w:val="24"/>
          <w:highlight w:val="none"/>
        </w:rPr>
        <w:t>不得对其递交的</w:t>
      </w:r>
      <w:r>
        <w:rPr>
          <w:rFonts w:hint="eastAsia" w:ascii="宋体" w:hAnsi="宋体"/>
          <w:sz w:val="24"/>
          <w:highlight w:val="none"/>
          <w:lang w:val="en-US" w:eastAsia="zh-CN"/>
        </w:rPr>
        <w:t>投标</w:t>
      </w:r>
      <w:r>
        <w:rPr>
          <w:rFonts w:hint="eastAsia" w:ascii="宋体" w:hAnsi="宋体"/>
          <w:sz w:val="24"/>
          <w:highlight w:val="none"/>
        </w:rPr>
        <w:t>文件做任何修改或撤回。</w:t>
      </w:r>
      <w:bookmarkEnd w:id="77"/>
    </w:p>
    <w:p w14:paraId="7E8101ED">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78" w:name="_Toc15135"/>
      <w:bookmarkStart w:id="79" w:name="_Toc27066"/>
      <w:bookmarkStart w:id="80" w:name="_Toc30172"/>
      <w:bookmarkStart w:id="81" w:name="_Toc14415"/>
      <w:bookmarkStart w:id="82" w:name="_Toc23034"/>
      <w:bookmarkStart w:id="83" w:name="_Toc25178"/>
      <w:bookmarkStart w:id="84" w:name="_Toc23798"/>
      <w:r>
        <w:rPr>
          <w:rFonts w:hint="eastAsia" w:asciiTheme="minorEastAsia" w:hAnsiTheme="minorEastAsia" w:eastAsiaTheme="minorEastAsia" w:cstheme="minorEastAsia"/>
          <w:b/>
          <w:bCs/>
          <w:kern w:val="0"/>
          <w:sz w:val="32"/>
          <w:szCs w:val="32"/>
          <w:highlight w:val="none"/>
        </w:rPr>
        <w:t>开标、评审、定标</w:t>
      </w:r>
      <w:bookmarkEnd w:id="78"/>
      <w:bookmarkEnd w:id="79"/>
      <w:bookmarkEnd w:id="80"/>
      <w:bookmarkEnd w:id="81"/>
      <w:bookmarkEnd w:id="82"/>
      <w:bookmarkEnd w:id="83"/>
      <w:bookmarkEnd w:id="84"/>
    </w:p>
    <w:p w14:paraId="65D1AC54">
      <w:pPr>
        <w:pStyle w:val="4"/>
        <w:keepNext w:val="0"/>
        <w:keepLines w:val="0"/>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85" w:name="_Toc27216"/>
      <w:r>
        <w:rPr>
          <w:rFonts w:hint="eastAsia" w:asciiTheme="minorEastAsia" w:hAnsiTheme="minorEastAsia" w:eastAsiaTheme="minorEastAsia" w:cstheme="minorEastAsia"/>
          <w:sz w:val="24"/>
          <w:szCs w:val="24"/>
          <w:highlight w:val="none"/>
        </w:rPr>
        <w:t>开标</w:t>
      </w:r>
      <w:bookmarkEnd w:id="85"/>
    </w:p>
    <w:p w14:paraId="6B351141">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采购代理机构按招标公告中规定的时间和地点接收供应商递交的投标文件，主持开标会议，邀请供应商参加。</w:t>
      </w:r>
    </w:p>
    <w:p w14:paraId="5D91125B">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开标时，供应商与监标人共同检查投标文件密封情况并签字确认。确认无误后方可拆封投标文件，以公开唱标的形式将唱标报告的内容公布，公开招标过程中公开代理机构指定专人负责将供应商的名称、投标项目名称、投标价格等进行记录，并存档备案；所有投标唱标完毕，如供应商代表对宣读的“投标报价一览表”上的内容有异议的，应在获得开标会议主持人同意后当场提出。如确实属于唱标人员宣读错误，经现供应商代表核实后，当场予以更正，不属于唱标人员宣读错误的，以单独密封的投标报价一览表为准。</w:t>
      </w:r>
    </w:p>
    <w:p w14:paraId="6F224F1F">
      <w:pPr>
        <w:widowControl/>
        <w:tabs>
          <w:tab w:val="left" w:pos="0"/>
        </w:tabs>
        <w:spacing w:line="5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 xml:space="preserve">1.3 </w:t>
      </w:r>
      <w:r>
        <w:rPr>
          <w:rFonts w:asciiTheme="minorEastAsia" w:hAnsiTheme="minorEastAsia" w:cstheme="minorEastAsia"/>
          <w:sz w:val="24"/>
          <w:szCs w:val="24"/>
          <w:highlight w:val="none"/>
        </w:rPr>
        <w:t>代理机构指定专人负责将</w:t>
      </w:r>
      <w:r>
        <w:rPr>
          <w:rFonts w:hint="eastAsia" w:asciiTheme="minorEastAsia" w:hAnsiTheme="minorEastAsia" w:cstheme="minorEastAsia"/>
          <w:sz w:val="24"/>
          <w:szCs w:val="24"/>
          <w:highlight w:val="none"/>
          <w:lang w:eastAsia="zh-CN"/>
        </w:rPr>
        <w:t>供应商</w:t>
      </w:r>
      <w:r>
        <w:rPr>
          <w:rFonts w:asciiTheme="minorEastAsia" w:hAnsiTheme="minorEastAsia" w:cstheme="minorEastAsia"/>
          <w:sz w:val="24"/>
          <w:szCs w:val="24"/>
          <w:highlight w:val="none"/>
        </w:rPr>
        <w:t>的名称、投标项目名称、投标价格等</w:t>
      </w:r>
      <w:r>
        <w:rPr>
          <w:rFonts w:hint="eastAsia" w:asciiTheme="minorEastAsia" w:hAnsiTheme="minorEastAsia" w:cstheme="minorEastAsia"/>
          <w:sz w:val="24"/>
          <w:szCs w:val="24"/>
          <w:highlight w:val="none"/>
        </w:rPr>
        <w:t>开标过程</w:t>
      </w:r>
      <w:r>
        <w:rPr>
          <w:rFonts w:asciiTheme="minorEastAsia" w:hAnsiTheme="minorEastAsia" w:cstheme="minorEastAsia"/>
          <w:sz w:val="24"/>
          <w:szCs w:val="24"/>
          <w:highlight w:val="none"/>
        </w:rPr>
        <w:t>进行记录，</w:t>
      </w:r>
      <w:r>
        <w:rPr>
          <w:rFonts w:hint="eastAsia" w:asciiTheme="minorEastAsia" w:hAnsiTheme="minorEastAsia" w:cstheme="minorEastAsia"/>
          <w:sz w:val="24"/>
          <w:szCs w:val="24"/>
          <w:highlight w:val="none"/>
        </w:rPr>
        <w:t>由参加开标的各</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代表签字确认，</w:t>
      </w:r>
      <w:r>
        <w:rPr>
          <w:rFonts w:asciiTheme="minorEastAsia" w:hAnsiTheme="minorEastAsia" w:cstheme="minorEastAsia"/>
          <w:sz w:val="24"/>
          <w:szCs w:val="24"/>
          <w:highlight w:val="none"/>
        </w:rPr>
        <w:t>并存档备案</w:t>
      </w:r>
      <w:r>
        <w:rPr>
          <w:rFonts w:hint="eastAsia" w:asciiTheme="minorEastAsia" w:hAnsiTheme="minorEastAsia" w:cstheme="minorEastAsia"/>
          <w:sz w:val="24"/>
          <w:szCs w:val="24"/>
          <w:highlight w:val="none"/>
        </w:rPr>
        <w:t>。</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未参加开标或未签字确认的，视同认可开标结果。</w:t>
      </w:r>
    </w:p>
    <w:p w14:paraId="76ADC274">
      <w:pPr>
        <w:widowControl/>
        <w:tabs>
          <w:tab w:val="left" w:pos="0"/>
        </w:tabs>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1.4 </w:t>
      </w:r>
      <w:r>
        <w:rPr>
          <w:rFonts w:hint="eastAsia" w:asciiTheme="minorEastAsia" w:hAnsiTheme="minorEastAsia" w:eastAsiaTheme="minorEastAsia" w:cstheme="minorEastAsia"/>
          <w:sz w:val="24"/>
          <w:szCs w:val="24"/>
          <w:highlight w:val="none"/>
        </w:rPr>
        <w:t>开标时，投标文件中出现下列情况，修正原则为：</w:t>
      </w:r>
    </w:p>
    <w:p w14:paraId="30A5A545">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投标文件中投标报价一览表（报价表）内容与投标文件中相应内容不一致的，以投标报价一览表（报价表）为准；</w:t>
      </w:r>
    </w:p>
    <w:p w14:paraId="22848BA9">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大写金额和小写金额不一致的，以大写金额为准；</w:t>
      </w:r>
    </w:p>
    <w:p w14:paraId="278CF3C3">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单价金额小数点或者百分比有明显错位的，以投标报价一览表的总价为准，并修改单价；</w:t>
      </w:r>
    </w:p>
    <w:p w14:paraId="30A7EAF7">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总价金额与按单价汇总金额不一致的，以单价金额计算结果为准； </w:t>
      </w:r>
    </w:p>
    <w:p w14:paraId="39C292F4">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投标文件正本与副本不一致的，以正本为准；</w:t>
      </w:r>
    </w:p>
    <w:p w14:paraId="6ABD26DB">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报价金额精确到小数点后两位，不进行四舍五入；</w:t>
      </w:r>
    </w:p>
    <w:p w14:paraId="6944D708">
      <w:pPr>
        <w:numPr>
          <w:ilvl w:val="0"/>
          <w:numId w:val="16"/>
        </w:numPr>
        <w:spacing w:line="500" w:lineRule="exact"/>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投标文件单独密封递交的投标报价一览表与正本不一致的，以单独密封递交的投标报价一览表为准；</w:t>
      </w:r>
    </w:p>
    <w:p w14:paraId="72B1B218">
      <w:pPr>
        <w:spacing w:line="500" w:lineRule="exact"/>
        <w:ind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同时出现两种以上不一致的，按照前款规定的顺序修正。修正后的报价按照《政府采购货物和服务招标投标管理办法》第五十一条第二款的规定经供应商确认后产生约束力，供应商不确认的，其投标无效。</w:t>
      </w:r>
    </w:p>
    <w:p w14:paraId="314B754E">
      <w:pPr>
        <w:pStyle w:val="11"/>
        <w:rPr>
          <w:rFonts w:hint="eastAsia" w:asciiTheme="minorEastAsia" w:hAnsiTheme="minorEastAsia" w:eastAsiaTheme="minorEastAsia" w:cstheme="minorEastAsia"/>
          <w:kern w:val="0"/>
          <w:sz w:val="24"/>
          <w:szCs w:val="24"/>
          <w:highlight w:val="none"/>
        </w:rPr>
      </w:pPr>
    </w:p>
    <w:p w14:paraId="0CC980F3">
      <w:pPr>
        <w:spacing w:line="500" w:lineRule="exact"/>
        <w:ind w:firstLine="480" w:firstLineChars="200"/>
        <w:jc w:val="left"/>
        <w:rPr>
          <w:highlight w:val="none"/>
        </w:rPr>
      </w:pPr>
      <w:r>
        <w:rPr>
          <w:rFonts w:hint="eastAsia" w:asciiTheme="minorEastAsia" w:hAnsiTheme="minorEastAsia" w:cstheme="minorEastAsia"/>
          <w:kern w:val="0"/>
          <w:sz w:val="24"/>
          <w:szCs w:val="24"/>
          <w:highlight w:val="none"/>
        </w:rPr>
        <w:t>1.5</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代表对开标过程和开标记录有疑义，以及认为采购人、采购代理机构相关工作人员有需要回避的情形的，应当场提出询问或者回避申请。</w:t>
      </w:r>
    </w:p>
    <w:p w14:paraId="0B26215C">
      <w:pPr>
        <w:pStyle w:val="4"/>
        <w:keepNext w:val="0"/>
        <w:keepLines w:val="0"/>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86" w:name="_Toc380336750"/>
      <w:bookmarkStart w:id="87" w:name="_Toc20569"/>
      <w:bookmarkStart w:id="88" w:name="_Toc358364344"/>
      <w:bookmarkStart w:id="89" w:name="_Toc801"/>
      <w:r>
        <w:rPr>
          <w:rFonts w:hint="eastAsia" w:asciiTheme="minorEastAsia" w:hAnsiTheme="minorEastAsia" w:eastAsiaTheme="minorEastAsia" w:cstheme="minorEastAsia"/>
          <w:sz w:val="24"/>
          <w:szCs w:val="24"/>
          <w:highlight w:val="none"/>
        </w:rPr>
        <w:t>评标委员会</w:t>
      </w:r>
      <w:bookmarkEnd w:id="86"/>
      <w:bookmarkEnd w:id="87"/>
      <w:bookmarkEnd w:id="88"/>
      <w:bookmarkEnd w:id="89"/>
    </w:p>
    <w:p w14:paraId="09673A9F">
      <w:pPr>
        <w:widowControl/>
        <w:spacing w:line="460" w:lineRule="exact"/>
        <w:ind w:firstLine="420" w:firstLineChars="175"/>
        <w:jc w:val="left"/>
        <w:rPr>
          <w:rFonts w:asciiTheme="minorEastAsia" w:hAnsiTheme="minorEastAsia" w:eastAsiaTheme="minorEastAsia" w:cstheme="minorEastAsia"/>
          <w:sz w:val="24"/>
          <w:szCs w:val="24"/>
          <w:highlight w:val="none"/>
        </w:rPr>
      </w:pPr>
      <w:bookmarkStart w:id="90" w:name="_Toc27940"/>
      <w:bookmarkStart w:id="91" w:name="_Toc28085"/>
      <w:bookmarkStart w:id="92" w:name="_Toc385958808"/>
      <w:bookmarkStart w:id="93" w:name="_Toc386129876"/>
      <w:r>
        <w:rPr>
          <w:rFonts w:hint="eastAsia" w:asciiTheme="minorEastAsia" w:hAnsiTheme="minorEastAsia" w:eastAsiaTheme="minorEastAsia" w:cstheme="minorEastAsia"/>
          <w:kern w:val="0"/>
          <w:sz w:val="24"/>
          <w:szCs w:val="24"/>
          <w:highlight w:val="none"/>
        </w:rPr>
        <w:t>2.1</w:t>
      </w:r>
      <w:r>
        <w:rPr>
          <w:rFonts w:hint="eastAsia" w:asciiTheme="minorEastAsia" w:hAnsiTheme="minorEastAsia" w:eastAsiaTheme="minorEastAsia" w:cstheme="minorEastAsia"/>
          <w:sz w:val="24"/>
          <w:szCs w:val="24"/>
          <w:highlight w:val="none"/>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14:paraId="30E0669C">
      <w:pPr>
        <w:spacing w:line="500" w:lineRule="exact"/>
        <w:ind w:firstLine="720" w:firstLineChars="300"/>
        <w:jc w:val="left"/>
        <w:rPr>
          <w:rFonts w:ascii="宋体" w:hAnsi="宋体" w:cs="宋体"/>
          <w:sz w:val="24"/>
          <w:szCs w:val="24"/>
          <w:highlight w:val="none"/>
        </w:rPr>
      </w:pPr>
      <w:r>
        <w:rPr>
          <w:rFonts w:hint="eastAsia" w:asciiTheme="minorEastAsia" w:hAnsiTheme="minorEastAsia" w:cstheme="minorEastAsia"/>
          <w:kern w:val="0"/>
          <w:sz w:val="24"/>
          <w:szCs w:val="24"/>
          <w:highlight w:val="none"/>
        </w:rPr>
        <w:t>2.1.1遵纪守</w:t>
      </w:r>
      <w:r>
        <w:rPr>
          <w:rFonts w:hint="eastAsia" w:ascii="宋体" w:hAnsi="宋体" w:cs="宋体"/>
          <w:sz w:val="24"/>
          <w:szCs w:val="24"/>
          <w:highlight w:val="none"/>
        </w:rPr>
        <w:t>法，客</w:t>
      </w:r>
      <w:r>
        <w:rPr>
          <w:rFonts w:ascii="宋体" w:hAnsi="宋体" w:cs="宋体"/>
          <w:sz w:val="24"/>
          <w:szCs w:val="24"/>
          <w:highlight w:val="none"/>
        </w:rPr>
        <w:t>观</w:t>
      </w:r>
      <w:r>
        <w:rPr>
          <w:rFonts w:hint="eastAsia" w:ascii="宋体" w:hAnsi="宋体" w:cs="宋体"/>
          <w:sz w:val="24"/>
          <w:szCs w:val="24"/>
          <w:highlight w:val="none"/>
        </w:rPr>
        <w:t>、公正、</w:t>
      </w:r>
      <w:r>
        <w:rPr>
          <w:rFonts w:ascii="宋体" w:hAnsi="宋体" w:cs="宋体"/>
          <w:sz w:val="24"/>
          <w:szCs w:val="24"/>
          <w:highlight w:val="none"/>
        </w:rPr>
        <w:t>认</w:t>
      </w:r>
      <w:r>
        <w:rPr>
          <w:rFonts w:hint="eastAsia" w:ascii="宋体" w:hAnsi="宋体" w:cs="宋体"/>
          <w:sz w:val="24"/>
          <w:szCs w:val="24"/>
          <w:highlight w:val="none"/>
        </w:rPr>
        <w:t>真</w:t>
      </w:r>
      <w:r>
        <w:rPr>
          <w:rFonts w:ascii="宋体" w:hAnsi="宋体" w:cs="宋体"/>
          <w:sz w:val="24"/>
          <w:szCs w:val="24"/>
          <w:highlight w:val="none"/>
        </w:rPr>
        <w:t>负责</w:t>
      </w:r>
      <w:r>
        <w:rPr>
          <w:rFonts w:hint="eastAsia" w:ascii="宋体" w:hAnsi="宋体" w:cs="宋体"/>
          <w:sz w:val="24"/>
          <w:szCs w:val="24"/>
          <w:highlight w:val="none"/>
        </w:rPr>
        <w:t>地履行</w:t>
      </w:r>
      <w:r>
        <w:rPr>
          <w:rFonts w:ascii="宋体" w:hAnsi="宋体" w:cs="宋体"/>
          <w:sz w:val="24"/>
          <w:szCs w:val="24"/>
          <w:highlight w:val="none"/>
        </w:rPr>
        <w:t>职责，审</w:t>
      </w:r>
      <w:r>
        <w:rPr>
          <w:rFonts w:hint="eastAsia" w:ascii="宋体" w:hAnsi="宋体" w:cs="宋体"/>
          <w:sz w:val="24"/>
          <w:szCs w:val="24"/>
          <w:highlight w:val="none"/>
        </w:rPr>
        <w:t>查投</w:t>
      </w:r>
      <w:r>
        <w:rPr>
          <w:rFonts w:ascii="宋体" w:hAnsi="宋体" w:cs="宋体"/>
          <w:sz w:val="24"/>
          <w:szCs w:val="24"/>
          <w:highlight w:val="none"/>
        </w:rPr>
        <w:t>标</w:t>
      </w:r>
      <w:r>
        <w:rPr>
          <w:rFonts w:hint="eastAsia" w:ascii="宋体" w:hAnsi="宋体" w:cs="宋体"/>
          <w:sz w:val="24"/>
          <w:szCs w:val="24"/>
          <w:highlight w:val="none"/>
        </w:rPr>
        <w:t>文件是否符合</w:t>
      </w:r>
      <w:r>
        <w:rPr>
          <w:rFonts w:ascii="宋体" w:hAnsi="宋体" w:cs="宋体"/>
          <w:sz w:val="24"/>
          <w:szCs w:val="24"/>
          <w:highlight w:val="none"/>
        </w:rPr>
        <w:t>招标</w:t>
      </w:r>
      <w:r>
        <w:rPr>
          <w:rFonts w:hint="eastAsia" w:ascii="宋体" w:hAnsi="宋体" w:cs="宋体"/>
          <w:sz w:val="24"/>
          <w:szCs w:val="24"/>
          <w:highlight w:val="none"/>
        </w:rPr>
        <w:t>文件的要求，并做出</w:t>
      </w:r>
      <w:r>
        <w:rPr>
          <w:rFonts w:ascii="宋体" w:hAnsi="宋体" w:cs="宋体"/>
          <w:sz w:val="24"/>
          <w:szCs w:val="24"/>
          <w:highlight w:val="none"/>
        </w:rPr>
        <w:t>评</w:t>
      </w:r>
      <w:r>
        <w:rPr>
          <w:rFonts w:hint="eastAsia" w:ascii="宋体" w:hAnsi="宋体" w:cs="宋体"/>
          <w:sz w:val="24"/>
          <w:szCs w:val="24"/>
          <w:highlight w:val="none"/>
        </w:rPr>
        <w:t>价；</w:t>
      </w:r>
    </w:p>
    <w:p w14:paraId="6846366B">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2.1.2审查、评价投标文件是否符合招标文件的商务、技术等实质性要求；</w:t>
      </w:r>
    </w:p>
    <w:p w14:paraId="17F0D98D">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2.1.3要求</w:t>
      </w:r>
      <w:r>
        <w:rPr>
          <w:rFonts w:hint="eastAsia" w:ascii="宋体" w:hAnsi="宋体" w:cs="宋体"/>
          <w:sz w:val="24"/>
          <w:szCs w:val="24"/>
          <w:highlight w:val="none"/>
          <w:lang w:eastAsia="zh-CN"/>
        </w:rPr>
        <w:t>供应商</w:t>
      </w:r>
      <w:r>
        <w:rPr>
          <w:rFonts w:ascii="宋体" w:hAnsi="宋体" w:cs="宋体"/>
          <w:sz w:val="24"/>
          <w:szCs w:val="24"/>
          <w:highlight w:val="none"/>
        </w:rPr>
        <w:t>对</w:t>
      </w:r>
      <w:r>
        <w:rPr>
          <w:rFonts w:hint="eastAsia" w:ascii="宋体" w:hAnsi="宋体" w:cs="宋体"/>
          <w:sz w:val="24"/>
          <w:szCs w:val="24"/>
          <w:highlight w:val="none"/>
        </w:rPr>
        <w:t>投</w:t>
      </w:r>
      <w:r>
        <w:rPr>
          <w:rFonts w:ascii="宋体" w:hAnsi="宋体" w:cs="宋体"/>
          <w:sz w:val="24"/>
          <w:szCs w:val="24"/>
          <w:highlight w:val="none"/>
        </w:rPr>
        <w:t>标</w:t>
      </w:r>
      <w:r>
        <w:rPr>
          <w:rFonts w:hint="eastAsia" w:ascii="宋体" w:hAnsi="宋体" w:cs="宋体"/>
          <w:sz w:val="24"/>
          <w:szCs w:val="24"/>
          <w:highlight w:val="none"/>
        </w:rPr>
        <w:t>文件有</w:t>
      </w:r>
      <w:r>
        <w:rPr>
          <w:rFonts w:ascii="宋体" w:hAnsi="宋体" w:cs="宋体"/>
          <w:sz w:val="24"/>
          <w:szCs w:val="24"/>
          <w:highlight w:val="none"/>
        </w:rPr>
        <w:t>关</w:t>
      </w:r>
      <w:r>
        <w:rPr>
          <w:rFonts w:hint="eastAsia" w:ascii="宋体" w:hAnsi="宋体" w:cs="宋体"/>
          <w:sz w:val="24"/>
          <w:szCs w:val="24"/>
          <w:highlight w:val="none"/>
        </w:rPr>
        <w:t>事</w:t>
      </w:r>
      <w:r>
        <w:rPr>
          <w:rFonts w:ascii="宋体" w:hAnsi="宋体" w:cs="宋体"/>
          <w:sz w:val="24"/>
          <w:szCs w:val="24"/>
          <w:highlight w:val="none"/>
        </w:rPr>
        <w:t>项</w:t>
      </w:r>
      <w:r>
        <w:rPr>
          <w:rFonts w:hint="eastAsia" w:ascii="宋体" w:hAnsi="宋体" w:cs="宋体"/>
          <w:sz w:val="24"/>
          <w:szCs w:val="24"/>
          <w:highlight w:val="none"/>
        </w:rPr>
        <w:t>作出</w:t>
      </w:r>
      <w:r>
        <w:rPr>
          <w:rFonts w:ascii="宋体" w:hAnsi="宋体" w:cs="宋体"/>
          <w:sz w:val="24"/>
          <w:szCs w:val="24"/>
          <w:highlight w:val="none"/>
        </w:rPr>
        <w:t>解释</w:t>
      </w:r>
      <w:r>
        <w:rPr>
          <w:rFonts w:hint="eastAsia" w:ascii="宋体" w:hAnsi="宋体" w:cs="宋体"/>
          <w:sz w:val="24"/>
          <w:szCs w:val="24"/>
          <w:highlight w:val="none"/>
        </w:rPr>
        <w:t>或澄清；</w:t>
      </w:r>
    </w:p>
    <w:p w14:paraId="0390C2EC">
      <w:pPr>
        <w:spacing w:line="360" w:lineRule="auto"/>
        <w:ind w:firstLine="660" w:firstLineChars="275"/>
        <w:jc w:val="left"/>
        <w:rPr>
          <w:rFonts w:ascii="宋体" w:hAnsi="宋体" w:cs="宋体"/>
          <w:sz w:val="24"/>
          <w:szCs w:val="24"/>
          <w:highlight w:val="none"/>
        </w:rPr>
      </w:pPr>
      <w:r>
        <w:rPr>
          <w:rFonts w:hint="eastAsia" w:ascii="宋体" w:hAnsi="宋体" w:cs="宋体"/>
          <w:sz w:val="24"/>
          <w:szCs w:val="24"/>
          <w:highlight w:val="none"/>
        </w:rPr>
        <w:t>2.1.4对投标文件进行比较和评价，确定中标候选人名单，</w:t>
      </w:r>
      <w:r>
        <w:rPr>
          <w:rFonts w:ascii="宋体" w:hAnsi="宋体" w:cs="宋体"/>
          <w:sz w:val="24"/>
          <w:szCs w:val="24"/>
          <w:highlight w:val="none"/>
        </w:rPr>
        <w:t>对评审</w:t>
      </w:r>
      <w:r>
        <w:rPr>
          <w:rFonts w:hint="eastAsia" w:ascii="宋体" w:hAnsi="宋体" w:cs="宋体"/>
          <w:sz w:val="24"/>
          <w:szCs w:val="24"/>
          <w:highlight w:val="none"/>
        </w:rPr>
        <w:t>意</w:t>
      </w:r>
      <w:r>
        <w:rPr>
          <w:rFonts w:ascii="宋体" w:hAnsi="宋体" w:cs="宋体"/>
          <w:sz w:val="24"/>
          <w:szCs w:val="24"/>
          <w:highlight w:val="none"/>
        </w:rPr>
        <w:t>见</w:t>
      </w:r>
      <w:r>
        <w:rPr>
          <w:rFonts w:hint="eastAsia" w:ascii="宋体" w:hAnsi="宋体" w:cs="宋体"/>
          <w:sz w:val="24"/>
          <w:szCs w:val="24"/>
          <w:highlight w:val="none"/>
        </w:rPr>
        <w:t>承</w:t>
      </w:r>
      <w:r>
        <w:rPr>
          <w:rFonts w:ascii="宋体" w:hAnsi="宋体" w:cs="宋体"/>
          <w:sz w:val="24"/>
          <w:szCs w:val="24"/>
          <w:highlight w:val="none"/>
        </w:rPr>
        <w:t>担个</w:t>
      </w:r>
      <w:r>
        <w:rPr>
          <w:rFonts w:hint="eastAsia" w:ascii="宋体" w:hAnsi="宋体" w:cs="宋体"/>
          <w:sz w:val="24"/>
          <w:szCs w:val="24"/>
          <w:highlight w:val="none"/>
        </w:rPr>
        <w:t>人</w:t>
      </w:r>
      <w:r>
        <w:rPr>
          <w:rFonts w:ascii="宋体" w:hAnsi="宋体" w:cs="宋体"/>
          <w:sz w:val="24"/>
          <w:szCs w:val="24"/>
          <w:highlight w:val="none"/>
        </w:rPr>
        <w:t>责</w:t>
      </w:r>
      <w:r>
        <w:rPr>
          <w:rFonts w:hint="eastAsia" w:ascii="宋体" w:hAnsi="宋体" w:cs="宋体"/>
          <w:sz w:val="24"/>
          <w:szCs w:val="24"/>
          <w:highlight w:val="none"/>
        </w:rPr>
        <w:t>任；</w:t>
      </w:r>
    </w:p>
    <w:p w14:paraId="4DA84D72">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2.1.5</w:t>
      </w:r>
      <w:r>
        <w:rPr>
          <w:rFonts w:ascii="宋体" w:hAnsi="宋体" w:cs="宋体"/>
          <w:sz w:val="24"/>
          <w:szCs w:val="24"/>
          <w:highlight w:val="none"/>
        </w:rPr>
        <w:t>对评标过</w:t>
      </w:r>
      <w:r>
        <w:rPr>
          <w:rFonts w:hint="eastAsia" w:ascii="宋体" w:hAnsi="宋体" w:cs="宋体"/>
          <w:sz w:val="24"/>
          <w:szCs w:val="24"/>
          <w:highlight w:val="none"/>
        </w:rPr>
        <w:t>程和</w:t>
      </w:r>
      <w:r>
        <w:rPr>
          <w:rFonts w:ascii="宋体" w:hAnsi="宋体" w:cs="宋体"/>
          <w:sz w:val="24"/>
          <w:szCs w:val="24"/>
          <w:highlight w:val="none"/>
        </w:rPr>
        <w:t>结</w:t>
      </w:r>
      <w:r>
        <w:rPr>
          <w:rFonts w:hint="eastAsia" w:ascii="宋体" w:hAnsi="宋体" w:cs="宋体"/>
          <w:sz w:val="24"/>
          <w:szCs w:val="24"/>
          <w:highlight w:val="none"/>
        </w:rPr>
        <w:t>果以及</w:t>
      </w:r>
      <w:r>
        <w:rPr>
          <w:rFonts w:hint="eastAsia" w:ascii="宋体" w:hAnsi="宋体" w:cs="宋体"/>
          <w:sz w:val="24"/>
          <w:szCs w:val="24"/>
          <w:highlight w:val="none"/>
          <w:lang w:eastAsia="zh-CN"/>
        </w:rPr>
        <w:t>供应商</w:t>
      </w:r>
      <w:r>
        <w:rPr>
          <w:rFonts w:hint="eastAsia" w:ascii="宋体" w:hAnsi="宋体" w:cs="宋体"/>
          <w:sz w:val="24"/>
          <w:szCs w:val="24"/>
          <w:highlight w:val="none"/>
        </w:rPr>
        <w:t>的商</w:t>
      </w:r>
      <w:r>
        <w:rPr>
          <w:rFonts w:ascii="宋体" w:hAnsi="宋体" w:cs="宋体"/>
          <w:sz w:val="24"/>
          <w:szCs w:val="24"/>
          <w:highlight w:val="none"/>
        </w:rPr>
        <w:t>业</w:t>
      </w:r>
      <w:r>
        <w:rPr>
          <w:rFonts w:hint="eastAsia" w:ascii="宋体" w:hAnsi="宋体" w:cs="宋体"/>
          <w:sz w:val="24"/>
          <w:szCs w:val="24"/>
          <w:highlight w:val="none"/>
        </w:rPr>
        <w:t>秘密保密；</w:t>
      </w:r>
    </w:p>
    <w:p w14:paraId="44C3A376">
      <w:pPr>
        <w:spacing w:line="360" w:lineRule="auto"/>
        <w:ind w:left="420" w:firstLine="240" w:firstLineChars="100"/>
        <w:jc w:val="left"/>
        <w:rPr>
          <w:rFonts w:ascii="宋体" w:hAnsi="宋体" w:cs="宋体"/>
          <w:sz w:val="24"/>
          <w:szCs w:val="24"/>
          <w:highlight w:val="none"/>
        </w:rPr>
      </w:pPr>
      <w:r>
        <w:rPr>
          <w:rFonts w:hint="eastAsia" w:ascii="宋体" w:hAnsi="宋体" w:cs="宋体"/>
          <w:sz w:val="24"/>
          <w:szCs w:val="24"/>
          <w:highlight w:val="none"/>
        </w:rPr>
        <w:t>2.1.6</w:t>
      </w:r>
      <w:r>
        <w:rPr>
          <w:rFonts w:ascii="宋体" w:hAnsi="宋体" w:cs="宋体"/>
          <w:sz w:val="24"/>
          <w:szCs w:val="24"/>
          <w:highlight w:val="none"/>
        </w:rPr>
        <w:t>参</w:t>
      </w:r>
      <w:r>
        <w:rPr>
          <w:rFonts w:hint="eastAsia" w:ascii="宋体" w:hAnsi="宋体" w:cs="宋体"/>
          <w:sz w:val="24"/>
          <w:szCs w:val="24"/>
          <w:highlight w:val="none"/>
        </w:rPr>
        <w:t>与</w:t>
      </w:r>
      <w:r>
        <w:rPr>
          <w:rFonts w:ascii="宋体" w:hAnsi="宋体" w:cs="宋体"/>
          <w:sz w:val="24"/>
          <w:szCs w:val="24"/>
          <w:highlight w:val="none"/>
        </w:rPr>
        <w:t>评标结</w:t>
      </w:r>
      <w:r>
        <w:rPr>
          <w:rFonts w:hint="eastAsia" w:ascii="宋体" w:hAnsi="宋体" w:cs="宋体"/>
          <w:sz w:val="24"/>
          <w:szCs w:val="24"/>
          <w:highlight w:val="none"/>
        </w:rPr>
        <w:t>果</w:t>
      </w:r>
      <w:r>
        <w:rPr>
          <w:rFonts w:ascii="宋体" w:hAnsi="宋体" w:cs="宋体"/>
          <w:sz w:val="24"/>
          <w:szCs w:val="24"/>
          <w:highlight w:val="none"/>
        </w:rPr>
        <w:t>报</w:t>
      </w:r>
      <w:r>
        <w:rPr>
          <w:rFonts w:hint="eastAsia" w:ascii="宋体" w:hAnsi="宋体" w:cs="宋体"/>
          <w:sz w:val="24"/>
          <w:szCs w:val="24"/>
          <w:highlight w:val="none"/>
        </w:rPr>
        <w:t>告的起草；</w:t>
      </w:r>
    </w:p>
    <w:p w14:paraId="4B9CA97E">
      <w:pPr>
        <w:spacing w:line="360" w:lineRule="auto"/>
        <w:ind w:firstLine="720" w:firstLineChars="300"/>
        <w:jc w:val="left"/>
        <w:rPr>
          <w:rFonts w:eastAsia="宋体"/>
          <w:highlight w:val="none"/>
        </w:rPr>
      </w:pPr>
      <w:r>
        <w:rPr>
          <w:rFonts w:hint="eastAsia" w:ascii="宋体" w:hAnsi="宋体" w:cs="宋体"/>
          <w:sz w:val="24"/>
          <w:szCs w:val="24"/>
          <w:highlight w:val="none"/>
        </w:rPr>
        <w:t>2.1.7配合采</w:t>
      </w:r>
      <w:r>
        <w:rPr>
          <w:rFonts w:ascii="宋体" w:hAnsi="宋体" w:cs="宋体"/>
          <w:sz w:val="24"/>
          <w:szCs w:val="24"/>
          <w:highlight w:val="none"/>
        </w:rPr>
        <w:t>购</w:t>
      </w:r>
      <w:r>
        <w:rPr>
          <w:rFonts w:hint="eastAsia" w:ascii="宋体" w:hAnsi="宋体" w:cs="宋体"/>
          <w:sz w:val="24"/>
          <w:szCs w:val="24"/>
          <w:highlight w:val="none"/>
        </w:rPr>
        <w:t>人、代理机构答复</w:t>
      </w:r>
      <w:r>
        <w:rPr>
          <w:rFonts w:hint="eastAsia" w:ascii="宋体" w:hAnsi="宋体" w:cs="宋体"/>
          <w:sz w:val="24"/>
          <w:szCs w:val="24"/>
          <w:highlight w:val="none"/>
          <w:lang w:eastAsia="zh-CN"/>
        </w:rPr>
        <w:t>供应商</w:t>
      </w:r>
      <w:r>
        <w:rPr>
          <w:rFonts w:hint="eastAsia" w:ascii="宋体" w:hAnsi="宋体" w:cs="宋体"/>
          <w:sz w:val="24"/>
          <w:szCs w:val="24"/>
          <w:highlight w:val="none"/>
        </w:rPr>
        <w:t>提出的</w:t>
      </w:r>
      <w:r>
        <w:rPr>
          <w:rFonts w:ascii="宋体" w:hAnsi="宋体" w:cs="宋体"/>
          <w:sz w:val="24"/>
          <w:szCs w:val="24"/>
          <w:highlight w:val="none"/>
        </w:rPr>
        <w:t>质</w:t>
      </w:r>
      <w:r>
        <w:rPr>
          <w:rFonts w:hint="eastAsia" w:ascii="宋体" w:hAnsi="宋体" w:cs="宋体"/>
          <w:sz w:val="24"/>
          <w:szCs w:val="24"/>
          <w:highlight w:val="none"/>
        </w:rPr>
        <w:t>疑，配合</w:t>
      </w:r>
      <w:r>
        <w:rPr>
          <w:rFonts w:ascii="宋体" w:hAnsi="宋体" w:cs="宋体"/>
          <w:sz w:val="24"/>
          <w:szCs w:val="24"/>
          <w:highlight w:val="none"/>
        </w:rPr>
        <w:t>财</w:t>
      </w:r>
      <w:r>
        <w:rPr>
          <w:rFonts w:hint="eastAsia" w:ascii="宋体" w:hAnsi="宋体" w:cs="宋体"/>
          <w:sz w:val="24"/>
          <w:szCs w:val="24"/>
          <w:highlight w:val="none"/>
        </w:rPr>
        <w:t>政</w:t>
      </w:r>
      <w:r>
        <w:rPr>
          <w:rFonts w:ascii="宋体" w:hAnsi="宋体" w:cs="宋体"/>
          <w:sz w:val="24"/>
          <w:szCs w:val="24"/>
          <w:highlight w:val="none"/>
        </w:rPr>
        <w:t>部门处</w:t>
      </w:r>
      <w:r>
        <w:rPr>
          <w:rFonts w:hint="eastAsia" w:ascii="宋体" w:hAnsi="宋体" w:cs="宋体"/>
          <w:sz w:val="24"/>
          <w:szCs w:val="24"/>
          <w:highlight w:val="none"/>
        </w:rPr>
        <w:t>理投</w:t>
      </w:r>
      <w:r>
        <w:rPr>
          <w:rFonts w:ascii="宋体" w:hAnsi="宋体" w:cs="宋体"/>
          <w:sz w:val="24"/>
          <w:szCs w:val="24"/>
          <w:highlight w:val="none"/>
        </w:rPr>
        <w:t>诉</w:t>
      </w:r>
      <w:r>
        <w:rPr>
          <w:rFonts w:hint="eastAsia" w:ascii="宋体" w:hAnsi="宋体" w:cs="宋体"/>
          <w:sz w:val="24"/>
          <w:szCs w:val="24"/>
          <w:highlight w:val="none"/>
        </w:rPr>
        <w:t>工作；</w:t>
      </w:r>
    </w:p>
    <w:p w14:paraId="6119C48C">
      <w:pPr>
        <w:spacing w:line="360" w:lineRule="auto"/>
        <w:ind w:firstLine="480" w:firstLineChars="200"/>
        <w:jc w:val="left"/>
        <w:rPr>
          <w:rFonts w:asciiTheme="minorEastAsia" w:hAnsiTheme="minorEastAsia" w:eastAsiaTheme="minorEastAsia" w:cstheme="minorEastAsia"/>
          <w:kern w:val="0"/>
          <w:sz w:val="24"/>
          <w:szCs w:val="24"/>
          <w:highlight w:val="none"/>
        </w:rPr>
      </w:pPr>
      <w:r>
        <w:rPr>
          <w:rFonts w:hint="eastAsia" w:ascii="宋体" w:hAnsi="宋体" w:cs="宋体"/>
          <w:sz w:val="24"/>
          <w:szCs w:val="24"/>
          <w:highlight w:val="none"/>
        </w:rPr>
        <w:t>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08376BA">
      <w:pPr>
        <w:pStyle w:val="4"/>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投标文件初审</w:t>
      </w:r>
      <w:bookmarkEnd w:id="90"/>
      <w:bookmarkEnd w:id="91"/>
      <w:bookmarkEnd w:id="92"/>
      <w:bookmarkEnd w:id="93"/>
    </w:p>
    <w:p w14:paraId="6BDE3949">
      <w:pPr>
        <w:ind w:firstLine="480" w:firstLineChars="200"/>
        <w:rPr>
          <w:highlight w:val="none"/>
        </w:rPr>
      </w:pPr>
      <w:r>
        <w:rPr>
          <w:rFonts w:hint="eastAsia" w:asciiTheme="minorEastAsia" w:hAnsiTheme="minorEastAsia" w:eastAsiaTheme="minorEastAsia" w:cstheme="minorEastAsia"/>
          <w:kern w:val="0"/>
          <w:sz w:val="24"/>
          <w:szCs w:val="24"/>
          <w:highlight w:val="none"/>
        </w:rPr>
        <w:t>经过对供应商及投标文件审查，出现下列情况者（但不限于），按无效投标处理：</w:t>
      </w:r>
    </w:p>
    <w:p w14:paraId="5BBEBEA8">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3.1 投标文件的资格性审查</w:t>
      </w:r>
    </w:p>
    <w:p w14:paraId="6433232F">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依据法律法规和招标文件的规定，对投标文件中的资格证明文件、投标保证金等进行审查，以确保供应商是否具备相应资格。</w:t>
      </w:r>
    </w:p>
    <w:p w14:paraId="547ACC68">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3.2 投标文件符合性审查</w:t>
      </w:r>
    </w:p>
    <w:p w14:paraId="44613DAA">
      <w:pPr>
        <w:overflowPunct w:val="0"/>
        <w:adjustRightInd w:val="0"/>
        <w:snapToGrid w:val="0"/>
        <w:spacing w:line="500" w:lineRule="exact"/>
        <w:ind w:firstLine="480" w:firstLineChars="200"/>
        <w:rPr>
          <w:rFonts w:hint="eastAsia"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依据法律法规和招标文件的规定，由评标委员会对符合资格要求的</w:t>
      </w:r>
      <w:r>
        <w:rPr>
          <w:rFonts w:hint="eastAsia" w:asciiTheme="minorEastAsia" w:hAnsiTheme="minorEastAsia" w:cstheme="minorEastAsia"/>
          <w:kern w:val="0"/>
          <w:sz w:val="24"/>
          <w:szCs w:val="24"/>
          <w:highlight w:val="none"/>
          <w:lang w:eastAsia="zh-CN"/>
        </w:rPr>
        <w:t>供应商</w:t>
      </w:r>
      <w:r>
        <w:rPr>
          <w:rFonts w:hint="eastAsia" w:asciiTheme="minorEastAsia" w:hAnsiTheme="minorEastAsia" w:cstheme="minorEastAsia"/>
          <w:kern w:val="0"/>
          <w:sz w:val="24"/>
          <w:szCs w:val="24"/>
          <w:highlight w:val="none"/>
        </w:rPr>
        <w:t>的投标文件有效性、完整性和对招标文件的响应程度进行符合性审查，以确定是否对招标文件的实质性内容作出响应，下列情况有一项不满足者（但不限于）不得进入下一轮评审：</w:t>
      </w:r>
    </w:p>
    <w:tbl>
      <w:tblPr>
        <w:tblStyle w:val="27"/>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33"/>
        <w:gridCol w:w="6924"/>
      </w:tblGrid>
      <w:tr w14:paraId="57C8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14:paraId="0BE27FBB">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符合性</w:t>
            </w:r>
          </w:p>
          <w:p w14:paraId="7154840C">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审查</w:t>
            </w:r>
          </w:p>
        </w:tc>
        <w:tc>
          <w:tcPr>
            <w:tcW w:w="333" w:type="dxa"/>
          </w:tcPr>
          <w:p w14:paraId="7E4BEF64">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1</w:t>
            </w:r>
          </w:p>
        </w:tc>
        <w:tc>
          <w:tcPr>
            <w:tcW w:w="6924" w:type="dxa"/>
            <w:vAlign w:val="top"/>
          </w:tcPr>
          <w:p w14:paraId="62262231">
            <w:pPr>
              <w:overflowPunct w:val="0"/>
              <w:adjustRightInd w:val="0"/>
              <w:snapToGrid w:val="0"/>
              <w:spacing w:line="500" w:lineRule="exact"/>
              <w:rPr>
                <w:rFonts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报价是否超过预算或最高限价</w:t>
            </w:r>
          </w:p>
        </w:tc>
      </w:tr>
      <w:tr w14:paraId="686E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5E35650C">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tcPr>
          <w:p w14:paraId="0E89CECA">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2</w:t>
            </w:r>
          </w:p>
        </w:tc>
        <w:tc>
          <w:tcPr>
            <w:tcW w:w="6924" w:type="dxa"/>
            <w:vAlign w:val="top"/>
          </w:tcPr>
          <w:p w14:paraId="32C7A36B">
            <w:pPr>
              <w:overflowPunct w:val="0"/>
              <w:adjustRightInd w:val="0"/>
              <w:snapToGrid w:val="0"/>
              <w:spacing w:line="500" w:lineRule="exact"/>
              <w:rPr>
                <w:rFonts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文件签字、盖章、装订是否满足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rPr>
              <w:t>文件要求</w:t>
            </w:r>
          </w:p>
        </w:tc>
      </w:tr>
      <w:tr w14:paraId="2591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44D8F5A5">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tcPr>
          <w:p w14:paraId="1B70ABA3">
            <w:pPr>
              <w:overflowPunct w:val="0"/>
              <w:adjustRightInd w:val="0"/>
              <w:snapToGrid w:val="0"/>
              <w:spacing w:line="500" w:lineRule="exact"/>
              <w:rPr>
                <w:rFonts w:asciiTheme="minorEastAsia" w:hAnsiTheme="minorEastAsia" w:cstheme="minorEastAsia"/>
                <w:kern w:val="0"/>
                <w:sz w:val="22"/>
                <w:szCs w:val="22"/>
                <w:highlight w:val="none"/>
              </w:rPr>
            </w:pPr>
            <w:r>
              <w:rPr>
                <w:rFonts w:hint="eastAsia" w:asciiTheme="minorEastAsia" w:hAnsiTheme="minorEastAsia" w:cstheme="minorEastAsia"/>
                <w:kern w:val="0"/>
                <w:sz w:val="22"/>
                <w:szCs w:val="22"/>
                <w:highlight w:val="none"/>
              </w:rPr>
              <w:t>3</w:t>
            </w:r>
          </w:p>
        </w:tc>
        <w:tc>
          <w:tcPr>
            <w:tcW w:w="6924" w:type="dxa"/>
            <w:vAlign w:val="top"/>
          </w:tcPr>
          <w:p w14:paraId="00EF1B3B">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eastAsia="zh-CN"/>
              </w:rPr>
              <w:t>交货期是否满足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lang w:eastAsia="zh-CN"/>
              </w:rPr>
              <w:t>文件要求</w:t>
            </w:r>
          </w:p>
        </w:tc>
      </w:tr>
      <w:tr w14:paraId="6BF9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16409E51">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vAlign w:val="top"/>
          </w:tcPr>
          <w:p w14:paraId="35FF4773">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4</w:t>
            </w:r>
          </w:p>
        </w:tc>
        <w:tc>
          <w:tcPr>
            <w:tcW w:w="6924" w:type="dxa"/>
            <w:vAlign w:val="top"/>
          </w:tcPr>
          <w:p w14:paraId="6D9BD0F3">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eastAsia="zh-CN"/>
              </w:rPr>
              <w:t>质保期是否满足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lang w:eastAsia="zh-CN"/>
              </w:rPr>
              <w:t>文件要求</w:t>
            </w:r>
          </w:p>
        </w:tc>
      </w:tr>
      <w:tr w14:paraId="6F36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2638C040">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vAlign w:val="top"/>
          </w:tcPr>
          <w:p w14:paraId="5FE782F2">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5</w:t>
            </w:r>
          </w:p>
        </w:tc>
        <w:tc>
          <w:tcPr>
            <w:tcW w:w="6924" w:type="dxa"/>
            <w:vAlign w:val="top"/>
          </w:tcPr>
          <w:p w14:paraId="05D232BD">
            <w:pPr>
              <w:overflowPunct w:val="0"/>
              <w:adjustRightInd w:val="0"/>
              <w:snapToGrid w:val="0"/>
              <w:spacing w:line="500" w:lineRule="exact"/>
              <w:rPr>
                <w:rFonts w:hint="eastAsia" w:eastAsia="宋体" w:asciiTheme="minorEastAsia" w:hAnsiTheme="minorEastAsia" w:cstheme="minorEastAsia"/>
                <w:kern w:val="0"/>
                <w:sz w:val="22"/>
                <w:szCs w:val="22"/>
                <w:highlight w:val="none"/>
                <w:lang w:val="en-US" w:eastAsia="zh-CN" w:bidi="ar-SA"/>
              </w:rPr>
            </w:pPr>
            <w:r>
              <w:rPr>
                <w:rFonts w:hint="eastAsia" w:asciiTheme="minorEastAsia" w:hAnsiTheme="minorEastAsia" w:cstheme="minorEastAsia"/>
                <w:kern w:val="0"/>
                <w:sz w:val="22"/>
                <w:szCs w:val="22"/>
                <w:highlight w:val="none"/>
                <w:lang w:val="en-US" w:eastAsia="zh-CN"/>
              </w:rPr>
              <w:t>投标</w:t>
            </w:r>
            <w:r>
              <w:rPr>
                <w:rFonts w:hint="eastAsia" w:asciiTheme="minorEastAsia" w:hAnsiTheme="minorEastAsia" w:cstheme="minorEastAsia"/>
                <w:kern w:val="0"/>
                <w:sz w:val="22"/>
                <w:szCs w:val="22"/>
                <w:highlight w:val="none"/>
              </w:rPr>
              <w:t>有效期是否满足</w:t>
            </w:r>
            <w:r>
              <w:rPr>
                <w:rFonts w:hint="eastAsia" w:asciiTheme="minorEastAsia" w:hAnsiTheme="minorEastAsia" w:cstheme="minorEastAsia"/>
                <w:kern w:val="0"/>
                <w:sz w:val="22"/>
                <w:szCs w:val="22"/>
                <w:highlight w:val="none"/>
                <w:lang w:val="en-US" w:eastAsia="zh-CN"/>
              </w:rPr>
              <w:t>招标</w:t>
            </w:r>
            <w:r>
              <w:rPr>
                <w:rFonts w:hint="eastAsia" w:asciiTheme="minorEastAsia" w:hAnsiTheme="minorEastAsia" w:cstheme="minorEastAsia"/>
                <w:kern w:val="0"/>
                <w:sz w:val="22"/>
                <w:szCs w:val="22"/>
                <w:highlight w:val="none"/>
              </w:rPr>
              <w:t>文件要求</w:t>
            </w:r>
          </w:p>
        </w:tc>
      </w:tr>
      <w:tr w14:paraId="1450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14:paraId="6A4AE8BA">
            <w:pPr>
              <w:overflowPunct w:val="0"/>
              <w:adjustRightInd w:val="0"/>
              <w:snapToGrid w:val="0"/>
              <w:spacing w:line="500" w:lineRule="exact"/>
              <w:rPr>
                <w:rFonts w:asciiTheme="minorEastAsia" w:hAnsiTheme="minorEastAsia" w:cstheme="minorEastAsia"/>
                <w:kern w:val="0"/>
                <w:sz w:val="22"/>
                <w:szCs w:val="22"/>
                <w:highlight w:val="none"/>
              </w:rPr>
            </w:pPr>
          </w:p>
        </w:tc>
        <w:tc>
          <w:tcPr>
            <w:tcW w:w="333" w:type="dxa"/>
            <w:vAlign w:val="top"/>
          </w:tcPr>
          <w:p w14:paraId="6D060B4C">
            <w:pPr>
              <w:overflowPunct w:val="0"/>
              <w:adjustRightInd w:val="0"/>
              <w:snapToGrid w:val="0"/>
              <w:spacing w:line="500" w:lineRule="exact"/>
              <w:rPr>
                <w:rFonts w:hint="default"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6</w:t>
            </w:r>
          </w:p>
        </w:tc>
        <w:tc>
          <w:tcPr>
            <w:tcW w:w="6924" w:type="dxa"/>
            <w:vAlign w:val="top"/>
          </w:tcPr>
          <w:p w14:paraId="57DBB30D">
            <w:pPr>
              <w:overflowPunct w:val="0"/>
              <w:adjustRightInd w:val="0"/>
              <w:snapToGrid w:val="0"/>
              <w:spacing w:line="500" w:lineRule="exact"/>
              <w:rPr>
                <w:rFonts w:hint="default" w:asciiTheme="minorEastAsia" w:hAnsiTheme="minorEastAsia" w:cstheme="minorEastAsia"/>
                <w:kern w:val="0"/>
                <w:sz w:val="22"/>
                <w:szCs w:val="22"/>
                <w:highlight w:val="none"/>
                <w:lang w:val="en-US" w:eastAsia="zh-CN"/>
              </w:rPr>
            </w:pPr>
            <w:r>
              <w:rPr>
                <w:rFonts w:hint="eastAsia" w:asciiTheme="minorEastAsia" w:hAnsiTheme="minorEastAsia" w:cstheme="minorEastAsia"/>
                <w:kern w:val="0"/>
                <w:sz w:val="22"/>
                <w:szCs w:val="22"/>
                <w:highlight w:val="none"/>
                <w:lang w:val="en-US" w:eastAsia="zh-CN"/>
              </w:rPr>
              <w:t>其他商务条款是否满足招标文件要求</w:t>
            </w:r>
          </w:p>
        </w:tc>
      </w:tr>
    </w:tbl>
    <w:p w14:paraId="32E2BBEE">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3.3 经过对</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及投标文件审查，出现下列情况者（但不限于），按无效投标处理：</w:t>
      </w:r>
    </w:p>
    <w:p w14:paraId="6608D64F">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供应商未经过正常渠道购买招标文件，或供应商名称与购买招标文件时登记的供应商名称不符的；</w:t>
      </w:r>
    </w:p>
    <w:p w14:paraId="70842326">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供应商针对同一项目递交两份或多份内容不同的投标文件，未书面声明哪一份是有效的或出现选择性报价的；</w:t>
      </w:r>
    </w:p>
    <w:p w14:paraId="0985CD4B">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供应商未按招标文件要求提供产品的技术参数及产品供货渠道不明确的；</w:t>
      </w:r>
    </w:p>
    <w:p w14:paraId="0E644833">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供应商的报价明显低于其他通过符合性审查供应商的报价，有可能影响货物质量或者不能诚信履约的，不能按照评标委员会要求在评标现场合理的时间内提供书面说明及相关证明材料且证明其报价合理性的；</w:t>
      </w:r>
    </w:p>
    <w:p w14:paraId="614C7CC2">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投标报价出现漏项或货物数量与要求不符的；</w:t>
      </w:r>
    </w:p>
    <w:p w14:paraId="6C7010B7">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投标货物的技术参数、性能指标与招标文件要求出现重大负偏差的；或者提供虚假证明（包括第三方的虚假证明），除按无效文件处理外，还将按照政府采购法的有关规定进行处罚；</w:t>
      </w:r>
    </w:p>
    <w:p w14:paraId="21C0D4A6">
      <w:pPr>
        <w:numPr>
          <w:ilvl w:val="0"/>
          <w:numId w:val="17"/>
        </w:numPr>
        <w:spacing w:line="500" w:lineRule="exact"/>
        <w:rPr>
          <w:rFonts w:ascii="宋体" w:hAnsi="宋体" w:cs="宋体"/>
          <w:b/>
          <w:bCs/>
          <w:sz w:val="24"/>
          <w:szCs w:val="24"/>
          <w:highlight w:val="none"/>
        </w:rPr>
      </w:pPr>
      <w:r>
        <w:rPr>
          <w:rFonts w:hint="eastAsia" w:ascii="宋体" w:hAnsi="宋体" w:cs="宋体"/>
          <w:b/>
          <w:bCs/>
          <w:sz w:val="24"/>
          <w:szCs w:val="24"/>
          <w:highlight w:val="none"/>
        </w:rPr>
        <w:t>投标文件在商务响应方面（详见招标文件第五部分商务条款与采购要求）与招标文件要求不一致或附加了采购单位难以接受的条件或条款的；</w:t>
      </w:r>
    </w:p>
    <w:p w14:paraId="1DB6FBD7">
      <w:pPr>
        <w:numPr>
          <w:ilvl w:val="0"/>
          <w:numId w:val="17"/>
        </w:numPr>
        <w:spacing w:line="500" w:lineRule="exact"/>
        <w:rPr>
          <w:rFonts w:ascii="宋体" w:hAnsi="宋体" w:cs="宋体"/>
          <w:sz w:val="24"/>
          <w:szCs w:val="24"/>
          <w:highlight w:val="none"/>
        </w:rPr>
      </w:pPr>
      <w:r>
        <w:rPr>
          <w:rFonts w:hint="eastAsia" w:ascii="宋体" w:hAnsi="宋体" w:cs="宋体"/>
          <w:sz w:val="24"/>
          <w:szCs w:val="24"/>
          <w:highlight w:val="none"/>
        </w:rPr>
        <w:t>如澄清、补正、说明的内容与投标文件内容有重大相悖或矛盾，将被认定为无效投标。</w:t>
      </w:r>
    </w:p>
    <w:p w14:paraId="4A257CF4">
      <w:pPr>
        <w:overflowPunct w:val="0"/>
        <w:adjustRightInd w:val="0"/>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w:t>
      </w:r>
      <w:r>
        <w:rPr>
          <w:rFonts w:hint="eastAsia" w:ascii="宋体" w:hAnsi="宋体" w:cs="宋体"/>
          <w:sz w:val="24"/>
          <w:szCs w:val="24"/>
          <w:highlight w:val="none"/>
        </w:rPr>
        <w:t>招标文件规定的其他投标无效的情形。</w:t>
      </w:r>
    </w:p>
    <w:p w14:paraId="57A4FFC2">
      <w:pPr>
        <w:overflowPunct w:val="0"/>
        <w:adjustRightInd w:val="0"/>
        <w:snapToGrid w:val="0"/>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3.4 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14:paraId="6B62A98A">
      <w:pPr>
        <w:pStyle w:val="4"/>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4" w:name="_Toc17705"/>
      <w:r>
        <w:rPr>
          <w:rFonts w:hint="eastAsia" w:asciiTheme="minorEastAsia" w:hAnsiTheme="minorEastAsia" w:eastAsiaTheme="minorEastAsia" w:cstheme="minorEastAsia"/>
          <w:sz w:val="24"/>
          <w:szCs w:val="24"/>
          <w:highlight w:val="none"/>
        </w:rPr>
        <w:t>投标文件澄清</w:t>
      </w:r>
      <w:bookmarkEnd w:id="94"/>
    </w:p>
    <w:p w14:paraId="01E19247">
      <w:pPr>
        <w:overflowPunct w:val="0"/>
        <w:adjustRightInd w:val="0"/>
        <w:snapToGrid w:val="0"/>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在评标期间,采购代理机构可根据评标委员会对其投标文件有疑义不清楚的内容，要求供应商对其投标文件进行澄清。</w:t>
      </w:r>
    </w:p>
    <w:p w14:paraId="72FA438A">
      <w:pPr>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14:paraId="54BB7A5D">
      <w:pPr>
        <w:spacing w:line="500" w:lineRule="exact"/>
        <w:ind w:firstLine="480" w:firstLineChars="200"/>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4.3 如评标委员会一致认为某个供应商的报价明显不合理，有降低质量、不能诚信履行的可能时，评标委员会有权决定是否通知供应商限期进行书面解释或提供相关证明材料。若已要求，而该供应商在规定期限内未做出解释、做出的解释不合理或不能提供证明材料的，评标委员会有权拒绝该投标。</w:t>
      </w:r>
    </w:p>
    <w:p w14:paraId="68C035B3">
      <w:pPr>
        <w:pStyle w:val="4"/>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5" w:name="_Toc8353"/>
      <w:r>
        <w:rPr>
          <w:rFonts w:hint="eastAsia" w:asciiTheme="minorEastAsia" w:hAnsiTheme="minorEastAsia" w:eastAsiaTheme="minorEastAsia" w:cstheme="minorEastAsia"/>
          <w:sz w:val="24"/>
          <w:szCs w:val="24"/>
          <w:highlight w:val="none"/>
        </w:rPr>
        <w:t>评标</w:t>
      </w:r>
      <w:bookmarkEnd w:id="95"/>
    </w:p>
    <w:p w14:paraId="7DF3A645">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评标委员会有权对在开标、评标过程中出现的一切问题，根据《中华人民共和国政府采购法》和《政府采购货物和服务招标投标管理办法》的条款，本着公开、公平、公正的原则进行处理。</w:t>
      </w:r>
    </w:p>
    <w:p w14:paraId="016E1942">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采用综合评分法：采取逐项分步评审方式，每一步评审不符合者，不进入下一步评审，全部评审合格的</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由评标委员会按照公开招标文件中第四部分评分标准规定的各项因素进行比较、自主打分、综合评审。评标委员会将评审得分汇总后，按评标总得分由高到低汇总排序，推荐1～3名中标候选人；若有两个或两个以上</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得分相同，</w:t>
      </w:r>
      <w:r>
        <w:rPr>
          <w:rFonts w:hint="eastAsia" w:asciiTheme="minorEastAsia" w:hAnsiTheme="minorEastAsia" w:cstheme="minorEastAsia"/>
          <w:sz w:val="24"/>
          <w:szCs w:val="24"/>
          <w:highlight w:val="none"/>
          <w:lang w:eastAsia="zh-CN"/>
        </w:rPr>
        <w:t>供应商</w:t>
      </w:r>
      <w:r>
        <w:rPr>
          <w:rFonts w:hint="eastAsia" w:asciiTheme="minorEastAsia" w:hAnsiTheme="minorEastAsia" w:cstheme="minorEastAsia"/>
          <w:sz w:val="24"/>
          <w:szCs w:val="24"/>
          <w:highlight w:val="none"/>
        </w:rPr>
        <w:t>名次按报价得分高低排序；得分且投标报价相同的，按技术指标优劣顺序排列，并填报评标报告。</w:t>
      </w:r>
    </w:p>
    <w:p w14:paraId="242650AB">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评标委员会只对实质上响应招标文件的投标进行评价和比较；评审应严格按照招标文件的要求和条件进行；具体评审原则和中标条件详见招标文件第四部分“评审办法”。</w:t>
      </w:r>
    </w:p>
    <w:p w14:paraId="6A0EA42B">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9D71B28">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评标结果汇总完成后，除下列情形外，任何人不得修改评标结果：</w:t>
      </w:r>
    </w:p>
    <w:p w14:paraId="758FF697">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（一）分值汇总计算错误的；</w:t>
      </w:r>
    </w:p>
    <w:p w14:paraId="3D6F05E6">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（二）分项评分超出评分标准范围的；</w:t>
      </w:r>
    </w:p>
    <w:p w14:paraId="3FC9B4B2">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（三）评标委员会成员对客观评审因素评分不一致的；</w:t>
      </w:r>
    </w:p>
    <w:p w14:paraId="3961C46F">
      <w:pPr>
        <w:spacing w:line="500" w:lineRule="exact"/>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（四）经评标委员会认定评分畸高、畸低的。</w:t>
      </w:r>
    </w:p>
    <w:p w14:paraId="198910CD">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53430F7">
      <w:pPr>
        <w:pStyle w:val="4"/>
        <w:numPr>
          <w:ilvl w:val="0"/>
          <w:numId w:val="15"/>
        </w:numPr>
        <w:spacing w:before="0" w:after="0" w:line="500" w:lineRule="exact"/>
        <w:ind w:firstLine="482" w:firstLineChars="200"/>
        <w:rPr>
          <w:rFonts w:asciiTheme="minorEastAsia" w:hAnsiTheme="minorEastAsia" w:eastAsiaTheme="minorEastAsia" w:cstheme="minorEastAsia"/>
          <w:sz w:val="24"/>
          <w:szCs w:val="24"/>
          <w:highlight w:val="none"/>
        </w:rPr>
      </w:pPr>
      <w:bookmarkStart w:id="96" w:name="_Toc12947"/>
      <w:r>
        <w:rPr>
          <w:rFonts w:hint="eastAsia" w:asciiTheme="minorEastAsia" w:hAnsiTheme="minorEastAsia" w:eastAsiaTheme="minorEastAsia" w:cstheme="minorEastAsia"/>
          <w:sz w:val="24"/>
          <w:szCs w:val="24"/>
          <w:highlight w:val="none"/>
        </w:rPr>
        <w:t>定标</w:t>
      </w:r>
      <w:bookmarkEnd w:id="96"/>
    </w:p>
    <w:p w14:paraId="3442DB9D">
      <w:pPr>
        <w:spacing w:line="50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6.1代理机构在评标结束后2个工作日内将评标报告送达采购单位，采购单位在收到评标报告后5个工作日内，按照评标报告中推荐的中标候选人顺序确认第一中标候选人为中标单位，同时书面复函代理机构；</w:t>
      </w:r>
    </w:p>
    <w:p w14:paraId="372A3896">
      <w:pPr>
        <w:spacing w:line="50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6.2代理机构收到采购单位“定标复函”后2个工作日内，在财政部门指定的政府采购信息媒体上发布公告，并向中标供应商发出“中标通知书”。</w:t>
      </w:r>
    </w:p>
    <w:p w14:paraId="36F31EFC">
      <w:pPr>
        <w:pStyle w:val="4"/>
        <w:numPr>
          <w:ilvl w:val="0"/>
          <w:numId w:val="15"/>
        </w:numPr>
        <w:spacing w:before="0" w:after="0" w:line="500" w:lineRule="exact"/>
        <w:ind w:firstLine="482"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信用担保</w:t>
      </w:r>
    </w:p>
    <w:p w14:paraId="70296597">
      <w:pPr>
        <w:pStyle w:val="11"/>
        <w:spacing w:line="360" w:lineRule="auto"/>
        <w:ind w:firstLine="480" w:firstLineChars="200"/>
        <w:rPr>
          <w:highlight w:val="none"/>
        </w:rPr>
      </w:pPr>
      <w:r>
        <w:rPr>
          <w:rFonts w:hint="eastAsia" w:asciiTheme="minorEastAsia" w:hAnsiTheme="minorEastAsia" w:eastAsiaTheme="minorEastAsia" w:cstheme="minorEastAsia"/>
          <w:kern w:val="2"/>
          <w:sz w:val="24"/>
          <w:szCs w:val="24"/>
          <w:highlight w:val="none"/>
          <w:lang w:val="en-US" w:eastAsia="zh-CN" w:bidi="ar-SA"/>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供应商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14:paraId="29437D53">
      <w:pPr>
        <w:pStyle w:val="11"/>
        <w:rPr>
          <w:highlight w:val="none"/>
        </w:rPr>
      </w:pPr>
    </w:p>
    <w:p w14:paraId="19A6E319">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97" w:name="_Toc13042"/>
      <w:bookmarkStart w:id="98" w:name="_Toc756"/>
      <w:bookmarkStart w:id="99" w:name="_Toc25308"/>
      <w:bookmarkStart w:id="100" w:name="_Toc23812"/>
      <w:bookmarkStart w:id="101" w:name="_Toc19972"/>
      <w:bookmarkStart w:id="102" w:name="_Toc10158"/>
      <w:bookmarkStart w:id="103" w:name="_Toc3368"/>
      <w:r>
        <w:rPr>
          <w:rFonts w:hint="eastAsia" w:asciiTheme="minorEastAsia" w:hAnsiTheme="minorEastAsia" w:eastAsiaTheme="minorEastAsia" w:cstheme="minorEastAsia"/>
          <w:b/>
          <w:bCs/>
          <w:kern w:val="0"/>
          <w:sz w:val="32"/>
          <w:szCs w:val="32"/>
          <w:highlight w:val="none"/>
        </w:rPr>
        <w:t>签订合同</w:t>
      </w:r>
      <w:bookmarkEnd w:id="97"/>
      <w:bookmarkEnd w:id="98"/>
      <w:bookmarkEnd w:id="99"/>
      <w:bookmarkEnd w:id="100"/>
      <w:bookmarkEnd w:id="101"/>
      <w:bookmarkEnd w:id="102"/>
      <w:bookmarkEnd w:id="103"/>
    </w:p>
    <w:p w14:paraId="683B34E9">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1、中标供应商需在中标通知书发出之日起</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个日历日内，与采购人洽谈合同条款，并签订供货合同，同时送代理机构归档。</w:t>
      </w:r>
    </w:p>
    <w:p w14:paraId="17F42513">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2、所签订的合同不得对招标文件和中标单位投标文件作实质性修改。</w:t>
      </w:r>
    </w:p>
    <w:p w14:paraId="2D8C4917">
      <w:pPr>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3、招标文件、中标供应商的投标文件及澄清文件等，均作为合同的附件，是签订合同的依据。</w:t>
      </w:r>
    </w:p>
    <w:p w14:paraId="7BFC1420">
      <w:pPr>
        <w:widowControl/>
        <w:numPr>
          <w:ilvl w:val="0"/>
          <w:numId w:val="3"/>
        </w:numPr>
        <w:spacing w:beforeLines="50" w:afterLines="50" w:line="500" w:lineRule="exact"/>
        <w:ind w:firstLine="0"/>
        <w:jc w:val="center"/>
        <w:outlineLvl w:val="1"/>
        <w:rPr>
          <w:rFonts w:asciiTheme="minorEastAsia" w:hAnsiTheme="minorEastAsia" w:eastAsiaTheme="minorEastAsia" w:cstheme="minorEastAsia"/>
          <w:b/>
          <w:bCs/>
          <w:kern w:val="0"/>
          <w:sz w:val="32"/>
          <w:szCs w:val="32"/>
          <w:highlight w:val="none"/>
        </w:rPr>
      </w:pPr>
      <w:bookmarkStart w:id="104" w:name="_Toc28110"/>
      <w:bookmarkStart w:id="105" w:name="_Toc9879"/>
      <w:bookmarkStart w:id="106" w:name="_Toc23592"/>
      <w:bookmarkStart w:id="107" w:name="_Toc2560"/>
      <w:bookmarkStart w:id="108" w:name="_Toc26132"/>
      <w:bookmarkStart w:id="109" w:name="_Toc7380"/>
      <w:bookmarkStart w:id="110" w:name="_Toc6400"/>
      <w:r>
        <w:rPr>
          <w:rFonts w:hint="eastAsia" w:asciiTheme="minorEastAsia" w:hAnsiTheme="minorEastAsia" w:eastAsiaTheme="minorEastAsia" w:cstheme="minorEastAsia"/>
          <w:b/>
          <w:bCs/>
          <w:kern w:val="0"/>
          <w:sz w:val="32"/>
          <w:szCs w:val="32"/>
          <w:highlight w:val="none"/>
        </w:rPr>
        <w:t>代理服务费</w:t>
      </w:r>
      <w:bookmarkEnd w:id="104"/>
      <w:bookmarkEnd w:id="105"/>
      <w:bookmarkEnd w:id="106"/>
      <w:bookmarkEnd w:id="107"/>
      <w:bookmarkEnd w:id="108"/>
      <w:bookmarkEnd w:id="109"/>
      <w:bookmarkEnd w:id="110"/>
    </w:p>
    <w:p w14:paraId="439AE62D">
      <w:pPr>
        <w:spacing w:line="560" w:lineRule="exact"/>
        <w:ind w:firstLine="480" w:firstLineChars="200"/>
        <w:jc w:val="left"/>
        <w:rPr>
          <w:rFonts w:ascii="宋体" w:hAnsi="宋体" w:cs="宋体"/>
          <w:sz w:val="24"/>
          <w:szCs w:val="24"/>
          <w:highlight w:val="none"/>
        </w:rPr>
      </w:pPr>
      <w:bookmarkStart w:id="111" w:name="_Toc16019"/>
      <w:bookmarkStart w:id="112" w:name="_Toc7191"/>
      <w:bookmarkStart w:id="113" w:name="_Toc21950"/>
      <w:bookmarkStart w:id="114" w:name="_Toc32056"/>
      <w:r>
        <w:rPr>
          <w:rFonts w:hint="eastAsia" w:ascii="宋体" w:hAnsi="宋体" w:cs="宋体"/>
          <w:sz w:val="24"/>
          <w:szCs w:val="24"/>
          <w:highlight w:val="none"/>
          <w:lang w:val="en-US" w:eastAsia="zh-CN"/>
        </w:rPr>
        <w:t>1、按照定额6000.00元收取</w:t>
      </w:r>
      <w:r>
        <w:rPr>
          <w:rFonts w:hint="eastAsia" w:ascii="宋体" w:hAnsi="宋体" w:cs="宋体"/>
          <w:sz w:val="24"/>
          <w:szCs w:val="24"/>
          <w:highlight w:val="none"/>
        </w:rPr>
        <w:t xml:space="preserve">，由中标人在领取中标通知书时向代理机构缴纳代理服务费。 </w:t>
      </w:r>
    </w:p>
    <w:p w14:paraId="40A6A2BE">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供应商将招标代理服务费计入响应报价但不单独列明，成交单位在领取成交通知书前，须向采购代理机构一次性支付招标代理服务费；代理服务费以转账、电汇或现金等形式交纳。</w:t>
      </w:r>
    </w:p>
    <w:bookmarkEnd w:id="111"/>
    <w:bookmarkEnd w:id="112"/>
    <w:bookmarkEnd w:id="113"/>
    <w:bookmarkEnd w:id="114"/>
    <w:p w14:paraId="450EA006">
      <w:pPr>
        <w:pStyle w:val="11"/>
        <w:numPr>
          <w:ilvl w:val="0"/>
          <w:numId w:val="18"/>
        </w:numPr>
        <w:jc w:val="center"/>
        <w:outlineLvl w:val="1"/>
        <w:rPr>
          <w:rFonts w:ascii="宋体" w:hAnsi="宋体" w:cs="宋体"/>
          <w:b/>
          <w:bCs/>
          <w:sz w:val="32"/>
          <w:szCs w:val="32"/>
          <w:highlight w:val="none"/>
        </w:rPr>
      </w:pPr>
      <w:bookmarkStart w:id="115" w:name="_Toc20242"/>
      <w:bookmarkStart w:id="116" w:name="_Toc11658"/>
      <w:bookmarkStart w:id="117" w:name="_Toc1322"/>
      <w:bookmarkStart w:id="118" w:name="_Toc5155"/>
      <w:bookmarkStart w:id="119" w:name="_Toc2192"/>
      <w:bookmarkStart w:id="120" w:name="_Toc6082"/>
      <w:bookmarkStart w:id="121" w:name="_Toc3298"/>
      <w:bookmarkStart w:id="122" w:name="_Toc2080"/>
      <w:bookmarkStart w:id="123" w:name="_Toc1429"/>
      <w:r>
        <w:rPr>
          <w:rFonts w:hint="eastAsia" w:ascii="宋体" w:hAnsi="宋体" w:cs="宋体"/>
          <w:b/>
          <w:bCs/>
          <w:sz w:val="32"/>
          <w:szCs w:val="32"/>
          <w:highlight w:val="none"/>
        </w:rPr>
        <w:t>履约验收</w:t>
      </w:r>
      <w:bookmarkEnd w:id="115"/>
      <w:bookmarkEnd w:id="116"/>
      <w:bookmarkEnd w:id="117"/>
      <w:bookmarkEnd w:id="118"/>
    </w:p>
    <w:p w14:paraId="04BAC93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政府采购合同的履行、违约责任和解决争议的方法等适用《中华人民共和国民法典》。采购人按照政府采购合同规定的技术、服务、安全标准组织对供应商履约情况进行验收，并出具验收书，代理机构有义务协助验收。</w:t>
      </w:r>
    </w:p>
    <w:p w14:paraId="063E13CE">
      <w:pPr>
        <w:pStyle w:val="11"/>
        <w:numPr>
          <w:ilvl w:val="0"/>
          <w:numId w:val="18"/>
        </w:numPr>
        <w:jc w:val="center"/>
        <w:outlineLvl w:val="1"/>
        <w:rPr>
          <w:rFonts w:ascii="宋体" w:hAnsi="宋体" w:cs="宋体"/>
          <w:b/>
          <w:bCs/>
          <w:sz w:val="32"/>
          <w:szCs w:val="32"/>
          <w:highlight w:val="none"/>
        </w:rPr>
      </w:pPr>
      <w:bookmarkStart w:id="124" w:name="_Toc30929"/>
      <w:bookmarkStart w:id="125" w:name="_Toc597"/>
      <w:bookmarkStart w:id="126" w:name="_Toc12124"/>
      <w:bookmarkStart w:id="127" w:name="_Toc29943"/>
      <w:bookmarkStart w:id="128" w:name="_Toc10985"/>
      <w:r>
        <w:rPr>
          <w:rFonts w:hint="eastAsia" w:ascii="宋体" w:hAnsi="宋体" w:cs="宋体"/>
          <w:b/>
          <w:bCs/>
          <w:sz w:val="32"/>
          <w:szCs w:val="32"/>
          <w:highlight w:val="none"/>
        </w:rPr>
        <w:t>质疑和投诉</w:t>
      </w:r>
      <w:bookmarkEnd w:id="124"/>
      <w:bookmarkEnd w:id="125"/>
      <w:bookmarkEnd w:id="126"/>
      <w:bookmarkEnd w:id="127"/>
      <w:bookmarkEnd w:id="128"/>
    </w:p>
    <w:p w14:paraId="3AF1132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质疑、投诉的接收和处理严格按照《中华人共和国政府采购法》、《政府采购质疑和投诉办法》财政部令第94号、《财政部关于加强政府采购供应商投诉受理审查工作的通知》等的相关规定办理。 </w:t>
      </w:r>
    </w:p>
    <w:p w14:paraId="6413C30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9.1供应商认为招标文件、采购过程和中标结果使自己的权益受到损害的，可以在知道或者应知其权益受到损害之日起七个工作日内，以书面原件形式向采购人或采购代理机构提出质疑，供应商</w:t>
      </w:r>
      <w:r>
        <w:rPr>
          <w:rFonts w:hint="eastAsia" w:ascii="宋体" w:hAnsi="宋体" w:cs="宋体"/>
          <w:color w:val="333333"/>
          <w:sz w:val="24"/>
          <w:szCs w:val="24"/>
          <w:highlight w:val="none"/>
          <w:shd w:val="clear" w:color="auto" w:fill="FFFFFF"/>
        </w:rPr>
        <w:t>应该在法定质疑期内一次性提出针对同一采购程序环节的质疑，</w:t>
      </w:r>
      <w:r>
        <w:rPr>
          <w:rFonts w:hint="eastAsia" w:ascii="宋体" w:hAnsi="宋体" w:cs="宋体"/>
          <w:sz w:val="24"/>
          <w:szCs w:val="24"/>
          <w:highlight w:val="none"/>
        </w:rPr>
        <w:t>逾期质疑无效。</w:t>
      </w:r>
    </w:p>
    <w:p w14:paraId="318868F6">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9.2 质疑文件应当包括下列主要内容：</w:t>
      </w:r>
    </w:p>
    <w:p w14:paraId="7A1F6694">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1）质疑供应商和相关供应商的名称、地址、联系人及联系电话等；</w:t>
      </w:r>
    </w:p>
    <w:p w14:paraId="79958B1E">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2）质疑项目及编号、质疑事项；</w:t>
      </w:r>
    </w:p>
    <w:p w14:paraId="4D91F506">
      <w:pPr>
        <w:spacing w:line="56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3）认为采购文件、采购过程、中标和成交结果使自己的合法权益受到损害的法律依据、事实依据、相关证明材料及证据来源；</w:t>
      </w:r>
    </w:p>
    <w:p w14:paraId="56F5F828">
      <w:pPr>
        <w:tabs>
          <w:tab w:val="left" w:pos="84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4）提出质疑的日期。</w:t>
      </w:r>
    </w:p>
    <w:p w14:paraId="52E251F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9.3 质疑函应当署名。质疑供应商为自然人的，应当由本人签字；质疑供应商为法人或者其他组织的，应当由法定代表人或者主要负责人签字盖章并加盖公章。</w:t>
      </w:r>
    </w:p>
    <w:p w14:paraId="74E3CB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9.4 供应商质疑应当有明确的请求和必要的证明材料。</w:t>
      </w:r>
      <w:r>
        <w:rPr>
          <w:rFonts w:hint="eastAsia" w:ascii="宋体" w:hAnsi="宋体" w:cs="宋体"/>
          <w:color w:val="000000" w:themeColor="text1"/>
          <w:sz w:val="24"/>
          <w:szCs w:val="24"/>
          <w:highlight w:val="none"/>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宋体" w:hAnsi="宋体" w:cs="宋体"/>
          <w:sz w:val="24"/>
          <w:szCs w:val="24"/>
          <w:highlight w:val="none"/>
        </w:rPr>
        <w:t>其作出解释说明。对捏造事实、滥用维权扰乱采购秩序的恶意质疑者，将依法处理。</w:t>
      </w:r>
    </w:p>
    <w:p w14:paraId="1AA2658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9.5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14:paraId="41C32703">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9.6质疑供应商对采购人、采购代理机构的质疑答复不满意，或者采购人、采购代理机构未在规定期限内作出答复的，可以在答复期满后15个工作日内向采购人的同级政府采购监督管理部门提起投诉。</w:t>
      </w:r>
    </w:p>
    <w:p w14:paraId="26C3B54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9.7 质疑受理部门：陕西万泽招标有限公司。</w:t>
      </w:r>
    </w:p>
    <w:p w14:paraId="0569240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9.8 提交质疑文件地点：</w:t>
      </w:r>
      <w:r>
        <w:rPr>
          <w:rFonts w:hint="eastAsia" w:ascii="宋体" w:hAnsi="宋体" w:cs="宋体"/>
          <w:sz w:val="24"/>
          <w:szCs w:val="24"/>
          <w:highlight w:val="none"/>
        </w:rPr>
        <w:t>西安市高新区唐延路旺座现代城C座25楼250</w:t>
      </w:r>
      <w:r>
        <w:rPr>
          <w:rFonts w:hint="eastAsia" w:ascii="宋体" w:hAnsi="宋体" w:cs="宋体"/>
          <w:sz w:val="24"/>
          <w:szCs w:val="24"/>
          <w:highlight w:val="none"/>
          <w:lang w:val="en-US" w:eastAsia="zh-CN"/>
        </w:rPr>
        <w:t>2</w:t>
      </w:r>
      <w:r>
        <w:rPr>
          <w:rFonts w:hint="eastAsia" w:ascii="宋体" w:hAnsi="宋体" w:cs="宋体"/>
          <w:sz w:val="24"/>
          <w:szCs w:val="24"/>
          <w:highlight w:val="none"/>
        </w:rPr>
        <w:t>室</w:t>
      </w:r>
      <w:r>
        <w:rPr>
          <w:rFonts w:hint="eastAsia" w:ascii="宋体" w:hAnsi="宋体" w:cs="宋体"/>
          <w:color w:val="000000" w:themeColor="text1"/>
          <w:sz w:val="24"/>
          <w:szCs w:val="24"/>
          <w:highlight w:val="none"/>
          <w14:textFill>
            <w14:solidFill>
              <w14:schemeClr w14:val="tx1"/>
            </w14:solidFill>
          </w14:textFill>
        </w:rPr>
        <w:t>。</w:t>
      </w:r>
    </w:p>
    <w:p w14:paraId="09DA2407">
      <w:pPr>
        <w:tabs>
          <w:tab w:val="left" w:pos="0"/>
          <w:tab w:val="left" w:pos="600"/>
          <w:tab w:val="left" w:pos="4700"/>
        </w:tabs>
        <w:autoSpaceDE w:val="0"/>
        <w:autoSpaceDN w:val="0"/>
        <w:spacing w:line="360" w:lineRule="auto"/>
        <w:ind w:firstLine="480" w:firstLineChars="200"/>
        <w:textAlignment w:val="bottom"/>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9.9 本次采购活动中，采购代理机构对质疑回复等文件的送达方式为现场取件。</w:t>
      </w:r>
    </w:p>
    <w:p w14:paraId="14C09952">
      <w:pPr>
        <w:spacing w:line="56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9.10 质疑函应当使用中文。质疑函范本详见财政部制定的范本即招标文件附件六。</w:t>
      </w:r>
    </w:p>
    <w:p w14:paraId="6301729A">
      <w:pPr>
        <w:spacing w:line="560" w:lineRule="exact"/>
        <w:ind w:firstLine="723" w:firstLineChars="200"/>
        <w:jc w:val="center"/>
        <w:rPr>
          <w:rFonts w:asciiTheme="minorEastAsia" w:hAnsiTheme="minorEastAsia" w:eastAsiaTheme="minorEastAsia" w:cstheme="minorEastAsia"/>
          <w:b/>
          <w:bCs/>
          <w:sz w:val="36"/>
          <w:szCs w:val="36"/>
          <w:highlight w:val="none"/>
        </w:rPr>
        <w:sectPr>
          <w:headerReference r:id="rId10" w:type="default"/>
          <w:footerReference r:id="rId11" w:type="default"/>
          <w:pgSz w:w="11906" w:h="16838"/>
          <w:pgMar w:top="1440" w:right="1803" w:bottom="1440" w:left="1803" w:header="851" w:footer="992" w:gutter="0"/>
          <w:cols w:space="720" w:num="1"/>
          <w:docGrid w:type="lines" w:linePitch="319" w:charSpace="0"/>
        </w:sectPr>
      </w:pPr>
    </w:p>
    <w:p w14:paraId="214D7E6C">
      <w:pPr>
        <w:pStyle w:val="2"/>
        <w:numPr>
          <w:ilvl w:val="0"/>
          <w:numId w:val="19"/>
        </w:numPr>
        <w:spacing w:beforeLines="100" w:afterLines="100" w:line="500" w:lineRule="exact"/>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lang w:val="en-US" w:eastAsia="zh-CN"/>
        </w:rPr>
        <w:t xml:space="preserve">  </w:t>
      </w:r>
      <w:bookmarkStart w:id="129" w:name="_Toc24956"/>
      <w:r>
        <w:rPr>
          <w:rFonts w:hint="eastAsia" w:asciiTheme="minorEastAsia" w:hAnsiTheme="minorEastAsia" w:eastAsiaTheme="minorEastAsia" w:cstheme="minorEastAsia"/>
          <w:sz w:val="36"/>
          <w:szCs w:val="36"/>
          <w:highlight w:val="none"/>
        </w:rPr>
        <w:t>评分标准</w:t>
      </w:r>
      <w:bookmarkEnd w:id="119"/>
      <w:bookmarkEnd w:id="120"/>
      <w:bookmarkEnd w:id="121"/>
      <w:bookmarkEnd w:id="122"/>
      <w:bookmarkEnd w:id="123"/>
      <w:bookmarkEnd w:id="129"/>
    </w:p>
    <w:p w14:paraId="17E52692">
      <w:pPr>
        <w:spacing w:line="500" w:lineRule="exact"/>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本次评标采用综合评分法，综合评分的主要因素为价格、技术、业绩、服务等以及对</w:t>
      </w:r>
      <w:r>
        <w:rPr>
          <w:rFonts w:hint="eastAsia" w:asciiTheme="minorEastAsia" w:hAnsiTheme="minorEastAsia" w:cstheme="minorEastAsia"/>
          <w:sz w:val="24"/>
          <w:szCs w:val="24"/>
          <w:highlight w:val="none"/>
          <w:lang w:eastAsia="zh-CN"/>
        </w:rPr>
        <w:t>招标文件</w:t>
      </w:r>
      <w:r>
        <w:rPr>
          <w:rFonts w:hint="eastAsia" w:asciiTheme="minorEastAsia" w:hAnsiTheme="minorEastAsia" w:cstheme="minorEastAsia"/>
          <w:sz w:val="24"/>
          <w:szCs w:val="24"/>
          <w:highlight w:val="none"/>
        </w:rPr>
        <w:t>的响应程度。每一供应商的最终得分为所有评委评分的算数平均值。</w:t>
      </w:r>
    </w:p>
    <w:tbl>
      <w:tblPr>
        <w:tblStyle w:val="26"/>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66"/>
        <w:gridCol w:w="6597"/>
      </w:tblGrid>
      <w:tr w14:paraId="71A8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95" w:type="dxa"/>
            <w:vAlign w:val="center"/>
          </w:tcPr>
          <w:p w14:paraId="7DEBE800">
            <w:pPr>
              <w:spacing w:line="360" w:lineRule="auto"/>
              <w:rPr>
                <w:rFonts w:ascii="宋体" w:hAnsi="宋体" w:eastAsia="宋体" w:cs="宋体"/>
                <w:color w:val="000000"/>
                <w:sz w:val="21"/>
                <w:szCs w:val="21"/>
                <w:highlight w:val="none"/>
              </w:rPr>
            </w:pPr>
            <w:bookmarkStart w:id="130" w:name="_Toc262"/>
            <w:bookmarkStart w:id="131" w:name="_Toc17369"/>
            <w:bookmarkStart w:id="132" w:name="_Toc3209"/>
            <w:bookmarkStart w:id="133" w:name="_Toc25445"/>
            <w:bookmarkStart w:id="134" w:name="_Toc21716"/>
            <w:bookmarkStart w:id="135" w:name="_Toc6835"/>
            <w:bookmarkStart w:id="136" w:name="_Toc12650"/>
            <w:bookmarkStart w:id="137" w:name="_Toc7227"/>
            <w:bookmarkStart w:id="138" w:name="_Toc15647"/>
            <w:bookmarkStart w:id="139" w:name="_Toc4467"/>
            <w:bookmarkStart w:id="140" w:name="_Toc1330"/>
            <w:r>
              <w:rPr>
                <w:rFonts w:hint="eastAsia" w:ascii="宋体" w:hAnsi="宋体" w:eastAsia="宋体" w:cs="宋体"/>
                <w:color w:val="000000"/>
                <w:sz w:val="21"/>
                <w:szCs w:val="21"/>
                <w:highlight w:val="none"/>
              </w:rPr>
              <w:t>评审项</w:t>
            </w:r>
          </w:p>
        </w:tc>
        <w:tc>
          <w:tcPr>
            <w:tcW w:w="866" w:type="dxa"/>
            <w:vAlign w:val="center"/>
          </w:tcPr>
          <w:p w14:paraId="34E7A9CA">
            <w:pPr>
              <w:spacing w:line="24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分值100分</w:t>
            </w:r>
          </w:p>
        </w:tc>
        <w:tc>
          <w:tcPr>
            <w:tcW w:w="6597" w:type="dxa"/>
            <w:vAlign w:val="center"/>
          </w:tcPr>
          <w:p w14:paraId="039339F9">
            <w:pPr>
              <w:spacing w:line="36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评审内容</w:t>
            </w:r>
          </w:p>
        </w:tc>
      </w:tr>
      <w:tr w14:paraId="576A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895" w:type="dxa"/>
            <w:vAlign w:val="center"/>
          </w:tcPr>
          <w:p w14:paraId="55A91E6D">
            <w:pPr>
              <w:spacing w:line="360" w:lineRule="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w:t>
            </w:r>
          </w:p>
        </w:tc>
        <w:tc>
          <w:tcPr>
            <w:tcW w:w="866" w:type="dxa"/>
            <w:vAlign w:val="center"/>
          </w:tcPr>
          <w:p w14:paraId="4A1E6EF6">
            <w:pPr>
              <w:spacing w:line="36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30分</w:t>
            </w:r>
          </w:p>
        </w:tc>
        <w:tc>
          <w:tcPr>
            <w:tcW w:w="6597" w:type="dxa"/>
            <w:vAlign w:val="center"/>
          </w:tcPr>
          <w:p w14:paraId="7851DA8C">
            <w:pPr>
              <w:numPr>
                <w:ilvl w:val="0"/>
                <w:numId w:val="2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经初审合格的</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文件，其</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报价为有效</w:t>
            </w: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lang w:val="en-US" w:eastAsia="zh-CN"/>
              </w:rPr>
              <w:t>报</w:t>
            </w:r>
            <w:r>
              <w:rPr>
                <w:rFonts w:hint="eastAsia" w:ascii="宋体" w:hAnsi="宋体" w:eastAsia="宋体" w:cs="宋体"/>
                <w:sz w:val="21"/>
                <w:szCs w:val="21"/>
                <w:highlight w:val="none"/>
              </w:rPr>
              <w:t>价；</w:t>
            </w:r>
          </w:p>
          <w:p w14:paraId="77A8B6E6">
            <w:pPr>
              <w:numPr>
                <w:ilvl w:val="0"/>
                <w:numId w:val="20"/>
              </w:num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文件要求且</w:t>
            </w:r>
            <w:r>
              <w:rPr>
                <w:rFonts w:hint="eastAsia" w:ascii="宋体" w:hAnsi="宋体" w:eastAsia="宋体" w:cs="宋体"/>
                <w:sz w:val="21"/>
                <w:szCs w:val="21"/>
                <w:highlight w:val="none"/>
                <w:lang w:eastAsia="zh-CN"/>
              </w:rPr>
              <w:t>提交</w:t>
            </w:r>
            <w:r>
              <w:rPr>
                <w:rFonts w:hint="eastAsia" w:ascii="宋体" w:hAnsi="宋体" w:eastAsia="宋体" w:cs="宋体"/>
                <w:sz w:val="21"/>
                <w:szCs w:val="21"/>
                <w:highlight w:val="none"/>
                <w:lang w:val="en-US" w:eastAsia="zh-CN"/>
              </w:rPr>
              <w:t>报价</w:t>
            </w:r>
            <w:r>
              <w:rPr>
                <w:rFonts w:hint="eastAsia" w:ascii="宋体" w:hAnsi="宋体" w:eastAsia="宋体" w:cs="宋体"/>
                <w:sz w:val="21"/>
                <w:szCs w:val="21"/>
                <w:highlight w:val="none"/>
              </w:rPr>
              <w:t>最低的</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报价为评标基准价。</w:t>
            </w:r>
          </w:p>
          <w:p w14:paraId="4A057C2C">
            <w:pPr>
              <w:numPr>
                <w:ilvl w:val="0"/>
                <w:numId w:val="20"/>
              </w:numPr>
              <w:spacing w:line="360" w:lineRule="auto"/>
              <w:rPr>
                <w:rFonts w:ascii="宋体" w:hAnsi="宋体" w:eastAsia="宋体" w:cs="宋体"/>
                <w:color w:val="000000"/>
                <w:sz w:val="21"/>
                <w:szCs w:val="21"/>
                <w:highlight w:val="none"/>
              </w:rPr>
            </w:pPr>
            <w:r>
              <w:rPr>
                <w:rFonts w:hint="eastAsia" w:ascii="宋体" w:hAnsi="宋体" w:eastAsia="宋体" w:cs="宋体"/>
                <w:sz w:val="21"/>
                <w:szCs w:val="21"/>
                <w:highlight w:val="none"/>
              </w:rPr>
              <w:t>报价得分=(</w:t>
            </w:r>
            <w:r>
              <w:rPr>
                <w:rFonts w:hint="eastAsia" w:ascii="宋体" w:hAnsi="宋体" w:eastAsia="宋体" w:cs="宋体"/>
                <w:sz w:val="21"/>
                <w:szCs w:val="21"/>
                <w:highlight w:val="none"/>
                <w:lang w:val="en-US" w:eastAsia="zh-CN"/>
              </w:rPr>
              <w:t>评审</w:t>
            </w:r>
            <w:r>
              <w:rPr>
                <w:rFonts w:hint="eastAsia" w:ascii="宋体" w:hAnsi="宋体" w:eastAsia="宋体" w:cs="宋体"/>
                <w:sz w:val="21"/>
                <w:szCs w:val="21"/>
                <w:highlight w:val="none"/>
              </w:rPr>
              <w:t>基准价／</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 xml:space="preserve">报价)×30 </w:t>
            </w:r>
          </w:p>
        </w:tc>
      </w:tr>
      <w:tr w14:paraId="2D5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14:paraId="33754BAB">
            <w:pPr>
              <w:spacing w:line="360" w:lineRule="auto"/>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技术指标、功能及配置</w:t>
            </w:r>
          </w:p>
        </w:tc>
        <w:tc>
          <w:tcPr>
            <w:tcW w:w="866" w:type="dxa"/>
            <w:vAlign w:val="center"/>
          </w:tcPr>
          <w:p w14:paraId="70E51CDD">
            <w:pPr>
              <w:spacing w:line="360" w:lineRule="auto"/>
              <w:jc w:val="center"/>
              <w:rPr>
                <w:rFonts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25</w:t>
            </w:r>
            <w:r>
              <w:rPr>
                <w:rFonts w:hint="eastAsia" w:ascii="宋体" w:hAnsi="宋体" w:eastAsia="宋体" w:cs="宋体"/>
                <w:color w:val="000000"/>
                <w:sz w:val="21"/>
                <w:szCs w:val="21"/>
                <w:highlight w:val="none"/>
              </w:rPr>
              <w:t>分</w:t>
            </w:r>
          </w:p>
        </w:tc>
        <w:tc>
          <w:tcPr>
            <w:tcW w:w="6597" w:type="dxa"/>
            <w:vAlign w:val="center"/>
          </w:tcPr>
          <w:p w14:paraId="6BAB46C7">
            <w:pPr>
              <w:spacing w:line="360" w:lineRule="auto"/>
              <w:rPr>
                <w:rFonts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根据供应商</w:t>
            </w:r>
            <w:r>
              <w:rPr>
                <w:rFonts w:hint="eastAsia" w:ascii="宋体" w:hAnsi="宋体" w:eastAsia="宋体" w:cs="宋体"/>
                <w:color w:val="000000"/>
                <w:sz w:val="21"/>
                <w:szCs w:val="21"/>
                <w:highlight w:val="none"/>
              </w:rPr>
              <w:t>响应产品的技术参数、配置和功能需求</w:t>
            </w:r>
            <w:r>
              <w:rPr>
                <w:rFonts w:hint="eastAsia" w:ascii="宋体" w:hAnsi="宋体" w:cs="宋体"/>
                <w:color w:val="000000"/>
                <w:sz w:val="21"/>
                <w:szCs w:val="21"/>
                <w:highlight w:val="none"/>
                <w:lang w:val="en-US" w:eastAsia="zh-CN"/>
              </w:rPr>
              <w:t>进行评审</w:t>
            </w:r>
            <w:r>
              <w:rPr>
                <w:rFonts w:hint="eastAsia"/>
                <w:sz w:val="21"/>
                <w:szCs w:val="21"/>
                <w:highlight w:val="none"/>
                <w:lang w:val="en-US" w:eastAsia="zh-CN"/>
              </w:rPr>
              <w:t>（除演示项外）</w:t>
            </w:r>
            <w:r>
              <w:rPr>
                <w:rFonts w:hint="eastAsia" w:ascii="宋体" w:hAnsi="宋体" w:eastAsia="宋体" w:cs="宋体"/>
                <w:color w:val="000000"/>
                <w:sz w:val="21"/>
                <w:szCs w:val="21"/>
                <w:highlight w:val="none"/>
              </w:rPr>
              <w:t>。评审依据为生产厂家出具的、相应的功能证明材料（包括但不限于测试报告、官网和功能</w:t>
            </w:r>
            <w:r>
              <w:rPr>
                <w:rFonts w:hint="eastAsia" w:ascii="宋体" w:hAnsi="宋体" w:cs="宋体"/>
                <w:color w:val="000000"/>
                <w:sz w:val="21"/>
                <w:szCs w:val="21"/>
                <w:highlight w:val="none"/>
                <w:lang w:eastAsia="zh-CN"/>
              </w:rPr>
              <w:t>界面</w:t>
            </w:r>
            <w:r>
              <w:rPr>
                <w:rFonts w:hint="eastAsia" w:ascii="宋体" w:hAnsi="宋体" w:eastAsia="宋体" w:cs="宋体"/>
                <w:color w:val="000000"/>
                <w:sz w:val="21"/>
                <w:szCs w:val="21"/>
                <w:highlight w:val="none"/>
              </w:rPr>
              <w:t>截图等）及响应产品技术参数偏离表等；</w:t>
            </w:r>
          </w:p>
          <w:p w14:paraId="21D617D4">
            <w:pPr>
              <w:spacing w:line="360" w:lineRule="auto"/>
              <w:rPr>
                <w:rFonts w:hint="default" w:ascii="宋体" w:hAnsi="宋体" w:cs="宋体"/>
                <w:color w:val="000000"/>
                <w:sz w:val="21"/>
                <w:szCs w:val="21"/>
                <w:highlight w:val="none"/>
              </w:rPr>
            </w:pPr>
            <w:r>
              <w:rPr>
                <w:rFonts w:hint="eastAsia" w:ascii="宋体" w:hAnsi="宋体" w:eastAsia="宋体" w:cs="宋体"/>
                <w:color w:val="000000"/>
                <w:sz w:val="21"/>
                <w:szCs w:val="21"/>
                <w:highlight w:val="none"/>
              </w:rPr>
              <w:t>技术响应分（</w:t>
            </w:r>
            <w:r>
              <w:rPr>
                <w:rFonts w:hint="eastAsia" w:ascii="宋体" w:hAnsi="宋体" w:cs="宋体"/>
                <w:color w:val="000000"/>
                <w:sz w:val="21"/>
                <w:szCs w:val="21"/>
                <w:highlight w:val="none"/>
                <w:lang w:val="en-US" w:eastAsia="zh-CN"/>
              </w:rPr>
              <w:t>25</w:t>
            </w:r>
            <w:r>
              <w:rPr>
                <w:rFonts w:hint="eastAsia" w:ascii="宋体" w:hAnsi="宋体" w:eastAsia="宋体" w:cs="宋体"/>
                <w:color w:val="000000"/>
                <w:sz w:val="21"/>
                <w:szCs w:val="21"/>
                <w:highlight w:val="none"/>
              </w:rPr>
              <w:t>分）：完全响应招标文件要求，满足采购需求、技术参数没有负偏离，计基本分</w:t>
            </w:r>
            <w:r>
              <w:rPr>
                <w:rFonts w:hint="eastAsia" w:ascii="宋体" w:hAnsi="宋体" w:cs="宋体"/>
                <w:color w:val="000000"/>
                <w:sz w:val="21"/>
                <w:szCs w:val="21"/>
                <w:highlight w:val="none"/>
                <w:lang w:val="en-US" w:eastAsia="zh-CN"/>
              </w:rPr>
              <w:t>25</w:t>
            </w:r>
            <w:r>
              <w:rPr>
                <w:rFonts w:hint="eastAsia" w:ascii="宋体" w:hAnsi="宋体" w:eastAsia="宋体" w:cs="宋体"/>
                <w:color w:val="000000"/>
                <w:sz w:val="21"/>
                <w:szCs w:val="21"/>
                <w:highlight w:val="none"/>
              </w:rPr>
              <w:t>分；参数每负偏离</w:t>
            </w:r>
            <w:r>
              <w:rPr>
                <w:rFonts w:hint="eastAsia" w:ascii="宋体" w:hAnsi="宋体" w:cs="宋体"/>
                <w:color w:val="000000"/>
                <w:sz w:val="21"/>
                <w:szCs w:val="21"/>
                <w:highlight w:val="none"/>
                <w:lang w:val="en-US" w:eastAsia="zh-CN"/>
              </w:rPr>
              <w:t>一</w:t>
            </w:r>
            <w:r>
              <w:rPr>
                <w:rFonts w:hint="eastAsia" w:ascii="宋体" w:hAnsi="宋体" w:eastAsia="宋体" w:cs="宋体"/>
                <w:color w:val="000000"/>
                <w:sz w:val="21"/>
                <w:szCs w:val="21"/>
                <w:highlight w:val="none"/>
              </w:rPr>
              <w:t>项扣</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分，扣完为止；如出现技术参数复制情况，由专家视其情况给予1-5分的扣分；</w:t>
            </w:r>
          </w:p>
        </w:tc>
      </w:tr>
      <w:tr w14:paraId="6E0D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14:paraId="7010BDDC">
            <w:pPr>
              <w:spacing w:line="30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highlight w:val="none"/>
              </w:rPr>
              <w:t>技术方案</w:t>
            </w:r>
          </w:p>
        </w:tc>
        <w:tc>
          <w:tcPr>
            <w:tcW w:w="866" w:type="dxa"/>
            <w:vAlign w:val="center"/>
          </w:tcPr>
          <w:p w14:paraId="5D2BD546">
            <w:pPr>
              <w:spacing w:line="30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highlight w:val="none"/>
              </w:rPr>
              <w:t>5分</w:t>
            </w:r>
          </w:p>
        </w:tc>
        <w:tc>
          <w:tcPr>
            <w:tcW w:w="6597" w:type="dxa"/>
            <w:vAlign w:val="center"/>
          </w:tcPr>
          <w:p w14:paraId="2AEB6D4F">
            <w:pPr>
              <w:spacing w:line="360" w:lineRule="auto"/>
              <w:rPr>
                <w:rFonts w:hint="eastAsia" w:ascii="宋体" w:hAnsi="宋体" w:cs="宋体"/>
                <w:color w:val="000000"/>
                <w:highlight w:val="none"/>
              </w:rPr>
            </w:pPr>
            <w:r>
              <w:rPr>
                <w:rFonts w:hint="eastAsia" w:ascii="宋体" w:hAnsi="宋体" w:cs="宋体"/>
                <w:color w:val="000000"/>
                <w:highlight w:val="none"/>
                <w:lang w:eastAsia="zh-CN"/>
              </w:rPr>
              <w:t>根据供应商提供的技术方案响应程度进行评审，技术方案包含（①产品选型和功能的合理完善性②产品兼容性③扩展性④产品可靠安全性⑤布局设置</w:t>
            </w:r>
            <w:r>
              <w:rPr>
                <w:rFonts w:hint="eastAsia" w:ascii="宋体" w:hAnsi="宋体" w:cs="宋体"/>
                <w:color w:val="000000"/>
                <w:highlight w:val="none"/>
                <w:lang w:val="en-US" w:eastAsia="zh-CN"/>
              </w:rPr>
              <w:t>及空间改造</w:t>
            </w:r>
            <w:r>
              <w:rPr>
                <w:rFonts w:hint="eastAsia" w:ascii="宋体" w:hAnsi="宋体" w:cs="宋体"/>
                <w:color w:val="000000"/>
                <w:highlight w:val="none"/>
                <w:lang w:eastAsia="zh-CN"/>
              </w:rPr>
              <w:t>等），方案详细、全面，对方案先进性、兼容性、安全性有设计说明，提供了证明材料，响应了采购需求，</w:t>
            </w:r>
            <w:r>
              <w:rPr>
                <w:rFonts w:hint="eastAsia" w:ascii="宋体" w:hAnsi="宋体" w:cs="宋体"/>
                <w:color w:val="000000"/>
                <w:highlight w:val="none"/>
                <w:lang w:val="en-US" w:eastAsia="zh-CN"/>
              </w:rPr>
              <w:t>每项计1</w:t>
            </w:r>
            <w:r>
              <w:rPr>
                <w:rFonts w:hint="eastAsia" w:ascii="宋体" w:hAnsi="宋体" w:cs="宋体"/>
                <w:color w:val="000000"/>
                <w:highlight w:val="none"/>
                <w:lang w:eastAsia="zh-CN"/>
              </w:rPr>
              <w:t>分，</w:t>
            </w:r>
            <w:r>
              <w:rPr>
                <w:rFonts w:hint="eastAsia" w:ascii="宋体" w:hAnsi="宋体" w:cs="宋体"/>
                <w:color w:val="000000"/>
                <w:highlight w:val="none"/>
                <w:lang w:val="en-US" w:eastAsia="zh-CN"/>
              </w:rPr>
              <w:t>本项最高计5分</w:t>
            </w:r>
            <w:r>
              <w:rPr>
                <w:rFonts w:hint="eastAsia" w:ascii="宋体" w:hAnsi="宋体" w:cs="宋体"/>
                <w:color w:val="000000"/>
                <w:highlight w:val="none"/>
                <w:lang w:eastAsia="zh-CN"/>
              </w:rPr>
              <w:t>；未提供不计分。</w:t>
            </w:r>
          </w:p>
        </w:tc>
      </w:tr>
      <w:tr w14:paraId="693F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14:paraId="04FE3B15">
            <w:pPr>
              <w:spacing w:line="360" w:lineRule="auto"/>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系统演示</w:t>
            </w:r>
          </w:p>
        </w:tc>
        <w:tc>
          <w:tcPr>
            <w:tcW w:w="866" w:type="dxa"/>
            <w:vAlign w:val="center"/>
          </w:tcPr>
          <w:p w14:paraId="5CCA9F5D">
            <w:pPr>
              <w:spacing w:line="360" w:lineRule="auto"/>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10分</w:t>
            </w:r>
          </w:p>
        </w:tc>
        <w:tc>
          <w:tcPr>
            <w:tcW w:w="6597" w:type="dxa"/>
            <w:vAlign w:val="center"/>
          </w:tcPr>
          <w:p w14:paraId="7E318E31">
            <w:pPr>
              <w:spacing w:line="360" w:lineRule="auto"/>
              <w:rPr>
                <w:rFonts w:hint="eastAsia"/>
                <w:sz w:val="21"/>
                <w:szCs w:val="21"/>
                <w:highlight w:val="none"/>
                <w:lang w:val="en-US" w:eastAsia="zh-CN"/>
              </w:rPr>
            </w:pPr>
            <w:r>
              <w:rPr>
                <w:rFonts w:hint="eastAsia"/>
                <w:sz w:val="21"/>
                <w:szCs w:val="21"/>
                <w:highlight w:val="none"/>
                <w:lang w:eastAsia="zh-CN"/>
              </w:rPr>
              <w:t>提供</w:t>
            </w:r>
            <w:r>
              <w:rPr>
                <w:rFonts w:hint="eastAsia"/>
                <w:sz w:val="21"/>
                <w:szCs w:val="21"/>
                <w:highlight w:val="none"/>
                <w:lang w:val="en-US" w:eastAsia="zh-CN"/>
              </w:rPr>
              <w:t>5个</w:t>
            </w:r>
            <w:r>
              <w:rPr>
                <w:rFonts w:hint="eastAsia" w:ascii="宋体" w:hAnsi="宋体" w:cs="宋体"/>
                <w:i w:val="0"/>
                <w:iCs w:val="0"/>
                <w:color w:val="000000"/>
                <w:kern w:val="0"/>
                <w:sz w:val="21"/>
                <w:szCs w:val="21"/>
                <w:highlight w:val="none"/>
                <w:u w:val="none"/>
                <w:lang w:val="en-US" w:eastAsia="zh-CN" w:bidi="ar"/>
              </w:rPr>
              <w:t>✱</w:t>
            </w:r>
            <w:r>
              <w:rPr>
                <w:rFonts w:hint="eastAsia"/>
                <w:sz w:val="21"/>
                <w:szCs w:val="21"/>
                <w:highlight w:val="none"/>
                <w:lang w:eastAsia="zh-CN"/>
              </w:rPr>
              <w:t>项技术指标演示，每个演示项</w:t>
            </w:r>
            <w:r>
              <w:rPr>
                <w:rFonts w:hint="eastAsia"/>
                <w:sz w:val="21"/>
                <w:szCs w:val="21"/>
                <w:highlight w:val="none"/>
                <w:lang w:val="en-US" w:eastAsia="zh-CN"/>
              </w:rPr>
              <w:t>2分，本项共计10分。</w:t>
            </w:r>
          </w:p>
          <w:p w14:paraId="0B88B770">
            <w:pPr>
              <w:pStyle w:val="5"/>
              <w:spacing w:line="360" w:lineRule="auto"/>
              <w:rPr>
                <w:rFonts w:hint="eastAsia" w:ascii="Calibri" w:hAnsi="Calibri" w:eastAsia="宋体" w:cs="Calibri"/>
                <w:b w:val="0"/>
                <w:kern w:val="2"/>
                <w:sz w:val="21"/>
                <w:szCs w:val="21"/>
                <w:highlight w:val="none"/>
                <w:lang w:val="en-US" w:eastAsia="zh-CN" w:bidi="ar-SA"/>
              </w:rPr>
            </w:pPr>
            <w:r>
              <w:rPr>
                <w:rFonts w:hint="eastAsia" w:ascii="Calibri" w:hAnsi="Calibri" w:eastAsia="宋体" w:cs="Calibri"/>
                <w:b w:val="0"/>
                <w:kern w:val="2"/>
                <w:sz w:val="21"/>
                <w:szCs w:val="21"/>
                <w:highlight w:val="none"/>
                <w:lang w:val="en-US" w:eastAsia="zh-CN" w:bidi="ar-SA"/>
              </w:rPr>
              <w:t>每个演示项根据演示内容</w:t>
            </w:r>
            <w:r>
              <w:rPr>
                <w:rFonts w:hint="eastAsia" w:ascii="Calibri" w:hAnsi="Calibri" w:cs="Calibri"/>
                <w:b w:val="0"/>
                <w:kern w:val="2"/>
                <w:sz w:val="21"/>
                <w:szCs w:val="21"/>
                <w:highlight w:val="none"/>
                <w:lang w:val="en-US" w:eastAsia="zh-CN" w:bidi="ar-SA"/>
              </w:rPr>
              <w:t>完全符合</w:t>
            </w:r>
            <w:r>
              <w:rPr>
                <w:rFonts w:hint="eastAsia" w:ascii="Calibri" w:hAnsi="Calibri" w:eastAsia="宋体" w:cs="Calibri"/>
                <w:b w:val="0"/>
                <w:kern w:val="2"/>
                <w:sz w:val="21"/>
                <w:szCs w:val="21"/>
                <w:highlight w:val="none"/>
                <w:lang w:val="en-US" w:eastAsia="zh-CN" w:bidi="ar-SA"/>
              </w:rPr>
              <w:t>采购需求</w:t>
            </w:r>
            <w:r>
              <w:rPr>
                <w:rFonts w:hint="eastAsia" w:ascii="Calibri" w:hAnsi="Calibri" w:cs="Calibri"/>
                <w:b w:val="0"/>
                <w:kern w:val="2"/>
                <w:sz w:val="21"/>
                <w:szCs w:val="21"/>
                <w:highlight w:val="none"/>
                <w:lang w:val="en-US" w:eastAsia="zh-CN" w:bidi="ar-SA"/>
              </w:rPr>
              <w:t>计2</w:t>
            </w:r>
            <w:r>
              <w:rPr>
                <w:rFonts w:hint="eastAsia" w:ascii="Calibri" w:hAnsi="Calibri" w:eastAsia="宋体" w:cs="Calibri"/>
                <w:b w:val="0"/>
                <w:kern w:val="2"/>
                <w:sz w:val="21"/>
                <w:szCs w:val="21"/>
                <w:highlight w:val="none"/>
                <w:lang w:val="en-US" w:eastAsia="zh-CN" w:bidi="ar-SA"/>
              </w:rPr>
              <w:t>分，未提供</w:t>
            </w:r>
            <w:r>
              <w:rPr>
                <w:rFonts w:hint="eastAsia" w:ascii="Calibri" w:hAnsi="Calibri" w:cs="Calibri"/>
                <w:b w:val="0"/>
                <w:kern w:val="2"/>
                <w:sz w:val="21"/>
                <w:szCs w:val="21"/>
                <w:highlight w:val="none"/>
                <w:lang w:val="en-US" w:eastAsia="zh-CN" w:bidi="ar-SA"/>
              </w:rPr>
              <w:t>或</w:t>
            </w:r>
            <w:r>
              <w:rPr>
                <w:rFonts w:hint="eastAsia" w:ascii="Calibri" w:hAnsi="Calibri" w:eastAsia="宋体" w:cs="Calibri"/>
                <w:b w:val="0"/>
                <w:kern w:val="2"/>
                <w:sz w:val="21"/>
                <w:szCs w:val="21"/>
                <w:highlight w:val="none"/>
                <w:lang w:val="en-US" w:eastAsia="zh-CN" w:bidi="ar-SA"/>
              </w:rPr>
              <w:t>演示</w:t>
            </w:r>
            <w:r>
              <w:rPr>
                <w:rFonts w:hint="eastAsia" w:ascii="Calibri" w:hAnsi="Calibri" w:cs="Calibri"/>
                <w:b w:val="0"/>
                <w:kern w:val="2"/>
                <w:sz w:val="21"/>
                <w:szCs w:val="21"/>
                <w:highlight w:val="none"/>
                <w:lang w:val="en-US" w:eastAsia="zh-CN" w:bidi="ar-SA"/>
              </w:rPr>
              <w:t>内容未达到采购需求的</w:t>
            </w:r>
            <w:r>
              <w:rPr>
                <w:rFonts w:hint="eastAsia" w:ascii="Calibri" w:hAnsi="Calibri" w:eastAsia="宋体" w:cs="Calibri"/>
                <w:b w:val="0"/>
                <w:kern w:val="2"/>
                <w:sz w:val="21"/>
                <w:szCs w:val="21"/>
                <w:highlight w:val="none"/>
                <w:lang w:val="en-US" w:eastAsia="zh-CN" w:bidi="ar-SA"/>
              </w:rPr>
              <w:t>不计分。</w:t>
            </w:r>
          </w:p>
          <w:p w14:paraId="5DD9FE50">
            <w:pPr>
              <w:spacing w:line="360" w:lineRule="auto"/>
              <w:rPr>
                <w:rFonts w:hint="eastAsia" w:ascii="宋体" w:hAnsi="宋体" w:eastAsia="宋体" w:cs="宋体"/>
                <w:color w:val="000000"/>
                <w:sz w:val="21"/>
                <w:szCs w:val="21"/>
                <w:highlight w:val="none"/>
              </w:rPr>
            </w:pPr>
            <w:r>
              <w:rPr>
                <w:rFonts w:hint="eastAsia" w:cs="Calibri"/>
                <w:b w:val="0"/>
                <w:kern w:val="2"/>
                <w:sz w:val="21"/>
                <w:szCs w:val="21"/>
                <w:highlight w:val="none"/>
                <w:lang w:val="en-US" w:eastAsia="zh-CN" w:bidi="ar-SA"/>
              </w:rPr>
              <w:t>演示时间不超过10分钟，各单位于开标当日到开标场地自行准备演示环境，</w:t>
            </w:r>
            <w:r>
              <w:rPr>
                <w:rFonts w:hint="eastAsia" w:cs="Calibri"/>
                <w:b w:val="0"/>
                <w:kern w:val="2"/>
                <w:sz w:val="21"/>
                <w:szCs w:val="21"/>
                <w:highlight w:val="lightGray"/>
                <w:lang w:val="en-US" w:eastAsia="zh-CN" w:bidi="ar-SA"/>
              </w:rPr>
              <w:t>演示形式采取真实环境视频演示或Demo。</w:t>
            </w:r>
          </w:p>
        </w:tc>
      </w:tr>
      <w:tr w14:paraId="484C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14:paraId="77D7B350">
            <w:pPr>
              <w:spacing w:line="360" w:lineRule="auto"/>
              <w:jc w:val="center"/>
              <w:rPr>
                <w:rFonts w:ascii="宋体" w:hAnsi="宋体" w:eastAsia="宋体" w:cs="宋体"/>
                <w:color w:val="000000"/>
                <w:sz w:val="21"/>
                <w:szCs w:val="21"/>
                <w:highlight w:val="none"/>
              </w:rPr>
            </w:pPr>
            <w:r>
              <w:rPr>
                <w:rFonts w:hint="eastAsia" w:ascii="宋体" w:hAnsi="宋体" w:cs="宋体"/>
                <w:sz w:val="21"/>
                <w:szCs w:val="21"/>
                <w:highlight w:val="none"/>
              </w:rPr>
              <w:t>产品来源渠道证明材料</w:t>
            </w:r>
          </w:p>
        </w:tc>
        <w:tc>
          <w:tcPr>
            <w:tcW w:w="866" w:type="dxa"/>
            <w:vAlign w:val="center"/>
          </w:tcPr>
          <w:p w14:paraId="3FD9133E">
            <w:pPr>
              <w:spacing w:line="360" w:lineRule="auto"/>
              <w:jc w:val="center"/>
              <w:rPr>
                <w:rFonts w:ascii="宋体" w:hAnsi="宋体" w:eastAsia="宋体" w:cs="宋体"/>
                <w:color w:val="000000"/>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tc>
        <w:tc>
          <w:tcPr>
            <w:tcW w:w="6597" w:type="dxa"/>
            <w:vAlign w:val="center"/>
          </w:tcPr>
          <w:p w14:paraId="26A225D7">
            <w:pPr>
              <w:spacing w:line="360" w:lineRule="auto"/>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响应产品</w:t>
            </w:r>
            <w:r>
              <w:rPr>
                <w:rFonts w:hint="eastAsia" w:ascii="宋体" w:hAnsi="宋体" w:cs="宋体"/>
                <w:bCs/>
                <w:sz w:val="21"/>
                <w:szCs w:val="21"/>
                <w:highlight w:val="none"/>
              </w:rPr>
              <w:t>货源渠道正规，确保产品无假货、水货、翻新货且无产权纠纷，提供所投产品的合法来源渠道证明文件（包括但不限于产品授权书、销售协议等）和原厂售后支持服务证明</w:t>
            </w:r>
            <w:r>
              <w:rPr>
                <w:rFonts w:hint="eastAsia" w:ascii="宋体" w:hAnsi="宋体" w:cs="宋体"/>
                <w:bCs/>
                <w:sz w:val="21"/>
                <w:szCs w:val="21"/>
                <w:highlight w:val="none"/>
                <w:lang w:val="en-US" w:eastAsia="zh-CN"/>
              </w:rPr>
              <w:t>资料齐全计3分；产品来源渠道证明资料不齐全计1分；</w:t>
            </w:r>
            <w:r>
              <w:rPr>
                <w:rFonts w:hint="eastAsia" w:ascii="宋体" w:hAnsi="宋体" w:cs="宋体"/>
                <w:sz w:val="21"/>
                <w:szCs w:val="21"/>
                <w:highlight w:val="none"/>
              </w:rPr>
              <w:t>未提供</w:t>
            </w:r>
            <w:r>
              <w:rPr>
                <w:rFonts w:hint="eastAsia" w:ascii="宋体" w:hAnsi="宋体" w:cs="宋体"/>
                <w:sz w:val="21"/>
                <w:szCs w:val="21"/>
                <w:highlight w:val="none"/>
                <w:lang w:val="en-US" w:eastAsia="zh-CN"/>
              </w:rPr>
              <w:t>不计分</w:t>
            </w:r>
            <w:r>
              <w:rPr>
                <w:rFonts w:hint="eastAsia" w:ascii="宋体" w:hAnsi="宋体" w:cs="宋体"/>
                <w:sz w:val="21"/>
                <w:szCs w:val="21"/>
                <w:highlight w:val="none"/>
              </w:rPr>
              <w:t>；</w:t>
            </w:r>
          </w:p>
        </w:tc>
      </w:tr>
      <w:tr w14:paraId="4B9D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5" w:type="dxa"/>
            <w:vAlign w:val="center"/>
          </w:tcPr>
          <w:p w14:paraId="21BC9C67">
            <w:pPr>
              <w:spacing w:line="360" w:lineRule="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实施方案</w:t>
            </w:r>
          </w:p>
        </w:tc>
        <w:tc>
          <w:tcPr>
            <w:tcW w:w="866" w:type="dxa"/>
            <w:vAlign w:val="center"/>
          </w:tcPr>
          <w:p w14:paraId="41345F8A">
            <w:pPr>
              <w:spacing w:line="360" w:lineRule="auto"/>
              <w:jc w:val="center"/>
              <w:rPr>
                <w:rFonts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tc>
        <w:tc>
          <w:tcPr>
            <w:tcW w:w="6597" w:type="dxa"/>
            <w:vAlign w:val="center"/>
          </w:tcPr>
          <w:p w14:paraId="3011B97E">
            <w:pPr>
              <w:keepNext/>
              <w:keepLines/>
              <w:spacing w:line="360" w:lineRule="auto"/>
              <w:ind w:firstLine="420" w:firstLineChars="200"/>
              <w:jc w:val="left"/>
              <w:outlineLvl w:val="3"/>
              <w:rPr>
                <w:rFonts w:ascii="宋体" w:hAnsi="宋体" w:eastAsia="宋体" w:cs="宋体"/>
                <w:sz w:val="21"/>
                <w:szCs w:val="21"/>
                <w:highlight w:val="none"/>
              </w:rPr>
            </w:pPr>
            <w:r>
              <w:rPr>
                <w:rFonts w:hint="eastAsia" w:ascii="宋体" w:hAnsi="宋体" w:eastAsia="宋体" w:cs="宋体"/>
                <w:sz w:val="21"/>
                <w:szCs w:val="21"/>
                <w:highlight w:val="none"/>
                <w:lang w:val="en-US" w:eastAsia="zh-Hans"/>
              </w:rPr>
              <w:t>一、</w:t>
            </w:r>
            <w:r>
              <w:rPr>
                <w:rFonts w:ascii="宋体" w:hAnsi="宋体" w:eastAsia="宋体" w:cs="宋体"/>
                <w:sz w:val="21"/>
                <w:szCs w:val="21"/>
                <w:highlight w:val="none"/>
              </w:rPr>
              <w:t>评审内容 针对本项目提供完善的项目实施方案，包括但不限于①项目实施步骤及管理方案；②实施进度计划及</w:t>
            </w:r>
            <w:r>
              <w:rPr>
                <w:rFonts w:hint="eastAsia" w:ascii="宋体" w:hAnsi="宋体" w:eastAsia="宋体" w:cs="宋体"/>
                <w:sz w:val="21"/>
                <w:szCs w:val="21"/>
                <w:highlight w:val="none"/>
                <w:lang w:val="en-US" w:eastAsia="zh-CN"/>
              </w:rPr>
              <w:t>供货</w:t>
            </w:r>
            <w:r>
              <w:rPr>
                <w:rFonts w:ascii="宋体" w:hAnsi="宋体" w:eastAsia="宋体" w:cs="宋体"/>
                <w:sz w:val="21"/>
                <w:szCs w:val="21"/>
                <w:highlight w:val="none"/>
              </w:rPr>
              <w:t>安排；③阶段工作和关键节点保障措施；④安装调试方案；⑤</w:t>
            </w:r>
            <w:r>
              <w:rPr>
                <w:rFonts w:hint="eastAsia" w:ascii="宋体" w:hAnsi="宋体" w:eastAsia="宋体" w:cs="宋体"/>
                <w:sz w:val="21"/>
                <w:szCs w:val="21"/>
                <w:highlight w:val="none"/>
                <w:lang w:val="en-US" w:eastAsia="zh-CN"/>
              </w:rPr>
              <w:t>人员配备及</w:t>
            </w:r>
            <w:r>
              <w:rPr>
                <w:rFonts w:ascii="宋体" w:hAnsi="宋体" w:eastAsia="宋体" w:cs="宋体"/>
                <w:sz w:val="21"/>
                <w:szCs w:val="21"/>
                <w:highlight w:val="none"/>
              </w:rPr>
              <w:t>项目后期验收方案。</w:t>
            </w:r>
          </w:p>
          <w:p w14:paraId="620CDE3B">
            <w:pPr>
              <w:keepNext/>
              <w:keepLines/>
              <w:spacing w:line="360" w:lineRule="auto"/>
              <w:ind w:firstLine="420" w:firstLineChars="200"/>
              <w:jc w:val="left"/>
              <w:outlineLvl w:val="3"/>
              <w:rPr>
                <w:rFonts w:ascii="宋体" w:hAnsi="宋体" w:eastAsia="宋体" w:cs="宋体"/>
                <w:sz w:val="21"/>
                <w:szCs w:val="21"/>
                <w:highlight w:val="none"/>
              </w:rPr>
            </w:pPr>
            <w:r>
              <w:rPr>
                <w:rFonts w:hint="eastAsia" w:ascii="宋体" w:hAnsi="宋体" w:eastAsia="宋体" w:cs="宋体"/>
                <w:sz w:val="21"/>
                <w:szCs w:val="21"/>
                <w:highlight w:val="none"/>
                <w:lang w:val="en-US" w:eastAsia="zh-Hans"/>
              </w:rPr>
              <w:t>二、</w:t>
            </w:r>
            <w:r>
              <w:rPr>
                <w:rFonts w:ascii="宋体" w:hAnsi="宋体" w:eastAsia="宋体" w:cs="宋体"/>
                <w:sz w:val="21"/>
                <w:szCs w:val="21"/>
                <w:highlight w:val="none"/>
              </w:rPr>
              <w:t>评审标准 1、完整性</w:t>
            </w:r>
            <w:r>
              <w:rPr>
                <w:rFonts w:hint="eastAsia" w:ascii="宋体" w:hAnsi="宋体" w:eastAsia="宋体" w:cs="宋体"/>
                <w:sz w:val="21"/>
                <w:szCs w:val="21"/>
                <w:highlight w:val="none"/>
                <w:lang w:val="en-US" w:eastAsia="zh-CN"/>
              </w:rPr>
              <w:t>及</w:t>
            </w:r>
            <w:r>
              <w:rPr>
                <w:rFonts w:ascii="宋体" w:hAnsi="宋体" w:eastAsia="宋体" w:cs="宋体"/>
                <w:sz w:val="21"/>
                <w:szCs w:val="21"/>
                <w:highlight w:val="none"/>
              </w:rPr>
              <w:t>可实施性：方案须全面，对评审内容中的各项要求有详细描述；切合本项目实际情况，实施步骤清晰、合理；</w:t>
            </w:r>
            <w:r>
              <w:rPr>
                <w:rFonts w:hint="eastAsia" w:ascii="宋体" w:hAnsi="宋体" w:eastAsia="宋体" w:cs="宋体"/>
                <w:sz w:val="21"/>
                <w:szCs w:val="21"/>
                <w:highlight w:val="none"/>
                <w:lang w:val="en-US" w:eastAsia="zh-CN"/>
              </w:rPr>
              <w:t>2</w:t>
            </w:r>
            <w:r>
              <w:rPr>
                <w:rFonts w:ascii="宋体" w:hAnsi="宋体" w:eastAsia="宋体" w:cs="宋体"/>
                <w:sz w:val="21"/>
                <w:szCs w:val="21"/>
                <w:highlight w:val="none"/>
              </w:rPr>
              <w:t xml:space="preserve">、针对性：方案能够紧扣项目实际情况，内容科学合理。 </w:t>
            </w:r>
          </w:p>
          <w:p w14:paraId="58D40B46">
            <w:pPr>
              <w:keepNext/>
              <w:keepLines/>
              <w:spacing w:line="360" w:lineRule="auto"/>
              <w:ind w:firstLine="420" w:firstLineChars="200"/>
              <w:jc w:val="left"/>
              <w:outlineLvl w:val="3"/>
              <w:rPr>
                <w:rFonts w:ascii="宋体" w:hAnsi="宋体" w:eastAsia="宋体" w:cs="宋体"/>
                <w:sz w:val="21"/>
                <w:szCs w:val="21"/>
                <w:highlight w:val="none"/>
              </w:rPr>
            </w:pPr>
            <w:r>
              <w:rPr>
                <w:rFonts w:ascii="宋体" w:hAnsi="宋体" w:eastAsia="宋体" w:cs="宋体"/>
                <w:sz w:val="21"/>
                <w:szCs w:val="21"/>
                <w:highlight w:val="none"/>
              </w:rPr>
              <w:t>三、赋分依据（满分</w:t>
            </w:r>
            <w:r>
              <w:rPr>
                <w:rFonts w:hint="eastAsia" w:ascii="宋体" w:hAnsi="宋体" w:eastAsia="宋体" w:cs="宋体"/>
                <w:sz w:val="21"/>
                <w:szCs w:val="21"/>
                <w:highlight w:val="none"/>
                <w:lang w:val="en-US" w:eastAsia="zh-CN"/>
              </w:rPr>
              <w:t>5</w:t>
            </w:r>
            <w:r>
              <w:rPr>
                <w:rFonts w:ascii="宋体" w:hAnsi="宋体" w:eastAsia="宋体" w:cs="宋体"/>
                <w:sz w:val="21"/>
                <w:szCs w:val="21"/>
                <w:highlight w:val="none"/>
              </w:rPr>
              <w:t>分）①项目实施步骤及管理方案：每完全满足一个评审标准得</w:t>
            </w:r>
            <w:r>
              <w:rPr>
                <w:rFonts w:hint="eastAsia" w:ascii="宋体" w:hAnsi="宋体" w:eastAsia="宋体" w:cs="宋体"/>
                <w:sz w:val="21"/>
                <w:szCs w:val="21"/>
                <w:highlight w:val="none"/>
                <w:lang w:val="en-US" w:eastAsia="zh-CN"/>
              </w:rPr>
              <w:t>0.5</w:t>
            </w:r>
            <w:r>
              <w:rPr>
                <w:rFonts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1</w:t>
            </w:r>
            <w:r>
              <w:rPr>
                <w:rFonts w:ascii="宋体" w:hAnsi="宋体" w:eastAsia="宋体" w:cs="宋体"/>
                <w:sz w:val="21"/>
                <w:szCs w:val="21"/>
                <w:highlight w:val="none"/>
              </w:rPr>
              <w:t>分。②实施进度计划及</w:t>
            </w:r>
            <w:r>
              <w:rPr>
                <w:rFonts w:hint="eastAsia" w:ascii="宋体" w:hAnsi="宋体" w:eastAsia="宋体" w:cs="宋体"/>
                <w:sz w:val="21"/>
                <w:szCs w:val="21"/>
                <w:highlight w:val="none"/>
                <w:lang w:val="en-US" w:eastAsia="zh-CN"/>
              </w:rPr>
              <w:t>供货</w:t>
            </w:r>
            <w:r>
              <w:rPr>
                <w:rFonts w:ascii="宋体" w:hAnsi="宋体" w:eastAsia="宋体" w:cs="宋体"/>
                <w:sz w:val="21"/>
                <w:szCs w:val="21"/>
                <w:highlight w:val="none"/>
              </w:rPr>
              <w:t>安排：每完全满足一个评审标准得</w:t>
            </w:r>
            <w:r>
              <w:rPr>
                <w:rFonts w:hint="eastAsia" w:ascii="宋体" w:hAnsi="宋体" w:eastAsia="宋体" w:cs="宋体"/>
                <w:sz w:val="21"/>
                <w:szCs w:val="21"/>
                <w:highlight w:val="none"/>
                <w:lang w:val="en-US" w:eastAsia="zh-CN"/>
              </w:rPr>
              <w:t>0.5</w:t>
            </w:r>
            <w:r>
              <w:rPr>
                <w:rFonts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1</w:t>
            </w:r>
            <w:r>
              <w:rPr>
                <w:rFonts w:ascii="宋体" w:hAnsi="宋体" w:eastAsia="宋体" w:cs="宋体"/>
                <w:sz w:val="21"/>
                <w:szCs w:val="21"/>
                <w:highlight w:val="none"/>
              </w:rPr>
              <w:t>分。③阶段工作和关键节点保障措施：每完全满足一个评审标准得</w:t>
            </w:r>
            <w:r>
              <w:rPr>
                <w:rFonts w:hint="eastAsia" w:ascii="宋体" w:hAnsi="宋体" w:eastAsia="宋体" w:cs="宋体"/>
                <w:sz w:val="21"/>
                <w:szCs w:val="21"/>
                <w:highlight w:val="none"/>
                <w:lang w:val="en-US" w:eastAsia="zh-CN"/>
              </w:rPr>
              <w:t>0.5</w:t>
            </w:r>
            <w:r>
              <w:rPr>
                <w:rFonts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1</w:t>
            </w:r>
            <w:r>
              <w:rPr>
                <w:rFonts w:ascii="宋体" w:hAnsi="宋体" w:eastAsia="宋体" w:cs="宋体"/>
                <w:sz w:val="21"/>
                <w:szCs w:val="21"/>
                <w:highlight w:val="none"/>
              </w:rPr>
              <w:t>分。④安装调试方案：每完全满足一个评审标准得</w:t>
            </w:r>
            <w:r>
              <w:rPr>
                <w:rFonts w:hint="eastAsia" w:ascii="宋体" w:hAnsi="宋体" w:eastAsia="宋体" w:cs="宋体"/>
                <w:sz w:val="21"/>
                <w:szCs w:val="21"/>
                <w:highlight w:val="none"/>
                <w:lang w:val="en-US" w:eastAsia="zh-CN"/>
              </w:rPr>
              <w:t>0.5</w:t>
            </w:r>
            <w:r>
              <w:rPr>
                <w:rFonts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1</w:t>
            </w:r>
            <w:r>
              <w:rPr>
                <w:rFonts w:ascii="宋体" w:hAnsi="宋体" w:eastAsia="宋体" w:cs="宋体"/>
                <w:sz w:val="21"/>
                <w:szCs w:val="21"/>
                <w:highlight w:val="none"/>
              </w:rPr>
              <w:t>分。⑤</w:t>
            </w:r>
            <w:r>
              <w:rPr>
                <w:rFonts w:hint="eastAsia" w:ascii="宋体" w:hAnsi="宋体" w:eastAsia="宋体" w:cs="宋体"/>
                <w:sz w:val="21"/>
                <w:szCs w:val="21"/>
                <w:highlight w:val="none"/>
                <w:lang w:val="en-US" w:eastAsia="zh-CN"/>
              </w:rPr>
              <w:t>人员配备及</w:t>
            </w:r>
            <w:r>
              <w:rPr>
                <w:rFonts w:ascii="宋体" w:hAnsi="宋体" w:eastAsia="宋体" w:cs="宋体"/>
                <w:sz w:val="21"/>
                <w:szCs w:val="21"/>
                <w:highlight w:val="none"/>
              </w:rPr>
              <w:t>项目后期验收方案：每完全满足一个评审标准得</w:t>
            </w:r>
            <w:r>
              <w:rPr>
                <w:rFonts w:hint="eastAsia" w:ascii="宋体" w:hAnsi="宋体" w:eastAsia="宋体" w:cs="宋体"/>
                <w:sz w:val="21"/>
                <w:szCs w:val="21"/>
                <w:highlight w:val="none"/>
                <w:lang w:val="en-US" w:eastAsia="zh-CN"/>
              </w:rPr>
              <w:t>0.5</w:t>
            </w:r>
            <w:r>
              <w:rPr>
                <w:rFonts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1</w:t>
            </w:r>
            <w:r>
              <w:rPr>
                <w:rFonts w:ascii="宋体" w:hAnsi="宋体" w:eastAsia="宋体" w:cs="宋体"/>
                <w:sz w:val="21"/>
                <w:szCs w:val="21"/>
                <w:highlight w:val="none"/>
              </w:rPr>
              <w:t>分。</w:t>
            </w:r>
          </w:p>
        </w:tc>
      </w:tr>
      <w:tr w14:paraId="3712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5" w:type="dxa"/>
            <w:vMerge w:val="restart"/>
            <w:vAlign w:val="center"/>
          </w:tcPr>
          <w:p w14:paraId="38CDD9D0">
            <w:pPr>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售后服务</w:t>
            </w:r>
            <w:r>
              <w:rPr>
                <w:rFonts w:hint="eastAsia" w:ascii="宋体" w:hAnsi="宋体" w:cs="宋体"/>
                <w:color w:val="000000"/>
                <w:sz w:val="21"/>
                <w:szCs w:val="21"/>
                <w:highlight w:val="none"/>
                <w:lang w:eastAsia="zh-CN"/>
              </w:rPr>
              <w:t>及培训方案</w:t>
            </w:r>
          </w:p>
        </w:tc>
        <w:tc>
          <w:tcPr>
            <w:tcW w:w="866" w:type="dxa"/>
            <w:vAlign w:val="center"/>
          </w:tcPr>
          <w:p w14:paraId="77ED3EBA">
            <w:pPr>
              <w:spacing w:line="360" w:lineRule="auto"/>
              <w:jc w:val="center"/>
              <w:rPr>
                <w:rFonts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w:t>
            </w:r>
          </w:p>
        </w:tc>
        <w:tc>
          <w:tcPr>
            <w:tcW w:w="6597" w:type="dxa"/>
            <w:vAlign w:val="center"/>
          </w:tcPr>
          <w:p w14:paraId="674F5D22">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3"/>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一、</w:t>
            </w:r>
            <w:r>
              <w:rPr>
                <w:rFonts w:hint="eastAsia" w:ascii="宋体" w:hAnsi="宋体" w:eastAsia="宋体" w:cs="宋体"/>
                <w:color w:val="000000"/>
                <w:sz w:val="21"/>
                <w:szCs w:val="21"/>
                <w:highlight w:val="none"/>
              </w:rPr>
              <w:t>评审内容 针对本项目提供完善的售后服务方案，包括但不限于：①响应时效及问题解决时效、质保期内售后服务方案；②售后服务机构的设立及机构信息、专职售后人员</w:t>
            </w:r>
            <w:r>
              <w:rPr>
                <w:rFonts w:hint="eastAsia" w:ascii="宋体" w:hAnsi="宋体" w:cs="宋体"/>
                <w:color w:val="000000"/>
                <w:sz w:val="21"/>
                <w:szCs w:val="21"/>
                <w:highlight w:val="none"/>
                <w:lang w:eastAsia="zh-CN"/>
              </w:rPr>
              <w:t>；</w:t>
            </w:r>
            <w:r>
              <w:rPr>
                <w:rFonts w:hint="default" w:ascii="宋体" w:hAnsi="宋体" w:eastAsia="宋体" w:cs="宋体"/>
                <w:color w:val="000000"/>
                <w:sz w:val="21"/>
                <w:szCs w:val="21"/>
                <w:highlight w:val="none"/>
              </w:rPr>
              <w:t>③</w:t>
            </w:r>
            <w:r>
              <w:rPr>
                <w:rFonts w:hint="eastAsia" w:ascii="宋体" w:hAnsi="宋体" w:eastAsia="宋体" w:cs="宋体"/>
                <w:color w:val="000000"/>
                <w:sz w:val="21"/>
                <w:szCs w:val="21"/>
                <w:highlight w:val="none"/>
                <w:lang w:val="en-US" w:eastAsia="zh-CN"/>
              </w:rPr>
              <w:t>原有设备维护方案</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p>
          <w:p w14:paraId="7C127C68">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3"/>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二、评审标准 1、完整性：方案须全面，对评审内容中的各项要求有详细描述； 2、可实施性：切合本项目实际情况，实施步骤清晰、合理</w:t>
            </w:r>
            <w:r>
              <w:rPr>
                <w:rFonts w:hint="eastAsia" w:ascii="宋体" w:hAnsi="宋体" w:cs="宋体"/>
                <w:color w:val="000000"/>
                <w:sz w:val="21"/>
                <w:szCs w:val="21"/>
                <w:highlight w:val="none"/>
                <w:lang w:val="en-US" w:eastAsia="zh-CN"/>
              </w:rPr>
              <w:t>.</w:t>
            </w:r>
          </w:p>
          <w:p w14:paraId="463F9BF6">
            <w:pPr>
              <w:keepNext/>
              <w:keepLines/>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3"/>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三、赋分依据（满分</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rPr>
              <w:t>分） ①响应时效及问题解决时效、质保期内售后服务方案：每完全满足一个评审标准得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分，满分</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 ②售后服务机构的设立及机构信息、专职售后人员：每完全满足一个评审标准得1分，满分</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r>
              <w:rPr>
                <w:rFonts w:hint="default" w:ascii="宋体" w:hAnsi="宋体" w:eastAsia="宋体" w:cs="宋体"/>
                <w:color w:val="000000"/>
                <w:sz w:val="21"/>
                <w:szCs w:val="21"/>
                <w:highlight w:val="none"/>
              </w:rPr>
              <w:t>③</w:t>
            </w:r>
            <w:r>
              <w:rPr>
                <w:rFonts w:hint="eastAsia" w:ascii="宋体" w:hAnsi="宋体" w:eastAsia="宋体" w:cs="宋体"/>
                <w:color w:val="000000"/>
                <w:sz w:val="21"/>
                <w:szCs w:val="21"/>
                <w:highlight w:val="none"/>
                <w:lang w:val="en-US" w:eastAsia="zh-CN"/>
              </w:rPr>
              <w:t>原有设备维护方案</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每完全满足一个评审标准得1分，满分</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分。</w:t>
            </w:r>
          </w:p>
        </w:tc>
      </w:tr>
      <w:tr w14:paraId="700F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5" w:type="dxa"/>
            <w:vMerge w:val="continue"/>
            <w:vAlign w:val="center"/>
          </w:tcPr>
          <w:p w14:paraId="1980416E">
            <w:pPr>
              <w:spacing w:line="360" w:lineRule="auto"/>
              <w:rPr>
                <w:rFonts w:hint="eastAsia" w:ascii="宋体" w:hAnsi="宋体" w:eastAsia="宋体" w:cs="宋体"/>
                <w:color w:val="000000"/>
                <w:sz w:val="21"/>
                <w:szCs w:val="21"/>
                <w:highlight w:val="none"/>
              </w:rPr>
            </w:pPr>
          </w:p>
        </w:tc>
        <w:tc>
          <w:tcPr>
            <w:tcW w:w="866" w:type="dxa"/>
            <w:vAlign w:val="center"/>
          </w:tcPr>
          <w:p w14:paraId="0ACC849E">
            <w:pPr>
              <w:spacing w:line="360" w:lineRule="auto"/>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5分</w:t>
            </w:r>
          </w:p>
        </w:tc>
        <w:tc>
          <w:tcPr>
            <w:tcW w:w="6597" w:type="dxa"/>
            <w:vAlign w:val="center"/>
          </w:tcPr>
          <w:p w14:paraId="5DAA46D5">
            <w:pPr>
              <w:keepNext/>
              <w:keepLines/>
              <w:spacing w:line="360" w:lineRule="auto"/>
              <w:ind w:firstLine="210" w:firstLineChars="100"/>
              <w:jc w:val="left"/>
              <w:outlineLvl w:val="3"/>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一、评审内容 针对本项目提供的培训方案，包括但不限于：①培训服务承诺；②培训方案；</w:t>
            </w:r>
            <w:r>
              <w:rPr>
                <w:rFonts w:hint="default" w:ascii="宋体" w:hAnsi="宋体" w:cs="宋体"/>
                <w:color w:val="000000"/>
                <w:sz w:val="21"/>
                <w:szCs w:val="21"/>
                <w:highlight w:val="none"/>
                <w:lang w:val="en-US" w:eastAsia="zh-CN"/>
              </w:rPr>
              <w:t>③</w:t>
            </w:r>
            <w:r>
              <w:rPr>
                <w:rFonts w:hint="eastAsia" w:ascii="宋体" w:hAnsi="宋体" w:cs="宋体"/>
                <w:color w:val="000000"/>
                <w:sz w:val="21"/>
                <w:szCs w:val="21"/>
                <w:highlight w:val="none"/>
                <w:lang w:val="en-US" w:eastAsia="zh-CN"/>
              </w:rPr>
              <w:t>培训计划；④培训人员安排；⑤培训的具体内容及方式。</w:t>
            </w:r>
          </w:p>
          <w:p w14:paraId="5061D29D">
            <w:pPr>
              <w:keepNext/>
              <w:keepLines/>
              <w:spacing w:line="360" w:lineRule="auto"/>
              <w:ind w:firstLine="210" w:firstLineChars="100"/>
              <w:jc w:val="left"/>
              <w:outlineLvl w:val="3"/>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二、评审标准 1、完整性及可实施性：方案须全面，对评审内容中的各项要求有详细描述； 2、针对性：方案能够紧扣项目实际情况，内容科学合理。</w:t>
            </w:r>
          </w:p>
          <w:p w14:paraId="6BA11F8B">
            <w:pPr>
              <w:keepNext/>
              <w:keepLines/>
              <w:spacing w:line="360" w:lineRule="auto"/>
              <w:ind w:firstLine="210" w:firstLineChars="100"/>
              <w:jc w:val="left"/>
              <w:outlineLvl w:val="3"/>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三、赋分依据（满分5分） ①培训服务承诺：每完全满足一个评审标准得0.5分，满分1分。 ②培训方案：每完全满足一个评审标准得0.5分，满分1分。 ③培训计划：每完全满足一个评审标准得0.5分，满分1分。④培训人员安排：每完全满足一个评审标准得0.5分，满分1分。⑤培训的具体内容及方式：每完全满足一个评审标准得0.5分，满分1分。</w:t>
            </w:r>
          </w:p>
        </w:tc>
      </w:tr>
      <w:tr w14:paraId="6F52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95" w:type="dxa"/>
            <w:vAlign w:val="center"/>
          </w:tcPr>
          <w:p w14:paraId="51847055">
            <w:pPr>
              <w:spacing w:line="360" w:lineRule="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业绩</w:t>
            </w:r>
          </w:p>
        </w:tc>
        <w:tc>
          <w:tcPr>
            <w:tcW w:w="866" w:type="dxa"/>
            <w:vAlign w:val="center"/>
          </w:tcPr>
          <w:p w14:paraId="215895AE">
            <w:pPr>
              <w:spacing w:line="360" w:lineRule="auto"/>
              <w:jc w:val="center"/>
              <w:rPr>
                <w:rFonts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tc>
        <w:tc>
          <w:tcPr>
            <w:tcW w:w="6597" w:type="dxa"/>
            <w:vAlign w:val="center"/>
          </w:tcPr>
          <w:p w14:paraId="3189F24E">
            <w:pPr>
              <w:spacing w:line="360" w:lineRule="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20</w:t>
            </w:r>
            <w:r>
              <w:rPr>
                <w:rFonts w:hint="eastAsia" w:ascii="宋体" w:hAnsi="宋体" w:cs="宋体"/>
                <w:color w:val="000000"/>
                <w:sz w:val="21"/>
                <w:szCs w:val="21"/>
                <w:highlight w:val="none"/>
                <w:lang w:val="en-US" w:eastAsia="zh-CN"/>
              </w:rPr>
              <w:t>22</w:t>
            </w:r>
            <w:r>
              <w:rPr>
                <w:rFonts w:hint="eastAsia" w:ascii="宋体" w:hAnsi="宋体" w:eastAsia="宋体" w:cs="宋体"/>
                <w:color w:val="000000"/>
                <w:sz w:val="21"/>
                <w:szCs w:val="21"/>
                <w:highlight w:val="none"/>
              </w:rPr>
              <w:t>年1月1日至今的类似项目</w:t>
            </w:r>
            <w:r>
              <w:rPr>
                <w:rFonts w:hint="eastAsia" w:ascii="宋体" w:hAnsi="宋体" w:cs="宋体"/>
                <w:color w:val="000000"/>
                <w:sz w:val="21"/>
                <w:szCs w:val="21"/>
                <w:highlight w:val="none"/>
                <w:lang w:val="en-US" w:eastAsia="zh-CN"/>
              </w:rPr>
              <w:t>业绩（需同时提供</w:t>
            </w:r>
            <w:r>
              <w:rPr>
                <w:rFonts w:hint="eastAsia" w:ascii="宋体" w:hAnsi="宋体" w:eastAsia="宋体" w:cs="宋体"/>
                <w:b/>
                <w:bCs/>
                <w:color w:val="000000"/>
                <w:sz w:val="21"/>
                <w:szCs w:val="21"/>
                <w:highlight w:val="none"/>
              </w:rPr>
              <w:t>供货合同</w:t>
            </w:r>
            <w:r>
              <w:rPr>
                <w:rFonts w:hint="eastAsia" w:ascii="宋体" w:hAnsi="宋体" w:cs="宋体"/>
                <w:b/>
                <w:bCs/>
                <w:color w:val="000000"/>
                <w:sz w:val="21"/>
                <w:szCs w:val="21"/>
                <w:highlight w:val="none"/>
                <w:lang w:val="en-US" w:eastAsia="zh-CN"/>
              </w:rPr>
              <w:t>及发票</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rPr>
              <w:t>，每份计</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分，计满</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rPr>
              <w:t>分为止；（以签订合同时间为准）</w:t>
            </w:r>
          </w:p>
        </w:tc>
      </w:tr>
      <w:tr w14:paraId="1532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95" w:type="dxa"/>
            <w:vAlign w:val="center"/>
          </w:tcPr>
          <w:p w14:paraId="5DBF81C9">
            <w:pPr>
              <w:spacing w:line="360" w:lineRule="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节能</w:t>
            </w:r>
          </w:p>
          <w:p w14:paraId="638E40BB">
            <w:pPr>
              <w:spacing w:line="360" w:lineRule="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环保</w:t>
            </w:r>
          </w:p>
        </w:tc>
        <w:tc>
          <w:tcPr>
            <w:tcW w:w="866" w:type="dxa"/>
            <w:vAlign w:val="center"/>
          </w:tcPr>
          <w:p w14:paraId="1DDB6F42">
            <w:pPr>
              <w:spacing w:line="36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1分</w:t>
            </w:r>
          </w:p>
        </w:tc>
        <w:tc>
          <w:tcPr>
            <w:tcW w:w="6597" w:type="dxa"/>
            <w:vAlign w:val="center"/>
          </w:tcPr>
          <w:p w14:paraId="54D8D9A7">
            <w:pPr>
              <w:spacing w:line="360" w:lineRule="auto"/>
              <w:rPr>
                <w:rFonts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响应产品中每有一项为节能产品的得0.5分，每有一项为环境标志产品的得0.5分，</w:t>
            </w:r>
            <w:r>
              <w:rPr>
                <w:rFonts w:hint="eastAsia" w:ascii="宋体" w:hAnsi="宋体" w:cs="宋体"/>
                <w:color w:val="000000"/>
                <w:sz w:val="21"/>
                <w:szCs w:val="21"/>
                <w:highlight w:val="none"/>
                <w:lang w:val="en-US" w:eastAsia="zh-CN"/>
              </w:rPr>
              <w:t>供应商</w:t>
            </w:r>
            <w:r>
              <w:rPr>
                <w:rFonts w:hint="eastAsia" w:ascii="宋体" w:hAnsi="宋体" w:eastAsia="宋体" w:cs="宋体"/>
                <w:color w:val="000000"/>
                <w:sz w:val="21"/>
                <w:szCs w:val="21"/>
                <w:highlight w:val="none"/>
              </w:rPr>
              <w:t>所投产品中每有一项产品同时为节能产品和环境标志产品的得1分，最多得1分。（须提供相应产品的国家确定的认证机构出具的、处于有效期内的节能产品、环境标志产品认证证书）</w:t>
            </w:r>
          </w:p>
        </w:tc>
      </w:tr>
    </w:tbl>
    <w:p w14:paraId="193A285A">
      <w:pPr>
        <w:rPr>
          <w:rFonts w:ascii="宋体" w:cs="宋体"/>
          <w:b/>
          <w:bCs/>
          <w:color w:val="000000"/>
          <w:sz w:val="24"/>
          <w:szCs w:val="24"/>
          <w:highlight w:val="none"/>
        </w:rPr>
      </w:pPr>
      <w:r>
        <w:rPr>
          <w:rFonts w:hint="eastAsia" w:ascii="宋体" w:hAnsi="宋体" w:cs="宋体"/>
          <w:b/>
          <w:bCs/>
          <w:color w:val="000000"/>
          <w:sz w:val="24"/>
          <w:highlight w:val="none"/>
        </w:rPr>
        <w:t>备注：</w:t>
      </w:r>
      <w:r>
        <w:rPr>
          <w:rFonts w:hint="eastAsia" w:ascii="宋体" w:hAnsi="宋体" w:cs="宋体"/>
          <w:b/>
          <w:bCs/>
          <w:color w:val="000000"/>
          <w:sz w:val="24"/>
          <w:szCs w:val="24"/>
          <w:highlight w:val="none"/>
        </w:rPr>
        <w:t xml:space="preserve">（一）对小型或微型企业参加政府采购投标的扶持： </w:t>
      </w:r>
    </w:p>
    <w:p w14:paraId="76DC3041">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根据</w:t>
      </w:r>
      <w:r>
        <w:rPr>
          <w:rFonts w:hint="eastAsia" w:ascii="宋体" w:hAnsi="宋体"/>
          <w:color w:val="000000"/>
          <w:spacing w:val="6"/>
          <w:sz w:val="24"/>
          <w:highlight w:val="none"/>
        </w:rPr>
        <w:t>《政府采购促进中小企业发展管理办法》（财库[2020]46号）</w:t>
      </w:r>
      <w:r>
        <w:rPr>
          <w:rFonts w:hint="eastAsia" w:ascii="宋体" w:hAnsi="宋体" w:cs="宋体"/>
          <w:color w:val="000000"/>
          <w:sz w:val="24"/>
          <w:szCs w:val="24"/>
          <w:highlight w:val="none"/>
        </w:rPr>
        <w:t>的规定，对于非专门面向中小企业的项目，对小型和微型企业产品的价格给予</w:t>
      </w:r>
      <w:r>
        <w:rPr>
          <w:rFonts w:hint="eastAsia" w:ascii="宋体" w:hAnsi="宋体" w:cs="宋体"/>
          <w:color w:val="000000"/>
          <w:sz w:val="24"/>
          <w:szCs w:val="24"/>
          <w:highlight w:val="none"/>
          <w:lang w:val="en-US" w:eastAsia="zh-CN"/>
        </w:rPr>
        <w:t>10</w:t>
      </w:r>
      <w:r>
        <w:rPr>
          <w:rFonts w:ascii="宋体" w:hAnsi="宋体" w:cs="宋体"/>
          <w:color w:val="000000"/>
          <w:sz w:val="24"/>
          <w:szCs w:val="24"/>
          <w:highlight w:val="none"/>
        </w:rPr>
        <w:t>%</w:t>
      </w:r>
      <w:r>
        <w:rPr>
          <w:rFonts w:hint="eastAsia" w:ascii="宋体" w:hAnsi="宋体" w:cs="宋体"/>
          <w:color w:val="000000"/>
          <w:sz w:val="24"/>
          <w:szCs w:val="24"/>
          <w:highlight w:val="none"/>
        </w:rPr>
        <w:t>的扣除，用扣除后的价格参与评审；供应商可在投标文件中提供小型和微型企业声明，具体格式详见附件。</w:t>
      </w:r>
    </w:p>
    <w:p w14:paraId="44EAA3DA">
      <w:pPr>
        <w:spacing w:line="360" w:lineRule="auto"/>
        <w:ind w:firstLine="482" w:firstLineChars="200"/>
        <w:rPr>
          <w:rFonts w:ascii="宋体" w:cs="宋体"/>
          <w:b/>
          <w:bCs/>
          <w:color w:val="000000"/>
          <w:sz w:val="24"/>
          <w:szCs w:val="24"/>
          <w:highlight w:val="none"/>
        </w:rPr>
      </w:pPr>
      <w:r>
        <w:rPr>
          <w:rFonts w:hint="eastAsia" w:ascii="宋体" w:cs="宋体"/>
          <w:b/>
          <w:bCs/>
          <w:color w:val="000000"/>
          <w:sz w:val="24"/>
          <w:szCs w:val="24"/>
          <w:highlight w:val="none"/>
        </w:rPr>
        <w:t>（二）对监狱企业、残疾人福利企业的扶持</w:t>
      </w:r>
    </w:p>
    <w:p w14:paraId="1C385DC6">
      <w:pPr>
        <w:spacing w:line="360" w:lineRule="auto"/>
        <w:ind w:firstLine="480" w:firstLineChars="200"/>
        <w:rPr>
          <w:rFonts w:ascii="宋体" w:hAnsi="宋体" w:cs="宋体"/>
          <w:color w:val="000000"/>
          <w:sz w:val="24"/>
          <w:szCs w:val="24"/>
          <w:highlight w:val="none"/>
        </w:rPr>
      </w:pPr>
      <w:r>
        <w:rPr>
          <w:rFonts w:hint="eastAsia" w:ascii="宋体" w:cs="宋体"/>
          <w:color w:val="000000"/>
          <w:sz w:val="24"/>
          <w:szCs w:val="24"/>
          <w:highlight w:val="none"/>
        </w:rPr>
        <w:t>根据《关于政府采购支持监狱企业发展有关问题的通知》（财库[2014]68号）</w:t>
      </w:r>
      <w:r>
        <w:rPr>
          <w:rFonts w:hint="eastAsia" w:ascii="宋体" w:hAnsi="宋体" w:cs="宋体"/>
          <w:color w:val="000000"/>
          <w:sz w:val="24"/>
          <w:szCs w:val="24"/>
          <w:highlight w:val="none"/>
        </w:rPr>
        <w:t>（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 xml:space="preserve">%的价格扣除，用扣除后的价格参与评审。 </w:t>
      </w:r>
    </w:p>
    <w:p w14:paraId="1B1AC341">
      <w:pPr>
        <w:spacing w:line="360" w:lineRule="auto"/>
        <w:ind w:firstLine="482" w:firstLineChars="200"/>
        <w:rPr>
          <w:rFonts w:ascii="宋体" w:hAnsi="宋体" w:cs="宋体"/>
          <w:b/>
          <w:bCs/>
          <w:color w:val="000000"/>
          <w:sz w:val="24"/>
          <w:szCs w:val="24"/>
          <w:highlight w:val="none"/>
        </w:rPr>
      </w:pPr>
      <w:r>
        <w:rPr>
          <w:rFonts w:hint="eastAsia" w:ascii="宋体" w:hAnsi="宋体" w:cs="宋体"/>
          <w:b/>
          <w:bCs/>
          <w:color w:val="000000"/>
          <w:sz w:val="24"/>
          <w:szCs w:val="24"/>
          <w:highlight w:val="none"/>
        </w:rPr>
        <w:t>（三）对同时属于小微企业、监狱企业或残疾人福利性单位的， 不重复享受政策。</w:t>
      </w:r>
    </w:p>
    <w:p w14:paraId="10558127">
      <w:pPr>
        <w:spacing w:line="360" w:lineRule="auto"/>
        <w:ind w:firstLine="482" w:firstLineChars="200"/>
        <w:rPr>
          <w:rFonts w:ascii="宋体" w:cs="宋体"/>
          <w:b/>
          <w:bCs/>
          <w:color w:val="000000"/>
          <w:sz w:val="24"/>
          <w:szCs w:val="24"/>
          <w:highlight w:val="none"/>
        </w:rPr>
      </w:pPr>
      <w:r>
        <w:rPr>
          <w:rFonts w:hint="eastAsia" w:ascii="宋体" w:hAnsi="宋体" w:cs="宋体"/>
          <w:b/>
          <w:bCs/>
          <w:color w:val="000000"/>
          <w:sz w:val="24"/>
          <w:szCs w:val="24"/>
          <w:highlight w:val="none"/>
        </w:rPr>
        <w:t>（四）对节能、环保政策的支持</w:t>
      </w:r>
    </w:p>
    <w:p w14:paraId="4A4EE091">
      <w:pPr>
        <w:spacing w:line="360" w:lineRule="auto"/>
        <w:ind w:firstLine="480" w:firstLineChars="200"/>
        <w:rPr>
          <w:rFonts w:ascii="宋体"/>
          <w:color w:val="000000"/>
          <w:sz w:val="24"/>
          <w:szCs w:val="24"/>
          <w:highlight w:val="none"/>
        </w:rPr>
      </w:pPr>
      <w:r>
        <w:rPr>
          <w:rFonts w:hint="eastAsia" w:ascii="宋体" w:hAnsi="宋体" w:cs="宋体"/>
          <w:color w:val="000000"/>
          <w:sz w:val="24"/>
          <w:szCs w:val="24"/>
          <w:highlight w:val="none"/>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14:paraId="7897388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10B55B4B">
      <w:pPr>
        <w:spacing w:line="360" w:lineRule="auto"/>
        <w:rPr>
          <w:color w:val="000000"/>
          <w:sz w:val="24"/>
          <w:szCs w:val="24"/>
          <w:highlight w:val="none"/>
        </w:rPr>
      </w:pPr>
      <w:r>
        <w:rPr>
          <w:rFonts w:hint="eastAsia" w:ascii="宋体" w:hAnsi="宋体" w:cs="宋体"/>
          <w:color w:val="000000"/>
          <w:sz w:val="24"/>
          <w:szCs w:val="24"/>
          <w:highlight w:val="none"/>
        </w:rPr>
        <w:t>3、产品同时属于“非强制采购节能产品”、环境标志产品的，评审时只有其中一项能享受优先待遇（供应商自行选择，并在报价文件中填写相关信息及数据）。</w:t>
      </w:r>
    </w:p>
    <w:p w14:paraId="36066276">
      <w:pPr>
        <w:pStyle w:val="2"/>
        <w:pageBreakBefore/>
        <w:spacing w:beforeLines="100" w:afterLines="100" w:line="500" w:lineRule="exact"/>
        <w:rPr>
          <w:rFonts w:hint="eastAsia" w:asciiTheme="minorEastAsia" w:hAnsiTheme="minorEastAsia" w:eastAsiaTheme="minorEastAsia" w:cstheme="minorEastAsia"/>
          <w:sz w:val="36"/>
          <w:szCs w:val="36"/>
          <w:highlight w:val="none"/>
        </w:rPr>
        <w:sectPr>
          <w:headerReference r:id="rId12" w:type="default"/>
          <w:footerReference r:id="rId13" w:type="default"/>
          <w:pgSz w:w="11906" w:h="16838"/>
          <w:pgMar w:top="1440" w:right="1803" w:bottom="1440" w:left="1803" w:header="851" w:footer="992" w:gutter="0"/>
          <w:cols w:space="0" w:num="1"/>
          <w:rtlGutter w:val="1"/>
          <w:docGrid w:type="lines" w:linePitch="319" w:charSpace="0"/>
        </w:sectPr>
      </w:pPr>
    </w:p>
    <w:p w14:paraId="4B527955">
      <w:pPr>
        <w:pStyle w:val="2"/>
        <w:pageBreakBefore/>
        <w:spacing w:beforeLines="100" w:afterLines="100" w:line="500" w:lineRule="exact"/>
        <w:rPr>
          <w:rFonts w:asciiTheme="minorEastAsia" w:hAnsiTheme="minorEastAsia" w:eastAsiaTheme="minorEastAsia" w:cstheme="minorEastAsia"/>
          <w:sz w:val="36"/>
          <w:szCs w:val="36"/>
          <w:highlight w:val="none"/>
        </w:rPr>
      </w:pPr>
      <w:bookmarkStart w:id="141" w:name="_Toc21186"/>
      <w:r>
        <w:rPr>
          <w:rFonts w:hint="eastAsia" w:asciiTheme="minorEastAsia" w:hAnsiTheme="minorEastAsia" w:eastAsiaTheme="minorEastAsia" w:cstheme="minorEastAsia"/>
          <w:sz w:val="36"/>
          <w:szCs w:val="36"/>
          <w:highlight w:val="none"/>
        </w:rPr>
        <w:t>第五部分</w:t>
      </w:r>
      <w:bookmarkEnd w:id="130"/>
      <w:r>
        <w:rPr>
          <w:rFonts w:hint="eastAsia" w:asciiTheme="minorEastAsia" w:hAnsiTheme="minorEastAsia" w:eastAsiaTheme="minorEastAsia" w:cstheme="minorEastAsia"/>
          <w:sz w:val="36"/>
          <w:szCs w:val="36"/>
          <w:highlight w:val="none"/>
        </w:rPr>
        <w:t xml:space="preserve">  商务条款与采购要求</w:t>
      </w:r>
      <w:bookmarkEnd w:id="131"/>
      <w:bookmarkEnd w:id="132"/>
      <w:bookmarkEnd w:id="133"/>
      <w:bookmarkEnd w:id="134"/>
      <w:bookmarkEnd w:id="141"/>
    </w:p>
    <w:bookmarkEnd w:id="135"/>
    <w:bookmarkEnd w:id="136"/>
    <w:bookmarkEnd w:id="137"/>
    <w:bookmarkEnd w:id="138"/>
    <w:bookmarkEnd w:id="139"/>
    <w:bookmarkEnd w:id="140"/>
    <w:p w14:paraId="202A4A38">
      <w:pPr>
        <w:spacing w:line="360" w:lineRule="auto"/>
        <w:rPr>
          <w:rFonts w:ascii="宋体" w:hAnsi="宋体" w:cs="宋体"/>
          <w:b/>
          <w:color w:val="000000"/>
          <w:sz w:val="24"/>
          <w:szCs w:val="24"/>
          <w:highlight w:val="none"/>
        </w:rPr>
      </w:pPr>
      <w:bookmarkStart w:id="142" w:name="_Toc22869"/>
      <w:bookmarkStart w:id="143" w:name="_Toc19835"/>
      <w:bookmarkStart w:id="144" w:name="_Toc2234"/>
      <w:r>
        <w:rPr>
          <w:rFonts w:hint="eastAsia" w:ascii="宋体" w:hAnsi="宋体" w:cs="宋体"/>
          <w:b/>
          <w:color w:val="000000"/>
          <w:sz w:val="24"/>
          <w:szCs w:val="24"/>
          <w:highlight w:val="none"/>
        </w:rPr>
        <w:t>一、商务</w:t>
      </w:r>
      <w:r>
        <w:rPr>
          <w:rFonts w:hint="eastAsia" w:ascii="宋体" w:hAnsi="宋体" w:cs="宋体"/>
          <w:b/>
          <w:color w:val="000000"/>
          <w:sz w:val="24"/>
          <w:szCs w:val="24"/>
          <w:highlight w:val="none"/>
          <w:lang w:val="en-US" w:eastAsia="zh-CN"/>
        </w:rPr>
        <w:t>条款</w:t>
      </w:r>
    </w:p>
    <w:p w14:paraId="0B169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1、交货期</w:t>
      </w:r>
      <w:r>
        <w:rPr>
          <w:rFonts w:hint="eastAsia" w:ascii="宋体" w:hAnsi="宋体" w:eastAsia="宋体" w:cs="Arial"/>
          <w:kern w:val="2"/>
          <w:sz w:val="24"/>
          <w:szCs w:val="24"/>
          <w:highlight w:val="none"/>
          <w:lang w:val="en-US" w:eastAsia="zh-CN" w:bidi="ar-SA"/>
        </w:rPr>
        <w:t>：自签订合同之日起</w:t>
      </w:r>
      <w:r>
        <w:rPr>
          <w:rFonts w:hint="eastAsia" w:ascii="宋体" w:hAnsi="宋体" w:cs="Arial"/>
          <w:kern w:val="2"/>
          <w:sz w:val="24"/>
          <w:szCs w:val="24"/>
          <w:highlight w:val="none"/>
          <w:lang w:val="en-US" w:eastAsia="zh-CN" w:bidi="ar-SA"/>
        </w:rPr>
        <w:t>35</w:t>
      </w:r>
      <w:r>
        <w:rPr>
          <w:rFonts w:hint="eastAsia" w:ascii="宋体" w:hAnsi="宋体" w:eastAsia="宋体" w:cs="Arial"/>
          <w:kern w:val="2"/>
          <w:sz w:val="24"/>
          <w:szCs w:val="24"/>
          <w:highlight w:val="none"/>
          <w:lang w:val="en-US" w:eastAsia="zh-CN" w:bidi="ar-SA"/>
        </w:rPr>
        <w:t>个日历日内完成</w:t>
      </w:r>
    </w:p>
    <w:p w14:paraId="0228D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2、质保期：硬件设备三年质保，终身维修，定期维护；软件终身调试，并定期进行升级更新；</w:t>
      </w:r>
    </w:p>
    <w:p w14:paraId="4EA8A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3、交货地点</w:t>
      </w:r>
      <w:r>
        <w:rPr>
          <w:rFonts w:hint="eastAsia" w:ascii="宋体" w:hAnsi="宋体" w:eastAsia="宋体" w:cs="Arial"/>
          <w:kern w:val="2"/>
          <w:sz w:val="24"/>
          <w:szCs w:val="24"/>
          <w:highlight w:val="none"/>
          <w:lang w:val="en-US" w:eastAsia="zh-CN" w:bidi="ar-SA"/>
        </w:rPr>
        <w:t>：</w:t>
      </w:r>
      <w:r>
        <w:rPr>
          <w:rFonts w:hint="eastAsia" w:ascii="宋体" w:hAnsi="宋体" w:cs="Arial"/>
          <w:kern w:val="2"/>
          <w:sz w:val="24"/>
          <w:szCs w:val="24"/>
          <w:highlight w:val="none"/>
          <w:lang w:val="en-US" w:eastAsia="zh-CN" w:bidi="ar-SA"/>
        </w:rPr>
        <w:t>采购人</w:t>
      </w:r>
      <w:r>
        <w:rPr>
          <w:rFonts w:hint="eastAsia" w:ascii="宋体" w:hAnsi="宋体" w:eastAsia="宋体" w:cs="Arial"/>
          <w:kern w:val="2"/>
          <w:sz w:val="24"/>
          <w:szCs w:val="24"/>
          <w:highlight w:val="none"/>
          <w:lang w:val="en-US" w:eastAsia="zh-CN" w:bidi="ar-SA"/>
        </w:rPr>
        <w:t>指定地点</w:t>
      </w:r>
    </w:p>
    <w:p w14:paraId="107BEEE9">
      <w:pPr>
        <w:tabs>
          <w:tab w:val="left" w:pos="420"/>
        </w:tabs>
        <w:spacing w:line="360" w:lineRule="auto"/>
        <w:ind w:firstLine="480" w:firstLineChars="200"/>
        <w:rPr>
          <w:highlight w:val="none"/>
        </w:rPr>
      </w:pPr>
      <w:r>
        <w:rPr>
          <w:rFonts w:hint="eastAsia" w:ascii="宋体" w:hAnsi="宋体" w:cs="Arial"/>
          <w:kern w:val="2"/>
          <w:sz w:val="24"/>
          <w:szCs w:val="24"/>
          <w:highlight w:val="none"/>
          <w:lang w:val="en-US" w:eastAsia="zh-CN" w:bidi="ar-SA"/>
        </w:rPr>
        <w:t>4、付款方式：</w:t>
      </w:r>
    </w:p>
    <w:p w14:paraId="13585149">
      <w:pPr>
        <w:tabs>
          <w:tab w:val="left" w:pos="420"/>
        </w:tabs>
        <w:spacing w:line="360" w:lineRule="auto"/>
        <w:ind w:firstLine="480" w:firstLineChars="200"/>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4.1银行转账,合同签订后预付合同金额40%，所有标的物完成交付并验收后60个日历日内向乙方支付剩余合同金额。</w:t>
      </w:r>
    </w:p>
    <w:p w14:paraId="20E9DD77">
      <w:pPr>
        <w:tabs>
          <w:tab w:val="left" w:pos="420"/>
        </w:tabs>
        <w:spacing w:line="360" w:lineRule="auto"/>
        <w:ind w:firstLine="480" w:firstLineChars="200"/>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4.2乙方须在甲方办理付款手续之前3个工作日内，提供等额的正式发票给甲方，以便甲方及时办理支付手续。</w:t>
      </w:r>
    </w:p>
    <w:p w14:paraId="40EC4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5、履约保证金</w:t>
      </w:r>
    </w:p>
    <w:p w14:paraId="1A7BB4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5.1本项目履约保证金为合同金额的5%。</w:t>
      </w:r>
    </w:p>
    <w:p w14:paraId="6695F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5.2履约保证金交纳时间：中标后七日内需要交纳履约保证金。未在规定时间内缴纳履约保证金视为拒签合同，自动放弃中标资格。</w:t>
      </w:r>
    </w:p>
    <w:p w14:paraId="1EA56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5.3履约保证金的缴纳形式：采用银行对公转账、电汇或者金融机构、担保机构出具的保函等非现金的形式对公形式交纳。</w:t>
      </w:r>
    </w:p>
    <w:p w14:paraId="0E271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5.4履约保证金的退还：项目验收合格后30个日历日内，无质量问题且不存在争议，一次性无息退还至中标人账户。</w:t>
      </w:r>
    </w:p>
    <w:p w14:paraId="5ABB928F">
      <w:pPr>
        <w:numPr>
          <w:ilvl w:val="0"/>
          <w:numId w:val="0"/>
        </w:numPr>
        <w:tabs>
          <w:tab w:val="left" w:pos="420"/>
        </w:tabs>
        <w:spacing w:line="360" w:lineRule="auto"/>
        <w:ind w:leftChars="0" w:firstLine="480" w:firstLineChars="200"/>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6、多屏互动：本次采购的学生智慧云主机须与教室原有的智慧大屏通过多屏互动主机软件实现互动。（提供技术方案或进行承诺）</w:t>
      </w:r>
    </w:p>
    <w:p w14:paraId="114F8B7D">
      <w:pPr>
        <w:numPr>
          <w:ilvl w:val="0"/>
          <w:numId w:val="0"/>
        </w:numPr>
        <w:tabs>
          <w:tab w:val="left" w:pos="420"/>
        </w:tabs>
        <w:spacing w:line="360" w:lineRule="auto"/>
        <w:ind w:leftChars="0"/>
        <w:rPr>
          <w:rFonts w:hint="eastAsia" w:ascii="宋体" w:hAnsi="宋体" w:cs="宋体"/>
          <w:b/>
          <w:color w:val="000000"/>
          <w:sz w:val="24"/>
          <w:szCs w:val="24"/>
          <w:highlight w:val="none"/>
        </w:rPr>
      </w:pPr>
      <w:r>
        <w:rPr>
          <w:rFonts w:hint="eastAsia" w:ascii="宋体" w:hAnsi="宋体" w:cs="宋体"/>
          <w:b/>
          <w:color w:val="000000"/>
          <w:sz w:val="24"/>
          <w:szCs w:val="24"/>
          <w:highlight w:val="none"/>
          <w:lang w:val="en-US" w:eastAsia="zh-CN"/>
        </w:rPr>
        <w:t>二</w:t>
      </w:r>
      <w:r>
        <w:rPr>
          <w:rFonts w:hint="eastAsia" w:ascii="宋体" w:hAnsi="宋体" w:cs="宋体"/>
          <w:b/>
          <w:color w:val="000000"/>
          <w:sz w:val="24"/>
          <w:szCs w:val="24"/>
          <w:highlight w:val="none"/>
        </w:rPr>
        <w:t>、采购内容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72"/>
        <w:gridCol w:w="1103"/>
        <w:gridCol w:w="1061"/>
        <w:gridCol w:w="4558"/>
      </w:tblGrid>
      <w:tr w14:paraId="6373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5B56CED7">
            <w:pPr>
              <w:tabs>
                <w:tab w:val="left" w:pos="420"/>
              </w:tabs>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序号</w:t>
            </w:r>
          </w:p>
        </w:tc>
        <w:tc>
          <w:tcPr>
            <w:tcW w:w="1072" w:type="dxa"/>
            <w:vAlign w:val="center"/>
          </w:tcPr>
          <w:p w14:paraId="7A8584A1">
            <w:pPr>
              <w:tabs>
                <w:tab w:val="left" w:pos="420"/>
              </w:tabs>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标的名称</w:t>
            </w:r>
          </w:p>
        </w:tc>
        <w:tc>
          <w:tcPr>
            <w:tcW w:w="1103" w:type="dxa"/>
            <w:vAlign w:val="center"/>
          </w:tcPr>
          <w:p w14:paraId="2389FD5A">
            <w:pPr>
              <w:tabs>
                <w:tab w:val="left" w:pos="420"/>
              </w:tabs>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采购数量</w:t>
            </w:r>
          </w:p>
        </w:tc>
        <w:tc>
          <w:tcPr>
            <w:tcW w:w="1061" w:type="dxa"/>
            <w:vAlign w:val="center"/>
          </w:tcPr>
          <w:p w14:paraId="5E9248FA">
            <w:pPr>
              <w:tabs>
                <w:tab w:val="left" w:pos="420"/>
              </w:tabs>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计量单位</w:t>
            </w:r>
          </w:p>
        </w:tc>
        <w:tc>
          <w:tcPr>
            <w:tcW w:w="4558" w:type="dxa"/>
          </w:tcPr>
          <w:p w14:paraId="51DF4400">
            <w:pPr>
              <w:tabs>
                <w:tab w:val="left" w:pos="420"/>
              </w:tabs>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技术参数</w:t>
            </w:r>
          </w:p>
        </w:tc>
      </w:tr>
      <w:tr w14:paraId="3FF8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7143C358">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72" w:type="dxa"/>
            <w:vAlign w:val="center"/>
          </w:tcPr>
          <w:p w14:paraId="1042C550">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教师智慧</w:t>
            </w:r>
            <w:r>
              <w:rPr>
                <w:rFonts w:hint="eastAsia" w:ascii="宋体" w:hAnsi="宋体" w:cs="宋体"/>
                <w:i w:val="0"/>
                <w:iCs w:val="0"/>
                <w:color w:val="000000"/>
                <w:kern w:val="0"/>
                <w:sz w:val="21"/>
                <w:szCs w:val="21"/>
                <w:highlight w:val="none"/>
                <w:u w:val="none"/>
                <w:lang w:val="en-US" w:eastAsia="zh-CN" w:bidi="ar"/>
              </w:rPr>
              <w:t>终端</w:t>
            </w:r>
          </w:p>
        </w:tc>
        <w:tc>
          <w:tcPr>
            <w:tcW w:w="1103" w:type="dxa"/>
            <w:vAlign w:val="center"/>
          </w:tcPr>
          <w:p w14:paraId="2BD336F9">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2106344D">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台</w:t>
            </w:r>
          </w:p>
        </w:tc>
        <w:tc>
          <w:tcPr>
            <w:tcW w:w="4558" w:type="dxa"/>
            <w:shd w:val="clear" w:color="auto" w:fill="auto"/>
            <w:vAlign w:val="top"/>
          </w:tcPr>
          <w:p w14:paraId="015A2013">
            <w:pPr>
              <w:keepNext w:val="0"/>
              <w:keepLines w:val="0"/>
              <w:widowControl/>
              <w:suppressLineNumbers w:val="0"/>
              <w:jc w:val="left"/>
              <w:textAlignment w:val="top"/>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1.CPU：≥ 8核，最大≥ 2.6GHz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2.内存：板载LPDDR4/4X颗粒，双通道8G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3.存储：≥1 个EMMC 32G，1个M.2 2280，支持NVME SSD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4.有线网络：≥ 2 路 RJ45，10/100/1000Mbps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5.无线网络：≥ 1 路 板载WIFI+BT（2.4G单频WIFI/2.4G&amp;5G双频WIFI可选）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6.显示接口：≥ 1 路 HDMI Type-A，1 路 DP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7.音频接口：≥ 1 路 3.5mm Line out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8.USB接口：≥ 1 路 USB 3.0 Type-A，3 路 USB 2.0 Type-A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9.COM接口：≥ 1路 10pin凤凰端子（1路RS232+1路RS485），1 路 DB9座子（RS232/485可选）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10.操作系统：</w:t>
            </w:r>
            <w:r>
              <w:rPr>
                <w:rFonts w:hint="eastAsia" w:ascii="宋体" w:hAnsi="宋体" w:cs="宋体"/>
                <w:i w:val="0"/>
                <w:iCs w:val="0"/>
                <w:color w:val="000000"/>
                <w:kern w:val="0"/>
                <w:sz w:val="21"/>
                <w:szCs w:val="21"/>
                <w:highlight w:val="none"/>
                <w:u w:val="none"/>
                <w:lang w:val="en-US" w:eastAsia="zh-CN" w:bidi="ar"/>
              </w:rPr>
              <w:t>不低于</w:t>
            </w:r>
            <w:r>
              <w:rPr>
                <w:rFonts w:hint="eastAsia" w:ascii="宋体" w:hAnsi="宋体" w:eastAsia="宋体" w:cs="宋体"/>
                <w:i w:val="0"/>
                <w:iCs w:val="0"/>
                <w:color w:val="000000"/>
                <w:kern w:val="0"/>
                <w:sz w:val="21"/>
                <w:szCs w:val="21"/>
                <w:highlight w:val="none"/>
                <w:u w:val="none"/>
                <w:lang w:val="en-US" w:eastAsia="zh-CN" w:bidi="ar"/>
              </w:rPr>
              <w:t>Android12/Debian11</w:t>
            </w:r>
          </w:p>
        </w:tc>
      </w:tr>
      <w:tr w14:paraId="394F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635AF1E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1072" w:type="dxa"/>
            <w:vAlign w:val="center"/>
          </w:tcPr>
          <w:p w14:paraId="69393733">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智慧云盒系统</w:t>
            </w:r>
          </w:p>
        </w:tc>
        <w:tc>
          <w:tcPr>
            <w:tcW w:w="1103" w:type="dxa"/>
            <w:vAlign w:val="center"/>
          </w:tcPr>
          <w:p w14:paraId="5A0E2BC6">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50C9B032">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套</w:t>
            </w:r>
          </w:p>
        </w:tc>
        <w:tc>
          <w:tcPr>
            <w:tcW w:w="4558" w:type="dxa"/>
            <w:vAlign w:val="top"/>
          </w:tcPr>
          <w:p w14:paraId="59572478">
            <w:pPr>
              <w:keepNext w:val="0"/>
              <w:keepLines w:val="0"/>
              <w:widowControl/>
              <w:numPr>
                <w:ilvl w:val="0"/>
                <w:numId w:val="21"/>
              </w:numPr>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具备教学应用自动感应、自动转换。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智慧云盒支持自动同步本节课的教师、学生、班级等数据，无需教师和学生再次扫码加入课堂。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2.支持互动教学应用功能。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（1）智能签到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1）手势签到：系统支持签到功能，教师可通过移动端发起签到，学生输入手势，一键完成签到，教学屏幕可实时同步显示签到页面，分类展示已签到和未签到学生的姓名、头像、人数等信息。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2）签到数据互联：智慧云盒系统可收集本节课堂的签到数据，支持自动和教学平台进行数据互联并上传签到数据，教师可集中查看每一位学生的所有课节的签到数据。签到数据可细化到和具体教程进行互联，支持按照教程查看学生签到情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3）动态展示：教师移动端发起签到后，智慧盒子自动感应移动端教师发起的签到动作，在教师大屏调出签到动态展示页面，通过教师大屏实时分类展示签到学生和未签到学生的姓名、头像、人数等信息。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（2）提问互动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智慧云盒系统支持提问互动功能，支持教师在移动端发起随机提问，智慧云盒系统自动检测提问应用并联动教师大屏展示提问动态页面。系统调取班级学生头像和姓名随机滚动在智慧云盒展示，并把教师抽取回答学生展示在页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（3）投票互动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支持投票互动功能，支持教师创建投票内容，现场投票，并统计分析投票结果。功能包含：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创建投票：支持教师在移动端创建投票，可编辑投票主题、细化到以班课和教程为单位发布投票；投票形式支持单选、多选等多种形式，支持教师快速创建</w:t>
            </w:r>
            <w:r>
              <w:rPr>
                <w:rFonts w:hint="eastAsia" w:ascii="宋体" w:hAnsi="宋体" w:cs="宋体"/>
                <w:i w:val="0"/>
                <w:iCs w:val="0"/>
                <w:color w:val="000000"/>
                <w:kern w:val="0"/>
                <w:sz w:val="21"/>
                <w:szCs w:val="21"/>
                <w:highlight w:val="none"/>
                <w:u w:val="none"/>
                <w:lang w:val="en-US" w:eastAsia="zh-CN" w:bidi="ar"/>
              </w:rPr>
              <w:t>不少于</w:t>
            </w:r>
            <w:r>
              <w:rPr>
                <w:rFonts w:hint="eastAsia" w:ascii="宋体" w:hAnsi="宋体" w:eastAsia="宋体" w:cs="宋体"/>
                <w:i w:val="0"/>
                <w:iCs w:val="0"/>
                <w:color w:val="000000"/>
                <w:kern w:val="0"/>
                <w:sz w:val="21"/>
                <w:szCs w:val="21"/>
                <w:highlight w:val="none"/>
                <w:u w:val="none"/>
                <w:lang w:val="en-US" w:eastAsia="zh-CN" w:bidi="ar"/>
              </w:rPr>
              <w:t>6种系统预制的常见投票形式。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3.支持教学数据联动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支持智慧教室产生的课堂数据和教程学习数据联动。根据教师在教学平台中设定成绩模板，自动合并教程学习数据和课堂表现数据，自动计算学生综合成绩。</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✱4.支持试题批阅分析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可联动外语教学平台的作业测试数据，智慧云盒系统内置教材配套题库资源，支持教师进行作业布置，支持对班级作业作答情况包含不限于正确率、正确人数、错误人数、作答分布、试题详情、参考答案等信息同步显示到教学屏幕，便于教师在课堂直接根据作答数据分析讲解重点题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5.支持实时语音转写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针对多语种的教学提供语音转写功能，支持把学生多种语言口述录音并实时转变为文字，包含英语，普通话，日语，法语等多种语言。教师课前通过移动端发起主题陈述作业，编辑陈述主题、陈述内容要求等，可添加参考资料用于学生参考，以便学生提前准备陈述材料；支持以班级为单位发布陈述作业，学生可直接通过手机等移动端设备进行陈述，陈述过程中可实时把陈述内容转成文字，并自动把陈述信息展示在教师大屏，包含：陈述学生姓名和头像、陈述内容的文字转写内容、陈述录音。转写过程支持实时转写。</w:t>
            </w:r>
          </w:p>
          <w:p w14:paraId="663CD933">
            <w:pPr>
              <w:keepNext w:val="0"/>
              <w:keepLines w:val="0"/>
              <w:widowControl/>
              <w:numPr>
                <w:ilvl w:val="0"/>
                <w:numId w:val="0"/>
              </w:numPr>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6.内置外语教学资源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（1）正版数字教材：系统内置英语教学正版内置可交互数字教材。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（2）数字教材展示：支持在教师大屏进行数字教材资源展示。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（3）章节检索：数字教材资源支持显示教材单元列表和标题，可方便教师快速找到相应内容。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（4）内容精读：支持对数字教材中的文章分段落进行英文朗读，支持显示重点词汇的精品讲义，同时支持对内容的语言点介绍以及实时对应翻译，内容字体支持调节大小。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（5）标准课件：内置与英语教学教材匹配的标准课件，支持教师进行课件预览、展示、标注、保存操作。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7.支持白板、画笔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（1）支持对屏幕展示内容进行画笔批注，提供多种颜色、粗细的笔画；支持笔迹撤销、恢复、清除，且批注内容可保存及分享；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（2）支持白板书写，提供多种颜色、粗细的笔画；支持笔迹撤销、恢复、清除，且白板内容可保存及分享；提供不少于20个白板页面；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（3）支持将批注内容截图并下载。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8.支持补充资源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（1）支持教师上传视频、音频、图片或文档，文档支持pdf、doc、docx、ppt、pptx、mp3、mp4、jpg、png多种格式；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（2）文档资源支持翻页查看、画笔标记以及笔记分享；音频、视频资源支持资源播放操控。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9.支持投屏、反控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（1）支持教师或学生将移动设备或教学PC内容无线投屏到教学大屏，支持的设备包含ios、android、windows系统的移动设备和Windows系统电脑；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w:t>
            </w:r>
            <w:r>
              <w:rPr>
                <w:rFonts w:hint="eastAsia" w:ascii="宋体" w:hAnsi="宋体" w:cs="宋体"/>
                <w:i w:val="0"/>
                <w:iCs w:val="0"/>
                <w:color w:val="000000"/>
                <w:kern w:val="0"/>
                <w:sz w:val="21"/>
                <w:szCs w:val="21"/>
                <w:highlight w:val="none"/>
                <w:u w:val="none"/>
                <w:lang w:val="en-US" w:eastAsia="zh-CN" w:bidi="ar"/>
              </w:rPr>
              <w:t>不少于</w:t>
            </w:r>
            <w:r>
              <w:rPr>
                <w:rFonts w:hint="eastAsia" w:ascii="宋体" w:hAnsi="宋体" w:eastAsia="宋体" w:cs="宋体"/>
                <w:i w:val="0"/>
                <w:iCs w:val="0"/>
                <w:color w:val="000000"/>
                <w:kern w:val="0"/>
                <w:sz w:val="21"/>
                <w:szCs w:val="21"/>
                <w:highlight w:val="none"/>
                <w:u w:val="none"/>
                <w:lang w:val="en-US" w:eastAsia="zh-CN" w:bidi="ar"/>
              </w:rPr>
              <w:t>4个设备投屏到教学大屏，且支持选择任一画面放大显示；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（3）智慧课堂主机连接教学</w:t>
            </w:r>
            <w:r>
              <w:rPr>
                <w:rFonts w:hint="eastAsia" w:ascii="宋体" w:hAnsi="宋体" w:cs="宋体"/>
                <w:i w:val="0"/>
                <w:iCs w:val="0"/>
                <w:color w:val="000000"/>
                <w:kern w:val="0"/>
                <w:sz w:val="21"/>
                <w:szCs w:val="21"/>
                <w:highlight w:val="none"/>
                <w:u w:val="none"/>
                <w:lang w:val="en-US" w:eastAsia="zh-CN" w:bidi="ar"/>
              </w:rPr>
              <w:t>多媒体设备</w:t>
            </w:r>
            <w:r>
              <w:rPr>
                <w:rFonts w:hint="eastAsia" w:ascii="宋体" w:hAnsi="宋体" w:eastAsia="宋体" w:cs="宋体"/>
                <w:i w:val="0"/>
                <w:iCs w:val="0"/>
                <w:color w:val="000000"/>
                <w:kern w:val="0"/>
                <w:sz w:val="21"/>
                <w:szCs w:val="21"/>
                <w:highlight w:val="none"/>
                <w:u w:val="none"/>
                <w:lang w:val="en-US" w:eastAsia="zh-CN" w:bidi="ar"/>
              </w:rPr>
              <w:t>后，可将其桌面内容自动投屏到大屏，支持在大屏上反向控制教学</w:t>
            </w:r>
            <w:r>
              <w:rPr>
                <w:rFonts w:hint="eastAsia" w:ascii="宋体" w:hAnsi="宋体" w:cs="宋体"/>
                <w:i w:val="0"/>
                <w:iCs w:val="0"/>
                <w:color w:val="000000"/>
                <w:kern w:val="0"/>
                <w:sz w:val="21"/>
                <w:szCs w:val="21"/>
                <w:highlight w:val="none"/>
                <w:u w:val="none"/>
                <w:lang w:val="en-US" w:eastAsia="zh-CN" w:bidi="ar"/>
              </w:rPr>
              <w:t>多媒体设备</w:t>
            </w:r>
            <w:r>
              <w:rPr>
                <w:rFonts w:hint="eastAsia" w:ascii="宋体" w:hAnsi="宋体" w:eastAsia="宋体" w:cs="宋体"/>
                <w:i w:val="0"/>
                <w:iCs w:val="0"/>
                <w:color w:val="000000"/>
                <w:kern w:val="0"/>
                <w:sz w:val="21"/>
                <w:szCs w:val="21"/>
                <w:highlight w:val="none"/>
                <w:u w:val="none"/>
                <w:lang w:val="en-US" w:eastAsia="zh-CN" w:bidi="ar"/>
              </w:rPr>
              <w:t>，其他设备投屏内容、系统自带的互动内容可在大屏上任意切换。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10.所投产品具有有效的计算机软件著作权登记证书（提供计算机软件著作权登记证书复印件）。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11.为保证教学活动的稳定性与兼容性，智慧云盒系统要求与教师智慧</w:t>
            </w:r>
            <w:r>
              <w:rPr>
                <w:rFonts w:hint="eastAsia" w:ascii="宋体" w:hAnsi="宋体" w:cs="宋体"/>
                <w:i w:val="0"/>
                <w:iCs w:val="0"/>
                <w:color w:val="000000"/>
                <w:kern w:val="0"/>
                <w:sz w:val="21"/>
                <w:szCs w:val="21"/>
                <w:highlight w:val="none"/>
                <w:u w:val="none"/>
                <w:lang w:val="en-US" w:eastAsia="zh-CN" w:bidi="ar"/>
              </w:rPr>
              <w:t>终端</w:t>
            </w:r>
            <w:r>
              <w:rPr>
                <w:rFonts w:hint="eastAsia" w:ascii="宋体" w:hAnsi="宋体" w:eastAsia="宋体" w:cs="宋体"/>
                <w:i w:val="0"/>
                <w:iCs w:val="0"/>
                <w:color w:val="000000"/>
                <w:kern w:val="0"/>
                <w:sz w:val="21"/>
                <w:szCs w:val="21"/>
                <w:highlight w:val="none"/>
                <w:u w:val="none"/>
                <w:lang w:val="en-US" w:eastAsia="zh-CN" w:bidi="ar"/>
              </w:rPr>
              <w:t>为同一品牌。</w:t>
            </w:r>
          </w:p>
        </w:tc>
      </w:tr>
      <w:tr w14:paraId="0D75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572730B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w:t>
            </w:r>
          </w:p>
        </w:tc>
        <w:tc>
          <w:tcPr>
            <w:tcW w:w="1072" w:type="dxa"/>
            <w:vAlign w:val="center"/>
          </w:tcPr>
          <w:p w14:paraId="07E5B137">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多屏互动主机软件</w:t>
            </w:r>
          </w:p>
        </w:tc>
        <w:tc>
          <w:tcPr>
            <w:tcW w:w="1103" w:type="dxa"/>
            <w:vAlign w:val="center"/>
          </w:tcPr>
          <w:p w14:paraId="34247F24">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396FD78C">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套</w:t>
            </w:r>
          </w:p>
        </w:tc>
        <w:tc>
          <w:tcPr>
            <w:tcW w:w="4558" w:type="dxa"/>
            <w:vAlign w:val="top"/>
          </w:tcPr>
          <w:p w14:paraId="0DE9BD49">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1.支持实时监控小组在线状态；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2.支持对屏幕展示内容进行画笔批注，提供多种颜色、粗细的笔画；支持笔迹撤销、恢复、清除，且批注内容可保存及分享；</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3.支持白板书写，提供多种颜色、粗细的笔画；支持笔迹撤销、恢复、清除，且白板内容可保存及分享；提供不少于20个白板页面；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4.支持将批注内容截图并下载；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5.支持发起课堂测验，答题情况实时反馈到主讲大屏；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6.支持多种测验题型，如单选题、多选题、判断题等；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7.支持实时查看学生在测验中的答题时间与答案提交进度；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8.支持查看答题统计结果，选择题、判断题以条形图的形式直观呈现各选项的投票比例；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9.支持发起课堂投票功能，统计投票结果并显示，投票结果以条形图的形式直观呈现各选项的投票比例；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10.支持发起签到、随机选人等课堂管理功能，方便教师组织课堂；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11.支持分组功能：系统支持不少于10个分组；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12.支持互动记录功能：记录课中发起的每次互动，包括发起时间、参与人数、互动内容和统计结果等；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13.支持教师将移动设备或教学PC内容无线投屏到教学大屏，支持的设备包含ios、android、windows系统的移动设备和Windows系统电脑；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14.智慧课堂主机连接教学</w:t>
            </w:r>
            <w:r>
              <w:rPr>
                <w:rFonts w:hint="eastAsia" w:ascii="宋体" w:hAnsi="宋体" w:cs="宋体"/>
                <w:i w:val="0"/>
                <w:iCs w:val="0"/>
                <w:color w:val="000000"/>
                <w:kern w:val="0"/>
                <w:sz w:val="21"/>
                <w:szCs w:val="21"/>
                <w:highlight w:val="none"/>
                <w:u w:val="none"/>
                <w:lang w:val="en-US" w:eastAsia="zh-CN" w:bidi="ar"/>
              </w:rPr>
              <w:t>多媒体设备</w:t>
            </w:r>
            <w:r>
              <w:rPr>
                <w:rFonts w:hint="eastAsia" w:ascii="宋体" w:hAnsi="宋体" w:eastAsia="宋体" w:cs="宋体"/>
                <w:i w:val="0"/>
                <w:iCs w:val="0"/>
                <w:color w:val="000000"/>
                <w:kern w:val="0"/>
                <w:sz w:val="21"/>
                <w:szCs w:val="21"/>
                <w:highlight w:val="none"/>
                <w:u w:val="none"/>
                <w:lang w:val="en-US" w:eastAsia="zh-CN" w:bidi="ar"/>
              </w:rPr>
              <w:t>后，可将其桌面内容自动投屏到大屏，支持在大屏上反向控制教学</w:t>
            </w:r>
            <w:r>
              <w:rPr>
                <w:rFonts w:hint="eastAsia" w:ascii="宋体" w:hAnsi="宋体" w:cs="宋体"/>
                <w:i w:val="0"/>
                <w:iCs w:val="0"/>
                <w:color w:val="000000"/>
                <w:kern w:val="0"/>
                <w:sz w:val="21"/>
                <w:szCs w:val="21"/>
                <w:highlight w:val="none"/>
                <w:u w:val="none"/>
                <w:lang w:val="en-US" w:eastAsia="zh-CN" w:bidi="ar"/>
              </w:rPr>
              <w:t>多媒体设备</w:t>
            </w:r>
            <w:r>
              <w:rPr>
                <w:rFonts w:hint="eastAsia" w:ascii="宋体" w:hAnsi="宋体" w:eastAsia="宋体" w:cs="宋体"/>
                <w:i w:val="0"/>
                <w:iCs w:val="0"/>
                <w:color w:val="000000"/>
                <w:kern w:val="0"/>
                <w:sz w:val="21"/>
                <w:szCs w:val="21"/>
                <w:highlight w:val="none"/>
                <w:u w:val="none"/>
                <w:lang w:val="en-US" w:eastAsia="zh-CN" w:bidi="ar"/>
              </w:rPr>
              <w:t>，其他设备投屏内容、系统自带的互动内容可在大屏上任意切换。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15.支持将小组投屏内容切换到教学大屏。</w:t>
            </w:r>
          </w:p>
        </w:tc>
      </w:tr>
      <w:tr w14:paraId="4E92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0361A0B7">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072" w:type="dxa"/>
            <w:vAlign w:val="center"/>
          </w:tcPr>
          <w:p w14:paraId="3F3BF690">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学生智慧云主机</w:t>
            </w:r>
          </w:p>
        </w:tc>
        <w:tc>
          <w:tcPr>
            <w:tcW w:w="1103" w:type="dxa"/>
            <w:vAlign w:val="center"/>
          </w:tcPr>
          <w:p w14:paraId="234E0C6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061" w:type="dxa"/>
            <w:vAlign w:val="center"/>
          </w:tcPr>
          <w:p w14:paraId="4A659E44">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台</w:t>
            </w:r>
          </w:p>
        </w:tc>
        <w:tc>
          <w:tcPr>
            <w:tcW w:w="4558" w:type="dxa"/>
            <w:vAlign w:val="top"/>
          </w:tcPr>
          <w:p w14:paraId="35ED337D">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1.CPU：≥ 8核，最大≥ 2.6GHz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2.内存：板载LPDDR4/4X颗粒，双通道8G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3.存储：≥1 个EMMC 32G，1 个 M.2 2280，支持NVME SSD</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4.有线网络：≥ 2 路 RJ45，10/100/1000Mbps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5.无线网络：≥ 1 路 板载WIFI+BT（2.4G单频WIFI/2.4G&amp;5G双频WIFI可选）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6.显示接口：≥ 1 路 HDMI Type-A，1 路 DP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7.音频接口：≥ 1 路 3.5mm Line out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8.USB接口：≥ 1 路 USB 3.0 Type-A，3 路 USB 2.0 Type-A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9.COM接口：≥ 1路 10pin凤凰端子（1路RS232+1路RS485），1 路 DB9座子（RS232/485可选）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10.操作系统：</w:t>
            </w:r>
            <w:r>
              <w:rPr>
                <w:rFonts w:hint="eastAsia" w:ascii="宋体" w:hAnsi="宋体" w:cs="宋体"/>
                <w:i w:val="0"/>
                <w:iCs w:val="0"/>
                <w:color w:val="000000"/>
                <w:kern w:val="0"/>
                <w:sz w:val="21"/>
                <w:szCs w:val="21"/>
                <w:highlight w:val="none"/>
                <w:u w:val="none"/>
                <w:lang w:val="en-US" w:eastAsia="zh-CN" w:bidi="ar"/>
              </w:rPr>
              <w:t>不低于</w:t>
            </w:r>
            <w:r>
              <w:rPr>
                <w:rFonts w:hint="eastAsia" w:ascii="宋体" w:hAnsi="宋体" w:eastAsia="宋体" w:cs="宋体"/>
                <w:i w:val="0"/>
                <w:iCs w:val="0"/>
                <w:color w:val="000000"/>
                <w:kern w:val="0"/>
                <w:sz w:val="21"/>
                <w:szCs w:val="21"/>
                <w:highlight w:val="none"/>
                <w:u w:val="none"/>
                <w:lang w:val="en-US" w:eastAsia="zh-CN" w:bidi="ar"/>
              </w:rPr>
              <w:t>Android12/Debian11</w:t>
            </w:r>
          </w:p>
        </w:tc>
      </w:tr>
      <w:tr w14:paraId="55B2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1E0B93AE">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5</w:t>
            </w:r>
          </w:p>
        </w:tc>
        <w:tc>
          <w:tcPr>
            <w:tcW w:w="1072" w:type="dxa"/>
            <w:vAlign w:val="center"/>
          </w:tcPr>
          <w:p w14:paraId="284AD70B">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多屏互动分组软件</w:t>
            </w:r>
          </w:p>
        </w:tc>
        <w:tc>
          <w:tcPr>
            <w:tcW w:w="1103" w:type="dxa"/>
            <w:vAlign w:val="center"/>
          </w:tcPr>
          <w:p w14:paraId="4FB9ED26">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2A5084CE">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套</w:t>
            </w:r>
          </w:p>
        </w:tc>
        <w:tc>
          <w:tcPr>
            <w:tcW w:w="4558" w:type="dxa"/>
            <w:vAlign w:val="top"/>
          </w:tcPr>
          <w:p w14:paraId="2A4A4794">
            <w:pPr>
              <w:keepNext w:val="0"/>
              <w:keepLines w:val="0"/>
              <w:widowControl/>
              <w:numPr>
                <w:ilvl w:val="0"/>
                <w:numId w:val="22"/>
              </w:numPr>
              <w:suppressLineNumbers w:val="0"/>
              <w:jc w:val="left"/>
              <w:textAlignment w:val="top"/>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支持小组探究式学习：学生在进行分组讨论时依据讨论情况将移动终端的学习资料或内容分享到分组屏幕上，进行展示和讲解；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2.支持学生将移动设备内容投屏到分组屏幕；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3.支持将任一小组屏幕上的内容分发到其他小组屏幕上；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4.支持不少于10个终端设备接入，并可同时展示2个屏幕画面；可在小组屏幕上的小窗口选择终端显示的内容，可将终端屏幕内容选择其中1个画面切换到屏幕主窗口放大显示；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5.支持标注跟随功能，在任何投屏内容上标注时，其他大屏端自动同步标注内容，支持多屏同时标注，投屏内容切换后再次切回时，之前的标注依然保留；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6.支持ios、android和windows等系统的手机、平板、笔记本电脑等移动终端连接；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7.支持将屏幕内容截图并下载移动终端。</w:t>
            </w:r>
          </w:p>
        </w:tc>
      </w:tr>
      <w:tr w14:paraId="7B66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5A78EC2D">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6</w:t>
            </w:r>
          </w:p>
        </w:tc>
        <w:tc>
          <w:tcPr>
            <w:tcW w:w="1072" w:type="dxa"/>
            <w:vAlign w:val="center"/>
          </w:tcPr>
          <w:p w14:paraId="119CB831">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无线路由器</w:t>
            </w:r>
          </w:p>
        </w:tc>
        <w:tc>
          <w:tcPr>
            <w:tcW w:w="1103" w:type="dxa"/>
            <w:vAlign w:val="center"/>
          </w:tcPr>
          <w:p w14:paraId="36B4141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75B793A2">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台</w:t>
            </w:r>
          </w:p>
        </w:tc>
        <w:tc>
          <w:tcPr>
            <w:tcW w:w="4558" w:type="dxa"/>
            <w:vAlign w:val="top"/>
          </w:tcPr>
          <w:p w14:paraId="5AFCB012">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1.固定端口：≥5个10M/100M/1000M电口，其中最多支持4个WAN口(默认1个千兆WAN口，4个千兆LAN口;其中3个LAN口可以切换成WAN口)1个USB3.0口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2.内存：≥512MB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FLASH：≥128MB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3.天线：≥2根5dBi 2.4G，≥2根5dBi 5G，≥1根DFS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4.传输协议：802.1lax/a/n/ac/ac Wave2 Wavel和802.11b/g/n</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5.工作频段：2.4GHz:2.4G~2.483GHz，5GHz:5.150-5.350GHz，5.725-5.850GHz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6.空间流数：整机4条空间流，包括:2.4GHz频段2条空间流，5GHz频段2条空间流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7.带机数：≥80台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8.本地供电；</w:t>
            </w:r>
          </w:p>
        </w:tc>
      </w:tr>
      <w:tr w14:paraId="427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623824CD">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7</w:t>
            </w:r>
          </w:p>
        </w:tc>
        <w:tc>
          <w:tcPr>
            <w:tcW w:w="1072" w:type="dxa"/>
            <w:vAlign w:val="center"/>
          </w:tcPr>
          <w:p w14:paraId="47217F63">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48口交换机</w:t>
            </w:r>
          </w:p>
        </w:tc>
        <w:tc>
          <w:tcPr>
            <w:tcW w:w="1103" w:type="dxa"/>
            <w:vAlign w:val="center"/>
          </w:tcPr>
          <w:p w14:paraId="3980DB77">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1061" w:type="dxa"/>
            <w:vAlign w:val="center"/>
          </w:tcPr>
          <w:p w14:paraId="27AC4F2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台</w:t>
            </w:r>
          </w:p>
        </w:tc>
        <w:tc>
          <w:tcPr>
            <w:tcW w:w="4558" w:type="dxa"/>
            <w:vAlign w:val="top"/>
          </w:tcPr>
          <w:p w14:paraId="2DCD9AE9">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1.≥48个10/100/1000M 自适应RJ45端口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2.所有端口均具备线速转发能力每端口均支持MDI/MDIX自动翻转及双工/速率自协商支持IEEE 802.3x全双工流控和Backpressure半双工流控;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3.网络标准:IEEE 802.3 、IEEE 802.3u、IEEE 802.3ab、IEEE 802.3x</w:t>
            </w:r>
          </w:p>
        </w:tc>
      </w:tr>
      <w:tr w14:paraId="0F5D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7DE58BC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8</w:t>
            </w:r>
          </w:p>
        </w:tc>
        <w:tc>
          <w:tcPr>
            <w:tcW w:w="1072" w:type="dxa"/>
            <w:vAlign w:val="center"/>
          </w:tcPr>
          <w:p w14:paraId="7EEFE93C">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英语教育师范技能虚拟仿真实训VR一体机</w:t>
            </w:r>
          </w:p>
        </w:tc>
        <w:tc>
          <w:tcPr>
            <w:tcW w:w="1103" w:type="dxa"/>
            <w:vAlign w:val="center"/>
          </w:tcPr>
          <w:p w14:paraId="6F76F4D4">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8</w:t>
            </w:r>
          </w:p>
        </w:tc>
        <w:tc>
          <w:tcPr>
            <w:tcW w:w="1061" w:type="dxa"/>
            <w:vAlign w:val="center"/>
          </w:tcPr>
          <w:p w14:paraId="7C49A056">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台</w:t>
            </w:r>
          </w:p>
        </w:tc>
        <w:tc>
          <w:tcPr>
            <w:tcW w:w="4558" w:type="dxa"/>
            <w:vAlign w:val="top"/>
          </w:tcPr>
          <w:p w14:paraId="12065910">
            <w:pPr>
              <w:keepNext w:val="0"/>
              <w:keepLines w:val="0"/>
              <w:widowControl/>
              <w:numPr>
                <w:ilvl w:val="0"/>
                <w:numId w:val="23"/>
              </w:numPr>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CPU</w:t>
            </w:r>
            <w:r>
              <w:rPr>
                <w:rFonts w:hint="eastAsia" w:ascii="宋体" w:hAnsi="宋体" w:cs="宋体"/>
                <w:i w:val="0"/>
                <w:iCs w:val="0"/>
                <w:color w:val="000000"/>
                <w:kern w:val="0"/>
                <w:sz w:val="21"/>
                <w:szCs w:val="21"/>
                <w:highlight w:val="none"/>
                <w:u w:val="none"/>
                <w:lang w:val="en-US" w:eastAsia="zh-CN" w:bidi="ar"/>
              </w:rPr>
              <w:t>不低于</w:t>
            </w:r>
            <w:r>
              <w:rPr>
                <w:rFonts w:hint="eastAsia" w:ascii="宋体" w:hAnsi="宋体" w:eastAsia="宋体" w:cs="宋体"/>
                <w:i w:val="0"/>
                <w:iCs w:val="0"/>
                <w:color w:val="000000"/>
                <w:kern w:val="0"/>
                <w:sz w:val="21"/>
                <w:szCs w:val="21"/>
                <w:highlight w:val="none"/>
                <w:u w:val="none"/>
                <w:lang w:val="en-US" w:eastAsia="zh-CN" w:bidi="ar"/>
              </w:rPr>
              <w:t>高通XR2 Gen2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2.内存12GB RAM LPDDR5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3.闪存≥256GB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4.屏幕≥2.56</w:t>
            </w:r>
            <w:r>
              <w:rPr>
                <w:rFonts w:hint="eastAsia" w:ascii="宋体" w:hAnsi="宋体" w:cs="宋体"/>
                <w:i w:val="0"/>
                <w:iCs w:val="0"/>
                <w:color w:val="000000"/>
                <w:kern w:val="0"/>
                <w:sz w:val="21"/>
                <w:szCs w:val="21"/>
                <w:highlight w:val="none"/>
                <w:u w:val="none"/>
                <w:lang w:val="en-US" w:eastAsia="zh-CN" w:bidi="ar"/>
              </w:rPr>
              <w:t>吋</w:t>
            </w:r>
            <w:r>
              <w:rPr>
                <w:rFonts w:hint="eastAsia" w:ascii="宋体" w:hAnsi="宋体" w:eastAsia="宋体" w:cs="宋体"/>
                <w:i w:val="0"/>
                <w:iCs w:val="0"/>
                <w:color w:val="000000"/>
                <w:kern w:val="0"/>
                <w:sz w:val="21"/>
                <w:szCs w:val="21"/>
                <w:highlight w:val="none"/>
                <w:u w:val="none"/>
                <w:lang w:val="en-US" w:eastAsia="zh-CN" w:bidi="ar"/>
              </w:rPr>
              <w:t xml:space="preserve"> x 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5.分辨率总分辨率 </w:t>
            </w:r>
            <w:r>
              <w:rPr>
                <w:rFonts w:hint="eastAsia" w:ascii="宋体" w:hAnsi="宋体" w:cs="宋体"/>
                <w:i w:val="0"/>
                <w:iCs w:val="0"/>
                <w:color w:val="000000"/>
                <w:kern w:val="0"/>
                <w:sz w:val="21"/>
                <w:szCs w:val="21"/>
                <w:highlight w:val="none"/>
                <w:u w:val="none"/>
                <w:lang w:val="en-US" w:eastAsia="zh-CN" w:bidi="ar"/>
              </w:rPr>
              <w:t>不低于</w:t>
            </w:r>
            <w:r>
              <w:rPr>
                <w:rFonts w:hint="eastAsia" w:ascii="宋体" w:hAnsi="宋体" w:eastAsia="宋体" w:cs="宋体"/>
                <w:i w:val="0"/>
                <w:iCs w:val="0"/>
                <w:color w:val="000000"/>
                <w:kern w:val="0"/>
                <w:sz w:val="21"/>
                <w:szCs w:val="21"/>
                <w:highlight w:val="none"/>
                <w:u w:val="none"/>
                <w:lang w:val="en-US" w:eastAsia="zh-CN" w:bidi="ar"/>
              </w:rPr>
              <w:t>4320x2160</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单眼分辨率2160x2160</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1200 PPI</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6.刷新率</w:t>
            </w:r>
            <w:r>
              <w:rPr>
                <w:rFonts w:hint="eastAsia" w:ascii="宋体" w:hAnsi="宋体" w:cs="宋体"/>
                <w:i w:val="0"/>
                <w:iCs w:val="0"/>
                <w:color w:val="000000"/>
                <w:kern w:val="0"/>
                <w:sz w:val="21"/>
                <w:szCs w:val="21"/>
                <w:highlight w:val="none"/>
                <w:u w:val="none"/>
                <w:lang w:val="en-US" w:eastAsia="zh-CN" w:bidi="ar"/>
              </w:rPr>
              <w:t>不低于</w:t>
            </w:r>
            <w:r>
              <w:rPr>
                <w:rFonts w:hint="eastAsia" w:ascii="宋体" w:hAnsi="宋体" w:eastAsia="宋体" w:cs="宋体"/>
                <w:i w:val="0"/>
                <w:iCs w:val="0"/>
                <w:color w:val="000000"/>
                <w:kern w:val="0"/>
                <w:sz w:val="21"/>
                <w:szCs w:val="21"/>
                <w:highlight w:val="none"/>
                <w:u w:val="none"/>
                <w:lang w:val="en-US" w:eastAsia="zh-CN" w:bidi="ar"/>
              </w:rPr>
              <w:t>72/90Hz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7.亮度无极调节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8.视场角≥105°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w:t>
            </w:r>
            <w:r>
              <w:rPr>
                <w:rFonts w:hint="eastAsia" w:ascii="宋体" w:hAnsi="宋体" w:cs="宋体"/>
                <w:i w:val="0"/>
                <w:iCs w:val="0"/>
                <w:color w:val="000000"/>
                <w:kern w:val="0"/>
                <w:sz w:val="21"/>
                <w:szCs w:val="21"/>
                <w:highlight w:val="none"/>
                <w:u w:val="none"/>
                <w:lang w:val="en-US" w:eastAsia="zh-CN" w:bidi="ar"/>
              </w:rPr>
              <w:t>支持</w:t>
            </w:r>
            <w:r>
              <w:rPr>
                <w:rFonts w:hint="eastAsia" w:ascii="宋体" w:hAnsi="宋体" w:eastAsia="宋体" w:cs="宋体"/>
                <w:i w:val="0"/>
                <w:iCs w:val="0"/>
                <w:color w:val="000000"/>
                <w:kern w:val="0"/>
                <w:sz w:val="21"/>
                <w:szCs w:val="21"/>
                <w:highlight w:val="none"/>
                <w:u w:val="none"/>
                <w:lang w:val="en-US" w:eastAsia="zh-CN" w:bidi="ar"/>
              </w:rPr>
              <w:t>护眼模式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10.瞳距调节58~72mm 电机无级调节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w:t>
            </w:r>
            <w:r>
              <w:rPr>
                <w:rFonts w:hint="eastAsia" w:ascii="宋体" w:hAnsi="宋体" w:cs="宋体"/>
                <w:i w:val="0"/>
                <w:iCs w:val="0"/>
                <w:color w:val="000000"/>
                <w:kern w:val="0"/>
                <w:sz w:val="21"/>
                <w:szCs w:val="21"/>
                <w:highlight w:val="none"/>
                <w:u w:val="none"/>
                <w:lang w:val="en-US" w:eastAsia="zh-CN" w:bidi="ar"/>
              </w:rPr>
              <w:t>不少于</w:t>
            </w:r>
            <w:r>
              <w:rPr>
                <w:rFonts w:hint="eastAsia" w:ascii="宋体" w:hAnsi="宋体" w:eastAsia="宋体" w:cs="宋体"/>
                <w:i w:val="0"/>
                <w:iCs w:val="0"/>
                <w:color w:val="000000"/>
                <w:kern w:val="0"/>
                <w:sz w:val="21"/>
                <w:szCs w:val="21"/>
                <w:highlight w:val="none"/>
                <w:u w:val="none"/>
                <w:lang w:val="en-US" w:eastAsia="zh-CN" w:bidi="ar"/>
              </w:rPr>
              <w:t>9轴传感器实现头部精准3DoF和6DoF，1KHz采样频率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w:t>
            </w:r>
            <w:r>
              <w:rPr>
                <w:rFonts w:hint="eastAsia" w:ascii="宋体" w:hAnsi="宋体" w:cs="宋体"/>
                <w:i w:val="0"/>
                <w:iCs w:val="0"/>
                <w:color w:val="000000"/>
                <w:kern w:val="0"/>
                <w:sz w:val="21"/>
                <w:szCs w:val="21"/>
                <w:highlight w:val="none"/>
                <w:u w:val="none"/>
                <w:lang w:val="en-US" w:eastAsia="zh-CN" w:bidi="ar"/>
              </w:rPr>
              <w:t>支持</w:t>
            </w:r>
            <w:r>
              <w:rPr>
                <w:rFonts w:hint="eastAsia" w:ascii="宋体" w:hAnsi="宋体" w:eastAsia="宋体" w:cs="宋体"/>
                <w:i w:val="0"/>
                <w:iCs w:val="0"/>
                <w:color w:val="000000"/>
                <w:kern w:val="0"/>
                <w:sz w:val="21"/>
                <w:szCs w:val="21"/>
                <w:highlight w:val="none"/>
                <w:u w:val="none"/>
                <w:lang w:val="en-US" w:eastAsia="zh-CN" w:bidi="ar"/>
              </w:rPr>
              <w:t>人脸佩戴感应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13.四目单色鱼眼相机，支持6Dof定位</w:t>
            </w:r>
          </w:p>
          <w:p w14:paraId="4B03D40F">
            <w:pPr>
              <w:keepNext w:val="0"/>
              <w:keepLines w:val="0"/>
              <w:widowControl/>
              <w:numPr>
                <w:ilvl w:val="0"/>
                <w:numId w:val="24"/>
              </w:numPr>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双目RGB摄像头</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双面RGB相机，支持MR透视能力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15.MR深度摄像头iTof相机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16.头盔Inside-out头部6DoF</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17.手柄6DoF宽频触感手柄x2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18.手势识别双手≥26自由度追踪，支持</w:t>
            </w:r>
            <w:r>
              <w:rPr>
                <w:rFonts w:hint="eastAsia" w:ascii="宋体" w:hAnsi="宋体" w:cs="宋体"/>
                <w:i w:val="0"/>
                <w:iCs w:val="0"/>
                <w:color w:val="000000"/>
                <w:kern w:val="0"/>
                <w:sz w:val="21"/>
                <w:szCs w:val="21"/>
                <w:highlight w:val="none"/>
                <w:u w:val="none"/>
                <w:lang w:val="en-US" w:eastAsia="zh-CN" w:bidi="ar"/>
              </w:rPr>
              <w:t>不少于</w:t>
            </w:r>
            <w:r>
              <w:rPr>
                <w:rFonts w:hint="eastAsia" w:ascii="宋体" w:hAnsi="宋体" w:eastAsia="宋体" w:cs="宋体"/>
                <w:i w:val="0"/>
                <w:iCs w:val="0"/>
                <w:color w:val="000000"/>
                <w:kern w:val="0"/>
                <w:sz w:val="21"/>
                <w:szCs w:val="21"/>
                <w:highlight w:val="none"/>
                <w:u w:val="none"/>
                <w:lang w:val="en-US" w:eastAsia="zh-CN" w:bidi="ar"/>
              </w:rPr>
              <w:t>5种手势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19.绑带硬质可旋转侧绑带，单手旋钮调节，可拆卸顶绑带</w:t>
            </w:r>
          </w:p>
          <w:p w14:paraId="4D350371">
            <w:pPr>
              <w:keepNext w:val="0"/>
              <w:keepLines w:val="0"/>
              <w:widowControl/>
              <w:numPr>
                <w:ilvl w:val="0"/>
                <w:numId w:val="0"/>
              </w:numPr>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20.泡棉独立可替换的PU贴脸泡棉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21.散热</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内含静音风扇，透气设计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22.USB PD快充3</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23.电池容量</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≥5</w:t>
            </w: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00mAh</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24.扬声器</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360°环绕一体式立体声喇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25.麦克风</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全指向双麦克风布局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26.LED指示灯</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三色LED显示开机、关机、充电状态</w:t>
            </w:r>
          </w:p>
        </w:tc>
      </w:tr>
      <w:tr w14:paraId="1412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35D881DC">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9</w:t>
            </w:r>
          </w:p>
        </w:tc>
        <w:tc>
          <w:tcPr>
            <w:tcW w:w="1072" w:type="dxa"/>
            <w:vAlign w:val="center"/>
          </w:tcPr>
          <w:p w14:paraId="2C73A3A1">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头显集中管理箱</w:t>
            </w:r>
          </w:p>
        </w:tc>
        <w:tc>
          <w:tcPr>
            <w:tcW w:w="1103" w:type="dxa"/>
            <w:vAlign w:val="center"/>
          </w:tcPr>
          <w:p w14:paraId="4F7552A1">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02775831">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台</w:t>
            </w:r>
          </w:p>
        </w:tc>
        <w:tc>
          <w:tcPr>
            <w:tcW w:w="4558" w:type="dxa"/>
            <w:vAlign w:val="top"/>
          </w:tcPr>
          <w:p w14:paraId="4A409152">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25位充电柜参数：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1.钢制外形结构，安全防盗；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2.满足VR一体机充电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3.全封闭式防盗结构，安全存储；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4.内部分舱：前舱为平板放置充电区域，学生接触区域，无强电；后舱为电源管理控制区域，由专业管理人员控制；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5.配置紫外线消毒灯，可根据定时时间关闭消毒灯</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消毒面积：≥10㎡。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6.配有一体化电源管理系统: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A.具备时序供电:按顺序依次间隔2-5秒分组供电，组数≥4组.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B.可设置集中供电。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C</w:t>
            </w:r>
            <w:r>
              <w:rPr>
                <w:rFonts w:hint="eastAsia" w:ascii="宋体" w:hAnsi="宋体" w:eastAsia="宋体" w:cs="宋体"/>
                <w:i w:val="0"/>
                <w:iCs w:val="0"/>
                <w:color w:val="000000"/>
                <w:kern w:val="0"/>
                <w:sz w:val="21"/>
                <w:szCs w:val="21"/>
                <w:highlight w:val="none"/>
                <w:u w:val="none"/>
                <w:lang w:val="en-US" w:eastAsia="zh-CN" w:bidi="ar"/>
              </w:rPr>
              <w:t>.可设置分组循环供电，可设每组供电时长，达到设置充电时长后，自动为下组供电，解决了电压不稳地区和用电高峰高功率的问题。</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D</w:t>
            </w:r>
            <w:r>
              <w:rPr>
                <w:rFonts w:hint="eastAsia" w:ascii="宋体" w:hAnsi="宋体" w:eastAsia="宋体" w:cs="宋体"/>
                <w:i w:val="0"/>
                <w:iCs w:val="0"/>
                <w:color w:val="000000"/>
                <w:kern w:val="0"/>
                <w:sz w:val="21"/>
                <w:szCs w:val="21"/>
                <w:highlight w:val="none"/>
                <w:u w:val="none"/>
                <w:lang w:val="en-US" w:eastAsia="zh-CN" w:bidi="ar"/>
              </w:rPr>
              <w:t>.过载保护:当功率过大或电流不稳定时自动断电。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E</w:t>
            </w:r>
            <w:r>
              <w:rPr>
                <w:rFonts w:hint="eastAsia" w:ascii="宋体" w:hAnsi="宋体" w:eastAsia="宋体" w:cs="宋体"/>
                <w:i w:val="0"/>
                <w:iCs w:val="0"/>
                <w:color w:val="000000"/>
                <w:kern w:val="0"/>
                <w:sz w:val="21"/>
                <w:szCs w:val="21"/>
                <w:highlight w:val="none"/>
                <w:u w:val="none"/>
                <w:lang w:val="en-US" w:eastAsia="zh-CN" w:bidi="ar"/>
              </w:rPr>
              <w:t>.带有定时时长显示屏，数码显示定时时长，可设置任意充电时长。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F</w:t>
            </w:r>
            <w:r>
              <w:rPr>
                <w:rFonts w:hint="eastAsia" w:ascii="宋体" w:hAnsi="宋体" w:eastAsia="宋体" w:cs="宋体"/>
                <w:i w:val="0"/>
                <w:iCs w:val="0"/>
                <w:color w:val="000000"/>
                <w:kern w:val="0"/>
                <w:sz w:val="21"/>
                <w:szCs w:val="21"/>
                <w:highlight w:val="none"/>
                <w:u w:val="none"/>
                <w:lang w:val="en-US" w:eastAsia="zh-CN" w:bidi="ar"/>
              </w:rPr>
              <w:t>.带有电源控制开关，可随时关闭电源。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G</w:t>
            </w:r>
            <w:r>
              <w:rPr>
                <w:rFonts w:hint="eastAsia" w:ascii="宋体" w:hAnsi="宋体" w:eastAsia="宋体" w:cs="宋体"/>
                <w:i w:val="0"/>
                <w:iCs w:val="0"/>
                <w:color w:val="000000"/>
                <w:kern w:val="0"/>
                <w:sz w:val="21"/>
                <w:szCs w:val="21"/>
                <w:highlight w:val="none"/>
                <w:u w:val="none"/>
                <w:lang w:val="en-US" w:eastAsia="zh-CN" w:bidi="ar"/>
              </w:rPr>
              <w:t>.带有漏电保护功能：出现漏电短路及时切断电源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A、提供4路可管理电源输出接口；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B、提供≥2路常供电电源输出接口；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C、提供一路外接开关控制接口；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  D、提供一路电源开关状态LED指示灯接口；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8.内置隔板上带有卡线槽，柜体内部USB线走线顺畅、美观；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9.外置带指示灯金属开关不用打开柜门即可控制充电车的电源开关；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10.超静音减震万向轮（带刹车功能）和人体工学把手；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11.柜体侧面带有绕线卡槽，电源线可缠绕在卡线槽上。</w:t>
            </w:r>
          </w:p>
        </w:tc>
      </w:tr>
      <w:tr w14:paraId="67AE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5D5F8ADB">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10</w:t>
            </w:r>
          </w:p>
        </w:tc>
        <w:tc>
          <w:tcPr>
            <w:tcW w:w="1072" w:type="dxa"/>
            <w:vAlign w:val="center"/>
          </w:tcPr>
          <w:p w14:paraId="43C6B728">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英语教育师范技能虚拟仿真实训系统</w:t>
            </w:r>
            <w:r>
              <w:rPr>
                <w:rFonts w:hint="eastAsia" w:ascii="宋体" w:hAnsi="宋体" w:cs="宋体"/>
                <w:b/>
                <w:bCs/>
                <w:i w:val="0"/>
                <w:iCs w:val="0"/>
                <w:color w:val="000000"/>
                <w:kern w:val="0"/>
                <w:sz w:val="21"/>
                <w:szCs w:val="21"/>
                <w:highlight w:val="none"/>
                <w:u w:val="none"/>
                <w:lang w:val="en-US" w:eastAsia="zh-CN" w:bidi="ar"/>
              </w:rPr>
              <w:t>（核心产品）</w:t>
            </w:r>
          </w:p>
        </w:tc>
        <w:tc>
          <w:tcPr>
            <w:tcW w:w="1103" w:type="dxa"/>
            <w:vAlign w:val="center"/>
          </w:tcPr>
          <w:p w14:paraId="61F0E98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5788EC7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套</w:t>
            </w:r>
          </w:p>
        </w:tc>
        <w:tc>
          <w:tcPr>
            <w:tcW w:w="4558" w:type="dxa"/>
            <w:vAlign w:val="top"/>
          </w:tcPr>
          <w:p w14:paraId="073E4088">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 xml:space="preserve">.系统包含英语阅读教学模块，包括集体备课、阅读教学、课后复盘三个场景。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.系统运用语音智能评测引擎与基于语言大模型和AI的智能评测结合，可智能评价学生的模拟教学任务。系统可根据发音、流利度、完整度三个维度给学生智能打分。</w:t>
            </w:r>
          </w:p>
          <w:p w14:paraId="3C569235">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.针对系统中的相关对话、文字等素材，可提供对应语种的专业级外教录制水准及编校服务。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系统支持在场景内从任意视角，完成对实验对象或现象的观察学习。具体的三维交互形式包括但不限于：（1）场景漫游；（2）拖拽放置；（3）拖拽旋转；（4）镜头路径的记录与推拉摇移等镜头语言的表达；（5）语音录制等基础交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.UI风格契合师范教学主题，三维场景充分烘焙，可支持实时渲染。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.运行帧数≥25帧/秒。</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.系统支持教师、学生登录，允许设置多级教学管理权限。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.系统提供操作帮助，描述实验如何开展，提供实验过程中的步骤提示功能。</w:t>
            </w:r>
          </w:p>
        </w:tc>
      </w:tr>
      <w:tr w14:paraId="09DE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201CC8D3">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11</w:t>
            </w:r>
          </w:p>
        </w:tc>
        <w:tc>
          <w:tcPr>
            <w:tcW w:w="1072" w:type="dxa"/>
            <w:vAlign w:val="center"/>
          </w:tcPr>
          <w:p w14:paraId="447A3F0A">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教师操作台</w:t>
            </w:r>
          </w:p>
        </w:tc>
        <w:tc>
          <w:tcPr>
            <w:tcW w:w="1103" w:type="dxa"/>
            <w:vAlign w:val="center"/>
          </w:tcPr>
          <w:p w14:paraId="3C4186CA">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1E58C90D">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张</w:t>
            </w:r>
          </w:p>
        </w:tc>
        <w:tc>
          <w:tcPr>
            <w:tcW w:w="4558" w:type="dxa"/>
            <w:vAlign w:val="top"/>
          </w:tcPr>
          <w:p w14:paraId="20DEE53E">
            <w:pPr>
              <w:keepNext w:val="0"/>
              <w:keepLines w:val="0"/>
              <w:widowControl/>
              <w:numPr>
                <w:ilvl w:val="0"/>
                <w:numId w:val="25"/>
              </w:numPr>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钢木结合设计,采用冷轧钢板桌体,钢版厚度≥1.0mm；讲桌采用双层木质桌面设计，上层桌体木板厚度≥25mm，下层桌面厚度≥12mm。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2.讲桌尺寸设计为长×宽×高≥1620mm×770mm×875mm，讲台桌面支持升降功能，水平桌面支持电动升降功能，1080mm≥水平桌面距地高度≥780mm，根据人体工学设计，水平桌面高度合适教师站、坐教学。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底部机柜尺寸设计为长×宽×高≥1560mm×585mm×500mm，机柜容量≥10U，机柜内部带有标准机架和标准电脑主机空间，主机柜门带有磁吸式小门，无需打开柜门即可开关电脑。机柜门采用大面积散热孔设计。前后门都可以打开，只需要一把钥匙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4.讲桌</w:t>
            </w:r>
            <w:r>
              <w:rPr>
                <w:rFonts w:hint="eastAsia" w:ascii="宋体" w:hAnsi="宋体" w:cs="宋体"/>
                <w:i w:val="0"/>
                <w:iCs w:val="0"/>
                <w:color w:val="000000"/>
                <w:kern w:val="0"/>
                <w:sz w:val="21"/>
                <w:szCs w:val="21"/>
                <w:highlight w:val="none"/>
                <w:u w:val="none"/>
                <w:lang w:val="en-US" w:eastAsia="zh-CN" w:bidi="ar"/>
              </w:rPr>
              <w:t>具备</w:t>
            </w:r>
            <w:r>
              <w:rPr>
                <w:rFonts w:hint="eastAsia" w:ascii="宋体" w:hAnsi="宋体" w:eastAsia="宋体" w:cs="宋体"/>
                <w:i w:val="0"/>
                <w:iCs w:val="0"/>
                <w:color w:val="000000"/>
                <w:kern w:val="0"/>
                <w:sz w:val="21"/>
                <w:szCs w:val="21"/>
                <w:highlight w:val="none"/>
                <w:u w:val="none"/>
                <w:lang w:val="en-US" w:eastAsia="zh-CN" w:bidi="ar"/>
              </w:rPr>
              <w:t>升降</w:t>
            </w:r>
            <w:r>
              <w:rPr>
                <w:rFonts w:hint="eastAsia" w:ascii="宋体" w:hAnsi="宋体" w:cs="宋体"/>
                <w:i w:val="0"/>
                <w:iCs w:val="0"/>
                <w:color w:val="000000"/>
                <w:kern w:val="0"/>
                <w:sz w:val="21"/>
                <w:szCs w:val="21"/>
                <w:highlight w:val="none"/>
                <w:u w:val="none"/>
                <w:lang w:val="en-US" w:eastAsia="zh-CN" w:bidi="ar"/>
              </w:rPr>
              <w:t>功能，</w:t>
            </w:r>
            <w:r>
              <w:rPr>
                <w:rFonts w:hint="eastAsia" w:ascii="宋体" w:hAnsi="宋体" w:eastAsia="宋体" w:cs="宋体"/>
                <w:i w:val="0"/>
                <w:iCs w:val="0"/>
                <w:color w:val="000000"/>
                <w:kern w:val="0"/>
                <w:sz w:val="21"/>
                <w:szCs w:val="21"/>
                <w:highlight w:val="none"/>
                <w:u w:val="none"/>
                <w:lang w:val="en-US" w:eastAsia="zh-CN" w:bidi="ar"/>
              </w:rPr>
              <w:t>具</w:t>
            </w:r>
            <w:r>
              <w:rPr>
                <w:rFonts w:hint="eastAsia" w:ascii="宋体" w:hAnsi="宋体" w:cs="宋体"/>
                <w:i w:val="0"/>
                <w:iCs w:val="0"/>
                <w:color w:val="000000"/>
                <w:kern w:val="0"/>
                <w:sz w:val="21"/>
                <w:szCs w:val="21"/>
                <w:highlight w:val="none"/>
                <w:u w:val="none"/>
                <w:lang w:val="en-US" w:eastAsia="zh-CN" w:bidi="ar"/>
              </w:rPr>
              <w:t>有</w:t>
            </w:r>
            <w:r>
              <w:rPr>
                <w:rFonts w:hint="eastAsia" w:ascii="宋体" w:hAnsi="宋体" w:eastAsia="宋体" w:cs="宋体"/>
                <w:i w:val="0"/>
                <w:iCs w:val="0"/>
                <w:color w:val="000000"/>
                <w:kern w:val="0"/>
                <w:sz w:val="21"/>
                <w:szCs w:val="21"/>
                <w:highlight w:val="none"/>
                <w:u w:val="none"/>
                <w:lang w:val="en-US" w:eastAsia="zh-CN" w:bidi="ar"/>
              </w:rPr>
              <w:t>水平桌面距地高度LED数字显示、上升按键、下降按键；还具有一键调节水平桌面到出厂默认</w:t>
            </w:r>
            <w:r>
              <w:rPr>
                <w:rFonts w:hint="eastAsia" w:ascii="宋体" w:hAnsi="宋体" w:cs="宋体"/>
                <w:i w:val="0"/>
                <w:iCs w:val="0"/>
                <w:color w:val="000000"/>
                <w:kern w:val="0"/>
                <w:sz w:val="21"/>
                <w:szCs w:val="21"/>
                <w:highlight w:val="none"/>
                <w:u w:val="none"/>
                <w:lang w:val="en-US" w:eastAsia="zh-CN" w:bidi="ar"/>
              </w:rPr>
              <w:t>。</w:t>
            </w:r>
          </w:p>
          <w:p w14:paraId="3661222C">
            <w:pPr>
              <w:keepNext w:val="0"/>
              <w:keepLines w:val="0"/>
              <w:widowControl/>
              <w:numPr>
                <w:ilvl w:val="0"/>
                <w:numId w:val="0"/>
              </w:numPr>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5.支持过流过压保护、遇阻反弹保护。</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6.讲台正面支持学校进行LOGO定制。</w:t>
            </w:r>
          </w:p>
        </w:tc>
      </w:tr>
      <w:tr w14:paraId="5B25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0B0FDCF8">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12</w:t>
            </w:r>
          </w:p>
        </w:tc>
        <w:tc>
          <w:tcPr>
            <w:tcW w:w="1072" w:type="dxa"/>
            <w:vAlign w:val="center"/>
          </w:tcPr>
          <w:p w14:paraId="03A35AD5">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教师椅</w:t>
            </w:r>
          </w:p>
        </w:tc>
        <w:tc>
          <w:tcPr>
            <w:tcW w:w="1103" w:type="dxa"/>
            <w:vAlign w:val="center"/>
          </w:tcPr>
          <w:p w14:paraId="784BEA1E">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1E99A9EB">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把</w:t>
            </w:r>
          </w:p>
        </w:tc>
        <w:tc>
          <w:tcPr>
            <w:tcW w:w="4558" w:type="dxa"/>
            <w:vAlign w:val="top"/>
          </w:tcPr>
          <w:p w14:paraId="5DB8ECC8">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1.50mm黑色尼龙轮，85黑色气杆；</w:t>
            </w:r>
          </w:p>
          <w:p w14:paraId="13F20B44">
            <w:pPr>
              <w:keepNext w:val="0"/>
              <w:keepLines w:val="0"/>
              <w:widowControl/>
              <w:numPr>
                <w:ilvl w:val="0"/>
                <w:numId w:val="25"/>
              </w:numPr>
              <w:suppressLineNumbers w:val="0"/>
              <w:ind w:left="0" w:leftChars="0" w:firstLine="0" w:firstLineChars="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加厚中班蝴蝶底盘(可原位锁定和逍遥功能)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3.固定腰垫，黑色PP玻纤背框和扶手；</w:t>
            </w:r>
          </w:p>
          <w:p w14:paraId="5FF29DA1">
            <w:pPr>
              <w:keepNext w:val="0"/>
              <w:keepLines w:val="0"/>
              <w:widowControl/>
              <w:numPr>
                <w:ilvl w:val="0"/>
                <w:numId w:val="0"/>
              </w:numPr>
              <w:suppressLineNumbers w:val="0"/>
              <w:ind w:leftChars="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4.42密度中软高弹力切割海绵；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5.耐磨亲肤弹力座布，背加密加厚网H网饰面。</w:t>
            </w:r>
          </w:p>
        </w:tc>
      </w:tr>
      <w:tr w14:paraId="7B99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52CD4641">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13</w:t>
            </w:r>
          </w:p>
        </w:tc>
        <w:tc>
          <w:tcPr>
            <w:tcW w:w="1072" w:type="dxa"/>
            <w:vAlign w:val="center"/>
          </w:tcPr>
          <w:p w14:paraId="2C77F344">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学生座椅（带桌板）</w:t>
            </w:r>
          </w:p>
        </w:tc>
        <w:tc>
          <w:tcPr>
            <w:tcW w:w="1103" w:type="dxa"/>
            <w:vAlign w:val="center"/>
          </w:tcPr>
          <w:p w14:paraId="219CD5F0">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8</w:t>
            </w:r>
          </w:p>
        </w:tc>
        <w:tc>
          <w:tcPr>
            <w:tcW w:w="1061" w:type="dxa"/>
            <w:vAlign w:val="center"/>
          </w:tcPr>
          <w:p w14:paraId="24BF5939">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张</w:t>
            </w:r>
          </w:p>
        </w:tc>
        <w:tc>
          <w:tcPr>
            <w:tcW w:w="4558" w:type="dxa"/>
            <w:vAlign w:val="top"/>
          </w:tcPr>
          <w:p w14:paraId="2682B898">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背PP料+扪布，坐板木板扪海绵扪布，写字板、扶手、脚盘统一采用PP原生料注塑成型。写字板托盘及连接件采用铝合金压铸成型旋转结构内饰橡胶垫，防滑内六角螺丝。</w:t>
            </w:r>
          </w:p>
          <w:p w14:paraId="7121D53E">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写字板支撑架:采用32园1.5厚无缝钢管压 弯焊接成型下端连接气杆件采用尼龙塑料圈  可360度随意旋转。</w:t>
            </w:r>
          </w:p>
        </w:tc>
      </w:tr>
      <w:tr w14:paraId="0AE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4C46BA90">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14</w:t>
            </w:r>
          </w:p>
        </w:tc>
        <w:tc>
          <w:tcPr>
            <w:tcW w:w="1072" w:type="dxa"/>
            <w:vAlign w:val="center"/>
          </w:tcPr>
          <w:p w14:paraId="21F55B27">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系统集成</w:t>
            </w:r>
          </w:p>
        </w:tc>
        <w:tc>
          <w:tcPr>
            <w:tcW w:w="1103" w:type="dxa"/>
            <w:vAlign w:val="center"/>
          </w:tcPr>
          <w:p w14:paraId="1485E7C3">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2FC6AF70">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项</w:t>
            </w:r>
          </w:p>
        </w:tc>
        <w:tc>
          <w:tcPr>
            <w:tcW w:w="4558" w:type="dxa"/>
            <w:vAlign w:val="top"/>
          </w:tcPr>
          <w:p w14:paraId="10DDBF54">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系统包含布线</w:t>
            </w:r>
            <w:r>
              <w:rPr>
                <w:rFonts w:hint="eastAsia" w:ascii="宋体" w:hAnsi="宋体" w:cs="宋体"/>
                <w:i w:val="0"/>
                <w:iCs w:val="0"/>
                <w:color w:val="000000"/>
                <w:kern w:val="0"/>
                <w:sz w:val="21"/>
                <w:szCs w:val="21"/>
                <w:highlight w:val="none"/>
                <w:u w:val="none"/>
                <w:lang w:val="en-US" w:eastAsia="zh-CN" w:bidi="ar"/>
              </w:rPr>
              <w:t>、设备</w:t>
            </w:r>
            <w:r>
              <w:rPr>
                <w:rFonts w:hint="eastAsia" w:ascii="宋体" w:hAnsi="宋体" w:eastAsia="宋体" w:cs="宋体"/>
                <w:i w:val="0"/>
                <w:iCs w:val="0"/>
                <w:color w:val="000000"/>
                <w:kern w:val="0"/>
                <w:sz w:val="21"/>
                <w:szCs w:val="21"/>
                <w:highlight w:val="none"/>
                <w:u w:val="none"/>
                <w:lang w:val="en-US" w:eastAsia="zh-CN" w:bidi="ar"/>
              </w:rPr>
              <w:t>安装、调试、培训、售后等。</w:t>
            </w:r>
          </w:p>
        </w:tc>
      </w:tr>
      <w:tr w14:paraId="282A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vAlign w:val="center"/>
          </w:tcPr>
          <w:p w14:paraId="2E5DA00B">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15</w:t>
            </w:r>
          </w:p>
        </w:tc>
        <w:tc>
          <w:tcPr>
            <w:tcW w:w="1072" w:type="dxa"/>
            <w:vAlign w:val="center"/>
          </w:tcPr>
          <w:p w14:paraId="36B2C95F">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空间改造、项目教室中原有设备维护</w:t>
            </w:r>
          </w:p>
        </w:tc>
        <w:tc>
          <w:tcPr>
            <w:tcW w:w="1103" w:type="dxa"/>
            <w:vAlign w:val="center"/>
          </w:tcPr>
          <w:p w14:paraId="00E1D5C9">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061" w:type="dxa"/>
            <w:vAlign w:val="center"/>
          </w:tcPr>
          <w:p w14:paraId="3DAE76F2">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项</w:t>
            </w:r>
          </w:p>
        </w:tc>
        <w:tc>
          <w:tcPr>
            <w:tcW w:w="4558" w:type="dxa"/>
            <w:vAlign w:val="top"/>
          </w:tcPr>
          <w:p w14:paraId="40C0E944">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原教室平面面积约66平方米，层高3.7米。改造涉及墙面</w:t>
            </w:r>
            <w:r>
              <w:rPr>
                <w:rFonts w:hint="eastAsia" w:ascii="宋体" w:hAnsi="宋体" w:cs="宋体"/>
                <w:i w:val="0"/>
                <w:iCs w:val="0"/>
                <w:color w:val="000000"/>
                <w:kern w:val="0"/>
                <w:sz w:val="21"/>
                <w:szCs w:val="21"/>
                <w:highlight w:val="none"/>
                <w:u w:val="none"/>
                <w:lang w:val="en-US" w:eastAsia="zh-CN" w:bidi="ar"/>
              </w:rPr>
              <w:t>（修复原有瑕疵面，改造中损坏墙面的改造完成后应恢复原样）</w:t>
            </w:r>
            <w:r>
              <w:rPr>
                <w:rFonts w:hint="eastAsia" w:ascii="宋体" w:hAnsi="宋体" w:eastAsia="宋体" w:cs="宋体"/>
                <w:i w:val="0"/>
                <w:iCs w:val="0"/>
                <w:color w:val="000000"/>
                <w:kern w:val="0"/>
                <w:sz w:val="21"/>
                <w:szCs w:val="21"/>
                <w:highlight w:val="none"/>
                <w:u w:val="none"/>
                <w:lang w:val="en-US" w:eastAsia="zh-CN" w:bidi="ar"/>
              </w:rPr>
              <w:t>、原有中控系统及设备拆除、弱电线路改造；旧设备维修调试涉及大屏（2块）、小屏（4块）维修调试、功放和音响系统维修调试；线路连接及维修等。具体型号如下：</w:t>
            </w:r>
          </w:p>
          <w:p w14:paraId="2B454F4B">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1、智慧教室综合控制面板 三盟“Sunm WM-CP-H”</w:t>
            </w:r>
          </w:p>
          <w:p w14:paraId="04E31A1E">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2、教师液晶触控大屏 希沃 F86EA（大屏）</w:t>
            </w:r>
          </w:p>
          <w:p w14:paraId="4CC5590B">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3、学生液晶触控大屏 希沃 F65EA（小屏）</w:t>
            </w:r>
          </w:p>
          <w:p w14:paraId="7F948ECF">
            <w:pPr>
              <w:keepNext w:val="0"/>
              <w:keepLines w:val="0"/>
              <w:widowControl/>
              <w:suppressLineNumbers w:val="0"/>
              <w:jc w:val="left"/>
              <w:textAlignment w:val="top"/>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4、远讲本地扩声主机 雷拓 BL-960</w:t>
            </w:r>
          </w:p>
        </w:tc>
      </w:tr>
    </w:tbl>
    <w:p w14:paraId="12E903B4">
      <w:pPr>
        <w:pStyle w:val="13"/>
        <w:numPr>
          <w:ilvl w:val="0"/>
          <w:numId w:val="0"/>
        </w:numPr>
        <w:rPr>
          <w:rFonts w:hint="eastAsia"/>
          <w:sz w:val="24"/>
          <w:szCs w:val="24"/>
          <w:highlight w:val="none"/>
          <w:lang w:val="en-US" w:eastAsia="zh-CN"/>
        </w:rPr>
      </w:pPr>
      <w:r>
        <w:rPr>
          <w:rFonts w:hint="eastAsia" w:ascii="宋体" w:hAnsi="Courier New" w:eastAsia="宋体" w:cs="Times New Roman"/>
          <w:kern w:val="0"/>
          <w:sz w:val="24"/>
          <w:szCs w:val="24"/>
          <w:highlight w:val="none"/>
          <w:lang w:val="en-US" w:eastAsia="zh-CN" w:bidi="ar-SA"/>
        </w:rPr>
        <w:t>三、</w:t>
      </w:r>
      <w:r>
        <w:rPr>
          <w:rFonts w:hint="eastAsia"/>
          <w:sz w:val="24"/>
          <w:szCs w:val="24"/>
          <w:highlight w:val="none"/>
          <w:lang w:val="en-US" w:eastAsia="zh-CN"/>
        </w:rPr>
        <w:t>其他要求</w:t>
      </w:r>
    </w:p>
    <w:p w14:paraId="2C288017">
      <w:pPr>
        <w:pStyle w:val="13"/>
        <w:numPr>
          <w:ilvl w:val="0"/>
          <w:numId w:val="0"/>
        </w:numPr>
        <w:rPr>
          <w:rFonts w:hint="default"/>
          <w:sz w:val="24"/>
          <w:szCs w:val="24"/>
          <w:highlight w:val="none"/>
          <w:lang w:val="en-US" w:eastAsia="zh-CN"/>
        </w:rPr>
      </w:pPr>
      <w:r>
        <w:rPr>
          <w:rFonts w:hint="eastAsia"/>
          <w:sz w:val="24"/>
          <w:szCs w:val="24"/>
          <w:highlight w:val="none"/>
          <w:lang w:val="en-US" w:eastAsia="zh-CN"/>
        </w:rPr>
        <w:t>1.</w:t>
      </w:r>
      <w:r>
        <w:rPr>
          <w:rFonts w:hint="default"/>
          <w:sz w:val="24"/>
          <w:szCs w:val="24"/>
          <w:highlight w:val="none"/>
          <w:lang w:val="en-US" w:eastAsia="zh-CN"/>
        </w:rPr>
        <w:t>数据资产</w:t>
      </w:r>
    </w:p>
    <w:p w14:paraId="7094721E">
      <w:pPr>
        <w:pStyle w:val="13"/>
        <w:numPr>
          <w:ilvl w:val="0"/>
          <w:numId w:val="0"/>
        </w:numPr>
        <w:ind w:firstLine="480" w:firstLineChars="200"/>
        <w:rPr>
          <w:rFonts w:hint="default"/>
          <w:sz w:val="24"/>
          <w:szCs w:val="24"/>
          <w:highlight w:val="none"/>
          <w:lang w:val="en-US" w:eastAsia="zh-CN"/>
        </w:rPr>
      </w:pPr>
      <w:r>
        <w:rPr>
          <w:rFonts w:hint="default"/>
          <w:sz w:val="24"/>
          <w:szCs w:val="24"/>
          <w:highlight w:val="none"/>
          <w:lang w:val="en-US" w:eastAsia="zh-CN"/>
        </w:rPr>
        <w:t>项目在签订合同时必须明确数据资产归学校所有，未经学校书面授权承建公司及第三方不得挪作他用。</w:t>
      </w:r>
    </w:p>
    <w:p w14:paraId="420DAFDF">
      <w:pPr>
        <w:pStyle w:val="13"/>
        <w:numPr>
          <w:ilvl w:val="0"/>
          <w:numId w:val="0"/>
        </w:numPr>
        <w:rPr>
          <w:rFonts w:hint="default"/>
          <w:sz w:val="24"/>
          <w:szCs w:val="24"/>
          <w:highlight w:val="none"/>
          <w:lang w:val="en-US" w:eastAsia="zh-CN"/>
        </w:rPr>
      </w:pPr>
      <w:r>
        <w:rPr>
          <w:rFonts w:hint="eastAsia"/>
          <w:sz w:val="24"/>
          <w:szCs w:val="24"/>
          <w:highlight w:val="none"/>
          <w:lang w:val="en-US" w:eastAsia="zh-CN"/>
        </w:rPr>
        <w:t>2.</w:t>
      </w:r>
      <w:r>
        <w:rPr>
          <w:rFonts w:hint="default"/>
          <w:sz w:val="24"/>
          <w:szCs w:val="24"/>
          <w:highlight w:val="none"/>
          <w:lang w:val="en-US" w:eastAsia="zh-CN"/>
        </w:rPr>
        <w:t>数据安全</w:t>
      </w:r>
    </w:p>
    <w:p w14:paraId="6ED47778">
      <w:pPr>
        <w:pStyle w:val="13"/>
        <w:numPr>
          <w:ilvl w:val="0"/>
          <w:numId w:val="0"/>
        </w:numPr>
        <w:ind w:firstLine="480" w:firstLineChars="200"/>
        <w:rPr>
          <w:rFonts w:hint="default"/>
          <w:sz w:val="24"/>
          <w:szCs w:val="24"/>
          <w:highlight w:val="none"/>
          <w:lang w:val="en-US" w:eastAsia="zh-CN"/>
        </w:rPr>
      </w:pPr>
      <w:r>
        <w:rPr>
          <w:rFonts w:hint="default"/>
          <w:sz w:val="24"/>
          <w:szCs w:val="24"/>
          <w:highlight w:val="none"/>
          <w:lang w:val="en-US" w:eastAsia="zh-CN"/>
        </w:rPr>
        <w:t>项目在建设时须遵循学校数据中心平台技术要求、信息安全等级保护的要求，承建公司须与学校签订《信息系统数据保密协议书》；无条件配合学校对其系统的等保定级、备案、测评和整改工作。</w:t>
      </w:r>
    </w:p>
    <w:p w14:paraId="1D6D05F7">
      <w:pPr>
        <w:pStyle w:val="13"/>
        <w:numPr>
          <w:ilvl w:val="0"/>
          <w:numId w:val="0"/>
        </w:numPr>
        <w:rPr>
          <w:rFonts w:hint="default"/>
          <w:sz w:val="24"/>
          <w:szCs w:val="24"/>
          <w:highlight w:val="none"/>
          <w:lang w:val="en-US" w:eastAsia="zh-CN"/>
        </w:rPr>
      </w:pPr>
      <w:r>
        <w:rPr>
          <w:rFonts w:hint="eastAsia"/>
          <w:sz w:val="24"/>
          <w:szCs w:val="24"/>
          <w:highlight w:val="none"/>
          <w:lang w:val="en-US" w:eastAsia="zh-CN"/>
        </w:rPr>
        <w:t>3.</w:t>
      </w:r>
      <w:r>
        <w:rPr>
          <w:rFonts w:hint="default"/>
          <w:sz w:val="24"/>
          <w:szCs w:val="24"/>
          <w:highlight w:val="none"/>
          <w:lang w:val="en-US" w:eastAsia="zh-CN"/>
        </w:rPr>
        <w:t>数据标准</w:t>
      </w:r>
    </w:p>
    <w:p w14:paraId="3FC1AC53">
      <w:pPr>
        <w:pStyle w:val="13"/>
        <w:numPr>
          <w:ilvl w:val="0"/>
          <w:numId w:val="0"/>
        </w:numPr>
        <w:ind w:firstLine="480" w:firstLineChars="200"/>
        <w:rPr>
          <w:rFonts w:hint="default"/>
          <w:sz w:val="24"/>
          <w:szCs w:val="24"/>
          <w:highlight w:val="none"/>
          <w:lang w:val="en-US" w:eastAsia="zh-CN"/>
        </w:rPr>
      </w:pPr>
      <w:r>
        <w:rPr>
          <w:rFonts w:hint="default"/>
          <w:sz w:val="24"/>
          <w:szCs w:val="24"/>
          <w:highlight w:val="none"/>
          <w:lang w:val="en-US" w:eastAsia="zh-CN"/>
        </w:rPr>
        <w:t>项目在建设时数据标准须遵循《陕西学前师范学院信息系统数据标准（试行）》（详见）https://nic.snsy.edu.cn/info/ 1025/1918.htm，并将系统建设时新增的部分数据标准提供给学校对《陕西学前师范学院信息系统数据标准（试行）》进行扩充。</w:t>
      </w:r>
    </w:p>
    <w:p w14:paraId="2E0738FF">
      <w:pPr>
        <w:pStyle w:val="13"/>
        <w:numPr>
          <w:ilvl w:val="0"/>
          <w:numId w:val="0"/>
        </w:numPr>
        <w:rPr>
          <w:rFonts w:hint="default"/>
          <w:sz w:val="24"/>
          <w:szCs w:val="24"/>
          <w:highlight w:val="none"/>
          <w:lang w:val="en-US" w:eastAsia="zh-CN"/>
        </w:rPr>
      </w:pPr>
      <w:r>
        <w:rPr>
          <w:rFonts w:hint="default"/>
          <w:sz w:val="24"/>
          <w:szCs w:val="24"/>
          <w:highlight w:val="none"/>
          <w:lang w:val="en-US" w:eastAsia="zh-CN"/>
        </w:rPr>
        <w:t>4.维保服务</w:t>
      </w:r>
    </w:p>
    <w:p w14:paraId="41AC5345">
      <w:pPr>
        <w:pStyle w:val="13"/>
        <w:numPr>
          <w:ilvl w:val="0"/>
          <w:numId w:val="0"/>
        </w:numPr>
        <w:ind w:firstLine="480" w:firstLineChars="200"/>
        <w:rPr>
          <w:rFonts w:hint="default"/>
          <w:sz w:val="24"/>
          <w:szCs w:val="24"/>
          <w:highlight w:val="none"/>
          <w:lang w:val="en-US" w:eastAsia="zh-CN"/>
        </w:rPr>
      </w:pPr>
      <w:r>
        <w:rPr>
          <w:rFonts w:hint="default"/>
          <w:sz w:val="24"/>
          <w:szCs w:val="24"/>
          <w:highlight w:val="none"/>
          <w:lang w:val="en-US" w:eastAsia="zh-CN"/>
        </w:rPr>
        <w:t>项目在签订合同时必须明确包含≥3年的免</w:t>
      </w:r>
      <w:bookmarkStart w:id="355" w:name="_GoBack"/>
      <w:bookmarkEnd w:id="355"/>
      <w:r>
        <w:rPr>
          <w:rFonts w:hint="default"/>
          <w:sz w:val="24"/>
          <w:szCs w:val="24"/>
          <w:highlight w:val="none"/>
          <w:lang w:val="en-US" w:eastAsia="zh-CN"/>
        </w:rPr>
        <w:t>费售后维保服务，提倡项目建设时签订长期免费售后维保服务。</w:t>
      </w:r>
    </w:p>
    <w:p w14:paraId="41991D1E">
      <w:pPr>
        <w:pStyle w:val="13"/>
        <w:numPr>
          <w:ilvl w:val="0"/>
          <w:numId w:val="0"/>
        </w:numPr>
        <w:rPr>
          <w:rFonts w:hint="default"/>
          <w:sz w:val="24"/>
          <w:szCs w:val="24"/>
          <w:highlight w:val="none"/>
          <w:lang w:val="en-US" w:eastAsia="zh-CN"/>
        </w:rPr>
      </w:pPr>
      <w:r>
        <w:rPr>
          <w:rFonts w:hint="default"/>
          <w:sz w:val="24"/>
          <w:szCs w:val="24"/>
          <w:highlight w:val="none"/>
          <w:lang w:val="en-US" w:eastAsia="zh-CN"/>
        </w:rPr>
        <w:t>5.统一身份认证</w:t>
      </w:r>
    </w:p>
    <w:p w14:paraId="7FF12519">
      <w:pPr>
        <w:pStyle w:val="13"/>
        <w:numPr>
          <w:ilvl w:val="0"/>
          <w:numId w:val="0"/>
        </w:numPr>
        <w:ind w:firstLine="480" w:firstLineChars="200"/>
        <w:rPr>
          <w:rFonts w:hint="default"/>
          <w:sz w:val="24"/>
          <w:szCs w:val="24"/>
          <w:highlight w:val="none"/>
          <w:lang w:val="en-US" w:eastAsia="zh-CN"/>
        </w:rPr>
      </w:pPr>
      <w:r>
        <w:rPr>
          <w:rFonts w:hint="default"/>
          <w:sz w:val="24"/>
          <w:szCs w:val="24"/>
          <w:highlight w:val="none"/>
          <w:lang w:val="en-US" w:eastAsia="zh-CN"/>
        </w:rPr>
        <w:t>项目在建设时需要身份识别验证的系统必须无条件与学校统一身份认证系统对接集成；对于需要配置身份识别卡的必须无条件对接学校“一卡通”系统并使用学校的《校园卡》；免费进行接口开发及对接。</w:t>
      </w:r>
    </w:p>
    <w:p w14:paraId="38FFFA9E">
      <w:pPr>
        <w:pStyle w:val="13"/>
        <w:numPr>
          <w:ilvl w:val="0"/>
          <w:numId w:val="0"/>
        </w:numPr>
        <w:rPr>
          <w:rFonts w:hint="default"/>
          <w:sz w:val="24"/>
          <w:szCs w:val="24"/>
          <w:highlight w:val="none"/>
          <w:lang w:val="en-US" w:eastAsia="zh-CN"/>
        </w:rPr>
      </w:pPr>
      <w:r>
        <w:rPr>
          <w:rFonts w:hint="default"/>
          <w:sz w:val="24"/>
          <w:szCs w:val="24"/>
          <w:highlight w:val="none"/>
          <w:lang w:val="en-US" w:eastAsia="zh-CN"/>
        </w:rPr>
        <w:t>6.数据开放</w:t>
      </w:r>
    </w:p>
    <w:p w14:paraId="12F0E1E0">
      <w:pPr>
        <w:pStyle w:val="13"/>
        <w:numPr>
          <w:ilvl w:val="0"/>
          <w:numId w:val="0"/>
        </w:numPr>
        <w:ind w:firstLine="480" w:firstLineChars="200"/>
        <w:rPr>
          <w:rFonts w:hint="default"/>
          <w:sz w:val="24"/>
          <w:szCs w:val="24"/>
          <w:highlight w:val="none"/>
          <w:lang w:val="en-US" w:eastAsia="zh-CN"/>
        </w:rPr>
      </w:pPr>
      <w:r>
        <w:rPr>
          <w:rFonts w:hint="default"/>
          <w:sz w:val="24"/>
          <w:szCs w:val="24"/>
          <w:highlight w:val="none"/>
          <w:lang w:val="en-US" w:eastAsia="zh-CN"/>
        </w:rPr>
        <w:t>项目在建设时须对学校的大数据平台及相关业务系统免费开放，无条件向学校开放其系统的数据结构、访问权限及提供相关接口、中间件等技术资料；免费开发对接接口；无条件配合学校的数据治理、流程对接等二次开发工作。</w:t>
      </w:r>
    </w:p>
    <w:p w14:paraId="21F87BDC">
      <w:pPr>
        <w:pStyle w:val="13"/>
        <w:numPr>
          <w:ilvl w:val="0"/>
          <w:numId w:val="0"/>
        </w:numPr>
        <w:rPr>
          <w:rFonts w:hint="default"/>
          <w:highlight w:val="none"/>
          <w:lang w:val="en-US" w:eastAsia="zh-CN"/>
        </w:rPr>
      </w:pPr>
      <w:r>
        <w:rPr>
          <w:rFonts w:hint="eastAsia"/>
          <w:sz w:val="24"/>
          <w:szCs w:val="24"/>
          <w:highlight w:val="none"/>
          <w:lang w:val="en-US" w:eastAsia="zh-CN"/>
        </w:rPr>
        <w:t>四、验收要求：软件安装到位，并且能在所有电脑上正常运行；软件所有功能都能正常使用。产品全新、包装完好、能正常运行。</w:t>
      </w:r>
    </w:p>
    <w:p w14:paraId="13A53C39">
      <w:pPr>
        <w:rPr>
          <w:highlight w:val="none"/>
        </w:rPr>
      </w:pPr>
    </w:p>
    <w:p w14:paraId="1742A599">
      <w:pPr>
        <w:rPr>
          <w:rFonts w:hint="eastAsia" w:ascii="宋体" w:hAnsi="宋体" w:cs="宋体"/>
          <w:b/>
          <w:bCs/>
          <w:kern w:val="44"/>
          <w:sz w:val="44"/>
          <w:szCs w:val="44"/>
          <w:highlight w:val="none"/>
        </w:rPr>
      </w:pPr>
      <w:r>
        <w:rPr>
          <w:rFonts w:hint="eastAsia" w:ascii="宋体" w:hAnsi="宋体" w:cs="宋体"/>
          <w:b/>
          <w:bCs/>
          <w:kern w:val="44"/>
          <w:sz w:val="44"/>
          <w:szCs w:val="44"/>
          <w:highlight w:val="none"/>
        </w:rPr>
        <w:br w:type="page"/>
      </w:r>
    </w:p>
    <w:p w14:paraId="6B3004C8">
      <w:pPr>
        <w:kinsoku w:val="0"/>
        <w:ind w:firstLine="2209" w:firstLineChars="500"/>
        <w:outlineLvl w:val="0"/>
        <w:rPr>
          <w:rFonts w:ascii="宋体" w:hAnsi="宋体" w:cs="宋体"/>
          <w:b/>
          <w:bCs/>
          <w:kern w:val="44"/>
          <w:sz w:val="44"/>
          <w:szCs w:val="44"/>
          <w:highlight w:val="none"/>
        </w:rPr>
      </w:pPr>
      <w:bookmarkStart w:id="145" w:name="_Toc28386"/>
      <w:r>
        <w:rPr>
          <w:rFonts w:hint="eastAsia" w:ascii="宋体" w:hAnsi="宋体" w:cs="宋体"/>
          <w:b/>
          <w:bCs/>
          <w:kern w:val="44"/>
          <w:sz w:val="44"/>
          <w:szCs w:val="44"/>
          <w:highlight w:val="none"/>
        </w:rPr>
        <w:t>第六部分  合同条款</w:t>
      </w:r>
      <w:bookmarkEnd w:id="142"/>
      <w:bookmarkEnd w:id="143"/>
      <w:bookmarkEnd w:id="145"/>
    </w:p>
    <w:p w14:paraId="08CDAE0B">
      <w:pPr>
        <w:pStyle w:val="11"/>
        <w:rPr>
          <w:rFonts w:ascii="宋体" w:hAnsi="宋体" w:cs="宋体"/>
          <w:highlight w:val="none"/>
        </w:rPr>
      </w:pPr>
    </w:p>
    <w:p w14:paraId="0FB1FDC0">
      <w:pPr>
        <w:kinsoku w:val="0"/>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采购供货合同</w:t>
      </w:r>
      <w:r>
        <w:rPr>
          <w:rFonts w:hint="eastAsia" w:ascii="宋体" w:hAnsi="宋体" w:cs="宋体"/>
          <w:b/>
          <w:bCs/>
          <w:sz w:val="36"/>
          <w:szCs w:val="36"/>
          <w:highlight w:val="none"/>
          <w:lang w:eastAsia="zh-CN"/>
        </w:rPr>
        <w:t>（</w:t>
      </w:r>
      <w:r>
        <w:rPr>
          <w:rFonts w:hint="eastAsia" w:ascii="宋体" w:hAnsi="宋体" w:cs="宋体"/>
          <w:b/>
          <w:bCs/>
          <w:sz w:val="36"/>
          <w:szCs w:val="36"/>
          <w:highlight w:val="none"/>
          <w:lang w:val="en-US" w:eastAsia="zh-CN"/>
        </w:rPr>
        <w:t>仅供参考</w:t>
      </w:r>
      <w:r>
        <w:rPr>
          <w:rFonts w:hint="eastAsia" w:ascii="宋体" w:hAnsi="宋体" w:cs="宋体"/>
          <w:b/>
          <w:bCs/>
          <w:sz w:val="36"/>
          <w:szCs w:val="36"/>
          <w:highlight w:val="none"/>
          <w:lang w:eastAsia="zh-CN"/>
        </w:rPr>
        <w:t>）</w:t>
      </w:r>
    </w:p>
    <w:p w14:paraId="0343F4D8">
      <w:pPr>
        <w:kinsoku w:val="0"/>
        <w:spacing w:line="400" w:lineRule="exact"/>
        <w:ind w:firstLine="600" w:firstLineChars="250"/>
        <w:rPr>
          <w:rFonts w:hint="eastAsia" w:ascii="宋体" w:hAnsi="宋体" w:cs="宋体"/>
          <w:sz w:val="24"/>
          <w:highlight w:val="none"/>
          <w:lang w:eastAsia="zh-CN"/>
        </w:rPr>
      </w:pPr>
      <w:r>
        <w:rPr>
          <w:rFonts w:hint="eastAsia" w:ascii="宋体" w:hAnsi="宋体" w:eastAsia="宋体" w:cs="宋体"/>
          <w:sz w:val="24"/>
          <w:highlight w:val="none"/>
        </w:rPr>
        <w:t>甲方：</w:t>
      </w:r>
      <w:r>
        <w:rPr>
          <w:rFonts w:hint="eastAsia" w:ascii="宋体" w:hAnsi="宋体" w:cs="宋体"/>
          <w:sz w:val="24"/>
          <w:highlight w:val="none"/>
          <w:lang w:eastAsia="zh-CN"/>
        </w:rPr>
        <w:t>陕西学前师范学院</w:t>
      </w:r>
    </w:p>
    <w:p w14:paraId="0F83E7AA">
      <w:pPr>
        <w:kinsoku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乙方：</w:t>
      </w:r>
    </w:p>
    <w:p w14:paraId="46CA4D31">
      <w:pPr>
        <w:kinsoku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根据《中华人民共和国政府采购法》、《</w:t>
      </w:r>
      <w:r>
        <w:rPr>
          <w:rFonts w:hint="eastAsia" w:ascii="宋体" w:hAnsi="宋体" w:eastAsia="宋体" w:cs="宋体"/>
          <w:sz w:val="24"/>
          <w:highlight w:val="none"/>
          <w:lang w:eastAsia="zh-CN"/>
        </w:rPr>
        <w:t>中华人民共和国民法典</w:t>
      </w:r>
      <w:r>
        <w:rPr>
          <w:rFonts w:hint="eastAsia" w:ascii="宋体" w:hAnsi="宋体" w:eastAsia="宋体" w:cs="宋体"/>
          <w:sz w:val="24"/>
          <w:highlight w:val="none"/>
        </w:rPr>
        <w:t>》等法律法规，甲方通过</w:t>
      </w:r>
      <w:r>
        <w:rPr>
          <w:rFonts w:hint="eastAsia" w:ascii="宋体" w:hAnsi="宋体" w:cs="宋体"/>
          <w:sz w:val="24"/>
          <w:highlight w:val="none"/>
          <w:lang w:val="en-US" w:eastAsia="zh-CN"/>
        </w:rPr>
        <w:t>公开招标</w:t>
      </w:r>
      <w:r>
        <w:rPr>
          <w:rFonts w:hint="eastAsia" w:ascii="宋体" w:hAnsi="宋体" w:eastAsia="宋体" w:cs="宋体"/>
          <w:sz w:val="24"/>
          <w:highlight w:val="none"/>
        </w:rPr>
        <w:t>（公开招标、竞争性</w:t>
      </w:r>
      <w:r>
        <w:rPr>
          <w:rFonts w:hint="eastAsia" w:ascii="宋体" w:hAnsi="宋体" w:cs="宋体"/>
          <w:sz w:val="24"/>
          <w:highlight w:val="none"/>
          <w:lang w:val="en-US" w:eastAsia="zh-CN"/>
        </w:rPr>
        <w:t>磋商</w:t>
      </w:r>
      <w:r>
        <w:rPr>
          <w:rFonts w:hint="eastAsia" w:ascii="宋体" w:hAnsi="宋体" w:eastAsia="宋体" w:cs="宋体"/>
          <w:sz w:val="24"/>
          <w:highlight w:val="none"/>
        </w:rPr>
        <w:t>、竞争性谈判、单一来源、协议供货等，根据具体采购形式填写），选定乙方为中标单位。甲、乙双方在平等基础上协商一致，达成如下合同条款：</w:t>
      </w:r>
    </w:p>
    <w:p w14:paraId="5EFFACCD">
      <w:pPr>
        <w:kinsoku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b/>
          <w:sz w:val="24"/>
          <w:highlight w:val="none"/>
        </w:rPr>
        <w:t>合同内容</w:t>
      </w:r>
    </w:p>
    <w:tbl>
      <w:tblPr>
        <w:tblStyle w:val="26"/>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14:paraId="0B8D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786" w:type="dxa"/>
            <w:vAlign w:val="center"/>
          </w:tcPr>
          <w:p w14:paraId="1294ADCD">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620" w:type="dxa"/>
            <w:vAlign w:val="center"/>
          </w:tcPr>
          <w:p w14:paraId="0FB37723">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lang w:eastAsia="zh-CN"/>
              </w:rPr>
              <w:t>产品</w:t>
            </w:r>
            <w:r>
              <w:rPr>
                <w:rFonts w:hint="eastAsia" w:ascii="宋体" w:hAnsi="宋体" w:eastAsia="宋体" w:cs="宋体"/>
                <w:b/>
                <w:sz w:val="24"/>
                <w:highlight w:val="none"/>
              </w:rPr>
              <w:t>名称</w:t>
            </w:r>
          </w:p>
        </w:tc>
        <w:tc>
          <w:tcPr>
            <w:tcW w:w="1260" w:type="dxa"/>
            <w:vAlign w:val="center"/>
          </w:tcPr>
          <w:p w14:paraId="19F8C119">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型号</w:t>
            </w:r>
          </w:p>
        </w:tc>
        <w:tc>
          <w:tcPr>
            <w:tcW w:w="900" w:type="dxa"/>
            <w:vAlign w:val="center"/>
          </w:tcPr>
          <w:p w14:paraId="417272CC">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生产厂家</w:t>
            </w:r>
          </w:p>
        </w:tc>
        <w:tc>
          <w:tcPr>
            <w:tcW w:w="900" w:type="dxa"/>
            <w:vAlign w:val="center"/>
          </w:tcPr>
          <w:p w14:paraId="0416A99F">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数量</w:t>
            </w:r>
          </w:p>
        </w:tc>
        <w:tc>
          <w:tcPr>
            <w:tcW w:w="900" w:type="dxa"/>
            <w:vAlign w:val="center"/>
          </w:tcPr>
          <w:p w14:paraId="3643AC88">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单价</w:t>
            </w:r>
          </w:p>
        </w:tc>
        <w:tc>
          <w:tcPr>
            <w:tcW w:w="894" w:type="dxa"/>
            <w:vAlign w:val="center"/>
          </w:tcPr>
          <w:p w14:paraId="4707B270">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总价</w:t>
            </w:r>
          </w:p>
        </w:tc>
        <w:tc>
          <w:tcPr>
            <w:tcW w:w="839" w:type="dxa"/>
            <w:vAlign w:val="center"/>
          </w:tcPr>
          <w:p w14:paraId="4C338968">
            <w:pPr>
              <w:spacing w:line="400" w:lineRule="exact"/>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4020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14:paraId="0D700A91">
            <w:pPr>
              <w:adjustRightInd w:val="0"/>
              <w:snapToGrid w:val="0"/>
              <w:jc w:val="center"/>
              <w:rPr>
                <w:rFonts w:hint="eastAsia" w:ascii="宋体" w:hAnsi="宋体" w:eastAsia="宋体" w:cs="宋体"/>
                <w:highlight w:val="none"/>
              </w:rPr>
            </w:pPr>
            <w:r>
              <w:rPr>
                <w:rFonts w:hint="eastAsia" w:ascii="宋体" w:hAnsi="宋体" w:eastAsia="宋体" w:cs="宋体"/>
                <w:highlight w:val="none"/>
              </w:rPr>
              <w:t>1</w:t>
            </w:r>
          </w:p>
        </w:tc>
        <w:tc>
          <w:tcPr>
            <w:tcW w:w="1620" w:type="dxa"/>
            <w:vAlign w:val="center"/>
          </w:tcPr>
          <w:p w14:paraId="5912CDFB">
            <w:pPr>
              <w:adjustRightInd w:val="0"/>
              <w:snapToGrid w:val="0"/>
              <w:jc w:val="center"/>
              <w:rPr>
                <w:rFonts w:hint="eastAsia" w:ascii="宋体" w:hAnsi="宋体" w:eastAsia="宋体" w:cs="宋体"/>
                <w:highlight w:val="none"/>
              </w:rPr>
            </w:pPr>
          </w:p>
        </w:tc>
        <w:tc>
          <w:tcPr>
            <w:tcW w:w="1260" w:type="dxa"/>
            <w:vAlign w:val="center"/>
          </w:tcPr>
          <w:p w14:paraId="5657E948">
            <w:pPr>
              <w:spacing w:line="400" w:lineRule="exact"/>
              <w:jc w:val="center"/>
              <w:rPr>
                <w:rFonts w:hint="eastAsia" w:ascii="宋体" w:hAnsi="宋体" w:eastAsia="宋体" w:cs="宋体"/>
                <w:highlight w:val="none"/>
              </w:rPr>
            </w:pPr>
          </w:p>
        </w:tc>
        <w:tc>
          <w:tcPr>
            <w:tcW w:w="900" w:type="dxa"/>
            <w:vAlign w:val="center"/>
          </w:tcPr>
          <w:p w14:paraId="33D16DEC">
            <w:pPr>
              <w:spacing w:line="400" w:lineRule="exact"/>
              <w:jc w:val="center"/>
              <w:rPr>
                <w:rFonts w:hint="eastAsia" w:ascii="宋体" w:hAnsi="宋体" w:eastAsia="宋体" w:cs="宋体"/>
                <w:highlight w:val="none"/>
              </w:rPr>
            </w:pPr>
          </w:p>
        </w:tc>
        <w:tc>
          <w:tcPr>
            <w:tcW w:w="900" w:type="dxa"/>
            <w:vAlign w:val="center"/>
          </w:tcPr>
          <w:p w14:paraId="14BDF37B">
            <w:pPr>
              <w:adjustRightInd w:val="0"/>
              <w:snapToGrid w:val="0"/>
              <w:jc w:val="center"/>
              <w:rPr>
                <w:rFonts w:hint="eastAsia" w:ascii="宋体" w:hAnsi="宋体" w:eastAsia="宋体" w:cs="宋体"/>
                <w:highlight w:val="none"/>
              </w:rPr>
            </w:pPr>
          </w:p>
        </w:tc>
        <w:tc>
          <w:tcPr>
            <w:tcW w:w="900" w:type="dxa"/>
            <w:vAlign w:val="center"/>
          </w:tcPr>
          <w:p w14:paraId="42A8379B">
            <w:pPr>
              <w:jc w:val="center"/>
              <w:textAlignment w:val="center"/>
              <w:rPr>
                <w:rFonts w:hint="eastAsia" w:ascii="宋体" w:hAnsi="宋体" w:eastAsia="宋体" w:cs="宋体"/>
                <w:highlight w:val="none"/>
              </w:rPr>
            </w:pPr>
          </w:p>
        </w:tc>
        <w:tc>
          <w:tcPr>
            <w:tcW w:w="894" w:type="dxa"/>
            <w:vAlign w:val="center"/>
          </w:tcPr>
          <w:p w14:paraId="738DF386">
            <w:pPr>
              <w:jc w:val="center"/>
              <w:textAlignment w:val="center"/>
              <w:rPr>
                <w:rFonts w:hint="eastAsia" w:ascii="宋体" w:hAnsi="宋体" w:eastAsia="宋体" w:cs="宋体"/>
                <w:highlight w:val="none"/>
              </w:rPr>
            </w:pPr>
          </w:p>
        </w:tc>
        <w:tc>
          <w:tcPr>
            <w:tcW w:w="839" w:type="dxa"/>
            <w:vAlign w:val="center"/>
          </w:tcPr>
          <w:p w14:paraId="6BE2099C">
            <w:pPr>
              <w:jc w:val="center"/>
              <w:textAlignment w:val="center"/>
              <w:rPr>
                <w:rFonts w:hint="eastAsia" w:ascii="宋体" w:hAnsi="宋体" w:eastAsia="宋体" w:cs="宋体"/>
                <w:highlight w:val="none"/>
              </w:rPr>
            </w:pPr>
          </w:p>
        </w:tc>
      </w:tr>
      <w:tr w14:paraId="7427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14:paraId="2894313F">
            <w:pPr>
              <w:adjustRightInd w:val="0"/>
              <w:snapToGrid w:val="0"/>
              <w:jc w:val="center"/>
              <w:rPr>
                <w:rFonts w:hint="eastAsia" w:ascii="宋体" w:hAnsi="宋体" w:eastAsia="宋体" w:cs="宋体"/>
                <w:highlight w:val="none"/>
              </w:rPr>
            </w:pPr>
          </w:p>
        </w:tc>
        <w:tc>
          <w:tcPr>
            <w:tcW w:w="1620" w:type="dxa"/>
            <w:vAlign w:val="center"/>
          </w:tcPr>
          <w:p w14:paraId="3CD9B3AD">
            <w:pPr>
              <w:adjustRightInd w:val="0"/>
              <w:snapToGrid w:val="0"/>
              <w:jc w:val="center"/>
              <w:rPr>
                <w:rFonts w:hint="eastAsia" w:ascii="宋体" w:hAnsi="宋体" w:eastAsia="宋体" w:cs="宋体"/>
                <w:highlight w:val="none"/>
              </w:rPr>
            </w:pPr>
          </w:p>
        </w:tc>
        <w:tc>
          <w:tcPr>
            <w:tcW w:w="1260" w:type="dxa"/>
            <w:vAlign w:val="center"/>
          </w:tcPr>
          <w:p w14:paraId="43D61E16">
            <w:pPr>
              <w:spacing w:line="400" w:lineRule="exact"/>
              <w:jc w:val="center"/>
              <w:rPr>
                <w:rFonts w:hint="eastAsia" w:ascii="宋体" w:hAnsi="宋体" w:eastAsia="宋体" w:cs="宋体"/>
                <w:highlight w:val="none"/>
              </w:rPr>
            </w:pPr>
          </w:p>
        </w:tc>
        <w:tc>
          <w:tcPr>
            <w:tcW w:w="900" w:type="dxa"/>
            <w:vAlign w:val="center"/>
          </w:tcPr>
          <w:p w14:paraId="31E1F9C0">
            <w:pPr>
              <w:spacing w:line="400" w:lineRule="exact"/>
              <w:jc w:val="center"/>
              <w:rPr>
                <w:rFonts w:hint="eastAsia" w:ascii="宋体" w:hAnsi="宋体" w:eastAsia="宋体" w:cs="宋体"/>
                <w:highlight w:val="none"/>
              </w:rPr>
            </w:pPr>
          </w:p>
        </w:tc>
        <w:tc>
          <w:tcPr>
            <w:tcW w:w="900" w:type="dxa"/>
            <w:vAlign w:val="center"/>
          </w:tcPr>
          <w:p w14:paraId="61851DF6">
            <w:pPr>
              <w:adjustRightInd w:val="0"/>
              <w:snapToGrid w:val="0"/>
              <w:jc w:val="center"/>
              <w:rPr>
                <w:rFonts w:hint="eastAsia" w:ascii="宋体" w:hAnsi="宋体" w:eastAsia="宋体" w:cs="宋体"/>
                <w:highlight w:val="none"/>
              </w:rPr>
            </w:pPr>
          </w:p>
        </w:tc>
        <w:tc>
          <w:tcPr>
            <w:tcW w:w="900" w:type="dxa"/>
            <w:vAlign w:val="center"/>
          </w:tcPr>
          <w:p w14:paraId="0E597575">
            <w:pPr>
              <w:jc w:val="center"/>
              <w:textAlignment w:val="center"/>
              <w:rPr>
                <w:rFonts w:hint="eastAsia" w:ascii="宋体" w:hAnsi="宋体" w:eastAsia="宋体" w:cs="宋体"/>
                <w:highlight w:val="none"/>
              </w:rPr>
            </w:pPr>
          </w:p>
        </w:tc>
        <w:tc>
          <w:tcPr>
            <w:tcW w:w="894" w:type="dxa"/>
            <w:vAlign w:val="center"/>
          </w:tcPr>
          <w:p w14:paraId="5B20A696">
            <w:pPr>
              <w:jc w:val="center"/>
              <w:textAlignment w:val="center"/>
              <w:rPr>
                <w:rFonts w:hint="eastAsia" w:ascii="宋体" w:hAnsi="宋体" w:eastAsia="宋体" w:cs="宋体"/>
                <w:highlight w:val="none"/>
              </w:rPr>
            </w:pPr>
          </w:p>
        </w:tc>
        <w:tc>
          <w:tcPr>
            <w:tcW w:w="839" w:type="dxa"/>
            <w:vAlign w:val="center"/>
          </w:tcPr>
          <w:p w14:paraId="348891A3">
            <w:pPr>
              <w:jc w:val="center"/>
              <w:textAlignment w:val="center"/>
              <w:rPr>
                <w:rFonts w:hint="eastAsia" w:ascii="宋体" w:hAnsi="宋体" w:eastAsia="宋体" w:cs="宋体"/>
                <w:highlight w:val="none"/>
              </w:rPr>
            </w:pPr>
          </w:p>
        </w:tc>
      </w:tr>
      <w:tr w14:paraId="03F1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14:paraId="2138B308">
            <w:pPr>
              <w:adjustRightInd w:val="0"/>
              <w:snapToGrid w:val="0"/>
              <w:jc w:val="center"/>
              <w:rPr>
                <w:rFonts w:hint="eastAsia" w:ascii="宋体" w:hAnsi="宋体" w:eastAsia="宋体" w:cs="宋体"/>
                <w:highlight w:val="none"/>
              </w:rPr>
            </w:pPr>
          </w:p>
        </w:tc>
        <w:tc>
          <w:tcPr>
            <w:tcW w:w="1620" w:type="dxa"/>
            <w:vAlign w:val="center"/>
          </w:tcPr>
          <w:p w14:paraId="71857223">
            <w:pPr>
              <w:adjustRightInd w:val="0"/>
              <w:snapToGrid w:val="0"/>
              <w:jc w:val="center"/>
              <w:rPr>
                <w:rFonts w:hint="eastAsia" w:ascii="宋体" w:hAnsi="宋体" w:eastAsia="宋体" w:cs="宋体"/>
                <w:highlight w:val="none"/>
              </w:rPr>
            </w:pPr>
          </w:p>
        </w:tc>
        <w:tc>
          <w:tcPr>
            <w:tcW w:w="1260" w:type="dxa"/>
            <w:vAlign w:val="center"/>
          </w:tcPr>
          <w:p w14:paraId="6F0E38FF">
            <w:pPr>
              <w:jc w:val="center"/>
              <w:rPr>
                <w:rFonts w:hint="eastAsia" w:ascii="宋体" w:hAnsi="宋体" w:eastAsia="宋体" w:cs="宋体"/>
                <w:highlight w:val="none"/>
              </w:rPr>
            </w:pPr>
          </w:p>
        </w:tc>
        <w:tc>
          <w:tcPr>
            <w:tcW w:w="900" w:type="dxa"/>
            <w:vAlign w:val="center"/>
          </w:tcPr>
          <w:p w14:paraId="07386FB4">
            <w:pPr>
              <w:spacing w:line="400" w:lineRule="exact"/>
              <w:jc w:val="center"/>
              <w:rPr>
                <w:rFonts w:hint="eastAsia" w:ascii="宋体" w:hAnsi="宋体" w:eastAsia="宋体" w:cs="宋体"/>
                <w:highlight w:val="none"/>
              </w:rPr>
            </w:pPr>
          </w:p>
        </w:tc>
        <w:tc>
          <w:tcPr>
            <w:tcW w:w="900" w:type="dxa"/>
            <w:vAlign w:val="center"/>
          </w:tcPr>
          <w:p w14:paraId="7EAB4708">
            <w:pPr>
              <w:adjustRightInd w:val="0"/>
              <w:snapToGrid w:val="0"/>
              <w:jc w:val="center"/>
              <w:rPr>
                <w:rFonts w:hint="eastAsia" w:ascii="宋体" w:hAnsi="宋体" w:eastAsia="宋体" w:cs="宋体"/>
                <w:highlight w:val="none"/>
              </w:rPr>
            </w:pPr>
          </w:p>
        </w:tc>
        <w:tc>
          <w:tcPr>
            <w:tcW w:w="900" w:type="dxa"/>
            <w:vAlign w:val="center"/>
          </w:tcPr>
          <w:p w14:paraId="0EF8D427">
            <w:pPr>
              <w:jc w:val="center"/>
              <w:textAlignment w:val="center"/>
              <w:rPr>
                <w:rFonts w:hint="eastAsia" w:ascii="宋体" w:hAnsi="宋体" w:eastAsia="宋体" w:cs="宋体"/>
                <w:highlight w:val="none"/>
              </w:rPr>
            </w:pPr>
          </w:p>
        </w:tc>
        <w:tc>
          <w:tcPr>
            <w:tcW w:w="894" w:type="dxa"/>
            <w:vAlign w:val="center"/>
          </w:tcPr>
          <w:p w14:paraId="782682DE">
            <w:pPr>
              <w:jc w:val="center"/>
              <w:textAlignment w:val="center"/>
              <w:rPr>
                <w:rFonts w:hint="eastAsia" w:ascii="宋体" w:hAnsi="宋体" w:eastAsia="宋体" w:cs="宋体"/>
                <w:highlight w:val="none"/>
              </w:rPr>
            </w:pPr>
          </w:p>
        </w:tc>
        <w:tc>
          <w:tcPr>
            <w:tcW w:w="839" w:type="dxa"/>
            <w:vAlign w:val="center"/>
          </w:tcPr>
          <w:p w14:paraId="74A604E4">
            <w:pPr>
              <w:jc w:val="center"/>
              <w:textAlignment w:val="center"/>
              <w:rPr>
                <w:rFonts w:hint="eastAsia" w:ascii="宋体" w:hAnsi="宋体" w:eastAsia="宋体" w:cs="宋体"/>
                <w:highlight w:val="none"/>
              </w:rPr>
            </w:pPr>
          </w:p>
        </w:tc>
      </w:tr>
      <w:tr w14:paraId="78B4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14:paraId="6C93CDFA">
            <w:pPr>
              <w:adjustRightInd w:val="0"/>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总计（人民币/元）</w:t>
            </w:r>
          </w:p>
        </w:tc>
        <w:tc>
          <w:tcPr>
            <w:tcW w:w="5693" w:type="dxa"/>
            <w:gridSpan w:val="6"/>
            <w:vAlign w:val="center"/>
          </w:tcPr>
          <w:p w14:paraId="7D14B148">
            <w:pPr>
              <w:adjustRightInd w:val="0"/>
              <w:snapToGrid w:val="0"/>
              <w:rPr>
                <w:rFonts w:hint="eastAsia" w:ascii="宋体" w:hAnsi="宋体" w:eastAsia="宋体" w:cs="宋体"/>
                <w:b/>
                <w:sz w:val="24"/>
                <w:highlight w:val="none"/>
              </w:rPr>
            </w:pPr>
            <w:r>
              <w:rPr>
                <w:rFonts w:hint="eastAsia" w:ascii="宋体" w:hAnsi="宋体" w:eastAsia="宋体" w:cs="宋体"/>
                <w:b/>
                <w:sz w:val="24"/>
                <w:highlight w:val="none"/>
              </w:rPr>
              <w:t>￥：       （大写）</w:t>
            </w:r>
          </w:p>
        </w:tc>
      </w:tr>
    </w:tbl>
    <w:p w14:paraId="66F4B6A5">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二、合同价格</w:t>
      </w:r>
    </w:p>
    <w:p w14:paraId="4E81A237">
      <w:pPr>
        <w:spacing w:line="360" w:lineRule="auto"/>
        <w:ind w:firstLine="480" w:firstLineChars="200"/>
        <w:rPr>
          <w:rFonts w:ascii="宋体" w:hAnsi="宋体" w:cs="宋体"/>
          <w:sz w:val="24"/>
          <w:highlight w:val="none"/>
        </w:rPr>
      </w:pPr>
      <w:r>
        <w:rPr>
          <w:rFonts w:hint="eastAsia" w:ascii="宋体" w:hAnsi="宋体" w:cs="宋体"/>
          <w:sz w:val="24"/>
          <w:highlight w:val="none"/>
        </w:rPr>
        <w:t>（一）合同价款为人民币（大写）：</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p>
    <w:p w14:paraId="3354F6CD">
      <w:pPr>
        <w:spacing w:line="360" w:lineRule="auto"/>
        <w:ind w:firstLine="480" w:firstLineChars="200"/>
        <w:rPr>
          <w:rFonts w:ascii="宋体" w:hAnsi="宋体" w:cs="宋体"/>
          <w:sz w:val="24"/>
          <w:highlight w:val="none"/>
        </w:rPr>
      </w:pPr>
      <w:r>
        <w:rPr>
          <w:rFonts w:hint="eastAsia" w:ascii="宋体" w:hAnsi="宋体" w:cs="宋体"/>
          <w:sz w:val="24"/>
          <w:highlight w:val="none"/>
        </w:rPr>
        <w:t>（二）合同</w:t>
      </w:r>
      <w:r>
        <w:rPr>
          <w:rFonts w:hint="eastAsia" w:ascii="宋体" w:hAnsi="宋体" w:cs="宋体"/>
          <w:sz w:val="24"/>
          <w:highlight w:val="none"/>
          <w:lang w:val="en-US" w:eastAsia="zh-CN"/>
        </w:rPr>
        <w:t>总价</w:t>
      </w:r>
      <w:r>
        <w:rPr>
          <w:rFonts w:hint="eastAsia" w:ascii="宋体" w:hAnsi="宋体" w:cs="宋体"/>
          <w:sz w:val="24"/>
          <w:highlight w:val="none"/>
        </w:rPr>
        <w:t>包括：合同</w:t>
      </w:r>
      <w:r>
        <w:rPr>
          <w:rFonts w:hint="eastAsia" w:ascii="宋体" w:hAnsi="宋体" w:cs="宋体"/>
          <w:sz w:val="24"/>
          <w:highlight w:val="none"/>
          <w:lang w:val="en-US" w:eastAsia="zh-CN"/>
        </w:rPr>
        <w:t>总价</w:t>
      </w:r>
      <w:r>
        <w:rPr>
          <w:rFonts w:hint="eastAsia" w:ascii="宋体" w:hAnsi="宋体" w:cs="宋体"/>
          <w:sz w:val="24"/>
          <w:highlight w:val="none"/>
        </w:rPr>
        <w:t>为一次性包死，</w:t>
      </w:r>
      <w:r>
        <w:rPr>
          <w:rFonts w:hint="eastAsia" w:ascii="宋体" w:hAnsi="宋体" w:cs="宋体"/>
          <w:color w:val="000000"/>
          <w:sz w:val="24"/>
          <w:highlight w:val="none"/>
        </w:rPr>
        <w:t>包括所发生的运输费、杂费（含保险）、商检费、搬运费、安装调试费、培训费等</w:t>
      </w:r>
      <w:r>
        <w:rPr>
          <w:rFonts w:hint="eastAsia" w:ascii="宋体" w:hAnsi="宋体" w:cs="宋体"/>
          <w:sz w:val="24"/>
          <w:highlight w:val="none"/>
        </w:rPr>
        <w:t>一切费用。合同</w:t>
      </w:r>
      <w:r>
        <w:rPr>
          <w:rFonts w:hint="eastAsia" w:ascii="宋体" w:hAnsi="宋体" w:cs="宋体"/>
          <w:sz w:val="24"/>
          <w:highlight w:val="none"/>
          <w:lang w:val="en-US" w:eastAsia="zh-CN"/>
        </w:rPr>
        <w:t>价格</w:t>
      </w:r>
      <w:r>
        <w:rPr>
          <w:rFonts w:hint="eastAsia" w:ascii="宋体" w:hAnsi="宋体" w:cs="宋体"/>
          <w:sz w:val="24"/>
          <w:highlight w:val="none"/>
        </w:rPr>
        <w:t>不可变更，不受市场价格或汇率变化的影响。</w:t>
      </w:r>
    </w:p>
    <w:p w14:paraId="5C3DD50C">
      <w:pPr>
        <w:spacing w:line="40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三、款项支付</w:t>
      </w:r>
    </w:p>
    <w:p w14:paraId="63BA03D9">
      <w:pPr>
        <w:tabs>
          <w:tab w:val="left" w:pos="420"/>
        </w:tabs>
        <w:spacing w:line="360" w:lineRule="auto"/>
        <w:ind w:firstLine="480" w:firstLineChars="200"/>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（1）合同签订后预付合同金额40%，所有标的物完成交付并验收后60个日历日内向乙方支付剩余合同金额。</w:t>
      </w:r>
    </w:p>
    <w:p w14:paraId="0A063AA2">
      <w:pPr>
        <w:tabs>
          <w:tab w:val="left" w:pos="420"/>
        </w:tabs>
        <w:spacing w:line="360" w:lineRule="auto"/>
        <w:ind w:firstLine="480" w:firstLineChars="200"/>
        <w:rPr>
          <w:rFonts w:ascii="宋体" w:hAnsi="宋体" w:cs="宋体"/>
          <w:color w:val="000000"/>
          <w:sz w:val="24"/>
          <w:szCs w:val="24"/>
          <w:highlight w:val="none"/>
        </w:rPr>
      </w:pPr>
      <w:r>
        <w:rPr>
          <w:rFonts w:hint="eastAsia" w:ascii="宋体" w:hAnsi="宋体" w:cs="Arial"/>
          <w:kern w:val="2"/>
          <w:sz w:val="24"/>
          <w:szCs w:val="24"/>
          <w:highlight w:val="none"/>
          <w:lang w:val="en-US" w:eastAsia="zh-CN" w:bidi="ar-SA"/>
        </w:rPr>
        <w:t>（2）乙方须在甲方办理付款手续之前3个工作日内，提供等额的正式发票给甲方，以便甲方及时办理支付手续。</w:t>
      </w:r>
    </w:p>
    <w:p w14:paraId="05E2EFB9">
      <w:pPr>
        <w:pStyle w:val="13"/>
        <w:spacing w:line="420" w:lineRule="exact"/>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四、</w:t>
      </w:r>
      <w:r>
        <w:rPr>
          <w:rFonts w:ascii="宋体" w:hAnsi="宋体"/>
          <w:b/>
          <w:sz w:val="24"/>
          <w:highlight w:val="none"/>
        </w:rPr>
        <w:t>履约保证金</w:t>
      </w:r>
    </w:p>
    <w:p w14:paraId="3C0E8AF8">
      <w:pPr>
        <w:pStyle w:val="13"/>
        <w:spacing w:line="420" w:lineRule="exact"/>
        <w:ind w:firstLine="480" w:firstLineChars="200"/>
        <w:jc w:val="left"/>
        <w:rPr>
          <w:rFonts w:hint="eastAsia" w:hAnsi="宋体"/>
          <w:sz w:val="24"/>
          <w:szCs w:val="24"/>
          <w:highlight w:val="none"/>
        </w:rPr>
      </w:pPr>
      <w:r>
        <w:rPr>
          <w:rFonts w:hAnsi="宋体"/>
          <w:sz w:val="24"/>
          <w:szCs w:val="24"/>
          <w:highlight w:val="none"/>
        </w:rPr>
        <w:t>1</w:t>
      </w:r>
      <w:r>
        <w:rPr>
          <w:rFonts w:hint="eastAsia" w:hAnsi="宋体"/>
          <w:sz w:val="24"/>
          <w:szCs w:val="24"/>
          <w:highlight w:val="none"/>
        </w:rPr>
        <w:t>、</w:t>
      </w:r>
      <w:r>
        <w:rPr>
          <w:rFonts w:hAnsi="宋体"/>
          <w:sz w:val="24"/>
          <w:szCs w:val="24"/>
          <w:highlight w:val="none"/>
        </w:rPr>
        <w:t xml:space="preserve"> </w:t>
      </w:r>
      <w:r>
        <w:rPr>
          <w:rFonts w:hAnsi="宋体"/>
          <w:sz w:val="24"/>
          <w:szCs w:val="24"/>
          <w:highlight w:val="none"/>
        </w:rPr>
        <w:fldChar w:fldCharType="begin"/>
      </w:r>
      <w:r>
        <w:rPr>
          <w:rFonts w:hAnsi="宋体"/>
          <w:sz w:val="24"/>
          <w:szCs w:val="24"/>
          <w:highlight w:val="none"/>
        </w:rPr>
        <w:instrText xml:space="preserve"> </w:instrText>
      </w:r>
      <w:r>
        <w:rPr>
          <w:rFonts w:hint="eastAsia" w:hAnsi="宋体"/>
          <w:sz w:val="24"/>
          <w:szCs w:val="24"/>
          <w:highlight w:val="none"/>
        </w:rPr>
        <w:instrText xml:space="preserve">eq \o\ac(□,√)</w:instrText>
      </w:r>
      <w:r>
        <w:rPr>
          <w:rFonts w:hAnsi="宋体"/>
          <w:sz w:val="24"/>
          <w:szCs w:val="24"/>
          <w:highlight w:val="none"/>
        </w:rPr>
        <w:fldChar w:fldCharType="end"/>
      </w:r>
      <w:r>
        <w:rPr>
          <w:rFonts w:hAnsi="宋体"/>
          <w:sz w:val="24"/>
          <w:szCs w:val="24"/>
          <w:highlight w:val="none"/>
        </w:rPr>
        <w:t>有</w:t>
      </w:r>
    </w:p>
    <w:p w14:paraId="6F2FAD0B">
      <w:pPr>
        <w:pStyle w:val="13"/>
        <w:spacing w:line="420" w:lineRule="exact"/>
        <w:ind w:firstLine="480" w:firstLineChars="200"/>
        <w:jc w:val="left"/>
        <w:rPr>
          <w:rFonts w:hAnsi="宋体"/>
          <w:sz w:val="24"/>
          <w:szCs w:val="24"/>
          <w:highlight w:val="none"/>
        </w:rPr>
      </w:pPr>
      <w:r>
        <w:rPr>
          <w:rFonts w:hint="eastAsia" w:hAnsi="宋体"/>
          <w:sz w:val="24"/>
          <w:szCs w:val="24"/>
          <w:highlight w:val="none"/>
        </w:rPr>
        <w:t>本项目履约保证金为合同金额的5%。</w:t>
      </w:r>
    </w:p>
    <w:p w14:paraId="0ADCACC3">
      <w:pPr>
        <w:pStyle w:val="13"/>
        <w:spacing w:line="420" w:lineRule="exact"/>
        <w:ind w:firstLine="240" w:firstLineChars="100"/>
        <w:jc w:val="left"/>
        <w:rPr>
          <w:rFonts w:hint="eastAsia" w:hAnsi="宋体"/>
          <w:sz w:val="24"/>
          <w:szCs w:val="24"/>
          <w:highlight w:val="none"/>
        </w:rPr>
      </w:pPr>
      <w:r>
        <w:rPr>
          <w:rFonts w:hint="eastAsia" w:hAnsi="宋体"/>
          <w:sz w:val="24"/>
          <w:szCs w:val="24"/>
          <w:highlight w:val="none"/>
        </w:rPr>
        <w:t>（</w:t>
      </w:r>
      <w:r>
        <w:rPr>
          <w:rFonts w:hAnsi="宋体"/>
          <w:sz w:val="24"/>
          <w:szCs w:val="24"/>
          <w:highlight w:val="none"/>
        </w:rPr>
        <w:t>1</w:t>
      </w:r>
      <w:r>
        <w:rPr>
          <w:rFonts w:hint="eastAsia" w:hAnsi="宋体"/>
          <w:sz w:val="24"/>
          <w:szCs w:val="24"/>
          <w:highlight w:val="none"/>
        </w:rPr>
        <w:t>）履约保证金缴纳时间：中标后七日内需要缴纳履约保证金。未在规定时间内缴纳履约保证金视为拒签合同，自动放弃中标资格。</w:t>
      </w:r>
    </w:p>
    <w:p w14:paraId="1879562A">
      <w:pPr>
        <w:pStyle w:val="13"/>
        <w:spacing w:line="420" w:lineRule="exact"/>
        <w:ind w:firstLine="240" w:firstLineChars="100"/>
        <w:jc w:val="left"/>
        <w:rPr>
          <w:rFonts w:hint="eastAsia" w:hAnsi="宋体"/>
          <w:color w:val="000000"/>
          <w:sz w:val="24"/>
          <w:szCs w:val="24"/>
          <w:highlight w:val="none"/>
        </w:rPr>
      </w:pPr>
      <w:r>
        <w:rPr>
          <w:rFonts w:hint="eastAsia" w:hAnsi="宋体"/>
          <w:sz w:val="24"/>
          <w:szCs w:val="24"/>
          <w:highlight w:val="none"/>
        </w:rPr>
        <w:t>（</w:t>
      </w:r>
      <w:r>
        <w:rPr>
          <w:rFonts w:hAnsi="宋体"/>
          <w:sz w:val="24"/>
          <w:szCs w:val="24"/>
          <w:highlight w:val="none"/>
        </w:rPr>
        <w:t>2</w:t>
      </w:r>
      <w:r>
        <w:rPr>
          <w:rFonts w:hint="eastAsia" w:hAnsi="宋体"/>
          <w:sz w:val="24"/>
          <w:szCs w:val="24"/>
          <w:highlight w:val="none"/>
        </w:rPr>
        <w:t>）履约保证金缴纳形式：采用银行对公转账、电汇或者金融机构、担保机构出具的保函等非现金的形式对公形式缴纳。</w:t>
      </w:r>
    </w:p>
    <w:p w14:paraId="1E3DFCAB">
      <w:pPr>
        <w:pStyle w:val="13"/>
        <w:spacing w:line="420" w:lineRule="exact"/>
        <w:ind w:firstLine="240" w:firstLineChars="100"/>
        <w:jc w:val="left"/>
        <w:rPr>
          <w:highlight w:val="none"/>
        </w:rPr>
      </w:pPr>
      <w:r>
        <w:rPr>
          <w:rFonts w:hint="eastAsia" w:hAnsi="宋体"/>
          <w:sz w:val="24"/>
          <w:szCs w:val="24"/>
          <w:highlight w:val="none"/>
        </w:rPr>
        <w:t>（</w:t>
      </w:r>
      <w:r>
        <w:rPr>
          <w:rFonts w:hAnsi="宋体"/>
          <w:sz w:val="24"/>
          <w:szCs w:val="24"/>
          <w:highlight w:val="none"/>
        </w:rPr>
        <w:t>3</w:t>
      </w:r>
      <w:r>
        <w:rPr>
          <w:rFonts w:hint="eastAsia" w:hAnsi="宋体"/>
          <w:sz w:val="24"/>
          <w:szCs w:val="24"/>
          <w:highlight w:val="none"/>
        </w:rPr>
        <w:t>）</w:t>
      </w:r>
      <w:r>
        <w:rPr>
          <w:rFonts w:hAnsi="宋体"/>
          <w:sz w:val="24"/>
          <w:szCs w:val="24"/>
          <w:highlight w:val="none"/>
        </w:rPr>
        <w:t>履约保证金的退还：项目验收合格后30个日历日内，无质量问题且不存在争议，一次性无息退还至中标人账户。</w:t>
      </w:r>
    </w:p>
    <w:p w14:paraId="2007D8C7">
      <w:pPr>
        <w:pStyle w:val="13"/>
        <w:spacing w:line="420" w:lineRule="exact"/>
        <w:jc w:val="left"/>
        <w:rPr>
          <w:rFonts w:hint="eastAsia" w:hAnsi="宋体"/>
          <w:sz w:val="24"/>
          <w:szCs w:val="24"/>
          <w:highlight w:val="none"/>
          <w:lang w:val="en-US" w:eastAsia="zh-CN"/>
        </w:rPr>
      </w:pPr>
      <w:r>
        <w:rPr>
          <w:rFonts w:hint="eastAsia" w:hAnsi="宋体"/>
          <w:sz w:val="24"/>
          <w:szCs w:val="24"/>
          <w:highlight w:val="none"/>
        </w:rPr>
        <w:t>（</w:t>
      </w:r>
      <w:r>
        <w:rPr>
          <w:rFonts w:hAnsi="宋体"/>
          <w:sz w:val="24"/>
          <w:szCs w:val="24"/>
          <w:highlight w:val="none"/>
        </w:rPr>
        <w:t>4</w:t>
      </w:r>
      <w:r>
        <w:rPr>
          <w:rFonts w:hint="eastAsia" w:hAnsi="宋体"/>
          <w:sz w:val="24"/>
          <w:szCs w:val="24"/>
          <w:highlight w:val="none"/>
        </w:rPr>
        <w:t>）履约保证金</w:t>
      </w:r>
    </w:p>
    <w:p w14:paraId="18C5178A">
      <w:pPr>
        <w:pStyle w:val="13"/>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Ansi="宋体"/>
          <w:sz w:val="24"/>
          <w:szCs w:val="24"/>
          <w:highlight w:val="none"/>
        </w:rPr>
      </w:pPr>
      <w:r>
        <w:rPr>
          <w:rFonts w:hint="eastAsia" w:hAnsi="宋体"/>
          <w:sz w:val="24"/>
          <w:szCs w:val="24"/>
          <w:highlight w:val="none"/>
          <w:lang w:eastAsia="zh-CN"/>
        </w:rPr>
        <w:t>☑</w:t>
      </w:r>
      <w:r>
        <w:rPr>
          <w:rFonts w:hAnsi="宋体"/>
          <w:sz w:val="24"/>
          <w:szCs w:val="24"/>
          <w:highlight w:val="none"/>
        </w:rPr>
        <w:t>由采购单位自行收退</w:t>
      </w:r>
    </w:p>
    <w:p w14:paraId="067AE0C5">
      <w:pPr>
        <w:pStyle w:val="13"/>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Ansi="宋体"/>
          <w:sz w:val="24"/>
          <w:szCs w:val="24"/>
          <w:highlight w:val="none"/>
        </w:rPr>
      </w:pPr>
      <w:r>
        <w:rPr>
          <w:rFonts w:hAnsi="宋体"/>
          <w:sz w:val="24"/>
          <w:szCs w:val="24"/>
          <w:highlight w:val="none"/>
        </w:rPr>
        <w:t>□由代理机构负责收退</w:t>
      </w:r>
    </w:p>
    <w:p w14:paraId="08997CB3">
      <w:pPr>
        <w:spacing w:line="400" w:lineRule="exact"/>
        <w:ind w:firstLine="482" w:firstLineChars="200"/>
        <w:rPr>
          <w:rFonts w:hint="eastAsia" w:ascii="宋体" w:hAnsi="宋体" w:eastAsia="宋体" w:cs="宋体"/>
          <w:b/>
          <w:sz w:val="24"/>
          <w:highlight w:val="none"/>
        </w:rPr>
      </w:pPr>
      <w:r>
        <w:rPr>
          <w:rFonts w:hint="eastAsia" w:ascii="宋体" w:hAnsi="宋体" w:cs="宋体"/>
          <w:b/>
          <w:sz w:val="24"/>
          <w:highlight w:val="none"/>
          <w:lang w:eastAsia="zh-CN"/>
        </w:rPr>
        <w:t>五、</w:t>
      </w:r>
      <w:r>
        <w:rPr>
          <w:rFonts w:hint="eastAsia" w:ascii="宋体" w:hAnsi="宋体" w:eastAsia="宋体" w:cs="宋体"/>
          <w:b/>
          <w:sz w:val="24"/>
          <w:highlight w:val="none"/>
        </w:rPr>
        <w:t>交货条件</w:t>
      </w:r>
    </w:p>
    <w:p w14:paraId="2AFDD7D4">
      <w:pPr>
        <w:kinsoku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1、交货地点：</w:t>
      </w:r>
      <w:r>
        <w:rPr>
          <w:rFonts w:hint="eastAsia" w:ascii="宋体" w:hAnsi="宋体" w:cs="宋体"/>
          <w:sz w:val="24"/>
          <w:highlight w:val="none"/>
          <w:lang w:eastAsia="zh-CN"/>
        </w:rPr>
        <w:t>陕西学前师范学院</w:t>
      </w:r>
      <w:r>
        <w:rPr>
          <w:rFonts w:hint="eastAsia" w:ascii="宋体" w:hAnsi="宋体" w:eastAsia="宋体" w:cs="宋体"/>
          <w:sz w:val="24"/>
          <w:highlight w:val="none"/>
        </w:rPr>
        <w:t>指定地点</w:t>
      </w:r>
    </w:p>
    <w:p w14:paraId="544733AE">
      <w:pPr>
        <w:kinsoku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2、交货日期：双方签字盖章后合同生效，合同生效后     个日历日内完成交货（交货日期是工作日的，换算为日历日）。</w:t>
      </w:r>
    </w:p>
    <w:p w14:paraId="200E884E">
      <w:pPr>
        <w:spacing w:line="400" w:lineRule="exact"/>
        <w:ind w:firstLine="482" w:firstLineChars="200"/>
        <w:rPr>
          <w:rFonts w:hint="eastAsia" w:ascii="宋体" w:hAnsi="宋体" w:eastAsia="宋体" w:cs="宋体"/>
          <w:b/>
          <w:sz w:val="24"/>
          <w:highlight w:val="none"/>
        </w:rPr>
      </w:pPr>
      <w:r>
        <w:rPr>
          <w:rFonts w:hint="eastAsia" w:ascii="宋体" w:hAnsi="宋体" w:cs="宋体"/>
          <w:b/>
          <w:sz w:val="24"/>
          <w:highlight w:val="none"/>
          <w:lang w:eastAsia="zh-CN"/>
        </w:rPr>
        <w:t>六</w:t>
      </w:r>
      <w:r>
        <w:rPr>
          <w:rFonts w:hint="eastAsia" w:ascii="宋体" w:hAnsi="宋体" w:eastAsia="宋体" w:cs="宋体"/>
          <w:b/>
          <w:sz w:val="24"/>
          <w:highlight w:val="none"/>
        </w:rPr>
        <w:t>、运输方式：</w:t>
      </w:r>
      <w:r>
        <w:rPr>
          <w:rFonts w:hint="eastAsia" w:ascii="宋体" w:hAnsi="宋体" w:eastAsia="宋体" w:cs="宋体"/>
          <w:sz w:val="24"/>
          <w:highlight w:val="none"/>
        </w:rPr>
        <w:t>根据产品特性，由乙方在保证产品质量的前提下，自行选择运输及包装方式，发生的一切费用全部由乙方承担。</w:t>
      </w:r>
    </w:p>
    <w:p w14:paraId="706DF408">
      <w:pPr>
        <w:adjustRightInd w:val="0"/>
        <w:snapToGrid w:val="0"/>
        <w:spacing w:line="400" w:lineRule="exact"/>
        <w:ind w:firstLine="482" w:firstLineChars="200"/>
        <w:rPr>
          <w:rFonts w:hint="eastAsia" w:ascii="宋体" w:hAnsi="宋体" w:eastAsia="宋体" w:cs="宋体"/>
          <w:b/>
          <w:sz w:val="24"/>
          <w:highlight w:val="none"/>
        </w:rPr>
      </w:pPr>
      <w:r>
        <w:rPr>
          <w:rFonts w:hint="eastAsia" w:ascii="宋体" w:hAnsi="宋体" w:cs="宋体"/>
          <w:b/>
          <w:sz w:val="24"/>
          <w:highlight w:val="none"/>
          <w:lang w:eastAsia="zh-CN"/>
        </w:rPr>
        <w:t>七</w:t>
      </w:r>
      <w:r>
        <w:rPr>
          <w:rFonts w:hint="eastAsia" w:ascii="宋体" w:hAnsi="宋体" w:eastAsia="宋体" w:cs="宋体"/>
          <w:b/>
          <w:sz w:val="24"/>
          <w:highlight w:val="none"/>
        </w:rPr>
        <w:t>、质量保证</w:t>
      </w:r>
    </w:p>
    <w:p w14:paraId="306357A1">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1、乙方提供的产品必须满足招标文件及合同的技术参数要求。</w:t>
      </w:r>
    </w:p>
    <w:p w14:paraId="43345D0F">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2、乙方保证货物应是全新、未曾使用过的、优质工艺及材料制造的产品，并保证所供</w:t>
      </w:r>
      <w:r>
        <w:rPr>
          <w:rFonts w:hint="eastAsia" w:ascii="宋体" w:hAnsi="宋体" w:eastAsia="宋体" w:cs="宋体"/>
          <w:sz w:val="24"/>
          <w:highlight w:val="none"/>
          <w:lang w:eastAsia="zh-CN"/>
        </w:rPr>
        <w:t>产品</w:t>
      </w:r>
      <w:r>
        <w:rPr>
          <w:rFonts w:hint="eastAsia" w:ascii="宋体" w:hAnsi="宋体" w:eastAsia="宋体" w:cs="宋体"/>
          <w:sz w:val="24"/>
          <w:highlight w:val="none"/>
        </w:rPr>
        <w:t>的完整性（包括满足</w:t>
      </w:r>
      <w:r>
        <w:rPr>
          <w:rFonts w:hint="eastAsia" w:ascii="宋体" w:hAnsi="宋体" w:eastAsia="宋体" w:cs="宋体"/>
          <w:sz w:val="24"/>
          <w:highlight w:val="none"/>
          <w:lang w:eastAsia="zh-CN"/>
        </w:rPr>
        <w:t>产品</w:t>
      </w:r>
      <w:r>
        <w:rPr>
          <w:rFonts w:hint="eastAsia" w:ascii="宋体" w:hAnsi="宋体" w:eastAsia="宋体" w:cs="宋体"/>
          <w:sz w:val="24"/>
          <w:highlight w:val="none"/>
        </w:rPr>
        <w:t>完整运行的附件、备件、配套件、技术手册等）。</w:t>
      </w:r>
    </w:p>
    <w:p w14:paraId="09CDE43F">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3、乙方保证所提供的</w:t>
      </w:r>
      <w:r>
        <w:rPr>
          <w:rFonts w:hint="eastAsia" w:ascii="宋体" w:hAnsi="宋体" w:eastAsia="宋体" w:cs="宋体"/>
          <w:sz w:val="24"/>
          <w:highlight w:val="none"/>
          <w:lang w:eastAsia="zh-CN"/>
        </w:rPr>
        <w:t>产品</w:t>
      </w:r>
      <w:r>
        <w:rPr>
          <w:rFonts w:hint="eastAsia" w:ascii="宋体" w:hAnsi="宋体" w:eastAsia="宋体" w:cs="宋体"/>
          <w:sz w:val="24"/>
          <w:highlight w:val="none"/>
        </w:rPr>
        <w:t>质量可靠、进货渠道正规、配置合理、技术性能完全满足招标文件要求。</w:t>
      </w:r>
    </w:p>
    <w:p w14:paraId="5B3DE945">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4、乙方应随产品提供检验报告等相关材料。</w:t>
      </w:r>
    </w:p>
    <w:p w14:paraId="4F74E8EB">
      <w:pPr>
        <w:adjustRightInd w:val="0"/>
        <w:snapToGrid w:val="0"/>
        <w:spacing w:line="400" w:lineRule="exact"/>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eastAsia="zh-CN"/>
        </w:rPr>
        <w:t>产品</w:t>
      </w:r>
      <w:r>
        <w:rPr>
          <w:rFonts w:hint="eastAsia" w:ascii="宋体" w:hAnsi="宋体" w:eastAsia="宋体" w:cs="宋体"/>
          <w:bCs/>
          <w:sz w:val="24"/>
          <w:highlight w:val="none"/>
        </w:rPr>
        <w:t>性能未达到招标文件技术参数要求的，甲方有权拒收产品或拒绝验收，乙方可进行限期整改；整改后仍达不到要求的，甲方有权解除合同，保留依法索赔的权利。</w:t>
      </w:r>
    </w:p>
    <w:p w14:paraId="543C7316">
      <w:pPr>
        <w:adjustRightInd w:val="0"/>
        <w:snapToGrid w:val="0"/>
        <w:spacing w:line="400" w:lineRule="exact"/>
        <w:ind w:firstLine="482" w:firstLineChars="200"/>
        <w:rPr>
          <w:rFonts w:hint="eastAsia" w:ascii="宋体" w:hAnsi="宋体" w:eastAsia="宋体" w:cs="宋体"/>
          <w:b/>
          <w:sz w:val="24"/>
          <w:highlight w:val="none"/>
        </w:rPr>
      </w:pPr>
      <w:r>
        <w:rPr>
          <w:rFonts w:hint="eastAsia" w:ascii="宋体" w:hAnsi="宋体" w:cs="宋体"/>
          <w:b/>
          <w:sz w:val="24"/>
          <w:highlight w:val="none"/>
          <w:lang w:eastAsia="zh-CN"/>
        </w:rPr>
        <w:t>八</w:t>
      </w:r>
      <w:r>
        <w:rPr>
          <w:rFonts w:hint="eastAsia" w:ascii="宋体" w:hAnsi="宋体" w:eastAsia="宋体" w:cs="宋体"/>
          <w:b/>
          <w:sz w:val="24"/>
          <w:highlight w:val="none"/>
        </w:rPr>
        <w:t>、质保期与承诺</w:t>
      </w:r>
    </w:p>
    <w:p w14:paraId="6DED929F">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产品</w:t>
      </w:r>
      <w:r>
        <w:rPr>
          <w:rFonts w:hint="eastAsia" w:ascii="宋体" w:hAnsi="宋体" w:eastAsia="宋体" w:cs="宋体"/>
          <w:sz w:val="24"/>
          <w:highlight w:val="none"/>
        </w:rPr>
        <w:t>的质保期为</w:t>
      </w:r>
      <w:r>
        <w:rPr>
          <w:rFonts w:hint="eastAsia" w:ascii="宋体" w:hAnsi="宋体" w:eastAsia="宋体" w:cs="宋体"/>
          <w:sz w:val="24"/>
          <w:highlight w:val="none"/>
          <w:lang w:eastAsia="zh-CN"/>
        </w:rPr>
        <w:t>产品</w:t>
      </w:r>
      <w:r>
        <w:rPr>
          <w:rFonts w:hint="eastAsia" w:ascii="宋体" w:hAnsi="宋体" w:eastAsia="宋体" w:cs="宋体"/>
          <w:sz w:val="24"/>
          <w:highlight w:val="none"/>
        </w:rPr>
        <w:t>验收合格后</w:t>
      </w:r>
      <w:r>
        <w:rPr>
          <w:rFonts w:hint="eastAsia" w:ascii="宋体" w:hAnsi="宋体" w:eastAsia="宋体" w:cs="宋体"/>
          <w:sz w:val="24"/>
          <w:highlight w:val="none"/>
          <w:lang w:val="en-US" w:eastAsia="zh-CN"/>
        </w:rPr>
        <w:t>XX年</w:t>
      </w:r>
      <w:r>
        <w:rPr>
          <w:rFonts w:hint="eastAsia" w:ascii="宋体" w:hAnsi="宋体" w:eastAsia="宋体" w:cs="宋体"/>
          <w:sz w:val="24"/>
          <w:highlight w:val="none"/>
        </w:rPr>
        <w:t>。</w:t>
      </w:r>
    </w:p>
    <w:p w14:paraId="20AFC7EF">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2、质保期内，若发生产品质量问题，乙方应免费解决。</w:t>
      </w:r>
    </w:p>
    <w:p w14:paraId="3EFD8471">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3、超过质保期的维修服务，按照厂家承诺进行。</w:t>
      </w:r>
    </w:p>
    <w:p w14:paraId="048463D1">
      <w:pPr>
        <w:adjustRightInd w:val="0"/>
        <w:snapToGrid w:val="0"/>
        <w:spacing w:line="400" w:lineRule="exact"/>
        <w:ind w:firstLine="359" w:firstLineChars="149"/>
        <w:rPr>
          <w:rFonts w:hint="eastAsia" w:ascii="宋体" w:hAnsi="宋体" w:eastAsia="宋体" w:cs="宋体"/>
          <w:b/>
          <w:sz w:val="24"/>
          <w:highlight w:val="none"/>
        </w:rPr>
      </w:pPr>
      <w:r>
        <w:rPr>
          <w:rFonts w:hint="eastAsia" w:ascii="宋体" w:hAnsi="宋体" w:cs="宋体"/>
          <w:b/>
          <w:sz w:val="24"/>
          <w:highlight w:val="none"/>
          <w:lang w:eastAsia="zh-CN"/>
        </w:rPr>
        <w:t>九</w:t>
      </w:r>
      <w:r>
        <w:rPr>
          <w:rFonts w:hint="eastAsia" w:ascii="宋体" w:hAnsi="宋体" w:eastAsia="宋体" w:cs="宋体"/>
          <w:b/>
          <w:sz w:val="24"/>
          <w:highlight w:val="none"/>
        </w:rPr>
        <w:t>、安装、调试及技术服务</w:t>
      </w:r>
    </w:p>
    <w:p w14:paraId="7640996F">
      <w:pPr>
        <w:spacing w:line="400" w:lineRule="exact"/>
        <w:ind w:firstLine="496" w:firstLineChars="207"/>
        <w:rPr>
          <w:rFonts w:hint="eastAsia" w:ascii="宋体" w:hAnsi="宋体" w:eastAsia="宋体" w:cs="宋体"/>
          <w:sz w:val="24"/>
          <w:highlight w:val="none"/>
        </w:rPr>
      </w:pPr>
      <w:r>
        <w:rPr>
          <w:rFonts w:hint="eastAsia" w:ascii="宋体" w:hAnsi="宋体" w:eastAsia="宋体" w:cs="宋体"/>
          <w:sz w:val="24"/>
          <w:highlight w:val="none"/>
        </w:rPr>
        <w:t>1、技术资料包括：出厂检测报告、产品使用说明书、合格证等其它相关资料。</w:t>
      </w:r>
    </w:p>
    <w:p w14:paraId="064D6E80">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2、在质保期内，乙方在接到用户对所购</w:t>
      </w:r>
      <w:r>
        <w:rPr>
          <w:rFonts w:hint="eastAsia" w:ascii="宋体" w:hAnsi="宋体" w:eastAsia="宋体" w:cs="宋体"/>
          <w:sz w:val="24"/>
          <w:highlight w:val="none"/>
          <w:lang w:eastAsia="zh-CN"/>
        </w:rPr>
        <w:t>产品</w:t>
      </w:r>
      <w:r>
        <w:rPr>
          <w:rFonts w:hint="eastAsia" w:ascii="宋体" w:hAnsi="宋体" w:eastAsia="宋体" w:cs="宋体"/>
          <w:sz w:val="24"/>
          <w:highlight w:val="none"/>
        </w:rPr>
        <w:t>进行维修的要求后，24小时内到用户现场进行维修服务，全部费用由乙方支付；若需将产品送回生产厂，由乙方支付维修</w:t>
      </w:r>
      <w:r>
        <w:rPr>
          <w:rFonts w:hint="eastAsia" w:ascii="宋体" w:hAnsi="宋体" w:eastAsia="宋体" w:cs="宋体"/>
          <w:sz w:val="24"/>
          <w:highlight w:val="none"/>
          <w:lang w:eastAsia="zh-CN"/>
        </w:rPr>
        <w:t>产品</w:t>
      </w:r>
      <w:r>
        <w:rPr>
          <w:rFonts w:hint="eastAsia" w:ascii="宋体" w:hAnsi="宋体" w:eastAsia="宋体" w:cs="宋体"/>
          <w:sz w:val="24"/>
          <w:highlight w:val="none"/>
        </w:rPr>
        <w:t>所需的往返费用。</w:t>
      </w:r>
    </w:p>
    <w:p w14:paraId="1A02EAB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3、安装调试完成后，产品的性能、稳定性等未达到招标文件要求，甲方有权拒绝验收。</w:t>
      </w:r>
    </w:p>
    <w:p w14:paraId="0DA36935">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、服务承诺：按投标文件中的服务承诺执行。</w:t>
      </w:r>
    </w:p>
    <w:p w14:paraId="29DD1F1D">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、安装调试过程中出现的安全责任问题由乙方全权负责，若造成损失由乙方负责赔偿。</w:t>
      </w:r>
    </w:p>
    <w:p w14:paraId="7C709402">
      <w:pPr>
        <w:spacing w:line="400" w:lineRule="exact"/>
        <w:ind w:firstLine="532"/>
        <w:rPr>
          <w:rFonts w:hint="default" w:ascii="宋体" w:hAnsi="宋体" w:eastAsia="宋体" w:cs="宋体"/>
          <w:sz w:val="24"/>
          <w:highlight w:val="none"/>
          <w:lang w:val="en-US" w:eastAsia="zh-CN"/>
        </w:rPr>
      </w:pPr>
      <w:r>
        <w:rPr>
          <w:rFonts w:hint="eastAsia" w:ascii="宋体" w:hAnsi="宋体" w:cs="宋体"/>
          <w:b/>
          <w:sz w:val="24"/>
          <w:highlight w:val="none"/>
          <w:lang w:eastAsia="zh-CN"/>
        </w:rPr>
        <w:t>十</w:t>
      </w:r>
      <w:r>
        <w:rPr>
          <w:rFonts w:hint="eastAsia" w:ascii="宋体" w:hAnsi="宋体" w:eastAsia="宋体" w:cs="宋体"/>
          <w:b/>
          <w:sz w:val="24"/>
          <w:highlight w:val="none"/>
        </w:rPr>
        <w:t>、</w:t>
      </w:r>
      <w:r>
        <w:rPr>
          <w:rFonts w:hint="eastAsia" w:ascii="宋体" w:hAnsi="宋体" w:eastAsia="宋体" w:cs="宋体"/>
          <w:b/>
          <w:sz w:val="24"/>
          <w:highlight w:val="none"/>
          <w:lang w:eastAsia="zh-CN"/>
        </w:rPr>
        <w:t>产品</w:t>
      </w:r>
      <w:r>
        <w:rPr>
          <w:rFonts w:hint="eastAsia" w:ascii="宋体" w:hAnsi="宋体" w:eastAsia="宋体" w:cs="宋体"/>
          <w:b/>
          <w:sz w:val="24"/>
          <w:highlight w:val="none"/>
        </w:rPr>
        <w:t>验收</w:t>
      </w:r>
    </w:p>
    <w:p w14:paraId="6CE39B9D">
      <w:pPr>
        <w:spacing w:line="400" w:lineRule="exact"/>
        <w:ind w:left="479" w:leftChars="228" w:firstLine="0" w:firstLineChars="0"/>
        <w:rPr>
          <w:rFonts w:hint="eastAsia" w:ascii="宋体" w:hAnsi="宋体" w:eastAsia="宋体" w:cs="宋体"/>
          <w:b/>
          <w:sz w:val="24"/>
          <w:highlight w:val="none"/>
        </w:rPr>
      </w:pPr>
      <w:r>
        <w:rPr>
          <w:rFonts w:ascii="宋体" w:hAnsi="宋体" w:eastAsia="宋体" w:cs="宋体"/>
          <w:sz w:val="24"/>
          <w:szCs w:val="24"/>
          <w:highlight w:val="none"/>
        </w:rPr>
        <w:t>验收：项目验收分初验和终验</w:t>
      </w:r>
      <w:r>
        <w:rPr>
          <w:rFonts w:ascii="宋体" w:hAnsi="宋体" w:eastAsia="宋体" w:cs="宋体"/>
          <w:sz w:val="24"/>
          <w:szCs w:val="24"/>
          <w:highlight w:val="none"/>
        </w:rPr>
        <w:br w:type="textWrapping"/>
      </w:r>
      <w:r>
        <w:rPr>
          <w:rFonts w:ascii="宋体" w:hAnsi="宋体" w:eastAsia="宋体" w:cs="宋体"/>
          <w:sz w:val="24"/>
          <w:szCs w:val="24"/>
          <w:highlight w:val="none"/>
        </w:rPr>
        <w:t>（一）初验：货物到达交货地点后，由使用单位根据合同对货物的名称、品牌、规格、型号、产地、数量进行检查。</w:t>
      </w:r>
      <w:r>
        <w:rPr>
          <w:rFonts w:ascii="宋体" w:hAnsi="宋体" w:eastAsia="宋体" w:cs="宋体"/>
          <w:sz w:val="24"/>
          <w:szCs w:val="24"/>
          <w:highlight w:val="none"/>
        </w:rPr>
        <w:br w:type="textWrapping"/>
      </w:r>
      <w:r>
        <w:rPr>
          <w:rFonts w:ascii="宋体" w:hAnsi="宋体" w:eastAsia="宋体" w:cs="宋体"/>
          <w:sz w:val="24"/>
          <w:szCs w:val="24"/>
          <w:highlight w:val="none"/>
        </w:rPr>
        <w:t>（二）终验：所有货物安装完毕，正常使用10个日历日后，由验收小组进行验收，合格后签发《验收合格单》。</w:t>
      </w:r>
      <w:r>
        <w:rPr>
          <w:rFonts w:ascii="宋体" w:hAnsi="宋体" w:eastAsia="宋体" w:cs="宋体"/>
          <w:sz w:val="24"/>
          <w:szCs w:val="24"/>
          <w:highlight w:val="none"/>
        </w:rPr>
        <w:br w:type="textWrapping"/>
      </w:r>
      <w:r>
        <w:rPr>
          <w:rFonts w:ascii="宋体" w:hAnsi="宋体" w:eastAsia="宋体" w:cs="宋体"/>
          <w:sz w:val="24"/>
          <w:szCs w:val="24"/>
          <w:highlight w:val="none"/>
        </w:rPr>
        <w:t>（三）验收依据</w:t>
      </w:r>
      <w:r>
        <w:rPr>
          <w:rFonts w:ascii="宋体" w:hAnsi="宋体" w:eastAsia="宋体" w:cs="宋体"/>
          <w:sz w:val="24"/>
          <w:szCs w:val="24"/>
          <w:highlight w:val="none"/>
        </w:rPr>
        <w:br w:type="textWrapping"/>
      </w:r>
      <w:r>
        <w:rPr>
          <w:rFonts w:ascii="宋体" w:hAnsi="宋体" w:eastAsia="宋体" w:cs="宋体"/>
          <w:sz w:val="24"/>
          <w:szCs w:val="24"/>
          <w:highlight w:val="none"/>
        </w:rPr>
        <w:t>1、合同文本及合同补充文件（条款）。 </w:t>
      </w:r>
      <w:r>
        <w:rPr>
          <w:rFonts w:ascii="宋体" w:hAnsi="宋体" w:eastAsia="宋体" w:cs="宋体"/>
          <w:sz w:val="24"/>
          <w:szCs w:val="24"/>
          <w:highlight w:val="none"/>
        </w:rPr>
        <w:br w:type="textWrapping"/>
      </w:r>
      <w:r>
        <w:rPr>
          <w:rFonts w:ascii="宋体" w:hAnsi="宋体" w:eastAsia="宋体" w:cs="宋体"/>
          <w:sz w:val="24"/>
          <w:szCs w:val="24"/>
          <w:highlight w:val="none"/>
        </w:rPr>
        <w:t>2、产品的合法来源渠道证明文件。</w:t>
      </w:r>
      <w:r>
        <w:rPr>
          <w:rFonts w:ascii="宋体" w:hAnsi="宋体" w:eastAsia="宋体" w:cs="宋体"/>
          <w:sz w:val="24"/>
          <w:szCs w:val="24"/>
          <w:highlight w:val="none"/>
        </w:rPr>
        <w:br w:type="textWrapping"/>
      </w:r>
      <w:r>
        <w:rPr>
          <w:rFonts w:ascii="宋体" w:hAnsi="宋体" w:eastAsia="宋体" w:cs="宋体"/>
          <w:sz w:val="24"/>
          <w:szCs w:val="24"/>
          <w:highlight w:val="none"/>
        </w:rPr>
        <w:t>3、</w:t>
      </w:r>
      <w:r>
        <w:rPr>
          <w:rFonts w:hint="eastAsia" w:ascii="宋体" w:hAnsi="宋体" w:eastAsia="宋体" w:cs="宋体"/>
          <w:sz w:val="24"/>
          <w:szCs w:val="24"/>
          <w:highlight w:val="none"/>
          <w:lang w:eastAsia="zh-CN"/>
        </w:rPr>
        <w:t>招标</w:t>
      </w:r>
      <w:r>
        <w:rPr>
          <w:rFonts w:ascii="宋体" w:hAnsi="宋体" w:eastAsia="宋体" w:cs="宋体"/>
          <w:sz w:val="24"/>
          <w:szCs w:val="24"/>
          <w:highlight w:val="none"/>
        </w:rPr>
        <w:t>文件。</w:t>
      </w:r>
      <w:r>
        <w:rPr>
          <w:rFonts w:ascii="宋体" w:hAnsi="宋体" w:eastAsia="宋体" w:cs="宋体"/>
          <w:sz w:val="24"/>
          <w:szCs w:val="24"/>
          <w:highlight w:val="none"/>
        </w:rPr>
        <w:br w:type="textWrapping"/>
      </w:r>
      <w:r>
        <w:rPr>
          <w:rFonts w:ascii="宋体" w:hAnsi="宋体" w:eastAsia="宋体" w:cs="宋体"/>
          <w:sz w:val="24"/>
          <w:szCs w:val="24"/>
          <w:highlight w:val="none"/>
        </w:rPr>
        <w:t>4、</w:t>
      </w:r>
      <w:r>
        <w:rPr>
          <w:rFonts w:hint="eastAsia" w:ascii="宋体" w:hAnsi="宋体" w:eastAsia="宋体" w:cs="宋体"/>
          <w:sz w:val="24"/>
          <w:szCs w:val="24"/>
          <w:highlight w:val="none"/>
          <w:lang w:eastAsia="zh-CN"/>
        </w:rPr>
        <w:t>中标</w:t>
      </w:r>
      <w:r>
        <w:rPr>
          <w:rFonts w:ascii="宋体" w:hAnsi="宋体" w:eastAsia="宋体" w:cs="宋体"/>
          <w:sz w:val="24"/>
          <w:szCs w:val="24"/>
          <w:highlight w:val="none"/>
        </w:rPr>
        <w:t>供应商的</w:t>
      </w:r>
      <w:r>
        <w:rPr>
          <w:rFonts w:hint="eastAsia" w:ascii="宋体" w:hAnsi="宋体" w:eastAsia="宋体" w:cs="宋体"/>
          <w:sz w:val="24"/>
          <w:szCs w:val="24"/>
          <w:highlight w:val="none"/>
          <w:lang w:eastAsia="zh-CN"/>
        </w:rPr>
        <w:t>投标</w:t>
      </w:r>
      <w:r>
        <w:rPr>
          <w:rFonts w:ascii="宋体" w:hAnsi="宋体" w:eastAsia="宋体" w:cs="宋体"/>
          <w:sz w:val="24"/>
          <w:szCs w:val="24"/>
          <w:highlight w:val="none"/>
        </w:rPr>
        <w:t>文件。</w:t>
      </w:r>
      <w:r>
        <w:rPr>
          <w:rFonts w:ascii="宋体" w:hAnsi="宋体" w:eastAsia="宋体" w:cs="宋体"/>
          <w:sz w:val="24"/>
          <w:szCs w:val="24"/>
          <w:highlight w:val="none"/>
        </w:rPr>
        <w:br w:type="textWrapping"/>
      </w:r>
      <w:r>
        <w:rPr>
          <w:rFonts w:ascii="宋体" w:hAnsi="宋体" w:eastAsia="宋体" w:cs="宋体"/>
          <w:sz w:val="24"/>
          <w:szCs w:val="24"/>
          <w:highlight w:val="none"/>
        </w:rPr>
        <w:t>5、合同货物清单。</w:t>
      </w:r>
      <w:r>
        <w:rPr>
          <w:rFonts w:ascii="宋体" w:hAnsi="宋体" w:eastAsia="宋体" w:cs="宋体"/>
          <w:sz w:val="24"/>
          <w:szCs w:val="24"/>
          <w:highlight w:val="none"/>
        </w:rPr>
        <w:br w:type="textWrapping"/>
      </w:r>
      <w:r>
        <w:rPr>
          <w:rFonts w:ascii="宋体" w:hAnsi="宋体" w:eastAsia="宋体" w:cs="宋体"/>
          <w:sz w:val="24"/>
          <w:szCs w:val="24"/>
          <w:highlight w:val="none"/>
        </w:rPr>
        <w:t>6、生产厂家的企业资质、货物的执行标准。</w:t>
      </w:r>
    </w:p>
    <w:p w14:paraId="647E7AA1">
      <w:pPr>
        <w:tabs>
          <w:tab w:val="left" w:pos="5355"/>
        </w:tabs>
        <w:spacing w:line="400" w:lineRule="exact"/>
        <w:ind w:firstLine="506" w:firstLineChars="210"/>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cs="宋体"/>
          <w:b/>
          <w:sz w:val="24"/>
          <w:highlight w:val="none"/>
          <w:lang w:eastAsia="zh-CN"/>
        </w:rPr>
        <w:t>一</w:t>
      </w:r>
      <w:r>
        <w:rPr>
          <w:rFonts w:hint="eastAsia" w:ascii="宋体" w:hAnsi="宋体" w:eastAsia="宋体" w:cs="宋体"/>
          <w:b/>
          <w:sz w:val="24"/>
          <w:highlight w:val="none"/>
        </w:rPr>
        <w:t>、违约责任：</w:t>
      </w:r>
    </w:p>
    <w:p w14:paraId="164F8BB7">
      <w:pPr>
        <w:adjustRightInd w:val="0"/>
        <w:snapToGrid w:val="0"/>
        <w:spacing w:line="4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、若乙方出现不能供货等违约情况，按《</w:t>
      </w:r>
      <w:r>
        <w:rPr>
          <w:rFonts w:hint="eastAsia" w:ascii="宋体" w:hAnsi="宋体" w:eastAsia="宋体" w:cs="宋体"/>
          <w:sz w:val="24"/>
          <w:highlight w:val="none"/>
          <w:lang w:eastAsia="zh-CN"/>
        </w:rPr>
        <w:t>中华人民共和国民法典</w:t>
      </w:r>
      <w:r>
        <w:rPr>
          <w:rFonts w:hint="eastAsia" w:ascii="宋体" w:hAnsi="宋体" w:eastAsia="宋体" w:cs="宋体"/>
          <w:sz w:val="24"/>
          <w:highlight w:val="none"/>
        </w:rPr>
        <w:t>》中的相关条款</w:t>
      </w:r>
      <w:r>
        <w:rPr>
          <w:rFonts w:hint="eastAsia" w:ascii="宋体" w:hAnsi="宋体" w:eastAsia="宋体" w:cs="宋体"/>
          <w:sz w:val="24"/>
          <w:highlight w:val="none"/>
          <w:lang w:eastAsia="zh-CN"/>
        </w:rPr>
        <w:t>处理。</w:t>
      </w:r>
    </w:p>
    <w:p w14:paraId="0D87553D">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、未按合同要求提供产品或设备质量不能满足招标的技术要求，甲方有权终止合同，并保留追究乙方违约责任的权利。</w:t>
      </w:r>
    </w:p>
    <w:p w14:paraId="0979D2AF">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4、因供货期迟延的，乙方按照每天1‰向甲方承担违约责任。</w:t>
      </w:r>
    </w:p>
    <w:p w14:paraId="4A760CDD">
      <w:pPr>
        <w:adjustRightInd w:val="0"/>
        <w:snapToGrid w:val="0"/>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5、因产品质量问题违约的，除了按照迟延时间计算违约金外，另可以采取退货、换货等方式，由乙方承担一切费用。</w:t>
      </w:r>
    </w:p>
    <w:p w14:paraId="60D59DC2">
      <w:pPr>
        <w:spacing w:line="360" w:lineRule="auto"/>
        <w:outlineLvl w:val="9"/>
        <w:rPr>
          <w:rFonts w:hint="default" w:ascii="宋体" w:hAnsi="宋体" w:eastAsia="宋体" w:cs="宋体"/>
          <w:b w:val="0"/>
          <w:kern w:val="2"/>
          <w:sz w:val="24"/>
          <w:szCs w:val="21"/>
          <w:highlight w:val="none"/>
          <w:lang w:val="en-US" w:eastAsia="zh-CN" w:bidi="ar-SA"/>
        </w:rPr>
      </w:pPr>
      <w:r>
        <w:rPr>
          <w:rFonts w:hint="eastAsia" w:ascii="宋体" w:hAnsi="宋体" w:cs="宋体"/>
          <w:sz w:val="24"/>
          <w:highlight w:val="none"/>
          <w:lang w:val="en-US" w:eastAsia="zh-CN"/>
        </w:rPr>
        <w:t xml:space="preserve">  </w:t>
      </w:r>
      <w:r>
        <w:rPr>
          <w:rFonts w:hint="eastAsia" w:ascii="宋体" w:hAnsi="宋体" w:eastAsia="宋体" w:cs="宋体"/>
          <w:b w:val="0"/>
          <w:kern w:val="2"/>
          <w:sz w:val="24"/>
          <w:szCs w:val="21"/>
          <w:highlight w:val="none"/>
          <w:lang w:val="en-US" w:eastAsia="zh-CN" w:bidi="ar-SA"/>
        </w:rPr>
        <w:t xml:space="preserve">  6、甲方未按照合同约定支付合同价款或退还履约保证金的，每逾期一日，按照相应金额的万分之一承担违约责任</w:t>
      </w:r>
    </w:p>
    <w:p w14:paraId="2DB4DFC2">
      <w:pPr>
        <w:tabs>
          <w:tab w:val="left" w:pos="5355"/>
        </w:tabs>
        <w:spacing w:line="40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cs="宋体"/>
          <w:b/>
          <w:sz w:val="24"/>
          <w:highlight w:val="none"/>
          <w:lang w:eastAsia="zh-CN"/>
        </w:rPr>
        <w:t>二</w:t>
      </w:r>
      <w:r>
        <w:rPr>
          <w:rFonts w:hint="eastAsia" w:ascii="宋体" w:hAnsi="宋体" w:eastAsia="宋体" w:cs="宋体"/>
          <w:b/>
          <w:sz w:val="24"/>
          <w:highlight w:val="none"/>
        </w:rPr>
        <w:t>、合同争议的解决：</w:t>
      </w:r>
    </w:p>
    <w:p w14:paraId="3FAE2CFD">
      <w:pPr>
        <w:tabs>
          <w:tab w:val="left" w:pos="5355"/>
        </w:tabs>
        <w:spacing w:line="400" w:lineRule="exact"/>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合同一经签订，不得随意变更、中止或终止。对确需变更、调整或者中止、终止合同的，应按规定履行相应的手续。</w:t>
      </w:r>
    </w:p>
    <w:p w14:paraId="584E4AB2">
      <w:pPr>
        <w:tabs>
          <w:tab w:val="left" w:pos="5355"/>
        </w:tabs>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合同执行中发生争议的，甲、乙双方应协商解决，协商达不成一致时，可向甲方所在地人民法院提请诉讼。</w:t>
      </w:r>
    </w:p>
    <w:p w14:paraId="58434AC3">
      <w:pPr>
        <w:tabs>
          <w:tab w:val="left" w:pos="5355"/>
        </w:tabs>
        <w:spacing w:line="40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cs="宋体"/>
          <w:b/>
          <w:sz w:val="24"/>
          <w:highlight w:val="none"/>
          <w:lang w:eastAsia="zh-CN"/>
        </w:rPr>
        <w:t>三</w:t>
      </w:r>
      <w:r>
        <w:rPr>
          <w:rFonts w:hint="eastAsia" w:ascii="宋体" w:hAnsi="宋体" w:eastAsia="宋体" w:cs="宋体"/>
          <w:b/>
          <w:sz w:val="24"/>
          <w:highlight w:val="none"/>
        </w:rPr>
        <w:t>、其它事项</w:t>
      </w:r>
    </w:p>
    <w:p w14:paraId="44F69685">
      <w:pPr>
        <w:adjustRightInd w:val="0"/>
        <w:snapToGrid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1、甲、乙双方作为合同执行的主体，有义务及时完全履行合同。招标代理机构招标有限公司监督履行。</w:t>
      </w:r>
    </w:p>
    <w:p w14:paraId="18829489">
      <w:pPr>
        <w:adjustRightInd w:val="0"/>
        <w:snapToGrid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2、甲方使用部门代表学校签署合同，并随时监督合同履行情况。</w:t>
      </w:r>
    </w:p>
    <w:p w14:paraId="3C15CB2B">
      <w:pPr>
        <w:adjustRightInd w:val="0"/>
        <w:snapToGrid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3、合同未尽事宜，由甲、乙双方协商，协商方案作为本合同不可分割的组成部分，与本合同具有同等法律效力。</w:t>
      </w:r>
    </w:p>
    <w:p w14:paraId="1178F6BA">
      <w:pPr>
        <w:adjustRightInd w:val="0"/>
        <w:snapToGrid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4、招标文件和乙方的投标文件以及合同附件均为合同不可分割的部分。</w:t>
      </w:r>
    </w:p>
    <w:p w14:paraId="29B7D7CD">
      <w:pPr>
        <w:adjustRightInd w:val="0"/>
        <w:snapToGrid w:val="0"/>
        <w:spacing w:line="400" w:lineRule="exact"/>
        <w:ind w:firstLine="600" w:firstLineChars="250"/>
        <w:rPr>
          <w:rFonts w:hint="eastAsia" w:ascii="宋体" w:hAnsi="宋体" w:eastAsia="宋体" w:cs="宋体"/>
          <w:sz w:val="24"/>
          <w:highlight w:val="none"/>
        </w:rPr>
      </w:pPr>
      <w:r>
        <w:rPr>
          <w:rFonts w:hint="eastAsia" w:ascii="宋体" w:hAnsi="宋体" w:eastAsia="宋体" w:cs="宋体"/>
          <w:sz w:val="24"/>
          <w:highlight w:val="none"/>
        </w:rPr>
        <w:t>5、合同一式陆份，甲方持肆份、乙方执壹份，招标代理机构壹份。双方签字盖章后生效，合同执行完毕自动失效。（合同的服务承诺长期有效）。</w:t>
      </w:r>
    </w:p>
    <w:p w14:paraId="27DA0C4F">
      <w:pPr>
        <w:tabs>
          <w:tab w:val="left" w:pos="5355"/>
        </w:tabs>
        <w:spacing w:line="400" w:lineRule="exact"/>
        <w:rPr>
          <w:rFonts w:hint="eastAsia" w:ascii="宋体" w:hAnsi="宋体" w:eastAsia="宋体" w:cs="宋体"/>
          <w:highlight w:val="none"/>
        </w:rPr>
      </w:pPr>
      <w:r>
        <w:rPr>
          <w:rFonts w:hint="eastAsia" w:ascii="宋体" w:hAnsi="宋体" w:eastAsia="宋体" w:cs="宋体"/>
          <w:sz w:val="24"/>
          <w:highlight w:val="none"/>
        </w:rPr>
        <w:t xml:space="preserve">    6、使用单位收货、验货人员：____________  电话：_______________</w:t>
      </w:r>
    </w:p>
    <w:p w14:paraId="0E2B2ABC">
      <w:pPr>
        <w:pStyle w:val="11"/>
        <w:rPr>
          <w:rFonts w:hint="eastAsia" w:ascii="宋体" w:hAnsi="宋体" w:eastAsia="宋体" w:cs="宋体"/>
          <w:highlight w:val="none"/>
        </w:rPr>
      </w:pP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0"/>
        <w:gridCol w:w="4590"/>
      </w:tblGrid>
      <w:tr w14:paraId="62E3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590" w:type="dxa"/>
            <w:tcBorders>
              <w:top w:val="single" w:color="auto" w:sz="4" w:space="0"/>
              <w:left w:val="single" w:color="auto" w:sz="4" w:space="0"/>
              <w:bottom w:val="single" w:color="auto" w:sz="4" w:space="0"/>
              <w:right w:val="single" w:color="auto" w:sz="4" w:space="0"/>
            </w:tcBorders>
            <w:vAlign w:val="center"/>
          </w:tcPr>
          <w:p w14:paraId="2BD904BA">
            <w:pPr>
              <w:spacing w:line="348" w:lineRule="auto"/>
              <w:rPr>
                <w:rFonts w:hint="eastAsia" w:ascii="宋体" w:hAnsi="宋体" w:eastAsia="宋体" w:cs="宋体"/>
                <w:sz w:val="24"/>
                <w:highlight w:val="none"/>
                <w:lang w:eastAsia="zh-CN"/>
              </w:rPr>
            </w:pPr>
            <w:r>
              <w:rPr>
                <w:rFonts w:hint="eastAsia" w:ascii="宋体" w:hAnsi="宋体" w:eastAsia="宋体" w:cs="宋体"/>
                <w:color w:val="000000"/>
                <w:sz w:val="24"/>
                <w:highlight w:val="none"/>
              </w:rPr>
              <w:t>甲  方：</w:t>
            </w:r>
            <w:r>
              <w:rPr>
                <w:rFonts w:hint="eastAsia" w:ascii="宋体" w:hAnsi="宋体" w:cs="宋体"/>
                <w:sz w:val="24"/>
                <w:highlight w:val="none"/>
                <w:lang w:eastAsia="zh-CN"/>
              </w:rPr>
              <w:t>陕西学前师范学院</w:t>
            </w:r>
          </w:p>
        </w:tc>
        <w:tc>
          <w:tcPr>
            <w:tcW w:w="4590" w:type="dxa"/>
            <w:tcBorders>
              <w:top w:val="single" w:color="auto" w:sz="4" w:space="0"/>
              <w:left w:val="single" w:color="auto" w:sz="4" w:space="0"/>
              <w:bottom w:val="single" w:color="auto" w:sz="4" w:space="0"/>
              <w:right w:val="single" w:color="auto" w:sz="4" w:space="0"/>
            </w:tcBorders>
            <w:vAlign w:val="center"/>
          </w:tcPr>
          <w:p w14:paraId="001FB25D">
            <w:pPr>
              <w:spacing w:line="348" w:lineRule="auto"/>
              <w:rPr>
                <w:rFonts w:hint="eastAsia" w:ascii="宋体" w:hAnsi="宋体" w:eastAsia="宋体" w:cs="宋体"/>
                <w:sz w:val="24"/>
                <w:highlight w:val="none"/>
              </w:rPr>
            </w:pPr>
            <w:r>
              <w:rPr>
                <w:rFonts w:hint="eastAsia" w:ascii="宋体" w:hAnsi="宋体" w:eastAsia="宋体" w:cs="宋体"/>
                <w:color w:val="000000"/>
                <w:sz w:val="24"/>
                <w:highlight w:val="none"/>
              </w:rPr>
              <w:t>乙  方：</w:t>
            </w:r>
          </w:p>
        </w:tc>
      </w:tr>
      <w:tr w14:paraId="3A08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4590" w:type="dxa"/>
            <w:tcBorders>
              <w:top w:val="single" w:color="auto" w:sz="4" w:space="0"/>
              <w:left w:val="single" w:color="auto" w:sz="4" w:space="0"/>
              <w:bottom w:val="single" w:color="auto" w:sz="4" w:space="0"/>
              <w:right w:val="single" w:color="auto" w:sz="4" w:space="0"/>
            </w:tcBorders>
            <w:vAlign w:val="center"/>
          </w:tcPr>
          <w:p w14:paraId="5FE9E872">
            <w:pPr>
              <w:spacing w:line="348" w:lineRule="auto"/>
              <w:rPr>
                <w:rFonts w:hint="eastAsia" w:ascii="宋体" w:hAnsi="宋体" w:eastAsia="宋体" w:cs="宋体"/>
                <w:sz w:val="24"/>
                <w:highlight w:val="none"/>
              </w:rPr>
            </w:pPr>
            <w:r>
              <w:rPr>
                <w:rFonts w:hint="eastAsia" w:ascii="宋体" w:hAnsi="宋体" w:eastAsia="宋体" w:cs="宋体"/>
                <w:sz w:val="24"/>
                <w:highlight w:val="none"/>
              </w:rPr>
              <w:t>地　址：</w:t>
            </w:r>
          </w:p>
        </w:tc>
        <w:tc>
          <w:tcPr>
            <w:tcW w:w="4590" w:type="dxa"/>
            <w:tcBorders>
              <w:top w:val="single" w:color="auto" w:sz="4" w:space="0"/>
              <w:left w:val="single" w:color="auto" w:sz="4" w:space="0"/>
              <w:bottom w:val="single" w:color="auto" w:sz="4" w:space="0"/>
              <w:right w:val="single" w:color="auto" w:sz="4" w:space="0"/>
            </w:tcBorders>
            <w:vAlign w:val="center"/>
          </w:tcPr>
          <w:p w14:paraId="79D65D4A">
            <w:pPr>
              <w:spacing w:line="348" w:lineRule="auto"/>
              <w:rPr>
                <w:rFonts w:hint="eastAsia" w:ascii="宋体" w:hAnsi="宋体" w:eastAsia="宋体" w:cs="宋体"/>
                <w:sz w:val="24"/>
                <w:highlight w:val="none"/>
              </w:rPr>
            </w:pPr>
            <w:r>
              <w:rPr>
                <w:rFonts w:hint="eastAsia" w:ascii="宋体" w:hAnsi="宋体" w:eastAsia="宋体" w:cs="宋体"/>
                <w:sz w:val="24"/>
                <w:highlight w:val="none"/>
              </w:rPr>
              <w:t>地　址：</w:t>
            </w:r>
          </w:p>
        </w:tc>
      </w:tr>
      <w:tr w14:paraId="4194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590" w:type="dxa"/>
            <w:tcBorders>
              <w:top w:val="single" w:color="auto" w:sz="4" w:space="0"/>
              <w:left w:val="single" w:color="auto" w:sz="4" w:space="0"/>
              <w:bottom w:val="single" w:color="auto" w:sz="4" w:space="0"/>
              <w:right w:val="single" w:color="auto" w:sz="4" w:space="0"/>
            </w:tcBorders>
            <w:vAlign w:val="center"/>
          </w:tcPr>
          <w:p w14:paraId="3EAD2C27">
            <w:pPr>
              <w:spacing w:line="348" w:lineRule="auto"/>
              <w:rPr>
                <w:rFonts w:hint="eastAsia" w:ascii="宋体" w:hAnsi="宋体" w:eastAsia="宋体" w:cs="宋体"/>
                <w:sz w:val="24"/>
                <w:highlight w:val="none"/>
              </w:rPr>
            </w:pPr>
            <w:r>
              <w:rPr>
                <w:rFonts w:hint="eastAsia" w:ascii="宋体" w:hAnsi="宋体" w:eastAsia="宋体" w:cs="宋体"/>
                <w:sz w:val="24"/>
                <w:highlight w:val="none"/>
              </w:rPr>
              <w:t>代理人：　</w:t>
            </w:r>
          </w:p>
        </w:tc>
        <w:tc>
          <w:tcPr>
            <w:tcW w:w="4590" w:type="dxa"/>
            <w:tcBorders>
              <w:top w:val="single" w:color="auto" w:sz="4" w:space="0"/>
              <w:left w:val="single" w:color="auto" w:sz="4" w:space="0"/>
              <w:bottom w:val="single" w:color="auto" w:sz="4" w:space="0"/>
              <w:right w:val="single" w:color="auto" w:sz="4" w:space="0"/>
            </w:tcBorders>
            <w:vAlign w:val="center"/>
          </w:tcPr>
          <w:p w14:paraId="7C5A5CDC">
            <w:pPr>
              <w:tabs>
                <w:tab w:val="left" w:pos="5355"/>
              </w:tabs>
              <w:spacing w:line="500" w:lineRule="exact"/>
              <w:rPr>
                <w:rFonts w:hint="eastAsia" w:ascii="宋体" w:hAnsi="宋体" w:eastAsia="宋体" w:cs="宋体"/>
                <w:sz w:val="24"/>
                <w:highlight w:val="none"/>
              </w:rPr>
            </w:pPr>
            <w:r>
              <w:rPr>
                <w:rFonts w:hint="eastAsia" w:ascii="宋体" w:hAnsi="宋体" w:eastAsia="宋体" w:cs="宋体"/>
                <w:sz w:val="24"/>
                <w:highlight w:val="none"/>
              </w:rPr>
              <w:t>代理人：</w:t>
            </w:r>
          </w:p>
          <w:p w14:paraId="69A21C98">
            <w:pPr>
              <w:spacing w:line="348" w:lineRule="auto"/>
              <w:ind w:firstLine="480" w:firstLineChars="200"/>
              <w:rPr>
                <w:rFonts w:hint="eastAsia" w:ascii="宋体" w:hAnsi="宋体" w:eastAsia="宋体" w:cs="宋体"/>
                <w:sz w:val="24"/>
                <w:highlight w:val="none"/>
              </w:rPr>
            </w:pPr>
          </w:p>
        </w:tc>
      </w:tr>
      <w:tr w14:paraId="7724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590" w:type="dxa"/>
            <w:tcBorders>
              <w:top w:val="single" w:color="auto" w:sz="4" w:space="0"/>
              <w:left w:val="single" w:color="auto" w:sz="4" w:space="0"/>
              <w:bottom w:val="single" w:color="auto" w:sz="4" w:space="0"/>
              <w:right w:val="single" w:color="auto" w:sz="4" w:space="0"/>
            </w:tcBorders>
            <w:vAlign w:val="center"/>
          </w:tcPr>
          <w:p w14:paraId="6D8E09C6">
            <w:pPr>
              <w:spacing w:line="348" w:lineRule="auto"/>
              <w:rPr>
                <w:rFonts w:hint="eastAsia" w:ascii="宋体" w:hAnsi="宋体" w:eastAsia="宋体" w:cs="宋体"/>
                <w:sz w:val="24"/>
                <w:highlight w:val="none"/>
              </w:rPr>
            </w:pPr>
            <w:r>
              <w:rPr>
                <w:rFonts w:hint="eastAsia" w:ascii="宋体" w:hAnsi="宋体" w:eastAsia="宋体" w:cs="宋体"/>
                <w:sz w:val="24"/>
                <w:highlight w:val="none"/>
              </w:rPr>
              <w:t xml:space="preserve">技术确认：        </w:t>
            </w:r>
          </w:p>
        </w:tc>
        <w:tc>
          <w:tcPr>
            <w:tcW w:w="4590" w:type="dxa"/>
            <w:tcBorders>
              <w:top w:val="single" w:color="auto" w:sz="4" w:space="0"/>
              <w:left w:val="single" w:color="auto" w:sz="4" w:space="0"/>
              <w:bottom w:val="single" w:color="auto" w:sz="4" w:space="0"/>
              <w:right w:val="single" w:color="auto" w:sz="4" w:space="0"/>
            </w:tcBorders>
            <w:vAlign w:val="center"/>
          </w:tcPr>
          <w:p w14:paraId="1E57C76D">
            <w:pPr>
              <w:tabs>
                <w:tab w:val="left" w:pos="5355"/>
              </w:tabs>
              <w:spacing w:line="500" w:lineRule="exact"/>
              <w:rPr>
                <w:rFonts w:hint="eastAsia" w:ascii="宋体" w:hAnsi="宋体" w:eastAsia="宋体" w:cs="宋体"/>
                <w:sz w:val="24"/>
                <w:highlight w:val="none"/>
              </w:rPr>
            </w:pPr>
            <w:r>
              <w:rPr>
                <w:rFonts w:hint="eastAsia" w:ascii="宋体" w:hAnsi="宋体" w:eastAsia="宋体" w:cs="宋体"/>
                <w:sz w:val="24"/>
                <w:highlight w:val="none"/>
              </w:rPr>
              <w:t>技术确认：</w:t>
            </w:r>
          </w:p>
          <w:p w14:paraId="1F115780">
            <w:pPr>
              <w:spacing w:line="348" w:lineRule="auto"/>
              <w:ind w:firstLine="480" w:firstLineChars="200"/>
              <w:rPr>
                <w:rFonts w:hint="eastAsia" w:ascii="宋体" w:hAnsi="宋体" w:eastAsia="宋体" w:cs="宋体"/>
                <w:sz w:val="24"/>
                <w:highlight w:val="none"/>
              </w:rPr>
            </w:pPr>
          </w:p>
        </w:tc>
      </w:tr>
      <w:tr w14:paraId="3B6D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90" w:type="dxa"/>
            <w:tcBorders>
              <w:top w:val="single" w:color="auto" w:sz="4" w:space="0"/>
              <w:left w:val="single" w:color="auto" w:sz="4" w:space="0"/>
              <w:bottom w:val="single" w:color="auto" w:sz="4" w:space="0"/>
              <w:right w:val="single" w:color="auto" w:sz="4" w:space="0"/>
            </w:tcBorders>
            <w:vAlign w:val="center"/>
          </w:tcPr>
          <w:p w14:paraId="00E59DCE">
            <w:pPr>
              <w:spacing w:line="348" w:lineRule="auto"/>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4590" w:type="dxa"/>
            <w:tcBorders>
              <w:top w:val="single" w:color="auto" w:sz="4" w:space="0"/>
              <w:left w:val="single" w:color="auto" w:sz="4" w:space="0"/>
              <w:bottom w:val="single" w:color="auto" w:sz="4" w:space="0"/>
              <w:right w:val="single" w:color="auto" w:sz="4" w:space="0"/>
            </w:tcBorders>
            <w:vAlign w:val="center"/>
          </w:tcPr>
          <w:p w14:paraId="3762AE55">
            <w:pPr>
              <w:spacing w:line="348" w:lineRule="auto"/>
              <w:rPr>
                <w:rFonts w:hint="eastAsia" w:ascii="宋体" w:hAnsi="宋体" w:eastAsia="宋体" w:cs="宋体"/>
                <w:sz w:val="24"/>
                <w:highlight w:val="none"/>
              </w:rPr>
            </w:pPr>
            <w:r>
              <w:rPr>
                <w:rFonts w:hint="eastAsia" w:ascii="宋体" w:hAnsi="宋体" w:eastAsia="宋体" w:cs="宋体"/>
                <w:sz w:val="24"/>
                <w:highlight w:val="none"/>
              </w:rPr>
              <w:t>联系电话：</w:t>
            </w:r>
          </w:p>
        </w:tc>
      </w:tr>
      <w:tr w14:paraId="2350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590" w:type="dxa"/>
            <w:tcBorders>
              <w:top w:val="single" w:color="auto" w:sz="4" w:space="0"/>
              <w:left w:val="single" w:color="auto" w:sz="4" w:space="0"/>
              <w:bottom w:val="single" w:color="auto" w:sz="4" w:space="0"/>
              <w:right w:val="single" w:color="auto" w:sz="4" w:space="0"/>
            </w:tcBorders>
            <w:vAlign w:val="center"/>
          </w:tcPr>
          <w:p w14:paraId="08EE40CD">
            <w:pPr>
              <w:spacing w:line="348" w:lineRule="auto"/>
              <w:rPr>
                <w:rFonts w:hint="eastAsia" w:ascii="宋体" w:hAnsi="宋体" w:eastAsia="宋体" w:cs="宋体"/>
                <w:sz w:val="24"/>
                <w:highlight w:val="none"/>
              </w:rPr>
            </w:pPr>
            <w:r>
              <w:rPr>
                <w:rFonts w:hint="eastAsia" w:ascii="宋体" w:hAnsi="宋体" w:eastAsia="宋体" w:cs="宋体"/>
                <w:sz w:val="24"/>
                <w:highlight w:val="none"/>
              </w:rPr>
              <w:t xml:space="preserve">开户行： </w:t>
            </w:r>
          </w:p>
        </w:tc>
        <w:tc>
          <w:tcPr>
            <w:tcW w:w="4590" w:type="dxa"/>
            <w:tcBorders>
              <w:top w:val="single" w:color="auto" w:sz="4" w:space="0"/>
              <w:left w:val="single" w:color="auto" w:sz="4" w:space="0"/>
              <w:bottom w:val="single" w:color="auto" w:sz="4" w:space="0"/>
              <w:right w:val="single" w:color="auto" w:sz="4" w:space="0"/>
            </w:tcBorders>
            <w:vAlign w:val="center"/>
          </w:tcPr>
          <w:p w14:paraId="4AD54D52">
            <w:pPr>
              <w:tabs>
                <w:tab w:val="left" w:pos="5355"/>
              </w:tabs>
              <w:spacing w:line="500" w:lineRule="exact"/>
              <w:rPr>
                <w:rFonts w:hint="eastAsia" w:ascii="宋体" w:hAnsi="宋体" w:eastAsia="宋体" w:cs="宋体"/>
                <w:sz w:val="24"/>
                <w:highlight w:val="none"/>
              </w:rPr>
            </w:pPr>
            <w:r>
              <w:rPr>
                <w:rFonts w:hint="eastAsia" w:ascii="宋体" w:hAnsi="宋体" w:eastAsia="宋体" w:cs="宋体"/>
                <w:sz w:val="24"/>
                <w:highlight w:val="none"/>
              </w:rPr>
              <w:t xml:space="preserve">开户行： </w:t>
            </w:r>
          </w:p>
          <w:p w14:paraId="24A94BBC">
            <w:pPr>
              <w:spacing w:line="348" w:lineRule="auto"/>
              <w:ind w:firstLine="480" w:firstLineChars="200"/>
              <w:rPr>
                <w:rFonts w:hint="eastAsia" w:ascii="宋体" w:hAnsi="宋体" w:eastAsia="宋体" w:cs="宋体"/>
                <w:sz w:val="24"/>
                <w:highlight w:val="none"/>
              </w:rPr>
            </w:pPr>
          </w:p>
        </w:tc>
      </w:tr>
      <w:tr w14:paraId="7D99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590" w:type="dxa"/>
            <w:tcBorders>
              <w:top w:val="single" w:color="auto" w:sz="4" w:space="0"/>
              <w:left w:val="single" w:color="auto" w:sz="4" w:space="0"/>
              <w:bottom w:val="single" w:color="auto" w:sz="4" w:space="0"/>
              <w:right w:val="single" w:color="auto" w:sz="4" w:space="0"/>
            </w:tcBorders>
            <w:vAlign w:val="center"/>
          </w:tcPr>
          <w:p w14:paraId="5DEE0951">
            <w:pPr>
              <w:spacing w:line="348" w:lineRule="auto"/>
              <w:rPr>
                <w:rFonts w:hint="eastAsia" w:ascii="宋体" w:hAnsi="宋体" w:eastAsia="宋体" w:cs="宋体"/>
                <w:sz w:val="24"/>
                <w:highlight w:val="none"/>
              </w:rPr>
            </w:pPr>
            <w:r>
              <w:rPr>
                <w:rFonts w:hint="eastAsia" w:ascii="宋体" w:hAnsi="宋体" w:eastAsia="宋体" w:cs="宋体"/>
                <w:sz w:val="24"/>
                <w:highlight w:val="none"/>
              </w:rPr>
              <w:t>账号：</w:t>
            </w:r>
          </w:p>
        </w:tc>
        <w:tc>
          <w:tcPr>
            <w:tcW w:w="4590" w:type="dxa"/>
            <w:tcBorders>
              <w:top w:val="single" w:color="auto" w:sz="4" w:space="0"/>
              <w:left w:val="single" w:color="auto" w:sz="4" w:space="0"/>
              <w:bottom w:val="single" w:color="auto" w:sz="4" w:space="0"/>
              <w:right w:val="single" w:color="auto" w:sz="4" w:space="0"/>
            </w:tcBorders>
            <w:vAlign w:val="center"/>
          </w:tcPr>
          <w:p w14:paraId="638AC048">
            <w:pPr>
              <w:tabs>
                <w:tab w:val="left" w:pos="5355"/>
              </w:tabs>
              <w:spacing w:line="500" w:lineRule="exact"/>
              <w:rPr>
                <w:rFonts w:hint="eastAsia" w:ascii="宋体" w:hAnsi="宋体" w:eastAsia="宋体" w:cs="宋体"/>
                <w:sz w:val="24"/>
                <w:highlight w:val="none"/>
              </w:rPr>
            </w:pPr>
            <w:r>
              <w:rPr>
                <w:rFonts w:hint="eastAsia" w:ascii="宋体" w:hAnsi="宋体" w:eastAsia="宋体" w:cs="宋体"/>
                <w:sz w:val="24"/>
                <w:highlight w:val="none"/>
              </w:rPr>
              <w:t>账号：</w:t>
            </w:r>
          </w:p>
          <w:p w14:paraId="0826E63B">
            <w:pPr>
              <w:spacing w:line="348" w:lineRule="auto"/>
              <w:ind w:firstLine="480" w:firstLineChars="200"/>
              <w:rPr>
                <w:rFonts w:hint="eastAsia" w:ascii="宋体" w:hAnsi="宋体" w:eastAsia="宋体" w:cs="宋体"/>
                <w:sz w:val="24"/>
                <w:highlight w:val="none"/>
              </w:rPr>
            </w:pPr>
          </w:p>
        </w:tc>
      </w:tr>
      <w:tr w14:paraId="2F8A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4590" w:type="dxa"/>
            <w:tcBorders>
              <w:top w:val="single" w:color="auto" w:sz="4" w:space="0"/>
              <w:left w:val="single" w:color="auto" w:sz="4" w:space="0"/>
              <w:bottom w:val="single" w:color="auto" w:sz="4" w:space="0"/>
              <w:right w:val="single" w:color="auto" w:sz="4" w:space="0"/>
            </w:tcBorders>
            <w:vAlign w:val="center"/>
          </w:tcPr>
          <w:p w14:paraId="25345858">
            <w:pPr>
              <w:spacing w:line="348" w:lineRule="auto"/>
              <w:rPr>
                <w:rFonts w:hint="eastAsia" w:ascii="宋体" w:hAnsi="宋体" w:eastAsia="宋体" w:cs="宋体"/>
                <w:sz w:val="24"/>
                <w:highlight w:val="none"/>
              </w:rPr>
            </w:pPr>
            <w:r>
              <w:rPr>
                <w:rFonts w:hint="eastAsia" w:ascii="宋体" w:hAnsi="宋体" w:eastAsia="宋体" w:cs="宋体"/>
                <w:sz w:val="24"/>
                <w:highlight w:val="none"/>
              </w:rPr>
              <w:t>日期：    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tc>
        <w:tc>
          <w:tcPr>
            <w:tcW w:w="4590" w:type="dxa"/>
            <w:tcBorders>
              <w:top w:val="single" w:color="auto" w:sz="4" w:space="0"/>
              <w:left w:val="single" w:color="auto" w:sz="4" w:space="0"/>
              <w:bottom w:val="single" w:color="auto" w:sz="4" w:space="0"/>
              <w:right w:val="single" w:color="auto" w:sz="4" w:space="0"/>
            </w:tcBorders>
            <w:vAlign w:val="center"/>
          </w:tcPr>
          <w:p w14:paraId="72B196CC">
            <w:pPr>
              <w:spacing w:line="348" w:lineRule="auto"/>
              <w:rPr>
                <w:rFonts w:hint="eastAsia" w:ascii="宋体" w:hAnsi="宋体" w:eastAsia="宋体" w:cs="宋体"/>
                <w:sz w:val="24"/>
                <w:highlight w:val="none"/>
              </w:rPr>
            </w:pPr>
            <w:r>
              <w:rPr>
                <w:rFonts w:hint="eastAsia" w:ascii="宋体" w:hAnsi="宋体" w:eastAsia="宋体" w:cs="宋体"/>
                <w:sz w:val="24"/>
                <w:highlight w:val="none"/>
              </w:rPr>
              <w:t>日期：     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tc>
      </w:tr>
    </w:tbl>
    <w:p w14:paraId="3AB1E088">
      <w:pPr>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p>
    <w:p w14:paraId="5897ACE7">
      <w:pPr>
        <w:spacing w:line="480" w:lineRule="exact"/>
        <w:jc w:val="center"/>
        <w:outlineLvl w:val="0"/>
        <w:rPr>
          <w:rFonts w:asciiTheme="minorEastAsia" w:hAnsiTheme="minorEastAsia" w:eastAsiaTheme="minorEastAsia" w:cstheme="minorEastAsia"/>
          <w:highlight w:val="none"/>
        </w:rPr>
      </w:pPr>
      <w:bookmarkStart w:id="146" w:name="_Toc26115"/>
      <w:bookmarkStart w:id="147" w:name="_Toc27777"/>
      <w:bookmarkStart w:id="148" w:name="_Toc20061"/>
      <w:bookmarkStart w:id="149" w:name="_Toc31291"/>
      <w:bookmarkStart w:id="150" w:name="_Toc32217"/>
      <w:r>
        <w:rPr>
          <w:rFonts w:hint="eastAsia" w:asciiTheme="minorEastAsia" w:hAnsiTheme="minorEastAsia" w:eastAsiaTheme="minorEastAsia" w:cstheme="minorEastAsia"/>
          <w:sz w:val="36"/>
          <w:szCs w:val="36"/>
          <w:highlight w:val="none"/>
        </w:rPr>
        <w:t>第七部分  投标文件格式</w:t>
      </w:r>
      <w:bookmarkEnd w:id="144"/>
      <w:bookmarkEnd w:id="146"/>
      <w:bookmarkEnd w:id="147"/>
      <w:bookmarkEnd w:id="148"/>
      <w:bookmarkEnd w:id="149"/>
      <w:bookmarkEnd w:id="150"/>
    </w:p>
    <w:p w14:paraId="7E8A431A">
      <w:pPr>
        <w:adjustRightInd w:val="0"/>
        <w:snapToGrid w:val="0"/>
        <w:spacing w:line="500" w:lineRule="exact"/>
        <w:jc w:val="left"/>
        <w:rPr>
          <w:rFonts w:asciiTheme="minorEastAsia" w:hAnsiTheme="minorEastAsia" w:eastAsiaTheme="minorEastAsia" w:cstheme="minorEastAsia"/>
          <w:b/>
          <w:bCs/>
          <w:w w:val="120"/>
          <w:sz w:val="28"/>
          <w:szCs w:val="28"/>
          <w:highlight w:val="none"/>
        </w:rPr>
      </w:pPr>
      <w:r>
        <w:rPr>
          <w:rFonts w:hint="eastAsia" w:asciiTheme="minorEastAsia" w:hAnsiTheme="minorEastAsia" w:eastAsiaTheme="minorEastAsia" w:cstheme="minorEastAsia"/>
          <w:b/>
          <w:bCs/>
          <w:w w:val="120"/>
          <w:sz w:val="28"/>
          <w:szCs w:val="28"/>
          <w:highlight w:val="none"/>
        </w:rPr>
        <w:t>项目编号：</w:t>
      </w:r>
      <w:r>
        <w:rPr>
          <w:rFonts w:hint="eastAsia" w:asciiTheme="minorEastAsia" w:hAnsiTheme="minorEastAsia" w:eastAsiaTheme="minorEastAsia" w:cstheme="minorEastAsia"/>
          <w:b/>
          <w:bCs/>
          <w:w w:val="120"/>
          <w:sz w:val="28"/>
          <w:szCs w:val="28"/>
          <w:highlight w:val="none"/>
          <w:lang w:eastAsia="zh-CN"/>
        </w:rPr>
        <w:t>SXWZ2025ZB-SXXQ-202A</w:t>
      </w:r>
      <w:r>
        <w:rPr>
          <w:rFonts w:hint="eastAsia" w:asciiTheme="minorEastAsia" w:hAnsiTheme="minorEastAsia" w:eastAsiaTheme="minorEastAsia" w:cstheme="minorEastAsia"/>
          <w:b/>
          <w:bCs/>
          <w:w w:val="120"/>
          <w:sz w:val="28"/>
          <w:szCs w:val="28"/>
          <w:highlight w:val="none"/>
        </w:rPr>
        <w:t xml:space="preserve">       （正本或副本）</w:t>
      </w:r>
    </w:p>
    <w:p w14:paraId="6FED78C6">
      <w:pPr>
        <w:adjustRightInd w:val="0"/>
        <w:snapToGrid w:val="0"/>
        <w:spacing w:line="360" w:lineRule="auto"/>
        <w:jc w:val="center"/>
        <w:rPr>
          <w:rFonts w:asciiTheme="minorEastAsia" w:hAnsiTheme="minorEastAsia" w:eastAsiaTheme="minorEastAsia" w:cstheme="minorEastAsia"/>
          <w:b/>
          <w:bCs/>
          <w:sz w:val="52"/>
          <w:szCs w:val="52"/>
          <w:highlight w:val="none"/>
        </w:rPr>
      </w:pPr>
    </w:p>
    <w:p w14:paraId="153E6C9F">
      <w:pPr>
        <w:snapToGrid w:val="0"/>
        <w:spacing w:line="360" w:lineRule="auto"/>
        <w:jc w:val="center"/>
        <w:rPr>
          <w:rFonts w:hint="eastAsia" w:asciiTheme="minorEastAsia" w:hAnsiTheme="minorEastAsia" w:eastAsiaTheme="minorEastAsia" w:cstheme="minorEastAsia"/>
          <w:b/>
          <w:bCs/>
          <w:sz w:val="56"/>
          <w:szCs w:val="56"/>
          <w:highlight w:val="none"/>
          <w:lang w:eastAsia="zh-CN"/>
        </w:rPr>
      </w:pPr>
      <w:r>
        <w:rPr>
          <w:rFonts w:hint="eastAsia" w:asciiTheme="minorEastAsia" w:hAnsiTheme="minorEastAsia" w:eastAsiaTheme="minorEastAsia" w:cstheme="minorEastAsia"/>
          <w:b/>
          <w:bCs/>
          <w:sz w:val="52"/>
          <w:szCs w:val="52"/>
          <w:highlight w:val="none"/>
          <w:lang w:eastAsia="zh-CN"/>
        </w:rPr>
        <w:t>陕西学前师范学院人工智能创新应用教研训中心建设-卓越中学英语教师智慧虚拟仿真实训中心项目（二次）</w:t>
      </w:r>
    </w:p>
    <w:p w14:paraId="60E3781E">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投</w:t>
      </w:r>
    </w:p>
    <w:p w14:paraId="0AEF5F49">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标</w:t>
      </w:r>
    </w:p>
    <w:p w14:paraId="0853CC02">
      <w:pPr>
        <w:snapToGrid w:val="0"/>
        <w:spacing w:line="360" w:lineRule="auto"/>
        <w:jc w:val="center"/>
        <w:rPr>
          <w:rFonts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文</w:t>
      </w:r>
    </w:p>
    <w:p w14:paraId="44788117">
      <w:pPr>
        <w:snapToGrid w:val="0"/>
        <w:spacing w:line="360" w:lineRule="auto"/>
        <w:jc w:val="center"/>
        <w:rPr>
          <w:rFonts w:hint="eastAsia" w:asciiTheme="minorEastAsia" w:hAnsiTheme="minorEastAsia" w:eastAsiaTheme="minorEastAsia" w:cstheme="minorEastAsia"/>
          <w:b/>
          <w:bCs/>
          <w:sz w:val="72"/>
          <w:szCs w:val="72"/>
          <w:highlight w:val="none"/>
        </w:rPr>
      </w:pPr>
      <w:r>
        <w:rPr>
          <w:rFonts w:hint="eastAsia" w:asciiTheme="minorEastAsia" w:hAnsiTheme="minorEastAsia" w:eastAsiaTheme="minorEastAsia" w:cstheme="minorEastAsia"/>
          <w:b/>
          <w:bCs/>
          <w:sz w:val="72"/>
          <w:szCs w:val="72"/>
          <w:highlight w:val="none"/>
        </w:rPr>
        <w:t>件</w:t>
      </w:r>
    </w:p>
    <w:p w14:paraId="74E6045A">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供应商（单位名称及公章）：</w:t>
      </w:r>
      <w:r>
        <w:rPr>
          <w:rFonts w:hint="eastAsia" w:ascii="宋体" w:hAnsi="宋体" w:cs="宋体"/>
          <w:sz w:val="28"/>
          <w:szCs w:val="28"/>
          <w:highlight w:val="none"/>
        </w:rPr>
        <w:t>_________________</w:t>
      </w:r>
    </w:p>
    <w:p w14:paraId="0987D9DF">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法定代表人或被授权人（签字或盖章）：</w:t>
      </w:r>
      <w:r>
        <w:rPr>
          <w:rFonts w:hint="eastAsia" w:ascii="宋体" w:hAnsi="宋体" w:cs="宋体"/>
          <w:sz w:val="28"/>
          <w:szCs w:val="28"/>
          <w:highlight w:val="none"/>
        </w:rPr>
        <w:t>_________________</w:t>
      </w:r>
    </w:p>
    <w:p w14:paraId="6643F2F6">
      <w:pPr>
        <w:snapToGrid w:val="0"/>
        <w:spacing w:line="360" w:lineRule="auto"/>
        <w:ind w:firstLine="560" w:firstLineChars="200"/>
        <w:jc w:val="left"/>
        <w:rPr>
          <w:rFonts w:ascii="宋体" w:hAnsi="宋体" w:cs="宋体"/>
          <w:sz w:val="28"/>
          <w:szCs w:val="28"/>
          <w:highlight w:val="none"/>
          <w:lang w:val="zh-CN"/>
        </w:rPr>
      </w:pPr>
      <w:r>
        <w:rPr>
          <w:rFonts w:hint="eastAsia" w:ascii="宋体" w:hAnsi="宋体" w:cs="宋体"/>
          <w:sz w:val="28"/>
          <w:szCs w:val="28"/>
          <w:highlight w:val="none"/>
          <w:lang w:val="zh-CN"/>
        </w:rPr>
        <w:t>日期：</w:t>
      </w:r>
      <w:r>
        <w:rPr>
          <w:rFonts w:hint="eastAsia" w:ascii="宋体" w:hAnsi="宋体" w:cs="宋体"/>
          <w:sz w:val="28"/>
          <w:szCs w:val="28"/>
          <w:highlight w:val="none"/>
        </w:rPr>
        <w:t>_________________</w:t>
      </w:r>
    </w:p>
    <w:p w14:paraId="18974923">
      <w:pPr>
        <w:pageBreakBefore/>
        <w:spacing w:beforeLines="100" w:afterLines="150" w:line="500" w:lineRule="exact"/>
        <w:ind w:firstLine="723" w:firstLineChars="200"/>
        <w:jc w:val="center"/>
        <w:rPr>
          <w:rFonts w:asciiTheme="minorEastAsia" w:hAnsiTheme="minorEastAsia" w:eastAsiaTheme="minorEastAsia" w:cstheme="minorEastAsia"/>
          <w:b/>
          <w:bCs/>
          <w:sz w:val="50"/>
          <w:szCs w:val="50"/>
          <w:highlight w:val="none"/>
        </w:rPr>
      </w:pPr>
      <w:r>
        <w:rPr>
          <w:rFonts w:hint="eastAsia" w:asciiTheme="minorEastAsia" w:hAnsiTheme="minorEastAsia" w:eastAsiaTheme="minorEastAsia" w:cstheme="minorEastAsia"/>
          <w:b/>
          <w:bCs/>
          <w:sz w:val="36"/>
          <w:szCs w:val="36"/>
          <w:highlight w:val="none"/>
        </w:rPr>
        <w:t>目 录</w:t>
      </w:r>
    </w:p>
    <w:p w14:paraId="3ABEC342">
      <w:pPr>
        <w:pStyle w:val="13"/>
        <w:snapToGrid w:val="0"/>
        <w:spacing w:line="480" w:lineRule="auto"/>
        <w:ind w:firstLine="562" w:firstLineChars="200"/>
        <w:jc w:val="left"/>
        <w:rPr>
          <w:rFonts w:hAnsi="宋体" w:cs="宋体"/>
          <w:b/>
          <w:bCs/>
          <w:color w:val="000000"/>
          <w:sz w:val="28"/>
          <w:szCs w:val="28"/>
          <w:highlight w:val="none"/>
        </w:rPr>
      </w:pPr>
      <w:bookmarkStart w:id="151" w:name="_Toc3727_WPSOffice_Level1"/>
      <w:bookmarkStart w:id="152" w:name="_Toc2536"/>
      <w:bookmarkStart w:id="153" w:name="_Toc25587"/>
      <w:bookmarkStart w:id="154" w:name="_Toc6991"/>
      <w:bookmarkStart w:id="155" w:name="_Toc1625"/>
      <w:bookmarkStart w:id="156" w:name="_Toc13878"/>
      <w:r>
        <w:rPr>
          <w:rFonts w:hint="eastAsia" w:hAnsi="宋体" w:cs="宋体"/>
          <w:b/>
          <w:bCs/>
          <w:color w:val="000000"/>
          <w:sz w:val="28"/>
          <w:szCs w:val="28"/>
          <w:highlight w:val="none"/>
        </w:rPr>
        <w:t>第一章  报价函</w:t>
      </w:r>
      <w:bookmarkEnd w:id="151"/>
    </w:p>
    <w:p w14:paraId="3BBC2716">
      <w:pPr>
        <w:snapToGrid w:val="0"/>
        <w:spacing w:line="480" w:lineRule="auto"/>
        <w:ind w:firstLine="562" w:firstLineChars="200"/>
        <w:jc w:val="left"/>
        <w:rPr>
          <w:rFonts w:hAnsi="宋体" w:cs="宋体"/>
          <w:b/>
          <w:color w:val="000000"/>
          <w:sz w:val="28"/>
          <w:szCs w:val="28"/>
          <w:highlight w:val="none"/>
        </w:rPr>
      </w:pPr>
      <w:bookmarkStart w:id="157" w:name="_Toc23436_WPSOffice_Level1"/>
      <w:r>
        <w:rPr>
          <w:rFonts w:hint="eastAsia" w:ascii="宋体" w:hAnsi="宋体" w:cs="宋体"/>
          <w:b/>
          <w:color w:val="000000"/>
          <w:sz w:val="28"/>
          <w:szCs w:val="28"/>
          <w:highlight w:val="none"/>
        </w:rPr>
        <w:t>第二</w:t>
      </w:r>
      <w:r>
        <w:rPr>
          <w:rFonts w:hint="eastAsia" w:hAnsi="宋体" w:cs="宋体"/>
          <w:b/>
          <w:bCs/>
          <w:color w:val="000000"/>
          <w:sz w:val="28"/>
          <w:szCs w:val="28"/>
          <w:highlight w:val="none"/>
        </w:rPr>
        <w:t xml:space="preserve">章  </w:t>
      </w:r>
      <w:r>
        <w:rPr>
          <w:rFonts w:hint="eastAsia" w:ascii="宋体" w:hAnsi="宋体" w:cs="宋体"/>
          <w:b/>
          <w:color w:val="000000"/>
          <w:sz w:val="28"/>
          <w:szCs w:val="28"/>
          <w:highlight w:val="none"/>
        </w:rPr>
        <w:t>报价一览表</w:t>
      </w:r>
      <w:bookmarkEnd w:id="157"/>
    </w:p>
    <w:p w14:paraId="09CD70BB">
      <w:pPr>
        <w:pStyle w:val="13"/>
        <w:snapToGrid w:val="0"/>
        <w:spacing w:line="480" w:lineRule="auto"/>
        <w:ind w:firstLine="562" w:firstLineChars="200"/>
        <w:jc w:val="left"/>
        <w:rPr>
          <w:rFonts w:hAnsi="宋体" w:cs="宋体"/>
          <w:b/>
          <w:bCs/>
          <w:color w:val="000000"/>
          <w:sz w:val="28"/>
          <w:szCs w:val="28"/>
          <w:highlight w:val="none"/>
        </w:rPr>
      </w:pPr>
      <w:bookmarkStart w:id="158" w:name="_Toc11444_WPSOffice_Level1"/>
      <w:r>
        <w:rPr>
          <w:rFonts w:hint="eastAsia" w:hAnsi="宋体" w:cs="宋体"/>
          <w:b/>
          <w:color w:val="000000"/>
          <w:sz w:val="28"/>
          <w:szCs w:val="28"/>
          <w:highlight w:val="none"/>
        </w:rPr>
        <w:t>第三</w:t>
      </w:r>
      <w:r>
        <w:rPr>
          <w:rFonts w:hint="eastAsia" w:hAnsi="宋体" w:cs="宋体"/>
          <w:b/>
          <w:bCs/>
          <w:color w:val="000000"/>
          <w:sz w:val="28"/>
          <w:szCs w:val="28"/>
          <w:highlight w:val="none"/>
        </w:rPr>
        <w:t>章  分项报价表</w:t>
      </w:r>
      <w:bookmarkEnd w:id="158"/>
    </w:p>
    <w:p w14:paraId="169B126B">
      <w:pPr>
        <w:pStyle w:val="13"/>
        <w:snapToGrid w:val="0"/>
        <w:spacing w:line="480" w:lineRule="auto"/>
        <w:ind w:firstLine="562" w:firstLineChars="200"/>
        <w:jc w:val="left"/>
        <w:rPr>
          <w:rFonts w:hint="eastAsia" w:hAnsi="宋体" w:cs="宋体"/>
          <w:b/>
          <w:color w:val="000000"/>
          <w:kern w:val="0"/>
          <w:sz w:val="28"/>
          <w:szCs w:val="28"/>
          <w:highlight w:val="none"/>
        </w:rPr>
      </w:pPr>
      <w:bookmarkStart w:id="159" w:name="_Toc5905_WPSOffice_Level1"/>
      <w:r>
        <w:rPr>
          <w:rFonts w:hint="eastAsia" w:hAnsi="宋体" w:cs="宋体"/>
          <w:b/>
          <w:color w:val="000000"/>
          <w:sz w:val="28"/>
          <w:szCs w:val="28"/>
          <w:highlight w:val="none"/>
        </w:rPr>
        <w:t>第</w:t>
      </w:r>
      <w:r>
        <w:rPr>
          <w:rFonts w:hint="eastAsia" w:hAnsi="宋体" w:cs="宋体"/>
          <w:b/>
          <w:color w:val="000000"/>
          <w:sz w:val="28"/>
          <w:szCs w:val="28"/>
          <w:highlight w:val="none"/>
          <w:lang w:eastAsia="zh-CN"/>
        </w:rPr>
        <w:t>四</w:t>
      </w:r>
      <w:r>
        <w:rPr>
          <w:rFonts w:hint="eastAsia" w:hAnsi="宋体" w:cs="宋体"/>
          <w:b/>
          <w:bCs/>
          <w:color w:val="000000"/>
          <w:sz w:val="28"/>
          <w:szCs w:val="28"/>
          <w:highlight w:val="none"/>
        </w:rPr>
        <w:t xml:space="preserve">章  </w:t>
      </w:r>
      <w:r>
        <w:rPr>
          <w:rFonts w:hint="eastAsia" w:ascii="宋体" w:hAnsi="宋体" w:cs="宋体"/>
          <w:b/>
          <w:color w:val="000000"/>
          <w:sz w:val="28"/>
          <w:szCs w:val="28"/>
          <w:highlight w:val="none"/>
        </w:rPr>
        <w:t>供应商资质证明资</w:t>
      </w:r>
      <w:r>
        <w:rPr>
          <w:rFonts w:hint="eastAsia" w:hAnsi="宋体" w:cs="宋体"/>
          <w:b/>
          <w:color w:val="000000"/>
          <w:kern w:val="0"/>
          <w:sz w:val="28"/>
          <w:szCs w:val="28"/>
          <w:highlight w:val="none"/>
        </w:rPr>
        <w:t>料</w:t>
      </w:r>
    </w:p>
    <w:p w14:paraId="0FC52E12">
      <w:pPr>
        <w:pStyle w:val="13"/>
        <w:snapToGrid w:val="0"/>
        <w:spacing w:line="480" w:lineRule="auto"/>
        <w:ind w:firstLine="562" w:firstLineChars="200"/>
        <w:jc w:val="left"/>
        <w:rPr>
          <w:rFonts w:hAnsi="宋体" w:cs="宋体"/>
          <w:b/>
          <w:bCs/>
          <w:color w:val="000000"/>
          <w:sz w:val="28"/>
          <w:szCs w:val="28"/>
          <w:highlight w:val="none"/>
        </w:rPr>
      </w:pPr>
      <w:r>
        <w:rPr>
          <w:rFonts w:hint="eastAsia" w:hAnsi="宋体" w:cs="宋体"/>
          <w:b/>
          <w:color w:val="000000"/>
          <w:sz w:val="28"/>
          <w:szCs w:val="28"/>
          <w:highlight w:val="none"/>
        </w:rPr>
        <w:t>第</w:t>
      </w:r>
      <w:bookmarkEnd w:id="159"/>
      <w:r>
        <w:rPr>
          <w:rFonts w:hint="eastAsia" w:hAnsi="宋体" w:cs="宋体"/>
          <w:b/>
          <w:color w:val="000000"/>
          <w:sz w:val="28"/>
          <w:szCs w:val="28"/>
          <w:highlight w:val="none"/>
          <w:lang w:eastAsia="zh-CN"/>
        </w:rPr>
        <w:t>五</w:t>
      </w:r>
      <w:r>
        <w:rPr>
          <w:rFonts w:hint="eastAsia" w:hAnsi="宋体" w:cs="宋体"/>
          <w:b/>
          <w:bCs/>
          <w:color w:val="000000"/>
          <w:sz w:val="28"/>
          <w:szCs w:val="28"/>
          <w:highlight w:val="none"/>
        </w:rPr>
        <w:t>章  商务和需求响应偏离表</w:t>
      </w:r>
    </w:p>
    <w:p w14:paraId="57F7A702">
      <w:pPr>
        <w:pStyle w:val="13"/>
        <w:snapToGrid w:val="0"/>
        <w:spacing w:line="480" w:lineRule="auto"/>
        <w:ind w:firstLine="562" w:firstLineChars="200"/>
        <w:jc w:val="left"/>
        <w:rPr>
          <w:rFonts w:hAnsi="宋体" w:cs="宋体"/>
          <w:b/>
          <w:bCs/>
          <w:sz w:val="28"/>
          <w:szCs w:val="28"/>
          <w:highlight w:val="none"/>
        </w:rPr>
      </w:pPr>
      <w:r>
        <w:rPr>
          <w:rFonts w:hint="eastAsia" w:hAnsi="宋体" w:cs="宋体"/>
          <w:b/>
          <w:bCs/>
          <w:sz w:val="28"/>
          <w:szCs w:val="28"/>
          <w:highlight w:val="none"/>
        </w:rPr>
        <w:t>第六章   实施方案和技术支持资料</w:t>
      </w:r>
    </w:p>
    <w:p w14:paraId="19230C7B">
      <w:pPr>
        <w:pStyle w:val="13"/>
        <w:snapToGrid w:val="0"/>
        <w:spacing w:line="480" w:lineRule="auto"/>
        <w:ind w:firstLine="562" w:firstLineChars="200"/>
        <w:jc w:val="left"/>
        <w:rPr>
          <w:rFonts w:hint="eastAsia" w:hAnsi="宋体" w:cs="宋体"/>
          <w:b/>
          <w:bCs/>
          <w:sz w:val="28"/>
          <w:szCs w:val="28"/>
          <w:highlight w:val="none"/>
          <w:lang w:val="en-US" w:eastAsia="zh-CN"/>
        </w:rPr>
      </w:pPr>
      <w:r>
        <w:rPr>
          <w:rFonts w:hint="eastAsia" w:hAnsi="宋体" w:cs="宋体"/>
          <w:b/>
          <w:bCs/>
          <w:sz w:val="28"/>
          <w:szCs w:val="28"/>
          <w:highlight w:val="none"/>
        </w:rPr>
        <w:t xml:space="preserve">第七章   </w:t>
      </w:r>
      <w:r>
        <w:rPr>
          <w:rFonts w:hint="eastAsia" w:hAnsi="宋体" w:cs="宋体"/>
          <w:b/>
          <w:bCs/>
          <w:sz w:val="28"/>
          <w:szCs w:val="28"/>
          <w:highlight w:val="none"/>
          <w:lang w:val="en-US" w:eastAsia="zh-CN"/>
        </w:rPr>
        <w:t>技术方案</w:t>
      </w:r>
    </w:p>
    <w:p w14:paraId="2F4175D3">
      <w:pPr>
        <w:pStyle w:val="13"/>
        <w:snapToGrid w:val="0"/>
        <w:spacing w:line="480" w:lineRule="auto"/>
        <w:ind w:firstLine="562" w:firstLineChars="200"/>
        <w:jc w:val="left"/>
        <w:rPr>
          <w:rFonts w:hAnsi="宋体" w:cs="宋体"/>
          <w:b/>
          <w:bCs/>
          <w:sz w:val="28"/>
          <w:szCs w:val="28"/>
          <w:highlight w:val="none"/>
        </w:rPr>
      </w:pPr>
      <w:r>
        <w:rPr>
          <w:rFonts w:hint="eastAsia" w:hAnsi="宋体" w:cs="宋体"/>
          <w:b/>
          <w:bCs/>
          <w:sz w:val="28"/>
          <w:szCs w:val="28"/>
          <w:highlight w:val="none"/>
          <w:lang w:val="en-US" w:eastAsia="zh-CN"/>
        </w:rPr>
        <w:t xml:space="preserve">第八章   </w:t>
      </w:r>
      <w:r>
        <w:rPr>
          <w:rFonts w:hint="eastAsia" w:hAnsi="宋体" w:cs="宋体"/>
          <w:b/>
          <w:bCs/>
          <w:sz w:val="28"/>
          <w:szCs w:val="28"/>
          <w:highlight w:val="none"/>
        </w:rPr>
        <w:t>售后服务</w:t>
      </w:r>
      <w:r>
        <w:rPr>
          <w:rFonts w:hint="eastAsia" w:hAnsi="宋体" w:cs="宋体"/>
          <w:b/>
          <w:bCs/>
          <w:sz w:val="28"/>
          <w:szCs w:val="28"/>
          <w:highlight w:val="none"/>
          <w:lang w:val="en-US" w:eastAsia="zh-CN"/>
        </w:rPr>
        <w:t>及培训</w:t>
      </w:r>
      <w:r>
        <w:rPr>
          <w:rFonts w:hint="eastAsia" w:hAnsi="宋体" w:cs="宋体"/>
          <w:b/>
          <w:bCs/>
          <w:sz w:val="28"/>
          <w:szCs w:val="28"/>
          <w:highlight w:val="none"/>
        </w:rPr>
        <w:t>方案</w:t>
      </w:r>
    </w:p>
    <w:p w14:paraId="5F9AC1BB">
      <w:pPr>
        <w:pStyle w:val="13"/>
        <w:snapToGrid w:val="0"/>
        <w:spacing w:line="480" w:lineRule="auto"/>
        <w:ind w:firstLine="562" w:firstLineChars="200"/>
        <w:jc w:val="left"/>
        <w:rPr>
          <w:rFonts w:hAnsi="宋体" w:cs="宋体"/>
          <w:b/>
          <w:bCs/>
          <w:sz w:val="28"/>
          <w:szCs w:val="28"/>
          <w:highlight w:val="none"/>
        </w:rPr>
      </w:pPr>
      <w:r>
        <w:rPr>
          <w:rFonts w:hint="eastAsia" w:hAnsi="宋体" w:cs="宋体"/>
          <w:b/>
          <w:bCs/>
          <w:sz w:val="28"/>
          <w:szCs w:val="28"/>
          <w:highlight w:val="none"/>
        </w:rPr>
        <w:t>第</w:t>
      </w:r>
      <w:r>
        <w:rPr>
          <w:rFonts w:hint="eastAsia" w:hAnsi="宋体" w:cs="宋体"/>
          <w:b/>
          <w:bCs/>
          <w:sz w:val="28"/>
          <w:szCs w:val="28"/>
          <w:highlight w:val="none"/>
          <w:lang w:val="en-US" w:eastAsia="zh-CN"/>
        </w:rPr>
        <w:t>九</w:t>
      </w:r>
      <w:r>
        <w:rPr>
          <w:rFonts w:hint="eastAsia" w:hAnsi="宋体" w:cs="宋体"/>
          <w:b/>
          <w:bCs/>
          <w:sz w:val="28"/>
          <w:szCs w:val="28"/>
          <w:highlight w:val="none"/>
        </w:rPr>
        <w:t>章   供应商业绩一览表</w:t>
      </w:r>
    </w:p>
    <w:p w14:paraId="36743DEE">
      <w:pPr>
        <w:snapToGrid w:val="0"/>
        <w:spacing w:line="480" w:lineRule="auto"/>
        <w:ind w:firstLine="562" w:firstLineChars="200"/>
        <w:jc w:val="left"/>
        <w:rPr>
          <w:rFonts w:ascii="宋体" w:hAnsi="宋体" w:cs="宋体"/>
          <w:b/>
          <w:bCs/>
          <w:sz w:val="28"/>
          <w:szCs w:val="28"/>
          <w:highlight w:val="none"/>
        </w:rPr>
      </w:pPr>
      <w:r>
        <w:rPr>
          <w:rFonts w:hint="eastAsia" w:ascii="宋体" w:hAnsi="宋体" w:cs="宋体"/>
          <w:b/>
          <w:bCs/>
          <w:sz w:val="28"/>
          <w:szCs w:val="28"/>
          <w:highlight w:val="none"/>
        </w:rPr>
        <w:t>第</w:t>
      </w:r>
      <w:r>
        <w:rPr>
          <w:rFonts w:hint="eastAsia" w:ascii="宋体" w:hAnsi="宋体" w:cs="宋体"/>
          <w:b/>
          <w:bCs/>
          <w:sz w:val="28"/>
          <w:szCs w:val="28"/>
          <w:highlight w:val="none"/>
          <w:lang w:val="en-US" w:eastAsia="zh-CN"/>
        </w:rPr>
        <w:t>十</w:t>
      </w:r>
      <w:r>
        <w:rPr>
          <w:rFonts w:hint="eastAsia" w:ascii="宋体" w:hAnsi="宋体" w:cs="宋体"/>
          <w:b/>
          <w:bCs/>
          <w:sz w:val="28"/>
          <w:szCs w:val="28"/>
          <w:highlight w:val="none"/>
        </w:rPr>
        <w:t>章   供应商认为有必要说明的其他问题</w:t>
      </w:r>
    </w:p>
    <w:p w14:paraId="5372AD35">
      <w:pPr>
        <w:snapToGrid w:val="0"/>
        <w:spacing w:line="480" w:lineRule="auto"/>
        <w:ind w:firstLine="562" w:firstLineChars="200"/>
        <w:jc w:val="left"/>
        <w:rPr>
          <w:rFonts w:ascii="宋体" w:hAnsi="宋体" w:cs="宋体"/>
          <w:b/>
          <w:bCs/>
          <w:sz w:val="28"/>
          <w:szCs w:val="28"/>
          <w:highlight w:val="none"/>
        </w:rPr>
      </w:pPr>
      <w:r>
        <w:rPr>
          <w:rFonts w:hint="eastAsia" w:ascii="宋体" w:hAnsi="宋体" w:cs="宋体"/>
          <w:b/>
          <w:bCs/>
          <w:sz w:val="28"/>
          <w:szCs w:val="28"/>
          <w:highlight w:val="none"/>
        </w:rPr>
        <w:t>第十</w:t>
      </w:r>
      <w:r>
        <w:rPr>
          <w:rFonts w:hint="eastAsia" w:ascii="宋体" w:hAnsi="宋体" w:cs="宋体"/>
          <w:b/>
          <w:bCs/>
          <w:sz w:val="28"/>
          <w:szCs w:val="28"/>
          <w:highlight w:val="none"/>
          <w:lang w:val="en-US" w:eastAsia="zh-CN"/>
        </w:rPr>
        <w:t>一</w:t>
      </w:r>
      <w:r>
        <w:rPr>
          <w:rFonts w:hint="eastAsia" w:ascii="宋体" w:hAnsi="宋体" w:cs="宋体"/>
          <w:b/>
          <w:bCs/>
          <w:sz w:val="28"/>
          <w:szCs w:val="28"/>
          <w:highlight w:val="none"/>
        </w:rPr>
        <w:t>章   供应商承诺书</w:t>
      </w:r>
    </w:p>
    <w:p w14:paraId="67A311B4">
      <w:pPr>
        <w:pStyle w:val="3"/>
        <w:pageBreakBefore/>
        <w:spacing w:beforeLines="100" w:afterLines="150" w:line="500" w:lineRule="exact"/>
        <w:rPr>
          <w:rFonts w:asciiTheme="minorEastAsia" w:hAnsiTheme="minorEastAsia" w:eastAsiaTheme="minorEastAsia" w:cstheme="minorEastAsia"/>
          <w:sz w:val="36"/>
          <w:szCs w:val="36"/>
          <w:highlight w:val="none"/>
        </w:rPr>
      </w:pPr>
      <w:bookmarkStart w:id="160" w:name="_Toc19806"/>
      <w:r>
        <w:rPr>
          <w:rFonts w:hint="eastAsia" w:asciiTheme="minorEastAsia" w:hAnsiTheme="minorEastAsia" w:eastAsiaTheme="minorEastAsia" w:cstheme="minorEastAsia"/>
          <w:sz w:val="36"/>
          <w:szCs w:val="36"/>
          <w:highlight w:val="none"/>
        </w:rPr>
        <w:t>第一章  报价函</w:t>
      </w:r>
      <w:bookmarkEnd w:id="152"/>
      <w:bookmarkEnd w:id="153"/>
      <w:bookmarkEnd w:id="154"/>
      <w:bookmarkEnd w:id="155"/>
      <w:bookmarkEnd w:id="156"/>
      <w:bookmarkEnd w:id="160"/>
    </w:p>
    <w:p w14:paraId="13CD2A0E">
      <w:pPr>
        <w:adjustRightInd w:val="0"/>
        <w:snapToGrid w:val="0"/>
        <w:spacing w:line="276"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陕西万泽招标有限公司</w:t>
      </w:r>
      <w:r>
        <w:rPr>
          <w:rFonts w:hint="eastAsia" w:asciiTheme="minorEastAsia" w:hAnsiTheme="minorEastAsia" w:eastAsiaTheme="minorEastAsia" w:cstheme="minorEastAsia"/>
          <w:sz w:val="28"/>
          <w:szCs w:val="28"/>
          <w:highlight w:val="none"/>
        </w:rPr>
        <w:t>：</w:t>
      </w:r>
    </w:p>
    <w:p w14:paraId="5B8C3F5B">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我单位收到</w:t>
      </w:r>
      <w:r>
        <w:rPr>
          <w:rFonts w:hint="eastAsia" w:asciiTheme="minorEastAsia" w:hAnsiTheme="minorEastAsia" w:eastAsiaTheme="minorEastAsia" w:cstheme="minorEastAsia"/>
          <w:kern w:val="0"/>
          <w:sz w:val="24"/>
          <w:szCs w:val="24"/>
          <w:highlight w:val="none"/>
          <w:u w:val="single"/>
          <w:lang w:eastAsia="zh-CN"/>
        </w:rPr>
        <w:t>陕西学前师范学院人工智能创新应用教研训中心建设-卓越中学英语教师智慧虚拟仿真实训中心项目（二次）</w:t>
      </w:r>
      <w:r>
        <w:rPr>
          <w:rFonts w:hint="eastAsia" w:asciiTheme="minorEastAsia" w:hAnsiTheme="minorEastAsia" w:eastAsiaTheme="minorEastAsia" w:cstheme="minorEastAsia"/>
          <w:sz w:val="24"/>
          <w:szCs w:val="24"/>
          <w:highlight w:val="none"/>
        </w:rPr>
        <w:t>编号为</w:t>
      </w:r>
      <w:r>
        <w:rPr>
          <w:rFonts w:hint="eastAsia" w:asciiTheme="minorEastAsia" w:hAnsiTheme="minorEastAsia" w:eastAsiaTheme="minorEastAsia" w:cstheme="minorEastAsia"/>
          <w:sz w:val="24"/>
          <w:szCs w:val="24"/>
          <w:highlight w:val="none"/>
          <w:u w:val="single"/>
        </w:rPr>
        <w:t>：</w:t>
      </w:r>
      <w:r>
        <w:rPr>
          <w:rFonts w:hint="eastAsia" w:ascii="宋体" w:hAnsi="宋体" w:cs="宋体"/>
          <w:color w:val="000000"/>
          <w:sz w:val="24"/>
          <w:highlight w:val="none"/>
          <w:u w:val="single"/>
          <w:lang w:eastAsia="zh-CN"/>
        </w:rPr>
        <w:t>SXWZ2025ZB-SXXQ-202A</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文件，经详细研究，我公司决定参加本次招标活动。为此，我方郑重承诺以下诸点，并负法律责任。</w:t>
      </w:r>
    </w:p>
    <w:p w14:paraId="44C9312D">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1、愿意按照招标文件中的全部要求，提供合格的产品及完善的技术服务，履行合同的责任和义务。</w:t>
      </w:r>
    </w:p>
    <w:p w14:paraId="19B04D0E">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2、按照招标文件的规定，完成总体供货和服务的投标总报价为：</w:t>
      </w:r>
    </w:p>
    <w:p w14:paraId="20F38BEA">
      <w:pPr>
        <w:adjustRightInd w:val="0"/>
        <w:snapToGrid w:val="0"/>
        <w:spacing w:line="360" w:lineRule="auto"/>
        <w:ind w:left="210" w:leftChars="100" w:firstLine="240" w:firstLineChars="100"/>
        <w:rPr>
          <w:rFonts w:ascii="宋体" w:hAnsi="宋体" w:cs="宋体"/>
          <w:sz w:val="24"/>
          <w:szCs w:val="24"/>
          <w:highlight w:val="non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pacing w:val="-6"/>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3F93634A">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3、我方提交的投标文件正本______份、副本______份、投标报价一览表______份、电子文档______份、。</w:t>
      </w:r>
    </w:p>
    <w:p w14:paraId="1E3CE281">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4、我们已详细阅读了</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文件，我单位完全接受和理解本项目采购文件规定的实质性要</w:t>
      </w:r>
      <w:r>
        <w:rPr>
          <w:rFonts w:hint="eastAsia" w:asciiTheme="minorEastAsia" w:hAnsiTheme="minorEastAsia" w:eastAsiaTheme="minorEastAsia" w:cstheme="minorEastAsia"/>
          <w:sz w:val="24"/>
          <w:szCs w:val="24"/>
          <w:highlight w:val="none"/>
          <w:lang w:val="en-US" w:eastAsia="zh-CN"/>
        </w:rPr>
        <w:t>求</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并同意放弃提出含糊不清和误解问题的权力。</w:t>
      </w:r>
    </w:p>
    <w:p w14:paraId="1C97A7D8">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5、如果我方在投标后到规定的投标有效期内撤回投标文件及承诺，我们的保证金将被对方没收。</w:t>
      </w:r>
    </w:p>
    <w:p w14:paraId="3AD03271">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6、同意向贵方提供贵方可能要求的、与本次投标有关的任何证据资料。</w:t>
      </w:r>
    </w:p>
    <w:p w14:paraId="35F9B6C5">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7、我单位不存在与单位负责人为同一人或者存在直接控股、管理关系的其他供应商参与同一合同项下的政府采购活动的行为；</w:t>
      </w:r>
    </w:p>
    <w:p w14:paraId="6E624945">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、我单位不属于为本项目提供整体设计、规范编制或者项目管理、监理、检测等服务的供应商；</w:t>
      </w:r>
    </w:p>
    <w:p w14:paraId="686F164B">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、我单位不存在与其他供应商委托同一单位或者个人编制投标（响应）文件、办理投标（响应）事宜的情形；</w:t>
      </w:r>
    </w:p>
    <w:p w14:paraId="3345F184">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如本项目采购过程中需要提供样品，我单位提供的样品即为中标（成交）后将要提供的产品，我单位对提供样品的性能和质量负责，因样品存在缺陷或者不符合采购文件要求导致未能中标（成交）的，我单位愿意承担相应不利后果；</w:t>
      </w:r>
    </w:p>
    <w:p w14:paraId="29C02398">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、我单位一旦中标（成交），将严格按照采购文件规定交纳代理服务费、履约保证金，在约定期限内签订采购合同，并严格履行采购合同规定的责任和义务；</w:t>
      </w:r>
    </w:p>
    <w:p w14:paraId="74EEE78F">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我单位在本项目使用的任何技术、产品和服务（包括部分使用），不会产生因第三方提出侵犯其专利权、商标权或其它知识产权而引起的法律和经济纠纷，如因专利权、商标权或其它知识产权而引起法律和经济纠纷，由我单位承担所有相关责任；</w:t>
      </w:r>
    </w:p>
    <w:p w14:paraId="5082AAEA">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47DA09A9">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w:t>
      </w:r>
      <w:r>
        <w:rPr>
          <w:rFonts w:hint="eastAsia" w:asciiTheme="minorEastAsia" w:hAnsiTheme="minorEastAsia" w:eastAsiaTheme="minorEastAsia" w:cstheme="minorEastAsia"/>
          <w:sz w:val="24"/>
          <w:szCs w:val="24"/>
          <w:highlight w:val="none"/>
        </w:rPr>
        <w:t>我方承诺投标有效期为开标后</w:t>
      </w:r>
      <w:r>
        <w:rPr>
          <w:rFonts w:hint="eastAsia" w:asciiTheme="minorEastAsia" w:hAnsiTheme="minorEastAsia" w:eastAsiaTheme="minorEastAsia" w:cstheme="minorEastAsia"/>
          <w:sz w:val="24"/>
          <w:szCs w:val="24"/>
          <w:highlight w:val="none"/>
          <w:u w:val="single"/>
          <w:lang w:val="en-US" w:eastAsia="zh-CN"/>
        </w:rPr>
        <w:t>90</w:t>
      </w:r>
      <w:r>
        <w:rPr>
          <w:rFonts w:hint="eastAsia" w:asciiTheme="minorEastAsia" w:hAnsiTheme="minorEastAsia" w:eastAsiaTheme="minorEastAsia" w:cstheme="minorEastAsia"/>
          <w:sz w:val="24"/>
          <w:szCs w:val="24"/>
          <w:highlight w:val="none"/>
        </w:rPr>
        <w:t>日历日内有效。</w:t>
      </w:r>
    </w:p>
    <w:p w14:paraId="4E22DE72">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、所有关于本次投标的函电，请按下列地址联系：</w:t>
      </w:r>
    </w:p>
    <w:p w14:paraId="1CC4D1F8">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供应商（单位名称及公章）：____________________</w:t>
      </w:r>
    </w:p>
    <w:p w14:paraId="497D8099">
      <w:pPr>
        <w:adjustRightInd w:val="0"/>
        <w:snapToGrid w:val="0"/>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法定代表人或被授权人（签字或盖章）：____________________</w:t>
      </w:r>
    </w:p>
    <w:p w14:paraId="380F2B32">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址：____________________</w:t>
      </w:r>
    </w:p>
    <w:p w14:paraId="4734D6BC">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开户银行：____________________</w:t>
      </w:r>
    </w:p>
    <w:p w14:paraId="7882E853">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帐    号：____________________</w:t>
      </w:r>
    </w:p>
    <w:p w14:paraId="76308F25">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    话：____________________</w:t>
      </w:r>
    </w:p>
    <w:p w14:paraId="3A18F29A">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传    真：____________________</w:t>
      </w:r>
    </w:p>
    <w:p w14:paraId="5D6075D2">
      <w:pPr>
        <w:adjustRightInd w:val="0"/>
        <w:snapToGrid w:val="0"/>
        <w:spacing w:line="360" w:lineRule="auto"/>
        <w:ind w:firstLine="480" w:firstLineChars="20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邮    编：____________________</w:t>
      </w:r>
    </w:p>
    <w:p w14:paraId="21FB3937">
      <w:pPr>
        <w:adjustRightInd w:val="0"/>
        <w:snapToGrid w:val="0"/>
        <w:spacing w:line="360" w:lineRule="auto"/>
        <w:ind w:firstLine="480" w:firstLineChars="200"/>
        <w:rPr>
          <w:rFonts w:asciiTheme="minorEastAsia" w:hAnsiTheme="minorEastAsia" w:eastAsiaTheme="minorEastAsia" w:cstheme="minorEastAsia"/>
          <w:sz w:val="24"/>
          <w:szCs w:val="24"/>
          <w:highlight w:val="none"/>
        </w:rPr>
        <w:sectPr>
          <w:headerReference r:id="rId14" w:type="default"/>
          <w:pgSz w:w="11906" w:h="16838"/>
          <w:pgMar w:top="1440" w:right="1803" w:bottom="1440" w:left="1803" w:header="850" w:footer="992" w:gutter="0"/>
          <w:cols w:space="0" w:num="1"/>
          <w:rtlGutter w:val="1"/>
          <w:docGrid w:type="lines" w:linePitch="319" w:charSpace="0"/>
        </w:sectPr>
      </w:pPr>
      <w:r>
        <w:rPr>
          <w:rFonts w:hint="eastAsia" w:asciiTheme="minorEastAsia" w:hAnsiTheme="minorEastAsia" w:eastAsiaTheme="minorEastAsia" w:cstheme="minorEastAsia"/>
          <w:sz w:val="24"/>
          <w:szCs w:val="24"/>
          <w:highlight w:val="none"/>
        </w:rPr>
        <w:t>日    期：____年____月____日</w:t>
      </w:r>
    </w:p>
    <w:p w14:paraId="20A7B8EC">
      <w:pPr>
        <w:pStyle w:val="3"/>
        <w:spacing w:beforeLines="100" w:afterLines="150" w:line="500" w:lineRule="exact"/>
        <w:rPr>
          <w:rFonts w:ascii="宋体" w:hAnsi="宋体" w:cs="宋体"/>
          <w:sz w:val="36"/>
          <w:szCs w:val="36"/>
          <w:highlight w:val="none"/>
        </w:rPr>
      </w:pPr>
      <w:bookmarkStart w:id="161" w:name="_Toc1453"/>
      <w:bookmarkStart w:id="162" w:name="_Toc7118"/>
      <w:bookmarkStart w:id="163" w:name="_Toc13885"/>
      <w:r>
        <w:rPr>
          <w:rFonts w:hint="eastAsia" w:ascii="宋体" w:hAnsi="宋体" w:cs="宋体"/>
          <w:sz w:val="36"/>
          <w:szCs w:val="36"/>
          <w:highlight w:val="none"/>
        </w:rPr>
        <w:t>第二章</w:t>
      </w:r>
      <w:bookmarkEnd w:id="161"/>
      <w:r>
        <w:rPr>
          <w:rFonts w:hint="eastAsia" w:ascii="宋体" w:hAnsi="宋体" w:cs="宋体"/>
          <w:sz w:val="36"/>
          <w:szCs w:val="36"/>
          <w:highlight w:val="none"/>
          <w:lang w:val="en-US" w:eastAsia="zh-CN"/>
        </w:rPr>
        <w:t xml:space="preserve">  </w:t>
      </w:r>
      <w:r>
        <w:rPr>
          <w:rFonts w:hint="eastAsia" w:ascii="宋体" w:hAnsi="宋体" w:cs="宋体"/>
          <w:sz w:val="36"/>
          <w:szCs w:val="36"/>
          <w:highlight w:val="none"/>
        </w:rPr>
        <w:t>报价一览表</w:t>
      </w:r>
      <w:bookmarkEnd w:id="162"/>
      <w:bookmarkEnd w:id="163"/>
    </w:p>
    <w:p w14:paraId="02869958">
      <w:pPr>
        <w:widowControl/>
        <w:wordWrap w:val="0"/>
        <w:spacing w:line="360" w:lineRule="auto"/>
        <w:jc w:val="left"/>
        <w:rPr>
          <w:rFonts w:hint="eastAsia" w:ascii="宋体" w:eastAsia="宋体" w:cs="宋体"/>
          <w:kern w:val="0"/>
          <w:sz w:val="24"/>
          <w:szCs w:val="24"/>
          <w:highlight w:val="none"/>
          <w:u w:val="single"/>
          <w:lang w:eastAsia="zh-CN"/>
        </w:rPr>
      </w:pPr>
      <w:r>
        <w:rPr>
          <w:rFonts w:hint="eastAsia" w:ascii="宋体" w:hAnsi="宋体" w:cs="宋体"/>
          <w:sz w:val="24"/>
          <w:highlight w:val="none"/>
        </w:rPr>
        <w:t>项目名称：</w:t>
      </w:r>
      <w:r>
        <w:rPr>
          <w:rFonts w:hint="eastAsia" w:ascii="宋体" w:hAnsi="宋体" w:cs="宋体"/>
          <w:sz w:val="24"/>
          <w:highlight w:val="none"/>
          <w:u w:val="single"/>
          <w:lang w:eastAsia="zh-CN"/>
        </w:rPr>
        <w:t>陕西学前师范学院人工智能创新应用教研训中心建设-卓越中学英语教师智慧虚拟仿真实训中心项目（二次）</w:t>
      </w:r>
    </w:p>
    <w:p w14:paraId="419D351F">
      <w:pPr>
        <w:kinsoku w:val="0"/>
        <w:spacing w:line="360" w:lineRule="auto"/>
        <w:jc w:val="left"/>
        <w:rPr>
          <w:rFonts w:hint="default" w:ascii="宋体" w:hAnsi="宋体" w:eastAsia="宋体" w:cs="宋体"/>
          <w:sz w:val="24"/>
          <w:highlight w:val="none"/>
          <w:lang w:val="en-US" w:eastAsia="zh-CN"/>
        </w:rPr>
      </w:pPr>
      <w:r>
        <w:rPr>
          <w:rFonts w:hint="eastAsia" w:ascii="宋体" w:hAnsi="宋体" w:cs="宋体"/>
          <w:sz w:val="24"/>
          <w:highlight w:val="none"/>
        </w:rPr>
        <w:t>单位：</w:t>
      </w:r>
      <w:r>
        <w:rPr>
          <w:rFonts w:hint="eastAsia" w:ascii="宋体" w:hAnsi="宋体" w:cs="宋体"/>
          <w:sz w:val="24"/>
          <w:szCs w:val="24"/>
          <w:highlight w:val="none"/>
        </w:rPr>
        <w:t>元</w:t>
      </w:r>
      <w:r>
        <w:rPr>
          <w:rFonts w:hint="eastAsia" w:ascii="宋体" w:hAnsi="宋体" w:cs="宋体"/>
          <w:sz w:val="24"/>
          <w:szCs w:val="24"/>
          <w:highlight w:val="none"/>
          <w:lang w:val="en-US" w:eastAsia="zh-CN"/>
        </w:rPr>
        <w:t xml:space="preserve">                                                </w:t>
      </w:r>
    </w:p>
    <w:tbl>
      <w:tblPr>
        <w:tblStyle w:val="26"/>
        <w:tblpPr w:leftFromText="180" w:rightFromText="180" w:vertAnchor="text" w:horzAnchor="margin" w:tblpXSpec="center" w:tblpY="95"/>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2246"/>
        <w:gridCol w:w="1854"/>
        <w:gridCol w:w="2105"/>
      </w:tblGrid>
      <w:tr w14:paraId="1D65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869" w:type="dxa"/>
            <w:tcBorders>
              <w:tl2br w:val="single" w:color="auto" w:sz="4" w:space="0"/>
            </w:tcBorders>
          </w:tcPr>
          <w:p w14:paraId="02C3485C">
            <w:pPr>
              <w:kinsoku w:val="0"/>
              <w:spacing w:line="480" w:lineRule="auto"/>
              <w:ind w:left="10" w:right="-199" w:rightChars="-95" w:firstLine="739" w:firstLineChars="308"/>
              <w:rPr>
                <w:rFonts w:ascii="宋体" w:hAnsi="宋体" w:cs="宋体"/>
                <w:sz w:val="24"/>
                <w:highlight w:val="none"/>
              </w:rPr>
            </w:pPr>
            <w:r>
              <w:rPr>
                <w:rFonts w:hint="eastAsia" w:ascii="宋体" w:hAnsi="宋体" w:cs="宋体"/>
                <w:sz w:val="24"/>
                <w:highlight w:val="none"/>
              </w:rPr>
              <w:t>报价内容</w:t>
            </w:r>
          </w:p>
          <w:p w14:paraId="216FE91F">
            <w:pPr>
              <w:kinsoku w:val="0"/>
              <w:spacing w:line="480" w:lineRule="auto"/>
              <w:ind w:left="10" w:right="-199" w:rightChars="-95" w:firstLine="501" w:firstLineChars="209"/>
              <w:rPr>
                <w:rFonts w:ascii="宋体" w:hAnsi="宋体" w:cs="宋体"/>
                <w:sz w:val="24"/>
                <w:highlight w:val="none"/>
              </w:rPr>
            </w:pPr>
          </w:p>
          <w:p w14:paraId="4F7B8C94">
            <w:pPr>
              <w:kinsoku w:val="0"/>
              <w:spacing w:line="480" w:lineRule="auto"/>
              <w:ind w:left="10" w:right="-199" w:rightChars="-95" w:firstLine="501" w:firstLineChars="209"/>
              <w:rPr>
                <w:rFonts w:ascii="宋体" w:hAnsi="宋体" w:cs="宋体"/>
                <w:sz w:val="24"/>
                <w:highlight w:val="none"/>
              </w:rPr>
            </w:pPr>
            <w:r>
              <w:rPr>
                <w:rFonts w:hint="eastAsia" w:ascii="宋体" w:hAnsi="宋体" w:cs="宋体"/>
                <w:sz w:val="24"/>
                <w:highlight w:val="none"/>
              </w:rPr>
              <w:t>响应内容</w:t>
            </w:r>
          </w:p>
        </w:tc>
        <w:tc>
          <w:tcPr>
            <w:tcW w:w="2246" w:type="dxa"/>
            <w:vAlign w:val="center"/>
          </w:tcPr>
          <w:p w14:paraId="62DBA47D">
            <w:pPr>
              <w:kinsoku w:val="0"/>
              <w:spacing w:line="480" w:lineRule="auto"/>
              <w:jc w:val="center"/>
              <w:rPr>
                <w:rFonts w:ascii="宋体" w:hAnsi="宋体" w:cs="宋体"/>
                <w:sz w:val="24"/>
                <w:highlight w:val="none"/>
              </w:rPr>
            </w:pPr>
            <w:r>
              <w:rPr>
                <w:rFonts w:hint="eastAsia" w:ascii="宋体" w:hAnsi="宋体" w:cs="宋体"/>
                <w:sz w:val="24"/>
                <w:szCs w:val="24"/>
                <w:highlight w:val="none"/>
              </w:rPr>
              <w:t>投标总报价（元）</w:t>
            </w:r>
          </w:p>
        </w:tc>
        <w:tc>
          <w:tcPr>
            <w:tcW w:w="1854" w:type="dxa"/>
            <w:vAlign w:val="center"/>
          </w:tcPr>
          <w:p w14:paraId="272C1E5C">
            <w:pPr>
              <w:kinsoku w:val="0"/>
              <w:spacing w:line="480" w:lineRule="auto"/>
              <w:jc w:val="center"/>
              <w:rPr>
                <w:rFonts w:hint="eastAsia" w:ascii="宋体" w:hAnsi="宋体" w:cs="宋体"/>
                <w:sz w:val="24"/>
                <w:highlight w:val="none"/>
              </w:rPr>
            </w:pPr>
            <w:r>
              <w:rPr>
                <w:rFonts w:hint="eastAsia" w:ascii="宋体" w:hAnsi="宋体" w:cs="宋体"/>
                <w:sz w:val="24"/>
                <w:szCs w:val="24"/>
                <w:highlight w:val="none"/>
              </w:rPr>
              <w:t>交货期</w:t>
            </w:r>
          </w:p>
        </w:tc>
        <w:tc>
          <w:tcPr>
            <w:tcW w:w="2105" w:type="dxa"/>
            <w:vAlign w:val="center"/>
          </w:tcPr>
          <w:p w14:paraId="17001478">
            <w:pPr>
              <w:kinsoku w:val="0"/>
              <w:ind w:right="-199" w:rightChars="-95"/>
              <w:jc w:val="center"/>
              <w:rPr>
                <w:rFonts w:ascii="宋体" w:hAnsi="宋体" w:cs="宋体"/>
                <w:sz w:val="24"/>
                <w:highlight w:val="none"/>
              </w:rPr>
            </w:pPr>
            <w:r>
              <w:rPr>
                <w:rFonts w:hint="eastAsia" w:ascii="宋体" w:hAnsi="宋体" w:cs="宋体"/>
                <w:sz w:val="24"/>
                <w:szCs w:val="24"/>
                <w:highlight w:val="none"/>
              </w:rPr>
              <w:t>质保期</w:t>
            </w:r>
          </w:p>
        </w:tc>
      </w:tr>
      <w:tr w14:paraId="71B8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2869" w:type="dxa"/>
            <w:vAlign w:val="center"/>
          </w:tcPr>
          <w:p w14:paraId="50F76286">
            <w:pPr>
              <w:kinsoku w:val="0"/>
              <w:ind w:right="59" w:rightChars="28"/>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陕西学前师范学院人工智能创新应用教研训中心建设-卓越中学英语教师智慧虚拟仿真实训中心项目（二次）</w:t>
            </w:r>
          </w:p>
        </w:tc>
        <w:tc>
          <w:tcPr>
            <w:tcW w:w="2246" w:type="dxa"/>
            <w:vAlign w:val="center"/>
          </w:tcPr>
          <w:p w14:paraId="349FC469">
            <w:pPr>
              <w:kinsoku w:val="0"/>
              <w:spacing w:line="480" w:lineRule="auto"/>
              <w:ind w:left="10" w:right="-199" w:rightChars="-95" w:firstLine="501" w:firstLineChars="209"/>
              <w:jc w:val="center"/>
              <w:rPr>
                <w:rFonts w:ascii="宋体" w:hAnsi="宋体" w:cs="宋体"/>
                <w:sz w:val="24"/>
                <w:highlight w:val="none"/>
              </w:rPr>
            </w:pPr>
          </w:p>
        </w:tc>
        <w:tc>
          <w:tcPr>
            <w:tcW w:w="1854" w:type="dxa"/>
            <w:vAlign w:val="center"/>
          </w:tcPr>
          <w:p w14:paraId="70F6AABF">
            <w:pPr>
              <w:kinsoku w:val="0"/>
              <w:spacing w:line="480" w:lineRule="auto"/>
              <w:ind w:left="10" w:right="-199" w:rightChars="-95" w:firstLine="501" w:firstLineChars="209"/>
              <w:jc w:val="center"/>
              <w:rPr>
                <w:rFonts w:ascii="宋体" w:hAnsi="宋体" w:cs="宋体"/>
                <w:sz w:val="24"/>
                <w:highlight w:val="none"/>
              </w:rPr>
            </w:pPr>
          </w:p>
        </w:tc>
        <w:tc>
          <w:tcPr>
            <w:tcW w:w="2105" w:type="dxa"/>
            <w:vAlign w:val="center"/>
          </w:tcPr>
          <w:p w14:paraId="7A5A9871">
            <w:pPr>
              <w:kinsoku w:val="0"/>
              <w:spacing w:line="480" w:lineRule="auto"/>
              <w:ind w:left="10" w:right="-199" w:rightChars="-95" w:firstLine="501" w:firstLineChars="209"/>
              <w:jc w:val="center"/>
              <w:rPr>
                <w:rFonts w:ascii="宋体" w:hAnsi="宋体" w:cs="宋体"/>
                <w:sz w:val="24"/>
                <w:highlight w:val="none"/>
              </w:rPr>
            </w:pPr>
          </w:p>
        </w:tc>
      </w:tr>
      <w:tr w14:paraId="19B6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074" w:type="dxa"/>
            <w:gridSpan w:val="4"/>
            <w:vAlign w:val="center"/>
          </w:tcPr>
          <w:p w14:paraId="01A7F4E8">
            <w:pPr>
              <w:kinsoku w:val="0"/>
              <w:spacing w:line="48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szCs w:val="24"/>
                <w:highlight w:val="none"/>
              </w:rPr>
              <w:t>投标总报价：人民币</w:t>
            </w:r>
            <w:r>
              <w:rPr>
                <w:rFonts w:hint="eastAsia" w:ascii="宋体" w:hAnsi="宋体" w:cs="宋体"/>
                <w:sz w:val="24"/>
                <w:szCs w:val="24"/>
                <w:highlight w:val="none"/>
                <w:u w:val="single"/>
              </w:rPr>
              <w:t>（大写）                （小写）￥        元</w:t>
            </w:r>
          </w:p>
        </w:tc>
      </w:tr>
      <w:tr w14:paraId="5988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074" w:type="dxa"/>
            <w:gridSpan w:val="4"/>
            <w:vAlign w:val="center"/>
          </w:tcPr>
          <w:p w14:paraId="5AB6E8BA">
            <w:pPr>
              <w:kinsoku w:val="0"/>
              <w:ind w:firstLine="480" w:firstLineChars="200"/>
              <w:jc w:val="left"/>
              <w:rPr>
                <w:rFonts w:ascii="宋体" w:hAnsi="宋体" w:cs="宋体"/>
                <w:sz w:val="24"/>
                <w:szCs w:val="24"/>
                <w:highlight w:val="none"/>
              </w:rPr>
            </w:pPr>
            <w:r>
              <w:rPr>
                <w:rFonts w:hint="eastAsia" w:ascii="宋体" w:hAnsi="宋体" w:cs="宋体"/>
                <w:sz w:val="24"/>
                <w:szCs w:val="24"/>
                <w:highlight w:val="none"/>
              </w:rPr>
              <w:t>备注：</w:t>
            </w:r>
          </w:p>
          <w:p w14:paraId="068F49C6">
            <w:pPr>
              <w:kinsoku w:val="0"/>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1、表内报价内容以元为单位，精确到小数点后两位。 </w:t>
            </w:r>
          </w:p>
          <w:p w14:paraId="4C0AB468">
            <w:pPr>
              <w:ind w:firstLine="480" w:firstLineChars="200"/>
              <w:rPr>
                <w:rFonts w:hint="eastAsia" w:ascii="宋体" w:hAnsi="宋体" w:cs="宋体"/>
                <w:b/>
                <w:bCs/>
                <w:sz w:val="24"/>
                <w:szCs w:val="24"/>
                <w:highlight w:val="none"/>
              </w:rPr>
            </w:pPr>
            <w:r>
              <w:rPr>
                <w:rFonts w:ascii="宋体" w:hAnsi="宋体" w:cs="宋体"/>
                <w:sz w:val="24"/>
                <w:szCs w:val="24"/>
                <w:highlight w:val="none"/>
              </w:rPr>
              <w:t>2、交货期、质保期要求详见第五部分</w:t>
            </w:r>
            <w:r>
              <w:rPr>
                <w:rFonts w:hint="eastAsia" w:ascii="宋体" w:hAnsi="宋体" w:cs="宋体"/>
                <w:sz w:val="24"/>
                <w:szCs w:val="24"/>
                <w:highlight w:val="none"/>
              </w:rPr>
              <w:t>商务条款及采购要求</w:t>
            </w:r>
          </w:p>
        </w:tc>
      </w:tr>
    </w:tbl>
    <w:p w14:paraId="2FFB7994">
      <w:pPr>
        <w:adjustRightInd w:val="0"/>
        <w:snapToGrid w:val="0"/>
        <w:spacing w:line="480" w:lineRule="auto"/>
        <w:rPr>
          <w:rFonts w:ascii="宋体" w:hAnsi="宋体" w:cs="宋体"/>
          <w:sz w:val="24"/>
          <w:highlight w:val="none"/>
        </w:rPr>
      </w:pPr>
    </w:p>
    <w:p w14:paraId="39A4E500">
      <w:pPr>
        <w:adjustRightInd w:val="0"/>
        <w:snapToGrid w:val="0"/>
        <w:spacing w:line="480" w:lineRule="auto"/>
        <w:jc w:val="left"/>
        <w:rPr>
          <w:rFonts w:ascii="宋体" w:hAnsi="宋体" w:cs="宋体"/>
          <w:sz w:val="24"/>
          <w:highlight w:val="none"/>
        </w:rPr>
      </w:pPr>
      <w:r>
        <w:rPr>
          <w:rFonts w:hint="eastAsia" w:ascii="宋体" w:hAnsi="宋体" w:cs="宋体"/>
          <w:sz w:val="24"/>
          <w:highlight w:val="none"/>
        </w:rPr>
        <w:t>供应商（单位名称及公章）：___________________________</w:t>
      </w:r>
    </w:p>
    <w:p w14:paraId="67D7C93E">
      <w:pPr>
        <w:adjustRightInd w:val="0"/>
        <w:snapToGrid w:val="0"/>
        <w:spacing w:line="480" w:lineRule="auto"/>
        <w:jc w:val="left"/>
        <w:rPr>
          <w:highlight w:val="none"/>
        </w:rPr>
      </w:pPr>
      <w:r>
        <w:rPr>
          <w:rFonts w:hint="eastAsia" w:ascii="宋体" w:hAnsi="宋体" w:cs="宋体"/>
          <w:sz w:val="24"/>
          <w:highlight w:val="none"/>
        </w:rPr>
        <w:t>法定代表人或被授权人（签字或盖章）：__________________</w:t>
      </w:r>
    </w:p>
    <w:p w14:paraId="021F744B">
      <w:pPr>
        <w:adjustRightInd w:val="0"/>
        <w:snapToGrid w:val="0"/>
        <w:spacing w:line="480" w:lineRule="auto"/>
        <w:jc w:val="left"/>
        <w:rPr>
          <w:rFonts w:ascii="宋体" w:cs="宋体"/>
          <w:sz w:val="24"/>
          <w:highlight w:val="none"/>
        </w:rPr>
      </w:pPr>
      <w:r>
        <w:rPr>
          <w:rFonts w:hint="eastAsia" w:ascii="宋体" w:hAnsi="宋体" w:cs="宋体"/>
          <w:sz w:val="24"/>
          <w:highlight w:val="none"/>
        </w:rPr>
        <w:t>时间：_______年________月_______日</w:t>
      </w:r>
    </w:p>
    <w:p w14:paraId="140A1F87">
      <w:pPr>
        <w:adjustRightInd w:val="0"/>
        <w:snapToGrid w:val="0"/>
        <w:spacing w:line="480" w:lineRule="auto"/>
        <w:jc w:val="center"/>
        <w:outlineLvl w:val="1"/>
        <w:rPr>
          <w:color w:val="000000"/>
          <w:sz w:val="36"/>
          <w:szCs w:val="36"/>
          <w:highlight w:val="none"/>
        </w:rPr>
      </w:pPr>
      <w:r>
        <w:rPr>
          <w:rFonts w:hint="eastAsia" w:asciiTheme="minorEastAsia" w:hAnsiTheme="minorEastAsia" w:eastAsiaTheme="minorEastAsia" w:cstheme="minorEastAsia"/>
          <w:b/>
          <w:bCs/>
          <w:sz w:val="24"/>
          <w:szCs w:val="24"/>
          <w:highlight w:val="none"/>
        </w:rPr>
        <w:br w:type="page"/>
      </w:r>
      <w:bookmarkStart w:id="164" w:name="_Toc14632"/>
      <w:bookmarkStart w:id="165" w:name="_Toc27277"/>
      <w:bookmarkStart w:id="166" w:name="_Toc10234"/>
      <w:bookmarkStart w:id="167" w:name="_Toc25886"/>
      <w:bookmarkStart w:id="168" w:name="_Toc20625"/>
      <w:bookmarkStart w:id="169" w:name="_Toc9868"/>
      <w:bookmarkStart w:id="170" w:name="_Toc1789"/>
      <w:bookmarkStart w:id="171" w:name="_Toc20297"/>
      <w:bookmarkStart w:id="172" w:name="_Toc17641"/>
      <w:bookmarkStart w:id="173" w:name="_Toc9034"/>
      <w:bookmarkStart w:id="174" w:name="_Toc6753"/>
      <w:bookmarkStart w:id="175" w:name="_Toc10126"/>
      <w:bookmarkStart w:id="176" w:name="_Toc9863"/>
      <w:r>
        <w:rPr>
          <w:rFonts w:hint="eastAsia" w:hAnsi="宋体" w:cs="宋体"/>
          <w:b/>
          <w:bCs/>
          <w:color w:val="000000"/>
          <w:sz w:val="32"/>
          <w:szCs w:val="32"/>
          <w:highlight w:val="none"/>
        </w:rPr>
        <w:t>第三章</w:t>
      </w:r>
      <w:r>
        <w:rPr>
          <w:rFonts w:hint="eastAsia"/>
          <w:b/>
          <w:bCs/>
          <w:color w:val="000000"/>
          <w:sz w:val="32"/>
          <w:szCs w:val="32"/>
          <w:highlight w:val="none"/>
        </w:rPr>
        <w:t xml:space="preserve">  分项报价表</w:t>
      </w:r>
      <w:bookmarkEnd w:id="164"/>
      <w:bookmarkEnd w:id="165"/>
      <w:bookmarkEnd w:id="166"/>
      <w:bookmarkEnd w:id="167"/>
      <w:bookmarkEnd w:id="168"/>
      <w:bookmarkEnd w:id="169"/>
      <w:bookmarkEnd w:id="170"/>
      <w:bookmarkEnd w:id="171"/>
    </w:p>
    <w:p w14:paraId="6B88DDCB">
      <w:pPr>
        <w:pStyle w:val="6"/>
        <w:ind w:firstLine="0"/>
        <w:rPr>
          <w:color w:val="000000"/>
          <w:highlight w:val="none"/>
        </w:rPr>
      </w:pPr>
    </w:p>
    <w:p w14:paraId="767B6EF3">
      <w:pPr>
        <w:widowControl/>
        <w:wordWrap w:val="0"/>
        <w:spacing w:line="360" w:lineRule="auto"/>
        <w:jc w:val="left"/>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eastAsia="zh-CN"/>
        </w:rPr>
        <w:t>陕西学前师范学院人工智能创新应用教研训中心建设-卓越中学英语教师智慧虚拟仿真实训中心项目（二次）</w:t>
      </w:r>
    </w:p>
    <w:p w14:paraId="00F84C90">
      <w:pPr>
        <w:pStyle w:val="6"/>
        <w:spacing w:line="360" w:lineRule="auto"/>
        <w:ind w:firstLine="0"/>
        <w:rPr>
          <w:rFonts w:hint="eastAsia" w:ascii="宋体" w:eastAsia="宋体" w:cs="宋体"/>
          <w:color w:val="000000"/>
          <w:sz w:val="24"/>
          <w:highlight w:val="none"/>
          <w:u w:val="single"/>
          <w:lang w:eastAsia="zh-CN"/>
        </w:rPr>
      </w:pPr>
      <w:r>
        <w:rPr>
          <w:rFonts w:hint="eastAsia" w:ascii="宋体" w:hAnsi="宋体" w:cs="宋体"/>
          <w:color w:val="000000"/>
          <w:sz w:val="24"/>
          <w:highlight w:val="none"/>
        </w:rPr>
        <w:t>项目编号：</w:t>
      </w:r>
      <w:r>
        <w:rPr>
          <w:rFonts w:hint="eastAsia" w:ascii="宋体" w:hAnsi="宋体" w:cs="宋体"/>
          <w:color w:val="000000"/>
          <w:sz w:val="24"/>
          <w:highlight w:val="none"/>
          <w:u w:val="single"/>
          <w:lang w:eastAsia="zh-CN"/>
        </w:rPr>
        <w:t>SXWZ2025ZB-SXXQ-202A</w:t>
      </w:r>
    </w:p>
    <w:p w14:paraId="4FCA213C">
      <w:pPr>
        <w:widowControl/>
        <w:wordWrap w:val="0"/>
        <w:spacing w:line="360" w:lineRule="auto"/>
        <w:jc w:val="left"/>
        <w:rPr>
          <w:rFonts w:ascii="宋体" w:hAnsi="宋体" w:cs="宋体"/>
          <w:color w:val="000000"/>
          <w:sz w:val="24"/>
          <w:highlight w:val="none"/>
        </w:rPr>
      </w:pPr>
      <w:r>
        <w:rPr>
          <w:rFonts w:hint="eastAsia" w:ascii="宋体" w:hAnsi="宋体" w:cs="宋体"/>
          <w:color w:val="000000"/>
          <w:sz w:val="24"/>
          <w:highlight w:val="none"/>
        </w:rPr>
        <w:t xml:space="preserve">共  页，第  页                                        </w:t>
      </w:r>
    </w:p>
    <w:tbl>
      <w:tblPr>
        <w:tblStyle w:val="26"/>
        <w:tblW w:w="9020" w:type="dxa"/>
        <w:jc w:val="center"/>
        <w:tblLayout w:type="fixed"/>
        <w:tblCellMar>
          <w:top w:w="0" w:type="dxa"/>
          <w:left w:w="28" w:type="dxa"/>
          <w:bottom w:w="0" w:type="dxa"/>
          <w:right w:w="28" w:type="dxa"/>
        </w:tblCellMar>
      </w:tblPr>
      <w:tblGrid>
        <w:gridCol w:w="1143"/>
        <w:gridCol w:w="528"/>
        <w:gridCol w:w="785"/>
        <w:gridCol w:w="586"/>
        <w:gridCol w:w="958"/>
        <w:gridCol w:w="1563"/>
        <w:gridCol w:w="962"/>
        <w:gridCol w:w="1347"/>
        <w:gridCol w:w="1148"/>
      </w:tblGrid>
      <w:tr w14:paraId="06152DD5">
        <w:tblPrEx>
          <w:tblCellMar>
            <w:top w:w="0" w:type="dxa"/>
            <w:left w:w="28" w:type="dxa"/>
            <w:bottom w:w="0" w:type="dxa"/>
            <w:right w:w="28" w:type="dxa"/>
          </w:tblCellMar>
        </w:tblPrEx>
        <w:trPr>
          <w:trHeight w:val="865" w:hRule="atLeast"/>
          <w:jc w:val="center"/>
        </w:trPr>
        <w:tc>
          <w:tcPr>
            <w:tcW w:w="1143" w:type="dxa"/>
            <w:vMerge w:val="restart"/>
            <w:tcBorders>
              <w:top w:val="single" w:color="auto" w:sz="6" w:space="0"/>
              <w:left w:val="single" w:color="auto" w:sz="6" w:space="0"/>
              <w:right w:val="single" w:color="auto" w:sz="4" w:space="0"/>
            </w:tcBorders>
            <w:vAlign w:val="center"/>
          </w:tcPr>
          <w:p w14:paraId="42246420">
            <w:pPr>
              <w:jc w:val="left"/>
              <w:rPr>
                <w:rFonts w:ascii="宋体" w:hAnsi="宋体" w:cs="宋体"/>
                <w:sz w:val="24"/>
                <w:szCs w:val="24"/>
                <w:highlight w:val="none"/>
              </w:rPr>
            </w:pPr>
            <w:r>
              <w:rPr>
                <w:rFonts w:hint="eastAsia" w:ascii="宋体" w:hAnsi="宋体" w:cs="宋体"/>
                <w:sz w:val="24"/>
                <w:szCs w:val="24"/>
                <w:highlight w:val="none"/>
              </w:rPr>
              <w:t>产品费用</w:t>
            </w:r>
          </w:p>
        </w:tc>
        <w:tc>
          <w:tcPr>
            <w:tcW w:w="528" w:type="dxa"/>
            <w:tcBorders>
              <w:top w:val="single" w:color="auto" w:sz="6" w:space="0"/>
              <w:left w:val="single" w:color="auto" w:sz="4" w:space="0"/>
              <w:bottom w:val="single" w:color="auto" w:sz="6" w:space="0"/>
            </w:tcBorders>
            <w:vAlign w:val="center"/>
          </w:tcPr>
          <w:p w14:paraId="6C8D226E">
            <w:pPr>
              <w:spacing w:after="120"/>
              <w:jc w:val="center"/>
              <w:rPr>
                <w:rFonts w:ascii="宋体" w:hAnsi="宋体" w:cs="宋体"/>
                <w:sz w:val="24"/>
                <w:szCs w:val="24"/>
                <w:highlight w:val="none"/>
              </w:rPr>
            </w:pPr>
            <w:r>
              <w:rPr>
                <w:rFonts w:hint="eastAsia" w:ascii="宋体" w:hAnsi="宋体" w:cs="宋体"/>
                <w:sz w:val="24"/>
                <w:szCs w:val="24"/>
                <w:highlight w:val="none"/>
              </w:rPr>
              <w:t>序号</w:t>
            </w:r>
          </w:p>
        </w:tc>
        <w:tc>
          <w:tcPr>
            <w:tcW w:w="785" w:type="dxa"/>
            <w:tcBorders>
              <w:top w:val="single" w:color="auto" w:sz="6" w:space="0"/>
              <w:left w:val="single" w:color="auto" w:sz="6" w:space="0"/>
              <w:bottom w:val="single" w:color="auto" w:sz="6" w:space="0"/>
              <w:right w:val="single" w:color="auto" w:sz="6" w:space="0"/>
            </w:tcBorders>
            <w:vAlign w:val="center"/>
          </w:tcPr>
          <w:p w14:paraId="5BE1CBD1">
            <w:pPr>
              <w:spacing w:after="120"/>
              <w:jc w:val="center"/>
              <w:rPr>
                <w:rFonts w:ascii="宋体" w:hAnsi="宋体" w:cs="宋体"/>
                <w:sz w:val="24"/>
                <w:szCs w:val="24"/>
                <w:highlight w:val="none"/>
              </w:rPr>
            </w:pPr>
            <w:r>
              <w:rPr>
                <w:rFonts w:hint="eastAsia" w:ascii="宋体" w:hAnsi="宋体" w:cs="宋体"/>
                <w:sz w:val="24"/>
                <w:szCs w:val="24"/>
                <w:highlight w:val="none"/>
              </w:rPr>
              <w:t>名称</w:t>
            </w:r>
          </w:p>
        </w:tc>
        <w:tc>
          <w:tcPr>
            <w:tcW w:w="586" w:type="dxa"/>
            <w:tcBorders>
              <w:top w:val="single" w:color="auto" w:sz="6" w:space="0"/>
              <w:left w:val="single" w:color="auto" w:sz="6" w:space="0"/>
              <w:bottom w:val="single" w:color="auto" w:sz="6" w:space="0"/>
              <w:right w:val="single" w:color="auto" w:sz="4" w:space="0"/>
            </w:tcBorders>
            <w:vAlign w:val="center"/>
          </w:tcPr>
          <w:p w14:paraId="333EB102">
            <w:pPr>
              <w:spacing w:after="120"/>
              <w:jc w:val="center"/>
              <w:rPr>
                <w:rFonts w:ascii="宋体" w:hAnsi="宋体" w:cs="宋体"/>
                <w:sz w:val="24"/>
                <w:szCs w:val="24"/>
                <w:highlight w:val="none"/>
              </w:rPr>
            </w:pPr>
            <w:r>
              <w:rPr>
                <w:rFonts w:hint="eastAsia" w:ascii="宋体" w:hAnsi="宋体" w:cs="宋体"/>
                <w:sz w:val="24"/>
                <w:szCs w:val="24"/>
                <w:highlight w:val="none"/>
              </w:rPr>
              <w:t>品牌</w:t>
            </w:r>
          </w:p>
        </w:tc>
        <w:tc>
          <w:tcPr>
            <w:tcW w:w="958" w:type="dxa"/>
            <w:tcBorders>
              <w:top w:val="single" w:color="auto" w:sz="6" w:space="0"/>
              <w:left w:val="single" w:color="auto" w:sz="4" w:space="0"/>
              <w:bottom w:val="single" w:color="auto" w:sz="6" w:space="0"/>
              <w:right w:val="single" w:color="auto" w:sz="6" w:space="0"/>
            </w:tcBorders>
            <w:vAlign w:val="center"/>
          </w:tcPr>
          <w:p w14:paraId="61A92290">
            <w:pPr>
              <w:spacing w:after="120"/>
              <w:jc w:val="center"/>
              <w:rPr>
                <w:rFonts w:ascii="宋体" w:hAnsi="宋体" w:cs="宋体"/>
                <w:sz w:val="24"/>
                <w:szCs w:val="24"/>
                <w:highlight w:val="none"/>
              </w:rPr>
            </w:pPr>
            <w:r>
              <w:rPr>
                <w:rFonts w:hint="eastAsia" w:ascii="宋体" w:hAnsi="宋体" w:cs="宋体"/>
                <w:sz w:val="24"/>
                <w:szCs w:val="24"/>
                <w:highlight w:val="none"/>
              </w:rPr>
              <w:t>型号和规格</w:t>
            </w:r>
          </w:p>
        </w:tc>
        <w:tc>
          <w:tcPr>
            <w:tcW w:w="1563" w:type="dxa"/>
            <w:tcBorders>
              <w:top w:val="single" w:color="auto" w:sz="6" w:space="0"/>
              <w:left w:val="single" w:color="auto" w:sz="6" w:space="0"/>
              <w:bottom w:val="single" w:color="auto" w:sz="6" w:space="0"/>
              <w:right w:val="single" w:color="auto" w:sz="6" w:space="0"/>
            </w:tcBorders>
            <w:vAlign w:val="center"/>
          </w:tcPr>
          <w:p w14:paraId="3980DEC7">
            <w:pPr>
              <w:spacing w:before="159" w:beforeLines="50" w:after="120"/>
              <w:jc w:val="center"/>
              <w:rPr>
                <w:rFonts w:ascii="宋体" w:hAnsi="宋体" w:cs="宋体"/>
                <w:sz w:val="24"/>
                <w:szCs w:val="24"/>
                <w:highlight w:val="none"/>
              </w:rPr>
            </w:pPr>
            <w:r>
              <w:rPr>
                <w:rFonts w:hint="eastAsia" w:ascii="宋体" w:hAnsi="宋体" w:cs="宋体"/>
                <w:sz w:val="24"/>
                <w:szCs w:val="24"/>
                <w:highlight w:val="none"/>
              </w:rPr>
              <w:t>原产地及制造厂名</w:t>
            </w:r>
          </w:p>
        </w:tc>
        <w:tc>
          <w:tcPr>
            <w:tcW w:w="962" w:type="dxa"/>
            <w:tcBorders>
              <w:top w:val="single" w:color="auto" w:sz="6" w:space="0"/>
              <w:left w:val="single" w:color="auto" w:sz="6" w:space="0"/>
              <w:bottom w:val="single" w:color="auto" w:sz="6" w:space="0"/>
              <w:right w:val="single" w:color="auto" w:sz="6" w:space="0"/>
            </w:tcBorders>
            <w:vAlign w:val="center"/>
          </w:tcPr>
          <w:p w14:paraId="13896745">
            <w:pPr>
              <w:spacing w:after="120"/>
              <w:jc w:val="center"/>
              <w:rPr>
                <w:rFonts w:ascii="宋体" w:hAnsi="宋体" w:cs="宋体"/>
                <w:sz w:val="24"/>
                <w:szCs w:val="24"/>
                <w:highlight w:val="none"/>
              </w:rPr>
            </w:pPr>
            <w:r>
              <w:rPr>
                <w:rFonts w:hint="eastAsia" w:ascii="宋体" w:hAnsi="宋体" w:cs="宋体"/>
                <w:sz w:val="24"/>
                <w:szCs w:val="24"/>
                <w:highlight w:val="none"/>
              </w:rPr>
              <w:t>数量</w:t>
            </w:r>
          </w:p>
        </w:tc>
        <w:tc>
          <w:tcPr>
            <w:tcW w:w="1347" w:type="dxa"/>
            <w:tcBorders>
              <w:top w:val="single" w:color="auto" w:sz="6" w:space="0"/>
              <w:left w:val="single" w:color="auto" w:sz="6" w:space="0"/>
              <w:bottom w:val="single" w:color="auto" w:sz="6" w:space="0"/>
              <w:right w:val="single" w:color="auto" w:sz="6" w:space="0"/>
            </w:tcBorders>
            <w:vAlign w:val="center"/>
          </w:tcPr>
          <w:p w14:paraId="225F405E">
            <w:pPr>
              <w:spacing w:after="120"/>
              <w:jc w:val="center"/>
              <w:rPr>
                <w:rFonts w:ascii="宋体" w:hAnsi="宋体" w:cs="宋体"/>
                <w:sz w:val="24"/>
                <w:szCs w:val="24"/>
                <w:highlight w:val="none"/>
              </w:rPr>
            </w:pPr>
            <w:r>
              <w:rPr>
                <w:rFonts w:hint="eastAsia" w:ascii="宋体" w:hAnsi="宋体" w:cs="宋体"/>
                <w:sz w:val="24"/>
                <w:szCs w:val="24"/>
                <w:highlight w:val="none"/>
              </w:rPr>
              <w:t>单价</w:t>
            </w:r>
          </w:p>
          <w:p w14:paraId="0161F19B">
            <w:pPr>
              <w:spacing w:after="120"/>
              <w:jc w:val="center"/>
              <w:rPr>
                <w:rFonts w:ascii="宋体" w:hAnsi="宋体" w:cs="宋体"/>
                <w:bCs/>
                <w:sz w:val="24"/>
                <w:szCs w:val="24"/>
                <w:highlight w:val="none"/>
              </w:rPr>
            </w:pPr>
            <w:r>
              <w:rPr>
                <w:rFonts w:hint="eastAsia" w:ascii="宋体" w:hAnsi="宋体" w:cs="宋体"/>
                <w:sz w:val="24"/>
                <w:szCs w:val="24"/>
                <w:highlight w:val="none"/>
              </w:rPr>
              <w:t>（元）</w:t>
            </w:r>
          </w:p>
        </w:tc>
        <w:tc>
          <w:tcPr>
            <w:tcW w:w="1148" w:type="dxa"/>
            <w:tcBorders>
              <w:top w:val="single" w:color="auto" w:sz="6" w:space="0"/>
              <w:left w:val="single" w:color="auto" w:sz="6" w:space="0"/>
              <w:bottom w:val="single" w:color="auto" w:sz="6" w:space="0"/>
              <w:right w:val="single" w:color="auto" w:sz="6" w:space="0"/>
            </w:tcBorders>
            <w:vAlign w:val="center"/>
          </w:tcPr>
          <w:p w14:paraId="2CA15914">
            <w:pPr>
              <w:spacing w:after="120"/>
              <w:jc w:val="center"/>
              <w:rPr>
                <w:rFonts w:ascii="宋体" w:hAnsi="宋体" w:cs="宋体"/>
                <w:bCs/>
                <w:sz w:val="24"/>
                <w:szCs w:val="24"/>
                <w:highlight w:val="none"/>
              </w:rPr>
            </w:pPr>
            <w:r>
              <w:rPr>
                <w:rFonts w:hint="eastAsia" w:ascii="宋体" w:hAnsi="宋体" w:cs="宋体"/>
                <w:bCs/>
                <w:sz w:val="24"/>
                <w:szCs w:val="24"/>
                <w:highlight w:val="none"/>
              </w:rPr>
              <w:t>总价</w:t>
            </w:r>
          </w:p>
          <w:p w14:paraId="1A54C59C">
            <w:pPr>
              <w:spacing w:after="120"/>
              <w:jc w:val="center"/>
              <w:rPr>
                <w:rFonts w:ascii="宋体" w:hAnsi="宋体" w:cs="宋体"/>
                <w:bCs/>
                <w:sz w:val="24"/>
                <w:szCs w:val="24"/>
                <w:highlight w:val="none"/>
              </w:rPr>
            </w:pPr>
            <w:r>
              <w:rPr>
                <w:rFonts w:hint="eastAsia" w:ascii="宋体" w:hAnsi="宋体" w:cs="宋体"/>
                <w:bCs/>
                <w:sz w:val="24"/>
                <w:szCs w:val="24"/>
                <w:highlight w:val="none"/>
              </w:rPr>
              <w:t>（元）</w:t>
            </w:r>
          </w:p>
        </w:tc>
      </w:tr>
      <w:tr w14:paraId="64C92B6B">
        <w:tblPrEx>
          <w:tblCellMar>
            <w:top w:w="0" w:type="dxa"/>
            <w:left w:w="28" w:type="dxa"/>
            <w:bottom w:w="0" w:type="dxa"/>
            <w:right w:w="28" w:type="dxa"/>
          </w:tblCellMar>
        </w:tblPrEx>
        <w:trPr>
          <w:trHeight w:val="605" w:hRule="atLeast"/>
          <w:jc w:val="center"/>
        </w:trPr>
        <w:tc>
          <w:tcPr>
            <w:tcW w:w="1143" w:type="dxa"/>
            <w:vMerge w:val="continue"/>
            <w:tcBorders>
              <w:left w:val="single" w:color="auto" w:sz="6" w:space="0"/>
              <w:right w:val="single" w:color="auto" w:sz="4" w:space="0"/>
            </w:tcBorders>
            <w:vAlign w:val="center"/>
          </w:tcPr>
          <w:p w14:paraId="42625598">
            <w:pPr>
              <w:spacing w:before="319" w:beforeLines="100"/>
              <w:jc w:val="center"/>
              <w:rPr>
                <w:rFonts w:ascii="宋体" w:hAnsi="宋体" w:cs="宋体"/>
                <w:sz w:val="24"/>
                <w:szCs w:val="24"/>
                <w:highlight w:val="none"/>
              </w:rPr>
            </w:pPr>
          </w:p>
        </w:tc>
        <w:tc>
          <w:tcPr>
            <w:tcW w:w="528" w:type="dxa"/>
            <w:tcBorders>
              <w:top w:val="single" w:color="auto" w:sz="6" w:space="0"/>
              <w:left w:val="single" w:color="auto" w:sz="4" w:space="0"/>
              <w:bottom w:val="single" w:color="auto" w:sz="4" w:space="0"/>
            </w:tcBorders>
            <w:vAlign w:val="center"/>
          </w:tcPr>
          <w:p w14:paraId="20DEA1F7">
            <w:pPr>
              <w:spacing w:before="319" w:beforeLines="100"/>
              <w:jc w:val="center"/>
              <w:rPr>
                <w:rFonts w:ascii="宋体" w:hAnsi="宋体" w:cs="宋体"/>
                <w:sz w:val="24"/>
                <w:szCs w:val="24"/>
                <w:highlight w:val="none"/>
              </w:rPr>
            </w:pPr>
            <w:r>
              <w:rPr>
                <w:rFonts w:hint="eastAsia" w:ascii="宋体" w:hAnsi="宋体" w:cs="宋体"/>
                <w:sz w:val="24"/>
                <w:szCs w:val="24"/>
                <w:highlight w:val="none"/>
              </w:rPr>
              <w:t>1</w:t>
            </w:r>
          </w:p>
        </w:tc>
        <w:tc>
          <w:tcPr>
            <w:tcW w:w="785" w:type="dxa"/>
            <w:tcBorders>
              <w:top w:val="single" w:color="auto" w:sz="6" w:space="0"/>
              <w:left w:val="single" w:color="auto" w:sz="6" w:space="0"/>
              <w:bottom w:val="single" w:color="auto" w:sz="4" w:space="0"/>
              <w:right w:val="single" w:color="auto" w:sz="6" w:space="0"/>
            </w:tcBorders>
            <w:vAlign w:val="center"/>
          </w:tcPr>
          <w:p w14:paraId="108490A4">
            <w:pPr>
              <w:spacing w:before="159" w:beforeLines="50"/>
              <w:jc w:val="center"/>
              <w:rPr>
                <w:rFonts w:ascii="宋体" w:hAnsi="宋体" w:cs="宋体"/>
                <w:sz w:val="24"/>
                <w:szCs w:val="24"/>
                <w:highlight w:val="none"/>
              </w:rPr>
            </w:pPr>
          </w:p>
        </w:tc>
        <w:tc>
          <w:tcPr>
            <w:tcW w:w="586" w:type="dxa"/>
            <w:tcBorders>
              <w:top w:val="single" w:color="auto" w:sz="6" w:space="0"/>
              <w:left w:val="single" w:color="auto" w:sz="6" w:space="0"/>
              <w:bottom w:val="single" w:color="auto" w:sz="4" w:space="0"/>
              <w:right w:val="single" w:color="auto" w:sz="4" w:space="0"/>
            </w:tcBorders>
            <w:vAlign w:val="center"/>
          </w:tcPr>
          <w:p w14:paraId="3B986F10">
            <w:pPr>
              <w:spacing w:before="159" w:beforeLines="50"/>
              <w:jc w:val="center"/>
              <w:rPr>
                <w:rFonts w:ascii="宋体" w:hAnsi="宋体" w:cs="宋体"/>
                <w:sz w:val="24"/>
                <w:szCs w:val="24"/>
                <w:highlight w:val="none"/>
              </w:rPr>
            </w:pPr>
          </w:p>
        </w:tc>
        <w:tc>
          <w:tcPr>
            <w:tcW w:w="958" w:type="dxa"/>
            <w:tcBorders>
              <w:top w:val="single" w:color="auto" w:sz="6" w:space="0"/>
              <w:left w:val="single" w:color="auto" w:sz="4" w:space="0"/>
              <w:bottom w:val="single" w:color="auto" w:sz="4" w:space="0"/>
              <w:right w:val="single" w:color="auto" w:sz="6" w:space="0"/>
            </w:tcBorders>
            <w:vAlign w:val="center"/>
          </w:tcPr>
          <w:p w14:paraId="0BB519C7">
            <w:pPr>
              <w:spacing w:before="159" w:beforeLines="50"/>
              <w:jc w:val="center"/>
              <w:rPr>
                <w:rFonts w:ascii="宋体" w:hAnsi="宋体" w:cs="宋体"/>
                <w:sz w:val="24"/>
                <w:szCs w:val="24"/>
                <w:highlight w:val="none"/>
              </w:rPr>
            </w:pPr>
          </w:p>
        </w:tc>
        <w:tc>
          <w:tcPr>
            <w:tcW w:w="1563" w:type="dxa"/>
            <w:tcBorders>
              <w:top w:val="single" w:color="auto" w:sz="6" w:space="0"/>
              <w:left w:val="single" w:color="auto" w:sz="6" w:space="0"/>
              <w:bottom w:val="single" w:color="auto" w:sz="4" w:space="0"/>
              <w:right w:val="single" w:color="auto" w:sz="6" w:space="0"/>
            </w:tcBorders>
            <w:vAlign w:val="center"/>
          </w:tcPr>
          <w:p w14:paraId="01A59170">
            <w:pPr>
              <w:spacing w:before="159" w:beforeLines="50"/>
              <w:jc w:val="center"/>
              <w:rPr>
                <w:rFonts w:ascii="宋体" w:hAnsi="宋体" w:cs="宋体"/>
                <w:sz w:val="24"/>
                <w:szCs w:val="24"/>
                <w:highlight w:val="none"/>
              </w:rPr>
            </w:pPr>
          </w:p>
        </w:tc>
        <w:tc>
          <w:tcPr>
            <w:tcW w:w="962" w:type="dxa"/>
            <w:tcBorders>
              <w:top w:val="single" w:color="auto" w:sz="6" w:space="0"/>
              <w:left w:val="single" w:color="auto" w:sz="6" w:space="0"/>
              <w:bottom w:val="single" w:color="auto" w:sz="4" w:space="0"/>
              <w:right w:val="single" w:color="auto" w:sz="6" w:space="0"/>
            </w:tcBorders>
            <w:vAlign w:val="center"/>
          </w:tcPr>
          <w:p w14:paraId="2A1FAD01">
            <w:pPr>
              <w:spacing w:before="159" w:beforeLines="50"/>
              <w:jc w:val="center"/>
              <w:rPr>
                <w:rFonts w:ascii="宋体" w:hAnsi="宋体" w:cs="宋体"/>
                <w:sz w:val="24"/>
                <w:szCs w:val="24"/>
                <w:highlight w:val="none"/>
              </w:rPr>
            </w:pPr>
          </w:p>
        </w:tc>
        <w:tc>
          <w:tcPr>
            <w:tcW w:w="1347" w:type="dxa"/>
            <w:tcBorders>
              <w:top w:val="single" w:color="auto" w:sz="6" w:space="0"/>
              <w:left w:val="single" w:color="auto" w:sz="6" w:space="0"/>
              <w:bottom w:val="single" w:color="auto" w:sz="4" w:space="0"/>
              <w:right w:val="single" w:color="auto" w:sz="6" w:space="0"/>
            </w:tcBorders>
            <w:vAlign w:val="center"/>
          </w:tcPr>
          <w:p w14:paraId="0F691213">
            <w:pPr>
              <w:spacing w:before="159" w:beforeLines="50"/>
              <w:jc w:val="center"/>
              <w:rPr>
                <w:rFonts w:ascii="宋体" w:hAnsi="宋体" w:cs="宋体"/>
                <w:sz w:val="24"/>
                <w:szCs w:val="24"/>
                <w:highlight w:val="none"/>
              </w:rPr>
            </w:pPr>
          </w:p>
        </w:tc>
        <w:tc>
          <w:tcPr>
            <w:tcW w:w="1148" w:type="dxa"/>
            <w:tcBorders>
              <w:top w:val="single" w:color="auto" w:sz="6" w:space="0"/>
              <w:left w:val="single" w:color="auto" w:sz="6" w:space="0"/>
              <w:bottom w:val="single" w:color="auto" w:sz="4" w:space="0"/>
              <w:right w:val="single" w:color="auto" w:sz="6" w:space="0"/>
            </w:tcBorders>
            <w:vAlign w:val="center"/>
          </w:tcPr>
          <w:p w14:paraId="66561335">
            <w:pPr>
              <w:spacing w:before="159" w:beforeLines="50"/>
              <w:jc w:val="center"/>
              <w:rPr>
                <w:rFonts w:ascii="宋体" w:hAnsi="宋体" w:cs="宋体"/>
                <w:sz w:val="24"/>
                <w:szCs w:val="24"/>
                <w:highlight w:val="none"/>
              </w:rPr>
            </w:pPr>
          </w:p>
        </w:tc>
      </w:tr>
      <w:tr w14:paraId="652B59C0">
        <w:tblPrEx>
          <w:tblCellMar>
            <w:top w:w="0" w:type="dxa"/>
            <w:left w:w="28" w:type="dxa"/>
            <w:bottom w:w="0" w:type="dxa"/>
            <w:right w:w="28" w:type="dxa"/>
          </w:tblCellMar>
        </w:tblPrEx>
        <w:trPr>
          <w:trHeight w:val="601" w:hRule="atLeast"/>
          <w:jc w:val="center"/>
        </w:trPr>
        <w:tc>
          <w:tcPr>
            <w:tcW w:w="1143" w:type="dxa"/>
            <w:vMerge w:val="continue"/>
            <w:tcBorders>
              <w:left w:val="single" w:color="auto" w:sz="6" w:space="0"/>
              <w:right w:val="single" w:color="auto" w:sz="4" w:space="0"/>
            </w:tcBorders>
            <w:vAlign w:val="center"/>
          </w:tcPr>
          <w:p w14:paraId="2719A07F">
            <w:pPr>
              <w:spacing w:before="319" w:beforeLines="100"/>
              <w:jc w:val="center"/>
              <w:rPr>
                <w:rFonts w:ascii="宋体" w:hAnsi="宋体" w:cs="宋体"/>
                <w:sz w:val="24"/>
                <w:szCs w:val="24"/>
                <w:highlight w:val="none"/>
              </w:rPr>
            </w:pPr>
          </w:p>
        </w:tc>
        <w:tc>
          <w:tcPr>
            <w:tcW w:w="528" w:type="dxa"/>
            <w:tcBorders>
              <w:top w:val="single" w:color="auto" w:sz="4" w:space="0"/>
              <w:left w:val="single" w:color="auto" w:sz="4" w:space="0"/>
              <w:bottom w:val="single" w:color="auto" w:sz="6" w:space="0"/>
            </w:tcBorders>
            <w:vAlign w:val="center"/>
          </w:tcPr>
          <w:p w14:paraId="43DDABEE">
            <w:pPr>
              <w:spacing w:before="319" w:beforeLines="100"/>
              <w:jc w:val="center"/>
              <w:rPr>
                <w:rFonts w:ascii="宋体" w:hAnsi="宋体" w:cs="宋体"/>
                <w:sz w:val="24"/>
                <w:szCs w:val="24"/>
                <w:highlight w:val="none"/>
              </w:rPr>
            </w:pPr>
            <w:r>
              <w:rPr>
                <w:rFonts w:hint="eastAsia" w:ascii="宋体" w:hAnsi="宋体" w:cs="宋体"/>
                <w:sz w:val="24"/>
                <w:szCs w:val="24"/>
                <w:highlight w:val="none"/>
              </w:rPr>
              <w:t>2</w:t>
            </w:r>
          </w:p>
        </w:tc>
        <w:tc>
          <w:tcPr>
            <w:tcW w:w="785" w:type="dxa"/>
            <w:tcBorders>
              <w:top w:val="single" w:color="auto" w:sz="4" w:space="0"/>
              <w:left w:val="single" w:color="auto" w:sz="6" w:space="0"/>
              <w:bottom w:val="single" w:color="auto" w:sz="6" w:space="0"/>
              <w:right w:val="single" w:color="auto" w:sz="6" w:space="0"/>
            </w:tcBorders>
            <w:vAlign w:val="center"/>
          </w:tcPr>
          <w:p w14:paraId="5DAD402A">
            <w:pPr>
              <w:spacing w:before="319" w:beforeLines="100"/>
              <w:jc w:val="center"/>
              <w:rPr>
                <w:rFonts w:ascii="宋体" w:hAnsi="宋体" w:cs="宋体"/>
                <w:sz w:val="24"/>
                <w:szCs w:val="24"/>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14:paraId="2A274D30">
            <w:pPr>
              <w:spacing w:before="159" w:beforeLines="50"/>
              <w:jc w:val="center"/>
              <w:rPr>
                <w:rFonts w:ascii="宋体" w:hAnsi="宋体" w:cs="宋体"/>
                <w:sz w:val="24"/>
                <w:szCs w:val="24"/>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14:paraId="7C97FC4D">
            <w:pPr>
              <w:spacing w:before="159" w:beforeLines="50"/>
              <w:jc w:val="center"/>
              <w:rPr>
                <w:rFonts w:ascii="宋体" w:hAnsi="宋体" w:cs="宋体"/>
                <w:sz w:val="24"/>
                <w:szCs w:val="24"/>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14:paraId="33F9CD43">
            <w:pPr>
              <w:spacing w:before="159" w:beforeLines="50"/>
              <w:jc w:val="center"/>
              <w:rPr>
                <w:rFonts w:ascii="宋体" w:hAnsi="宋体" w:cs="宋体"/>
                <w:sz w:val="24"/>
                <w:szCs w:val="24"/>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14:paraId="2E578CA2">
            <w:pPr>
              <w:spacing w:before="159" w:beforeLines="50"/>
              <w:jc w:val="center"/>
              <w:rPr>
                <w:rFonts w:ascii="宋体" w:hAnsi="宋体" w:cs="宋体"/>
                <w:sz w:val="24"/>
                <w:szCs w:val="24"/>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14:paraId="50B6C101">
            <w:pPr>
              <w:spacing w:before="159" w:beforeLines="50"/>
              <w:jc w:val="center"/>
              <w:rPr>
                <w:rFonts w:ascii="宋体" w:hAnsi="宋体" w:cs="宋体"/>
                <w:sz w:val="24"/>
                <w:szCs w:val="24"/>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14:paraId="4F120437">
            <w:pPr>
              <w:spacing w:before="159" w:beforeLines="50"/>
              <w:jc w:val="center"/>
              <w:rPr>
                <w:rFonts w:ascii="宋体" w:hAnsi="宋体" w:cs="宋体"/>
                <w:sz w:val="24"/>
                <w:szCs w:val="24"/>
                <w:highlight w:val="none"/>
              </w:rPr>
            </w:pPr>
          </w:p>
        </w:tc>
      </w:tr>
      <w:tr w14:paraId="3DF9AA9D">
        <w:tblPrEx>
          <w:tblCellMar>
            <w:top w:w="0" w:type="dxa"/>
            <w:left w:w="28" w:type="dxa"/>
            <w:bottom w:w="0" w:type="dxa"/>
            <w:right w:w="28" w:type="dxa"/>
          </w:tblCellMar>
        </w:tblPrEx>
        <w:trPr>
          <w:trHeight w:val="605" w:hRule="atLeast"/>
          <w:jc w:val="center"/>
        </w:trPr>
        <w:tc>
          <w:tcPr>
            <w:tcW w:w="1143" w:type="dxa"/>
            <w:vMerge w:val="continue"/>
            <w:tcBorders>
              <w:left w:val="single" w:color="auto" w:sz="6" w:space="0"/>
              <w:right w:val="single" w:color="auto" w:sz="4" w:space="0"/>
            </w:tcBorders>
            <w:vAlign w:val="center"/>
          </w:tcPr>
          <w:p w14:paraId="2EE3FC36">
            <w:pPr>
              <w:spacing w:before="319" w:beforeLines="100"/>
              <w:jc w:val="center"/>
              <w:rPr>
                <w:rFonts w:ascii="宋体" w:hAnsi="宋体" w:cs="宋体"/>
                <w:sz w:val="24"/>
                <w:szCs w:val="24"/>
                <w:highlight w:val="none"/>
              </w:rPr>
            </w:pPr>
          </w:p>
        </w:tc>
        <w:tc>
          <w:tcPr>
            <w:tcW w:w="528" w:type="dxa"/>
            <w:tcBorders>
              <w:top w:val="single" w:color="auto" w:sz="4" w:space="0"/>
              <w:left w:val="single" w:color="auto" w:sz="4" w:space="0"/>
              <w:bottom w:val="single" w:color="auto" w:sz="6" w:space="0"/>
            </w:tcBorders>
            <w:vAlign w:val="center"/>
          </w:tcPr>
          <w:p w14:paraId="3DE778C0">
            <w:pPr>
              <w:spacing w:before="319" w:beforeLines="100"/>
              <w:jc w:val="center"/>
              <w:rPr>
                <w:rFonts w:ascii="宋体" w:hAnsi="宋体" w:cs="宋体"/>
                <w:sz w:val="24"/>
                <w:szCs w:val="24"/>
                <w:highlight w:val="none"/>
              </w:rPr>
            </w:pPr>
            <w:r>
              <w:rPr>
                <w:rFonts w:hint="eastAsia" w:ascii="宋体" w:hAnsi="宋体" w:cs="宋体"/>
                <w:sz w:val="24"/>
                <w:szCs w:val="24"/>
                <w:highlight w:val="none"/>
              </w:rPr>
              <w:t>3</w:t>
            </w:r>
          </w:p>
        </w:tc>
        <w:tc>
          <w:tcPr>
            <w:tcW w:w="785" w:type="dxa"/>
            <w:tcBorders>
              <w:top w:val="single" w:color="auto" w:sz="4" w:space="0"/>
              <w:left w:val="single" w:color="auto" w:sz="6" w:space="0"/>
              <w:bottom w:val="single" w:color="auto" w:sz="6" w:space="0"/>
              <w:right w:val="single" w:color="auto" w:sz="6" w:space="0"/>
            </w:tcBorders>
            <w:vAlign w:val="center"/>
          </w:tcPr>
          <w:p w14:paraId="591E77A0">
            <w:pPr>
              <w:spacing w:before="319" w:beforeLines="100"/>
              <w:jc w:val="center"/>
              <w:rPr>
                <w:rFonts w:ascii="宋体" w:hAnsi="宋体" w:cs="宋体"/>
                <w:sz w:val="24"/>
                <w:szCs w:val="24"/>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14:paraId="1ABDA2A3">
            <w:pPr>
              <w:spacing w:before="159" w:beforeLines="50"/>
              <w:jc w:val="center"/>
              <w:rPr>
                <w:rFonts w:ascii="宋体" w:hAnsi="宋体" w:cs="宋体"/>
                <w:sz w:val="24"/>
                <w:szCs w:val="24"/>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14:paraId="16037F72">
            <w:pPr>
              <w:spacing w:before="159" w:beforeLines="50"/>
              <w:jc w:val="center"/>
              <w:rPr>
                <w:rFonts w:ascii="宋体" w:hAnsi="宋体" w:cs="宋体"/>
                <w:sz w:val="24"/>
                <w:szCs w:val="24"/>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14:paraId="35C72857">
            <w:pPr>
              <w:spacing w:before="159" w:beforeLines="50"/>
              <w:jc w:val="center"/>
              <w:rPr>
                <w:rFonts w:ascii="宋体" w:hAnsi="宋体" w:cs="宋体"/>
                <w:sz w:val="24"/>
                <w:szCs w:val="24"/>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14:paraId="47A0000F">
            <w:pPr>
              <w:spacing w:before="159" w:beforeLines="50"/>
              <w:jc w:val="center"/>
              <w:rPr>
                <w:rFonts w:ascii="宋体" w:hAnsi="宋体" w:cs="宋体"/>
                <w:sz w:val="24"/>
                <w:szCs w:val="24"/>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14:paraId="0A4E2660">
            <w:pPr>
              <w:spacing w:before="159" w:beforeLines="50"/>
              <w:jc w:val="center"/>
              <w:rPr>
                <w:rFonts w:ascii="宋体" w:hAnsi="宋体" w:cs="宋体"/>
                <w:sz w:val="24"/>
                <w:szCs w:val="24"/>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14:paraId="3D9F58DC">
            <w:pPr>
              <w:spacing w:before="159" w:beforeLines="50"/>
              <w:jc w:val="center"/>
              <w:rPr>
                <w:rFonts w:ascii="宋体" w:hAnsi="宋体" w:cs="宋体"/>
                <w:sz w:val="24"/>
                <w:szCs w:val="24"/>
                <w:highlight w:val="none"/>
              </w:rPr>
            </w:pPr>
          </w:p>
        </w:tc>
      </w:tr>
      <w:tr w14:paraId="299C55E4">
        <w:tblPrEx>
          <w:tblCellMar>
            <w:top w:w="0" w:type="dxa"/>
            <w:left w:w="28" w:type="dxa"/>
            <w:bottom w:w="0" w:type="dxa"/>
            <w:right w:w="28" w:type="dxa"/>
          </w:tblCellMar>
        </w:tblPrEx>
        <w:trPr>
          <w:trHeight w:val="863" w:hRule="atLeast"/>
          <w:jc w:val="center"/>
        </w:trPr>
        <w:tc>
          <w:tcPr>
            <w:tcW w:w="1143" w:type="dxa"/>
            <w:vMerge w:val="continue"/>
            <w:tcBorders>
              <w:left w:val="single" w:color="auto" w:sz="6" w:space="0"/>
              <w:right w:val="single" w:color="auto" w:sz="4" w:space="0"/>
            </w:tcBorders>
            <w:vAlign w:val="center"/>
          </w:tcPr>
          <w:p w14:paraId="3076C2A1">
            <w:pPr>
              <w:spacing w:before="319" w:beforeLines="100"/>
              <w:jc w:val="center"/>
              <w:rPr>
                <w:rFonts w:ascii="宋体" w:hAnsi="宋体" w:cs="宋体"/>
                <w:sz w:val="24"/>
                <w:szCs w:val="24"/>
                <w:highlight w:val="none"/>
              </w:rPr>
            </w:pPr>
          </w:p>
        </w:tc>
        <w:tc>
          <w:tcPr>
            <w:tcW w:w="528" w:type="dxa"/>
            <w:tcBorders>
              <w:top w:val="single" w:color="auto" w:sz="4" w:space="0"/>
              <w:left w:val="single" w:color="auto" w:sz="4" w:space="0"/>
              <w:bottom w:val="single" w:color="auto" w:sz="6" w:space="0"/>
            </w:tcBorders>
            <w:vAlign w:val="center"/>
          </w:tcPr>
          <w:p w14:paraId="6DC12593">
            <w:pPr>
              <w:spacing w:before="319" w:beforeLines="100"/>
              <w:jc w:val="center"/>
              <w:rPr>
                <w:rFonts w:ascii="宋体" w:hAnsi="宋体" w:cs="宋体"/>
                <w:sz w:val="24"/>
                <w:szCs w:val="24"/>
                <w:highlight w:val="none"/>
              </w:rPr>
            </w:pPr>
            <w:r>
              <w:rPr>
                <w:rFonts w:hint="eastAsia" w:ascii="宋体" w:hAnsi="宋体" w:cs="宋体"/>
                <w:sz w:val="24"/>
                <w:szCs w:val="24"/>
                <w:highlight w:val="none"/>
              </w:rPr>
              <w:t>……</w:t>
            </w:r>
          </w:p>
        </w:tc>
        <w:tc>
          <w:tcPr>
            <w:tcW w:w="785" w:type="dxa"/>
            <w:tcBorders>
              <w:top w:val="single" w:color="auto" w:sz="4" w:space="0"/>
              <w:left w:val="single" w:color="auto" w:sz="6" w:space="0"/>
              <w:bottom w:val="single" w:color="auto" w:sz="6" w:space="0"/>
              <w:right w:val="single" w:color="auto" w:sz="6" w:space="0"/>
            </w:tcBorders>
            <w:vAlign w:val="center"/>
          </w:tcPr>
          <w:p w14:paraId="5BDCD670">
            <w:pPr>
              <w:spacing w:before="159" w:beforeLines="50"/>
              <w:jc w:val="center"/>
              <w:rPr>
                <w:rFonts w:ascii="宋体" w:hAnsi="宋体" w:cs="宋体"/>
                <w:sz w:val="24"/>
                <w:szCs w:val="24"/>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14:paraId="395ABF74">
            <w:pPr>
              <w:spacing w:before="159" w:beforeLines="50"/>
              <w:jc w:val="center"/>
              <w:rPr>
                <w:rFonts w:ascii="宋体" w:hAnsi="宋体" w:cs="宋体"/>
                <w:sz w:val="24"/>
                <w:szCs w:val="24"/>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14:paraId="2248E322">
            <w:pPr>
              <w:spacing w:before="159" w:beforeLines="50"/>
              <w:jc w:val="center"/>
              <w:rPr>
                <w:rFonts w:ascii="宋体" w:hAnsi="宋体" w:cs="宋体"/>
                <w:sz w:val="24"/>
                <w:szCs w:val="24"/>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14:paraId="4E687B75">
            <w:pPr>
              <w:spacing w:before="159" w:beforeLines="50"/>
              <w:jc w:val="center"/>
              <w:rPr>
                <w:rFonts w:ascii="宋体" w:hAnsi="宋体" w:cs="宋体"/>
                <w:sz w:val="24"/>
                <w:szCs w:val="24"/>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14:paraId="40AAE1C8">
            <w:pPr>
              <w:spacing w:before="159" w:beforeLines="50"/>
              <w:jc w:val="center"/>
              <w:rPr>
                <w:rFonts w:ascii="宋体" w:hAnsi="宋体" w:cs="宋体"/>
                <w:sz w:val="24"/>
                <w:szCs w:val="24"/>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14:paraId="0CA001B8">
            <w:pPr>
              <w:spacing w:before="159" w:beforeLines="50"/>
              <w:jc w:val="center"/>
              <w:rPr>
                <w:rFonts w:ascii="宋体" w:hAnsi="宋体" w:cs="宋体"/>
                <w:sz w:val="24"/>
                <w:szCs w:val="24"/>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14:paraId="57990848">
            <w:pPr>
              <w:spacing w:before="159" w:beforeLines="50"/>
              <w:jc w:val="center"/>
              <w:rPr>
                <w:rFonts w:ascii="宋体" w:hAnsi="宋体" w:cs="宋体"/>
                <w:sz w:val="24"/>
                <w:szCs w:val="24"/>
                <w:highlight w:val="none"/>
              </w:rPr>
            </w:pPr>
          </w:p>
        </w:tc>
      </w:tr>
      <w:tr w14:paraId="4D2F3E83">
        <w:tblPrEx>
          <w:tblCellMar>
            <w:top w:w="0" w:type="dxa"/>
            <w:left w:w="28" w:type="dxa"/>
            <w:bottom w:w="0" w:type="dxa"/>
            <w:right w:w="28" w:type="dxa"/>
          </w:tblCellMar>
        </w:tblPrEx>
        <w:trPr>
          <w:trHeight w:val="863" w:hRule="atLeast"/>
          <w:jc w:val="center"/>
        </w:trPr>
        <w:tc>
          <w:tcPr>
            <w:tcW w:w="1143" w:type="dxa"/>
            <w:vMerge w:val="continue"/>
            <w:tcBorders>
              <w:left w:val="single" w:color="auto" w:sz="6" w:space="0"/>
              <w:bottom w:val="single" w:color="auto" w:sz="6" w:space="0"/>
              <w:right w:val="single" w:color="auto" w:sz="4" w:space="0"/>
            </w:tcBorders>
            <w:vAlign w:val="center"/>
          </w:tcPr>
          <w:p w14:paraId="6CB6BFDB">
            <w:pPr>
              <w:spacing w:before="319" w:beforeLines="100"/>
              <w:jc w:val="center"/>
              <w:rPr>
                <w:rFonts w:ascii="宋体" w:hAnsi="宋体" w:cs="宋体"/>
                <w:sz w:val="24"/>
                <w:szCs w:val="24"/>
                <w:highlight w:val="none"/>
              </w:rPr>
            </w:pPr>
          </w:p>
        </w:tc>
        <w:tc>
          <w:tcPr>
            <w:tcW w:w="528" w:type="dxa"/>
            <w:tcBorders>
              <w:top w:val="single" w:color="auto" w:sz="4" w:space="0"/>
              <w:left w:val="single" w:color="auto" w:sz="4" w:space="0"/>
              <w:bottom w:val="single" w:color="auto" w:sz="6" w:space="0"/>
            </w:tcBorders>
            <w:vAlign w:val="center"/>
          </w:tcPr>
          <w:p w14:paraId="3B81E493">
            <w:pPr>
              <w:spacing w:before="319" w:beforeLines="100"/>
              <w:jc w:val="center"/>
              <w:rPr>
                <w:rFonts w:ascii="宋体" w:hAnsi="宋体" w:cs="宋体"/>
                <w:b/>
                <w:sz w:val="24"/>
                <w:szCs w:val="24"/>
                <w:highlight w:val="none"/>
              </w:rPr>
            </w:pPr>
            <w:r>
              <w:rPr>
                <w:rFonts w:hint="eastAsia" w:ascii="宋体" w:hAnsi="宋体" w:cs="宋体"/>
                <w:sz w:val="24"/>
                <w:szCs w:val="24"/>
                <w:highlight w:val="none"/>
              </w:rPr>
              <w:t>……</w:t>
            </w:r>
          </w:p>
        </w:tc>
        <w:tc>
          <w:tcPr>
            <w:tcW w:w="785" w:type="dxa"/>
            <w:tcBorders>
              <w:top w:val="single" w:color="auto" w:sz="4" w:space="0"/>
              <w:left w:val="single" w:color="auto" w:sz="6" w:space="0"/>
              <w:bottom w:val="single" w:color="auto" w:sz="6" w:space="0"/>
              <w:right w:val="single" w:color="auto" w:sz="6" w:space="0"/>
            </w:tcBorders>
            <w:vAlign w:val="center"/>
          </w:tcPr>
          <w:p w14:paraId="6CCF5227">
            <w:pPr>
              <w:spacing w:before="159" w:beforeLines="50"/>
              <w:jc w:val="center"/>
              <w:rPr>
                <w:rFonts w:ascii="宋体" w:hAnsi="宋体" w:cs="宋体"/>
                <w:sz w:val="24"/>
                <w:szCs w:val="24"/>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14:paraId="68D85457">
            <w:pPr>
              <w:spacing w:before="159" w:beforeLines="50"/>
              <w:jc w:val="center"/>
              <w:rPr>
                <w:rFonts w:ascii="宋体" w:hAnsi="宋体" w:cs="宋体"/>
                <w:sz w:val="24"/>
                <w:szCs w:val="24"/>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14:paraId="43B2444F">
            <w:pPr>
              <w:spacing w:before="159" w:beforeLines="50"/>
              <w:jc w:val="center"/>
              <w:rPr>
                <w:rFonts w:ascii="宋体" w:hAnsi="宋体" w:cs="宋体"/>
                <w:sz w:val="24"/>
                <w:szCs w:val="24"/>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14:paraId="783D7EEF">
            <w:pPr>
              <w:spacing w:before="159" w:beforeLines="50"/>
              <w:jc w:val="center"/>
              <w:rPr>
                <w:rFonts w:ascii="宋体" w:hAnsi="宋体" w:cs="宋体"/>
                <w:sz w:val="24"/>
                <w:szCs w:val="24"/>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14:paraId="7EA378CC">
            <w:pPr>
              <w:spacing w:before="159" w:beforeLines="50"/>
              <w:jc w:val="center"/>
              <w:rPr>
                <w:rFonts w:ascii="宋体" w:hAnsi="宋体" w:cs="宋体"/>
                <w:sz w:val="24"/>
                <w:szCs w:val="24"/>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14:paraId="310E7F83">
            <w:pPr>
              <w:spacing w:before="159" w:beforeLines="50"/>
              <w:jc w:val="center"/>
              <w:rPr>
                <w:rFonts w:ascii="宋体" w:hAnsi="宋体" w:cs="宋体"/>
                <w:sz w:val="24"/>
                <w:szCs w:val="24"/>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14:paraId="0377E651">
            <w:pPr>
              <w:spacing w:before="159" w:beforeLines="50"/>
              <w:jc w:val="center"/>
              <w:rPr>
                <w:rFonts w:ascii="宋体" w:hAnsi="宋体" w:cs="宋体"/>
                <w:sz w:val="24"/>
                <w:szCs w:val="24"/>
                <w:highlight w:val="none"/>
              </w:rPr>
            </w:pPr>
          </w:p>
        </w:tc>
      </w:tr>
      <w:tr w14:paraId="0D12BBB9">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14:paraId="5B14DE9D">
            <w:pPr>
              <w:jc w:val="center"/>
              <w:rPr>
                <w:rFonts w:ascii="宋体" w:hAnsi="宋体" w:cs="宋体"/>
                <w:sz w:val="24"/>
                <w:szCs w:val="24"/>
                <w:highlight w:val="none"/>
              </w:rPr>
            </w:pPr>
            <w:r>
              <w:rPr>
                <w:rFonts w:hint="eastAsia" w:ascii="宋体" w:hAnsi="宋体" w:cs="宋体"/>
                <w:sz w:val="24"/>
                <w:szCs w:val="24"/>
                <w:highlight w:val="none"/>
              </w:rPr>
              <w:t>运杂费</w:t>
            </w:r>
          </w:p>
        </w:tc>
        <w:tc>
          <w:tcPr>
            <w:tcW w:w="6564" w:type="dxa"/>
            <w:gridSpan w:val="6"/>
            <w:tcBorders>
              <w:top w:val="single" w:color="auto" w:sz="4" w:space="0"/>
              <w:left w:val="single" w:color="auto" w:sz="6" w:space="0"/>
              <w:bottom w:val="single" w:color="auto" w:sz="6" w:space="0"/>
              <w:right w:val="single" w:color="auto" w:sz="6" w:space="0"/>
            </w:tcBorders>
            <w:vAlign w:val="center"/>
          </w:tcPr>
          <w:p w14:paraId="61CCC44B">
            <w:pPr>
              <w:jc w:val="center"/>
              <w:rPr>
                <w:rFonts w:ascii="宋体" w:hAnsi="宋体" w:cs="宋体"/>
                <w:sz w:val="24"/>
                <w:szCs w:val="24"/>
                <w:highlight w:val="none"/>
              </w:rPr>
            </w:pPr>
            <w:r>
              <w:rPr>
                <w:rFonts w:hint="eastAsia" w:ascii="宋体" w:hAnsi="宋体" w:cs="宋体"/>
                <w:sz w:val="24"/>
                <w:szCs w:val="24"/>
                <w:highlight w:val="none"/>
              </w:rPr>
              <w:t>……</w:t>
            </w:r>
          </w:p>
        </w:tc>
      </w:tr>
      <w:tr w14:paraId="129DC973">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14:paraId="75472FEB">
            <w:pPr>
              <w:jc w:val="center"/>
              <w:rPr>
                <w:rFonts w:ascii="宋体" w:hAnsi="宋体" w:cs="宋体"/>
                <w:sz w:val="24"/>
                <w:szCs w:val="24"/>
                <w:highlight w:val="none"/>
              </w:rPr>
            </w:pPr>
            <w:r>
              <w:rPr>
                <w:rFonts w:hint="eastAsia" w:ascii="宋体" w:hAnsi="宋体" w:cs="宋体"/>
                <w:sz w:val="24"/>
                <w:szCs w:val="24"/>
                <w:highlight w:val="none"/>
              </w:rPr>
              <w:t>其他费用</w:t>
            </w:r>
          </w:p>
        </w:tc>
        <w:tc>
          <w:tcPr>
            <w:tcW w:w="6564" w:type="dxa"/>
            <w:gridSpan w:val="6"/>
            <w:tcBorders>
              <w:top w:val="single" w:color="auto" w:sz="4" w:space="0"/>
              <w:left w:val="single" w:color="auto" w:sz="6" w:space="0"/>
              <w:bottom w:val="single" w:color="auto" w:sz="6" w:space="0"/>
              <w:right w:val="single" w:color="auto" w:sz="6" w:space="0"/>
            </w:tcBorders>
            <w:vAlign w:val="center"/>
          </w:tcPr>
          <w:p w14:paraId="1838E541">
            <w:pPr>
              <w:jc w:val="center"/>
              <w:rPr>
                <w:rFonts w:ascii="宋体" w:hAnsi="宋体" w:cs="宋体"/>
                <w:sz w:val="24"/>
                <w:szCs w:val="24"/>
                <w:highlight w:val="none"/>
              </w:rPr>
            </w:pPr>
            <w:r>
              <w:rPr>
                <w:rFonts w:hint="eastAsia" w:ascii="宋体" w:hAnsi="宋体" w:cs="宋体"/>
                <w:sz w:val="24"/>
                <w:szCs w:val="24"/>
                <w:highlight w:val="none"/>
              </w:rPr>
              <w:t>……</w:t>
            </w:r>
          </w:p>
        </w:tc>
      </w:tr>
      <w:tr w14:paraId="23918599">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14:paraId="62D8FA10">
            <w:pPr>
              <w:jc w:val="center"/>
              <w:rPr>
                <w:rFonts w:ascii="宋体" w:hAnsi="宋体" w:cs="宋体"/>
                <w:sz w:val="24"/>
                <w:szCs w:val="24"/>
                <w:highlight w:val="none"/>
              </w:rPr>
            </w:pPr>
            <w:r>
              <w:rPr>
                <w:rFonts w:hint="eastAsia" w:ascii="宋体" w:hAnsi="宋体" w:cs="宋体"/>
                <w:sz w:val="24"/>
                <w:szCs w:val="24"/>
                <w:highlight w:val="none"/>
              </w:rPr>
              <w:t>……</w:t>
            </w:r>
          </w:p>
        </w:tc>
        <w:tc>
          <w:tcPr>
            <w:tcW w:w="6564" w:type="dxa"/>
            <w:gridSpan w:val="6"/>
            <w:tcBorders>
              <w:top w:val="single" w:color="auto" w:sz="4" w:space="0"/>
              <w:left w:val="single" w:color="auto" w:sz="6" w:space="0"/>
              <w:bottom w:val="single" w:color="auto" w:sz="6" w:space="0"/>
              <w:right w:val="single" w:color="auto" w:sz="6" w:space="0"/>
            </w:tcBorders>
            <w:vAlign w:val="center"/>
          </w:tcPr>
          <w:p w14:paraId="20F4B6E0">
            <w:pPr>
              <w:jc w:val="center"/>
              <w:rPr>
                <w:rFonts w:ascii="宋体" w:hAnsi="宋体" w:cs="宋体"/>
                <w:sz w:val="24"/>
                <w:szCs w:val="24"/>
                <w:highlight w:val="none"/>
              </w:rPr>
            </w:pPr>
            <w:r>
              <w:rPr>
                <w:rFonts w:hint="eastAsia" w:ascii="宋体" w:hAnsi="宋体" w:cs="宋体"/>
                <w:sz w:val="24"/>
                <w:szCs w:val="24"/>
                <w:highlight w:val="none"/>
              </w:rPr>
              <w:t>……</w:t>
            </w:r>
          </w:p>
        </w:tc>
      </w:tr>
      <w:tr w14:paraId="20EEE007">
        <w:tblPrEx>
          <w:tblCellMar>
            <w:top w:w="0" w:type="dxa"/>
            <w:left w:w="28" w:type="dxa"/>
            <w:bottom w:w="0" w:type="dxa"/>
            <w:right w:w="28" w:type="dxa"/>
          </w:tblCellMar>
        </w:tblPrEx>
        <w:trPr>
          <w:trHeight w:val="534" w:hRule="atLeast"/>
          <w:jc w:val="center"/>
        </w:trPr>
        <w:tc>
          <w:tcPr>
            <w:tcW w:w="1671" w:type="dxa"/>
            <w:gridSpan w:val="2"/>
            <w:tcBorders>
              <w:top w:val="single" w:color="auto" w:sz="4" w:space="0"/>
              <w:left w:val="single" w:color="auto" w:sz="6" w:space="0"/>
              <w:bottom w:val="single" w:color="auto" w:sz="6" w:space="0"/>
            </w:tcBorders>
            <w:vAlign w:val="center"/>
          </w:tcPr>
          <w:p w14:paraId="7AD468A0">
            <w:pPr>
              <w:jc w:val="center"/>
              <w:rPr>
                <w:rFonts w:ascii="宋体" w:hAnsi="宋体" w:cs="宋体"/>
                <w:sz w:val="24"/>
                <w:szCs w:val="24"/>
                <w:highlight w:val="none"/>
              </w:rPr>
            </w:pPr>
            <w:r>
              <w:rPr>
                <w:rFonts w:hint="eastAsia" w:ascii="宋体" w:hAnsi="宋体" w:cs="宋体"/>
                <w:sz w:val="24"/>
                <w:szCs w:val="24"/>
                <w:highlight w:val="none"/>
              </w:rPr>
              <w:t>投标总报价</w:t>
            </w:r>
          </w:p>
        </w:tc>
        <w:tc>
          <w:tcPr>
            <w:tcW w:w="7349" w:type="dxa"/>
            <w:gridSpan w:val="7"/>
            <w:tcBorders>
              <w:top w:val="single" w:color="auto" w:sz="4" w:space="0"/>
              <w:left w:val="single" w:color="auto" w:sz="6" w:space="0"/>
              <w:bottom w:val="single" w:color="auto" w:sz="6" w:space="0"/>
              <w:right w:val="single" w:color="auto" w:sz="6" w:space="0"/>
            </w:tcBorders>
            <w:vAlign w:val="center"/>
          </w:tcPr>
          <w:p w14:paraId="7CD1F0EB">
            <w:pPr>
              <w:spacing w:before="159" w:beforeLines="50"/>
              <w:jc w:val="left"/>
              <w:rPr>
                <w:rFonts w:ascii="宋体" w:hAnsi="宋体" w:cs="宋体"/>
                <w:sz w:val="24"/>
                <w:szCs w:val="24"/>
                <w:highlight w:val="none"/>
              </w:rPr>
            </w:pPr>
            <w:r>
              <w:rPr>
                <w:rFonts w:hint="eastAsia" w:ascii="宋体" w:hAnsi="宋体" w:cs="宋体"/>
                <w:sz w:val="24"/>
                <w:szCs w:val="24"/>
                <w:highlight w:val="none"/>
              </w:rPr>
              <w:t>大写：                       小写：元</w:t>
            </w:r>
          </w:p>
        </w:tc>
      </w:tr>
      <w:tr w14:paraId="37703FD1">
        <w:tblPrEx>
          <w:tblCellMar>
            <w:top w:w="0" w:type="dxa"/>
            <w:left w:w="28" w:type="dxa"/>
            <w:bottom w:w="0" w:type="dxa"/>
            <w:right w:w="28" w:type="dxa"/>
          </w:tblCellMar>
        </w:tblPrEx>
        <w:trPr>
          <w:trHeight w:val="585" w:hRule="atLeast"/>
          <w:jc w:val="center"/>
        </w:trPr>
        <w:tc>
          <w:tcPr>
            <w:tcW w:w="1671" w:type="dxa"/>
            <w:gridSpan w:val="2"/>
            <w:tcBorders>
              <w:top w:val="single" w:color="auto" w:sz="4" w:space="0"/>
              <w:left w:val="single" w:color="auto" w:sz="6" w:space="0"/>
              <w:bottom w:val="single" w:color="auto" w:sz="6" w:space="0"/>
            </w:tcBorders>
            <w:vAlign w:val="center"/>
          </w:tcPr>
          <w:p w14:paraId="32C214E4">
            <w:pPr>
              <w:jc w:val="center"/>
              <w:rPr>
                <w:rFonts w:ascii="宋体" w:hAnsi="宋体" w:cs="宋体"/>
                <w:sz w:val="24"/>
                <w:szCs w:val="24"/>
                <w:highlight w:val="none"/>
              </w:rPr>
            </w:pPr>
            <w:r>
              <w:rPr>
                <w:rFonts w:hint="eastAsia" w:ascii="宋体" w:hAnsi="宋体" w:cs="宋体"/>
                <w:sz w:val="24"/>
                <w:szCs w:val="24"/>
                <w:highlight w:val="none"/>
              </w:rPr>
              <w:t>备注</w:t>
            </w:r>
          </w:p>
        </w:tc>
        <w:tc>
          <w:tcPr>
            <w:tcW w:w="7349" w:type="dxa"/>
            <w:gridSpan w:val="7"/>
            <w:tcBorders>
              <w:top w:val="single" w:color="auto" w:sz="4" w:space="0"/>
              <w:left w:val="single" w:color="auto" w:sz="6" w:space="0"/>
              <w:bottom w:val="single" w:color="auto" w:sz="6" w:space="0"/>
              <w:right w:val="single" w:color="auto" w:sz="6" w:space="0"/>
            </w:tcBorders>
            <w:vAlign w:val="center"/>
          </w:tcPr>
          <w:p w14:paraId="3A083CA8">
            <w:pPr>
              <w:spacing w:before="159" w:beforeLines="50"/>
              <w:jc w:val="center"/>
              <w:rPr>
                <w:rFonts w:ascii="宋体" w:hAnsi="宋体" w:cs="宋体"/>
                <w:sz w:val="24"/>
                <w:szCs w:val="24"/>
                <w:highlight w:val="none"/>
              </w:rPr>
            </w:pPr>
            <w:r>
              <w:rPr>
                <w:rFonts w:hint="eastAsia" w:ascii="宋体" w:hAnsi="宋体" w:cs="宋体"/>
                <w:sz w:val="24"/>
                <w:szCs w:val="24"/>
                <w:highlight w:val="none"/>
              </w:rPr>
              <w:t>精确到小数点后两位</w:t>
            </w:r>
            <w:r>
              <w:rPr>
                <w:rFonts w:hint="eastAsia" w:ascii="宋体" w:hAnsi="宋体" w:cs="宋体"/>
                <w:spacing w:val="-6"/>
                <w:sz w:val="24"/>
                <w:szCs w:val="24"/>
                <w:highlight w:val="none"/>
              </w:rPr>
              <w:t>。</w:t>
            </w:r>
          </w:p>
        </w:tc>
      </w:tr>
    </w:tbl>
    <w:p w14:paraId="49F06A75">
      <w:pPr>
        <w:adjustRightInd w:val="0"/>
        <w:snapToGrid w:val="0"/>
        <w:spacing w:line="480" w:lineRule="auto"/>
        <w:rPr>
          <w:rFonts w:ascii="宋体"/>
          <w:color w:val="000000"/>
          <w:sz w:val="24"/>
          <w:szCs w:val="24"/>
          <w:highlight w:val="none"/>
        </w:rPr>
      </w:pPr>
      <w:r>
        <w:rPr>
          <w:rFonts w:hint="eastAsia" w:ascii="宋体" w:hAnsi="宋体"/>
          <w:color w:val="000000"/>
          <w:sz w:val="24"/>
          <w:szCs w:val="24"/>
          <w:highlight w:val="none"/>
        </w:rPr>
        <w:t>供应商（单位名称及公章）：</w:t>
      </w:r>
    </w:p>
    <w:p w14:paraId="3B8A753B">
      <w:pPr>
        <w:adjustRightInd w:val="0"/>
        <w:snapToGrid w:val="0"/>
        <w:spacing w:line="480" w:lineRule="auto"/>
        <w:rPr>
          <w:rFonts w:ascii="宋体"/>
          <w:color w:val="000000"/>
          <w:sz w:val="24"/>
          <w:szCs w:val="24"/>
          <w:highlight w:val="none"/>
        </w:rPr>
      </w:pPr>
      <w:r>
        <w:rPr>
          <w:rFonts w:hint="eastAsia" w:ascii="宋体" w:hAnsi="宋体"/>
          <w:color w:val="000000"/>
          <w:sz w:val="24"/>
          <w:szCs w:val="24"/>
          <w:highlight w:val="none"/>
        </w:rPr>
        <w:t>法定代表人或被授权人（签字或盖章）：</w:t>
      </w:r>
    </w:p>
    <w:p w14:paraId="5CF7D8B1">
      <w:pPr>
        <w:adjustRightInd w:val="0"/>
        <w:snapToGrid w:val="0"/>
        <w:spacing w:line="480" w:lineRule="auto"/>
        <w:rPr>
          <w:rFonts w:ascii="宋体" w:hAnsi="宋体"/>
          <w:color w:val="000000"/>
          <w:sz w:val="24"/>
          <w:szCs w:val="24"/>
          <w:highlight w:val="none"/>
        </w:rPr>
      </w:pPr>
      <w:r>
        <w:rPr>
          <w:rFonts w:hint="eastAsia" w:ascii="宋体" w:hAnsi="宋体"/>
          <w:color w:val="000000"/>
          <w:sz w:val="24"/>
          <w:szCs w:val="24"/>
          <w:highlight w:val="none"/>
        </w:rPr>
        <w:t>日期：年  月  日</w:t>
      </w:r>
    </w:p>
    <w:p w14:paraId="4DA66AFD">
      <w:pPr>
        <w:rPr>
          <w:rFonts w:ascii="宋体" w:hAnsi="宋体"/>
          <w:color w:val="000000"/>
          <w:sz w:val="24"/>
          <w:szCs w:val="24"/>
          <w:highlight w:val="none"/>
        </w:rPr>
      </w:pPr>
      <w:r>
        <w:rPr>
          <w:rFonts w:hint="eastAsia" w:ascii="宋体" w:hAnsi="宋体"/>
          <w:color w:val="000000"/>
          <w:sz w:val="24"/>
          <w:szCs w:val="24"/>
          <w:highlight w:val="none"/>
        </w:rPr>
        <w:br w:type="page"/>
      </w:r>
    </w:p>
    <w:bookmarkEnd w:id="172"/>
    <w:bookmarkEnd w:id="173"/>
    <w:bookmarkEnd w:id="174"/>
    <w:bookmarkEnd w:id="175"/>
    <w:bookmarkEnd w:id="176"/>
    <w:p w14:paraId="15B6922E">
      <w:pPr>
        <w:pStyle w:val="3"/>
        <w:numPr>
          <w:ilvl w:val="0"/>
          <w:numId w:val="0"/>
        </w:numPr>
        <w:jc w:val="center"/>
        <w:rPr>
          <w:color w:val="000000"/>
          <w:highlight w:val="none"/>
        </w:rPr>
      </w:pPr>
      <w:bookmarkStart w:id="177" w:name="_Toc25889"/>
      <w:bookmarkStart w:id="178" w:name="_Toc23234"/>
      <w:bookmarkStart w:id="179" w:name="_Toc3301"/>
      <w:bookmarkStart w:id="180" w:name="_Toc28248"/>
      <w:bookmarkStart w:id="181" w:name="_Toc15200"/>
      <w:r>
        <w:rPr>
          <w:rFonts w:hint="eastAsia"/>
          <w:color w:val="000000"/>
          <w:highlight w:val="none"/>
          <w:lang w:val="en-US" w:eastAsia="zh-CN"/>
        </w:rPr>
        <w:t xml:space="preserve">第四章  </w:t>
      </w:r>
      <w:r>
        <w:rPr>
          <w:rFonts w:hint="eastAsia"/>
          <w:color w:val="000000"/>
          <w:highlight w:val="none"/>
        </w:rPr>
        <w:t>供应商资质证明资料</w:t>
      </w:r>
      <w:bookmarkEnd w:id="177"/>
      <w:bookmarkEnd w:id="178"/>
      <w:bookmarkEnd w:id="179"/>
      <w:bookmarkEnd w:id="180"/>
      <w:bookmarkEnd w:id="181"/>
    </w:p>
    <w:p w14:paraId="7C146AFB">
      <w:pPr>
        <w:snapToGrid w:val="0"/>
        <w:spacing w:line="360" w:lineRule="auto"/>
        <w:ind w:right="-199" w:rightChars="-95"/>
        <w:jc w:val="left"/>
        <w:rPr>
          <w:rFonts w:hint="eastAsia" w:ascii="宋体" w:hAnsi="宋体" w:cs="宋体"/>
          <w:b/>
          <w:bCs/>
          <w:sz w:val="28"/>
          <w:szCs w:val="24"/>
          <w:highlight w:val="none"/>
        </w:rPr>
      </w:pPr>
      <w:r>
        <w:rPr>
          <w:rFonts w:hint="eastAsia" w:ascii="宋体" w:hAnsi="宋体" w:cs="宋体"/>
          <w:b/>
          <w:bCs/>
          <w:sz w:val="28"/>
          <w:szCs w:val="24"/>
          <w:highlight w:val="none"/>
          <w:lang w:eastAsia="zh-CN"/>
        </w:rPr>
        <w:t>供应商</w:t>
      </w:r>
      <w:r>
        <w:rPr>
          <w:rFonts w:hint="eastAsia" w:ascii="宋体" w:hAnsi="宋体" w:cs="宋体"/>
          <w:b/>
          <w:bCs/>
          <w:sz w:val="28"/>
          <w:szCs w:val="24"/>
          <w:highlight w:val="none"/>
        </w:rPr>
        <w:t>需在此页附招标公告或招标文件中要求的资质证明文件，投标文件附资质复印件或扫描件加盖</w:t>
      </w:r>
      <w:r>
        <w:rPr>
          <w:rFonts w:hint="eastAsia" w:ascii="宋体" w:hAnsi="宋体" w:cs="宋体"/>
          <w:b/>
          <w:bCs/>
          <w:sz w:val="28"/>
          <w:szCs w:val="24"/>
          <w:highlight w:val="none"/>
          <w:lang w:eastAsia="zh-CN"/>
        </w:rPr>
        <w:t>供应商</w:t>
      </w:r>
      <w:r>
        <w:rPr>
          <w:rFonts w:hint="eastAsia" w:ascii="宋体" w:hAnsi="宋体" w:cs="宋体"/>
          <w:b/>
          <w:bCs/>
          <w:sz w:val="28"/>
          <w:szCs w:val="24"/>
          <w:highlight w:val="none"/>
        </w:rPr>
        <w:t>公章。格式参考见下页。</w:t>
      </w:r>
    </w:p>
    <w:p w14:paraId="26C30231">
      <w:pPr>
        <w:rPr>
          <w:rFonts w:hint="eastAsia" w:ascii="宋体" w:hAnsi="宋体" w:cs="宋体"/>
          <w:b/>
          <w:bCs/>
          <w:sz w:val="28"/>
          <w:szCs w:val="24"/>
          <w:highlight w:val="none"/>
        </w:rPr>
      </w:pPr>
      <w:r>
        <w:rPr>
          <w:rFonts w:hint="eastAsia" w:ascii="宋体" w:hAnsi="宋体" w:cs="宋体"/>
          <w:b/>
          <w:bCs/>
          <w:sz w:val="28"/>
          <w:szCs w:val="24"/>
          <w:highlight w:val="none"/>
        </w:rPr>
        <w:br w:type="page"/>
      </w:r>
    </w:p>
    <w:p w14:paraId="23B341B3">
      <w:pPr>
        <w:pStyle w:val="6"/>
        <w:ind w:firstLine="0"/>
        <w:rPr>
          <w:rFonts w:eastAsia="宋体"/>
          <w:b/>
          <w:bCs/>
          <w:sz w:val="32"/>
          <w:szCs w:val="28"/>
          <w:highlight w:val="none"/>
        </w:rPr>
      </w:pPr>
      <w:r>
        <w:rPr>
          <w:rFonts w:hint="eastAsia"/>
          <w:b/>
          <w:bCs/>
          <w:sz w:val="32"/>
          <w:szCs w:val="28"/>
          <w:highlight w:val="none"/>
        </w:rPr>
        <w:t>附：资质证明文件格式：</w:t>
      </w:r>
    </w:p>
    <w:p w14:paraId="79E31EEA">
      <w:pPr>
        <w:rPr>
          <w:rFonts w:ascii="宋体"/>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符合《政府采购法》第二十二条规定条件的承诺函</w:t>
      </w:r>
    </w:p>
    <w:p w14:paraId="723CAD1D">
      <w:pPr>
        <w:pStyle w:val="8"/>
        <w:spacing w:line="360" w:lineRule="auto"/>
        <w:ind w:left="0" w:leftChars="0"/>
        <w:rPr>
          <w:rFonts w:ascii="宋体"/>
          <w:sz w:val="24"/>
          <w:szCs w:val="24"/>
          <w:highlight w:val="none"/>
        </w:rPr>
      </w:pPr>
      <w:r>
        <w:rPr>
          <w:rFonts w:hint="eastAsia" w:ascii="宋体" w:hAnsi="宋体" w:cs="宋体"/>
          <w:sz w:val="24"/>
          <w:szCs w:val="24"/>
          <w:highlight w:val="none"/>
        </w:rPr>
        <w:t>致陕西万泽招标有限公司：</w:t>
      </w:r>
      <w:r>
        <w:rPr>
          <w:rFonts w:ascii="宋体" w:hAnsi="宋体" w:cs="宋体"/>
          <w:sz w:val="24"/>
          <w:szCs w:val="24"/>
          <w:highlight w:val="none"/>
        </w:rPr>
        <w:t xml:space="preserve"> </w:t>
      </w:r>
    </w:p>
    <w:p w14:paraId="2E5AC822">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本公司</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（公司名称）</w:t>
      </w:r>
      <w:r>
        <w:rPr>
          <w:rFonts w:hint="eastAsia" w:ascii="宋体" w:hAnsi="宋体" w:cs="宋体"/>
          <w:sz w:val="24"/>
          <w:szCs w:val="24"/>
          <w:highlight w:val="none"/>
        </w:rPr>
        <w:t>参加</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的投标活动，现承诺：</w:t>
      </w:r>
    </w:p>
    <w:p w14:paraId="1E9FDCE4">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我公司满足政府采购法第二十二条关于供应商的资格要求：</w:t>
      </w:r>
    </w:p>
    <w:p w14:paraId="6FD6063D">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（一）具有独立承担民事责任的能力；</w:t>
      </w:r>
      <w:r>
        <w:rPr>
          <w:rFonts w:ascii="宋体" w:hAnsi="宋体" w:cs="宋体"/>
          <w:sz w:val="24"/>
          <w:szCs w:val="24"/>
          <w:highlight w:val="none"/>
        </w:rPr>
        <w:t xml:space="preserve"> </w:t>
      </w:r>
    </w:p>
    <w:p w14:paraId="5B88947D">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（二）具有良好的商业信誉和健全的财务会计制度；</w:t>
      </w:r>
      <w:r>
        <w:rPr>
          <w:rFonts w:ascii="宋体" w:hAnsi="宋体" w:cs="宋体"/>
          <w:sz w:val="24"/>
          <w:szCs w:val="24"/>
          <w:highlight w:val="none"/>
        </w:rPr>
        <w:t xml:space="preserve"> </w:t>
      </w:r>
    </w:p>
    <w:p w14:paraId="3CFE9F52">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（三）具有履行合同所必需的设备和专业技术能力；</w:t>
      </w:r>
      <w:r>
        <w:rPr>
          <w:rFonts w:ascii="宋体" w:hAnsi="宋体" w:cs="宋体"/>
          <w:sz w:val="24"/>
          <w:szCs w:val="24"/>
          <w:highlight w:val="none"/>
        </w:rPr>
        <w:t xml:space="preserve"> </w:t>
      </w:r>
    </w:p>
    <w:p w14:paraId="0B3E97EF">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（四）有依法缴纳税收的良好记录；</w:t>
      </w:r>
      <w:r>
        <w:rPr>
          <w:rFonts w:ascii="宋体" w:hAnsi="宋体" w:cs="宋体"/>
          <w:sz w:val="24"/>
          <w:szCs w:val="24"/>
          <w:highlight w:val="none"/>
        </w:rPr>
        <w:t xml:space="preserve"> </w:t>
      </w:r>
    </w:p>
    <w:p w14:paraId="45E3F0E8">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（五）参加政府采购活动前三年内，在经营活动中没有重大违法记录；</w:t>
      </w:r>
      <w:r>
        <w:rPr>
          <w:rFonts w:ascii="宋体" w:hAnsi="宋体" w:cs="宋体"/>
          <w:sz w:val="24"/>
          <w:szCs w:val="24"/>
          <w:highlight w:val="none"/>
        </w:rPr>
        <w:t xml:space="preserve"> </w:t>
      </w:r>
    </w:p>
    <w:p w14:paraId="27E67CA5">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（六）法律、行政法规规定的其他条件。</w:t>
      </w:r>
    </w:p>
    <w:p w14:paraId="718843D9">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同时也满足本项目法律法规规章规定关于供应商的其他资格性条件，未参与本采购项目前期咨询论证，不属于禁止参加投标的供应商。</w:t>
      </w:r>
    </w:p>
    <w:p w14:paraId="225A6F02">
      <w:pPr>
        <w:pStyle w:val="8"/>
        <w:spacing w:line="360" w:lineRule="auto"/>
        <w:ind w:left="0" w:leftChars="0" w:firstLine="540" w:firstLineChars="225"/>
        <w:rPr>
          <w:rFonts w:ascii="宋体"/>
          <w:sz w:val="24"/>
          <w:szCs w:val="24"/>
          <w:highlight w:val="none"/>
        </w:rPr>
      </w:pPr>
      <w:r>
        <w:rPr>
          <w:rFonts w:hint="eastAsia" w:ascii="宋体" w:hAnsi="宋体" w:cs="宋体"/>
          <w:sz w:val="24"/>
          <w:szCs w:val="24"/>
          <w:highlight w:val="none"/>
        </w:rPr>
        <w:t>如违反以上承诺，本公司愿承担一切法律责任。</w:t>
      </w:r>
    </w:p>
    <w:p w14:paraId="1A8940D9">
      <w:pPr>
        <w:pStyle w:val="8"/>
        <w:spacing w:line="360" w:lineRule="auto"/>
        <w:ind w:left="0" w:leftChars="0"/>
        <w:rPr>
          <w:rFonts w:ascii="宋体"/>
          <w:sz w:val="24"/>
          <w:szCs w:val="24"/>
          <w:highlight w:val="none"/>
        </w:rPr>
      </w:pPr>
    </w:p>
    <w:p w14:paraId="445A2182">
      <w:pPr>
        <w:spacing w:line="360" w:lineRule="auto"/>
        <w:rPr>
          <w:rFonts w:ascii="宋体"/>
          <w:sz w:val="24"/>
          <w:szCs w:val="24"/>
          <w:highlight w:val="none"/>
          <w:u w:val="singl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名称：</w:t>
      </w:r>
      <w:r>
        <w:rPr>
          <w:rFonts w:ascii="宋体" w:hAnsi="宋体" w:cs="宋体"/>
          <w:sz w:val="24"/>
          <w:szCs w:val="24"/>
          <w:highlight w:val="none"/>
          <w:u w:val="single"/>
        </w:rPr>
        <w:t xml:space="preserve">        </w:t>
      </w:r>
      <w:r>
        <w:rPr>
          <w:rFonts w:hint="eastAsia" w:ascii="宋体" w:hAnsi="宋体" w:cs="宋体"/>
          <w:sz w:val="24"/>
          <w:szCs w:val="24"/>
          <w:highlight w:val="none"/>
          <w:u w:val="single"/>
        </w:rPr>
        <w:t>（名称及盖章）</w:t>
      </w:r>
    </w:p>
    <w:p w14:paraId="5EE83AF3">
      <w:pPr>
        <w:spacing w:line="360" w:lineRule="auto"/>
        <w:rPr>
          <w:rFonts w:ascii="宋体"/>
          <w:sz w:val="24"/>
          <w:szCs w:val="24"/>
          <w:highlight w:val="none"/>
        </w:rPr>
      </w:pPr>
    </w:p>
    <w:p w14:paraId="15034BAD">
      <w:pPr>
        <w:spacing w:line="360" w:lineRule="auto"/>
        <w:rPr>
          <w:rFonts w:ascii="宋体"/>
          <w:sz w:val="24"/>
          <w:szCs w:val="24"/>
          <w:highlight w:val="none"/>
        </w:rPr>
      </w:pPr>
      <w:r>
        <w:rPr>
          <w:rFonts w:hint="eastAsia" w:ascii="宋体" w:hAnsi="宋体" w:cs="宋体"/>
          <w:sz w:val="24"/>
          <w:szCs w:val="24"/>
          <w:highlight w:val="none"/>
        </w:rPr>
        <w:t>法定代表人或委托代理人（签字或盖章）：</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14:paraId="68E8745E">
      <w:pPr>
        <w:spacing w:line="360" w:lineRule="auto"/>
        <w:rPr>
          <w:rFonts w:ascii="宋体"/>
          <w:sz w:val="24"/>
          <w:szCs w:val="24"/>
          <w:highlight w:val="none"/>
        </w:rPr>
      </w:pPr>
    </w:p>
    <w:p w14:paraId="615982CF">
      <w:pPr>
        <w:adjustRightInd w:val="0"/>
        <w:snapToGrid w:val="0"/>
        <w:spacing w:line="480" w:lineRule="auto"/>
        <w:jc w:val="left"/>
        <w:rPr>
          <w:color w:val="000000"/>
          <w:sz w:val="24"/>
          <w:szCs w:val="24"/>
          <w:highlight w:val="none"/>
        </w:rPr>
        <w:sectPr>
          <w:pgSz w:w="11906" w:h="16838"/>
          <w:pgMar w:top="1440" w:right="1803" w:bottom="1440" w:left="1803" w:header="850" w:footer="992" w:gutter="0"/>
          <w:cols w:space="0" w:num="1"/>
          <w:rtlGutter w:val="1"/>
          <w:docGrid w:type="lines" w:linePitch="319" w:charSpace="0"/>
        </w:sectPr>
      </w:pPr>
      <w:r>
        <w:rPr>
          <w:rFonts w:hint="eastAsia" w:ascii="宋体" w:hAnsi="宋体" w:cs="宋体"/>
          <w:sz w:val="24"/>
          <w:szCs w:val="24"/>
          <w:highlight w:val="none"/>
        </w:rPr>
        <w:t>日期：</w:t>
      </w:r>
    </w:p>
    <w:p w14:paraId="1EF6EF18">
      <w:pPr>
        <w:ind w:firstLine="2240" w:firstLineChars="700"/>
        <w:rPr>
          <w:sz w:val="32"/>
          <w:szCs w:val="36"/>
          <w:highlight w:val="none"/>
        </w:rPr>
      </w:pPr>
      <w:r>
        <w:rPr>
          <w:rFonts w:hint="eastAsia"/>
          <w:sz w:val="32"/>
          <w:szCs w:val="36"/>
          <w:highlight w:val="none"/>
        </w:rPr>
        <w:t>2、供应商基本情况一览表</w:t>
      </w:r>
    </w:p>
    <w:p w14:paraId="4879E97A">
      <w:pPr>
        <w:rPr>
          <w:sz w:val="28"/>
          <w:szCs w:val="32"/>
          <w:highlight w:val="none"/>
        </w:rPr>
      </w:pPr>
      <w:r>
        <w:rPr>
          <w:rFonts w:hint="eastAsia"/>
          <w:sz w:val="24"/>
          <w:szCs w:val="28"/>
          <w:highlight w:val="none"/>
        </w:rPr>
        <w:t>2-1供应商基本情况一览表</w:t>
      </w:r>
    </w:p>
    <w:tbl>
      <w:tblPr>
        <w:tblStyle w:val="26"/>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14:paraId="3ED529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14:paraId="2D8C3FB9">
            <w:pPr>
              <w:rPr>
                <w:highlight w:val="none"/>
              </w:rPr>
            </w:pPr>
            <w:bookmarkStart w:id="182" w:name="_Toc29518"/>
            <w:bookmarkStart w:id="183" w:name="_Toc5452"/>
            <w:bookmarkStart w:id="184" w:name="_Toc15823"/>
            <w:bookmarkStart w:id="185" w:name="_Toc18556"/>
            <w:r>
              <w:rPr>
                <w:rFonts w:hint="eastAsia"/>
                <w:highlight w:val="none"/>
                <w:lang w:eastAsia="zh-CN"/>
              </w:rPr>
              <w:t>供应商</w:t>
            </w:r>
            <w:r>
              <w:rPr>
                <w:rFonts w:hint="eastAsia"/>
                <w:highlight w:val="none"/>
              </w:rPr>
              <w:t>名称</w:t>
            </w:r>
            <w:bookmarkEnd w:id="182"/>
            <w:bookmarkEnd w:id="183"/>
            <w:bookmarkEnd w:id="184"/>
            <w:bookmarkEnd w:id="185"/>
          </w:p>
        </w:tc>
        <w:tc>
          <w:tcPr>
            <w:tcW w:w="7105" w:type="dxa"/>
            <w:gridSpan w:val="7"/>
            <w:vAlign w:val="center"/>
          </w:tcPr>
          <w:p w14:paraId="27885203">
            <w:pPr>
              <w:rPr>
                <w:highlight w:val="none"/>
              </w:rPr>
            </w:pPr>
          </w:p>
        </w:tc>
      </w:tr>
      <w:tr w14:paraId="4F3E39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14:paraId="60D8F959">
            <w:pPr>
              <w:rPr>
                <w:highlight w:val="none"/>
              </w:rPr>
            </w:pPr>
            <w:bookmarkStart w:id="186" w:name="_Toc15986"/>
            <w:bookmarkStart w:id="187" w:name="_Toc32438"/>
            <w:bookmarkStart w:id="188" w:name="_Toc32432"/>
            <w:bookmarkStart w:id="189" w:name="_Toc26127"/>
            <w:r>
              <w:rPr>
                <w:rFonts w:hint="eastAsia"/>
                <w:highlight w:val="none"/>
              </w:rPr>
              <w:t>注册地址</w:t>
            </w:r>
            <w:bookmarkEnd w:id="186"/>
            <w:bookmarkEnd w:id="187"/>
            <w:bookmarkEnd w:id="188"/>
            <w:bookmarkEnd w:id="189"/>
          </w:p>
        </w:tc>
        <w:tc>
          <w:tcPr>
            <w:tcW w:w="3655" w:type="dxa"/>
            <w:gridSpan w:val="3"/>
            <w:vAlign w:val="center"/>
          </w:tcPr>
          <w:p w14:paraId="36F07370">
            <w:pPr>
              <w:rPr>
                <w:highlight w:val="none"/>
              </w:rPr>
            </w:pPr>
          </w:p>
        </w:tc>
        <w:tc>
          <w:tcPr>
            <w:tcW w:w="1401" w:type="dxa"/>
            <w:vAlign w:val="center"/>
          </w:tcPr>
          <w:p w14:paraId="1BB6176B">
            <w:pPr>
              <w:rPr>
                <w:highlight w:val="none"/>
              </w:rPr>
            </w:pPr>
            <w:bookmarkStart w:id="190" w:name="_Toc13370"/>
            <w:bookmarkStart w:id="191" w:name="_Toc20217"/>
            <w:bookmarkStart w:id="192" w:name="_Toc5829"/>
            <w:bookmarkStart w:id="193" w:name="_Toc2965"/>
            <w:r>
              <w:rPr>
                <w:rFonts w:hint="eastAsia"/>
                <w:highlight w:val="none"/>
              </w:rPr>
              <w:t>邮政编码</w:t>
            </w:r>
            <w:bookmarkEnd w:id="190"/>
            <w:bookmarkEnd w:id="191"/>
            <w:bookmarkEnd w:id="192"/>
            <w:bookmarkEnd w:id="193"/>
          </w:p>
        </w:tc>
        <w:tc>
          <w:tcPr>
            <w:tcW w:w="2049" w:type="dxa"/>
            <w:gridSpan w:val="3"/>
            <w:vAlign w:val="center"/>
          </w:tcPr>
          <w:p w14:paraId="5D7B8BD7">
            <w:pPr>
              <w:rPr>
                <w:highlight w:val="none"/>
              </w:rPr>
            </w:pPr>
          </w:p>
        </w:tc>
      </w:tr>
      <w:tr w14:paraId="03005A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3E0CB623">
            <w:pPr>
              <w:rPr>
                <w:highlight w:val="none"/>
              </w:rPr>
            </w:pPr>
            <w:bookmarkStart w:id="194" w:name="_Toc24152"/>
            <w:bookmarkStart w:id="195" w:name="_Toc29861"/>
            <w:bookmarkStart w:id="196" w:name="_Toc5933"/>
            <w:bookmarkStart w:id="197" w:name="_Toc14242"/>
            <w:r>
              <w:rPr>
                <w:rFonts w:hint="eastAsia"/>
                <w:highlight w:val="none"/>
              </w:rPr>
              <w:t>联系方式</w:t>
            </w:r>
            <w:bookmarkEnd w:id="194"/>
            <w:bookmarkEnd w:id="195"/>
            <w:bookmarkEnd w:id="196"/>
            <w:bookmarkEnd w:id="197"/>
          </w:p>
        </w:tc>
        <w:tc>
          <w:tcPr>
            <w:tcW w:w="1016" w:type="dxa"/>
            <w:vAlign w:val="center"/>
          </w:tcPr>
          <w:p w14:paraId="6FDF7169">
            <w:pPr>
              <w:rPr>
                <w:highlight w:val="none"/>
              </w:rPr>
            </w:pPr>
            <w:bookmarkStart w:id="198" w:name="_Toc32228"/>
            <w:bookmarkStart w:id="199" w:name="_Toc11708"/>
            <w:bookmarkStart w:id="200" w:name="_Toc22630"/>
            <w:bookmarkStart w:id="201" w:name="_Toc23469"/>
            <w:r>
              <w:rPr>
                <w:rFonts w:hint="eastAsia"/>
                <w:highlight w:val="none"/>
              </w:rPr>
              <w:t>联系人</w:t>
            </w:r>
            <w:bookmarkEnd w:id="198"/>
            <w:bookmarkEnd w:id="199"/>
            <w:bookmarkEnd w:id="200"/>
            <w:bookmarkEnd w:id="201"/>
          </w:p>
        </w:tc>
        <w:tc>
          <w:tcPr>
            <w:tcW w:w="2639" w:type="dxa"/>
            <w:gridSpan w:val="2"/>
            <w:vAlign w:val="center"/>
          </w:tcPr>
          <w:p w14:paraId="55A6930E">
            <w:pPr>
              <w:rPr>
                <w:highlight w:val="none"/>
              </w:rPr>
            </w:pPr>
          </w:p>
        </w:tc>
        <w:tc>
          <w:tcPr>
            <w:tcW w:w="1401" w:type="dxa"/>
            <w:vAlign w:val="center"/>
          </w:tcPr>
          <w:p w14:paraId="5EDAFEAA">
            <w:pPr>
              <w:rPr>
                <w:highlight w:val="none"/>
              </w:rPr>
            </w:pPr>
            <w:bookmarkStart w:id="202" w:name="_Toc31524"/>
            <w:bookmarkStart w:id="203" w:name="_Toc22121"/>
            <w:bookmarkStart w:id="204" w:name="_Toc29495"/>
            <w:bookmarkStart w:id="205" w:name="_Toc28825"/>
            <w:r>
              <w:rPr>
                <w:rFonts w:hint="eastAsia"/>
                <w:highlight w:val="none"/>
              </w:rPr>
              <w:t>电话</w:t>
            </w:r>
            <w:bookmarkEnd w:id="202"/>
            <w:bookmarkEnd w:id="203"/>
            <w:bookmarkEnd w:id="204"/>
            <w:bookmarkEnd w:id="205"/>
          </w:p>
        </w:tc>
        <w:tc>
          <w:tcPr>
            <w:tcW w:w="2049" w:type="dxa"/>
            <w:gridSpan w:val="3"/>
            <w:vAlign w:val="center"/>
          </w:tcPr>
          <w:p w14:paraId="4044F836">
            <w:pPr>
              <w:rPr>
                <w:highlight w:val="none"/>
              </w:rPr>
            </w:pPr>
          </w:p>
        </w:tc>
      </w:tr>
      <w:tr w14:paraId="17E05D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5A534FF8">
            <w:pPr>
              <w:rPr>
                <w:highlight w:val="none"/>
              </w:rPr>
            </w:pPr>
            <w:bookmarkStart w:id="206" w:name="_Toc27355"/>
            <w:bookmarkStart w:id="207" w:name="_Toc21326"/>
            <w:bookmarkStart w:id="208" w:name="_Toc12754"/>
            <w:bookmarkStart w:id="209" w:name="_Toc8331"/>
            <w:r>
              <w:rPr>
                <w:rFonts w:hint="eastAsia"/>
                <w:highlight w:val="none"/>
              </w:rPr>
              <w:t>组织结构</w:t>
            </w:r>
            <w:bookmarkEnd w:id="206"/>
            <w:bookmarkEnd w:id="207"/>
            <w:bookmarkEnd w:id="208"/>
            <w:bookmarkEnd w:id="209"/>
          </w:p>
        </w:tc>
        <w:tc>
          <w:tcPr>
            <w:tcW w:w="7105" w:type="dxa"/>
            <w:gridSpan w:val="7"/>
            <w:vAlign w:val="center"/>
          </w:tcPr>
          <w:p w14:paraId="6F1D0472">
            <w:pPr>
              <w:rPr>
                <w:highlight w:val="none"/>
              </w:rPr>
            </w:pPr>
          </w:p>
        </w:tc>
      </w:tr>
      <w:tr w14:paraId="3DFC53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14:paraId="739D52D5">
            <w:pPr>
              <w:rPr>
                <w:highlight w:val="none"/>
              </w:rPr>
            </w:pPr>
            <w:bookmarkStart w:id="210" w:name="_Toc22082"/>
            <w:bookmarkStart w:id="211" w:name="_Toc28736"/>
            <w:bookmarkStart w:id="212" w:name="_Toc29110"/>
            <w:bookmarkStart w:id="213" w:name="_Toc5018"/>
            <w:r>
              <w:rPr>
                <w:rFonts w:hint="eastAsia"/>
                <w:highlight w:val="none"/>
              </w:rPr>
              <w:t>法定代表人</w:t>
            </w:r>
            <w:bookmarkEnd w:id="210"/>
            <w:bookmarkEnd w:id="211"/>
            <w:bookmarkEnd w:id="212"/>
            <w:bookmarkEnd w:id="213"/>
          </w:p>
        </w:tc>
        <w:tc>
          <w:tcPr>
            <w:tcW w:w="1016" w:type="dxa"/>
            <w:vAlign w:val="center"/>
          </w:tcPr>
          <w:p w14:paraId="0E06E2F6">
            <w:pPr>
              <w:rPr>
                <w:highlight w:val="none"/>
              </w:rPr>
            </w:pPr>
            <w:bookmarkStart w:id="214" w:name="_Toc429"/>
            <w:bookmarkStart w:id="215" w:name="_Toc3509"/>
            <w:bookmarkStart w:id="216" w:name="_Toc8313"/>
            <w:bookmarkStart w:id="217" w:name="_Toc24566"/>
            <w:r>
              <w:rPr>
                <w:rFonts w:hint="eastAsia"/>
                <w:highlight w:val="none"/>
              </w:rPr>
              <w:t>姓名</w:t>
            </w:r>
            <w:bookmarkEnd w:id="214"/>
            <w:bookmarkEnd w:id="215"/>
            <w:bookmarkEnd w:id="216"/>
            <w:bookmarkEnd w:id="217"/>
          </w:p>
        </w:tc>
        <w:tc>
          <w:tcPr>
            <w:tcW w:w="1315" w:type="dxa"/>
            <w:vAlign w:val="center"/>
          </w:tcPr>
          <w:p w14:paraId="5056BB7D">
            <w:pPr>
              <w:rPr>
                <w:highlight w:val="none"/>
              </w:rPr>
            </w:pPr>
          </w:p>
        </w:tc>
        <w:tc>
          <w:tcPr>
            <w:tcW w:w="1324" w:type="dxa"/>
            <w:vAlign w:val="center"/>
          </w:tcPr>
          <w:p w14:paraId="7C283154">
            <w:pPr>
              <w:rPr>
                <w:highlight w:val="none"/>
              </w:rPr>
            </w:pPr>
            <w:bookmarkStart w:id="218" w:name="_Toc11392"/>
            <w:bookmarkStart w:id="219" w:name="_Toc5089"/>
            <w:bookmarkStart w:id="220" w:name="_Toc2791"/>
            <w:bookmarkStart w:id="221" w:name="_Toc552"/>
            <w:r>
              <w:rPr>
                <w:rFonts w:hint="eastAsia"/>
                <w:highlight w:val="none"/>
              </w:rPr>
              <w:t>技术职称</w:t>
            </w:r>
            <w:bookmarkEnd w:id="218"/>
            <w:bookmarkEnd w:id="219"/>
            <w:bookmarkEnd w:id="220"/>
            <w:bookmarkEnd w:id="221"/>
          </w:p>
        </w:tc>
        <w:tc>
          <w:tcPr>
            <w:tcW w:w="1401" w:type="dxa"/>
            <w:vAlign w:val="center"/>
          </w:tcPr>
          <w:p w14:paraId="481C93A9">
            <w:pPr>
              <w:rPr>
                <w:highlight w:val="none"/>
              </w:rPr>
            </w:pPr>
          </w:p>
        </w:tc>
        <w:tc>
          <w:tcPr>
            <w:tcW w:w="902" w:type="dxa"/>
            <w:gridSpan w:val="2"/>
            <w:vAlign w:val="center"/>
          </w:tcPr>
          <w:p w14:paraId="79FAE582">
            <w:pPr>
              <w:rPr>
                <w:highlight w:val="none"/>
              </w:rPr>
            </w:pPr>
            <w:bookmarkStart w:id="222" w:name="_Toc15179"/>
            <w:bookmarkStart w:id="223" w:name="_Toc24036"/>
            <w:bookmarkStart w:id="224" w:name="_Toc21732"/>
            <w:bookmarkStart w:id="225" w:name="_Toc18413"/>
            <w:r>
              <w:rPr>
                <w:rFonts w:hint="eastAsia"/>
                <w:highlight w:val="none"/>
              </w:rPr>
              <w:t>电话</w:t>
            </w:r>
            <w:bookmarkEnd w:id="222"/>
            <w:bookmarkEnd w:id="223"/>
            <w:bookmarkEnd w:id="224"/>
            <w:bookmarkEnd w:id="225"/>
          </w:p>
        </w:tc>
        <w:tc>
          <w:tcPr>
            <w:tcW w:w="1147" w:type="dxa"/>
            <w:vAlign w:val="center"/>
          </w:tcPr>
          <w:p w14:paraId="230B4A9E">
            <w:pPr>
              <w:rPr>
                <w:highlight w:val="none"/>
              </w:rPr>
            </w:pPr>
          </w:p>
        </w:tc>
      </w:tr>
      <w:tr w14:paraId="4150B5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14:paraId="526EB10E">
            <w:pPr>
              <w:rPr>
                <w:highlight w:val="none"/>
              </w:rPr>
            </w:pPr>
            <w:bookmarkStart w:id="226" w:name="_Toc30758"/>
            <w:bookmarkStart w:id="227" w:name="_Toc832"/>
            <w:bookmarkStart w:id="228" w:name="_Toc6397"/>
            <w:bookmarkStart w:id="229" w:name="_Toc18654"/>
            <w:r>
              <w:rPr>
                <w:rFonts w:hint="eastAsia"/>
                <w:highlight w:val="none"/>
              </w:rPr>
              <w:t>技术负责人</w:t>
            </w:r>
            <w:bookmarkEnd w:id="226"/>
            <w:bookmarkEnd w:id="227"/>
            <w:bookmarkEnd w:id="228"/>
            <w:bookmarkEnd w:id="229"/>
          </w:p>
        </w:tc>
        <w:tc>
          <w:tcPr>
            <w:tcW w:w="1016" w:type="dxa"/>
            <w:vAlign w:val="center"/>
          </w:tcPr>
          <w:p w14:paraId="1FFCC20E">
            <w:pPr>
              <w:rPr>
                <w:highlight w:val="none"/>
              </w:rPr>
            </w:pPr>
            <w:bookmarkStart w:id="230" w:name="_Toc5794"/>
            <w:bookmarkStart w:id="231" w:name="_Toc17841"/>
            <w:bookmarkStart w:id="232" w:name="_Toc32237"/>
            <w:bookmarkStart w:id="233" w:name="_Toc6829"/>
            <w:r>
              <w:rPr>
                <w:rFonts w:hint="eastAsia"/>
                <w:highlight w:val="none"/>
              </w:rPr>
              <w:t>姓名</w:t>
            </w:r>
            <w:bookmarkEnd w:id="230"/>
            <w:bookmarkEnd w:id="231"/>
            <w:bookmarkEnd w:id="232"/>
            <w:bookmarkEnd w:id="233"/>
          </w:p>
        </w:tc>
        <w:tc>
          <w:tcPr>
            <w:tcW w:w="1315" w:type="dxa"/>
            <w:vAlign w:val="center"/>
          </w:tcPr>
          <w:p w14:paraId="49B517FF">
            <w:pPr>
              <w:rPr>
                <w:highlight w:val="none"/>
              </w:rPr>
            </w:pPr>
          </w:p>
        </w:tc>
        <w:tc>
          <w:tcPr>
            <w:tcW w:w="1324" w:type="dxa"/>
            <w:vAlign w:val="center"/>
          </w:tcPr>
          <w:p w14:paraId="4F607E39">
            <w:pPr>
              <w:rPr>
                <w:highlight w:val="none"/>
              </w:rPr>
            </w:pPr>
            <w:bookmarkStart w:id="234" w:name="_Toc25207"/>
            <w:bookmarkStart w:id="235" w:name="_Toc17957"/>
            <w:bookmarkStart w:id="236" w:name="_Toc27222"/>
            <w:bookmarkStart w:id="237" w:name="_Toc25059"/>
            <w:r>
              <w:rPr>
                <w:rFonts w:hint="eastAsia"/>
                <w:highlight w:val="none"/>
              </w:rPr>
              <w:t>技术职称</w:t>
            </w:r>
            <w:bookmarkEnd w:id="234"/>
            <w:bookmarkEnd w:id="235"/>
            <w:bookmarkEnd w:id="236"/>
            <w:bookmarkEnd w:id="237"/>
          </w:p>
        </w:tc>
        <w:tc>
          <w:tcPr>
            <w:tcW w:w="1401" w:type="dxa"/>
            <w:vAlign w:val="center"/>
          </w:tcPr>
          <w:p w14:paraId="3D3DD24D">
            <w:pPr>
              <w:rPr>
                <w:highlight w:val="none"/>
              </w:rPr>
            </w:pPr>
          </w:p>
        </w:tc>
        <w:tc>
          <w:tcPr>
            <w:tcW w:w="902" w:type="dxa"/>
            <w:gridSpan w:val="2"/>
            <w:vAlign w:val="center"/>
          </w:tcPr>
          <w:p w14:paraId="6F0B7381">
            <w:pPr>
              <w:rPr>
                <w:highlight w:val="none"/>
              </w:rPr>
            </w:pPr>
            <w:bookmarkStart w:id="238" w:name="_Toc12165"/>
            <w:bookmarkStart w:id="239" w:name="_Toc26943"/>
            <w:bookmarkStart w:id="240" w:name="_Toc321"/>
            <w:bookmarkStart w:id="241" w:name="_Toc14501"/>
            <w:r>
              <w:rPr>
                <w:rFonts w:hint="eastAsia"/>
                <w:highlight w:val="none"/>
              </w:rPr>
              <w:t>电话</w:t>
            </w:r>
            <w:bookmarkEnd w:id="238"/>
            <w:bookmarkEnd w:id="239"/>
            <w:bookmarkEnd w:id="240"/>
            <w:bookmarkEnd w:id="241"/>
          </w:p>
        </w:tc>
        <w:tc>
          <w:tcPr>
            <w:tcW w:w="1147" w:type="dxa"/>
            <w:vAlign w:val="center"/>
          </w:tcPr>
          <w:p w14:paraId="7A5890A2">
            <w:pPr>
              <w:rPr>
                <w:highlight w:val="none"/>
              </w:rPr>
            </w:pPr>
          </w:p>
        </w:tc>
      </w:tr>
      <w:tr w14:paraId="1BFEBB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6DFC2685">
            <w:pPr>
              <w:rPr>
                <w:highlight w:val="none"/>
              </w:rPr>
            </w:pPr>
            <w:bookmarkStart w:id="242" w:name="_Toc15849"/>
            <w:bookmarkStart w:id="243" w:name="_Toc13190"/>
            <w:bookmarkStart w:id="244" w:name="_Toc1183"/>
            <w:bookmarkStart w:id="245" w:name="_Toc5056"/>
            <w:r>
              <w:rPr>
                <w:rFonts w:hint="eastAsia"/>
                <w:highlight w:val="none"/>
              </w:rPr>
              <w:t>成立时间</w:t>
            </w:r>
            <w:bookmarkEnd w:id="242"/>
            <w:bookmarkEnd w:id="243"/>
            <w:bookmarkEnd w:id="244"/>
            <w:bookmarkEnd w:id="245"/>
          </w:p>
        </w:tc>
        <w:tc>
          <w:tcPr>
            <w:tcW w:w="2331" w:type="dxa"/>
            <w:gridSpan w:val="2"/>
            <w:vAlign w:val="center"/>
          </w:tcPr>
          <w:p w14:paraId="121F97A8">
            <w:pPr>
              <w:rPr>
                <w:highlight w:val="none"/>
              </w:rPr>
            </w:pPr>
          </w:p>
        </w:tc>
        <w:tc>
          <w:tcPr>
            <w:tcW w:w="4774" w:type="dxa"/>
            <w:gridSpan w:val="5"/>
            <w:vAlign w:val="center"/>
          </w:tcPr>
          <w:p w14:paraId="1D7B70A8">
            <w:pPr>
              <w:rPr>
                <w:highlight w:val="none"/>
              </w:rPr>
            </w:pPr>
            <w:bookmarkStart w:id="246" w:name="_Toc5918"/>
            <w:bookmarkStart w:id="247" w:name="_Toc9920"/>
            <w:bookmarkStart w:id="248" w:name="_Toc23476"/>
            <w:bookmarkStart w:id="249" w:name="_Toc7458"/>
            <w:r>
              <w:rPr>
                <w:rFonts w:hint="eastAsia"/>
                <w:highlight w:val="none"/>
              </w:rPr>
              <w:t>员工总人数：</w:t>
            </w:r>
            <w:bookmarkEnd w:id="246"/>
            <w:bookmarkEnd w:id="247"/>
            <w:bookmarkEnd w:id="248"/>
            <w:bookmarkEnd w:id="249"/>
          </w:p>
        </w:tc>
      </w:tr>
      <w:tr w14:paraId="13077D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42E29837">
            <w:pPr>
              <w:rPr>
                <w:highlight w:val="none"/>
              </w:rPr>
            </w:pPr>
            <w:bookmarkStart w:id="250" w:name="_Toc19832"/>
            <w:bookmarkStart w:id="251" w:name="_Toc24347"/>
            <w:bookmarkStart w:id="252" w:name="_Toc2495"/>
            <w:bookmarkStart w:id="253" w:name="_Toc13811"/>
            <w:r>
              <w:rPr>
                <w:rFonts w:hint="eastAsia"/>
                <w:highlight w:val="none"/>
              </w:rPr>
              <w:t>营业执照号</w:t>
            </w:r>
            <w:bookmarkEnd w:id="250"/>
            <w:bookmarkEnd w:id="251"/>
            <w:bookmarkEnd w:id="252"/>
            <w:bookmarkEnd w:id="253"/>
          </w:p>
        </w:tc>
        <w:tc>
          <w:tcPr>
            <w:tcW w:w="2331" w:type="dxa"/>
            <w:gridSpan w:val="2"/>
            <w:vAlign w:val="center"/>
          </w:tcPr>
          <w:p w14:paraId="41419FF7">
            <w:pPr>
              <w:rPr>
                <w:highlight w:val="none"/>
              </w:rPr>
            </w:pPr>
          </w:p>
        </w:tc>
        <w:tc>
          <w:tcPr>
            <w:tcW w:w="1324" w:type="dxa"/>
            <w:vMerge w:val="restart"/>
            <w:vAlign w:val="center"/>
          </w:tcPr>
          <w:p w14:paraId="0368B430">
            <w:pPr>
              <w:rPr>
                <w:highlight w:val="none"/>
              </w:rPr>
            </w:pPr>
            <w:r>
              <w:rPr>
                <w:rFonts w:hint="eastAsia"/>
                <w:highlight w:val="none"/>
              </w:rPr>
              <w:t>其中</w:t>
            </w:r>
          </w:p>
        </w:tc>
        <w:tc>
          <w:tcPr>
            <w:tcW w:w="1569" w:type="dxa"/>
            <w:gridSpan w:val="2"/>
            <w:vAlign w:val="center"/>
          </w:tcPr>
          <w:p w14:paraId="099DF89A">
            <w:pPr>
              <w:rPr>
                <w:highlight w:val="none"/>
              </w:rPr>
            </w:pPr>
            <w:bookmarkStart w:id="254" w:name="_Toc13361"/>
            <w:bookmarkStart w:id="255" w:name="_Toc19894"/>
            <w:bookmarkStart w:id="256" w:name="_Toc16273"/>
            <w:bookmarkStart w:id="257" w:name="_Toc15246"/>
            <w:r>
              <w:rPr>
                <w:rFonts w:hint="eastAsia"/>
                <w:highlight w:val="none"/>
              </w:rPr>
              <w:t>高级职称人员</w:t>
            </w:r>
            <w:bookmarkEnd w:id="254"/>
            <w:bookmarkEnd w:id="255"/>
            <w:bookmarkEnd w:id="256"/>
            <w:bookmarkEnd w:id="257"/>
          </w:p>
        </w:tc>
        <w:tc>
          <w:tcPr>
            <w:tcW w:w="1881" w:type="dxa"/>
            <w:gridSpan w:val="2"/>
            <w:vAlign w:val="center"/>
          </w:tcPr>
          <w:p w14:paraId="0D0331C2">
            <w:pPr>
              <w:rPr>
                <w:highlight w:val="none"/>
              </w:rPr>
            </w:pPr>
          </w:p>
        </w:tc>
      </w:tr>
      <w:tr w14:paraId="66C1DD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1477723C">
            <w:pPr>
              <w:rPr>
                <w:highlight w:val="none"/>
              </w:rPr>
            </w:pPr>
            <w:bookmarkStart w:id="258" w:name="_Toc30242"/>
            <w:bookmarkStart w:id="259" w:name="_Toc3476"/>
            <w:bookmarkStart w:id="260" w:name="_Toc20237"/>
            <w:bookmarkStart w:id="261" w:name="_Toc12522"/>
            <w:r>
              <w:rPr>
                <w:rFonts w:hint="eastAsia"/>
                <w:highlight w:val="none"/>
              </w:rPr>
              <w:t>注册资金</w:t>
            </w:r>
            <w:bookmarkEnd w:id="258"/>
            <w:bookmarkEnd w:id="259"/>
            <w:bookmarkEnd w:id="260"/>
            <w:bookmarkEnd w:id="261"/>
          </w:p>
        </w:tc>
        <w:tc>
          <w:tcPr>
            <w:tcW w:w="2331" w:type="dxa"/>
            <w:gridSpan w:val="2"/>
            <w:vAlign w:val="center"/>
          </w:tcPr>
          <w:p w14:paraId="53B1F7A0">
            <w:pPr>
              <w:rPr>
                <w:highlight w:val="none"/>
              </w:rPr>
            </w:pPr>
          </w:p>
        </w:tc>
        <w:tc>
          <w:tcPr>
            <w:tcW w:w="1324" w:type="dxa"/>
            <w:vMerge w:val="continue"/>
            <w:vAlign w:val="center"/>
          </w:tcPr>
          <w:p w14:paraId="5D2B71D6">
            <w:pPr>
              <w:rPr>
                <w:highlight w:val="none"/>
              </w:rPr>
            </w:pPr>
          </w:p>
        </w:tc>
        <w:tc>
          <w:tcPr>
            <w:tcW w:w="1569" w:type="dxa"/>
            <w:gridSpan w:val="2"/>
            <w:vAlign w:val="center"/>
          </w:tcPr>
          <w:p w14:paraId="7526CE04">
            <w:pPr>
              <w:rPr>
                <w:highlight w:val="none"/>
              </w:rPr>
            </w:pPr>
            <w:bookmarkStart w:id="262" w:name="_Toc30244"/>
            <w:bookmarkStart w:id="263" w:name="_Toc7916"/>
            <w:bookmarkStart w:id="264" w:name="_Toc16642"/>
            <w:bookmarkStart w:id="265" w:name="_Toc1834"/>
            <w:r>
              <w:rPr>
                <w:rFonts w:hint="eastAsia"/>
                <w:highlight w:val="none"/>
              </w:rPr>
              <w:t>中级职称人员</w:t>
            </w:r>
            <w:bookmarkEnd w:id="262"/>
            <w:bookmarkEnd w:id="263"/>
            <w:bookmarkEnd w:id="264"/>
            <w:bookmarkEnd w:id="265"/>
          </w:p>
        </w:tc>
        <w:tc>
          <w:tcPr>
            <w:tcW w:w="1881" w:type="dxa"/>
            <w:gridSpan w:val="2"/>
            <w:vAlign w:val="center"/>
          </w:tcPr>
          <w:p w14:paraId="52D040E7">
            <w:pPr>
              <w:rPr>
                <w:highlight w:val="none"/>
              </w:rPr>
            </w:pPr>
          </w:p>
        </w:tc>
      </w:tr>
      <w:tr w14:paraId="14177E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59C2BF36">
            <w:pPr>
              <w:rPr>
                <w:highlight w:val="none"/>
              </w:rPr>
            </w:pPr>
            <w:bookmarkStart w:id="266" w:name="_Toc21663"/>
            <w:bookmarkStart w:id="267" w:name="_Toc17149"/>
            <w:bookmarkStart w:id="268" w:name="_Toc24406"/>
            <w:bookmarkStart w:id="269" w:name="_Toc18512"/>
            <w:r>
              <w:rPr>
                <w:rFonts w:hint="eastAsia"/>
                <w:highlight w:val="none"/>
              </w:rPr>
              <w:t>开户银行</w:t>
            </w:r>
            <w:bookmarkEnd w:id="266"/>
            <w:bookmarkEnd w:id="267"/>
            <w:bookmarkEnd w:id="268"/>
            <w:bookmarkEnd w:id="269"/>
          </w:p>
        </w:tc>
        <w:tc>
          <w:tcPr>
            <w:tcW w:w="2331" w:type="dxa"/>
            <w:gridSpan w:val="2"/>
            <w:vAlign w:val="center"/>
          </w:tcPr>
          <w:p w14:paraId="1366FB10">
            <w:pPr>
              <w:rPr>
                <w:highlight w:val="none"/>
              </w:rPr>
            </w:pPr>
          </w:p>
        </w:tc>
        <w:tc>
          <w:tcPr>
            <w:tcW w:w="1324" w:type="dxa"/>
            <w:vMerge w:val="continue"/>
            <w:vAlign w:val="center"/>
          </w:tcPr>
          <w:p w14:paraId="003E9E42">
            <w:pPr>
              <w:rPr>
                <w:highlight w:val="none"/>
              </w:rPr>
            </w:pPr>
          </w:p>
        </w:tc>
        <w:tc>
          <w:tcPr>
            <w:tcW w:w="1569" w:type="dxa"/>
            <w:gridSpan w:val="2"/>
            <w:vAlign w:val="center"/>
          </w:tcPr>
          <w:p w14:paraId="6FA38FC4">
            <w:pPr>
              <w:rPr>
                <w:highlight w:val="none"/>
              </w:rPr>
            </w:pPr>
            <w:bookmarkStart w:id="270" w:name="_Toc23409"/>
            <w:bookmarkStart w:id="271" w:name="_Toc15110"/>
            <w:bookmarkStart w:id="272" w:name="_Toc12330"/>
            <w:bookmarkStart w:id="273" w:name="_Toc24761"/>
            <w:r>
              <w:rPr>
                <w:rFonts w:hint="eastAsia"/>
                <w:highlight w:val="none"/>
              </w:rPr>
              <w:t>初级职称人员</w:t>
            </w:r>
            <w:bookmarkEnd w:id="270"/>
            <w:bookmarkEnd w:id="271"/>
            <w:bookmarkEnd w:id="272"/>
            <w:bookmarkEnd w:id="273"/>
          </w:p>
        </w:tc>
        <w:tc>
          <w:tcPr>
            <w:tcW w:w="1881" w:type="dxa"/>
            <w:gridSpan w:val="2"/>
            <w:vAlign w:val="center"/>
          </w:tcPr>
          <w:p w14:paraId="6EE55061">
            <w:pPr>
              <w:rPr>
                <w:highlight w:val="none"/>
              </w:rPr>
            </w:pPr>
          </w:p>
        </w:tc>
      </w:tr>
      <w:tr w14:paraId="23EB1F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14:paraId="2B6D402B">
            <w:pPr>
              <w:rPr>
                <w:highlight w:val="none"/>
              </w:rPr>
            </w:pPr>
            <w:bookmarkStart w:id="274" w:name="_Toc19211"/>
            <w:bookmarkStart w:id="275" w:name="_Toc11996"/>
            <w:bookmarkStart w:id="276" w:name="_Toc7482"/>
            <w:bookmarkStart w:id="277" w:name="_Toc7855"/>
            <w:r>
              <w:rPr>
                <w:rFonts w:hint="eastAsia"/>
                <w:highlight w:val="none"/>
              </w:rPr>
              <w:t>账号</w:t>
            </w:r>
            <w:bookmarkEnd w:id="274"/>
            <w:bookmarkEnd w:id="275"/>
            <w:bookmarkEnd w:id="276"/>
            <w:bookmarkEnd w:id="277"/>
          </w:p>
        </w:tc>
        <w:tc>
          <w:tcPr>
            <w:tcW w:w="2331" w:type="dxa"/>
            <w:gridSpan w:val="2"/>
            <w:vAlign w:val="center"/>
          </w:tcPr>
          <w:p w14:paraId="7CF23B47">
            <w:pPr>
              <w:rPr>
                <w:highlight w:val="none"/>
              </w:rPr>
            </w:pPr>
          </w:p>
        </w:tc>
        <w:tc>
          <w:tcPr>
            <w:tcW w:w="1324" w:type="dxa"/>
            <w:vMerge w:val="continue"/>
            <w:vAlign w:val="center"/>
          </w:tcPr>
          <w:p w14:paraId="1CFF1D1C">
            <w:pPr>
              <w:rPr>
                <w:highlight w:val="none"/>
              </w:rPr>
            </w:pPr>
          </w:p>
        </w:tc>
        <w:tc>
          <w:tcPr>
            <w:tcW w:w="1569" w:type="dxa"/>
            <w:gridSpan w:val="2"/>
            <w:vAlign w:val="center"/>
          </w:tcPr>
          <w:p w14:paraId="16219AD6">
            <w:pPr>
              <w:rPr>
                <w:highlight w:val="none"/>
              </w:rPr>
            </w:pPr>
            <w:bookmarkStart w:id="278" w:name="_Toc10662"/>
            <w:bookmarkStart w:id="279" w:name="_Toc16123"/>
            <w:bookmarkStart w:id="280" w:name="_Toc7296"/>
            <w:bookmarkStart w:id="281" w:name="_Toc23890"/>
            <w:r>
              <w:rPr>
                <w:rFonts w:hint="eastAsia"/>
                <w:highlight w:val="none"/>
              </w:rPr>
              <w:t>技 工</w:t>
            </w:r>
            <w:bookmarkEnd w:id="278"/>
            <w:bookmarkEnd w:id="279"/>
            <w:bookmarkEnd w:id="280"/>
            <w:bookmarkEnd w:id="281"/>
          </w:p>
        </w:tc>
        <w:tc>
          <w:tcPr>
            <w:tcW w:w="1881" w:type="dxa"/>
            <w:gridSpan w:val="2"/>
            <w:vAlign w:val="center"/>
          </w:tcPr>
          <w:p w14:paraId="74C9E0E1">
            <w:pPr>
              <w:rPr>
                <w:highlight w:val="none"/>
              </w:rPr>
            </w:pPr>
          </w:p>
        </w:tc>
      </w:tr>
      <w:tr w14:paraId="3C89C7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14:paraId="334E7644">
            <w:pPr>
              <w:rPr>
                <w:highlight w:val="none"/>
              </w:rPr>
            </w:pPr>
            <w:bookmarkStart w:id="282" w:name="_Toc30075"/>
            <w:bookmarkStart w:id="283" w:name="_Toc19840"/>
            <w:bookmarkStart w:id="284" w:name="_Toc516"/>
            <w:bookmarkStart w:id="285" w:name="_Toc2745"/>
            <w:r>
              <w:rPr>
                <w:rFonts w:hint="eastAsia"/>
                <w:highlight w:val="none"/>
              </w:rPr>
              <w:t>经营范围</w:t>
            </w:r>
            <w:bookmarkEnd w:id="282"/>
            <w:bookmarkEnd w:id="283"/>
            <w:bookmarkEnd w:id="284"/>
            <w:bookmarkEnd w:id="285"/>
          </w:p>
        </w:tc>
        <w:tc>
          <w:tcPr>
            <w:tcW w:w="7105" w:type="dxa"/>
            <w:gridSpan w:val="7"/>
            <w:vAlign w:val="center"/>
          </w:tcPr>
          <w:p w14:paraId="45C67B94">
            <w:pPr>
              <w:rPr>
                <w:highlight w:val="none"/>
              </w:rPr>
            </w:pPr>
          </w:p>
        </w:tc>
      </w:tr>
      <w:tr w14:paraId="7A9B37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14:paraId="05BE27B0">
            <w:pPr>
              <w:rPr>
                <w:highlight w:val="none"/>
              </w:rPr>
            </w:pPr>
            <w:bookmarkStart w:id="286" w:name="_Toc22690"/>
            <w:bookmarkStart w:id="287" w:name="_Toc12320"/>
            <w:bookmarkStart w:id="288" w:name="_Toc26754"/>
            <w:bookmarkStart w:id="289" w:name="_Toc19290"/>
            <w:r>
              <w:rPr>
                <w:rFonts w:hint="eastAsia"/>
                <w:highlight w:val="none"/>
              </w:rPr>
              <w:t>备注</w:t>
            </w:r>
            <w:bookmarkEnd w:id="286"/>
            <w:bookmarkEnd w:id="287"/>
            <w:bookmarkEnd w:id="288"/>
            <w:bookmarkEnd w:id="289"/>
          </w:p>
        </w:tc>
        <w:tc>
          <w:tcPr>
            <w:tcW w:w="7105" w:type="dxa"/>
            <w:gridSpan w:val="7"/>
          </w:tcPr>
          <w:p w14:paraId="0F8A3B83">
            <w:pPr>
              <w:rPr>
                <w:highlight w:val="none"/>
              </w:rPr>
            </w:pPr>
          </w:p>
        </w:tc>
      </w:tr>
    </w:tbl>
    <w:p w14:paraId="3D004707">
      <w:pPr>
        <w:rPr>
          <w:highlight w:val="none"/>
        </w:rPr>
      </w:pPr>
    </w:p>
    <w:p w14:paraId="55140809">
      <w:pPr>
        <w:spacing w:line="360" w:lineRule="auto"/>
        <w:rPr>
          <w:rFonts w:ascii="宋体" w:hAnsi="宋体" w:cs="宋体"/>
          <w:sz w:val="24"/>
          <w:szCs w:val="24"/>
          <w:highlight w:val="none"/>
        </w:rPr>
      </w:pPr>
    </w:p>
    <w:p w14:paraId="19EAED3D">
      <w:pPr>
        <w:spacing w:line="360" w:lineRule="auto"/>
        <w:rPr>
          <w:rFonts w:hAnsi="宋体"/>
          <w:sz w:val="24"/>
          <w:szCs w:val="24"/>
          <w:highlight w:val="none"/>
          <w:u w:val="single"/>
        </w:rPr>
      </w:pPr>
      <w:r>
        <w:rPr>
          <w:rFonts w:hint="eastAsia" w:ascii="宋体" w:hAnsi="宋体" w:cs="宋体"/>
          <w:sz w:val="24"/>
          <w:szCs w:val="24"/>
          <w:highlight w:val="none"/>
        </w:rPr>
        <w:t xml:space="preserve"> </w:t>
      </w:r>
      <w:r>
        <w:rPr>
          <w:rFonts w:hint="eastAsia" w:hAnsi="宋体"/>
          <w:sz w:val="24"/>
          <w:szCs w:val="24"/>
          <w:highlight w:val="none"/>
          <w:u w:val="single"/>
        </w:rPr>
        <w:t xml:space="preserve">             </w:t>
      </w:r>
      <w:r>
        <w:rPr>
          <w:rFonts w:hAnsi="宋体"/>
          <w:sz w:val="24"/>
          <w:szCs w:val="24"/>
          <w:highlight w:val="none"/>
          <w:u w:val="single"/>
        </w:rPr>
        <w:t xml:space="preserve">    </w:t>
      </w:r>
    </w:p>
    <w:p w14:paraId="5FBDC628">
      <w:pPr>
        <w:rPr>
          <w:rFonts w:hint="eastAsia"/>
          <w:b/>
          <w:bCs/>
          <w:highlight w:val="none"/>
        </w:rPr>
      </w:pPr>
      <w:r>
        <w:rPr>
          <w:rFonts w:hint="eastAsia" w:ascii="宋体" w:hAnsi="宋体" w:cs="宋体"/>
          <w:b/>
          <w:bCs/>
          <w:sz w:val="24"/>
          <w:szCs w:val="24"/>
          <w:highlight w:val="none"/>
        </w:rPr>
        <w:t>2-2供应商营业执照等资质证明材料</w:t>
      </w:r>
      <w:r>
        <w:rPr>
          <w:rFonts w:hint="eastAsia"/>
          <w:b/>
          <w:bCs/>
          <w:highlight w:val="none"/>
        </w:rPr>
        <w:t>。</w:t>
      </w:r>
      <w:r>
        <w:rPr>
          <w:rFonts w:hint="eastAsia"/>
          <w:b/>
          <w:bCs/>
          <w:highlight w:val="none"/>
        </w:rPr>
        <w:br w:type="page"/>
      </w:r>
    </w:p>
    <w:p w14:paraId="64739FC8">
      <w:pPr>
        <w:rPr>
          <w:sz w:val="32"/>
          <w:szCs w:val="36"/>
          <w:highlight w:val="none"/>
        </w:rPr>
      </w:pPr>
      <w:r>
        <w:rPr>
          <w:rFonts w:hint="eastAsia"/>
          <w:sz w:val="32"/>
          <w:szCs w:val="36"/>
          <w:highlight w:val="none"/>
        </w:rPr>
        <w:t>3、法定代表人证明书及法定代表人授权书</w:t>
      </w:r>
    </w:p>
    <w:p w14:paraId="1F3741FB">
      <w:pPr>
        <w:jc w:val="left"/>
        <w:rPr>
          <w:b/>
          <w:bCs/>
          <w:highlight w:val="none"/>
        </w:rPr>
      </w:pPr>
      <w:r>
        <w:rPr>
          <w:rFonts w:hint="eastAsia"/>
          <w:sz w:val="28"/>
          <w:szCs w:val="32"/>
          <w:highlight w:val="none"/>
        </w:rPr>
        <w:t>3-1法定代表人证明书</w:t>
      </w:r>
    </w:p>
    <w:tbl>
      <w:tblPr>
        <w:tblStyle w:val="2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14:paraId="5E27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14:paraId="6F8D5B4D">
            <w:pPr>
              <w:tabs>
                <w:tab w:val="left" w:pos="210"/>
              </w:tabs>
              <w:spacing w:line="360" w:lineRule="auto"/>
              <w:jc w:val="left"/>
              <w:rPr>
                <w:rFonts w:ascii="宋体" w:hAnsi="宋体" w:cs="宋体"/>
                <w:kern w:val="0"/>
                <w:szCs w:val="21"/>
                <w:highlight w:val="none"/>
              </w:rPr>
            </w:pPr>
            <w:r>
              <w:rPr>
                <w:rFonts w:hint="eastAsia" w:ascii="宋体" w:hAnsi="宋体" w:cs="宋体"/>
                <w:kern w:val="0"/>
                <w:szCs w:val="21"/>
                <w:highlight w:val="none"/>
              </w:rPr>
              <w:t>致：陕西万泽招标有限公司</w:t>
            </w:r>
          </w:p>
        </w:tc>
      </w:tr>
      <w:tr w14:paraId="17B2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63F1B050">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企</w:t>
            </w:r>
          </w:p>
          <w:p w14:paraId="4AFDB4E2">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业</w:t>
            </w:r>
          </w:p>
          <w:p w14:paraId="1CE9A38D">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14:paraId="17A35062">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tc>
        <w:tc>
          <w:tcPr>
            <w:tcW w:w="2160" w:type="dxa"/>
            <w:vAlign w:val="center"/>
          </w:tcPr>
          <w:p w14:paraId="4F430AB6">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企业名称</w:t>
            </w:r>
          </w:p>
        </w:tc>
        <w:tc>
          <w:tcPr>
            <w:tcW w:w="6184" w:type="dxa"/>
            <w:gridSpan w:val="4"/>
            <w:vAlign w:val="center"/>
          </w:tcPr>
          <w:p w14:paraId="6C265F54">
            <w:pPr>
              <w:tabs>
                <w:tab w:val="left" w:pos="210"/>
              </w:tabs>
              <w:spacing w:line="360" w:lineRule="auto"/>
              <w:jc w:val="left"/>
              <w:rPr>
                <w:rFonts w:ascii="宋体" w:hAnsi="宋体" w:cs="宋体"/>
                <w:kern w:val="0"/>
                <w:szCs w:val="21"/>
                <w:highlight w:val="none"/>
              </w:rPr>
            </w:pPr>
          </w:p>
        </w:tc>
      </w:tr>
      <w:tr w14:paraId="5C6E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263D865B">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14:paraId="490A44D7">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法定地址</w:t>
            </w:r>
          </w:p>
        </w:tc>
        <w:tc>
          <w:tcPr>
            <w:tcW w:w="6184" w:type="dxa"/>
            <w:gridSpan w:val="4"/>
            <w:vAlign w:val="center"/>
          </w:tcPr>
          <w:p w14:paraId="0ABB119D">
            <w:pPr>
              <w:tabs>
                <w:tab w:val="left" w:pos="210"/>
              </w:tabs>
              <w:spacing w:line="360" w:lineRule="auto"/>
              <w:jc w:val="left"/>
              <w:rPr>
                <w:rFonts w:ascii="宋体" w:hAnsi="宋体" w:cs="宋体"/>
                <w:kern w:val="0"/>
                <w:szCs w:val="21"/>
                <w:highlight w:val="none"/>
              </w:rPr>
            </w:pPr>
          </w:p>
        </w:tc>
      </w:tr>
      <w:tr w14:paraId="474D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20E9714E">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14:paraId="0BF6F95B">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注册资金</w:t>
            </w:r>
          </w:p>
        </w:tc>
        <w:tc>
          <w:tcPr>
            <w:tcW w:w="6184" w:type="dxa"/>
            <w:gridSpan w:val="4"/>
            <w:vAlign w:val="center"/>
          </w:tcPr>
          <w:p w14:paraId="4743B63F">
            <w:pPr>
              <w:tabs>
                <w:tab w:val="left" w:pos="210"/>
              </w:tabs>
              <w:spacing w:line="360" w:lineRule="auto"/>
              <w:jc w:val="left"/>
              <w:rPr>
                <w:rFonts w:ascii="宋体" w:hAnsi="宋体" w:cs="宋体"/>
                <w:kern w:val="0"/>
                <w:szCs w:val="21"/>
                <w:highlight w:val="none"/>
              </w:rPr>
            </w:pPr>
          </w:p>
        </w:tc>
      </w:tr>
      <w:tr w14:paraId="5FE8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4B49E546">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14:paraId="081498E0">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工商登记机关</w:t>
            </w:r>
          </w:p>
        </w:tc>
        <w:tc>
          <w:tcPr>
            <w:tcW w:w="6184" w:type="dxa"/>
            <w:gridSpan w:val="4"/>
            <w:vAlign w:val="center"/>
          </w:tcPr>
          <w:p w14:paraId="62398634">
            <w:pPr>
              <w:tabs>
                <w:tab w:val="left" w:pos="210"/>
              </w:tabs>
              <w:spacing w:line="360" w:lineRule="auto"/>
              <w:jc w:val="left"/>
              <w:rPr>
                <w:rFonts w:ascii="宋体" w:hAnsi="宋体" w:cs="宋体"/>
                <w:kern w:val="0"/>
                <w:szCs w:val="21"/>
                <w:highlight w:val="none"/>
              </w:rPr>
            </w:pPr>
          </w:p>
        </w:tc>
      </w:tr>
      <w:tr w14:paraId="74F2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30255C46">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14:paraId="3909B3F8">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统一社会信用代码</w:t>
            </w:r>
          </w:p>
        </w:tc>
        <w:tc>
          <w:tcPr>
            <w:tcW w:w="6184" w:type="dxa"/>
            <w:gridSpan w:val="4"/>
            <w:vAlign w:val="center"/>
          </w:tcPr>
          <w:p w14:paraId="2D51BA8A">
            <w:pPr>
              <w:tabs>
                <w:tab w:val="left" w:pos="210"/>
              </w:tabs>
              <w:spacing w:line="360" w:lineRule="auto"/>
              <w:jc w:val="left"/>
              <w:rPr>
                <w:rFonts w:ascii="宋体" w:hAnsi="宋体" w:cs="宋体"/>
                <w:kern w:val="0"/>
                <w:szCs w:val="21"/>
                <w:highlight w:val="none"/>
              </w:rPr>
            </w:pPr>
          </w:p>
        </w:tc>
      </w:tr>
      <w:tr w14:paraId="51AC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00ABEAE6">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14:paraId="0A3F178F">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定</w:t>
            </w:r>
          </w:p>
          <w:p w14:paraId="5A27C61F">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代</w:t>
            </w:r>
          </w:p>
          <w:p w14:paraId="2832B38E">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表</w:t>
            </w:r>
          </w:p>
          <w:p w14:paraId="3B4922C2">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tc>
        <w:tc>
          <w:tcPr>
            <w:tcW w:w="2160" w:type="dxa"/>
            <w:vAlign w:val="center"/>
          </w:tcPr>
          <w:p w14:paraId="2E4BA5B2">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姓名</w:t>
            </w:r>
          </w:p>
        </w:tc>
        <w:tc>
          <w:tcPr>
            <w:tcW w:w="2340" w:type="dxa"/>
            <w:gridSpan w:val="2"/>
            <w:vAlign w:val="center"/>
          </w:tcPr>
          <w:p w14:paraId="64D1A961">
            <w:pPr>
              <w:tabs>
                <w:tab w:val="left" w:pos="210"/>
              </w:tabs>
              <w:spacing w:line="360" w:lineRule="auto"/>
              <w:ind w:firstLine="420" w:firstLineChars="200"/>
              <w:jc w:val="left"/>
              <w:rPr>
                <w:rFonts w:ascii="宋体" w:hAnsi="宋体" w:eastAsia="宋体" w:cs="宋体"/>
                <w:kern w:val="0"/>
                <w:szCs w:val="21"/>
                <w:highlight w:val="none"/>
              </w:rPr>
            </w:pPr>
            <w:r>
              <w:rPr>
                <w:rFonts w:hint="eastAsia" w:ascii="宋体" w:hAnsi="宋体" w:cs="宋体"/>
                <w:kern w:val="0"/>
                <w:szCs w:val="21"/>
                <w:highlight w:val="none"/>
              </w:rPr>
              <w:t xml:space="preserve"> </w:t>
            </w:r>
          </w:p>
        </w:tc>
        <w:tc>
          <w:tcPr>
            <w:tcW w:w="2156" w:type="dxa"/>
            <w:vAlign w:val="center"/>
          </w:tcPr>
          <w:p w14:paraId="47DF0BC9">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性别</w:t>
            </w:r>
          </w:p>
        </w:tc>
        <w:tc>
          <w:tcPr>
            <w:tcW w:w="1688" w:type="dxa"/>
            <w:vAlign w:val="center"/>
          </w:tcPr>
          <w:p w14:paraId="74F28A37">
            <w:pPr>
              <w:tabs>
                <w:tab w:val="left" w:pos="210"/>
              </w:tabs>
              <w:spacing w:line="360" w:lineRule="auto"/>
              <w:ind w:firstLine="420" w:firstLineChars="200"/>
              <w:jc w:val="left"/>
              <w:rPr>
                <w:rFonts w:ascii="宋体" w:hAnsi="宋体" w:cs="宋体"/>
                <w:kern w:val="0"/>
                <w:szCs w:val="21"/>
                <w:highlight w:val="none"/>
              </w:rPr>
            </w:pPr>
          </w:p>
        </w:tc>
      </w:tr>
      <w:tr w14:paraId="5373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00BBADC7">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14:paraId="55272753">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职务</w:t>
            </w:r>
          </w:p>
        </w:tc>
        <w:tc>
          <w:tcPr>
            <w:tcW w:w="2340" w:type="dxa"/>
            <w:gridSpan w:val="2"/>
            <w:vAlign w:val="center"/>
          </w:tcPr>
          <w:p w14:paraId="33B86B9A">
            <w:pPr>
              <w:tabs>
                <w:tab w:val="left" w:pos="210"/>
              </w:tabs>
              <w:spacing w:line="360" w:lineRule="auto"/>
              <w:jc w:val="left"/>
              <w:rPr>
                <w:rFonts w:ascii="宋体" w:hAnsi="宋体" w:cs="宋体"/>
                <w:kern w:val="0"/>
                <w:szCs w:val="21"/>
                <w:highlight w:val="none"/>
              </w:rPr>
            </w:pPr>
          </w:p>
        </w:tc>
        <w:tc>
          <w:tcPr>
            <w:tcW w:w="2156" w:type="dxa"/>
            <w:vAlign w:val="center"/>
          </w:tcPr>
          <w:p w14:paraId="12CB9A81">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联系电话</w:t>
            </w:r>
          </w:p>
        </w:tc>
        <w:tc>
          <w:tcPr>
            <w:tcW w:w="1688" w:type="dxa"/>
            <w:vAlign w:val="center"/>
          </w:tcPr>
          <w:p w14:paraId="06A916E7">
            <w:pPr>
              <w:tabs>
                <w:tab w:val="left" w:pos="210"/>
              </w:tabs>
              <w:spacing w:line="360" w:lineRule="auto"/>
              <w:ind w:firstLine="420" w:firstLineChars="200"/>
              <w:jc w:val="left"/>
              <w:rPr>
                <w:rFonts w:ascii="宋体" w:hAnsi="宋体" w:cs="宋体"/>
                <w:kern w:val="0"/>
                <w:szCs w:val="21"/>
                <w:highlight w:val="none"/>
              </w:rPr>
            </w:pPr>
          </w:p>
        </w:tc>
      </w:tr>
      <w:tr w14:paraId="0809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14:paraId="08C3F069">
            <w:pPr>
              <w:tabs>
                <w:tab w:val="left" w:pos="210"/>
              </w:tabs>
              <w:spacing w:line="360" w:lineRule="auto"/>
              <w:ind w:firstLine="420" w:firstLineChars="200"/>
              <w:jc w:val="center"/>
              <w:rPr>
                <w:rFonts w:ascii="宋体" w:hAnsi="宋体" w:cs="宋体"/>
                <w:kern w:val="0"/>
                <w:szCs w:val="21"/>
                <w:highlight w:val="none"/>
              </w:rPr>
            </w:pPr>
          </w:p>
        </w:tc>
        <w:tc>
          <w:tcPr>
            <w:tcW w:w="2160" w:type="dxa"/>
            <w:vAlign w:val="center"/>
          </w:tcPr>
          <w:p w14:paraId="1AC41377">
            <w:pPr>
              <w:tabs>
                <w:tab w:val="left" w:pos="210"/>
              </w:tabs>
              <w:spacing w:line="360" w:lineRule="auto"/>
              <w:rPr>
                <w:rFonts w:ascii="宋体" w:hAnsi="宋体" w:cs="宋体"/>
                <w:kern w:val="0"/>
                <w:szCs w:val="21"/>
                <w:highlight w:val="none"/>
              </w:rPr>
            </w:pPr>
            <w:r>
              <w:rPr>
                <w:rFonts w:hint="eastAsia" w:ascii="宋体" w:hAnsi="宋体" w:cs="宋体"/>
                <w:kern w:val="0"/>
                <w:szCs w:val="21"/>
                <w:highlight w:val="none"/>
              </w:rPr>
              <w:t>传真</w:t>
            </w:r>
          </w:p>
        </w:tc>
        <w:tc>
          <w:tcPr>
            <w:tcW w:w="6184" w:type="dxa"/>
            <w:gridSpan w:val="4"/>
            <w:vAlign w:val="center"/>
          </w:tcPr>
          <w:p w14:paraId="7BD28BA1">
            <w:pPr>
              <w:tabs>
                <w:tab w:val="left" w:pos="210"/>
              </w:tabs>
              <w:spacing w:line="360" w:lineRule="auto"/>
              <w:jc w:val="left"/>
              <w:rPr>
                <w:rFonts w:ascii="宋体" w:hAnsi="宋体" w:cs="宋体"/>
                <w:kern w:val="0"/>
                <w:szCs w:val="21"/>
                <w:highlight w:val="none"/>
              </w:rPr>
            </w:pPr>
          </w:p>
        </w:tc>
      </w:tr>
      <w:tr w14:paraId="572C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14:paraId="3B79A59E">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法</w:t>
            </w:r>
          </w:p>
          <w:p w14:paraId="5FDDBA32">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定</w:t>
            </w:r>
          </w:p>
          <w:p w14:paraId="4C65736C">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代</w:t>
            </w:r>
          </w:p>
          <w:p w14:paraId="22EE0B32">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表</w:t>
            </w:r>
          </w:p>
          <w:p w14:paraId="687A7AA3">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人</w:t>
            </w:r>
          </w:p>
          <w:p w14:paraId="1312C234">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身</w:t>
            </w:r>
          </w:p>
          <w:p w14:paraId="3A21A512">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份</w:t>
            </w:r>
          </w:p>
          <w:p w14:paraId="702D869C">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证</w:t>
            </w:r>
          </w:p>
          <w:p w14:paraId="720EE4FF">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复</w:t>
            </w:r>
          </w:p>
          <w:p w14:paraId="06E56898">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印</w:t>
            </w:r>
          </w:p>
          <w:p w14:paraId="5311ACA3">
            <w:pPr>
              <w:tabs>
                <w:tab w:val="left" w:pos="210"/>
              </w:tabs>
              <w:spacing w:line="360" w:lineRule="auto"/>
              <w:jc w:val="center"/>
              <w:rPr>
                <w:rFonts w:ascii="宋体" w:hAnsi="宋体" w:cs="宋体"/>
                <w:kern w:val="0"/>
                <w:szCs w:val="21"/>
                <w:highlight w:val="none"/>
              </w:rPr>
            </w:pPr>
            <w:r>
              <w:rPr>
                <w:rFonts w:hint="eastAsia" w:ascii="宋体" w:hAnsi="宋体" w:cs="宋体"/>
                <w:kern w:val="0"/>
                <w:szCs w:val="21"/>
                <w:highlight w:val="none"/>
              </w:rPr>
              <w:t>件</w:t>
            </w:r>
          </w:p>
        </w:tc>
        <w:tc>
          <w:tcPr>
            <w:tcW w:w="4316" w:type="dxa"/>
            <w:gridSpan w:val="2"/>
            <w:vMerge w:val="restart"/>
            <w:vAlign w:val="center"/>
          </w:tcPr>
          <w:p w14:paraId="031CBD18">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（正反面）</w:t>
            </w:r>
          </w:p>
        </w:tc>
        <w:tc>
          <w:tcPr>
            <w:tcW w:w="4028" w:type="dxa"/>
            <w:gridSpan w:val="3"/>
            <w:vAlign w:val="center"/>
          </w:tcPr>
          <w:p w14:paraId="64B63F9D">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法定代表人（签字或盖章）</w:t>
            </w:r>
          </w:p>
        </w:tc>
      </w:tr>
      <w:tr w14:paraId="776B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14:paraId="7A6B47DE">
            <w:pPr>
              <w:tabs>
                <w:tab w:val="left" w:pos="210"/>
              </w:tabs>
              <w:spacing w:line="360" w:lineRule="auto"/>
              <w:ind w:firstLine="420" w:firstLineChars="200"/>
              <w:jc w:val="left"/>
              <w:rPr>
                <w:rFonts w:ascii="宋体" w:hAnsi="宋体" w:cs="宋体"/>
                <w:kern w:val="0"/>
                <w:szCs w:val="21"/>
                <w:highlight w:val="none"/>
              </w:rPr>
            </w:pPr>
          </w:p>
        </w:tc>
        <w:tc>
          <w:tcPr>
            <w:tcW w:w="4316" w:type="dxa"/>
            <w:gridSpan w:val="2"/>
            <w:vMerge w:val="continue"/>
            <w:vAlign w:val="center"/>
          </w:tcPr>
          <w:p w14:paraId="67800E7B">
            <w:pPr>
              <w:tabs>
                <w:tab w:val="left" w:pos="210"/>
              </w:tabs>
              <w:spacing w:line="360" w:lineRule="auto"/>
              <w:ind w:firstLine="420" w:firstLineChars="200"/>
              <w:jc w:val="left"/>
              <w:rPr>
                <w:rFonts w:ascii="宋体" w:hAnsi="宋体" w:cs="宋体"/>
                <w:kern w:val="0"/>
                <w:szCs w:val="21"/>
                <w:highlight w:val="none"/>
              </w:rPr>
            </w:pPr>
          </w:p>
        </w:tc>
        <w:tc>
          <w:tcPr>
            <w:tcW w:w="4028" w:type="dxa"/>
            <w:gridSpan w:val="3"/>
            <w:vAlign w:val="bottom"/>
          </w:tcPr>
          <w:p w14:paraId="4507DD2A">
            <w:pPr>
              <w:tabs>
                <w:tab w:val="left" w:pos="210"/>
              </w:tabs>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eastAsia="zh-CN"/>
              </w:rPr>
              <w:t>供应商</w:t>
            </w:r>
            <w:r>
              <w:rPr>
                <w:rFonts w:hint="eastAsia" w:ascii="宋体" w:hAnsi="宋体" w:cs="宋体"/>
                <w:kern w:val="0"/>
                <w:szCs w:val="21"/>
                <w:highlight w:val="none"/>
              </w:rPr>
              <w:t>公章）</w:t>
            </w:r>
          </w:p>
          <w:p w14:paraId="499DD840">
            <w:pPr>
              <w:tabs>
                <w:tab w:val="left" w:pos="210"/>
              </w:tabs>
              <w:spacing w:line="360" w:lineRule="auto"/>
              <w:jc w:val="left"/>
              <w:rPr>
                <w:rFonts w:ascii="宋体" w:hAnsi="宋体" w:cs="宋体"/>
                <w:kern w:val="0"/>
                <w:szCs w:val="21"/>
                <w:highlight w:val="none"/>
              </w:rPr>
            </w:pPr>
          </w:p>
          <w:p w14:paraId="37BE139F">
            <w:pPr>
              <w:tabs>
                <w:tab w:val="left" w:pos="210"/>
              </w:tabs>
              <w:spacing w:line="360" w:lineRule="auto"/>
              <w:jc w:val="left"/>
              <w:rPr>
                <w:rFonts w:ascii="宋体" w:hAnsi="宋体" w:cs="宋体"/>
                <w:kern w:val="0"/>
                <w:szCs w:val="21"/>
                <w:highlight w:val="none"/>
              </w:rPr>
            </w:pPr>
          </w:p>
          <w:p w14:paraId="30587E7D">
            <w:pPr>
              <w:tabs>
                <w:tab w:val="left" w:pos="210"/>
              </w:tabs>
              <w:spacing w:line="360" w:lineRule="auto"/>
              <w:jc w:val="left"/>
              <w:rPr>
                <w:rFonts w:ascii="宋体" w:hAnsi="宋体" w:cs="宋体"/>
                <w:kern w:val="0"/>
                <w:szCs w:val="21"/>
                <w:highlight w:val="none"/>
              </w:rPr>
            </w:pPr>
          </w:p>
          <w:p w14:paraId="694C39D7">
            <w:pPr>
              <w:adjustRightInd w:val="0"/>
              <w:snapToGrid w:val="0"/>
              <w:spacing w:line="480" w:lineRule="auto"/>
              <w:ind w:firstLine="480" w:firstLineChars="200"/>
              <w:jc w:val="right"/>
              <w:rPr>
                <w:rFonts w:ascii="宋体" w:hAnsi="宋体" w:cs="宋体"/>
                <w:kern w:val="0"/>
                <w:szCs w:val="21"/>
                <w:highlight w:val="none"/>
              </w:rPr>
            </w:pPr>
            <w:r>
              <w:rPr>
                <w:rFonts w:hint="eastAsia" w:ascii="宋体" w:hAnsi="宋体" w:cs="宋体"/>
                <w:sz w:val="24"/>
                <w:highlight w:val="none"/>
              </w:rPr>
              <w:t>年  月 日</w:t>
            </w:r>
          </w:p>
        </w:tc>
      </w:tr>
    </w:tbl>
    <w:p w14:paraId="77D21BB3">
      <w:pPr>
        <w:jc w:val="left"/>
        <w:rPr>
          <w:b/>
          <w:bCs/>
          <w:highlight w:val="none"/>
        </w:rPr>
      </w:pPr>
    </w:p>
    <w:p w14:paraId="09D76C71">
      <w:pPr>
        <w:pageBreakBefore/>
        <w:tabs>
          <w:tab w:val="left" w:pos="210"/>
        </w:tabs>
        <w:spacing w:line="240" w:lineRule="auto"/>
        <w:jc w:val="center"/>
        <w:rPr>
          <w:rFonts w:ascii="宋体" w:hAnsi="宋体" w:cs="宋体"/>
          <w:b/>
          <w:bCs/>
          <w:kern w:val="0"/>
          <w:sz w:val="24"/>
          <w:szCs w:val="24"/>
          <w:highlight w:val="none"/>
        </w:rPr>
      </w:pPr>
      <w:r>
        <w:rPr>
          <w:rFonts w:hint="eastAsia" w:ascii="宋体" w:hAnsi="宋体" w:eastAsia="宋体" w:cs="宋体"/>
          <w:b/>
          <w:color w:val="000000" w:themeColor="text1"/>
          <w:kern w:val="0"/>
          <w:sz w:val="24"/>
          <w:szCs w:val="24"/>
          <w:highlight w:val="none"/>
          <w14:textFill>
            <w14:solidFill>
              <w14:schemeClr w14:val="tx1"/>
            </w14:solidFill>
          </w14:textFill>
        </w:rPr>
        <w:t>3-2法定代表人授权书</w:t>
      </w:r>
      <w:r>
        <w:rPr>
          <w:rFonts w:hint="eastAsia" w:ascii="宋体" w:hAnsi="宋体" w:eastAsia="宋体" w:cs="宋体"/>
          <w:b/>
          <w:color w:val="000000" w:themeColor="text1"/>
          <w:kern w:val="0"/>
          <w:sz w:val="24"/>
          <w:szCs w:val="24"/>
          <w:highlight w:val="none"/>
          <w14:textFill>
            <w14:solidFill>
              <w14:schemeClr w14:val="tx1"/>
            </w14:solidFill>
          </w14:textFill>
        </w:rPr>
        <w:br w:type="textWrapping"/>
      </w:r>
      <w:r>
        <w:rPr>
          <w:rFonts w:hint="eastAsia" w:hAnsi="宋体" w:eastAsia="宋体" w:cs="宋体"/>
          <w:b/>
          <w:color w:val="000000" w:themeColor="text1"/>
          <w:kern w:val="0"/>
          <w:sz w:val="24"/>
          <w:szCs w:val="24"/>
          <w:highlight w:val="none"/>
          <w14:textFill>
            <w14:solidFill>
              <w14:schemeClr w14:val="tx1"/>
            </w14:solidFill>
          </w14:textFill>
        </w:rPr>
        <w:t>法定代表人授权书</w:t>
      </w:r>
    </w:p>
    <w:p w14:paraId="356420A7">
      <w:pPr>
        <w:pStyle w:val="13"/>
        <w:spacing w:line="500" w:lineRule="exact"/>
        <w:jc w:val="left"/>
        <w:rPr>
          <w:rFonts w:hAnsi="宋体" w:cs="宋体"/>
          <w:b/>
          <w:bCs/>
          <w:sz w:val="24"/>
          <w:szCs w:val="24"/>
          <w:highlight w:val="none"/>
        </w:rPr>
      </w:pPr>
      <w:r>
        <w:rPr>
          <w:rFonts w:hint="eastAsia" w:hAnsi="宋体" w:cs="宋体"/>
          <w:sz w:val="24"/>
          <w:szCs w:val="24"/>
          <w:highlight w:val="none"/>
        </w:rPr>
        <w:t>陕西万泽招标有限公司：</w:t>
      </w:r>
    </w:p>
    <w:p w14:paraId="6FC55AA4">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本授权书声明：注册于（</w:t>
      </w:r>
      <w:r>
        <w:rPr>
          <w:rFonts w:hint="eastAsia" w:hAnsi="宋体" w:cs="宋体"/>
          <w:sz w:val="24"/>
          <w:szCs w:val="24"/>
          <w:highlight w:val="none"/>
          <w:u w:val="single"/>
          <w:lang w:val="en-US" w:eastAsia="zh-CN"/>
        </w:rPr>
        <w:t>市场监督</w:t>
      </w:r>
      <w:r>
        <w:rPr>
          <w:rFonts w:hint="eastAsia" w:hAnsi="宋体" w:cs="宋体"/>
          <w:sz w:val="24"/>
          <w:szCs w:val="24"/>
          <w:highlight w:val="none"/>
          <w:u w:val="single"/>
        </w:rPr>
        <w:t>管理局名称）之（委托单位全称）</w:t>
      </w:r>
      <w:r>
        <w:rPr>
          <w:rFonts w:hint="eastAsia" w:hAnsi="宋体" w:cs="宋体"/>
          <w:sz w:val="24"/>
          <w:szCs w:val="24"/>
          <w:highlight w:val="none"/>
        </w:rPr>
        <w:t>的法定代表人</w:t>
      </w:r>
      <w:r>
        <w:rPr>
          <w:rFonts w:hint="eastAsia" w:hAnsi="宋体" w:cs="宋体"/>
          <w:sz w:val="24"/>
          <w:szCs w:val="24"/>
          <w:highlight w:val="none"/>
          <w:u w:val="single"/>
        </w:rPr>
        <w:t>（姓名、性别）</w:t>
      </w:r>
      <w:r>
        <w:rPr>
          <w:rFonts w:hint="eastAsia" w:hAnsi="宋体" w:cs="宋体"/>
          <w:sz w:val="24"/>
          <w:szCs w:val="24"/>
          <w:highlight w:val="none"/>
        </w:rPr>
        <w:t>授权</w:t>
      </w:r>
      <w:r>
        <w:rPr>
          <w:rFonts w:hint="eastAsia" w:hAnsi="宋体" w:cs="宋体"/>
          <w:sz w:val="24"/>
          <w:szCs w:val="24"/>
          <w:highlight w:val="none"/>
          <w:u w:val="single"/>
        </w:rPr>
        <w:t>（被授权人姓名、性别、职务）</w:t>
      </w:r>
      <w:r>
        <w:rPr>
          <w:rFonts w:hint="eastAsia" w:hAnsi="宋体" w:cs="宋体"/>
          <w:sz w:val="24"/>
          <w:szCs w:val="24"/>
          <w:highlight w:val="none"/>
        </w:rPr>
        <w:t>为本公司合法代理人，就贵方组织的有关</w:t>
      </w:r>
      <w:r>
        <w:rPr>
          <w:rFonts w:hint="eastAsia" w:hAnsi="宋体" w:cs="宋体"/>
          <w:sz w:val="24"/>
          <w:szCs w:val="24"/>
          <w:highlight w:val="none"/>
          <w:u w:val="single"/>
        </w:rPr>
        <w:t>（项目名称）</w:t>
      </w:r>
      <w:r>
        <w:rPr>
          <w:rFonts w:hint="eastAsia" w:hAnsi="宋体" w:cs="宋体"/>
          <w:sz w:val="24"/>
          <w:szCs w:val="24"/>
          <w:highlight w:val="none"/>
        </w:rPr>
        <w:t>（文件编号：____________________）的投标、洽谈、执行等具体事务，签署全部有关文件、文书、协议、合同，本公司对被授权人在本项目中的签名承担全部法律责任。</w:t>
      </w:r>
    </w:p>
    <w:p w14:paraId="57CEA83E">
      <w:pPr>
        <w:pStyle w:val="13"/>
        <w:spacing w:line="500" w:lineRule="exact"/>
        <w:ind w:firstLine="480" w:firstLineChars="200"/>
        <w:jc w:val="left"/>
        <w:rPr>
          <w:rFonts w:hAnsi="宋体" w:cs="宋体"/>
          <w:sz w:val="10"/>
          <w:szCs w:val="10"/>
          <w:highlight w:val="none"/>
        </w:rPr>
      </w:pPr>
      <w:r>
        <w:rPr>
          <w:rFonts w:hint="eastAsia" w:hAnsi="宋体" w:cs="宋体"/>
          <w:sz w:val="24"/>
          <w:szCs w:val="24"/>
          <w:highlight w:val="none"/>
        </w:rPr>
        <w:t>本授权书自投标文件递交截止之日起计算有效期为</w:t>
      </w:r>
      <w:r>
        <w:rPr>
          <w:rFonts w:hint="eastAsia" w:hAnsi="宋体" w:cs="宋体"/>
          <w:sz w:val="24"/>
          <w:szCs w:val="24"/>
          <w:highlight w:val="none"/>
          <w:u w:val="single"/>
        </w:rPr>
        <w:t>_90__</w:t>
      </w:r>
      <w:r>
        <w:rPr>
          <w:rFonts w:hint="eastAsia" w:hAnsi="宋体" w:cs="宋体"/>
          <w:sz w:val="24"/>
          <w:szCs w:val="24"/>
          <w:highlight w:val="none"/>
        </w:rPr>
        <w:t>日历日。</w:t>
      </w:r>
    </w:p>
    <w:p w14:paraId="3C1DD4EF">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单位名称：（公章）</w:t>
      </w:r>
    </w:p>
    <w:p w14:paraId="374C96DC">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法定代表人（签字或盖章）：________</w:t>
      </w:r>
    </w:p>
    <w:p w14:paraId="766E1727">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被授权人(签字或盖章)：___________性别：_______职务：____________</w:t>
      </w:r>
    </w:p>
    <w:p w14:paraId="71C96DAB">
      <w:pPr>
        <w:pStyle w:val="13"/>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联系地址：____________________</w:t>
      </w:r>
    </w:p>
    <w:p w14:paraId="5B70CD30">
      <w:pPr>
        <w:pStyle w:val="13"/>
        <w:spacing w:line="500" w:lineRule="exact"/>
        <w:ind w:firstLine="480" w:firstLineChars="200"/>
        <w:jc w:val="left"/>
        <w:rPr>
          <w:rFonts w:hAnsi="宋体" w:cs="宋体"/>
          <w:sz w:val="24"/>
          <w:szCs w:val="24"/>
          <w:highlight w:val="none"/>
          <w:u w:val="single"/>
        </w:rPr>
      </w:pPr>
      <w:r>
        <w:rPr>
          <w:rFonts w:hint="eastAsia" w:hAnsi="宋体" w:cs="宋体"/>
          <w:sz w:val="24"/>
          <w:szCs w:val="24"/>
          <w:highlight w:val="none"/>
        </w:rPr>
        <w:t>联系电话：____________________传真：____________________</w:t>
      </w:r>
    </w:p>
    <w:p w14:paraId="2DDCAC3A">
      <w:pPr>
        <w:pStyle w:val="13"/>
        <w:spacing w:line="500" w:lineRule="exact"/>
        <w:ind w:firstLine="480" w:firstLineChars="200"/>
        <w:jc w:val="left"/>
        <w:rPr>
          <w:rFonts w:hAnsi="宋体" w:cs="宋体"/>
          <w:sz w:val="24"/>
          <w:szCs w:val="24"/>
          <w:highlight w:val="none"/>
        </w:rPr>
      </w:pPr>
      <w:r>
        <w:rPr>
          <w:rFonts w:hint="eastAsia" w:hAnsi="宋体" w:cs="宋体"/>
          <w:sz w:val="24"/>
          <w:szCs w:val="24"/>
          <w:highlight w:val="none"/>
        </w:rPr>
        <w:t>法定代表人及被授权人身份证复印件</w:t>
      </w:r>
    </w:p>
    <w:tbl>
      <w:tblPr>
        <w:tblStyle w:val="26"/>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597"/>
      </w:tblGrid>
      <w:tr w14:paraId="5568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8" w:hRule="atLeast"/>
        </w:trPr>
        <w:tc>
          <w:tcPr>
            <w:tcW w:w="4443" w:type="dxa"/>
            <w:shd w:val="clear" w:color="auto" w:fill="D9D9D9"/>
            <w:vAlign w:val="center"/>
          </w:tcPr>
          <w:p w14:paraId="3420CA88">
            <w:pPr>
              <w:pStyle w:val="13"/>
              <w:spacing w:line="500" w:lineRule="exact"/>
              <w:jc w:val="left"/>
              <w:rPr>
                <w:rFonts w:hAnsi="宋体" w:cs="宋体"/>
                <w:kern w:val="2"/>
                <w:sz w:val="24"/>
                <w:szCs w:val="24"/>
                <w:highlight w:val="none"/>
                <w:shd w:val="pct10" w:color="auto" w:fill="FFFFFF"/>
              </w:rPr>
            </w:pPr>
            <w:r>
              <w:rPr>
                <w:rFonts w:hint="eastAsia" w:hAnsi="宋体" w:cs="宋体"/>
                <w:kern w:val="2"/>
                <w:sz w:val="24"/>
                <w:szCs w:val="24"/>
                <w:highlight w:val="none"/>
                <w:shd w:val="pct10" w:color="auto" w:fill="FFFFFF"/>
              </w:rPr>
              <w:t>法定代表人身份证正反面复印件</w:t>
            </w:r>
          </w:p>
          <w:p w14:paraId="14AF23B5">
            <w:pPr>
              <w:pStyle w:val="13"/>
              <w:spacing w:line="500" w:lineRule="exact"/>
              <w:jc w:val="left"/>
              <w:rPr>
                <w:rFonts w:hAnsi="宋体" w:cs="宋体"/>
                <w:kern w:val="2"/>
                <w:sz w:val="24"/>
                <w:szCs w:val="24"/>
                <w:highlight w:val="none"/>
                <w:shd w:val="pct10" w:color="auto" w:fill="FFFFFF"/>
              </w:rPr>
            </w:pPr>
          </w:p>
        </w:tc>
        <w:tc>
          <w:tcPr>
            <w:tcW w:w="4597" w:type="dxa"/>
            <w:shd w:val="clear" w:color="auto" w:fill="D9D9D9"/>
            <w:vAlign w:val="center"/>
          </w:tcPr>
          <w:p w14:paraId="63807254">
            <w:pPr>
              <w:pStyle w:val="13"/>
              <w:spacing w:line="500" w:lineRule="exact"/>
              <w:ind w:firstLine="480" w:firstLineChars="200"/>
              <w:jc w:val="left"/>
              <w:rPr>
                <w:rFonts w:hAnsi="宋体" w:cs="宋体"/>
                <w:kern w:val="2"/>
                <w:sz w:val="24"/>
                <w:szCs w:val="24"/>
                <w:highlight w:val="none"/>
                <w:shd w:val="pct10" w:color="auto" w:fill="FFFFFF"/>
              </w:rPr>
            </w:pPr>
            <w:r>
              <w:rPr>
                <w:rFonts w:hint="eastAsia" w:hAnsi="宋体" w:cs="宋体"/>
                <w:kern w:val="2"/>
                <w:sz w:val="24"/>
                <w:szCs w:val="24"/>
                <w:highlight w:val="none"/>
                <w:shd w:val="pct10" w:color="auto" w:fill="FFFFFF"/>
              </w:rPr>
              <w:t>被授权人身份证正反面复印件</w:t>
            </w:r>
          </w:p>
          <w:p w14:paraId="62483ED7">
            <w:pPr>
              <w:pStyle w:val="13"/>
              <w:spacing w:line="500" w:lineRule="exact"/>
              <w:ind w:firstLine="480" w:firstLineChars="200"/>
              <w:jc w:val="left"/>
              <w:rPr>
                <w:rFonts w:hAnsi="宋体" w:cs="宋体"/>
                <w:kern w:val="2"/>
                <w:sz w:val="24"/>
                <w:szCs w:val="24"/>
                <w:highlight w:val="none"/>
                <w:shd w:val="pct10" w:color="auto" w:fill="FFFFFF"/>
              </w:rPr>
            </w:pPr>
          </w:p>
        </w:tc>
      </w:tr>
    </w:tbl>
    <w:p w14:paraId="3F1AA105">
      <w:pPr>
        <w:rPr>
          <w:rFonts w:ascii="宋体" w:hAnsi="宋体" w:cs="宋体"/>
          <w:color w:val="000000"/>
          <w:sz w:val="24"/>
          <w:szCs w:val="28"/>
          <w:highlight w:val="none"/>
        </w:rPr>
      </w:pPr>
      <w:r>
        <w:rPr>
          <w:rFonts w:hint="eastAsia" w:ascii="宋体" w:hAnsi="宋体" w:cs="宋体"/>
          <w:color w:val="000000"/>
          <w:sz w:val="24"/>
          <w:szCs w:val="28"/>
          <w:highlight w:val="none"/>
        </w:rPr>
        <w:br w:type="page"/>
      </w:r>
    </w:p>
    <w:p w14:paraId="5807211A">
      <w:pPr>
        <w:jc w:val="center"/>
        <w:rPr>
          <w:rFonts w:ascii="宋体" w:hAnsi="宋体" w:cs="宋体"/>
          <w:color w:val="000000"/>
          <w:sz w:val="24"/>
          <w:szCs w:val="28"/>
          <w:highlight w:val="none"/>
        </w:rPr>
      </w:pPr>
      <w:r>
        <w:rPr>
          <w:rFonts w:hint="eastAsia"/>
          <w:sz w:val="24"/>
          <w:szCs w:val="28"/>
          <w:highlight w:val="none"/>
        </w:rPr>
        <w:t>4、无重大违法记录声明</w:t>
      </w:r>
    </w:p>
    <w:p w14:paraId="336B2DD6">
      <w:pPr>
        <w:widowControl/>
        <w:snapToGrid w:val="0"/>
        <w:spacing w:line="480" w:lineRule="auto"/>
        <w:ind w:firstLine="480" w:firstLineChars="200"/>
        <w:jc w:val="left"/>
        <w:rPr>
          <w:rFonts w:ascii="宋体" w:hAnsi="宋体" w:cs="宋体"/>
          <w:color w:val="000000"/>
          <w:kern w:val="0"/>
          <w:sz w:val="24"/>
          <w:highlight w:val="none"/>
        </w:rPr>
      </w:pPr>
    </w:p>
    <w:p w14:paraId="2F36AD4E">
      <w:pPr>
        <w:widowControl/>
        <w:snapToGrid w:val="0"/>
        <w:spacing w:line="48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我单位参与</w:t>
      </w:r>
      <w:r>
        <w:rPr>
          <w:rFonts w:hint="eastAsia" w:ascii="宋体" w:hAnsi="宋体" w:cs="宋体"/>
          <w:color w:val="000000"/>
          <w:kern w:val="0"/>
          <w:sz w:val="24"/>
          <w:highlight w:val="none"/>
          <w:u w:val="single"/>
        </w:rPr>
        <w:t xml:space="preserve">陕西万泽招标有限公司 </w:t>
      </w:r>
      <w:r>
        <w:rPr>
          <w:rFonts w:hint="eastAsia" w:ascii="宋体" w:hAnsi="宋体" w:cs="宋体"/>
          <w:color w:val="000000"/>
          <w:kern w:val="0"/>
          <w:sz w:val="24"/>
          <w:highlight w:val="none"/>
        </w:rPr>
        <w:t>组织的</w:t>
      </w:r>
      <w:r>
        <w:rPr>
          <w:rFonts w:hint="eastAsia" w:ascii="宋体" w:hAnsi="宋体" w:cs="宋体"/>
          <w:color w:val="000000"/>
          <w:kern w:val="0"/>
          <w:sz w:val="24"/>
          <w:highlight w:val="none"/>
          <w:u w:val="single"/>
        </w:rPr>
        <w:t xml:space="preserve">             （项目名称）              </w:t>
      </w:r>
      <w:r>
        <w:rPr>
          <w:rFonts w:hint="eastAsia" w:ascii="宋体" w:hAnsi="宋体" w:cs="宋体"/>
          <w:color w:val="000000"/>
          <w:kern w:val="0"/>
          <w:sz w:val="24"/>
          <w:highlight w:val="none"/>
        </w:rPr>
        <w:t>公开招标，我单位郑重声明：我方参加本项目采购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14:paraId="77E9200C">
      <w:pPr>
        <w:widowControl/>
        <w:snapToGrid w:val="0"/>
        <w:spacing w:line="48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特此声明。</w:t>
      </w:r>
    </w:p>
    <w:p w14:paraId="17A4229C">
      <w:pPr>
        <w:widowControl/>
        <w:spacing w:line="460" w:lineRule="exact"/>
        <w:ind w:firstLine="480" w:firstLineChars="200"/>
        <w:jc w:val="left"/>
        <w:rPr>
          <w:rFonts w:ascii="宋体" w:hAnsi="宋体" w:cs="宋体"/>
          <w:color w:val="000000"/>
          <w:kern w:val="0"/>
          <w:sz w:val="24"/>
          <w:highlight w:val="none"/>
        </w:rPr>
      </w:pPr>
    </w:p>
    <w:p w14:paraId="331BF8D7">
      <w:pPr>
        <w:pStyle w:val="13"/>
        <w:spacing w:line="480" w:lineRule="auto"/>
        <w:jc w:val="left"/>
        <w:rPr>
          <w:rFonts w:hint="eastAsia" w:hAnsi="宋体" w:eastAsia="宋体" w:cs="宋体"/>
          <w:color w:val="000000"/>
          <w:sz w:val="24"/>
          <w:highlight w:val="none"/>
          <w:lang w:eastAsia="zh-CN"/>
        </w:rPr>
      </w:pPr>
    </w:p>
    <w:p w14:paraId="6B069145">
      <w:pPr>
        <w:pStyle w:val="13"/>
        <w:spacing w:line="480" w:lineRule="auto"/>
        <w:jc w:val="left"/>
        <w:rPr>
          <w:rFonts w:hAnsi="宋体" w:cs="宋体"/>
          <w:color w:val="000000"/>
          <w:sz w:val="24"/>
          <w:highlight w:val="none"/>
        </w:rPr>
      </w:pPr>
      <w:r>
        <w:rPr>
          <w:rFonts w:hint="eastAsia" w:hAnsi="宋体" w:cs="宋体"/>
          <w:color w:val="000000"/>
          <w:sz w:val="24"/>
          <w:highlight w:val="none"/>
        </w:rPr>
        <w:t>供应商（单位名称及公章）：</w:t>
      </w:r>
    </w:p>
    <w:p w14:paraId="25623E09">
      <w:pPr>
        <w:pStyle w:val="13"/>
        <w:spacing w:line="480" w:lineRule="auto"/>
        <w:jc w:val="left"/>
        <w:rPr>
          <w:rFonts w:hAnsi="宋体" w:cs="宋体"/>
          <w:color w:val="000000"/>
          <w:sz w:val="24"/>
          <w:highlight w:val="none"/>
        </w:rPr>
      </w:pPr>
      <w:r>
        <w:rPr>
          <w:rFonts w:hint="eastAsia" w:hAnsi="宋体" w:cs="宋体"/>
          <w:color w:val="000000"/>
          <w:sz w:val="24"/>
          <w:highlight w:val="none"/>
        </w:rPr>
        <w:t>法定代表人或被授权人（签字或盖章）：</w:t>
      </w:r>
    </w:p>
    <w:p w14:paraId="7B0E1301">
      <w:pPr>
        <w:spacing w:beforeLines="100" w:afterLines="150" w:line="500" w:lineRule="exac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日    期</w:t>
      </w:r>
      <w:r>
        <w:rPr>
          <w:rFonts w:hint="eastAsia" w:ascii="宋体" w:hAnsi="宋体" w:cs="宋体"/>
          <w:color w:val="000000"/>
          <w:kern w:val="0"/>
          <w:sz w:val="24"/>
          <w:highlight w:val="none"/>
          <w:u w:val="single"/>
        </w:rPr>
        <w:t xml:space="preserve">：             </w:t>
      </w:r>
    </w:p>
    <w:p w14:paraId="08E84D2B">
      <w:pPr>
        <w:pStyle w:val="19"/>
        <w:rPr>
          <w:rFonts w:hint="eastAsia"/>
          <w:highlight w:val="none"/>
          <w:lang w:eastAsia="zh-CN"/>
        </w:rPr>
        <w:sectPr>
          <w:headerReference r:id="rId15" w:type="default"/>
          <w:footerReference r:id="rId16" w:type="default"/>
          <w:pgSz w:w="11906" w:h="16838"/>
          <w:pgMar w:top="1440" w:right="1803" w:bottom="1440" w:left="1803" w:header="850" w:footer="992" w:gutter="0"/>
          <w:cols w:space="0" w:num="1"/>
          <w:rtlGutter w:val="1"/>
          <w:docGrid w:type="lines" w:linePitch="319" w:charSpace="0"/>
        </w:sectPr>
      </w:pPr>
    </w:p>
    <w:p w14:paraId="66888890">
      <w:pPr>
        <w:snapToGrid w:val="0"/>
        <w:spacing w:line="360" w:lineRule="auto"/>
        <w:jc w:val="left"/>
        <w:rPr>
          <w:rFonts w:ascii="宋体" w:hAnsi="宋体" w:cs="宋体"/>
          <w:bCs/>
          <w:kern w:val="0"/>
          <w:sz w:val="24"/>
          <w:szCs w:val="24"/>
          <w:highlight w:val="none"/>
        </w:rPr>
      </w:pPr>
      <w:bookmarkStart w:id="290" w:name="_Toc28294"/>
      <w:bookmarkStart w:id="291" w:name="_Toc23536"/>
      <w:bookmarkStart w:id="292" w:name="_Toc30568"/>
      <w:bookmarkStart w:id="293" w:name="_Toc11309"/>
      <w:r>
        <w:rPr>
          <w:rFonts w:hint="eastAsia" w:ascii="宋体" w:hAnsi="宋体" w:cs="宋体"/>
          <w:bCs/>
          <w:kern w:val="0"/>
          <w:sz w:val="24"/>
          <w:szCs w:val="24"/>
          <w:highlight w:val="none"/>
          <w:lang w:val="en-US" w:eastAsia="zh-CN"/>
        </w:rPr>
        <w:t>5</w:t>
      </w:r>
      <w:r>
        <w:rPr>
          <w:rFonts w:hint="eastAsia" w:ascii="宋体" w:hAnsi="宋体" w:cs="宋体"/>
          <w:bCs/>
          <w:kern w:val="0"/>
          <w:sz w:val="24"/>
          <w:szCs w:val="24"/>
          <w:highlight w:val="none"/>
        </w:rPr>
        <w:t>、社会保障资金缴纳证明</w:t>
      </w:r>
    </w:p>
    <w:p w14:paraId="59F91A49">
      <w:pPr>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rPr>
        <w:t>、税收缴纳证明</w:t>
      </w:r>
    </w:p>
    <w:p w14:paraId="7179A966">
      <w:pPr>
        <w:snapToGrid w:val="0"/>
        <w:spacing w:line="360" w:lineRule="auto"/>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val="en-US" w:eastAsia="zh-CN"/>
        </w:rPr>
        <w:t>7</w:t>
      </w:r>
      <w:r>
        <w:rPr>
          <w:rFonts w:hint="eastAsia" w:ascii="宋体" w:hAnsi="宋体" w:cs="宋体"/>
          <w:bCs/>
          <w:kern w:val="0"/>
          <w:sz w:val="24"/>
          <w:szCs w:val="24"/>
          <w:highlight w:val="none"/>
        </w:rPr>
        <w:t>、财务状况证明</w:t>
      </w:r>
    </w:p>
    <w:p w14:paraId="615E7D68">
      <w:pPr>
        <w:snapToGrid w:val="0"/>
        <w:spacing w:line="360" w:lineRule="auto"/>
        <w:jc w:val="left"/>
        <w:rPr>
          <w:rFonts w:hint="default" w:ascii="宋体" w:hAnsi="宋体" w:cs="宋体"/>
          <w:bCs/>
          <w:kern w:val="0"/>
          <w:sz w:val="24"/>
          <w:szCs w:val="24"/>
          <w:highlight w:val="none"/>
          <w:lang w:val="en-US" w:eastAsia="zh-CN"/>
        </w:rPr>
      </w:pPr>
      <w:r>
        <w:rPr>
          <w:rFonts w:hint="eastAsia" w:ascii="宋体" w:hAnsi="宋体" w:cs="宋体"/>
          <w:bCs/>
          <w:kern w:val="0"/>
          <w:sz w:val="24"/>
          <w:szCs w:val="24"/>
          <w:highlight w:val="none"/>
        </w:rPr>
        <w:t>8、供应商须提供投标保证金汇款凭证或担保机构出具的保函</w:t>
      </w:r>
    </w:p>
    <w:p w14:paraId="226FAE3A">
      <w:pPr>
        <w:snapToGrid w:val="0"/>
        <w:spacing w:line="360" w:lineRule="auto"/>
        <w:jc w:val="left"/>
        <w:rPr>
          <w:rFonts w:hint="eastAsia"/>
          <w:color w:val="000000"/>
          <w:highlight w:val="none"/>
        </w:rPr>
      </w:pPr>
      <w:r>
        <w:rPr>
          <w:rFonts w:hint="eastAsia" w:ascii="宋体" w:hAnsi="宋体" w:cs="宋体"/>
          <w:bCs/>
          <w:kern w:val="0"/>
          <w:sz w:val="24"/>
          <w:szCs w:val="24"/>
          <w:highlight w:val="none"/>
          <w:lang w:val="en-US" w:eastAsia="zh-CN"/>
        </w:rPr>
        <w:t>9、本项目不接受联合体投标（自行声明）</w:t>
      </w:r>
      <w:r>
        <w:rPr>
          <w:rFonts w:hint="eastAsia"/>
          <w:color w:val="000000"/>
          <w:highlight w:val="none"/>
        </w:rPr>
        <w:br w:type="page"/>
      </w:r>
    </w:p>
    <w:p w14:paraId="5278A928">
      <w:pPr>
        <w:pStyle w:val="3"/>
        <w:rPr>
          <w:color w:val="000000"/>
          <w:highlight w:val="none"/>
        </w:rPr>
      </w:pPr>
      <w:bookmarkStart w:id="294" w:name="_Toc31447"/>
      <w:r>
        <w:rPr>
          <w:rFonts w:hint="eastAsia"/>
          <w:color w:val="000000"/>
          <w:highlight w:val="none"/>
        </w:rPr>
        <w:t>第</w:t>
      </w:r>
      <w:r>
        <w:rPr>
          <w:rFonts w:hint="eastAsia"/>
          <w:color w:val="000000"/>
          <w:highlight w:val="none"/>
          <w:lang w:val="en-US" w:eastAsia="zh-CN"/>
        </w:rPr>
        <w:t>五</w:t>
      </w:r>
      <w:r>
        <w:rPr>
          <w:rFonts w:hint="eastAsia"/>
          <w:color w:val="000000"/>
          <w:highlight w:val="none"/>
        </w:rPr>
        <w:t>章  商务和</w:t>
      </w:r>
      <w:r>
        <w:rPr>
          <w:rFonts w:hint="eastAsia"/>
          <w:color w:val="000000"/>
          <w:highlight w:val="none"/>
          <w:lang w:val="en-US" w:eastAsia="zh-CN"/>
        </w:rPr>
        <w:t>技术</w:t>
      </w:r>
      <w:r>
        <w:rPr>
          <w:rFonts w:hint="eastAsia"/>
          <w:color w:val="000000"/>
          <w:highlight w:val="none"/>
        </w:rPr>
        <w:t>响应偏离表</w:t>
      </w:r>
      <w:bookmarkEnd w:id="290"/>
      <w:bookmarkEnd w:id="291"/>
      <w:bookmarkEnd w:id="292"/>
      <w:bookmarkEnd w:id="294"/>
    </w:p>
    <w:p w14:paraId="6B9F42FD">
      <w:pPr>
        <w:kinsoku w:val="0"/>
        <w:spacing w:line="480" w:lineRule="auto"/>
        <w:ind w:left="1232" w:hanging="1232" w:hangingChars="440"/>
        <w:jc w:val="left"/>
        <w:rPr>
          <w:rFonts w:ascii="宋体" w:hAnsi="宋体" w:cs="宋体"/>
          <w:color w:val="000000"/>
          <w:sz w:val="28"/>
          <w:szCs w:val="28"/>
          <w:highlight w:val="none"/>
        </w:rPr>
      </w:pPr>
      <w:r>
        <w:rPr>
          <w:rFonts w:hint="eastAsia" w:ascii="宋体" w:hAnsi="宋体" w:cs="宋体"/>
          <w:color w:val="000000"/>
          <w:sz w:val="28"/>
          <w:szCs w:val="28"/>
          <w:highlight w:val="none"/>
        </w:rPr>
        <w:t>表1、商务响应偏差表</w:t>
      </w:r>
    </w:p>
    <w:tbl>
      <w:tblPr>
        <w:tblStyle w:val="26"/>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14:paraId="723D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96" w:type="dxa"/>
            <w:vAlign w:val="center"/>
          </w:tcPr>
          <w:p w14:paraId="15FBF552">
            <w:pPr>
              <w:pStyle w:val="13"/>
              <w:spacing w:line="480" w:lineRule="auto"/>
              <w:jc w:val="center"/>
              <w:rPr>
                <w:rFonts w:hAnsi="宋体" w:cs="宋体"/>
                <w:color w:val="000000"/>
                <w:kern w:val="2"/>
                <w:sz w:val="21"/>
                <w:highlight w:val="none"/>
              </w:rPr>
            </w:pPr>
            <w:r>
              <w:rPr>
                <w:rFonts w:hint="eastAsia" w:hAnsi="宋体" w:cs="宋体"/>
                <w:color w:val="000000"/>
                <w:kern w:val="2"/>
                <w:sz w:val="21"/>
                <w:highlight w:val="none"/>
              </w:rPr>
              <w:t xml:space="preserve"> 序号</w:t>
            </w:r>
          </w:p>
        </w:tc>
        <w:tc>
          <w:tcPr>
            <w:tcW w:w="1614" w:type="dxa"/>
            <w:vAlign w:val="center"/>
          </w:tcPr>
          <w:p w14:paraId="669532A9">
            <w:pPr>
              <w:pStyle w:val="13"/>
              <w:spacing w:line="480" w:lineRule="auto"/>
              <w:jc w:val="left"/>
              <w:rPr>
                <w:rFonts w:hAnsi="宋体" w:cs="宋体"/>
                <w:color w:val="000000"/>
                <w:kern w:val="2"/>
                <w:sz w:val="21"/>
                <w:highlight w:val="none"/>
              </w:rPr>
            </w:pPr>
            <w:r>
              <w:rPr>
                <w:rFonts w:hint="eastAsia" w:hAnsi="宋体" w:cs="宋体"/>
                <w:color w:val="000000"/>
                <w:kern w:val="2"/>
                <w:sz w:val="21"/>
                <w:highlight w:val="none"/>
              </w:rPr>
              <w:t xml:space="preserve"> 商务条款</w:t>
            </w:r>
          </w:p>
        </w:tc>
        <w:tc>
          <w:tcPr>
            <w:tcW w:w="1680" w:type="dxa"/>
            <w:vAlign w:val="center"/>
          </w:tcPr>
          <w:p w14:paraId="55802F72">
            <w:pPr>
              <w:pStyle w:val="13"/>
              <w:spacing w:line="480" w:lineRule="auto"/>
              <w:jc w:val="left"/>
              <w:rPr>
                <w:rFonts w:hAnsi="宋体" w:cs="宋体"/>
                <w:color w:val="000000"/>
                <w:kern w:val="2"/>
                <w:sz w:val="21"/>
                <w:highlight w:val="none"/>
              </w:rPr>
            </w:pPr>
            <w:r>
              <w:rPr>
                <w:rFonts w:hint="eastAsia" w:hAnsi="宋体" w:cs="宋体"/>
                <w:color w:val="000000"/>
                <w:kern w:val="2"/>
                <w:sz w:val="21"/>
                <w:highlight w:val="none"/>
              </w:rPr>
              <w:t>商务要求内容</w:t>
            </w:r>
          </w:p>
        </w:tc>
        <w:tc>
          <w:tcPr>
            <w:tcW w:w="2448" w:type="dxa"/>
            <w:vAlign w:val="center"/>
          </w:tcPr>
          <w:p w14:paraId="0963A27B">
            <w:pPr>
              <w:pStyle w:val="13"/>
              <w:spacing w:line="480" w:lineRule="auto"/>
              <w:rPr>
                <w:rFonts w:hAnsi="宋体" w:cs="宋体"/>
                <w:color w:val="000000"/>
                <w:kern w:val="2"/>
                <w:sz w:val="21"/>
                <w:highlight w:val="none"/>
              </w:rPr>
            </w:pPr>
            <w:r>
              <w:rPr>
                <w:rFonts w:hint="eastAsia" w:hAnsi="宋体" w:cs="宋体"/>
                <w:color w:val="000000"/>
                <w:kern w:val="2"/>
                <w:sz w:val="21"/>
                <w:highlight w:val="none"/>
                <w:lang w:eastAsia="zh-CN"/>
              </w:rPr>
              <w:t>投标文件</w:t>
            </w:r>
            <w:r>
              <w:rPr>
                <w:rFonts w:hint="eastAsia" w:hAnsi="宋体" w:cs="宋体"/>
                <w:color w:val="000000"/>
                <w:kern w:val="2"/>
                <w:sz w:val="21"/>
                <w:highlight w:val="none"/>
              </w:rPr>
              <w:t>响应商务内容</w:t>
            </w:r>
          </w:p>
        </w:tc>
        <w:tc>
          <w:tcPr>
            <w:tcW w:w="2042" w:type="dxa"/>
            <w:vAlign w:val="center"/>
          </w:tcPr>
          <w:p w14:paraId="20D7973E">
            <w:pPr>
              <w:pStyle w:val="13"/>
              <w:spacing w:line="480" w:lineRule="auto"/>
              <w:jc w:val="center"/>
              <w:rPr>
                <w:rFonts w:hAnsi="宋体" w:cs="宋体"/>
                <w:color w:val="000000"/>
                <w:kern w:val="2"/>
                <w:sz w:val="21"/>
                <w:highlight w:val="none"/>
              </w:rPr>
            </w:pPr>
            <w:r>
              <w:rPr>
                <w:rFonts w:hint="eastAsia" w:hAnsi="宋体" w:cs="宋体"/>
                <w:color w:val="000000"/>
                <w:kern w:val="2"/>
                <w:sz w:val="21"/>
                <w:highlight w:val="none"/>
              </w:rPr>
              <w:t>偏离说明</w:t>
            </w:r>
          </w:p>
        </w:tc>
      </w:tr>
      <w:tr w14:paraId="1E14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14:paraId="7C48F9AB">
            <w:pPr>
              <w:pStyle w:val="13"/>
              <w:spacing w:line="480" w:lineRule="auto"/>
              <w:ind w:firstLine="420" w:firstLineChars="200"/>
              <w:jc w:val="left"/>
              <w:rPr>
                <w:rFonts w:hAnsi="宋体" w:cs="宋体"/>
                <w:color w:val="000000"/>
                <w:kern w:val="2"/>
                <w:sz w:val="21"/>
                <w:highlight w:val="none"/>
              </w:rPr>
            </w:pPr>
          </w:p>
        </w:tc>
        <w:tc>
          <w:tcPr>
            <w:tcW w:w="1614" w:type="dxa"/>
          </w:tcPr>
          <w:p w14:paraId="16EC1EBB">
            <w:pPr>
              <w:pStyle w:val="13"/>
              <w:spacing w:line="480" w:lineRule="auto"/>
              <w:ind w:firstLine="420" w:firstLineChars="200"/>
              <w:jc w:val="left"/>
              <w:rPr>
                <w:rFonts w:hAnsi="宋体" w:cs="宋体"/>
                <w:color w:val="000000"/>
                <w:kern w:val="2"/>
                <w:sz w:val="21"/>
                <w:highlight w:val="none"/>
              </w:rPr>
            </w:pPr>
          </w:p>
        </w:tc>
        <w:tc>
          <w:tcPr>
            <w:tcW w:w="1680" w:type="dxa"/>
            <w:vAlign w:val="center"/>
          </w:tcPr>
          <w:p w14:paraId="77A94DE3">
            <w:pPr>
              <w:pStyle w:val="13"/>
              <w:spacing w:line="480" w:lineRule="auto"/>
              <w:ind w:firstLine="420" w:firstLineChars="200"/>
              <w:jc w:val="left"/>
              <w:rPr>
                <w:rFonts w:hAnsi="宋体" w:cs="宋体"/>
                <w:color w:val="000000"/>
                <w:kern w:val="2"/>
                <w:sz w:val="21"/>
                <w:highlight w:val="none"/>
              </w:rPr>
            </w:pPr>
          </w:p>
        </w:tc>
        <w:tc>
          <w:tcPr>
            <w:tcW w:w="2448" w:type="dxa"/>
            <w:vAlign w:val="center"/>
          </w:tcPr>
          <w:p w14:paraId="72C12A9B">
            <w:pPr>
              <w:pStyle w:val="13"/>
              <w:spacing w:line="480" w:lineRule="auto"/>
              <w:ind w:firstLine="420" w:firstLineChars="200"/>
              <w:jc w:val="left"/>
              <w:rPr>
                <w:rFonts w:hAnsi="宋体" w:cs="宋体"/>
                <w:color w:val="000000"/>
                <w:kern w:val="2"/>
                <w:sz w:val="21"/>
                <w:highlight w:val="none"/>
              </w:rPr>
            </w:pPr>
          </w:p>
        </w:tc>
        <w:tc>
          <w:tcPr>
            <w:tcW w:w="2042" w:type="dxa"/>
            <w:vAlign w:val="center"/>
          </w:tcPr>
          <w:p w14:paraId="73378388">
            <w:pPr>
              <w:pStyle w:val="13"/>
              <w:spacing w:line="480" w:lineRule="auto"/>
              <w:ind w:firstLine="420" w:firstLineChars="200"/>
              <w:jc w:val="left"/>
              <w:rPr>
                <w:rFonts w:hAnsi="宋体" w:cs="宋体"/>
                <w:color w:val="000000"/>
                <w:kern w:val="2"/>
                <w:sz w:val="21"/>
                <w:highlight w:val="none"/>
              </w:rPr>
            </w:pPr>
          </w:p>
        </w:tc>
      </w:tr>
      <w:tr w14:paraId="1E4B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14:paraId="3F4BB9A8">
            <w:pPr>
              <w:pStyle w:val="13"/>
              <w:spacing w:line="480" w:lineRule="auto"/>
              <w:ind w:firstLine="420" w:firstLineChars="200"/>
              <w:jc w:val="left"/>
              <w:rPr>
                <w:rFonts w:hAnsi="宋体" w:cs="宋体"/>
                <w:color w:val="000000"/>
                <w:kern w:val="2"/>
                <w:sz w:val="21"/>
                <w:highlight w:val="none"/>
              </w:rPr>
            </w:pPr>
          </w:p>
        </w:tc>
        <w:tc>
          <w:tcPr>
            <w:tcW w:w="1614" w:type="dxa"/>
          </w:tcPr>
          <w:p w14:paraId="47EBB84B">
            <w:pPr>
              <w:pStyle w:val="13"/>
              <w:spacing w:line="480" w:lineRule="auto"/>
              <w:ind w:firstLine="420" w:firstLineChars="200"/>
              <w:jc w:val="left"/>
              <w:rPr>
                <w:rFonts w:hAnsi="宋体" w:cs="宋体"/>
                <w:color w:val="000000"/>
                <w:kern w:val="2"/>
                <w:sz w:val="21"/>
                <w:highlight w:val="none"/>
              </w:rPr>
            </w:pPr>
          </w:p>
        </w:tc>
        <w:tc>
          <w:tcPr>
            <w:tcW w:w="1680" w:type="dxa"/>
          </w:tcPr>
          <w:p w14:paraId="47334D75">
            <w:pPr>
              <w:pStyle w:val="13"/>
              <w:spacing w:line="480" w:lineRule="auto"/>
              <w:ind w:firstLine="420" w:firstLineChars="200"/>
              <w:jc w:val="left"/>
              <w:rPr>
                <w:rFonts w:hAnsi="宋体" w:cs="宋体"/>
                <w:color w:val="000000"/>
                <w:kern w:val="2"/>
                <w:sz w:val="21"/>
                <w:highlight w:val="none"/>
              </w:rPr>
            </w:pPr>
          </w:p>
        </w:tc>
        <w:tc>
          <w:tcPr>
            <w:tcW w:w="2448" w:type="dxa"/>
          </w:tcPr>
          <w:p w14:paraId="4610866C">
            <w:pPr>
              <w:pStyle w:val="13"/>
              <w:spacing w:line="480" w:lineRule="auto"/>
              <w:ind w:firstLine="420" w:firstLineChars="200"/>
              <w:jc w:val="left"/>
              <w:rPr>
                <w:rFonts w:hAnsi="宋体" w:cs="宋体"/>
                <w:color w:val="000000"/>
                <w:kern w:val="2"/>
                <w:sz w:val="21"/>
                <w:highlight w:val="none"/>
              </w:rPr>
            </w:pPr>
          </w:p>
        </w:tc>
        <w:tc>
          <w:tcPr>
            <w:tcW w:w="2042" w:type="dxa"/>
          </w:tcPr>
          <w:p w14:paraId="5A6C8B27">
            <w:pPr>
              <w:pStyle w:val="13"/>
              <w:spacing w:line="480" w:lineRule="auto"/>
              <w:ind w:firstLine="420" w:firstLineChars="200"/>
              <w:jc w:val="left"/>
              <w:rPr>
                <w:rFonts w:hAnsi="宋体" w:cs="宋体"/>
                <w:color w:val="000000"/>
                <w:kern w:val="2"/>
                <w:sz w:val="21"/>
                <w:highlight w:val="none"/>
              </w:rPr>
            </w:pPr>
          </w:p>
        </w:tc>
      </w:tr>
      <w:tr w14:paraId="610C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14:paraId="0A933425">
            <w:pPr>
              <w:pStyle w:val="13"/>
              <w:spacing w:line="480" w:lineRule="auto"/>
              <w:ind w:firstLine="420" w:firstLineChars="200"/>
              <w:jc w:val="left"/>
              <w:rPr>
                <w:rFonts w:hAnsi="宋体" w:cs="宋体"/>
                <w:color w:val="000000"/>
                <w:kern w:val="2"/>
                <w:sz w:val="21"/>
                <w:highlight w:val="none"/>
              </w:rPr>
            </w:pPr>
          </w:p>
        </w:tc>
        <w:tc>
          <w:tcPr>
            <w:tcW w:w="1614" w:type="dxa"/>
          </w:tcPr>
          <w:p w14:paraId="1ECFCC5F">
            <w:pPr>
              <w:pStyle w:val="13"/>
              <w:spacing w:line="480" w:lineRule="auto"/>
              <w:ind w:firstLine="420" w:firstLineChars="200"/>
              <w:jc w:val="left"/>
              <w:rPr>
                <w:rFonts w:hAnsi="宋体" w:cs="宋体"/>
                <w:color w:val="000000"/>
                <w:kern w:val="2"/>
                <w:sz w:val="21"/>
                <w:highlight w:val="none"/>
              </w:rPr>
            </w:pPr>
          </w:p>
        </w:tc>
        <w:tc>
          <w:tcPr>
            <w:tcW w:w="1680" w:type="dxa"/>
          </w:tcPr>
          <w:p w14:paraId="1406BCB4">
            <w:pPr>
              <w:pStyle w:val="13"/>
              <w:spacing w:line="480" w:lineRule="auto"/>
              <w:ind w:firstLine="420" w:firstLineChars="200"/>
              <w:jc w:val="left"/>
              <w:rPr>
                <w:rFonts w:hAnsi="宋体" w:cs="宋体"/>
                <w:color w:val="000000"/>
                <w:kern w:val="2"/>
                <w:sz w:val="21"/>
                <w:highlight w:val="none"/>
              </w:rPr>
            </w:pPr>
          </w:p>
        </w:tc>
        <w:tc>
          <w:tcPr>
            <w:tcW w:w="2448" w:type="dxa"/>
          </w:tcPr>
          <w:p w14:paraId="7429E7EE">
            <w:pPr>
              <w:pStyle w:val="13"/>
              <w:spacing w:line="480" w:lineRule="auto"/>
              <w:ind w:firstLine="420" w:firstLineChars="200"/>
              <w:jc w:val="left"/>
              <w:rPr>
                <w:rFonts w:hAnsi="宋体" w:cs="宋体"/>
                <w:color w:val="000000"/>
                <w:kern w:val="2"/>
                <w:sz w:val="21"/>
                <w:highlight w:val="none"/>
              </w:rPr>
            </w:pPr>
          </w:p>
        </w:tc>
        <w:tc>
          <w:tcPr>
            <w:tcW w:w="2042" w:type="dxa"/>
          </w:tcPr>
          <w:p w14:paraId="347F4487">
            <w:pPr>
              <w:pStyle w:val="13"/>
              <w:spacing w:line="480" w:lineRule="auto"/>
              <w:ind w:firstLine="420" w:firstLineChars="200"/>
              <w:jc w:val="left"/>
              <w:rPr>
                <w:rFonts w:hAnsi="宋体" w:cs="宋体"/>
                <w:color w:val="000000"/>
                <w:kern w:val="2"/>
                <w:sz w:val="21"/>
                <w:highlight w:val="none"/>
              </w:rPr>
            </w:pPr>
          </w:p>
        </w:tc>
      </w:tr>
      <w:tr w14:paraId="0865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14:paraId="411586C9">
            <w:pPr>
              <w:pStyle w:val="13"/>
              <w:spacing w:line="480" w:lineRule="auto"/>
              <w:ind w:firstLine="420" w:firstLineChars="200"/>
              <w:jc w:val="left"/>
              <w:rPr>
                <w:rFonts w:hAnsi="宋体" w:cs="宋体"/>
                <w:color w:val="000000"/>
                <w:kern w:val="2"/>
                <w:sz w:val="21"/>
                <w:highlight w:val="none"/>
              </w:rPr>
            </w:pPr>
          </w:p>
        </w:tc>
        <w:tc>
          <w:tcPr>
            <w:tcW w:w="1614" w:type="dxa"/>
          </w:tcPr>
          <w:p w14:paraId="018DD0BF">
            <w:pPr>
              <w:pStyle w:val="13"/>
              <w:spacing w:line="480" w:lineRule="auto"/>
              <w:ind w:firstLine="420" w:firstLineChars="200"/>
              <w:jc w:val="left"/>
              <w:rPr>
                <w:rFonts w:hAnsi="宋体" w:cs="宋体"/>
                <w:color w:val="000000"/>
                <w:kern w:val="2"/>
                <w:sz w:val="21"/>
                <w:highlight w:val="none"/>
              </w:rPr>
            </w:pPr>
          </w:p>
        </w:tc>
        <w:tc>
          <w:tcPr>
            <w:tcW w:w="1680" w:type="dxa"/>
          </w:tcPr>
          <w:p w14:paraId="5D02B753">
            <w:pPr>
              <w:pStyle w:val="13"/>
              <w:spacing w:line="480" w:lineRule="auto"/>
              <w:ind w:firstLine="420" w:firstLineChars="200"/>
              <w:jc w:val="left"/>
              <w:rPr>
                <w:rFonts w:hAnsi="宋体" w:cs="宋体"/>
                <w:color w:val="000000"/>
                <w:kern w:val="2"/>
                <w:sz w:val="21"/>
                <w:highlight w:val="none"/>
              </w:rPr>
            </w:pPr>
          </w:p>
        </w:tc>
        <w:tc>
          <w:tcPr>
            <w:tcW w:w="2448" w:type="dxa"/>
          </w:tcPr>
          <w:p w14:paraId="10D2A7DD">
            <w:pPr>
              <w:pStyle w:val="13"/>
              <w:spacing w:line="480" w:lineRule="auto"/>
              <w:ind w:firstLine="420" w:firstLineChars="200"/>
              <w:jc w:val="left"/>
              <w:rPr>
                <w:rFonts w:hAnsi="宋体" w:cs="宋体"/>
                <w:color w:val="000000"/>
                <w:kern w:val="2"/>
                <w:sz w:val="21"/>
                <w:highlight w:val="none"/>
              </w:rPr>
            </w:pPr>
          </w:p>
        </w:tc>
        <w:tc>
          <w:tcPr>
            <w:tcW w:w="2042" w:type="dxa"/>
          </w:tcPr>
          <w:p w14:paraId="53506467">
            <w:pPr>
              <w:pStyle w:val="13"/>
              <w:spacing w:line="480" w:lineRule="auto"/>
              <w:ind w:firstLine="420" w:firstLineChars="200"/>
              <w:jc w:val="left"/>
              <w:rPr>
                <w:rFonts w:hAnsi="宋体" w:cs="宋体"/>
                <w:color w:val="000000"/>
                <w:kern w:val="2"/>
                <w:sz w:val="21"/>
                <w:highlight w:val="none"/>
              </w:rPr>
            </w:pPr>
          </w:p>
        </w:tc>
      </w:tr>
      <w:tr w14:paraId="1473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14:paraId="10B2A980">
            <w:pPr>
              <w:pStyle w:val="13"/>
              <w:spacing w:line="480" w:lineRule="auto"/>
              <w:ind w:firstLine="420" w:firstLineChars="200"/>
              <w:jc w:val="left"/>
              <w:rPr>
                <w:rFonts w:hAnsi="宋体" w:cs="宋体"/>
                <w:color w:val="000000"/>
                <w:kern w:val="2"/>
                <w:sz w:val="21"/>
                <w:highlight w:val="none"/>
              </w:rPr>
            </w:pPr>
          </w:p>
        </w:tc>
        <w:tc>
          <w:tcPr>
            <w:tcW w:w="1614" w:type="dxa"/>
          </w:tcPr>
          <w:p w14:paraId="7238571B">
            <w:pPr>
              <w:pStyle w:val="13"/>
              <w:spacing w:line="480" w:lineRule="auto"/>
              <w:ind w:firstLine="420" w:firstLineChars="200"/>
              <w:jc w:val="left"/>
              <w:rPr>
                <w:rFonts w:hAnsi="宋体" w:cs="宋体"/>
                <w:color w:val="000000"/>
                <w:kern w:val="2"/>
                <w:sz w:val="21"/>
                <w:highlight w:val="none"/>
              </w:rPr>
            </w:pPr>
          </w:p>
        </w:tc>
        <w:tc>
          <w:tcPr>
            <w:tcW w:w="1680" w:type="dxa"/>
          </w:tcPr>
          <w:p w14:paraId="6AB8D341">
            <w:pPr>
              <w:pStyle w:val="13"/>
              <w:spacing w:line="480" w:lineRule="auto"/>
              <w:ind w:firstLine="420" w:firstLineChars="200"/>
              <w:jc w:val="left"/>
              <w:rPr>
                <w:rFonts w:hAnsi="宋体" w:cs="宋体"/>
                <w:color w:val="000000"/>
                <w:kern w:val="2"/>
                <w:sz w:val="21"/>
                <w:highlight w:val="none"/>
              </w:rPr>
            </w:pPr>
          </w:p>
        </w:tc>
        <w:tc>
          <w:tcPr>
            <w:tcW w:w="2448" w:type="dxa"/>
          </w:tcPr>
          <w:p w14:paraId="5D98CD2C">
            <w:pPr>
              <w:pStyle w:val="13"/>
              <w:spacing w:line="480" w:lineRule="auto"/>
              <w:ind w:firstLine="420" w:firstLineChars="200"/>
              <w:jc w:val="left"/>
              <w:rPr>
                <w:rFonts w:hAnsi="宋体" w:cs="宋体"/>
                <w:color w:val="000000"/>
                <w:kern w:val="2"/>
                <w:sz w:val="21"/>
                <w:highlight w:val="none"/>
              </w:rPr>
            </w:pPr>
          </w:p>
        </w:tc>
        <w:tc>
          <w:tcPr>
            <w:tcW w:w="2042" w:type="dxa"/>
          </w:tcPr>
          <w:p w14:paraId="27E0C189">
            <w:pPr>
              <w:pStyle w:val="13"/>
              <w:spacing w:line="480" w:lineRule="auto"/>
              <w:ind w:firstLine="420" w:firstLineChars="200"/>
              <w:jc w:val="left"/>
              <w:rPr>
                <w:rFonts w:hAnsi="宋体" w:cs="宋体"/>
                <w:color w:val="000000"/>
                <w:kern w:val="2"/>
                <w:sz w:val="21"/>
                <w:highlight w:val="none"/>
              </w:rPr>
            </w:pPr>
          </w:p>
        </w:tc>
      </w:tr>
      <w:tr w14:paraId="4C5F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14:paraId="60EBF8AA">
            <w:pPr>
              <w:pStyle w:val="13"/>
              <w:spacing w:line="480" w:lineRule="auto"/>
              <w:ind w:firstLine="420" w:firstLineChars="200"/>
              <w:jc w:val="left"/>
              <w:rPr>
                <w:rFonts w:hAnsi="宋体" w:cs="宋体"/>
                <w:color w:val="000000"/>
                <w:kern w:val="2"/>
                <w:sz w:val="21"/>
                <w:highlight w:val="none"/>
              </w:rPr>
            </w:pPr>
          </w:p>
        </w:tc>
        <w:tc>
          <w:tcPr>
            <w:tcW w:w="1614" w:type="dxa"/>
          </w:tcPr>
          <w:p w14:paraId="5DFC3D7F">
            <w:pPr>
              <w:pStyle w:val="13"/>
              <w:spacing w:line="480" w:lineRule="auto"/>
              <w:ind w:firstLine="420" w:firstLineChars="200"/>
              <w:jc w:val="left"/>
              <w:rPr>
                <w:rFonts w:hAnsi="宋体" w:cs="宋体"/>
                <w:color w:val="000000"/>
                <w:kern w:val="2"/>
                <w:sz w:val="21"/>
                <w:highlight w:val="none"/>
              </w:rPr>
            </w:pPr>
          </w:p>
        </w:tc>
        <w:tc>
          <w:tcPr>
            <w:tcW w:w="1680" w:type="dxa"/>
          </w:tcPr>
          <w:p w14:paraId="441A14DE">
            <w:pPr>
              <w:pStyle w:val="13"/>
              <w:spacing w:line="480" w:lineRule="auto"/>
              <w:ind w:firstLine="420" w:firstLineChars="200"/>
              <w:jc w:val="left"/>
              <w:rPr>
                <w:rFonts w:hAnsi="宋体" w:cs="宋体"/>
                <w:color w:val="000000"/>
                <w:kern w:val="2"/>
                <w:sz w:val="21"/>
                <w:highlight w:val="none"/>
              </w:rPr>
            </w:pPr>
          </w:p>
        </w:tc>
        <w:tc>
          <w:tcPr>
            <w:tcW w:w="2448" w:type="dxa"/>
          </w:tcPr>
          <w:p w14:paraId="3BEB05CB">
            <w:pPr>
              <w:pStyle w:val="13"/>
              <w:spacing w:line="480" w:lineRule="auto"/>
              <w:ind w:firstLine="420" w:firstLineChars="200"/>
              <w:jc w:val="left"/>
              <w:rPr>
                <w:rFonts w:hAnsi="宋体" w:cs="宋体"/>
                <w:color w:val="000000"/>
                <w:kern w:val="2"/>
                <w:sz w:val="21"/>
                <w:highlight w:val="none"/>
              </w:rPr>
            </w:pPr>
          </w:p>
        </w:tc>
        <w:tc>
          <w:tcPr>
            <w:tcW w:w="2042" w:type="dxa"/>
          </w:tcPr>
          <w:p w14:paraId="2CFB8D0A">
            <w:pPr>
              <w:pStyle w:val="13"/>
              <w:spacing w:line="480" w:lineRule="auto"/>
              <w:ind w:firstLine="420" w:firstLineChars="200"/>
              <w:jc w:val="left"/>
              <w:rPr>
                <w:rFonts w:hAnsi="宋体" w:cs="宋体"/>
                <w:color w:val="000000"/>
                <w:kern w:val="2"/>
                <w:sz w:val="21"/>
                <w:highlight w:val="none"/>
              </w:rPr>
            </w:pPr>
          </w:p>
        </w:tc>
      </w:tr>
      <w:tr w14:paraId="006F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6" w:type="dxa"/>
          </w:tcPr>
          <w:p w14:paraId="63F8E7C8">
            <w:pPr>
              <w:pStyle w:val="13"/>
              <w:spacing w:line="480" w:lineRule="auto"/>
              <w:ind w:firstLine="420" w:firstLineChars="200"/>
              <w:jc w:val="left"/>
              <w:rPr>
                <w:rFonts w:hAnsi="宋体" w:cs="宋体"/>
                <w:color w:val="000000"/>
                <w:kern w:val="2"/>
                <w:sz w:val="21"/>
                <w:highlight w:val="none"/>
              </w:rPr>
            </w:pPr>
          </w:p>
        </w:tc>
        <w:tc>
          <w:tcPr>
            <w:tcW w:w="1614" w:type="dxa"/>
          </w:tcPr>
          <w:p w14:paraId="12AFCA55">
            <w:pPr>
              <w:pStyle w:val="13"/>
              <w:spacing w:line="480" w:lineRule="auto"/>
              <w:jc w:val="left"/>
              <w:rPr>
                <w:rFonts w:hAnsi="宋体" w:cs="宋体"/>
                <w:color w:val="000000"/>
                <w:kern w:val="2"/>
                <w:sz w:val="21"/>
                <w:highlight w:val="none"/>
              </w:rPr>
            </w:pPr>
          </w:p>
        </w:tc>
        <w:tc>
          <w:tcPr>
            <w:tcW w:w="1680" w:type="dxa"/>
          </w:tcPr>
          <w:p w14:paraId="32F25036">
            <w:pPr>
              <w:pStyle w:val="13"/>
              <w:spacing w:line="480" w:lineRule="auto"/>
              <w:ind w:firstLine="420" w:firstLineChars="200"/>
              <w:jc w:val="left"/>
              <w:rPr>
                <w:rFonts w:hAnsi="宋体" w:cs="宋体"/>
                <w:color w:val="000000"/>
                <w:kern w:val="2"/>
                <w:sz w:val="21"/>
                <w:highlight w:val="none"/>
              </w:rPr>
            </w:pPr>
          </w:p>
        </w:tc>
        <w:tc>
          <w:tcPr>
            <w:tcW w:w="2448" w:type="dxa"/>
          </w:tcPr>
          <w:p w14:paraId="0CA05CA3">
            <w:pPr>
              <w:pStyle w:val="13"/>
              <w:spacing w:line="480" w:lineRule="auto"/>
              <w:ind w:firstLine="420" w:firstLineChars="200"/>
              <w:jc w:val="left"/>
              <w:rPr>
                <w:rFonts w:hAnsi="宋体" w:cs="宋体"/>
                <w:color w:val="000000"/>
                <w:kern w:val="2"/>
                <w:sz w:val="21"/>
                <w:highlight w:val="none"/>
              </w:rPr>
            </w:pPr>
          </w:p>
        </w:tc>
        <w:tc>
          <w:tcPr>
            <w:tcW w:w="2042" w:type="dxa"/>
          </w:tcPr>
          <w:p w14:paraId="4A1E16FA">
            <w:pPr>
              <w:pStyle w:val="13"/>
              <w:spacing w:line="480" w:lineRule="auto"/>
              <w:ind w:firstLine="420" w:firstLineChars="200"/>
              <w:jc w:val="left"/>
              <w:rPr>
                <w:rFonts w:hAnsi="宋体" w:cs="宋体"/>
                <w:color w:val="000000"/>
                <w:kern w:val="2"/>
                <w:sz w:val="21"/>
                <w:highlight w:val="none"/>
              </w:rPr>
            </w:pPr>
          </w:p>
        </w:tc>
      </w:tr>
    </w:tbl>
    <w:p w14:paraId="519F775D">
      <w:pPr>
        <w:pStyle w:val="6"/>
        <w:ind w:firstLine="0"/>
        <w:rPr>
          <w:rFonts w:ascii="宋体" w:hAnsi="宋体"/>
          <w:b/>
          <w:bCs/>
          <w:color w:val="000000"/>
          <w:sz w:val="28"/>
          <w:szCs w:val="28"/>
          <w:highlight w:val="none"/>
        </w:rPr>
      </w:pPr>
      <w:r>
        <w:rPr>
          <w:rFonts w:hint="eastAsia" w:ascii="宋体" w:hAnsi="宋体"/>
          <w:b/>
          <w:bCs/>
          <w:color w:val="000000"/>
          <w:sz w:val="28"/>
          <w:szCs w:val="28"/>
          <w:highlight w:val="none"/>
        </w:rPr>
        <w:t>填写说明：供应商对本项目付款、</w:t>
      </w:r>
      <w:r>
        <w:rPr>
          <w:rFonts w:hint="eastAsia" w:ascii="宋体" w:hAnsi="宋体"/>
          <w:b/>
          <w:bCs/>
          <w:color w:val="000000"/>
          <w:sz w:val="28"/>
          <w:szCs w:val="28"/>
          <w:highlight w:val="none"/>
          <w:lang w:eastAsia="zh-CN"/>
        </w:rPr>
        <w:t>交货期</w:t>
      </w:r>
      <w:r>
        <w:rPr>
          <w:rFonts w:hint="eastAsia" w:ascii="宋体" w:hAnsi="宋体"/>
          <w:b/>
          <w:bCs/>
          <w:color w:val="000000"/>
          <w:sz w:val="28"/>
          <w:szCs w:val="28"/>
          <w:highlight w:val="none"/>
        </w:rPr>
        <w:t>、质保期等商务方面进行响应说明，并保证响应的真实性。</w:t>
      </w:r>
    </w:p>
    <w:p w14:paraId="5D1B63E1">
      <w:pPr>
        <w:pStyle w:val="6"/>
        <w:ind w:firstLine="0"/>
        <w:rPr>
          <w:rFonts w:ascii="宋体" w:hAnsi="宋体"/>
          <w:b/>
          <w:bCs/>
          <w:color w:val="000000"/>
          <w:sz w:val="28"/>
          <w:szCs w:val="28"/>
          <w:highlight w:val="none"/>
        </w:rPr>
      </w:pPr>
      <w:r>
        <w:rPr>
          <w:rFonts w:hint="eastAsia" w:ascii="宋体" w:hAnsi="宋体"/>
          <w:b/>
          <w:bCs/>
          <w:color w:val="000000"/>
          <w:sz w:val="28"/>
          <w:szCs w:val="28"/>
          <w:highlight w:val="none"/>
        </w:rPr>
        <w:t>偏差说明填写：正偏离（标明正偏离内容）、符合。</w:t>
      </w:r>
    </w:p>
    <w:p w14:paraId="294717D3">
      <w:pPr>
        <w:pStyle w:val="6"/>
        <w:ind w:firstLine="0"/>
        <w:rPr>
          <w:rFonts w:ascii="宋体" w:hAnsi="宋体"/>
          <w:sz w:val="28"/>
          <w:szCs w:val="28"/>
          <w:highlight w:val="none"/>
        </w:rPr>
      </w:pPr>
      <w:r>
        <w:rPr>
          <w:rFonts w:hint="eastAsia" w:ascii="宋体" w:hAnsi="宋体" w:eastAsia="宋体" w:cs="宋体"/>
          <w:b/>
          <w:bCs/>
          <w:sz w:val="28"/>
          <w:szCs w:val="28"/>
          <w:highlight w:val="none"/>
        </w:rPr>
        <w:t>商务条款不允许负偏离；如未填写完整，视为全部响应；</w:t>
      </w:r>
    </w:p>
    <w:p w14:paraId="65EDA3EA">
      <w:pPr>
        <w:pStyle w:val="6"/>
        <w:ind w:firstLine="0"/>
        <w:rPr>
          <w:rFonts w:ascii="宋体" w:hAnsi="宋体"/>
          <w:color w:val="000000"/>
          <w:sz w:val="28"/>
          <w:szCs w:val="28"/>
          <w:highlight w:val="none"/>
        </w:rPr>
      </w:pPr>
    </w:p>
    <w:p w14:paraId="22A486C7">
      <w:pPr>
        <w:adjustRightInd w:val="0"/>
        <w:snapToGrid w:val="0"/>
        <w:spacing w:line="480" w:lineRule="auto"/>
        <w:jc w:val="left"/>
        <w:rPr>
          <w:rFonts w:ascii="宋体" w:hAnsi="宋体" w:cs="宋体"/>
          <w:color w:val="000000"/>
          <w:sz w:val="28"/>
          <w:szCs w:val="28"/>
          <w:highlight w:val="none"/>
        </w:rPr>
      </w:pPr>
    </w:p>
    <w:p w14:paraId="7D95F7DF">
      <w:pPr>
        <w:adjustRightInd w:val="0"/>
        <w:snapToGrid w:val="0"/>
        <w:spacing w:line="480" w:lineRule="auto"/>
        <w:jc w:val="left"/>
        <w:rPr>
          <w:rFonts w:ascii="宋体" w:hAnsi="宋体" w:cs="宋体"/>
          <w:color w:val="000000"/>
          <w:sz w:val="28"/>
          <w:szCs w:val="28"/>
          <w:highlight w:val="none"/>
          <w:u w:val="single"/>
        </w:rPr>
      </w:pPr>
      <w:r>
        <w:rPr>
          <w:rFonts w:hint="eastAsia" w:ascii="宋体" w:hAnsi="宋体" w:cs="宋体"/>
          <w:color w:val="000000"/>
          <w:sz w:val="28"/>
          <w:szCs w:val="28"/>
          <w:highlight w:val="none"/>
        </w:rPr>
        <w:t>供应商（单位名称及公章）：</w:t>
      </w:r>
    </w:p>
    <w:p w14:paraId="00F6395C">
      <w:pPr>
        <w:adjustRightInd w:val="0"/>
        <w:snapToGrid w:val="0"/>
        <w:spacing w:line="480" w:lineRule="auto"/>
        <w:rPr>
          <w:rFonts w:ascii="宋体" w:hAnsi="宋体" w:cs="宋体"/>
          <w:color w:val="000000"/>
          <w:sz w:val="28"/>
          <w:szCs w:val="28"/>
          <w:highlight w:val="none"/>
        </w:rPr>
      </w:pPr>
      <w:r>
        <w:rPr>
          <w:rFonts w:hint="eastAsia" w:ascii="宋体" w:hAnsi="宋体" w:cs="宋体"/>
          <w:color w:val="000000"/>
          <w:sz w:val="28"/>
          <w:szCs w:val="28"/>
          <w:highlight w:val="none"/>
        </w:rPr>
        <w:t>法定代表人或被授权人（签字或盖章）：</w:t>
      </w:r>
    </w:p>
    <w:p w14:paraId="3C411072">
      <w:pPr>
        <w:adjustRightInd w:val="0"/>
        <w:snapToGrid w:val="0"/>
        <w:spacing w:line="480" w:lineRule="auto"/>
        <w:rPr>
          <w:rFonts w:ascii="宋体" w:hAnsi="宋体"/>
          <w:color w:val="000000"/>
          <w:sz w:val="28"/>
          <w:szCs w:val="28"/>
          <w:highlight w:val="none"/>
        </w:rPr>
        <w:sectPr>
          <w:pgSz w:w="11906" w:h="16838"/>
          <w:pgMar w:top="1440" w:right="1803" w:bottom="1440" w:left="1803" w:header="850" w:footer="992" w:gutter="0"/>
          <w:cols w:space="0" w:num="1"/>
          <w:rtlGutter w:val="1"/>
          <w:docGrid w:type="lines" w:linePitch="319" w:charSpace="0"/>
        </w:sectPr>
      </w:pPr>
      <w:r>
        <w:rPr>
          <w:rFonts w:hint="eastAsia" w:ascii="宋体" w:hAnsi="宋体" w:cs="宋体"/>
          <w:color w:val="000000"/>
          <w:sz w:val="28"/>
          <w:szCs w:val="28"/>
          <w:highlight w:val="none"/>
        </w:rPr>
        <w:t>日    期：年月日</w:t>
      </w:r>
    </w:p>
    <w:p w14:paraId="549BC268">
      <w:pPr>
        <w:pStyle w:val="25"/>
        <w:ind w:firstLine="280"/>
        <w:rPr>
          <w:rFonts w:ascii="宋体" w:hAnsi="宋体" w:cs="宋体"/>
          <w:color w:val="000000"/>
          <w:sz w:val="28"/>
          <w:szCs w:val="28"/>
          <w:highlight w:val="none"/>
        </w:rPr>
      </w:pPr>
      <w:r>
        <w:rPr>
          <w:rFonts w:hint="eastAsia" w:ascii="宋体" w:hAnsi="宋体" w:cs="宋体"/>
          <w:color w:val="000000"/>
          <w:sz w:val="28"/>
          <w:szCs w:val="28"/>
          <w:highlight w:val="none"/>
        </w:rPr>
        <w:t>表2、投标产品技术偏差表</w:t>
      </w:r>
    </w:p>
    <w:tbl>
      <w:tblPr>
        <w:tblStyle w:val="26"/>
        <w:tblW w:w="87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5"/>
        <w:gridCol w:w="2084"/>
        <w:gridCol w:w="2216"/>
        <w:gridCol w:w="1470"/>
      </w:tblGrid>
      <w:tr w14:paraId="70DA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14:paraId="7607740D">
            <w:pPr>
              <w:pStyle w:val="13"/>
              <w:spacing w:line="480" w:lineRule="auto"/>
              <w:jc w:val="center"/>
              <w:rPr>
                <w:rFonts w:hAnsi="宋体"/>
                <w:sz w:val="24"/>
                <w:szCs w:val="24"/>
                <w:highlight w:val="none"/>
              </w:rPr>
            </w:pPr>
            <w:r>
              <w:rPr>
                <w:rFonts w:hint="eastAsia" w:hAnsi="宋体"/>
                <w:sz w:val="24"/>
                <w:szCs w:val="24"/>
                <w:highlight w:val="none"/>
              </w:rPr>
              <w:t>序号</w:t>
            </w:r>
          </w:p>
        </w:tc>
        <w:tc>
          <w:tcPr>
            <w:tcW w:w="2135" w:type="dxa"/>
            <w:vAlign w:val="center"/>
          </w:tcPr>
          <w:p w14:paraId="39280EF7">
            <w:pPr>
              <w:pStyle w:val="13"/>
              <w:spacing w:line="480" w:lineRule="auto"/>
              <w:ind w:firstLine="480" w:firstLineChars="200"/>
              <w:jc w:val="left"/>
              <w:rPr>
                <w:rFonts w:hAnsi="宋体"/>
                <w:sz w:val="24"/>
                <w:szCs w:val="24"/>
                <w:highlight w:val="none"/>
              </w:rPr>
            </w:pPr>
            <w:r>
              <w:rPr>
                <w:rFonts w:hint="eastAsia" w:hAnsi="宋体"/>
                <w:sz w:val="24"/>
                <w:szCs w:val="24"/>
                <w:highlight w:val="none"/>
              </w:rPr>
              <w:t>产品名称</w:t>
            </w:r>
          </w:p>
        </w:tc>
        <w:tc>
          <w:tcPr>
            <w:tcW w:w="2084" w:type="dxa"/>
            <w:vAlign w:val="center"/>
          </w:tcPr>
          <w:p w14:paraId="51CEB709">
            <w:pPr>
              <w:pStyle w:val="13"/>
              <w:spacing w:line="480" w:lineRule="auto"/>
              <w:ind w:firstLine="480" w:firstLineChars="200"/>
              <w:jc w:val="left"/>
              <w:rPr>
                <w:rFonts w:hint="eastAsia" w:hAnsi="宋体"/>
                <w:sz w:val="24"/>
                <w:szCs w:val="24"/>
                <w:highlight w:val="none"/>
                <w:lang w:eastAsia="zh-CN"/>
              </w:rPr>
            </w:pPr>
            <w:r>
              <w:rPr>
                <w:rFonts w:hint="eastAsia" w:hAnsi="宋体"/>
                <w:sz w:val="24"/>
                <w:szCs w:val="24"/>
                <w:highlight w:val="none"/>
                <w:lang w:eastAsia="zh-CN"/>
              </w:rPr>
              <w:t>文件要求</w:t>
            </w:r>
          </w:p>
          <w:p w14:paraId="62332EC0">
            <w:pPr>
              <w:pStyle w:val="13"/>
              <w:spacing w:line="480" w:lineRule="auto"/>
              <w:ind w:firstLine="480" w:firstLineChars="200"/>
              <w:jc w:val="left"/>
              <w:rPr>
                <w:rFonts w:hAnsi="宋体"/>
                <w:sz w:val="24"/>
                <w:szCs w:val="24"/>
                <w:highlight w:val="none"/>
              </w:rPr>
            </w:pPr>
            <w:r>
              <w:rPr>
                <w:rFonts w:hint="eastAsia" w:hAnsi="宋体"/>
                <w:sz w:val="24"/>
                <w:szCs w:val="24"/>
                <w:highlight w:val="none"/>
              </w:rPr>
              <w:t>技术指标</w:t>
            </w:r>
          </w:p>
        </w:tc>
        <w:tc>
          <w:tcPr>
            <w:tcW w:w="2216" w:type="dxa"/>
            <w:vAlign w:val="center"/>
          </w:tcPr>
          <w:p w14:paraId="201EFAC1">
            <w:pPr>
              <w:pStyle w:val="13"/>
              <w:spacing w:line="480" w:lineRule="auto"/>
              <w:ind w:firstLine="480" w:firstLineChars="200"/>
              <w:rPr>
                <w:rFonts w:hAnsi="宋体"/>
                <w:sz w:val="24"/>
                <w:szCs w:val="24"/>
                <w:highlight w:val="none"/>
              </w:rPr>
            </w:pPr>
            <w:r>
              <w:rPr>
                <w:rFonts w:hint="eastAsia" w:hAnsi="宋体"/>
                <w:sz w:val="24"/>
                <w:szCs w:val="24"/>
                <w:highlight w:val="none"/>
                <w:lang w:eastAsia="zh-CN"/>
              </w:rPr>
              <w:t>投标</w:t>
            </w:r>
            <w:r>
              <w:rPr>
                <w:rFonts w:hint="eastAsia" w:hAnsi="宋体"/>
                <w:sz w:val="24"/>
                <w:szCs w:val="24"/>
                <w:highlight w:val="none"/>
              </w:rPr>
              <w:t>产品</w:t>
            </w:r>
          </w:p>
          <w:p w14:paraId="3953C87C">
            <w:pPr>
              <w:pStyle w:val="13"/>
              <w:spacing w:line="480" w:lineRule="auto"/>
              <w:ind w:firstLine="480" w:firstLineChars="200"/>
              <w:rPr>
                <w:rFonts w:hAnsi="宋体"/>
                <w:sz w:val="24"/>
                <w:szCs w:val="24"/>
                <w:highlight w:val="none"/>
              </w:rPr>
            </w:pPr>
            <w:r>
              <w:rPr>
                <w:rFonts w:hint="eastAsia" w:hAnsi="宋体"/>
                <w:sz w:val="24"/>
                <w:szCs w:val="24"/>
                <w:highlight w:val="none"/>
              </w:rPr>
              <w:t>技术指标</w:t>
            </w:r>
          </w:p>
        </w:tc>
        <w:tc>
          <w:tcPr>
            <w:tcW w:w="1470" w:type="dxa"/>
            <w:vAlign w:val="center"/>
          </w:tcPr>
          <w:p w14:paraId="360E2B00">
            <w:pPr>
              <w:pStyle w:val="13"/>
              <w:spacing w:line="480" w:lineRule="auto"/>
              <w:jc w:val="center"/>
              <w:rPr>
                <w:rFonts w:hAnsi="宋体"/>
                <w:sz w:val="24"/>
                <w:szCs w:val="24"/>
                <w:highlight w:val="none"/>
              </w:rPr>
            </w:pPr>
            <w:r>
              <w:rPr>
                <w:rFonts w:hint="eastAsia" w:hAnsi="宋体"/>
                <w:sz w:val="24"/>
                <w:szCs w:val="24"/>
                <w:highlight w:val="none"/>
              </w:rPr>
              <w:t>偏离说明</w:t>
            </w:r>
          </w:p>
        </w:tc>
      </w:tr>
      <w:tr w14:paraId="788C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14:paraId="1B97DF0A">
            <w:pPr>
              <w:pStyle w:val="13"/>
              <w:spacing w:line="480" w:lineRule="auto"/>
              <w:ind w:firstLine="480" w:firstLineChars="200"/>
              <w:jc w:val="left"/>
              <w:rPr>
                <w:rFonts w:hAnsi="宋体"/>
                <w:sz w:val="24"/>
                <w:szCs w:val="24"/>
                <w:highlight w:val="none"/>
              </w:rPr>
            </w:pPr>
          </w:p>
        </w:tc>
        <w:tc>
          <w:tcPr>
            <w:tcW w:w="2135" w:type="dxa"/>
            <w:vAlign w:val="top"/>
          </w:tcPr>
          <w:p w14:paraId="4ACC332B">
            <w:pPr>
              <w:pStyle w:val="13"/>
              <w:spacing w:line="480" w:lineRule="auto"/>
              <w:ind w:firstLine="480" w:firstLineChars="200"/>
              <w:jc w:val="left"/>
              <w:rPr>
                <w:rFonts w:hAnsi="宋体"/>
                <w:sz w:val="24"/>
                <w:szCs w:val="24"/>
                <w:highlight w:val="none"/>
              </w:rPr>
            </w:pPr>
          </w:p>
        </w:tc>
        <w:tc>
          <w:tcPr>
            <w:tcW w:w="2084" w:type="dxa"/>
            <w:vAlign w:val="center"/>
          </w:tcPr>
          <w:p w14:paraId="0CC713EF">
            <w:pPr>
              <w:pStyle w:val="13"/>
              <w:spacing w:line="480" w:lineRule="auto"/>
              <w:ind w:firstLine="480" w:firstLineChars="200"/>
              <w:jc w:val="left"/>
              <w:rPr>
                <w:rFonts w:hAnsi="宋体"/>
                <w:sz w:val="24"/>
                <w:szCs w:val="24"/>
                <w:highlight w:val="none"/>
              </w:rPr>
            </w:pPr>
          </w:p>
        </w:tc>
        <w:tc>
          <w:tcPr>
            <w:tcW w:w="2216" w:type="dxa"/>
            <w:vAlign w:val="center"/>
          </w:tcPr>
          <w:p w14:paraId="6EACA4FC">
            <w:pPr>
              <w:pStyle w:val="13"/>
              <w:spacing w:line="480" w:lineRule="auto"/>
              <w:ind w:firstLine="480" w:firstLineChars="200"/>
              <w:jc w:val="left"/>
              <w:rPr>
                <w:rFonts w:hAnsi="宋体"/>
                <w:sz w:val="24"/>
                <w:szCs w:val="24"/>
                <w:highlight w:val="none"/>
              </w:rPr>
            </w:pPr>
          </w:p>
        </w:tc>
        <w:tc>
          <w:tcPr>
            <w:tcW w:w="1470" w:type="dxa"/>
            <w:vAlign w:val="center"/>
          </w:tcPr>
          <w:p w14:paraId="0384283D">
            <w:pPr>
              <w:pStyle w:val="13"/>
              <w:spacing w:line="480" w:lineRule="auto"/>
              <w:ind w:firstLine="480" w:firstLineChars="200"/>
              <w:jc w:val="left"/>
              <w:rPr>
                <w:rFonts w:hAnsi="宋体"/>
                <w:sz w:val="24"/>
                <w:szCs w:val="24"/>
                <w:highlight w:val="none"/>
              </w:rPr>
            </w:pPr>
          </w:p>
        </w:tc>
      </w:tr>
      <w:tr w14:paraId="218A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14:paraId="538DB6AB">
            <w:pPr>
              <w:pStyle w:val="13"/>
              <w:spacing w:line="480" w:lineRule="auto"/>
              <w:ind w:firstLine="480" w:firstLineChars="200"/>
              <w:jc w:val="left"/>
              <w:rPr>
                <w:rFonts w:hAnsi="宋体"/>
                <w:sz w:val="24"/>
                <w:szCs w:val="24"/>
                <w:highlight w:val="none"/>
              </w:rPr>
            </w:pPr>
          </w:p>
        </w:tc>
        <w:tc>
          <w:tcPr>
            <w:tcW w:w="2135" w:type="dxa"/>
            <w:vAlign w:val="top"/>
          </w:tcPr>
          <w:p w14:paraId="3407D1C8">
            <w:pPr>
              <w:pStyle w:val="13"/>
              <w:spacing w:line="480" w:lineRule="auto"/>
              <w:ind w:firstLine="480" w:firstLineChars="200"/>
              <w:jc w:val="left"/>
              <w:rPr>
                <w:rFonts w:hAnsi="宋体"/>
                <w:sz w:val="24"/>
                <w:szCs w:val="24"/>
                <w:highlight w:val="none"/>
              </w:rPr>
            </w:pPr>
          </w:p>
        </w:tc>
        <w:tc>
          <w:tcPr>
            <w:tcW w:w="2084" w:type="dxa"/>
            <w:vAlign w:val="top"/>
          </w:tcPr>
          <w:p w14:paraId="0D60D4E6">
            <w:pPr>
              <w:pStyle w:val="13"/>
              <w:spacing w:line="480" w:lineRule="auto"/>
              <w:ind w:firstLine="480" w:firstLineChars="200"/>
              <w:jc w:val="left"/>
              <w:rPr>
                <w:rFonts w:hAnsi="宋体"/>
                <w:sz w:val="24"/>
                <w:szCs w:val="24"/>
                <w:highlight w:val="none"/>
              </w:rPr>
            </w:pPr>
          </w:p>
        </w:tc>
        <w:tc>
          <w:tcPr>
            <w:tcW w:w="2216" w:type="dxa"/>
            <w:vAlign w:val="top"/>
          </w:tcPr>
          <w:p w14:paraId="285B03FD">
            <w:pPr>
              <w:pStyle w:val="13"/>
              <w:spacing w:line="480" w:lineRule="auto"/>
              <w:ind w:firstLine="480" w:firstLineChars="200"/>
              <w:jc w:val="left"/>
              <w:rPr>
                <w:rFonts w:hAnsi="宋体"/>
                <w:sz w:val="24"/>
                <w:szCs w:val="24"/>
                <w:highlight w:val="none"/>
              </w:rPr>
            </w:pPr>
          </w:p>
        </w:tc>
        <w:tc>
          <w:tcPr>
            <w:tcW w:w="1470" w:type="dxa"/>
            <w:vAlign w:val="top"/>
          </w:tcPr>
          <w:p w14:paraId="434F8F5B">
            <w:pPr>
              <w:pStyle w:val="13"/>
              <w:spacing w:line="480" w:lineRule="auto"/>
              <w:ind w:firstLine="480" w:firstLineChars="200"/>
              <w:jc w:val="left"/>
              <w:rPr>
                <w:rFonts w:hAnsi="宋体"/>
                <w:sz w:val="24"/>
                <w:szCs w:val="24"/>
                <w:highlight w:val="none"/>
              </w:rPr>
            </w:pPr>
          </w:p>
        </w:tc>
      </w:tr>
      <w:tr w14:paraId="44BF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14:paraId="5E601CD3">
            <w:pPr>
              <w:pStyle w:val="13"/>
              <w:spacing w:line="480" w:lineRule="auto"/>
              <w:ind w:firstLine="480" w:firstLineChars="200"/>
              <w:jc w:val="left"/>
              <w:rPr>
                <w:rFonts w:hAnsi="宋体"/>
                <w:sz w:val="24"/>
                <w:szCs w:val="24"/>
                <w:highlight w:val="none"/>
              </w:rPr>
            </w:pPr>
          </w:p>
        </w:tc>
        <w:tc>
          <w:tcPr>
            <w:tcW w:w="2135" w:type="dxa"/>
            <w:vAlign w:val="top"/>
          </w:tcPr>
          <w:p w14:paraId="0F29CA9E">
            <w:pPr>
              <w:pStyle w:val="13"/>
              <w:spacing w:line="480" w:lineRule="auto"/>
              <w:ind w:firstLine="480" w:firstLineChars="200"/>
              <w:jc w:val="left"/>
              <w:rPr>
                <w:rFonts w:hAnsi="宋体"/>
                <w:sz w:val="24"/>
                <w:szCs w:val="24"/>
                <w:highlight w:val="none"/>
              </w:rPr>
            </w:pPr>
          </w:p>
        </w:tc>
        <w:tc>
          <w:tcPr>
            <w:tcW w:w="2084" w:type="dxa"/>
            <w:vAlign w:val="top"/>
          </w:tcPr>
          <w:p w14:paraId="4F3E299A">
            <w:pPr>
              <w:pStyle w:val="13"/>
              <w:spacing w:line="480" w:lineRule="auto"/>
              <w:ind w:firstLine="480" w:firstLineChars="200"/>
              <w:jc w:val="left"/>
              <w:rPr>
                <w:rFonts w:hAnsi="宋体"/>
                <w:sz w:val="24"/>
                <w:szCs w:val="24"/>
                <w:highlight w:val="none"/>
              </w:rPr>
            </w:pPr>
          </w:p>
        </w:tc>
        <w:tc>
          <w:tcPr>
            <w:tcW w:w="2216" w:type="dxa"/>
            <w:vAlign w:val="top"/>
          </w:tcPr>
          <w:p w14:paraId="68443E9A">
            <w:pPr>
              <w:pStyle w:val="13"/>
              <w:spacing w:line="480" w:lineRule="auto"/>
              <w:ind w:firstLine="480" w:firstLineChars="200"/>
              <w:jc w:val="left"/>
              <w:rPr>
                <w:rFonts w:hAnsi="宋体"/>
                <w:sz w:val="24"/>
                <w:szCs w:val="24"/>
                <w:highlight w:val="none"/>
              </w:rPr>
            </w:pPr>
          </w:p>
        </w:tc>
        <w:tc>
          <w:tcPr>
            <w:tcW w:w="1470" w:type="dxa"/>
            <w:vAlign w:val="top"/>
          </w:tcPr>
          <w:p w14:paraId="7A9431E3">
            <w:pPr>
              <w:pStyle w:val="13"/>
              <w:spacing w:line="480" w:lineRule="auto"/>
              <w:ind w:firstLine="480" w:firstLineChars="200"/>
              <w:jc w:val="left"/>
              <w:rPr>
                <w:rFonts w:hAnsi="宋体"/>
                <w:sz w:val="24"/>
                <w:szCs w:val="24"/>
                <w:highlight w:val="none"/>
              </w:rPr>
            </w:pPr>
          </w:p>
        </w:tc>
      </w:tr>
      <w:tr w14:paraId="7C15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14:paraId="57B04F7D">
            <w:pPr>
              <w:pStyle w:val="13"/>
              <w:spacing w:line="480" w:lineRule="auto"/>
              <w:ind w:firstLine="480" w:firstLineChars="200"/>
              <w:jc w:val="left"/>
              <w:rPr>
                <w:rFonts w:hAnsi="宋体"/>
                <w:sz w:val="24"/>
                <w:szCs w:val="24"/>
                <w:highlight w:val="none"/>
              </w:rPr>
            </w:pPr>
          </w:p>
        </w:tc>
        <w:tc>
          <w:tcPr>
            <w:tcW w:w="2135" w:type="dxa"/>
            <w:vAlign w:val="top"/>
          </w:tcPr>
          <w:p w14:paraId="1BF9879A">
            <w:pPr>
              <w:pStyle w:val="13"/>
              <w:spacing w:line="480" w:lineRule="auto"/>
              <w:ind w:firstLine="480" w:firstLineChars="200"/>
              <w:jc w:val="left"/>
              <w:rPr>
                <w:rFonts w:hAnsi="宋体"/>
                <w:sz w:val="24"/>
                <w:szCs w:val="24"/>
                <w:highlight w:val="none"/>
              </w:rPr>
            </w:pPr>
          </w:p>
        </w:tc>
        <w:tc>
          <w:tcPr>
            <w:tcW w:w="2084" w:type="dxa"/>
            <w:vAlign w:val="top"/>
          </w:tcPr>
          <w:p w14:paraId="1F85C0FB">
            <w:pPr>
              <w:pStyle w:val="13"/>
              <w:spacing w:line="480" w:lineRule="auto"/>
              <w:ind w:firstLine="480" w:firstLineChars="200"/>
              <w:jc w:val="left"/>
              <w:rPr>
                <w:rFonts w:hAnsi="宋体"/>
                <w:sz w:val="24"/>
                <w:szCs w:val="24"/>
                <w:highlight w:val="none"/>
              </w:rPr>
            </w:pPr>
          </w:p>
        </w:tc>
        <w:tc>
          <w:tcPr>
            <w:tcW w:w="2216" w:type="dxa"/>
            <w:vAlign w:val="top"/>
          </w:tcPr>
          <w:p w14:paraId="795E5D41">
            <w:pPr>
              <w:pStyle w:val="13"/>
              <w:spacing w:line="480" w:lineRule="auto"/>
              <w:ind w:firstLine="480" w:firstLineChars="200"/>
              <w:jc w:val="left"/>
              <w:rPr>
                <w:rFonts w:hAnsi="宋体"/>
                <w:sz w:val="24"/>
                <w:szCs w:val="24"/>
                <w:highlight w:val="none"/>
              </w:rPr>
            </w:pPr>
          </w:p>
        </w:tc>
        <w:tc>
          <w:tcPr>
            <w:tcW w:w="1470" w:type="dxa"/>
            <w:vAlign w:val="top"/>
          </w:tcPr>
          <w:p w14:paraId="5291DAF1">
            <w:pPr>
              <w:pStyle w:val="13"/>
              <w:spacing w:line="480" w:lineRule="auto"/>
              <w:ind w:firstLine="480" w:firstLineChars="200"/>
              <w:jc w:val="left"/>
              <w:rPr>
                <w:rFonts w:hAnsi="宋体"/>
                <w:sz w:val="24"/>
                <w:szCs w:val="24"/>
                <w:highlight w:val="none"/>
              </w:rPr>
            </w:pPr>
          </w:p>
        </w:tc>
      </w:tr>
      <w:tr w14:paraId="5F2A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14:paraId="19518DDE">
            <w:pPr>
              <w:pStyle w:val="13"/>
              <w:spacing w:line="480" w:lineRule="auto"/>
              <w:ind w:firstLine="480" w:firstLineChars="200"/>
              <w:jc w:val="left"/>
              <w:rPr>
                <w:rFonts w:hAnsi="宋体"/>
                <w:sz w:val="24"/>
                <w:szCs w:val="24"/>
                <w:highlight w:val="none"/>
              </w:rPr>
            </w:pPr>
          </w:p>
        </w:tc>
        <w:tc>
          <w:tcPr>
            <w:tcW w:w="2135" w:type="dxa"/>
            <w:vAlign w:val="top"/>
          </w:tcPr>
          <w:p w14:paraId="766C28B1">
            <w:pPr>
              <w:pStyle w:val="13"/>
              <w:spacing w:line="480" w:lineRule="auto"/>
              <w:ind w:firstLine="480" w:firstLineChars="200"/>
              <w:jc w:val="left"/>
              <w:rPr>
                <w:rFonts w:hAnsi="宋体"/>
                <w:sz w:val="24"/>
                <w:szCs w:val="24"/>
                <w:highlight w:val="none"/>
              </w:rPr>
            </w:pPr>
          </w:p>
        </w:tc>
        <w:tc>
          <w:tcPr>
            <w:tcW w:w="2084" w:type="dxa"/>
            <w:vAlign w:val="top"/>
          </w:tcPr>
          <w:p w14:paraId="59B157C9">
            <w:pPr>
              <w:pStyle w:val="13"/>
              <w:spacing w:line="480" w:lineRule="auto"/>
              <w:ind w:firstLine="480" w:firstLineChars="200"/>
              <w:jc w:val="left"/>
              <w:rPr>
                <w:rFonts w:hAnsi="宋体"/>
                <w:sz w:val="24"/>
                <w:szCs w:val="24"/>
                <w:highlight w:val="none"/>
              </w:rPr>
            </w:pPr>
          </w:p>
        </w:tc>
        <w:tc>
          <w:tcPr>
            <w:tcW w:w="2216" w:type="dxa"/>
            <w:vAlign w:val="top"/>
          </w:tcPr>
          <w:p w14:paraId="2FA9EFD3">
            <w:pPr>
              <w:pStyle w:val="13"/>
              <w:spacing w:line="480" w:lineRule="auto"/>
              <w:ind w:firstLine="480" w:firstLineChars="200"/>
              <w:jc w:val="left"/>
              <w:rPr>
                <w:rFonts w:hAnsi="宋体"/>
                <w:sz w:val="24"/>
                <w:szCs w:val="24"/>
                <w:highlight w:val="none"/>
              </w:rPr>
            </w:pPr>
          </w:p>
        </w:tc>
        <w:tc>
          <w:tcPr>
            <w:tcW w:w="1470" w:type="dxa"/>
            <w:vAlign w:val="top"/>
          </w:tcPr>
          <w:p w14:paraId="5222DC9D">
            <w:pPr>
              <w:pStyle w:val="13"/>
              <w:spacing w:line="480" w:lineRule="auto"/>
              <w:ind w:firstLine="480" w:firstLineChars="200"/>
              <w:jc w:val="left"/>
              <w:rPr>
                <w:rFonts w:hAnsi="宋体"/>
                <w:sz w:val="24"/>
                <w:szCs w:val="24"/>
                <w:highlight w:val="none"/>
              </w:rPr>
            </w:pPr>
          </w:p>
        </w:tc>
      </w:tr>
      <w:tr w14:paraId="5ADB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14:paraId="5EE90E31">
            <w:pPr>
              <w:pStyle w:val="13"/>
              <w:spacing w:line="480" w:lineRule="auto"/>
              <w:ind w:firstLine="480" w:firstLineChars="200"/>
              <w:jc w:val="left"/>
              <w:rPr>
                <w:rFonts w:hAnsi="宋体"/>
                <w:sz w:val="24"/>
                <w:szCs w:val="24"/>
                <w:highlight w:val="none"/>
              </w:rPr>
            </w:pPr>
          </w:p>
        </w:tc>
        <w:tc>
          <w:tcPr>
            <w:tcW w:w="2135" w:type="dxa"/>
            <w:vAlign w:val="top"/>
          </w:tcPr>
          <w:p w14:paraId="15C21FC2">
            <w:pPr>
              <w:pStyle w:val="13"/>
              <w:spacing w:line="480" w:lineRule="auto"/>
              <w:ind w:firstLine="480" w:firstLineChars="200"/>
              <w:jc w:val="left"/>
              <w:rPr>
                <w:rFonts w:hAnsi="宋体"/>
                <w:sz w:val="24"/>
                <w:szCs w:val="24"/>
                <w:highlight w:val="none"/>
              </w:rPr>
            </w:pPr>
          </w:p>
        </w:tc>
        <w:tc>
          <w:tcPr>
            <w:tcW w:w="2084" w:type="dxa"/>
            <w:vAlign w:val="top"/>
          </w:tcPr>
          <w:p w14:paraId="50378A22">
            <w:pPr>
              <w:pStyle w:val="13"/>
              <w:spacing w:line="480" w:lineRule="auto"/>
              <w:ind w:firstLine="480" w:firstLineChars="200"/>
              <w:jc w:val="left"/>
              <w:rPr>
                <w:rFonts w:hAnsi="宋体"/>
                <w:sz w:val="24"/>
                <w:szCs w:val="24"/>
                <w:highlight w:val="none"/>
              </w:rPr>
            </w:pPr>
          </w:p>
        </w:tc>
        <w:tc>
          <w:tcPr>
            <w:tcW w:w="2216" w:type="dxa"/>
            <w:vAlign w:val="top"/>
          </w:tcPr>
          <w:p w14:paraId="67729FBA">
            <w:pPr>
              <w:pStyle w:val="13"/>
              <w:spacing w:line="480" w:lineRule="auto"/>
              <w:ind w:firstLine="480" w:firstLineChars="200"/>
              <w:jc w:val="left"/>
              <w:rPr>
                <w:rFonts w:hAnsi="宋体"/>
                <w:sz w:val="24"/>
                <w:szCs w:val="24"/>
                <w:highlight w:val="none"/>
              </w:rPr>
            </w:pPr>
          </w:p>
        </w:tc>
        <w:tc>
          <w:tcPr>
            <w:tcW w:w="1470" w:type="dxa"/>
            <w:vAlign w:val="top"/>
          </w:tcPr>
          <w:p w14:paraId="43CD925B">
            <w:pPr>
              <w:pStyle w:val="13"/>
              <w:spacing w:line="480" w:lineRule="auto"/>
              <w:ind w:firstLine="480" w:firstLineChars="200"/>
              <w:jc w:val="left"/>
              <w:rPr>
                <w:rFonts w:hAnsi="宋体"/>
                <w:sz w:val="24"/>
                <w:szCs w:val="24"/>
                <w:highlight w:val="none"/>
              </w:rPr>
            </w:pPr>
          </w:p>
        </w:tc>
      </w:tr>
      <w:tr w14:paraId="218A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14:paraId="207D2E92">
            <w:pPr>
              <w:pStyle w:val="13"/>
              <w:spacing w:line="480" w:lineRule="auto"/>
              <w:ind w:firstLine="480" w:firstLineChars="200"/>
              <w:jc w:val="left"/>
              <w:rPr>
                <w:rFonts w:hAnsi="宋体"/>
                <w:sz w:val="24"/>
                <w:szCs w:val="24"/>
                <w:highlight w:val="none"/>
              </w:rPr>
            </w:pPr>
          </w:p>
        </w:tc>
        <w:tc>
          <w:tcPr>
            <w:tcW w:w="2135" w:type="dxa"/>
            <w:vAlign w:val="top"/>
          </w:tcPr>
          <w:p w14:paraId="7EC56CA4">
            <w:pPr>
              <w:pStyle w:val="13"/>
              <w:spacing w:line="480" w:lineRule="auto"/>
              <w:ind w:firstLine="480" w:firstLineChars="200"/>
              <w:jc w:val="left"/>
              <w:rPr>
                <w:rFonts w:hAnsi="宋体"/>
                <w:sz w:val="24"/>
                <w:szCs w:val="24"/>
                <w:highlight w:val="none"/>
              </w:rPr>
            </w:pPr>
          </w:p>
        </w:tc>
        <w:tc>
          <w:tcPr>
            <w:tcW w:w="2084" w:type="dxa"/>
            <w:vAlign w:val="top"/>
          </w:tcPr>
          <w:p w14:paraId="2D249E8B">
            <w:pPr>
              <w:pStyle w:val="13"/>
              <w:spacing w:line="480" w:lineRule="auto"/>
              <w:ind w:firstLine="480" w:firstLineChars="200"/>
              <w:jc w:val="left"/>
              <w:rPr>
                <w:rFonts w:hAnsi="宋体"/>
                <w:sz w:val="24"/>
                <w:szCs w:val="24"/>
                <w:highlight w:val="none"/>
              </w:rPr>
            </w:pPr>
          </w:p>
        </w:tc>
        <w:tc>
          <w:tcPr>
            <w:tcW w:w="2216" w:type="dxa"/>
            <w:vAlign w:val="top"/>
          </w:tcPr>
          <w:p w14:paraId="4E8B167A">
            <w:pPr>
              <w:pStyle w:val="13"/>
              <w:spacing w:line="480" w:lineRule="auto"/>
              <w:ind w:firstLine="480" w:firstLineChars="200"/>
              <w:jc w:val="left"/>
              <w:rPr>
                <w:rFonts w:hAnsi="宋体"/>
                <w:sz w:val="24"/>
                <w:szCs w:val="24"/>
                <w:highlight w:val="none"/>
              </w:rPr>
            </w:pPr>
          </w:p>
        </w:tc>
        <w:tc>
          <w:tcPr>
            <w:tcW w:w="1470" w:type="dxa"/>
            <w:vAlign w:val="top"/>
          </w:tcPr>
          <w:p w14:paraId="35580D74">
            <w:pPr>
              <w:pStyle w:val="13"/>
              <w:spacing w:line="480" w:lineRule="auto"/>
              <w:ind w:firstLine="480" w:firstLineChars="200"/>
              <w:jc w:val="left"/>
              <w:rPr>
                <w:rFonts w:hAnsi="宋体"/>
                <w:sz w:val="24"/>
                <w:szCs w:val="24"/>
                <w:highlight w:val="none"/>
              </w:rPr>
            </w:pPr>
          </w:p>
        </w:tc>
      </w:tr>
      <w:tr w14:paraId="389C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14:paraId="2DE8C91D">
            <w:pPr>
              <w:pStyle w:val="13"/>
              <w:spacing w:line="480" w:lineRule="auto"/>
              <w:ind w:firstLine="480" w:firstLineChars="200"/>
              <w:jc w:val="left"/>
              <w:rPr>
                <w:rFonts w:hAnsi="宋体"/>
                <w:sz w:val="24"/>
                <w:szCs w:val="24"/>
                <w:highlight w:val="none"/>
              </w:rPr>
            </w:pPr>
          </w:p>
        </w:tc>
        <w:tc>
          <w:tcPr>
            <w:tcW w:w="2135" w:type="dxa"/>
            <w:vAlign w:val="top"/>
          </w:tcPr>
          <w:p w14:paraId="1019DFCB">
            <w:pPr>
              <w:pStyle w:val="13"/>
              <w:spacing w:line="480" w:lineRule="auto"/>
              <w:ind w:firstLine="480" w:firstLineChars="200"/>
              <w:jc w:val="left"/>
              <w:rPr>
                <w:rFonts w:hAnsi="宋体"/>
                <w:sz w:val="24"/>
                <w:szCs w:val="24"/>
                <w:highlight w:val="none"/>
              </w:rPr>
            </w:pPr>
          </w:p>
        </w:tc>
        <w:tc>
          <w:tcPr>
            <w:tcW w:w="2084" w:type="dxa"/>
            <w:vAlign w:val="top"/>
          </w:tcPr>
          <w:p w14:paraId="3954C339">
            <w:pPr>
              <w:pStyle w:val="13"/>
              <w:spacing w:line="480" w:lineRule="auto"/>
              <w:ind w:firstLine="480" w:firstLineChars="200"/>
              <w:jc w:val="left"/>
              <w:rPr>
                <w:rFonts w:hAnsi="宋体"/>
                <w:sz w:val="24"/>
                <w:szCs w:val="24"/>
                <w:highlight w:val="none"/>
              </w:rPr>
            </w:pPr>
          </w:p>
        </w:tc>
        <w:tc>
          <w:tcPr>
            <w:tcW w:w="2216" w:type="dxa"/>
            <w:vAlign w:val="top"/>
          </w:tcPr>
          <w:p w14:paraId="1BE4A271">
            <w:pPr>
              <w:pStyle w:val="13"/>
              <w:spacing w:line="480" w:lineRule="auto"/>
              <w:ind w:firstLine="480" w:firstLineChars="200"/>
              <w:jc w:val="left"/>
              <w:rPr>
                <w:rFonts w:hAnsi="宋体"/>
                <w:sz w:val="24"/>
                <w:szCs w:val="24"/>
                <w:highlight w:val="none"/>
              </w:rPr>
            </w:pPr>
          </w:p>
        </w:tc>
        <w:tc>
          <w:tcPr>
            <w:tcW w:w="1470" w:type="dxa"/>
            <w:vAlign w:val="top"/>
          </w:tcPr>
          <w:p w14:paraId="14417197">
            <w:pPr>
              <w:pStyle w:val="13"/>
              <w:spacing w:line="480" w:lineRule="auto"/>
              <w:ind w:firstLine="480" w:firstLineChars="200"/>
              <w:jc w:val="left"/>
              <w:rPr>
                <w:rFonts w:hAnsi="宋体"/>
                <w:sz w:val="24"/>
                <w:szCs w:val="24"/>
                <w:highlight w:val="none"/>
              </w:rPr>
            </w:pPr>
          </w:p>
        </w:tc>
      </w:tr>
      <w:tr w14:paraId="6C41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vAlign w:val="top"/>
          </w:tcPr>
          <w:p w14:paraId="2AE3C527">
            <w:pPr>
              <w:pStyle w:val="13"/>
              <w:spacing w:line="480" w:lineRule="auto"/>
              <w:ind w:firstLine="480" w:firstLineChars="200"/>
              <w:jc w:val="left"/>
              <w:rPr>
                <w:rFonts w:hAnsi="宋体"/>
                <w:sz w:val="24"/>
                <w:szCs w:val="24"/>
                <w:highlight w:val="none"/>
              </w:rPr>
            </w:pPr>
          </w:p>
        </w:tc>
        <w:tc>
          <w:tcPr>
            <w:tcW w:w="2135" w:type="dxa"/>
            <w:vAlign w:val="top"/>
          </w:tcPr>
          <w:p w14:paraId="3ACD24F4">
            <w:pPr>
              <w:pStyle w:val="13"/>
              <w:spacing w:line="480" w:lineRule="auto"/>
              <w:ind w:firstLine="480" w:firstLineChars="200"/>
              <w:jc w:val="left"/>
              <w:rPr>
                <w:rFonts w:hAnsi="宋体"/>
                <w:sz w:val="24"/>
                <w:szCs w:val="24"/>
                <w:highlight w:val="none"/>
              </w:rPr>
            </w:pPr>
          </w:p>
        </w:tc>
        <w:tc>
          <w:tcPr>
            <w:tcW w:w="2084" w:type="dxa"/>
            <w:vAlign w:val="top"/>
          </w:tcPr>
          <w:p w14:paraId="2D6DD65D">
            <w:pPr>
              <w:pStyle w:val="13"/>
              <w:spacing w:line="480" w:lineRule="auto"/>
              <w:ind w:firstLine="480" w:firstLineChars="200"/>
              <w:jc w:val="left"/>
              <w:rPr>
                <w:rFonts w:hAnsi="宋体"/>
                <w:sz w:val="24"/>
                <w:szCs w:val="24"/>
                <w:highlight w:val="none"/>
              </w:rPr>
            </w:pPr>
          </w:p>
        </w:tc>
        <w:tc>
          <w:tcPr>
            <w:tcW w:w="2216" w:type="dxa"/>
            <w:vAlign w:val="top"/>
          </w:tcPr>
          <w:p w14:paraId="50FCC0E3">
            <w:pPr>
              <w:pStyle w:val="13"/>
              <w:spacing w:line="480" w:lineRule="auto"/>
              <w:ind w:firstLine="480" w:firstLineChars="200"/>
              <w:jc w:val="left"/>
              <w:rPr>
                <w:rFonts w:hAnsi="宋体"/>
                <w:sz w:val="24"/>
                <w:szCs w:val="24"/>
                <w:highlight w:val="none"/>
              </w:rPr>
            </w:pPr>
          </w:p>
        </w:tc>
        <w:tc>
          <w:tcPr>
            <w:tcW w:w="1470" w:type="dxa"/>
            <w:vAlign w:val="top"/>
          </w:tcPr>
          <w:p w14:paraId="454DE448">
            <w:pPr>
              <w:pStyle w:val="13"/>
              <w:spacing w:line="480" w:lineRule="auto"/>
              <w:ind w:firstLine="480" w:firstLineChars="200"/>
              <w:jc w:val="left"/>
              <w:rPr>
                <w:rFonts w:hAnsi="宋体"/>
                <w:sz w:val="24"/>
                <w:szCs w:val="24"/>
                <w:highlight w:val="none"/>
              </w:rPr>
            </w:pPr>
          </w:p>
        </w:tc>
      </w:tr>
      <w:tr w14:paraId="00D3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Align w:val="top"/>
          </w:tcPr>
          <w:p w14:paraId="13602FA2">
            <w:pPr>
              <w:pStyle w:val="13"/>
              <w:spacing w:line="480" w:lineRule="auto"/>
              <w:ind w:firstLine="480" w:firstLineChars="200"/>
              <w:jc w:val="left"/>
              <w:rPr>
                <w:rFonts w:hAnsi="宋体"/>
                <w:sz w:val="24"/>
                <w:szCs w:val="24"/>
                <w:highlight w:val="none"/>
              </w:rPr>
            </w:pPr>
          </w:p>
        </w:tc>
        <w:tc>
          <w:tcPr>
            <w:tcW w:w="2135" w:type="dxa"/>
            <w:vAlign w:val="top"/>
          </w:tcPr>
          <w:p w14:paraId="3A19267E">
            <w:pPr>
              <w:pStyle w:val="13"/>
              <w:spacing w:line="480" w:lineRule="auto"/>
              <w:ind w:firstLine="480" w:firstLineChars="200"/>
              <w:jc w:val="left"/>
              <w:rPr>
                <w:rFonts w:hAnsi="宋体"/>
                <w:sz w:val="24"/>
                <w:szCs w:val="24"/>
                <w:highlight w:val="none"/>
              </w:rPr>
            </w:pPr>
          </w:p>
        </w:tc>
        <w:tc>
          <w:tcPr>
            <w:tcW w:w="2084" w:type="dxa"/>
            <w:vAlign w:val="top"/>
          </w:tcPr>
          <w:p w14:paraId="31194FA5">
            <w:pPr>
              <w:pStyle w:val="13"/>
              <w:spacing w:line="480" w:lineRule="auto"/>
              <w:ind w:firstLine="480" w:firstLineChars="200"/>
              <w:jc w:val="left"/>
              <w:rPr>
                <w:rFonts w:hAnsi="宋体"/>
                <w:sz w:val="24"/>
                <w:szCs w:val="24"/>
                <w:highlight w:val="none"/>
              </w:rPr>
            </w:pPr>
          </w:p>
        </w:tc>
        <w:tc>
          <w:tcPr>
            <w:tcW w:w="2216" w:type="dxa"/>
            <w:vAlign w:val="top"/>
          </w:tcPr>
          <w:p w14:paraId="6BB4D691">
            <w:pPr>
              <w:pStyle w:val="13"/>
              <w:spacing w:line="480" w:lineRule="auto"/>
              <w:ind w:firstLine="480" w:firstLineChars="200"/>
              <w:jc w:val="left"/>
              <w:rPr>
                <w:rFonts w:hAnsi="宋体"/>
                <w:sz w:val="24"/>
                <w:szCs w:val="24"/>
                <w:highlight w:val="none"/>
              </w:rPr>
            </w:pPr>
          </w:p>
        </w:tc>
        <w:tc>
          <w:tcPr>
            <w:tcW w:w="1470" w:type="dxa"/>
            <w:vAlign w:val="top"/>
          </w:tcPr>
          <w:p w14:paraId="1E37CA47">
            <w:pPr>
              <w:pStyle w:val="13"/>
              <w:spacing w:line="480" w:lineRule="auto"/>
              <w:ind w:firstLine="480" w:firstLineChars="200"/>
              <w:jc w:val="left"/>
              <w:rPr>
                <w:rFonts w:hAnsi="宋体"/>
                <w:sz w:val="24"/>
                <w:szCs w:val="24"/>
                <w:highlight w:val="none"/>
              </w:rPr>
            </w:pPr>
          </w:p>
        </w:tc>
      </w:tr>
    </w:tbl>
    <w:p w14:paraId="7F877311">
      <w:pPr>
        <w:pStyle w:val="13"/>
        <w:ind w:firstLine="482"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说明：</w:t>
      </w:r>
      <w:r>
        <w:rPr>
          <w:rFonts w:hint="eastAsia" w:hAnsi="宋体" w:eastAsia="宋体" w:cs="宋体"/>
          <w:sz w:val="28"/>
          <w:szCs w:val="28"/>
          <w:highlight w:val="none"/>
        </w:rPr>
        <w:t>请按招标文件技术要求的内容，逐条对应投标文件的“采购要求”中的</w:t>
      </w:r>
      <w:r>
        <w:rPr>
          <w:rFonts w:hint="eastAsia" w:hAnsi="宋体" w:eastAsia="宋体" w:cs="宋体"/>
          <w:sz w:val="28"/>
          <w:szCs w:val="28"/>
          <w:highlight w:val="none"/>
          <w:lang w:val="en-US" w:eastAsia="zh-CN"/>
        </w:rPr>
        <w:t>详细参数</w:t>
      </w:r>
      <w:r>
        <w:rPr>
          <w:rFonts w:hint="eastAsia" w:hAnsi="宋体" w:eastAsia="宋体" w:cs="宋体"/>
          <w:sz w:val="28"/>
          <w:szCs w:val="28"/>
          <w:highlight w:val="none"/>
        </w:rPr>
        <w:t>认真填写本表。偏差说明填写：正偏离（标明正偏离内容及正偏离的证明材料的页码）、符合（标明主要技术参数证明材料页码）或负偏离。</w:t>
      </w:r>
    </w:p>
    <w:p w14:paraId="37A7335D">
      <w:pPr>
        <w:adjustRightInd w:val="0"/>
        <w:snapToGrid w:val="0"/>
        <w:spacing w:line="480"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供应商（单位名称及公章）：_________________________</w:t>
      </w:r>
    </w:p>
    <w:p w14:paraId="2AEEAF11">
      <w:pPr>
        <w:adjustRightInd w:val="0"/>
        <w:snapToGrid w:val="0"/>
        <w:spacing w:line="48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法定代表人或被授权人（签字或盖章）：____________________</w:t>
      </w:r>
    </w:p>
    <w:p w14:paraId="6B72F3CC">
      <w:pPr>
        <w:adjustRightInd w:val="0"/>
        <w:snapToGrid w:val="0"/>
        <w:spacing w:line="480" w:lineRule="auto"/>
        <w:rPr>
          <w:rFonts w:ascii="宋体" w:hAnsi="宋体" w:cs="宋体"/>
          <w:color w:val="000000"/>
          <w:sz w:val="28"/>
          <w:szCs w:val="28"/>
          <w:highlight w:val="none"/>
        </w:rPr>
        <w:sectPr>
          <w:pgSz w:w="11906" w:h="16838"/>
          <w:pgMar w:top="1440" w:right="1803" w:bottom="1440" w:left="1803" w:header="850" w:footer="992" w:gutter="0"/>
          <w:cols w:space="0" w:num="1"/>
          <w:rtlGutter w:val="1"/>
          <w:docGrid w:type="lines" w:linePitch="319" w:charSpace="0"/>
        </w:sectPr>
      </w:pPr>
      <w:r>
        <w:rPr>
          <w:rFonts w:hint="eastAsia" w:asciiTheme="minorEastAsia" w:hAnsiTheme="minorEastAsia" w:eastAsiaTheme="minorEastAsia" w:cstheme="minorEastAsia"/>
          <w:sz w:val="24"/>
          <w:szCs w:val="24"/>
          <w:highlight w:val="none"/>
        </w:rPr>
        <w:t>日    期：_____年_____月_____日</w:t>
      </w:r>
    </w:p>
    <w:p w14:paraId="0E81F024">
      <w:pPr>
        <w:pStyle w:val="3"/>
        <w:spacing w:before="325" w:beforeLines="100" w:after="487" w:afterLines="150" w:line="500" w:lineRule="exact"/>
        <w:rPr>
          <w:rFonts w:hint="eastAsia" w:asciiTheme="minorEastAsia" w:hAnsiTheme="minorEastAsia" w:eastAsiaTheme="minorEastAsia" w:cstheme="minorEastAsia"/>
          <w:color w:val="000000" w:themeColor="text1"/>
          <w:sz w:val="36"/>
          <w:szCs w:val="36"/>
          <w:highlight w:val="none"/>
          <w:lang w:eastAsia="zh-CN"/>
          <w14:textFill>
            <w14:solidFill>
              <w14:schemeClr w14:val="tx1"/>
            </w14:solidFill>
          </w14:textFill>
        </w:rPr>
      </w:pPr>
      <w:bookmarkStart w:id="295" w:name="_Toc18357"/>
      <w:bookmarkStart w:id="296" w:name="_Toc31024"/>
      <w:bookmarkStart w:id="297" w:name="_Toc31399"/>
      <w:bookmarkStart w:id="298" w:name="_Toc25109"/>
      <w:bookmarkStart w:id="299" w:name="_Toc8786"/>
      <w:bookmarkStart w:id="300" w:name="_Toc29932"/>
      <w:bookmarkStart w:id="301" w:name="_Toc32514"/>
      <w:bookmarkStart w:id="302" w:name="_Toc10525"/>
      <w:bookmarkStart w:id="303" w:name="_Toc15860"/>
      <w:bookmarkStart w:id="304" w:name="OLE_LINK1"/>
      <w:bookmarkStart w:id="305" w:name="_Toc22439"/>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36"/>
          <w:szCs w:val="36"/>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章</w:t>
      </w:r>
      <w:bookmarkEnd w:id="295"/>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 xml:space="preserve">  </w:t>
      </w:r>
      <w:bookmarkEnd w:id="296"/>
      <w:bookmarkEnd w:id="297"/>
      <w:bookmarkEnd w:id="298"/>
      <w:bookmarkEnd w:id="299"/>
      <w:r>
        <w:rPr>
          <w:rFonts w:hint="eastAsia" w:ascii="宋体" w:hAnsi="宋体" w:cs="宋体"/>
          <w:b/>
          <w:bCs/>
          <w:color w:val="000000" w:themeColor="text1"/>
          <w:sz w:val="36"/>
          <w:szCs w:val="36"/>
          <w:highlight w:val="none"/>
          <w14:textFill>
            <w14:solidFill>
              <w14:schemeClr w14:val="tx1"/>
            </w14:solidFill>
          </w14:textFill>
        </w:rPr>
        <w:t>实施方案和技术支持资料</w:t>
      </w:r>
      <w:bookmarkEnd w:id="300"/>
    </w:p>
    <w:p w14:paraId="2DC2F63B">
      <w:pPr>
        <w:rPr>
          <w:color w:val="000000"/>
          <w:highlight w:val="none"/>
        </w:rPr>
      </w:pPr>
      <w:r>
        <w:rPr>
          <w:rFonts w:hint="eastAsia" w:ascii="宋体" w:hAnsi="宋体" w:cs="宋体"/>
          <w:b/>
          <w:bCs/>
          <w:sz w:val="24"/>
          <w:szCs w:val="24"/>
          <w:highlight w:val="none"/>
        </w:rPr>
        <w:t>供应商自行编写，无具体格式。</w:t>
      </w:r>
    </w:p>
    <w:p w14:paraId="442AF86A">
      <w:pPr>
        <w:rPr>
          <w:rFonts w:ascii="宋体" w:hAnsi="宋体" w:cs="宋体"/>
          <w:b/>
          <w:bCs/>
          <w:sz w:val="24"/>
          <w:szCs w:val="24"/>
          <w:highlight w:val="none"/>
        </w:rPr>
      </w:pPr>
      <w:r>
        <w:rPr>
          <w:rFonts w:hint="eastAsia" w:ascii="宋体" w:hAnsi="宋体" w:cs="宋体"/>
          <w:b/>
          <w:bCs/>
          <w:sz w:val="24"/>
          <w:szCs w:val="24"/>
          <w:highlight w:val="none"/>
        </w:rPr>
        <w:br w:type="page"/>
      </w:r>
    </w:p>
    <w:p w14:paraId="0DD363F8">
      <w:pPr>
        <w:jc w:val="center"/>
        <w:outlineLvl w:val="1"/>
        <w:rPr>
          <w:rFonts w:hint="default" w:asciiTheme="minorEastAsia" w:hAnsiTheme="minorEastAsia" w:eastAsiaTheme="minorEastAsia" w:cstheme="minorEastAsia"/>
          <w:b/>
          <w:bCs/>
          <w:color w:val="000000" w:themeColor="text1"/>
          <w:kern w:val="0"/>
          <w:sz w:val="36"/>
          <w:szCs w:val="36"/>
          <w:highlight w:val="none"/>
          <w:lang w:val="en-US" w:eastAsia="zh-CN" w:bidi="ar-SA"/>
          <w14:textFill>
            <w14:solidFill>
              <w14:schemeClr w14:val="tx1"/>
            </w14:solidFill>
          </w14:textFill>
        </w:rPr>
      </w:pPr>
      <w:bookmarkStart w:id="306" w:name="_Toc21043"/>
      <w:r>
        <w:rPr>
          <w:rFonts w:hint="eastAsia" w:asciiTheme="minorEastAsia" w:hAnsiTheme="minorEastAsia" w:eastAsiaTheme="minorEastAsia" w:cstheme="minorEastAsia"/>
          <w:b/>
          <w:bCs/>
          <w:color w:val="000000" w:themeColor="text1"/>
          <w:kern w:val="0"/>
          <w:sz w:val="36"/>
          <w:szCs w:val="36"/>
          <w:highlight w:val="none"/>
          <w:lang w:val="en-US" w:eastAsia="zh-CN" w:bidi="ar-SA"/>
          <w14:textFill>
            <w14:solidFill>
              <w14:schemeClr w14:val="tx1"/>
            </w14:solidFill>
          </w14:textFill>
        </w:rPr>
        <w:t>第七章  技术方案</w:t>
      </w:r>
      <w:bookmarkEnd w:id="306"/>
    </w:p>
    <w:p w14:paraId="2B0EE791">
      <w:pPr>
        <w:rPr>
          <w:color w:val="000000"/>
          <w:highlight w:val="none"/>
        </w:rPr>
      </w:pPr>
      <w:r>
        <w:rPr>
          <w:rFonts w:hint="eastAsia" w:ascii="宋体" w:hAnsi="宋体" w:cs="宋体"/>
          <w:b/>
          <w:bCs/>
          <w:sz w:val="24"/>
          <w:szCs w:val="24"/>
          <w:highlight w:val="none"/>
        </w:rPr>
        <w:t>供应商自行编写，无具体格式。</w:t>
      </w:r>
    </w:p>
    <w:p w14:paraId="2E8866C8">
      <w:pPr>
        <w:rPr>
          <w:rFonts w:ascii="宋体" w:hAnsi="宋体" w:cs="宋体"/>
          <w:b/>
          <w:bCs/>
          <w:sz w:val="24"/>
          <w:szCs w:val="24"/>
          <w:highlight w:val="none"/>
        </w:rPr>
      </w:pPr>
      <w:r>
        <w:rPr>
          <w:rFonts w:hint="eastAsia" w:ascii="宋体" w:hAnsi="宋体" w:cs="宋体"/>
          <w:b/>
          <w:bCs/>
          <w:sz w:val="24"/>
          <w:szCs w:val="24"/>
          <w:highlight w:val="none"/>
        </w:rPr>
        <w:br w:type="page"/>
      </w:r>
    </w:p>
    <w:p w14:paraId="7FA28786">
      <w:pPr>
        <w:jc w:val="center"/>
        <w:outlineLvl w:val="1"/>
        <w:rPr>
          <w:color w:val="000000"/>
          <w:highlight w:val="none"/>
        </w:rPr>
      </w:pPr>
      <w:bookmarkStart w:id="307" w:name="_Toc14587"/>
      <w:r>
        <w:rPr>
          <w:rFonts w:hint="eastAsia" w:asciiTheme="minorEastAsia" w:hAnsiTheme="minorEastAsia" w:eastAsiaTheme="minorEastAsia" w:cstheme="minorEastAsia"/>
          <w:b/>
          <w:bCs/>
          <w:color w:val="000000" w:themeColor="text1"/>
          <w:kern w:val="0"/>
          <w:sz w:val="36"/>
          <w:szCs w:val="36"/>
          <w:highlight w:val="none"/>
          <w:lang w:val="en-US" w:eastAsia="zh-CN" w:bidi="ar-SA"/>
          <w14:textFill>
            <w14:solidFill>
              <w14:schemeClr w14:val="tx1"/>
            </w14:solidFill>
          </w14:textFill>
        </w:rPr>
        <w:t>第八章  售后服务及培训方案</w:t>
      </w:r>
      <w:bookmarkEnd w:id="307"/>
    </w:p>
    <w:p w14:paraId="24F07013">
      <w:pPr>
        <w:rPr>
          <w:rFonts w:hint="eastAsia" w:ascii="宋体" w:hAnsi="宋体" w:cs="宋体"/>
          <w:b/>
          <w:bCs/>
          <w:sz w:val="24"/>
          <w:szCs w:val="24"/>
          <w:highlight w:val="none"/>
        </w:rPr>
      </w:pPr>
    </w:p>
    <w:p w14:paraId="78AC5396">
      <w:pPr>
        <w:rPr>
          <w:color w:val="000000"/>
          <w:highlight w:val="none"/>
        </w:rPr>
      </w:pPr>
      <w:r>
        <w:rPr>
          <w:rFonts w:hint="eastAsia" w:ascii="宋体" w:hAnsi="宋体" w:cs="宋体"/>
          <w:b/>
          <w:bCs/>
          <w:sz w:val="24"/>
          <w:szCs w:val="24"/>
          <w:highlight w:val="none"/>
        </w:rPr>
        <w:t>供应商自行编写，无具体格式。</w:t>
      </w:r>
    </w:p>
    <w:p w14:paraId="71BEBE5B">
      <w:pPr>
        <w:rPr>
          <w:color w:val="000000"/>
          <w:highlight w:val="none"/>
        </w:rPr>
      </w:pPr>
      <w:r>
        <w:rPr>
          <w:highlight w:val="none"/>
        </w:rPr>
        <w:br w:type="page"/>
      </w:r>
    </w:p>
    <w:p w14:paraId="0BB78DE4">
      <w:pPr>
        <w:pStyle w:val="3"/>
        <w:rPr>
          <w:highlight w:val="none"/>
        </w:rPr>
      </w:pPr>
      <w:bookmarkStart w:id="308" w:name="_Toc23063"/>
      <w:bookmarkStart w:id="309" w:name="_Toc9534"/>
      <w:r>
        <w:rPr>
          <w:rFonts w:hint="eastAsia"/>
          <w:highlight w:val="none"/>
        </w:rPr>
        <w:t>第</w:t>
      </w:r>
      <w:r>
        <w:rPr>
          <w:rFonts w:hint="eastAsia"/>
          <w:highlight w:val="none"/>
          <w:lang w:val="en-US" w:eastAsia="zh-CN"/>
        </w:rPr>
        <w:t>九</w:t>
      </w:r>
      <w:r>
        <w:rPr>
          <w:rFonts w:hint="eastAsia"/>
          <w:highlight w:val="none"/>
        </w:rPr>
        <w:t xml:space="preserve">章  </w:t>
      </w:r>
      <w:r>
        <w:rPr>
          <w:rFonts w:hint="eastAsia"/>
          <w:highlight w:val="none"/>
          <w:lang w:eastAsia="zh-CN"/>
        </w:rPr>
        <w:t>供应商</w:t>
      </w:r>
      <w:r>
        <w:rPr>
          <w:rFonts w:hint="eastAsia"/>
          <w:highlight w:val="none"/>
        </w:rPr>
        <w:t>业绩一览表</w:t>
      </w:r>
      <w:bookmarkEnd w:id="308"/>
      <w:bookmarkEnd w:id="309"/>
    </w:p>
    <w:p w14:paraId="2E9C3FCF">
      <w:pPr>
        <w:rPr>
          <w:rFonts w:asciiTheme="minorEastAsia" w:hAnsiTheme="minorEastAsia" w:cstheme="minorEastAsia"/>
          <w:highlight w:val="none"/>
        </w:rPr>
      </w:pPr>
    </w:p>
    <w:tbl>
      <w:tblPr>
        <w:tblStyle w:val="26"/>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14:paraId="4306FC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14:paraId="31247DEA">
            <w:pPr>
              <w:spacing w:line="400" w:lineRule="exact"/>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年份</w:t>
            </w:r>
          </w:p>
        </w:tc>
        <w:tc>
          <w:tcPr>
            <w:tcW w:w="1508" w:type="dxa"/>
            <w:vAlign w:val="center"/>
          </w:tcPr>
          <w:p w14:paraId="202304FF">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用户名称</w:t>
            </w:r>
          </w:p>
        </w:tc>
        <w:tc>
          <w:tcPr>
            <w:tcW w:w="1382" w:type="dxa"/>
            <w:vAlign w:val="center"/>
          </w:tcPr>
          <w:p w14:paraId="0417C195">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项目名称</w:t>
            </w:r>
          </w:p>
        </w:tc>
        <w:tc>
          <w:tcPr>
            <w:tcW w:w="1399" w:type="dxa"/>
            <w:vAlign w:val="center"/>
          </w:tcPr>
          <w:p w14:paraId="273ECACF">
            <w:pPr>
              <w:spacing w:line="400" w:lineRule="exact"/>
              <w:jc w:val="center"/>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完成时间</w:t>
            </w:r>
          </w:p>
        </w:tc>
        <w:tc>
          <w:tcPr>
            <w:tcW w:w="1485" w:type="dxa"/>
            <w:vAlign w:val="center"/>
          </w:tcPr>
          <w:p w14:paraId="17E7D276">
            <w:pPr>
              <w:spacing w:line="400" w:lineRule="exact"/>
              <w:ind w:firstLine="105" w:firstLineChars="50"/>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合同金额</w:t>
            </w:r>
          </w:p>
        </w:tc>
        <w:tc>
          <w:tcPr>
            <w:tcW w:w="1576" w:type="dxa"/>
            <w:tcBorders>
              <w:right w:val="single" w:color="auto" w:sz="4" w:space="0"/>
            </w:tcBorders>
            <w:vAlign w:val="center"/>
          </w:tcPr>
          <w:p w14:paraId="4EBE6E82">
            <w:pPr>
              <w:spacing w:line="400" w:lineRule="exact"/>
              <w:ind w:left="204" w:hanging="203" w:hangingChars="97"/>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完成项目质量</w:t>
            </w:r>
          </w:p>
        </w:tc>
        <w:tc>
          <w:tcPr>
            <w:tcW w:w="1096" w:type="dxa"/>
            <w:tcBorders>
              <w:left w:val="single" w:color="auto" w:sz="4" w:space="0"/>
            </w:tcBorders>
            <w:vAlign w:val="center"/>
          </w:tcPr>
          <w:p w14:paraId="7AE373F2">
            <w:pPr>
              <w:spacing w:line="400" w:lineRule="exact"/>
              <w:rPr>
                <w:rFonts w:asciiTheme="minorEastAsia" w:hAnsiTheme="minorEastAsia" w:cstheme="minorEastAsia"/>
                <w:bCs/>
                <w:szCs w:val="21"/>
                <w:highlight w:val="none"/>
              </w:rPr>
            </w:pPr>
            <w:r>
              <w:rPr>
                <w:rFonts w:hint="eastAsia" w:asciiTheme="minorEastAsia" w:hAnsiTheme="minorEastAsia" w:cstheme="minorEastAsia"/>
                <w:bCs/>
                <w:szCs w:val="21"/>
                <w:highlight w:val="none"/>
              </w:rPr>
              <w:t xml:space="preserve">  备注</w:t>
            </w:r>
          </w:p>
        </w:tc>
      </w:tr>
      <w:tr w14:paraId="1105E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5B9F19B4">
            <w:pPr>
              <w:spacing w:line="400" w:lineRule="exact"/>
              <w:jc w:val="center"/>
              <w:rPr>
                <w:rFonts w:asciiTheme="minorEastAsia" w:hAnsiTheme="minorEastAsia" w:cstheme="minorEastAsia"/>
                <w:bCs/>
                <w:szCs w:val="21"/>
                <w:highlight w:val="none"/>
              </w:rPr>
            </w:pPr>
          </w:p>
        </w:tc>
        <w:tc>
          <w:tcPr>
            <w:tcW w:w="1508" w:type="dxa"/>
            <w:vAlign w:val="center"/>
          </w:tcPr>
          <w:p w14:paraId="16C55C12">
            <w:pPr>
              <w:spacing w:line="400" w:lineRule="exact"/>
              <w:jc w:val="center"/>
              <w:rPr>
                <w:rFonts w:asciiTheme="minorEastAsia" w:hAnsiTheme="minorEastAsia" w:cstheme="minorEastAsia"/>
                <w:bCs/>
                <w:szCs w:val="21"/>
                <w:highlight w:val="none"/>
              </w:rPr>
            </w:pPr>
          </w:p>
        </w:tc>
        <w:tc>
          <w:tcPr>
            <w:tcW w:w="1382" w:type="dxa"/>
            <w:vAlign w:val="center"/>
          </w:tcPr>
          <w:p w14:paraId="7D3BB3D9">
            <w:pPr>
              <w:spacing w:line="400" w:lineRule="exact"/>
              <w:jc w:val="center"/>
              <w:rPr>
                <w:rFonts w:asciiTheme="minorEastAsia" w:hAnsiTheme="minorEastAsia" w:cstheme="minorEastAsia"/>
                <w:bCs/>
                <w:szCs w:val="21"/>
                <w:highlight w:val="none"/>
              </w:rPr>
            </w:pPr>
          </w:p>
        </w:tc>
        <w:tc>
          <w:tcPr>
            <w:tcW w:w="1399" w:type="dxa"/>
            <w:vAlign w:val="center"/>
          </w:tcPr>
          <w:p w14:paraId="268CB4E7">
            <w:pPr>
              <w:spacing w:line="400" w:lineRule="exact"/>
              <w:jc w:val="center"/>
              <w:rPr>
                <w:rFonts w:asciiTheme="minorEastAsia" w:hAnsiTheme="minorEastAsia" w:cstheme="minorEastAsia"/>
                <w:bCs/>
                <w:szCs w:val="21"/>
                <w:highlight w:val="none"/>
              </w:rPr>
            </w:pPr>
          </w:p>
        </w:tc>
        <w:tc>
          <w:tcPr>
            <w:tcW w:w="1485" w:type="dxa"/>
            <w:vAlign w:val="center"/>
          </w:tcPr>
          <w:p w14:paraId="5CB81F95">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14:paraId="44795B7A">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14:paraId="7D53F593">
            <w:pPr>
              <w:spacing w:line="400" w:lineRule="exact"/>
              <w:jc w:val="center"/>
              <w:rPr>
                <w:rFonts w:asciiTheme="minorEastAsia" w:hAnsiTheme="minorEastAsia" w:cstheme="minorEastAsia"/>
                <w:bCs/>
                <w:szCs w:val="21"/>
                <w:highlight w:val="none"/>
              </w:rPr>
            </w:pPr>
          </w:p>
        </w:tc>
      </w:tr>
      <w:tr w14:paraId="4B16B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01D02639">
            <w:pPr>
              <w:spacing w:line="400" w:lineRule="exact"/>
              <w:jc w:val="center"/>
              <w:rPr>
                <w:rFonts w:asciiTheme="minorEastAsia" w:hAnsiTheme="minorEastAsia" w:cstheme="minorEastAsia"/>
                <w:bCs/>
                <w:szCs w:val="21"/>
                <w:highlight w:val="none"/>
              </w:rPr>
            </w:pPr>
          </w:p>
        </w:tc>
        <w:tc>
          <w:tcPr>
            <w:tcW w:w="1508" w:type="dxa"/>
            <w:vAlign w:val="center"/>
          </w:tcPr>
          <w:p w14:paraId="04F9E3C0">
            <w:pPr>
              <w:spacing w:line="400" w:lineRule="exact"/>
              <w:jc w:val="center"/>
              <w:rPr>
                <w:rFonts w:asciiTheme="minorEastAsia" w:hAnsiTheme="minorEastAsia" w:cstheme="minorEastAsia"/>
                <w:bCs/>
                <w:szCs w:val="21"/>
                <w:highlight w:val="none"/>
              </w:rPr>
            </w:pPr>
          </w:p>
        </w:tc>
        <w:tc>
          <w:tcPr>
            <w:tcW w:w="1382" w:type="dxa"/>
            <w:vAlign w:val="center"/>
          </w:tcPr>
          <w:p w14:paraId="708D6517">
            <w:pPr>
              <w:spacing w:line="400" w:lineRule="exact"/>
              <w:jc w:val="center"/>
              <w:rPr>
                <w:rFonts w:asciiTheme="minorEastAsia" w:hAnsiTheme="minorEastAsia" w:cstheme="minorEastAsia"/>
                <w:bCs/>
                <w:szCs w:val="21"/>
                <w:highlight w:val="none"/>
              </w:rPr>
            </w:pPr>
          </w:p>
        </w:tc>
        <w:tc>
          <w:tcPr>
            <w:tcW w:w="1399" w:type="dxa"/>
            <w:vAlign w:val="center"/>
          </w:tcPr>
          <w:p w14:paraId="2FFE9C3F">
            <w:pPr>
              <w:spacing w:line="400" w:lineRule="exact"/>
              <w:jc w:val="center"/>
              <w:rPr>
                <w:rFonts w:asciiTheme="minorEastAsia" w:hAnsiTheme="minorEastAsia" w:cstheme="minorEastAsia"/>
                <w:bCs/>
                <w:szCs w:val="21"/>
                <w:highlight w:val="none"/>
              </w:rPr>
            </w:pPr>
          </w:p>
        </w:tc>
        <w:tc>
          <w:tcPr>
            <w:tcW w:w="1485" w:type="dxa"/>
            <w:vAlign w:val="center"/>
          </w:tcPr>
          <w:p w14:paraId="275B6CFC">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14:paraId="12E94DDF">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14:paraId="18DB37E5">
            <w:pPr>
              <w:spacing w:line="400" w:lineRule="exact"/>
              <w:jc w:val="center"/>
              <w:rPr>
                <w:rFonts w:asciiTheme="minorEastAsia" w:hAnsiTheme="minorEastAsia" w:cstheme="minorEastAsia"/>
                <w:bCs/>
                <w:szCs w:val="21"/>
                <w:highlight w:val="none"/>
              </w:rPr>
            </w:pPr>
          </w:p>
        </w:tc>
      </w:tr>
      <w:tr w14:paraId="54F22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23529E59">
            <w:pPr>
              <w:spacing w:line="400" w:lineRule="exact"/>
              <w:jc w:val="center"/>
              <w:rPr>
                <w:rFonts w:asciiTheme="minorEastAsia" w:hAnsiTheme="minorEastAsia" w:cstheme="minorEastAsia"/>
                <w:bCs/>
                <w:szCs w:val="21"/>
                <w:highlight w:val="none"/>
              </w:rPr>
            </w:pPr>
          </w:p>
        </w:tc>
        <w:tc>
          <w:tcPr>
            <w:tcW w:w="1508" w:type="dxa"/>
            <w:vAlign w:val="center"/>
          </w:tcPr>
          <w:p w14:paraId="1A4592B0">
            <w:pPr>
              <w:spacing w:line="400" w:lineRule="exact"/>
              <w:jc w:val="center"/>
              <w:rPr>
                <w:rFonts w:asciiTheme="minorEastAsia" w:hAnsiTheme="minorEastAsia" w:cstheme="minorEastAsia"/>
                <w:bCs/>
                <w:szCs w:val="21"/>
                <w:highlight w:val="none"/>
              </w:rPr>
            </w:pPr>
          </w:p>
        </w:tc>
        <w:tc>
          <w:tcPr>
            <w:tcW w:w="1382" w:type="dxa"/>
            <w:vAlign w:val="center"/>
          </w:tcPr>
          <w:p w14:paraId="0277A637">
            <w:pPr>
              <w:spacing w:line="400" w:lineRule="exact"/>
              <w:jc w:val="center"/>
              <w:rPr>
                <w:rFonts w:asciiTheme="minorEastAsia" w:hAnsiTheme="minorEastAsia" w:cstheme="minorEastAsia"/>
                <w:bCs/>
                <w:szCs w:val="21"/>
                <w:highlight w:val="none"/>
              </w:rPr>
            </w:pPr>
          </w:p>
        </w:tc>
        <w:tc>
          <w:tcPr>
            <w:tcW w:w="1399" w:type="dxa"/>
            <w:vAlign w:val="center"/>
          </w:tcPr>
          <w:p w14:paraId="0D3CCF9D">
            <w:pPr>
              <w:spacing w:line="400" w:lineRule="exact"/>
              <w:jc w:val="center"/>
              <w:rPr>
                <w:rFonts w:asciiTheme="minorEastAsia" w:hAnsiTheme="minorEastAsia" w:cstheme="minorEastAsia"/>
                <w:bCs/>
                <w:szCs w:val="21"/>
                <w:highlight w:val="none"/>
              </w:rPr>
            </w:pPr>
          </w:p>
        </w:tc>
        <w:tc>
          <w:tcPr>
            <w:tcW w:w="1485" w:type="dxa"/>
            <w:vAlign w:val="center"/>
          </w:tcPr>
          <w:p w14:paraId="56BAC9E7">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14:paraId="0AC9BE32">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14:paraId="43E292AF">
            <w:pPr>
              <w:spacing w:line="400" w:lineRule="exact"/>
              <w:jc w:val="center"/>
              <w:rPr>
                <w:rFonts w:asciiTheme="minorEastAsia" w:hAnsiTheme="minorEastAsia" w:cstheme="minorEastAsia"/>
                <w:bCs/>
                <w:szCs w:val="21"/>
                <w:highlight w:val="none"/>
              </w:rPr>
            </w:pPr>
          </w:p>
        </w:tc>
      </w:tr>
      <w:tr w14:paraId="47892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3E59B245">
            <w:pPr>
              <w:spacing w:line="400" w:lineRule="exact"/>
              <w:jc w:val="center"/>
              <w:rPr>
                <w:rFonts w:asciiTheme="minorEastAsia" w:hAnsiTheme="minorEastAsia" w:cstheme="minorEastAsia"/>
                <w:bCs/>
                <w:szCs w:val="21"/>
                <w:highlight w:val="none"/>
              </w:rPr>
            </w:pPr>
          </w:p>
        </w:tc>
        <w:tc>
          <w:tcPr>
            <w:tcW w:w="1508" w:type="dxa"/>
            <w:tcBorders>
              <w:right w:val="single" w:color="auto" w:sz="4" w:space="0"/>
            </w:tcBorders>
            <w:vAlign w:val="center"/>
          </w:tcPr>
          <w:p w14:paraId="1AA029B1">
            <w:pPr>
              <w:spacing w:line="400" w:lineRule="exact"/>
              <w:jc w:val="center"/>
              <w:rPr>
                <w:rFonts w:asciiTheme="minorEastAsia" w:hAnsiTheme="minorEastAsia" w:cstheme="minorEastAsia"/>
                <w:bCs/>
                <w:szCs w:val="21"/>
                <w:highlight w:val="none"/>
              </w:rPr>
            </w:pPr>
          </w:p>
        </w:tc>
        <w:tc>
          <w:tcPr>
            <w:tcW w:w="1382" w:type="dxa"/>
            <w:tcBorders>
              <w:left w:val="single" w:color="auto" w:sz="4" w:space="0"/>
            </w:tcBorders>
            <w:vAlign w:val="center"/>
          </w:tcPr>
          <w:p w14:paraId="65684F7B">
            <w:pPr>
              <w:spacing w:line="400" w:lineRule="exact"/>
              <w:jc w:val="center"/>
              <w:rPr>
                <w:rFonts w:asciiTheme="minorEastAsia" w:hAnsiTheme="minorEastAsia" w:cstheme="minorEastAsia"/>
                <w:bCs/>
                <w:szCs w:val="21"/>
                <w:highlight w:val="none"/>
              </w:rPr>
            </w:pPr>
          </w:p>
        </w:tc>
        <w:tc>
          <w:tcPr>
            <w:tcW w:w="1399" w:type="dxa"/>
            <w:vAlign w:val="center"/>
          </w:tcPr>
          <w:p w14:paraId="1DD24BB0">
            <w:pPr>
              <w:spacing w:line="400" w:lineRule="exact"/>
              <w:jc w:val="center"/>
              <w:rPr>
                <w:rFonts w:asciiTheme="minorEastAsia" w:hAnsiTheme="minorEastAsia" w:cstheme="minorEastAsia"/>
                <w:bCs/>
                <w:szCs w:val="21"/>
                <w:highlight w:val="none"/>
              </w:rPr>
            </w:pPr>
          </w:p>
        </w:tc>
        <w:tc>
          <w:tcPr>
            <w:tcW w:w="1485" w:type="dxa"/>
            <w:vAlign w:val="center"/>
          </w:tcPr>
          <w:p w14:paraId="6D9969A7">
            <w:pPr>
              <w:spacing w:line="400" w:lineRule="exact"/>
              <w:jc w:val="center"/>
              <w:rPr>
                <w:rFonts w:asciiTheme="minorEastAsia" w:hAnsiTheme="minorEastAsia" w:cstheme="minorEastAsia"/>
                <w:bCs/>
                <w:szCs w:val="21"/>
                <w:highlight w:val="none"/>
              </w:rPr>
            </w:pPr>
          </w:p>
        </w:tc>
        <w:tc>
          <w:tcPr>
            <w:tcW w:w="1576" w:type="dxa"/>
            <w:tcBorders>
              <w:right w:val="single" w:color="auto" w:sz="4" w:space="0"/>
            </w:tcBorders>
            <w:vAlign w:val="center"/>
          </w:tcPr>
          <w:p w14:paraId="57BE4188">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14:paraId="1FA3793E">
            <w:pPr>
              <w:spacing w:line="400" w:lineRule="exact"/>
              <w:jc w:val="center"/>
              <w:rPr>
                <w:rFonts w:asciiTheme="minorEastAsia" w:hAnsiTheme="minorEastAsia" w:cstheme="minorEastAsia"/>
                <w:bCs/>
                <w:szCs w:val="21"/>
                <w:highlight w:val="none"/>
              </w:rPr>
            </w:pPr>
          </w:p>
        </w:tc>
      </w:tr>
      <w:tr w14:paraId="4535ED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14:paraId="492A3CC8">
            <w:pPr>
              <w:spacing w:line="400" w:lineRule="exact"/>
              <w:rPr>
                <w:rFonts w:asciiTheme="minorEastAsia" w:hAnsiTheme="minorEastAsia" w:cstheme="minorEastAsia"/>
                <w:bCs/>
                <w:szCs w:val="21"/>
                <w:highlight w:val="none"/>
              </w:rPr>
            </w:pPr>
          </w:p>
        </w:tc>
        <w:tc>
          <w:tcPr>
            <w:tcW w:w="1508" w:type="dxa"/>
            <w:tcBorders>
              <w:left w:val="single" w:color="auto" w:sz="4" w:space="0"/>
              <w:right w:val="single" w:color="auto" w:sz="4" w:space="0"/>
            </w:tcBorders>
            <w:vAlign w:val="center"/>
          </w:tcPr>
          <w:p w14:paraId="5D8664DC">
            <w:pPr>
              <w:spacing w:line="400" w:lineRule="exact"/>
              <w:rPr>
                <w:rFonts w:asciiTheme="minorEastAsia" w:hAnsiTheme="minorEastAsia" w:cstheme="minorEastAsia"/>
                <w:bCs/>
                <w:szCs w:val="21"/>
                <w:highlight w:val="none"/>
              </w:rPr>
            </w:pPr>
          </w:p>
        </w:tc>
        <w:tc>
          <w:tcPr>
            <w:tcW w:w="1382" w:type="dxa"/>
            <w:tcBorders>
              <w:left w:val="single" w:color="auto" w:sz="4" w:space="0"/>
              <w:right w:val="single" w:color="auto" w:sz="4" w:space="0"/>
            </w:tcBorders>
            <w:vAlign w:val="center"/>
          </w:tcPr>
          <w:p w14:paraId="591A257F">
            <w:pPr>
              <w:spacing w:line="400" w:lineRule="exact"/>
              <w:rPr>
                <w:rFonts w:asciiTheme="minorEastAsia" w:hAnsiTheme="minorEastAsia" w:cstheme="minorEastAsia"/>
                <w:bCs/>
                <w:szCs w:val="21"/>
                <w:highlight w:val="none"/>
              </w:rPr>
            </w:pPr>
          </w:p>
        </w:tc>
        <w:tc>
          <w:tcPr>
            <w:tcW w:w="1399" w:type="dxa"/>
            <w:tcBorders>
              <w:left w:val="single" w:color="auto" w:sz="4" w:space="0"/>
              <w:right w:val="single" w:color="auto" w:sz="4" w:space="0"/>
            </w:tcBorders>
            <w:vAlign w:val="center"/>
          </w:tcPr>
          <w:p w14:paraId="6ED8D1D0">
            <w:pPr>
              <w:spacing w:line="400" w:lineRule="exact"/>
              <w:rPr>
                <w:rFonts w:asciiTheme="minorEastAsia" w:hAnsiTheme="minorEastAsia" w:cstheme="minorEastAsia"/>
                <w:bCs/>
                <w:szCs w:val="21"/>
                <w:highlight w:val="none"/>
              </w:rPr>
            </w:pPr>
          </w:p>
        </w:tc>
        <w:tc>
          <w:tcPr>
            <w:tcW w:w="1485" w:type="dxa"/>
            <w:tcBorders>
              <w:left w:val="single" w:color="auto" w:sz="4" w:space="0"/>
              <w:right w:val="single" w:color="auto" w:sz="4" w:space="0"/>
            </w:tcBorders>
            <w:vAlign w:val="center"/>
          </w:tcPr>
          <w:p w14:paraId="567D4DE9">
            <w:pPr>
              <w:spacing w:line="400" w:lineRule="exact"/>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14:paraId="6683FC7C">
            <w:pPr>
              <w:spacing w:line="400" w:lineRule="exact"/>
              <w:rPr>
                <w:rFonts w:asciiTheme="minorEastAsia" w:hAnsiTheme="minorEastAsia" w:cstheme="minorEastAsia"/>
                <w:bCs/>
                <w:szCs w:val="21"/>
                <w:highlight w:val="none"/>
              </w:rPr>
            </w:pPr>
          </w:p>
        </w:tc>
        <w:tc>
          <w:tcPr>
            <w:tcW w:w="1096" w:type="dxa"/>
            <w:tcBorders>
              <w:left w:val="single" w:color="auto" w:sz="4" w:space="0"/>
            </w:tcBorders>
            <w:vAlign w:val="center"/>
          </w:tcPr>
          <w:p w14:paraId="3726DF73">
            <w:pPr>
              <w:spacing w:line="400" w:lineRule="exact"/>
              <w:rPr>
                <w:rFonts w:asciiTheme="minorEastAsia" w:hAnsiTheme="minorEastAsia" w:cstheme="minorEastAsia"/>
                <w:bCs/>
                <w:szCs w:val="21"/>
                <w:highlight w:val="none"/>
              </w:rPr>
            </w:pPr>
          </w:p>
        </w:tc>
      </w:tr>
      <w:tr w14:paraId="43264D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5AFF2F23">
            <w:pPr>
              <w:spacing w:line="400" w:lineRule="exact"/>
              <w:rPr>
                <w:rFonts w:asciiTheme="minorEastAsia" w:hAnsiTheme="minorEastAsia" w:cstheme="minorEastAsia"/>
                <w:bCs/>
                <w:szCs w:val="21"/>
                <w:highlight w:val="none"/>
              </w:rPr>
            </w:pPr>
          </w:p>
        </w:tc>
        <w:tc>
          <w:tcPr>
            <w:tcW w:w="1508" w:type="dxa"/>
            <w:vAlign w:val="center"/>
          </w:tcPr>
          <w:p w14:paraId="77F7B580">
            <w:pPr>
              <w:spacing w:line="400" w:lineRule="exact"/>
              <w:rPr>
                <w:rFonts w:asciiTheme="minorEastAsia" w:hAnsiTheme="minorEastAsia" w:cstheme="minorEastAsia"/>
                <w:bCs/>
                <w:szCs w:val="21"/>
                <w:highlight w:val="none"/>
              </w:rPr>
            </w:pPr>
          </w:p>
        </w:tc>
        <w:tc>
          <w:tcPr>
            <w:tcW w:w="1382" w:type="dxa"/>
            <w:vAlign w:val="center"/>
          </w:tcPr>
          <w:p w14:paraId="3DCC7AFC">
            <w:pPr>
              <w:spacing w:line="400" w:lineRule="exact"/>
              <w:rPr>
                <w:rFonts w:asciiTheme="minorEastAsia" w:hAnsiTheme="minorEastAsia" w:cstheme="minorEastAsia"/>
                <w:bCs/>
                <w:szCs w:val="21"/>
                <w:highlight w:val="none"/>
              </w:rPr>
            </w:pPr>
          </w:p>
        </w:tc>
        <w:tc>
          <w:tcPr>
            <w:tcW w:w="1399" w:type="dxa"/>
            <w:vAlign w:val="center"/>
          </w:tcPr>
          <w:p w14:paraId="1445C057">
            <w:pPr>
              <w:spacing w:line="400" w:lineRule="exact"/>
              <w:rPr>
                <w:rFonts w:asciiTheme="minorEastAsia" w:hAnsiTheme="minorEastAsia" w:cstheme="minorEastAsia"/>
                <w:bCs/>
                <w:szCs w:val="21"/>
                <w:highlight w:val="none"/>
              </w:rPr>
            </w:pPr>
          </w:p>
        </w:tc>
        <w:tc>
          <w:tcPr>
            <w:tcW w:w="1485" w:type="dxa"/>
            <w:tcBorders>
              <w:right w:val="single" w:color="auto" w:sz="4" w:space="0"/>
            </w:tcBorders>
            <w:vAlign w:val="center"/>
          </w:tcPr>
          <w:p w14:paraId="0889FEC6">
            <w:pPr>
              <w:spacing w:line="400" w:lineRule="exact"/>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14:paraId="222734BA">
            <w:pPr>
              <w:spacing w:line="400" w:lineRule="exact"/>
              <w:rPr>
                <w:rFonts w:asciiTheme="minorEastAsia" w:hAnsiTheme="minorEastAsia" w:cstheme="minorEastAsia"/>
                <w:bCs/>
                <w:szCs w:val="21"/>
                <w:highlight w:val="none"/>
              </w:rPr>
            </w:pPr>
          </w:p>
        </w:tc>
        <w:tc>
          <w:tcPr>
            <w:tcW w:w="1096" w:type="dxa"/>
            <w:tcBorders>
              <w:left w:val="single" w:color="auto" w:sz="4" w:space="0"/>
            </w:tcBorders>
            <w:vAlign w:val="center"/>
          </w:tcPr>
          <w:p w14:paraId="3F3C5E39">
            <w:pPr>
              <w:spacing w:line="400" w:lineRule="exact"/>
              <w:rPr>
                <w:rFonts w:asciiTheme="minorEastAsia" w:hAnsiTheme="minorEastAsia" w:cstheme="minorEastAsia"/>
                <w:bCs/>
                <w:szCs w:val="21"/>
                <w:highlight w:val="none"/>
              </w:rPr>
            </w:pPr>
          </w:p>
        </w:tc>
      </w:tr>
      <w:tr w14:paraId="532D35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14:paraId="706D5133">
            <w:pPr>
              <w:spacing w:line="400" w:lineRule="exact"/>
              <w:jc w:val="center"/>
              <w:rPr>
                <w:rFonts w:asciiTheme="minorEastAsia" w:hAnsiTheme="minorEastAsia" w:cstheme="minorEastAsia"/>
                <w:bCs/>
                <w:szCs w:val="21"/>
                <w:highlight w:val="none"/>
              </w:rPr>
            </w:pPr>
          </w:p>
        </w:tc>
        <w:tc>
          <w:tcPr>
            <w:tcW w:w="1508" w:type="dxa"/>
            <w:vAlign w:val="center"/>
          </w:tcPr>
          <w:p w14:paraId="3BA8669D">
            <w:pPr>
              <w:spacing w:line="400" w:lineRule="exact"/>
              <w:jc w:val="center"/>
              <w:rPr>
                <w:rFonts w:asciiTheme="minorEastAsia" w:hAnsiTheme="minorEastAsia" w:cstheme="minorEastAsia"/>
                <w:bCs/>
                <w:szCs w:val="21"/>
                <w:highlight w:val="none"/>
              </w:rPr>
            </w:pPr>
          </w:p>
        </w:tc>
        <w:tc>
          <w:tcPr>
            <w:tcW w:w="1382" w:type="dxa"/>
            <w:vAlign w:val="center"/>
          </w:tcPr>
          <w:p w14:paraId="0AA5E0FD">
            <w:pPr>
              <w:spacing w:line="400" w:lineRule="exact"/>
              <w:jc w:val="center"/>
              <w:rPr>
                <w:rFonts w:asciiTheme="minorEastAsia" w:hAnsiTheme="minorEastAsia" w:cstheme="minorEastAsia"/>
                <w:bCs/>
                <w:szCs w:val="21"/>
                <w:highlight w:val="none"/>
              </w:rPr>
            </w:pPr>
          </w:p>
        </w:tc>
        <w:tc>
          <w:tcPr>
            <w:tcW w:w="1399" w:type="dxa"/>
            <w:vAlign w:val="center"/>
          </w:tcPr>
          <w:p w14:paraId="6CDD1914">
            <w:pPr>
              <w:spacing w:line="400" w:lineRule="exact"/>
              <w:jc w:val="center"/>
              <w:rPr>
                <w:rFonts w:asciiTheme="minorEastAsia" w:hAnsiTheme="minorEastAsia" w:cstheme="minorEastAsia"/>
                <w:bCs/>
                <w:szCs w:val="21"/>
                <w:highlight w:val="none"/>
              </w:rPr>
            </w:pPr>
          </w:p>
        </w:tc>
        <w:tc>
          <w:tcPr>
            <w:tcW w:w="1485" w:type="dxa"/>
            <w:tcBorders>
              <w:right w:val="single" w:color="auto" w:sz="4" w:space="0"/>
            </w:tcBorders>
            <w:vAlign w:val="center"/>
          </w:tcPr>
          <w:p w14:paraId="2F311CC5">
            <w:pPr>
              <w:spacing w:line="400" w:lineRule="exact"/>
              <w:jc w:val="center"/>
              <w:rPr>
                <w:rFonts w:asciiTheme="minorEastAsia" w:hAnsiTheme="minorEastAsia" w:cstheme="minorEastAsia"/>
                <w:bCs/>
                <w:szCs w:val="21"/>
                <w:highlight w:val="none"/>
              </w:rPr>
            </w:pPr>
          </w:p>
        </w:tc>
        <w:tc>
          <w:tcPr>
            <w:tcW w:w="1576" w:type="dxa"/>
            <w:tcBorders>
              <w:left w:val="single" w:color="auto" w:sz="4" w:space="0"/>
              <w:right w:val="single" w:color="auto" w:sz="4" w:space="0"/>
            </w:tcBorders>
            <w:vAlign w:val="center"/>
          </w:tcPr>
          <w:p w14:paraId="154912D0">
            <w:pPr>
              <w:spacing w:line="400" w:lineRule="exact"/>
              <w:jc w:val="center"/>
              <w:rPr>
                <w:rFonts w:asciiTheme="minorEastAsia" w:hAnsiTheme="minorEastAsia" w:cstheme="minorEastAsia"/>
                <w:bCs/>
                <w:szCs w:val="21"/>
                <w:highlight w:val="none"/>
              </w:rPr>
            </w:pPr>
          </w:p>
        </w:tc>
        <w:tc>
          <w:tcPr>
            <w:tcW w:w="1096" w:type="dxa"/>
            <w:tcBorders>
              <w:left w:val="single" w:color="auto" w:sz="4" w:space="0"/>
            </w:tcBorders>
            <w:vAlign w:val="center"/>
          </w:tcPr>
          <w:p w14:paraId="239E437B">
            <w:pPr>
              <w:spacing w:line="400" w:lineRule="exact"/>
              <w:jc w:val="center"/>
              <w:rPr>
                <w:rFonts w:asciiTheme="minorEastAsia" w:hAnsiTheme="minorEastAsia" w:cstheme="minorEastAsia"/>
                <w:bCs/>
                <w:szCs w:val="21"/>
                <w:highlight w:val="none"/>
              </w:rPr>
            </w:pPr>
          </w:p>
        </w:tc>
      </w:tr>
    </w:tbl>
    <w:p w14:paraId="18815ED9">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注：提供</w:t>
      </w:r>
      <w:r>
        <w:rPr>
          <w:rFonts w:hint="eastAsia" w:asciiTheme="minorEastAsia" w:hAnsiTheme="minorEastAsia" w:cstheme="minorEastAsia"/>
          <w:sz w:val="24"/>
          <w:szCs w:val="24"/>
          <w:highlight w:val="none"/>
          <w:lang w:val="en-US" w:eastAsia="zh-CN"/>
        </w:rPr>
        <w:t>供应商</w:t>
      </w:r>
      <w:r>
        <w:rPr>
          <w:rFonts w:hint="eastAsia" w:asciiTheme="minorEastAsia" w:hAnsiTheme="minorEastAsia" w:cstheme="minorEastAsia"/>
          <w:sz w:val="24"/>
          <w:szCs w:val="24"/>
          <w:highlight w:val="none"/>
        </w:rPr>
        <w:t>20</w:t>
      </w:r>
      <w:r>
        <w:rPr>
          <w:rFonts w:hint="eastAsia" w:asciiTheme="minorEastAsia" w:hAnsiTheme="minorEastAsia" w:cstheme="minorEastAsia"/>
          <w:sz w:val="24"/>
          <w:szCs w:val="24"/>
          <w:highlight w:val="none"/>
          <w:lang w:val="en-US" w:eastAsia="zh-CN"/>
        </w:rPr>
        <w:t>22</w:t>
      </w:r>
      <w:r>
        <w:rPr>
          <w:rFonts w:hint="eastAsia" w:asciiTheme="minorEastAsia" w:hAnsiTheme="minorEastAsia" w:cstheme="minorEastAsia"/>
          <w:sz w:val="24"/>
          <w:szCs w:val="24"/>
          <w:highlight w:val="none"/>
        </w:rPr>
        <w:t>年1月1日至今的类似项目</w:t>
      </w:r>
      <w:r>
        <w:rPr>
          <w:rFonts w:hint="eastAsia" w:asciiTheme="minorEastAsia" w:hAnsiTheme="minorEastAsia" w:cstheme="minorEastAsia"/>
          <w:sz w:val="24"/>
          <w:szCs w:val="24"/>
          <w:highlight w:val="none"/>
          <w:lang w:val="en-US" w:eastAsia="zh-CN"/>
        </w:rPr>
        <w:t>业绩（需同时提供</w:t>
      </w:r>
      <w:r>
        <w:rPr>
          <w:rFonts w:hint="eastAsia" w:asciiTheme="minorEastAsia" w:hAnsiTheme="minorEastAsia" w:cstheme="minorEastAsia"/>
          <w:sz w:val="24"/>
          <w:szCs w:val="24"/>
          <w:highlight w:val="none"/>
        </w:rPr>
        <w:t>供货合同</w:t>
      </w:r>
      <w:r>
        <w:rPr>
          <w:rFonts w:hint="eastAsia" w:asciiTheme="minorEastAsia" w:hAnsiTheme="minorEastAsia" w:cstheme="minorEastAsia"/>
          <w:sz w:val="24"/>
          <w:szCs w:val="24"/>
          <w:highlight w:val="none"/>
          <w:lang w:val="en-US" w:eastAsia="zh-CN"/>
        </w:rPr>
        <w:t>及发票）复印件加盖公章</w:t>
      </w:r>
      <w:r>
        <w:rPr>
          <w:rFonts w:hint="eastAsia" w:asciiTheme="minorEastAsia" w:hAnsiTheme="minorEastAsia" w:cstheme="minorEastAsia"/>
          <w:sz w:val="24"/>
          <w:szCs w:val="24"/>
          <w:highlight w:val="none"/>
        </w:rPr>
        <w:t>（以签订合同时间为准）</w:t>
      </w:r>
    </w:p>
    <w:p w14:paraId="4D068F30">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w:t>
      </w:r>
    </w:p>
    <w:p w14:paraId="6282CD1A">
      <w:pPr>
        <w:spacing w:line="360" w:lineRule="auto"/>
        <w:ind w:left="360"/>
        <w:jc w:val="center"/>
        <w:rPr>
          <w:rFonts w:asciiTheme="minorEastAsia" w:hAnsiTheme="minorEastAsia" w:cstheme="minorEastAsia"/>
          <w:sz w:val="24"/>
          <w:szCs w:val="24"/>
          <w:highlight w:val="none"/>
        </w:rPr>
      </w:pPr>
    </w:p>
    <w:p w14:paraId="53C99B4F">
      <w:pPr>
        <w:adjustRightInd w:val="0"/>
        <w:spacing w:line="360" w:lineRule="auto"/>
        <w:jc w:val="both"/>
        <w:rPr>
          <w:rFonts w:asciiTheme="minorEastAsia" w:hAnsiTheme="minorEastAsia" w:cstheme="minorEastAsia"/>
          <w:bCs/>
          <w:sz w:val="24"/>
          <w:szCs w:val="24"/>
          <w:highlight w:val="none"/>
          <w:u w:val="single"/>
        </w:rPr>
      </w:pPr>
      <w:r>
        <w:rPr>
          <w:rFonts w:hint="eastAsia" w:asciiTheme="minorEastAsia" w:hAnsiTheme="minorEastAsia" w:cstheme="minorEastAsia"/>
          <w:bCs/>
          <w:sz w:val="24"/>
          <w:szCs w:val="24"/>
          <w:highlight w:val="none"/>
          <w:lang w:eastAsia="zh-CN"/>
        </w:rPr>
        <w:t>供应商</w:t>
      </w:r>
      <w:r>
        <w:rPr>
          <w:rFonts w:hint="eastAsia" w:asciiTheme="minorEastAsia" w:hAnsiTheme="minorEastAsia" w:cstheme="minorEastAsia"/>
          <w:bCs/>
          <w:sz w:val="24"/>
          <w:szCs w:val="24"/>
          <w:highlight w:val="none"/>
        </w:rPr>
        <w:t>名称：</w:t>
      </w:r>
      <w:r>
        <w:rPr>
          <w:rFonts w:hint="eastAsia" w:asciiTheme="minorEastAsia" w:hAnsiTheme="minorEastAsia" w:cstheme="minorEastAsia"/>
          <w:bCs/>
          <w:sz w:val="24"/>
          <w:szCs w:val="24"/>
          <w:highlight w:val="none"/>
          <w:u w:val="single"/>
        </w:rPr>
        <w:t xml:space="preserve">              （全称及公章）</w:t>
      </w:r>
    </w:p>
    <w:p w14:paraId="3150AF9B">
      <w:pPr>
        <w:adjustRightInd w:val="0"/>
        <w:spacing w:line="360" w:lineRule="auto"/>
        <w:jc w:val="both"/>
        <w:rPr>
          <w:rFonts w:asciiTheme="minorEastAsia" w:hAnsiTheme="minorEastAsia" w:cstheme="minorEastAsia"/>
          <w:bCs/>
          <w:sz w:val="24"/>
          <w:szCs w:val="24"/>
          <w:highlight w:val="none"/>
          <w:u w:val="single"/>
        </w:rPr>
      </w:pPr>
      <w:r>
        <w:rPr>
          <w:rFonts w:hint="eastAsia" w:asciiTheme="minorEastAsia" w:hAnsiTheme="minorEastAsia" w:cstheme="minorEastAsia"/>
          <w:bCs/>
          <w:sz w:val="24"/>
          <w:szCs w:val="24"/>
          <w:highlight w:val="none"/>
        </w:rPr>
        <w:t>法定代表人或委托代理人（签字或盖章）：</w:t>
      </w:r>
      <w:r>
        <w:rPr>
          <w:rFonts w:hint="eastAsia" w:asciiTheme="minorEastAsia" w:hAnsiTheme="minorEastAsia" w:cstheme="minorEastAsia"/>
          <w:bCs/>
          <w:sz w:val="24"/>
          <w:szCs w:val="24"/>
          <w:highlight w:val="none"/>
          <w:u w:val="single"/>
        </w:rPr>
        <w:t xml:space="preserve">               </w:t>
      </w:r>
    </w:p>
    <w:p w14:paraId="161356A8">
      <w:pPr>
        <w:adjustRightInd w:val="0"/>
        <w:snapToGrid w:val="0"/>
        <w:spacing w:line="480" w:lineRule="auto"/>
        <w:rPr>
          <w:rFonts w:ascii="宋体" w:hAnsi="宋体" w:cs="宋体"/>
          <w:color w:val="000000"/>
          <w:sz w:val="28"/>
          <w:szCs w:val="28"/>
          <w:highlight w:val="none"/>
        </w:rPr>
      </w:pPr>
      <w:r>
        <w:rPr>
          <w:rFonts w:hint="eastAsia" w:asciiTheme="minorEastAsia" w:hAnsiTheme="minorEastAsia" w:cstheme="minorEastAsia"/>
          <w:bCs/>
          <w:sz w:val="24"/>
          <w:szCs w:val="24"/>
          <w:highlight w:val="none"/>
        </w:rPr>
        <w:t xml:space="preserve">日    </w:t>
      </w:r>
      <w:r>
        <w:rPr>
          <w:rFonts w:hint="eastAsia" w:asciiTheme="minorEastAsia" w:hAnsiTheme="minorEastAsia" w:cstheme="minorEastAsia"/>
          <w:sz w:val="24"/>
          <w:szCs w:val="24"/>
          <w:highlight w:val="none"/>
        </w:rPr>
        <w:t>期:</w:t>
      </w:r>
    </w:p>
    <w:p w14:paraId="1E8B441A">
      <w:pPr>
        <w:rPr>
          <w:highlight w:val="none"/>
        </w:rPr>
      </w:pPr>
      <w:r>
        <w:rPr>
          <w:highlight w:val="none"/>
        </w:rPr>
        <w:br w:type="page"/>
      </w:r>
    </w:p>
    <w:p w14:paraId="77F33EDC">
      <w:pPr>
        <w:pStyle w:val="3"/>
        <w:rPr>
          <w:highlight w:val="none"/>
        </w:rPr>
      </w:pPr>
      <w:bookmarkStart w:id="310" w:name="_Toc27857"/>
      <w:bookmarkStart w:id="311" w:name="_Toc15682"/>
      <w:bookmarkStart w:id="312" w:name="_Toc29034"/>
      <w:bookmarkStart w:id="313" w:name="_Toc26962"/>
      <w:r>
        <w:rPr>
          <w:rFonts w:hint="eastAsia"/>
          <w:highlight w:val="none"/>
        </w:rPr>
        <w:t>第</w:t>
      </w:r>
      <w:r>
        <w:rPr>
          <w:rFonts w:hint="eastAsia"/>
          <w:highlight w:val="none"/>
          <w:lang w:val="en-US" w:eastAsia="zh-CN"/>
        </w:rPr>
        <w:t>十</w:t>
      </w:r>
      <w:r>
        <w:rPr>
          <w:rFonts w:hint="eastAsia"/>
          <w:highlight w:val="none"/>
        </w:rPr>
        <w:t xml:space="preserve">章  </w:t>
      </w:r>
      <w:r>
        <w:rPr>
          <w:rFonts w:hint="eastAsia"/>
          <w:highlight w:val="none"/>
          <w:lang w:eastAsia="zh-CN"/>
        </w:rPr>
        <w:t>供应商</w:t>
      </w:r>
      <w:r>
        <w:rPr>
          <w:rFonts w:hint="eastAsia"/>
          <w:highlight w:val="none"/>
        </w:rPr>
        <w:t>认为有必要说明的其他问题</w:t>
      </w:r>
      <w:bookmarkEnd w:id="310"/>
      <w:bookmarkEnd w:id="311"/>
      <w:bookmarkEnd w:id="312"/>
      <w:bookmarkEnd w:id="313"/>
    </w:p>
    <w:p w14:paraId="1BA02157">
      <w:pPr>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r>
        <w:rPr>
          <w:rFonts w:hint="eastAsia" w:asciiTheme="minorEastAsia" w:hAnsiTheme="minorEastAsia" w:cstheme="minorEastAsia"/>
          <w:sz w:val="24"/>
          <w:highlight w:val="none"/>
          <w:lang w:eastAsia="zh-CN"/>
        </w:rPr>
        <w:t>供应商</w:t>
      </w:r>
      <w:r>
        <w:rPr>
          <w:rFonts w:hint="eastAsia" w:asciiTheme="minorEastAsia" w:hAnsiTheme="minorEastAsia" w:cstheme="minorEastAsia"/>
          <w:sz w:val="24"/>
          <w:highlight w:val="none"/>
        </w:rPr>
        <w:t>认为有必要提供的其他证明文件</w:t>
      </w:r>
    </w:p>
    <w:p w14:paraId="1A3A5D2F">
      <w:pPr>
        <w:pStyle w:val="6"/>
        <w:rPr>
          <w:highlight w:val="none"/>
        </w:rPr>
      </w:pPr>
    </w:p>
    <w:p w14:paraId="18DE45D8">
      <w:pPr>
        <w:rPr>
          <w:rFonts w:ascii="宋体" w:hAnsi="宋体" w:cs="宋体"/>
          <w:color w:val="000000"/>
          <w:sz w:val="24"/>
          <w:highlight w:val="none"/>
        </w:rPr>
      </w:pPr>
      <w:r>
        <w:rPr>
          <w:rFonts w:hint="eastAsia"/>
          <w:sz w:val="24"/>
          <w:szCs w:val="24"/>
          <w:highlight w:val="none"/>
        </w:rPr>
        <w:t xml:space="preserve"> </w:t>
      </w:r>
      <w:r>
        <w:rPr>
          <w:rFonts w:hint="eastAsia"/>
          <w:b/>
          <w:bCs/>
          <w:sz w:val="44"/>
          <w:szCs w:val="48"/>
          <w:highlight w:val="none"/>
          <w:lang w:eastAsia="zh-CN"/>
        </w:rPr>
        <w:t>供应商</w:t>
      </w:r>
      <w:r>
        <w:rPr>
          <w:rFonts w:hint="eastAsia"/>
          <w:b/>
          <w:bCs/>
          <w:sz w:val="44"/>
          <w:szCs w:val="48"/>
          <w:highlight w:val="none"/>
        </w:rPr>
        <w:t>可在此处附附件二至附件五的证明材料，如没有提供，视为无。</w:t>
      </w:r>
    </w:p>
    <w:p w14:paraId="07AD5E95">
      <w:pPr>
        <w:tabs>
          <w:tab w:val="left" w:pos="1064"/>
        </w:tabs>
        <w:jc w:val="left"/>
        <w:rPr>
          <w:highlight w:val="none"/>
        </w:rPr>
        <w:sectPr>
          <w:pgSz w:w="11906" w:h="16838"/>
          <w:pgMar w:top="1440" w:right="1803" w:bottom="1440" w:left="1803" w:header="850" w:footer="992" w:gutter="0"/>
          <w:cols w:space="0" w:num="1"/>
          <w:rtlGutter w:val="1"/>
          <w:docGrid w:type="lines" w:linePitch="319" w:charSpace="0"/>
        </w:sectPr>
      </w:pPr>
    </w:p>
    <w:bookmarkEnd w:id="293"/>
    <w:bookmarkEnd w:id="301"/>
    <w:bookmarkEnd w:id="302"/>
    <w:bookmarkEnd w:id="303"/>
    <w:bookmarkEnd w:id="304"/>
    <w:bookmarkEnd w:id="305"/>
    <w:p w14:paraId="4268C8AE">
      <w:pPr>
        <w:pStyle w:val="3"/>
        <w:numPr>
          <w:ilvl w:val="0"/>
          <w:numId w:val="0"/>
        </w:numPr>
        <w:rPr>
          <w:rFonts w:ascii="宋体" w:hAnsi="宋体" w:cs="宋体"/>
          <w:sz w:val="36"/>
          <w:szCs w:val="36"/>
          <w:highlight w:val="none"/>
        </w:rPr>
      </w:pPr>
      <w:bookmarkStart w:id="314" w:name="_Toc26814"/>
      <w:bookmarkStart w:id="315" w:name="_Toc1871"/>
      <w:bookmarkStart w:id="316" w:name="_Toc9761"/>
      <w:bookmarkStart w:id="317" w:name="_Toc617"/>
      <w:bookmarkStart w:id="318" w:name="_Toc15189"/>
      <w:bookmarkStart w:id="319" w:name="_Toc6347"/>
      <w:bookmarkStart w:id="320" w:name="_Toc5424"/>
      <w:bookmarkStart w:id="321" w:name="_Toc7869"/>
      <w:r>
        <w:rPr>
          <w:rFonts w:hint="eastAsia" w:ascii="宋体" w:hAnsi="宋体" w:eastAsia="宋体" w:cs="宋体"/>
          <w:b/>
          <w:bCs/>
          <w:kern w:val="0"/>
          <w:sz w:val="36"/>
          <w:szCs w:val="36"/>
          <w:highlight w:val="none"/>
          <w:lang w:val="en-US" w:eastAsia="zh-CN" w:bidi="ar-SA"/>
        </w:rPr>
        <w:t>第十</w:t>
      </w:r>
      <w:r>
        <w:rPr>
          <w:rFonts w:hint="eastAsia" w:ascii="宋体" w:hAnsi="宋体" w:cs="宋体"/>
          <w:b/>
          <w:bCs/>
          <w:kern w:val="0"/>
          <w:sz w:val="36"/>
          <w:szCs w:val="36"/>
          <w:highlight w:val="none"/>
          <w:lang w:val="en-US" w:eastAsia="zh-CN" w:bidi="ar-SA"/>
        </w:rPr>
        <w:t>一</w:t>
      </w:r>
      <w:r>
        <w:rPr>
          <w:rFonts w:hint="eastAsia" w:ascii="宋体" w:hAnsi="宋体" w:eastAsia="宋体" w:cs="宋体"/>
          <w:b/>
          <w:bCs/>
          <w:kern w:val="0"/>
          <w:sz w:val="36"/>
          <w:szCs w:val="36"/>
          <w:highlight w:val="none"/>
          <w:lang w:val="en-US" w:eastAsia="zh-CN" w:bidi="ar-SA"/>
        </w:rPr>
        <w:t>章</w:t>
      </w:r>
      <w:r>
        <w:rPr>
          <w:rFonts w:hint="eastAsia"/>
          <w:highlight w:val="none"/>
          <w:lang w:val="en-US" w:eastAsia="zh-CN"/>
        </w:rPr>
        <w:t xml:space="preserve">  </w:t>
      </w:r>
      <w:r>
        <w:rPr>
          <w:rFonts w:hint="eastAsia" w:ascii="宋体" w:hAnsi="宋体" w:cs="宋体"/>
          <w:color w:val="000000" w:themeColor="text1"/>
          <w:sz w:val="36"/>
          <w:szCs w:val="36"/>
          <w:highlight w:val="none"/>
          <w14:textFill>
            <w14:solidFill>
              <w14:schemeClr w14:val="tx1"/>
            </w14:solidFill>
          </w14:textFill>
        </w:rPr>
        <w:t>供应商承诺书</w:t>
      </w:r>
      <w:bookmarkEnd w:id="314"/>
      <w:bookmarkEnd w:id="315"/>
      <w:bookmarkEnd w:id="316"/>
      <w:bookmarkEnd w:id="317"/>
    </w:p>
    <w:p w14:paraId="0D18A174">
      <w:pPr>
        <w:pStyle w:val="13"/>
        <w:ind w:firstLine="562" w:firstLineChars="200"/>
        <w:jc w:val="left"/>
        <w:rPr>
          <w:rFonts w:hAnsi="宋体" w:cs="宋体"/>
          <w:b/>
          <w:bCs/>
          <w:sz w:val="28"/>
          <w:szCs w:val="28"/>
          <w:highlight w:val="none"/>
        </w:rPr>
      </w:pPr>
      <w:r>
        <w:rPr>
          <w:rFonts w:hint="eastAsia" w:hAnsi="宋体" w:cs="宋体"/>
          <w:b/>
          <w:bCs/>
          <w:sz w:val="28"/>
          <w:szCs w:val="28"/>
          <w:highlight w:val="none"/>
        </w:rPr>
        <w:t>陕西省政府采购供货商拒绝政府采购领域商业贿赂承诺书Ⅰ</w:t>
      </w:r>
    </w:p>
    <w:p w14:paraId="501BE233">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为响应党中央、国务院关于治理政府采购领域商业贿赂行为的号召，我公司在此庄严承诺：</w:t>
      </w:r>
    </w:p>
    <w:p w14:paraId="2CE2CDDB">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1、在参与政府采购活动中遵纪守法、诚信经营、公平竞标。</w:t>
      </w:r>
    </w:p>
    <w:p w14:paraId="5746238E">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2、不向政府采购人、代理机构和政府采购评审专家进行任何形式的商业贿赂以谋取交易机会。</w:t>
      </w:r>
    </w:p>
    <w:p w14:paraId="4B314ADB">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3、不向政府代理机构和采购人提供虚假资质文件或采用虚假应标方式参与政府采购市场竞争并谋取成交。</w:t>
      </w:r>
    </w:p>
    <w:p w14:paraId="07C2211D">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4、不采取“围标、陪标”等商业欺诈手段获得政府采购订单。</w:t>
      </w:r>
    </w:p>
    <w:p w14:paraId="747CBB23">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5、不采取不正当手段诋毁、排挤其它供货商。</w:t>
      </w:r>
    </w:p>
    <w:p w14:paraId="52B2DD52">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6、不在提供商品和服务时“偷梁换柱、以次充好”损害采购人的合法权益。</w:t>
      </w:r>
    </w:p>
    <w:p w14:paraId="03F1E3C5">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7、不与采购人、代理机构政府采购评审专家或其它供货商恶意串通，进行质疑和投诉，维护政府采购市场秩序。</w:t>
      </w:r>
    </w:p>
    <w:p w14:paraId="0CA7D14D">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8、尊重和接受政府采购监督管理部门的监督和政府代理机构招标采购要求，承担因违约行为给采购人造成的损失。</w:t>
      </w:r>
    </w:p>
    <w:p w14:paraId="40DA2F0A">
      <w:pPr>
        <w:spacing w:line="48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9、不发生其它有悖于政府采购公开、公平、公正和诚信原则的行为。</w:t>
      </w:r>
    </w:p>
    <w:p w14:paraId="14B49141">
      <w:pPr>
        <w:adjustRightInd w:val="0"/>
        <w:snapToGrid w:val="0"/>
        <w:spacing w:line="360" w:lineRule="auto"/>
        <w:ind w:firstLine="480" w:firstLineChars="200"/>
        <w:jc w:val="left"/>
        <w:rPr>
          <w:rFonts w:ascii="宋体" w:hAnsi="宋体" w:cs="宋体"/>
          <w:sz w:val="24"/>
          <w:highlight w:val="none"/>
        </w:rPr>
      </w:pPr>
    </w:p>
    <w:p w14:paraId="70CB2B92">
      <w:pPr>
        <w:adjustRightInd w:val="0"/>
        <w:snapToGrid w:val="0"/>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供应商（单位名称及公章）：</w:t>
      </w:r>
    </w:p>
    <w:p w14:paraId="5C162045">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法定代表人或被授权人（签字或盖章）：</w:t>
      </w:r>
    </w:p>
    <w:p w14:paraId="33CF86FB">
      <w:pPr>
        <w:snapToGrid w:val="0"/>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邮编：</w:t>
      </w:r>
    </w:p>
    <w:p w14:paraId="59867D86">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地址：</w:t>
      </w:r>
    </w:p>
    <w:p w14:paraId="5A622E29">
      <w:pPr>
        <w:spacing w:line="360" w:lineRule="auto"/>
        <w:ind w:firstLine="480" w:firstLineChars="200"/>
        <w:jc w:val="left"/>
        <w:rPr>
          <w:rFonts w:ascii="宋体" w:hAnsi="宋体" w:cs="宋体"/>
          <w:sz w:val="24"/>
          <w:szCs w:val="28"/>
          <w:highlight w:val="none"/>
        </w:rPr>
      </w:pPr>
      <w:r>
        <w:rPr>
          <w:rFonts w:hint="eastAsia" w:ascii="宋体" w:hAnsi="宋体" w:cs="宋体"/>
          <w:sz w:val="24"/>
          <w:szCs w:val="28"/>
          <w:highlight w:val="none"/>
        </w:rPr>
        <w:t>电话：</w:t>
      </w:r>
    </w:p>
    <w:p w14:paraId="0A5BEBEB">
      <w:pPr>
        <w:spacing w:line="360" w:lineRule="auto"/>
        <w:ind w:firstLine="480" w:firstLineChars="200"/>
        <w:jc w:val="left"/>
        <w:rPr>
          <w:rFonts w:ascii="宋体" w:hAnsi="宋体" w:cs="宋体"/>
          <w:sz w:val="24"/>
          <w:szCs w:val="28"/>
          <w:highlight w:val="none"/>
          <w:u w:val="single"/>
        </w:rPr>
      </w:pPr>
      <w:r>
        <w:rPr>
          <w:rFonts w:hint="eastAsia" w:ascii="宋体" w:hAnsi="宋体" w:cs="宋体"/>
          <w:sz w:val="24"/>
          <w:szCs w:val="28"/>
          <w:highlight w:val="none"/>
        </w:rPr>
        <w:t xml:space="preserve">时间： </w:t>
      </w:r>
      <w:r>
        <w:rPr>
          <w:rFonts w:hint="eastAsia" w:ascii="宋体" w:hAnsi="宋体" w:cs="宋体"/>
          <w:sz w:val="24"/>
          <w:szCs w:val="28"/>
          <w:highlight w:val="none"/>
          <w:u w:val="single"/>
        </w:rPr>
        <w:t xml:space="preserve">    年   月    日</w:t>
      </w:r>
    </w:p>
    <w:p w14:paraId="3C397016">
      <w:pPr>
        <w:rPr>
          <w:rFonts w:hint="eastAsia"/>
          <w:highlight w:val="none"/>
        </w:rPr>
      </w:pPr>
    </w:p>
    <w:p w14:paraId="3AE170C1">
      <w:pPr>
        <w:rPr>
          <w:rFonts w:hint="eastAsia"/>
          <w:highlight w:val="none"/>
        </w:rPr>
      </w:pPr>
      <w:r>
        <w:rPr>
          <w:rFonts w:hint="eastAsia"/>
          <w:highlight w:val="none"/>
        </w:rPr>
        <w:br w:type="page"/>
      </w:r>
    </w:p>
    <w:p w14:paraId="5CFD5C2A">
      <w:pPr>
        <w:pStyle w:val="3"/>
        <w:rPr>
          <w:highlight w:val="none"/>
        </w:rPr>
      </w:pPr>
      <w:bookmarkStart w:id="322" w:name="_Toc18269"/>
      <w:r>
        <w:rPr>
          <w:rFonts w:hint="eastAsia"/>
          <w:highlight w:val="none"/>
        </w:rPr>
        <w:t>附件一、封袋正面标识式样</w:t>
      </w:r>
      <w:bookmarkEnd w:id="318"/>
      <w:bookmarkEnd w:id="319"/>
      <w:bookmarkEnd w:id="320"/>
      <w:bookmarkEnd w:id="321"/>
      <w:bookmarkEnd w:id="322"/>
    </w:p>
    <w:p w14:paraId="5D902E11">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投标文件正本封袋正面标识式样</w:t>
      </w:r>
    </w:p>
    <w:p w14:paraId="3330CAB9">
      <w:pPr>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4384" behindDoc="0" locked="0" layoutInCell="1" allowOverlap="1">
                <wp:simplePos x="0" y="0"/>
                <wp:positionH relativeFrom="column">
                  <wp:posOffset>-537845</wp:posOffset>
                </wp:positionH>
                <wp:positionV relativeFrom="paragraph">
                  <wp:posOffset>113030</wp:posOffset>
                </wp:positionV>
                <wp:extent cx="6255385" cy="3364865"/>
                <wp:effectExtent l="4445" t="4445" r="7620" b="21590"/>
                <wp:wrapNone/>
                <wp:docPr id="15" name="Text Box 3"/>
                <wp:cNvGraphicFramePr/>
                <a:graphic xmlns:a="http://schemas.openxmlformats.org/drawingml/2006/main">
                  <a:graphicData uri="http://schemas.microsoft.com/office/word/2010/wordprocessingShape">
                    <wps:wsp>
                      <wps:cNvSpPr txBox="1"/>
                      <wps:spPr>
                        <a:xfrm>
                          <a:off x="0" y="0"/>
                          <a:ext cx="6255385" cy="3364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58BE51">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SXWZ2025ZB-SXXQ-202A</w:t>
                            </w:r>
                          </w:p>
                          <w:p w14:paraId="3DBFEFCF">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陕西学前师范学院人工智能创新应用教研训中心建设-卓越中学英语教师智慧虚拟仿真实训中心项目（二次）</w:t>
                            </w:r>
                          </w:p>
                          <w:p w14:paraId="79FD43B6">
                            <w:pPr>
                              <w:jc w:val="center"/>
                              <w:rPr>
                                <w:rFonts w:hint="eastAsia" w:cs="宋体"/>
                                <w:b/>
                                <w:bCs/>
                                <w:sz w:val="44"/>
                                <w:szCs w:val="44"/>
                              </w:rPr>
                            </w:pPr>
                            <w:r>
                              <w:rPr>
                                <w:rFonts w:hint="eastAsia" w:cs="宋体"/>
                                <w:b/>
                                <w:bCs/>
                                <w:sz w:val="44"/>
                                <w:szCs w:val="44"/>
                              </w:rPr>
                              <w:t>投标文件（正本）</w:t>
                            </w:r>
                          </w:p>
                          <w:p w14:paraId="67DEB56D">
                            <w:pPr>
                              <w:jc w:val="center"/>
                              <w:rPr>
                                <w:rFonts w:cs="Times New Roman"/>
                                <w:sz w:val="28"/>
                                <w:szCs w:val="28"/>
                              </w:rPr>
                            </w:pPr>
                            <w:r>
                              <w:rPr>
                                <w:rFonts w:hint="eastAsia" w:cs="宋体"/>
                                <w:sz w:val="28"/>
                                <w:szCs w:val="28"/>
                              </w:rPr>
                              <w:t>（非招标大会不得启封）</w:t>
                            </w:r>
                          </w:p>
                          <w:p w14:paraId="375E46B2">
                            <w:pPr>
                              <w:rPr>
                                <w:sz w:val="28"/>
                                <w:szCs w:val="28"/>
                              </w:rPr>
                            </w:pPr>
                            <w:r>
                              <w:rPr>
                                <w:rFonts w:hint="eastAsia"/>
                                <w:sz w:val="28"/>
                                <w:szCs w:val="28"/>
                              </w:rPr>
                              <w:t>供应商（公章）：_______________</w:t>
                            </w:r>
                          </w:p>
                          <w:p w14:paraId="78F01C04">
                            <w:pPr>
                              <w:rPr>
                                <w:sz w:val="28"/>
                                <w:szCs w:val="28"/>
                              </w:rPr>
                            </w:pPr>
                            <w:r>
                              <w:rPr>
                                <w:rFonts w:hint="eastAsia"/>
                                <w:sz w:val="28"/>
                                <w:szCs w:val="28"/>
                              </w:rPr>
                              <w:t>法定代表人或被授权人（签字或盖章）：_____________</w:t>
                            </w:r>
                          </w:p>
                          <w:p w14:paraId="668DA851">
                            <w:pPr>
                              <w:rPr>
                                <w:sz w:val="28"/>
                                <w:szCs w:val="28"/>
                              </w:rPr>
                            </w:pPr>
                            <w:r>
                              <w:rPr>
                                <w:rFonts w:hint="eastAsia"/>
                                <w:sz w:val="28"/>
                                <w:szCs w:val="28"/>
                              </w:rPr>
                              <w:t>时间：_______年_______月______日</w:t>
                            </w:r>
                          </w:p>
                          <w:p w14:paraId="3C728027">
                            <w:pPr>
                              <w:rPr>
                                <w:rFonts w:cs="宋体"/>
                                <w:sz w:val="28"/>
                                <w:szCs w:val="28"/>
                              </w:rPr>
                            </w:pPr>
                          </w:p>
                        </w:txbxContent>
                      </wps:txbx>
                      <wps:bodyPr upright="1"/>
                    </wps:wsp>
                  </a:graphicData>
                </a:graphic>
              </wp:anchor>
            </w:drawing>
          </mc:Choice>
          <mc:Fallback>
            <w:pict>
              <v:shape id="Text Box 3" o:spid="_x0000_s1026" o:spt="202" type="#_x0000_t202" style="position:absolute;left:0pt;margin-left:-42.35pt;margin-top:8.9pt;height:264.95pt;width:492.55pt;z-index:251664384;mso-width-relative:page;mso-height-relative:page;" fillcolor="#FFFFFF" filled="t" stroked="t" coordsize="21600,21600" o:gfxdata="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D9blvZAAAACgEAAA8AAAAAAAAAAQAgAAAAIgAAAGRycy9k&#10;b3ducmV2LnhtbFBLAQIUABQAAAAIAIdO4kBgSGc6AQIAAEUEAAAOAAAAAAAAAAEAIAAAACgBAABk&#10;cnMvZTJvRG9jLnhtbFBLBQYAAAAABgAGAFkBAACbBQAAAAA=&#10;">
                <v:fill on="t" focussize="0,0"/>
                <v:stroke color="#000000" joinstyle="miter"/>
                <v:imagedata o:title=""/>
                <o:lock v:ext="edit" aspectratio="f"/>
                <v:textbox>
                  <w:txbxContent>
                    <w:p w14:paraId="2858BE51">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SXWZ2025ZB-SXXQ-202A</w:t>
                      </w:r>
                    </w:p>
                    <w:p w14:paraId="3DBFEFCF">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陕西学前师范学院人工智能创新应用教研训中心建设-卓越中学英语教师智慧虚拟仿真实训中心项目（二次）</w:t>
                      </w:r>
                    </w:p>
                    <w:p w14:paraId="79FD43B6">
                      <w:pPr>
                        <w:jc w:val="center"/>
                        <w:rPr>
                          <w:rFonts w:hint="eastAsia" w:cs="宋体"/>
                          <w:b/>
                          <w:bCs/>
                          <w:sz w:val="44"/>
                          <w:szCs w:val="44"/>
                        </w:rPr>
                      </w:pPr>
                      <w:r>
                        <w:rPr>
                          <w:rFonts w:hint="eastAsia" w:cs="宋体"/>
                          <w:b/>
                          <w:bCs/>
                          <w:sz w:val="44"/>
                          <w:szCs w:val="44"/>
                        </w:rPr>
                        <w:t>投标文件（正本）</w:t>
                      </w:r>
                    </w:p>
                    <w:p w14:paraId="67DEB56D">
                      <w:pPr>
                        <w:jc w:val="center"/>
                        <w:rPr>
                          <w:rFonts w:cs="Times New Roman"/>
                          <w:sz w:val="28"/>
                          <w:szCs w:val="28"/>
                        </w:rPr>
                      </w:pPr>
                      <w:r>
                        <w:rPr>
                          <w:rFonts w:hint="eastAsia" w:cs="宋体"/>
                          <w:sz w:val="28"/>
                          <w:szCs w:val="28"/>
                        </w:rPr>
                        <w:t>（非招标大会不得启封）</w:t>
                      </w:r>
                    </w:p>
                    <w:p w14:paraId="375E46B2">
                      <w:pPr>
                        <w:rPr>
                          <w:sz w:val="28"/>
                          <w:szCs w:val="28"/>
                        </w:rPr>
                      </w:pPr>
                      <w:r>
                        <w:rPr>
                          <w:rFonts w:hint="eastAsia"/>
                          <w:sz w:val="28"/>
                          <w:szCs w:val="28"/>
                        </w:rPr>
                        <w:t>供应商（公章）：_______________</w:t>
                      </w:r>
                    </w:p>
                    <w:p w14:paraId="78F01C04">
                      <w:pPr>
                        <w:rPr>
                          <w:sz w:val="28"/>
                          <w:szCs w:val="28"/>
                        </w:rPr>
                      </w:pPr>
                      <w:r>
                        <w:rPr>
                          <w:rFonts w:hint="eastAsia"/>
                          <w:sz w:val="28"/>
                          <w:szCs w:val="28"/>
                        </w:rPr>
                        <w:t>法定代表人或被授权人（签字或盖章）：_____________</w:t>
                      </w:r>
                    </w:p>
                    <w:p w14:paraId="668DA851">
                      <w:pPr>
                        <w:rPr>
                          <w:sz w:val="28"/>
                          <w:szCs w:val="28"/>
                        </w:rPr>
                      </w:pPr>
                      <w:r>
                        <w:rPr>
                          <w:rFonts w:hint="eastAsia"/>
                          <w:sz w:val="28"/>
                          <w:szCs w:val="28"/>
                        </w:rPr>
                        <w:t>时间：_______年_______月______日</w:t>
                      </w:r>
                    </w:p>
                    <w:p w14:paraId="3C728027">
                      <w:pPr>
                        <w:rPr>
                          <w:rFonts w:cs="宋体"/>
                          <w:sz w:val="28"/>
                          <w:szCs w:val="28"/>
                        </w:rPr>
                      </w:pPr>
                    </w:p>
                  </w:txbxContent>
                </v:textbox>
              </v:shape>
            </w:pict>
          </mc:Fallback>
        </mc:AlternateContent>
      </w:r>
    </w:p>
    <w:p w14:paraId="64CD5C6E">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55B7366C">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19EDF50A">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533D9690">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3FCDF8FF">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04B4AD14">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6458805E">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61D762DA">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528FA408">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67DD07A9">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680AD968">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3AD39C6B">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1FB391C4">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投标文件副本封袋正面标识式样</w:t>
      </w:r>
    </w:p>
    <w:p w14:paraId="148DE31E">
      <w:pPr>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5408" behindDoc="0" locked="0" layoutInCell="1" allowOverlap="1">
                <wp:simplePos x="0" y="0"/>
                <wp:positionH relativeFrom="column">
                  <wp:posOffset>-539750</wp:posOffset>
                </wp:positionH>
                <wp:positionV relativeFrom="paragraph">
                  <wp:posOffset>128905</wp:posOffset>
                </wp:positionV>
                <wp:extent cx="6288405" cy="3277235"/>
                <wp:effectExtent l="4445" t="4445" r="12700" b="13970"/>
                <wp:wrapNone/>
                <wp:docPr id="14" name="Text Box 4"/>
                <wp:cNvGraphicFramePr/>
                <a:graphic xmlns:a="http://schemas.openxmlformats.org/drawingml/2006/main">
                  <a:graphicData uri="http://schemas.microsoft.com/office/word/2010/wordprocessingShape">
                    <wps:wsp>
                      <wps:cNvSpPr txBox="1"/>
                      <wps:spPr>
                        <a:xfrm>
                          <a:off x="0" y="0"/>
                          <a:ext cx="6288405" cy="3277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4F4A67">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SXWZ2025ZB-SXXQ-202A</w:t>
                            </w:r>
                          </w:p>
                          <w:p w14:paraId="041A5DC7">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陕西学前师范学院人工智能创新应用教研训中心建设-卓越中学英语教师智慧虚拟仿真实训中心项目（二次）</w:t>
                            </w:r>
                          </w:p>
                          <w:p w14:paraId="5A1C47D1">
                            <w:pPr>
                              <w:jc w:val="center"/>
                              <w:rPr>
                                <w:rFonts w:hint="eastAsia" w:cs="宋体"/>
                                <w:b/>
                                <w:bCs/>
                                <w:sz w:val="44"/>
                                <w:szCs w:val="44"/>
                              </w:rPr>
                            </w:pPr>
                            <w:r>
                              <w:rPr>
                                <w:rFonts w:hint="eastAsia" w:cs="宋体"/>
                                <w:b/>
                                <w:bCs/>
                                <w:sz w:val="44"/>
                                <w:szCs w:val="44"/>
                              </w:rPr>
                              <w:t>投标文件（副本）</w:t>
                            </w:r>
                          </w:p>
                          <w:p w14:paraId="54F2C870">
                            <w:pPr>
                              <w:jc w:val="center"/>
                              <w:rPr>
                                <w:rFonts w:cs="Times New Roman"/>
                                <w:sz w:val="28"/>
                                <w:szCs w:val="28"/>
                              </w:rPr>
                            </w:pPr>
                            <w:r>
                              <w:rPr>
                                <w:rFonts w:hint="eastAsia" w:cs="宋体"/>
                                <w:sz w:val="28"/>
                                <w:szCs w:val="28"/>
                              </w:rPr>
                              <w:t>（非招标大会不得启封）</w:t>
                            </w:r>
                          </w:p>
                          <w:p w14:paraId="779C7F8E">
                            <w:pPr>
                              <w:rPr>
                                <w:sz w:val="28"/>
                                <w:szCs w:val="28"/>
                              </w:rPr>
                            </w:pPr>
                            <w:r>
                              <w:rPr>
                                <w:rFonts w:hint="eastAsia"/>
                                <w:sz w:val="28"/>
                                <w:szCs w:val="28"/>
                              </w:rPr>
                              <w:t>供应商（公章）：_______________</w:t>
                            </w:r>
                          </w:p>
                          <w:p w14:paraId="393641EA">
                            <w:pPr>
                              <w:rPr>
                                <w:sz w:val="28"/>
                                <w:szCs w:val="28"/>
                              </w:rPr>
                            </w:pPr>
                            <w:r>
                              <w:rPr>
                                <w:rFonts w:hint="eastAsia"/>
                                <w:sz w:val="28"/>
                                <w:szCs w:val="28"/>
                              </w:rPr>
                              <w:t>法定代表人或被授权人（签字或盖章）：_____________</w:t>
                            </w:r>
                          </w:p>
                          <w:p w14:paraId="152FF3E0">
                            <w:pPr>
                              <w:rPr>
                                <w:sz w:val="28"/>
                                <w:szCs w:val="28"/>
                              </w:rPr>
                            </w:pPr>
                            <w:r>
                              <w:rPr>
                                <w:rFonts w:hint="eastAsia"/>
                                <w:sz w:val="28"/>
                                <w:szCs w:val="28"/>
                              </w:rPr>
                              <w:t>时间：_______年_______月______日</w:t>
                            </w:r>
                          </w:p>
                          <w:p w14:paraId="309C9036">
                            <w:pPr>
                              <w:rPr>
                                <w:rFonts w:cs="Times New Roman"/>
                                <w:sz w:val="28"/>
                                <w:szCs w:val="28"/>
                              </w:rPr>
                            </w:pPr>
                          </w:p>
                        </w:txbxContent>
                      </wps:txbx>
                      <wps:bodyPr upright="1"/>
                    </wps:wsp>
                  </a:graphicData>
                </a:graphic>
              </wp:anchor>
            </w:drawing>
          </mc:Choice>
          <mc:Fallback>
            <w:pict>
              <v:shape id="Text Box 4" o:spid="_x0000_s1026" o:spt="202" type="#_x0000_t202" style="position:absolute;left:0pt;margin-left:-42.5pt;margin-top:10.15pt;height:258.05pt;width:495.15pt;z-index:251665408;mso-width-relative:page;mso-height-relative:page;" fillcolor="#FFFFFF" filled="t" stroked="t" coordsize="21600,21600" o:gfxdata="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MVJNoAAAAKAQAADwAAAAAAAAABACAAAAAiAAAAZHJz&#10;L2Rvd25yZXYueG1sUEsBAhQAFAAAAAgAh07iQAafw68CAgAARQQAAA4AAAAAAAAAAQAgAAAAKQEA&#10;AGRycy9lMm9Eb2MueG1sUEsFBgAAAAAGAAYAWQEAAJ0FAAAAAA==&#10;">
                <v:fill on="t" focussize="0,0"/>
                <v:stroke color="#000000" joinstyle="miter"/>
                <v:imagedata o:title=""/>
                <o:lock v:ext="edit" aspectratio="f"/>
                <v:textbox>
                  <w:txbxContent>
                    <w:p w14:paraId="334F4A67">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SXWZ2025ZB-SXXQ-202A</w:t>
                      </w:r>
                    </w:p>
                    <w:p w14:paraId="041A5DC7">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陕西学前师范学院人工智能创新应用教研训中心建设-卓越中学英语教师智慧虚拟仿真实训中心项目（二次）</w:t>
                      </w:r>
                    </w:p>
                    <w:p w14:paraId="5A1C47D1">
                      <w:pPr>
                        <w:jc w:val="center"/>
                        <w:rPr>
                          <w:rFonts w:hint="eastAsia" w:cs="宋体"/>
                          <w:b/>
                          <w:bCs/>
                          <w:sz w:val="44"/>
                          <w:szCs w:val="44"/>
                        </w:rPr>
                      </w:pPr>
                      <w:r>
                        <w:rPr>
                          <w:rFonts w:hint="eastAsia" w:cs="宋体"/>
                          <w:b/>
                          <w:bCs/>
                          <w:sz w:val="44"/>
                          <w:szCs w:val="44"/>
                        </w:rPr>
                        <w:t>投标文件（副本）</w:t>
                      </w:r>
                    </w:p>
                    <w:p w14:paraId="54F2C870">
                      <w:pPr>
                        <w:jc w:val="center"/>
                        <w:rPr>
                          <w:rFonts w:cs="Times New Roman"/>
                          <w:sz w:val="28"/>
                          <w:szCs w:val="28"/>
                        </w:rPr>
                      </w:pPr>
                      <w:r>
                        <w:rPr>
                          <w:rFonts w:hint="eastAsia" w:cs="宋体"/>
                          <w:sz w:val="28"/>
                          <w:szCs w:val="28"/>
                        </w:rPr>
                        <w:t>（非招标大会不得启封）</w:t>
                      </w:r>
                    </w:p>
                    <w:p w14:paraId="779C7F8E">
                      <w:pPr>
                        <w:rPr>
                          <w:sz w:val="28"/>
                          <w:szCs w:val="28"/>
                        </w:rPr>
                      </w:pPr>
                      <w:r>
                        <w:rPr>
                          <w:rFonts w:hint="eastAsia"/>
                          <w:sz w:val="28"/>
                          <w:szCs w:val="28"/>
                        </w:rPr>
                        <w:t>供应商（公章）：_______________</w:t>
                      </w:r>
                    </w:p>
                    <w:p w14:paraId="393641EA">
                      <w:pPr>
                        <w:rPr>
                          <w:sz w:val="28"/>
                          <w:szCs w:val="28"/>
                        </w:rPr>
                      </w:pPr>
                      <w:r>
                        <w:rPr>
                          <w:rFonts w:hint="eastAsia"/>
                          <w:sz w:val="28"/>
                          <w:szCs w:val="28"/>
                        </w:rPr>
                        <w:t>法定代表人或被授权人（签字或盖章）：_____________</w:t>
                      </w:r>
                    </w:p>
                    <w:p w14:paraId="152FF3E0">
                      <w:pPr>
                        <w:rPr>
                          <w:sz w:val="28"/>
                          <w:szCs w:val="28"/>
                        </w:rPr>
                      </w:pPr>
                      <w:r>
                        <w:rPr>
                          <w:rFonts w:hint="eastAsia"/>
                          <w:sz w:val="28"/>
                          <w:szCs w:val="28"/>
                        </w:rPr>
                        <w:t>时间：_______年_______月______日</w:t>
                      </w:r>
                    </w:p>
                    <w:p w14:paraId="309C9036">
                      <w:pPr>
                        <w:rPr>
                          <w:rFonts w:cs="Times New Roman"/>
                          <w:sz w:val="28"/>
                          <w:szCs w:val="28"/>
                        </w:rPr>
                      </w:pPr>
                    </w:p>
                  </w:txbxContent>
                </v:textbox>
              </v:shape>
            </w:pict>
          </mc:Fallback>
        </mc:AlternateContent>
      </w:r>
    </w:p>
    <w:p w14:paraId="57FFACD1">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410976A1">
      <w:pPr>
        <w:tabs>
          <w:tab w:val="left" w:pos="8280"/>
        </w:tabs>
        <w:spacing w:line="460" w:lineRule="exact"/>
        <w:ind w:firstLine="482" w:firstLineChars="200"/>
        <w:jc w:val="center"/>
        <w:rPr>
          <w:rFonts w:asciiTheme="minorEastAsia" w:hAnsiTheme="minorEastAsia" w:eastAsiaTheme="minorEastAsia" w:cstheme="minorEastAsia"/>
          <w:b/>
          <w:bCs/>
          <w:sz w:val="24"/>
          <w:szCs w:val="24"/>
          <w:highlight w:val="none"/>
        </w:rPr>
      </w:pPr>
    </w:p>
    <w:p w14:paraId="07348E4C">
      <w:pPr>
        <w:ind w:firstLine="420" w:firstLineChars="200"/>
        <w:jc w:val="center"/>
        <w:rPr>
          <w:rFonts w:asciiTheme="minorEastAsia" w:hAnsiTheme="minorEastAsia" w:eastAsiaTheme="minorEastAsia" w:cstheme="minorEastAsia"/>
          <w:highlight w:val="none"/>
        </w:rPr>
      </w:pPr>
    </w:p>
    <w:p w14:paraId="1BA0E3F5">
      <w:pPr>
        <w:ind w:firstLine="420" w:firstLineChars="200"/>
        <w:jc w:val="center"/>
        <w:rPr>
          <w:rFonts w:asciiTheme="minorEastAsia" w:hAnsiTheme="minorEastAsia" w:eastAsiaTheme="minorEastAsia" w:cstheme="minorEastAsia"/>
          <w:highlight w:val="none"/>
        </w:rPr>
      </w:pPr>
    </w:p>
    <w:p w14:paraId="1B333047">
      <w:pPr>
        <w:ind w:firstLine="420" w:firstLineChars="200"/>
        <w:jc w:val="center"/>
        <w:rPr>
          <w:rFonts w:asciiTheme="minorEastAsia" w:hAnsiTheme="minorEastAsia" w:eastAsiaTheme="minorEastAsia" w:cstheme="minorEastAsia"/>
          <w:highlight w:val="none"/>
        </w:rPr>
      </w:pPr>
    </w:p>
    <w:p w14:paraId="561BF699">
      <w:pPr>
        <w:ind w:firstLine="420" w:firstLineChars="200"/>
        <w:jc w:val="center"/>
        <w:rPr>
          <w:rFonts w:asciiTheme="minorEastAsia" w:hAnsiTheme="minorEastAsia" w:eastAsiaTheme="minorEastAsia" w:cstheme="minorEastAsia"/>
          <w:highlight w:val="none"/>
        </w:rPr>
      </w:pPr>
    </w:p>
    <w:p w14:paraId="33269FD3">
      <w:pPr>
        <w:ind w:firstLine="420" w:firstLineChars="200"/>
        <w:jc w:val="center"/>
        <w:rPr>
          <w:rFonts w:asciiTheme="minorEastAsia" w:hAnsiTheme="minorEastAsia" w:eastAsiaTheme="minorEastAsia" w:cstheme="minorEastAsia"/>
          <w:highlight w:val="none"/>
        </w:rPr>
      </w:pPr>
    </w:p>
    <w:p w14:paraId="3E42258E">
      <w:pPr>
        <w:ind w:firstLine="420" w:firstLineChars="200"/>
        <w:jc w:val="center"/>
        <w:rPr>
          <w:rFonts w:asciiTheme="minorEastAsia" w:hAnsiTheme="minorEastAsia" w:eastAsiaTheme="minorEastAsia" w:cstheme="minorEastAsia"/>
          <w:highlight w:val="none"/>
        </w:rPr>
      </w:pPr>
    </w:p>
    <w:p w14:paraId="56DD87D8">
      <w:pPr>
        <w:ind w:firstLine="420" w:firstLineChars="200"/>
        <w:jc w:val="center"/>
        <w:rPr>
          <w:rFonts w:asciiTheme="minorEastAsia" w:hAnsiTheme="minorEastAsia" w:eastAsiaTheme="minorEastAsia" w:cstheme="minorEastAsia"/>
          <w:highlight w:val="none"/>
        </w:rPr>
      </w:pPr>
    </w:p>
    <w:p w14:paraId="7DD07B31">
      <w:pPr>
        <w:ind w:firstLine="420" w:firstLineChars="200"/>
        <w:jc w:val="center"/>
        <w:rPr>
          <w:rFonts w:asciiTheme="minorEastAsia" w:hAnsiTheme="minorEastAsia" w:eastAsiaTheme="minorEastAsia" w:cstheme="minorEastAsia"/>
          <w:highlight w:val="none"/>
        </w:rPr>
      </w:pPr>
    </w:p>
    <w:p w14:paraId="1503F11E">
      <w:pPr>
        <w:ind w:firstLine="420" w:firstLineChars="200"/>
        <w:jc w:val="center"/>
        <w:rPr>
          <w:rFonts w:asciiTheme="minorEastAsia" w:hAnsiTheme="minorEastAsia" w:eastAsiaTheme="minorEastAsia" w:cstheme="minorEastAsia"/>
          <w:highlight w:val="none"/>
        </w:rPr>
      </w:pPr>
    </w:p>
    <w:p w14:paraId="4BA01A35">
      <w:pPr>
        <w:ind w:firstLine="420" w:firstLineChars="200"/>
        <w:jc w:val="center"/>
        <w:rPr>
          <w:rFonts w:asciiTheme="minorEastAsia" w:hAnsiTheme="minorEastAsia" w:eastAsiaTheme="minorEastAsia" w:cstheme="minorEastAsia"/>
          <w:highlight w:val="none"/>
        </w:rPr>
      </w:pPr>
    </w:p>
    <w:p w14:paraId="29D2B734">
      <w:pPr>
        <w:ind w:firstLine="420" w:firstLineChars="200"/>
        <w:jc w:val="center"/>
        <w:rPr>
          <w:rFonts w:asciiTheme="minorEastAsia" w:hAnsiTheme="minorEastAsia" w:eastAsiaTheme="minorEastAsia" w:cstheme="minorEastAsia"/>
          <w:highlight w:val="none"/>
        </w:rPr>
      </w:pPr>
    </w:p>
    <w:p w14:paraId="13A9DD91">
      <w:pPr>
        <w:ind w:firstLine="1004" w:firstLineChars="200"/>
        <w:jc w:val="center"/>
        <w:rPr>
          <w:rFonts w:asciiTheme="minorEastAsia" w:hAnsiTheme="minorEastAsia" w:eastAsiaTheme="minorEastAsia" w:cstheme="minorEastAsia"/>
          <w:b/>
          <w:bCs/>
          <w:sz w:val="50"/>
          <w:szCs w:val="50"/>
          <w:highlight w:val="none"/>
        </w:rPr>
      </w:pPr>
    </w:p>
    <w:p w14:paraId="3AF9818C">
      <w:pPr>
        <w:widowControl/>
        <w:spacing w:line="460" w:lineRule="exact"/>
        <w:ind w:firstLine="480" w:firstLineChars="200"/>
        <w:jc w:val="center"/>
        <w:rPr>
          <w:rFonts w:asciiTheme="minorEastAsia" w:hAnsiTheme="minorEastAsia" w:eastAsiaTheme="minorEastAsia" w:cstheme="minorEastAsia"/>
          <w:sz w:val="24"/>
          <w:szCs w:val="24"/>
          <w:highlight w:val="none"/>
        </w:rPr>
        <w:sectPr>
          <w:headerReference r:id="rId17" w:type="default"/>
          <w:footerReference r:id="rId18" w:type="default"/>
          <w:pgSz w:w="11906" w:h="16838"/>
          <w:pgMar w:top="1440" w:right="1803" w:bottom="1440" w:left="1803" w:header="850" w:footer="992" w:gutter="0"/>
          <w:cols w:space="0" w:num="1"/>
          <w:rtlGutter w:val="1"/>
          <w:docGrid w:type="lines" w:linePitch="319" w:charSpace="0"/>
        </w:sectPr>
      </w:pPr>
    </w:p>
    <w:p w14:paraId="09C6572C">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投标报价一览表封袋正面标识式样</w:t>
      </w:r>
    </w:p>
    <w:p w14:paraId="3E1B4352">
      <w:pPr>
        <w:spacing w:line="460" w:lineRule="exact"/>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6432" behindDoc="0" locked="0" layoutInCell="1" allowOverlap="1">
                <wp:simplePos x="0" y="0"/>
                <wp:positionH relativeFrom="column">
                  <wp:posOffset>-532765</wp:posOffset>
                </wp:positionH>
                <wp:positionV relativeFrom="paragraph">
                  <wp:posOffset>231775</wp:posOffset>
                </wp:positionV>
                <wp:extent cx="6189345" cy="3380740"/>
                <wp:effectExtent l="5080" t="4445" r="15875" b="5715"/>
                <wp:wrapNone/>
                <wp:docPr id="13" name="文本框 11"/>
                <wp:cNvGraphicFramePr/>
                <a:graphic xmlns:a="http://schemas.openxmlformats.org/drawingml/2006/main">
                  <a:graphicData uri="http://schemas.microsoft.com/office/word/2010/wordprocessingShape">
                    <wps:wsp>
                      <wps:cNvSpPr txBox="1"/>
                      <wps:spPr>
                        <a:xfrm>
                          <a:off x="0" y="0"/>
                          <a:ext cx="6189345" cy="3380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16DF1A">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SXWZ2025ZB-SXXQ-202A</w:t>
                            </w:r>
                          </w:p>
                          <w:p w14:paraId="3149DDF8">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陕西学前师范学院人工智能创新应用教研训中心建设-卓越中学英语教师智慧虚拟仿真实训中心项目（二次）</w:t>
                            </w:r>
                          </w:p>
                          <w:p w14:paraId="5FAFEE1A">
                            <w:pPr>
                              <w:pStyle w:val="5"/>
                              <w:jc w:val="center"/>
                              <w:rPr>
                                <w:rFonts w:hint="eastAsia" w:cs="宋体"/>
                                <w:b/>
                                <w:bCs/>
                                <w:sz w:val="44"/>
                                <w:szCs w:val="44"/>
                              </w:rPr>
                            </w:pPr>
                            <w:r>
                              <w:rPr>
                                <w:rFonts w:hint="eastAsia" w:cs="宋体"/>
                                <w:b/>
                                <w:bCs/>
                                <w:sz w:val="44"/>
                                <w:szCs w:val="44"/>
                              </w:rPr>
                              <w:t>报价一览表</w:t>
                            </w:r>
                          </w:p>
                          <w:p w14:paraId="3853B235">
                            <w:pPr>
                              <w:jc w:val="center"/>
                              <w:rPr>
                                <w:rFonts w:cs="Times New Roman"/>
                                <w:sz w:val="28"/>
                                <w:szCs w:val="28"/>
                              </w:rPr>
                            </w:pPr>
                            <w:r>
                              <w:rPr>
                                <w:rFonts w:hint="eastAsia" w:cs="宋体"/>
                                <w:sz w:val="28"/>
                                <w:szCs w:val="28"/>
                              </w:rPr>
                              <w:t>（非招标大会不得启封）</w:t>
                            </w:r>
                          </w:p>
                          <w:p w14:paraId="325CBC6D">
                            <w:pPr>
                              <w:rPr>
                                <w:sz w:val="28"/>
                                <w:szCs w:val="28"/>
                              </w:rPr>
                            </w:pPr>
                            <w:r>
                              <w:rPr>
                                <w:rFonts w:hint="eastAsia"/>
                                <w:sz w:val="28"/>
                                <w:szCs w:val="28"/>
                              </w:rPr>
                              <w:t>供应商（公章）：_______________</w:t>
                            </w:r>
                          </w:p>
                          <w:p w14:paraId="338C1CAB">
                            <w:pPr>
                              <w:rPr>
                                <w:sz w:val="28"/>
                                <w:szCs w:val="28"/>
                              </w:rPr>
                            </w:pPr>
                            <w:r>
                              <w:rPr>
                                <w:rFonts w:hint="eastAsia"/>
                                <w:sz w:val="28"/>
                                <w:szCs w:val="28"/>
                              </w:rPr>
                              <w:t>法定代表人或被授权人（签字或盖章）：_____________</w:t>
                            </w:r>
                          </w:p>
                          <w:p w14:paraId="7E15713F">
                            <w:pPr>
                              <w:rPr>
                                <w:sz w:val="28"/>
                                <w:szCs w:val="28"/>
                              </w:rPr>
                            </w:pPr>
                            <w:r>
                              <w:rPr>
                                <w:rFonts w:hint="eastAsia"/>
                                <w:sz w:val="28"/>
                                <w:szCs w:val="28"/>
                              </w:rPr>
                              <w:t>时间：_______年_______月______日</w:t>
                            </w:r>
                          </w:p>
                          <w:p w14:paraId="19B49DB2">
                            <w:pPr>
                              <w:rPr>
                                <w:rFonts w:cs="Times New Roman"/>
                                <w:sz w:val="28"/>
                                <w:szCs w:val="28"/>
                              </w:rPr>
                            </w:pPr>
                          </w:p>
                        </w:txbxContent>
                      </wps:txbx>
                      <wps:bodyPr upright="1"/>
                    </wps:wsp>
                  </a:graphicData>
                </a:graphic>
              </wp:anchor>
            </w:drawing>
          </mc:Choice>
          <mc:Fallback>
            <w:pict>
              <v:shape id="文本框 11" o:spid="_x0000_s1026" o:spt="202" type="#_x0000_t202" style="position:absolute;left:0pt;margin-left:-41.95pt;margin-top:18.25pt;height:266.2pt;width:487.35pt;z-index:251666432;mso-width-relative:page;mso-height-relative:page;" fillcolor="#FFFFFF" filled="t" stroked="t" coordsize="21600,21600" o:gfxdata="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SOz2gAAAAoBAAAP&#10;AAAAAAAAAAEAIAAAACIAAABkcnMvZG93bnJldi54bWxQSwECFAAUAAAACACHTuJAm9aadhYCAABH&#10;BAAADgAAAAAAAAABACAAAAApAQAAZHJzL2Uyb0RvYy54bWxQSwUGAAAAAAYABgBZAQAAsQUAAAAA&#10;">
                <v:fill on="t" focussize="0,0"/>
                <v:stroke color="#000000" joinstyle="miter"/>
                <v:imagedata o:title=""/>
                <o:lock v:ext="edit" aspectratio="f"/>
                <v:textbox>
                  <w:txbxContent>
                    <w:p w14:paraId="4416DF1A">
                      <w:pPr>
                        <w:rPr>
                          <w:rFonts w:hint="eastAsia" w:eastAsia="宋体" w:cs="Times New Roman"/>
                          <w:sz w:val="28"/>
                          <w:szCs w:val="28"/>
                          <w:highlight w:val="yellow"/>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SXWZ2025ZB-SXXQ-202A</w:t>
                      </w:r>
                    </w:p>
                    <w:p w14:paraId="3149DDF8">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陕西学前师范学院人工智能创新应用教研训中心建设-卓越中学英语教师智慧虚拟仿真实训中心项目（二次）</w:t>
                      </w:r>
                    </w:p>
                    <w:p w14:paraId="5FAFEE1A">
                      <w:pPr>
                        <w:pStyle w:val="5"/>
                        <w:jc w:val="center"/>
                        <w:rPr>
                          <w:rFonts w:hint="eastAsia" w:cs="宋体"/>
                          <w:b/>
                          <w:bCs/>
                          <w:sz w:val="44"/>
                          <w:szCs w:val="44"/>
                        </w:rPr>
                      </w:pPr>
                      <w:r>
                        <w:rPr>
                          <w:rFonts w:hint="eastAsia" w:cs="宋体"/>
                          <w:b/>
                          <w:bCs/>
                          <w:sz w:val="44"/>
                          <w:szCs w:val="44"/>
                        </w:rPr>
                        <w:t>报价一览表</w:t>
                      </w:r>
                    </w:p>
                    <w:p w14:paraId="3853B235">
                      <w:pPr>
                        <w:jc w:val="center"/>
                        <w:rPr>
                          <w:rFonts w:cs="Times New Roman"/>
                          <w:sz w:val="28"/>
                          <w:szCs w:val="28"/>
                        </w:rPr>
                      </w:pPr>
                      <w:r>
                        <w:rPr>
                          <w:rFonts w:hint="eastAsia" w:cs="宋体"/>
                          <w:sz w:val="28"/>
                          <w:szCs w:val="28"/>
                        </w:rPr>
                        <w:t>（非招标大会不得启封）</w:t>
                      </w:r>
                    </w:p>
                    <w:p w14:paraId="325CBC6D">
                      <w:pPr>
                        <w:rPr>
                          <w:sz w:val="28"/>
                          <w:szCs w:val="28"/>
                        </w:rPr>
                      </w:pPr>
                      <w:r>
                        <w:rPr>
                          <w:rFonts w:hint="eastAsia"/>
                          <w:sz w:val="28"/>
                          <w:szCs w:val="28"/>
                        </w:rPr>
                        <w:t>供应商（公章）：_______________</w:t>
                      </w:r>
                    </w:p>
                    <w:p w14:paraId="338C1CAB">
                      <w:pPr>
                        <w:rPr>
                          <w:sz w:val="28"/>
                          <w:szCs w:val="28"/>
                        </w:rPr>
                      </w:pPr>
                      <w:r>
                        <w:rPr>
                          <w:rFonts w:hint="eastAsia"/>
                          <w:sz w:val="28"/>
                          <w:szCs w:val="28"/>
                        </w:rPr>
                        <w:t>法定代表人或被授权人（签字或盖章）：_____________</w:t>
                      </w:r>
                    </w:p>
                    <w:p w14:paraId="7E15713F">
                      <w:pPr>
                        <w:rPr>
                          <w:sz w:val="28"/>
                          <w:szCs w:val="28"/>
                        </w:rPr>
                      </w:pPr>
                      <w:r>
                        <w:rPr>
                          <w:rFonts w:hint="eastAsia"/>
                          <w:sz w:val="28"/>
                          <w:szCs w:val="28"/>
                        </w:rPr>
                        <w:t>时间：_______年_______月______日</w:t>
                      </w:r>
                    </w:p>
                    <w:p w14:paraId="19B49DB2">
                      <w:pPr>
                        <w:rPr>
                          <w:rFonts w:cs="Times New Roman"/>
                          <w:sz w:val="28"/>
                          <w:szCs w:val="28"/>
                        </w:rPr>
                      </w:pPr>
                    </w:p>
                  </w:txbxContent>
                </v:textbox>
              </v:shape>
            </w:pict>
          </mc:Fallback>
        </mc:AlternateContent>
      </w:r>
    </w:p>
    <w:p w14:paraId="7F739F82">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78DF4F6B">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7ADE4734">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3260DC72">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7712FC22">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07E70B79">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1930AD0E">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027A899B">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66341BF7">
      <w:pPr>
        <w:spacing w:line="460" w:lineRule="exact"/>
        <w:ind w:firstLine="482" w:firstLineChars="200"/>
        <w:jc w:val="center"/>
        <w:rPr>
          <w:rFonts w:asciiTheme="minorEastAsia" w:hAnsiTheme="minorEastAsia" w:eastAsiaTheme="minorEastAsia" w:cstheme="minorEastAsia"/>
          <w:b/>
          <w:bCs/>
          <w:sz w:val="24"/>
          <w:szCs w:val="24"/>
          <w:highlight w:val="none"/>
        </w:rPr>
      </w:pPr>
    </w:p>
    <w:p w14:paraId="689726C6">
      <w:pPr>
        <w:spacing w:line="460" w:lineRule="exact"/>
        <w:jc w:val="center"/>
        <w:rPr>
          <w:rFonts w:asciiTheme="minorEastAsia" w:hAnsiTheme="minorEastAsia" w:eastAsiaTheme="minorEastAsia" w:cstheme="minorEastAsia"/>
          <w:b/>
          <w:bCs/>
          <w:sz w:val="24"/>
          <w:szCs w:val="24"/>
          <w:highlight w:val="none"/>
        </w:rPr>
      </w:pPr>
    </w:p>
    <w:p w14:paraId="205D8414">
      <w:pPr>
        <w:spacing w:line="460" w:lineRule="exact"/>
        <w:jc w:val="center"/>
        <w:rPr>
          <w:rFonts w:asciiTheme="minorEastAsia" w:hAnsiTheme="minorEastAsia" w:eastAsiaTheme="minorEastAsia" w:cstheme="minorEastAsia"/>
          <w:b/>
          <w:bCs/>
          <w:sz w:val="24"/>
          <w:szCs w:val="24"/>
          <w:highlight w:val="none"/>
        </w:rPr>
      </w:pPr>
    </w:p>
    <w:p w14:paraId="5B55C5CC">
      <w:pPr>
        <w:spacing w:line="460" w:lineRule="exact"/>
        <w:jc w:val="center"/>
        <w:rPr>
          <w:rFonts w:asciiTheme="minorEastAsia" w:hAnsiTheme="minorEastAsia" w:eastAsiaTheme="minorEastAsia" w:cstheme="minorEastAsia"/>
          <w:b/>
          <w:bCs/>
          <w:sz w:val="24"/>
          <w:szCs w:val="24"/>
          <w:highlight w:val="none"/>
        </w:rPr>
      </w:pPr>
    </w:p>
    <w:p w14:paraId="35DF1C10">
      <w:pPr>
        <w:spacing w:line="460" w:lineRule="exact"/>
        <w:ind w:firstLine="562" w:firstLineChars="200"/>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电子文档封袋正面标识式样</w:t>
      </w:r>
    </w:p>
    <w:p w14:paraId="5BBCBAF2">
      <w:pPr>
        <w:tabs>
          <w:tab w:val="left" w:pos="8280"/>
        </w:tabs>
        <w:spacing w:line="460" w:lineRule="exact"/>
        <w:ind w:firstLine="420" w:firstLineChars="200"/>
        <w:jc w:val="center"/>
        <w:rPr>
          <w:rFonts w:asciiTheme="minorEastAsia" w:hAnsiTheme="minorEastAsia" w:eastAsiaTheme="minorEastAsia" w:cstheme="minorEastAsia"/>
          <w:b/>
          <w:bCs/>
          <w:sz w:val="24"/>
          <w:szCs w:val="24"/>
          <w:highlight w:val="none"/>
        </w:rPr>
      </w:pPr>
      <w:r>
        <w:rPr>
          <w:rFonts w:asciiTheme="minorEastAsia" w:hAnsiTheme="minorEastAsia" w:eastAsiaTheme="minorEastAsia" w:cstheme="minorEastAsia"/>
          <w:highlight w:val="none"/>
        </w:rPr>
        <mc:AlternateContent>
          <mc:Choice Requires="wps">
            <w:drawing>
              <wp:anchor distT="0" distB="0" distL="114300" distR="114300" simplePos="0" relativeHeight="251667456" behindDoc="0" locked="0" layoutInCell="1" allowOverlap="1">
                <wp:simplePos x="0" y="0"/>
                <wp:positionH relativeFrom="column">
                  <wp:posOffset>-586105</wp:posOffset>
                </wp:positionH>
                <wp:positionV relativeFrom="paragraph">
                  <wp:posOffset>82550</wp:posOffset>
                </wp:positionV>
                <wp:extent cx="6258560" cy="3485515"/>
                <wp:effectExtent l="4445" t="4445" r="23495" b="15240"/>
                <wp:wrapNone/>
                <wp:docPr id="12" name="文本框 12"/>
                <wp:cNvGraphicFramePr/>
                <a:graphic xmlns:a="http://schemas.openxmlformats.org/drawingml/2006/main">
                  <a:graphicData uri="http://schemas.microsoft.com/office/word/2010/wordprocessingShape">
                    <wps:wsp>
                      <wps:cNvSpPr txBox="1"/>
                      <wps:spPr>
                        <a:xfrm>
                          <a:off x="0" y="0"/>
                          <a:ext cx="6258560" cy="3485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249CBF">
                            <w:pPr>
                              <w:rPr>
                                <w:rFonts w:hint="eastAsia" w:eastAsia="宋体" w:cs="宋体"/>
                                <w:sz w:val="28"/>
                                <w:szCs w:val="28"/>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SXWZ2025ZB-SXXQ-202A</w:t>
                            </w:r>
                          </w:p>
                          <w:p w14:paraId="2B2400F1">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陕西学前师范学院人工智能创新应用教研训中心建设-卓越中学英语教师智慧虚拟仿真实训中心项目（二次）</w:t>
                            </w:r>
                          </w:p>
                          <w:p w14:paraId="30AA1107">
                            <w:pPr>
                              <w:pStyle w:val="5"/>
                              <w:jc w:val="center"/>
                              <w:rPr>
                                <w:rFonts w:hint="eastAsia" w:cs="宋体"/>
                                <w:b/>
                                <w:bCs/>
                                <w:sz w:val="44"/>
                                <w:szCs w:val="44"/>
                              </w:rPr>
                            </w:pPr>
                            <w:r>
                              <w:rPr>
                                <w:rFonts w:hint="eastAsia" w:cs="宋体"/>
                                <w:b/>
                                <w:bCs/>
                                <w:sz w:val="44"/>
                                <w:szCs w:val="44"/>
                              </w:rPr>
                              <w:t>电子文档</w:t>
                            </w:r>
                          </w:p>
                          <w:p w14:paraId="2F4E9DC6">
                            <w:pPr>
                              <w:jc w:val="center"/>
                              <w:rPr>
                                <w:rFonts w:cs="Times New Roman"/>
                                <w:sz w:val="28"/>
                                <w:szCs w:val="28"/>
                              </w:rPr>
                            </w:pPr>
                            <w:r>
                              <w:rPr>
                                <w:rFonts w:hint="eastAsia" w:cs="宋体"/>
                                <w:sz w:val="28"/>
                                <w:szCs w:val="28"/>
                              </w:rPr>
                              <w:t>（非招标大会不得启封）</w:t>
                            </w:r>
                          </w:p>
                          <w:p w14:paraId="67DCE8B8">
                            <w:pPr>
                              <w:rPr>
                                <w:sz w:val="28"/>
                                <w:szCs w:val="28"/>
                              </w:rPr>
                            </w:pPr>
                            <w:r>
                              <w:rPr>
                                <w:rFonts w:hint="eastAsia"/>
                                <w:sz w:val="28"/>
                                <w:szCs w:val="28"/>
                              </w:rPr>
                              <w:t>供应商（公章）：_______________</w:t>
                            </w:r>
                          </w:p>
                          <w:p w14:paraId="0B0F0BA8">
                            <w:pPr>
                              <w:rPr>
                                <w:sz w:val="28"/>
                                <w:szCs w:val="28"/>
                              </w:rPr>
                            </w:pPr>
                            <w:r>
                              <w:rPr>
                                <w:rFonts w:hint="eastAsia"/>
                                <w:sz w:val="28"/>
                                <w:szCs w:val="28"/>
                              </w:rPr>
                              <w:t>法定代表人或被授权人（签字或盖章）：_____________</w:t>
                            </w:r>
                          </w:p>
                          <w:p w14:paraId="6C710CC9">
                            <w:pPr>
                              <w:rPr>
                                <w:sz w:val="28"/>
                                <w:szCs w:val="28"/>
                              </w:rPr>
                            </w:pPr>
                            <w:r>
                              <w:rPr>
                                <w:rFonts w:hint="eastAsia"/>
                                <w:sz w:val="28"/>
                                <w:szCs w:val="28"/>
                              </w:rPr>
                              <w:t>时间：_______年_______月______日</w:t>
                            </w:r>
                          </w:p>
                          <w:p w14:paraId="1477B172">
                            <w:pPr>
                              <w:rPr>
                                <w:rFonts w:cs="宋体"/>
                                <w:sz w:val="28"/>
                                <w:szCs w:val="28"/>
                              </w:rPr>
                            </w:pPr>
                          </w:p>
                        </w:txbxContent>
                      </wps:txbx>
                      <wps:bodyPr upright="1"/>
                    </wps:wsp>
                  </a:graphicData>
                </a:graphic>
              </wp:anchor>
            </w:drawing>
          </mc:Choice>
          <mc:Fallback>
            <w:pict>
              <v:shape id="_x0000_s1026" o:spid="_x0000_s1026" o:spt="202" type="#_x0000_t202" style="position:absolute;left:0pt;margin-left:-46.15pt;margin-top:6.5pt;height:274.45pt;width:492.8pt;z-index:251667456;mso-width-relative:page;mso-height-relative:page;" fillcolor="#FFFFFF" filled="t" stroked="t" coordsize="21600,21600" o:gfxdata="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VWTS2QAAAAoBAAAPAAAAAAAA&#10;AAEAIAAAACIAAABkcnMvZG93bnJldi54bWxQSwECFAAUAAAACACHTuJAjJyKqBECAABHBAAADgAA&#10;AAAAAAABACAAAAAoAQAAZHJzL2Uyb0RvYy54bWxQSwUGAAAAAAYABgBZAQAAqwUAAAAA&#10;">
                <v:fill on="t" focussize="0,0"/>
                <v:stroke color="#000000" joinstyle="miter"/>
                <v:imagedata o:title=""/>
                <o:lock v:ext="edit" aspectratio="f"/>
                <v:textbox>
                  <w:txbxContent>
                    <w:p w14:paraId="1D249CBF">
                      <w:pPr>
                        <w:rPr>
                          <w:rFonts w:hint="eastAsia" w:eastAsia="宋体" w:cs="宋体"/>
                          <w:sz w:val="28"/>
                          <w:szCs w:val="28"/>
                          <w:lang w:eastAsia="zh-CN"/>
                        </w:rPr>
                      </w:pPr>
                      <w:r>
                        <w:rPr>
                          <w:rFonts w:hint="eastAsia" w:cs="宋体"/>
                          <w:sz w:val="28"/>
                          <w:szCs w:val="28"/>
                        </w:rPr>
                        <w:t>致：陕西万泽招标有限公司</w:t>
                      </w:r>
                      <w:r>
                        <w:rPr>
                          <w:rFonts w:hint="eastAsia" w:cs="宋体"/>
                          <w:sz w:val="28"/>
                          <w:szCs w:val="28"/>
                          <w:lang w:val="en-US" w:eastAsia="zh-CN"/>
                        </w:rPr>
                        <w:t xml:space="preserve">            </w:t>
                      </w:r>
                      <w:r>
                        <w:rPr>
                          <w:rFonts w:hint="eastAsia" w:cs="宋体"/>
                          <w:sz w:val="28"/>
                          <w:szCs w:val="28"/>
                        </w:rPr>
                        <w:t>项目编号：</w:t>
                      </w:r>
                      <w:r>
                        <w:rPr>
                          <w:rFonts w:hint="eastAsia"/>
                          <w:sz w:val="28"/>
                          <w:szCs w:val="28"/>
                          <w:lang w:eastAsia="zh-CN"/>
                        </w:rPr>
                        <w:t>SXWZ2025ZB-SXXQ-202A</w:t>
                      </w:r>
                    </w:p>
                    <w:p w14:paraId="2B2400F1">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陕西学前师范学院人工智能创新应用教研训中心建设-卓越中学英语教师智慧虚拟仿真实训中心项目（二次）</w:t>
                      </w:r>
                    </w:p>
                    <w:p w14:paraId="30AA1107">
                      <w:pPr>
                        <w:pStyle w:val="5"/>
                        <w:jc w:val="center"/>
                        <w:rPr>
                          <w:rFonts w:hint="eastAsia" w:cs="宋体"/>
                          <w:b/>
                          <w:bCs/>
                          <w:sz w:val="44"/>
                          <w:szCs w:val="44"/>
                        </w:rPr>
                      </w:pPr>
                      <w:r>
                        <w:rPr>
                          <w:rFonts w:hint="eastAsia" w:cs="宋体"/>
                          <w:b/>
                          <w:bCs/>
                          <w:sz w:val="44"/>
                          <w:szCs w:val="44"/>
                        </w:rPr>
                        <w:t>电子文档</w:t>
                      </w:r>
                    </w:p>
                    <w:p w14:paraId="2F4E9DC6">
                      <w:pPr>
                        <w:jc w:val="center"/>
                        <w:rPr>
                          <w:rFonts w:cs="Times New Roman"/>
                          <w:sz w:val="28"/>
                          <w:szCs w:val="28"/>
                        </w:rPr>
                      </w:pPr>
                      <w:r>
                        <w:rPr>
                          <w:rFonts w:hint="eastAsia" w:cs="宋体"/>
                          <w:sz w:val="28"/>
                          <w:szCs w:val="28"/>
                        </w:rPr>
                        <w:t>（非招标大会不得启封）</w:t>
                      </w:r>
                    </w:p>
                    <w:p w14:paraId="67DCE8B8">
                      <w:pPr>
                        <w:rPr>
                          <w:sz w:val="28"/>
                          <w:szCs w:val="28"/>
                        </w:rPr>
                      </w:pPr>
                      <w:r>
                        <w:rPr>
                          <w:rFonts w:hint="eastAsia"/>
                          <w:sz w:val="28"/>
                          <w:szCs w:val="28"/>
                        </w:rPr>
                        <w:t>供应商（公章）：_______________</w:t>
                      </w:r>
                    </w:p>
                    <w:p w14:paraId="0B0F0BA8">
                      <w:pPr>
                        <w:rPr>
                          <w:sz w:val="28"/>
                          <w:szCs w:val="28"/>
                        </w:rPr>
                      </w:pPr>
                      <w:r>
                        <w:rPr>
                          <w:rFonts w:hint="eastAsia"/>
                          <w:sz w:val="28"/>
                          <w:szCs w:val="28"/>
                        </w:rPr>
                        <w:t>法定代表人或被授权人（签字或盖章）：_____________</w:t>
                      </w:r>
                    </w:p>
                    <w:p w14:paraId="6C710CC9">
                      <w:pPr>
                        <w:rPr>
                          <w:sz w:val="28"/>
                          <w:szCs w:val="28"/>
                        </w:rPr>
                      </w:pPr>
                      <w:r>
                        <w:rPr>
                          <w:rFonts w:hint="eastAsia"/>
                          <w:sz w:val="28"/>
                          <w:szCs w:val="28"/>
                        </w:rPr>
                        <w:t>时间：_______年_______月______日</w:t>
                      </w:r>
                    </w:p>
                    <w:p w14:paraId="1477B172">
                      <w:pPr>
                        <w:rPr>
                          <w:rFonts w:cs="宋体"/>
                          <w:sz w:val="28"/>
                          <w:szCs w:val="28"/>
                        </w:rPr>
                      </w:pPr>
                    </w:p>
                  </w:txbxContent>
                </v:textbox>
              </v:shape>
            </w:pict>
          </mc:Fallback>
        </mc:AlternateContent>
      </w:r>
    </w:p>
    <w:p w14:paraId="1133A61E">
      <w:pPr>
        <w:ind w:firstLine="420" w:firstLineChars="200"/>
        <w:jc w:val="center"/>
        <w:rPr>
          <w:rFonts w:asciiTheme="minorEastAsia" w:hAnsiTheme="minorEastAsia" w:eastAsiaTheme="minorEastAsia" w:cstheme="minorEastAsia"/>
          <w:highlight w:val="none"/>
        </w:rPr>
      </w:pPr>
    </w:p>
    <w:p w14:paraId="5799E6B8">
      <w:pPr>
        <w:ind w:firstLine="420" w:firstLineChars="200"/>
        <w:jc w:val="center"/>
        <w:rPr>
          <w:rFonts w:asciiTheme="minorEastAsia" w:hAnsiTheme="minorEastAsia" w:eastAsiaTheme="minorEastAsia" w:cstheme="minorEastAsia"/>
          <w:highlight w:val="none"/>
        </w:rPr>
      </w:pPr>
    </w:p>
    <w:p w14:paraId="6FC064C5">
      <w:pPr>
        <w:ind w:firstLine="420" w:firstLineChars="200"/>
        <w:jc w:val="center"/>
        <w:rPr>
          <w:rFonts w:asciiTheme="minorEastAsia" w:hAnsiTheme="minorEastAsia" w:eastAsiaTheme="minorEastAsia" w:cstheme="minorEastAsia"/>
          <w:highlight w:val="none"/>
        </w:rPr>
      </w:pPr>
    </w:p>
    <w:p w14:paraId="6FE03168">
      <w:pPr>
        <w:ind w:firstLine="420" w:firstLineChars="200"/>
        <w:jc w:val="center"/>
        <w:rPr>
          <w:rFonts w:asciiTheme="minorEastAsia" w:hAnsiTheme="minorEastAsia" w:eastAsiaTheme="minorEastAsia" w:cstheme="minorEastAsia"/>
          <w:highlight w:val="none"/>
        </w:rPr>
      </w:pPr>
    </w:p>
    <w:p w14:paraId="738CD68A">
      <w:pPr>
        <w:ind w:firstLine="420" w:firstLineChars="200"/>
        <w:jc w:val="center"/>
        <w:rPr>
          <w:rFonts w:asciiTheme="minorEastAsia" w:hAnsiTheme="minorEastAsia" w:eastAsiaTheme="minorEastAsia" w:cstheme="minorEastAsia"/>
          <w:highlight w:val="none"/>
        </w:rPr>
      </w:pPr>
    </w:p>
    <w:p w14:paraId="3CBC8CFE">
      <w:pPr>
        <w:ind w:firstLine="420" w:firstLineChars="200"/>
        <w:jc w:val="center"/>
        <w:rPr>
          <w:rFonts w:asciiTheme="minorEastAsia" w:hAnsiTheme="minorEastAsia" w:eastAsiaTheme="minorEastAsia" w:cstheme="minorEastAsia"/>
          <w:highlight w:val="none"/>
        </w:rPr>
      </w:pPr>
    </w:p>
    <w:p w14:paraId="738C4911">
      <w:pPr>
        <w:ind w:firstLine="420" w:firstLineChars="200"/>
        <w:jc w:val="center"/>
        <w:rPr>
          <w:rFonts w:asciiTheme="minorEastAsia" w:hAnsiTheme="minorEastAsia" w:eastAsiaTheme="minorEastAsia" w:cstheme="minorEastAsia"/>
          <w:highlight w:val="none"/>
        </w:rPr>
      </w:pPr>
    </w:p>
    <w:p w14:paraId="45A67276">
      <w:pPr>
        <w:ind w:firstLine="420" w:firstLineChars="200"/>
        <w:jc w:val="center"/>
        <w:rPr>
          <w:rFonts w:asciiTheme="minorEastAsia" w:hAnsiTheme="minorEastAsia" w:eastAsiaTheme="minorEastAsia" w:cstheme="minorEastAsia"/>
          <w:highlight w:val="none"/>
        </w:rPr>
      </w:pPr>
    </w:p>
    <w:p w14:paraId="1E902D63">
      <w:pPr>
        <w:ind w:firstLine="420" w:firstLineChars="200"/>
        <w:jc w:val="center"/>
        <w:rPr>
          <w:rFonts w:asciiTheme="minorEastAsia" w:hAnsiTheme="minorEastAsia" w:eastAsiaTheme="minorEastAsia" w:cstheme="minorEastAsia"/>
          <w:highlight w:val="none"/>
        </w:rPr>
      </w:pPr>
    </w:p>
    <w:p w14:paraId="3417BDA6">
      <w:pPr>
        <w:ind w:firstLine="420" w:firstLineChars="200"/>
        <w:jc w:val="center"/>
        <w:rPr>
          <w:rFonts w:asciiTheme="minorEastAsia" w:hAnsiTheme="minorEastAsia" w:eastAsiaTheme="minorEastAsia" w:cstheme="minorEastAsia"/>
          <w:highlight w:val="none"/>
        </w:rPr>
      </w:pPr>
    </w:p>
    <w:p w14:paraId="1FDCF9E4">
      <w:pPr>
        <w:ind w:firstLine="420" w:firstLineChars="200"/>
        <w:jc w:val="center"/>
        <w:rPr>
          <w:rFonts w:asciiTheme="minorEastAsia" w:hAnsiTheme="minorEastAsia" w:eastAsiaTheme="minorEastAsia" w:cstheme="minorEastAsia"/>
          <w:highlight w:val="none"/>
        </w:rPr>
      </w:pPr>
    </w:p>
    <w:p w14:paraId="7F60A412">
      <w:pPr>
        <w:ind w:firstLine="1004" w:firstLineChars="200"/>
        <w:jc w:val="center"/>
        <w:rPr>
          <w:rFonts w:asciiTheme="minorEastAsia" w:hAnsiTheme="minorEastAsia" w:eastAsiaTheme="minorEastAsia" w:cstheme="minorEastAsia"/>
          <w:b/>
          <w:bCs/>
          <w:sz w:val="50"/>
          <w:szCs w:val="50"/>
          <w:highlight w:val="none"/>
        </w:rPr>
      </w:pPr>
    </w:p>
    <w:p w14:paraId="2788B9D9">
      <w:pPr>
        <w:jc w:val="left"/>
        <w:rPr>
          <w:rFonts w:asciiTheme="minorEastAsia" w:hAnsiTheme="minorEastAsia" w:eastAsiaTheme="minorEastAsia" w:cstheme="minorEastAsia"/>
          <w:b/>
          <w:bCs/>
          <w:sz w:val="36"/>
          <w:szCs w:val="36"/>
          <w:highlight w:val="none"/>
        </w:rPr>
        <w:sectPr>
          <w:pgSz w:w="11906" w:h="16838"/>
          <w:pgMar w:top="1440" w:right="1803" w:bottom="1440" w:left="1803" w:header="850" w:footer="992" w:gutter="0"/>
          <w:cols w:space="0" w:num="1"/>
          <w:rtlGutter w:val="1"/>
          <w:docGrid w:type="lines" w:linePitch="319" w:charSpace="0"/>
        </w:sectPr>
      </w:pPr>
    </w:p>
    <w:p w14:paraId="767484E9">
      <w:pPr>
        <w:pStyle w:val="3"/>
        <w:adjustRightInd w:val="0"/>
        <w:spacing w:line="416" w:lineRule="atLeast"/>
        <w:textAlignment w:val="baseline"/>
        <w:rPr>
          <w:rFonts w:asciiTheme="minorEastAsia" w:hAnsiTheme="minorEastAsia" w:eastAsiaTheme="minorEastAsia" w:cstheme="minorEastAsia"/>
          <w:highlight w:val="none"/>
        </w:rPr>
      </w:pPr>
      <w:bookmarkStart w:id="323" w:name="_Toc9607"/>
      <w:bookmarkStart w:id="324" w:name="_Toc8177"/>
      <w:bookmarkStart w:id="325" w:name="_Toc7273"/>
      <w:bookmarkStart w:id="326" w:name="_Toc22866"/>
      <w:bookmarkStart w:id="327" w:name="_Toc20129"/>
      <w:bookmarkStart w:id="328" w:name="_Toc18247"/>
      <w:r>
        <w:rPr>
          <w:rFonts w:hint="eastAsia" w:asciiTheme="minorEastAsia" w:hAnsiTheme="minorEastAsia" w:eastAsiaTheme="minorEastAsia" w:cstheme="minorEastAsia"/>
          <w:highlight w:val="none"/>
        </w:rPr>
        <w:t>附件二、中小企业申明</w:t>
      </w:r>
      <w:bookmarkEnd w:id="323"/>
      <w:bookmarkEnd w:id="324"/>
      <w:bookmarkEnd w:id="325"/>
      <w:bookmarkEnd w:id="326"/>
      <w:bookmarkEnd w:id="327"/>
      <w:bookmarkEnd w:id="328"/>
    </w:p>
    <w:p w14:paraId="3095A56F">
      <w:pPr>
        <w:spacing w:line="588" w:lineRule="exact"/>
        <w:ind w:firstLine="504" w:firstLineChars="200"/>
        <w:rPr>
          <w:rFonts w:ascii="宋体" w:hAnsi="宋体"/>
          <w:color w:val="000000"/>
          <w:spacing w:val="6"/>
          <w:sz w:val="24"/>
          <w:highlight w:val="none"/>
        </w:rPr>
      </w:pPr>
      <w:bookmarkStart w:id="329" w:name="_Toc11556"/>
      <w:bookmarkStart w:id="330" w:name="_Toc30503"/>
      <w:bookmarkStart w:id="331" w:name="_Toc11130"/>
      <w:bookmarkStart w:id="332" w:name="_Toc3198"/>
      <w:bookmarkStart w:id="333" w:name="_Toc15467"/>
      <w:r>
        <w:rPr>
          <w:rFonts w:hint="eastAsia" w:ascii="宋体" w:hAnsi="宋体"/>
          <w:color w:val="000000"/>
          <w:spacing w:val="6"/>
          <w:sz w:val="24"/>
          <w:highlight w:val="none"/>
        </w:rPr>
        <w:t>根据《政府采购促进中小企业发展管理办法》（财库[2020]46号）的规定，由供应商自行声明并对真实性负责。如有虚假，将依法承担相应责任。</w:t>
      </w:r>
    </w:p>
    <w:p w14:paraId="1907146D">
      <w:pPr>
        <w:spacing w:line="588" w:lineRule="exact"/>
        <w:jc w:val="center"/>
        <w:rPr>
          <w:rFonts w:hint="default" w:ascii="宋体" w:hAnsi="宋体" w:eastAsia="宋体" w:cs="宋体"/>
          <w:b/>
          <w:color w:val="000000"/>
          <w:spacing w:val="6"/>
          <w:sz w:val="24"/>
          <w:szCs w:val="24"/>
          <w:highlight w:val="none"/>
          <w:lang w:val="en-US" w:eastAsia="zh-CN"/>
        </w:rPr>
      </w:pPr>
      <w:r>
        <w:rPr>
          <w:rFonts w:hint="eastAsia" w:ascii="宋体" w:hAnsi="宋体" w:eastAsia="宋体" w:cs="宋体"/>
          <w:b/>
          <w:color w:val="000000"/>
          <w:spacing w:val="6"/>
          <w:sz w:val="24"/>
          <w:szCs w:val="24"/>
          <w:highlight w:val="none"/>
        </w:rPr>
        <w:t>中小企业声明函</w:t>
      </w:r>
      <w:r>
        <w:rPr>
          <w:rFonts w:hint="eastAsia" w:ascii="宋体" w:hAnsi="宋体" w:eastAsia="宋体" w:cs="宋体"/>
          <w:b/>
          <w:color w:val="000000"/>
          <w:spacing w:val="6"/>
          <w:sz w:val="24"/>
          <w:szCs w:val="24"/>
          <w:highlight w:val="none"/>
          <w:lang w:eastAsia="zh-CN"/>
        </w:rPr>
        <w:t>（</w:t>
      </w:r>
      <w:r>
        <w:rPr>
          <w:rFonts w:hint="eastAsia" w:ascii="宋体" w:hAnsi="宋体" w:eastAsia="宋体" w:cs="宋体"/>
          <w:b/>
          <w:color w:val="000000"/>
          <w:spacing w:val="6"/>
          <w:sz w:val="24"/>
          <w:szCs w:val="24"/>
          <w:highlight w:val="none"/>
          <w:lang w:val="en-US" w:eastAsia="zh-CN"/>
        </w:rPr>
        <w:t>货物）</w:t>
      </w:r>
    </w:p>
    <w:p w14:paraId="6C489EA4">
      <w:pPr>
        <w:pStyle w:val="11"/>
        <w:spacing w:before="55" w:line="360" w:lineRule="auto"/>
        <w:ind w:right="415" w:firstLine="640"/>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本公司</w:t>
      </w:r>
      <w:r>
        <w:rPr>
          <w:rFonts w:ascii="宋体" w:hAnsi="宋体" w:eastAsia="宋体" w:cs="宋体"/>
          <w:sz w:val="24"/>
          <w:szCs w:val="24"/>
          <w:highlight w:val="none"/>
        </w:rPr>
        <w:t>（联合体）</w:t>
      </w:r>
      <w:r>
        <w:rPr>
          <w:rFonts w:hint="eastAsia" w:ascii="宋体" w:hAnsi="宋体" w:eastAsia="宋体" w:cs="宋体"/>
          <w:color w:val="000000"/>
          <w:spacing w:val="6"/>
          <w:sz w:val="24"/>
          <w:highlight w:val="none"/>
        </w:rPr>
        <w:t>郑重声明，根据《政府采购促进中小企业发展管理办法》（财库﹝2020﹞46 号）的规定，本公司</w:t>
      </w:r>
      <w:r>
        <w:rPr>
          <w:rFonts w:ascii="宋体" w:hAnsi="宋体" w:eastAsia="宋体" w:cs="宋体"/>
          <w:sz w:val="24"/>
          <w:szCs w:val="24"/>
          <w:highlight w:val="none"/>
        </w:rPr>
        <w:t>（联合体）</w:t>
      </w:r>
      <w:r>
        <w:rPr>
          <w:rFonts w:hint="eastAsia" w:ascii="宋体" w:hAnsi="宋体" w:eastAsia="宋体" w:cs="宋体"/>
          <w:color w:val="000000"/>
          <w:spacing w:val="6"/>
          <w:sz w:val="24"/>
          <w:highlight w:val="none"/>
        </w:rPr>
        <w:t>参加</w:t>
      </w:r>
      <w:r>
        <w:rPr>
          <w:rFonts w:hint="eastAsia" w:ascii="宋体" w:hAnsi="宋体" w:eastAsia="宋体" w:cs="宋体"/>
          <w:color w:val="000000"/>
          <w:spacing w:val="6"/>
          <w:sz w:val="24"/>
          <w:highlight w:val="none"/>
          <w:u w:val="single"/>
        </w:rPr>
        <w:t>（单位名称）</w:t>
      </w:r>
      <w:r>
        <w:rPr>
          <w:rFonts w:hint="eastAsia" w:ascii="宋体" w:hAnsi="宋体" w:eastAsia="宋体" w:cs="宋体"/>
          <w:color w:val="000000"/>
          <w:spacing w:val="6"/>
          <w:sz w:val="24"/>
          <w:highlight w:val="none"/>
        </w:rPr>
        <w:t>的</w:t>
      </w:r>
      <w:r>
        <w:rPr>
          <w:rFonts w:hint="eastAsia" w:ascii="宋体" w:hAnsi="宋体" w:eastAsia="宋体" w:cs="宋体"/>
          <w:color w:val="000000"/>
          <w:spacing w:val="6"/>
          <w:sz w:val="24"/>
          <w:highlight w:val="none"/>
          <w:u w:val="single"/>
        </w:rPr>
        <w:t>（项目名称）</w:t>
      </w:r>
      <w:r>
        <w:rPr>
          <w:rFonts w:hint="eastAsia" w:ascii="宋体" w:hAnsi="宋体" w:eastAsia="宋体" w:cs="宋体"/>
          <w:color w:val="000000"/>
          <w:spacing w:val="6"/>
          <w:sz w:val="24"/>
          <w:highlight w:val="none"/>
        </w:rPr>
        <w:t>采购活动，提供的货物全部由符合政策要求的中小企业制造。相关企业的具体情况如下：</w:t>
      </w:r>
    </w:p>
    <w:p w14:paraId="2B82E439">
      <w:pPr>
        <w:pStyle w:val="91"/>
        <w:numPr>
          <w:ilvl w:val="0"/>
          <w:numId w:val="26"/>
        </w:numPr>
        <w:tabs>
          <w:tab w:val="left" w:pos="1183"/>
          <w:tab w:val="left" w:pos="1484"/>
          <w:tab w:val="left" w:pos="4662"/>
          <w:tab w:val="left" w:pos="6903"/>
        </w:tabs>
        <w:spacing w:line="360" w:lineRule="auto"/>
        <w:ind w:right="169" w:firstLine="504"/>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u w:val="single"/>
        </w:rPr>
        <w:t xml:space="preserve">（ 标 的 名 称 ） </w:t>
      </w:r>
      <w:r>
        <w:rPr>
          <w:rFonts w:hint="eastAsia" w:ascii="宋体" w:hAnsi="宋体" w:eastAsia="宋体" w:cs="宋体"/>
          <w:color w:val="000000"/>
          <w:spacing w:val="6"/>
          <w:sz w:val="24"/>
          <w:highlight w:val="none"/>
        </w:rPr>
        <w:t xml:space="preserve">， 属 于 </w:t>
      </w:r>
      <w:r>
        <w:rPr>
          <w:rFonts w:hint="eastAsia" w:ascii="宋体" w:hAnsi="宋体" w:eastAsia="宋体" w:cs="宋体"/>
          <w:color w:val="000000"/>
          <w:spacing w:val="6"/>
          <w:sz w:val="24"/>
          <w:highlight w:val="none"/>
          <w:u w:val="single"/>
        </w:rPr>
        <w:t xml:space="preserve">（ 所 属 行 业 ） </w:t>
      </w:r>
      <w:r>
        <w:rPr>
          <w:rFonts w:hint="eastAsia" w:ascii="宋体" w:hAnsi="宋体" w:eastAsia="宋体" w:cs="宋体"/>
          <w:color w:val="000000"/>
          <w:spacing w:val="6"/>
          <w:sz w:val="24"/>
          <w:highlight w:val="none"/>
        </w:rPr>
        <w:t>行业；制造商为</w:t>
      </w:r>
      <w:r>
        <w:rPr>
          <w:rFonts w:hint="eastAsia" w:ascii="宋体" w:hAnsi="宋体" w:eastAsia="宋体" w:cs="宋体"/>
          <w:color w:val="000000"/>
          <w:spacing w:val="6"/>
          <w:sz w:val="24"/>
          <w:highlight w:val="none"/>
          <w:u w:val="single"/>
        </w:rPr>
        <w:t>（企业名称）</w:t>
      </w:r>
      <w:r>
        <w:rPr>
          <w:rFonts w:hint="eastAsia" w:ascii="宋体" w:hAnsi="宋体" w:eastAsia="宋体" w:cs="宋体"/>
          <w:color w:val="000000"/>
          <w:spacing w:val="6"/>
          <w:sz w:val="24"/>
          <w:highlight w:val="none"/>
        </w:rPr>
        <w:t>，从业人员</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人，营业收入为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万元，资产总额为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万元，属于</w:t>
      </w:r>
      <w:r>
        <w:rPr>
          <w:rFonts w:hint="eastAsia" w:ascii="宋体" w:hAnsi="宋体" w:eastAsia="宋体" w:cs="宋体"/>
          <w:color w:val="000000"/>
          <w:spacing w:val="6"/>
          <w:sz w:val="24"/>
          <w:highlight w:val="none"/>
          <w:u w:val="single"/>
        </w:rPr>
        <w:t>（中型企业、小型企业、微型企业）</w:t>
      </w:r>
      <w:r>
        <w:rPr>
          <w:rFonts w:hint="eastAsia" w:ascii="宋体" w:hAnsi="宋体" w:eastAsia="宋体" w:cs="宋体"/>
          <w:color w:val="000000"/>
          <w:spacing w:val="6"/>
          <w:sz w:val="24"/>
          <w:highlight w:val="none"/>
        </w:rPr>
        <w:t>；</w:t>
      </w:r>
    </w:p>
    <w:p w14:paraId="24EDFB21">
      <w:pPr>
        <w:pStyle w:val="91"/>
        <w:numPr>
          <w:ilvl w:val="0"/>
          <w:numId w:val="26"/>
        </w:numPr>
        <w:tabs>
          <w:tab w:val="left" w:pos="1165"/>
          <w:tab w:val="left" w:pos="1183"/>
          <w:tab w:val="left" w:pos="4362"/>
          <w:tab w:val="left" w:pos="6577"/>
        </w:tabs>
        <w:spacing w:line="360" w:lineRule="auto"/>
        <w:ind w:right="169" w:firstLine="504"/>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u w:val="single"/>
        </w:rPr>
        <w:t xml:space="preserve">（ 标 的 名 称 ） </w:t>
      </w:r>
      <w:r>
        <w:rPr>
          <w:rFonts w:hint="eastAsia" w:ascii="宋体" w:hAnsi="宋体" w:eastAsia="宋体" w:cs="宋体"/>
          <w:color w:val="000000"/>
          <w:spacing w:val="6"/>
          <w:sz w:val="24"/>
          <w:highlight w:val="none"/>
        </w:rPr>
        <w:t xml:space="preserve">， 属 于 </w:t>
      </w:r>
      <w:r>
        <w:rPr>
          <w:rFonts w:hint="eastAsia" w:ascii="宋体" w:hAnsi="宋体" w:eastAsia="宋体" w:cs="宋体"/>
          <w:color w:val="000000"/>
          <w:spacing w:val="6"/>
          <w:sz w:val="24"/>
          <w:highlight w:val="none"/>
          <w:u w:val="single"/>
        </w:rPr>
        <w:t xml:space="preserve">（ 所 属 行 业 ） </w:t>
      </w:r>
      <w:r>
        <w:rPr>
          <w:rFonts w:hint="eastAsia" w:ascii="宋体" w:hAnsi="宋体" w:eastAsia="宋体" w:cs="宋体"/>
          <w:color w:val="000000"/>
          <w:spacing w:val="6"/>
          <w:sz w:val="24"/>
          <w:highlight w:val="none"/>
        </w:rPr>
        <w:t>行业；制造商为</w:t>
      </w:r>
      <w:r>
        <w:rPr>
          <w:rFonts w:hint="eastAsia" w:ascii="宋体" w:hAnsi="宋体" w:eastAsia="宋体" w:cs="宋体"/>
          <w:color w:val="000000"/>
          <w:spacing w:val="6"/>
          <w:sz w:val="24"/>
          <w:highlight w:val="none"/>
          <w:u w:val="single"/>
        </w:rPr>
        <w:t>（企业名称）</w:t>
      </w:r>
      <w:r>
        <w:rPr>
          <w:rFonts w:hint="eastAsia" w:ascii="宋体" w:hAnsi="宋体" w:eastAsia="宋体" w:cs="宋体"/>
          <w:color w:val="000000"/>
          <w:spacing w:val="6"/>
          <w:sz w:val="24"/>
          <w:highlight w:val="none"/>
        </w:rPr>
        <w:t>，从业人员人，营业收入为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万元，资产总额为</w:t>
      </w:r>
      <w:r>
        <w:rPr>
          <w:rFonts w:hint="eastAsia" w:ascii="宋体" w:hAnsi="宋体" w:eastAsia="宋体" w:cs="宋体"/>
          <w:color w:val="000000"/>
          <w:spacing w:val="6"/>
          <w:sz w:val="24"/>
          <w:highlight w:val="none"/>
          <w:u w:val="single"/>
        </w:rPr>
        <w:tab/>
      </w:r>
      <w:r>
        <w:rPr>
          <w:rFonts w:hint="eastAsia" w:ascii="宋体" w:hAnsi="宋体" w:eastAsia="宋体" w:cs="宋体"/>
          <w:color w:val="000000"/>
          <w:spacing w:val="6"/>
          <w:sz w:val="24"/>
          <w:highlight w:val="none"/>
        </w:rPr>
        <w:t>万元，属于</w:t>
      </w:r>
      <w:r>
        <w:rPr>
          <w:rFonts w:hint="eastAsia" w:ascii="宋体" w:hAnsi="宋体" w:eastAsia="宋体" w:cs="宋体"/>
          <w:color w:val="000000"/>
          <w:spacing w:val="6"/>
          <w:sz w:val="24"/>
          <w:highlight w:val="none"/>
          <w:u w:val="single"/>
        </w:rPr>
        <w:t>（中型企业、小型企业、微型企业）</w:t>
      </w:r>
      <w:r>
        <w:rPr>
          <w:rFonts w:hint="eastAsia" w:ascii="宋体" w:hAnsi="宋体" w:eastAsia="宋体" w:cs="宋体"/>
          <w:color w:val="000000"/>
          <w:spacing w:val="6"/>
          <w:sz w:val="24"/>
          <w:highlight w:val="none"/>
        </w:rPr>
        <w:t>；</w:t>
      </w:r>
    </w:p>
    <w:p w14:paraId="17F101C9">
      <w:pPr>
        <w:pStyle w:val="11"/>
        <w:spacing w:line="360" w:lineRule="auto"/>
        <w:ind w:left="860"/>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w:t>
      </w:r>
    </w:p>
    <w:p w14:paraId="5C2CF5E6">
      <w:pPr>
        <w:pStyle w:val="11"/>
        <w:spacing w:before="105" w:line="360" w:lineRule="auto"/>
        <w:ind w:right="417" w:firstLine="645"/>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以上企业，不属于大企业的分支机构，不存在控股股东为大企业的情形，也不存在与大企业的负责人为同一人的情形。</w:t>
      </w:r>
    </w:p>
    <w:p w14:paraId="73F3FE3A">
      <w:pPr>
        <w:pStyle w:val="11"/>
        <w:spacing w:line="360" w:lineRule="auto"/>
        <w:ind w:right="372" w:firstLine="645"/>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本企业对上述声明内容的真实性负责。如有虚假，将依法承担相应责任。</w:t>
      </w:r>
    </w:p>
    <w:p w14:paraId="63BFE2E1">
      <w:pPr>
        <w:spacing w:line="360" w:lineRule="auto"/>
        <w:jc w:val="left"/>
        <w:rPr>
          <w:rFonts w:ascii="宋体" w:hAnsi="宋体" w:eastAsia="宋体" w:cs="宋体"/>
          <w:color w:val="000000"/>
          <w:spacing w:val="6"/>
          <w:sz w:val="24"/>
          <w:highlight w:val="none"/>
        </w:rPr>
      </w:pPr>
    </w:p>
    <w:p w14:paraId="73338C46">
      <w:pPr>
        <w:spacing w:line="360" w:lineRule="auto"/>
        <w:jc w:val="left"/>
        <w:rPr>
          <w:rFonts w:ascii="宋体" w:hAnsi="宋体" w:eastAsia="宋体" w:cs="宋体"/>
          <w:color w:val="000000"/>
          <w:spacing w:val="6"/>
          <w:sz w:val="24"/>
          <w:highlight w:val="none"/>
        </w:rPr>
      </w:pPr>
    </w:p>
    <w:p w14:paraId="3016FC00">
      <w:pPr>
        <w:spacing w:line="360" w:lineRule="auto"/>
        <w:jc w:val="left"/>
        <w:rPr>
          <w:rFonts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企业名称（盖章）：</w:t>
      </w:r>
    </w:p>
    <w:p w14:paraId="53617C03">
      <w:pPr>
        <w:spacing w:line="588" w:lineRule="exact"/>
        <w:rPr>
          <w:rFonts w:hint="eastAsia" w:ascii="宋体" w:hAnsi="宋体" w:eastAsia="宋体" w:cs="宋体"/>
          <w:color w:val="000000"/>
          <w:spacing w:val="6"/>
          <w:sz w:val="24"/>
          <w:highlight w:val="none"/>
        </w:rPr>
      </w:pPr>
      <w:r>
        <w:rPr>
          <w:rFonts w:hint="eastAsia" w:ascii="宋体" w:hAnsi="宋体" w:eastAsia="宋体" w:cs="宋体"/>
          <w:color w:val="000000"/>
          <w:spacing w:val="6"/>
          <w:sz w:val="24"/>
          <w:highlight w:val="none"/>
        </w:rPr>
        <w:t>日期：</w:t>
      </w:r>
    </w:p>
    <w:p w14:paraId="1DAB765A">
      <w:pPr>
        <w:bidi w:val="0"/>
        <w:rPr>
          <w:rFonts w:hint="eastAsia"/>
          <w:highlight w:val="none"/>
        </w:rPr>
      </w:pPr>
    </w:p>
    <w:p w14:paraId="43B81B49">
      <w:pPr>
        <w:spacing w:line="360" w:lineRule="auto"/>
        <w:rPr>
          <w:rFonts w:ascii="宋体" w:hAnsi="宋体"/>
          <w:spacing w:val="6"/>
          <w:sz w:val="24"/>
          <w:szCs w:val="24"/>
          <w:highlight w:val="none"/>
        </w:rPr>
      </w:pPr>
      <w:r>
        <w:rPr>
          <w:rFonts w:hint="eastAsia" w:ascii="宋体" w:hAnsi="宋体" w:cs="宋体"/>
          <w:sz w:val="21"/>
          <w:szCs w:val="21"/>
          <w:highlight w:val="none"/>
          <w:lang w:val="en-US" w:eastAsia="zh-CN"/>
        </w:rPr>
        <w:t>注：</w:t>
      </w:r>
      <w:r>
        <w:rPr>
          <w:rFonts w:ascii="宋体" w:hAnsi="宋体" w:eastAsia="宋体" w:cs="宋体"/>
          <w:sz w:val="21"/>
          <w:szCs w:val="21"/>
          <w:highlight w:val="none"/>
        </w:rPr>
        <w:t xml:space="preserve"> 从业人员、营业收入、资产总额填报上一年度数据，无上一年度数据的新成立企业可不填报。</w:t>
      </w:r>
    </w:p>
    <w:p w14:paraId="66C00846">
      <w:pPr>
        <w:spacing w:line="588" w:lineRule="exact"/>
        <w:ind w:firstLine="504" w:firstLineChars="200"/>
        <w:rPr>
          <w:rFonts w:ascii="宋体" w:hAnsi="宋体" w:cs="宋体"/>
          <w:spacing w:val="6"/>
          <w:sz w:val="24"/>
          <w:szCs w:val="24"/>
          <w:highlight w:val="none"/>
        </w:rPr>
        <w:sectPr>
          <w:footerReference r:id="rId19" w:type="default"/>
          <w:pgSz w:w="11906" w:h="16838"/>
          <w:pgMar w:top="1440" w:right="1803" w:bottom="1440" w:left="1803" w:header="850" w:footer="992" w:gutter="0"/>
          <w:cols w:space="0" w:num="1"/>
          <w:rtlGutter w:val="1"/>
          <w:docGrid w:type="lines" w:linePitch="319" w:charSpace="0"/>
        </w:sectPr>
      </w:pPr>
    </w:p>
    <w:p w14:paraId="3778C60B">
      <w:pPr>
        <w:pStyle w:val="3"/>
        <w:adjustRightInd w:val="0"/>
        <w:spacing w:line="416" w:lineRule="atLeast"/>
        <w:textAlignment w:val="baseline"/>
        <w:rPr>
          <w:rFonts w:asciiTheme="minorEastAsia" w:hAnsiTheme="minorEastAsia" w:eastAsiaTheme="minorEastAsia" w:cstheme="minorEastAsia"/>
          <w:highlight w:val="none"/>
        </w:rPr>
      </w:pPr>
      <w:bookmarkStart w:id="334" w:name="_Toc7404"/>
      <w:r>
        <w:rPr>
          <w:rFonts w:hint="eastAsia" w:asciiTheme="minorEastAsia" w:hAnsiTheme="minorEastAsia" w:eastAsiaTheme="minorEastAsia" w:cstheme="minorEastAsia"/>
          <w:highlight w:val="none"/>
        </w:rPr>
        <w:t>附件三、残疾人福利性单位声明</w:t>
      </w:r>
      <w:bookmarkEnd w:id="329"/>
      <w:bookmarkEnd w:id="330"/>
      <w:bookmarkEnd w:id="331"/>
      <w:bookmarkEnd w:id="332"/>
      <w:bookmarkEnd w:id="334"/>
    </w:p>
    <w:p w14:paraId="0A1C5B31">
      <w:pPr>
        <w:spacing w:line="588" w:lineRule="exact"/>
        <w:ind w:firstLine="504"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spacing w:val="6"/>
          <w:sz w:val="24"/>
          <w:highlight w:val="none"/>
        </w:rPr>
        <w:t>根据《关于促进残疾人就业政府采购政策的通知》财库〔2017〕141号的规定由供应商自行申明，并对声明的真实性负责，如有虚假，将依法承担相应责任。</w:t>
      </w:r>
      <w:bookmarkStart w:id="335" w:name="sendNo"/>
      <w:bookmarkEnd w:id="335"/>
    </w:p>
    <w:bookmarkEnd w:id="333"/>
    <w:p w14:paraId="5E39655F">
      <w:pPr>
        <w:spacing w:line="588" w:lineRule="exact"/>
        <w:jc w:val="center"/>
        <w:rPr>
          <w:rFonts w:ascii="宋体" w:hAnsi="宋体" w:cs="宋体"/>
          <w:b/>
          <w:color w:val="000000"/>
          <w:spacing w:val="6"/>
          <w:sz w:val="24"/>
          <w:szCs w:val="24"/>
          <w:highlight w:val="none"/>
        </w:rPr>
      </w:pPr>
      <w:bookmarkStart w:id="336" w:name="OLE_LINK14"/>
      <w:r>
        <w:rPr>
          <w:rFonts w:hint="eastAsia" w:ascii="宋体" w:hAnsi="宋体" w:cs="宋体"/>
          <w:b/>
          <w:color w:val="000000"/>
          <w:spacing w:val="6"/>
          <w:sz w:val="24"/>
          <w:szCs w:val="24"/>
          <w:highlight w:val="none"/>
        </w:rPr>
        <w:t>残疾人福利性单位声明函</w:t>
      </w:r>
      <w:bookmarkEnd w:id="336"/>
    </w:p>
    <w:p w14:paraId="6681EA18">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本单位郑重声明，根据《财政部 民政部 中国残疾人联合会关于促进残疾人就业政府采购政策的通知》（财库</w:t>
      </w:r>
      <w:r>
        <w:rPr>
          <w:rFonts w:hint="eastAsia" w:ascii="宋体" w:hAnsi="宋体" w:cs="宋体"/>
          <w:sz w:val="24"/>
          <w:szCs w:val="24"/>
          <w:highlight w:val="none"/>
        </w:rPr>
        <w:t>〔2017〕 141</w:t>
      </w:r>
      <w:r>
        <w:rPr>
          <w:rFonts w:hint="eastAsia" w:ascii="宋体" w:hAnsi="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C0A8D54">
      <w:pPr>
        <w:tabs>
          <w:tab w:val="left" w:pos="4860"/>
        </w:tabs>
        <w:spacing w:line="588" w:lineRule="exact"/>
        <w:ind w:right="1560" w:firstLine="504" w:firstLineChars="200"/>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单位名称（盖章）：</w:t>
      </w:r>
    </w:p>
    <w:p w14:paraId="680BFC8B">
      <w:pPr>
        <w:tabs>
          <w:tab w:val="left" w:pos="4860"/>
        </w:tabs>
        <w:spacing w:line="588" w:lineRule="exact"/>
        <w:ind w:right="1560" w:firstLine="504" w:firstLineChars="200"/>
        <w:jc w:val="left"/>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日  期：</w:t>
      </w:r>
    </w:p>
    <w:p w14:paraId="2C23E5EC">
      <w:pPr>
        <w:pStyle w:val="3"/>
        <w:rPr>
          <w:rFonts w:ascii="宋体" w:hAnsi="宋体" w:cs="宋体"/>
          <w:color w:val="000000"/>
          <w:highlight w:val="none"/>
        </w:rPr>
      </w:pPr>
      <w:bookmarkStart w:id="337" w:name="_Toc30368"/>
      <w:bookmarkStart w:id="338" w:name="_Toc3053"/>
      <w:bookmarkStart w:id="339" w:name="_Toc5830"/>
      <w:r>
        <w:rPr>
          <w:rFonts w:hint="eastAsia"/>
          <w:color w:val="000000"/>
          <w:highlight w:val="none"/>
        </w:rPr>
        <w:t>附件四、监狱企业证明文件</w:t>
      </w:r>
      <w:bookmarkEnd w:id="337"/>
      <w:bookmarkEnd w:id="338"/>
      <w:bookmarkEnd w:id="339"/>
    </w:p>
    <w:p w14:paraId="774CFB02">
      <w:pPr>
        <w:rPr>
          <w:rFonts w:ascii="宋体" w:hAnsi="宋体" w:cs="宋体"/>
          <w:color w:val="000000"/>
          <w:highlight w:val="none"/>
        </w:rPr>
      </w:pPr>
    </w:p>
    <w:p w14:paraId="052B47A2">
      <w:pPr>
        <w:spacing w:line="588" w:lineRule="exact"/>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2922B72E">
      <w:pPr>
        <w:pStyle w:val="3"/>
        <w:adjustRightInd w:val="0"/>
        <w:spacing w:line="416" w:lineRule="atLeast"/>
        <w:textAlignment w:val="baseline"/>
        <w:rPr>
          <w:rFonts w:ascii="宋体" w:hAnsi="宋体" w:cs="宋体"/>
          <w:color w:val="000000"/>
          <w:highlight w:val="none"/>
        </w:rPr>
      </w:pPr>
      <w:bookmarkStart w:id="340" w:name="_Toc563"/>
      <w:bookmarkStart w:id="341" w:name="_Toc11969"/>
      <w:bookmarkStart w:id="342" w:name="_Toc2126"/>
      <w:bookmarkStart w:id="343" w:name="_Toc13122"/>
      <w:bookmarkStart w:id="344" w:name="_Toc10783"/>
      <w:bookmarkStart w:id="345" w:name="_Toc13303"/>
      <w:bookmarkStart w:id="346" w:name="_Toc2057"/>
      <w:r>
        <w:rPr>
          <w:rFonts w:hint="eastAsia" w:ascii="宋体" w:hAnsi="宋体" w:cs="宋体"/>
          <w:color w:val="000000"/>
          <w:highlight w:val="none"/>
        </w:rPr>
        <w:t>附件五、“节能产品”，“环境标志产品”证明材料</w:t>
      </w:r>
      <w:bookmarkEnd w:id="340"/>
      <w:bookmarkEnd w:id="341"/>
      <w:bookmarkEnd w:id="342"/>
      <w:bookmarkEnd w:id="343"/>
      <w:bookmarkEnd w:id="344"/>
      <w:bookmarkEnd w:id="345"/>
      <w:bookmarkEnd w:id="346"/>
    </w:p>
    <w:p w14:paraId="3D61A3AA">
      <w:pPr>
        <w:widowControl/>
        <w:spacing w:line="360" w:lineRule="auto"/>
        <w:ind w:firstLine="504" w:firstLineChars="200"/>
        <w:rPr>
          <w:rFonts w:ascii="宋体" w:hAnsi="宋体" w:cs="宋体"/>
          <w:spacing w:val="6"/>
          <w:sz w:val="24"/>
          <w:szCs w:val="24"/>
          <w:highlight w:val="none"/>
        </w:rPr>
      </w:pPr>
      <w:r>
        <w:rPr>
          <w:rFonts w:hint="eastAsia" w:ascii="宋体" w:hAnsi="宋体" w:cs="宋体"/>
          <w:spacing w:val="6"/>
          <w:sz w:val="24"/>
          <w:szCs w:val="24"/>
          <w:highlight w:val="none"/>
        </w:rPr>
        <w:t>1、供应商提供的产品属于下列情形，应按照招标文件第三部分供应商须知总则第六款规定提供产品列入“节能产品品目清单”，“环境标志产品品目清单”相应产品的国家确定的认证机构出具的、处于有效期内的节能产品、环境标志产品认证证书。</w:t>
      </w:r>
    </w:p>
    <w:p w14:paraId="366A082C">
      <w:pPr>
        <w:widowControl/>
        <w:spacing w:line="360" w:lineRule="auto"/>
        <w:ind w:left="420" w:leftChars="200"/>
        <w:rPr>
          <w:rFonts w:ascii="宋体" w:hAnsi="宋体" w:cs="宋体"/>
          <w:sz w:val="24"/>
          <w:szCs w:val="24"/>
          <w:highlight w:val="none"/>
        </w:rPr>
      </w:pPr>
      <w:r>
        <w:rPr>
          <w:rFonts w:hint="eastAsia" w:ascii="宋体" w:hAnsi="宋体" w:cs="宋体"/>
          <w:sz w:val="24"/>
          <w:szCs w:val="24"/>
          <w:highlight w:val="none"/>
        </w:rPr>
        <w:t>2、未按照上述要求提供的，评审时不予以考虑。</w:t>
      </w:r>
    </w:p>
    <w:p w14:paraId="7FCF74CD">
      <w:pPr>
        <w:pStyle w:val="3"/>
        <w:adjustRightInd w:val="0"/>
        <w:spacing w:line="416" w:lineRule="atLeast"/>
        <w:textAlignment w:val="baseline"/>
        <w:rPr>
          <w:rFonts w:asciiTheme="minorEastAsia" w:hAnsiTheme="minorEastAsia" w:eastAsiaTheme="minorEastAsia" w:cstheme="minorEastAsia"/>
          <w:highlight w:val="none"/>
        </w:rPr>
      </w:pPr>
      <w:bookmarkStart w:id="347" w:name="_Toc27196"/>
      <w:bookmarkStart w:id="348" w:name="_Toc5338"/>
      <w:bookmarkStart w:id="349" w:name="_Toc654"/>
      <w:bookmarkStart w:id="350" w:name="_Toc11924"/>
      <w:bookmarkStart w:id="351" w:name="_Toc3159"/>
      <w:bookmarkStart w:id="352" w:name="_Toc4757"/>
      <w:r>
        <w:rPr>
          <w:rFonts w:hint="eastAsia" w:asciiTheme="minorEastAsia" w:hAnsiTheme="minorEastAsia" w:eastAsiaTheme="minorEastAsia" w:cstheme="minorEastAsia"/>
          <w:highlight w:val="none"/>
        </w:rPr>
        <w:t>附件六、质疑函样本</w:t>
      </w:r>
      <w:bookmarkEnd w:id="347"/>
    </w:p>
    <w:p w14:paraId="35ED8896">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一、质疑供应商基本信息</w:t>
      </w:r>
    </w:p>
    <w:p w14:paraId="19E8011E">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质疑供应商：                                        </w:t>
      </w:r>
    </w:p>
    <w:p w14:paraId="17BDC18D">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地址：                          邮编：                                                   </w:t>
      </w:r>
    </w:p>
    <w:p w14:paraId="663FCD64">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联系人：                      联系电话：                              </w:t>
      </w:r>
    </w:p>
    <w:p w14:paraId="7DC335CE">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授权代表：                                          </w:t>
      </w:r>
    </w:p>
    <w:p w14:paraId="21A4D219">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联系电话：                                            </w:t>
      </w:r>
    </w:p>
    <w:p w14:paraId="190F4E91">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地址：                         邮编：                                                </w:t>
      </w:r>
    </w:p>
    <w:p w14:paraId="7B5EF03C">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二、质疑项目基本情况</w:t>
      </w:r>
    </w:p>
    <w:p w14:paraId="0DCA9F5C">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质疑项目的名称：                                      </w:t>
      </w:r>
    </w:p>
    <w:p w14:paraId="75641342">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质疑项目的编号：               ：                 </w:t>
      </w:r>
    </w:p>
    <w:p w14:paraId="309551FC">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采购人名称：                                         </w:t>
      </w:r>
    </w:p>
    <w:p w14:paraId="0637AC16">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采购文件获取日期：                                           </w:t>
      </w:r>
    </w:p>
    <w:p w14:paraId="1E427AA1">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三、质疑事项具体内容</w:t>
      </w:r>
    </w:p>
    <w:p w14:paraId="55E4DF12">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质疑事项1：                                         </w:t>
      </w:r>
    </w:p>
    <w:p w14:paraId="5ADAB459">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事实依据：                                                                                               </w:t>
      </w:r>
    </w:p>
    <w:p w14:paraId="14EBC8DA">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法律依据：                                                                                               </w:t>
      </w:r>
    </w:p>
    <w:p w14:paraId="744EFFD6">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质疑事项2</w:t>
      </w:r>
    </w:p>
    <w:p w14:paraId="4CC8E0E8">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w:t>
      </w:r>
    </w:p>
    <w:p w14:paraId="0AA20677">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四、与质疑事项相关的质疑请求</w:t>
      </w:r>
    </w:p>
    <w:p w14:paraId="23F3571C">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请求：                                               </w:t>
      </w:r>
    </w:p>
    <w:p w14:paraId="68EE8A6E">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签字(签章)：                   公章：                      </w:t>
      </w:r>
    </w:p>
    <w:p w14:paraId="7A8DCC4D">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日期：    </w:t>
      </w:r>
    </w:p>
    <w:p w14:paraId="68A0030F">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质疑函制作说明：</w:t>
      </w:r>
    </w:p>
    <w:p w14:paraId="3911B06D">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1.供应商提出质疑时，应提交质疑函和必要的证明材料。</w:t>
      </w:r>
    </w:p>
    <w:p w14:paraId="30EE5CEE">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8C90A05">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3.质疑供应商若对项目的某一分包进行质疑，质疑函中应列明具体分。</w:t>
      </w:r>
    </w:p>
    <w:p w14:paraId="220C1563">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4.质疑函的质疑事项应具体、明确，并有必要的事实依据和法律依据。</w:t>
      </w:r>
    </w:p>
    <w:p w14:paraId="30005275">
      <w:pPr>
        <w:keepNext/>
        <w:keepLines/>
        <w:adjustRightInd w:val="0"/>
        <w:spacing w:line="416" w:lineRule="atLeast"/>
        <w:textAlignment w:val="baseline"/>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5.质疑函的质疑请求应与质疑事项相关。</w:t>
      </w:r>
    </w:p>
    <w:p w14:paraId="557BB1ED">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6.质疑供应商为自然人的，质疑函应由本人签字；质疑供应商为法人或者其他组织的，质疑函应由法定代表人、主要负责人，或者其授权代表签字或者盖章，并加盖公章。</w:t>
      </w:r>
    </w:p>
    <w:p w14:paraId="1C2D2FEE">
      <w:pPr>
        <w:rPr>
          <w:rFonts w:asciiTheme="minorEastAsia" w:hAnsiTheme="minorEastAsia" w:eastAsiaTheme="minorEastAsia" w:cstheme="minorEastAsia"/>
          <w:highlight w:val="none"/>
        </w:rPr>
      </w:pPr>
    </w:p>
    <w:p w14:paraId="1BF7C21B">
      <w:pPr>
        <w:pStyle w:val="3"/>
        <w:adjustRightInd w:val="0"/>
        <w:spacing w:line="416" w:lineRule="atLeast"/>
        <w:textAlignment w:val="baseline"/>
        <w:rPr>
          <w:rFonts w:asciiTheme="minorEastAsia" w:hAnsiTheme="minorEastAsia" w:eastAsiaTheme="minorEastAsia" w:cstheme="minorEastAsia"/>
          <w:highlight w:val="none"/>
        </w:rPr>
      </w:pPr>
      <w:bookmarkStart w:id="353" w:name="_Toc27236"/>
      <w:r>
        <w:rPr>
          <w:rFonts w:hint="eastAsia" w:asciiTheme="minorEastAsia" w:hAnsiTheme="minorEastAsia" w:eastAsiaTheme="minorEastAsia" w:cstheme="minorEastAsia"/>
          <w:highlight w:val="none"/>
        </w:rPr>
        <w:t>附件七、保证金退还账户信息确认表</w:t>
      </w:r>
      <w:bookmarkEnd w:id="348"/>
      <w:bookmarkEnd w:id="349"/>
      <w:bookmarkEnd w:id="350"/>
      <w:bookmarkEnd w:id="351"/>
      <w:bookmarkEnd w:id="352"/>
      <w:bookmarkEnd w:id="353"/>
      <w:bookmarkStart w:id="354" w:name="_Toc378248335"/>
    </w:p>
    <w:p w14:paraId="13D6C204">
      <w:pPr>
        <w:rPr>
          <w:rFonts w:asciiTheme="minorEastAsia" w:hAnsiTheme="minorEastAsia" w:eastAsiaTheme="minorEastAsia" w:cstheme="minorEastAsia"/>
          <w:highlight w:val="none"/>
        </w:rPr>
      </w:pPr>
    </w:p>
    <w:p w14:paraId="1438A5A9">
      <w:pP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kern w:val="0"/>
          <w:sz w:val="24"/>
          <w:szCs w:val="24"/>
          <w:highlight w:val="none"/>
        </w:rPr>
        <w:t>_____________________________</w:t>
      </w:r>
    </w:p>
    <w:p w14:paraId="39AB7CB6">
      <w:pPr>
        <w:tabs>
          <w:tab w:val="center" w:pos="4150"/>
        </w:tabs>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项目编号：</w:t>
      </w:r>
      <w:bookmarkEnd w:id="354"/>
      <w:r>
        <w:rPr>
          <w:rFonts w:hint="eastAsia" w:asciiTheme="minorEastAsia" w:hAnsiTheme="minorEastAsia" w:eastAsiaTheme="minorEastAsia" w:cstheme="minorEastAsia"/>
          <w:kern w:val="0"/>
          <w:sz w:val="24"/>
          <w:szCs w:val="24"/>
          <w:highlight w:val="none"/>
        </w:rPr>
        <w:t>_____________________________</w:t>
      </w:r>
      <w:r>
        <w:rPr>
          <w:rFonts w:hint="eastAsia" w:asciiTheme="minorEastAsia" w:hAnsiTheme="minorEastAsia" w:eastAsiaTheme="minorEastAsia" w:cstheme="minorEastAsia"/>
          <w:sz w:val="28"/>
          <w:szCs w:val="28"/>
          <w:highlight w:val="none"/>
        </w:rPr>
        <w:tab/>
      </w:r>
    </w:p>
    <w:p w14:paraId="29ED885D">
      <w:pPr>
        <w:rPr>
          <w:rFonts w:asciiTheme="minorEastAsia" w:hAnsiTheme="minorEastAsia" w:eastAsiaTheme="minorEastAsia" w:cstheme="minorEastAsia"/>
          <w:highlight w:val="none"/>
        </w:rPr>
      </w:pPr>
    </w:p>
    <w:tbl>
      <w:tblPr>
        <w:tblStyle w:val="26"/>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14:paraId="6881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14:paraId="0FFBCA93">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应退投标保证金</w:t>
            </w:r>
          </w:p>
        </w:tc>
        <w:tc>
          <w:tcPr>
            <w:tcW w:w="6372" w:type="dxa"/>
            <w:gridSpan w:val="2"/>
          </w:tcPr>
          <w:p w14:paraId="0980BAF5">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小  写：</w:t>
            </w:r>
          </w:p>
        </w:tc>
      </w:tr>
      <w:tr w14:paraId="0F013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14:paraId="54940FAE">
            <w:pPr>
              <w:rPr>
                <w:rFonts w:asciiTheme="minorEastAsia" w:hAnsiTheme="minorEastAsia" w:eastAsiaTheme="minorEastAsia" w:cstheme="minorEastAsia"/>
                <w:sz w:val="24"/>
                <w:szCs w:val="24"/>
                <w:highlight w:val="none"/>
              </w:rPr>
            </w:pPr>
          </w:p>
        </w:tc>
        <w:tc>
          <w:tcPr>
            <w:tcW w:w="6372" w:type="dxa"/>
            <w:gridSpan w:val="2"/>
          </w:tcPr>
          <w:p w14:paraId="032492C9">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大  写：</w:t>
            </w:r>
          </w:p>
        </w:tc>
      </w:tr>
      <w:tr w14:paraId="6F10C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14:paraId="23652A8A">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收款单位（盖章）</w:t>
            </w:r>
          </w:p>
        </w:tc>
        <w:tc>
          <w:tcPr>
            <w:tcW w:w="2370" w:type="dxa"/>
            <w:vAlign w:val="center"/>
          </w:tcPr>
          <w:p w14:paraId="7D8A279A">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  位 名 称</w:t>
            </w:r>
          </w:p>
        </w:tc>
        <w:tc>
          <w:tcPr>
            <w:tcW w:w="4002" w:type="dxa"/>
          </w:tcPr>
          <w:p w14:paraId="368ED268">
            <w:pPr>
              <w:rPr>
                <w:rFonts w:asciiTheme="minorEastAsia" w:hAnsiTheme="minorEastAsia" w:eastAsiaTheme="minorEastAsia" w:cstheme="minorEastAsia"/>
                <w:sz w:val="24"/>
                <w:szCs w:val="24"/>
                <w:highlight w:val="none"/>
              </w:rPr>
            </w:pPr>
          </w:p>
        </w:tc>
      </w:tr>
      <w:tr w14:paraId="5968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14:paraId="175A8AB8">
            <w:pPr>
              <w:rPr>
                <w:rFonts w:asciiTheme="minorEastAsia" w:hAnsiTheme="minorEastAsia" w:eastAsiaTheme="minorEastAsia" w:cstheme="minorEastAsia"/>
                <w:sz w:val="24"/>
                <w:szCs w:val="24"/>
                <w:highlight w:val="none"/>
              </w:rPr>
            </w:pPr>
          </w:p>
        </w:tc>
        <w:tc>
          <w:tcPr>
            <w:tcW w:w="2370" w:type="dxa"/>
            <w:vAlign w:val="center"/>
          </w:tcPr>
          <w:p w14:paraId="1923FF7D">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   户   行</w:t>
            </w:r>
          </w:p>
        </w:tc>
        <w:tc>
          <w:tcPr>
            <w:tcW w:w="4002" w:type="dxa"/>
          </w:tcPr>
          <w:p w14:paraId="4C146154">
            <w:pPr>
              <w:rPr>
                <w:rFonts w:asciiTheme="minorEastAsia" w:hAnsiTheme="minorEastAsia" w:eastAsiaTheme="minorEastAsia" w:cstheme="minorEastAsia"/>
                <w:sz w:val="24"/>
                <w:szCs w:val="24"/>
                <w:highlight w:val="none"/>
              </w:rPr>
            </w:pPr>
          </w:p>
        </w:tc>
      </w:tr>
      <w:tr w14:paraId="155DF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14:paraId="76662FC7">
            <w:pPr>
              <w:rPr>
                <w:rFonts w:asciiTheme="minorEastAsia" w:hAnsiTheme="minorEastAsia" w:eastAsiaTheme="minorEastAsia" w:cstheme="minorEastAsia"/>
                <w:sz w:val="24"/>
                <w:szCs w:val="24"/>
                <w:highlight w:val="none"/>
              </w:rPr>
            </w:pPr>
          </w:p>
        </w:tc>
        <w:tc>
          <w:tcPr>
            <w:tcW w:w="2370" w:type="dxa"/>
            <w:vAlign w:val="center"/>
          </w:tcPr>
          <w:p w14:paraId="7B7A0459">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p>
        </w:tc>
        <w:tc>
          <w:tcPr>
            <w:tcW w:w="4002" w:type="dxa"/>
          </w:tcPr>
          <w:p w14:paraId="1EA52845">
            <w:pPr>
              <w:rPr>
                <w:rFonts w:asciiTheme="minorEastAsia" w:hAnsiTheme="minorEastAsia" w:eastAsiaTheme="minorEastAsia" w:cstheme="minorEastAsia"/>
                <w:sz w:val="24"/>
                <w:szCs w:val="24"/>
                <w:highlight w:val="none"/>
              </w:rPr>
            </w:pPr>
          </w:p>
        </w:tc>
      </w:tr>
      <w:tr w14:paraId="0A86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14:paraId="246A1513">
            <w:pPr>
              <w:rPr>
                <w:rFonts w:asciiTheme="minorEastAsia" w:hAnsiTheme="minorEastAsia" w:eastAsiaTheme="minorEastAsia" w:cstheme="minorEastAsia"/>
                <w:sz w:val="24"/>
                <w:szCs w:val="24"/>
                <w:highlight w:val="none"/>
              </w:rPr>
            </w:pPr>
          </w:p>
        </w:tc>
        <w:tc>
          <w:tcPr>
            <w:tcW w:w="2370" w:type="dxa"/>
            <w:vAlign w:val="center"/>
          </w:tcPr>
          <w:p w14:paraId="514EF9C1">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联系人及电话</w:t>
            </w:r>
          </w:p>
        </w:tc>
        <w:tc>
          <w:tcPr>
            <w:tcW w:w="4002" w:type="dxa"/>
          </w:tcPr>
          <w:p w14:paraId="46CC1AB3">
            <w:pPr>
              <w:rPr>
                <w:rFonts w:asciiTheme="minorEastAsia" w:hAnsiTheme="minorEastAsia" w:eastAsiaTheme="minorEastAsia" w:cstheme="minorEastAsia"/>
                <w:sz w:val="24"/>
                <w:szCs w:val="24"/>
                <w:highlight w:val="none"/>
              </w:rPr>
            </w:pPr>
          </w:p>
        </w:tc>
      </w:tr>
    </w:tbl>
    <w:p w14:paraId="2E78E8E9">
      <w:pPr>
        <w:keepNext/>
        <w:keepLines/>
        <w:adjustRightInd w:val="0"/>
        <w:spacing w:line="416" w:lineRule="atLeast"/>
        <w:textAlignment w:val="baseline"/>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注：单位公章需清晰完整。（仅作为退还保证金时使用，需单独提供）</w:t>
      </w:r>
    </w:p>
    <w:p w14:paraId="1B254458">
      <w:pPr>
        <w:jc w:val="center"/>
        <w:rPr>
          <w:rFonts w:asciiTheme="minorEastAsia" w:hAnsiTheme="minorEastAsia" w:eastAsiaTheme="minorEastAsia" w:cstheme="minorEastAsia"/>
          <w:sz w:val="24"/>
          <w:szCs w:val="24"/>
          <w:highlight w:val="none"/>
        </w:rPr>
      </w:pPr>
    </w:p>
    <w:p w14:paraId="41DEE796">
      <w:pPr>
        <w:adjustRightInd w:val="0"/>
        <w:snapToGrid w:val="0"/>
        <w:jc w:val="left"/>
        <w:rPr>
          <w:rFonts w:asciiTheme="minorEastAsia" w:hAnsiTheme="minorEastAsia" w:eastAsiaTheme="minorEastAsia" w:cstheme="minorEastAsia"/>
          <w:b/>
          <w:bCs/>
          <w:sz w:val="24"/>
          <w:szCs w:val="24"/>
          <w:highlight w:val="none"/>
        </w:rPr>
      </w:pPr>
    </w:p>
    <w:p w14:paraId="40BED643">
      <w:pPr>
        <w:adjustRightInd w:val="0"/>
        <w:snapToGrid w:val="0"/>
        <w:jc w:val="left"/>
        <w:rPr>
          <w:rFonts w:asciiTheme="minorEastAsia" w:hAnsiTheme="minorEastAsia" w:eastAsiaTheme="minorEastAsia" w:cstheme="minorEastAsia"/>
          <w:b/>
          <w:bCs/>
          <w:sz w:val="24"/>
          <w:szCs w:val="24"/>
          <w:highlight w:val="none"/>
        </w:rPr>
      </w:pPr>
    </w:p>
    <w:p w14:paraId="19063BD0">
      <w:pPr>
        <w:adjustRightInd w:val="0"/>
        <w:snapToGrid w:val="0"/>
        <w:jc w:val="left"/>
        <w:rPr>
          <w:rFonts w:asciiTheme="minorEastAsia" w:hAnsiTheme="minorEastAsia" w:eastAsiaTheme="minorEastAsia" w:cstheme="minorEastAsia"/>
          <w:b/>
          <w:bCs/>
          <w:sz w:val="24"/>
          <w:szCs w:val="24"/>
          <w:highlight w:val="none"/>
        </w:rPr>
      </w:pPr>
    </w:p>
    <w:p w14:paraId="2218C21C">
      <w:pPr>
        <w:adjustRightInd w:val="0"/>
        <w:snapToGrid w:val="0"/>
        <w:jc w:val="left"/>
        <w:rPr>
          <w:rFonts w:asciiTheme="minorEastAsia" w:hAnsiTheme="minorEastAsia" w:eastAsiaTheme="minorEastAsia" w:cstheme="minorEastAsia"/>
          <w:b/>
          <w:bCs/>
          <w:sz w:val="24"/>
          <w:szCs w:val="24"/>
          <w:highlight w:val="none"/>
        </w:rPr>
      </w:pPr>
    </w:p>
    <w:p w14:paraId="5A4F33CF">
      <w:pPr>
        <w:adjustRightInd w:val="0"/>
        <w:snapToGrid w:val="0"/>
        <w:jc w:val="left"/>
        <w:rPr>
          <w:rFonts w:asciiTheme="minorEastAsia" w:hAnsiTheme="minorEastAsia" w:eastAsiaTheme="minorEastAsia" w:cstheme="minorEastAsia"/>
          <w:b/>
          <w:bCs/>
          <w:sz w:val="24"/>
          <w:szCs w:val="24"/>
          <w:highlight w:val="none"/>
        </w:rPr>
      </w:pPr>
    </w:p>
    <w:p w14:paraId="2472BDBA">
      <w:pPr>
        <w:adjustRightInd w:val="0"/>
        <w:snapToGrid w:val="0"/>
        <w:jc w:val="left"/>
        <w:rPr>
          <w:rFonts w:asciiTheme="minorEastAsia" w:hAnsiTheme="minorEastAsia" w:eastAsiaTheme="minorEastAsia" w:cstheme="minorEastAsia"/>
          <w:b/>
          <w:bCs/>
          <w:spacing w:val="48"/>
          <w:sz w:val="72"/>
          <w:szCs w:val="72"/>
          <w:highlight w:val="none"/>
        </w:rPr>
        <w:sectPr>
          <w:pgSz w:w="11906" w:h="16838"/>
          <w:pgMar w:top="1440" w:right="1803" w:bottom="1440" w:left="1803" w:header="850" w:footer="992" w:gutter="0"/>
          <w:cols w:space="0" w:num="1"/>
          <w:rtlGutter w:val="1"/>
          <w:docGrid w:type="lines" w:linePitch="319" w:charSpace="0"/>
        </w:sectPr>
      </w:pPr>
      <w:r>
        <w:rPr>
          <w:rFonts w:hint="eastAsia" w:asciiTheme="minorEastAsia" w:hAnsiTheme="minorEastAsia" w:eastAsiaTheme="minorEastAsia" w:cstheme="minorEastAsia"/>
          <w:b/>
          <w:bCs/>
          <w:sz w:val="24"/>
          <w:szCs w:val="24"/>
          <w:highlight w:val="none"/>
        </w:rPr>
        <w:t>附：投标保证金汇款凭证</w:t>
      </w:r>
    </w:p>
    <w:p w14:paraId="12391CA5">
      <w:pPr>
        <w:jc w:val="left"/>
        <w:rPr>
          <w:rFonts w:asciiTheme="minorEastAsia" w:hAnsiTheme="minorEastAsia" w:eastAsiaTheme="minorEastAsia" w:cstheme="minorEastAsia"/>
          <w:sz w:val="72"/>
          <w:szCs w:val="72"/>
          <w:highlight w:val="none"/>
        </w:rPr>
      </w:pPr>
      <w:r>
        <w:rPr>
          <w:rFonts w:hint="eastAsia" w:asciiTheme="minorEastAsia" w:hAnsiTheme="minorEastAsia" w:eastAsiaTheme="minorEastAsia" w:cstheme="minorEastAsia"/>
          <w:b/>
          <w:bCs/>
          <w:spacing w:val="48"/>
          <w:sz w:val="72"/>
          <w:szCs w:val="72"/>
          <w:highlight w:val="none"/>
        </w:rPr>
        <w:t>公平</w:t>
      </w:r>
    </w:p>
    <w:p w14:paraId="194B664D">
      <w:pPr>
        <w:jc w:val="left"/>
        <w:rPr>
          <w:rFonts w:asciiTheme="minorEastAsia" w:hAnsiTheme="minorEastAsia" w:eastAsiaTheme="minorEastAsia" w:cstheme="minorEastAsia"/>
          <w:sz w:val="72"/>
          <w:szCs w:val="72"/>
          <w:highlight w:val="none"/>
        </w:rPr>
      </w:pPr>
    </w:p>
    <w:p w14:paraId="7553FA0F">
      <w:pPr>
        <w:jc w:val="left"/>
        <w:rPr>
          <w:rFonts w:asciiTheme="minorEastAsia" w:hAnsiTheme="minorEastAsia" w:eastAsiaTheme="minorEastAsia" w:cstheme="minorEastAsia"/>
          <w:sz w:val="72"/>
          <w:szCs w:val="72"/>
          <w:highlight w:val="none"/>
        </w:rPr>
      </w:pPr>
    </w:p>
    <w:p w14:paraId="6FF89924">
      <w:pPr>
        <w:jc w:val="center"/>
        <w:rPr>
          <w:rFonts w:asciiTheme="minorEastAsia" w:hAnsiTheme="minorEastAsia" w:eastAsiaTheme="minorEastAsia" w:cstheme="minorEastAsia"/>
          <w:b/>
          <w:bCs/>
          <w:spacing w:val="48"/>
          <w:sz w:val="72"/>
          <w:szCs w:val="72"/>
          <w:highlight w:val="none"/>
        </w:rPr>
      </w:pPr>
    </w:p>
    <w:p w14:paraId="6C90AA4D">
      <w:pPr>
        <w:jc w:val="center"/>
        <w:rPr>
          <w:rFonts w:asciiTheme="minorEastAsia" w:hAnsiTheme="minorEastAsia" w:eastAsiaTheme="minorEastAsia" w:cstheme="minorEastAsia"/>
          <w:b/>
          <w:bCs/>
          <w:spacing w:val="48"/>
          <w:sz w:val="72"/>
          <w:szCs w:val="72"/>
          <w:highlight w:val="none"/>
        </w:rPr>
      </w:pPr>
      <w:r>
        <w:rPr>
          <w:rFonts w:hint="eastAsia" w:asciiTheme="minorEastAsia" w:hAnsiTheme="minorEastAsia" w:eastAsiaTheme="minorEastAsia" w:cstheme="minorEastAsia"/>
          <w:b/>
          <w:bCs/>
          <w:spacing w:val="48"/>
          <w:sz w:val="72"/>
          <w:szCs w:val="72"/>
          <w:highlight w:val="none"/>
        </w:rPr>
        <w:t>公正</w:t>
      </w:r>
    </w:p>
    <w:p w14:paraId="43D7042E">
      <w:pPr>
        <w:jc w:val="left"/>
        <w:rPr>
          <w:rFonts w:asciiTheme="minorEastAsia" w:hAnsiTheme="minorEastAsia" w:eastAsiaTheme="minorEastAsia" w:cstheme="minorEastAsia"/>
          <w:b/>
          <w:bCs/>
          <w:spacing w:val="48"/>
          <w:sz w:val="72"/>
          <w:szCs w:val="72"/>
          <w:highlight w:val="none"/>
        </w:rPr>
      </w:pPr>
    </w:p>
    <w:p w14:paraId="1A336F2E">
      <w:pPr>
        <w:jc w:val="left"/>
        <w:rPr>
          <w:rFonts w:asciiTheme="minorEastAsia" w:hAnsiTheme="minorEastAsia" w:eastAsiaTheme="minorEastAsia" w:cstheme="minorEastAsia"/>
          <w:b/>
          <w:bCs/>
          <w:spacing w:val="48"/>
          <w:sz w:val="72"/>
          <w:szCs w:val="72"/>
          <w:highlight w:val="none"/>
        </w:rPr>
      </w:pPr>
    </w:p>
    <w:p w14:paraId="46943633">
      <w:pPr>
        <w:jc w:val="left"/>
        <w:rPr>
          <w:rFonts w:asciiTheme="minorEastAsia" w:hAnsiTheme="minorEastAsia" w:eastAsiaTheme="minorEastAsia" w:cstheme="minorEastAsia"/>
          <w:b/>
          <w:bCs/>
          <w:spacing w:val="48"/>
          <w:sz w:val="72"/>
          <w:szCs w:val="72"/>
          <w:highlight w:val="none"/>
        </w:rPr>
      </w:pPr>
    </w:p>
    <w:p w14:paraId="1DC2436A">
      <w:pPr>
        <w:jc w:val="right"/>
        <w:rPr>
          <w:rFonts w:asciiTheme="minorEastAsia" w:hAnsiTheme="minorEastAsia" w:eastAsiaTheme="minorEastAsia" w:cstheme="minorEastAsia"/>
          <w:b/>
          <w:bCs/>
          <w:spacing w:val="48"/>
          <w:sz w:val="72"/>
          <w:szCs w:val="72"/>
          <w:highlight w:val="none"/>
        </w:rPr>
      </w:pPr>
      <w:r>
        <w:rPr>
          <w:rFonts w:hint="eastAsia" w:asciiTheme="minorEastAsia" w:hAnsiTheme="minorEastAsia" w:eastAsiaTheme="minorEastAsia" w:cstheme="minorEastAsia"/>
          <w:b/>
          <w:bCs/>
          <w:spacing w:val="48"/>
          <w:sz w:val="72"/>
          <w:szCs w:val="72"/>
          <w:highlight w:val="none"/>
        </w:rPr>
        <w:t>公开</w:t>
      </w:r>
    </w:p>
    <w:p w14:paraId="67A9913A">
      <w:pPr>
        <w:jc w:val="right"/>
        <w:rPr>
          <w:rFonts w:asciiTheme="minorEastAsia" w:hAnsiTheme="minorEastAsia" w:eastAsiaTheme="minorEastAsia" w:cstheme="minorEastAsia"/>
          <w:b/>
          <w:bCs/>
          <w:spacing w:val="48"/>
          <w:sz w:val="32"/>
          <w:szCs w:val="32"/>
          <w:highlight w:val="none"/>
        </w:rPr>
      </w:pPr>
    </w:p>
    <w:bookmarkEnd w:id="0"/>
    <w:p w14:paraId="48981BA9">
      <w:pPr>
        <w:ind w:firstLine="1063" w:firstLineChars="353"/>
        <w:jc w:val="left"/>
        <w:rPr>
          <w:rFonts w:asciiTheme="minorEastAsia" w:hAnsiTheme="minorEastAsia" w:eastAsiaTheme="minorEastAsia" w:cstheme="minorEastAsia"/>
          <w:b/>
          <w:bCs/>
          <w:sz w:val="30"/>
          <w:szCs w:val="30"/>
          <w:highlight w:val="none"/>
        </w:rPr>
      </w:pPr>
    </w:p>
    <w:p w14:paraId="5FC6A5C1">
      <w:pPr>
        <w:ind w:firstLine="1063" w:firstLineChars="353"/>
        <w:jc w:val="left"/>
        <w:rPr>
          <w:rFonts w:asciiTheme="minorEastAsia" w:hAnsiTheme="minorEastAsia" w:eastAsiaTheme="minorEastAsia" w:cstheme="minorEastAsia"/>
          <w:b/>
          <w:bCs/>
          <w:sz w:val="30"/>
          <w:szCs w:val="30"/>
          <w:highlight w:val="none"/>
        </w:rPr>
      </w:pPr>
    </w:p>
    <w:p w14:paraId="10CB3887">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企业名称：陕西万泽招标有限公司</w:t>
      </w:r>
    </w:p>
    <w:p w14:paraId="6C1773A5">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地    址：</w:t>
      </w:r>
      <w:r>
        <w:rPr>
          <w:rFonts w:hint="eastAsia" w:asciiTheme="minorEastAsia" w:hAnsiTheme="minorEastAsia" w:eastAsiaTheme="minorEastAsia" w:cstheme="minorEastAsia"/>
          <w:b/>
          <w:bCs/>
          <w:sz w:val="30"/>
          <w:szCs w:val="30"/>
          <w:highlight w:val="none"/>
          <w:lang w:eastAsia="zh-CN"/>
        </w:rPr>
        <w:t>西安市高新区唐延路旺座现代城C座25楼250</w:t>
      </w:r>
      <w:r>
        <w:rPr>
          <w:rFonts w:hint="eastAsia" w:asciiTheme="minorEastAsia" w:hAnsiTheme="minorEastAsia" w:eastAsiaTheme="minorEastAsia" w:cstheme="minorEastAsia"/>
          <w:b/>
          <w:bCs/>
          <w:sz w:val="30"/>
          <w:szCs w:val="30"/>
          <w:highlight w:val="none"/>
          <w:lang w:val="en-US" w:eastAsia="zh-CN"/>
        </w:rPr>
        <w:t>2</w:t>
      </w:r>
      <w:r>
        <w:rPr>
          <w:rFonts w:hint="eastAsia" w:asciiTheme="minorEastAsia" w:hAnsiTheme="minorEastAsia" w:eastAsiaTheme="minorEastAsia" w:cstheme="minorEastAsia"/>
          <w:b/>
          <w:bCs/>
          <w:sz w:val="30"/>
          <w:szCs w:val="30"/>
          <w:highlight w:val="none"/>
          <w:lang w:eastAsia="zh-CN"/>
        </w:rPr>
        <w:t>室</w:t>
      </w:r>
    </w:p>
    <w:p w14:paraId="64402918">
      <w:pPr>
        <w:jc w:val="left"/>
        <w:rPr>
          <w:rFonts w:hint="default" w:asciiTheme="minorEastAsia" w:hAnsiTheme="minorEastAsia" w:eastAsiaTheme="minorEastAsia" w:cstheme="minorEastAsia"/>
          <w:b/>
          <w:bCs/>
          <w:sz w:val="30"/>
          <w:szCs w:val="30"/>
          <w:highlight w:val="none"/>
          <w:lang w:val="en-US" w:eastAsia="zh-CN"/>
        </w:rPr>
      </w:pPr>
      <w:r>
        <w:rPr>
          <w:rFonts w:hint="eastAsia" w:asciiTheme="minorEastAsia" w:hAnsiTheme="minorEastAsia" w:eastAsiaTheme="minorEastAsia" w:cstheme="minorEastAsia"/>
          <w:b/>
          <w:bCs/>
          <w:sz w:val="30"/>
          <w:szCs w:val="30"/>
          <w:highlight w:val="none"/>
        </w:rPr>
        <w:t>邮政编码：7100</w:t>
      </w:r>
      <w:r>
        <w:rPr>
          <w:rFonts w:hint="eastAsia" w:asciiTheme="minorEastAsia" w:hAnsiTheme="minorEastAsia" w:eastAsiaTheme="minorEastAsia" w:cstheme="minorEastAsia"/>
          <w:b/>
          <w:bCs/>
          <w:sz w:val="30"/>
          <w:szCs w:val="30"/>
          <w:highlight w:val="none"/>
          <w:lang w:val="en-US" w:eastAsia="zh-CN"/>
        </w:rPr>
        <w:t>65</w:t>
      </w:r>
    </w:p>
    <w:p w14:paraId="0ED8C534">
      <w:pPr>
        <w:jc w:val="left"/>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电    话：029-88319689</w:t>
      </w:r>
    </w:p>
    <w:p w14:paraId="6F0B7B7D">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sz w:val="30"/>
          <w:szCs w:val="30"/>
          <w:highlight w:val="none"/>
        </w:rPr>
        <w:t>传    真：029-88319689</w:t>
      </w:r>
    </w:p>
    <w:sectPr>
      <w:pgSz w:w="11906" w:h="16838"/>
      <w:pgMar w:top="1440" w:right="1803" w:bottom="1440" w:left="1803" w:header="850" w:footer="992" w:gutter="0"/>
      <w:cols w:space="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onaco">
    <w:altName w:val="Courier New"/>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97D1">
    <w:pPr>
      <w:pStyle w:val="17"/>
      <w:jc w:val="right"/>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1" name="文本框 8"/>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9525">
                        <a:noFill/>
                      </a:ln>
                      <a:effectLst/>
                    </wps:spPr>
                    <wps:txbx>
                      <w:txbxContent>
                        <w:p w14:paraId="3301BD11">
                          <w:pPr>
                            <w:pStyle w:val="17"/>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hdWGZ0gAAAAQBAAAPAAAAAAAAAAEA&#10;IAAAACIAAABkcnMvZG93bnJldi54bWxQSwECFAAUAAAACACHTuJAB+g+OdwBAACvAwAADgAAAAAA&#10;AAABACAAAAAhAQAAZHJzL2Uyb0RvYy54bWxQSwUGAAAAAAYABgBZAQAAbwUAAAAA&#10;">
              <v:fill on="f" focussize="0,0"/>
              <v:stroke on="f"/>
              <v:imagedata o:title=""/>
              <o:lock v:ext="edit" aspectratio="f"/>
              <v:textbox inset="0mm,0mm,0mm,0mm" style="mso-fit-shape-to-text:t;">
                <w:txbxContent>
                  <w:p w14:paraId="3301BD11">
                    <w:pPr>
                      <w:pStyle w:val="17"/>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4437">
    <w:pPr>
      <w:pStyle w:val="17"/>
      <w:tabs>
        <w:tab w:val="right" w:pos="8426"/>
      </w:tabs>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59155" cy="147955"/>
              <wp:effectExtent l="0" t="0" r="0" b="0"/>
              <wp:wrapNone/>
              <wp:docPr id="8" name="文本框 9"/>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9525">
                        <a:noFill/>
                      </a:ln>
                      <a:effectLst/>
                    </wps:spPr>
                    <wps:txbx>
                      <w:txbxContent>
                        <w:p w14:paraId="155064E4">
                          <w:pPr>
                            <w:pStyle w:val="17"/>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1.65pt;width:67.65pt;mso-position-horizontal:center;mso-position-horizontal-relative:margin;mso-wrap-style:none;z-index:251660288;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F1YZnSAAAABAEAAA8AAAAAAAAAAQAg&#10;AAAAIgAAAGRycy9kb3ducmV2LnhtbFBLAQIUABQAAAAIAIdO4kD+qGct2wEAAK4DAAAOAAAAAAAA&#10;AAEAIAAAACEBAABkcnMvZTJvRG9jLnhtbFBLBQYAAAAABgAGAFkBAABuBQAAAAA=&#10;">
              <v:fill on="f" focussize="0,0"/>
              <v:stroke on="f"/>
              <v:imagedata o:title=""/>
              <o:lock v:ext="edit" aspectratio="f"/>
              <v:textbox inset="0mm,0mm,0mm,0mm" style="mso-fit-shape-to-text:t;">
                <w:txbxContent>
                  <w:p w14:paraId="155064E4">
                    <w:pPr>
                      <w:pStyle w:val="17"/>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716A">
    <w:pPr>
      <w:pStyle w:val="17"/>
      <w:jc w:val="right"/>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14:paraId="741839AF">
                          <w:pPr>
                            <w:pStyle w:val="17"/>
                          </w:pPr>
                          <w:r>
                            <w:rPr>
                              <w:rFonts w:hint="eastAsia"/>
                            </w:rPr>
                            <w:t>第</w:t>
                          </w:r>
                          <w:r>
                            <w:fldChar w:fldCharType="begin"/>
                          </w:r>
                          <w:r>
                            <w:instrText xml:space="preserve"> PAGE  \* MERGEFORMAT </w:instrText>
                          </w:r>
                          <w:r>
                            <w:fldChar w:fldCharType="separate"/>
                          </w:r>
                          <w:r>
                            <w:t>18</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H25bHSAAAABAEAAA8AAAAAAAAAAQAg&#10;AAAAIgAAAGRycy9kb3ducmV2LnhtbFBLAQIUABQAAAAIAIdO4kDnMKZO2wEAALADAAAOAAAAAAAA&#10;AAEAIAAAACEBAABkcnMvZTJvRG9jLnhtbFBLBQYAAAAABgAGAFkBAABuBQAAAAA=&#10;">
              <v:fill on="f" focussize="0,0"/>
              <v:stroke on="f"/>
              <v:imagedata o:title=""/>
              <o:lock v:ext="edit" aspectratio="f"/>
              <v:textbox inset="0mm,0mm,0mm,0mm" style="mso-fit-shape-to-text:t;">
                <w:txbxContent>
                  <w:p w14:paraId="741839AF">
                    <w:pPr>
                      <w:pStyle w:val="17"/>
                    </w:pPr>
                    <w:r>
                      <w:rPr>
                        <w:rFonts w:hint="eastAsia"/>
                      </w:rPr>
                      <w:t>第</w:t>
                    </w:r>
                    <w:r>
                      <w:fldChar w:fldCharType="begin"/>
                    </w:r>
                    <w:r>
                      <w:instrText xml:space="preserve"> PAGE  \* MERGEFORMAT </w:instrText>
                    </w:r>
                    <w:r>
                      <w:fldChar w:fldCharType="separate"/>
                    </w:r>
                    <w:r>
                      <w:t>18</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05AB">
    <w:pPr>
      <w:pStyle w:val="17"/>
      <w:jc w:val="right"/>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4725" cy="147955"/>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14:paraId="24BBA9FE">
                          <w:pPr>
                            <w:pStyle w:val="17"/>
                          </w:pPr>
                          <w:r>
                            <w:rPr>
                              <w:rFonts w:hint="eastAsia"/>
                            </w:rPr>
                            <w:t>第</w:t>
                          </w:r>
                          <w:r>
                            <w:fldChar w:fldCharType="begin"/>
                          </w:r>
                          <w:r>
                            <w:instrText xml:space="preserve"> PAGE  \* MERGEFORMAT </w:instrText>
                          </w:r>
                          <w:r>
                            <w:fldChar w:fldCharType="separate"/>
                          </w:r>
                          <w:r>
                            <w:t>25</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1.65pt;width:76.75pt;mso-position-horizontal:center;mso-position-horizontal-relative:margin;mso-wrap-style:none;z-index:251662336;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H25bHSAAAABAEAAA8AAAAAAAAAAQAg&#10;AAAAIgAAAGRycy9kb3ducmV2LnhtbFBLAQIUABQAAAAIAIdO4kDn+QZy2wEAALADAAAOAAAAAAAA&#10;AAEAIAAAACEBAABkcnMvZTJvRG9jLnhtbFBLBQYAAAAABgAGAFkBAABuBQAAAAA=&#10;">
              <v:fill on="f" focussize="0,0"/>
              <v:stroke on="f"/>
              <v:imagedata o:title=""/>
              <o:lock v:ext="edit" aspectratio="f"/>
              <v:textbox inset="0mm,0mm,0mm,0mm" style="mso-fit-shape-to-text:t;">
                <w:txbxContent>
                  <w:p w14:paraId="24BBA9FE">
                    <w:pPr>
                      <w:pStyle w:val="17"/>
                    </w:pPr>
                    <w:r>
                      <w:rPr>
                        <w:rFonts w:hint="eastAsia"/>
                      </w:rPr>
                      <w:t>第</w:t>
                    </w:r>
                    <w:r>
                      <w:fldChar w:fldCharType="begin"/>
                    </w:r>
                    <w:r>
                      <w:instrText xml:space="preserve"> PAGE  \* MERGEFORMAT </w:instrText>
                    </w:r>
                    <w:r>
                      <w:fldChar w:fldCharType="separate"/>
                    </w:r>
                    <w:r>
                      <w:t>25</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57F9">
    <w:pPr>
      <w:pStyle w:val="17"/>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090930" cy="147955"/>
              <wp:effectExtent l="0" t="0" r="0" b="0"/>
              <wp:wrapNone/>
              <wp:docPr id="21" name="文本框 14"/>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w="9525">
                        <a:noFill/>
                      </a:ln>
                      <a:effectLst/>
                    </wps:spPr>
                    <wps:txbx>
                      <w:txbxContent>
                        <w:p w14:paraId="6A16F54E">
                          <w:pPr>
                            <w:pStyle w:val="17"/>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1.65pt;width:85.9pt;mso-position-horizontal:center;mso-position-horizontal-relative:margin;mso-wrap-style:none;z-index:251665408;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RjOudEAAAAEAQAADwAAAAAAAAAB&#10;ACAAAAAiAAAAZHJzL2Rvd25yZXYueG1sUEsBAhQAFAAAAAgAh07iQK6fD8DeAQAAsQMAAA4AAAAA&#10;AAAAAQAgAAAAIAEAAGRycy9lMm9Eb2MueG1sUEsFBgAAAAAGAAYAWQEAAHAFAAAAAA==&#10;">
              <v:fill on="f" focussize="0,0"/>
              <v:stroke on="f"/>
              <v:imagedata o:title=""/>
              <o:lock v:ext="edit" aspectratio="f"/>
              <v:textbox inset="0mm,0mm,0mm,0mm" style="mso-fit-shape-to-text:t;">
                <w:txbxContent>
                  <w:p w14:paraId="6A16F54E">
                    <w:pPr>
                      <w:pStyle w:val="17"/>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58</w:t>
                    </w:r>
                    <w:r>
                      <w:fldChar w:fldCharType="end"/>
                    </w:r>
                    <w:r>
                      <w:rPr>
                        <w:rFonts w:hint="eastAsia"/>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47BB">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090930" cy="147955"/>
              <wp:effectExtent l="0" t="0" r="0" b="0"/>
              <wp:wrapNone/>
              <wp:docPr id="22" name="文本框 16"/>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w="9525">
                        <a:noFill/>
                      </a:ln>
                      <a:effectLst/>
                    </wps:spPr>
                    <wps:txbx>
                      <w:txbxContent>
                        <w:p w14:paraId="5BA19635">
                          <w:pPr>
                            <w:pStyle w:val="17"/>
                          </w:pPr>
                          <w:r>
                            <w:rPr>
                              <w:rFonts w:hint="eastAsia"/>
                            </w:rPr>
                            <w:t>第</w:t>
                          </w:r>
                          <w:r>
                            <w:fldChar w:fldCharType="begin"/>
                          </w:r>
                          <w:r>
                            <w:instrText xml:space="preserve"> PAGE  \* MERGEFORMAT </w:instrText>
                          </w:r>
                          <w:r>
                            <w:fldChar w:fldCharType="separate"/>
                          </w:r>
                          <w:r>
                            <w:t>51</w:t>
                          </w:r>
                          <w:r>
                            <w:fldChar w:fldCharType="end"/>
                          </w:r>
                          <w:r>
                            <w:rPr>
                              <w:rFonts w:hint="eastAsia"/>
                            </w:rPr>
                            <w:t>页共</w:t>
                          </w:r>
                          <w:r>
                            <w:fldChar w:fldCharType="begin"/>
                          </w:r>
                          <w:r>
                            <w:instrText xml:space="preserve"> NUMPAGES  \* MERGEFORMAT </w:instrText>
                          </w:r>
                          <w:r>
                            <w:fldChar w:fldCharType="separate"/>
                          </w:r>
                          <w:r>
                            <w:t>51</w:t>
                          </w:r>
                          <w:r>
                            <w:fldChar w:fldCharType="end"/>
                          </w:r>
                          <w:r>
                            <w:rPr>
                              <w:rFonts w:hint="eastAsia"/>
                            </w:rPr>
                            <w:t>页</w:t>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1.65pt;width:85.9pt;mso-position-horizontal:center;mso-position-horizontal-relative:margin;mso-wrap-style:none;z-index:251666432;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RjOudEAAAAEAQAADwAAAAAAAAAB&#10;ACAAAAAiAAAAZHJzL2Rvd25yZXYueG1sUEsBAhQAFAAAAAgAh07iQD42gm3eAQAAsQMAAA4AAAAA&#10;AAAAAQAgAAAAIAEAAGRycy9lMm9Eb2MueG1sUEsFBgAAAAAGAAYAWQEAAHAFAAAAAA==&#10;">
              <v:fill on="f" focussize="0,0"/>
              <v:stroke on="f"/>
              <v:imagedata o:title=""/>
              <o:lock v:ext="edit" aspectratio="f"/>
              <v:textbox inset="0mm,0mm,0mm,0mm" style="mso-fit-shape-to-text:t;">
                <w:txbxContent>
                  <w:p w14:paraId="5BA19635">
                    <w:pPr>
                      <w:pStyle w:val="17"/>
                    </w:pPr>
                    <w:r>
                      <w:rPr>
                        <w:rFonts w:hint="eastAsia"/>
                      </w:rPr>
                      <w:t>第</w:t>
                    </w:r>
                    <w:r>
                      <w:fldChar w:fldCharType="begin"/>
                    </w:r>
                    <w:r>
                      <w:instrText xml:space="preserve"> PAGE  \* MERGEFORMAT </w:instrText>
                    </w:r>
                    <w:r>
                      <w:fldChar w:fldCharType="separate"/>
                    </w:r>
                    <w:r>
                      <w:t>51</w:t>
                    </w:r>
                    <w:r>
                      <w:fldChar w:fldCharType="end"/>
                    </w:r>
                    <w:r>
                      <w:rPr>
                        <w:rFonts w:hint="eastAsia"/>
                      </w:rPr>
                      <w:t>页共</w:t>
                    </w:r>
                    <w:r>
                      <w:fldChar w:fldCharType="begin"/>
                    </w:r>
                    <w:r>
                      <w:instrText xml:space="preserve"> NUMPAGES  \* MERGEFORMAT </w:instrText>
                    </w:r>
                    <w:r>
                      <w:fldChar w:fldCharType="separate"/>
                    </w:r>
                    <w:r>
                      <w:t>51</w:t>
                    </w:r>
                    <w:r>
                      <w:fldChar w:fldCharType="end"/>
                    </w:r>
                    <w:r>
                      <w:rPr>
                        <w:rFonts w:hint="eastAsia"/>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454B">
    <w:pPr>
      <w:pStyle w:val="17"/>
      <w:ind w:right="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090930" cy="147955"/>
              <wp:effectExtent l="0" t="0" r="0" b="0"/>
              <wp:wrapNone/>
              <wp:docPr id="23" name="文本框 15"/>
              <wp:cNvGraphicFramePr/>
              <a:graphic xmlns:a="http://schemas.openxmlformats.org/drawingml/2006/main">
                <a:graphicData uri="http://schemas.microsoft.com/office/word/2010/wordprocessingShape">
                  <wps:wsp>
                    <wps:cNvSpPr txBox="1"/>
                    <wps:spPr>
                      <a:xfrm>
                        <a:off x="0" y="0"/>
                        <a:ext cx="1090930" cy="147955"/>
                      </a:xfrm>
                      <a:prstGeom prst="rect">
                        <a:avLst/>
                      </a:prstGeom>
                      <a:noFill/>
                      <a:ln w="9525">
                        <a:noFill/>
                      </a:ln>
                      <a:effectLst/>
                    </wps:spPr>
                    <wps:txbx>
                      <w:txbxContent>
                        <w:p w14:paraId="7611DCE0">
                          <w:pPr>
                            <w:pStyle w:val="17"/>
                          </w:pPr>
                          <w:r>
                            <w:rPr>
                              <w:rFonts w:hint="eastAsia"/>
                            </w:rPr>
                            <w:t>第</w:t>
                          </w:r>
                          <w:r>
                            <w:fldChar w:fldCharType="begin"/>
                          </w:r>
                          <w:r>
                            <w:instrText xml:space="preserve"> PAGE  \* MERGEFORMAT </w:instrText>
                          </w:r>
                          <w:r>
                            <w:fldChar w:fldCharType="separate"/>
                          </w:r>
                          <w:r>
                            <w:t>53</w:t>
                          </w:r>
                          <w:r>
                            <w:fldChar w:fldCharType="end"/>
                          </w:r>
                          <w:r>
                            <w:rPr>
                              <w:rFonts w:hint="eastAsia"/>
                            </w:rPr>
                            <w:t>页共</w:t>
                          </w:r>
                          <w:r>
                            <w:fldChar w:fldCharType="begin"/>
                          </w:r>
                          <w:r>
                            <w:instrText xml:space="preserve"> NUMPAGES  \* MERGEFORMAT </w:instrText>
                          </w:r>
                          <w:r>
                            <w:fldChar w:fldCharType="separate"/>
                          </w:r>
                          <w:r>
                            <w:t>53</w:t>
                          </w:r>
                          <w:r>
                            <w:fldChar w:fldCharType="end"/>
                          </w:r>
                          <w:r>
                            <w:rPr>
                              <w:rFonts w:hint="eastAsia"/>
                            </w:rPr>
                            <w:t>页</w:t>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1.65pt;width:85.9pt;mso-position-horizontal:center;mso-position-horizontal-relative:margin;mso-wrap-style:none;z-index:251667456;mso-width-relative:page;mso-height-relative:page;" filled="f" stroked="f" coordsize="21600,21600" o:gfxdata="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0YzrnRAAAABAEAAA8AAAAAAAAA&#10;AQAgAAAAIgAAAGRycy9kb3ducmV2LnhtbFBLAQIUABQAAAAIAIdO4kAgAV/t3wEAALEDAAAOAAAA&#10;AAAAAAEAIAAAACABAABkcnMvZTJvRG9jLnhtbFBLBQYAAAAABgAGAFkBAABxBQAAAAA=&#10;">
              <v:fill on="f" focussize="0,0"/>
              <v:stroke on="f"/>
              <v:imagedata o:title=""/>
              <o:lock v:ext="edit" aspectratio="f"/>
              <v:textbox inset="0mm,0mm,0mm,0mm" style="mso-fit-shape-to-text:t;">
                <w:txbxContent>
                  <w:p w14:paraId="7611DCE0">
                    <w:pPr>
                      <w:pStyle w:val="17"/>
                    </w:pPr>
                    <w:r>
                      <w:rPr>
                        <w:rFonts w:hint="eastAsia"/>
                      </w:rPr>
                      <w:t>第</w:t>
                    </w:r>
                    <w:r>
                      <w:fldChar w:fldCharType="begin"/>
                    </w:r>
                    <w:r>
                      <w:instrText xml:space="preserve"> PAGE  \* MERGEFORMAT </w:instrText>
                    </w:r>
                    <w:r>
                      <w:fldChar w:fldCharType="separate"/>
                    </w:r>
                    <w:r>
                      <w:t>53</w:t>
                    </w:r>
                    <w:r>
                      <w:fldChar w:fldCharType="end"/>
                    </w:r>
                    <w:r>
                      <w:rPr>
                        <w:rFonts w:hint="eastAsia"/>
                      </w:rPr>
                      <w:t>页共</w:t>
                    </w:r>
                    <w:r>
                      <w:fldChar w:fldCharType="begin"/>
                    </w:r>
                    <w:r>
                      <w:instrText xml:space="preserve"> NUMPAGES  \* MERGEFORMAT </w:instrText>
                    </w:r>
                    <w:r>
                      <w:fldChar w:fldCharType="separate"/>
                    </w:r>
                    <w:r>
                      <w:t>53</w:t>
                    </w:r>
                    <w:r>
                      <w:fldChar w:fldCharType="end"/>
                    </w:r>
                    <w:r>
                      <w:rPr>
                        <w:rFonts w:hint="eastAsia"/>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D18E">
    <w:pPr>
      <w:pStyle w:val="17"/>
      <w:tabs>
        <w:tab w:val="center" w:pos="4150"/>
        <w:tab w:val="right" w:pos="8420"/>
        <w:tab w:val="clear" w:pos="4153"/>
      </w:tabs>
      <w:rPr>
        <w:rFonts w:ascii="宋体" w:hAnsi="宋体" w:cs="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4AD4B1">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704AD4B1">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7285">
    <w:pPr>
      <w:adjustRightInd w:val="0"/>
      <w:snapToGrid w:val="0"/>
      <w:spacing w:line="360" w:lineRule="auto"/>
      <w:jc w:val="left"/>
      <w:rPr>
        <w:rFonts w:hint="eastAsia" w:ascii="宋体" w:eastAsia="宋体" w:cs="Times New Roman"/>
        <w:sz w:val="13"/>
        <w:szCs w:val="13"/>
        <w:highlight w:val="yellow"/>
        <w:u w:val="single"/>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F2F7">
    <w:pPr>
      <w:adjustRightInd w:val="0"/>
      <w:snapToGrid w:val="0"/>
      <w:spacing w:line="360" w:lineRule="auto"/>
      <w:jc w:val="left"/>
      <w:rPr>
        <w:rFonts w:hint="eastAsia" w:eastAsia="宋体"/>
        <w:sz w:val="13"/>
        <w:szCs w:val="13"/>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2647">
    <w:pPr>
      <w:adjustRightInd w:val="0"/>
      <w:snapToGrid w:val="0"/>
      <w:spacing w:line="360" w:lineRule="auto"/>
      <w:jc w:val="left"/>
      <w:rPr>
        <w:rFonts w:hint="eastAsia" w:eastAsia="宋体"/>
        <w:sz w:val="13"/>
        <w:szCs w:val="13"/>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2190F">
    <w:pPr>
      <w:adjustRightInd w:val="0"/>
      <w:snapToGrid w:val="0"/>
      <w:spacing w:line="360" w:lineRule="auto"/>
      <w:jc w:val="left"/>
      <w:rPr>
        <w:rFonts w:hint="eastAsia" w:eastAsia="宋体"/>
        <w:sz w:val="13"/>
        <w:szCs w:val="13"/>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F31B">
    <w:pPr>
      <w:adjustRightInd w:val="0"/>
      <w:snapToGrid w:val="0"/>
      <w:spacing w:line="360" w:lineRule="auto"/>
      <w:jc w:val="left"/>
      <w:rPr>
        <w:rFonts w:hint="eastAsia" w:eastAsia="宋体"/>
        <w:sz w:val="13"/>
        <w:szCs w:val="13"/>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F324B">
    <w:pPr>
      <w:adjustRightInd w:val="0"/>
      <w:snapToGrid w:val="0"/>
      <w:spacing w:line="360" w:lineRule="auto"/>
      <w:jc w:val="left"/>
      <w:rPr>
        <w:rFonts w:hint="eastAsia" w:ascii="宋体" w:eastAsia="宋体" w:cs="Times New Roman"/>
        <w:sz w:val="13"/>
        <w:szCs w:val="13"/>
        <w:highlight w:val="yellow"/>
        <w:u w:val="single"/>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p w14:paraId="35F33D24">
    <w:pPr>
      <w:adjustRightInd w:val="0"/>
      <w:snapToGrid w:val="0"/>
      <w:spacing w:line="360" w:lineRule="auto"/>
      <w:jc w:val="left"/>
      <w:rPr>
        <w:rFonts w:hint="eastAsia" w:ascii="宋体" w:eastAsia="宋体" w:cs="Times New Roman"/>
        <w:sz w:val="13"/>
        <w:szCs w:val="13"/>
        <w:highlight w:val="yellow"/>
        <w:u w:val="single"/>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9FC10">
    <w:pPr>
      <w:adjustRightInd w:val="0"/>
      <w:snapToGrid w:val="0"/>
      <w:spacing w:line="360" w:lineRule="auto"/>
      <w:jc w:val="left"/>
      <w:rPr>
        <w:rFonts w:hint="eastAsia" w:ascii="宋体" w:eastAsia="宋体" w:cs="Times New Roman"/>
        <w:sz w:val="13"/>
        <w:szCs w:val="13"/>
        <w:highlight w:val="yellow"/>
        <w:u w:val="single"/>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p w14:paraId="2AB78030">
    <w:pPr>
      <w:adjustRightInd w:val="0"/>
      <w:snapToGrid w:val="0"/>
      <w:spacing w:line="360" w:lineRule="auto"/>
      <w:jc w:val="left"/>
      <w:rPr>
        <w:rFonts w:hint="eastAsia" w:ascii="宋体" w:eastAsia="宋体" w:cs="Times New Roman"/>
        <w:sz w:val="13"/>
        <w:szCs w:val="13"/>
        <w:highlight w:val="yellow"/>
        <w:u w:val="single"/>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AF06">
    <w:pPr>
      <w:adjustRightInd w:val="0"/>
      <w:snapToGrid w:val="0"/>
      <w:spacing w:line="360" w:lineRule="auto"/>
      <w:jc w:val="left"/>
      <w:rPr>
        <w:rFonts w:hint="eastAsia" w:ascii="宋体" w:eastAsia="宋体" w:cs="Times New Roman"/>
        <w:sz w:val="13"/>
        <w:szCs w:val="13"/>
        <w:highlight w:val="yellow"/>
        <w:u w:val="single"/>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5A39E">
    <w:pPr>
      <w:adjustRightInd w:val="0"/>
      <w:snapToGrid w:val="0"/>
      <w:spacing w:line="360" w:lineRule="auto"/>
      <w:jc w:val="left"/>
      <w:rPr>
        <w:rFonts w:hint="eastAsia" w:ascii="宋体" w:eastAsia="宋体" w:cs="Times New Roman"/>
        <w:sz w:val="13"/>
        <w:szCs w:val="13"/>
        <w:highlight w:val="yellow"/>
        <w:u w:val="single"/>
        <w:lang w:eastAsia="zh-CN"/>
      </w:rPr>
    </w:pPr>
    <w:r>
      <w:rPr>
        <w:rFonts w:hint="eastAsia" w:ascii="宋体" w:cs="Times New Roman"/>
        <w:sz w:val="13"/>
        <w:szCs w:val="13"/>
        <w:u w:val="single"/>
        <w:lang w:eastAsia="zh-CN"/>
      </w:rPr>
      <w:t>陕西学前师范学院人工智能创新应用教研训中心建设-卓越中学英语教师智慧虚拟仿真实训中心项目（二次）</w:t>
    </w:r>
    <w:r>
      <w:rPr>
        <w:rFonts w:hint="eastAsia" w:ascii="宋体" w:cs="Times New Roman"/>
        <w:sz w:val="13"/>
        <w:szCs w:val="13"/>
        <w:u w:val="single"/>
        <w:lang w:val="en-US" w:eastAsia="zh-CN"/>
      </w:rPr>
      <w:t xml:space="preserve">                    </w:t>
    </w:r>
    <w:r>
      <w:rPr>
        <w:rFonts w:hint="eastAsia" w:ascii="宋体" w:cs="Times New Roman"/>
        <w:sz w:val="13"/>
        <w:szCs w:val="13"/>
        <w:u w:val="single"/>
        <w:lang w:eastAsia="zh-CN"/>
      </w:rPr>
      <w:t>SXWZ2025ZB-SXXQ-202A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075F6"/>
    <w:multiLevelType w:val="singleLevel"/>
    <w:tmpl w:val="909075F6"/>
    <w:lvl w:ilvl="0" w:tentative="0">
      <w:start w:val="1"/>
      <w:numFmt w:val="decimal"/>
      <w:lvlText w:val="%1."/>
      <w:lvlJc w:val="left"/>
      <w:pPr>
        <w:tabs>
          <w:tab w:val="left" w:pos="312"/>
        </w:tabs>
      </w:pPr>
    </w:lvl>
  </w:abstractNum>
  <w:abstractNum w:abstractNumId="1">
    <w:nsid w:val="CAD76889"/>
    <w:multiLevelType w:val="singleLevel"/>
    <w:tmpl w:val="CAD76889"/>
    <w:lvl w:ilvl="0" w:tentative="0">
      <w:start w:val="8"/>
      <w:numFmt w:val="chineseCounting"/>
      <w:suff w:val="nothing"/>
      <w:lvlText w:val="%1、"/>
      <w:lvlJc w:val="left"/>
      <w:rPr>
        <w:rFonts w:hint="eastAsia"/>
      </w:rPr>
    </w:lvl>
  </w:abstractNum>
  <w:abstractNum w:abstractNumId="2">
    <w:nsid w:val="F7653843"/>
    <w:multiLevelType w:val="singleLevel"/>
    <w:tmpl w:val="F7653843"/>
    <w:lvl w:ilvl="0" w:tentative="0">
      <w:start w:val="1"/>
      <w:numFmt w:val="decimal"/>
      <w:lvlText w:val="%1."/>
      <w:lvlJc w:val="left"/>
      <w:pPr>
        <w:tabs>
          <w:tab w:val="left" w:pos="312"/>
        </w:tabs>
      </w:pPr>
    </w:lvl>
  </w:abstractNum>
  <w:abstractNum w:abstractNumId="3">
    <w:nsid w:val="0002494B"/>
    <w:multiLevelType w:val="singleLevel"/>
    <w:tmpl w:val="0002494B"/>
    <w:lvl w:ilvl="0" w:tentative="0">
      <w:start w:val="1"/>
      <w:numFmt w:val="decimal"/>
      <w:lvlText w:val="%1."/>
      <w:lvlJc w:val="left"/>
      <w:pPr>
        <w:tabs>
          <w:tab w:val="left" w:pos="312"/>
        </w:tabs>
      </w:pPr>
    </w:lvl>
  </w:abstractNum>
  <w:abstractNum w:abstractNumId="4">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5">
    <w:nsid w:val="01C6D13B"/>
    <w:multiLevelType w:val="singleLevel"/>
    <w:tmpl w:val="01C6D13B"/>
    <w:lvl w:ilvl="0" w:tentative="0">
      <w:start w:val="1"/>
      <w:numFmt w:val="decimal"/>
      <w:lvlText w:val="%1."/>
      <w:lvlJc w:val="left"/>
      <w:pPr>
        <w:tabs>
          <w:tab w:val="left" w:pos="312"/>
        </w:tabs>
      </w:pPr>
    </w:lvl>
  </w:abstractNum>
  <w:abstractNum w:abstractNumId="6">
    <w:nsid w:val="23A8CB96"/>
    <w:multiLevelType w:val="singleLevel"/>
    <w:tmpl w:val="23A8CB96"/>
    <w:lvl w:ilvl="0" w:tentative="0">
      <w:start w:val="14"/>
      <w:numFmt w:val="decimal"/>
      <w:lvlText w:val="%1."/>
      <w:lvlJc w:val="left"/>
      <w:pPr>
        <w:tabs>
          <w:tab w:val="left" w:pos="312"/>
        </w:tabs>
      </w:pPr>
    </w:lvl>
  </w:abstractNum>
  <w:abstractNum w:abstractNumId="7">
    <w:nsid w:val="54CD0282"/>
    <w:multiLevelType w:val="multilevel"/>
    <w:tmpl w:val="54CD0282"/>
    <w:lvl w:ilvl="0" w:tentative="0">
      <w:start w:val="1"/>
      <w:numFmt w:val="decimal"/>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530B97F"/>
    <w:multiLevelType w:val="singleLevel"/>
    <w:tmpl w:val="5530B97F"/>
    <w:lvl w:ilvl="0" w:tentative="0">
      <w:start w:val="1"/>
      <w:numFmt w:val="chineseCounting"/>
      <w:suff w:val="nothing"/>
      <w:lvlText w:val="%1、"/>
      <w:lvlJc w:val="left"/>
      <w:rPr>
        <w:rFonts w:cs="Times New Roman"/>
      </w:rPr>
    </w:lvl>
  </w:abstractNum>
  <w:abstractNum w:abstractNumId="9">
    <w:nsid w:val="559A3799"/>
    <w:multiLevelType w:val="singleLevel"/>
    <w:tmpl w:val="559A3799"/>
    <w:lvl w:ilvl="0" w:tentative="0">
      <w:start w:val="1"/>
      <w:numFmt w:val="decimal"/>
      <w:suff w:val="space"/>
      <w:lvlText w:val="3.%1"/>
      <w:lvlJc w:val="left"/>
      <w:pPr>
        <w:tabs>
          <w:tab w:val="left" w:pos="0"/>
        </w:tabs>
        <w:ind w:firstLine="400"/>
      </w:pPr>
      <w:rPr>
        <w:rFonts w:hint="default" w:ascii="Times New Roman" w:hAnsi="Times New Roman" w:eastAsia="宋体" w:cs="Times New Roman"/>
      </w:rPr>
    </w:lvl>
  </w:abstractNum>
  <w:abstractNum w:abstractNumId="10">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11">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12">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13">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4">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5">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6">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7">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8">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9">
    <w:nsid w:val="58E5B8A6"/>
    <w:multiLevelType w:val="singleLevel"/>
    <w:tmpl w:val="58E5B8A6"/>
    <w:lvl w:ilvl="0" w:tentative="0">
      <w:start w:val="1"/>
      <w:numFmt w:val="decimal"/>
      <w:suff w:val="nothing"/>
      <w:lvlText w:val="（%1）"/>
      <w:lvlJc w:val="left"/>
      <w:pPr>
        <w:ind w:firstLine="420"/>
      </w:pPr>
      <w:rPr>
        <w:rFonts w:hint="default" w:cs="Times New Roman"/>
      </w:rPr>
    </w:lvl>
  </w:abstractNum>
  <w:abstractNum w:abstractNumId="20">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21">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22">
    <w:nsid w:val="59169F02"/>
    <w:multiLevelType w:val="singleLevel"/>
    <w:tmpl w:val="59169F02"/>
    <w:lvl w:ilvl="0" w:tentative="0">
      <w:start w:val="1"/>
      <w:numFmt w:val="decimal"/>
      <w:suff w:val="nothing"/>
      <w:lvlText w:val="%1、"/>
      <w:lvlJc w:val="left"/>
      <w:rPr>
        <w:rFonts w:cs="Times New Roman"/>
      </w:rPr>
    </w:lvl>
  </w:abstractNum>
  <w:abstractNum w:abstractNumId="23">
    <w:nsid w:val="59F034A0"/>
    <w:multiLevelType w:val="singleLevel"/>
    <w:tmpl w:val="59F034A0"/>
    <w:lvl w:ilvl="0" w:tentative="0">
      <w:start w:val="1"/>
      <w:numFmt w:val="bullet"/>
      <w:lvlText w:val=""/>
      <w:lvlJc w:val="left"/>
      <w:pPr>
        <w:ind w:left="420" w:hanging="420"/>
      </w:pPr>
      <w:rPr>
        <w:rFonts w:hint="default" w:ascii="Wingdings" w:hAnsi="Wingdings" w:cs="Wingdings"/>
      </w:rPr>
    </w:lvl>
  </w:abstractNum>
  <w:abstractNum w:abstractNumId="24">
    <w:nsid w:val="59F098CD"/>
    <w:multiLevelType w:val="singleLevel"/>
    <w:tmpl w:val="59F098CD"/>
    <w:lvl w:ilvl="0" w:tentative="0">
      <w:start w:val="1"/>
      <w:numFmt w:val="decimal"/>
      <w:suff w:val="nothing"/>
      <w:lvlText w:val="（%1）"/>
      <w:lvlJc w:val="left"/>
      <w:pPr>
        <w:ind w:firstLine="420"/>
      </w:pPr>
      <w:rPr>
        <w:rFonts w:hint="default"/>
      </w:rPr>
    </w:lvl>
  </w:abstractNum>
  <w:abstractNum w:abstractNumId="25">
    <w:nsid w:val="5A93C287"/>
    <w:multiLevelType w:val="singleLevel"/>
    <w:tmpl w:val="5A93C287"/>
    <w:lvl w:ilvl="0" w:tentative="0">
      <w:start w:val="4"/>
      <w:numFmt w:val="chineseCounting"/>
      <w:suff w:val="space"/>
      <w:lvlText w:val="第%1部分"/>
      <w:lvlJc w:val="left"/>
    </w:lvl>
  </w:abstractNum>
  <w:num w:numId="1">
    <w:abstractNumId w:val="8"/>
  </w:num>
  <w:num w:numId="2">
    <w:abstractNumId w:val="22"/>
  </w:num>
  <w:num w:numId="3">
    <w:abstractNumId w:val="11"/>
  </w:num>
  <w:num w:numId="4">
    <w:abstractNumId w:val="12"/>
  </w:num>
  <w:num w:numId="5">
    <w:abstractNumId w:val="9"/>
  </w:num>
  <w:num w:numId="6">
    <w:abstractNumId w:val="10"/>
  </w:num>
  <w:num w:numId="7">
    <w:abstractNumId w:val="16"/>
  </w:num>
  <w:num w:numId="8">
    <w:abstractNumId w:val="18"/>
  </w:num>
  <w:num w:numId="9">
    <w:abstractNumId w:val="13"/>
  </w:num>
  <w:num w:numId="10">
    <w:abstractNumId w:val="17"/>
  </w:num>
  <w:num w:numId="11">
    <w:abstractNumId w:val="19"/>
  </w:num>
  <w:num w:numId="12">
    <w:abstractNumId w:val="24"/>
  </w:num>
  <w:num w:numId="13">
    <w:abstractNumId w:val="23"/>
  </w:num>
  <w:num w:numId="14">
    <w:abstractNumId w:val="14"/>
  </w:num>
  <w:num w:numId="15">
    <w:abstractNumId w:val="15"/>
  </w:num>
  <w:num w:numId="16">
    <w:abstractNumId w:val="20"/>
  </w:num>
  <w:num w:numId="17">
    <w:abstractNumId w:val="21"/>
  </w:num>
  <w:num w:numId="18">
    <w:abstractNumId w:val="1"/>
  </w:num>
  <w:num w:numId="19">
    <w:abstractNumId w:val="25"/>
  </w:num>
  <w:num w:numId="20">
    <w:abstractNumId w:val="7"/>
  </w:num>
  <w:num w:numId="21">
    <w:abstractNumId w:val="2"/>
  </w:num>
  <w:num w:numId="22">
    <w:abstractNumId w:val="0"/>
  </w:num>
  <w:num w:numId="23">
    <w:abstractNumId w:val="5"/>
  </w:num>
  <w:num w:numId="24">
    <w:abstractNumId w:val="6"/>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oNotHyphenateCaps/>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2627224F"/>
    <w:rsid w:val="00002782"/>
    <w:rsid w:val="000043A8"/>
    <w:rsid w:val="00005CB8"/>
    <w:rsid w:val="000103AC"/>
    <w:rsid w:val="00030894"/>
    <w:rsid w:val="00035424"/>
    <w:rsid w:val="00037895"/>
    <w:rsid w:val="00042BEB"/>
    <w:rsid w:val="00043A02"/>
    <w:rsid w:val="0005278A"/>
    <w:rsid w:val="00055F6C"/>
    <w:rsid w:val="00063860"/>
    <w:rsid w:val="00063BFA"/>
    <w:rsid w:val="000671CF"/>
    <w:rsid w:val="00075859"/>
    <w:rsid w:val="0008280F"/>
    <w:rsid w:val="0008419E"/>
    <w:rsid w:val="00086CC9"/>
    <w:rsid w:val="000964FC"/>
    <w:rsid w:val="000A16A1"/>
    <w:rsid w:val="000A3018"/>
    <w:rsid w:val="000A3577"/>
    <w:rsid w:val="000A7BA4"/>
    <w:rsid w:val="000B2349"/>
    <w:rsid w:val="000C0895"/>
    <w:rsid w:val="000C33A2"/>
    <w:rsid w:val="000C4300"/>
    <w:rsid w:val="000D24DA"/>
    <w:rsid w:val="000D3001"/>
    <w:rsid w:val="000D3811"/>
    <w:rsid w:val="000D770E"/>
    <w:rsid w:val="000E62CF"/>
    <w:rsid w:val="00100349"/>
    <w:rsid w:val="00103959"/>
    <w:rsid w:val="0010470F"/>
    <w:rsid w:val="0011607E"/>
    <w:rsid w:val="00143314"/>
    <w:rsid w:val="0016410E"/>
    <w:rsid w:val="00167A28"/>
    <w:rsid w:val="00172E78"/>
    <w:rsid w:val="001734E5"/>
    <w:rsid w:val="00184201"/>
    <w:rsid w:val="00187107"/>
    <w:rsid w:val="0019040B"/>
    <w:rsid w:val="00190455"/>
    <w:rsid w:val="0019173E"/>
    <w:rsid w:val="00191761"/>
    <w:rsid w:val="00193858"/>
    <w:rsid w:val="001A2F01"/>
    <w:rsid w:val="001A4051"/>
    <w:rsid w:val="001A6858"/>
    <w:rsid w:val="001B5800"/>
    <w:rsid w:val="001C53EB"/>
    <w:rsid w:val="001C6666"/>
    <w:rsid w:val="001D1326"/>
    <w:rsid w:val="001D1F0A"/>
    <w:rsid w:val="001D462C"/>
    <w:rsid w:val="001E2824"/>
    <w:rsid w:val="001E2856"/>
    <w:rsid w:val="001F31AF"/>
    <w:rsid w:val="0020303F"/>
    <w:rsid w:val="00207981"/>
    <w:rsid w:val="0021256B"/>
    <w:rsid w:val="00220125"/>
    <w:rsid w:val="00243282"/>
    <w:rsid w:val="0024481B"/>
    <w:rsid w:val="002457A8"/>
    <w:rsid w:val="00245F18"/>
    <w:rsid w:val="002712D9"/>
    <w:rsid w:val="00280C4F"/>
    <w:rsid w:val="0028347B"/>
    <w:rsid w:val="00284567"/>
    <w:rsid w:val="00284906"/>
    <w:rsid w:val="002A250D"/>
    <w:rsid w:val="002A596F"/>
    <w:rsid w:val="002C47EA"/>
    <w:rsid w:val="002C5A83"/>
    <w:rsid w:val="002D13D1"/>
    <w:rsid w:val="002D57D8"/>
    <w:rsid w:val="002D7284"/>
    <w:rsid w:val="002D7A6D"/>
    <w:rsid w:val="002E07BF"/>
    <w:rsid w:val="002E2048"/>
    <w:rsid w:val="002E581B"/>
    <w:rsid w:val="002F077F"/>
    <w:rsid w:val="002F5BC2"/>
    <w:rsid w:val="002F5E7A"/>
    <w:rsid w:val="002F6FCA"/>
    <w:rsid w:val="002F7B47"/>
    <w:rsid w:val="00303560"/>
    <w:rsid w:val="0030738F"/>
    <w:rsid w:val="0032404F"/>
    <w:rsid w:val="003279C0"/>
    <w:rsid w:val="003311F3"/>
    <w:rsid w:val="00336997"/>
    <w:rsid w:val="00337601"/>
    <w:rsid w:val="00337B6E"/>
    <w:rsid w:val="00345233"/>
    <w:rsid w:val="003546AE"/>
    <w:rsid w:val="00360C09"/>
    <w:rsid w:val="00367F8D"/>
    <w:rsid w:val="003A2AE9"/>
    <w:rsid w:val="003A73D8"/>
    <w:rsid w:val="003A7678"/>
    <w:rsid w:val="003B2D31"/>
    <w:rsid w:val="003B6571"/>
    <w:rsid w:val="003B7267"/>
    <w:rsid w:val="003D02BC"/>
    <w:rsid w:val="003D37C1"/>
    <w:rsid w:val="003D3DEA"/>
    <w:rsid w:val="003D3FF3"/>
    <w:rsid w:val="003E65D8"/>
    <w:rsid w:val="003E7B81"/>
    <w:rsid w:val="003F3D18"/>
    <w:rsid w:val="003F64A7"/>
    <w:rsid w:val="00405382"/>
    <w:rsid w:val="00410E57"/>
    <w:rsid w:val="00410F75"/>
    <w:rsid w:val="00411AEB"/>
    <w:rsid w:val="00416266"/>
    <w:rsid w:val="004456E2"/>
    <w:rsid w:val="00446A5F"/>
    <w:rsid w:val="0045409B"/>
    <w:rsid w:val="004554C3"/>
    <w:rsid w:val="004562E7"/>
    <w:rsid w:val="004606ED"/>
    <w:rsid w:val="00460F70"/>
    <w:rsid w:val="00466CF3"/>
    <w:rsid w:val="004712C3"/>
    <w:rsid w:val="004766A6"/>
    <w:rsid w:val="00482200"/>
    <w:rsid w:val="00482B14"/>
    <w:rsid w:val="0049025B"/>
    <w:rsid w:val="00494F45"/>
    <w:rsid w:val="004A4095"/>
    <w:rsid w:val="004B3A1F"/>
    <w:rsid w:val="004B46F1"/>
    <w:rsid w:val="004D70C5"/>
    <w:rsid w:val="004E3227"/>
    <w:rsid w:val="004F2C80"/>
    <w:rsid w:val="0050127E"/>
    <w:rsid w:val="00506448"/>
    <w:rsid w:val="00512432"/>
    <w:rsid w:val="00512C24"/>
    <w:rsid w:val="00520C66"/>
    <w:rsid w:val="00522064"/>
    <w:rsid w:val="00524222"/>
    <w:rsid w:val="00540A4C"/>
    <w:rsid w:val="00542C9F"/>
    <w:rsid w:val="00550E9A"/>
    <w:rsid w:val="00556774"/>
    <w:rsid w:val="00583C0E"/>
    <w:rsid w:val="005867A6"/>
    <w:rsid w:val="005876F2"/>
    <w:rsid w:val="005973CC"/>
    <w:rsid w:val="005A4E8A"/>
    <w:rsid w:val="005B218F"/>
    <w:rsid w:val="005B3707"/>
    <w:rsid w:val="005B3960"/>
    <w:rsid w:val="005B44DB"/>
    <w:rsid w:val="005B47F7"/>
    <w:rsid w:val="005C0926"/>
    <w:rsid w:val="005C79DA"/>
    <w:rsid w:val="005D6922"/>
    <w:rsid w:val="005D7A12"/>
    <w:rsid w:val="005E00C2"/>
    <w:rsid w:val="005E76F4"/>
    <w:rsid w:val="00600B85"/>
    <w:rsid w:val="00601EBC"/>
    <w:rsid w:val="00603579"/>
    <w:rsid w:val="00604A7F"/>
    <w:rsid w:val="00611AB5"/>
    <w:rsid w:val="0061559B"/>
    <w:rsid w:val="00621C19"/>
    <w:rsid w:val="00621DF3"/>
    <w:rsid w:val="0063018F"/>
    <w:rsid w:val="006316B4"/>
    <w:rsid w:val="006401EA"/>
    <w:rsid w:val="0064683A"/>
    <w:rsid w:val="00664E7B"/>
    <w:rsid w:val="006657C9"/>
    <w:rsid w:val="00666391"/>
    <w:rsid w:val="00667AD0"/>
    <w:rsid w:val="00670515"/>
    <w:rsid w:val="006767C5"/>
    <w:rsid w:val="00676F87"/>
    <w:rsid w:val="006806CF"/>
    <w:rsid w:val="00680AA9"/>
    <w:rsid w:val="00682C34"/>
    <w:rsid w:val="006865EF"/>
    <w:rsid w:val="00691750"/>
    <w:rsid w:val="006927FD"/>
    <w:rsid w:val="00692A65"/>
    <w:rsid w:val="00693E7B"/>
    <w:rsid w:val="00696FBA"/>
    <w:rsid w:val="006A5867"/>
    <w:rsid w:val="006A5C18"/>
    <w:rsid w:val="006B2DFB"/>
    <w:rsid w:val="006C3E1D"/>
    <w:rsid w:val="006D5793"/>
    <w:rsid w:val="006E37AC"/>
    <w:rsid w:val="006E46DF"/>
    <w:rsid w:val="006F1FD6"/>
    <w:rsid w:val="006F29E9"/>
    <w:rsid w:val="006F2FFB"/>
    <w:rsid w:val="006F4EE4"/>
    <w:rsid w:val="00724B0D"/>
    <w:rsid w:val="00724CF6"/>
    <w:rsid w:val="00726643"/>
    <w:rsid w:val="00732282"/>
    <w:rsid w:val="007322E2"/>
    <w:rsid w:val="00736D00"/>
    <w:rsid w:val="00740F3F"/>
    <w:rsid w:val="00744BD1"/>
    <w:rsid w:val="00744D1A"/>
    <w:rsid w:val="0074676E"/>
    <w:rsid w:val="00747650"/>
    <w:rsid w:val="007511D7"/>
    <w:rsid w:val="00753466"/>
    <w:rsid w:val="00754372"/>
    <w:rsid w:val="00755ABB"/>
    <w:rsid w:val="0077525D"/>
    <w:rsid w:val="0078433C"/>
    <w:rsid w:val="00791F55"/>
    <w:rsid w:val="00792491"/>
    <w:rsid w:val="007A31AB"/>
    <w:rsid w:val="007A4024"/>
    <w:rsid w:val="007A43C1"/>
    <w:rsid w:val="007A4670"/>
    <w:rsid w:val="007A67DF"/>
    <w:rsid w:val="007A7760"/>
    <w:rsid w:val="007C5885"/>
    <w:rsid w:val="007D240C"/>
    <w:rsid w:val="007D6071"/>
    <w:rsid w:val="007E046D"/>
    <w:rsid w:val="007F00C1"/>
    <w:rsid w:val="00801832"/>
    <w:rsid w:val="00805411"/>
    <w:rsid w:val="0080566A"/>
    <w:rsid w:val="00811479"/>
    <w:rsid w:val="00816808"/>
    <w:rsid w:val="00817B48"/>
    <w:rsid w:val="0082626C"/>
    <w:rsid w:val="0083287B"/>
    <w:rsid w:val="008368FC"/>
    <w:rsid w:val="00845318"/>
    <w:rsid w:val="008456FB"/>
    <w:rsid w:val="0086108A"/>
    <w:rsid w:val="00862D6D"/>
    <w:rsid w:val="0086405A"/>
    <w:rsid w:val="00870F67"/>
    <w:rsid w:val="0087579D"/>
    <w:rsid w:val="00875A4E"/>
    <w:rsid w:val="00882EB8"/>
    <w:rsid w:val="008866C0"/>
    <w:rsid w:val="00892118"/>
    <w:rsid w:val="008962A7"/>
    <w:rsid w:val="008A13B3"/>
    <w:rsid w:val="008A367A"/>
    <w:rsid w:val="008B1981"/>
    <w:rsid w:val="008C1600"/>
    <w:rsid w:val="008C4B71"/>
    <w:rsid w:val="008C7089"/>
    <w:rsid w:val="008D1976"/>
    <w:rsid w:val="008E6F21"/>
    <w:rsid w:val="008F6EFE"/>
    <w:rsid w:val="00901931"/>
    <w:rsid w:val="00905F14"/>
    <w:rsid w:val="00907566"/>
    <w:rsid w:val="00912B0F"/>
    <w:rsid w:val="00925839"/>
    <w:rsid w:val="00926B2B"/>
    <w:rsid w:val="009303C4"/>
    <w:rsid w:val="00930A4F"/>
    <w:rsid w:val="009325F9"/>
    <w:rsid w:val="00944D86"/>
    <w:rsid w:val="00954CF1"/>
    <w:rsid w:val="00956F3F"/>
    <w:rsid w:val="00957A9A"/>
    <w:rsid w:val="009649C6"/>
    <w:rsid w:val="00970EB8"/>
    <w:rsid w:val="009713B9"/>
    <w:rsid w:val="00971A81"/>
    <w:rsid w:val="00972EEB"/>
    <w:rsid w:val="00984E87"/>
    <w:rsid w:val="00995A71"/>
    <w:rsid w:val="009A69B9"/>
    <w:rsid w:val="009A7220"/>
    <w:rsid w:val="009B1507"/>
    <w:rsid w:val="009B3AAC"/>
    <w:rsid w:val="009B5161"/>
    <w:rsid w:val="009C2905"/>
    <w:rsid w:val="009C5EE1"/>
    <w:rsid w:val="009D0531"/>
    <w:rsid w:val="009D2568"/>
    <w:rsid w:val="009D32E5"/>
    <w:rsid w:val="009E0BA6"/>
    <w:rsid w:val="009F443D"/>
    <w:rsid w:val="009F75AE"/>
    <w:rsid w:val="009F7F47"/>
    <w:rsid w:val="00A066FF"/>
    <w:rsid w:val="00A14B29"/>
    <w:rsid w:val="00A248F4"/>
    <w:rsid w:val="00A36DDB"/>
    <w:rsid w:val="00A417CF"/>
    <w:rsid w:val="00A4332A"/>
    <w:rsid w:val="00A44128"/>
    <w:rsid w:val="00A45FD6"/>
    <w:rsid w:val="00A46732"/>
    <w:rsid w:val="00A50C62"/>
    <w:rsid w:val="00A54A5D"/>
    <w:rsid w:val="00A63494"/>
    <w:rsid w:val="00A75C8F"/>
    <w:rsid w:val="00A8343C"/>
    <w:rsid w:val="00A921BA"/>
    <w:rsid w:val="00AA6C48"/>
    <w:rsid w:val="00AB0730"/>
    <w:rsid w:val="00AC3630"/>
    <w:rsid w:val="00AC7625"/>
    <w:rsid w:val="00AD1ADA"/>
    <w:rsid w:val="00AD1C88"/>
    <w:rsid w:val="00AD215C"/>
    <w:rsid w:val="00AD5626"/>
    <w:rsid w:val="00AD5D52"/>
    <w:rsid w:val="00AE0451"/>
    <w:rsid w:val="00B0416F"/>
    <w:rsid w:val="00B07975"/>
    <w:rsid w:val="00B1410E"/>
    <w:rsid w:val="00B16A3E"/>
    <w:rsid w:val="00B32079"/>
    <w:rsid w:val="00B40D56"/>
    <w:rsid w:val="00B41BF8"/>
    <w:rsid w:val="00B45E66"/>
    <w:rsid w:val="00B45EFE"/>
    <w:rsid w:val="00B472F0"/>
    <w:rsid w:val="00B51C39"/>
    <w:rsid w:val="00B529FF"/>
    <w:rsid w:val="00B553EF"/>
    <w:rsid w:val="00B603BA"/>
    <w:rsid w:val="00B622CC"/>
    <w:rsid w:val="00B638F3"/>
    <w:rsid w:val="00B6511B"/>
    <w:rsid w:val="00B75ECA"/>
    <w:rsid w:val="00B76DB3"/>
    <w:rsid w:val="00B812CA"/>
    <w:rsid w:val="00B81A93"/>
    <w:rsid w:val="00B86797"/>
    <w:rsid w:val="00BA09E4"/>
    <w:rsid w:val="00BB427D"/>
    <w:rsid w:val="00BB49DA"/>
    <w:rsid w:val="00BC1AB3"/>
    <w:rsid w:val="00BC3E1F"/>
    <w:rsid w:val="00BC5630"/>
    <w:rsid w:val="00BC7153"/>
    <w:rsid w:val="00BC753D"/>
    <w:rsid w:val="00BD2877"/>
    <w:rsid w:val="00BE185D"/>
    <w:rsid w:val="00BF007D"/>
    <w:rsid w:val="00BF08C1"/>
    <w:rsid w:val="00BF1963"/>
    <w:rsid w:val="00BF1B28"/>
    <w:rsid w:val="00BF2ABB"/>
    <w:rsid w:val="00BF4BCA"/>
    <w:rsid w:val="00BF5047"/>
    <w:rsid w:val="00BF734D"/>
    <w:rsid w:val="00C02306"/>
    <w:rsid w:val="00C14616"/>
    <w:rsid w:val="00C15737"/>
    <w:rsid w:val="00C27AD9"/>
    <w:rsid w:val="00C338D2"/>
    <w:rsid w:val="00C35702"/>
    <w:rsid w:val="00C403B1"/>
    <w:rsid w:val="00C4423B"/>
    <w:rsid w:val="00C467C0"/>
    <w:rsid w:val="00C4725D"/>
    <w:rsid w:val="00C50B61"/>
    <w:rsid w:val="00C51965"/>
    <w:rsid w:val="00C552B0"/>
    <w:rsid w:val="00C6256F"/>
    <w:rsid w:val="00C663B8"/>
    <w:rsid w:val="00C7082F"/>
    <w:rsid w:val="00C77272"/>
    <w:rsid w:val="00C82AD9"/>
    <w:rsid w:val="00C92D0B"/>
    <w:rsid w:val="00C96BF7"/>
    <w:rsid w:val="00CA0BCA"/>
    <w:rsid w:val="00CA6979"/>
    <w:rsid w:val="00CB47F6"/>
    <w:rsid w:val="00CB5F52"/>
    <w:rsid w:val="00CC43DB"/>
    <w:rsid w:val="00CD4E8F"/>
    <w:rsid w:val="00CE1D78"/>
    <w:rsid w:val="00CE67B7"/>
    <w:rsid w:val="00CF1B83"/>
    <w:rsid w:val="00CF1DC3"/>
    <w:rsid w:val="00CF53CE"/>
    <w:rsid w:val="00D01247"/>
    <w:rsid w:val="00D01AE5"/>
    <w:rsid w:val="00D01F3B"/>
    <w:rsid w:val="00D10508"/>
    <w:rsid w:val="00D13655"/>
    <w:rsid w:val="00D22C12"/>
    <w:rsid w:val="00D26166"/>
    <w:rsid w:val="00D2776F"/>
    <w:rsid w:val="00D34049"/>
    <w:rsid w:val="00D40C50"/>
    <w:rsid w:val="00D42D7A"/>
    <w:rsid w:val="00D4459E"/>
    <w:rsid w:val="00D44CB0"/>
    <w:rsid w:val="00D52376"/>
    <w:rsid w:val="00D563E8"/>
    <w:rsid w:val="00D574E4"/>
    <w:rsid w:val="00D576EF"/>
    <w:rsid w:val="00D57E9A"/>
    <w:rsid w:val="00D618BC"/>
    <w:rsid w:val="00D65559"/>
    <w:rsid w:val="00D67244"/>
    <w:rsid w:val="00D71EED"/>
    <w:rsid w:val="00D720DF"/>
    <w:rsid w:val="00D7588F"/>
    <w:rsid w:val="00D76E22"/>
    <w:rsid w:val="00D80518"/>
    <w:rsid w:val="00D82225"/>
    <w:rsid w:val="00D86DEB"/>
    <w:rsid w:val="00D9024D"/>
    <w:rsid w:val="00D9275B"/>
    <w:rsid w:val="00D967A4"/>
    <w:rsid w:val="00DA4229"/>
    <w:rsid w:val="00DA597E"/>
    <w:rsid w:val="00DA6816"/>
    <w:rsid w:val="00DB2770"/>
    <w:rsid w:val="00DB4B63"/>
    <w:rsid w:val="00DC1986"/>
    <w:rsid w:val="00DC5F9E"/>
    <w:rsid w:val="00DC7FB0"/>
    <w:rsid w:val="00DE3788"/>
    <w:rsid w:val="00DE666D"/>
    <w:rsid w:val="00DF1725"/>
    <w:rsid w:val="00E000B7"/>
    <w:rsid w:val="00E04145"/>
    <w:rsid w:val="00E068A9"/>
    <w:rsid w:val="00E15239"/>
    <w:rsid w:val="00E23336"/>
    <w:rsid w:val="00E24AFE"/>
    <w:rsid w:val="00E3706A"/>
    <w:rsid w:val="00E44464"/>
    <w:rsid w:val="00E51BF6"/>
    <w:rsid w:val="00E51C2A"/>
    <w:rsid w:val="00E566E6"/>
    <w:rsid w:val="00E65EB4"/>
    <w:rsid w:val="00E66C10"/>
    <w:rsid w:val="00E93992"/>
    <w:rsid w:val="00E96AC7"/>
    <w:rsid w:val="00E9724B"/>
    <w:rsid w:val="00EA1ECE"/>
    <w:rsid w:val="00EA605E"/>
    <w:rsid w:val="00EA7829"/>
    <w:rsid w:val="00EE05C1"/>
    <w:rsid w:val="00EE3C41"/>
    <w:rsid w:val="00EF2094"/>
    <w:rsid w:val="00F012BD"/>
    <w:rsid w:val="00F058CA"/>
    <w:rsid w:val="00F11036"/>
    <w:rsid w:val="00F1312F"/>
    <w:rsid w:val="00F16755"/>
    <w:rsid w:val="00F2102A"/>
    <w:rsid w:val="00F216C0"/>
    <w:rsid w:val="00F22F9D"/>
    <w:rsid w:val="00F233C9"/>
    <w:rsid w:val="00F234ED"/>
    <w:rsid w:val="00F273D6"/>
    <w:rsid w:val="00F308D0"/>
    <w:rsid w:val="00F33E7F"/>
    <w:rsid w:val="00F36717"/>
    <w:rsid w:val="00F42B05"/>
    <w:rsid w:val="00F43C8A"/>
    <w:rsid w:val="00F444F4"/>
    <w:rsid w:val="00F44ADD"/>
    <w:rsid w:val="00F46D0D"/>
    <w:rsid w:val="00F528BB"/>
    <w:rsid w:val="00F570C4"/>
    <w:rsid w:val="00F62BBF"/>
    <w:rsid w:val="00F6310D"/>
    <w:rsid w:val="00F64928"/>
    <w:rsid w:val="00F67301"/>
    <w:rsid w:val="00F71751"/>
    <w:rsid w:val="00F742C6"/>
    <w:rsid w:val="00F75245"/>
    <w:rsid w:val="00F76216"/>
    <w:rsid w:val="00F77A2F"/>
    <w:rsid w:val="00F806D3"/>
    <w:rsid w:val="00F81636"/>
    <w:rsid w:val="00F816D0"/>
    <w:rsid w:val="00F83284"/>
    <w:rsid w:val="00F87773"/>
    <w:rsid w:val="00F96C6F"/>
    <w:rsid w:val="00FA5943"/>
    <w:rsid w:val="00FA6299"/>
    <w:rsid w:val="00FA7521"/>
    <w:rsid w:val="00FD0B57"/>
    <w:rsid w:val="00FD26F4"/>
    <w:rsid w:val="00FD3443"/>
    <w:rsid w:val="00FF028B"/>
    <w:rsid w:val="01007326"/>
    <w:rsid w:val="01030061"/>
    <w:rsid w:val="0120117A"/>
    <w:rsid w:val="01214EAF"/>
    <w:rsid w:val="012475CE"/>
    <w:rsid w:val="01306785"/>
    <w:rsid w:val="013A223F"/>
    <w:rsid w:val="01415CD2"/>
    <w:rsid w:val="014C4D86"/>
    <w:rsid w:val="016C627A"/>
    <w:rsid w:val="01761E20"/>
    <w:rsid w:val="01920D21"/>
    <w:rsid w:val="01AD0103"/>
    <w:rsid w:val="01BB62CB"/>
    <w:rsid w:val="01C76C08"/>
    <w:rsid w:val="01F90F7C"/>
    <w:rsid w:val="01FE5971"/>
    <w:rsid w:val="02064B47"/>
    <w:rsid w:val="020B27CB"/>
    <w:rsid w:val="02203547"/>
    <w:rsid w:val="0225155C"/>
    <w:rsid w:val="023F321E"/>
    <w:rsid w:val="0245012F"/>
    <w:rsid w:val="024535A0"/>
    <w:rsid w:val="026366BA"/>
    <w:rsid w:val="02642382"/>
    <w:rsid w:val="02796963"/>
    <w:rsid w:val="02854F8C"/>
    <w:rsid w:val="02943E73"/>
    <w:rsid w:val="02A1111E"/>
    <w:rsid w:val="02A47682"/>
    <w:rsid w:val="02A62DF9"/>
    <w:rsid w:val="02A73A31"/>
    <w:rsid w:val="02AD1925"/>
    <w:rsid w:val="02AF383B"/>
    <w:rsid w:val="02C10E79"/>
    <w:rsid w:val="02EC04CA"/>
    <w:rsid w:val="02FA25DD"/>
    <w:rsid w:val="030A0C9E"/>
    <w:rsid w:val="03103BAE"/>
    <w:rsid w:val="03273A74"/>
    <w:rsid w:val="03304250"/>
    <w:rsid w:val="03505603"/>
    <w:rsid w:val="0361265C"/>
    <w:rsid w:val="037048D2"/>
    <w:rsid w:val="03741866"/>
    <w:rsid w:val="038F541B"/>
    <w:rsid w:val="03A52548"/>
    <w:rsid w:val="03C66944"/>
    <w:rsid w:val="03D955FA"/>
    <w:rsid w:val="03E76D01"/>
    <w:rsid w:val="04003C23"/>
    <w:rsid w:val="040556DD"/>
    <w:rsid w:val="0413438E"/>
    <w:rsid w:val="04141C07"/>
    <w:rsid w:val="04190789"/>
    <w:rsid w:val="041E0491"/>
    <w:rsid w:val="046321A5"/>
    <w:rsid w:val="046F3750"/>
    <w:rsid w:val="047501E3"/>
    <w:rsid w:val="04851DB5"/>
    <w:rsid w:val="04AC5B58"/>
    <w:rsid w:val="04D52E18"/>
    <w:rsid w:val="04D806FC"/>
    <w:rsid w:val="04DB6759"/>
    <w:rsid w:val="04F05A45"/>
    <w:rsid w:val="04F9760F"/>
    <w:rsid w:val="050B4B2F"/>
    <w:rsid w:val="052E7DCE"/>
    <w:rsid w:val="053A6B7D"/>
    <w:rsid w:val="05402991"/>
    <w:rsid w:val="054E1CE0"/>
    <w:rsid w:val="05604DBA"/>
    <w:rsid w:val="057A7F6E"/>
    <w:rsid w:val="059A700E"/>
    <w:rsid w:val="05A239E9"/>
    <w:rsid w:val="05A56CC1"/>
    <w:rsid w:val="05A876B5"/>
    <w:rsid w:val="05BD626F"/>
    <w:rsid w:val="05D830A9"/>
    <w:rsid w:val="05EC445F"/>
    <w:rsid w:val="05F966ED"/>
    <w:rsid w:val="05FC494C"/>
    <w:rsid w:val="060454DB"/>
    <w:rsid w:val="0613258A"/>
    <w:rsid w:val="06231E4A"/>
    <w:rsid w:val="066D1D57"/>
    <w:rsid w:val="06771C38"/>
    <w:rsid w:val="067D59FE"/>
    <w:rsid w:val="06826567"/>
    <w:rsid w:val="068B0043"/>
    <w:rsid w:val="068E3768"/>
    <w:rsid w:val="068F49C9"/>
    <w:rsid w:val="069D1BFD"/>
    <w:rsid w:val="06A44D39"/>
    <w:rsid w:val="06AA1202"/>
    <w:rsid w:val="06B807E5"/>
    <w:rsid w:val="06BE30D0"/>
    <w:rsid w:val="06BF6017"/>
    <w:rsid w:val="06C750D9"/>
    <w:rsid w:val="06CB74B2"/>
    <w:rsid w:val="06DE7C7D"/>
    <w:rsid w:val="06FA0966"/>
    <w:rsid w:val="06FD244B"/>
    <w:rsid w:val="071F4834"/>
    <w:rsid w:val="074C4B08"/>
    <w:rsid w:val="075236A4"/>
    <w:rsid w:val="07610F52"/>
    <w:rsid w:val="0767367E"/>
    <w:rsid w:val="076C7E84"/>
    <w:rsid w:val="07712433"/>
    <w:rsid w:val="077C1812"/>
    <w:rsid w:val="07856339"/>
    <w:rsid w:val="07890F82"/>
    <w:rsid w:val="07944B74"/>
    <w:rsid w:val="079A301E"/>
    <w:rsid w:val="07B2103C"/>
    <w:rsid w:val="07BE1E2B"/>
    <w:rsid w:val="07BE77E4"/>
    <w:rsid w:val="07C43D5A"/>
    <w:rsid w:val="07E62CC7"/>
    <w:rsid w:val="07F9032F"/>
    <w:rsid w:val="080C178A"/>
    <w:rsid w:val="082C4FE6"/>
    <w:rsid w:val="08311324"/>
    <w:rsid w:val="085320A3"/>
    <w:rsid w:val="0857635E"/>
    <w:rsid w:val="085816C5"/>
    <w:rsid w:val="085B6064"/>
    <w:rsid w:val="085D3F5B"/>
    <w:rsid w:val="085F76F9"/>
    <w:rsid w:val="086F75C9"/>
    <w:rsid w:val="088D74B7"/>
    <w:rsid w:val="0891753F"/>
    <w:rsid w:val="08AA1EA5"/>
    <w:rsid w:val="08AE20F2"/>
    <w:rsid w:val="08B85822"/>
    <w:rsid w:val="08C26768"/>
    <w:rsid w:val="08D31EFA"/>
    <w:rsid w:val="08E23B1C"/>
    <w:rsid w:val="08EF25FF"/>
    <w:rsid w:val="08FB6CEF"/>
    <w:rsid w:val="09045F63"/>
    <w:rsid w:val="090A42F6"/>
    <w:rsid w:val="0917514E"/>
    <w:rsid w:val="09294566"/>
    <w:rsid w:val="098540F5"/>
    <w:rsid w:val="09914FD3"/>
    <w:rsid w:val="099323FF"/>
    <w:rsid w:val="09942222"/>
    <w:rsid w:val="09A16C45"/>
    <w:rsid w:val="09A331E1"/>
    <w:rsid w:val="09AD65FB"/>
    <w:rsid w:val="09B47989"/>
    <w:rsid w:val="09BF26D2"/>
    <w:rsid w:val="09C6146A"/>
    <w:rsid w:val="09CE28EC"/>
    <w:rsid w:val="09D2466A"/>
    <w:rsid w:val="09E0252C"/>
    <w:rsid w:val="09E35B37"/>
    <w:rsid w:val="09EA213D"/>
    <w:rsid w:val="09F4422A"/>
    <w:rsid w:val="0A026946"/>
    <w:rsid w:val="0A0976BB"/>
    <w:rsid w:val="0A113B35"/>
    <w:rsid w:val="0A1D552E"/>
    <w:rsid w:val="0A347B45"/>
    <w:rsid w:val="0A3E3F88"/>
    <w:rsid w:val="0A546A76"/>
    <w:rsid w:val="0A656ED5"/>
    <w:rsid w:val="0A66108A"/>
    <w:rsid w:val="0A672A35"/>
    <w:rsid w:val="0A7348BF"/>
    <w:rsid w:val="0A7D219E"/>
    <w:rsid w:val="0A9F3E33"/>
    <w:rsid w:val="0AB614DF"/>
    <w:rsid w:val="0ABA5814"/>
    <w:rsid w:val="0AC260D6"/>
    <w:rsid w:val="0AC33C19"/>
    <w:rsid w:val="0AD010C5"/>
    <w:rsid w:val="0ADA1EE0"/>
    <w:rsid w:val="0AFA5350"/>
    <w:rsid w:val="0B031899"/>
    <w:rsid w:val="0B240F71"/>
    <w:rsid w:val="0B3D7DD5"/>
    <w:rsid w:val="0B4F64F0"/>
    <w:rsid w:val="0B52745A"/>
    <w:rsid w:val="0B543EB0"/>
    <w:rsid w:val="0B5D1A85"/>
    <w:rsid w:val="0B5F44A1"/>
    <w:rsid w:val="0B7F3FC7"/>
    <w:rsid w:val="0B84228C"/>
    <w:rsid w:val="0B901D30"/>
    <w:rsid w:val="0B986F9F"/>
    <w:rsid w:val="0B9C327F"/>
    <w:rsid w:val="0B9E444D"/>
    <w:rsid w:val="0BAC6404"/>
    <w:rsid w:val="0BC2459A"/>
    <w:rsid w:val="0BC52B2F"/>
    <w:rsid w:val="0BD41A24"/>
    <w:rsid w:val="0BF53D1B"/>
    <w:rsid w:val="0BF55DCD"/>
    <w:rsid w:val="0C0624C9"/>
    <w:rsid w:val="0C1069CD"/>
    <w:rsid w:val="0C132A5D"/>
    <w:rsid w:val="0C1A776A"/>
    <w:rsid w:val="0C21222D"/>
    <w:rsid w:val="0C2C2DB6"/>
    <w:rsid w:val="0C2D1ED1"/>
    <w:rsid w:val="0C360B29"/>
    <w:rsid w:val="0C5C7D96"/>
    <w:rsid w:val="0C5E428D"/>
    <w:rsid w:val="0C6F1945"/>
    <w:rsid w:val="0C700313"/>
    <w:rsid w:val="0C760F26"/>
    <w:rsid w:val="0C7B639F"/>
    <w:rsid w:val="0C7E6FAC"/>
    <w:rsid w:val="0C7F3BFC"/>
    <w:rsid w:val="0CA665BD"/>
    <w:rsid w:val="0CAF7DD3"/>
    <w:rsid w:val="0CB6728F"/>
    <w:rsid w:val="0CBF648E"/>
    <w:rsid w:val="0CCB0D2C"/>
    <w:rsid w:val="0CE2480D"/>
    <w:rsid w:val="0CF14B0E"/>
    <w:rsid w:val="0CF66F4D"/>
    <w:rsid w:val="0CFD25BD"/>
    <w:rsid w:val="0CFF53BF"/>
    <w:rsid w:val="0D077DD0"/>
    <w:rsid w:val="0D0B0F2F"/>
    <w:rsid w:val="0D0C3638"/>
    <w:rsid w:val="0D286FCA"/>
    <w:rsid w:val="0D3D37F2"/>
    <w:rsid w:val="0D5D5C42"/>
    <w:rsid w:val="0D662901"/>
    <w:rsid w:val="0D69077C"/>
    <w:rsid w:val="0D715C47"/>
    <w:rsid w:val="0D760FA4"/>
    <w:rsid w:val="0D7815FE"/>
    <w:rsid w:val="0D7832FD"/>
    <w:rsid w:val="0D8E0F8A"/>
    <w:rsid w:val="0D933F5C"/>
    <w:rsid w:val="0D964EAD"/>
    <w:rsid w:val="0D9A11C3"/>
    <w:rsid w:val="0DAB1B73"/>
    <w:rsid w:val="0DCD46CB"/>
    <w:rsid w:val="0DDB4F55"/>
    <w:rsid w:val="0DED3DF2"/>
    <w:rsid w:val="0E004AB0"/>
    <w:rsid w:val="0E0C42FA"/>
    <w:rsid w:val="0E142BF0"/>
    <w:rsid w:val="0E2A021A"/>
    <w:rsid w:val="0E3341BA"/>
    <w:rsid w:val="0E334EB0"/>
    <w:rsid w:val="0E3E1F17"/>
    <w:rsid w:val="0E4A1CCE"/>
    <w:rsid w:val="0E5C5A93"/>
    <w:rsid w:val="0E74740A"/>
    <w:rsid w:val="0E8B4F0A"/>
    <w:rsid w:val="0E912047"/>
    <w:rsid w:val="0E9A2C5E"/>
    <w:rsid w:val="0EBC5DB1"/>
    <w:rsid w:val="0ED4462A"/>
    <w:rsid w:val="0ED47232"/>
    <w:rsid w:val="0ED66241"/>
    <w:rsid w:val="0EDD34DE"/>
    <w:rsid w:val="0EE65D3D"/>
    <w:rsid w:val="0EE859DF"/>
    <w:rsid w:val="0EFC067C"/>
    <w:rsid w:val="0F257E5C"/>
    <w:rsid w:val="0F265F0D"/>
    <w:rsid w:val="0F291AD8"/>
    <w:rsid w:val="0F5B4403"/>
    <w:rsid w:val="0F685636"/>
    <w:rsid w:val="0F76187C"/>
    <w:rsid w:val="0F8109B2"/>
    <w:rsid w:val="0F862A78"/>
    <w:rsid w:val="0F92430B"/>
    <w:rsid w:val="0FB2696C"/>
    <w:rsid w:val="0FCA55AA"/>
    <w:rsid w:val="0FEE455D"/>
    <w:rsid w:val="0FF111B5"/>
    <w:rsid w:val="0FFA0843"/>
    <w:rsid w:val="0FFF6C17"/>
    <w:rsid w:val="10234C88"/>
    <w:rsid w:val="102A2753"/>
    <w:rsid w:val="102C62CD"/>
    <w:rsid w:val="103D098E"/>
    <w:rsid w:val="104226B0"/>
    <w:rsid w:val="10430659"/>
    <w:rsid w:val="104465A7"/>
    <w:rsid w:val="10470B8B"/>
    <w:rsid w:val="10582BAF"/>
    <w:rsid w:val="10694F90"/>
    <w:rsid w:val="10831E63"/>
    <w:rsid w:val="1086783B"/>
    <w:rsid w:val="108828E9"/>
    <w:rsid w:val="108E6DDE"/>
    <w:rsid w:val="10A1053B"/>
    <w:rsid w:val="10BD6E80"/>
    <w:rsid w:val="10CF0A8A"/>
    <w:rsid w:val="10CF50A9"/>
    <w:rsid w:val="10DC1574"/>
    <w:rsid w:val="10E76382"/>
    <w:rsid w:val="11047066"/>
    <w:rsid w:val="11066267"/>
    <w:rsid w:val="110B4FEA"/>
    <w:rsid w:val="11243FEB"/>
    <w:rsid w:val="1131366D"/>
    <w:rsid w:val="1142587A"/>
    <w:rsid w:val="114542EA"/>
    <w:rsid w:val="11474607"/>
    <w:rsid w:val="11581AF0"/>
    <w:rsid w:val="1162332F"/>
    <w:rsid w:val="11721135"/>
    <w:rsid w:val="11910B2A"/>
    <w:rsid w:val="119A3908"/>
    <w:rsid w:val="11A31559"/>
    <w:rsid w:val="11B361D3"/>
    <w:rsid w:val="11B543D6"/>
    <w:rsid w:val="11C12C43"/>
    <w:rsid w:val="11C75D80"/>
    <w:rsid w:val="11CB41EF"/>
    <w:rsid w:val="11E26953"/>
    <w:rsid w:val="11F577F8"/>
    <w:rsid w:val="11F8418B"/>
    <w:rsid w:val="12042C2D"/>
    <w:rsid w:val="120525C7"/>
    <w:rsid w:val="120D6D30"/>
    <w:rsid w:val="1212349F"/>
    <w:rsid w:val="12295570"/>
    <w:rsid w:val="122F0542"/>
    <w:rsid w:val="123633C4"/>
    <w:rsid w:val="123768F9"/>
    <w:rsid w:val="124043EC"/>
    <w:rsid w:val="12450813"/>
    <w:rsid w:val="12537C01"/>
    <w:rsid w:val="125807D5"/>
    <w:rsid w:val="12695089"/>
    <w:rsid w:val="12784E55"/>
    <w:rsid w:val="128A78E8"/>
    <w:rsid w:val="128C33F4"/>
    <w:rsid w:val="128F1D34"/>
    <w:rsid w:val="12902616"/>
    <w:rsid w:val="129E5142"/>
    <w:rsid w:val="12B87848"/>
    <w:rsid w:val="12C10A21"/>
    <w:rsid w:val="12DB364B"/>
    <w:rsid w:val="133A062E"/>
    <w:rsid w:val="1340738D"/>
    <w:rsid w:val="13487675"/>
    <w:rsid w:val="13640B53"/>
    <w:rsid w:val="136C563C"/>
    <w:rsid w:val="138061A8"/>
    <w:rsid w:val="138917D3"/>
    <w:rsid w:val="138D11BC"/>
    <w:rsid w:val="13985502"/>
    <w:rsid w:val="139D2FCC"/>
    <w:rsid w:val="13C06F2A"/>
    <w:rsid w:val="13D844D6"/>
    <w:rsid w:val="13D84C83"/>
    <w:rsid w:val="13DC1FB6"/>
    <w:rsid w:val="13E22368"/>
    <w:rsid w:val="13E85087"/>
    <w:rsid w:val="13EC7D20"/>
    <w:rsid w:val="13ED26D9"/>
    <w:rsid w:val="13F13588"/>
    <w:rsid w:val="140A63D7"/>
    <w:rsid w:val="140F5B65"/>
    <w:rsid w:val="141A2701"/>
    <w:rsid w:val="1424395D"/>
    <w:rsid w:val="14250B93"/>
    <w:rsid w:val="14314312"/>
    <w:rsid w:val="143A6A29"/>
    <w:rsid w:val="1441058C"/>
    <w:rsid w:val="144A726B"/>
    <w:rsid w:val="14691370"/>
    <w:rsid w:val="14726D31"/>
    <w:rsid w:val="147324EE"/>
    <w:rsid w:val="147B4F6E"/>
    <w:rsid w:val="147E7A46"/>
    <w:rsid w:val="14825C20"/>
    <w:rsid w:val="14860174"/>
    <w:rsid w:val="149462EA"/>
    <w:rsid w:val="149C0E51"/>
    <w:rsid w:val="14A14FAE"/>
    <w:rsid w:val="14A405FA"/>
    <w:rsid w:val="14A625C4"/>
    <w:rsid w:val="14AD08F7"/>
    <w:rsid w:val="14BF323B"/>
    <w:rsid w:val="14CA0176"/>
    <w:rsid w:val="14E153AA"/>
    <w:rsid w:val="151108B6"/>
    <w:rsid w:val="151E0D21"/>
    <w:rsid w:val="1547662A"/>
    <w:rsid w:val="1549616E"/>
    <w:rsid w:val="154D47EE"/>
    <w:rsid w:val="15550B09"/>
    <w:rsid w:val="155550C1"/>
    <w:rsid w:val="1558617D"/>
    <w:rsid w:val="158174F7"/>
    <w:rsid w:val="15E42B6D"/>
    <w:rsid w:val="15EA64E1"/>
    <w:rsid w:val="15F55CDD"/>
    <w:rsid w:val="162607D8"/>
    <w:rsid w:val="162E0EFA"/>
    <w:rsid w:val="1636472E"/>
    <w:rsid w:val="16526560"/>
    <w:rsid w:val="165C6EA3"/>
    <w:rsid w:val="16627CCD"/>
    <w:rsid w:val="16663DB9"/>
    <w:rsid w:val="166B3507"/>
    <w:rsid w:val="16AC7894"/>
    <w:rsid w:val="16B0068C"/>
    <w:rsid w:val="16BF34C9"/>
    <w:rsid w:val="16C1697F"/>
    <w:rsid w:val="16D8637E"/>
    <w:rsid w:val="16F11890"/>
    <w:rsid w:val="1700127E"/>
    <w:rsid w:val="171B19B1"/>
    <w:rsid w:val="1720665E"/>
    <w:rsid w:val="1723614E"/>
    <w:rsid w:val="172D40A7"/>
    <w:rsid w:val="174D6B2B"/>
    <w:rsid w:val="175D340E"/>
    <w:rsid w:val="17790A16"/>
    <w:rsid w:val="17803DD0"/>
    <w:rsid w:val="17907B2D"/>
    <w:rsid w:val="17914E49"/>
    <w:rsid w:val="17AD688C"/>
    <w:rsid w:val="17BD7AB1"/>
    <w:rsid w:val="17C24FCC"/>
    <w:rsid w:val="17CB4B74"/>
    <w:rsid w:val="17EF4099"/>
    <w:rsid w:val="18090EA0"/>
    <w:rsid w:val="18151D75"/>
    <w:rsid w:val="18166133"/>
    <w:rsid w:val="18235491"/>
    <w:rsid w:val="18242F87"/>
    <w:rsid w:val="18441ED8"/>
    <w:rsid w:val="184D6D00"/>
    <w:rsid w:val="185905C5"/>
    <w:rsid w:val="18592BA2"/>
    <w:rsid w:val="18635ACB"/>
    <w:rsid w:val="1871320D"/>
    <w:rsid w:val="187236F1"/>
    <w:rsid w:val="188350F6"/>
    <w:rsid w:val="18861835"/>
    <w:rsid w:val="188B1530"/>
    <w:rsid w:val="188C26FB"/>
    <w:rsid w:val="18921717"/>
    <w:rsid w:val="18A24E51"/>
    <w:rsid w:val="18B86755"/>
    <w:rsid w:val="18C92B8D"/>
    <w:rsid w:val="18C97E7B"/>
    <w:rsid w:val="18D80BAC"/>
    <w:rsid w:val="18D86AC4"/>
    <w:rsid w:val="18DC7013"/>
    <w:rsid w:val="18E02502"/>
    <w:rsid w:val="18F87E64"/>
    <w:rsid w:val="18F976F9"/>
    <w:rsid w:val="18FA490E"/>
    <w:rsid w:val="190020B5"/>
    <w:rsid w:val="19005D72"/>
    <w:rsid w:val="19027544"/>
    <w:rsid w:val="190D49C0"/>
    <w:rsid w:val="192561AE"/>
    <w:rsid w:val="192A5572"/>
    <w:rsid w:val="192F739D"/>
    <w:rsid w:val="19307E0B"/>
    <w:rsid w:val="19432A0B"/>
    <w:rsid w:val="19442D38"/>
    <w:rsid w:val="195920BA"/>
    <w:rsid w:val="19620ABE"/>
    <w:rsid w:val="19717E07"/>
    <w:rsid w:val="19831126"/>
    <w:rsid w:val="19B65BB2"/>
    <w:rsid w:val="19BF78BE"/>
    <w:rsid w:val="19C82216"/>
    <w:rsid w:val="19E27BFB"/>
    <w:rsid w:val="1A1D4890"/>
    <w:rsid w:val="1A296D63"/>
    <w:rsid w:val="1A324F2D"/>
    <w:rsid w:val="1A3F6DFB"/>
    <w:rsid w:val="1A462475"/>
    <w:rsid w:val="1A470844"/>
    <w:rsid w:val="1A5667B5"/>
    <w:rsid w:val="1A584642"/>
    <w:rsid w:val="1A603F46"/>
    <w:rsid w:val="1A673E98"/>
    <w:rsid w:val="1A6C3968"/>
    <w:rsid w:val="1A732F49"/>
    <w:rsid w:val="1A7B529E"/>
    <w:rsid w:val="1A81266B"/>
    <w:rsid w:val="1A8E369B"/>
    <w:rsid w:val="1A907657"/>
    <w:rsid w:val="1AA47B2F"/>
    <w:rsid w:val="1AB84FC9"/>
    <w:rsid w:val="1AE16104"/>
    <w:rsid w:val="1AE6371B"/>
    <w:rsid w:val="1AED2CFB"/>
    <w:rsid w:val="1AFC71E0"/>
    <w:rsid w:val="1B027E29"/>
    <w:rsid w:val="1B115D3C"/>
    <w:rsid w:val="1B117D77"/>
    <w:rsid w:val="1B1464DA"/>
    <w:rsid w:val="1B1E0896"/>
    <w:rsid w:val="1B1E63A8"/>
    <w:rsid w:val="1B2B0170"/>
    <w:rsid w:val="1B46240B"/>
    <w:rsid w:val="1B4E448C"/>
    <w:rsid w:val="1B530684"/>
    <w:rsid w:val="1B5966CE"/>
    <w:rsid w:val="1B6A11E1"/>
    <w:rsid w:val="1B7C20ED"/>
    <w:rsid w:val="1B807337"/>
    <w:rsid w:val="1B8076CB"/>
    <w:rsid w:val="1B965141"/>
    <w:rsid w:val="1BA41303"/>
    <w:rsid w:val="1BA47C58"/>
    <w:rsid w:val="1BAB2B15"/>
    <w:rsid w:val="1BAD4BBE"/>
    <w:rsid w:val="1BB80F43"/>
    <w:rsid w:val="1BBA2471"/>
    <w:rsid w:val="1BC170B5"/>
    <w:rsid w:val="1BC85289"/>
    <w:rsid w:val="1BE50AEA"/>
    <w:rsid w:val="1BE8169E"/>
    <w:rsid w:val="1BF0529D"/>
    <w:rsid w:val="1BFD47AE"/>
    <w:rsid w:val="1C0A3439"/>
    <w:rsid w:val="1C1A03D6"/>
    <w:rsid w:val="1C2E5379"/>
    <w:rsid w:val="1C365FDC"/>
    <w:rsid w:val="1C3829DD"/>
    <w:rsid w:val="1C4C57FF"/>
    <w:rsid w:val="1C5D5C5E"/>
    <w:rsid w:val="1C5E2E84"/>
    <w:rsid w:val="1C651757"/>
    <w:rsid w:val="1C7A06A1"/>
    <w:rsid w:val="1C7B4E1E"/>
    <w:rsid w:val="1C8D2352"/>
    <w:rsid w:val="1C9215E3"/>
    <w:rsid w:val="1C950175"/>
    <w:rsid w:val="1CA97A8E"/>
    <w:rsid w:val="1CAE6B31"/>
    <w:rsid w:val="1CCE3DB5"/>
    <w:rsid w:val="1CD1294F"/>
    <w:rsid w:val="1CD822D6"/>
    <w:rsid w:val="1CEF4C58"/>
    <w:rsid w:val="1D0B2730"/>
    <w:rsid w:val="1D104A7F"/>
    <w:rsid w:val="1D306A8D"/>
    <w:rsid w:val="1D383FE2"/>
    <w:rsid w:val="1D385997"/>
    <w:rsid w:val="1D3A7EAC"/>
    <w:rsid w:val="1D4969F2"/>
    <w:rsid w:val="1D52596D"/>
    <w:rsid w:val="1D666D95"/>
    <w:rsid w:val="1D6B0D1C"/>
    <w:rsid w:val="1D731D42"/>
    <w:rsid w:val="1D76522A"/>
    <w:rsid w:val="1D7C2114"/>
    <w:rsid w:val="1D8F60F0"/>
    <w:rsid w:val="1D9F7263"/>
    <w:rsid w:val="1DAD4F69"/>
    <w:rsid w:val="1DAF4298"/>
    <w:rsid w:val="1DC6020F"/>
    <w:rsid w:val="1DE1139B"/>
    <w:rsid w:val="1DE71C83"/>
    <w:rsid w:val="1DF97E9A"/>
    <w:rsid w:val="1DFA2FBE"/>
    <w:rsid w:val="1E4009EB"/>
    <w:rsid w:val="1E636E30"/>
    <w:rsid w:val="1E69399D"/>
    <w:rsid w:val="1E6A01BF"/>
    <w:rsid w:val="1E947603"/>
    <w:rsid w:val="1E9B64A9"/>
    <w:rsid w:val="1E9E3B22"/>
    <w:rsid w:val="1EA32EFA"/>
    <w:rsid w:val="1EA45977"/>
    <w:rsid w:val="1EAE07F6"/>
    <w:rsid w:val="1EC46074"/>
    <w:rsid w:val="1EC63D0B"/>
    <w:rsid w:val="1ED448B5"/>
    <w:rsid w:val="1EDB10BC"/>
    <w:rsid w:val="1EE24E87"/>
    <w:rsid w:val="1EE9555B"/>
    <w:rsid w:val="1EEA3840"/>
    <w:rsid w:val="1EEB7551"/>
    <w:rsid w:val="1EF6744B"/>
    <w:rsid w:val="1F0B734A"/>
    <w:rsid w:val="1F0D396C"/>
    <w:rsid w:val="1F130856"/>
    <w:rsid w:val="1F1840BF"/>
    <w:rsid w:val="1F1C5538"/>
    <w:rsid w:val="1F2914B1"/>
    <w:rsid w:val="1F2B5BA0"/>
    <w:rsid w:val="1F3D510C"/>
    <w:rsid w:val="1F4D3D68"/>
    <w:rsid w:val="1F6B68ED"/>
    <w:rsid w:val="1F8B5B22"/>
    <w:rsid w:val="1F946352"/>
    <w:rsid w:val="1FA03CB2"/>
    <w:rsid w:val="1FA27BB2"/>
    <w:rsid w:val="1FB511D4"/>
    <w:rsid w:val="1FBA368F"/>
    <w:rsid w:val="1FCA19FA"/>
    <w:rsid w:val="1FE16A09"/>
    <w:rsid w:val="1FE346CD"/>
    <w:rsid w:val="1FE720BF"/>
    <w:rsid w:val="1FE84A61"/>
    <w:rsid w:val="1FF468DA"/>
    <w:rsid w:val="200B1900"/>
    <w:rsid w:val="2011123A"/>
    <w:rsid w:val="201725C8"/>
    <w:rsid w:val="201D20ED"/>
    <w:rsid w:val="202D4470"/>
    <w:rsid w:val="203B0065"/>
    <w:rsid w:val="20605D1D"/>
    <w:rsid w:val="20682E19"/>
    <w:rsid w:val="206F69E4"/>
    <w:rsid w:val="207672EF"/>
    <w:rsid w:val="20784E15"/>
    <w:rsid w:val="2079572D"/>
    <w:rsid w:val="208C1696"/>
    <w:rsid w:val="20A02D4A"/>
    <w:rsid w:val="20B4759D"/>
    <w:rsid w:val="20B47E17"/>
    <w:rsid w:val="20BE2A44"/>
    <w:rsid w:val="20CC7143"/>
    <w:rsid w:val="20D302EF"/>
    <w:rsid w:val="20D67B15"/>
    <w:rsid w:val="20D7657A"/>
    <w:rsid w:val="20E17945"/>
    <w:rsid w:val="20E35802"/>
    <w:rsid w:val="20E92A4E"/>
    <w:rsid w:val="2129718E"/>
    <w:rsid w:val="213B4094"/>
    <w:rsid w:val="21537F2D"/>
    <w:rsid w:val="21587586"/>
    <w:rsid w:val="217575A6"/>
    <w:rsid w:val="217C2B77"/>
    <w:rsid w:val="2189369E"/>
    <w:rsid w:val="218C669E"/>
    <w:rsid w:val="21A734D8"/>
    <w:rsid w:val="21B04A82"/>
    <w:rsid w:val="21B53414"/>
    <w:rsid w:val="21C41C8B"/>
    <w:rsid w:val="21C83B7A"/>
    <w:rsid w:val="21DC63AC"/>
    <w:rsid w:val="21DE5BB1"/>
    <w:rsid w:val="21E757A3"/>
    <w:rsid w:val="21E85F8D"/>
    <w:rsid w:val="21E93AF0"/>
    <w:rsid w:val="22033642"/>
    <w:rsid w:val="22070A64"/>
    <w:rsid w:val="220D5A31"/>
    <w:rsid w:val="22151450"/>
    <w:rsid w:val="222334A6"/>
    <w:rsid w:val="2230171F"/>
    <w:rsid w:val="22370D00"/>
    <w:rsid w:val="22466123"/>
    <w:rsid w:val="2259260B"/>
    <w:rsid w:val="22623FCE"/>
    <w:rsid w:val="22630303"/>
    <w:rsid w:val="226E7CB6"/>
    <w:rsid w:val="227855A0"/>
    <w:rsid w:val="22794BFE"/>
    <w:rsid w:val="22813D29"/>
    <w:rsid w:val="22866796"/>
    <w:rsid w:val="22942E27"/>
    <w:rsid w:val="229A342F"/>
    <w:rsid w:val="229D2F1C"/>
    <w:rsid w:val="22A719E1"/>
    <w:rsid w:val="22AB408F"/>
    <w:rsid w:val="22AC6FF8"/>
    <w:rsid w:val="22C4208A"/>
    <w:rsid w:val="22C62095"/>
    <w:rsid w:val="22EF476D"/>
    <w:rsid w:val="22F34BE0"/>
    <w:rsid w:val="22F97172"/>
    <w:rsid w:val="23203542"/>
    <w:rsid w:val="232F3B29"/>
    <w:rsid w:val="23430E8A"/>
    <w:rsid w:val="23444AE3"/>
    <w:rsid w:val="2346472C"/>
    <w:rsid w:val="23484909"/>
    <w:rsid w:val="234A6E9B"/>
    <w:rsid w:val="236E100F"/>
    <w:rsid w:val="23767606"/>
    <w:rsid w:val="23821AA5"/>
    <w:rsid w:val="2388370D"/>
    <w:rsid w:val="23885398"/>
    <w:rsid w:val="23AD04D0"/>
    <w:rsid w:val="23B74CC3"/>
    <w:rsid w:val="23C71B98"/>
    <w:rsid w:val="23D52DDB"/>
    <w:rsid w:val="23D55801"/>
    <w:rsid w:val="23DA690E"/>
    <w:rsid w:val="23E303FA"/>
    <w:rsid w:val="23E528DF"/>
    <w:rsid w:val="23EB7A36"/>
    <w:rsid w:val="24093402"/>
    <w:rsid w:val="240D009B"/>
    <w:rsid w:val="240D61F3"/>
    <w:rsid w:val="24234153"/>
    <w:rsid w:val="24292561"/>
    <w:rsid w:val="24294678"/>
    <w:rsid w:val="243631E7"/>
    <w:rsid w:val="24575A93"/>
    <w:rsid w:val="245E76DC"/>
    <w:rsid w:val="246C42C1"/>
    <w:rsid w:val="246F2488"/>
    <w:rsid w:val="24834798"/>
    <w:rsid w:val="2488109E"/>
    <w:rsid w:val="24925F6E"/>
    <w:rsid w:val="249A04DC"/>
    <w:rsid w:val="249B2978"/>
    <w:rsid w:val="24AA57B9"/>
    <w:rsid w:val="24AE6575"/>
    <w:rsid w:val="24AF24B6"/>
    <w:rsid w:val="24B30B11"/>
    <w:rsid w:val="24D665AE"/>
    <w:rsid w:val="24FA41B9"/>
    <w:rsid w:val="25027A3A"/>
    <w:rsid w:val="25076224"/>
    <w:rsid w:val="250B703F"/>
    <w:rsid w:val="2524556B"/>
    <w:rsid w:val="252E1698"/>
    <w:rsid w:val="254C599E"/>
    <w:rsid w:val="255F7AD2"/>
    <w:rsid w:val="256D4FBD"/>
    <w:rsid w:val="25983879"/>
    <w:rsid w:val="25AC65CB"/>
    <w:rsid w:val="25C10BD8"/>
    <w:rsid w:val="25C4070B"/>
    <w:rsid w:val="261E0518"/>
    <w:rsid w:val="261F3F85"/>
    <w:rsid w:val="2627224F"/>
    <w:rsid w:val="26507C71"/>
    <w:rsid w:val="26545851"/>
    <w:rsid w:val="26591772"/>
    <w:rsid w:val="265D1AB0"/>
    <w:rsid w:val="26636141"/>
    <w:rsid w:val="266D7C38"/>
    <w:rsid w:val="266E1B01"/>
    <w:rsid w:val="267C3185"/>
    <w:rsid w:val="26AF587E"/>
    <w:rsid w:val="26B637CF"/>
    <w:rsid w:val="26EA00EF"/>
    <w:rsid w:val="26F62F37"/>
    <w:rsid w:val="270F65EE"/>
    <w:rsid w:val="27100D65"/>
    <w:rsid w:val="27180E6A"/>
    <w:rsid w:val="271E393C"/>
    <w:rsid w:val="27235C37"/>
    <w:rsid w:val="273129C9"/>
    <w:rsid w:val="273714CE"/>
    <w:rsid w:val="273A72C8"/>
    <w:rsid w:val="273B094A"/>
    <w:rsid w:val="27581696"/>
    <w:rsid w:val="276952FE"/>
    <w:rsid w:val="276F5A58"/>
    <w:rsid w:val="277736DA"/>
    <w:rsid w:val="277E4152"/>
    <w:rsid w:val="277F3A0F"/>
    <w:rsid w:val="278D3956"/>
    <w:rsid w:val="27976C14"/>
    <w:rsid w:val="279C1E19"/>
    <w:rsid w:val="27AA1E1F"/>
    <w:rsid w:val="27AA78E3"/>
    <w:rsid w:val="27E1545A"/>
    <w:rsid w:val="27E64D5A"/>
    <w:rsid w:val="27E86D24"/>
    <w:rsid w:val="28201551"/>
    <w:rsid w:val="28224101"/>
    <w:rsid w:val="282E5213"/>
    <w:rsid w:val="282E5980"/>
    <w:rsid w:val="284C045D"/>
    <w:rsid w:val="28532F62"/>
    <w:rsid w:val="28552BEE"/>
    <w:rsid w:val="28553C8E"/>
    <w:rsid w:val="2881704A"/>
    <w:rsid w:val="289E3886"/>
    <w:rsid w:val="28B34564"/>
    <w:rsid w:val="28BA4EF4"/>
    <w:rsid w:val="28C36373"/>
    <w:rsid w:val="28CA467C"/>
    <w:rsid w:val="28CD1A76"/>
    <w:rsid w:val="28EB43E8"/>
    <w:rsid w:val="290212B1"/>
    <w:rsid w:val="290D27BA"/>
    <w:rsid w:val="292F2731"/>
    <w:rsid w:val="29453D02"/>
    <w:rsid w:val="29545931"/>
    <w:rsid w:val="295B2E06"/>
    <w:rsid w:val="29647529"/>
    <w:rsid w:val="296F0D7F"/>
    <w:rsid w:val="29772B0D"/>
    <w:rsid w:val="298767E3"/>
    <w:rsid w:val="29932CBF"/>
    <w:rsid w:val="299916FE"/>
    <w:rsid w:val="299C0252"/>
    <w:rsid w:val="29A053DC"/>
    <w:rsid w:val="29CC6BDE"/>
    <w:rsid w:val="29DA5C64"/>
    <w:rsid w:val="29EE4149"/>
    <w:rsid w:val="29F932D4"/>
    <w:rsid w:val="29FF7026"/>
    <w:rsid w:val="2A01554A"/>
    <w:rsid w:val="2A024FCD"/>
    <w:rsid w:val="2A07553C"/>
    <w:rsid w:val="2A0911D4"/>
    <w:rsid w:val="2A144790"/>
    <w:rsid w:val="2A1738F0"/>
    <w:rsid w:val="2A1934F7"/>
    <w:rsid w:val="2A2953D2"/>
    <w:rsid w:val="2A4A0382"/>
    <w:rsid w:val="2A6308E4"/>
    <w:rsid w:val="2A641987"/>
    <w:rsid w:val="2A6B7798"/>
    <w:rsid w:val="2A7E3970"/>
    <w:rsid w:val="2A941B77"/>
    <w:rsid w:val="2AA02867"/>
    <w:rsid w:val="2AA267B9"/>
    <w:rsid w:val="2AB357E7"/>
    <w:rsid w:val="2AB4622E"/>
    <w:rsid w:val="2ABE4B5D"/>
    <w:rsid w:val="2AC55DB1"/>
    <w:rsid w:val="2AE17A5A"/>
    <w:rsid w:val="2AE23CB6"/>
    <w:rsid w:val="2AF91248"/>
    <w:rsid w:val="2B101504"/>
    <w:rsid w:val="2B27775F"/>
    <w:rsid w:val="2B2A7653"/>
    <w:rsid w:val="2B38484C"/>
    <w:rsid w:val="2B3F1FC6"/>
    <w:rsid w:val="2B512BED"/>
    <w:rsid w:val="2B553FBF"/>
    <w:rsid w:val="2B603075"/>
    <w:rsid w:val="2B606BD1"/>
    <w:rsid w:val="2B662976"/>
    <w:rsid w:val="2B7044F1"/>
    <w:rsid w:val="2B764DA8"/>
    <w:rsid w:val="2B861A47"/>
    <w:rsid w:val="2B8B29CF"/>
    <w:rsid w:val="2B8C5C18"/>
    <w:rsid w:val="2B994D83"/>
    <w:rsid w:val="2BAC0068"/>
    <w:rsid w:val="2BAC62BA"/>
    <w:rsid w:val="2BB23B01"/>
    <w:rsid w:val="2BC22732"/>
    <w:rsid w:val="2BD47CEB"/>
    <w:rsid w:val="2BD74B6D"/>
    <w:rsid w:val="2BE82FB8"/>
    <w:rsid w:val="2BF20019"/>
    <w:rsid w:val="2C060BD6"/>
    <w:rsid w:val="2C0B1233"/>
    <w:rsid w:val="2C0B5FFE"/>
    <w:rsid w:val="2C0E2AD1"/>
    <w:rsid w:val="2C153562"/>
    <w:rsid w:val="2C217B90"/>
    <w:rsid w:val="2C30386D"/>
    <w:rsid w:val="2C4900D0"/>
    <w:rsid w:val="2C4E2ECE"/>
    <w:rsid w:val="2C534965"/>
    <w:rsid w:val="2C8763E0"/>
    <w:rsid w:val="2C8D70F4"/>
    <w:rsid w:val="2CAE753C"/>
    <w:rsid w:val="2CE9215B"/>
    <w:rsid w:val="2CF109A0"/>
    <w:rsid w:val="2CF33B35"/>
    <w:rsid w:val="2CF617E0"/>
    <w:rsid w:val="2D2D77D6"/>
    <w:rsid w:val="2D322E61"/>
    <w:rsid w:val="2D464E87"/>
    <w:rsid w:val="2D491FD9"/>
    <w:rsid w:val="2D4D1B93"/>
    <w:rsid w:val="2D6571BD"/>
    <w:rsid w:val="2D7B739E"/>
    <w:rsid w:val="2D8D7A26"/>
    <w:rsid w:val="2DA57465"/>
    <w:rsid w:val="2DA81F46"/>
    <w:rsid w:val="2DBB723B"/>
    <w:rsid w:val="2DBD5D9B"/>
    <w:rsid w:val="2DC01BA9"/>
    <w:rsid w:val="2DC37DF1"/>
    <w:rsid w:val="2DC7118A"/>
    <w:rsid w:val="2DCF5DE6"/>
    <w:rsid w:val="2DFE26D1"/>
    <w:rsid w:val="2E07088B"/>
    <w:rsid w:val="2E0917A2"/>
    <w:rsid w:val="2E0D173F"/>
    <w:rsid w:val="2E132621"/>
    <w:rsid w:val="2E241549"/>
    <w:rsid w:val="2E2760CC"/>
    <w:rsid w:val="2E2B4689"/>
    <w:rsid w:val="2E574A68"/>
    <w:rsid w:val="2E7762B1"/>
    <w:rsid w:val="2E7C6418"/>
    <w:rsid w:val="2E7E70D9"/>
    <w:rsid w:val="2E825B76"/>
    <w:rsid w:val="2E877EF5"/>
    <w:rsid w:val="2E8E614B"/>
    <w:rsid w:val="2E90634E"/>
    <w:rsid w:val="2E924D9A"/>
    <w:rsid w:val="2E9B3EA1"/>
    <w:rsid w:val="2EBF6006"/>
    <w:rsid w:val="2ED81174"/>
    <w:rsid w:val="2EDA6C9B"/>
    <w:rsid w:val="2EE144CD"/>
    <w:rsid w:val="2EE17FD5"/>
    <w:rsid w:val="2EE77BF1"/>
    <w:rsid w:val="2EF37D5C"/>
    <w:rsid w:val="2EFD69CD"/>
    <w:rsid w:val="2F0100CD"/>
    <w:rsid w:val="2F01691D"/>
    <w:rsid w:val="2F0B25ED"/>
    <w:rsid w:val="2F2A2B97"/>
    <w:rsid w:val="2F4A1FBC"/>
    <w:rsid w:val="2F4D56BE"/>
    <w:rsid w:val="2F5051AF"/>
    <w:rsid w:val="2F5667C4"/>
    <w:rsid w:val="2F6278FB"/>
    <w:rsid w:val="2F6A4589"/>
    <w:rsid w:val="2F6A70BE"/>
    <w:rsid w:val="2F71028B"/>
    <w:rsid w:val="2F866E22"/>
    <w:rsid w:val="2F8C4439"/>
    <w:rsid w:val="2F8D01B1"/>
    <w:rsid w:val="2F984ABB"/>
    <w:rsid w:val="2FAF4760"/>
    <w:rsid w:val="2FB120F1"/>
    <w:rsid w:val="2FB20729"/>
    <w:rsid w:val="2FB33030"/>
    <w:rsid w:val="2FB40AC4"/>
    <w:rsid w:val="2FBA5BE2"/>
    <w:rsid w:val="2FDE5A6F"/>
    <w:rsid w:val="2FE32412"/>
    <w:rsid w:val="2FF8102E"/>
    <w:rsid w:val="30044B82"/>
    <w:rsid w:val="300761B5"/>
    <w:rsid w:val="300D4E4E"/>
    <w:rsid w:val="30127EE5"/>
    <w:rsid w:val="30217534"/>
    <w:rsid w:val="30341BC5"/>
    <w:rsid w:val="30354AD0"/>
    <w:rsid w:val="304A0BD0"/>
    <w:rsid w:val="304D254F"/>
    <w:rsid w:val="30561692"/>
    <w:rsid w:val="306B2476"/>
    <w:rsid w:val="3075311F"/>
    <w:rsid w:val="307D7830"/>
    <w:rsid w:val="3081782F"/>
    <w:rsid w:val="308B0DC1"/>
    <w:rsid w:val="30902265"/>
    <w:rsid w:val="309F6E50"/>
    <w:rsid w:val="30A85570"/>
    <w:rsid w:val="30AA13BF"/>
    <w:rsid w:val="30AC1CB5"/>
    <w:rsid w:val="30B570CD"/>
    <w:rsid w:val="30BE3F2D"/>
    <w:rsid w:val="30DA7426"/>
    <w:rsid w:val="30E87D95"/>
    <w:rsid w:val="30F74F18"/>
    <w:rsid w:val="30FC0E53"/>
    <w:rsid w:val="31132938"/>
    <w:rsid w:val="311346E6"/>
    <w:rsid w:val="31195802"/>
    <w:rsid w:val="311B75DA"/>
    <w:rsid w:val="311E23A7"/>
    <w:rsid w:val="312E339F"/>
    <w:rsid w:val="31315F0B"/>
    <w:rsid w:val="31592A40"/>
    <w:rsid w:val="31710C6A"/>
    <w:rsid w:val="31926D16"/>
    <w:rsid w:val="31A253EC"/>
    <w:rsid w:val="31A60B9C"/>
    <w:rsid w:val="31AD22F3"/>
    <w:rsid w:val="31BC4D7D"/>
    <w:rsid w:val="31C21800"/>
    <w:rsid w:val="31C628A5"/>
    <w:rsid w:val="31F167D5"/>
    <w:rsid w:val="320570DF"/>
    <w:rsid w:val="321015EA"/>
    <w:rsid w:val="321B12F1"/>
    <w:rsid w:val="32236990"/>
    <w:rsid w:val="32275B49"/>
    <w:rsid w:val="322B012D"/>
    <w:rsid w:val="323668DE"/>
    <w:rsid w:val="323D5EBE"/>
    <w:rsid w:val="324E226E"/>
    <w:rsid w:val="32530092"/>
    <w:rsid w:val="32691FEA"/>
    <w:rsid w:val="3273368E"/>
    <w:rsid w:val="327D1A85"/>
    <w:rsid w:val="32961587"/>
    <w:rsid w:val="32977F80"/>
    <w:rsid w:val="32B15F25"/>
    <w:rsid w:val="32C31931"/>
    <w:rsid w:val="32C61A21"/>
    <w:rsid w:val="32C85796"/>
    <w:rsid w:val="32D4454C"/>
    <w:rsid w:val="32DB6743"/>
    <w:rsid w:val="32DF32CE"/>
    <w:rsid w:val="32F341BB"/>
    <w:rsid w:val="32FC7B27"/>
    <w:rsid w:val="3322710C"/>
    <w:rsid w:val="33355F1C"/>
    <w:rsid w:val="33434A04"/>
    <w:rsid w:val="3344327C"/>
    <w:rsid w:val="33491B35"/>
    <w:rsid w:val="334A7C35"/>
    <w:rsid w:val="334E1CB3"/>
    <w:rsid w:val="335039CF"/>
    <w:rsid w:val="335116D8"/>
    <w:rsid w:val="335C0F0C"/>
    <w:rsid w:val="336254B1"/>
    <w:rsid w:val="3369554B"/>
    <w:rsid w:val="33721440"/>
    <w:rsid w:val="33726EA5"/>
    <w:rsid w:val="33754A6A"/>
    <w:rsid w:val="338640F4"/>
    <w:rsid w:val="338721FD"/>
    <w:rsid w:val="339F0E6C"/>
    <w:rsid w:val="33A5289E"/>
    <w:rsid w:val="33B24143"/>
    <w:rsid w:val="33D55AC2"/>
    <w:rsid w:val="33DC3730"/>
    <w:rsid w:val="34056568"/>
    <w:rsid w:val="34065F4F"/>
    <w:rsid w:val="34270671"/>
    <w:rsid w:val="344A5CAF"/>
    <w:rsid w:val="344D1A76"/>
    <w:rsid w:val="344E47BB"/>
    <w:rsid w:val="34594B05"/>
    <w:rsid w:val="345D63A4"/>
    <w:rsid w:val="34627E84"/>
    <w:rsid w:val="346A286F"/>
    <w:rsid w:val="346C08B7"/>
    <w:rsid w:val="34761B3D"/>
    <w:rsid w:val="34867FFB"/>
    <w:rsid w:val="34925770"/>
    <w:rsid w:val="349D6091"/>
    <w:rsid w:val="34A73E26"/>
    <w:rsid w:val="34D4418C"/>
    <w:rsid w:val="34D523DE"/>
    <w:rsid w:val="34ED2EF3"/>
    <w:rsid w:val="34FA62E8"/>
    <w:rsid w:val="34FB6280"/>
    <w:rsid w:val="3522139B"/>
    <w:rsid w:val="352D4948"/>
    <w:rsid w:val="35311D03"/>
    <w:rsid w:val="353944EF"/>
    <w:rsid w:val="353F5AA9"/>
    <w:rsid w:val="354218B8"/>
    <w:rsid w:val="354E558D"/>
    <w:rsid w:val="35581E94"/>
    <w:rsid w:val="355A49D6"/>
    <w:rsid w:val="355D6522"/>
    <w:rsid w:val="35777939"/>
    <w:rsid w:val="35884C5D"/>
    <w:rsid w:val="35B07A62"/>
    <w:rsid w:val="35C6128B"/>
    <w:rsid w:val="35C80195"/>
    <w:rsid w:val="35CA51B2"/>
    <w:rsid w:val="35F22A4F"/>
    <w:rsid w:val="36056CF3"/>
    <w:rsid w:val="360A255B"/>
    <w:rsid w:val="360C033F"/>
    <w:rsid w:val="360C0B7E"/>
    <w:rsid w:val="360E3D96"/>
    <w:rsid w:val="36112F3A"/>
    <w:rsid w:val="366E3B27"/>
    <w:rsid w:val="36744FAD"/>
    <w:rsid w:val="36903A61"/>
    <w:rsid w:val="369938DF"/>
    <w:rsid w:val="369F5F8F"/>
    <w:rsid w:val="36AD59FE"/>
    <w:rsid w:val="36CF0918"/>
    <w:rsid w:val="36D954F0"/>
    <w:rsid w:val="36E65D73"/>
    <w:rsid w:val="36EA3C82"/>
    <w:rsid w:val="36F1018B"/>
    <w:rsid w:val="3702372A"/>
    <w:rsid w:val="37046FAB"/>
    <w:rsid w:val="370666E5"/>
    <w:rsid w:val="370F1992"/>
    <w:rsid w:val="37386442"/>
    <w:rsid w:val="375657BF"/>
    <w:rsid w:val="376C6AFB"/>
    <w:rsid w:val="377A1021"/>
    <w:rsid w:val="377A726D"/>
    <w:rsid w:val="378B3228"/>
    <w:rsid w:val="37A604E3"/>
    <w:rsid w:val="37AB198C"/>
    <w:rsid w:val="37B7226F"/>
    <w:rsid w:val="37BF1123"/>
    <w:rsid w:val="37CB1876"/>
    <w:rsid w:val="37F4354B"/>
    <w:rsid w:val="37F63D3D"/>
    <w:rsid w:val="38063A45"/>
    <w:rsid w:val="380B5EAF"/>
    <w:rsid w:val="381024B9"/>
    <w:rsid w:val="383A131B"/>
    <w:rsid w:val="383A4FDB"/>
    <w:rsid w:val="383F6A65"/>
    <w:rsid w:val="384F7078"/>
    <w:rsid w:val="385202B9"/>
    <w:rsid w:val="385602AE"/>
    <w:rsid w:val="38561A88"/>
    <w:rsid w:val="385F1A9D"/>
    <w:rsid w:val="38663D24"/>
    <w:rsid w:val="386760FE"/>
    <w:rsid w:val="38766B35"/>
    <w:rsid w:val="388552F4"/>
    <w:rsid w:val="389712F2"/>
    <w:rsid w:val="389E6F8B"/>
    <w:rsid w:val="38BE7688"/>
    <w:rsid w:val="38C1207C"/>
    <w:rsid w:val="38C42E95"/>
    <w:rsid w:val="38CE5AC2"/>
    <w:rsid w:val="38D26C34"/>
    <w:rsid w:val="38F91072"/>
    <w:rsid w:val="38FA51F2"/>
    <w:rsid w:val="39004E1E"/>
    <w:rsid w:val="39012D62"/>
    <w:rsid w:val="390234B1"/>
    <w:rsid w:val="39066A92"/>
    <w:rsid w:val="390908A8"/>
    <w:rsid w:val="392221BF"/>
    <w:rsid w:val="39283CFF"/>
    <w:rsid w:val="39410E3C"/>
    <w:rsid w:val="39487399"/>
    <w:rsid w:val="396E2E01"/>
    <w:rsid w:val="39763510"/>
    <w:rsid w:val="39776003"/>
    <w:rsid w:val="397B0CFF"/>
    <w:rsid w:val="39861EF9"/>
    <w:rsid w:val="398630C2"/>
    <w:rsid w:val="398A0A67"/>
    <w:rsid w:val="399F5FBE"/>
    <w:rsid w:val="39A03524"/>
    <w:rsid w:val="39BB25EE"/>
    <w:rsid w:val="39C43445"/>
    <w:rsid w:val="39D81F8A"/>
    <w:rsid w:val="39E901AB"/>
    <w:rsid w:val="39F05C03"/>
    <w:rsid w:val="39F13C19"/>
    <w:rsid w:val="3A0156E4"/>
    <w:rsid w:val="3A1A0893"/>
    <w:rsid w:val="3A242A2F"/>
    <w:rsid w:val="3A424959"/>
    <w:rsid w:val="3A517E64"/>
    <w:rsid w:val="3A6147B6"/>
    <w:rsid w:val="3A655FB2"/>
    <w:rsid w:val="3A6F1D56"/>
    <w:rsid w:val="3A6F4969"/>
    <w:rsid w:val="3A84028B"/>
    <w:rsid w:val="3A8C0826"/>
    <w:rsid w:val="3A8D3267"/>
    <w:rsid w:val="3A9D5653"/>
    <w:rsid w:val="3ACC6031"/>
    <w:rsid w:val="3AD153F6"/>
    <w:rsid w:val="3AD30754"/>
    <w:rsid w:val="3AE50EA1"/>
    <w:rsid w:val="3AF65E7B"/>
    <w:rsid w:val="3B09566E"/>
    <w:rsid w:val="3B0F2A50"/>
    <w:rsid w:val="3B194230"/>
    <w:rsid w:val="3B1D688D"/>
    <w:rsid w:val="3B1F598C"/>
    <w:rsid w:val="3B34719D"/>
    <w:rsid w:val="3B4D5A5E"/>
    <w:rsid w:val="3B4F12B2"/>
    <w:rsid w:val="3B542B8C"/>
    <w:rsid w:val="3B651FE2"/>
    <w:rsid w:val="3B730A2C"/>
    <w:rsid w:val="3B8C3A12"/>
    <w:rsid w:val="3B8D15A9"/>
    <w:rsid w:val="3B9052B1"/>
    <w:rsid w:val="3B9B2891"/>
    <w:rsid w:val="3BAF5FC3"/>
    <w:rsid w:val="3BD20289"/>
    <w:rsid w:val="3BDC6748"/>
    <w:rsid w:val="3BEB0739"/>
    <w:rsid w:val="3C0A04BB"/>
    <w:rsid w:val="3C3C0F95"/>
    <w:rsid w:val="3C6766BF"/>
    <w:rsid w:val="3C7050E2"/>
    <w:rsid w:val="3C7057AE"/>
    <w:rsid w:val="3C780106"/>
    <w:rsid w:val="3C9F6981"/>
    <w:rsid w:val="3CA66A0B"/>
    <w:rsid w:val="3CA950B1"/>
    <w:rsid w:val="3CA97F92"/>
    <w:rsid w:val="3CC00609"/>
    <w:rsid w:val="3CE145D1"/>
    <w:rsid w:val="3CE33B06"/>
    <w:rsid w:val="3CE47AC0"/>
    <w:rsid w:val="3CE47D13"/>
    <w:rsid w:val="3CE551AC"/>
    <w:rsid w:val="3CE91CF5"/>
    <w:rsid w:val="3CEF4259"/>
    <w:rsid w:val="3CF17FD1"/>
    <w:rsid w:val="3D0C65E9"/>
    <w:rsid w:val="3D1022FC"/>
    <w:rsid w:val="3D307327"/>
    <w:rsid w:val="3D4B442E"/>
    <w:rsid w:val="3D657EFC"/>
    <w:rsid w:val="3D8533F6"/>
    <w:rsid w:val="3D8D3850"/>
    <w:rsid w:val="3D9D44EA"/>
    <w:rsid w:val="3DA06601"/>
    <w:rsid w:val="3DA218C9"/>
    <w:rsid w:val="3DB75277"/>
    <w:rsid w:val="3DB83E47"/>
    <w:rsid w:val="3DBC05DF"/>
    <w:rsid w:val="3DC02FE7"/>
    <w:rsid w:val="3DC70F93"/>
    <w:rsid w:val="3DC92CFC"/>
    <w:rsid w:val="3DCD5D1F"/>
    <w:rsid w:val="3DD91A8E"/>
    <w:rsid w:val="3E066C7E"/>
    <w:rsid w:val="3E20439F"/>
    <w:rsid w:val="3E35159F"/>
    <w:rsid w:val="3E593ECA"/>
    <w:rsid w:val="3E697264"/>
    <w:rsid w:val="3E740EBA"/>
    <w:rsid w:val="3E786C20"/>
    <w:rsid w:val="3E9230EE"/>
    <w:rsid w:val="3E9926CE"/>
    <w:rsid w:val="3EAD43CC"/>
    <w:rsid w:val="3EAF04AC"/>
    <w:rsid w:val="3EB11A19"/>
    <w:rsid w:val="3EB7106D"/>
    <w:rsid w:val="3EC7628C"/>
    <w:rsid w:val="3ECC37DD"/>
    <w:rsid w:val="3EED05B0"/>
    <w:rsid w:val="3F156156"/>
    <w:rsid w:val="3F1748D6"/>
    <w:rsid w:val="3F272B84"/>
    <w:rsid w:val="3F2C52F0"/>
    <w:rsid w:val="3F5A50A4"/>
    <w:rsid w:val="3F7B3E47"/>
    <w:rsid w:val="3F7E18C4"/>
    <w:rsid w:val="3F8B2D0B"/>
    <w:rsid w:val="3F9C3D59"/>
    <w:rsid w:val="3F9D61EE"/>
    <w:rsid w:val="3FA46EF8"/>
    <w:rsid w:val="3FD414E4"/>
    <w:rsid w:val="3FD94446"/>
    <w:rsid w:val="3FD9721D"/>
    <w:rsid w:val="400C2D1C"/>
    <w:rsid w:val="404B3E9C"/>
    <w:rsid w:val="40537FA2"/>
    <w:rsid w:val="40542227"/>
    <w:rsid w:val="405B7282"/>
    <w:rsid w:val="40603D01"/>
    <w:rsid w:val="4064574F"/>
    <w:rsid w:val="407118A6"/>
    <w:rsid w:val="407707ED"/>
    <w:rsid w:val="408535F2"/>
    <w:rsid w:val="40946174"/>
    <w:rsid w:val="4099443B"/>
    <w:rsid w:val="40C241CA"/>
    <w:rsid w:val="40CD0758"/>
    <w:rsid w:val="40D3191C"/>
    <w:rsid w:val="40D53766"/>
    <w:rsid w:val="40D75F92"/>
    <w:rsid w:val="40E51C35"/>
    <w:rsid w:val="41181D29"/>
    <w:rsid w:val="41281B19"/>
    <w:rsid w:val="41303C39"/>
    <w:rsid w:val="41436921"/>
    <w:rsid w:val="414D66CA"/>
    <w:rsid w:val="414F3518"/>
    <w:rsid w:val="414F74CB"/>
    <w:rsid w:val="415937AA"/>
    <w:rsid w:val="415B6654"/>
    <w:rsid w:val="4160301B"/>
    <w:rsid w:val="417C2EE6"/>
    <w:rsid w:val="418441E5"/>
    <w:rsid w:val="41B026B0"/>
    <w:rsid w:val="41B4781F"/>
    <w:rsid w:val="41C92B51"/>
    <w:rsid w:val="41D1217F"/>
    <w:rsid w:val="41D301C3"/>
    <w:rsid w:val="41D425D0"/>
    <w:rsid w:val="41D623AF"/>
    <w:rsid w:val="41E359F1"/>
    <w:rsid w:val="41E618AB"/>
    <w:rsid w:val="41F875EB"/>
    <w:rsid w:val="41F9484A"/>
    <w:rsid w:val="42162288"/>
    <w:rsid w:val="422F49B3"/>
    <w:rsid w:val="423A53A8"/>
    <w:rsid w:val="424C43EF"/>
    <w:rsid w:val="42596511"/>
    <w:rsid w:val="426D5C02"/>
    <w:rsid w:val="426D6FB1"/>
    <w:rsid w:val="427645CA"/>
    <w:rsid w:val="4276665E"/>
    <w:rsid w:val="42786A9F"/>
    <w:rsid w:val="427A1E5D"/>
    <w:rsid w:val="42802614"/>
    <w:rsid w:val="428B0580"/>
    <w:rsid w:val="42996BE9"/>
    <w:rsid w:val="42AB6E74"/>
    <w:rsid w:val="42B01704"/>
    <w:rsid w:val="42B715D2"/>
    <w:rsid w:val="42CC4106"/>
    <w:rsid w:val="42D23D2A"/>
    <w:rsid w:val="42E45DC4"/>
    <w:rsid w:val="42FD4492"/>
    <w:rsid w:val="42FE5908"/>
    <w:rsid w:val="4321248F"/>
    <w:rsid w:val="43296C01"/>
    <w:rsid w:val="433858A5"/>
    <w:rsid w:val="4340643A"/>
    <w:rsid w:val="43430E5B"/>
    <w:rsid w:val="434F3389"/>
    <w:rsid w:val="43536240"/>
    <w:rsid w:val="43546230"/>
    <w:rsid w:val="43560B8E"/>
    <w:rsid w:val="435E161E"/>
    <w:rsid w:val="435E4320"/>
    <w:rsid w:val="436A3043"/>
    <w:rsid w:val="437E746D"/>
    <w:rsid w:val="43803870"/>
    <w:rsid w:val="438F32A5"/>
    <w:rsid w:val="43920E07"/>
    <w:rsid w:val="43951B04"/>
    <w:rsid w:val="439954D3"/>
    <w:rsid w:val="439D4A0F"/>
    <w:rsid w:val="43A464AB"/>
    <w:rsid w:val="43A86F10"/>
    <w:rsid w:val="43B934F7"/>
    <w:rsid w:val="43BB0E16"/>
    <w:rsid w:val="43CE3AB2"/>
    <w:rsid w:val="43D305E5"/>
    <w:rsid w:val="43E82799"/>
    <w:rsid w:val="43EC32A0"/>
    <w:rsid w:val="43F22F37"/>
    <w:rsid w:val="44006D4C"/>
    <w:rsid w:val="440C6A86"/>
    <w:rsid w:val="440D3267"/>
    <w:rsid w:val="44185E43"/>
    <w:rsid w:val="442C18EF"/>
    <w:rsid w:val="44532839"/>
    <w:rsid w:val="445D419E"/>
    <w:rsid w:val="44655B95"/>
    <w:rsid w:val="4484172B"/>
    <w:rsid w:val="44976919"/>
    <w:rsid w:val="44984355"/>
    <w:rsid w:val="44A2022B"/>
    <w:rsid w:val="44A41DCD"/>
    <w:rsid w:val="44A8226D"/>
    <w:rsid w:val="44B9769F"/>
    <w:rsid w:val="44CF468B"/>
    <w:rsid w:val="44E2016E"/>
    <w:rsid w:val="44F92FED"/>
    <w:rsid w:val="44FF3496"/>
    <w:rsid w:val="45187FCE"/>
    <w:rsid w:val="45242AC5"/>
    <w:rsid w:val="45424CC8"/>
    <w:rsid w:val="45432ED5"/>
    <w:rsid w:val="45442C68"/>
    <w:rsid w:val="456934CB"/>
    <w:rsid w:val="4587576E"/>
    <w:rsid w:val="45886FF9"/>
    <w:rsid w:val="45A95E56"/>
    <w:rsid w:val="45AD6A5F"/>
    <w:rsid w:val="45DE0CA6"/>
    <w:rsid w:val="45DF6DFC"/>
    <w:rsid w:val="45FE550D"/>
    <w:rsid w:val="4601483F"/>
    <w:rsid w:val="46032B23"/>
    <w:rsid w:val="4631041E"/>
    <w:rsid w:val="4642364B"/>
    <w:rsid w:val="46576784"/>
    <w:rsid w:val="465832C2"/>
    <w:rsid w:val="466A323F"/>
    <w:rsid w:val="466A3389"/>
    <w:rsid w:val="46760020"/>
    <w:rsid w:val="46827EEC"/>
    <w:rsid w:val="46841EB6"/>
    <w:rsid w:val="46857840"/>
    <w:rsid w:val="4698770F"/>
    <w:rsid w:val="469D2EE1"/>
    <w:rsid w:val="46A20DF5"/>
    <w:rsid w:val="46A7659A"/>
    <w:rsid w:val="46C422B2"/>
    <w:rsid w:val="46C95B1B"/>
    <w:rsid w:val="46CA0403"/>
    <w:rsid w:val="46DC4EDC"/>
    <w:rsid w:val="46E62229"/>
    <w:rsid w:val="46F722E3"/>
    <w:rsid w:val="47004D4B"/>
    <w:rsid w:val="47077001"/>
    <w:rsid w:val="471A5648"/>
    <w:rsid w:val="4723437D"/>
    <w:rsid w:val="472A4785"/>
    <w:rsid w:val="472C5380"/>
    <w:rsid w:val="4734684B"/>
    <w:rsid w:val="47356E70"/>
    <w:rsid w:val="47482EE3"/>
    <w:rsid w:val="474B4782"/>
    <w:rsid w:val="474C39E8"/>
    <w:rsid w:val="474D4056"/>
    <w:rsid w:val="475353E4"/>
    <w:rsid w:val="476A5FE9"/>
    <w:rsid w:val="476D64A6"/>
    <w:rsid w:val="476E73D5"/>
    <w:rsid w:val="47966CBC"/>
    <w:rsid w:val="479743CD"/>
    <w:rsid w:val="47A105C3"/>
    <w:rsid w:val="47A5053C"/>
    <w:rsid w:val="47A56D93"/>
    <w:rsid w:val="47C4015E"/>
    <w:rsid w:val="47C85BC4"/>
    <w:rsid w:val="47CE3316"/>
    <w:rsid w:val="47DF48FA"/>
    <w:rsid w:val="47F40975"/>
    <w:rsid w:val="482079C8"/>
    <w:rsid w:val="483B09CE"/>
    <w:rsid w:val="48420029"/>
    <w:rsid w:val="48541414"/>
    <w:rsid w:val="48567FBE"/>
    <w:rsid w:val="485D4A73"/>
    <w:rsid w:val="486E0728"/>
    <w:rsid w:val="48711FC6"/>
    <w:rsid w:val="487337D1"/>
    <w:rsid w:val="48903FD0"/>
    <w:rsid w:val="48952158"/>
    <w:rsid w:val="48981C49"/>
    <w:rsid w:val="49001E86"/>
    <w:rsid w:val="4903354C"/>
    <w:rsid w:val="491237A9"/>
    <w:rsid w:val="49170022"/>
    <w:rsid w:val="491C0184"/>
    <w:rsid w:val="491F1DB5"/>
    <w:rsid w:val="491F6ADB"/>
    <w:rsid w:val="493059DD"/>
    <w:rsid w:val="49450D2C"/>
    <w:rsid w:val="49470F79"/>
    <w:rsid w:val="49576275"/>
    <w:rsid w:val="49724248"/>
    <w:rsid w:val="498168D9"/>
    <w:rsid w:val="498F101A"/>
    <w:rsid w:val="49996928"/>
    <w:rsid w:val="499D417F"/>
    <w:rsid w:val="49B42A52"/>
    <w:rsid w:val="49B45CBF"/>
    <w:rsid w:val="49B84C30"/>
    <w:rsid w:val="49CA6B4B"/>
    <w:rsid w:val="49CB2C12"/>
    <w:rsid w:val="49E00E78"/>
    <w:rsid w:val="49EC224C"/>
    <w:rsid w:val="49F64E88"/>
    <w:rsid w:val="49FF2065"/>
    <w:rsid w:val="4A02184E"/>
    <w:rsid w:val="4A157827"/>
    <w:rsid w:val="4A361719"/>
    <w:rsid w:val="4A4821B9"/>
    <w:rsid w:val="4A5E2A9C"/>
    <w:rsid w:val="4A5E47CC"/>
    <w:rsid w:val="4A632656"/>
    <w:rsid w:val="4A725C9D"/>
    <w:rsid w:val="4A8000DF"/>
    <w:rsid w:val="4A887463"/>
    <w:rsid w:val="4AAD521B"/>
    <w:rsid w:val="4AB10DA0"/>
    <w:rsid w:val="4AB30EDE"/>
    <w:rsid w:val="4AB800F0"/>
    <w:rsid w:val="4ACE77F7"/>
    <w:rsid w:val="4ACF2867"/>
    <w:rsid w:val="4AD1729D"/>
    <w:rsid w:val="4AE72A13"/>
    <w:rsid w:val="4AE7656F"/>
    <w:rsid w:val="4AE922E8"/>
    <w:rsid w:val="4B1E0524"/>
    <w:rsid w:val="4B341F77"/>
    <w:rsid w:val="4B663938"/>
    <w:rsid w:val="4B7156DF"/>
    <w:rsid w:val="4B77489C"/>
    <w:rsid w:val="4B7D207A"/>
    <w:rsid w:val="4B875EB6"/>
    <w:rsid w:val="4B94520F"/>
    <w:rsid w:val="4B9D25BB"/>
    <w:rsid w:val="4B9E12F2"/>
    <w:rsid w:val="4BA33AB6"/>
    <w:rsid w:val="4BC20D72"/>
    <w:rsid w:val="4BCD4B5F"/>
    <w:rsid w:val="4BD333DE"/>
    <w:rsid w:val="4BE10F10"/>
    <w:rsid w:val="4BE967D6"/>
    <w:rsid w:val="4BF947AC"/>
    <w:rsid w:val="4BFB49C8"/>
    <w:rsid w:val="4C4157ED"/>
    <w:rsid w:val="4C421888"/>
    <w:rsid w:val="4C4F212A"/>
    <w:rsid w:val="4C6514B0"/>
    <w:rsid w:val="4C7D1FFD"/>
    <w:rsid w:val="4C7E695A"/>
    <w:rsid w:val="4C907B89"/>
    <w:rsid w:val="4CC21B1C"/>
    <w:rsid w:val="4CC70A09"/>
    <w:rsid w:val="4CD81B01"/>
    <w:rsid w:val="4CDE2D5F"/>
    <w:rsid w:val="4CE84A8B"/>
    <w:rsid w:val="4CF5763E"/>
    <w:rsid w:val="4CFD7601"/>
    <w:rsid w:val="4D010FAA"/>
    <w:rsid w:val="4D0A0C4A"/>
    <w:rsid w:val="4D217F05"/>
    <w:rsid w:val="4D3F7CBF"/>
    <w:rsid w:val="4D510618"/>
    <w:rsid w:val="4D5142EE"/>
    <w:rsid w:val="4D7D31BB"/>
    <w:rsid w:val="4D7F33D7"/>
    <w:rsid w:val="4D803B16"/>
    <w:rsid w:val="4D95480F"/>
    <w:rsid w:val="4D9C4D4C"/>
    <w:rsid w:val="4DA22C22"/>
    <w:rsid w:val="4DA66F14"/>
    <w:rsid w:val="4DAB1AD6"/>
    <w:rsid w:val="4DC46301"/>
    <w:rsid w:val="4DCD50C4"/>
    <w:rsid w:val="4DD0778F"/>
    <w:rsid w:val="4DF7391F"/>
    <w:rsid w:val="4DFA480C"/>
    <w:rsid w:val="4DFC0F2A"/>
    <w:rsid w:val="4DFE3CC8"/>
    <w:rsid w:val="4E035DB6"/>
    <w:rsid w:val="4E130E34"/>
    <w:rsid w:val="4E2462A3"/>
    <w:rsid w:val="4E313C6D"/>
    <w:rsid w:val="4E3715BC"/>
    <w:rsid w:val="4E3C4E24"/>
    <w:rsid w:val="4E4E418E"/>
    <w:rsid w:val="4E4E7182"/>
    <w:rsid w:val="4E551D06"/>
    <w:rsid w:val="4EA77602"/>
    <w:rsid w:val="4EC32721"/>
    <w:rsid w:val="4EC9737A"/>
    <w:rsid w:val="4ECA4C11"/>
    <w:rsid w:val="4ECC2988"/>
    <w:rsid w:val="4EDA40B7"/>
    <w:rsid w:val="4EF16DED"/>
    <w:rsid w:val="4EFA5C39"/>
    <w:rsid w:val="4EFF12CC"/>
    <w:rsid w:val="4F0A7123"/>
    <w:rsid w:val="4F1526F7"/>
    <w:rsid w:val="4F164969"/>
    <w:rsid w:val="4F2A3762"/>
    <w:rsid w:val="4F2D7361"/>
    <w:rsid w:val="4F2E0DB1"/>
    <w:rsid w:val="4F2E2590"/>
    <w:rsid w:val="4F381A8F"/>
    <w:rsid w:val="4F3B21A6"/>
    <w:rsid w:val="4F3E2633"/>
    <w:rsid w:val="4F534CF1"/>
    <w:rsid w:val="4F5A7C58"/>
    <w:rsid w:val="4F5D1544"/>
    <w:rsid w:val="4F7227F4"/>
    <w:rsid w:val="4F930BF0"/>
    <w:rsid w:val="4FA113E3"/>
    <w:rsid w:val="4FBB70EF"/>
    <w:rsid w:val="4FD41C1D"/>
    <w:rsid w:val="4FED2322"/>
    <w:rsid w:val="4FF430A3"/>
    <w:rsid w:val="4FF754A7"/>
    <w:rsid w:val="4FFD53C6"/>
    <w:rsid w:val="50253962"/>
    <w:rsid w:val="503B1837"/>
    <w:rsid w:val="503D1B16"/>
    <w:rsid w:val="5074268E"/>
    <w:rsid w:val="5075461D"/>
    <w:rsid w:val="507765E7"/>
    <w:rsid w:val="50794637"/>
    <w:rsid w:val="508E47DC"/>
    <w:rsid w:val="50A653A6"/>
    <w:rsid w:val="50A74391"/>
    <w:rsid w:val="50AD4642"/>
    <w:rsid w:val="50AE3F83"/>
    <w:rsid w:val="50AF332F"/>
    <w:rsid w:val="50C23D07"/>
    <w:rsid w:val="50CF7A4B"/>
    <w:rsid w:val="50E7376D"/>
    <w:rsid w:val="50EA4605"/>
    <w:rsid w:val="50EF6475"/>
    <w:rsid w:val="510559A1"/>
    <w:rsid w:val="5137564E"/>
    <w:rsid w:val="513E2C61"/>
    <w:rsid w:val="515649F7"/>
    <w:rsid w:val="515C0CB9"/>
    <w:rsid w:val="51767882"/>
    <w:rsid w:val="517F39A6"/>
    <w:rsid w:val="51922AAE"/>
    <w:rsid w:val="51954F77"/>
    <w:rsid w:val="519D7D9F"/>
    <w:rsid w:val="51A56C12"/>
    <w:rsid w:val="51A74CAA"/>
    <w:rsid w:val="51AE57EB"/>
    <w:rsid w:val="51AF6428"/>
    <w:rsid w:val="51C5065E"/>
    <w:rsid w:val="51CB4FD8"/>
    <w:rsid w:val="51CE66DB"/>
    <w:rsid w:val="51D65E39"/>
    <w:rsid w:val="51F10280"/>
    <w:rsid w:val="51FA127E"/>
    <w:rsid w:val="51FF4AE6"/>
    <w:rsid w:val="520923F4"/>
    <w:rsid w:val="5211020B"/>
    <w:rsid w:val="521F6F37"/>
    <w:rsid w:val="522335F5"/>
    <w:rsid w:val="52237868"/>
    <w:rsid w:val="525210BA"/>
    <w:rsid w:val="5259519B"/>
    <w:rsid w:val="526D5486"/>
    <w:rsid w:val="52734C27"/>
    <w:rsid w:val="527F4DDE"/>
    <w:rsid w:val="528354D8"/>
    <w:rsid w:val="529E7DC9"/>
    <w:rsid w:val="52A1157D"/>
    <w:rsid w:val="52BC5299"/>
    <w:rsid w:val="52BE3F2B"/>
    <w:rsid w:val="52DB7D52"/>
    <w:rsid w:val="52DF1808"/>
    <w:rsid w:val="52EB4548"/>
    <w:rsid w:val="52F1442F"/>
    <w:rsid w:val="53042AF4"/>
    <w:rsid w:val="53046E5C"/>
    <w:rsid w:val="531F5861"/>
    <w:rsid w:val="5323131A"/>
    <w:rsid w:val="532452B2"/>
    <w:rsid w:val="5325692F"/>
    <w:rsid w:val="532C40B8"/>
    <w:rsid w:val="532D11DF"/>
    <w:rsid w:val="532F3685"/>
    <w:rsid w:val="53312062"/>
    <w:rsid w:val="533D3764"/>
    <w:rsid w:val="534520F6"/>
    <w:rsid w:val="53570BE3"/>
    <w:rsid w:val="535B4CF0"/>
    <w:rsid w:val="53877FA0"/>
    <w:rsid w:val="539C014A"/>
    <w:rsid w:val="53BE0335"/>
    <w:rsid w:val="53D53067"/>
    <w:rsid w:val="53DB2671"/>
    <w:rsid w:val="53DF21E1"/>
    <w:rsid w:val="53FB1D4F"/>
    <w:rsid w:val="5400093A"/>
    <w:rsid w:val="540F7BC3"/>
    <w:rsid w:val="54173BA7"/>
    <w:rsid w:val="542756A8"/>
    <w:rsid w:val="542D696A"/>
    <w:rsid w:val="54353513"/>
    <w:rsid w:val="543E150A"/>
    <w:rsid w:val="544C0EC8"/>
    <w:rsid w:val="54585672"/>
    <w:rsid w:val="54790B80"/>
    <w:rsid w:val="54792823"/>
    <w:rsid w:val="54860D8B"/>
    <w:rsid w:val="549534E0"/>
    <w:rsid w:val="54B53687"/>
    <w:rsid w:val="54C067AF"/>
    <w:rsid w:val="54E41D5A"/>
    <w:rsid w:val="54F93614"/>
    <w:rsid w:val="550630B9"/>
    <w:rsid w:val="551D59AF"/>
    <w:rsid w:val="551E54F0"/>
    <w:rsid w:val="55244285"/>
    <w:rsid w:val="552C0249"/>
    <w:rsid w:val="55411377"/>
    <w:rsid w:val="55477DF6"/>
    <w:rsid w:val="554A3840"/>
    <w:rsid w:val="555E38D2"/>
    <w:rsid w:val="5569348D"/>
    <w:rsid w:val="55857616"/>
    <w:rsid w:val="55992746"/>
    <w:rsid w:val="55BC4F12"/>
    <w:rsid w:val="55C027DF"/>
    <w:rsid w:val="55C2530E"/>
    <w:rsid w:val="55EB2CB7"/>
    <w:rsid w:val="55F3611F"/>
    <w:rsid w:val="55FA1920"/>
    <w:rsid w:val="55FB295D"/>
    <w:rsid w:val="55FB7373"/>
    <w:rsid w:val="55FD4DC8"/>
    <w:rsid w:val="560E70A6"/>
    <w:rsid w:val="5614541B"/>
    <w:rsid w:val="56150744"/>
    <w:rsid w:val="561E32EC"/>
    <w:rsid w:val="562543F0"/>
    <w:rsid w:val="563A49BB"/>
    <w:rsid w:val="563A7087"/>
    <w:rsid w:val="563C1C71"/>
    <w:rsid w:val="564113F3"/>
    <w:rsid w:val="564B654C"/>
    <w:rsid w:val="56552F27"/>
    <w:rsid w:val="565624EC"/>
    <w:rsid w:val="565E43EA"/>
    <w:rsid w:val="566A18BC"/>
    <w:rsid w:val="56701792"/>
    <w:rsid w:val="567D136E"/>
    <w:rsid w:val="569549B7"/>
    <w:rsid w:val="569A4DDE"/>
    <w:rsid w:val="569B59A6"/>
    <w:rsid w:val="56A22F6E"/>
    <w:rsid w:val="56BA3B21"/>
    <w:rsid w:val="56C20E52"/>
    <w:rsid w:val="56C61153"/>
    <w:rsid w:val="56E66C7F"/>
    <w:rsid w:val="56EB365B"/>
    <w:rsid w:val="56EB5639"/>
    <w:rsid w:val="56F00AC2"/>
    <w:rsid w:val="570D0833"/>
    <w:rsid w:val="57132F95"/>
    <w:rsid w:val="57135F32"/>
    <w:rsid w:val="57201787"/>
    <w:rsid w:val="572D56F6"/>
    <w:rsid w:val="57300263"/>
    <w:rsid w:val="573174F0"/>
    <w:rsid w:val="57424D8B"/>
    <w:rsid w:val="574D7792"/>
    <w:rsid w:val="57642833"/>
    <w:rsid w:val="57645DA8"/>
    <w:rsid w:val="57653378"/>
    <w:rsid w:val="576A4386"/>
    <w:rsid w:val="576C677A"/>
    <w:rsid w:val="57817915"/>
    <w:rsid w:val="57824F33"/>
    <w:rsid w:val="5783222D"/>
    <w:rsid w:val="57835872"/>
    <w:rsid w:val="578568C0"/>
    <w:rsid w:val="579730CB"/>
    <w:rsid w:val="5798051C"/>
    <w:rsid w:val="57B27F05"/>
    <w:rsid w:val="57D80949"/>
    <w:rsid w:val="57D83E10"/>
    <w:rsid w:val="57D87D44"/>
    <w:rsid w:val="57E026C2"/>
    <w:rsid w:val="57F65472"/>
    <w:rsid w:val="57FF4FE0"/>
    <w:rsid w:val="5803166F"/>
    <w:rsid w:val="580C5867"/>
    <w:rsid w:val="58186BCB"/>
    <w:rsid w:val="581A7F84"/>
    <w:rsid w:val="58300AA6"/>
    <w:rsid w:val="583B614D"/>
    <w:rsid w:val="58430210"/>
    <w:rsid w:val="58443253"/>
    <w:rsid w:val="58596FF9"/>
    <w:rsid w:val="5862192B"/>
    <w:rsid w:val="5863214C"/>
    <w:rsid w:val="5870229A"/>
    <w:rsid w:val="58717162"/>
    <w:rsid w:val="587E6229"/>
    <w:rsid w:val="587F6039"/>
    <w:rsid w:val="58820CF4"/>
    <w:rsid w:val="5886138F"/>
    <w:rsid w:val="589439A2"/>
    <w:rsid w:val="589A70FA"/>
    <w:rsid w:val="589A7317"/>
    <w:rsid w:val="58AD718A"/>
    <w:rsid w:val="58B51B98"/>
    <w:rsid w:val="58E50E32"/>
    <w:rsid w:val="58ED1A4E"/>
    <w:rsid w:val="58F70636"/>
    <w:rsid w:val="5915074C"/>
    <w:rsid w:val="59274E7B"/>
    <w:rsid w:val="5946464E"/>
    <w:rsid w:val="59493C33"/>
    <w:rsid w:val="59783547"/>
    <w:rsid w:val="598F6750"/>
    <w:rsid w:val="599A24D6"/>
    <w:rsid w:val="59B265B3"/>
    <w:rsid w:val="59BE7035"/>
    <w:rsid w:val="59CD1026"/>
    <w:rsid w:val="59D90852"/>
    <w:rsid w:val="59DA3B15"/>
    <w:rsid w:val="59DA4430"/>
    <w:rsid w:val="59DE164A"/>
    <w:rsid w:val="59E933CD"/>
    <w:rsid w:val="59FF3FB2"/>
    <w:rsid w:val="5A117165"/>
    <w:rsid w:val="5A145B03"/>
    <w:rsid w:val="5A1A6894"/>
    <w:rsid w:val="5A1F7AD4"/>
    <w:rsid w:val="5A2B12B6"/>
    <w:rsid w:val="5A3C4D01"/>
    <w:rsid w:val="5A3C7FD0"/>
    <w:rsid w:val="5A400973"/>
    <w:rsid w:val="5A44572C"/>
    <w:rsid w:val="5A4E1434"/>
    <w:rsid w:val="5A5619A2"/>
    <w:rsid w:val="5A5D05FC"/>
    <w:rsid w:val="5A6C4CE3"/>
    <w:rsid w:val="5A785436"/>
    <w:rsid w:val="5A7D47FA"/>
    <w:rsid w:val="5A951B44"/>
    <w:rsid w:val="5AA549B2"/>
    <w:rsid w:val="5AA955EF"/>
    <w:rsid w:val="5AAD1584"/>
    <w:rsid w:val="5AB47560"/>
    <w:rsid w:val="5AEA7AAE"/>
    <w:rsid w:val="5B0609B8"/>
    <w:rsid w:val="5B2858FF"/>
    <w:rsid w:val="5B2869DF"/>
    <w:rsid w:val="5B2C323B"/>
    <w:rsid w:val="5B2E395A"/>
    <w:rsid w:val="5B394BC5"/>
    <w:rsid w:val="5B5104F9"/>
    <w:rsid w:val="5B6E1183"/>
    <w:rsid w:val="5B750708"/>
    <w:rsid w:val="5B782E31"/>
    <w:rsid w:val="5B7A6F8C"/>
    <w:rsid w:val="5B932094"/>
    <w:rsid w:val="5B977FA5"/>
    <w:rsid w:val="5BA1079C"/>
    <w:rsid w:val="5BA82CEF"/>
    <w:rsid w:val="5BAC4E3A"/>
    <w:rsid w:val="5BAD7361"/>
    <w:rsid w:val="5BB94E75"/>
    <w:rsid w:val="5BBC6C4B"/>
    <w:rsid w:val="5BC03CC5"/>
    <w:rsid w:val="5BC35C41"/>
    <w:rsid w:val="5BF32F12"/>
    <w:rsid w:val="5BFC424E"/>
    <w:rsid w:val="5BFC6A45"/>
    <w:rsid w:val="5BFE6CB5"/>
    <w:rsid w:val="5C0C4088"/>
    <w:rsid w:val="5C0D6ACB"/>
    <w:rsid w:val="5C132561"/>
    <w:rsid w:val="5C183ED9"/>
    <w:rsid w:val="5C272751"/>
    <w:rsid w:val="5C2F15AF"/>
    <w:rsid w:val="5C362AF4"/>
    <w:rsid w:val="5C367357"/>
    <w:rsid w:val="5C3D09D4"/>
    <w:rsid w:val="5C3E4720"/>
    <w:rsid w:val="5C50666A"/>
    <w:rsid w:val="5C526BB4"/>
    <w:rsid w:val="5C68420D"/>
    <w:rsid w:val="5C860366"/>
    <w:rsid w:val="5C874805"/>
    <w:rsid w:val="5C8B5219"/>
    <w:rsid w:val="5C985F89"/>
    <w:rsid w:val="5C9C18B0"/>
    <w:rsid w:val="5CA42512"/>
    <w:rsid w:val="5CBA1D36"/>
    <w:rsid w:val="5CC20BEA"/>
    <w:rsid w:val="5CCE758F"/>
    <w:rsid w:val="5CD17909"/>
    <w:rsid w:val="5CDB3A5A"/>
    <w:rsid w:val="5CDD3C76"/>
    <w:rsid w:val="5CE86655"/>
    <w:rsid w:val="5CF0479A"/>
    <w:rsid w:val="5D0343AB"/>
    <w:rsid w:val="5D0E3E30"/>
    <w:rsid w:val="5D165361"/>
    <w:rsid w:val="5D1E7271"/>
    <w:rsid w:val="5D501370"/>
    <w:rsid w:val="5D54455B"/>
    <w:rsid w:val="5D5C5B59"/>
    <w:rsid w:val="5D664D12"/>
    <w:rsid w:val="5D6C2195"/>
    <w:rsid w:val="5D7719D5"/>
    <w:rsid w:val="5D8A2A3E"/>
    <w:rsid w:val="5D9A31DD"/>
    <w:rsid w:val="5DAF116F"/>
    <w:rsid w:val="5DC50F95"/>
    <w:rsid w:val="5DD07349"/>
    <w:rsid w:val="5DD514C0"/>
    <w:rsid w:val="5DF83F4A"/>
    <w:rsid w:val="5E074110"/>
    <w:rsid w:val="5E075C5B"/>
    <w:rsid w:val="5E30314D"/>
    <w:rsid w:val="5E377542"/>
    <w:rsid w:val="5E3909A9"/>
    <w:rsid w:val="5E4C2575"/>
    <w:rsid w:val="5E7056F4"/>
    <w:rsid w:val="5E7B4EF1"/>
    <w:rsid w:val="5E895E64"/>
    <w:rsid w:val="5E8C454C"/>
    <w:rsid w:val="5E9B1166"/>
    <w:rsid w:val="5EAF2742"/>
    <w:rsid w:val="5EB821B1"/>
    <w:rsid w:val="5EC52109"/>
    <w:rsid w:val="5ED370DF"/>
    <w:rsid w:val="5EDC6635"/>
    <w:rsid w:val="5EDF242A"/>
    <w:rsid w:val="5EEC4CC9"/>
    <w:rsid w:val="5F057C39"/>
    <w:rsid w:val="5F0B4ACB"/>
    <w:rsid w:val="5F1D2C2C"/>
    <w:rsid w:val="5F294C7B"/>
    <w:rsid w:val="5F300244"/>
    <w:rsid w:val="5F376244"/>
    <w:rsid w:val="5F387DD8"/>
    <w:rsid w:val="5F3C3301"/>
    <w:rsid w:val="5F610F9A"/>
    <w:rsid w:val="5F8674F3"/>
    <w:rsid w:val="5F964AA4"/>
    <w:rsid w:val="5F9B478A"/>
    <w:rsid w:val="5FAA1F53"/>
    <w:rsid w:val="5FB200E2"/>
    <w:rsid w:val="5FB24F46"/>
    <w:rsid w:val="5FC21492"/>
    <w:rsid w:val="5FDA624B"/>
    <w:rsid w:val="5FDF2F66"/>
    <w:rsid w:val="5FE34F6C"/>
    <w:rsid w:val="5FFF0B49"/>
    <w:rsid w:val="600126E8"/>
    <w:rsid w:val="600F713A"/>
    <w:rsid w:val="60133980"/>
    <w:rsid w:val="60163727"/>
    <w:rsid w:val="601C4AB5"/>
    <w:rsid w:val="60432042"/>
    <w:rsid w:val="60442474"/>
    <w:rsid w:val="605040C4"/>
    <w:rsid w:val="605B2C60"/>
    <w:rsid w:val="607262A7"/>
    <w:rsid w:val="6074075C"/>
    <w:rsid w:val="607D5362"/>
    <w:rsid w:val="607F2085"/>
    <w:rsid w:val="60867604"/>
    <w:rsid w:val="60943F1E"/>
    <w:rsid w:val="60984DEA"/>
    <w:rsid w:val="60995615"/>
    <w:rsid w:val="609B6985"/>
    <w:rsid w:val="609C2468"/>
    <w:rsid w:val="609C3E58"/>
    <w:rsid w:val="60A952CA"/>
    <w:rsid w:val="60B36BF2"/>
    <w:rsid w:val="60BE791B"/>
    <w:rsid w:val="60D32903"/>
    <w:rsid w:val="60F55141"/>
    <w:rsid w:val="60FE6DBB"/>
    <w:rsid w:val="6137101A"/>
    <w:rsid w:val="613A21EB"/>
    <w:rsid w:val="613E1396"/>
    <w:rsid w:val="61500EBB"/>
    <w:rsid w:val="61804F0D"/>
    <w:rsid w:val="618172C6"/>
    <w:rsid w:val="61B42655"/>
    <w:rsid w:val="61B64AE6"/>
    <w:rsid w:val="61C51E2B"/>
    <w:rsid w:val="61E34F3D"/>
    <w:rsid w:val="61EA38D4"/>
    <w:rsid w:val="61EB04E9"/>
    <w:rsid w:val="62046334"/>
    <w:rsid w:val="6213162C"/>
    <w:rsid w:val="621F43E9"/>
    <w:rsid w:val="6224761B"/>
    <w:rsid w:val="6228517F"/>
    <w:rsid w:val="622B7208"/>
    <w:rsid w:val="622C52DC"/>
    <w:rsid w:val="622F4266"/>
    <w:rsid w:val="62462A72"/>
    <w:rsid w:val="624677D1"/>
    <w:rsid w:val="624C3685"/>
    <w:rsid w:val="62650403"/>
    <w:rsid w:val="62726C0F"/>
    <w:rsid w:val="627C3CEC"/>
    <w:rsid w:val="628473A8"/>
    <w:rsid w:val="62877B78"/>
    <w:rsid w:val="62884045"/>
    <w:rsid w:val="62957F7C"/>
    <w:rsid w:val="62C54F90"/>
    <w:rsid w:val="62CA07F9"/>
    <w:rsid w:val="63030F14"/>
    <w:rsid w:val="63167739"/>
    <w:rsid w:val="63254ABA"/>
    <w:rsid w:val="632E513F"/>
    <w:rsid w:val="636173F7"/>
    <w:rsid w:val="637253BD"/>
    <w:rsid w:val="637F5A87"/>
    <w:rsid w:val="6384309D"/>
    <w:rsid w:val="63B95C1F"/>
    <w:rsid w:val="63CB65D6"/>
    <w:rsid w:val="63E15DFA"/>
    <w:rsid w:val="63F7561D"/>
    <w:rsid w:val="6408290B"/>
    <w:rsid w:val="64085A7D"/>
    <w:rsid w:val="64090C05"/>
    <w:rsid w:val="640E45E6"/>
    <w:rsid w:val="641A52C3"/>
    <w:rsid w:val="642A77A1"/>
    <w:rsid w:val="64541116"/>
    <w:rsid w:val="6460081E"/>
    <w:rsid w:val="646507D9"/>
    <w:rsid w:val="646E271F"/>
    <w:rsid w:val="647608C3"/>
    <w:rsid w:val="6488223E"/>
    <w:rsid w:val="64A036C7"/>
    <w:rsid w:val="64A15589"/>
    <w:rsid w:val="64AC28AC"/>
    <w:rsid w:val="64D65427"/>
    <w:rsid w:val="64D92F75"/>
    <w:rsid w:val="64DC2AF9"/>
    <w:rsid w:val="64EC5F80"/>
    <w:rsid w:val="65044496"/>
    <w:rsid w:val="650A5824"/>
    <w:rsid w:val="650C63A1"/>
    <w:rsid w:val="65150451"/>
    <w:rsid w:val="65337C11"/>
    <w:rsid w:val="65366619"/>
    <w:rsid w:val="653D6D7E"/>
    <w:rsid w:val="653F4940"/>
    <w:rsid w:val="6549634D"/>
    <w:rsid w:val="65764C68"/>
    <w:rsid w:val="658630FD"/>
    <w:rsid w:val="65905D2A"/>
    <w:rsid w:val="65A12770"/>
    <w:rsid w:val="65A437DE"/>
    <w:rsid w:val="65A76BCF"/>
    <w:rsid w:val="65AA5825"/>
    <w:rsid w:val="65BB0DA5"/>
    <w:rsid w:val="65C46E98"/>
    <w:rsid w:val="65D74FDB"/>
    <w:rsid w:val="65DE0E3B"/>
    <w:rsid w:val="65E3463F"/>
    <w:rsid w:val="66074D7E"/>
    <w:rsid w:val="660B53B0"/>
    <w:rsid w:val="660D08FC"/>
    <w:rsid w:val="661462F7"/>
    <w:rsid w:val="66173D55"/>
    <w:rsid w:val="661A55F3"/>
    <w:rsid w:val="661B1629"/>
    <w:rsid w:val="661D3CEB"/>
    <w:rsid w:val="66331F4E"/>
    <w:rsid w:val="66384703"/>
    <w:rsid w:val="664743D7"/>
    <w:rsid w:val="66650F64"/>
    <w:rsid w:val="666D1DE3"/>
    <w:rsid w:val="668458AE"/>
    <w:rsid w:val="668F0FBE"/>
    <w:rsid w:val="669B001E"/>
    <w:rsid w:val="66A001EE"/>
    <w:rsid w:val="66A01F9C"/>
    <w:rsid w:val="66A6148B"/>
    <w:rsid w:val="66B477F6"/>
    <w:rsid w:val="66B53389"/>
    <w:rsid w:val="66B60F58"/>
    <w:rsid w:val="66BB66F3"/>
    <w:rsid w:val="66BD7BD5"/>
    <w:rsid w:val="66E30E48"/>
    <w:rsid w:val="66FD3032"/>
    <w:rsid w:val="67010AE3"/>
    <w:rsid w:val="6722281C"/>
    <w:rsid w:val="672F2586"/>
    <w:rsid w:val="674212A6"/>
    <w:rsid w:val="67667090"/>
    <w:rsid w:val="67685576"/>
    <w:rsid w:val="67761366"/>
    <w:rsid w:val="67873ACE"/>
    <w:rsid w:val="67915ACE"/>
    <w:rsid w:val="679E0CF7"/>
    <w:rsid w:val="67A62374"/>
    <w:rsid w:val="67AF7FBD"/>
    <w:rsid w:val="67B6134C"/>
    <w:rsid w:val="67C373D8"/>
    <w:rsid w:val="67D14D5D"/>
    <w:rsid w:val="67F51E74"/>
    <w:rsid w:val="67F82D86"/>
    <w:rsid w:val="67FD6785"/>
    <w:rsid w:val="68002120"/>
    <w:rsid w:val="680A0EA3"/>
    <w:rsid w:val="680D1350"/>
    <w:rsid w:val="68283B33"/>
    <w:rsid w:val="68731EA2"/>
    <w:rsid w:val="68792802"/>
    <w:rsid w:val="68884A81"/>
    <w:rsid w:val="68A35D74"/>
    <w:rsid w:val="68A468B0"/>
    <w:rsid w:val="68AB5DF2"/>
    <w:rsid w:val="68BC0BE4"/>
    <w:rsid w:val="68D57C80"/>
    <w:rsid w:val="68E16A8B"/>
    <w:rsid w:val="68E814B4"/>
    <w:rsid w:val="68F56B5F"/>
    <w:rsid w:val="68F91EAB"/>
    <w:rsid w:val="69015F65"/>
    <w:rsid w:val="690B0FB3"/>
    <w:rsid w:val="69154D60"/>
    <w:rsid w:val="692C3FBB"/>
    <w:rsid w:val="692E4AE1"/>
    <w:rsid w:val="69390486"/>
    <w:rsid w:val="69391248"/>
    <w:rsid w:val="693966D8"/>
    <w:rsid w:val="694A6DBA"/>
    <w:rsid w:val="694B7999"/>
    <w:rsid w:val="69561669"/>
    <w:rsid w:val="696A141E"/>
    <w:rsid w:val="697649D8"/>
    <w:rsid w:val="69BF503E"/>
    <w:rsid w:val="69CD7FDE"/>
    <w:rsid w:val="69DD4CC4"/>
    <w:rsid w:val="69EB4974"/>
    <w:rsid w:val="6A026ACA"/>
    <w:rsid w:val="6A035CBE"/>
    <w:rsid w:val="6A136F29"/>
    <w:rsid w:val="6A2268B6"/>
    <w:rsid w:val="6A3828E1"/>
    <w:rsid w:val="6A3E3186"/>
    <w:rsid w:val="6A4175F2"/>
    <w:rsid w:val="6A4A0D6A"/>
    <w:rsid w:val="6A517405"/>
    <w:rsid w:val="6A595DFF"/>
    <w:rsid w:val="6A670259"/>
    <w:rsid w:val="6A964D1C"/>
    <w:rsid w:val="6AB46016"/>
    <w:rsid w:val="6AB56656"/>
    <w:rsid w:val="6AC41D5C"/>
    <w:rsid w:val="6AD95DA6"/>
    <w:rsid w:val="6ADF6E0B"/>
    <w:rsid w:val="6AE2354A"/>
    <w:rsid w:val="6AE50085"/>
    <w:rsid w:val="6AEF34F2"/>
    <w:rsid w:val="6AF83AA5"/>
    <w:rsid w:val="6AF9611F"/>
    <w:rsid w:val="6B0F5943"/>
    <w:rsid w:val="6B142F59"/>
    <w:rsid w:val="6B174E72"/>
    <w:rsid w:val="6B215C24"/>
    <w:rsid w:val="6B22477C"/>
    <w:rsid w:val="6B275FB9"/>
    <w:rsid w:val="6B277886"/>
    <w:rsid w:val="6B320A31"/>
    <w:rsid w:val="6B432C49"/>
    <w:rsid w:val="6B453112"/>
    <w:rsid w:val="6B491DA4"/>
    <w:rsid w:val="6B4C5855"/>
    <w:rsid w:val="6B5B4BE4"/>
    <w:rsid w:val="6B5D28FD"/>
    <w:rsid w:val="6B5E4D2E"/>
    <w:rsid w:val="6B5E656A"/>
    <w:rsid w:val="6B64270F"/>
    <w:rsid w:val="6B7548D8"/>
    <w:rsid w:val="6B76151E"/>
    <w:rsid w:val="6B782F23"/>
    <w:rsid w:val="6B7A6816"/>
    <w:rsid w:val="6BAE35C5"/>
    <w:rsid w:val="6BC45F99"/>
    <w:rsid w:val="6BD513B6"/>
    <w:rsid w:val="6BE116D3"/>
    <w:rsid w:val="6BE8306A"/>
    <w:rsid w:val="6BFA3EFD"/>
    <w:rsid w:val="6C2A7865"/>
    <w:rsid w:val="6C364A21"/>
    <w:rsid w:val="6C4660BB"/>
    <w:rsid w:val="6C4C227F"/>
    <w:rsid w:val="6C530787"/>
    <w:rsid w:val="6C6367C2"/>
    <w:rsid w:val="6C6A54FD"/>
    <w:rsid w:val="6C6B0957"/>
    <w:rsid w:val="6C7C2B64"/>
    <w:rsid w:val="6C89702F"/>
    <w:rsid w:val="6CA83959"/>
    <w:rsid w:val="6CB354C5"/>
    <w:rsid w:val="6CC50D33"/>
    <w:rsid w:val="6CC5175A"/>
    <w:rsid w:val="6CC60283"/>
    <w:rsid w:val="6CD00A32"/>
    <w:rsid w:val="6CDA6279"/>
    <w:rsid w:val="6CDC102D"/>
    <w:rsid w:val="6CFA1CDB"/>
    <w:rsid w:val="6CFE15EE"/>
    <w:rsid w:val="6D066B64"/>
    <w:rsid w:val="6D1F1741"/>
    <w:rsid w:val="6D2A0812"/>
    <w:rsid w:val="6D5D0BE7"/>
    <w:rsid w:val="6D6F4477"/>
    <w:rsid w:val="6D8C535B"/>
    <w:rsid w:val="6DB166DC"/>
    <w:rsid w:val="6DB70CB4"/>
    <w:rsid w:val="6DC36570"/>
    <w:rsid w:val="6DD14180"/>
    <w:rsid w:val="6DD32C57"/>
    <w:rsid w:val="6DE621AD"/>
    <w:rsid w:val="6DFB2A19"/>
    <w:rsid w:val="6E0607EE"/>
    <w:rsid w:val="6E094352"/>
    <w:rsid w:val="6E0F462F"/>
    <w:rsid w:val="6E146DCC"/>
    <w:rsid w:val="6E60557F"/>
    <w:rsid w:val="6E677F40"/>
    <w:rsid w:val="6E737F96"/>
    <w:rsid w:val="6E804461"/>
    <w:rsid w:val="6E825239"/>
    <w:rsid w:val="6E94732E"/>
    <w:rsid w:val="6E9B3A2D"/>
    <w:rsid w:val="6EAE2370"/>
    <w:rsid w:val="6EC033A9"/>
    <w:rsid w:val="6F190B3E"/>
    <w:rsid w:val="6F1E6154"/>
    <w:rsid w:val="6F305CBB"/>
    <w:rsid w:val="6F4D07E7"/>
    <w:rsid w:val="6F676886"/>
    <w:rsid w:val="6F77047B"/>
    <w:rsid w:val="6F815117"/>
    <w:rsid w:val="6F8306AD"/>
    <w:rsid w:val="6F896506"/>
    <w:rsid w:val="6FB74415"/>
    <w:rsid w:val="6FC21CA4"/>
    <w:rsid w:val="6FC26A88"/>
    <w:rsid w:val="6FC54822"/>
    <w:rsid w:val="6FD6356B"/>
    <w:rsid w:val="6FE319C4"/>
    <w:rsid w:val="6FE84BCD"/>
    <w:rsid w:val="6FF25912"/>
    <w:rsid w:val="6FFE7D75"/>
    <w:rsid w:val="700E2E3C"/>
    <w:rsid w:val="701704A4"/>
    <w:rsid w:val="702A2DF0"/>
    <w:rsid w:val="7042200B"/>
    <w:rsid w:val="7060454A"/>
    <w:rsid w:val="706D08D3"/>
    <w:rsid w:val="706E310B"/>
    <w:rsid w:val="706E412C"/>
    <w:rsid w:val="708F3F4F"/>
    <w:rsid w:val="708F6BDE"/>
    <w:rsid w:val="70CF5BF0"/>
    <w:rsid w:val="70D62AFF"/>
    <w:rsid w:val="70F253B2"/>
    <w:rsid w:val="70F63C1F"/>
    <w:rsid w:val="71141C8C"/>
    <w:rsid w:val="71154DE8"/>
    <w:rsid w:val="712832BA"/>
    <w:rsid w:val="71467BE4"/>
    <w:rsid w:val="715776FB"/>
    <w:rsid w:val="717348E4"/>
    <w:rsid w:val="717F472B"/>
    <w:rsid w:val="71925C44"/>
    <w:rsid w:val="71997F7D"/>
    <w:rsid w:val="719E503F"/>
    <w:rsid w:val="71A67417"/>
    <w:rsid w:val="71AC3D91"/>
    <w:rsid w:val="71AD37BF"/>
    <w:rsid w:val="71B608C6"/>
    <w:rsid w:val="71C11019"/>
    <w:rsid w:val="71D7292B"/>
    <w:rsid w:val="71DB3BE0"/>
    <w:rsid w:val="71E25092"/>
    <w:rsid w:val="71F12C19"/>
    <w:rsid w:val="71F75228"/>
    <w:rsid w:val="71F95E63"/>
    <w:rsid w:val="71FF0740"/>
    <w:rsid w:val="71FF0BB1"/>
    <w:rsid w:val="7205522D"/>
    <w:rsid w:val="720C535A"/>
    <w:rsid w:val="723147C5"/>
    <w:rsid w:val="724A7260"/>
    <w:rsid w:val="72556A94"/>
    <w:rsid w:val="725D168F"/>
    <w:rsid w:val="727E22EF"/>
    <w:rsid w:val="7280663C"/>
    <w:rsid w:val="728733AE"/>
    <w:rsid w:val="72AC1CC9"/>
    <w:rsid w:val="72B666A4"/>
    <w:rsid w:val="72BA7716"/>
    <w:rsid w:val="72C74CEB"/>
    <w:rsid w:val="72CC76AF"/>
    <w:rsid w:val="72D3059A"/>
    <w:rsid w:val="72DE4DB3"/>
    <w:rsid w:val="72F01BB6"/>
    <w:rsid w:val="73013FCC"/>
    <w:rsid w:val="73092C77"/>
    <w:rsid w:val="731E2DF7"/>
    <w:rsid w:val="733001DA"/>
    <w:rsid w:val="7343262D"/>
    <w:rsid w:val="73441F01"/>
    <w:rsid w:val="734B3574"/>
    <w:rsid w:val="734D40AB"/>
    <w:rsid w:val="73547991"/>
    <w:rsid w:val="736938A6"/>
    <w:rsid w:val="736A5E0C"/>
    <w:rsid w:val="73722F53"/>
    <w:rsid w:val="737323D5"/>
    <w:rsid w:val="73905147"/>
    <w:rsid w:val="739169F9"/>
    <w:rsid w:val="73C516FB"/>
    <w:rsid w:val="73CB43D1"/>
    <w:rsid w:val="73E05AF6"/>
    <w:rsid w:val="73E07E4D"/>
    <w:rsid w:val="73EA4857"/>
    <w:rsid w:val="73F328B4"/>
    <w:rsid w:val="74085625"/>
    <w:rsid w:val="7409082C"/>
    <w:rsid w:val="740F250F"/>
    <w:rsid w:val="74190665"/>
    <w:rsid w:val="743E015A"/>
    <w:rsid w:val="74654825"/>
    <w:rsid w:val="747D78CF"/>
    <w:rsid w:val="748D142F"/>
    <w:rsid w:val="748D7E3F"/>
    <w:rsid w:val="749173C8"/>
    <w:rsid w:val="74920AD5"/>
    <w:rsid w:val="749E119A"/>
    <w:rsid w:val="74AC5FB0"/>
    <w:rsid w:val="74B9247B"/>
    <w:rsid w:val="74C058BF"/>
    <w:rsid w:val="74C2175A"/>
    <w:rsid w:val="74C72DEA"/>
    <w:rsid w:val="74D33EF6"/>
    <w:rsid w:val="74D34F94"/>
    <w:rsid w:val="74F6722B"/>
    <w:rsid w:val="75120509"/>
    <w:rsid w:val="75355FA6"/>
    <w:rsid w:val="75483259"/>
    <w:rsid w:val="754A4FEC"/>
    <w:rsid w:val="754C0FA0"/>
    <w:rsid w:val="755212B6"/>
    <w:rsid w:val="7552712E"/>
    <w:rsid w:val="75637AE8"/>
    <w:rsid w:val="756F010A"/>
    <w:rsid w:val="757B41D4"/>
    <w:rsid w:val="758064F9"/>
    <w:rsid w:val="758A38D6"/>
    <w:rsid w:val="758B60D1"/>
    <w:rsid w:val="758D193E"/>
    <w:rsid w:val="75905D8E"/>
    <w:rsid w:val="75907680"/>
    <w:rsid w:val="759253E8"/>
    <w:rsid w:val="75992D53"/>
    <w:rsid w:val="759E7FEF"/>
    <w:rsid w:val="75BA294F"/>
    <w:rsid w:val="75D94171"/>
    <w:rsid w:val="75E65816"/>
    <w:rsid w:val="75EA36C0"/>
    <w:rsid w:val="75EC7C30"/>
    <w:rsid w:val="75F278E8"/>
    <w:rsid w:val="75F908CB"/>
    <w:rsid w:val="760A2E98"/>
    <w:rsid w:val="763B75EC"/>
    <w:rsid w:val="763D24F2"/>
    <w:rsid w:val="763D6A18"/>
    <w:rsid w:val="76402E54"/>
    <w:rsid w:val="76406802"/>
    <w:rsid w:val="76506C8F"/>
    <w:rsid w:val="767A50C2"/>
    <w:rsid w:val="768049CA"/>
    <w:rsid w:val="76987067"/>
    <w:rsid w:val="769D4442"/>
    <w:rsid w:val="76A81989"/>
    <w:rsid w:val="76AF515A"/>
    <w:rsid w:val="76B14C41"/>
    <w:rsid w:val="76C64A46"/>
    <w:rsid w:val="76D728BD"/>
    <w:rsid w:val="76EF6628"/>
    <w:rsid w:val="77353C34"/>
    <w:rsid w:val="773D64AD"/>
    <w:rsid w:val="775166F5"/>
    <w:rsid w:val="777032C5"/>
    <w:rsid w:val="77727872"/>
    <w:rsid w:val="77755F0B"/>
    <w:rsid w:val="777703EE"/>
    <w:rsid w:val="777A4144"/>
    <w:rsid w:val="778206F7"/>
    <w:rsid w:val="778356EE"/>
    <w:rsid w:val="778C577E"/>
    <w:rsid w:val="77933457"/>
    <w:rsid w:val="77AB1495"/>
    <w:rsid w:val="77AB69F3"/>
    <w:rsid w:val="77B642CE"/>
    <w:rsid w:val="77E25D9C"/>
    <w:rsid w:val="77E626F8"/>
    <w:rsid w:val="77F9150C"/>
    <w:rsid w:val="78110CBE"/>
    <w:rsid w:val="78203AD8"/>
    <w:rsid w:val="78223DCA"/>
    <w:rsid w:val="782B73D7"/>
    <w:rsid w:val="78301CEF"/>
    <w:rsid w:val="78343C5B"/>
    <w:rsid w:val="78362761"/>
    <w:rsid w:val="784D0D7C"/>
    <w:rsid w:val="78783EBA"/>
    <w:rsid w:val="787C4DA6"/>
    <w:rsid w:val="787F0783"/>
    <w:rsid w:val="78854B29"/>
    <w:rsid w:val="78A44E7C"/>
    <w:rsid w:val="78B040B0"/>
    <w:rsid w:val="78B35561"/>
    <w:rsid w:val="78C83AD2"/>
    <w:rsid w:val="78CC4E73"/>
    <w:rsid w:val="78CD1E21"/>
    <w:rsid w:val="78E2329B"/>
    <w:rsid w:val="78E57CE3"/>
    <w:rsid w:val="78F53F06"/>
    <w:rsid w:val="79257E68"/>
    <w:rsid w:val="7928778B"/>
    <w:rsid w:val="79425AFF"/>
    <w:rsid w:val="79507E21"/>
    <w:rsid w:val="7955440F"/>
    <w:rsid w:val="79624B3E"/>
    <w:rsid w:val="798A5C60"/>
    <w:rsid w:val="79A07515"/>
    <w:rsid w:val="79B25E17"/>
    <w:rsid w:val="79CB6ED9"/>
    <w:rsid w:val="79D33FDF"/>
    <w:rsid w:val="79DC4E17"/>
    <w:rsid w:val="79E9735F"/>
    <w:rsid w:val="79EB1329"/>
    <w:rsid w:val="79F67317"/>
    <w:rsid w:val="7A00729F"/>
    <w:rsid w:val="7A02521F"/>
    <w:rsid w:val="7A294D3A"/>
    <w:rsid w:val="7A2D4918"/>
    <w:rsid w:val="7A2E15EF"/>
    <w:rsid w:val="7A484D16"/>
    <w:rsid w:val="7A4D0E1F"/>
    <w:rsid w:val="7A5341BF"/>
    <w:rsid w:val="7A5D0E8F"/>
    <w:rsid w:val="7A5E1AFB"/>
    <w:rsid w:val="7A756E44"/>
    <w:rsid w:val="7A762AB6"/>
    <w:rsid w:val="7A766111"/>
    <w:rsid w:val="7A847F34"/>
    <w:rsid w:val="7A8D0632"/>
    <w:rsid w:val="7AA51BB5"/>
    <w:rsid w:val="7AA65250"/>
    <w:rsid w:val="7AA75D96"/>
    <w:rsid w:val="7AA878DE"/>
    <w:rsid w:val="7AAD7FF5"/>
    <w:rsid w:val="7AB0555A"/>
    <w:rsid w:val="7ABE07EB"/>
    <w:rsid w:val="7AC30920"/>
    <w:rsid w:val="7AC55C75"/>
    <w:rsid w:val="7ACA5466"/>
    <w:rsid w:val="7AD45C10"/>
    <w:rsid w:val="7AF04591"/>
    <w:rsid w:val="7B006360"/>
    <w:rsid w:val="7B0A6A9B"/>
    <w:rsid w:val="7B0D2818"/>
    <w:rsid w:val="7B2D6C87"/>
    <w:rsid w:val="7B374A08"/>
    <w:rsid w:val="7B38234C"/>
    <w:rsid w:val="7B3B594C"/>
    <w:rsid w:val="7B3D5BB4"/>
    <w:rsid w:val="7B4A6F18"/>
    <w:rsid w:val="7B533460"/>
    <w:rsid w:val="7B612980"/>
    <w:rsid w:val="7B70072A"/>
    <w:rsid w:val="7B7454BE"/>
    <w:rsid w:val="7B7C4D1A"/>
    <w:rsid w:val="7B8743D1"/>
    <w:rsid w:val="7B8B7C17"/>
    <w:rsid w:val="7B8F08D9"/>
    <w:rsid w:val="7B9649B1"/>
    <w:rsid w:val="7B976343"/>
    <w:rsid w:val="7B994E29"/>
    <w:rsid w:val="7BC1389C"/>
    <w:rsid w:val="7BCC0CE6"/>
    <w:rsid w:val="7C130D84"/>
    <w:rsid w:val="7C2E19A1"/>
    <w:rsid w:val="7C5450CE"/>
    <w:rsid w:val="7C5A20C1"/>
    <w:rsid w:val="7C80044E"/>
    <w:rsid w:val="7C947A56"/>
    <w:rsid w:val="7CA13F21"/>
    <w:rsid w:val="7CB82DCD"/>
    <w:rsid w:val="7CBC76A6"/>
    <w:rsid w:val="7CBF51D3"/>
    <w:rsid w:val="7CE256BB"/>
    <w:rsid w:val="7CFD36F5"/>
    <w:rsid w:val="7D126BCC"/>
    <w:rsid w:val="7D153CBD"/>
    <w:rsid w:val="7D21437C"/>
    <w:rsid w:val="7D3D2220"/>
    <w:rsid w:val="7D433A4F"/>
    <w:rsid w:val="7D4A0A5C"/>
    <w:rsid w:val="7D545437"/>
    <w:rsid w:val="7D62737F"/>
    <w:rsid w:val="7D8555F0"/>
    <w:rsid w:val="7D9D6DDE"/>
    <w:rsid w:val="7DA51A8D"/>
    <w:rsid w:val="7DA9460F"/>
    <w:rsid w:val="7DBB1135"/>
    <w:rsid w:val="7DCC1471"/>
    <w:rsid w:val="7DCF5535"/>
    <w:rsid w:val="7DE65FBE"/>
    <w:rsid w:val="7DFF6F70"/>
    <w:rsid w:val="7E1640FB"/>
    <w:rsid w:val="7E21070F"/>
    <w:rsid w:val="7E24305B"/>
    <w:rsid w:val="7E2F66BC"/>
    <w:rsid w:val="7E311A64"/>
    <w:rsid w:val="7E321A00"/>
    <w:rsid w:val="7E3B2283"/>
    <w:rsid w:val="7E5679FA"/>
    <w:rsid w:val="7E570A14"/>
    <w:rsid w:val="7E6A03BF"/>
    <w:rsid w:val="7E6D6DD8"/>
    <w:rsid w:val="7E763D8E"/>
    <w:rsid w:val="7E7A2C7B"/>
    <w:rsid w:val="7E826950"/>
    <w:rsid w:val="7E8458A8"/>
    <w:rsid w:val="7E894A50"/>
    <w:rsid w:val="7E8B6C36"/>
    <w:rsid w:val="7E9064E4"/>
    <w:rsid w:val="7E9718B6"/>
    <w:rsid w:val="7E9E2C4F"/>
    <w:rsid w:val="7EA5476A"/>
    <w:rsid w:val="7EBB576E"/>
    <w:rsid w:val="7EC539A4"/>
    <w:rsid w:val="7EF82D86"/>
    <w:rsid w:val="7F055885"/>
    <w:rsid w:val="7F0A69EE"/>
    <w:rsid w:val="7F0D7F93"/>
    <w:rsid w:val="7F1467D7"/>
    <w:rsid w:val="7F1718FE"/>
    <w:rsid w:val="7F3269FF"/>
    <w:rsid w:val="7F4A4D43"/>
    <w:rsid w:val="7F4C2870"/>
    <w:rsid w:val="7F54171E"/>
    <w:rsid w:val="7F6D27E0"/>
    <w:rsid w:val="7F7405C7"/>
    <w:rsid w:val="7F7414A3"/>
    <w:rsid w:val="7F757976"/>
    <w:rsid w:val="7F7960AE"/>
    <w:rsid w:val="7F7A4658"/>
    <w:rsid w:val="7F8A725D"/>
    <w:rsid w:val="7F946740"/>
    <w:rsid w:val="7FA47F29"/>
    <w:rsid w:val="7FD0349B"/>
    <w:rsid w:val="7FD213B2"/>
    <w:rsid w:val="7FE414DF"/>
    <w:rsid w:val="7FF718C7"/>
    <w:rsid w:val="7FFA3BC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qFormat="1" w:unhideWhenUsed="0" w:uiPriority="0" w:semiHidden="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nhideWhenUsed="0" w:uiPriority="99" w:name="Table Web 2" w:locked="1"/>
    <w:lsdException w:unhideWhenUsed="0" w:uiPriority="99" w:name="Table Web 3" w:locked="1"/>
    <w:lsdException w:qFormat="1" w:unhideWhenUsed="0" w:uiPriority="99" w:name="Balloon Text"/>
    <w:lsdException w:qFormat="1" w:unhideWhenUsed="0" w:uiPriority="99" w:semiHidden="0" w:name="Table Grid"/>
    <w:lsdException w:unhideWhenUsed="0"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7"/>
    <w:qFormat/>
    <w:uiPriority w:val="99"/>
    <w:pPr>
      <w:keepNext/>
      <w:keepLines/>
      <w:spacing w:line="576" w:lineRule="auto"/>
      <w:jc w:val="center"/>
      <w:outlineLvl w:val="0"/>
    </w:pPr>
    <w:rPr>
      <w:rFonts w:cs="Times New Roman"/>
      <w:b/>
      <w:bCs/>
      <w:kern w:val="44"/>
      <w:sz w:val="44"/>
      <w:szCs w:val="44"/>
    </w:rPr>
  </w:style>
  <w:style w:type="paragraph" w:styleId="3">
    <w:name w:val="heading 2"/>
    <w:basedOn w:val="1"/>
    <w:next w:val="1"/>
    <w:link w:val="38"/>
    <w:qFormat/>
    <w:uiPriority w:val="99"/>
    <w:pPr>
      <w:keepNext/>
      <w:keepLines/>
      <w:spacing w:line="413" w:lineRule="auto"/>
      <w:jc w:val="center"/>
      <w:outlineLvl w:val="1"/>
    </w:pPr>
    <w:rPr>
      <w:rFonts w:ascii="Cambria" w:hAnsi="Cambria" w:cs="Times New Roman"/>
      <w:b/>
      <w:bCs/>
      <w:kern w:val="0"/>
      <w:sz w:val="32"/>
      <w:szCs w:val="32"/>
    </w:rPr>
  </w:style>
  <w:style w:type="paragraph" w:styleId="4">
    <w:name w:val="heading 3"/>
    <w:basedOn w:val="1"/>
    <w:next w:val="1"/>
    <w:link w:val="39"/>
    <w:qFormat/>
    <w:uiPriority w:val="99"/>
    <w:pPr>
      <w:keepNext/>
      <w:keepLines/>
      <w:spacing w:before="260" w:after="260" w:line="413" w:lineRule="auto"/>
      <w:outlineLvl w:val="2"/>
    </w:pPr>
    <w:rPr>
      <w:rFonts w:cs="Times New Roman"/>
      <w:b/>
      <w:bCs/>
      <w:kern w:val="0"/>
      <w:sz w:val="32"/>
      <w:szCs w:val="32"/>
    </w:rPr>
  </w:style>
  <w:style w:type="paragraph" w:styleId="5">
    <w:name w:val="heading 4"/>
    <w:basedOn w:val="1"/>
    <w:next w:val="1"/>
    <w:unhideWhenUsed/>
    <w:qFormat/>
    <w:locked/>
    <w:uiPriority w:val="9"/>
    <w:pPr>
      <w:keepNext/>
      <w:keepLines/>
      <w:jc w:val="left"/>
      <w:outlineLvl w:val="3"/>
    </w:pPr>
    <w:rPr>
      <w:rFonts w:hint="eastAsia" w:ascii="Arial" w:hAnsi="Arial" w:cs="Times New Roman"/>
      <w:b/>
      <w:sz w:val="32"/>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style>
  <w:style w:type="paragraph" w:styleId="7">
    <w:name w:val="Body Text First Indent 2"/>
    <w:basedOn w:val="8"/>
    <w:next w:val="6"/>
    <w:qFormat/>
    <w:locked/>
    <w:uiPriority w:val="0"/>
    <w:pPr>
      <w:ind w:firstLine="420"/>
    </w:pPr>
  </w:style>
  <w:style w:type="paragraph" w:styleId="8">
    <w:name w:val="Body Text Indent"/>
    <w:basedOn w:val="1"/>
    <w:next w:val="1"/>
    <w:link w:val="43"/>
    <w:qFormat/>
    <w:uiPriority w:val="99"/>
    <w:pPr>
      <w:spacing w:after="120"/>
      <w:ind w:left="420" w:leftChars="200"/>
    </w:pPr>
    <w:rPr>
      <w:rFonts w:cs="Times New Roman"/>
      <w:kern w:val="0"/>
      <w:sz w:val="20"/>
    </w:rPr>
  </w:style>
  <w:style w:type="paragraph" w:styleId="9">
    <w:name w:val="Document Map"/>
    <w:basedOn w:val="1"/>
    <w:link w:val="93"/>
    <w:unhideWhenUsed/>
    <w:qFormat/>
    <w:locked/>
    <w:uiPriority w:val="99"/>
    <w:rPr>
      <w:rFonts w:ascii="宋体"/>
      <w:sz w:val="18"/>
      <w:szCs w:val="18"/>
    </w:rPr>
  </w:style>
  <w:style w:type="paragraph" w:styleId="10">
    <w:name w:val="annotation text"/>
    <w:basedOn w:val="1"/>
    <w:link w:val="40"/>
    <w:semiHidden/>
    <w:qFormat/>
    <w:uiPriority w:val="99"/>
    <w:pPr>
      <w:jc w:val="left"/>
    </w:pPr>
    <w:rPr>
      <w:rFonts w:ascii="宋体" w:cs="Times New Roman"/>
      <w:kern w:val="0"/>
      <w:sz w:val="22"/>
      <w:szCs w:val="22"/>
    </w:rPr>
  </w:style>
  <w:style w:type="paragraph" w:styleId="11">
    <w:name w:val="Body Text"/>
    <w:basedOn w:val="1"/>
    <w:next w:val="1"/>
    <w:link w:val="42"/>
    <w:qFormat/>
    <w:uiPriority w:val="99"/>
    <w:rPr>
      <w:rFonts w:cs="Times New Roman"/>
      <w:kern w:val="0"/>
      <w:sz w:val="20"/>
    </w:rPr>
  </w:style>
  <w:style w:type="paragraph" w:styleId="12">
    <w:name w:val="toc 3"/>
    <w:basedOn w:val="1"/>
    <w:next w:val="1"/>
    <w:semiHidden/>
    <w:qFormat/>
    <w:uiPriority w:val="99"/>
    <w:pPr>
      <w:ind w:left="840" w:leftChars="400"/>
    </w:pPr>
  </w:style>
  <w:style w:type="paragraph" w:styleId="13">
    <w:name w:val="Plain Text"/>
    <w:basedOn w:val="1"/>
    <w:link w:val="44"/>
    <w:qFormat/>
    <w:uiPriority w:val="99"/>
    <w:pPr>
      <w:spacing w:line="324" w:lineRule="auto"/>
    </w:pPr>
    <w:rPr>
      <w:rFonts w:ascii="宋体" w:hAnsi="Courier New" w:cs="Times New Roman"/>
      <w:kern w:val="0"/>
      <w:sz w:val="20"/>
    </w:rPr>
  </w:style>
  <w:style w:type="paragraph" w:styleId="14">
    <w:name w:val="Date"/>
    <w:basedOn w:val="1"/>
    <w:next w:val="1"/>
    <w:link w:val="45"/>
    <w:qFormat/>
    <w:uiPriority w:val="99"/>
    <w:pPr>
      <w:ind w:left="100" w:leftChars="2500"/>
    </w:pPr>
  </w:style>
  <w:style w:type="paragraph" w:styleId="15">
    <w:name w:val="Body Text Indent 2"/>
    <w:basedOn w:val="1"/>
    <w:link w:val="46"/>
    <w:qFormat/>
    <w:uiPriority w:val="99"/>
    <w:pPr>
      <w:spacing w:after="120" w:line="480" w:lineRule="auto"/>
      <w:ind w:left="420" w:leftChars="200"/>
    </w:pPr>
    <w:rPr>
      <w:rFonts w:cs="Times New Roman"/>
      <w:kern w:val="0"/>
      <w:sz w:val="20"/>
    </w:rPr>
  </w:style>
  <w:style w:type="paragraph" w:styleId="16">
    <w:name w:val="Balloon Text"/>
    <w:basedOn w:val="1"/>
    <w:link w:val="47"/>
    <w:semiHidden/>
    <w:qFormat/>
    <w:uiPriority w:val="99"/>
    <w:rPr>
      <w:rFonts w:cs="Times New Roman"/>
      <w:sz w:val="18"/>
      <w:szCs w:val="18"/>
    </w:rPr>
  </w:style>
  <w:style w:type="paragraph" w:styleId="17">
    <w:name w:val="footer"/>
    <w:basedOn w:val="1"/>
    <w:link w:val="48"/>
    <w:qFormat/>
    <w:uiPriority w:val="99"/>
    <w:pPr>
      <w:tabs>
        <w:tab w:val="center" w:pos="4153"/>
        <w:tab w:val="right" w:pos="8306"/>
      </w:tabs>
      <w:snapToGrid w:val="0"/>
      <w:jc w:val="left"/>
    </w:pPr>
    <w:rPr>
      <w:rFonts w:cs="Times New Roman"/>
      <w:kern w:val="0"/>
      <w:sz w:val="18"/>
      <w:szCs w:val="18"/>
    </w:rPr>
  </w:style>
  <w:style w:type="paragraph" w:styleId="18">
    <w:name w:val="header"/>
    <w:basedOn w:val="1"/>
    <w:link w:val="49"/>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9">
    <w:name w:val="toc 1"/>
    <w:basedOn w:val="1"/>
    <w:next w:val="1"/>
    <w:semiHidden/>
    <w:qFormat/>
    <w:uiPriority w:val="99"/>
  </w:style>
  <w:style w:type="paragraph" w:styleId="20">
    <w:name w:val="toc 2"/>
    <w:basedOn w:val="1"/>
    <w:next w:val="1"/>
    <w:semiHidden/>
    <w:qFormat/>
    <w:uiPriority w:val="99"/>
    <w:pPr>
      <w:ind w:left="420" w:leftChars="200"/>
    </w:pPr>
  </w:style>
  <w:style w:type="paragraph" w:styleId="21">
    <w:name w:val="toc 9"/>
    <w:basedOn w:val="1"/>
    <w:next w:val="1"/>
    <w:qFormat/>
    <w:locked/>
    <w:uiPriority w:val="0"/>
    <w:pPr>
      <w:wordWrap w:val="0"/>
      <w:ind w:left="2975"/>
    </w:pPr>
    <w:rPr>
      <w:rFonts w:ascii="Times New Roman" w:hAnsi="Times New Roman" w:cs="Times New Roman"/>
    </w:rPr>
  </w:style>
  <w:style w:type="paragraph" w:styleId="22">
    <w:name w:val="Body Text 2"/>
    <w:basedOn w:val="1"/>
    <w:link w:val="50"/>
    <w:qFormat/>
    <w:uiPriority w:val="99"/>
    <w:pPr>
      <w:jc w:val="center"/>
    </w:pPr>
    <w:rPr>
      <w:rFonts w:cs="Times New Roman"/>
      <w:kern w:val="0"/>
      <w:sz w:val="20"/>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0"/>
    <w:next w:val="10"/>
    <w:link w:val="41"/>
    <w:semiHidden/>
    <w:qFormat/>
    <w:uiPriority w:val="99"/>
    <w:rPr>
      <w:rFonts w:ascii="Calibri"/>
      <w:b/>
      <w:bCs/>
      <w:kern w:val="2"/>
    </w:rPr>
  </w:style>
  <w:style w:type="paragraph" w:styleId="25">
    <w:name w:val="Body Text First Indent"/>
    <w:basedOn w:val="11"/>
    <w:qFormat/>
    <w:locked/>
    <w:uiPriority w:val="0"/>
    <w:pPr>
      <w:spacing w:line="300" w:lineRule="auto"/>
      <w:ind w:firstLine="602"/>
      <w:jc w:val="left"/>
    </w:p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sz w:val="24"/>
    </w:rPr>
  </w:style>
  <w:style w:type="character" w:styleId="30">
    <w:name w:val="page number"/>
    <w:basedOn w:val="28"/>
    <w:qFormat/>
    <w:uiPriority w:val="99"/>
    <w:rPr>
      <w:rFonts w:cs="Times New Roman"/>
    </w:rPr>
  </w:style>
  <w:style w:type="character" w:styleId="31">
    <w:name w:val="FollowedHyperlink"/>
    <w:basedOn w:val="28"/>
    <w:qFormat/>
    <w:uiPriority w:val="99"/>
    <w:rPr>
      <w:rFonts w:ascii="宋体" w:hAnsi="宋体" w:eastAsia="宋体" w:cs="Times New Roman"/>
      <w:color w:val="000000"/>
      <w:sz w:val="18"/>
      <w:u w:val="none"/>
    </w:rPr>
  </w:style>
  <w:style w:type="character" w:styleId="32">
    <w:name w:val="Emphasis"/>
    <w:basedOn w:val="28"/>
    <w:qFormat/>
    <w:uiPriority w:val="99"/>
    <w:rPr>
      <w:rFonts w:cs="Times New Roman"/>
      <w:i/>
    </w:rPr>
  </w:style>
  <w:style w:type="character" w:styleId="33">
    <w:name w:val="Hyperlink"/>
    <w:basedOn w:val="28"/>
    <w:qFormat/>
    <w:uiPriority w:val="99"/>
    <w:rPr>
      <w:rFonts w:cs="Times New Roman"/>
      <w:color w:val="0000FF"/>
      <w:u w:val="single"/>
    </w:rPr>
  </w:style>
  <w:style w:type="character" w:styleId="34">
    <w:name w:val="annotation reference"/>
    <w:basedOn w:val="28"/>
    <w:semiHidden/>
    <w:qFormat/>
    <w:uiPriority w:val="99"/>
    <w:rPr>
      <w:rFonts w:cs="Times New Roman"/>
      <w:sz w:val="21"/>
    </w:rPr>
  </w:style>
  <w:style w:type="character" w:styleId="35">
    <w:name w:val="HTML Cite"/>
    <w:basedOn w:val="28"/>
    <w:qFormat/>
    <w:uiPriority w:val="99"/>
    <w:rPr>
      <w:rFonts w:cs="Times New Roman"/>
      <w:sz w:val="24"/>
    </w:rPr>
  </w:style>
  <w:style w:type="paragraph" w:customStyle="1" w:styleId="36">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37">
    <w:name w:val="标题 1 Char"/>
    <w:basedOn w:val="28"/>
    <w:link w:val="2"/>
    <w:qFormat/>
    <w:locked/>
    <w:uiPriority w:val="99"/>
    <w:rPr>
      <w:rFonts w:ascii="Calibri" w:hAnsi="Calibri" w:cs="Times New Roman"/>
      <w:b/>
      <w:kern w:val="44"/>
      <w:sz w:val="44"/>
    </w:rPr>
  </w:style>
  <w:style w:type="character" w:customStyle="1" w:styleId="38">
    <w:name w:val="标题 2 Char"/>
    <w:basedOn w:val="28"/>
    <w:link w:val="3"/>
    <w:semiHidden/>
    <w:qFormat/>
    <w:locked/>
    <w:uiPriority w:val="99"/>
    <w:rPr>
      <w:rFonts w:ascii="Cambria" w:hAnsi="Cambria" w:eastAsia="宋体" w:cs="Times New Roman"/>
      <w:b/>
      <w:sz w:val="32"/>
    </w:rPr>
  </w:style>
  <w:style w:type="character" w:customStyle="1" w:styleId="39">
    <w:name w:val="标题 3 Char"/>
    <w:basedOn w:val="28"/>
    <w:link w:val="4"/>
    <w:semiHidden/>
    <w:qFormat/>
    <w:locked/>
    <w:uiPriority w:val="99"/>
    <w:rPr>
      <w:rFonts w:ascii="Calibri" w:hAnsi="Calibri" w:cs="Times New Roman"/>
      <w:b/>
      <w:sz w:val="32"/>
    </w:rPr>
  </w:style>
  <w:style w:type="character" w:customStyle="1" w:styleId="40">
    <w:name w:val="批注文字 Char"/>
    <w:basedOn w:val="28"/>
    <w:link w:val="10"/>
    <w:qFormat/>
    <w:locked/>
    <w:uiPriority w:val="99"/>
    <w:rPr>
      <w:rFonts w:ascii="宋体" w:hAnsi="Calibri" w:eastAsia="宋体" w:cs="Times New Roman"/>
      <w:sz w:val="22"/>
    </w:rPr>
  </w:style>
  <w:style w:type="character" w:customStyle="1" w:styleId="41">
    <w:name w:val="批注主题 Char"/>
    <w:basedOn w:val="40"/>
    <w:link w:val="24"/>
    <w:qFormat/>
    <w:locked/>
    <w:uiPriority w:val="99"/>
    <w:rPr>
      <w:rFonts w:ascii="Calibri" w:hAnsi="Calibri" w:eastAsia="宋体" w:cs="Times New Roman"/>
      <w:b/>
      <w:kern w:val="2"/>
      <w:sz w:val="22"/>
    </w:rPr>
  </w:style>
  <w:style w:type="character" w:customStyle="1" w:styleId="42">
    <w:name w:val="正文文本 Char"/>
    <w:basedOn w:val="28"/>
    <w:link w:val="11"/>
    <w:semiHidden/>
    <w:qFormat/>
    <w:locked/>
    <w:uiPriority w:val="99"/>
    <w:rPr>
      <w:rFonts w:ascii="Calibri" w:hAnsi="Calibri" w:cs="Times New Roman"/>
      <w:sz w:val="21"/>
    </w:rPr>
  </w:style>
  <w:style w:type="character" w:customStyle="1" w:styleId="43">
    <w:name w:val="正文文本缩进 Char"/>
    <w:basedOn w:val="28"/>
    <w:link w:val="8"/>
    <w:semiHidden/>
    <w:qFormat/>
    <w:locked/>
    <w:uiPriority w:val="99"/>
    <w:rPr>
      <w:rFonts w:ascii="Calibri" w:hAnsi="Calibri" w:cs="Times New Roman"/>
      <w:sz w:val="21"/>
    </w:rPr>
  </w:style>
  <w:style w:type="character" w:customStyle="1" w:styleId="44">
    <w:name w:val="纯文本 Char"/>
    <w:basedOn w:val="28"/>
    <w:link w:val="13"/>
    <w:semiHidden/>
    <w:qFormat/>
    <w:locked/>
    <w:uiPriority w:val="99"/>
    <w:rPr>
      <w:rFonts w:ascii="宋体" w:hAnsi="Courier New" w:cs="Times New Roman"/>
      <w:sz w:val="21"/>
    </w:rPr>
  </w:style>
  <w:style w:type="character" w:customStyle="1" w:styleId="45">
    <w:name w:val="日期 Char"/>
    <w:basedOn w:val="28"/>
    <w:link w:val="14"/>
    <w:semiHidden/>
    <w:qFormat/>
    <w:locked/>
    <w:uiPriority w:val="99"/>
    <w:rPr>
      <w:rFonts w:ascii="Calibri" w:hAnsi="Calibri" w:cs="Calibri"/>
      <w:kern w:val="2"/>
      <w:sz w:val="21"/>
      <w:szCs w:val="21"/>
    </w:rPr>
  </w:style>
  <w:style w:type="character" w:customStyle="1" w:styleId="46">
    <w:name w:val="正文文本缩进 2 Char"/>
    <w:basedOn w:val="28"/>
    <w:link w:val="15"/>
    <w:semiHidden/>
    <w:qFormat/>
    <w:locked/>
    <w:uiPriority w:val="99"/>
    <w:rPr>
      <w:rFonts w:ascii="Calibri" w:hAnsi="Calibri" w:cs="Times New Roman"/>
      <w:sz w:val="21"/>
    </w:rPr>
  </w:style>
  <w:style w:type="character" w:customStyle="1" w:styleId="47">
    <w:name w:val="批注框文本 Char"/>
    <w:basedOn w:val="28"/>
    <w:link w:val="16"/>
    <w:qFormat/>
    <w:locked/>
    <w:uiPriority w:val="99"/>
    <w:rPr>
      <w:rFonts w:ascii="Calibri" w:hAnsi="Calibri" w:eastAsia="宋体" w:cs="Times New Roman"/>
      <w:kern w:val="2"/>
      <w:sz w:val="18"/>
    </w:rPr>
  </w:style>
  <w:style w:type="character" w:customStyle="1" w:styleId="48">
    <w:name w:val="页脚 Char"/>
    <w:basedOn w:val="28"/>
    <w:link w:val="17"/>
    <w:semiHidden/>
    <w:qFormat/>
    <w:locked/>
    <w:uiPriority w:val="99"/>
    <w:rPr>
      <w:rFonts w:ascii="Calibri" w:hAnsi="Calibri" w:cs="Times New Roman"/>
      <w:sz w:val="18"/>
    </w:rPr>
  </w:style>
  <w:style w:type="character" w:customStyle="1" w:styleId="49">
    <w:name w:val="页眉 Char"/>
    <w:basedOn w:val="28"/>
    <w:link w:val="18"/>
    <w:semiHidden/>
    <w:qFormat/>
    <w:locked/>
    <w:uiPriority w:val="99"/>
    <w:rPr>
      <w:rFonts w:ascii="Calibri" w:hAnsi="Calibri" w:cs="Times New Roman"/>
      <w:sz w:val="18"/>
    </w:rPr>
  </w:style>
  <w:style w:type="character" w:customStyle="1" w:styleId="50">
    <w:name w:val="正文文本 2 Char"/>
    <w:basedOn w:val="28"/>
    <w:link w:val="22"/>
    <w:semiHidden/>
    <w:qFormat/>
    <w:locked/>
    <w:uiPriority w:val="99"/>
    <w:rPr>
      <w:rFonts w:ascii="Calibri" w:hAnsi="Calibri" w:cs="Times New Roman"/>
      <w:sz w:val="21"/>
    </w:rPr>
  </w:style>
  <w:style w:type="paragraph" w:customStyle="1" w:styleId="51">
    <w:name w:val="Char2 Char Char Char"/>
    <w:basedOn w:val="1"/>
    <w:qFormat/>
    <w:uiPriority w:val="99"/>
    <w:rPr>
      <w:rFonts w:ascii="Tahoma" w:hAnsi="Tahoma" w:cs="Tahoma"/>
      <w:sz w:val="24"/>
      <w:szCs w:val="24"/>
    </w:rPr>
  </w:style>
  <w:style w:type="paragraph" w:customStyle="1" w:styleId="52">
    <w:name w:val="列出段落1"/>
    <w:basedOn w:val="1"/>
    <w:qFormat/>
    <w:uiPriority w:val="99"/>
    <w:pPr>
      <w:ind w:firstLine="420" w:firstLineChars="200"/>
    </w:pPr>
  </w:style>
  <w:style w:type="character" w:customStyle="1" w:styleId="53">
    <w:name w:val="10"/>
    <w:qFormat/>
    <w:uiPriority w:val="99"/>
    <w:rPr>
      <w:rFonts w:ascii="Calibri" w:hAnsi="Calibri"/>
    </w:rPr>
  </w:style>
  <w:style w:type="character" w:customStyle="1" w:styleId="54">
    <w:name w:val="15"/>
    <w:qFormat/>
    <w:uiPriority w:val="99"/>
    <w:rPr>
      <w:rFonts w:ascii="Calibri" w:hAnsi="Calibri"/>
      <w:i/>
    </w:rPr>
  </w:style>
  <w:style w:type="paragraph" w:customStyle="1" w:styleId="55">
    <w:name w:val="_Style 2"/>
    <w:basedOn w:val="1"/>
    <w:qFormat/>
    <w:uiPriority w:val="99"/>
    <w:pPr>
      <w:ind w:firstLine="420" w:firstLineChars="200"/>
    </w:pPr>
  </w:style>
  <w:style w:type="character" w:customStyle="1" w:styleId="56">
    <w:name w:val="apple-style-span"/>
    <w:qFormat/>
    <w:uiPriority w:val="99"/>
  </w:style>
  <w:style w:type="character" w:customStyle="1" w:styleId="57">
    <w:name w:val="del"/>
    <w:basedOn w:val="28"/>
    <w:qFormat/>
    <w:uiPriority w:val="99"/>
    <w:rPr>
      <w:rFonts w:cs="Times New Roman"/>
    </w:rPr>
  </w:style>
  <w:style w:type="character" w:customStyle="1" w:styleId="58">
    <w:name w:val="del1"/>
    <w:qFormat/>
    <w:uiPriority w:val="99"/>
    <w:rPr>
      <w:vanish/>
      <w:color w:val="auto"/>
      <w:sz w:val="18"/>
      <w:u w:val="single"/>
    </w:rPr>
  </w:style>
  <w:style w:type="character" w:customStyle="1" w:styleId="59">
    <w:name w:val="del2"/>
    <w:qFormat/>
    <w:uiPriority w:val="99"/>
    <w:rPr>
      <w:vanish/>
    </w:rPr>
  </w:style>
  <w:style w:type="character" w:customStyle="1" w:styleId="60">
    <w:name w:val="del3"/>
    <w:qFormat/>
    <w:uiPriority w:val="99"/>
    <w:rPr>
      <w:vanish/>
    </w:rPr>
  </w:style>
  <w:style w:type="paragraph" w:customStyle="1" w:styleId="61">
    <w:name w:val="列出段落2"/>
    <w:basedOn w:val="1"/>
    <w:qFormat/>
    <w:uiPriority w:val="99"/>
    <w:pPr>
      <w:ind w:left="720"/>
    </w:pPr>
  </w:style>
  <w:style w:type="paragraph" w:customStyle="1" w:styleId="62">
    <w:name w:val="_Style 3"/>
    <w:basedOn w:val="1"/>
    <w:qFormat/>
    <w:uiPriority w:val="99"/>
    <w:pPr>
      <w:ind w:firstLine="420" w:firstLineChars="200"/>
    </w:pPr>
  </w:style>
  <w:style w:type="character" w:customStyle="1" w:styleId="63">
    <w:name w:val="标准文本 Char Char"/>
    <w:link w:val="64"/>
    <w:qFormat/>
    <w:locked/>
    <w:uiPriority w:val="99"/>
    <w:rPr>
      <w:kern w:val="2"/>
      <w:sz w:val="24"/>
    </w:rPr>
  </w:style>
  <w:style w:type="paragraph" w:customStyle="1" w:styleId="64">
    <w:name w:val="标准文本"/>
    <w:basedOn w:val="1"/>
    <w:link w:val="63"/>
    <w:qFormat/>
    <w:uiPriority w:val="99"/>
    <w:pPr>
      <w:spacing w:line="360" w:lineRule="auto"/>
      <w:ind w:firstLine="480" w:firstLineChars="200"/>
    </w:pPr>
    <w:rPr>
      <w:rFonts w:ascii="Times New Roman" w:hAnsi="Times New Roman" w:cs="Times New Roman"/>
      <w:sz w:val="24"/>
      <w:szCs w:val="20"/>
    </w:rPr>
  </w:style>
  <w:style w:type="paragraph" w:customStyle="1" w:styleId="65">
    <w:name w:val="List Paragraph1"/>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0"/>
    </w:rPr>
  </w:style>
  <w:style w:type="character" w:customStyle="1" w:styleId="66">
    <w:name w:val="font41"/>
    <w:basedOn w:val="28"/>
    <w:qFormat/>
    <w:uiPriority w:val="0"/>
    <w:rPr>
      <w:rFonts w:hint="eastAsia" w:ascii="宋体" w:hAnsi="宋体" w:eastAsia="宋体" w:cs="宋体"/>
      <w:color w:val="000000"/>
      <w:sz w:val="24"/>
      <w:szCs w:val="24"/>
      <w:u w:val="none"/>
    </w:rPr>
  </w:style>
  <w:style w:type="character" w:customStyle="1" w:styleId="67">
    <w:name w:val="font61"/>
    <w:basedOn w:val="28"/>
    <w:qFormat/>
    <w:uiPriority w:val="0"/>
    <w:rPr>
      <w:rFonts w:hint="eastAsia" w:ascii="宋体" w:hAnsi="宋体" w:eastAsia="宋体" w:cs="宋体"/>
      <w:color w:val="000000"/>
      <w:sz w:val="20"/>
      <w:szCs w:val="20"/>
      <w:u w:val="none"/>
    </w:rPr>
  </w:style>
  <w:style w:type="character" w:customStyle="1" w:styleId="68">
    <w:name w:val="font51"/>
    <w:basedOn w:val="28"/>
    <w:qFormat/>
    <w:uiPriority w:val="0"/>
    <w:rPr>
      <w:rFonts w:hint="default" w:ascii="Times New Roman" w:hAnsi="Times New Roman" w:cs="Times New Roman"/>
      <w:color w:val="000000"/>
      <w:sz w:val="20"/>
      <w:szCs w:val="20"/>
      <w:u w:val="none"/>
    </w:rPr>
  </w:style>
  <w:style w:type="character" w:customStyle="1" w:styleId="69">
    <w:name w:val="font01"/>
    <w:basedOn w:val="28"/>
    <w:qFormat/>
    <w:uiPriority w:val="0"/>
    <w:rPr>
      <w:rFonts w:hint="default" w:ascii="Times New Roman" w:hAnsi="Times New Roman" w:cs="Times New Roman"/>
      <w:color w:val="000000"/>
      <w:sz w:val="24"/>
      <w:szCs w:val="24"/>
      <w:u w:val="none"/>
    </w:rPr>
  </w:style>
  <w:style w:type="character" w:customStyle="1" w:styleId="70">
    <w:name w:val="font21"/>
    <w:basedOn w:val="28"/>
    <w:qFormat/>
    <w:uiPriority w:val="0"/>
    <w:rPr>
      <w:rFonts w:hint="eastAsia" w:ascii="宋体" w:hAnsi="宋体" w:eastAsia="宋体" w:cs="宋体"/>
      <w:color w:val="000000"/>
      <w:sz w:val="24"/>
      <w:szCs w:val="24"/>
      <w:u w:val="none"/>
    </w:rPr>
  </w:style>
  <w:style w:type="character" w:customStyle="1" w:styleId="71">
    <w:name w:val="font91"/>
    <w:basedOn w:val="28"/>
    <w:qFormat/>
    <w:uiPriority w:val="0"/>
    <w:rPr>
      <w:rFonts w:hint="default" w:ascii="Times New Roman" w:hAnsi="Times New Roman" w:cs="Times New Roman"/>
      <w:color w:val="000000"/>
      <w:sz w:val="14"/>
      <w:szCs w:val="14"/>
      <w:u w:val="none"/>
    </w:rPr>
  </w:style>
  <w:style w:type="character" w:customStyle="1" w:styleId="72">
    <w:name w:val="font71"/>
    <w:basedOn w:val="28"/>
    <w:qFormat/>
    <w:uiPriority w:val="0"/>
    <w:rPr>
      <w:rFonts w:hint="default" w:ascii="Times New Roman" w:hAnsi="Times New Roman" w:cs="Times New Roman"/>
      <w:color w:val="000000"/>
      <w:sz w:val="21"/>
      <w:szCs w:val="21"/>
      <w:u w:val="none"/>
    </w:rPr>
  </w:style>
  <w:style w:type="character" w:customStyle="1" w:styleId="73">
    <w:name w:val="font81"/>
    <w:basedOn w:val="28"/>
    <w:qFormat/>
    <w:uiPriority w:val="0"/>
    <w:rPr>
      <w:rFonts w:hint="eastAsia" w:ascii="宋体" w:hAnsi="宋体" w:eastAsia="宋体" w:cs="宋体"/>
      <w:color w:val="000000"/>
      <w:sz w:val="21"/>
      <w:szCs w:val="21"/>
      <w:u w:val="none"/>
    </w:rPr>
  </w:style>
  <w:style w:type="character" w:customStyle="1" w:styleId="74">
    <w:name w:val="font11"/>
    <w:basedOn w:val="28"/>
    <w:qFormat/>
    <w:uiPriority w:val="0"/>
    <w:rPr>
      <w:rFonts w:hint="default" w:ascii="Times New Roman" w:hAnsi="Times New Roman" w:cs="Times New Roman"/>
      <w:color w:val="000000"/>
      <w:sz w:val="20"/>
      <w:szCs w:val="20"/>
      <w:u w:val="none"/>
    </w:rPr>
  </w:style>
  <w:style w:type="character" w:customStyle="1" w:styleId="75">
    <w:name w:val="font31"/>
    <w:basedOn w:val="28"/>
    <w:qFormat/>
    <w:uiPriority w:val="0"/>
    <w:rPr>
      <w:rFonts w:hint="default" w:ascii="Times New Roman" w:hAnsi="Times New Roman" w:cs="Times New Roman"/>
      <w:color w:val="000000"/>
      <w:sz w:val="20"/>
      <w:szCs w:val="20"/>
      <w:u w:val="none"/>
    </w:rPr>
  </w:style>
  <w:style w:type="character" w:customStyle="1" w:styleId="76">
    <w:name w:val="font111"/>
    <w:basedOn w:val="28"/>
    <w:qFormat/>
    <w:uiPriority w:val="0"/>
    <w:rPr>
      <w:rFonts w:hint="eastAsia" w:ascii="宋体" w:hAnsi="宋体" w:eastAsia="宋体" w:cs="宋体"/>
      <w:color w:val="000000"/>
      <w:sz w:val="22"/>
      <w:szCs w:val="22"/>
      <w:u w:val="none"/>
      <w:vertAlign w:val="superscript"/>
    </w:rPr>
  </w:style>
  <w:style w:type="character" w:customStyle="1" w:styleId="77">
    <w:name w:val="font121"/>
    <w:basedOn w:val="28"/>
    <w:qFormat/>
    <w:uiPriority w:val="0"/>
    <w:rPr>
      <w:rFonts w:ascii="BatangChe" w:hAnsi="BatangChe" w:eastAsia="BatangChe" w:cs="BatangChe"/>
      <w:color w:val="000000"/>
      <w:sz w:val="22"/>
      <w:szCs w:val="22"/>
      <w:u w:val="none"/>
    </w:rPr>
  </w:style>
  <w:style w:type="character" w:customStyle="1" w:styleId="78">
    <w:name w:val="font101"/>
    <w:basedOn w:val="28"/>
    <w:qFormat/>
    <w:uiPriority w:val="0"/>
    <w:rPr>
      <w:rFonts w:hint="eastAsia" w:ascii="BatangChe" w:hAnsi="BatangChe" w:eastAsia="BatangChe" w:cs="BatangChe"/>
      <w:color w:val="000000"/>
      <w:sz w:val="22"/>
      <w:szCs w:val="22"/>
      <w:u w:val="none"/>
    </w:rPr>
  </w:style>
  <w:style w:type="paragraph" w:customStyle="1" w:styleId="79">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列出段落3"/>
    <w:basedOn w:val="1"/>
    <w:qFormat/>
    <w:uiPriority w:val="34"/>
    <w:pPr>
      <w:ind w:firstLine="420" w:firstLineChars="200"/>
    </w:pPr>
    <w:rPr>
      <w:rFonts w:cs="Times New Roman"/>
      <w:szCs w:val="22"/>
    </w:rPr>
  </w:style>
  <w:style w:type="character" w:customStyle="1" w:styleId="81">
    <w:name w:val="font161"/>
    <w:basedOn w:val="28"/>
    <w:qFormat/>
    <w:uiPriority w:val="0"/>
    <w:rPr>
      <w:rFonts w:hint="eastAsia" w:ascii="宋体" w:hAnsi="宋体" w:eastAsia="宋体" w:cs="宋体"/>
      <w:b/>
      <w:color w:val="000000"/>
      <w:sz w:val="24"/>
      <w:szCs w:val="24"/>
      <w:u w:val="none"/>
    </w:rPr>
  </w:style>
  <w:style w:type="character" w:customStyle="1" w:styleId="82">
    <w:name w:val="font191"/>
    <w:basedOn w:val="28"/>
    <w:qFormat/>
    <w:uiPriority w:val="0"/>
    <w:rPr>
      <w:rFonts w:hint="default" w:ascii="Times New Roman" w:hAnsi="Times New Roman" w:cs="Times New Roman"/>
      <w:color w:val="000000"/>
      <w:sz w:val="22"/>
      <w:szCs w:val="22"/>
      <w:u w:val="none"/>
    </w:rPr>
  </w:style>
  <w:style w:type="character" w:customStyle="1" w:styleId="83">
    <w:name w:val="font151"/>
    <w:basedOn w:val="28"/>
    <w:qFormat/>
    <w:uiPriority w:val="0"/>
    <w:rPr>
      <w:rFonts w:hint="eastAsia" w:ascii="宋体" w:hAnsi="宋体" w:eastAsia="宋体" w:cs="宋体"/>
      <w:color w:val="000000"/>
      <w:sz w:val="22"/>
      <w:szCs w:val="22"/>
      <w:u w:val="none"/>
    </w:rPr>
  </w:style>
  <w:style w:type="character" w:customStyle="1" w:styleId="84">
    <w:name w:val="font131"/>
    <w:basedOn w:val="28"/>
    <w:qFormat/>
    <w:uiPriority w:val="0"/>
    <w:rPr>
      <w:rFonts w:hint="default" w:ascii="Times New Roman" w:hAnsi="Times New Roman" w:cs="Times New Roman"/>
      <w:color w:val="000000"/>
      <w:sz w:val="20"/>
      <w:szCs w:val="20"/>
      <w:u w:val="none"/>
    </w:rPr>
  </w:style>
  <w:style w:type="character" w:customStyle="1" w:styleId="85">
    <w:name w:val="font201"/>
    <w:basedOn w:val="28"/>
    <w:qFormat/>
    <w:uiPriority w:val="0"/>
    <w:rPr>
      <w:rFonts w:hint="eastAsia" w:ascii="宋体" w:hAnsi="宋体" w:eastAsia="宋体" w:cs="宋体"/>
      <w:color w:val="000000"/>
      <w:sz w:val="20"/>
      <w:szCs w:val="20"/>
      <w:u w:val="none"/>
    </w:rPr>
  </w:style>
  <w:style w:type="character" w:customStyle="1" w:styleId="86">
    <w:name w:val="font171"/>
    <w:basedOn w:val="28"/>
    <w:qFormat/>
    <w:uiPriority w:val="0"/>
    <w:rPr>
      <w:rFonts w:hint="default" w:ascii="Times New Roman" w:hAnsi="Times New Roman" w:cs="Times New Roman"/>
      <w:color w:val="000000"/>
      <w:sz w:val="20"/>
      <w:szCs w:val="20"/>
      <w:u w:val="none"/>
    </w:rPr>
  </w:style>
  <w:style w:type="character" w:customStyle="1" w:styleId="87">
    <w:name w:val="font212"/>
    <w:basedOn w:val="28"/>
    <w:qFormat/>
    <w:uiPriority w:val="0"/>
    <w:rPr>
      <w:rFonts w:hint="eastAsia" w:ascii="宋体" w:hAnsi="宋体" w:eastAsia="宋体" w:cs="宋体"/>
      <w:color w:val="000000"/>
      <w:sz w:val="24"/>
      <w:szCs w:val="24"/>
      <w:u w:val="none"/>
    </w:rPr>
  </w:style>
  <w:style w:type="character" w:customStyle="1" w:styleId="88">
    <w:name w:val="font221"/>
    <w:basedOn w:val="28"/>
    <w:qFormat/>
    <w:uiPriority w:val="0"/>
    <w:rPr>
      <w:rFonts w:hint="eastAsia" w:ascii="宋体" w:hAnsi="宋体" w:eastAsia="宋体" w:cs="宋体"/>
      <w:color w:val="000000"/>
      <w:sz w:val="21"/>
      <w:szCs w:val="21"/>
      <w:u w:val="none"/>
    </w:rPr>
  </w:style>
  <w:style w:type="character" w:customStyle="1" w:styleId="89">
    <w:name w:val="font181"/>
    <w:basedOn w:val="28"/>
    <w:qFormat/>
    <w:uiPriority w:val="0"/>
    <w:rPr>
      <w:rFonts w:hint="default" w:ascii="Times New Roman" w:hAnsi="Times New Roman" w:cs="Times New Roman"/>
      <w:color w:val="000000"/>
      <w:sz w:val="21"/>
      <w:szCs w:val="21"/>
      <w:u w:val="none"/>
    </w:rPr>
  </w:style>
  <w:style w:type="character" w:customStyle="1" w:styleId="90">
    <w:name w:val="font231"/>
    <w:basedOn w:val="28"/>
    <w:qFormat/>
    <w:uiPriority w:val="0"/>
    <w:rPr>
      <w:rFonts w:hint="eastAsia" w:ascii="宋体" w:hAnsi="宋体" w:eastAsia="宋体" w:cs="宋体"/>
      <w:b/>
      <w:color w:val="000000"/>
      <w:sz w:val="20"/>
      <w:szCs w:val="20"/>
      <w:u w:val="none"/>
    </w:rPr>
  </w:style>
  <w:style w:type="paragraph" w:customStyle="1" w:styleId="91">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92">
    <w:name w:val="a"/>
    <w:basedOn w:val="1"/>
    <w:qFormat/>
    <w:uiPriority w:val="0"/>
    <w:pPr>
      <w:spacing w:before="100" w:beforeAutospacing="1" w:after="100" w:afterAutospacing="1"/>
      <w:jc w:val="left"/>
    </w:pPr>
    <w:rPr>
      <w:rFonts w:ascii="宋体" w:hAnsi="宋体" w:cs="宋体"/>
      <w:kern w:val="0"/>
      <w:sz w:val="24"/>
      <w:szCs w:val="24"/>
    </w:rPr>
  </w:style>
  <w:style w:type="character" w:customStyle="1" w:styleId="93">
    <w:name w:val="文档结构图 Char"/>
    <w:basedOn w:val="28"/>
    <w:link w:val="9"/>
    <w:semiHidden/>
    <w:qFormat/>
    <w:uiPriority w:val="99"/>
    <w:rPr>
      <w:rFonts w:ascii="宋体" w:hAnsi="Calibri" w:cs="Calibri"/>
      <w:kern w:val="2"/>
      <w:sz w:val="18"/>
      <w:szCs w:val="18"/>
    </w:rPr>
  </w:style>
  <w:style w:type="paragraph" w:customStyle="1" w:styleId="94">
    <w:name w:val="No Spacing"/>
    <w:qFormat/>
    <w:uiPriority w:val="0"/>
    <w:pPr>
      <w:widowControl w:val="0"/>
      <w:jc w:val="both"/>
    </w:pPr>
    <w:rPr>
      <w:rFonts w:ascii="Calibri" w:hAnsi="Calibri" w:eastAsia="宋体" w:cs="Times New Roman"/>
      <w:lang w:val="en-US" w:eastAsia="zh-CN" w:bidi="ar-SA"/>
    </w:rPr>
  </w:style>
  <w:style w:type="paragraph" w:customStyle="1" w:styleId="95">
    <w:name w:val="Table Paragraph"/>
    <w:basedOn w:val="1"/>
    <w:qFormat/>
    <w:uiPriority w:val="1"/>
  </w:style>
  <w:style w:type="character" w:customStyle="1" w:styleId="96">
    <w:name w:val="cfdate"/>
    <w:basedOn w:val="28"/>
    <w:qFormat/>
    <w:uiPriority w:val="0"/>
    <w:rPr>
      <w:color w:val="333333"/>
      <w:sz w:val="18"/>
      <w:szCs w:val="18"/>
    </w:rPr>
  </w:style>
  <w:style w:type="character" w:customStyle="1" w:styleId="97">
    <w:name w:val="redfilenumber"/>
    <w:basedOn w:val="28"/>
    <w:qFormat/>
    <w:uiPriority w:val="0"/>
    <w:rPr>
      <w:color w:val="BA2636"/>
      <w:sz w:val="18"/>
      <w:szCs w:val="18"/>
    </w:rPr>
  </w:style>
  <w:style w:type="character" w:customStyle="1" w:styleId="98">
    <w:name w:val="gjfg"/>
    <w:basedOn w:val="28"/>
    <w:qFormat/>
    <w:uiPriority w:val="0"/>
  </w:style>
  <w:style w:type="character" w:customStyle="1" w:styleId="99">
    <w:name w:val="displayarti"/>
    <w:basedOn w:val="28"/>
    <w:qFormat/>
    <w:uiPriority w:val="0"/>
    <w:rPr>
      <w:color w:val="FFFFFF"/>
      <w:shd w:val="clear" w:color="auto" w:fill="A00000"/>
    </w:rPr>
  </w:style>
  <w:style w:type="character" w:customStyle="1" w:styleId="100">
    <w:name w:val="redfilefwwh"/>
    <w:basedOn w:val="28"/>
    <w:qFormat/>
    <w:uiPriority w:val="0"/>
    <w:rPr>
      <w:color w:val="BA2636"/>
      <w:sz w:val="18"/>
      <w:szCs w:val="18"/>
    </w:rPr>
  </w:style>
  <w:style w:type="character" w:customStyle="1" w:styleId="101">
    <w:name w:val="qxdate"/>
    <w:basedOn w:val="28"/>
    <w:qFormat/>
    <w:uiPriority w:val="0"/>
    <w:rPr>
      <w:color w:val="333333"/>
      <w:sz w:val="18"/>
      <w:szCs w:val="18"/>
    </w:rPr>
  </w:style>
  <w:style w:type="paragraph" w:customStyle="1" w:styleId="102">
    <w:name w:val="无间隔2"/>
    <w:basedOn w:val="1"/>
    <w:qFormat/>
    <w:uiPriority w:val="0"/>
    <w:pPr>
      <w:widowControl/>
      <w:jc w:val="left"/>
    </w:pPr>
    <w:rPr>
      <w:kern w:val="0"/>
      <w:sz w:val="20"/>
      <w:szCs w:val="20"/>
      <w:lang w:eastAsia="en-US" w:bidi="en-US"/>
    </w:rPr>
  </w:style>
  <w:style w:type="paragraph" w:customStyle="1" w:styleId="103">
    <w:name w:val="列出段落11"/>
    <w:basedOn w:val="1"/>
    <w:qFormat/>
    <w:uiPriority w:val="0"/>
    <w:pPr>
      <w:widowControl/>
      <w:spacing w:line="120" w:lineRule="atLeast"/>
      <w:ind w:firstLine="420" w:firstLineChars="200"/>
      <w:jc w:val="left"/>
    </w:pPr>
    <w:rPr>
      <w:rFonts w:ascii="黑体" w:hAnsi="黑体" w:cs="Monaco"/>
      <w:szCs w:val="22"/>
    </w:rPr>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5">
    <w:name w:val="列表段落1"/>
    <w:basedOn w:val="1"/>
    <w:qFormat/>
    <w:uiPriority w:val="34"/>
    <w:pPr>
      <w:ind w:firstLine="420" w:firstLineChars="200"/>
    </w:pPr>
  </w:style>
  <w:style w:type="paragraph" w:customStyle="1" w:styleId="10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EA496-9B27-481D-938B-C6C9C86CBD18}">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73</Pages>
  <Words>22654</Words>
  <Characters>24487</Characters>
  <Lines>221</Lines>
  <Paragraphs>62</Paragraphs>
  <TotalTime>4</TotalTime>
  <ScaleCrop>false</ScaleCrop>
  <LinksUpToDate>false</LinksUpToDate>
  <CharactersWithSpaces>24889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2022-05-26T01:01:00Z</dcterms:created>
  <dc:creator>Administrator</dc:creator>
  <cp:lastModifiedBy>十五</cp:lastModifiedBy>
  <cp:lastPrinted>2020-06-28T09:16:00Z</cp:lastPrinted>
  <dcterms:modified xsi:type="dcterms:W3CDTF">2025-10-20T09:33:37Z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3415CBA4816347499E0BF614CE99C3DD_13</vt:lpwstr>
  </property>
  <property fmtid="{D5CDD505-2E9C-101B-9397-08002B2CF9AE}" pid="4" name="KSOTemplateDocerSaveRecord">
    <vt:lpwstr>eyJoZGlkIjoiNWM4OWE5Y2QyMDQ2YzZhOGM1ZmExM2QxM2YzZGFiNzAiLCJ1c2VySWQiOiI0NzM2OTcxODIifQ==</vt:lpwstr>
  </property>
</Properties>
</file>