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7EDA3">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一、服务要求</w:t>
      </w:r>
    </w:p>
    <w:p w14:paraId="752508C9">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1、人员条件：</w:t>
      </w:r>
    </w:p>
    <w:p w14:paraId="747AB20B">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（1）全过程造价控制阶段：须配备施工现场驻场人员2名以上，其中：项目负责人1人，须具备一级造价工程师证书；其他人员须具备相关专业背景和工作经验；</w:t>
      </w:r>
    </w:p>
    <w:p w14:paraId="62582444">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（2）结算审计：须配备一级造价工程师2名以上，其中：项目负责人1人，须具备一级造价工程师证书。</w:t>
      </w:r>
    </w:p>
    <w:p w14:paraId="0C53B441">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2、质量要求：</w:t>
      </w:r>
    </w:p>
    <w:p w14:paraId="30E6547F">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严格按照《中华人民共和国建筑法》及财政部、建设部《建设工程价款结算暂行办法》（财建〔2004〕369号）；《建设工程造价咨询规范》GB/T 51095-2015《建设项目工程结算编审规程》（中价协〔2007〕第015号）等相关法律法规及行业标准开展工程审计工作并出具真实、客观、公正的造价审核报告。</w:t>
      </w:r>
    </w:p>
    <w:p w14:paraId="723A9A28">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3、其他要求：</w:t>
      </w:r>
    </w:p>
    <w:p w14:paraId="7DDA43E0">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项目负责人合同执行期间每周现场工作时间不少于五个工作日，现场工作人员必须驻场，驻场人数不少于2人（含2人）；现场工作人员在夜间施工和抢修项目中必须随叫随到；项目负责人未经采购人书面允许擅离岗位，驻场人员未按照要求的人数和时间落实，一经发现立即终止合同，并承担违约责任。</w:t>
      </w:r>
    </w:p>
    <w:p w14:paraId="537803DE">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供应商在入场前应成立审计项目组，根据被审计项目情况做好全过程造价控制工作计划；按照采购人要求做好审计工作日志记录，现场影像、测量、监督资料的留存等工作；每周按时提交审计工作周报，列席项目会议等。</w:t>
      </w:r>
    </w:p>
    <w:p w14:paraId="0A965006">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供应商人员应恪守审计人员职业道德，在执业过程中保证对所获悉的属于甲方及甲方关联方的且无法自公开渠道取得的文件及资料（包括但不限于商业秘密、公司计划、运营活动、财务信息、技术信息、经营信息及其他商业秘密）予以保密。未经采购人同意，供应商不得超出本合同约定的目的和范围使用该商业秘密，不得向任何第三方泄露该商业秘密的全部或部分内容。上述保密义务，在本合同终止或解除之后仍需履行。</w:t>
      </w:r>
    </w:p>
    <w:p w14:paraId="767E32A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（4）被审计项目各方移交的结算资料完备后，在对审核结果无异议的情况下，10个工作日内出具审计报告。审计报告出具时间不能影响项目管理部门的工程款结算，满</w:t>
      </w:r>
      <w:bookmarkStart w:id="0" w:name="_GoBack"/>
      <w:bookmarkEnd w:id="0"/>
      <w:r>
        <w:rPr>
          <w:rFonts w:hint="eastAsia" w:ascii="宋体" w:hAnsi="宋体" w:eastAsia="宋体" w:cs="宋体"/>
          <w:b w:val="0"/>
          <w:bCs/>
          <w:color w:val="auto"/>
          <w:kern w:val="2"/>
          <w:sz w:val="24"/>
          <w:szCs w:val="24"/>
          <w:highlight w:val="none"/>
          <w:lang w:val="en-US" w:eastAsia="zh-CN" w:bidi="ar-SA"/>
        </w:rPr>
        <w:t>足项目管理部门履行《保障中小企业款项支付条例》的要求。</w:t>
      </w:r>
    </w:p>
    <w:p w14:paraId="6AA52AB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1085D"/>
    <w:rsid w:val="48B1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2025-11-12T06:43:00Z</dcterms:created>
  <dc:creator>安安</dc:creator>
  <cp:lastModifiedBy>安安</cp:lastModifiedBy>
  <dcterms:modified xsi:type="dcterms:W3CDTF">2025-11-12T06:44:23Z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C43433C38CB248EE87E4923261300F4B_11</vt:lpwstr>
  </property>
  <property fmtid="{D5CDD505-2E9C-101B-9397-08002B2CF9AE}" pid="4" name="KSOTemplateDocerSaveRecord">
    <vt:lpwstr>eyJoZGlkIjoiN2Q1ZTU0ZDdkN2MxZjY1NWFiOTI3MTM4NjgwY2VkOWYiLCJ1c2VySWQiOiIxMTQ2NDU0OTA0In0=</vt:lpwstr>
  </property>
</Properties>
</file>