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98CC">
      <w:pPr>
        <w:widowControl/>
        <w:shd w:val="clear" w:color="auto" w:fill="auto"/>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0"/>
          <w:sz w:val="24"/>
          <w:szCs w:val="24"/>
          <w:highlight w:val="none"/>
          <w:shd w:val="clear" w:color="auto" w:fill="FFFFFF"/>
          <w:lang w:eastAsia="zh-CN" w:bidi="ar"/>
        </w:rPr>
        <w:t>府谷县粮食和物资储备库信息化平台建设项目</w:t>
      </w:r>
      <w:r>
        <w:rPr>
          <w:rFonts w:hint="eastAsia" w:ascii="宋体" w:hAnsi="宋体" w:cs="宋体"/>
          <w:b/>
          <w:bCs/>
          <w:color w:val="auto"/>
          <w:kern w:val="0"/>
          <w:sz w:val="24"/>
          <w:szCs w:val="24"/>
          <w:highlight w:val="none"/>
          <w:shd w:val="clear" w:color="auto" w:fill="FFFFFF"/>
          <w:lang w:val="en-US" w:eastAsia="zh-CN" w:bidi="ar"/>
        </w:rPr>
        <w:t>澄清文件</w:t>
      </w:r>
    </w:p>
    <w:p w14:paraId="1C3D4D3C">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一、项目基本情况</w:t>
      </w:r>
    </w:p>
    <w:p w14:paraId="1AFB380F">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HJL.ZB-2025-77</w:t>
      </w:r>
    </w:p>
    <w:p w14:paraId="2AD2AFC0">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府谷县粮食和物资储备库信息化平台建设项目</w:t>
      </w:r>
    </w:p>
    <w:p w14:paraId="4EE6DFE9">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0F77F9DE">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2452200.00</w:t>
      </w:r>
      <w:r>
        <w:rPr>
          <w:rFonts w:hint="eastAsia" w:ascii="宋体" w:hAnsi="宋体" w:eastAsia="宋体" w:cs="宋体"/>
          <w:color w:val="auto"/>
          <w:sz w:val="21"/>
          <w:szCs w:val="21"/>
          <w:highlight w:val="none"/>
        </w:rPr>
        <w:t>元</w:t>
      </w:r>
    </w:p>
    <w:p w14:paraId="1B1ACA06">
      <w:pPr>
        <w:pStyle w:val="4"/>
        <w:shd w:val="clear" w:color="auto" w:fill="auto"/>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二、澄清内容</w:t>
      </w:r>
    </w:p>
    <w:p w14:paraId="269EC737">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1、招标公告及招标文件中，</w:t>
      </w:r>
      <w:r>
        <w:rPr>
          <w:rFonts w:hint="default" w:ascii="宋体" w:hAnsi="宋体" w:cs="宋体"/>
          <w:color w:val="auto"/>
          <w:sz w:val="21"/>
          <w:szCs w:val="21"/>
          <w:highlight w:val="none"/>
          <w:lang w:val="en-US" w:eastAsia="zh-CN"/>
        </w:rPr>
        <w:t>投标文件截止时间</w:t>
      </w:r>
      <w:r>
        <w:rPr>
          <w:rFonts w:hint="eastAsia" w:ascii="宋体" w:hAnsi="宋体" w:cs="宋体"/>
          <w:color w:val="auto"/>
          <w:sz w:val="21"/>
          <w:szCs w:val="21"/>
          <w:highlight w:val="none"/>
          <w:lang w:val="en-US" w:eastAsia="zh-CN"/>
        </w:rPr>
        <w:t>由2025年11月18日13时30分变更为2025年11月27日13时30分</w:t>
      </w:r>
    </w:p>
    <w:p w14:paraId="1344CB31">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2、招标文件第四部分采购内容及要求第五项、会议中心大屏展示与会议系统中室内全彩LED显示屏由：</w:t>
      </w:r>
    </w:p>
    <w:p w14:paraId="3E5392DE">
      <w:pPr>
        <w:pStyle w:val="4"/>
        <w:shd w:val="clear" w:color="auto" w:fill="auto"/>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1、屏体尺寸:长≥6600mm，高度≥3037.5mm；</w:t>
      </w:r>
    </w:p>
    <w:p w14:paraId="00B7AF82">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2、像素间距：≤1.25mm；像素密度：≥640000dots/m²；</w:t>
      </w:r>
    </w:p>
    <w:p w14:paraId="5907FD1D">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3、产品应采用COB 3in1封装</w:t>
      </w:r>
    </w:p>
    <w:p w14:paraId="5133DF76">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4、产品应采用全倒装工艺，R/G/B晶片全部为倒装，所有晶片与PCB基板不使用任何材质的线材连接</w:t>
      </w:r>
    </w:p>
    <w:p w14:paraId="345ED907">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5、产品应具备较好的对比度，最高对比度应≥12000：1，</w:t>
      </w:r>
    </w:p>
    <w:p w14:paraId="428CE1C4">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6、产品应具备较好的亮度均匀性，亮度均匀性应≥98%（按T/SLDA 01-2020）</w:t>
      </w:r>
    </w:p>
    <w:p w14:paraId="7A38E7DB">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7、产品应能展现丰富的色域，NTSC色域覆盖率应≥110% NTSC（按T/SLDA 01-2020）</w:t>
      </w:r>
    </w:p>
    <w:p w14:paraId="7E0FF50D">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8、产品应具备较高的刷新率，刷新率≥3840Hz</w:t>
      </w:r>
    </w:p>
    <w:p w14:paraId="4B29549B">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9、产品应严格控制像素中心距偏差，像素中心距偏差值应≤0.1</w:t>
      </w:r>
    </w:p>
    <w:p w14:paraId="011FD94C">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10、产品应具备较好的色度均匀性，色度均匀性应在± 0.002Cx,Cy之间</w:t>
      </w:r>
    </w:p>
    <w:p w14:paraId="4AD3EA18">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11、产品在正常运行时不应有较大噪声，工作噪声（距离1米） 应≤10db</w:t>
      </w:r>
    </w:p>
    <w:p w14:paraId="29167AF0">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变更为：</w:t>
      </w:r>
    </w:p>
    <w:p w14:paraId="3D9635ED">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1、像素间距：≤1.25mm；像素密度：≥640000dots/m²；</w:t>
      </w:r>
    </w:p>
    <w:p w14:paraId="2F2F5FCD">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2、产品应采用COB 3in1封装</w:t>
      </w:r>
    </w:p>
    <w:p w14:paraId="2F751492">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3、产品应采用全倒装工艺，R/G/B晶片全部为倒装，所有晶片与PCB基板不使用任何材质的线材连接</w:t>
      </w:r>
    </w:p>
    <w:p w14:paraId="1E0D2F7D">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4、产品应具备较好的对比度，最高对比度应≥12000：1</w:t>
      </w:r>
    </w:p>
    <w:p w14:paraId="4CE211C2">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5、产品应具备较好的亮度均匀性，亮度均匀性应≥98%（按T/SLDA 01-2020）</w:t>
      </w:r>
    </w:p>
    <w:p w14:paraId="4C00B539">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6、产品应能展现丰富的色域，NTSC色域覆盖率应≥110% NTSC（按T/SLDA 01-2020）</w:t>
      </w:r>
    </w:p>
    <w:p w14:paraId="42AB4B16">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7、产品应具备较高的刷新率，刷新率≥3840Hz</w:t>
      </w:r>
    </w:p>
    <w:p w14:paraId="0AEF1879">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8、产品应严格控制像素中心距偏差，像素中心距偏差值应≤0.1</w:t>
      </w:r>
    </w:p>
    <w:p w14:paraId="33426583">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9、产品应具备较好的色度均匀性，色度均匀性应在± 0.002Cx,Cy之间</w:t>
      </w:r>
    </w:p>
    <w:p w14:paraId="3C4F9B9D">
      <w:pPr>
        <w:pStyle w:val="4"/>
        <w:shd w:val="clear" w:color="auto" w:fill="auto"/>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10、产品在正常运行时不应有较大噪声，工作噪声（距离1米） 应≤10db</w:t>
      </w:r>
    </w:p>
    <w:p w14:paraId="66065515">
      <w:pPr>
        <w:pStyle w:val="4"/>
        <w:shd w:val="clear" w:color="auto" w:fill="auto"/>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其他内容均不变。</w:t>
      </w:r>
    </w:p>
    <w:p w14:paraId="69BFD41A">
      <w:pPr>
        <w:pStyle w:val="4"/>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、其他补充事宜</w:t>
      </w:r>
    </w:p>
    <w:p w14:paraId="2510F964">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1CE88F40">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28C28EC0">
      <w:pPr>
        <w:pStyle w:val="4"/>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w:t>
      </w:r>
      <w:r>
        <w:rPr>
          <w:rFonts w:hint="eastAsia" w:ascii="宋体" w:hAnsi="宋体"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楼交易中心窗口办理或西安市高新三路信息港大厦一楼办事大厅，咨询电话0912-3452148、029-88661241或4006-369-888（陕西CA联系电话）。</w:t>
      </w:r>
    </w:p>
    <w:p w14:paraId="572122BB">
      <w:pPr>
        <w:pStyle w:val="4"/>
        <w:shd w:val="clear" w:color="auto" w:fill="auto"/>
        <w:spacing w:line="360" w:lineRule="auto"/>
        <w:jc w:val="both"/>
        <w:outlineLvl w:val="3"/>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、对本次招标提出询问，请按以下方式联系。</w:t>
      </w:r>
    </w:p>
    <w:p w14:paraId="69621C0D">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bookmarkStart w:id="0" w:name="_GoBack"/>
      <w:bookmarkEnd w:id="0"/>
    </w:p>
    <w:p w14:paraId="7E2D51B6">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府谷县粮食和物资收储中心</w:t>
      </w:r>
    </w:p>
    <w:p w14:paraId="6D2B8B8E">
      <w:pPr>
        <w:pStyle w:val="4"/>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地址：陕西省榆林市府谷县</w:t>
      </w:r>
      <w:r>
        <w:rPr>
          <w:rFonts w:hint="eastAsia" w:ascii="宋体" w:hAnsi="宋体" w:cs="宋体"/>
          <w:color w:val="auto"/>
          <w:sz w:val="21"/>
          <w:szCs w:val="21"/>
          <w:highlight w:val="none"/>
          <w:lang w:val="en-US" w:eastAsia="zh-CN"/>
        </w:rPr>
        <w:t>粮站坡</w:t>
      </w:r>
    </w:p>
    <w:p w14:paraId="0E1D9EE4">
      <w:pPr>
        <w:pStyle w:val="4"/>
        <w:shd w:val="clear" w:color="auto" w:fill="auto"/>
        <w:spacing w:line="360" w:lineRule="auto"/>
        <w:outlineLvl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13038940906</w:t>
      </w:r>
    </w:p>
    <w:p w14:paraId="34D2AB3B">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481CB2B8">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华建联（陕西）招标代理有限公司</w:t>
      </w:r>
    </w:p>
    <w:p w14:paraId="113B14D4">
      <w:pPr>
        <w:pStyle w:val="4"/>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陕西省府谷县新区高家湾世纪花园三楼</w:t>
      </w:r>
    </w:p>
    <w:p w14:paraId="45907E6E">
      <w:pPr>
        <w:pStyle w:val="4"/>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17629122091</w:t>
      </w:r>
    </w:p>
    <w:p w14:paraId="78C79722">
      <w:pPr>
        <w:pStyle w:val="4"/>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50C80CCD">
      <w:pPr>
        <w:pStyle w:val="4"/>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郝</w:t>
      </w:r>
      <w:r>
        <w:rPr>
          <w:rFonts w:hint="eastAsia" w:ascii="宋体" w:hAnsi="宋体" w:eastAsia="宋体" w:cs="宋体"/>
          <w:color w:val="auto"/>
          <w:sz w:val="21"/>
          <w:szCs w:val="21"/>
          <w:highlight w:val="none"/>
        </w:rPr>
        <w:t>工</w:t>
      </w:r>
    </w:p>
    <w:p w14:paraId="6E321CAA">
      <w:pPr>
        <w:pStyle w:val="4"/>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17629122091</w:t>
      </w:r>
    </w:p>
    <w:p w14:paraId="39F204E2">
      <w:pPr>
        <w:pStyle w:val="4"/>
        <w:shd w:val="clear" w:color="auto" w:fill="auto"/>
        <w:spacing w:line="360" w:lineRule="auto"/>
        <w:rPr>
          <w:rFonts w:hint="eastAsia" w:ascii="宋体" w:hAnsi="宋体" w:eastAsia="宋体" w:cs="宋体"/>
          <w:color w:val="auto"/>
          <w:sz w:val="21"/>
          <w:szCs w:val="21"/>
          <w:highlight w:val="none"/>
        </w:rPr>
      </w:pPr>
    </w:p>
    <w:p w14:paraId="4888B70D">
      <w:pPr>
        <w:jc w:val="right"/>
      </w:pPr>
      <w:r>
        <w:rPr>
          <w:rFonts w:hint="eastAsia" w:ascii="宋体" w:hAnsi="宋体" w:cs="宋体"/>
          <w:color w:val="auto"/>
          <w:sz w:val="21"/>
          <w:szCs w:val="21"/>
          <w:highlight w:val="none"/>
          <w:lang w:eastAsia="zh-CN"/>
        </w:rPr>
        <w:t>华建联（陕西）招标代理有限公司</w:t>
      </w:r>
      <w:r>
        <w:rPr>
          <w:rFonts w:hint="eastAsia" w:ascii="宋体" w:hAnsi="宋体" w:eastAsia="宋体" w:cs="宋体"/>
          <w:color w:val="auto"/>
          <w:sz w:val="21"/>
          <w:szCs w:val="21"/>
          <w:highlight w:val="none"/>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025C0"/>
    <w:rsid w:val="08ED1D35"/>
    <w:rsid w:val="45D02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2025-11-12T07:58:00Z</dcterms:created>
  <dc:creator>Administrator</dc:creator>
  <cp:lastModifiedBy>Administrator</cp:lastModifiedBy>
  <dcterms:modified xsi:type="dcterms:W3CDTF">2025-11-12T08:12:02Z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36A12EB7427248E88B3E38C58C2148B3_11</vt:lpwstr>
  </property>
  <property fmtid="{D5CDD505-2E9C-101B-9397-08002B2CF9AE}" pid="4" name="KSOTemplateDocerSaveRecord">
    <vt:lpwstr>eyJoZGlkIjoiYjc5MDY2YmNmYThjMmU5ZTllNThmOTA5ZWMzMjRkMmQiLCJ1c2VySWQiOiIzNDg4MTYyNzAifQ==</vt:lpwstr>
  </property>
</Properties>
</file>