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A869D4">
      <w:pPr>
        <w:adjustRightInd w:val="0"/>
        <w:snapToGrid w:val="0"/>
        <w:spacing w:line="360" w:lineRule="auto"/>
        <w:ind w:firstLine="803" w:firstLineChars="20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0"/>
          <w:szCs w:val="40"/>
        </w:rPr>
        <w:t>西安市精神卫生中心xxxxxxxx项目合同</w:t>
      </w:r>
    </w:p>
    <w:p w14:paraId="5CB1C295">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甲方：西安市精神卫生中心</w:t>
      </w:r>
    </w:p>
    <w:p w14:paraId="39ACFC5F">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乙方： </w:t>
      </w:r>
    </w:p>
    <w:p w14:paraId="273E22A6">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依据《中华人民共和国政府采购法》、《中华人民共和国招标投标法》、《中华人民共和国民法典》以及该项目的招标文件、成交供应商应标文件正本和澄清表（函）、中标通知书，经甲、乙双方协商，达成如下条款。</w:t>
      </w:r>
    </w:p>
    <w:p w14:paraId="5BB00552">
      <w:pPr>
        <w:tabs>
          <w:tab w:val="left" w:pos="480"/>
        </w:tabs>
        <w:spacing w:line="360" w:lineRule="auto"/>
        <w:ind w:firstLine="482" w:firstLineChars="200"/>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一、合同标的物内容及数量</w:t>
      </w:r>
      <w:r>
        <w:rPr>
          <w:rFonts w:hint="eastAsia" w:asciiTheme="majorEastAsia" w:hAnsiTheme="majorEastAsia" w:eastAsiaTheme="majorEastAsia" w:cstheme="majorEastAsia"/>
          <w:sz w:val="24"/>
        </w:rPr>
        <w:t>（以投标响应文件正本和澄清表〈函〉为准）</w:t>
      </w:r>
    </w:p>
    <w:tbl>
      <w:tblPr>
        <w:tblStyle w:val="5"/>
        <w:tblW w:w="8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260"/>
        <w:gridCol w:w="2268"/>
        <w:gridCol w:w="1134"/>
        <w:gridCol w:w="1134"/>
        <w:gridCol w:w="1091"/>
      </w:tblGrid>
      <w:tr w14:paraId="303C1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vAlign w:val="center"/>
          </w:tcPr>
          <w:p w14:paraId="3665D0FE">
            <w:pPr>
              <w:tabs>
                <w:tab w:val="left" w:pos="480"/>
              </w:tabs>
              <w:spacing w:line="360" w:lineRule="auto"/>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序号</w:t>
            </w:r>
          </w:p>
        </w:tc>
        <w:tc>
          <w:tcPr>
            <w:tcW w:w="2260" w:type="dxa"/>
            <w:tcBorders>
              <w:top w:val="single" w:color="auto" w:sz="4" w:space="0"/>
              <w:left w:val="single" w:color="auto" w:sz="4" w:space="0"/>
              <w:bottom w:val="single" w:color="auto" w:sz="4" w:space="0"/>
              <w:right w:val="single" w:color="auto" w:sz="4" w:space="0"/>
            </w:tcBorders>
            <w:vAlign w:val="center"/>
          </w:tcPr>
          <w:p w14:paraId="0E4768F5">
            <w:pPr>
              <w:tabs>
                <w:tab w:val="left" w:pos="480"/>
              </w:tabs>
              <w:spacing w:line="360" w:lineRule="auto"/>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货物名称</w:t>
            </w:r>
          </w:p>
        </w:tc>
        <w:tc>
          <w:tcPr>
            <w:tcW w:w="2268" w:type="dxa"/>
            <w:tcBorders>
              <w:top w:val="single" w:color="auto" w:sz="4" w:space="0"/>
              <w:left w:val="single" w:color="auto" w:sz="4" w:space="0"/>
              <w:bottom w:val="single" w:color="auto" w:sz="4" w:space="0"/>
              <w:right w:val="single" w:color="auto" w:sz="4" w:space="0"/>
            </w:tcBorders>
            <w:vAlign w:val="center"/>
          </w:tcPr>
          <w:p w14:paraId="7D07B242">
            <w:pPr>
              <w:tabs>
                <w:tab w:val="left" w:pos="480"/>
              </w:tabs>
              <w:spacing w:line="360" w:lineRule="auto"/>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规格型号</w:t>
            </w:r>
          </w:p>
        </w:tc>
        <w:tc>
          <w:tcPr>
            <w:tcW w:w="1134" w:type="dxa"/>
            <w:tcBorders>
              <w:top w:val="single" w:color="auto" w:sz="4" w:space="0"/>
              <w:left w:val="single" w:color="auto" w:sz="4" w:space="0"/>
              <w:bottom w:val="single" w:color="auto" w:sz="4" w:space="0"/>
              <w:right w:val="single" w:color="auto" w:sz="4" w:space="0"/>
            </w:tcBorders>
            <w:vAlign w:val="center"/>
          </w:tcPr>
          <w:p w14:paraId="78B52E50">
            <w:pPr>
              <w:tabs>
                <w:tab w:val="left" w:pos="480"/>
              </w:tabs>
              <w:spacing w:line="360" w:lineRule="auto"/>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数量</w:t>
            </w:r>
          </w:p>
        </w:tc>
        <w:tc>
          <w:tcPr>
            <w:tcW w:w="1134" w:type="dxa"/>
            <w:tcBorders>
              <w:top w:val="single" w:color="auto" w:sz="4" w:space="0"/>
              <w:left w:val="single" w:color="auto" w:sz="4" w:space="0"/>
              <w:bottom w:val="single" w:color="auto" w:sz="4" w:space="0"/>
              <w:right w:val="single" w:color="auto" w:sz="4" w:space="0"/>
            </w:tcBorders>
            <w:vAlign w:val="center"/>
          </w:tcPr>
          <w:p w14:paraId="6E8E4A38">
            <w:pPr>
              <w:tabs>
                <w:tab w:val="left" w:pos="480"/>
              </w:tabs>
              <w:spacing w:line="360" w:lineRule="auto"/>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产地</w:t>
            </w:r>
          </w:p>
        </w:tc>
        <w:tc>
          <w:tcPr>
            <w:tcW w:w="1091" w:type="dxa"/>
            <w:tcBorders>
              <w:top w:val="single" w:color="auto" w:sz="4" w:space="0"/>
              <w:left w:val="single" w:color="auto" w:sz="4" w:space="0"/>
              <w:bottom w:val="single" w:color="auto" w:sz="4" w:space="0"/>
              <w:right w:val="single" w:color="auto" w:sz="4" w:space="0"/>
            </w:tcBorders>
          </w:tcPr>
          <w:p w14:paraId="691C8634">
            <w:pPr>
              <w:tabs>
                <w:tab w:val="left" w:pos="480"/>
              </w:tabs>
              <w:spacing w:line="360" w:lineRule="auto"/>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价格</w:t>
            </w:r>
          </w:p>
        </w:tc>
      </w:tr>
      <w:tr w14:paraId="1F777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14:paraId="584F5582">
            <w:pPr>
              <w:tabs>
                <w:tab w:val="left" w:pos="480"/>
              </w:tabs>
              <w:spacing w:line="360" w:lineRule="auto"/>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w:t>
            </w:r>
          </w:p>
        </w:tc>
        <w:tc>
          <w:tcPr>
            <w:tcW w:w="2260" w:type="dxa"/>
            <w:tcBorders>
              <w:top w:val="single" w:color="auto" w:sz="4" w:space="0"/>
              <w:left w:val="single" w:color="auto" w:sz="4" w:space="0"/>
              <w:bottom w:val="single" w:color="auto" w:sz="4" w:space="0"/>
              <w:right w:val="single" w:color="auto" w:sz="4" w:space="0"/>
            </w:tcBorders>
            <w:vAlign w:val="center"/>
          </w:tcPr>
          <w:p w14:paraId="4C935FF9">
            <w:pPr>
              <w:spacing w:line="360" w:lineRule="auto"/>
              <w:jc w:val="center"/>
              <w:rPr>
                <w:rFonts w:hint="eastAsia" w:asciiTheme="majorEastAsia" w:hAnsiTheme="majorEastAsia" w:eastAsiaTheme="majorEastAsia" w:cstheme="majorEastAsia"/>
                <w:sz w:val="24"/>
              </w:rPr>
            </w:pPr>
          </w:p>
        </w:tc>
        <w:tc>
          <w:tcPr>
            <w:tcW w:w="2268" w:type="dxa"/>
            <w:tcBorders>
              <w:top w:val="single" w:color="auto" w:sz="4" w:space="0"/>
              <w:left w:val="single" w:color="auto" w:sz="4" w:space="0"/>
              <w:bottom w:val="single" w:color="auto" w:sz="4" w:space="0"/>
              <w:right w:val="single" w:color="auto" w:sz="4" w:space="0"/>
            </w:tcBorders>
            <w:vAlign w:val="center"/>
          </w:tcPr>
          <w:p w14:paraId="649FC7C2">
            <w:pPr>
              <w:spacing w:line="360" w:lineRule="auto"/>
              <w:jc w:val="center"/>
              <w:rPr>
                <w:rFonts w:hint="eastAsia" w:asciiTheme="majorEastAsia" w:hAnsiTheme="majorEastAsia" w:eastAsiaTheme="majorEastAsia" w:cstheme="majorEastAsia"/>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1BA00527">
            <w:pPr>
              <w:spacing w:line="360" w:lineRule="auto"/>
              <w:jc w:val="center"/>
              <w:rPr>
                <w:rFonts w:hint="eastAsia" w:asciiTheme="majorEastAsia" w:hAnsiTheme="majorEastAsia" w:eastAsiaTheme="majorEastAsia" w:cstheme="majorEastAsia"/>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469F37F9">
            <w:pPr>
              <w:spacing w:line="360" w:lineRule="auto"/>
              <w:jc w:val="center"/>
              <w:rPr>
                <w:rFonts w:hint="eastAsia" w:asciiTheme="majorEastAsia" w:hAnsiTheme="majorEastAsia" w:eastAsiaTheme="majorEastAsia" w:cstheme="majorEastAsia"/>
                <w:sz w:val="24"/>
              </w:rPr>
            </w:pPr>
          </w:p>
        </w:tc>
        <w:tc>
          <w:tcPr>
            <w:tcW w:w="1091" w:type="dxa"/>
            <w:tcBorders>
              <w:top w:val="single" w:color="auto" w:sz="4" w:space="0"/>
              <w:left w:val="single" w:color="auto" w:sz="4" w:space="0"/>
              <w:bottom w:val="single" w:color="auto" w:sz="4" w:space="0"/>
              <w:right w:val="single" w:color="auto" w:sz="4" w:space="0"/>
            </w:tcBorders>
          </w:tcPr>
          <w:p w14:paraId="7542CEEE">
            <w:pPr>
              <w:tabs>
                <w:tab w:val="left" w:pos="480"/>
              </w:tabs>
              <w:spacing w:line="360" w:lineRule="auto"/>
              <w:jc w:val="center"/>
              <w:rPr>
                <w:rFonts w:hint="eastAsia" w:asciiTheme="majorEastAsia" w:hAnsiTheme="majorEastAsia" w:eastAsiaTheme="majorEastAsia" w:cstheme="majorEastAsia"/>
                <w:sz w:val="24"/>
              </w:rPr>
            </w:pPr>
          </w:p>
        </w:tc>
      </w:tr>
      <w:tr w14:paraId="1CED2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vAlign w:val="center"/>
          </w:tcPr>
          <w:p w14:paraId="5EAC57F4">
            <w:pPr>
              <w:tabs>
                <w:tab w:val="left" w:pos="480"/>
              </w:tabs>
              <w:spacing w:line="360" w:lineRule="auto"/>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w:t>
            </w:r>
          </w:p>
        </w:tc>
        <w:tc>
          <w:tcPr>
            <w:tcW w:w="2260" w:type="dxa"/>
            <w:tcBorders>
              <w:top w:val="single" w:color="auto" w:sz="4" w:space="0"/>
              <w:left w:val="single" w:color="auto" w:sz="4" w:space="0"/>
              <w:bottom w:val="single" w:color="auto" w:sz="4" w:space="0"/>
              <w:right w:val="single" w:color="auto" w:sz="4" w:space="0"/>
            </w:tcBorders>
            <w:vAlign w:val="center"/>
          </w:tcPr>
          <w:p w14:paraId="513B9348">
            <w:pPr>
              <w:spacing w:line="360" w:lineRule="auto"/>
              <w:jc w:val="center"/>
              <w:rPr>
                <w:rFonts w:hint="eastAsia" w:asciiTheme="majorEastAsia" w:hAnsiTheme="majorEastAsia" w:eastAsiaTheme="majorEastAsia" w:cstheme="majorEastAsia"/>
                <w:sz w:val="24"/>
              </w:rPr>
            </w:pPr>
          </w:p>
        </w:tc>
        <w:tc>
          <w:tcPr>
            <w:tcW w:w="2268" w:type="dxa"/>
            <w:tcBorders>
              <w:top w:val="single" w:color="auto" w:sz="4" w:space="0"/>
              <w:left w:val="single" w:color="auto" w:sz="4" w:space="0"/>
              <w:bottom w:val="single" w:color="auto" w:sz="4" w:space="0"/>
              <w:right w:val="single" w:color="auto" w:sz="4" w:space="0"/>
            </w:tcBorders>
            <w:vAlign w:val="center"/>
          </w:tcPr>
          <w:p w14:paraId="3971F062">
            <w:pPr>
              <w:spacing w:line="360" w:lineRule="auto"/>
              <w:jc w:val="center"/>
              <w:rPr>
                <w:rFonts w:hint="eastAsia" w:asciiTheme="majorEastAsia" w:hAnsiTheme="majorEastAsia" w:eastAsiaTheme="majorEastAsia" w:cstheme="majorEastAsia"/>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E259803">
            <w:pPr>
              <w:spacing w:line="360" w:lineRule="auto"/>
              <w:jc w:val="center"/>
              <w:rPr>
                <w:rFonts w:hint="eastAsia" w:asciiTheme="majorEastAsia" w:hAnsiTheme="majorEastAsia" w:eastAsiaTheme="majorEastAsia" w:cstheme="majorEastAsia"/>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1F9BA6C0">
            <w:pPr>
              <w:spacing w:line="360" w:lineRule="auto"/>
              <w:jc w:val="center"/>
              <w:rPr>
                <w:rFonts w:hint="eastAsia" w:asciiTheme="majorEastAsia" w:hAnsiTheme="majorEastAsia" w:eastAsiaTheme="majorEastAsia" w:cstheme="majorEastAsia"/>
                <w:sz w:val="24"/>
              </w:rPr>
            </w:pPr>
          </w:p>
        </w:tc>
        <w:tc>
          <w:tcPr>
            <w:tcW w:w="1091" w:type="dxa"/>
            <w:tcBorders>
              <w:top w:val="single" w:color="auto" w:sz="4" w:space="0"/>
              <w:left w:val="single" w:color="auto" w:sz="4" w:space="0"/>
              <w:bottom w:val="single" w:color="auto" w:sz="4" w:space="0"/>
              <w:right w:val="single" w:color="auto" w:sz="4" w:space="0"/>
            </w:tcBorders>
          </w:tcPr>
          <w:p w14:paraId="4B7D5C94">
            <w:pPr>
              <w:tabs>
                <w:tab w:val="left" w:pos="480"/>
              </w:tabs>
              <w:spacing w:line="360" w:lineRule="auto"/>
              <w:jc w:val="center"/>
              <w:rPr>
                <w:rFonts w:hint="eastAsia" w:asciiTheme="majorEastAsia" w:hAnsiTheme="majorEastAsia" w:eastAsiaTheme="majorEastAsia" w:cstheme="majorEastAsia"/>
                <w:sz w:val="24"/>
              </w:rPr>
            </w:pPr>
          </w:p>
        </w:tc>
      </w:tr>
      <w:tr w14:paraId="68AB6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vAlign w:val="center"/>
          </w:tcPr>
          <w:p w14:paraId="0F8B2771">
            <w:pPr>
              <w:tabs>
                <w:tab w:val="left" w:pos="480"/>
              </w:tabs>
              <w:spacing w:line="360" w:lineRule="auto"/>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3</w:t>
            </w:r>
          </w:p>
        </w:tc>
        <w:tc>
          <w:tcPr>
            <w:tcW w:w="2260" w:type="dxa"/>
            <w:tcBorders>
              <w:top w:val="single" w:color="auto" w:sz="4" w:space="0"/>
              <w:left w:val="single" w:color="auto" w:sz="4" w:space="0"/>
              <w:bottom w:val="single" w:color="auto" w:sz="4" w:space="0"/>
              <w:right w:val="single" w:color="auto" w:sz="4" w:space="0"/>
            </w:tcBorders>
            <w:vAlign w:val="center"/>
          </w:tcPr>
          <w:p w14:paraId="55EB62E2">
            <w:pPr>
              <w:spacing w:line="360" w:lineRule="auto"/>
              <w:jc w:val="center"/>
              <w:rPr>
                <w:rFonts w:hint="eastAsia" w:asciiTheme="majorEastAsia" w:hAnsiTheme="majorEastAsia" w:eastAsiaTheme="majorEastAsia" w:cstheme="majorEastAsia"/>
                <w:sz w:val="24"/>
              </w:rPr>
            </w:pPr>
          </w:p>
        </w:tc>
        <w:tc>
          <w:tcPr>
            <w:tcW w:w="2268" w:type="dxa"/>
            <w:tcBorders>
              <w:top w:val="single" w:color="auto" w:sz="4" w:space="0"/>
              <w:left w:val="single" w:color="auto" w:sz="4" w:space="0"/>
              <w:bottom w:val="single" w:color="auto" w:sz="4" w:space="0"/>
              <w:right w:val="single" w:color="auto" w:sz="4" w:space="0"/>
            </w:tcBorders>
            <w:vAlign w:val="center"/>
          </w:tcPr>
          <w:p w14:paraId="68917E02">
            <w:pPr>
              <w:spacing w:line="360" w:lineRule="auto"/>
              <w:jc w:val="center"/>
              <w:rPr>
                <w:rFonts w:hint="eastAsia" w:asciiTheme="majorEastAsia" w:hAnsiTheme="majorEastAsia" w:eastAsiaTheme="majorEastAsia" w:cstheme="majorEastAsia"/>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E34A9EA">
            <w:pPr>
              <w:spacing w:line="360" w:lineRule="auto"/>
              <w:jc w:val="center"/>
              <w:rPr>
                <w:rFonts w:hint="eastAsia" w:asciiTheme="majorEastAsia" w:hAnsiTheme="majorEastAsia" w:eastAsiaTheme="majorEastAsia" w:cstheme="majorEastAsia"/>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E54689B">
            <w:pPr>
              <w:spacing w:line="360" w:lineRule="auto"/>
              <w:jc w:val="center"/>
              <w:rPr>
                <w:rFonts w:hint="eastAsia" w:asciiTheme="majorEastAsia" w:hAnsiTheme="majorEastAsia" w:eastAsiaTheme="majorEastAsia" w:cstheme="majorEastAsia"/>
                <w:sz w:val="24"/>
              </w:rPr>
            </w:pPr>
          </w:p>
        </w:tc>
        <w:tc>
          <w:tcPr>
            <w:tcW w:w="1091" w:type="dxa"/>
            <w:tcBorders>
              <w:top w:val="single" w:color="auto" w:sz="4" w:space="0"/>
              <w:left w:val="single" w:color="auto" w:sz="4" w:space="0"/>
              <w:bottom w:val="single" w:color="auto" w:sz="4" w:space="0"/>
              <w:right w:val="single" w:color="auto" w:sz="4" w:space="0"/>
            </w:tcBorders>
          </w:tcPr>
          <w:p w14:paraId="4C2DF488">
            <w:pPr>
              <w:tabs>
                <w:tab w:val="left" w:pos="480"/>
              </w:tabs>
              <w:spacing w:line="360" w:lineRule="auto"/>
              <w:jc w:val="center"/>
              <w:rPr>
                <w:rFonts w:hint="eastAsia" w:asciiTheme="majorEastAsia" w:hAnsiTheme="majorEastAsia" w:eastAsiaTheme="majorEastAsia" w:cstheme="majorEastAsia"/>
                <w:sz w:val="24"/>
              </w:rPr>
            </w:pPr>
          </w:p>
        </w:tc>
      </w:tr>
      <w:tr w14:paraId="7AF86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vAlign w:val="center"/>
          </w:tcPr>
          <w:p w14:paraId="65F2DC87">
            <w:pPr>
              <w:tabs>
                <w:tab w:val="left" w:pos="480"/>
              </w:tabs>
              <w:spacing w:line="360" w:lineRule="auto"/>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说明</w:t>
            </w:r>
          </w:p>
        </w:tc>
        <w:tc>
          <w:tcPr>
            <w:tcW w:w="7887" w:type="dxa"/>
            <w:gridSpan w:val="5"/>
            <w:tcBorders>
              <w:top w:val="single" w:color="auto" w:sz="4" w:space="0"/>
              <w:left w:val="single" w:color="auto" w:sz="4" w:space="0"/>
              <w:bottom w:val="single" w:color="auto" w:sz="4" w:space="0"/>
              <w:right w:val="single" w:color="auto" w:sz="4" w:space="0"/>
            </w:tcBorders>
            <w:vAlign w:val="center"/>
          </w:tcPr>
          <w:p w14:paraId="2119BCC8">
            <w:pPr>
              <w:tabs>
                <w:tab w:val="left" w:pos="480"/>
              </w:tabs>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配套设备、资料按照乙方响应文件承诺执行。</w:t>
            </w:r>
          </w:p>
        </w:tc>
      </w:tr>
    </w:tbl>
    <w:p w14:paraId="0CE8217F">
      <w:pPr>
        <w:tabs>
          <w:tab w:val="left" w:pos="480"/>
        </w:tabs>
        <w:spacing w:line="360" w:lineRule="auto"/>
        <w:ind w:firstLine="472" w:firstLineChars="196"/>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二、合同价款</w:t>
      </w:r>
    </w:p>
    <w:p w14:paraId="532DD833">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（一）合同总价款为人民币（大写）</w:t>
      </w:r>
      <w:r>
        <w:rPr>
          <w:rFonts w:hint="eastAsia" w:asciiTheme="majorEastAsia" w:hAnsiTheme="majorEastAsia" w:eastAsiaTheme="majorEastAsia" w:cstheme="majorEastAsia"/>
          <w:sz w:val="24"/>
          <w:u w:val="single"/>
        </w:rPr>
        <w:t xml:space="preserve"> xxxx</w:t>
      </w:r>
      <w:r>
        <w:rPr>
          <w:rFonts w:hint="eastAsia" w:asciiTheme="majorEastAsia" w:hAnsiTheme="majorEastAsia" w:eastAsiaTheme="majorEastAsia" w:cstheme="majorEastAsia"/>
          <w:sz w:val="24"/>
        </w:rPr>
        <w:t>元整。</w:t>
      </w:r>
    </w:p>
    <w:p w14:paraId="60C359D5">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（二）合同总价包括：货物价款(含通常配备的备品备件、易损件）、人工费、运杂费（含保险费）、验收费、售后服务、利润、风险、税金及在项目实施过程中所发生的所有费用。</w:t>
      </w:r>
    </w:p>
    <w:p w14:paraId="0DBF3720">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（三）合同总价一次性包死，不受市场价格变化因素的影响。</w:t>
      </w:r>
    </w:p>
    <w:p w14:paraId="42CEE726">
      <w:pPr>
        <w:tabs>
          <w:tab w:val="left" w:pos="480"/>
        </w:tabs>
        <w:spacing w:line="360" w:lineRule="auto"/>
        <w:ind w:firstLine="472" w:firstLineChars="196"/>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三、款项结算</w:t>
      </w:r>
    </w:p>
    <w:p w14:paraId="22844F92">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（一）货款支付方式：</w:t>
      </w:r>
    </w:p>
    <w:p w14:paraId="59F42390">
      <w:pPr>
        <w:pStyle w:val="9"/>
        <w:spacing w:line="360" w:lineRule="auto"/>
        <w:ind w:firstLine="440" w:firstLineChars="200"/>
        <w:rPr>
          <w:rFonts w:asciiTheme="majorEastAsia" w:hAnsiTheme="majorEastAsia" w:eastAsiaTheme="majorEastAsia" w:cstheme="majorEastAsia"/>
          <w:sz w:val="22"/>
          <w:szCs w:val="22"/>
        </w:rPr>
      </w:pPr>
      <w:r>
        <w:rPr>
          <w:rFonts w:asciiTheme="majorEastAsia" w:hAnsiTheme="majorEastAsia" w:eastAsiaTheme="majorEastAsia" w:cstheme="majorEastAsia"/>
          <w:sz w:val="22"/>
          <w:szCs w:val="22"/>
        </w:rPr>
        <w:t>1. 合同签订后</w:t>
      </w:r>
      <w:r>
        <w:rPr>
          <w:rFonts w:hint="eastAsia" w:asciiTheme="majorEastAsia" w:hAnsiTheme="majorEastAsia" w:eastAsiaTheme="majorEastAsia" w:cstheme="majorEastAsia"/>
          <w:sz w:val="22"/>
          <w:szCs w:val="22"/>
          <w:lang w:val="en-US" w:eastAsia="zh-CN"/>
        </w:rPr>
        <w:t>30</w:t>
      </w:r>
      <w:r>
        <w:rPr>
          <w:rFonts w:asciiTheme="majorEastAsia" w:hAnsiTheme="majorEastAsia" w:eastAsiaTheme="majorEastAsia" w:cstheme="majorEastAsia"/>
          <w:sz w:val="22"/>
          <w:szCs w:val="22"/>
        </w:rPr>
        <w:t>日内支付合同总价款的40%作为预付款。</w:t>
      </w:r>
    </w:p>
    <w:p w14:paraId="6800ED1F">
      <w:pPr>
        <w:pStyle w:val="9"/>
        <w:spacing w:line="360" w:lineRule="auto"/>
        <w:ind w:firstLine="440" w:firstLineChars="200"/>
        <w:rPr>
          <w:rFonts w:asciiTheme="majorEastAsia" w:hAnsiTheme="majorEastAsia" w:eastAsiaTheme="majorEastAsia" w:cstheme="majorEastAsia"/>
          <w:sz w:val="22"/>
          <w:szCs w:val="22"/>
        </w:rPr>
      </w:pPr>
      <w:r>
        <w:rPr>
          <w:rFonts w:asciiTheme="majorEastAsia" w:hAnsiTheme="majorEastAsia" w:eastAsiaTheme="majorEastAsia" w:cstheme="majorEastAsia"/>
          <w:sz w:val="22"/>
          <w:szCs w:val="22"/>
        </w:rPr>
        <w:t>2. 全部设备安装、调试结束并经采购人</w:t>
      </w:r>
      <w:bookmarkStart w:id="0" w:name="_GoBack"/>
      <w:bookmarkEnd w:id="0"/>
      <w:r>
        <w:rPr>
          <w:rFonts w:asciiTheme="majorEastAsia" w:hAnsiTheme="majorEastAsia" w:eastAsiaTheme="majorEastAsia" w:cstheme="majorEastAsia"/>
          <w:sz w:val="22"/>
          <w:szCs w:val="22"/>
        </w:rPr>
        <w:t>验收合格后，</w:t>
      </w:r>
      <w:r>
        <w:rPr>
          <w:rFonts w:hint="eastAsia" w:asciiTheme="majorEastAsia" w:hAnsiTheme="majorEastAsia" w:eastAsiaTheme="majorEastAsia" w:cstheme="majorEastAsia"/>
          <w:sz w:val="22"/>
          <w:szCs w:val="22"/>
          <w:lang w:val="en-US" w:eastAsia="zh-CN"/>
        </w:rPr>
        <w:t>30</w:t>
      </w:r>
      <w:r>
        <w:rPr>
          <w:rFonts w:asciiTheme="majorEastAsia" w:hAnsiTheme="majorEastAsia" w:eastAsiaTheme="majorEastAsia" w:cstheme="majorEastAsia"/>
          <w:sz w:val="22"/>
          <w:szCs w:val="22"/>
        </w:rPr>
        <w:t>日内支付合同总价款的60％。</w:t>
      </w:r>
    </w:p>
    <w:p w14:paraId="5427D9F2">
      <w:pPr>
        <w:pStyle w:val="9"/>
        <w:spacing w:line="360" w:lineRule="auto"/>
        <w:ind w:firstLine="440" w:firstLineChars="200"/>
        <w:rPr>
          <w:rFonts w:ascii="宋体" w:hAnsi="宋体" w:cs="宋体"/>
          <w:sz w:val="22"/>
          <w:szCs w:val="22"/>
        </w:rPr>
      </w:pPr>
      <w:r>
        <w:rPr>
          <w:rFonts w:asciiTheme="majorEastAsia" w:hAnsiTheme="majorEastAsia" w:eastAsiaTheme="majorEastAsia" w:cstheme="majorEastAsia"/>
          <w:sz w:val="22"/>
          <w:szCs w:val="22"/>
        </w:rPr>
        <w:t>3. 乙方应</w:t>
      </w:r>
      <w:r>
        <w:rPr>
          <w:rFonts w:ascii="宋体" w:hAnsi="宋体" w:cs="宋体"/>
          <w:sz w:val="22"/>
          <w:szCs w:val="22"/>
        </w:rPr>
        <w:t>在甲方付款前提供等额合规发票，否则甲方有权拒付合同款项，且不承担任何责任。</w:t>
      </w:r>
    </w:p>
    <w:p w14:paraId="19E14BD3">
      <w:pPr>
        <w:pStyle w:val="9"/>
        <w:spacing w:line="360" w:lineRule="auto"/>
        <w:ind w:firstLine="440" w:firstLineChars="200"/>
        <w:rPr>
          <w:rFonts w:ascii="宋体" w:hAnsi="宋体" w:cs="宋体"/>
          <w:sz w:val="22"/>
          <w:szCs w:val="22"/>
        </w:rPr>
      </w:pPr>
      <w:r>
        <w:rPr>
          <w:rFonts w:ascii="宋体" w:hAnsi="宋体" w:cs="宋体"/>
          <w:sz w:val="22"/>
          <w:szCs w:val="22"/>
        </w:rPr>
        <w:t>4.支付方式：银行转账。</w:t>
      </w:r>
    </w:p>
    <w:p w14:paraId="7326A38F">
      <w:pPr>
        <w:pStyle w:val="9"/>
        <w:spacing w:line="360" w:lineRule="auto"/>
        <w:ind w:firstLine="440" w:firstLineChars="200"/>
        <w:rPr>
          <w:rFonts w:ascii="宋体" w:hAnsi="宋体" w:cs="宋体"/>
          <w:sz w:val="22"/>
          <w:szCs w:val="22"/>
        </w:rPr>
      </w:pPr>
      <w:r>
        <w:rPr>
          <w:rFonts w:ascii="宋体" w:hAnsi="宋体" w:cs="宋体"/>
          <w:sz w:val="22"/>
          <w:szCs w:val="22"/>
        </w:rPr>
        <w:t>账户全称：XXXXXXXX</w:t>
      </w:r>
    </w:p>
    <w:p w14:paraId="4E1D9E2C">
      <w:pPr>
        <w:pStyle w:val="9"/>
        <w:spacing w:line="360" w:lineRule="auto"/>
        <w:ind w:firstLine="440" w:firstLineChars="200"/>
        <w:rPr>
          <w:rFonts w:ascii="宋体" w:hAnsi="宋体" w:cs="宋体"/>
          <w:sz w:val="22"/>
          <w:szCs w:val="22"/>
        </w:rPr>
      </w:pPr>
      <w:r>
        <w:rPr>
          <w:rFonts w:ascii="宋体" w:hAnsi="宋体" w:cs="宋体"/>
          <w:sz w:val="22"/>
          <w:szCs w:val="22"/>
        </w:rPr>
        <w:t>账    号：XXXXXXXX</w:t>
      </w:r>
    </w:p>
    <w:p w14:paraId="3339CF83">
      <w:pPr>
        <w:pStyle w:val="9"/>
        <w:spacing w:line="360" w:lineRule="auto"/>
        <w:ind w:firstLine="440" w:firstLineChars="200"/>
        <w:rPr>
          <w:rFonts w:ascii="宋体" w:hAnsi="宋体" w:cs="宋体"/>
          <w:sz w:val="22"/>
          <w:szCs w:val="22"/>
        </w:rPr>
      </w:pPr>
      <w:r>
        <w:rPr>
          <w:rFonts w:ascii="宋体" w:hAnsi="宋体" w:cs="宋体"/>
          <w:sz w:val="22"/>
          <w:szCs w:val="22"/>
        </w:rPr>
        <w:t>开 户 行：XXXXXXXX</w:t>
      </w:r>
    </w:p>
    <w:p w14:paraId="4687C311">
      <w:pPr>
        <w:pStyle w:val="9"/>
        <w:spacing w:line="360" w:lineRule="auto"/>
        <w:ind w:firstLine="440" w:firstLineChars="200"/>
        <w:rPr>
          <w:rFonts w:asciiTheme="majorEastAsia" w:hAnsiTheme="majorEastAsia" w:eastAsiaTheme="majorEastAsia" w:cstheme="majorEastAsia"/>
          <w:b/>
          <w:bCs/>
          <w:sz w:val="22"/>
          <w:szCs w:val="22"/>
        </w:rPr>
      </w:pPr>
      <w:r>
        <w:rPr>
          <w:rFonts w:ascii="宋体" w:hAnsi="宋体" w:cs="宋体"/>
          <w:sz w:val="22"/>
          <w:szCs w:val="22"/>
        </w:rPr>
        <w:t>甲方仅认可上述指定账户并向该账户付款。甲方有权拒绝向指定账户之外的任何账户付款，并且由此导致的付款延迟责任由乙方承担。</w:t>
      </w:r>
    </w:p>
    <w:p w14:paraId="53501693">
      <w:pPr>
        <w:tabs>
          <w:tab w:val="left" w:pos="480"/>
        </w:tabs>
        <w:spacing w:line="360" w:lineRule="auto"/>
        <w:ind w:firstLine="472" w:firstLineChars="196"/>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四、双方的权利和义务</w:t>
      </w:r>
    </w:p>
    <w:p w14:paraId="4A234E2E">
      <w:pPr>
        <w:spacing w:line="360" w:lineRule="auto"/>
        <w:ind w:firstLine="240" w:firstLineChars="1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（一）甲方的权利和义务</w:t>
      </w:r>
    </w:p>
    <w:p w14:paraId="78E8420A">
      <w:pPr>
        <w:spacing w:line="360" w:lineRule="auto"/>
        <w:ind w:firstLine="600" w:firstLineChars="25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 产品性能必须与其标示的技术指标相符合，甲方有权在产品的有效保证期内依据技术指标对该产品进行技术验收，其主要的技术参数达不到标准时，甲方有权无条件退货或依据有关法律索赔。</w:t>
      </w:r>
    </w:p>
    <w:p w14:paraId="2D1C0473">
      <w:pPr>
        <w:snapToGrid w:val="0"/>
        <w:spacing w:line="360" w:lineRule="auto"/>
        <w:ind w:firstLine="616" w:firstLineChars="257"/>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 质保期内，乙方在接到甲方故障保修后排除响应时间为30分钟，故障排除的期限不得超过</w:t>
      </w:r>
      <w:r>
        <w:rPr>
          <w:rFonts w:hint="eastAsia" w:asciiTheme="majorEastAsia" w:hAnsiTheme="majorEastAsia" w:eastAsiaTheme="majorEastAsia" w:cstheme="majorEastAsia"/>
          <w:sz w:val="24"/>
          <w:u w:val="single"/>
        </w:rPr>
        <w:t xml:space="preserve"> 24 </w:t>
      </w:r>
      <w:r>
        <w:rPr>
          <w:rFonts w:hint="eastAsia" w:asciiTheme="majorEastAsia" w:hAnsiTheme="majorEastAsia" w:eastAsiaTheme="majorEastAsia" w:cstheme="majorEastAsia"/>
          <w:sz w:val="24"/>
        </w:rPr>
        <w:t>小时。否则甲方有权指定第三方维修，维修费用由乙方承担或从质保金中扣除。乙方拒不履行上述故障排除义务时，甲方有权在故障排除前按天向乙方收取500--5000元的违约金，违约金直接从质保金中扣除。</w:t>
      </w:r>
    </w:p>
    <w:p w14:paraId="3E5B1807">
      <w:pPr>
        <w:snapToGrid w:val="0"/>
        <w:spacing w:line="360" w:lineRule="auto"/>
        <w:ind w:firstLine="616" w:firstLineChars="257"/>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3. 质保期内，所投设备发生故障，乙方接到通知后，</w:t>
      </w:r>
      <w:r>
        <w:rPr>
          <w:rFonts w:hint="eastAsia" w:asciiTheme="majorEastAsia" w:hAnsiTheme="majorEastAsia" w:eastAsiaTheme="majorEastAsia" w:cstheme="majorEastAsia"/>
          <w:sz w:val="24"/>
          <w:u w:val="single"/>
        </w:rPr>
        <w:t xml:space="preserve"> 4 </w:t>
      </w:r>
      <w:r>
        <w:rPr>
          <w:rFonts w:hint="eastAsia" w:asciiTheme="majorEastAsia" w:hAnsiTheme="majorEastAsia" w:eastAsiaTheme="majorEastAsia" w:cstheme="majorEastAsia"/>
          <w:sz w:val="24"/>
        </w:rPr>
        <w:t>小时派出合格的维修人员到用户现场进行维修，维修全部费用由乙方承担，</w:t>
      </w:r>
      <w:r>
        <w:rPr>
          <w:rFonts w:hint="eastAsia" w:asciiTheme="majorEastAsia" w:hAnsiTheme="majorEastAsia" w:eastAsiaTheme="majorEastAsia" w:cstheme="majorEastAsia"/>
          <w:sz w:val="24"/>
          <w:u w:val="single"/>
        </w:rPr>
        <w:t xml:space="preserve"> 4 </w:t>
      </w:r>
      <w:r>
        <w:rPr>
          <w:rFonts w:hint="eastAsia" w:asciiTheme="majorEastAsia" w:hAnsiTheme="majorEastAsia" w:eastAsiaTheme="majorEastAsia" w:cstheme="majorEastAsia"/>
          <w:sz w:val="24"/>
        </w:rPr>
        <w:t>小时解决故障，若需将产品送回生产厂，乙方还需承担往返费用，若维修超过</w:t>
      </w:r>
      <w:r>
        <w:rPr>
          <w:rFonts w:hint="eastAsia" w:asciiTheme="majorEastAsia" w:hAnsiTheme="majorEastAsia" w:eastAsiaTheme="majorEastAsia" w:cstheme="majorEastAsia"/>
          <w:sz w:val="24"/>
          <w:u w:val="single"/>
        </w:rPr>
        <w:t xml:space="preserve"> 24 </w:t>
      </w:r>
      <w:r>
        <w:rPr>
          <w:rFonts w:hint="eastAsia" w:asciiTheme="majorEastAsia" w:hAnsiTheme="majorEastAsia" w:eastAsiaTheme="majorEastAsia" w:cstheme="majorEastAsia"/>
          <w:sz w:val="24"/>
        </w:rPr>
        <w:t>小时，乙方提供同型号备用产品。</w:t>
      </w:r>
    </w:p>
    <w:p w14:paraId="4B78841E">
      <w:pPr>
        <w:spacing w:line="360" w:lineRule="auto"/>
        <w:ind w:firstLine="240" w:firstLineChars="1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（二）乙方的权利和义务</w:t>
      </w:r>
    </w:p>
    <w:p w14:paraId="13E3E279">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1、乙方提供给甲方的产品必须是设计科学、技术成熟、工艺精良，原厂生产的未曾使用过的、全新的合格产品。</w:t>
      </w:r>
    </w:p>
    <w:p w14:paraId="396CD898">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设计技术专利、外型专利、应用软件专利等知识产权均应符合我国的有关法律及行业标准，凡因以上问题与第三方发生的任何纠纷均与甲方无关，由乙方负责协调处理并承担全部赔偿责任。甲方因此被索赔时有权向乙方追偿。</w:t>
      </w:r>
    </w:p>
    <w:p w14:paraId="02E8A682">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3、安全可靠。在正常使用下不应对甲方现有设备设施、储存的数据造成损害，否则应当就甲方损失承担全部赔偿责任。</w:t>
      </w:r>
    </w:p>
    <w:p w14:paraId="11AA454C">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4、有强制性安全标准的产品，乙方应提供该产品的制造许可证证明。</w:t>
      </w:r>
    </w:p>
    <w:p w14:paraId="6A9C3F2C">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5、长期提供相关的技术服务与支持。</w:t>
      </w:r>
    </w:p>
    <w:p w14:paraId="417F70AA">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6、乙方有义务对本合同项目甲方需要的系统运营、维护、使用等方面事宜提供有关咨询解答服务。</w:t>
      </w:r>
    </w:p>
    <w:p w14:paraId="068A6003">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7、供应商应提供下列技术、售后等服务中的全部服务:</w:t>
      </w:r>
    </w:p>
    <w:p w14:paraId="24A6D231">
      <w:pPr>
        <w:spacing w:line="360" w:lineRule="auto"/>
        <w:ind w:firstLine="960" w:firstLineChars="4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1.实施或监督货物的运输、现场移动、安装和调试;</w:t>
      </w:r>
    </w:p>
    <w:p w14:paraId="7FF75082">
      <w:pPr>
        <w:spacing w:line="360" w:lineRule="auto"/>
        <w:ind w:firstLine="960" w:firstLineChars="4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2.提供货物组装和维修所需的专用工具和辅助材料;</w:t>
      </w:r>
    </w:p>
    <w:p w14:paraId="2783D13F">
      <w:pPr>
        <w:spacing w:line="360" w:lineRule="auto"/>
        <w:ind w:firstLine="960" w:firstLineChars="4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3.提交所供货物的技术文件，包括中文技术文件，例如:货物目录、图纸、操作手册、使用说明、维护手册、服务指南;</w:t>
      </w:r>
    </w:p>
    <w:p w14:paraId="6B07FD07">
      <w:pPr>
        <w:spacing w:line="360" w:lineRule="auto"/>
        <w:ind w:firstLine="960" w:firstLineChars="4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4.在项目现场就所供货物的组装、试运行、运行、维护、修理对买方人员进行培训。</w:t>
      </w:r>
    </w:p>
    <w:p w14:paraId="01BB8842">
      <w:pPr>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w:t>
      </w:r>
      <w:r>
        <w:rPr>
          <w:rFonts w:hint="eastAsia" w:asciiTheme="majorEastAsia" w:hAnsiTheme="majorEastAsia" w:eastAsiaTheme="majorEastAsia" w:cstheme="majorEastAsia"/>
          <w:b/>
          <w:sz w:val="24"/>
        </w:rPr>
        <w:t>五、交货条件：</w:t>
      </w:r>
    </w:p>
    <w:p w14:paraId="6A598E14">
      <w:pPr>
        <w:spacing w:line="360" w:lineRule="auto"/>
        <w:ind w:firstLine="48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一、交货期：自合同签订之日起</w:t>
      </w:r>
      <w:r>
        <w:rPr>
          <w:rFonts w:hint="eastAsia" w:asciiTheme="majorEastAsia" w:hAnsiTheme="majorEastAsia" w:eastAsiaTheme="majorEastAsia" w:cstheme="majorEastAsia"/>
          <w:color w:val="EE0000"/>
          <w:sz w:val="24"/>
          <w:highlight w:val="yellow"/>
        </w:rPr>
        <w:t>45</w:t>
      </w:r>
      <w:r>
        <w:rPr>
          <w:rFonts w:hint="eastAsia" w:asciiTheme="majorEastAsia" w:hAnsiTheme="majorEastAsia" w:eastAsiaTheme="majorEastAsia" w:cstheme="majorEastAsia"/>
          <w:sz w:val="24"/>
        </w:rPr>
        <w:t>个日历日完成全部项目内容，并交付采购人验收合格。</w:t>
      </w:r>
    </w:p>
    <w:p w14:paraId="7DBCE586">
      <w:pPr>
        <w:spacing w:line="360" w:lineRule="auto"/>
        <w:ind w:firstLine="48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二、交货地点：甲方指定地点。</w:t>
      </w:r>
    </w:p>
    <w:p w14:paraId="0B86F9E3">
      <w:pPr>
        <w:tabs>
          <w:tab w:val="left" w:pos="480"/>
        </w:tabs>
        <w:spacing w:line="360" w:lineRule="auto"/>
        <w:ind w:firstLine="482" w:firstLineChars="200"/>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六、运输</w:t>
      </w:r>
    </w:p>
    <w:p w14:paraId="657B334F">
      <w:pPr>
        <w:tabs>
          <w:tab w:val="left" w:pos="480"/>
        </w:tabs>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（一）运输由乙方负责，运杂费已包含在合同总价内，包括从货物供应地点所含的运输费、装卸费、仓储费、保险费等。</w:t>
      </w:r>
    </w:p>
    <w:p w14:paraId="6B8BAF51">
      <w:pPr>
        <w:spacing w:line="360" w:lineRule="auto"/>
        <w:ind w:firstLine="42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（二）运输方式由乙方自行选择，但必须保证按期交货。</w:t>
      </w:r>
    </w:p>
    <w:p w14:paraId="33B389F6">
      <w:pPr>
        <w:spacing w:line="360" w:lineRule="auto"/>
        <w:ind w:firstLine="42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（三）验收合格前货物毁损、灭失的风险由乙方承担。</w:t>
      </w:r>
    </w:p>
    <w:p w14:paraId="714F36F7">
      <w:pPr>
        <w:tabs>
          <w:tab w:val="left" w:pos="480"/>
        </w:tabs>
        <w:spacing w:line="360" w:lineRule="auto"/>
        <w:ind w:firstLine="472" w:firstLineChars="196"/>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七、质量保证</w:t>
      </w:r>
    </w:p>
    <w:p w14:paraId="3AC8AC44">
      <w:pPr>
        <w:spacing w:line="360" w:lineRule="auto"/>
        <w:ind w:firstLine="482" w:firstLineChars="200"/>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质量保证期：整体质保期为三年。</w:t>
      </w:r>
    </w:p>
    <w:p w14:paraId="38D7136A">
      <w:pPr>
        <w:tabs>
          <w:tab w:val="left" w:pos="480"/>
        </w:tabs>
        <w:spacing w:line="360" w:lineRule="auto"/>
        <w:ind w:firstLine="470" w:firstLineChars="196"/>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乙方所供货物必须执行下列条款：</w:t>
      </w:r>
    </w:p>
    <w:p w14:paraId="2FF10110">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（一）保证技术指标先进、质量性能可靠、进货渠道正常，配置合理，全面满足招标文件要求。</w:t>
      </w:r>
    </w:p>
    <w:p w14:paraId="58DE0C6E">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（二）符合国家有关规范要求，确保达到最佳运行状态。</w:t>
      </w:r>
    </w:p>
    <w:p w14:paraId="14F43410">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（三）具有良好的外观，适合安装场所的使用。</w:t>
      </w:r>
    </w:p>
    <w:p w14:paraId="322A28B0">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（四）自安装、调试正常运行并验收合格之日起：</w:t>
      </w:r>
    </w:p>
    <w:p w14:paraId="05827E4F">
      <w:pPr>
        <w:spacing w:line="360" w:lineRule="auto"/>
        <w:ind w:firstLine="482" w:firstLineChars="200"/>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八、售后服务要求</w:t>
      </w:r>
    </w:p>
    <w:p w14:paraId="195A9946">
      <w:pPr>
        <w:pStyle w:val="11"/>
        <w:ind w:firstLine="480"/>
        <w:rPr>
          <w:rFonts w:hint="eastAsia" w:asciiTheme="majorEastAsia" w:hAnsiTheme="majorEastAsia" w:eastAsiaTheme="majorEastAsia" w:cstheme="majorEastAsia"/>
          <w:sz w:val="24"/>
          <w:szCs w:val="24"/>
          <w:lang w:val="en-US"/>
        </w:rPr>
      </w:pPr>
      <w:r>
        <w:rPr>
          <w:rFonts w:hint="eastAsia" w:asciiTheme="majorEastAsia" w:hAnsiTheme="majorEastAsia" w:eastAsiaTheme="majorEastAsia" w:cstheme="majorEastAsia"/>
          <w:sz w:val="24"/>
        </w:rPr>
        <w:t>（一）</w:t>
      </w:r>
      <w:r>
        <w:rPr>
          <w:rFonts w:hint="eastAsia" w:asciiTheme="majorEastAsia" w:hAnsiTheme="majorEastAsia" w:eastAsiaTheme="majorEastAsia" w:cstheme="majorEastAsia"/>
          <w:sz w:val="24"/>
          <w:szCs w:val="24"/>
          <w:lang w:val="en-US"/>
        </w:rPr>
        <w:t>乙方需具备良好的应急处理能力，质保</w:t>
      </w:r>
      <w:r>
        <w:rPr>
          <w:rFonts w:hint="eastAsia" w:asciiTheme="majorEastAsia" w:hAnsiTheme="majorEastAsia" w:eastAsiaTheme="majorEastAsia" w:cstheme="majorEastAsia"/>
          <w:color w:val="000000"/>
          <w:sz w:val="24"/>
          <w:szCs w:val="24"/>
          <w:lang w:val="en-US"/>
        </w:rPr>
        <w:t>期内接到甲方故障通知后30分钟</w:t>
      </w:r>
      <w:r>
        <w:rPr>
          <w:rFonts w:hint="eastAsia" w:asciiTheme="majorEastAsia" w:hAnsiTheme="majorEastAsia" w:eastAsiaTheme="majorEastAsia" w:cstheme="majorEastAsia"/>
          <w:sz w:val="24"/>
          <w:szCs w:val="24"/>
          <w:lang w:val="en-US"/>
        </w:rPr>
        <w:t>内响应，需要进行现场支持的故障问题，24小时内委派专业技术人员到现场免费提供咨询、维修等服务；</w:t>
      </w:r>
    </w:p>
    <w:p w14:paraId="04F6C2FE">
      <w:pPr>
        <w:pStyle w:val="11"/>
        <w:ind w:firstLine="480"/>
        <w:rPr>
          <w:rFonts w:hint="eastAsia" w:asciiTheme="majorEastAsia" w:hAnsiTheme="majorEastAsia" w:eastAsiaTheme="majorEastAsia" w:cstheme="majorEastAsia"/>
          <w:sz w:val="24"/>
          <w:szCs w:val="24"/>
          <w:lang w:val="en-US"/>
        </w:rPr>
      </w:pPr>
      <w:r>
        <w:rPr>
          <w:rFonts w:hint="eastAsia" w:asciiTheme="majorEastAsia" w:hAnsiTheme="majorEastAsia" w:eastAsiaTheme="majorEastAsia" w:cstheme="majorEastAsia"/>
          <w:sz w:val="24"/>
        </w:rPr>
        <w:t>（二）</w:t>
      </w:r>
      <w:r>
        <w:rPr>
          <w:rFonts w:hint="eastAsia" w:asciiTheme="majorEastAsia" w:hAnsiTheme="majorEastAsia" w:eastAsiaTheme="majorEastAsia" w:cstheme="majorEastAsia"/>
          <w:sz w:val="24"/>
          <w:szCs w:val="24"/>
          <w:lang w:val="en-US"/>
        </w:rPr>
        <w:t>乙方需能提供7*24的电话在线服务支持；</w:t>
      </w:r>
    </w:p>
    <w:p w14:paraId="43D97285">
      <w:pPr>
        <w:pStyle w:val="11"/>
        <w:ind w:firstLine="480"/>
        <w:rPr>
          <w:rFonts w:hint="eastAsia" w:asciiTheme="majorEastAsia" w:hAnsiTheme="majorEastAsia" w:eastAsiaTheme="majorEastAsia" w:cstheme="majorEastAsia"/>
          <w:sz w:val="24"/>
          <w:szCs w:val="24"/>
          <w:lang w:val="en-US"/>
        </w:rPr>
      </w:pPr>
      <w:r>
        <w:rPr>
          <w:rFonts w:hint="eastAsia" w:asciiTheme="majorEastAsia" w:hAnsiTheme="majorEastAsia" w:eastAsiaTheme="majorEastAsia" w:cstheme="majorEastAsia"/>
          <w:sz w:val="24"/>
        </w:rPr>
        <w:t>（三）</w:t>
      </w:r>
      <w:r>
        <w:rPr>
          <w:rFonts w:hint="eastAsia" w:asciiTheme="majorEastAsia" w:hAnsiTheme="majorEastAsia" w:eastAsiaTheme="majorEastAsia" w:cstheme="majorEastAsia"/>
          <w:sz w:val="24"/>
          <w:szCs w:val="24"/>
          <w:lang w:val="en-US"/>
        </w:rPr>
        <w:t>投标所包含的产品提供从验收合格之日起三年的免费生产厂商质保服务。</w:t>
      </w:r>
    </w:p>
    <w:p w14:paraId="2D5328BA">
      <w:pPr>
        <w:pStyle w:val="11"/>
        <w:ind w:firstLine="480"/>
        <w:rPr>
          <w:rFonts w:hint="eastAsia" w:asciiTheme="majorEastAsia" w:hAnsiTheme="majorEastAsia" w:eastAsiaTheme="majorEastAsia" w:cstheme="majorEastAsia"/>
          <w:sz w:val="24"/>
          <w:szCs w:val="24"/>
          <w:lang w:val="en-US"/>
        </w:rPr>
      </w:pPr>
      <w:r>
        <w:rPr>
          <w:rFonts w:hint="eastAsia" w:asciiTheme="majorEastAsia" w:hAnsiTheme="majorEastAsia" w:eastAsiaTheme="majorEastAsia" w:cstheme="majorEastAsia"/>
          <w:sz w:val="24"/>
        </w:rPr>
        <w:t>（四）</w:t>
      </w:r>
      <w:r>
        <w:rPr>
          <w:rFonts w:hint="eastAsia" w:asciiTheme="majorEastAsia" w:hAnsiTheme="majorEastAsia" w:eastAsiaTheme="majorEastAsia" w:cstheme="majorEastAsia"/>
          <w:sz w:val="24"/>
          <w:szCs w:val="24"/>
          <w:lang w:val="en-US"/>
        </w:rPr>
        <w:t>项目组织机构完整，实施计划完整可行。项目配置、安装调试、检测、启动运行方面措施得力，并有专业队伍和技术人员支持。</w:t>
      </w:r>
    </w:p>
    <w:p w14:paraId="6841CB95">
      <w:pPr>
        <w:pStyle w:val="11"/>
        <w:ind w:firstLine="602" w:firstLineChars="250"/>
        <w:rPr>
          <w:rFonts w:hint="eastAsia" w:asciiTheme="majorEastAsia" w:hAnsiTheme="majorEastAsia" w:eastAsiaTheme="majorEastAsia" w:cstheme="majorEastAsia"/>
          <w:b/>
          <w:sz w:val="24"/>
          <w:szCs w:val="24"/>
          <w:lang w:val="en-US"/>
        </w:rPr>
      </w:pPr>
      <w:r>
        <w:rPr>
          <w:rFonts w:hint="eastAsia" w:asciiTheme="majorEastAsia" w:hAnsiTheme="majorEastAsia" w:eastAsiaTheme="majorEastAsia" w:cstheme="majorEastAsia"/>
          <w:b/>
          <w:sz w:val="24"/>
          <w:szCs w:val="24"/>
          <w:lang w:val="en-US"/>
        </w:rPr>
        <w:t>九.人员要求</w:t>
      </w:r>
    </w:p>
    <w:p w14:paraId="4C8382C9">
      <w:pPr>
        <w:pStyle w:val="11"/>
        <w:ind w:firstLine="480"/>
        <w:rPr>
          <w:rFonts w:hint="eastAsia" w:asciiTheme="majorEastAsia" w:hAnsiTheme="majorEastAsia" w:eastAsiaTheme="majorEastAsia" w:cstheme="majorEastAsia"/>
          <w:sz w:val="24"/>
          <w:szCs w:val="24"/>
          <w:lang w:val="en-US"/>
        </w:rPr>
      </w:pPr>
      <w:r>
        <w:rPr>
          <w:rFonts w:hint="eastAsia" w:asciiTheme="majorEastAsia" w:hAnsiTheme="majorEastAsia" w:eastAsiaTheme="majorEastAsia" w:cstheme="majorEastAsia"/>
          <w:sz w:val="24"/>
          <w:szCs w:val="24"/>
          <w:lang w:val="en-US"/>
        </w:rPr>
        <w:t>签订合同后，在服务期间，中标供应商必须注意院内服务人员安全，加强安全措施，并对服务人员进行安全教育。服务人员必须持证上岗。项目实施过程中保障所有系统正常运行，技术保障人员必须有对应的工程师证书。因产品安装调试过程中产生对我院造成不良影响的由供应商负责。</w:t>
      </w:r>
    </w:p>
    <w:p w14:paraId="659FE75C">
      <w:pPr>
        <w:tabs>
          <w:tab w:val="left" w:pos="480"/>
        </w:tabs>
        <w:spacing w:line="360" w:lineRule="auto"/>
        <w:ind w:firstLine="482" w:firstLineChars="200"/>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十、技术与服务</w:t>
      </w:r>
    </w:p>
    <w:p w14:paraId="300A1DB3">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（一）技术资料：</w:t>
      </w:r>
    </w:p>
    <w:p w14:paraId="3F87D624">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1、货物合格证；</w:t>
      </w:r>
    </w:p>
    <w:p w14:paraId="1319A737">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2、货物使用说明书（中文）；</w:t>
      </w:r>
    </w:p>
    <w:p w14:paraId="341CD33E">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3、货物商检证明；</w:t>
      </w:r>
    </w:p>
    <w:p w14:paraId="4B75B248">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4、项目竣工资料、检验测试报告；</w:t>
      </w:r>
    </w:p>
    <w:p w14:paraId="3D661DCA">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5、其它资料。</w:t>
      </w:r>
    </w:p>
    <w:p w14:paraId="691E2BE6">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（二）服务承诺：以投标响应文件、澄清表（函）、合同和随货物的相关文件为准。</w:t>
      </w:r>
    </w:p>
    <w:p w14:paraId="0A875A51">
      <w:pPr>
        <w:tabs>
          <w:tab w:val="left" w:pos="480"/>
        </w:tabs>
        <w:spacing w:line="360" w:lineRule="auto"/>
        <w:ind w:firstLine="482" w:firstLineChars="200"/>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十二、验收</w:t>
      </w:r>
    </w:p>
    <w:p w14:paraId="333DD3AA">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一、验收标准和依据</w:t>
      </w:r>
    </w:p>
    <w:p w14:paraId="63F3817F">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1、招标文件、投标响应文件;</w:t>
      </w:r>
    </w:p>
    <w:p w14:paraId="79D11A1D">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2、本合同及附件文本;</w:t>
      </w:r>
    </w:p>
    <w:p w14:paraId="5467C41F">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3、国家相应的标准、规范。</w:t>
      </w:r>
    </w:p>
    <w:p w14:paraId="28431008">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二、规范</w:t>
      </w:r>
    </w:p>
    <w:p w14:paraId="71D49CE9">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合同中所有设备、备品备件，包括卖方自其他单位获得的所有附件和设备，除本规范书中规定的技术参数和要求外，其余均应遵照最新版本的国家标准(GB)和 IEC 标准及国际单位制(SI)，这是对设备的最低要求。</w:t>
      </w:r>
    </w:p>
    <w:p w14:paraId="5E1FDC5F">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《安全防范视频监控联网系统信息传输、交换、控制技术要求》GB/T28181-2016</w:t>
      </w:r>
    </w:p>
    <w:p w14:paraId="3F04A4CC">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《视频安防监控系统技术要求》GA/T367-2001</w:t>
      </w:r>
    </w:p>
    <w:p w14:paraId="2AF550A9">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《信息技术开放系统互连网络层安全协议》GB/T17963</w:t>
      </w:r>
    </w:p>
    <w:p w14:paraId="55BB300A">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《安全防范系统雷电浪涌防护技术要求》GA/T670-2006</w:t>
      </w:r>
    </w:p>
    <w:p w14:paraId="6BD6DBC9">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《安全防范工程技术规范》GB50348-2004</w:t>
      </w:r>
    </w:p>
    <w:p w14:paraId="54B42123">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《民用闭路电视系统工程技术规范》GB50198-2011</w:t>
      </w:r>
    </w:p>
    <w:p w14:paraId="592F3A33">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《安全防范工程程序与要求》GA/T75-1994</w:t>
      </w:r>
    </w:p>
    <w:p w14:paraId="38E5E85F">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《安全防范系统验收规则》GA308-2001</w:t>
      </w:r>
    </w:p>
    <w:p w14:paraId="06B3F7C3">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《综合布线系统工程验收规范》GB50312-2007</w:t>
      </w:r>
    </w:p>
    <w:p w14:paraId="18BF630F">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《电气装置安装工程电缆线路施工及验收规范》GB50168-2006</w:t>
      </w:r>
    </w:p>
    <w:p w14:paraId="4D6E1960">
      <w:pPr>
        <w:tabs>
          <w:tab w:val="left" w:pos="480"/>
        </w:tabs>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《电气装置安装工程接地装置施工及验收规范》GB50169-2006</w:t>
      </w:r>
    </w:p>
    <w:p w14:paraId="2D3C9B9E">
      <w:pPr>
        <w:tabs>
          <w:tab w:val="left" w:pos="480"/>
        </w:tabs>
        <w:spacing w:line="360" w:lineRule="auto"/>
        <w:ind w:firstLine="482" w:firstLineChars="200"/>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十三、违约责任</w:t>
      </w:r>
    </w:p>
    <w:p w14:paraId="56EF13B1">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（一）按《政府采购法》、《中华人民共和国民法典》中的相关条款执行。</w:t>
      </w:r>
    </w:p>
    <w:p w14:paraId="4AB7846F">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二）未按合同要求提供产品或产品质量不能满足招标文件技术要求，乙方必须在【3】日内无条件免费更换或整改，提高技术，完善质量，同时需向甲方支付【1】%的违约金；乙方拒不整改调整或整改调整【1】次后仍无法达到招标文件要求的，甲方会同鉴定方有权解除合同，合同自书面解除通知送达乙方之日起解除，乙方应当按照合同总价的</w:t>
      </w:r>
      <w:r>
        <w:rPr>
          <w:rFonts w:hint="eastAsia" w:asciiTheme="majorEastAsia" w:hAnsiTheme="majorEastAsia" w:eastAsiaTheme="majorEastAsia" w:cstheme="majorEastAsia"/>
          <w:color w:val="FF0000"/>
          <w:sz w:val="24"/>
        </w:rPr>
        <w:t>【30】</w:t>
      </w:r>
      <w:r>
        <w:rPr>
          <w:rFonts w:hint="eastAsia" w:asciiTheme="majorEastAsia" w:hAnsiTheme="majorEastAsia" w:eastAsiaTheme="majorEastAsia" w:cstheme="majorEastAsia"/>
          <w:sz w:val="24"/>
        </w:rPr>
        <w:t>%向甲方支付违约金，违约金不足以弥补甲方损失的，乙方需另行支付。同时，甲方有权对乙方的违约行为报监管机构进行相应的处罚。</w:t>
      </w:r>
    </w:p>
    <w:p w14:paraId="7A59AB25">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（三）乙方未按照合同约定期限履行义务时，每迟延一天，应当按照合同总价款的</w:t>
      </w:r>
      <w:r>
        <w:rPr>
          <w:rFonts w:hint="eastAsia" w:asciiTheme="majorEastAsia" w:hAnsiTheme="majorEastAsia" w:eastAsiaTheme="majorEastAsia" w:cstheme="majorEastAsia"/>
          <w:sz w:val="24"/>
          <w:u w:val="single"/>
        </w:rPr>
        <w:t xml:space="preserve">5 </w:t>
      </w:r>
      <w:r>
        <w:rPr>
          <w:rFonts w:hint="eastAsia" w:asciiTheme="majorEastAsia" w:hAnsiTheme="majorEastAsia" w:eastAsiaTheme="majorEastAsia" w:cstheme="majorEastAsia"/>
          <w:sz w:val="24"/>
        </w:rPr>
        <w:t>‰向甲方支付违约金；累计迟延【7】天时，视为乙方根本违约，甲方有权单方解除合同，合同自甲方书面解除通知送达乙方之日起解除，乙方应当按照合同总价的</w:t>
      </w:r>
      <w:r>
        <w:rPr>
          <w:rFonts w:hint="eastAsia" w:asciiTheme="majorEastAsia" w:hAnsiTheme="majorEastAsia" w:eastAsiaTheme="majorEastAsia" w:cstheme="majorEastAsia"/>
          <w:color w:val="FF0000"/>
          <w:sz w:val="24"/>
        </w:rPr>
        <w:t>【30】%</w:t>
      </w:r>
      <w:r>
        <w:rPr>
          <w:rFonts w:hint="eastAsia" w:asciiTheme="majorEastAsia" w:hAnsiTheme="majorEastAsia" w:eastAsiaTheme="majorEastAsia" w:cstheme="majorEastAsia"/>
          <w:sz w:val="24"/>
        </w:rPr>
        <w:t>向甲方支付违约金，违约金不足以弥补甲方损失的，乙方需另行支付。</w:t>
      </w:r>
    </w:p>
    <w:p w14:paraId="43BC19B4">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四）乙方应就履行本合同所获取的甲方一切非公开信息进行保密，不得向第三方泄露，亦不得将上述信息用于其他商业目的，否则，甲方有权单方解除合同，合同自甲方书面解除通知送达乙方之日起解除，乙方应当按照合同总价的</w:t>
      </w:r>
      <w:r>
        <w:rPr>
          <w:rFonts w:hint="eastAsia" w:asciiTheme="majorEastAsia" w:hAnsiTheme="majorEastAsia" w:eastAsiaTheme="majorEastAsia" w:cstheme="majorEastAsia"/>
          <w:color w:val="FF0000"/>
          <w:sz w:val="24"/>
        </w:rPr>
        <w:t>【30】%</w:t>
      </w:r>
      <w:r>
        <w:rPr>
          <w:rFonts w:hint="eastAsia" w:asciiTheme="majorEastAsia" w:hAnsiTheme="majorEastAsia" w:eastAsiaTheme="majorEastAsia" w:cstheme="majorEastAsia"/>
          <w:sz w:val="24"/>
        </w:rPr>
        <w:t>向甲方支付违约金，违约金不足以弥补甲方损失的，乙方需另行支付。</w:t>
      </w:r>
    </w:p>
    <w:p w14:paraId="3A9C08F1">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（五）乙方应确保本合同项下系统安全、平稳运行，不会对甲方既有系统、数据安全造成影响，否则应当就甲方因此产生的损失承担全部赔偿责任。</w:t>
      </w:r>
    </w:p>
    <w:p w14:paraId="6BC0457A">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（六）乙方违约时，甲方为主张权利而支出的各项费用由乙方承担。</w:t>
      </w:r>
    </w:p>
    <w:p w14:paraId="514C645F">
      <w:pPr>
        <w:tabs>
          <w:tab w:val="left" w:pos="480"/>
        </w:tabs>
        <w:spacing w:line="360" w:lineRule="auto"/>
        <w:ind w:firstLine="482" w:firstLineChars="200"/>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十四、合同争议解决的方式</w:t>
      </w:r>
    </w:p>
    <w:p w14:paraId="5E769C25">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本合同在履行过程中发生的争议，由甲、乙双方当事人协商解决，协商不成的，任意一方有权向甲方所在地人民法院起诉。</w:t>
      </w:r>
    </w:p>
    <w:p w14:paraId="011B472E">
      <w:pPr>
        <w:tabs>
          <w:tab w:val="left" w:pos="480"/>
        </w:tabs>
        <w:spacing w:line="360" w:lineRule="auto"/>
        <w:ind w:firstLine="472" w:firstLineChars="196"/>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十五、合同生效</w:t>
      </w:r>
    </w:p>
    <w:p w14:paraId="666761C8">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本合同一式</w:t>
      </w:r>
      <w:r>
        <w:rPr>
          <w:rFonts w:hint="eastAsia" w:asciiTheme="majorEastAsia" w:hAnsiTheme="majorEastAsia" w:eastAsiaTheme="majorEastAsia" w:cstheme="majorEastAsia"/>
          <w:sz w:val="24"/>
          <w:u w:val="single"/>
        </w:rPr>
        <w:t xml:space="preserve">  </w:t>
      </w:r>
      <w:r>
        <w:rPr>
          <w:rFonts w:hint="eastAsia" w:asciiTheme="majorEastAsia" w:hAnsiTheme="majorEastAsia" w:eastAsiaTheme="majorEastAsia" w:cstheme="majorEastAsia"/>
          <w:sz w:val="24"/>
        </w:rPr>
        <w:t>份，甲方</w:t>
      </w:r>
      <w:r>
        <w:rPr>
          <w:rFonts w:hint="eastAsia" w:asciiTheme="majorEastAsia" w:hAnsiTheme="majorEastAsia" w:eastAsiaTheme="majorEastAsia" w:cstheme="majorEastAsia"/>
          <w:sz w:val="24"/>
          <w:u w:val="single"/>
        </w:rPr>
        <w:t xml:space="preserve"> 叁 </w:t>
      </w:r>
      <w:r>
        <w:rPr>
          <w:rFonts w:hint="eastAsia" w:asciiTheme="majorEastAsia" w:hAnsiTheme="majorEastAsia" w:eastAsiaTheme="majorEastAsia" w:cstheme="majorEastAsia"/>
          <w:sz w:val="24"/>
        </w:rPr>
        <w:t>份、乙方</w:t>
      </w:r>
      <w:r>
        <w:rPr>
          <w:rFonts w:hint="eastAsia" w:asciiTheme="majorEastAsia" w:hAnsiTheme="majorEastAsia" w:eastAsiaTheme="majorEastAsia" w:cstheme="majorEastAsia"/>
          <w:sz w:val="24"/>
          <w:u w:val="single"/>
        </w:rPr>
        <w:t xml:space="preserve">  </w:t>
      </w:r>
      <w:r>
        <w:rPr>
          <w:rFonts w:hint="eastAsia" w:asciiTheme="majorEastAsia" w:hAnsiTheme="majorEastAsia" w:eastAsiaTheme="majorEastAsia" w:cstheme="majorEastAsia"/>
          <w:sz w:val="24"/>
        </w:rPr>
        <w:t>份，具有同等法律效力。本合同自甲、乙双签字盖章后生效，合同执行完毕后，自动终止（合同的服务承诺则长期有效）。</w:t>
      </w:r>
    </w:p>
    <w:p w14:paraId="3F3B8724">
      <w:pPr>
        <w:tabs>
          <w:tab w:val="left" w:pos="480"/>
        </w:tabs>
        <w:spacing w:line="360" w:lineRule="auto"/>
        <w:ind w:firstLine="472" w:firstLineChars="196"/>
        <w:rPr>
          <w:rFonts w:hint="eastAsia" w:asciiTheme="majorEastAsia" w:hAnsiTheme="majorEastAsia" w:eastAsiaTheme="majorEastAsia" w:cstheme="majorEastAsia"/>
          <w:b/>
          <w:sz w:val="24"/>
        </w:rPr>
      </w:pPr>
      <w:r>
        <w:rPr>
          <w:rFonts w:hint="eastAsia" w:asciiTheme="majorEastAsia" w:hAnsiTheme="majorEastAsia" w:eastAsiaTheme="majorEastAsia" w:cstheme="majorEastAsia"/>
          <w:b/>
          <w:sz w:val="24"/>
        </w:rPr>
        <w:t>十六、其他事项</w:t>
      </w:r>
    </w:p>
    <w:p w14:paraId="0D9B4A84">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（一）鉴定方作为采购代理机构对合同进行确认。</w:t>
      </w:r>
    </w:p>
    <w:p w14:paraId="460CFC74">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eastAsia="zh-CN"/>
        </w:rPr>
        <w:t>二</w:t>
      </w:r>
      <w:r>
        <w:rPr>
          <w:rFonts w:hint="eastAsia" w:asciiTheme="majorEastAsia" w:hAnsiTheme="majorEastAsia" w:eastAsiaTheme="majorEastAsia" w:cstheme="majorEastAsia"/>
          <w:sz w:val="24"/>
        </w:rPr>
        <w:t>）招标文件、应标文件、澄清表（函）、中标通知书、合同附件均成为合同不可分割的部分。</w:t>
      </w:r>
    </w:p>
    <w:p w14:paraId="11475139">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eastAsia="zh-CN"/>
        </w:rPr>
        <w:t>三</w:t>
      </w:r>
      <w:r>
        <w:rPr>
          <w:rFonts w:hint="eastAsia" w:asciiTheme="majorEastAsia" w:hAnsiTheme="majorEastAsia" w:eastAsiaTheme="majorEastAsia" w:cstheme="majorEastAsia"/>
          <w:sz w:val="24"/>
        </w:rPr>
        <w:t>）合同未尽事宜，由甲、乙双方协商，经鉴定方确认后，作为合同补充，与原合同具有同等法律效力。</w:t>
      </w:r>
    </w:p>
    <w:p w14:paraId="71C88881">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eastAsia="zh-CN"/>
        </w:rPr>
        <w:t>四</w:t>
      </w:r>
      <w:r>
        <w:rPr>
          <w:rFonts w:hint="eastAsia" w:asciiTheme="majorEastAsia" w:hAnsiTheme="majorEastAsia" w:eastAsiaTheme="majorEastAsia" w:cstheme="majorEastAsia"/>
          <w:sz w:val="24"/>
        </w:rPr>
        <w:t>）合同一经签订，不得擅自变更、中止或终止合同。对确需变更、调整或中止、终止合同的，应按规定履行相应的手续。</w:t>
      </w:r>
    </w:p>
    <w:p w14:paraId="542E0B33">
      <w:pPr>
        <w:tabs>
          <w:tab w:val="left" w:pos="480"/>
        </w:tabs>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eastAsia="zh-CN"/>
        </w:rPr>
        <w:t>五</w:t>
      </w:r>
      <w:r>
        <w:rPr>
          <w:rFonts w:hint="eastAsia" w:asciiTheme="majorEastAsia" w:hAnsiTheme="majorEastAsia" w:eastAsiaTheme="majorEastAsia" w:cstheme="majorEastAsia"/>
          <w:sz w:val="24"/>
        </w:rPr>
        <w:t>）本合同按照中华人民共和国的现行法律进行解释。</w:t>
      </w:r>
    </w:p>
    <w:p w14:paraId="73597366">
      <w:pPr>
        <w:pStyle w:val="3"/>
        <w:rPr>
          <w:rFonts w:hint="eastAsia" w:asciiTheme="majorEastAsia" w:hAnsiTheme="majorEastAsia" w:eastAsiaTheme="majorEastAsia" w:cstheme="majorEastAsia"/>
        </w:rPr>
      </w:pPr>
    </w:p>
    <w:p w14:paraId="13B47312">
      <w:pPr>
        <w:tabs>
          <w:tab w:val="left" w:pos="480"/>
        </w:tabs>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甲  方：（公章）                    乙  方：（公章） </w:t>
      </w:r>
    </w:p>
    <w:p w14:paraId="7274AC9D">
      <w:pPr>
        <w:tabs>
          <w:tab w:val="left" w:pos="480"/>
        </w:tabs>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w:t>
      </w:r>
    </w:p>
    <w:tbl>
      <w:tblPr>
        <w:tblStyle w:val="5"/>
        <w:tblW w:w="0" w:type="auto"/>
        <w:tblInd w:w="0" w:type="dxa"/>
        <w:tblLayout w:type="autofit"/>
        <w:tblCellMar>
          <w:top w:w="0" w:type="dxa"/>
          <w:left w:w="108" w:type="dxa"/>
          <w:bottom w:w="0" w:type="dxa"/>
          <w:right w:w="108" w:type="dxa"/>
        </w:tblCellMar>
      </w:tblPr>
      <w:tblGrid>
        <w:gridCol w:w="4077"/>
        <w:gridCol w:w="4445"/>
      </w:tblGrid>
      <w:tr w14:paraId="7834A6CD">
        <w:tblPrEx>
          <w:tblCellMar>
            <w:top w:w="0" w:type="dxa"/>
            <w:left w:w="108" w:type="dxa"/>
            <w:bottom w:w="0" w:type="dxa"/>
            <w:right w:w="108" w:type="dxa"/>
          </w:tblCellMar>
        </w:tblPrEx>
        <w:tc>
          <w:tcPr>
            <w:tcW w:w="4077" w:type="dxa"/>
          </w:tcPr>
          <w:p w14:paraId="78E7BBC1">
            <w:pPr>
              <w:tabs>
                <w:tab w:val="left" w:pos="480"/>
              </w:tabs>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单位名称：西安市精神卫生中心</w:t>
            </w:r>
          </w:p>
          <w:p w14:paraId="18F52369">
            <w:pPr>
              <w:pStyle w:val="3"/>
              <w:spacing w:line="360" w:lineRule="auto"/>
              <w:rPr>
                <w:rFonts w:hint="eastAsia" w:asciiTheme="majorEastAsia" w:hAnsiTheme="majorEastAsia" w:eastAsiaTheme="majorEastAsia" w:cstheme="majorEastAsia"/>
              </w:rPr>
            </w:pPr>
          </w:p>
          <w:p w14:paraId="2D41BD66">
            <w:pPr>
              <w:tabs>
                <w:tab w:val="left" w:pos="480"/>
              </w:tabs>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法定代表人或经办人：</w:t>
            </w:r>
          </w:p>
          <w:p w14:paraId="6873B133">
            <w:pPr>
              <w:pStyle w:val="3"/>
              <w:spacing w:line="360" w:lineRule="auto"/>
              <w:rPr>
                <w:rFonts w:hint="eastAsia" w:asciiTheme="majorEastAsia" w:hAnsiTheme="majorEastAsia" w:eastAsiaTheme="majorEastAsia" w:cstheme="majorEastAsia"/>
                <w:sz w:val="21"/>
                <w:szCs w:val="21"/>
              </w:rPr>
            </w:pPr>
          </w:p>
          <w:p w14:paraId="6D6AC522">
            <w:pPr>
              <w:tabs>
                <w:tab w:val="left" w:pos="480"/>
              </w:tabs>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签订日期：     年    月    日</w:t>
            </w:r>
          </w:p>
        </w:tc>
        <w:tc>
          <w:tcPr>
            <w:tcW w:w="4445" w:type="dxa"/>
          </w:tcPr>
          <w:p w14:paraId="5A8FDAD8">
            <w:pPr>
              <w:tabs>
                <w:tab w:val="left" w:pos="480"/>
              </w:tabs>
              <w:spacing w:line="360" w:lineRule="auto"/>
              <w:ind w:firstLine="240" w:firstLineChars="1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单位名称： </w:t>
            </w:r>
          </w:p>
          <w:p w14:paraId="4C99A070">
            <w:pPr>
              <w:pStyle w:val="3"/>
              <w:spacing w:line="360" w:lineRule="auto"/>
              <w:rPr>
                <w:rFonts w:hint="eastAsia" w:asciiTheme="majorEastAsia" w:hAnsiTheme="majorEastAsia" w:eastAsiaTheme="majorEastAsia" w:cstheme="majorEastAsia"/>
              </w:rPr>
            </w:pPr>
          </w:p>
          <w:p w14:paraId="380A421A">
            <w:pPr>
              <w:tabs>
                <w:tab w:val="left" w:pos="480"/>
              </w:tabs>
              <w:spacing w:line="360" w:lineRule="auto"/>
              <w:ind w:firstLine="240" w:firstLineChars="1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法定代表人或经办人：              </w:t>
            </w:r>
          </w:p>
          <w:p w14:paraId="0FFB0DCE">
            <w:pPr>
              <w:tabs>
                <w:tab w:val="left" w:pos="480"/>
              </w:tabs>
              <w:spacing w:line="360" w:lineRule="auto"/>
              <w:ind w:firstLine="240" w:firstLineChars="1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w:t>
            </w:r>
          </w:p>
          <w:p w14:paraId="039D77FD">
            <w:pPr>
              <w:tabs>
                <w:tab w:val="left" w:pos="480"/>
              </w:tabs>
              <w:spacing w:line="360" w:lineRule="auto"/>
              <w:ind w:firstLine="240" w:firstLineChars="1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签订日期：      年    月    日</w:t>
            </w:r>
          </w:p>
        </w:tc>
      </w:tr>
    </w:tbl>
    <w:p w14:paraId="08ECCA14">
      <w:pPr>
        <w:pStyle w:val="9"/>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rPr>
      </w:pPr>
    </w:p>
    <w:p w14:paraId="146AA5A2">
      <w:pPr>
        <w:rPr>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C8F5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3F92A7">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83F92A7">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9293C"/>
    <w:rsid w:val="1D073193"/>
    <w:rsid w:val="3C096491"/>
    <w:rsid w:val="4E5D09F9"/>
    <w:rsid w:val="7499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afterLines="0"/>
    </w:p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列出段落1"/>
    <w:qFormat/>
    <w:uiPriority w:val="34"/>
    <w:pPr>
      <w:widowControl w:val="0"/>
      <w:ind w:firstLine="420" w:firstLineChars="200"/>
      <w:jc w:val="both"/>
    </w:pPr>
    <w:rPr>
      <w:rFonts w:ascii="Calibri" w:hAnsi="Calibri" w:eastAsia="宋体" w:cs="黑体"/>
      <w:kern w:val="2"/>
      <w:sz w:val="24"/>
      <w:szCs w:val="22"/>
      <w:lang w:val="en-US" w:eastAsia="zh-CN" w:bidi="ar-SA"/>
    </w:rPr>
  </w:style>
  <w:style w:type="paragraph" w:customStyle="1" w:styleId="11">
    <w:name w:val="正文（缩进 2 字符）"/>
    <w:basedOn w:val="1"/>
    <w:qFormat/>
    <w:uiPriority w:val="0"/>
    <w:pPr>
      <w:spacing w:line="360" w:lineRule="auto"/>
      <w:ind w:firstLine="200" w:firstLineChars="200"/>
    </w:pPr>
    <w:rPr>
      <w:rFonts w:ascii="Calibri" w:hAnsi="Calibri" w:eastAsia="宋体"/>
      <w:szCs w:val="22"/>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4001</Words>
  <Characters>4018</Characters>
  <Lines>0</Lines>
  <Paragraphs>0</Paragraphs>
  <TotalTime>0</TotalTime>
  <ScaleCrop>false</ScaleCrop>
  <LinksUpToDate>false</LinksUpToDate>
  <CharactersWithSpaces>4184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2025-06-27T06:37:00Z</dcterms:created>
  <dc:creator>十</dc:creator>
  <cp:lastModifiedBy>Li_JF</cp:lastModifiedBy>
  <dcterms:modified xsi:type="dcterms:W3CDTF">2025-10-17T08:02:42Z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1FD0FAD603A84534AEF6F636D080BAE4_11</vt:lpwstr>
  </property>
  <property fmtid="{D5CDD505-2E9C-101B-9397-08002B2CF9AE}" pid="4" name="KSOTemplateDocerSaveRecord">
    <vt:lpwstr>eyJoZGlkIjoiMGEyMzlhN2VhYTZmZDVjZjJjMTAyOTgwYzBjNTM2YTgiLCJ1c2VySWQiOiIxMDMxMjc4NzA5In0=</vt:lpwstr>
  </property>
</Properties>
</file>