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5601">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YSGS-2025ZB1028</w:t>
      </w:r>
    </w:p>
    <w:p w14:paraId="746A5679">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771164E5">
      <w:pPr>
        <w:jc w:val="both"/>
        <w:rPr>
          <w:rFonts w:hint="eastAsia" w:hAnsi="宋体" w:eastAsia="宋体" w:cs="宋体"/>
          <w:b/>
          <w:sz w:val="56"/>
          <w:szCs w:val="56"/>
          <w:highlight w:val="none"/>
          <w:lang w:eastAsia="zh-CN"/>
        </w:rPr>
      </w:pPr>
    </w:p>
    <w:p w14:paraId="7A03CC97">
      <w:pPr>
        <w:keepNext w:val="0"/>
        <w:keepLines w:val="0"/>
        <w:widowControl/>
        <w:suppressLineNumbers w:val="0"/>
        <w:jc w:val="center"/>
        <w:rPr>
          <w:sz w:val="18"/>
          <w:szCs w:val="13"/>
        </w:rPr>
      </w:pPr>
      <w:r>
        <w:rPr>
          <w:rFonts w:hint="eastAsia" w:hAnsi="宋体" w:cs="宋体"/>
          <w:b/>
          <w:sz w:val="44"/>
          <w:szCs w:val="44"/>
          <w:highlight w:val="none"/>
          <w:lang w:val="en-US" w:eastAsia="zh-CN"/>
        </w:rPr>
        <w:t>商洛市柞水县2025年省级林业草原改革发展资金林下经济发展补助项目</w:t>
      </w:r>
    </w:p>
    <w:p w14:paraId="5400C462">
      <w:pPr>
        <w:jc w:val="center"/>
        <w:rPr>
          <w:rFonts w:hint="eastAsia" w:ascii="宋体" w:hAnsi="宋体" w:eastAsia="宋体" w:cs="宋体"/>
          <w:b/>
          <w:sz w:val="36"/>
          <w:szCs w:val="36"/>
          <w:highlight w:val="none"/>
        </w:rPr>
      </w:pPr>
    </w:p>
    <w:p w14:paraId="05A65171">
      <w:pPr>
        <w:spacing w:line="780" w:lineRule="auto"/>
        <w:jc w:val="both"/>
        <w:rPr>
          <w:rFonts w:hint="eastAsia" w:ascii="宋体" w:hAnsi="宋体" w:eastAsia="宋体" w:cs="宋体"/>
          <w:b/>
          <w:sz w:val="72"/>
          <w:szCs w:val="72"/>
          <w:highlight w:val="none"/>
        </w:rPr>
      </w:pPr>
    </w:p>
    <w:p w14:paraId="265D560A">
      <w:pPr>
        <w:spacing w:line="780" w:lineRule="auto"/>
        <w:jc w:val="both"/>
        <w:rPr>
          <w:rFonts w:hint="eastAsia" w:ascii="宋体" w:hAnsi="宋体" w:eastAsia="宋体" w:cs="宋体"/>
          <w:b/>
          <w:sz w:val="72"/>
          <w:szCs w:val="72"/>
          <w:highlight w:val="none"/>
        </w:rPr>
      </w:pPr>
    </w:p>
    <w:p w14:paraId="67F6B1B7">
      <w:pPr>
        <w:spacing w:line="780" w:lineRule="auto"/>
        <w:jc w:val="both"/>
        <w:rPr>
          <w:rFonts w:hint="eastAsia" w:ascii="宋体" w:hAnsi="宋体" w:eastAsia="宋体" w:cs="宋体"/>
          <w:b/>
          <w:sz w:val="72"/>
          <w:szCs w:val="72"/>
          <w:highlight w:val="none"/>
        </w:rPr>
      </w:pPr>
    </w:p>
    <w:p w14:paraId="139C4F36">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013E49D8">
      <w:pPr>
        <w:rPr>
          <w:rFonts w:hint="eastAsia" w:ascii="宋体" w:hAnsi="宋体" w:eastAsia="宋体" w:cs="宋体"/>
          <w:highlight w:val="none"/>
        </w:rPr>
      </w:pPr>
      <w:bookmarkStart w:id="0" w:name="_Toc363463325"/>
    </w:p>
    <w:p w14:paraId="6DF043EA">
      <w:pPr>
        <w:rPr>
          <w:rFonts w:hint="eastAsia" w:ascii="宋体" w:hAnsi="宋体" w:eastAsia="宋体" w:cs="宋体"/>
          <w:highlight w:val="none"/>
        </w:rPr>
      </w:pPr>
    </w:p>
    <w:p w14:paraId="454E1A96">
      <w:pPr>
        <w:rPr>
          <w:rFonts w:hint="eastAsia" w:ascii="宋体" w:hAnsi="宋体" w:eastAsia="宋体" w:cs="宋体"/>
          <w:highlight w:val="none"/>
        </w:rPr>
      </w:pPr>
    </w:p>
    <w:bookmarkEnd w:id="0"/>
    <w:p w14:paraId="5DE510CC">
      <w:pPr>
        <w:rPr>
          <w:rFonts w:hint="eastAsia" w:ascii="宋体" w:hAnsi="宋体" w:eastAsia="宋体" w:cs="宋体"/>
          <w:sz w:val="18"/>
          <w:szCs w:val="18"/>
          <w:highlight w:val="none"/>
        </w:rPr>
      </w:pPr>
    </w:p>
    <w:p w14:paraId="563ACD36">
      <w:pPr>
        <w:pStyle w:val="15"/>
        <w:ind w:left="0" w:leftChars="0" w:firstLine="0" w:firstLineChars="0"/>
        <w:rPr>
          <w:rFonts w:hint="eastAsia" w:hAnsi="宋体" w:cs="宋体"/>
          <w:b/>
          <w:bCs/>
          <w:sz w:val="32"/>
          <w:szCs w:val="32"/>
          <w:highlight w:val="none"/>
          <w:lang w:eastAsia="zh-CN"/>
        </w:rPr>
      </w:pPr>
    </w:p>
    <w:p w14:paraId="36F5633D">
      <w:pPr>
        <w:rPr>
          <w:rFonts w:hint="eastAsia" w:hAnsi="宋体" w:cs="宋体"/>
          <w:b/>
          <w:bCs/>
          <w:sz w:val="32"/>
          <w:szCs w:val="32"/>
          <w:highlight w:val="none"/>
          <w:lang w:eastAsia="zh-CN"/>
        </w:rPr>
      </w:pPr>
    </w:p>
    <w:p w14:paraId="54A56C31">
      <w:pPr>
        <w:pStyle w:val="7"/>
        <w:rPr>
          <w:rFonts w:hint="eastAsia"/>
          <w:lang w:eastAsia="zh-CN"/>
        </w:rPr>
      </w:pPr>
    </w:p>
    <w:p w14:paraId="0E6891C2">
      <w:pPr>
        <w:jc w:val="center"/>
        <w:rPr>
          <w:rFonts w:hint="eastAsia" w:hAnsi="宋体" w:cs="宋体"/>
          <w:b/>
          <w:bCs/>
          <w:sz w:val="32"/>
          <w:szCs w:val="32"/>
          <w:highlight w:val="none"/>
          <w:lang w:eastAsia="zh-CN"/>
        </w:rPr>
      </w:pPr>
    </w:p>
    <w:p w14:paraId="0DBC988A">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陕西衍森项目管理有限公司</w:t>
      </w:r>
    </w:p>
    <w:p w14:paraId="49CF4C87">
      <w:pPr>
        <w:pStyle w:val="9"/>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十一</w:t>
      </w:r>
      <w:r>
        <w:rPr>
          <w:rFonts w:hint="eastAsia" w:ascii="宋体" w:hAnsi="宋体" w:eastAsia="宋体" w:cs="宋体"/>
          <w:b/>
          <w:bCs/>
          <w:sz w:val="32"/>
          <w:szCs w:val="32"/>
          <w:highlight w:val="none"/>
        </w:rPr>
        <w:t>月</w:t>
      </w:r>
    </w:p>
    <w:p w14:paraId="6DCEAF8E">
      <w:pPr>
        <w:rPr>
          <w:rFonts w:hint="eastAsia" w:ascii="宋体" w:hAnsi="宋体" w:eastAsia="宋体" w:cs="宋体"/>
          <w:highlight w:val="none"/>
        </w:rPr>
      </w:pPr>
    </w:p>
    <w:p w14:paraId="056AF34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78B41BE2">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bookmarkStart w:id="1" w:name="_Toc21518"/>
      <w:bookmarkStart w:id="2" w:name="_Toc16218"/>
      <w:bookmarkStart w:id="3" w:name="_Toc20652"/>
      <w:bookmarkStart w:id="4" w:name="_Toc5293"/>
      <w:bookmarkStart w:id="5" w:name="_Toc389582033"/>
      <w:bookmarkStart w:id="6" w:name="_Toc20858"/>
      <w:bookmarkStart w:id="7" w:name="_Toc19886"/>
      <w:bookmarkStart w:id="8" w:name="_Toc27420"/>
      <w:bookmarkStart w:id="9" w:name="_Toc363473971"/>
      <w:bookmarkStart w:id="10" w:name="_Toc363474016"/>
      <w:bookmarkStart w:id="11" w:name="_Toc403077638"/>
      <w:r>
        <w:rPr>
          <w:rFonts w:hint="eastAsia" w:ascii="宋体" w:hAnsi="宋体" w:eastAsia="宋体" w:cs="宋体"/>
          <w:bCs/>
          <w:sz w:val="44"/>
          <w:szCs w:val="44"/>
          <w:highlight w:val="none"/>
        </w:rPr>
        <w:fldChar w:fldCharType="begin"/>
      </w:r>
      <w:r>
        <w:rPr>
          <w:rFonts w:hint="eastAsia" w:ascii="宋体" w:hAnsi="宋体" w:eastAsia="宋体" w:cs="宋体"/>
          <w:bCs/>
          <w:sz w:val="44"/>
          <w:szCs w:val="44"/>
          <w:highlight w:val="none"/>
        </w:rPr>
        <w:instrText xml:space="preserve">TOC \o "1-4" \h \u </w:instrText>
      </w:r>
      <w:r>
        <w:rPr>
          <w:rFonts w:hint="eastAsia" w:ascii="宋体" w:hAnsi="宋体" w:eastAsia="宋体" w:cs="宋体"/>
          <w:bCs/>
          <w:sz w:val="44"/>
          <w:szCs w:val="44"/>
          <w:highlight w:val="none"/>
        </w:rPr>
        <w:fldChar w:fldCharType="separate"/>
      </w: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_Toc16500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第一章  竞争性磋商公告</w:t>
      </w:r>
      <w:r>
        <w:rPr>
          <w:sz w:val="28"/>
          <w:szCs w:val="21"/>
        </w:rPr>
        <w:tab/>
      </w:r>
      <w:r>
        <w:rPr>
          <w:sz w:val="28"/>
          <w:szCs w:val="21"/>
        </w:rPr>
        <w:fldChar w:fldCharType="begin"/>
      </w:r>
      <w:r>
        <w:rPr>
          <w:sz w:val="28"/>
          <w:szCs w:val="21"/>
        </w:rPr>
        <w:instrText xml:space="preserve"> PAGEREF _Toc16500 \h </w:instrText>
      </w:r>
      <w:r>
        <w:rPr>
          <w:sz w:val="28"/>
          <w:szCs w:val="21"/>
        </w:rPr>
        <w:fldChar w:fldCharType="separate"/>
      </w:r>
      <w:r>
        <w:rPr>
          <w:sz w:val="28"/>
          <w:szCs w:val="21"/>
        </w:rPr>
        <w:t>2</w:t>
      </w:r>
      <w:r>
        <w:rPr>
          <w:sz w:val="28"/>
          <w:szCs w:val="21"/>
        </w:rPr>
        <w:fldChar w:fldCharType="end"/>
      </w:r>
      <w:r>
        <w:rPr>
          <w:rFonts w:hint="eastAsia" w:ascii="宋体" w:hAnsi="宋体" w:eastAsia="宋体" w:cs="宋体"/>
          <w:bCs/>
          <w:sz w:val="28"/>
          <w:szCs w:val="44"/>
          <w:highlight w:val="none"/>
        </w:rPr>
        <w:fldChar w:fldCharType="end"/>
      </w:r>
    </w:p>
    <w:p w14:paraId="071BBE26">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_Toc24490 </w:instrText>
      </w:r>
      <w:r>
        <w:rPr>
          <w:rFonts w:hint="eastAsia" w:ascii="宋体" w:hAnsi="宋体" w:eastAsia="宋体" w:cs="宋体"/>
          <w:bCs/>
          <w:sz w:val="28"/>
          <w:szCs w:val="44"/>
          <w:highlight w:val="none"/>
        </w:rPr>
        <w:fldChar w:fldCharType="separate"/>
      </w:r>
      <w:r>
        <w:rPr>
          <w:rFonts w:hint="eastAsia" w:ascii="宋体" w:hAnsi="宋体" w:eastAsia="宋体" w:cs="宋体"/>
          <w:bCs/>
          <w:kern w:val="2"/>
          <w:sz w:val="28"/>
          <w:szCs w:val="40"/>
          <w:highlight w:val="none"/>
        </w:rPr>
        <w:t>第二章  供应商须知</w:t>
      </w:r>
      <w:r>
        <w:rPr>
          <w:sz w:val="28"/>
          <w:szCs w:val="21"/>
        </w:rPr>
        <w:tab/>
      </w:r>
      <w:r>
        <w:rPr>
          <w:sz w:val="28"/>
          <w:szCs w:val="21"/>
        </w:rPr>
        <w:fldChar w:fldCharType="begin"/>
      </w:r>
      <w:r>
        <w:rPr>
          <w:sz w:val="28"/>
          <w:szCs w:val="21"/>
        </w:rPr>
        <w:instrText xml:space="preserve"> PAGEREF _Toc24490 \h </w:instrText>
      </w:r>
      <w:r>
        <w:rPr>
          <w:sz w:val="28"/>
          <w:szCs w:val="21"/>
        </w:rPr>
        <w:fldChar w:fldCharType="separate"/>
      </w:r>
      <w:r>
        <w:rPr>
          <w:sz w:val="28"/>
          <w:szCs w:val="21"/>
        </w:rPr>
        <w:t>6</w:t>
      </w:r>
      <w:r>
        <w:rPr>
          <w:sz w:val="28"/>
          <w:szCs w:val="21"/>
        </w:rPr>
        <w:fldChar w:fldCharType="end"/>
      </w:r>
      <w:r>
        <w:rPr>
          <w:rFonts w:hint="eastAsia" w:ascii="宋体" w:hAnsi="宋体" w:eastAsia="宋体" w:cs="宋体"/>
          <w:bCs/>
          <w:sz w:val="28"/>
          <w:szCs w:val="44"/>
          <w:highlight w:val="none"/>
        </w:rPr>
        <w:fldChar w:fldCharType="end"/>
      </w:r>
    </w:p>
    <w:p w14:paraId="532A1136">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_Toc14800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1"/>
        </w:rPr>
        <w:t xml:space="preserve">第三章 </w:t>
      </w:r>
      <w:r>
        <w:rPr>
          <w:rFonts w:hint="eastAsia" w:hAnsi="宋体" w:cs="宋体"/>
          <w:sz w:val="28"/>
          <w:szCs w:val="21"/>
          <w:lang w:val="en-US" w:eastAsia="zh-CN"/>
        </w:rPr>
        <w:t xml:space="preserve"> </w:t>
      </w:r>
      <w:r>
        <w:rPr>
          <w:rFonts w:hint="eastAsia" w:ascii="宋体" w:hAnsi="宋体" w:eastAsia="宋体" w:cs="宋体"/>
          <w:bCs/>
          <w:sz w:val="28"/>
          <w:szCs w:val="40"/>
          <w:highlight w:val="none"/>
        </w:rPr>
        <w:t>评审方法</w:t>
      </w:r>
      <w:r>
        <w:rPr>
          <w:sz w:val="28"/>
          <w:szCs w:val="21"/>
        </w:rPr>
        <w:tab/>
      </w:r>
      <w:r>
        <w:rPr>
          <w:sz w:val="28"/>
          <w:szCs w:val="21"/>
        </w:rPr>
        <w:fldChar w:fldCharType="begin"/>
      </w:r>
      <w:r>
        <w:rPr>
          <w:sz w:val="28"/>
          <w:szCs w:val="21"/>
        </w:rPr>
        <w:instrText xml:space="preserve"> PAGEREF _Toc14800 \h </w:instrText>
      </w:r>
      <w:r>
        <w:rPr>
          <w:sz w:val="28"/>
          <w:szCs w:val="21"/>
        </w:rPr>
        <w:fldChar w:fldCharType="separate"/>
      </w:r>
      <w:r>
        <w:rPr>
          <w:sz w:val="28"/>
          <w:szCs w:val="21"/>
        </w:rPr>
        <w:t>23</w:t>
      </w:r>
      <w:r>
        <w:rPr>
          <w:sz w:val="28"/>
          <w:szCs w:val="21"/>
        </w:rPr>
        <w:fldChar w:fldCharType="end"/>
      </w:r>
      <w:r>
        <w:rPr>
          <w:rFonts w:hint="eastAsia" w:ascii="宋体" w:hAnsi="宋体" w:eastAsia="宋体" w:cs="宋体"/>
          <w:bCs/>
          <w:sz w:val="28"/>
          <w:szCs w:val="44"/>
          <w:highlight w:val="none"/>
        </w:rPr>
        <w:fldChar w:fldCharType="end"/>
      </w:r>
    </w:p>
    <w:p w14:paraId="75215EE9">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_Toc21581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rPr>
        <w:tab/>
      </w:r>
      <w:r>
        <w:rPr>
          <w:sz w:val="28"/>
          <w:szCs w:val="21"/>
        </w:rPr>
        <w:fldChar w:fldCharType="begin"/>
      </w:r>
      <w:r>
        <w:rPr>
          <w:sz w:val="28"/>
          <w:szCs w:val="21"/>
        </w:rPr>
        <w:instrText xml:space="preserve"> PAGEREF _Toc21581 \h </w:instrText>
      </w:r>
      <w:r>
        <w:rPr>
          <w:sz w:val="28"/>
          <w:szCs w:val="21"/>
        </w:rPr>
        <w:fldChar w:fldCharType="separate"/>
      </w:r>
      <w:r>
        <w:rPr>
          <w:sz w:val="28"/>
          <w:szCs w:val="21"/>
        </w:rPr>
        <w:t>27</w:t>
      </w:r>
      <w:r>
        <w:rPr>
          <w:sz w:val="28"/>
          <w:szCs w:val="21"/>
        </w:rPr>
        <w:fldChar w:fldCharType="end"/>
      </w:r>
      <w:r>
        <w:rPr>
          <w:rFonts w:hint="eastAsia" w:ascii="宋体" w:hAnsi="宋体" w:eastAsia="宋体" w:cs="宋体"/>
          <w:bCs/>
          <w:sz w:val="28"/>
          <w:szCs w:val="44"/>
          <w:highlight w:val="none"/>
        </w:rPr>
        <w:fldChar w:fldCharType="end"/>
      </w:r>
    </w:p>
    <w:p w14:paraId="36D56D14">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_Toc565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rPr>
        <w:tab/>
      </w:r>
      <w:r>
        <w:rPr>
          <w:sz w:val="28"/>
          <w:szCs w:val="21"/>
        </w:rPr>
        <w:fldChar w:fldCharType="begin"/>
      </w:r>
      <w:r>
        <w:rPr>
          <w:sz w:val="28"/>
          <w:szCs w:val="21"/>
        </w:rPr>
        <w:instrText xml:space="preserve"> PAGEREF _Toc565 \h </w:instrText>
      </w:r>
      <w:r>
        <w:rPr>
          <w:sz w:val="28"/>
          <w:szCs w:val="21"/>
        </w:rPr>
        <w:fldChar w:fldCharType="separate"/>
      </w:r>
      <w:r>
        <w:rPr>
          <w:sz w:val="28"/>
          <w:szCs w:val="21"/>
        </w:rPr>
        <w:t>30</w:t>
      </w:r>
      <w:r>
        <w:rPr>
          <w:sz w:val="28"/>
          <w:szCs w:val="21"/>
        </w:rPr>
        <w:fldChar w:fldCharType="end"/>
      </w:r>
      <w:r>
        <w:rPr>
          <w:rFonts w:hint="eastAsia" w:ascii="宋体" w:hAnsi="宋体" w:eastAsia="宋体" w:cs="宋体"/>
          <w:bCs/>
          <w:sz w:val="28"/>
          <w:szCs w:val="44"/>
          <w:highlight w:val="none"/>
        </w:rPr>
        <w:fldChar w:fldCharType="end"/>
      </w:r>
    </w:p>
    <w:p w14:paraId="0CCEBCDC">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_Toc242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rPr>
        <w:tab/>
      </w:r>
      <w:r>
        <w:rPr>
          <w:sz w:val="28"/>
          <w:szCs w:val="21"/>
        </w:rPr>
        <w:fldChar w:fldCharType="begin"/>
      </w:r>
      <w:r>
        <w:rPr>
          <w:sz w:val="28"/>
          <w:szCs w:val="21"/>
        </w:rPr>
        <w:instrText xml:space="preserve"> PAGEREF _Toc242 \h </w:instrText>
      </w:r>
      <w:r>
        <w:rPr>
          <w:sz w:val="28"/>
          <w:szCs w:val="21"/>
        </w:rPr>
        <w:fldChar w:fldCharType="separate"/>
      </w:r>
      <w:r>
        <w:rPr>
          <w:sz w:val="28"/>
          <w:szCs w:val="21"/>
        </w:rPr>
        <w:t>42</w:t>
      </w:r>
      <w:r>
        <w:rPr>
          <w:sz w:val="28"/>
          <w:szCs w:val="21"/>
        </w:rPr>
        <w:fldChar w:fldCharType="end"/>
      </w:r>
      <w:r>
        <w:rPr>
          <w:rFonts w:hint="eastAsia" w:ascii="宋体" w:hAnsi="宋体" w:eastAsia="宋体" w:cs="宋体"/>
          <w:bCs/>
          <w:sz w:val="28"/>
          <w:szCs w:val="44"/>
          <w:highlight w:val="none"/>
        </w:rPr>
        <w:fldChar w:fldCharType="end"/>
      </w:r>
    </w:p>
    <w:p w14:paraId="5C9CA0C6">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4"/>
          <w:highlight w:val="none"/>
        </w:rPr>
        <w:fldChar w:fldCharType="end"/>
      </w:r>
    </w:p>
    <w:p w14:paraId="12582E31">
      <w:pPr>
        <w:pStyle w:val="3"/>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14:paraId="6059A5F4">
      <w:pPr>
        <w:pStyle w:val="3"/>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423973071"/>
      <w:bookmarkStart w:id="13" w:name="_Toc16500"/>
      <w:bookmarkStart w:id="14" w:name="_Toc2705"/>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14:paraId="614366DF">
      <w:pPr>
        <w:pStyle w:val="29"/>
        <w:spacing w:line="360" w:lineRule="auto"/>
        <w:outlineLvl w:val="5"/>
        <w:rPr>
          <w:rFonts w:hint="eastAsia" w:ascii="宋体" w:hAnsi="宋体" w:eastAsia="宋体" w:cs="宋体"/>
          <w:sz w:val="24"/>
          <w:szCs w:val="24"/>
        </w:rPr>
      </w:pPr>
      <w:bookmarkStart w:id="15" w:name="_Toc2929"/>
      <w:bookmarkStart w:id="16" w:name="_Toc389582035"/>
      <w:bookmarkStart w:id="17" w:name="_Toc29249"/>
      <w:bookmarkStart w:id="18" w:name="_Toc423973072"/>
      <w:r>
        <w:rPr>
          <w:rFonts w:hint="eastAsia" w:ascii="宋体" w:hAnsi="宋体" w:eastAsia="宋体" w:cs="宋体"/>
          <w:b/>
          <w:sz w:val="24"/>
          <w:szCs w:val="24"/>
        </w:rPr>
        <w:t>项目概况</w:t>
      </w:r>
    </w:p>
    <w:p w14:paraId="6B0D42CC">
      <w:pPr>
        <w:pStyle w:val="2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商洛市柞水县2025年省级林业草原改革发展资金林下经济发展补助项目采购项目的潜在供应商应在邮箱获取采购文件，并于 2025年11月12日 14时00分 （北京时间）前提交响应文件。</w:t>
      </w:r>
    </w:p>
    <w:p w14:paraId="325E0961">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626FC9F9">
      <w:pPr>
        <w:pStyle w:val="29"/>
        <w:spacing w:line="360" w:lineRule="auto"/>
        <w:rPr>
          <w:rFonts w:hint="eastAsia" w:ascii="宋体" w:hAnsi="宋体" w:eastAsia="宋体" w:cs="宋体"/>
          <w:sz w:val="24"/>
          <w:szCs w:val="24"/>
        </w:rPr>
      </w:pPr>
      <w:r>
        <w:rPr>
          <w:rFonts w:hint="eastAsia" w:ascii="宋体" w:hAnsi="宋体" w:eastAsia="宋体" w:cs="宋体"/>
          <w:sz w:val="24"/>
          <w:szCs w:val="24"/>
        </w:rPr>
        <w:t>项目编号：YSGS-2025ZB1028</w:t>
      </w:r>
    </w:p>
    <w:p w14:paraId="63B43A56">
      <w:pPr>
        <w:pStyle w:val="29"/>
        <w:spacing w:line="360" w:lineRule="auto"/>
        <w:rPr>
          <w:rFonts w:hint="eastAsia" w:ascii="宋体" w:hAnsi="宋体" w:eastAsia="宋体" w:cs="宋体"/>
          <w:sz w:val="24"/>
          <w:szCs w:val="24"/>
        </w:rPr>
      </w:pPr>
      <w:r>
        <w:rPr>
          <w:rFonts w:hint="eastAsia" w:ascii="宋体" w:hAnsi="宋体" w:eastAsia="宋体" w:cs="宋体"/>
          <w:sz w:val="24"/>
          <w:szCs w:val="24"/>
        </w:rPr>
        <w:t>项目名称：商洛市柞水县2025年省级林业草原改革发展资金林下经济发展补助项目</w:t>
      </w:r>
    </w:p>
    <w:p w14:paraId="6584CB10">
      <w:pPr>
        <w:pStyle w:val="29"/>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A801C8F">
      <w:pPr>
        <w:pStyle w:val="29"/>
        <w:spacing w:line="360" w:lineRule="auto"/>
        <w:rPr>
          <w:rFonts w:hint="eastAsia" w:ascii="宋体" w:hAnsi="宋体" w:eastAsia="宋体" w:cs="宋体"/>
          <w:sz w:val="24"/>
          <w:szCs w:val="24"/>
        </w:rPr>
      </w:pPr>
      <w:r>
        <w:rPr>
          <w:rFonts w:hint="eastAsia" w:ascii="宋体" w:hAnsi="宋体" w:eastAsia="宋体" w:cs="宋体"/>
          <w:sz w:val="24"/>
          <w:szCs w:val="24"/>
        </w:rPr>
        <w:t>预算金额：400,000.00元</w:t>
      </w:r>
    </w:p>
    <w:p w14:paraId="4547957A">
      <w:pPr>
        <w:pStyle w:val="29"/>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0A923DBD">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合同包1(商洛市柞水县2025年省级林业草原改革发展资金林下经济发展补助项目):</w:t>
      </w:r>
    </w:p>
    <w:p w14:paraId="03A0A056">
      <w:pPr>
        <w:pStyle w:val="29"/>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合同包预算金额：400,000.00元</w:t>
      </w:r>
    </w:p>
    <w:p w14:paraId="48192742">
      <w:pPr>
        <w:pStyle w:val="29"/>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合同包最高限价：400,000.00元</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4"/>
        <w:gridCol w:w="1544"/>
        <w:gridCol w:w="1544"/>
        <w:gridCol w:w="1544"/>
        <w:gridCol w:w="1544"/>
        <w:gridCol w:w="1579"/>
      </w:tblGrid>
      <w:tr w14:paraId="297C3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8" w:hRule="atLeast"/>
          <w:jc w:val="center"/>
        </w:trPr>
        <w:tc>
          <w:tcPr>
            <w:tcW w:w="1544" w:type="dxa"/>
            <w:vAlign w:val="center"/>
          </w:tcPr>
          <w:p w14:paraId="2BABCD92">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44" w:type="dxa"/>
            <w:vAlign w:val="center"/>
          </w:tcPr>
          <w:p w14:paraId="21F71D90">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44" w:type="dxa"/>
            <w:vAlign w:val="center"/>
          </w:tcPr>
          <w:p w14:paraId="6FDE0674">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44" w:type="dxa"/>
            <w:vAlign w:val="center"/>
          </w:tcPr>
          <w:p w14:paraId="011EF7C4">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44" w:type="dxa"/>
            <w:vAlign w:val="center"/>
          </w:tcPr>
          <w:p w14:paraId="188C9515">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79" w:type="dxa"/>
            <w:vAlign w:val="center"/>
          </w:tcPr>
          <w:p w14:paraId="1E3BE4F9">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2A47E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2" w:hRule="atLeast"/>
          <w:jc w:val="center"/>
        </w:trPr>
        <w:tc>
          <w:tcPr>
            <w:tcW w:w="1544" w:type="dxa"/>
            <w:vAlign w:val="center"/>
          </w:tcPr>
          <w:p w14:paraId="1313F3AB">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544" w:type="dxa"/>
            <w:vAlign w:val="center"/>
          </w:tcPr>
          <w:p w14:paraId="4C44AFE2">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其他林业服务</w:t>
            </w:r>
          </w:p>
        </w:tc>
        <w:tc>
          <w:tcPr>
            <w:tcW w:w="1544" w:type="dxa"/>
            <w:vAlign w:val="center"/>
          </w:tcPr>
          <w:p w14:paraId="748080EE">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在柞水县曹坪镇窑镇社区林下种植玄参300亩</w:t>
            </w:r>
          </w:p>
        </w:tc>
        <w:tc>
          <w:tcPr>
            <w:tcW w:w="1544" w:type="dxa"/>
            <w:vAlign w:val="center"/>
          </w:tcPr>
          <w:p w14:paraId="5419F698">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300(亩)</w:t>
            </w:r>
          </w:p>
        </w:tc>
        <w:tc>
          <w:tcPr>
            <w:tcW w:w="1544" w:type="dxa"/>
            <w:vAlign w:val="center"/>
          </w:tcPr>
          <w:p w14:paraId="397294D1">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79" w:type="dxa"/>
            <w:vAlign w:val="center"/>
          </w:tcPr>
          <w:p w14:paraId="2D6158CF">
            <w:pPr>
              <w:pStyle w:val="29"/>
              <w:spacing w:line="360" w:lineRule="auto"/>
              <w:jc w:val="center"/>
              <w:rPr>
                <w:rFonts w:hint="eastAsia" w:ascii="宋体" w:hAnsi="宋体" w:eastAsia="宋体" w:cs="宋体"/>
                <w:sz w:val="24"/>
                <w:szCs w:val="24"/>
              </w:rPr>
            </w:pPr>
            <w:r>
              <w:rPr>
                <w:rFonts w:hint="eastAsia" w:ascii="宋体" w:hAnsi="宋体" w:eastAsia="宋体" w:cs="宋体"/>
                <w:sz w:val="24"/>
                <w:szCs w:val="24"/>
              </w:rPr>
              <w:t>400,000.00</w:t>
            </w:r>
          </w:p>
        </w:tc>
      </w:tr>
    </w:tbl>
    <w:p w14:paraId="516191F7">
      <w:pPr>
        <w:pStyle w:val="29"/>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9AEF028">
      <w:pPr>
        <w:pStyle w:val="29"/>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3A81BA6E">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392D13CC">
      <w:pPr>
        <w:pStyle w:val="29"/>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508CFE3">
      <w:pPr>
        <w:pStyle w:val="29"/>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03F7F61">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合同包1(商洛市柞水县2025年省级林业草原改革发展资金林下经济发展补助项目)落实政府采购政策需满足的资格要求如下:</w:t>
      </w:r>
    </w:p>
    <w:p w14:paraId="741DB7C4">
      <w:pPr>
        <w:pStyle w:val="29"/>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63ECD064">
      <w:pPr>
        <w:pStyle w:val="29"/>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CC0AB2C">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合同包1(商洛市柞水县2025年省级林业草原改革发展资金林下经济发展补助项目)特定资格要求如下:</w:t>
      </w:r>
    </w:p>
    <w:p w14:paraId="5B02D93A">
      <w:pPr>
        <w:pStyle w:val="29"/>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7B0C1FC0">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51504704">
      <w:pPr>
        <w:pStyle w:val="29"/>
        <w:spacing w:line="360" w:lineRule="auto"/>
        <w:rPr>
          <w:rFonts w:hint="eastAsia" w:ascii="宋体" w:hAnsi="宋体" w:eastAsia="宋体" w:cs="宋体"/>
          <w:sz w:val="24"/>
          <w:szCs w:val="24"/>
        </w:rPr>
      </w:pPr>
      <w:r>
        <w:rPr>
          <w:rFonts w:hint="eastAsia" w:ascii="宋体" w:hAnsi="宋体" w:eastAsia="宋体" w:cs="宋体"/>
          <w:sz w:val="24"/>
          <w:szCs w:val="24"/>
        </w:rPr>
        <w:t>时间： 2025年10月31日 至 2025年11月06日 ，每天上午 09:00:00 至 12:00:00 ，下午 14:00:00 至 17:00:00 （北京时间）</w:t>
      </w:r>
    </w:p>
    <w:p w14:paraId="05A6FDF3">
      <w:pPr>
        <w:pStyle w:val="29"/>
        <w:spacing w:line="360" w:lineRule="auto"/>
        <w:rPr>
          <w:rFonts w:hint="eastAsia" w:ascii="宋体" w:hAnsi="宋体" w:eastAsia="宋体" w:cs="宋体"/>
          <w:sz w:val="24"/>
          <w:szCs w:val="24"/>
        </w:rPr>
      </w:pPr>
      <w:r>
        <w:rPr>
          <w:rFonts w:hint="eastAsia" w:ascii="宋体" w:hAnsi="宋体" w:eastAsia="宋体" w:cs="宋体"/>
          <w:sz w:val="24"/>
          <w:szCs w:val="24"/>
        </w:rPr>
        <w:t>途径：邮箱</w:t>
      </w:r>
    </w:p>
    <w:p w14:paraId="2466146A">
      <w:pPr>
        <w:pStyle w:val="29"/>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71F62051">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3C0ECFA8">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A328EED">
      <w:pPr>
        <w:pStyle w:val="29"/>
        <w:spacing w:line="360" w:lineRule="auto"/>
        <w:rPr>
          <w:rFonts w:hint="eastAsia" w:ascii="宋体" w:hAnsi="宋体" w:eastAsia="宋体" w:cs="宋体"/>
          <w:sz w:val="24"/>
          <w:szCs w:val="24"/>
        </w:rPr>
      </w:pPr>
      <w:r>
        <w:rPr>
          <w:rFonts w:hint="eastAsia" w:ascii="宋体" w:hAnsi="宋体" w:eastAsia="宋体" w:cs="宋体"/>
          <w:sz w:val="24"/>
          <w:szCs w:val="24"/>
        </w:rPr>
        <w:t>截止时间： 2025年11月12日 14时00分00秒 （北京时间）</w:t>
      </w:r>
    </w:p>
    <w:p w14:paraId="78BFBD84">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地点：陕西省西安市浐灞生态区欧亚大道3399号欧亚国际一期B座0712室</w:t>
      </w:r>
    </w:p>
    <w:p w14:paraId="598F14D1">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2E8A4FF7">
      <w:pPr>
        <w:pStyle w:val="29"/>
        <w:spacing w:line="360" w:lineRule="auto"/>
        <w:rPr>
          <w:rFonts w:hint="eastAsia" w:ascii="宋体" w:hAnsi="宋体" w:eastAsia="宋体" w:cs="宋体"/>
          <w:sz w:val="24"/>
          <w:szCs w:val="24"/>
        </w:rPr>
      </w:pPr>
      <w:r>
        <w:rPr>
          <w:rFonts w:hint="eastAsia" w:ascii="宋体" w:hAnsi="宋体" w:eastAsia="宋体" w:cs="宋体"/>
          <w:sz w:val="24"/>
          <w:szCs w:val="24"/>
        </w:rPr>
        <w:t>时间： 2025年11月12日 14时00分00秒 （北京时间）</w:t>
      </w:r>
    </w:p>
    <w:p w14:paraId="6FAC1656">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地点：陕西省西安市浐灞生态区欧亚大道3399号欧亚国际一期B座0712室</w:t>
      </w:r>
    </w:p>
    <w:p w14:paraId="55D16213">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3CB9E835">
      <w:pPr>
        <w:pStyle w:val="29"/>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D20CA2F">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6479095C">
      <w:pPr>
        <w:pStyle w:val="29"/>
        <w:spacing w:line="360" w:lineRule="auto"/>
        <w:rPr>
          <w:rFonts w:hint="eastAsia" w:ascii="宋体" w:hAnsi="宋体" w:eastAsia="宋体" w:cs="宋体"/>
          <w:sz w:val="24"/>
          <w:szCs w:val="24"/>
        </w:rPr>
      </w:pPr>
      <w:r>
        <w:rPr>
          <w:rFonts w:hint="eastAsia" w:ascii="宋体" w:hAnsi="宋体" w:eastAsia="宋体" w:cs="宋体"/>
          <w:color w:val="000000"/>
          <w:sz w:val="24"/>
          <w:szCs w:val="24"/>
        </w:rPr>
        <w:t>（1）投标人领取标书方式：请将单位介绍信及经办人身份证复印件加盖公章的电子扫描件在文件发售期内发送至项目负责人邮箱（1045112614@qq.com），并及时告知采购代理机构确认，待审核确认无误后通过邮箱向供应商发送报名登记表；</w:t>
      </w:r>
    </w:p>
    <w:p w14:paraId="6092C2CF">
      <w:pPr>
        <w:pStyle w:val="29"/>
        <w:spacing w:line="360" w:lineRule="auto"/>
        <w:rPr>
          <w:rFonts w:hint="eastAsia" w:ascii="宋体" w:hAnsi="宋体" w:eastAsia="宋体" w:cs="宋体"/>
          <w:sz w:val="24"/>
          <w:szCs w:val="24"/>
        </w:rPr>
      </w:pPr>
      <w:r>
        <w:rPr>
          <w:rFonts w:hint="eastAsia" w:ascii="宋体" w:hAnsi="宋体" w:eastAsia="宋体" w:cs="宋体"/>
          <w:color w:val="000000"/>
          <w:sz w:val="24"/>
          <w:szCs w:val="24"/>
        </w:rPr>
        <w:t>（2）请供应商按照《陕西省财政厅关于政府采购供应商注册登记有关事项的通知》中的要求，通过陕西省政府采购网（http://www.ccgp-shaanxi.gov.cn/）注册登记加入陕西省政府采购供应商库；</w:t>
      </w:r>
    </w:p>
    <w:p w14:paraId="568BBF33">
      <w:pPr>
        <w:pStyle w:val="29"/>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（3）本项目专门面向中小企业采购。</w:t>
      </w:r>
    </w:p>
    <w:p w14:paraId="27D355EA">
      <w:pPr>
        <w:pStyle w:val="29"/>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FBBF00E">
      <w:pPr>
        <w:pStyle w:val="29"/>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B549E10">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名称：柞水县林特产业发展中心</w:t>
      </w:r>
    </w:p>
    <w:p w14:paraId="0109DD78">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地址：柞水县下梁镇沙坪社区</w:t>
      </w:r>
    </w:p>
    <w:p w14:paraId="7DBDBA90">
      <w:pPr>
        <w:pStyle w:val="29"/>
        <w:spacing w:line="360" w:lineRule="auto"/>
        <w:rPr>
          <w:rFonts w:hint="eastAsia" w:ascii="宋体" w:hAnsi="宋体" w:eastAsia="宋体" w:cs="宋体"/>
          <w:sz w:val="24"/>
          <w:szCs w:val="24"/>
        </w:rPr>
      </w:pPr>
      <w:r>
        <w:rPr>
          <w:rFonts w:hint="eastAsia" w:ascii="宋体" w:hAnsi="宋体" w:eastAsia="宋体" w:cs="宋体"/>
          <w:sz w:val="24"/>
          <w:szCs w:val="24"/>
        </w:rPr>
        <w:t>联系方式：17829286956</w:t>
      </w:r>
    </w:p>
    <w:p w14:paraId="2FFFAC18">
      <w:pPr>
        <w:pStyle w:val="29"/>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3167377">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名称：陕西衍森项目管理有限公司</w:t>
      </w:r>
    </w:p>
    <w:p w14:paraId="0656336E">
      <w:pPr>
        <w:pStyle w:val="29"/>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地址：陕西省西安市浐灞生态区欧亚大道3399号欧亚国际一期B座0712室</w:t>
      </w:r>
    </w:p>
    <w:p w14:paraId="508FD8D2">
      <w:pPr>
        <w:pStyle w:val="29"/>
        <w:spacing w:line="360" w:lineRule="auto"/>
        <w:rPr>
          <w:rFonts w:hint="eastAsia" w:ascii="宋体" w:hAnsi="宋体" w:eastAsia="宋体" w:cs="宋体"/>
          <w:sz w:val="24"/>
          <w:szCs w:val="24"/>
        </w:rPr>
      </w:pPr>
      <w:r>
        <w:rPr>
          <w:rFonts w:hint="eastAsia" w:ascii="宋体" w:hAnsi="宋体" w:eastAsia="宋体" w:cs="宋体"/>
          <w:sz w:val="24"/>
          <w:szCs w:val="24"/>
        </w:rPr>
        <w:t>联系方式：18202922130</w:t>
      </w:r>
    </w:p>
    <w:p w14:paraId="28972687">
      <w:pPr>
        <w:pStyle w:val="29"/>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80F64DC">
      <w:pPr>
        <w:pStyle w:val="29"/>
        <w:spacing w:line="360" w:lineRule="auto"/>
        <w:rPr>
          <w:rFonts w:hint="eastAsia" w:ascii="宋体" w:hAnsi="宋体" w:eastAsia="宋体" w:cs="宋体"/>
          <w:sz w:val="24"/>
          <w:szCs w:val="24"/>
        </w:rPr>
      </w:pPr>
      <w:r>
        <w:rPr>
          <w:rFonts w:hint="eastAsia" w:ascii="宋体" w:hAnsi="宋体" w:eastAsia="宋体" w:cs="宋体"/>
          <w:sz w:val="24"/>
          <w:szCs w:val="24"/>
        </w:rPr>
        <w:t>项目联系人：白琪琪、张乐</w:t>
      </w:r>
    </w:p>
    <w:p w14:paraId="03A0A503">
      <w:pPr>
        <w:pStyle w:val="29"/>
        <w:spacing w:line="360" w:lineRule="auto"/>
        <w:rPr>
          <w:rFonts w:hint="eastAsia" w:ascii="宋体" w:hAnsi="宋体" w:eastAsia="宋体" w:cs="宋体"/>
          <w:sz w:val="24"/>
          <w:szCs w:val="24"/>
        </w:rPr>
      </w:pPr>
      <w:r>
        <w:rPr>
          <w:rFonts w:hint="eastAsia" w:ascii="宋体" w:hAnsi="宋体" w:eastAsia="宋体" w:cs="宋体"/>
          <w:sz w:val="24"/>
          <w:szCs w:val="24"/>
        </w:rPr>
        <w:t>电话：18202922130</w:t>
      </w:r>
    </w:p>
    <w:p w14:paraId="16CB274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right"/>
        <w:textAlignment w:val="baseline"/>
        <w:rPr>
          <w:rFonts w:hint="eastAsia" w:ascii="宋体" w:hAnsi="宋体" w:eastAsia="宋体" w:cs="宋体"/>
          <w:sz w:val="24"/>
          <w:szCs w:val="24"/>
        </w:rPr>
      </w:pPr>
    </w:p>
    <w:p w14:paraId="4423FF5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right"/>
        <w:textAlignment w:val="baseline"/>
        <w:rPr>
          <w:rFonts w:hint="eastAsia" w:ascii="宋体" w:hAnsi="宋体" w:eastAsia="宋体" w:cs="宋体"/>
          <w:sz w:val="24"/>
          <w:szCs w:val="24"/>
          <w:lang w:eastAsia="zh-CN"/>
        </w:rPr>
      </w:pPr>
      <w:r>
        <w:rPr>
          <w:rFonts w:hint="eastAsia" w:cs="宋体"/>
          <w:sz w:val="24"/>
          <w:szCs w:val="24"/>
          <w:lang w:eastAsia="zh-CN"/>
        </w:rPr>
        <w:t>陕西衍森项目管理有限公司</w:t>
      </w:r>
    </w:p>
    <w:p w14:paraId="2948099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righ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2025年10月</w:t>
      </w:r>
      <w:r>
        <w:rPr>
          <w:rFonts w:hint="eastAsia" w:cs="宋体"/>
          <w:sz w:val="24"/>
          <w:szCs w:val="24"/>
          <w:lang w:val="en-US" w:eastAsia="zh-CN"/>
        </w:rPr>
        <w:t>30</w:t>
      </w:r>
      <w:r>
        <w:rPr>
          <w:rFonts w:hint="eastAsia" w:ascii="宋体" w:hAnsi="宋体" w:eastAsia="宋体" w:cs="宋体"/>
          <w:sz w:val="24"/>
          <w:szCs w:val="24"/>
          <w:lang w:val="en-US" w:eastAsia="zh-CN"/>
        </w:rPr>
        <w:t>日</w:t>
      </w:r>
    </w:p>
    <w:p w14:paraId="7E78FCD1">
      <w:pPr>
        <w:rPr>
          <w:rFonts w:hint="eastAsia" w:ascii="宋体" w:hAnsi="宋体" w:eastAsia="宋体" w:cs="宋体"/>
          <w:highlight w:val="none"/>
        </w:rPr>
      </w:pPr>
      <w:r>
        <w:rPr>
          <w:rFonts w:hint="eastAsia" w:ascii="宋体" w:hAnsi="宋体" w:eastAsia="宋体" w:cs="宋体"/>
          <w:highlight w:val="none"/>
        </w:rPr>
        <w:br w:type="page"/>
      </w:r>
    </w:p>
    <w:p w14:paraId="42F4D65B">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24490"/>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14:paraId="3BE3D0B7">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20796"/>
      <w:bookmarkStart w:id="23" w:name="_Toc16830"/>
      <w:bookmarkStart w:id="24" w:name="_Toc8846"/>
      <w:r>
        <w:rPr>
          <w:rFonts w:hint="eastAsia" w:ascii="宋体" w:hAnsi="宋体" w:eastAsia="宋体" w:cs="宋体"/>
          <w:b/>
          <w:bCs/>
          <w:sz w:val="32"/>
          <w:szCs w:val="32"/>
          <w:highlight w:val="none"/>
        </w:rPr>
        <w:t>供应商须知前附表</w:t>
      </w:r>
      <w:bookmarkEnd w:id="22"/>
      <w:bookmarkEnd w:id="23"/>
      <w:bookmarkEnd w:id="24"/>
    </w:p>
    <w:p w14:paraId="37FC508B">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1597B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311BBE66">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7AA37F29">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22C7A1AF">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79A8B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0D83F4A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53B19F8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0D9F0F3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陕西衍森项目管理有限公司</w:t>
            </w:r>
          </w:p>
          <w:p w14:paraId="1F92FE59">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 w:val="24"/>
                <w:szCs w:val="24"/>
                <w:lang w:eastAsia="zh-CN"/>
              </w:rPr>
              <w:t>陕西省西安市浐灞生态区欧亚大道3399号欧亚国际一期B座0712室</w:t>
            </w:r>
          </w:p>
          <w:p w14:paraId="4B0EABA5">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邮        编：7100</w:t>
            </w:r>
            <w:r>
              <w:rPr>
                <w:rFonts w:hint="eastAsia" w:hAnsi="宋体" w:cs="宋体"/>
                <w:szCs w:val="24"/>
                <w:highlight w:val="none"/>
                <w:lang w:val="en-US" w:eastAsia="zh-CN"/>
              </w:rPr>
              <w:t>21</w:t>
            </w:r>
          </w:p>
          <w:p w14:paraId="35F330F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18202922130</w:t>
            </w:r>
          </w:p>
          <w:p w14:paraId="4F8BFF9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14:paraId="21C02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5EC6595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1C4057F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61912E0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0F4CB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7A0892E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381E64F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4BAA365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14:paraId="2C11A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79ABF4C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2EF2196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05CE8D2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1E4C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6A1C321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5162DA6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3E95DC94">
            <w:pPr>
              <w:spacing w:line="360" w:lineRule="auto"/>
              <w:ind w:firstLine="480"/>
              <w:rPr>
                <w:rFonts w:hint="eastAsia" w:hAnsi="宋体" w:cs="宋体"/>
                <w:szCs w:val="24"/>
                <w:highlight w:val="none"/>
              </w:rPr>
            </w:pPr>
            <w:r>
              <w:rPr>
                <w:rFonts w:hint="eastAsia" w:ascii="宋体" w:hAnsi="宋体" w:eastAsia="宋体" w:cs="宋体"/>
                <w:szCs w:val="24"/>
                <w:highlight w:val="none"/>
              </w:rPr>
              <w:t>磋商报价：</w:t>
            </w:r>
            <w:r>
              <w:rPr>
                <w:rFonts w:hint="eastAsia" w:hAnsi="宋体" w:cs="宋体"/>
                <w:szCs w:val="24"/>
                <w:highlight w:val="none"/>
              </w:rPr>
              <w:t>为完成本项目全部内容的价格体现，包括但不限于</w:t>
            </w:r>
            <w:r>
              <w:rPr>
                <w:rFonts w:hint="eastAsia" w:hAnsi="宋体" w:cs="宋体"/>
                <w:szCs w:val="24"/>
                <w:highlight w:val="none"/>
                <w:lang w:eastAsia="zh-CN"/>
              </w:rPr>
              <w:t>苗木费、养护费、劳务费</w:t>
            </w:r>
            <w:r>
              <w:rPr>
                <w:rFonts w:hint="eastAsia" w:hAnsi="宋体" w:cs="宋体"/>
                <w:szCs w:val="24"/>
                <w:highlight w:val="none"/>
              </w:rPr>
              <w:t>、</w:t>
            </w:r>
            <w:r>
              <w:rPr>
                <w:rFonts w:hint="eastAsia" w:hAnsi="宋体" w:cs="宋体"/>
                <w:szCs w:val="24"/>
                <w:highlight w:val="none"/>
                <w:lang w:eastAsia="zh-CN"/>
              </w:rPr>
              <w:t>管理费</w:t>
            </w:r>
            <w:r>
              <w:rPr>
                <w:rFonts w:hint="eastAsia" w:hAnsi="宋体" w:cs="宋体"/>
                <w:szCs w:val="24"/>
                <w:highlight w:val="none"/>
              </w:rPr>
              <w:t>、税金等其他一切相关费用，任何有选择的报价将不予接受，按无效磋商响应。</w:t>
            </w:r>
          </w:p>
          <w:p w14:paraId="22B3EB28">
            <w:pPr>
              <w:spacing w:line="360" w:lineRule="auto"/>
              <w:ind w:firstLine="480"/>
              <w:rPr>
                <w:rFonts w:hint="eastAsia" w:ascii="宋体" w:hAnsi="宋体" w:eastAsia="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r>
              <w:rPr>
                <w:rFonts w:hint="eastAsia" w:hAnsi="宋体" w:cs="宋体"/>
                <w:szCs w:val="24"/>
                <w:highlight w:val="none"/>
                <w:lang w:eastAsia="zh-CN"/>
              </w:rPr>
              <w:t>。</w:t>
            </w:r>
            <w:r>
              <w:rPr>
                <w:rFonts w:hint="eastAsia" w:ascii="宋体" w:hAnsi="宋体" w:eastAsia="宋体" w:cs="宋体"/>
                <w:szCs w:val="24"/>
                <w:highlight w:val="none"/>
              </w:rPr>
              <w:t>任何有选择的报价将不予接受，按无效磋商处理。</w:t>
            </w:r>
          </w:p>
        </w:tc>
      </w:tr>
      <w:tr w14:paraId="30CC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C567DA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08D6866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7D95193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1692D8E1">
            <w:pPr>
              <w:spacing w:line="360" w:lineRule="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2B2D5DD0">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14:paraId="25D0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92" w:type="dxa"/>
            <w:noWrap w:val="0"/>
            <w:vAlign w:val="center"/>
          </w:tcPr>
          <w:p w14:paraId="65B22857">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3EC4E30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287410D2">
            <w:pPr>
              <w:spacing w:line="360" w:lineRule="auto"/>
              <w:jc w:val="both"/>
              <w:rPr>
                <w:rFonts w:hint="eastAsia" w:ascii="宋体" w:hAnsi="宋体" w:eastAsia="宋体" w:cs="宋体"/>
                <w:szCs w:val="24"/>
                <w:highlight w:val="none"/>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tc>
      </w:tr>
      <w:tr w14:paraId="2FC0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1A3B84F5">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3E95B53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3E9146A6">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14:paraId="550F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50DE8DAC">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57E129D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059BCEF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14:paraId="564A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31F2990">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05893561">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2F3E28A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14:paraId="61BC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9A771C9">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6506AF03">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5F2A1E9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14:paraId="0D7E20B7">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hAnsi="宋体" w:cs="宋体"/>
                <w:sz w:val="24"/>
                <w:szCs w:val="24"/>
                <w:lang w:eastAsia="zh-CN"/>
              </w:rPr>
              <w:t>陕西省西安市浐灞生态区欧亚大道3399号欧亚国际一期B座0712室</w:t>
            </w:r>
          </w:p>
          <w:p w14:paraId="13F0E556">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陕西衍森项目管理有限公司</w:t>
            </w:r>
          </w:p>
        </w:tc>
      </w:tr>
      <w:tr w14:paraId="50A4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1BE268D1">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7AA711C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37C92AC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14:paraId="7695756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磋商地点：</w:t>
            </w:r>
            <w:r>
              <w:rPr>
                <w:rFonts w:hint="eastAsia" w:hAnsi="宋体" w:cs="宋体"/>
                <w:sz w:val="24"/>
                <w:szCs w:val="24"/>
                <w:lang w:eastAsia="zh-CN"/>
              </w:rPr>
              <w:t>陕西省西安市浐灞生态区欧亚大道3399号欧亚国际一期B座0712室</w:t>
            </w:r>
          </w:p>
        </w:tc>
      </w:tr>
      <w:tr w14:paraId="2ED5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14:paraId="3E55D91E">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0A84AC1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1D44AAFF">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14304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CAA4DD7">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2EC9F2B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0C19E43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14:paraId="7BD8587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9"/>
            <w:bookmarkStart w:id="26" w:name="OLE_LINK10"/>
            <w:r>
              <w:rPr>
                <w:rFonts w:hint="eastAsia" w:ascii="宋体" w:hAnsi="宋体" w:eastAsia="宋体" w:cs="宋体"/>
                <w:szCs w:val="24"/>
                <w:highlight w:val="none"/>
              </w:rPr>
              <w:t>国家计委颁发的《招标代理服务收费管理暂行办法》（计价格[2002]1980号）和国家发展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bookmarkEnd w:id="25"/>
            <w:bookmarkEnd w:id="26"/>
          </w:p>
          <w:p w14:paraId="0B83F3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4752C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57D49C6C">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127807FD">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249F45ED">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46ABFF03">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70F6B745">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14:paraId="27E4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0A3FFB36">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06743DC0">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65EB9B0B">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3AB5EC32">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7531617C">
            <w:pPr>
              <w:numPr>
                <w:ilvl w:val="0"/>
                <w:numId w:val="1"/>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14:paraId="2645D520">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 xml:space="preserve">采购代理机构开户名称: </w:t>
            </w:r>
            <w:r>
              <w:rPr>
                <w:rFonts w:hint="eastAsia" w:hAnsi="宋体" w:cs="宋体"/>
                <w:b/>
                <w:bCs/>
                <w:szCs w:val="24"/>
                <w:highlight w:val="none"/>
                <w:lang w:eastAsia="zh-CN"/>
              </w:rPr>
              <w:t>陕西衍森项目管理有限公司</w:t>
            </w:r>
          </w:p>
          <w:p w14:paraId="457EC661">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w:t>
            </w:r>
            <w:r>
              <w:rPr>
                <w:rFonts w:hint="eastAsia" w:hAnsi="宋体" w:cs="宋体"/>
                <w:b/>
                <w:bCs/>
                <w:szCs w:val="24"/>
                <w:highlight w:val="none"/>
                <w:lang w:eastAsia="zh-CN"/>
              </w:rPr>
              <w:t>平安银行股份有限公司西安分行</w:t>
            </w:r>
          </w:p>
          <w:p w14:paraId="1709F4AD">
            <w:pPr>
              <w:spacing w:line="520" w:lineRule="exact"/>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w:t>
            </w:r>
            <w:r>
              <w:rPr>
                <w:rFonts w:hint="eastAsia" w:hAnsi="宋体" w:cs="宋体"/>
                <w:b/>
                <w:bCs/>
                <w:sz w:val="24"/>
                <w:szCs w:val="24"/>
                <w:highlight w:val="none"/>
                <w:lang w:val="en-US" w:eastAsia="zh-CN"/>
              </w:rPr>
              <w:t>15122099180091</w:t>
            </w:r>
          </w:p>
        </w:tc>
      </w:tr>
      <w:tr w14:paraId="5CAB5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4A4B40A1">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14:paraId="6650CA00">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3565F102">
            <w:pPr>
              <w:widowControl/>
              <w:spacing w:line="360" w:lineRule="auto"/>
              <w:jc w:val="center"/>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eastAsia="zh-CN"/>
              </w:rPr>
              <w:t>性质</w:t>
            </w:r>
          </w:p>
        </w:tc>
        <w:tc>
          <w:tcPr>
            <w:tcW w:w="7354" w:type="dxa"/>
            <w:noWrap w:val="0"/>
            <w:vAlign w:val="center"/>
          </w:tcPr>
          <w:p w14:paraId="2109C071">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eastAsia="zh-CN"/>
              </w:rPr>
              <w:t>本项目专门面向中小企业</w:t>
            </w:r>
          </w:p>
        </w:tc>
      </w:tr>
      <w:tr w14:paraId="3057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722B242">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14:paraId="32F16F0B">
            <w:pPr>
              <w:widowControl/>
              <w:spacing w:line="360" w:lineRule="auto"/>
              <w:jc w:val="center"/>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采购文件</w:t>
            </w:r>
            <w:r>
              <w:rPr>
                <w:rFonts w:hint="eastAsia" w:hAnsi="宋体" w:cs="宋体"/>
                <w:b/>
                <w:bCs/>
                <w:szCs w:val="24"/>
                <w:highlight w:val="none"/>
                <w:lang w:eastAsia="zh-CN"/>
              </w:rPr>
              <w:t>所属行业</w:t>
            </w:r>
          </w:p>
        </w:tc>
        <w:tc>
          <w:tcPr>
            <w:tcW w:w="7354" w:type="dxa"/>
            <w:noWrap w:val="0"/>
            <w:vAlign w:val="center"/>
          </w:tcPr>
          <w:p w14:paraId="3694052E">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农、林、牧、渔业</w:t>
            </w:r>
          </w:p>
        </w:tc>
      </w:tr>
      <w:tr w14:paraId="7210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2C5B7D4">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14:paraId="19FCF23E">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6C0E1A48">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75E97A39">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2C19AE90">
            <w:pPr>
              <w:spacing w:line="500" w:lineRule="exact"/>
              <w:ind w:firstLine="480" w:firstLineChars="200"/>
              <w:rPr>
                <w:rFonts w:hint="eastAsia" w:ascii="宋体" w:hAnsi="宋体" w:eastAsia="宋体" w:cs="宋体"/>
                <w:b/>
                <w:bCs/>
                <w:sz w:val="24"/>
                <w:szCs w:val="24"/>
                <w:highlight w:val="none"/>
                <w:lang w:val="en-US" w:eastAsia="zh-CN" w:bidi="ar-SA"/>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03941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A33F1A">
            <w:pPr>
              <w:spacing w:afterLines="50"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20</w:t>
            </w:r>
          </w:p>
        </w:tc>
        <w:tc>
          <w:tcPr>
            <w:tcW w:w="951" w:type="dxa"/>
            <w:noWrap w:val="0"/>
            <w:vAlign w:val="center"/>
          </w:tcPr>
          <w:p w14:paraId="464C6947">
            <w:pPr>
              <w:widowControl/>
              <w:spacing w:line="360" w:lineRule="auto"/>
              <w:jc w:val="center"/>
              <w:rPr>
                <w:rFonts w:hint="eastAsia" w:ascii="宋体" w:hAnsi="宋体" w:eastAsia="宋体" w:cs="宋体"/>
                <w:b w:val="0"/>
                <w:bCs w:val="0"/>
                <w:color w:val="auto"/>
                <w:kern w:val="2"/>
                <w:szCs w:val="24"/>
                <w:highlight w:val="none"/>
                <w:lang w:val="en-US" w:eastAsia="zh-CN"/>
              </w:rPr>
            </w:pPr>
            <w:r>
              <w:rPr>
                <w:rFonts w:hint="eastAsia" w:hAnsi="宋体" w:cs="宋体"/>
                <w:b w:val="0"/>
                <w:bCs w:val="0"/>
                <w:color w:val="auto"/>
                <w:kern w:val="2"/>
                <w:szCs w:val="24"/>
                <w:highlight w:val="none"/>
                <w:lang w:val="en-US" w:eastAsia="zh-CN"/>
              </w:rPr>
              <w:t>踏勘</w:t>
            </w:r>
          </w:p>
        </w:tc>
        <w:tc>
          <w:tcPr>
            <w:tcW w:w="7354" w:type="dxa"/>
            <w:noWrap w:val="0"/>
            <w:vAlign w:val="center"/>
          </w:tcPr>
          <w:p w14:paraId="5AFC320E">
            <w:pPr>
              <w:spacing w:line="500" w:lineRule="exact"/>
              <w:rPr>
                <w:rFonts w:hint="eastAsia" w:ascii="宋体" w:hAnsi="宋体" w:eastAsia="宋体" w:cs="宋体"/>
                <w:color w:val="auto"/>
                <w:szCs w:val="32"/>
                <w:highlight w:val="none"/>
              </w:rPr>
            </w:pPr>
            <w:r>
              <w:rPr>
                <w:rFonts w:hint="eastAsia" w:hAnsi="宋体" w:cs="宋体"/>
                <w:szCs w:val="24"/>
                <w:highlight w:val="none"/>
              </w:rPr>
              <w:t>不组织统一踏勘，各</w:t>
            </w:r>
            <w:r>
              <w:rPr>
                <w:rFonts w:hint="eastAsia" w:hAnsi="宋体" w:cs="宋体"/>
                <w:szCs w:val="24"/>
                <w:highlight w:val="none"/>
                <w:lang w:eastAsia="zh-CN"/>
              </w:rPr>
              <w:t>供应商</w:t>
            </w:r>
            <w:r>
              <w:rPr>
                <w:rFonts w:hint="eastAsia" w:hAnsi="宋体" w:cs="宋体"/>
                <w:szCs w:val="24"/>
                <w:highlight w:val="none"/>
              </w:rPr>
              <w:t>自行踏勘。</w:t>
            </w:r>
          </w:p>
        </w:tc>
      </w:tr>
      <w:tr w14:paraId="4768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C41FF6">
            <w:pPr>
              <w:spacing w:afterLines="50"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21</w:t>
            </w:r>
          </w:p>
        </w:tc>
        <w:tc>
          <w:tcPr>
            <w:tcW w:w="951" w:type="dxa"/>
            <w:noWrap w:val="0"/>
            <w:vAlign w:val="center"/>
          </w:tcPr>
          <w:p w14:paraId="6B45CE74">
            <w:pPr>
              <w:spacing w:line="312" w:lineRule="auto"/>
              <w:ind w:firstLine="120" w:firstLineChars="5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363E3ABF">
            <w:pPr>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对符合《政府采购促进中小企业发展管理办法》(财库(2020)46号)规定的小微企业(监狱企业视同小型、微型企业)的报价给予10%(10%-20%)的扣除,用扣除后的价格参加评审。本项目专门面向中小企业，不</w:t>
            </w:r>
            <w:r>
              <w:rPr>
                <w:rFonts w:hint="eastAsia" w:hAnsi="宋体" w:cs="宋体"/>
                <w:color w:val="auto"/>
                <w:szCs w:val="32"/>
                <w:highlight w:val="none"/>
                <w:lang w:val="en-US" w:eastAsia="zh-CN"/>
              </w:rPr>
              <w:t>再</w:t>
            </w:r>
            <w:r>
              <w:rPr>
                <w:rFonts w:hint="eastAsia" w:ascii="宋体" w:hAnsi="宋体" w:eastAsia="宋体" w:cs="宋体"/>
                <w:color w:val="auto"/>
                <w:szCs w:val="32"/>
                <w:highlight w:val="none"/>
                <w:lang w:val="en-US" w:eastAsia="zh-CN"/>
              </w:rPr>
              <w:t>进行价格扣减。</w:t>
            </w:r>
          </w:p>
        </w:tc>
      </w:tr>
      <w:tr w14:paraId="7B423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49DEF1C">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22</w:t>
            </w:r>
          </w:p>
        </w:tc>
        <w:tc>
          <w:tcPr>
            <w:tcW w:w="951" w:type="dxa"/>
            <w:noWrap w:val="0"/>
            <w:vAlign w:val="center"/>
          </w:tcPr>
          <w:p w14:paraId="16AB038B">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Cs w:val="24"/>
                <w:highlight w:val="none"/>
              </w:rPr>
              <w:t>备注</w:t>
            </w:r>
          </w:p>
        </w:tc>
        <w:tc>
          <w:tcPr>
            <w:tcW w:w="7354" w:type="dxa"/>
            <w:noWrap w:val="0"/>
            <w:vAlign w:val="center"/>
          </w:tcPr>
          <w:p w14:paraId="4CB50D4D">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14:paraId="668BF09F">
            <w:pPr>
              <w:spacing w:line="500" w:lineRule="exact"/>
              <w:ind w:firstLine="482" w:firstLineChars="200"/>
              <w:rPr>
                <w:rFonts w:hint="eastAsia" w:ascii="宋体" w:hAnsi="宋体" w:eastAsia="宋体" w:cs="宋体"/>
                <w:sz w:val="24"/>
                <w:szCs w:val="24"/>
                <w:highlight w:val="none"/>
                <w:lang w:val="en-US" w:eastAsia="zh-CN" w:bidi="ar-SA"/>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14:paraId="3774A291">
      <w:pPr>
        <w:spacing w:beforeLines="50" w:afterLines="50"/>
        <w:jc w:val="center"/>
        <w:outlineLvl w:val="2"/>
        <w:rPr>
          <w:rFonts w:hint="eastAsia" w:ascii="宋体" w:hAnsi="宋体" w:eastAsia="宋体" w:cs="宋体"/>
          <w:sz w:val="32"/>
          <w:szCs w:val="32"/>
          <w:highlight w:val="none"/>
        </w:rPr>
      </w:pPr>
      <w:bookmarkStart w:id="27" w:name="_Toc403077639"/>
      <w:bookmarkStart w:id="28" w:name="_Toc363474017"/>
      <w:bookmarkStart w:id="29" w:name="_Toc363473972"/>
      <w:r>
        <w:rPr>
          <w:rFonts w:hint="eastAsia" w:ascii="宋体" w:hAnsi="宋体" w:eastAsia="宋体" w:cs="宋体"/>
          <w:b/>
          <w:sz w:val="32"/>
          <w:szCs w:val="32"/>
          <w:highlight w:val="none"/>
        </w:rPr>
        <w:br w:type="page"/>
      </w:r>
      <w:bookmarkStart w:id="30" w:name="_Toc27537"/>
      <w:bookmarkStart w:id="31" w:name="_Toc3623"/>
      <w:bookmarkStart w:id="32" w:name="_Toc10265"/>
      <w:r>
        <w:rPr>
          <w:rFonts w:hint="eastAsia" w:ascii="宋体" w:hAnsi="宋体" w:eastAsia="宋体" w:cs="宋体"/>
          <w:b/>
          <w:sz w:val="32"/>
          <w:szCs w:val="32"/>
          <w:highlight w:val="none"/>
        </w:rPr>
        <w:t>一.总  则</w:t>
      </w:r>
      <w:bookmarkEnd w:id="27"/>
      <w:bookmarkEnd w:id="28"/>
      <w:bookmarkEnd w:id="29"/>
      <w:bookmarkEnd w:id="30"/>
      <w:bookmarkEnd w:id="31"/>
      <w:bookmarkEnd w:id="32"/>
    </w:p>
    <w:p w14:paraId="63F5BE8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59BCE97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14:paraId="6D29F964">
      <w:pPr>
        <w:numPr>
          <w:ilvl w:val="0"/>
          <w:numId w:val="2"/>
        </w:numPr>
        <w:spacing w:line="500" w:lineRule="exact"/>
        <w:rPr>
          <w:rFonts w:hint="eastAsia" w:ascii="宋体" w:hAnsi="宋体" w:eastAsia="宋体" w:cs="宋体"/>
          <w:b/>
          <w:szCs w:val="24"/>
          <w:highlight w:val="none"/>
        </w:rPr>
      </w:pPr>
      <w:bookmarkStart w:id="33" w:name="_Toc363473973"/>
      <w:bookmarkStart w:id="34" w:name="_Toc403077640"/>
      <w:bookmarkStart w:id="35" w:name="_Toc363474018"/>
      <w:r>
        <w:rPr>
          <w:rFonts w:hint="eastAsia" w:ascii="宋体" w:hAnsi="宋体" w:eastAsia="宋体" w:cs="宋体"/>
          <w:b/>
          <w:szCs w:val="24"/>
          <w:highlight w:val="none"/>
        </w:rPr>
        <w:t>名词解释</w:t>
      </w:r>
    </w:p>
    <w:p w14:paraId="7A24B3C3">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柞水县林特产业发展中心</w:t>
      </w:r>
    </w:p>
    <w:p w14:paraId="345F4F51">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653A23D7">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陕西衍森项目管理有限公司</w:t>
      </w:r>
    </w:p>
    <w:p w14:paraId="4A1628C4">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2457CF1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4EA05E82">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07F237F8">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15471BA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14:paraId="64C334F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3D24DEE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093EC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3E700A09">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33809F00">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3.1《中华人民共和国政府采购法》第二十二条第一款规定的供应商基本资格条件:</w:t>
      </w:r>
    </w:p>
    <w:p w14:paraId="2539B9D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4E66AF5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4DA8CA7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140C9A8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057BC78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48F0091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59A76166">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3230399F">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0971CBD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陕西衍森项目管理有限公司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530AF9F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3CAB0BDF">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50D2E498">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6625276A">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32BF2FF1">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297D34C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39D81B7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0FB9746">
      <w:pPr>
        <w:keepNext/>
        <w:keepLines/>
        <w:spacing w:beforeLines="100" w:afterLines="50" w:line="360" w:lineRule="auto"/>
        <w:jc w:val="center"/>
        <w:outlineLvl w:val="2"/>
        <w:rPr>
          <w:rFonts w:hint="eastAsia" w:ascii="宋体" w:hAnsi="宋体" w:eastAsia="宋体" w:cs="宋体"/>
          <w:b/>
          <w:sz w:val="32"/>
          <w:szCs w:val="32"/>
          <w:highlight w:val="none"/>
        </w:rPr>
      </w:pPr>
      <w:bookmarkStart w:id="36" w:name="_Toc31742"/>
      <w:bookmarkStart w:id="37" w:name="_Toc5434"/>
      <w:bookmarkStart w:id="38" w:name="_Toc27903"/>
      <w:r>
        <w:rPr>
          <w:rFonts w:hint="eastAsia" w:ascii="宋体" w:hAnsi="宋体" w:eastAsia="宋体" w:cs="宋体"/>
          <w:b/>
          <w:sz w:val="32"/>
          <w:szCs w:val="32"/>
          <w:highlight w:val="none"/>
        </w:rPr>
        <w:t>二.竞争性磋商文件</w:t>
      </w:r>
      <w:bookmarkEnd w:id="33"/>
      <w:bookmarkEnd w:id="34"/>
      <w:bookmarkEnd w:id="35"/>
      <w:bookmarkEnd w:id="36"/>
      <w:bookmarkEnd w:id="37"/>
      <w:bookmarkEnd w:id="38"/>
    </w:p>
    <w:p w14:paraId="40A05F4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544597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5A4010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75535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475027C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14:paraId="5C3E576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326D9A3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43AA98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14:paraId="63050A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80C25E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陕西衍森项目管理有限公司</w:t>
      </w:r>
      <w:r>
        <w:rPr>
          <w:rFonts w:hint="eastAsia" w:ascii="宋体" w:hAnsi="宋体" w:eastAsia="宋体" w:cs="宋体"/>
          <w:szCs w:val="24"/>
          <w:highlight w:val="none"/>
        </w:rPr>
        <w:t>，如发现竞争性磋商响应文件内容与现行法律法规不相符的情况，以现行法律法规为准。</w:t>
      </w:r>
    </w:p>
    <w:p w14:paraId="37AB62F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4481D3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4C4F78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9CD53A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1BB847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159F8231">
      <w:pPr>
        <w:keepNext/>
        <w:keepLines/>
        <w:spacing w:beforeLines="100" w:afterLines="50" w:line="360" w:lineRule="auto"/>
        <w:jc w:val="center"/>
        <w:outlineLvl w:val="2"/>
        <w:rPr>
          <w:rFonts w:hint="eastAsia" w:ascii="宋体" w:hAnsi="宋体" w:eastAsia="宋体" w:cs="宋体"/>
          <w:b/>
          <w:sz w:val="32"/>
          <w:szCs w:val="32"/>
          <w:highlight w:val="none"/>
        </w:rPr>
      </w:pPr>
      <w:bookmarkStart w:id="39" w:name="_Toc363474019"/>
      <w:bookmarkStart w:id="40" w:name="_Toc403077641"/>
      <w:bookmarkStart w:id="41" w:name="_Toc28227"/>
      <w:bookmarkStart w:id="42" w:name="_Toc23389"/>
      <w:bookmarkStart w:id="43" w:name="_Toc363473974"/>
      <w:bookmarkStart w:id="44" w:name="_Toc26653"/>
      <w:r>
        <w:rPr>
          <w:rFonts w:hint="eastAsia" w:ascii="宋体" w:hAnsi="宋体" w:eastAsia="宋体" w:cs="宋体"/>
          <w:b/>
          <w:sz w:val="32"/>
          <w:szCs w:val="32"/>
          <w:highlight w:val="none"/>
        </w:rPr>
        <w:t>三.磋商响应文件的编制</w:t>
      </w:r>
      <w:bookmarkEnd w:id="39"/>
      <w:bookmarkEnd w:id="40"/>
      <w:bookmarkEnd w:id="41"/>
      <w:bookmarkEnd w:id="42"/>
      <w:bookmarkEnd w:id="43"/>
      <w:bookmarkEnd w:id="44"/>
    </w:p>
    <w:p w14:paraId="464C7079">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6D7D5D67">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453C381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0EF970A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168C784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1B54E3F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3FABB4E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08430E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6D07C0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6703418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13DB247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083C6A9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8B12741">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3FA1C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746CD853">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45FA370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7B20275F">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11.1磋商报价：磋商报价是供应商为完成本项目要求的全部服务内容最终价格的体现，包括但不限于苗木费、养护费、劳务费、管理费、税金等其他一切相关费用。</w:t>
      </w:r>
    </w:p>
    <w:p w14:paraId="31A42D6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39C77D1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24F1D2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30FD90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4DB576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8365B6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0A9525F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104F1A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1D8E9EC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14:paraId="6E4B4C57">
      <w:pPr>
        <w:shd w:val="clear"/>
        <w:spacing w:line="360" w:lineRule="auto"/>
        <w:ind w:firstLine="482" w:firstLineChars="200"/>
        <w:rPr>
          <w:rFonts w:hint="eastAsia" w:ascii="宋体" w:hAnsi="宋体" w:eastAsia="宋体" w:cs="宋体"/>
          <w:b/>
          <w:szCs w:val="24"/>
          <w:highlight w:val="none"/>
        </w:rPr>
      </w:pPr>
      <w:r>
        <w:rPr>
          <w:rFonts w:hint="eastAsia" w:hAnsi="宋体" w:cs="宋体"/>
          <w:b/>
          <w:szCs w:val="24"/>
          <w:highlight w:val="none"/>
        </w:rPr>
        <w:t>无</w:t>
      </w:r>
    </w:p>
    <w:p w14:paraId="0FBCC50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1798D5B7">
      <w:pPr>
        <w:spacing w:line="360" w:lineRule="auto"/>
        <w:ind w:firstLine="480" w:firstLineChars="200"/>
        <w:rPr>
          <w:rFonts w:hint="eastAsia" w:ascii="宋体" w:hAnsi="宋体" w:eastAsia="宋体" w:cs="宋体"/>
          <w:szCs w:val="24"/>
          <w:highlight w:val="none"/>
        </w:rPr>
      </w:pPr>
      <w:bookmarkStart w:id="45"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5"/>
    </w:p>
    <w:p w14:paraId="2CF6CE9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9F480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5C4D93F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14:paraId="19514DA2">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为响应国家节约资源的政策要求，建议供应商进行双面打印。</w:t>
      </w:r>
    </w:p>
    <w:p w14:paraId="5556032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652CE673">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14:paraId="485F4A5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2991F43E">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3700284F">
      <w:pPr>
        <w:keepNext/>
        <w:keepLines/>
        <w:spacing w:beforeLines="100" w:afterLines="50" w:line="360" w:lineRule="auto"/>
        <w:jc w:val="center"/>
        <w:outlineLvl w:val="2"/>
        <w:rPr>
          <w:rFonts w:hint="eastAsia" w:ascii="宋体" w:hAnsi="宋体" w:eastAsia="宋体" w:cs="宋体"/>
          <w:b/>
          <w:sz w:val="32"/>
          <w:szCs w:val="32"/>
          <w:highlight w:val="none"/>
        </w:rPr>
      </w:pPr>
      <w:bookmarkStart w:id="46" w:name="_Toc18686"/>
      <w:bookmarkStart w:id="47" w:name="_Toc20799"/>
      <w:bookmarkStart w:id="48" w:name="_Toc30804"/>
      <w:r>
        <w:rPr>
          <w:rFonts w:hint="eastAsia" w:ascii="宋体" w:hAnsi="宋体" w:eastAsia="宋体" w:cs="宋体"/>
          <w:b/>
          <w:sz w:val="32"/>
          <w:szCs w:val="32"/>
          <w:highlight w:val="none"/>
        </w:rPr>
        <w:t>四.竞争性磋商响应文件的递交</w:t>
      </w:r>
      <w:bookmarkEnd w:id="46"/>
      <w:bookmarkEnd w:id="47"/>
      <w:bookmarkEnd w:id="48"/>
    </w:p>
    <w:p w14:paraId="58EE7A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63FFDDC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21E8E06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14:paraId="7CAB5E5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2E33404E">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4D109FBC">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14:paraId="29094274">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14:paraId="608270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65EF5FA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5B1C17A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0049F3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6C822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0B430CA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1299021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17E0D7E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186166D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15884D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6854837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6FE593B9">
      <w:pPr>
        <w:keepNext/>
        <w:keepLines/>
        <w:spacing w:beforeLines="100" w:afterLines="50" w:line="360" w:lineRule="auto"/>
        <w:jc w:val="center"/>
        <w:outlineLvl w:val="2"/>
        <w:rPr>
          <w:rFonts w:hint="eastAsia" w:ascii="宋体" w:hAnsi="宋体" w:eastAsia="宋体" w:cs="宋体"/>
          <w:b/>
          <w:sz w:val="32"/>
          <w:szCs w:val="32"/>
          <w:highlight w:val="none"/>
        </w:rPr>
      </w:pPr>
      <w:bookmarkStart w:id="49" w:name="_Toc15436"/>
      <w:bookmarkStart w:id="50" w:name="_Toc403077643"/>
      <w:bookmarkStart w:id="51" w:name="_Toc19324"/>
      <w:bookmarkStart w:id="52" w:name="_Toc363473976"/>
      <w:bookmarkStart w:id="53" w:name="_Toc13669"/>
      <w:bookmarkStart w:id="54" w:name="_Toc363474021"/>
      <w:r>
        <w:rPr>
          <w:rFonts w:hint="eastAsia" w:ascii="宋体" w:hAnsi="宋体" w:eastAsia="宋体" w:cs="宋体"/>
          <w:b/>
          <w:sz w:val="32"/>
          <w:szCs w:val="32"/>
          <w:highlight w:val="none"/>
        </w:rPr>
        <w:t>五.磋商与评标</w:t>
      </w:r>
      <w:bookmarkEnd w:id="49"/>
      <w:bookmarkEnd w:id="50"/>
      <w:bookmarkEnd w:id="51"/>
      <w:bookmarkEnd w:id="52"/>
      <w:bookmarkEnd w:id="53"/>
      <w:bookmarkEnd w:id="54"/>
    </w:p>
    <w:p w14:paraId="4D931AE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5A31C24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3A7FF362">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65320A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30F8464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DE8237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19A0630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0520CAF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28D1402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00267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508F777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14:paraId="108F2B5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FDB1B5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32FC0D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023106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456F82B5">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2E7E756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7C09D1C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050A811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1691970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13449E1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7F94D42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6DB8C4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692CFC6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6CCE819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1030608C">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19C28554">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14:paraId="373D6C7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14:paraId="5A6C3D7B">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14:paraId="333D02B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2DDD97F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14:paraId="59F7A11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14:paraId="47B4C6E5">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3277B02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14:paraId="1355B3E2">
      <w:pPr>
        <w:pStyle w:val="18"/>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14:paraId="01378471">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14:paraId="2FE8306E">
      <w:pPr>
        <w:pStyle w:val="18"/>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14:paraId="4BACE88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6365F6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4E4593C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7A92C62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791A182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646D44D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3B1F18C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67857501">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62097F8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ascii="宋体" w:hAnsi="宋体" w:eastAsia="宋体" w:cs="宋体"/>
          <w:szCs w:val="24"/>
          <w:highlight w:val="none"/>
        </w:rPr>
        <w:t>1-3名成交候选人。</w:t>
      </w:r>
    </w:p>
    <w:p w14:paraId="7CC0E20B">
      <w:pPr>
        <w:keepNext/>
        <w:keepLines/>
        <w:spacing w:beforeLines="100" w:afterLines="50" w:line="360" w:lineRule="auto"/>
        <w:jc w:val="center"/>
        <w:outlineLvl w:val="2"/>
        <w:rPr>
          <w:rFonts w:hint="eastAsia" w:ascii="宋体" w:hAnsi="宋体" w:eastAsia="宋体" w:cs="宋体"/>
          <w:b/>
          <w:sz w:val="32"/>
          <w:szCs w:val="32"/>
          <w:highlight w:val="none"/>
        </w:rPr>
      </w:pPr>
      <w:bookmarkStart w:id="55" w:name="_Toc29146"/>
      <w:bookmarkStart w:id="56" w:name="_Toc15100"/>
      <w:bookmarkStart w:id="57" w:name="_Toc11078"/>
      <w:r>
        <w:rPr>
          <w:rFonts w:hint="eastAsia" w:ascii="宋体" w:hAnsi="宋体" w:eastAsia="宋体" w:cs="宋体"/>
          <w:b/>
          <w:sz w:val="32"/>
          <w:szCs w:val="32"/>
          <w:highlight w:val="none"/>
        </w:rPr>
        <w:t>六.成交、通知与签约</w:t>
      </w:r>
      <w:bookmarkEnd w:id="55"/>
      <w:bookmarkEnd w:id="56"/>
      <w:bookmarkEnd w:id="57"/>
    </w:p>
    <w:p w14:paraId="23B024F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5611C6D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32FFEFE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5EA300B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0BA0C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5B5C5AD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759635C6">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5627D45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4A0FC6A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56D1D4A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1D7D166A">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42FDF69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D57F38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4B9D2B9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66426F6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p>
    <w:p w14:paraId="70BAB5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4E7729CC">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04287889">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陕西衍森项目管理有限公司</w:t>
      </w:r>
    </w:p>
    <w:p w14:paraId="5FB302B9">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平安银行股份有限公司西安分行</w:t>
      </w:r>
    </w:p>
    <w:p w14:paraId="376EC7BF">
      <w:pPr>
        <w:pStyle w:val="9"/>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w:t>
      </w:r>
      <w:r>
        <w:rPr>
          <w:rFonts w:hint="eastAsia" w:ascii="宋体" w:hAnsi="宋体" w:cs="宋体"/>
          <w:b/>
          <w:bCs/>
          <w:sz w:val="24"/>
          <w:szCs w:val="24"/>
          <w:highlight w:val="none"/>
          <w:lang w:eastAsia="zh-CN"/>
        </w:rPr>
        <w:t>15122099180091</w:t>
      </w:r>
    </w:p>
    <w:p w14:paraId="26C435AD">
      <w:pPr>
        <w:numPr>
          <w:ilvl w:val="0"/>
          <w:numId w:val="0"/>
        </w:numPr>
        <w:spacing w:line="600" w:lineRule="exact"/>
        <w:rPr>
          <w:rFonts w:hint="eastAsia" w:ascii="宋体" w:hAnsi="宋体" w:eastAsia="宋体" w:cs="宋体"/>
          <w:b/>
          <w:bCs/>
          <w:szCs w:val="24"/>
          <w:highlight w:val="none"/>
        </w:rPr>
      </w:pPr>
      <w:r>
        <w:rPr>
          <w:rFonts w:hint="eastAsia" w:hAnsi="宋体" w:cs="宋体"/>
          <w:b/>
          <w:bCs/>
          <w:szCs w:val="24"/>
          <w:highlight w:val="none"/>
          <w:lang w:val="en-US" w:eastAsia="zh-CN"/>
        </w:rPr>
        <w:t>30.</w:t>
      </w:r>
      <w:r>
        <w:rPr>
          <w:rFonts w:hint="eastAsia" w:ascii="宋体" w:hAnsi="宋体" w:eastAsia="宋体" w:cs="宋体"/>
          <w:b/>
          <w:bCs/>
          <w:szCs w:val="24"/>
          <w:highlight w:val="none"/>
        </w:rPr>
        <w:t>质疑</w:t>
      </w:r>
    </w:p>
    <w:p w14:paraId="2242ADCE">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6BF3D115">
      <w:pPr>
        <w:spacing w:line="500" w:lineRule="exact"/>
        <w:ind w:right="12" w:firstLine="480"/>
        <w:rPr>
          <w:rStyle w:val="22"/>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2918C138">
      <w:pPr>
        <w:spacing w:line="500" w:lineRule="exact"/>
        <w:ind w:left="3" w:firstLine="518" w:firstLineChars="216"/>
        <w:rPr>
          <w:rStyle w:val="22"/>
          <w:rFonts w:hint="eastAsia" w:ascii="宋体" w:hAnsi="宋体" w:eastAsia="宋体" w:cs="宋体"/>
          <w:b w:val="0"/>
          <w:szCs w:val="24"/>
          <w:highlight w:val="none"/>
          <w:shd w:val="clear" w:color="auto" w:fill="FFFFFF"/>
        </w:rPr>
      </w:pPr>
      <w:r>
        <w:rPr>
          <w:rStyle w:val="22"/>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75CCA9">
      <w:pPr>
        <w:spacing w:line="500" w:lineRule="exact"/>
        <w:ind w:left="3" w:firstLine="518" w:firstLineChars="216"/>
        <w:rPr>
          <w:rStyle w:val="22"/>
          <w:rFonts w:hint="eastAsia" w:ascii="宋体" w:hAnsi="宋体" w:eastAsia="宋体" w:cs="宋体"/>
          <w:b w:val="0"/>
          <w:szCs w:val="24"/>
          <w:highlight w:val="none"/>
          <w:shd w:val="clear" w:color="auto" w:fill="FFFFFF"/>
        </w:rPr>
      </w:pPr>
      <w:r>
        <w:rPr>
          <w:rStyle w:val="22"/>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286CFD8C">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53448DFF">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1ECD5096">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5551EAD4">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58CC7D7D">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67FD1DE4">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5313F232">
      <w:pPr>
        <w:spacing w:line="500" w:lineRule="exact"/>
        <w:ind w:right="12" w:firstLine="480" w:firstLineChars="200"/>
        <w:rPr>
          <w:rStyle w:val="22"/>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44CE3E1A">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43C32122">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5467BA38">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0972F24C">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4F2B2F75">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0FC217F2">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5877C38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49E8B61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7A9CAB28">
      <w:pPr>
        <w:widowControl/>
        <w:spacing w:line="360" w:lineRule="auto"/>
        <w:ind w:firstLine="480" w:firstLineChars="200"/>
        <w:rPr>
          <w:rStyle w:val="22"/>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14:paraId="75E3A146">
      <w:pPr>
        <w:spacing w:line="500" w:lineRule="exact"/>
        <w:ind w:right="12"/>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14:paraId="67422B9D">
      <w:pPr>
        <w:pStyle w:val="24"/>
        <w:spacing w:line="5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14:paraId="58EABD9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7D2F3F9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04C44C3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1D6266">
      <w:pPr>
        <w:pStyle w:val="3"/>
        <w:numPr>
          <w:ilvl w:val="0"/>
          <w:numId w:val="3"/>
        </w:numPr>
        <w:jc w:val="center"/>
        <w:outlineLvl w:val="0"/>
        <w:rPr>
          <w:rFonts w:hint="eastAsia" w:ascii="宋体" w:hAnsi="宋体" w:eastAsia="宋体" w:cs="宋体"/>
          <w:highlight w:val="none"/>
        </w:rPr>
      </w:pPr>
      <w:bookmarkStart w:id="58" w:name="_Toc423973074"/>
      <w:bookmarkStart w:id="59" w:name="_Toc25783"/>
      <w:bookmarkStart w:id="60" w:name="_Toc403077645"/>
      <w:bookmarkStart w:id="61" w:name="_Toc363474023"/>
      <w:r>
        <w:rPr>
          <w:rFonts w:hint="eastAsia" w:ascii="宋体" w:hAnsi="宋体" w:eastAsia="宋体" w:cs="宋体"/>
          <w:bCs/>
          <w:sz w:val="36"/>
          <w:szCs w:val="36"/>
          <w:highlight w:val="none"/>
        </w:rPr>
        <w:br w:type="page"/>
      </w:r>
      <w:bookmarkStart w:id="62"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63" w:name="_Toc14800"/>
      <w:r>
        <w:rPr>
          <w:rFonts w:hint="eastAsia" w:ascii="宋体" w:hAnsi="宋体" w:eastAsia="宋体" w:cs="宋体"/>
          <w:bCs/>
          <w:sz w:val="36"/>
          <w:szCs w:val="36"/>
          <w:highlight w:val="none"/>
        </w:rPr>
        <w:t>评审方法</w:t>
      </w:r>
      <w:bookmarkEnd w:id="62"/>
      <w:bookmarkEnd w:id="63"/>
    </w:p>
    <w:p w14:paraId="6FF53884">
      <w:pPr>
        <w:spacing w:line="360" w:lineRule="auto"/>
        <w:outlineLvl w:val="1"/>
        <w:rPr>
          <w:rFonts w:hint="eastAsia" w:ascii="宋体" w:hAnsi="宋体" w:eastAsia="宋体" w:cs="宋体"/>
          <w:b/>
          <w:szCs w:val="24"/>
          <w:highlight w:val="none"/>
        </w:rPr>
      </w:pPr>
      <w:bookmarkStart w:id="64" w:name="_Toc32051"/>
      <w:bookmarkStart w:id="65" w:name="_Toc5995"/>
      <w:bookmarkStart w:id="66" w:name="_Toc28665"/>
      <w:bookmarkStart w:id="67" w:name="_Toc26649"/>
      <w:r>
        <w:rPr>
          <w:rFonts w:hint="eastAsia" w:ascii="宋体" w:hAnsi="宋体" w:eastAsia="宋体" w:cs="宋体"/>
          <w:b/>
          <w:szCs w:val="24"/>
          <w:highlight w:val="none"/>
        </w:rPr>
        <w:t>一．评审方法</w:t>
      </w:r>
      <w:bookmarkEnd w:id="64"/>
      <w:bookmarkEnd w:id="65"/>
      <w:bookmarkEnd w:id="66"/>
      <w:bookmarkEnd w:id="67"/>
    </w:p>
    <w:p w14:paraId="43D71B08">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EEF41FD">
      <w:pPr>
        <w:spacing w:line="500" w:lineRule="exact"/>
        <w:outlineLvl w:val="1"/>
        <w:rPr>
          <w:rFonts w:hint="eastAsia" w:ascii="宋体" w:hAnsi="宋体" w:eastAsia="宋体" w:cs="宋体"/>
          <w:b/>
          <w:spacing w:val="4"/>
          <w:szCs w:val="24"/>
          <w:highlight w:val="none"/>
        </w:rPr>
      </w:pPr>
      <w:bookmarkStart w:id="68" w:name="_Toc2374"/>
      <w:bookmarkStart w:id="69" w:name="_Toc20625"/>
      <w:bookmarkStart w:id="70" w:name="_Toc27172"/>
      <w:bookmarkStart w:id="71" w:name="_Toc27615"/>
      <w:r>
        <w:rPr>
          <w:rFonts w:hint="eastAsia" w:ascii="宋体" w:hAnsi="宋体" w:eastAsia="宋体" w:cs="宋体"/>
          <w:b/>
          <w:spacing w:val="4"/>
          <w:szCs w:val="24"/>
          <w:highlight w:val="none"/>
        </w:rPr>
        <w:t>二、评审程序</w:t>
      </w:r>
      <w:bookmarkEnd w:id="68"/>
      <w:bookmarkEnd w:id="69"/>
      <w:bookmarkEnd w:id="70"/>
      <w:bookmarkEnd w:id="71"/>
    </w:p>
    <w:p w14:paraId="24880F4D">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41C572C7">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654AF11B">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7F89CAD8">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5DB3785C">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7C825CC6">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7B554939">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2A57B3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4025EF2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14:paraId="74B8EB88">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111D4574">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7918165">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7CBFC643">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72CBA15F">
      <w:pPr>
        <w:pStyle w:val="9"/>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5CBAB7D8">
      <w:pPr>
        <w:rPr>
          <w:rFonts w:hint="eastAsia" w:ascii="宋体" w:hAnsi="宋体" w:eastAsia="宋体" w:cs="宋体"/>
          <w:highlight w:val="none"/>
        </w:rPr>
      </w:pPr>
    </w:p>
    <w:p w14:paraId="6419B710">
      <w:pPr>
        <w:pStyle w:val="9"/>
        <w:rPr>
          <w:rFonts w:hint="eastAsia" w:ascii="宋体" w:hAnsi="宋体" w:eastAsia="宋体" w:cs="宋体"/>
          <w:highlight w:val="none"/>
        </w:rPr>
      </w:pPr>
    </w:p>
    <w:p w14:paraId="74B91D3F">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72" w:name="_Toc5106"/>
      <w:bookmarkStart w:id="73" w:name="_Toc28532"/>
      <w:bookmarkStart w:id="74" w:name="_Toc4223"/>
      <w:bookmarkStart w:id="75" w:name="_Toc13330"/>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72"/>
      <w:bookmarkEnd w:id="73"/>
      <w:bookmarkEnd w:id="74"/>
      <w:bookmarkEnd w:id="75"/>
    </w:p>
    <w:p w14:paraId="181F4183">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val="en-US" w:eastAsia="zh-CN"/>
        </w:rPr>
        <w:t>各项评审要素等</w:t>
      </w:r>
      <w:r>
        <w:rPr>
          <w:rFonts w:hint="eastAsia" w:ascii="宋体" w:hAnsi="宋体" w:eastAsia="宋体" w:cs="宋体"/>
          <w:szCs w:val="24"/>
          <w:highlight w:val="none"/>
        </w:rPr>
        <w:t>方面进行评审并按照百分制进行赋分。</w:t>
      </w:r>
    </w:p>
    <w:tbl>
      <w:tblPr>
        <w:tblStyle w:val="19"/>
        <w:tblW w:w="10003"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899"/>
        <w:gridCol w:w="8025"/>
      </w:tblGrid>
      <w:tr w14:paraId="1F38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79" w:type="dxa"/>
            <w:vAlign w:val="center"/>
          </w:tcPr>
          <w:p w14:paraId="57772214">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评分因素</w:t>
            </w:r>
          </w:p>
        </w:tc>
        <w:tc>
          <w:tcPr>
            <w:tcW w:w="8924" w:type="dxa"/>
            <w:gridSpan w:val="2"/>
            <w:vAlign w:val="center"/>
          </w:tcPr>
          <w:p w14:paraId="32DF1F67">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评价指标和分值</w:t>
            </w:r>
          </w:p>
        </w:tc>
      </w:tr>
      <w:tr w14:paraId="663E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079" w:type="dxa"/>
            <w:vAlign w:val="center"/>
          </w:tcPr>
          <w:p w14:paraId="3AC48A9D">
            <w:pPr>
              <w:jc w:val="center"/>
              <w:rPr>
                <w:rFonts w:ascii="宋体" w:hAnsi="宋体" w:eastAsia="宋体" w:cs="宋体"/>
                <w:sz w:val="24"/>
                <w:szCs w:val="24"/>
                <w:highlight w:val="none"/>
              </w:rPr>
            </w:pPr>
            <w:r>
              <w:rPr>
                <w:highlight w:val="none"/>
              </w:rPr>
              <w:t>整体服务方案</w:t>
            </w:r>
          </w:p>
        </w:tc>
        <w:tc>
          <w:tcPr>
            <w:tcW w:w="899" w:type="dxa"/>
            <w:vAlign w:val="center"/>
          </w:tcPr>
          <w:p w14:paraId="0F952B15">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8025" w:type="dxa"/>
            <w:vAlign w:val="center"/>
          </w:tcPr>
          <w:p w14:paraId="4DB836E8">
            <w:pPr>
              <w:spacing w:line="360" w:lineRule="auto"/>
              <w:jc w:val="left"/>
              <w:rPr>
                <w:rFonts w:ascii="宋体" w:hAnsi="宋体" w:eastAsia="宋体" w:cs="宋体"/>
                <w:sz w:val="24"/>
                <w:szCs w:val="24"/>
                <w:highlight w:val="none"/>
              </w:rPr>
            </w:pPr>
            <w:r>
              <w:rPr>
                <w:highlight w:val="none"/>
              </w:rPr>
              <w:t>整体服务方案内容至少包括①服务内容；②服务措施；③ 服务目标等。 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p>
        </w:tc>
      </w:tr>
      <w:tr w14:paraId="465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1079" w:type="dxa"/>
            <w:vAlign w:val="center"/>
          </w:tcPr>
          <w:p w14:paraId="465DA0D3">
            <w:pPr>
              <w:jc w:val="center"/>
              <w:rPr>
                <w:rFonts w:ascii="宋体" w:hAnsi="宋体" w:eastAsia="宋体" w:cs="宋体"/>
                <w:sz w:val="24"/>
                <w:szCs w:val="24"/>
                <w:highlight w:val="none"/>
              </w:rPr>
            </w:pPr>
            <w:r>
              <w:rPr>
                <w:highlight w:val="none"/>
              </w:rPr>
              <w:t>项目实施进度计划</w:t>
            </w:r>
          </w:p>
        </w:tc>
        <w:tc>
          <w:tcPr>
            <w:tcW w:w="899" w:type="dxa"/>
            <w:vAlign w:val="center"/>
          </w:tcPr>
          <w:p w14:paraId="5A173C15">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8025" w:type="dxa"/>
            <w:vAlign w:val="center"/>
          </w:tcPr>
          <w:p w14:paraId="011E1BD2">
            <w:pPr>
              <w:keepNext w:val="0"/>
              <w:keepLines w:val="0"/>
              <w:widowControl/>
              <w:suppressLineNumbers w:val="0"/>
              <w:spacing w:line="360" w:lineRule="auto"/>
              <w:jc w:val="left"/>
              <w:rPr>
                <w:rFonts w:ascii="宋体" w:hAnsi="宋体" w:eastAsia="宋体" w:cs="宋体"/>
                <w:sz w:val="24"/>
                <w:szCs w:val="24"/>
                <w:highlight w:val="none"/>
              </w:rPr>
            </w:pPr>
            <w:r>
              <w:rPr>
                <w:highlight w:val="none"/>
              </w:rPr>
              <w:t>项目实施进度计划内容至少包括①项目实施进度目标分析；②项目进度保障措施；③突发情况的应急方案等。 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p>
        </w:tc>
      </w:tr>
      <w:tr w14:paraId="283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079" w:type="dxa"/>
            <w:vAlign w:val="center"/>
          </w:tcPr>
          <w:p w14:paraId="5DF5D074">
            <w:pPr>
              <w:jc w:val="center"/>
              <w:rPr>
                <w:rFonts w:ascii="宋体" w:hAnsi="宋体" w:eastAsia="宋体" w:cs="宋体"/>
                <w:sz w:val="24"/>
                <w:szCs w:val="24"/>
                <w:highlight w:val="none"/>
              </w:rPr>
            </w:pPr>
            <w:r>
              <w:rPr>
                <w:highlight w:val="none"/>
              </w:rPr>
              <w:t>质量保证措施</w:t>
            </w:r>
          </w:p>
        </w:tc>
        <w:tc>
          <w:tcPr>
            <w:tcW w:w="899" w:type="dxa"/>
            <w:vAlign w:val="center"/>
          </w:tcPr>
          <w:p w14:paraId="1C10EE7C">
            <w:pPr>
              <w:jc w:val="cente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15分</w:t>
            </w:r>
          </w:p>
        </w:tc>
        <w:tc>
          <w:tcPr>
            <w:tcW w:w="8025" w:type="dxa"/>
            <w:vAlign w:val="center"/>
          </w:tcPr>
          <w:p w14:paraId="766D9E26">
            <w:pPr>
              <w:keepNext w:val="0"/>
              <w:keepLines w:val="0"/>
              <w:widowControl/>
              <w:suppressLineNumbers w:val="0"/>
              <w:shd w:val="clear"/>
              <w:spacing w:line="360" w:lineRule="auto"/>
              <w:jc w:val="left"/>
              <w:rPr>
                <w:rFonts w:ascii="宋体" w:hAnsi="宋体" w:eastAsia="宋体" w:cs="宋体"/>
                <w:sz w:val="24"/>
                <w:szCs w:val="24"/>
                <w:highlight w:val="none"/>
              </w:rPr>
            </w:pPr>
            <w:r>
              <w:rPr>
                <w:highlight w:val="none"/>
              </w:rPr>
              <w:t>质量保证措施内容至少包括①质量保障方案；②质量目标；③质量控制措施等。以上内容专门针对本项目且符合本项目实际需求的得15分，每缺一项内容扣5分，若上述内容存在瑕疵，每出现一处瑕疵扣1分，扣完为止。“瑕疵”指内容明显错误，或内容不完整或缺少关键点，或不适用本项目特性、套用其他项目内容或内容不能满足本项目实际需求等情形。</w:t>
            </w:r>
            <w:r>
              <w:rPr>
                <w:rFonts w:hint="eastAsia" w:ascii="宋体" w:hAnsi="宋体" w:eastAsia="宋体" w:cs="宋体"/>
                <w:color w:val="000000"/>
                <w:kern w:val="0"/>
                <w:sz w:val="24"/>
                <w:szCs w:val="24"/>
                <w:highlight w:val="none"/>
                <w:lang w:val="en-US" w:eastAsia="zh-CN" w:bidi="ar"/>
              </w:rPr>
              <w:t xml:space="preserve"> </w:t>
            </w:r>
          </w:p>
        </w:tc>
      </w:tr>
      <w:tr w14:paraId="4775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1079" w:type="dxa"/>
            <w:vAlign w:val="center"/>
          </w:tcPr>
          <w:p w14:paraId="7CF622F1">
            <w:pPr>
              <w:jc w:val="center"/>
              <w:rPr>
                <w:rFonts w:ascii="宋体" w:hAnsi="宋体" w:eastAsia="宋体" w:cs="宋体"/>
                <w:sz w:val="24"/>
                <w:szCs w:val="24"/>
                <w:highlight w:val="none"/>
              </w:rPr>
            </w:pPr>
            <w:r>
              <w:rPr>
                <w:highlight w:val="none"/>
              </w:rPr>
              <w:t>项目团队配置</w:t>
            </w:r>
          </w:p>
        </w:tc>
        <w:tc>
          <w:tcPr>
            <w:tcW w:w="899" w:type="dxa"/>
            <w:vAlign w:val="center"/>
          </w:tcPr>
          <w:p w14:paraId="221E09E0">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12分</w:t>
            </w:r>
          </w:p>
        </w:tc>
        <w:tc>
          <w:tcPr>
            <w:tcW w:w="8025" w:type="dxa"/>
            <w:vAlign w:val="center"/>
          </w:tcPr>
          <w:p w14:paraId="56FFB177">
            <w:pPr>
              <w:keepNext w:val="0"/>
              <w:keepLines w:val="0"/>
              <w:widowControl/>
              <w:suppressLineNumbers w:val="0"/>
              <w:shd w:val="clear"/>
              <w:spacing w:line="360" w:lineRule="auto"/>
              <w:jc w:val="left"/>
              <w:rPr>
                <w:rFonts w:ascii="宋体" w:hAnsi="宋体" w:eastAsia="宋体" w:cs="宋体"/>
                <w:sz w:val="24"/>
                <w:szCs w:val="24"/>
                <w:highlight w:val="none"/>
              </w:rPr>
            </w:pPr>
            <w:r>
              <w:rPr>
                <w:highlight w:val="none"/>
              </w:rPr>
              <w:t>项目团队配置内容至少包括①团队组织人员配置明细；②团队人员管理制度；③各专业岗位配置；④配置人员资格、职称及工作经验等。以上内容专门针对本项目且符合本项目实际需求的得</w:t>
            </w:r>
            <w:r>
              <w:rPr>
                <w:rFonts w:hint="eastAsia"/>
                <w:highlight w:val="none"/>
                <w:lang w:val="en-US" w:eastAsia="zh-CN"/>
              </w:rPr>
              <w:t>12</w:t>
            </w:r>
            <w:r>
              <w:rPr>
                <w:highlight w:val="none"/>
              </w:rPr>
              <w:t>分，每缺一项内容扣</w:t>
            </w:r>
            <w:r>
              <w:rPr>
                <w:rFonts w:hint="eastAsia"/>
                <w:highlight w:val="none"/>
                <w:lang w:val="en-US" w:eastAsia="zh-CN"/>
              </w:rPr>
              <w:t>3</w:t>
            </w:r>
            <w:r>
              <w:rPr>
                <w:highlight w:val="none"/>
              </w:rPr>
              <w:t>分，若上述内容存在瑕疵，每出现一处瑕疵扣1分，扣完为止。“瑕疵”指内容明显错误，或内容不完整或缺少关键点，或不适用本项目特性、套用其他项目内容或内容不能满足本项目实际需求等情形。</w:t>
            </w:r>
          </w:p>
        </w:tc>
      </w:tr>
      <w:tr w14:paraId="19FD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079" w:type="dxa"/>
            <w:vAlign w:val="center"/>
          </w:tcPr>
          <w:p w14:paraId="4D3507E3">
            <w:pPr>
              <w:jc w:val="center"/>
              <w:rPr>
                <w:rFonts w:ascii="宋体" w:hAnsi="宋体" w:eastAsia="宋体" w:cs="宋体"/>
                <w:sz w:val="24"/>
                <w:szCs w:val="24"/>
                <w:highlight w:val="none"/>
              </w:rPr>
            </w:pPr>
            <w:r>
              <w:rPr>
                <w:highlight w:val="none"/>
              </w:rPr>
              <w:t>项目重点、难点分析</w:t>
            </w:r>
          </w:p>
        </w:tc>
        <w:tc>
          <w:tcPr>
            <w:tcW w:w="899" w:type="dxa"/>
            <w:vAlign w:val="center"/>
          </w:tcPr>
          <w:p w14:paraId="47577312">
            <w:pPr>
              <w:jc w:val="center"/>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9分</w:t>
            </w:r>
          </w:p>
        </w:tc>
        <w:tc>
          <w:tcPr>
            <w:tcW w:w="8025" w:type="dxa"/>
            <w:vAlign w:val="center"/>
          </w:tcPr>
          <w:p w14:paraId="27D82C61">
            <w:pPr>
              <w:keepNext w:val="0"/>
              <w:keepLines w:val="0"/>
              <w:widowControl/>
              <w:suppressLineNumbers w:val="0"/>
              <w:spacing w:line="360" w:lineRule="auto"/>
              <w:jc w:val="left"/>
              <w:rPr>
                <w:rFonts w:ascii="宋体" w:hAnsi="宋体" w:eastAsia="宋体" w:cs="宋体"/>
                <w:sz w:val="24"/>
                <w:szCs w:val="24"/>
                <w:highlight w:val="none"/>
              </w:rPr>
            </w:pPr>
            <w:r>
              <w:rPr>
                <w:highlight w:val="none"/>
              </w:rPr>
              <w:t>项目重点、难点分析内容至少包括①重点、难点分析；②应对措施；③ 重点、难点相关经验等。以上内容专门针对本项目且符合本项目实际需求的得</w:t>
            </w:r>
            <w:r>
              <w:rPr>
                <w:rFonts w:hint="eastAsia"/>
                <w:highlight w:val="none"/>
                <w:lang w:val="en-US" w:eastAsia="zh-CN"/>
              </w:rPr>
              <w:t>9</w:t>
            </w:r>
            <w:r>
              <w:rPr>
                <w:highlight w:val="none"/>
              </w:rPr>
              <w:t>分，每缺一项内容扣</w:t>
            </w:r>
            <w:r>
              <w:rPr>
                <w:rFonts w:hint="eastAsia"/>
                <w:highlight w:val="none"/>
                <w:lang w:val="en-US" w:eastAsia="zh-CN"/>
              </w:rPr>
              <w:t>3</w:t>
            </w:r>
            <w:r>
              <w:rPr>
                <w:highlight w:val="none"/>
              </w:rPr>
              <w:t>分，若上述内容存在瑕疵，每出现一处瑕疵扣1分，扣完为止。“瑕疵”指内容明显错误，或内容不完整或缺少关键点，或不适用本项目特性、套用其他项目内容或内容不能满足本项目实际需求等情形。</w:t>
            </w:r>
          </w:p>
        </w:tc>
      </w:tr>
      <w:tr w14:paraId="08B7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79" w:type="dxa"/>
            <w:vAlign w:val="center"/>
          </w:tcPr>
          <w:p w14:paraId="7C58ACB8">
            <w:pPr>
              <w:jc w:val="center"/>
              <w:rPr>
                <w:rFonts w:hint="eastAsia" w:ascii="宋体" w:hAnsi="宋体" w:eastAsia="宋体" w:cs="宋体"/>
                <w:b w:val="0"/>
                <w:bCs w:val="0"/>
                <w:sz w:val="24"/>
                <w:szCs w:val="24"/>
                <w:highlight w:val="none"/>
                <w:lang w:val="en-US" w:eastAsia="zh-CN"/>
              </w:rPr>
            </w:pPr>
            <w:r>
              <w:rPr>
                <w:rFonts w:hint="eastAsia" w:hAnsi="宋体" w:cs="宋体"/>
                <w:b w:val="0"/>
                <w:bCs w:val="0"/>
                <w:sz w:val="24"/>
                <w:szCs w:val="24"/>
                <w:highlight w:val="none"/>
                <w:lang w:val="en-US" w:eastAsia="zh-CN"/>
              </w:rPr>
              <w:t>合理化建议</w:t>
            </w:r>
          </w:p>
        </w:tc>
        <w:tc>
          <w:tcPr>
            <w:tcW w:w="899" w:type="dxa"/>
            <w:vAlign w:val="center"/>
          </w:tcPr>
          <w:p w14:paraId="7DFD3FB6">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9</w:t>
            </w:r>
            <w:r>
              <w:rPr>
                <w:rFonts w:hint="eastAsia" w:ascii="宋体" w:hAnsi="宋体" w:eastAsia="宋体" w:cs="宋体"/>
                <w:b w:val="0"/>
                <w:bCs w:val="0"/>
                <w:sz w:val="24"/>
                <w:szCs w:val="24"/>
                <w:highlight w:val="none"/>
              </w:rPr>
              <w:t>分</w:t>
            </w:r>
          </w:p>
        </w:tc>
        <w:tc>
          <w:tcPr>
            <w:tcW w:w="8025" w:type="dxa"/>
            <w:vAlign w:val="center"/>
          </w:tcPr>
          <w:p w14:paraId="159C66B3">
            <w:pPr>
              <w:keepNext w:val="0"/>
              <w:keepLines w:val="0"/>
              <w:widowControl/>
              <w:suppressLineNumbers w:val="0"/>
              <w:shd w:val="clear"/>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color w:val="000000"/>
                <w:kern w:val="0"/>
                <w:sz w:val="24"/>
                <w:szCs w:val="24"/>
                <w:highlight w:val="none"/>
                <w:lang w:val="en-US" w:eastAsia="zh-CN" w:bidi="ar"/>
              </w:rPr>
              <w:t>对本项目服务工作中的常见问题进行梳理，具有良好的解决方案并及时向采购人提出合理化建议，每提供一条得</w:t>
            </w:r>
            <w:r>
              <w:rPr>
                <w:rFonts w:hint="eastAsia"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分，满分</w:t>
            </w:r>
            <w:r>
              <w:rPr>
                <w:rFonts w:hint="eastAsia"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分。不提供不得分。</w:t>
            </w:r>
          </w:p>
        </w:tc>
      </w:tr>
      <w:tr w14:paraId="357C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079" w:type="dxa"/>
            <w:vAlign w:val="center"/>
          </w:tcPr>
          <w:p w14:paraId="686B42D1">
            <w:pPr>
              <w:jc w:val="center"/>
              <w:rPr>
                <w:rFonts w:hint="eastAsia" w:ascii="宋体" w:hAnsi="宋体" w:eastAsia="宋体" w:cs="宋体"/>
                <w:b w:val="0"/>
                <w:bCs w:val="0"/>
                <w:sz w:val="24"/>
                <w:szCs w:val="24"/>
                <w:highlight w:val="none"/>
              </w:rPr>
            </w:pPr>
            <w:r>
              <w:rPr>
                <w:rFonts w:ascii="宋体" w:hAnsi="宋体" w:eastAsia="宋体" w:cs="宋体"/>
                <w:sz w:val="24"/>
                <w:szCs w:val="24"/>
                <w:highlight w:val="none"/>
              </w:rPr>
              <w:t>业绩</w:t>
            </w:r>
          </w:p>
        </w:tc>
        <w:tc>
          <w:tcPr>
            <w:tcW w:w="899" w:type="dxa"/>
            <w:vAlign w:val="center"/>
          </w:tcPr>
          <w:p w14:paraId="54B7928E">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w:t>
            </w:r>
          </w:p>
        </w:tc>
        <w:tc>
          <w:tcPr>
            <w:tcW w:w="8025" w:type="dxa"/>
            <w:vAlign w:val="center"/>
          </w:tcPr>
          <w:p w14:paraId="33E61FFA">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供应商须提供自202</w:t>
            </w: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年1月1日至今类似本项目业绩，以供应商提供的合同或中标（成交）通知书复印件（或扫描件）为准（日期以合同签订时间或中标（成交）通知书时间为准），每提供一份得3分，满分15分；未提供的不得分。</w:t>
            </w:r>
          </w:p>
        </w:tc>
      </w:tr>
      <w:tr w14:paraId="552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079" w:type="dxa"/>
            <w:vAlign w:val="center"/>
          </w:tcPr>
          <w:p w14:paraId="0C1D7C23">
            <w:pPr>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价格</w:t>
            </w:r>
          </w:p>
        </w:tc>
        <w:tc>
          <w:tcPr>
            <w:tcW w:w="899" w:type="dxa"/>
            <w:vAlign w:val="center"/>
          </w:tcPr>
          <w:p w14:paraId="38BEA6FC">
            <w:pPr>
              <w:jc w:val="center"/>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tc>
        <w:tc>
          <w:tcPr>
            <w:tcW w:w="8025" w:type="dxa"/>
            <w:vAlign w:val="center"/>
          </w:tcPr>
          <w:p w14:paraId="3139CEAE">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评标基准价=满足磋商文件要求且最低的评标价格</w:t>
            </w:r>
          </w:p>
          <w:p w14:paraId="43CAE58B">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合格供应商的有效价格得分=（评标基准价/评标价格)×10</w:t>
            </w:r>
          </w:p>
        </w:tc>
      </w:tr>
    </w:tbl>
    <w:p w14:paraId="77D205E5">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44FA5E01">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2534A3FC">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7D22354B">
      <w:pPr>
        <w:rPr>
          <w:rFonts w:hint="eastAsia" w:ascii="宋体" w:hAnsi="宋体" w:eastAsia="宋体" w:cs="宋体"/>
          <w:highlight w:val="none"/>
        </w:rPr>
      </w:pPr>
    </w:p>
    <w:p w14:paraId="49D8D0BF">
      <w:pPr>
        <w:pStyle w:val="16"/>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4493F43E">
      <w:pPr>
        <w:pStyle w:val="3"/>
        <w:jc w:val="center"/>
        <w:outlineLvl w:val="0"/>
        <w:rPr>
          <w:rFonts w:hint="eastAsia" w:ascii="宋体" w:hAnsi="宋体" w:eastAsia="宋体" w:cs="宋体"/>
          <w:bCs/>
          <w:sz w:val="36"/>
          <w:szCs w:val="36"/>
          <w:highlight w:val="none"/>
        </w:rPr>
      </w:pPr>
      <w:bookmarkStart w:id="76" w:name="_Toc10029"/>
      <w:bookmarkStart w:id="77" w:name="_Toc21581"/>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8"/>
      <w:bookmarkEnd w:id="59"/>
      <w:bookmarkEnd w:id="60"/>
      <w:bookmarkEnd w:id="76"/>
      <w:bookmarkEnd w:id="77"/>
    </w:p>
    <w:p w14:paraId="65A88BC8">
      <w:pPr>
        <w:tabs>
          <w:tab w:val="left" w:pos="210"/>
          <w:tab w:val="left" w:pos="525"/>
        </w:tabs>
        <w:spacing w:line="360" w:lineRule="auto"/>
        <w:jc w:val="center"/>
        <w:outlineLvl w:val="1"/>
        <w:rPr>
          <w:rFonts w:hint="eastAsia" w:ascii="宋体" w:hAnsi="宋体" w:eastAsia="宋体" w:cs="宋体"/>
          <w:sz w:val="32"/>
          <w:szCs w:val="32"/>
          <w:highlight w:val="none"/>
        </w:rPr>
      </w:pPr>
      <w:bookmarkStart w:id="78" w:name="_Toc3424"/>
      <w:bookmarkStart w:id="79" w:name="_Toc23705"/>
      <w:bookmarkStart w:id="80" w:name="_Toc32476"/>
      <w:bookmarkStart w:id="81" w:name="_Toc31473"/>
      <w:r>
        <w:rPr>
          <w:rFonts w:hint="eastAsia" w:ascii="宋体" w:hAnsi="宋体" w:eastAsia="宋体" w:cs="宋体"/>
          <w:b/>
          <w:bCs/>
          <w:sz w:val="32"/>
          <w:szCs w:val="32"/>
          <w:highlight w:val="none"/>
        </w:rPr>
        <w:t>合同前附表</w:t>
      </w:r>
      <w:bookmarkEnd w:id="78"/>
      <w:bookmarkEnd w:id="79"/>
      <w:bookmarkEnd w:id="80"/>
      <w:bookmarkEnd w:id="81"/>
    </w:p>
    <w:p w14:paraId="7E2D75E2">
      <w:pPr>
        <w:rPr>
          <w:rFonts w:hint="eastAsia" w:ascii="宋体" w:hAnsi="宋体" w:eastAsia="宋体" w:cs="宋体"/>
          <w:highlight w:val="none"/>
        </w:rPr>
      </w:pPr>
    </w:p>
    <w:p w14:paraId="448DE39E">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5855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14:paraId="456A5A9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14:paraId="332AC83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14:paraId="34C88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14:paraId="437C541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14:paraId="71169604">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szCs w:val="24"/>
                <w:highlight w:val="none"/>
                <w:lang w:eastAsia="zh-CN"/>
              </w:rPr>
              <w:t>柞水县林特产业发展中心</w:t>
            </w:r>
          </w:p>
          <w:p w14:paraId="69538622">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szCs w:val="24"/>
                <w:highlight w:val="none"/>
                <w:lang w:eastAsia="zh-CN"/>
              </w:rPr>
              <w:t>柞水县下梁镇沙坪社区</w:t>
            </w:r>
          </w:p>
          <w:p w14:paraId="09CFCC7C">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商洛市柞水县2025年省级林业草原改革发展资金林下经济发展补助项目</w:t>
            </w:r>
          </w:p>
          <w:p w14:paraId="1322F015">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14:paraId="02A4B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exact"/>
        </w:trPr>
        <w:tc>
          <w:tcPr>
            <w:tcW w:w="1171" w:type="dxa"/>
            <w:noWrap w:val="0"/>
            <w:vAlign w:val="center"/>
          </w:tcPr>
          <w:p w14:paraId="7895DAA0">
            <w:pPr>
              <w:spacing w:line="360" w:lineRule="auto"/>
              <w:jc w:val="center"/>
              <w:rPr>
                <w:rFonts w:hint="eastAsia" w:ascii="宋体" w:hAnsi="宋体" w:eastAsia="宋体" w:cs="宋体"/>
                <w:color w:val="auto"/>
                <w:szCs w:val="24"/>
                <w:highlight w:val="yellow"/>
              </w:rPr>
            </w:pPr>
            <w:r>
              <w:rPr>
                <w:rFonts w:hint="eastAsia" w:ascii="宋体" w:hAnsi="宋体" w:eastAsia="宋体" w:cs="宋体"/>
                <w:color w:val="auto"/>
                <w:szCs w:val="24"/>
                <w:highlight w:val="none"/>
              </w:rPr>
              <w:t>2</w:t>
            </w:r>
          </w:p>
        </w:tc>
        <w:tc>
          <w:tcPr>
            <w:tcW w:w="8181" w:type="dxa"/>
            <w:noWrap w:val="0"/>
            <w:vAlign w:val="center"/>
          </w:tcPr>
          <w:p w14:paraId="1CDD81EB">
            <w:pPr>
              <w:spacing w:line="360" w:lineRule="auto"/>
              <w:rPr>
                <w:rFonts w:hint="default" w:ascii="宋体" w:hAnsi="宋体" w:eastAsia="宋体" w:cs="宋体"/>
                <w:color w:val="auto"/>
                <w:szCs w:val="24"/>
                <w:highlight w:val="none"/>
                <w:lang w:val="en-US"/>
              </w:rPr>
            </w:pPr>
            <w:r>
              <w:rPr>
                <w:rFonts w:hint="eastAsia"/>
                <w:b/>
                <w:bCs/>
                <w:color w:val="auto"/>
                <w:highlight w:val="none"/>
                <w:lang w:val="en-US" w:eastAsia="zh-CN"/>
              </w:rPr>
              <w:t>服务期</w:t>
            </w:r>
            <w:r>
              <w:rPr>
                <w:rFonts w:hint="eastAsia" w:eastAsia="宋体"/>
                <w:b/>
                <w:bCs/>
                <w:color w:val="auto"/>
                <w:highlight w:val="none"/>
                <w:lang w:val="en-US" w:eastAsia="zh-CN"/>
              </w:rPr>
              <w:t>：</w:t>
            </w:r>
            <w:r>
              <w:rPr>
                <w:rFonts w:hint="eastAsia"/>
                <w:b/>
                <w:bCs/>
                <w:color w:val="auto"/>
                <w:highlight w:val="none"/>
                <w:lang w:val="en-US" w:eastAsia="zh-CN"/>
              </w:rPr>
              <w:t>自合同签订之日起1年</w:t>
            </w:r>
          </w:p>
        </w:tc>
      </w:tr>
      <w:tr w14:paraId="7E2B2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exact"/>
        </w:trPr>
        <w:tc>
          <w:tcPr>
            <w:tcW w:w="1171" w:type="dxa"/>
            <w:noWrap w:val="0"/>
            <w:vAlign w:val="center"/>
          </w:tcPr>
          <w:p w14:paraId="3E352B51">
            <w:pPr>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3</w:t>
            </w:r>
          </w:p>
        </w:tc>
        <w:tc>
          <w:tcPr>
            <w:tcW w:w="8181" w:type="dxa"/>
            <w:noWrap w:val="0"/>
            <w:vAlign w:val="center"/>
          </w:tcPr>
          <w:p w14:paraId="29A239F2">
            <w:pPr>
              <w:spacing w:line="360" w:lineRule="auto"/>
              <w:rPr>
                <w:rFonts w:hint="default" w:hAnsi="Times New Roman" w:cs="Times New Roman"/>
                <w:highlight w:val="none"/>
                <w:lang w:val="en-US" w:eastAsia="zh-CN"/>
              </w:rPr>
            </w:pPr>
            <w:r>
              <w:rPr>
                <w:rFonts w:hint="eastAsia"/>
                <w:b/>
                <w:bCs/>
                <w:color w:val="auto"/>
                <w:szCs w:val="24"/>
                <w:highlight w:val="none"/>
              </w:rPr>
              <w:t>质量标准：</w:t>
            </w:r>
            <w:r>
              <w:rPr>
                <w:rFonts w:hint="eastAsia"/>
                <w:szCs w:val="24"/>
                <w:highlight w:val="none"/>
                <w:lang w:eastAsia="zh-CN"/>
              </w:rPr>
              <w:t>达到</w:t>
            </w:r>
            <w:r>
              <w:rPr>
                <w:rFonts w:hint="eastAsia"/>
                <w:szCs w:val="24"/>
                <w:highlight w:val="none"/>
              </w:rPr>
              <w:t>国家现行有关质量验收规范“合格”要求。</w:t>
            </w:r>
          </w:p>
        </w:tc>
      </w:tr>
      <w:tr w14:paraId="318C0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14:paraId="301BC9E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14:paraId="0F0683E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付款：</w:t>
            </w:r>
          </w:p>
          <w:p w14:paraId="616E2E84">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是磋商文件所确定的全部工程内容的价格体现</w:t>
            </w:r>
            <w:r>
              <w:rPr>
                <w:rFonts w:hint="eastAsia" w:hAnsi="宋体"/>
                <w:color w:val="auto"/>
                <w:szCs w:val="24"/>
                <w:highlight w:val="none"/>
              </w:rPr>
              <w:t>。任何有选择的报价将不予接受，按无效磋商响应。</w:t>
            </w:r>
          </w:p>
          <w:p w14:paraId="3AC76E56">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14:paraId="6920FCDC">
            <w:pPr>
              <w:spacing w:line="360" w:lineRule="auto"/>
              <w:rPr>
                <w:rFonts w:hAnsi="宋体"/>
                <w:color w:val="auto"/>
                <w:szCs w:val="24"/>
                <w:highlight w:val="none"/>
              </w:rPr>
            </w:pPr>
            <w:r>
              <w:rPr>
                <w:rFonts w:hint="eastAsia" w:hAnsi="宋体"/>
                <w:color w:val="auto"/>
                <w:szCs w:val="24"/>
                <w:highlight w:val="none"/>
              </w:rPr>
              <w:t>3.付款方式和程序：</w:t>
            </w:r>
          </w:p>
          <w:p w14:paraId="799EC319">
            <w:pPr>
              <w:spacing w:line="360" w:lineRule="auto"/>
              <w:rPr>
                <w:rFonts w:hAnsi="宋体"/>
                <w:color w:val="auto"/>
                <w:szCs w:val="24"/>
                <w:highlight w:val="none"/>
              </w:rPr>
            </w:pPr>
            <w:r>
              <w:rPr>
                <w:rFonts w:hint="eastAsia" w:hAnsi="宋体"/>
                <w:color w:val="auto"/>
                <w:szCs w:val="24"/>
                <w:highlight w:val="none"/>
              </w:rPr>
              <w:t>（1）结算方式：</w:t>
            </w:r>
          </w:p>
          <w:p w14:paraId="02913104">
            <w:pPr>
              <w:spacing w:line="360" w:lineRule="auto"/>
              <w:rPr>
                <w:rFonts w:hAnsi="宋体"/>
                <w:color w:val="auto"/>
                <w:szCs w:val="24"/>
                <w:highlight w:val="none"/>
              </w:rPr>
            </w:pPr>
            <w:r>
              <w:rPr>
                <w:rFonts w:hint="eastAsia" w:hAnsi="宋体"/>
                <w:color w:val="auto"/>
                <w:szCs w:val="24"/>
                <w:highlight w:val="none"/>
              </w:rPr>
              <w:t>由采购人负责结算，在付款前，成交供应商须开具全额发票给采购人。</w:t>
            </w:r>
          </w:p>
          <w:p w14:paraId="5C31288B">
            <w:pPr>
              <w:spacing w:line="360" w:lineRule="auto"/>
              <w:rPr>
                <w:rFonts w:hAnsi="宋体"/>
                <w:color w:val="auto"/>
                <w:szCs w:val="24"/>
                <w:highlight w:val="none"/>
              </w:rPr>
            </w:pPr>
            <w:r>
              <w:rPr>
                <w:rFonts w:hint="eastAsia" w:hAnsi="宋体"/>
                <w:color w:val="auto"/>
                <w:szCs w:val="24"/>
                <w:highlight w:val="none"/>
              </w:rPr>
              <w:t>（2）付款方式：</w:t>
            </w:r>
          </w:p>
          <w:p w14:paraId="61146096">
            <w:pPr>
              <w:spacing w:line="360" w:lineRule="auto"/>
              <w:rPr>
                <w:rFonts w:hAnsi="宋体"/>
                <w:color w:val="auto"/>
                <w:szCs w:val="24"/>
                <w:highlight w:val="none"/>
              </w:rPr>
            </w:pPr>
            <w:r>
              <w:rPr>
                <w:rFonts w:hint="eastAsia" w:hAnsi="宋体"/>
                <w:color w:val="auto"/>
                <w:szCs w:val="24"/>
                <w:highlight w:val="none"/>
                <w:lang w:val="en-US" w:eastAsia="zh-CN"/>
              </w:rPr>
              <w:t>2.1</w:t>
            </w:r>
            <w:r>
              <w:rPr>
                <w:rFonts w:hint="eastAsia" w:hAnsi="宋体"/>
                <w:color w:val="auto"/>
                <w:szCs w:val="24"/>
                <w:highlight w:val="none"/>
              </w:rPr>
              <w:t>银行转账，项目实施完成并通过验收后，由供应商提供票据等财务报账所需材料进行报账。</w:t>
            </w:r>
          </w:p>
          <w:p w14:paraId="2A03E5BD">
            <w:pPr>
              <w:spacing w:line="360" w:lineRule="auto"/>
              <w:rPr>
                <w:rFonts w:hint="eastAsia" w:ascii="宋体" w:hAnsi="宋体" w:eastAsia="宋体" w:cs="宋体"/>
                <w:szCs w:val="24"/>
                <w:highlight w:val="none"/>
              </w:rPr>
            </w:pPr>
            <w:r>
              <w:rPr>
                <w:rFonts w:hint="eastAsia" w:hAnsi="宋体"/>
                <w:color w:val="auto"/>
                <w:szCs w:val="24"/>
                <w:highlight w:val="none"/>
                <w:lang w:val="en-US" w:eastAsia="zh-CN"/>
              </w:rPr>
              <w:t>2.2</w:t>
            </w:r>
            <w:r>
              <w:rPr>
                <w:rFonts w:hint="eastAsia" w:hAnsi="宋体"/>
                <w:color w:val="auto"/>
                <w:szCs w:val="24"/>
                <w:highlight w:val="none"/>
              </w:rPr>
              <w:t>付款方式：合同签订后支付合同总价的30%，经</w:t>
            </w:r>
            <w:r>
              <w:rPr>
                <w:rFonts w:hint="eastAsia" w:hAnsi="宋体"/>
                <w:color w:val="auto"/>
                <w:szCs w:val="24"/>
                <w:highlight w:val="none"/>
                <w:lang w:val="en-US" w:eastAsia="zh-CN"/>
              </w:rPr>
              <w:t>采购人</w:t>
            </w:r>
            <w:r>
              <w:rPr>
                <w:rFonts w:hint="eastAsia" w:hAnsi="宋体"/>
                <w:color w:val="auto"/>
                <w:szCs w:val="24"/>
                <w:highlight w:val="none"/>
              </w:rPr>
              <w:t>组织验收合格后支付合同总价的</w:t>
            </w:r>
            <w:r>
              <w:rPr>
                <w:rFonts w:hint="eastAsia" w:hAnsi="宋体"/>
                <w:color w:val="auto"/>
                <w:szCs w:val="24"/>
                <w:highlight w:val="none"/>
                <w:lang w:val="en-US" w:eastAsia="zh-CN"/>
              </w:rPr>
              <w:t>4</w:t>
            </w:r>
            <w:r>
              <w:rPr>
                <w:rFonts w:hint="eastAsia" w:hAnsi="宋体"/>
                <w:color w:val="auto"/>
                <w:szCs w:val="24"/>
                <w:highlight w:val="none"/>
              </w:rPr>
              <w:t>0%</w:t>
            </w:r>
            <w:r>
              <w:rPr>
                <w:rFonts w:hint="eastAsia" w:hAnsi="宋体"/>
                <w:color w:val="auto"/>
                <w:szCs w:val="24"/>
                <w:highlight w:val="none"/>
                <w:lang w:eastAsia="zh-CN"/>
              </w:rPr>
              <w:t>，</w:t>
            </w:r>
            <w:r>
              <w:rPr>
                <w:rFonts w:hint="eastAsia" w:hAnsi="宋体"/>
                <w:color w:val="auto"/>
                <w:szCs w:val="24"/>
                <w:highlight w:val="none"/>
                <w:lang w:val="en-US" w:eastAsia="zh-CN"/>
              </w:rPr>
              <w:t>预留30%竣工结算完结结清</w:t>
            </w:r>
            <w:r>
              <w:rPr>
                <w:rFonts w:hint="eastAsia" w:hAnsi="宋体"/>
                <w:color w:val="auto"/>
                <w:szCs w:val="24"/>
                <w:highlight w:val="none"/>
              </w:rPr>
              <w:t>；（具体以合同签订为准）</w:t>
            </w:r>
          </w:p>
        </w:tc>
      </w:tr>
      <w:tr w14:paraId="0F89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6" w:hRule="atLeast"/>
        </w:trPr>
        <w:tc>
          <w:tcPr>
            <w:tcW w:w="1171" w:type="dxa"/>
            <w:noWrap w:val="0"/>
            <w:vAlign w:val="center"/>
          </w:tcPr>
          <w:p w14:paraId="796DA941">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14:paraId="25EEDCB7">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14:paraId="6A013123">
            <w:pPr>
              <w:spacing w:line="360" w:lineRule="auto"/>
              <w:rPr>
                <w:rFonts w:hint="eastAsia" w:hAnsi="宋体" w:cs="宋体"/>
                <w:szCs w:val="24"/>
                <w:highlight w:val="none"/>
              </w:rPr>
            </w:pPr>
            <w:r>
              <w:rPr>
                <w:rFonts w:hint="eastAsia" w:hAnsi="宋体" w:cs="宋体"/>
                <w:szCs w:val="24"/>
                <w:highlight w:val="none"/>
              </w:rPr>
              <w:t>1、所有工程须符合行业标准及相关规定；</w:t>
            </w:r>
          </w:p>
          <w:p w14:paraId="6E33D122">
            <w:pPr>
              <w:spacing w:line="360" w:lineRule="auto"/>
              <w:rPr>
                <w:rFonts w:hint="eastAsia" w:ascii="宋体" w:hAnsi="宋体" w:eastAsia="宋体" w:cs="宋体"/>
                <w:b/>
                <w:szCs w:val="24"/>
                <w:highlight w:val="none"/>
              </w:rPr>
            </w:pPr>
            <w:r>
              <w:rPr>
                <w:rFonts w:hint="eastAsia" w:hAnsi="宋体" w:cs="宋体"/>
                <w:szCs w:val="24"/>
                <w:highlight w:val="none"/>
              </w:rPr>
              <w:t>2、所有工程须符合国家有关规范和执行标准。</w:t>
            </w:r>
          </w:p>
        </w:tc>
      </w:tr>
      <w:tr w14:paraId="77B9D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14:paraId="395DF29A">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6</w:t>
            </w:r>
          </w:p>
        </w:tc>
        <w:tc>
          <w:tcPr>
            <w:tcW w:w="8181" w:type="dxa"/>
            <w:noWrap w:val="0"/>
            <w:vAlign w:val="center"/>
          </w:tcPr>
          <w:p w14:paraId="1F61D4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14:paraId="228A2478">
            <w:pPr>
              <w:spacing w:line="360" w:lineRule="auto"/>
              <w:ind w:firstLine="480" w:firstLineChars="200"/>
              <w:rPr>
                <w:rFonts w:hint="eastAsia" w:hAnsi="宋体" w:cs="宋体"/>
                <w:szCs w:val="24"/>
                <w:highlight w:val="none"/>
              </w:rPr>
            </w:pPr>
            <w:r>
              <w:rPr>
                <w:rFonts w:hint="eastAsia" w:hAnsi="宋体" w:cs="宋体"/>
                <w:szCs w:val="24"/>
                <w:highlight w:val="none"/>
              </w:rPr>
              <w:t>由</w:t>
            </w:r>
            <w:r>
              <w:rPr>
                <w:rFonts w:hint="eastAsia" w:hAnsi="宋体" w:cs="宋体"/>
                <w:szCs w:val="24"/>
                <w:highlight w:val="none"/>
                <w:lang w:eastAsia="zh-CN"/>
              </w:rPr>
              <w:t>采购人</w:t>
            </w:r>
            <w:r>
              <w:rPr>
                <w:rFonts w:hint="eastAsia" w:hAnsi="宋体" w:cs="宋体"/>
                <w:szCs w:val="24"/>
                <w:highlight w:val="none"/>
              </w:rPr>
              <w:t>和供应商共同对项目进行整体验收。其内容包括苗木质量、成活率、</w:t>
            </w:r>
            <w:r>
              <w:rPr>
                <w:rFonts w:hint="eastAsia" w:hAnsi="宋体" w:cs="宋体"/>
                <w:szCs w:val="24"/>
                <w:highlight w:val="none"/>
                <w:lang w:eastAsia="zh-CN"/>
              </w:rPr>
              <w:t>造林</w:t>
            </w:r>
            <w:r>
              <w:rPr>
                <w:rFonts w:hint="eastAsia" w:hAnsi="宋体" w:cs="宋体"/>
                <w:szCs w:val="24"/>
                <w:highlight w:val="none"/>
              </w:rPr>
              <w:t>施工是否达到现行国家有关验收规范“合格”标准、是否按照</w:t>
            </w:r>
            <w:r>
              <w:rPr>
                <w:rFonts w:hint="eastAsia" w:hAnsi="宋体" w:cs="宋体"/>
                <w:szCs w:val="24"/>
                <w:highlight w:val="none"/>
                <w:lang w:eastAsia="zh-CN"/>
              </w:rPr>
              <w:t>采购人</w:t>
            </w:r>
            <w:r>
              <w:rPr>
                <w:rFonts w:hint="eastAsia" w:hAnsi="宋体" w:cs="宋体"/>
                <w:szCs w:val="24"/>
                <w:highlight w:val="none"/>
              </w:rPr>
              <w:t>要求按时完工。</w:t>
            </w:r>
          </w:p>
          <w:p w14:paraId="672B2EC5">
            <w:pPr>
              <w:spacing w:line="360" w:lineRule="auto"/>
              <w:ind w:firstLine="480" w:firstLineChars="200"/>
              <w:rPr>
                <w:rFonts w:hint="eastAsia" w:hAnsi="宋体" w:cs="宋体"/>
                <w:szCs w:val="24"/>
                <w:highlight w:val="none"/>
              </w:rPr>
            </w:pPr>
            <w:r>
              <w:rPr>
                <w:rFonts w:hint="eastAsia" w:hAnsi="宋体" w:cs="宋体"/>
                <w:szCs w:val="24"/>
                <w:highlight w:val="none"/>
              </w:rPr>
              <w:t>1.所验各项内容最终验收达不到磋商文件要求和磋商响应文件承诺的，或在后续使用中发现</w:t>
            </w:r>
            <w:r>
              <w:rPr>
                <w:rFonts w:hint="eastAsia" w:hAnsi="宋体" w:cs="宋体"/>
                <w:szCs w:val="24"/>
                <w:highlight w:val="none"/>
                <w:lang w:eastAsia="zh-CN"/>
              </w:rPr>
              <w:t>采购人</w:t>
            </w:r>
            <w:r>
              <w:rPr>
                <w:rFonts w:hint="eastAsia" w:hAnsi="宋体" w:cs="宋体"/>
                <w:szCs w:val="24"/>
                <w:highlight w:val="none"/>
              </w:rPr>
              <w:t>不能容忍的缺陷等，将视为验收不合格，供应商应在采购人要求的时间内无条件整改及恢复。</w:t>
            </w:r>
          </w:p>
          <w:p w14:paraId="6AE7D99C">
            <w:pPr>
              <w:spacing w:line="360" w:lineRule="auto"/>
              <w:ind w:firstLine="480" w:firstLineChars="200"/>
              <w:rPr>
                <w:rFonts w:hint="eastAsia" w:hAnsi="宋体" w:cs="宋体"/>
                <w:szCs w:val="24"/>
                <w:highlight w:val="none"/>
              </w:rPr>
            </w:pPr>
            <w:r>
              <w:rPr>
                <w:rFonts w:hint="eastAsia" w:hAnsi="宋体" w:cs="宋体"/>
                <w:szCs w:val="24"/>
                <w:highlight w:val="none"/>
              </w:rPr>
              <w:t>2.若发现供应商有弄虚作假的，在磋商阶段故意或随意夸大技术能力、工程、服务质量的，采购人有权解除合同，并且要求供应商赔偿相关损失。</w:t>
            </w:r>
          </w:p>
          <w:p w14:paraId="22279D2B">
            <w:pPr>
              <w:spacing w:line="360" w:lineRule="auto"/>
              <w:ind w:firstLine="480" w:firstLineChars="200"/>
              <w:rPr>
                <w:rFonts w:hint="eastAsia" w:hAnsi="宋体" w:cs="宋体"/>
                <w:szCs w:val="24"/>
                <w:highlight w:val="none"/>
              </w:rPr>
            </w:pPr>
            <w:r>
              <w:rPr>
                <w:rFonts w:hint="eastAsia" w:hAnsi="宋体" w:cs="宋体"/>
                <w:szCs w:val="24"/>
                <w:highlight w:val="none"/>
              </w:rPr>
              <w:t>3.验收标准：按磋商文件、磋商响应文件及澄清函等技术指标进行验收。各项指标均应符合验收标准及要求。</w:t>
            </w:r>
          </w:p>
          <w:p w14:paraId="2E4F7ADC">
            <w:pPr>
              <w:spacing w:line="360" w:lineRule="auto"/>
              <w:ind w:firstLine="480" w:firstLineChars="200"/>
              <w:rPr>
                <w:rFonts w:hint="eastAsia" w:hAnsi="宋体" w:cs="宋体"/>
                <w:szCs w:val="24"/>
                <w:highlight w:val="none"/>
              </w:rPr>
            </w:pPr>
            <w:r>
              <w:rPr>
                <w:rFonts w:hint="eastAsia" w:hAnsi="宋体" w:cs="宋体"/>
                <w:szCs w:val="24"/>
                <w:highlight w:val="none"/>
              </w:rPr>
              <w:t>4.验收合格后，填写验收单，双方签字生效。</w:t>
            </w:r>
          </w:p>
          <w:p w14:paraId="2CA14EFE">
            <w:pPr>
              <w:spacing w:line="360" w:lineRule="auto"/>
              <w:ind w:firstLine="480" w:firstLineChars="200"/>
              <w:rPr>
                <w:rFonts w:hint="eastAsia" w:hAnsi="宋体" w:cs="宋体"/>
                <w:szCs w:val="24"/>
                <w:highlight w:val="none"/>
              </w:rPr>
            </w:pPr>
            <w:r>
              <w:rPr>
                <w:rFonts w:hint="eastAsia" w:hAnsi="宋体" w:cs="宋体"/>
                <w:szCs w:val="24"/>
                <w:highlight w:val="none"/>
              </w:rPr>
              <w:t>5.验收依据：</w:t>
            </w:r>
          </w:p>
          <w:p w14:paraId="4F3E3B70">
            <w:pPr>
              <w:spacing w:line="360" w:lineRule="auto"/>
              <w:ind w:firstLine="480" w:firstLineChars="200"/>
              <w:rPr>
                <w:rFonts w:hint="eastAsia" w:hAnsi="宋体" w:cs="宋体"/>
                <w:szCs w:val="24"/>
                <w:highlight w:val="none"/>
              </w:rPr>
            </w:pPr>
            <w:r>
              <w:rPr>
                <w:rFonts w:hint="eastAsia" w:hAnsi="宋体" w:cs="宋体"/>
                <w:szCs w:val="24"/>
                <w:highlight w:val="none"/>
              </w:rPr>
              <w:t>a)合同文本；</w:t>
            </w:r>
          </w:p>
          <w:p w14:paraId="3135AB97">
            <w:pPr>
              <w:spacing w:line="360" w:lineRule="auto"/>
              <w:ind w:firstLine="480" w:firstLineChars="200"/>
              <w:rPr>
                <w:rFonts w:hint="eastAsia" w:hAnsi="宋体" w:cs="宋体"/>
                <w:szCs w:val="24"/>
                <w:highlight w:val="none"/>
              </w:rPr>
            </w:pPr>
            <w:r>
              <w:rPr>
                <w:rFonts w:hint="eastAsia" w:hAnsi="宋体" w:cs="宋体"/>
                <w:szCs w:val="24"/>
                <w:highlight w:val="none"/>
              </w:rPr>
              <w:t>b)磋商文件及澄清函、磋商响应文件；</w:t>
            </w:r>
          </w:p>
          <w:p w14:paraId="62A02C3C">
            <w:pPr>
              <w:spacing w:line="360" w:lineRule="auto"/>
              <w:ind w:firstLine="480" w:firstLineChars="200"/>
              <w:rPr>
                <w:rFonts w:hint="eastAsia" w:hAnsi="宋体" w:cs="宋体"/>
                <w:szCs w:val="24"/>
                <w:highlight w:val="none"/>
              </w:rPr>
            </w:pPr>
            <w:r>
              <w:rPr>
                <w:rFonts w:hint="eastAsia" w:hAnsi="宋体" w:cs="宋体"/>
                <w:szCs w:val="24"/>
                <w:highlight w:val="none"/>
              </w:rPr>
              <w:t>c)国家和行业制定的相应的标准和规范；</w:t>
            </w:r>
          </w:p>
          <w:p w14:paraId="5A1F454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Cs w:val="24"/>
                <w:highlight w:val="none"/>
              </w:rPr>
              <w:t>d)验收清单。</w:t>
            </w:r>
          </w:p>
        </w:tc>
      </w:tr>
      <w:tr w14:paraId="654A3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2D0D517E">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7</w:t>
            </w:r>
          </w:p>
        </w:tc>
        <w:tc>
          <w:tcPr>
            <w:tcW w:w="8181" w:type="dxa"/>
            <w:noWrap w:val="0"/>
            <w:vAlign w:val="center"/>
          </w:tcPr>
          <w:p w14:paraId="25BFE2D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14:paraId="2871D2A9">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14:paraId="66A81AE1">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w:t>
            </w:r>
            <w:r>
              <w:rPr>
                <w:rFonts w:hint="eastAsia" w:hAnsi="宋体" w:cs="宋体"/>
                <w:szCs w:val="24"/>
                <w:highlight w:val="none"/>
                <w:lang w:eastAsia="zh-CN"/>
              </w:rPr>
              <w:t>中华人民共和国</w:t>
            </w:r>
            <w:r>
              <w:rPr>
                <w:rFonts w:hint="eastAsia" w:ascii="宋体" w:hAnsi="宋体" w:eastAsia="宋体" w:cs="宋体"/>
                <w:szCs w:val="24"/>
                <w:highlight w:val="none"/>
              </w:rPr>
              <w:t>政府采购法》及相关法律法规对服务商的违法行为进行相应的处罚。</w:t>
            </w:r>
          </w:p>
        </w:tc>
      </w:tr>
      <w:tr w14:paraId="4A926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7F90F6F1">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8</w:t>
            </w:r>
          </w:p>
        </w:tc>
        <w:tc>
          <w:tcPr>
            <w:tcW w:w="8181" w:type="dxa"/>
            <w:noWrap w:val="0"/>
            <w:vAlign w:val="center"/>
          </w:tcPr>
          <w:p w14:paraId="4D32C4D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14:paraId="25E9691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646FFCA">
            <w:pPr>
              <w:pStyle w:val="11"/>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A29F75E">
      <w:pPr>
        <w:rPr>
          <w:rFonts w:hint="eastAsia" w:ascii="宋体" w:hAnsi="宋体" w:eastAsia="宋体" w:cs="宋体"/>
          <w:sz w:val="32"/>
          <w:highlight w:val="none"/>
        </w:rPr>
      </w:pPr>
      <w:bookmarkStart w:id="82" w:name="_Toc19246"/>
      <w:bookmarkStart w:id="83" w:name="_Toc29888"/>
      <w:bookmarkStart w:id="84" w:name="_Toc19199"/>
      <w:bookmarkStart w:id="85" w:name="_Toc423973075"/>
      <w:bookmarkStart w:id="86" w:name="_Toc4679"/>
      <w:bookmarkStart w:id="87" w:name="_Toc26595"/>
      <w:bookmarkStart w:id="88" w:name="_Toc31520"/>
      <w:bookmarkStart w:id="89" w:name="_Toc8333"/>
      <w:bookmarkStart w:id="90" w:name="_Toc389582037"/>
      <w:r>
        <w:rPr>
          <w:rFonts w:hint="eastAsia" w:ascii="宋体" w:hAnsi="宋体" w:eastAsia="宋体" w:cs="宋体"/>
          <w:b/>
          <w:bCs/>
          <w:sz w:val="48"/>
          <w:szCs w:val="48"/>
          <w:highlight w:val="none"/>
        </w:rPr>
        <w:br w:type="page"/>
      </w:r>
    </w:p>
    <w:p w14:paraId="33B920DC">
      <w:pPr>
        <w:pStyle w:val="9"/>
        <w:rPr>
          <w:rFonts w:hint="eastAsia" w:ascii="宋体" w:hAnsi="宋体"/>
          <w:sz w:val="24"/>
          <w:highlight w:val="none"/>
        </w:rPr>
        <w:sectPr>
          <w:footerReference r:id="rId12" w:type="first"/>
          <w:headerReference r:id="rId10" w:type="default"/>
          <w:footerReference r:id="rId11" w:type="default"/>
          <w:pgSz w:w="11906" w:h="16838"/>
          <w:pgMar w:top="1361" w:right="1304" w:bottom="1361" w:left="1304" w:header="851" w:footer="992" w:gutter="0"/>
          <w:cols w:space="720" w:num="1"/>
          <w:rtlGutter w:val="0"/>
          <w:docGrid w:type="lines" w:linePitch="312" w:charSpace="0"/>
        </w:sectPr>
      </w:pPr>
    </w:p>
    <w:p w14:paraId="3B021B3A">
      <w:pPr>
        <w:outlineLvl w:val="1"/>
        <w:rPr>
          <w:rFonts w:hint="eastAsia" w:ascii="宋体" w:hAnsi="宋体" w:eastAsia="宋体" w:cs="宋体"/>
          <w:b/>
          <w:sz w:val="32"/>
          <w:szCs w:val="32"/>
          <w:highlight w:val="none"/>
        </w:rPr>
      </w:pPr>
      <w:bookmarkStart w:id="91" w:name="_Toc565"/>
      <w:bookmarkStart w:id="92" w:name="_Toc4254"/>
      <w:bookmarkStart w:id="197" w:name="_GoBack"/>
      <w:bookmarkEnd w:id="197"/>
      <w:r>
        <w:rPr>
          <w:rFonts w:hint="eastAsia" w:ascii="宋体" w:hAnsi="宋体" w:eastAsia="宋体" w:cs="宋体"/>
          <w:b/>
          <w:sz w:val="32"/>
          <w:szCs w:val="32"/>
          <w:highlight w:val="none"/>
        </w:rPr>
        <w:t xml:space="preserve">                 </w:t>
      </w:r>
    </w:p>
    <w:p w14:paraId="495BDC4C">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5EBC6902">
      <w:pPr>
        <w:jc w:val="center"/>
        <w:rPr>
          <w:rFonts w:hint="eastAsia" w:ascii="宋体" w:hAnsi="宋体" w:eastAsia="宋体" w:cs="宋体"/>
          <w:sz w:val="52"/>
          <w:szCs w:val="52"/>
          <w:highlight w:val="none"/>
        </w:rPr>
      </w:pPr>
    </w:p>
    <w:p w14:paraId="0EC5DC84">
      <w:pPr>
        <w:jc w:val="center"/>
        <w:rPr>
          <w:rFonts w:hint="eastAsia" w:ascii="宋体" w:hAnsi="宋体" w:eastAsia="宋体" w:cs="宋体"/>
          <w:sz w:val="52"/>
          <w:szCs w:val="52"/>
          <w:highlight w:val="none"/>
        </w:rPr>
      </w:pPr>
    </w:p>
    <w:p w14:paraId="7FE3FEF6">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14:paraId="4AA13DCE">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14:paraId="3B8D4986">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14:paraId="306949B3">
      <w:pPr>
        <w:jc w:val="center"/>
        <w:rPr>
          <w:rFonts w:hint="eastAsia" w:ascii="宋体" w:hAnsi="宋体" w:eastAsia="宋体" w:cs="宋体"/>
          <w:sz w:val="30"/>
          <w:szCs w:val="30"/>
          <w:highlight w:val="none"/>
        </w:rPr>
      </w:pPr>
    </w:p>
    <w:p w14:paraId="7A689E02">
      <w:pPr>
        <w:jc w:val="center"/>
        <w:rPr>
          <w:rFonts w:hint="eastAsia" w:ascii="宋体" w:hAnsi="宋体" w:eastAsia="宋体" w:cs="宋体"/>
          <w:sz w:val="30"/>
          <w:szCs w:val="30"/>
          <w:highlight w:val="none"/>
        </w:rPr>
      </w:pPr>
    </w:p>
    <w:p w14:paraId="1DA21311">
      <w:pPr>
        <w:jc w:val="center"/>
        <w:rPr>
          <w:rFonts w:hint="eastAsia" w:ascii="宋体" w:hAnsi="宋体" w:eastAsia="宋体" w:cs="宋体"/>
          <w:sz w:val="30"/>
          <w:szCs w:val="30"/>
          <w:highlight w:val="none"/>
        </w:rPr>
      </w:pPr>
    </w:p>
    <w:p w14:paraId="24DE6C84">
      <w:pPr>
        <w:jc w:val="center"/>
        <w:rPr>
          <w:rFonts w:hint="eastAsia" w:ascii="宋体" w:hAnsi="宋体" w:eastAsia="宋体" w:cs="宋体"/>
          <w:sz w:val="30"/>
          <w:szCs w:val="30"/>
          <w:highlight w:val="none"/>
        </w:rPr>
      </w:pPr>
    </w:p>
    <w:p w14:paraId="230E1BF2">
      <w:pPr>
        <w:jc w:val="center"/>
        <w:rPr>
          <w:rFonts w:hint="eastAsia" w:ascii="宋体" w:hAnsi="宋体" w:eastAsia="宋体" w:cs="宋体"/>
          <w:sz w:val="30"/>
          <w:szCs w:val="30"/>
          <w:highlight w:val="none"/>
        </w:rPr>
      </w:pPr>
    </w:p>
    <w:p w14:paraId="651B6443">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14:paraId="481F2715">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14:paraId="52566CC2">
      <w:pPr>
        <w:jc w:val="center"/>
        <w:rPr>
          <w:rFonts w:hint="eastAsia" w:ascii="宋体" w:hAnsi="宋体" w:eastAsia="宋体" w:cs="宋体"/>
          <w:sz w:val="30"/>
          <w:szCs w:val="30"/>
          <w:highlight w:val="none"/>
        </w:rPr>
      </w:pPr>
    </w:p>
    <w:p w14:paraId="07179C86">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14:paraId="0254E160">
      <w:pPr>
        <w:jc w:val="center"/>
        <w:rPr>
          <w:rFonts w:hint="eastAsia" w:ascii="宋体" w:hAnsi="宋体" w:eastAsia="宋体" w:cs="宋体"/>
          <w:sz w:val="32"/>
          <w:szCs w:val="32"/>
          <w:highlight w:val="none"/>
        </w:rPr>
      </w:pPr>
    </w:p>
    <w:p w14:paraId="794DA7D9">
      <w:pPr>
        <w:spacing w:line="590" w:lineRule="exact"/>
        <w:rPr>
          <w:rFonts w:hint="eastAsia" w:ascii="宋体" w:hAnsi="宋体" w:eastAsia="宋体" w:cs="宋体"/>
          <w:b/>
          <w:sz w:val="36"/>
          <w:szCs w:val="36"/>
          <w:highlight w:val="none"/>
        </w:rPr>
      </w:pPr>
    </w:p>
    <w:p w14:paraId="38EE798A">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93" w:name="_Toc28398"/>
      <w:bookmarkStart w:id="94" w:name="_Toc7965"/>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93"/>
      <w:bookmarkEnd w:id="94"/>
    </w:p>
    <w:p w14:paraId="243F5C41">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08D723C">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14:paraId="4633E0C0">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商洛市柞水县2025年省级林业草原改革发展资金林下经济发展补助项目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商洛市柞水县2025年省级林业草原改革发展资金林下经济发展补助项目</w:t>
      </w:r>
      <w:r>
        <w:rPr>
          <w:rFonts w:hint="eastAsia" w:hAnsi="宋体" w:cs="宋体"/>
          <w:color w:val="auto"/>
          <w:szCs w:val="21"/>
          <w:highlight w:val="none"/>
        </w:rPr>
        <w:t>协商达成一致，确立本合同。</w:t>
      </w:r>
    </w:p>
    <w:p w14:paraId="0EF942D6">
      <w:pPr>
        <w:tabs>
          <w:tab w:val="left" w:pos="480"/>
        </w:tabs>
        <w:spacing w:line="360" w:lineRule="auto"/>
        <w:outlineLvl w:val="1"/>
        <w:rPr>
          <w:rFonts w:hint="eastAsia" w:hAnsi="宋体" w:cs="宋体"/>
          <w:b/>
          <w:color w:val="auto"/>
          <w:szCs w:val="21"/>
          <w:highlight w:val="none"/>
        </w:rPr>
      </w:pPr>
      <w:bookmarkStart w:id="95" w:name="_Toc30883"/>
      <w:bookmarkStart w:id="96" w:name="_Toc7407"/>
      <w:bookmarkStart w:id="97" w:name="_Toc8841"/>
      <w:r>
        <w:rPr>
          <w:rFonts w:hint="eastAsia" w:hAnsi="宋体" w:cs="宋体"/>
          <w:b/>
          <w:color w:val="auto"/>
          <w:szCs w:val="21"/>
          <w:highlight w:val="none"/>
        </w:rPr>
        <w:t>一、合同标的物内容、数量及单价</w:t>
      </w:r>
      <w:r>
        <w:rPr>
          <w:rFonts w:hint="eastAsia" w:hAnsi="宋体" w:cs="宋体"/>
          <w:color w:val="auto"/>
          <w:szCs w:val="21"/>
          <w:highlight w:val="none"/>
        </w:rPr>
        <w:t>（以</w:t>
      </w:r>
      <w:r>
        <w:rPr>
          <w:rFonts w:hint="eastAsia" w:hAnsi="宋体" w:cs="宋体"/>
          <w:color w:val="auto"/>
          <w:szCs w:val="21"/>
          <w:highlight w:val="none"/>
          <w:lang w:eastAsia="zh-CN"/>
        </w:rPr>
        <w:t>投标文件</w:t>
      </w:r>
      <w:r>
        <w:rPr>
          <w:rFonts w:hint="eastAsia" w:hAnsi="宋体" w:cs="宋体"/>
          <w:color w:val="auto"/>
          <w:szCs w:val="21"/>
          <w:highlight w:val="none"/>
        </w:rPr>
        <w:t>正本和澄清表〈函〉为准）</w:t>
      </w:r>
      <w:bookmarkEnd w:id="95"/>
      <w:bookmarkEnd w:id="96"/>
      <w:bookmarkEnd w:id="9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1ACD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3D23A2BB">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DC07822">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0A6439E">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30DDE7">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9EC3B26">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14:paraId="3E65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07A0A919">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2793D98">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BA5A496">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1131337">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251BCA">
            <w:pPr>
              <w:tabs>
                <w:tab w:val="left" w:pos="480"/>
              </w:tabs>
              <w:spacing w:line="396" w:lineRule="exact"/>
              <w:jc w:val="center"/>
              <w:rPr>
                <w:rFonts w:hint="eastAsia" w:hAnsi="宋体" w:cs="宋体"/>
                <w:color w:val="auto"/>
                <w:szCs w:val="21"/>
                <w:highlight w:val="none"/>
              </w:rPr>
            </w:pPr>
          </w:p>
        </w:tc>
      </w:tr>
      <w:tr w14:paraId="0E35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63FFAB84">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C6B5435">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B0C2119">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75C15E2">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A959B5D">
            <w:pPr>
              <w:tabs>
                <w:tab w:val="left" w:pos="480"/>
              </w:tabs>
              <w:spacing w:line="396" w:lineRule="exact"/>
              <w:jc w:val="center"/>
              <w:rPr>
                <w:rFonts w:hint="eastAsia" w:hAnsi="宋体" w:cs="宋体"/>
                <w:color w:val="auto"/>
                <w:szCs w:val="21"/>
                <w:highlight w:val="none"/>
              </w:rPr>
            </w:pPr>
          </w:p>
        </w:tc>
      </w:tr>
    </w:tbl>
    <w:p w14:paraId="251CE2DB">
      <w:pPr>
        <w:tabs>
          <w:tab w:val="left" w:pos="480"/>
        </w:tabs>
        <w:spacing w:line="360" w:lineRule="auto"/>
        <w:outlineLvl w:val="1"/>
        <w:rPr>
          <w:rFonts w:hint="eastAsia" w:hAnsi="宋体" w:cs="宋体"/>
          <w:b/>
          <w:color w:val="auto"/>
          <w:szCs w:val="21"/>
          <w:highlight w:val="none"/>
        </w:rPr>
      </w:pPr>
      <w:bookmarkStart w:id="98" w:name="_Toc4137"/>
      <w:bookmarkStart w:id="99" w:name="_Toc3926"/>
      <w:bookmarkStart w:id="100" w:name="_Toc8887"/>
      <w:r>
        <w:rPr>
          <w:rFonts w:hint="eastAsia" w:hAnsi="宋体" w:cs="宋体"/>
          <w:b/>
          <w:color w:val="auto"/>
          <w:szCs w:val="21"/>
          <w:highlight w:val="none"/>
        </w:rPr>
        <w:t>二、合同价款</w:t>
      </w:r>
      <w:bookmarkEnd w:id="98"/>
      <w:bookmarkEnd w:id="99"/>
      <w:bookmarkEnd w:id="100"/>
    </w:p>
    <w:p w14:paraId="2CBFE595">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w:t>
      </w:r>
      <w:r>
        <w:rPr>
          <w:rFonts w:hint="eastAsia" w:hAnsi="宋体" w:cs="宋体"/>
          <w:color w:val="auto"/>
          <w:szCs w:val="21"/>
          <w:highlight w:val="none"/>
        </w:rPr>
        <w:t>。</w:t>
      </w:r>
    </w:p>
    <w:p w14:paraId="50151B78">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p>
    <w:p w14:paraId="4B5C2D58">
      <w:pPr>
        <w:tabs>
          <w:tab w:val="left" w:pos="480"/>
        </w:tabs>
        <w:spacing w:line="360" w:lineRule="auto"/>
        <w:outlineLvl w:val="1"/>
        <w:rPr>
          <w:rFonts w:hint="eastAsia" w:hAnsi="宋体" w:cs="宋体"/>
          <w:b/>
          <w:color w:val="auto"/>
          <w:szCs w:val="21"/>
          <w:highlight w:val="none"/>
        </w:rPr>
      </w:pPr>
      <w:bookmarkStart w:id="101" w:name="_Toc6296"/>
      <w:bookmarkStart w:id="102" w:name="_Toc23247"/>
      <w:bookmarkStart w:id="103" w:name="_Toc28664"/>
      <w:r>
        <w:rPr>
          <w:rFonts w:hint="eastAsia" w:hAnsi="宋体" w:cs="宋体"/>
          <w:b/>
          <w:color w:val="auto"/>
          <w:szCs w:val="21"/>
          <w:highlight w:val="none"/>
        </w:rPr>
        <w:t>三、款项结算</w:t>
      </w:r>
      <w:bookmarkEnd w:id="101"/>
      <w:bookmarkEnd w:id="102"/>
      <w:bookmarkEnd w:id="103"/>
    </w:p>
    <w:p w14:paraId="1BBB32BA">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14:paraId="2B3E6E59">
      <w:pPr>
        <w:tabs>
          <w:tab w:val="left" w:pos="480"/>
        </w:tabs>
        <w:spacing w:line="360" w:lineRule="auto"/>
        <w:outlineLvl w:val="1"/>
        <w:rPr>
          <w:rFonts w:hint="eastAsia" w:hAnsi="宋体" w:cs="宋体"/>
          <w:color w:val="auto"/>
          <w:szCs w:val="21"/>
          <w:highlight w:val="none"/>
        </w:rPr>
      </w:pPr>
      <w:bookmarkStart w:id="104" w:name="_Toc21714"/>
      <w:bookmarkStart w:id="105" w:name="_Toc21110"/>
      <w:bookmarkStart w:id="106" w:name="_Toc24406"/>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104"/>
      <w:bookmarkEnd w:id="105"/>
      <w:bookmarkEnd w:id="106"/>
    </w:p>
    <w:p w14:paraId="56A331D8">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14:paraId="6EF217F2">
      <w:pPr>
        <w:tabs>
          <w:tab w:val="left" w:pos="480"/>
        </w:tabs>
        <w:spacing w:line="360" w:lineRule="auto"/>
        <w:ind w:firstLine="480" w:firstLineChars="200"/>
        <w:rPr>
          <w:rFonts w:hint="default" w:hAnsi="宋体" w:cs="宋体"/>
          <w:color w:val="auto"/>
          <w:szCs w:val="21"/>
          <w:highlight w:val="none"/>
          <w:u w:val="single"/>
          <w:lang w:val="en-US"/>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r>
        <w:rPr>
          <w:rFonts w:hint="eastAsia" w:hAnsi="宋体" w:cs="宋体"/>
          <w:color w:val="auto"/>
          <w:szCs w:val="21"/>
          <w:highlight w:val="none"/>
          <w:u w:val="single"/>
          <w:lang w:val="en-US" w:eastAsia="zh-CN"/>
        </w:rPr>
        <w:t xml:space="preserve">            </w:t>
      </w:r>
    </w:p>
    <w:p w14:paraId="6A1E8075">
      <w:pPr>
        <w:tabs>
          <w:tab w:val="left" w:pos="480"/>
        </w:tabs>
        <w:spacing w:line="360" w:lineRule="auto"/>
        <w:outlineLvl w:val="1"/>
        <w:rPr>
          <w:rFonts w:hint="eastAsia" w:hAnsi="宋体" w:cs="宋体"/>
          <w:b/>
          <w:color w:val="auto"/>
          <w:szCs w:val="21"/>
          <w:highlight w:val="none"/>
        </w:rPr>
      </w:pPr>
      <w:bookmarkStart w:id="107" w:name="_Toc27382"/>
      <w:bookmarkStart w:id="108" w:name="_Toc7966"/>
      <w:bookmarkStart w:id="109" w:name="_Toc32459"/>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107"/>
      <w:bookmarkEnd w:id="108"/>
      <w:bookmarkEnd w:id="109"/>
    </w:p>
    <w:p w14:paraId="640C0067">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lang w:val="en-US" w:eastAsia="zh-CN"/>
        </w:rPr>
        <w:t>1、</w:t>
      </w:r>
      <w:r>
        <w:rPr>
          <w:rFonts w:hint="eastAsia" w:hAnsi="宋体" w:cs="宋体"/>
          <w:color w:val="auto"/>
          <w:szCs w:val="21"/>
          <w:highlight w:val="none"/>
        </w:rPr>
        <w:t>乙方所</w:t>
      </w:r>
      <w:r>
        <w:rPr>
          <w:rFonts w:hint="eastAsia" w:hAnsi="宋体" w:cs="宋体"/>
          <w:color w:val="auto"/>
          <w:szCs w:val="21"/>
          <w:highlight w:val="none"/>
          <w:lang w:eastAsia="zh-CN"/>
        </w:rPr>
        <w:t>提</w:t>
      </w:r>
      <w:r>
        <w:rPr>
          <w:rFonts w:hint="eastAsia" w:hAnsi="宋体" w:cs="宋体"/>
          <w:color w:val="auto"/>
          <w:szCs w:val="21"/>
          <w:highlight w:val="none"/>
        </w:rPr>
        <w:t>供</w:t>
      </w:r>
      <w:r>
        <w:rPr>
          <w:rFonts w:hint="eastAsia" w:hAnsi="宋体" w:cs="宋体"/>
          <w:color w:val="auto"/>
          <w:szCs w:val="21"/>
          <w:highlight w:val="none"/>
          <w:lang w:eastAsia="zh-CN"/>
        </w:rPr>
        <w:t>的服务</w:t>
      </w:r>
      <w:r>
        <w:rPr>
          <w:rFonts w:hint="eastAsia" w:hAnsi="宋体" w:cs="宋体"/>
          <w:color w:val="auto"/>
          <w:szCs w:val="21"/>
          <w:highlight w:val="none"/>
        </w:rPr>
        <w:t>保证技术指标符合要求、质量性能可靠、必须符合国家相关法律法规的要求。</w:t>
      </w:r>
    </w:p>
    <w:p w14:paraId="6D116912">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14:paraId="27815EC3">
      <w:pPr>
        <w:tabs>
          <w:tab w:val="left" w:pos="480"/>
        </w:tabs>
        <w:spacing w:line="360" w:lineRule="auto"/>
        <w:outlineLvl w:val="1"/>
        <w:rPr>
          <w:rFonts w:hint="eastAsia" w:hAnsi="宋体" w:cs="宋体"/>
          <w:b/>
          <w:color w:val="auto"/>
          <w:szCs w:val="21"/>
          <w:highlight w:val="none"/>
        </w:rPr>
      </w:pPr>
      <w:bookmarkStart w:id="110" w:name="_Toc12558"/>
      <w:bookmarkStart w:id="111" w:name="_Toc9903"/>
      <w:bookmarkStart w:id="112" w:name="_Toc21314"/>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110"/>
      <w:bookmarkEnd w:id="111"/>
      <w:bookmarkEnd w:id="112"/>
    </w:p>
    <w:p w14:paraId="245D6FF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（一）技术资料：</w:t>
      </w:r>
    </w:p>
    <w:p w14:paraId="1EAB74D7">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技术资料：</w:t>
      </w:r>
    </w:p>
    <w:p w14:paraId="49F967AF">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w:t>
      </w:r>
      <w:r>
        <w:rPr>
          <w:rFonts w:hint="eastAsia" w:hAnsi="宋体" w:cs="宋体"/>
          <w:color w:val="auto"/>
          <w:szCs w:val="21"/>
          <w:highlight w:val="none"/>
          <w:lang w:val="en-US" w:eastAsia="zh-CN"/>
        </w:rPr>
        <w:t>成果</w:t>
      </w:r>
      <w:r>
        <w:rPr>
          <w:rFonts w:hint="eastAsia" w:hAnsi="宋体" w:cs="宋体"/>
          <w:color w:val="auto"/>
          <w:szCs w:val="21"/>
          <w:highlight w:val="none"/>
        </w:rPr>
        <w:t>技术文件</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成果文件需要以纸质文件及电子版的形式移交给甲方，纸质成果文件需要移交10份</w:t>
      </w:r>
      <w:r>
        <w:rPr>
          <w:rFonts w:hint="eastAsia" w:hAnsi="宋体" w:cs="宋体"/>
          <w:color w:val="auto"/>
          <w:szCs w:val="21"/>
          <w:highlight w:val="none"/>
        </w:rPr>
        <w:t>。</w:t>
      </w:r>
    </w:p>
    <w:p w14:paraId="5757E57C">
      <w:pPr>
        <w:tabs>
          <w:tab w:val="left" w:pos="480"/>
        </w:tabs>
        <w:spacing w:line="360" w:lineRule="auto"/>
        <w:ind w:firstLine="480" w:firstLineChars="200"/>
        <w:rPr>
          <w:rFonts w:hint="eastAsia"/>
          <w:color w:val="auto"/>
          <w:highlight w:val="none"/>
        </w:rPr>
      </w:pPr>
      <w:r>
        <w:rPr>
          <w:rFonts w:hint="eastAsia" w:hAnsi="宋体" w:cs="宋体"/>
          <w:color w:val="auto"/>
          <w:szCs w:val="21"/>
          <w:highlight w:val="none"/>
        </w:rPr>
        <w:t>（二）服务承诺：以</w:t>
      </w:r>
      <w:r>
        <w:rPr>
          <w:rFonts w:hint="eastAsia" w:hAnsi="宋体" w:cs="宋体"/>
          <w:color w:val="auto"/>
          <w:szCs w:val="21"/>
          <w:highlight w:val="none"/>
          <w:lang w:eastAsia="zh-CN"/>
        </w:rPr>
        <w:t>投标文件</w:t>
      </w:r>
      <w:r>
        <w:rPr>
          <w:rFonts w:hint="eastAsia" w:hAnsi="宋体" w:cs="宋体"/>
          <w:color w:val="auto"/>
          <w:szCs w:val="21"/>
          <w:highlight w:val="none"/>
        </w:rPr>
        <w:t>、澄清表（函）、合同和相关文件为准。</w:t>
      </w:r>
    </w:p>
    <w:p w14:paraId="529390E9">
      <w:pPr>
        <w:tabs>
          <w:tab w:val="left" w:pos="480"/>
        </w:tabs>
        <w:spacing w:line="360" w:lineRule="auto"/>
        <w:outlineLvl w:val="1"/>
        <w:rPr>
          <w:rFonts w:hint="eastAsia" w:hAnsi="宋体" w:cs="宋体"/>
          <w:b/>
          <w:color w:val="auto"/>
          <w:szCs w:val="21"/>
          <w:highlight w:val="none"/>
        </w:rPr>
      </w:pPr>
      <w:bookmarkStart w:id="113" w:name="_Toc22161"/>
      <w:bookmarkStart w:id="114" w:name="_Toc14409"/>
      <w:bookmarkStart w:id="115" w:name="_Toc12975"/>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13"/>
      <w:bookmarkEnd w:id="114"/>
      <w:bookmarkEnd w:id="115"/>
    </w:p>
    <w:p w14:paraId="3E49CCC5">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1、所验服务最终验收达不到招标文件要求和投标文件承诺及国家或行业标准的，或在使用中发现甲方不能容忍的缺陷等，将视为验收不合格，乙方应在甲方要求的时间内无条件完善或要求赔付甲方损失。</w:t>
      </w:r>
    </w:p>
    <w:p w14:paraId="6FE07063">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14:paraId="71362E06">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3、验收标准：按招标文件、投标文件及磋商记录表等技术指标进行逐项验收。各项指标均应符合验收标准及要求。</w:t>
      </w:r>
    </w:p>
    <w:p w14:paraId="6068ADF4">
      <w:pPr>
        <w:tabs>
          <w:tab w:val="left" w:pos="480"/>
        </w:tabs>
        <w:spacing w:line="360" w:lineRule="auto"/>
        <w:outlineLvl w:val="1"/>
        <w:rPr>
          <w:rFonts w:hint="eastAsia" w:hAnsi="宋体" w:cs="宋体"/>
          <w:b/>
          <w:color w:val="auto"/>
          <w:szCs w:val="21"/>
          <w:highlight w:val="none"/>
        </w:rPr>
      </w:pPr>
      <w:bookmarkStart w:id="116" w:name="_Toc30681"/>
      <w:bookmarkStart w:id="117" w:name="_Toc9858"/>
      <w:bookmarkStart w:id="118" w:name="_Toc20026"/>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16"/>
      <w:bookmarkEnd w:id="117"/>
      <w:bookmarkEnd w:id="118"/>
    </w:p>
    <w:p w14:paraId="7477F7A3">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14:paraId="0E410074">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》有关条款及合同约定终止合同，并要求服务商承担违约责任。同时，政府采购监管部门有权依据《中华人民共和国政府采购法》及相关法律法规对服务商的违法行为进行相应的处罚。</w:t>
      </w:r>
    </w:p>
    <w:p w14:paraId="274E6946">
      <w:pPr>
        <w:tabs>
          <w:tab w:val="left" w:pos="480"/>
        </w:tabs>
        <w:spacing w:line="360" w:lineRule="auto"/>
        <w:outlineLvl w:val="1"/>
        <w:rPr>
          <w:rFonts w:hint="eastAsia" w:hAnsi="宋体" w:cs="宋体"/>
          <w:b/>
          <w:color w:val="auto"/>
          <w:szCs w:val="21"/>
          <w:highlight w:val="none"/>
        </w:rPr>
      </w:pPr>
      <w:bookmarkStart w:id="119" w:name="_Toc13662"/>
      <w:bookmarkStart w:id="120" w:name="_Toc27523"/>
      <w:bookmarkStart w:id="121" w:name="_Toc15856"/>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19"/>
      <w:bookmarkEnd w:id="120"/>
      <w:bookmarkEnd w:id="121"/>
    </w:p>
    <w:p w14:paraId="037F25E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48CD148D">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531C850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1194C8AC">
      <w:pPr>
        <w:tabs>
          <w:tab w:val="left" w:pos="480"/>
        </w:tabs>
        <w:spacing w:line="360" w:lineRule="auto"/>
        <w:outlineLvl w:val="1"/>
        <w:rPr>
          <w:rFonts w:hint="eastAsia" w:hAnsi="宋体" w:cs="宋体"/>
          <w:b/>
          <w:color w:val="auto"/>
          <w:szCs w:val="21"/>
          <w:highlight w:val="none"/>
        </w:rPr>
      </w:pPr>
      <w:bookmarkStart w:id="122" w:name="_Toc18389"/>
      <w:bookmarkStart w:id="123" w:name="_Toc2858"/>
      <w:bookmarkStart w:id="124" w:name="_Toc7342"/>
      <w:r>
        <w:rPr>
          <w:rFonts w:hint="eastAsia" w:hAnsi="宋体" w:cs="宋体"/>
          <w:b/>
          <w:color w:val="auto"/>
          <w:szCs w:val="21"/>
          <w:highlight w:val="none"/>
        </w:rPr>
        <w:t>十、合同生效</w:t>
      </w:r>
      <w:bookmarkEnd w:id="122"/>
      <w:bookmarkEnd w:id="123"/>
      <w:bookmarkEnd w:id="124"/>
    </w:p>
    <w:p w14:paraId="4117E762">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77FB3C1C">
      <w:pPr>
        <w:tabs>
          <w:tab w:val="left" w:pos="480"/>
        </w:tabs>
        <w:spacing w:line="360" w:lineRule="auto"/>
        <w:outlineLvl w:val="1"/>
        <w:rPr>
          <w:rFonts w:hint="eastAsia" w:hAnsi="宋体" w:cs="宋体"/>
          <w:b/>
          <w:color w:val="auto"/>
          <w:szCs w:val="21"/>
          <w:highlight w:val="none"/>
        </w:rPr>
      </w:pPr>
      <w:bookmarkStart w:id="125" w:name="_Toc18225"/>
      <w:bookmarkStart w:id="126" w:name="_Toc823"/>
      <w:bookmarkStart w:id="127" w:name="_Toc18381"/>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25"/>
      <w:bookmarkEnd w:id="126"/>
      <w:bookmarkEnd w:id="127"/>
    </w:p>
    <w:p w14:paraId="13AE72FC">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招标文件</w:t>
      </w:r>
      <w:r>
        <w:rPr>
          <w:rFonts w:hint="eastAsia" w:hAnsi="宋体" w:cs="宋体"/>
          <w:color w:val="auto"/>
          <w:szCs w:val="21"/>
          <w:highlight w:val="none"/>
        </w:rPr>
        <w:t>、</w:t>
      </w:r>
      <w:r>
        <w:rPr>
          <w:rFonts w:hint="eastAsia" w:hAnsi="宋体" w:cs="宋体"/>
          <w:color w:val="auto"/>
          <w:szCs w:val="21"/>
          <w:highlight w:val="none"/>
          <w:lang w:eastAsia="zh-CN"/>
        </w:rPr>
        <w:t>投标文件</w:t>
      </w:r>
      <w:r>
        <w:rPr>
          <w:rFonts w:hint="eastAsia" w:hAnsi="宋体" w:cs="宋体"/>
          <w:color w:val="auto"/>
          <w:szCs w:val="21"/>
          <w:highlight w:val="none"/>
        </w:rPr>
        <w:t>、澄清表（函）、</w:t>
      </w:r>
      <w:r>
        <w:rPr>
          <w:rFonts w:hint="eastAsia" w:hAnsi="宋体" w:cs="宋体"/>
          <w:color w:val="auto"/>
          <w:szCs w:val="21"/>
          <w:highlight w:val="none"/>
          <w:lang w:val="en-US" w:eastAsia="zh-CN"/>
        </w:rPr>
        <w:t>中标</w:t>
      </w:r>
      <w:r>
        <w:rPr>
          <w:rFonts w:hint="eastAsia" w:hAnsi="宋体" w:cs="宋体"/>
          <w:color w:val="auto"/>
          <w:szCs w:val="21"/>
          <w:highlight w:val="none"/>
        </w:rPr>
        <w:t>通知书、合同附件均成为合同不可分割的部分。</w:t>
      </w:r>
    </w:p>
    <w:p w14:paraId="24E1B15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67DBD68B">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3FE9B050">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5D14C918">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58570842">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AFB6870">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14:paraId="0921604B">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14:paraId="37C7A6EF">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14:paraId="2D4802F8">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14:paraId="0E4F3FFE">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14:paraId="16F22C8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14:paraId="491AF3BC">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14:paraId="730675F4">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14:paraId="17BBBE6A">
      <w:pPr>
        <w:spacing w:line="360" w:lineRule="auto"/>
        <w:ind w:firstLine="480" w:firstLineChars="200"/>
        <w:rPr>
          <w:rFonts w:hint="eastAsia" w:ascii="仿宋_GB2312" w:eastAsia="仿宋_GB2312"/>
          <w:sz w:val="30"/>
          <w:szCs w:val="30"/>
          <w:highlight w:val="none"/>
        </w:rPr>
        <w:sectPr>
          <w:footerReference r:id="rId15" w:type="first"/>
          <w:headerReference r:id="rId13" w:type="default"/>
          <w:footerReference r:id="rId14" w:type="default"/>
          <w:pgSz w:w="11906" w:h="16838"/>
          <w:pgMar w:top="1418" w:right="1555" w:bottom="1418" w:left="1531" w:header="851" w:footer="992" w:gutter="0"/>
          <w:pgNumType w:fmt="decimal"/>
          <w:cols w:space="720" w:num="1"/>
          <w:titlePg/>
          <w:docGrid w:type="lines" w:linePitch="312" w:charSpace="0"/>
        </w:sectPr>
      </w:pPr>
      <w:r>
        <w:rPr>
          <w:rFonts w:hint="eastAsia" w:hAnsi="宋体" w:cs="宋体"/>
          <w:color w:val="auto"/>
          <w:szCs w:val="21"/>
          <w:highlight w:val="none"/>
        </w:rPr>
        <w:t>签订日期：     年    月      日           签订日期：     年    月   日</w:t>
      </w:r>
    </w:p>
    <w:p w14:paraId="521983DD">
      <w:pPr>
        <w:pStyle w:val="3"/>
        <w:jc w:val="center"/>
        <w:outlineLvl w:val="0"/>
        <w:rPr>
          <w:rFonts w:hint="eastAsia" w:ascii="宋体" w:hAnsi="宋体" w:eastAsia="宋体" w:cs="宋体"/>
          <w:bCs/>
          <w:sz w:val="36"/>
          <w:szCs w:val="36"/>
          <w:highlight w:val="none"/>
        </w:rPr>
      </w:pPr>
      <w:r>
        <w:rPr>
          <w:rFonts w:hint="eastAsia" w:ascii="宋体" w:hAnsi="宋体" w:eastAsia="宋体" w:cs="宋体"/>
          <w:bCs/>
          <w:sz w:val="36"/>
          <w:szCs w:val="36"/>
          <w:highlight w:val="none"/>
        </w:rPr>
        <w:t xml:space="preserve">第五章 </w:t>
      </w:r>
      <w:bookmarkEnd w:id="82"/>
      <w:bookmarkEnd w:id="83"/>
      <w:bookmarkEnd w:id="84"/>
      <w:bookmarkEnd w:id="85"/>
      <w:bookmarkEnd w:id="86"/>
      <w:bookmarkEnd w:id="87"/>
      <w:bookmarkEnd w:id="88"/>
      <w:bookmarkEnd w:id="89"/>
      <w:bookmarkEnd w:id="90"/>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91"/>
      <w:bookmarkEnd w:id="92"/>
    </w:p>
    <w:bookmarkEnd w:id="61"/>
    <w:p w14:paraId="411DCE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bookmarkStart w:id="128" w:name="_Toc363474025"/>
      <w:bookmarkStart w:id="129" w:name="_Toc403077646"/>
      <w:bookmarkStart w:id="130" w:name="_Toc5084"/>
      <w:bookmarkStart w:id="131" w:name="_Toc423973079"/>
      <w:bookmarkStart w:id="132" w:name="_Toc242"/>
      <w:r>
        <w:rPr>
          <w:rFonts w:hint="eastAsia" w:hAnsi="宋体" w:cs="宋体"/>
          <w:b/>
          <w:bCs/>
          <w:color w:val="000000" w:themeColor="text1"/>
          <w:sz w:val="28"/>
          <w:szCs w:val="28"/>
          <w:lang w:val="en-US" w:eastAsia="zh-CN"/>
          <w14:textFill>
            <w14:solidFill>
              <w14:schemeClr w14:val="tx1"/>
            </w14:solidFill>
          </w14:textFill>
        </w:rPr>
        <w:t>项目区基本情况</w:t>
      </w:r>
    </w:p>
    <w:p w14:paraId="18D36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自然条件</w:t>
      </w:r>
    </w:p>
    <w:p w14:paraId="3377B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（1）地理位置</w:t>
      </w:r>
    </w:p>
    <w:p w14:paraId="24162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柞水县位于陕西省南部，商洛市西部。东与商州区、 山阳县接壤；南邻镇安县；西邻宁陕县；北与长安区、蓝田县相连。地跨东经 108°50′ ～ 109°40′ ，北纬 33°20′ ～ 34° 00′。东西跨度最长 72公里，南北最宽处 42公里，土地总面积达 2368 平方公里。</w:t>
      </w:r>
    </w:p>
    <w:p w14:paraId="58785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（2）地形地貌</w:t>
      </w:r>
    </w:p>
    <w:p w14:paraId="0E03F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柞水县，位于秦岭南麓，是一个以高、 中低山为主体的 “九山半水半分田” 的独特土石山区。其地形西北高，主峰牛背梁，作为秦岭东段最高峰，海拔高达 2802.1 米，是国家自然保护区，被誉为秦岭东部的绿色明珠。东南部相对较低，社川河谷最低海拔为 541 米。从西北向东南， 山脉蜿蜒伸展，犹如五指舒展。 中部地区海拔在 800 至 1500 米之间，以乾佑河、社川河两大水系为脉络，平坦的川道与青翠的山峦交相辉映，更有着地壳运动、海底抬升所造就的喀斯特地貌及海底海螺化石的沉积。</w:t>
      </w:r>
    </w:p>
    <w:p w14:paraId="3F445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（3）气候水文</w:t>
      </w:r>
    </w:p>
    <w:p w14:paraId="23002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柞水县位于中纬度区域，呈现出南北过渡性的气候特征。受秦岭山脉的屏障效应及山地地形的影响，该地区多受季风调控，四季更迭分明，气候温和宜人，雨量充沛，然而垂直差异显著。</w:t>
      </w:r>
    </w:p>
    <w:p w14:paraId="785BC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陕西省年平均日照时数在 2022 年为 2088.08 小时，而柞水县作为该区域的一部分，其 日照时数也反映了辐射量的充足。尽管秋季阴雨时间较长，辐射量有所下降，但春季辐射量充足，对农作物生长发育极为有利。全年平均气温 12.2℃ , 年内变化幅度大， 1 月最冷，平均气温-0.2℃ , 7 月最热，平均气温 23.6℃ 。极端最高气温 37.1℃ , 极端最低气温-13.9℃ , ≥0℃的积温4533.4℃。春季升温快，但不稳定，4 月常出现倒春寒；秋季降温快，影响中晚作物成熟。全县年平均降雨量 770.4 毫米，降雨量年际变化幅度大，涝年、旱年、平年相间出现。根据柞水县历史气候数据，春季平均降雨量为 154 毫米，夏季为 364.8 毫米，秋季为 230.1毫米，而冬季则为 21.3 毫米。这些数据反映了降雨季节分配的不均衡性，特别是在盛夏期间， 由于降水时空分布的不均，常导致伏旱现象的发生。</w:t>
      </w:r>
    </w:p>
    <w:p w14:paraId="3DFB1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柞水县属长江流域汉江水系，水资源十分丰富，境内沟壑交织，河流密布，共有大小河流 7320 条，总长 5693.4 公里，大小河流及其支流构成羽状或树枝状，河网密度大，平均 2.14公里/平方公里，各大小河流分别汇集乾佑河、社川河、金钱河三条大河流流出县境，总流向为自西北向东南。根据柞水县人民政府公布的资料，境内河流大部分水质为中等硬度，pH 值呈弱酸性，且含氟量、溶解氧等指标符合《生活饮用水卫生标准》（GB5749-2022）。金钱河为最大河流，境内长度 133公里，年径流量 2.77 亿立方米，流域面积 1041.46 平方公里；乾佑河境内长度 63.1 公里，年径流量 2.51 亿立方米，流域面积 865.76 平方公里；社川河境内长度124.5 公里，年径流量 1.12 亿立方米，流域面积 412.84 平方公里。</w:t>
      </w:r>
    </w:p>
    <w:p w14:paraId="44B60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以平水年计算，全县地表水总流量 6.54 亿立方米，径流深276.6 毫米，径流模数为 0.77 立方米/（平方公里 ·秒），水力蕴藏量 3.79 万千瓦，可开发量 1.03 万千瓦。</w:t>
      </w:r>
    </w:p>
    <w:p w14:paraId="5B69F3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（4）土壤植被</w:t>
      </w:r>
    </w:p>
    <w:p w14:paraId="4620FB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柞水县土壤受纬度、气候、植被类型、高差等影响，所发育的土壤在地理分布上具有明显的水平地带性、垂直地带性和地域性的特点。水平分布大致以小岭、凤镇至柴庄一线为界， 以北多为棕壤土，海拔 541～1200 米之间多为黄棕壤土。全县土壤共有 7个土类，14 个亚类，63 个土种。其中，棕壤土主要包括棕壤、灰化棕壤 、粗骨棕壤 3 个亚类 14 个土种， 面积占全县总面积的52.58%；黄棕壤土主要包括黄褐土、黄棕壤、粗骨性黄棕壤、粗骨性黄褐土等 4 个亚类 18 个土种，面积占全县总面积的 43.07%；淤土共有 21 个土种，面积占全县总面积的 2.85%；潮土面积占全县总面积的 0.26%；紫色土面积占全县总面积的 1.12%；水稻土面积占全县总面积的0.07%；山地灰泡土面积占全县总面积的0.04%。</w:t>
      </w:r>
    </w:p>
    <w:p w14:paraId="6D83A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（5）土地资源</w:t>
      </w:r>
    </w:p>
    <w:p w14:paraId="49EBDF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根据第三次全国国土调查，柞水县土地总面积为236799 公顷，其中耕地面积为 7282.33 公顷， 园地面积为 1065.48 公顷，林地面积为 220469.31 公顷，草地面积为 350.36 公顷。其中，根据参考资料 1，柞水县林地面积为 220469.31公顷，占全县土地总面积的 93.11%； 耕地面积为 7282.33 公顷， 占 3.07%； 园地面积为1065.48 公顷，占 0.45%。这些数据与原文中提及的土地利用类型和面积数据相吻合，增强了原文的可信度。</w:t>
      </w:r>
    </w:p>
    <w:p w14:paraId="5F945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（6）森林资源</w:t>
      </w:r>
    </w:p>
    <w:p w14:paraId="75953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根据柞水县第三次全国国土调查主要数据公报，该县的林地总面积为 220469.31 公顷。其中，乔木林地面积为 219852.99 公顷，竹林地面积为 110.74 公顷，灌木林地面积为 33.07 公顷。常绿针叶树种有：秦岭冷杉、铁杉、华山松、油松、侧柏、圆柏、白皮松、马尾松； 常绿阔叶树种有高山栎、樟树和女贞；落叶阔叶树种有：尖齿栎、红桦、牛皮桦、高山桦、辽东栎、蒙古栎、椴树、 山杨、波氏杨、加拿大杨、银白杨、胡桃楸、毛白杨、青杨、枫杨、 中槐、香椿、臭椿、化香、 山桃、 山杏等。冷杉主要生长在海拔 2300 至 2800 米的亚高山区域，集中分布于牛背梁、四方山及迷魂阵等地。华山松主要分布于海拔 1100 至 1800 米的中山区，在县境北部和东北部的九间房、万青、红岩寺等地多形成纯林，其他地区则与油松混交，形成针叶林，并夹杂于尖齿栎林之中。油松主要分布于海拔 1500 米以下的中山和低山区域，县境西北部的红岩寺、万青、九间房等地多与华山松混交，而西川、下梁、曹坪、杜家村等地则多与栎类混交。栓皮栎主要分布于海拔 900 至 1200 米的山地，在海拔 1600 米的地区也有与华山松混交的情况，尤其在县境西北部和北部的两河、老林、银碗、红石、高桥、曹坪、药王等地分布较多。</w:t>
      </w:r>
    </w:p>
    <w:p w14:paraId="163FB7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社会经济情况：</w:t>
      </w:r>
    </w:p>
    <w:p w14:paraId="16577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柞水县现辖 8 个镇、1 个街道办事处，共 82 个村（社区居委会），其中包括 65 个村和 17 个社区居委会。总人 口 13.58 万人，其中城镇人 口 6.39 万人， 占 47%；农业人 口 7.19 万人， 占 53%。根据柞水县 2024 年的经济数据，全县国内生产总值达到 76.54 亿元，较上年增长 7.6%。其中，农业产值为 47116 万元，林业产值为 17876 万元，牧业产值为 52640 万元，县财政总收入为 39969万元。这些数据反映了柞水县在农业、林业和牧业等领域的稳定增长， 以及财政收入的稳步提升。根据国家统计局陕西调查总队的调查数据，2023 年陕西居民人均可支配收入达到 32128 元，同比增长 6.7%。其中，城镇居民人均可支配收入为 44713 元，农村居民人均可支配收入为 16992 元。这显示出全县经济的稳步增长和居民收入的提升。全县粮食总产量 40070 吨。</w:t>
      </w:r>
    </w:p>
    <w:p w14:paraId="61C86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柞水县交通便捷，境内拥有通往西安、蓝田、商州、镇安、山阳的干线公路及通往各镇的地方公路共计 20 余条。西康铁路、包茂高速、 山柞高速已相继通车，西康高铁也即将建成， 区位优势愈发显著，柞水已融入西安一小时经济圈。全县公路里程达1632.96公里，“ 四纵两横，十路出境”的公路网主骨架已基本成型，县域内已形成网络化的公路交通格局。各镇村均已实现电话程控化，累计发展有线电视用户 1.49 万户、移动通讯用户 7.97万户，基本实现了全县通信无盲区。</w:t>
      </w:r>
    </w:p>
    <w:p w14:paraId="002C9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3、林下经济发展现状</w:t>
      </w:r>
    </w:p>
    <w:p w14:paraId="35B63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柞水县土地总面积 236799 公顷，其中林地面积 220485 公顷，森林覆盖率为 75.16%。 丰富的林地资源为林下经济发展提供了广阔的空间，近几年来县政府对发展林下经济进行了积极探索和引导。 目前，全县林下种植利用林地面积 3.18 万亩，产值 8453 万元。其中：林药模式 2.65 万亩，产值 2771 万元；林菌模式 0.13万亩，产值 3312 万元；林茶模式 0.1 万亩，产值 230 万元；林苗模式 0.3 万亩，产值 2140 万元。林下养殖利用林地面积 3.2 万亩，产值 1858 万元。其中：林禽模式 0.2 万亩，产值 508 万元，养殖品种以鸡为主；林畜模式 1 万亩，产值 1200 万元，养殖品种以牛、羊为主；林蜂模式 2 万亩，产值 150 万元。涉及的专业合作社 63个，涉及企业 14 个。全县林下经济总产值 15911 万元，涉及林地面积 8.08 万亩，2021 年林下经济财政资金总投入 450 万元，农民来自林下经济的年人均收入 530 元，从事林下经济的农户人数8550 人。</w:t>
      </w:r>
    </w:p>
    <w:p w14:paraId="46B72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4、项目区现状</w:t>
      </w:r>
    </w:p>
    <w:p w14:paraId="0E9AE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窑镇社区距县城 35公里，距镇政府 15公里，总面积 67.5 平方公里，耕地面积 2748 亩，林地面积 95534.2 亩，退耕还林面积1960.6 亩，森林郁闭度 0.35-0.4。全村辖 10 个村民小组，总人口 1286 户 4074 人，其中农村户 口 1226 户 3982 人，城镇户 口 60户 92 人。 劳动力总数达 2500 人，其中贫困劳动力 540 人，建档立卡贫困户 365 户，涉及 1143 人。截至 2019 年底， 已累计脱贫359 户、1117 人，贫困发生率降至 0.65%。</w:t>
      </w:r>
    </w:p>
    <w:p w14:paraId="1BB90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窑镇社区党支部由 4 名成员组成，包括支部书记 1 名、副支书 1 名、支部委员 2 名，另有村干部 9 人。支部下设 10 个党小组，有党员 111 人。2019 年人均纯收入 9821 元，村集体经济收益 15.2万元。</w:t>
      </w:r>
    </w:p>
    <w:p w14:paraId="75BCB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在产业发展方面， 自 2018 年起，窑镇社区脱贫攻坚 “ 四支队伍”依托 “ 两借两送一还”模式（ 即借大棚或地块、耳菌袋，提供政策服务与技术指导，回收成品木耳），大力发展木耳栽种产业。2020 年，社区深入推进该模式，已有 24 户贫困户承包经营参与木耳产业发展，其中 5 户按 “借袋还耳”模式承包木耳吊袋大棚自主经营。 同时，柞水县世纪生态农业有限公司为社区产业发展提供助力，免费提供玄参种子并开展免费技术指导、上门保底回收，重点推动四组、八组、九组、十组发展玄参中药材种植 200亩，成功带动 50 多户农民实现增收。此外，世纪生态农业有限公司还建立了社区工厂，为 30 多人提供了就业岗位，进一步拓宽了居民的增收渠道。</w:t>
      </w:r>
    </w:p>
    <w:p w14:paraId="40B2B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境内现有企业 5 个：千万袋木耳菌包厂、柞水县世纪生态农业有限公司药材加工厂、五生源养殖场、万顺养殖场、恒源养鸡场；另有柞水县鑫发农业有限公司 1 个、兴龙黑木耳菌业合作社 1个，带贫益贫能力日益增强。</w:t>
      </w:r>
    </w:p>
    <w:p w14:paraId="0F7A9D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作业区林下种植可利用面积 480 公顷，项 目区气候温和，林地资源丰富，是玄参适生区域，该村现有玄参种植面积约 100 公顷。本次林下经济规划种植玄参面积 314 亩，可作业面积 300 亩。</w:t>
      </w:r>
    </w:p>
    <w:p w14:paraId="280F5F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项目地块海拔 1000～1200 米，土壤类型以黄棕壤为主，大部分地段土层 35 厘米左右，pH 值 6.4-6.7。林地保护等级为三级，该等级林地允许进行一定程度的林下经济开发活动，但需严格遵循相关生态保护规定。项 目区内植被以次生林和人工林为主，森林郁闭度 0.35-0.38，生物多样性较为丰富，为玄参等中药材种植提供了良好的生态屏障。土壤肥力中等，有机质含量平均 1.8%，符合玄参生长对土壤环境的基本要求。主要树种是板栗、油松和阔杂。龄组为中龄林，林相比较整齐，林种均为水源涵养林。林分结构相对稳定，郁闭度在 0.4 左右。这样的林分条件既保证了充足的光照，又维持了适宜的湿度，为玄参的生长提供了良好的微气候环境。 同时，项目所在地交通便捷，便于种苗、肥料等生产物资的运输， 以及后期产品的采收与销售，为项目的顺利推进提供了坚实保障。林地权属为集体，林木权属为个人。</w:t>
      </w:r>
    </w:p>
    <w:p w14:paraId="0461A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该规划区域不处于生态敏感区或生态脆弱区，也不在自然保护区、风景名胜区等需特殊保护的范围内，不会对林下微生物和植物造成过度破坏，也不会引发水土流失问题，无负面清单事项。该区域适宜科学发展林下经济，且周边无重大污染源，空气质量、水质等环境指标均满足中药材种植要求。柞水县属温带半湿润季风气候区， 四季分明，雨热同期，年平均气温 15.6℃ , 年降水量760 毫米，这些自然气候条件为玄参生长提供了适宜环境，有利于其有效成分的积累。 此外， 当地劳动力资源丰富，能够满足项目在种植、管理、采收等环节的用工需求，为项目的长期稳定发展提供了人力支持。</w:t>
      </w:r>
    </w:p>
    <w:p w14:paraId="251C8D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DFB4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林下种植</w:t>
      </w:r>
    </w:p>
    <w:p w14:paraId="4E715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1、项目建设规模</w:t>
      </w:r>
    </w:p>
    <w:p w14:paraId="30297F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柞水县 2025 年度省级林业草原改革发展资金林下经济发展补助项目位于曹坪镇窑镇社区，建设规划面积 314 亩，其中可作业面积 300 亩，林下种植玄参 6 个小班。</w:t>
      </w:r>
    </w:p>
    <w:p w14:paraId="62FDDE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2、林下种植区划</w:t>
      </w:r>
    </w:p>
    <w:p w14:paraId="2D387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林下种植建设区划采用县、镇、村、小班四级体系。</w:t>
      </w:r>
    </w:p>
    <w:p w14:paraId="593FDA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（1）区划地块选择的基本条件：地块应位于境内道路沿线或重点区域，交通便利、立地条件优越且相对集中。</w:t>
      </w:r>
    </w:p>
    <w:p w14:paraId="37CF2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（2）林下种植作业区：林下种植作业区为一级统计单位。 以行政村为基础进行区划，作业区为A3 图幅。</w:t>
      </w:r>
    </w:p>
    <w:p w14:paraId="30D04F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（3）小班（主要指宜林地小班）标准：小班作为调查设计与组织施工的基本单位，主要依据地类、栽植地立地条件等因素进行区划。</w:t>
      </w:r>
    </w:p>
    <w:p w14:paraId="7885B5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3、林下种植技术</w:t>
      </w:r>
    </w:p>
    <w:p w14:paraId="6883FD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玄参是多年生草本植物，其植株高度通常介于 60 至 150 厘米之间。 茎部直立，呈四棱形，并长有腺毛。 叶片多为卵形或卵状椭圆形，先端渐尖，基部呈圆形或近截形，边缘布有细锯齿，叶片两面均覆盖有短柔毛。其花序为疏散的圆锥花序，顶生，花呈暗紫色，花萼 5 裂，花冠管部斜壶状，上唇长于下唇。 蒴果卵圆形，稍扁，成熟时呈黑褐色。</w:t>
      </w:r>
    </w:p>
    <w:p w14:paraId="1C370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生长习性：玄参偏好温和湿润且凉爽的气候环境，具备一定的耐寒能力，然而既不耐旱也怕涝。其对土壤条件要求较为严苛，最适宜在土层深厚、疏松肥沃、排水顺畅且富含腐殖质的砂质壤土中生长。玄参在黏土、低洼地及盐碱地中生长状况不佳。作为一种深根性植物，其根系深入土层，生长过程中需要充足的光照，但在夏季高温时段，适当的遮阴措施对其生长有利。</w:t>
      </w:r>
    </w:p>
    <w:p w14:paraId="60FF36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种苗储存：在储存玄参种苗时，应选择通风良好、干燥且无阳光直射的场所。将种苗整齐摆放，避免相互挤压， 同时需定期检查种苗状态，防止出现腐烂或霉变情况。若储存环境湿度过高，可适量使用干燥剂降低湿度，确保种苗在储存期间保持良好活力。</w:t>
      </w:r>
    </w:p>
    <w:p w14:paraId="7AA61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栽植：种植时间选定在 2026 年 2 至 4 月，此期间气候条件适宜玄参根系的生长与恢复，符合玄参在北方地区的春种时间。栽植前，需对选定地块实施深耕细耙作业，确保土壤疏松透气，为玄参根系生长营造良好环境。挖掘栽植穴时，需根据种苗规格调整穴的大小与深度，确保种苗能轻松放入且根系得以舒展。将种苗放入栽植穴后，扶正植株，填入细土并适度压实，使种苗根系与土壤紧密贴合，随后浇足定根水，确保种苗成活。</w:t>
      </w:r>
    </w:p>
    <w:p w14:paraId="6C72C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种苗来源：秉持适地适药、 良种优先原则，结合自然条件，精选品质优良、性状稳定、适应性强的玄参种苗作为栽植品种，要求子芽健壮、顶芽完整、无机械损伤、无检疫性病虫害。优先选择具有三证一签的芽苗， 以及通过种植试验验证且完成生态风险评估的优良品种。子芽长度的平均值在 1.5～ 12.5cm 之间，与玄参良种子芽分级标准中 Ⅰ 级良种的子芽长度不低于 8cm、Ⅱ级不低于 6cm、Ⅲ级不低于 3cm 相比较，显示出较大的变异范围。子芽粗平均值在 8.01～ 45.2mm 之间，与分级标准中 Ⅰ 级良种的子芽粗不低于 25mm、 Ⅱ级不低于 20mm、 Ⅲ级不低于 9mm 相比较，同样显示出较大的变异范围。重量平均值在 2.83～ 61.1g 之间，与分级标准中 Ⅰ 级良种的子芽重不低于 28g、 Ⅱ级不低于 16g、Ⅲ级不低于 5g 相比较，也显示出较大的变异范围。种苗选择性状优良、遗传稳定、性状表达一致、种质来源明确、符合国家标准的种子种苗及其他繁殖材料。禁止选用转基因的种质或繁殖材料。</w:t>
      </w:r>
    </w:p>
    <w:p w14:paraId="26352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（1）种苗储存</w:t>
      </w:r>
    </w:p>
    <w:p w14:paraId="2322C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玄参最常用的繁殖方法是子芽繁殖。在收获玄参时，选择无病虫害、粗壮且洁白的子芽作为繁殖材料。将选好的子芽置于室内阴凉通风处晾晒 1 至 2 天， 以促进伤口愈合，降低病菌感染风险。之后，把子芽分层放置在预先准备好的干净沙床上进行储存，沙床应选用质地疏松、排水良好的沙子铺设，厚度以 10 至 15 厘米为宜。每层子芽之间需用细砂隔开，厚度约为 3 至 5 厘米， 以防止子芽相互挤压造成损伤。储存环境的温度应控制在 0 至 5 摄氏度之间，相对湿度保持在 60%至 70%，同时要定期检查沙床的湿度和子芽的状态，若发现沙子过干，可适当喷水保湿，但切勿积水， 以免子芽腐烂。将芽尖朝上，随后覆土，厚度以 3 至 5 厘米为宜。</w:t>
      </w:r>
    </w:p>
    <w:p w14:paraId="5EB07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（2）整地：</w:t>
      </w:r>
      <w:r>
        <w:rPr>
          <w:rFonts w:hint="eastAsia" w:ascii="宋体" w:hAnsi="宋体" w:eastAsia="宋体" w:cs="宋体"/>
          <w:color w:val="000000" w:themeColor="text1"/>
          <w:sz w:val="24"/>
          <w:szCs w:val="24"/>
          <w:lang w:val="en-US" w:eastAsia="zh-CN"/>
          <w14:textFill>
            <w14:solidFill>
              <w14:schemeClr w14:val="tx1"/>
            </w14:solidFill>
          </w14:textFill>
        </w:rPr>
        <w:t>整地前应尽量减少对现有植被的破坏，根据自然条件和工程质量要求，沿等高线水平方向进行 1 米宽带状砍灌和杂草清理。</w:t>
      </w:r>
    </w:p>
    <w:p w14:paraId="4C3D4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在种植前的冬季，对林下空带进行深翻熟化，深度约为 30 至40 厘米， 以使土壤充分风化。到了春季，结合施基肥再次进行浅耕，基肥以有机肥为主，如充分腐熟的农家肥、堆肥等。</w:t>
      </w:r>
    </w:p>
    <w:p w14:paraId="3E632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整地过程中要全面保护原有零星或块状分布的乔木、灌木或幼苗，不得有损毁现象发生。整地时将表土堆置一旁，底土堆放另一旁，栽植时将表土填入坑底， 以达到改良土壤、清除杂草的目的。</w:t>
      </w:r>
    </w:p>
    <w:p w14:paraId="75C67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（3）栽植：</w:t>
      </w:r>
      <w:r>
        <w:rPr>
          <w:rFonts w:hint="eastAsia" w:ascii="宋体" w:hAnsi="宋体" w:eastAsia="宋体" w:cs="宋体"/>
          <w:color w:val="000000" w:themeColor="text1"/>
          <w:sz w:val="24"/>
          <w:szCs w:val="24"/>
          <w:lang w:val="en-US" w:eastAsia="zh-CN"/>
          <w14:textFill>
            <w14:solidFill>
              <w14:schemeClr w14:val="tx1"/>
            </w14:solidFill>
          </w14:textFill>
        </w:rPr>
        <w:t>种植时间为 2026 年 2-4 月份。</w:t>
      </w:r>
    </w:p>
    <w:p w14:paraId="08BC0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玄参采用人工芽苗种植。栽植时，应小心取出培育好的芽苗，以防损伤根系。按照预先规划好的株行距进行栽植，一般株距保持在 50 厘米，行距为 50 厘米。将芽苗垂直放入挖好的栽植穴中，使根系舒展，然后填入细碎的表土，轻轻提苗，让根系与土壤充分接触，再踏实土壤，浇足定根水，确保芽苗成活。栽植过程中，需做到深松土、细栽植，确保根系稳固、苗株端正，从而提高种苗成活率。</w:t>
      </w:r>
    </w:p>
    <w:p w14:paraId="67B4DB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（4）结构配置</w:t>
      </w:r>
    </w:p>
    <w:p w14:paraId="2B451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玄参为林下空地种植玄参时，应按照每亩实际可利用面积的50%进行计算。在中药材种植中，玄参的种植面积通常为 330 平方米，采用株行距为 0.5 × 0.5 米的布局，每穴种植 1 株子芽，初植密度为 1320 株/亩。根据种植技术详解，玄参的种植密度应根据实际种植条件调整，以确保植株健康生长和提高产量。坡面破碎、地形变化复杂的地方种植点位置可灵活掌握，应不拘于株行距的规定，但要保证单位面积种植点数量。</w:t>
      </w:r>
    </w:p>
    <w:p w14:paraId="7E973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（5）抚育</w:t>
      </w:r>
    </w:p>
    <w:p w14:paraId="377143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抚育的主要内容是松土、除草、砍灌、培土、施肥等。抚育工作需根据林下空地的实际状况及中药材生长阶段，进行科学合理的规划，在中药材生长初期，松土和除草工作尤为重要，可有效促进根系生长和减少养分竞争。砍灌作业则主要针对影响中药材生长的灌木和杂草，确保种植地通风透光。培土和施肥工作需结合土壤肥力和中药材需求进行， 以提供充足的养分支持。在整个抚育阶段，需严格遵循 ‘ 三不伤’原则（不伤根、不伤梢、不伤皮）、 ‘ 二净’标准（杂草除净、石块捡净），并落实一培土操作规范， 以保障中药材健康生长。 需定期对种植地病虫害发生情况进行预测预报，一旦发现病虫害，应立即组织防治； 同时，栽植后要落实专人管护，严禁人畜及兽类破坏。</w:t>
      </w:r>
    </w:p>
    <w:p w14:paraId="30C69C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中耕除草：在玄参生长期间，要及时进行中耕除草， 中耕时深度不宜过深，以防损伤玄参根系，一般将深度控制在 5 至 10厘米较为适宜。 除草工作需彻底落实，秉持除早、除小的原则，防止杂草与玄参争夺养分和光照。 与此同时， 中耕除草操作还能有效改善土壤的通气性与透水性，为玄参生长营造优良的土壤环境。依据玄参的生长态势以及土壤的实际状况，科学合理地安排中耕除草的频次与时间，保障玄参生长全程免受杂草过度滋生的干扰。</w:t>
      </w:r>
    </w:p>
    <w:p w14:paraId="3C223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追肥环节：玄参在生长期间对肥料需求较大，通常需追肥 2-3次。首次追肥于齐苗后进行，每亩施用尿素 10-15 千克，施肥方式可结合灌溉进行，也可在根部培土施肥， 以此促进幼苗茁壮成长；第二次追肥安排在植株生长旺盛阶段， 即 6 月中旬前后，每亩施用三元复合肥 20-30 千克， 以满足植株对氮、磷、钾元素的需求；第三次追肥于 7 月下旬至 8 月上旬开展，每亩施用硫酸钾10-15 千克，以此促进根部膨大。追肥时要注意施肥方法，避免肥料直接接触植株，可采用沟施或穴施，施后覆土。</w:t>
      </w:r>
    </w:p>
    <w:p w14:paraId="6F9B82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灌溉与排水要点：玄参喜好湿润环境，然而却怕涝灾。在干旱时节，需及时开展灌溉工作，维持土壤湿润状态， 以满足植株生长对水分的需求。灌溉方式可选用喷灌或沟灌，不过需留意避免大水漫灌的情况发生，防止造成土壤板结。在雨季来临之际，需及时疏通畦沟，排尽田间积水，防止植株因受涝而烂根。</w:t>
      </w:r>
    </w:p>
    <w:p w14:paraId="00AB9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打顶与摘蕾操作：为抑制玄参地上部分的生长态势，促进根部膨大，进而提高产量与质量，需开展打顶和摘蕾工作。打顶通常在植株生长至约 60-80 厘米高度时进行，此时需摘除顶部的生长点。摘蕾需在玄参现蕾期及时进行，摘除花蕾以减少养分消耗，确保养分集中供应根部。</w:t>
      </w:r>
    </w:p>
    <w:p w14:paraId="1662BE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（6）病虫害防治</w:t>
      </w:r>
    </w:p>
    <w:p w14:paraId="11C75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斑枯病：这是玄参常见的病害之一，主要危害叶片。发病初期，叶片上出现褐色小斑点，后逐渐扩大成圆形或不规则形病斑，中央灰白色，边缘褐色，上生黑色小点。 防治方法：实行轮作，避免连作；收获后及时清除病残体，集中烧毁或深埋；在玄参斑枯病发病初期，推荐使用 50%多菌灵可湿性粉剂 800 倍液或 70%甲基托布津可湿性粉剂 1000 倍液进行喷雾防治，每隔 7-10 天喷一次，连续喷 2-3 次， 以达到理想的控制效果。</w:t>
      </w:r>
    </w:p>
    <w:p w14:paraId="6144B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白绢病主要危害根部，发病初期，病根表面会生出白色绢丝状菌丝体，随后逐渐形成菌核，导致病株地上部分的叶片发黄、枯萎。 防治方法包括：选择无病地块进行种植，并对种栽进行消毒处理，具体可用 50%多菌灵可湿性粉剂 500 倍液浸泡种栽 10 ~ 15 分钟；一旦发现病株，需立即拔除，并用石灰粉对病穴进行消毒处理；在发病初期，可选用 50%退菌特可湿性粉剂 800 至 1000倍液，或 20%甲基立枯磷乳油 1000 倍液进行灌根防治。</w:t>
      </w:r>
    </w:p>
    <w:p w14:paraId="0CABF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棉红蜘蛛会以成螨、若螨的形式群集在叶片背面吸食汁液，导致叶片出现黄白色小点，严重时叶片会枯黄脱落。 防治方法包括：清除田间杂草以减少虫源；在发生初期，为有效控制棉花红蜘蛛，推荐使用 1.8%阿维菌素乳油稀释 3000 至 5000 倍液，或 73%炔螨特乳油稀释 2000 至 3000 倍液进行喷雾防治。在喷施过程中，应特别注意均匀覆盖叶片背面， 以确保药效最大化。</w:t>
      </w:r>
    </w:p>
    <w:p w14:paraId="2DC5A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蚜虫多聚集在玄参的嫩茎、嫩叶及花蕾上吸食汁液，导致植株生长不良，叶片卷曲皱缩。 防治方法包括：悬挂黄色诱虫板以诱杀有翅蚜；在发生初期，推荐使用 10%吡虫啉可湿性粉剂 1000倍液或 50%抗蚜威可湿性粉剂 2000 倍液进行喷雾防治， 以达到最佳防治效果。</w:t>
      </w:r>
    </w:p>
    <w:p w14:paraId="0F07E3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（7）收获加工：</w:t>
      </w:r>
      <w:r>
        <w:rPr>
          <w:rFonts w:hint="eastAsia" w:ascii="宋体" w:hAnsi="宋体" w:eastAsia="宋体" w:cs="宋体"/>
          <w:color w:val="000000" w:themeColor="text1"/>
          <w:sz w:val="24"/>
          <w:szCs w:val="24"/>
          <w:lang w:val="en-US" w:eastAsia="zh-CN"/>
          <w14:textFill>
            <w14:solidFill>
              <w14:schemeClr w14:val="tx1"/>
            </w14:solidFill>
          </w14:textFill>
        </w:rPr>
        <w:t>玄参一般在当年 10-11 月，地上部分枯萎时进行采收。采收时，先割去地上部分的茎秆，然后用锄头将根部挖出，注意避免损伤根部。挖出的玄参根要抖去泥土，除去须根和芦头。</w:t>
      </w:r>
    </w:p>
    <w:p w14:paraId="1286B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加工：将采收的玄参根晾晒 3-4 天，使其表皮稍干，然后堆积起来，盖上草帘或麻袋，进行 “发汗”，时间约为 5-7 天，待其内部水分外渗，表皮变成紫褐色时，再进行晾晒。如此反复 2-3次，直至玄参根完全干燥。干燥后的玄参根，应质地坚实，断面黑色或黑褐色，有光泽。最后，将加工完成的玄参进行分级包装，并存放于干燥通风处以备贮藏。</w:t>
      </w:r>
    </w:p>
    <w:p w14:paraId="247103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若遇阴雨天气，需采用微火烘干，但需控制温度，避免挥发油过度挥发而形成焦粒。</w:t>
      </w:r>
    </w:p>
    <w:p w14:paraId="6EF85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6ECE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rPr>
          <w:rStyle w:val="26"/>
          <w:rFonts w:hint="eastAsia" w:ascii="宋体" w:hAnsi="宋体" w:eastAsia="宋体" w:cs="宋体"/>
          <w:b/>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14:paraId="3CA98D6A">
      <w:pPr>
        <w:pStyle w:val="3"/>
        <w:numPr>
          <w:ilvl w:val="0"/>
          <w:numId w:val="0"/>
        </w:numPr>
        <w:bidi w:val="0"/>
        <w:jc w:val="center"/>
        <w:rPr>
          <w:rFonts w:hint="eastAsia" w:ascii="宋体" w:hAnsi="宋体" w:eastAsia="宋体" w:cs="宋体"/>
          <w:b w:val="0"/>
          <w:bCs/>
          <w:kern w:val="2"/>
          <w:sz w:val="36"/>
          <w:szCs w:val="36"/>
          <w:highlight w:val="none"/>
        </w:rPr>
      </w:pPr>
      <w:r>
        <w:rPr>
          <w:rStyle w:val="26"/>
          <w:rFonts w:hint="eastAsia" w:ascii="宋体" w:hAnsi="宋体" w:eastAsia="宋体" w:cs="宋体"/>
          <w:b/>
          <w:sz w:val="36"/>
          <w:szCs w:val="21"/>
          <w:highlight w:val="none"/>
        </w:rPr>
        <w:t xml:space="preserve">第六章 </w:t>
      </w:r>
      <w:r>
        <w:rPr>
          <w:rStyle w:val="26"/>
          <w:rFonts w:hint="eastAsia" w:ascii="宋体" w:eastAsia="宋体" w:cs="宋体"/>
          <w:b/>
          <w:sz w:val="36"/>
          <w:szCs w:val="21"/>
          <w:highlight w:val="none"/>
          <w:lang w:val="en-US" w:eastAsia="zh-CN"/>
        </w:rPr>
        <w:t xml:space="preserve"> </w:t>
      </w:r>
      <w:r>
        <w:rPr>
          <w:rStyle w:val="26"/>
          <w:rFonts w:hint="eastAsia" w:ascii="宋体" w:hAnsi="宋体" w:eastAsia="宋体" w:cs="宋体"/>
          <w:b/>
          <w:sz w:val="36"/>
          <w:szCs w:val="21"/>
          <w:highlight w:val="none"/>
        </w:rPr>
        <w:t>竞争性磋商响应文件格式</w:t>
      </w:r>
      <w:bookmarkEnd w:id="128"/>
      <w:bookmarkEnd w:id="129"/>
      <w:bookmarkEnd w:id="130"/>
      <w:bookmarkEnd w:id="131"/>
      <w:bookmarkEnd w:id="132"/>
    </w:p>
    <w:p w14:paraId="109375F9">
      <w:pPr>
        <w:rPr>
          <w:rFonts w:hint="eastAsia" w:ascii="宋体" w:hAnsi="宋体" w:eastAsia="宋体" w:cs="宋体"/>
          <w:highlight w:val="none"/>
        </w:rPr>
      </w:pPr>
    </w:p>
    <w:p w14:paraId="6FE3C2D4">
      <w:pPr>
        <w:rPr>
          <w:rFonts w:hint="eastAsia" w:ascii="宋体" w:hAnsi="宋体" w:eastAsia="宋体" w:cs="宋体"/>
          <w:highlight w:val="none"/>
        </w:rPr>
      </w:pPr>
    </w:p>
    <w:p w14:paraId="73E7041C">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YSGS-2025ZB1028</w:t>
      </w:r>
    </w:p>
    <w:p w14:paraId="19E0B821">
      <w:pPr>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hAnsi="宋体" w:cs="宋体"/>
          <w:b/>
          <w:bCs/>
          <w:sz w:val="32"/>
          <w:szCs w:val="32"/>
          <w:highlight w:val="none"/>
          <w:lang w:val="en-US" w:eastAsia="zh-CN"/>
        </w:rPr>
        <w:t xml:space="preserve">       </w:t>
      </w:r>
      <w:r>
        <w:rPr>
          <w:rFonts w:hint="eastAsia" w:ascii="宋体" w:hAnsi="宋体" w:eastAsia="宋体" w:cs="宋体"/>
          <w:b/>
          <w:sz w:val="32"/>
          <w:szCs w:val="32"/>
          <w:highlight w:val="none"/>
        </w:rPr>
        <w:t>（正本或副本）</w:t>
      </w:r>
    </w:p>
    <w:p w14:paraId="787EBE5E">
      <w:pPr>
        <w:jc w:val="right"/>
        <w:rPr>
          <w:rFonts w:hint="eastAsia" w:ascii="宋体" w:hAnsi="宋体" w:eastAsia="宋体" w:cs="宋体"/>
          <w:b/>
          <w:sz w:val="32"/>
          <w:szCs w:val="32"/>
          <w:highlight w:val="none"/>
        </w:rPr>
      </w:pPr>
    </w:p>
    <w:p w14:paraId="2281920D">
      <w:pPr>
        <w:jc w:val="right"/>
        <w:rPr>
          <w:rFonts w:hint="eastAsia" w:ascii="宋体" w:hAnsi="宋体" w:eastAsia="宋体" w:cs="宋体"/>
          <w:b/>
          <w:sz w:val="32"/>
          <w:szCs w:val="32"/>
          <w:highlight w:val="none"/>
        </w:rPr>
      </w:pPr>
    </w:p>
    <w:p w14:paraId="26F96819">
      <w:pPr>
        <w:pStyle w:val="9"/>
        <w:rPr>
          <w:rFonts w:hint="eastAsia" w:ascii="宋体" w:hAnsi="宋体" w:eastAsia="宋体" w:cs="宋体"/>
          <w:highlight w:val="none"/>
        </w:rPr>
      </w:pPr>
    </w:p>
    <w:p w14:paraId="14B9E792">
      <w:pPr>
        <w:jc w:val="center"/>
        <w:outlineLvl w:val="9"/>
        <w:rPr>
          <w:rFonts w:hint="eastAsia" w:ascii="宋体" w:hAnsi="宋体" w:eastAsia="宋体" w:cs="宋体"/>
          <w:b/>
          <w:sz w:val="44"/>
          <w:szCs w:val="44"/>
          <w:highlight w:val="none"/>
        </w:rPr>
      </w:pPr>
      <w:r>
        <w:rPr>
          <w:rFonts w:hint="eastAsia" w:hAnsi="宋体" w:cs="宋体"/>
          <w:b/>
          <w:sz w:val="48"/>
          <w:szCs w:val="48"/>
          <w:highlight w:val="none"/>
          <w:lang w:eastAsia="zh-CN"/>
        </w:rPr>
        <w:t>商洛市柞水县2025年省级林业草原改革发展资金林下经济发展补助项目</w:t>
      </w:r>
    </w:p>
    <w:p w14:paraId="522B1175">
      <w:pPr>
        <w:jc w:val="center"/>
        <w:rPr>
          <w:rFonts w:hint="eastAsia" w:ascii="宋体" w:hAnsi="宋体" w:eastAsia="宋体" w:cs="宋体"/>
          <w:b/>
          <w:sz w:val="62"/>
          <w:szCs w:val="72"/>
          <w:highlight w:val="none"/>
        </w:rPr>
      </w:pPr>
    </w:p>
    <w:p w14:paraId="6EAA1970">
      <w:pPr>
        <w:pStyle w:val="9"/>
        <w:rPr>
          <w:rFonts w:hint="eastAsia" w:ascii="宋体" w:hAnsi="宋体" w:eastAsia="宋体" w:cs="宋体"/>
          <w:b/>
          <w:sz w:val="62"/>
          <w:szCs w:val="72"/>
          <w:highlight w:val="none"/>
        </w:rPr>
      </w:pPr>
    </w:p>
    <w:p w14:paraId="6E41A6EA">
      <w:pPr>
        <w:rPr>
          <w:rFonts w:hint="eastAsia" w:ascii="宋体" w:hAnsi="宋体" w:eastAsia="宋体" w:cs="宋体"/>
          <w:highlight w:val="none"/>
        </w:rPr>
      </w:pPr>
    </w:p>
    <w:p w14:paraId="643C5F4A">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08B84B99">
      <w:pPr>
        <w:jc w:val="center"/>
        <w:rPr>
          <w:rFonts w:hint="eastAsia" w:ascii="宋体" w:hAnsi="宋体" w:eastAsia="宋体" w:cs="宋体"/>
          <w:b/>
          <w:sz w:val="36"/>
          <w:szCs w:val="36"/>
          <w:highlight w:val="none"/>
        </w:rPr>
      </w:pPr>
    </w:p>
    <w:p w14:paraId="2ECEA9A9">
      <w:pPr>
        <w:rPr>
          <w:rFonts w:hint="eastAsia" w:ascii="宋体" w:hAnsi="宋体" w:eastAsia="宋体" w:cs="宋体"/>
          <w:b/>
          <w:sz w:val="36"/>
          <w:szCs w:val="36"/>
          <w:highlight w:val="none"/>
        </w:rPr>
      </w:pPr>
    </w:p>
    <w:p w14:paraId="23F66721">
      <w:pPr>
        <w:pStyle w:val="9"/>
        <w:rPr>
          <w:rFonts w:hint="eastAsia" w:ascii="宋体" w:hAnsi="宋体" w:eastAsia="宋体" w:cs="宋体"/>
          <w:highlight w:val="none"/>
        </w:rPr>
      </w:pPr>
    </w:p>
    <w:p w14:paraId="17BA0437">
      <w:pPr>
        <w:rPr>
          <w:rFonts w:hint="eastAsia" w:ascii="宋体" w:hAnsi="宋体" w:eastAsia="宋体" w:cs="宋体"/>
          <w:b/>
          <w:sz w:val="36"/>
          <w:szCs w:val="36"/>
          <w:highlight w:val="none"/>
        </w:rPr>
      </w:pPr>
    </w:p>
    <w:p w14:paraId="422D08AB">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w:t>
      </w:r>
      <w:r>
        <w:rPr>
          <w:rFonts w:hint="eastAsia" w:hAnsi="宋体" w:cs="宋体"/>
          <w:b/>
          <w:sz w:val="32"/>
          <w:szCs w:val="32"/>
          <w:highlight w:val="none"/>
          <w:lang w:eastAsia="zh-CN"/>
        </w:rPr>
        <w:t>：</w:t>
      </w:r>
      <w:r>
        <w:rPr>
          <w:rFonts w:hint="eastAsia" w:ascii="宋体" w:hAnsi="宋体" w:eastAsia="宋体" w:cs="宋体"/>
          <w:b/>
          <w:sz w:val="32"/>
          <w:szCs w:val="32"/>
          <w:highlight w:val="none"/>
        </w:rPr>
        <w:t>（公章）</w:t>
      </w:r>
    </w:p>
    <w:p w14:paraId="57400321">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33" w:name="_Toc344572156"/>
    </w:p>
    <w:p w14:paraId="0581F9E0">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26ABCC3E">
      <w:pPr>
        <w:pStyle w:val="9"/>
        <w:rPr>
          <w:rFonts w:hint="eastAsia" w:ascii="宋体" w:hAnsi="宋体" w:eastAsia="宋体" w:cs="宋体"/>
          <w:highlight w:val="none"/>
        </w:rPr>
      </w:pPr>
    </w:p>
    <w:p w14:paraId="32B7CD47">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14:paraId="04693A9B">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14:paraId="211D5111">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14:paraId="6F6029F5">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14:paraId="334B6533">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14:paraId="506A6D06">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14:paraId="461035BE">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14:paraId="67D935A2">
      <w:pPr>
        <w:pStyle w:val="7"/>
        <w:spacing w:line="360" w:lineRule="auto"/>
        <w:rPr>
          <w:rFonts w:hint="eastAsia" w:ascii="宋体" w:hAnsi="宋体" w:eastAsia="宋体" w:cs="宋体"/>
          <w:highlight w:val="none"/>
        </w:rPr>
      </w:pPr>
    </w:p>
    <w:p w14:paraId="13A1FECC">
      <w:pPr>
        <w:pStyle w:val="7"/>
        <w:spacing w:line="360" w:lineRule="auto"/>
        <w:rPr>
          <w:rFonts w:hint="eastAsia" w:ascii="宋体" w:hAnsi="宋体" w:eastAsia="宋体" w:cs="宋体"/>
          <w:highlight w:val="none"/>
        </w:rPr>
      </w:pPr>
    </w:p>
    <w:p w14:paraId="209342F5">
      <w:pPr>
        <w:keepNext/>
        <w:keepLines/>
        <w:widowControl/>
        <w:tabs>
          <w:tab w:val="left" w:pos="3705"/>
        </w:tabs>
        <w:spacing w:line="360" w:lineRule="auto"/>
        <w:ind w:left="3708"/>
        <w:rPr>
          <w:rFonts w:hint="eastAsia" w:ascii="宋体" w:hAnsi="宋体" w:eastAsia="宋体" w:cs="宋体"/>
          <w:bCs/>
          <w:sz w:val="44"/>
          <w:highlight w:val="none"/>
        </w:rPr>
      </w:pPr>
    </w:p>
    <w:p w14:paraId="09BDBBE3">
      <w:pPr>
        <w:pStyle w:val="7"/>
        <w:ind w:firstLine="880"/>
        <w:rPr>
          <w:rFonts w:hint="eastAsia" w:ascii="宋体" w:hAnsi="宋体" w:eastAsia="宋体" w:cs="宋体"/>
          <w:bCs/>
          <w:sz w:val="44"/>
          <w:highlight w:val="none"/>
        </w:rPr>
      </w:pPr>
    </w:p>
    <w:p w14:paraId="3F13DE4C">
      <w:pPr>
        <w:pStyle w:val="7"/>
        <w:ind w:firstLine="880"/>
        <w:rPr>
          <w:rFonts w:hint="eastAsia" w:ascii="宋体" w:hAnsi="宋体" w:eastAsia="宋体" w:cs="宋体"/>
          <w:bCs/>
          <w:sz w:val="44"/>
          <w:highlight w:val="none"/>
        </w:rPr>
      </w:pPr>
    </w:p>
    <w:bookmarkEnd w:id="133"/>
    <w:p w14:paraId="42C05112">
      <w:pPr>
        <w:pStyle w:val="9"/>
        <w:rPr>
          <w:rFonts w:hint="eastAsia" w:ascii="宋体" w:hAnsi="宋体" w:eastAsia="宋体" w:cs="宋体"/>
          <w:b/>
          <w:sz w:val="32"/>
          <w:szCs w:val="32"/>
          <w:highlight w:val="none"/>
        </w:rPr>
      </w:pPr>
      <w:bookmarkStart w:id="134" w:name="_Toc363474027"/>
      <w:bookmarkStart w:id="135" w:name="_Toc403077648"/>
      <w:bookmarkStart w:id="136" w:name="_Toc204524343"/>
    </w:p>
    <w:p w14:paraId="49ED417E">
      <w:pPr>
        <w:pStyle w:val="9"/>
        <w:rPr>
          <w:rFonts w:hint="eastAsia" w:ascii="宋体" w:hAnsi="宋体" w:eastAsia="宋体" w:cs="宋体"/>
          <w:b/>
          <w:sz w:val="32"/>
          <w:szCs w:val="32"/>
          <w:highlight w:val="none"/>
        </w:rPr>
      </w:pPr>
    </w:p>
    <w:p w14:paraId="29BC46D7">
      <w:pPr>
        <w:pStyle w:val="9"/>
        <w:rPr>
          <w:rFonts w:hint="eastAsia" w:ascii="宋体" w:hAnsi="宋体" w:eastAsia="宋体" w:cs="宋体"/>
          <w:b/>
          <w:sz w:val="32"/>
          <w:szCs w:val="32"/>
          <w:highlight w:val="none"/>
        </w:rPr>
      </w:pPr>
    </w:p>
    <w:p w14:paraId="4297E07C">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37" w:name="_Toc4367"/>
      <w:bookmarkStart w:id="138" w:name="_Toc11009"/>
      <w:bookmarkStart w:id="139" w:name="_Toc32002"/>
      <w:bookmarkStart w:id="140" w:name="_Toc15762"/>
      <w:r>
        <w:rPr>
          <w:rFonts w:hint="eastAsia" w:ascii="宋体" w:hAnsi="宋体" w:eastAsia="宋体" w:cs="宋体"/>
          <w:b/>
          <w:sz w:val="32"/>
          <w:szCs w:val="32"/>
          <w:highlight w:val="none"/>
        </w:rPr>
        <w:t>一、磋商</w:t>
      </w:r>
      <w:bookmarkEnd w:id="134"/>
      <w:bookmarkEnd w:id="135"/>
      <w:r>
        <w:rPr>
          <w:rFonts w:hint="eastAsia" w:ascii="宋体" w:hAnsi="宋体" w:eastAsia="宋体" w:cs="宋体"/>
          <w:b/>
          <w:sz w:val="32"/>
          <w:szCs w:val="32"/>
          <w:highlight w:val="none"/>
        </w:rPr>
        <w:t>响应函</w:t>
      </w:r>
      <w:bookmarkEnd w:id="137"/>
      <w:bookmarkEnd w:id="138"/>
      <w:bookmarkEnd w:id="139"/>
      <w:bookmarkEnd w:id="140"/>
    </w:p>
    <w:p w14:paraId="4C70716D">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陕西衍森项目管理有限公司</w:t>
      </w:r>
    </w:p>
    <w:p w14:paraId="0547C5F8">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14:paraId="3824B545">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14:paraId="40625B66">
      <w:pPr>
        <w:numPr>
          <w:ilvl w:val="0"/>
          <w:numId w:val="5"/>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14:paraId="365701C0">
      <w:pPr>
        <w:numPr>
          <w:ilvl w:val="0"/>
          <w:numId w:val="5"/>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14:paraId="4CC5C3D5">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14:paraId="2CC9B05B">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14:paraId="5B317841">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14:paraId="067143A7">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陕西衍森项目管理有限公司</w:t>
      </w:r>
      <w:r>
        <w:rPr>
          <w:rFonts w:hint="eastAsia" w:ascii="宋体" w:hAnsi="宋体" w:eastAsia="宋体" w:cs="宋体"/>
          <w:spacing w:val="4"/>
          <w:szCs w:val="24"/>
          <w:highlight w:val="none"/>
        </w:rPr>
        <w:t>交纳招标代理服务费。</w:t>
      </w:r>
    </w:p>
    <w:p w14:paraId="7D9480D6">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14:paraId="5AEA9642">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14:paraId="546359E1">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14:paraId="6AD7285A">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14:paraId="49767C40">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14:paraId="2A389B68">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14:paraId="07A0E7C4">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0288E605">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14:paraId="39B78D6F">
      <w:pPr>
        <w:pStyle w:val="4"/>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41" w:name="_Toc28910"/>
      <w:bookmarkStart w:id="142" w:name="_Toc363474030"/>
      <w:bookmarkStart w:id="143" w:name="_Toc17800"/>
      <w:bookmarkStart w:id="144" w:name="_Toc3630"/>
      <w:bookmarkStart w:id="145" w:name="_Toc9730"/>
      <w:bookmarkStart w:id="146" w:name="_Toc403077651"/>
      <w:r>
        <w:rPr>
          <w:rFonts w:hint="eastAsia" w:ascii="宋体" w:hAnsi="宋体" w:eastAsia="宋体" w:cs="宋体"/>
          <w:b/>
          <w:bCs w:val="0"/>
          <w:sz w:val="32"/>
          <w:szCs w:val="32"/>
          <w:highlight w:val="none"/>
        </w:rPr>
        <w:t>二、磋商报价表</w:t>
      </w:r>
      <w:bookmarkEnd w:id="141"/>
      <w:bookmarkEnd w:id="142"/>
      <w:bookmarkEnd w:id="143"/>
      <w:bookmarkEnd w:id="144"/>
      <w:bookmarkEnd w:id="145"/>
      <w:bookmarkEnd w:id="146"/>
    </w:p>
    <w:p w14:paraId="11B63ACD">
      <w:pPr>
        <w:jc w:val="center"/>
        <w:outlineLvl w:val="1"/>
        <w:rPr>
          <w:rFonts w:hint="eastAsia" w:ascii="宋体" w:hAnsi="宋体" w:eastAsia="宋体" w:cs="宋体"/>
          <w:b/>
          <w:bCs/>
          <w:sz w:val="28"/>
          <w:szCs w:val="28"/>
          <w:highlight w:val="none"/>
        </w:rPr>
      </w:pPr>
      <w:bookmarkStart w:id="147" w:name="_Toc7982"/>
      <w:bookmarkStart w:id="148" w:name="_Toc32277"/>
      <w:bookmarkStart w:id="149" w:name="_Toc1032"/>
      <w:bookmarkStart w:id="150" w:name="_Toc12732"/>
      <w:r>
        <w:rPr>
          <w:rFonts w:hint="eastAsia" w:ascii="宋体" w:hAnsi="宋体" w:eastAsia="宋体" w:cs="宋体"/>
          <w:b/>
          <w:bCs/>
          <w:sz w:val="28"/>
          <w:szCs w:val="28"/>
          <w:highlight w:val="none"/>
        </w:rPr>
        <w:t>2.1报价一览表</w:t>
      </w:r>
      <w:bookmarkEnd w:id="147"/>
      <w:bookmarkEnd w:id="148"/>
      <w:bookmarkEnd w:id="149"/>
      <w:bookmarkEnd w:id="150"/>
    </w:p>
    <w:p w14:paraId="14F7D754">
      <w:pPr>
        <w:spacing w:line="360" w:lineRule="auto"/>
        <w:jc w:val="center"/>
        <w:rPr>
          <w:rFonts w:hint="eastAsia" w:ascii="宋体" w:hAnsi="宋体" w:eastAsia="宋体" w:cs="宋体"/>
          <w:szCs w:val="24"/>
          <w:highlight w:val="none"/>
        </w:rPr>
      </w:pPr>
    </w:p>
    <w:p w14:paraId="7B373CD6">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14:paraId="3CC914F7">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881"/>
      </w:tblGrid>
      <w:tr w14:paraId="2FB3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restart"/>
            <w:noWrap w:val="0"/>
            <w:vAlign w:val="center"/>
          </w:tcPr>
          <w:p w14:paraId="2E6574A5">
            <w:pPr>
              <w:jc w:val="center"/>
              <w:rPr>
                <w:szCs w:val="24"/>
                <w:highlight w:val="none"/>
              </w:rPr>
            </w:pPr>
            <w:r>
              <w:rPr>
                <w:rFonts w:hint="eastAsia" w:hAnsi="宋体" w:cs="宋体"/>
                <w:szCs w:val="24"/>
                <w:highlight w:val="none"/>
              </w:rPr>
              <w:t>磋商总报价（元）</w:t>
            </w:r>
          </w:p>
        </w:tc>
        <w:tc>
          <w:tcPr>
            <w:tcW w:w="5881" w:type="dxa"/>
            <w:noWrap w:val="0"/>
            <w:vAlign w:val="center"/>
          </w:tcPr>
          <w:p w14:paraId="3EA5AA22">
            <w:pPr>
              <w:rPr>
                <w:szCs w:val="24"/>
                <w:highlight w:val="none"/>
              </w:rPr>
            </w:pPr>
            <w:r>
              <w:rPr>
                <w:rFonts w:hint="eastAsia" w:hAnsi="宋体" w:cs="宋体"/>
                <w:szCs w:val="24"/>
                <w:highlight w:val="none"/>
              </w:rPr>
              <w:t>小写：</w:t>
            </w:r>
          </w:p>
        </w:tc>
      </w:tr>
      <w:tr w14:paraId="47D5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continue"/>
            <w:noWrap w:val="0"/>
            <w:vAlign w:val="center"/>
          </w:tcPr>
          <w:p w14:paraId="5691BBE2">
            <w:pPr>
              <w:rPr>
                <w:highlight w:val="none"/>
              </w:rPr>
            </w:pPr>
          </w:p>
        </w:tc>
        <w:tc>
          <w:tcPr>
            <w:tcW w:w="5881" w:type="dxa"/>
            <w:noWrap w:val="0"/>
            <w:vAlign w:val="center"/>
          </w:tcPr>
          <w:p w14:paraId="2A3766EC">
            <w:pPr>
              <w:rPr>
                <w:szCs w:val="24"/>
                <w:highlight w:val="none"/>
              </w:rPr>
            </w:pPr>
            <w:r>
              <w:rPr>
                <w:rFonts w:hint="eastAsia" w:hAnsi="宋体" w:cs="宋体"/>
                <w:szCs w:val="24"/>
                <w:highlight w:val="none"/>
              </w:rPr>
              <w:t>大写：</w:t>
            </w:r>
          </w:p>
        </w:tc>
      </w:tr>
      <w:tr w14:paraId="00DE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119A9AEB">
            <w:pPr>
              <w:jc w:val="center"/>
              <w:rPr>
                <w:rFonts w:hint="eastAsia" w:hAnsi="宋体" w:cs="宋体"/>
                <w:szCs w:val="24"/>
                <w:highlight w:val="none"/>
              </w:rPr>
            </w:pPr>
            <w:r>
              <w:rPr>
                <w:rFonts w:hint="eastAsia" w:hAnsi="宋体" w:cs="宋体"/>
                <w:szCs w:val="24"/>
                <w:highlight w:val="none"/>
              </w:rPr>
              <w:t>质量标准</w:t>
            </w:r>
          </w:p>
        </w:tc>
        <w:tc>
          <w:tcPr>
            <w:tcW w:w="5881" w:type="dxa"/>
            <w:noWrap w:val="0"/>
            <w:vAlign w:val="center"/>
          </w:tcPr>
          <w:p w14:paraId="75588D4A">
            <w:pPr>
              <w:rPr>
                <w:szCs w:val="24"/>
                <w:highlight w:val="none"/>
              </w:rPr>
            </w:pPr>
          </w:p>
        </w:tc>
      </w:tr>
      <w:tr w14:paraId="50D5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2A568B8B">
            <w:pPr>
              <w:jc w:val="center"/>
              <w:rPr>
                <w:rFonts w:hint="eastAsia" w:hAnsi="宋体" w:eastAsia="宋体" w:cs="宋体"/>
                <w:szCs w:val="24"/>
                <w:highlight w:val="none"/>
                <w:lang w:eastAsia="zh-CN"/>
              </w:rPr>
            </w:pPr>
            <w:r>
              <w:rPr>
                <w:rFonts w:hint="eastAsia"/>
                <w:szCs w:val="22"/>
                <w:highlight w:val="none"/>
                <w:lang w:val="en-US" w:eastAsia="zh-CN"/>
              </w:rPr>
              <w:t>服务期</w:t>
            </w:r>
          </w:p>
        </w:tc>
        <w:tc>
          <w:tcPr>
            <w:tcW w:w="5881" w:type="dxa"/>
            <w:noWrap w:val="0"/>
            <w:vAlign w:val="center"/>
          </w:tcPr>
          <w:p w14:paraId="74A0BBAF">
            <w:pPr>
              <w:rPr>
                <w:szCs w:val="24"/>
                <w:highlight w:val="none"/>
              </w:rPr>
            </w:pPr>
          </w:p>
        </w:tc>
      </w:tr>
      <w:tr w14:paraId="6D5E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6C480C9C">
            <w:pPr>
              <w:jc w:val="center"/>
              <w:rPr>
                <w:szCs w:val="24"/>
                <w:highlight w:val="none"/>
              </w:rPr>
            </w:pPr>
            <w:r>
              <w:rPr>
                <w:rFonts w:hint="eastAsia" w:hAnsi="宋体" w:cs="宋体"/>
                <w:szCs w:val="24"/>
                <w:highlight w:val="none"/>
              </w:rPr>
              <w:t>备注</w:t>
            </w:r>
          </w:p>
        </w:tc>
        <w:tc>
          <w:tcPr>
            <w:tcW w:w="5881" w:type="dxa"/>
            <w:noWrap w:val="0"/>
            <w:vAlign w:val="center"/>
          </w:tcPr>
          <w:p w14:paraId="0705AA7A">
            <w:pPr>
              <w:rPr>
                <w:szCs w:val="24"/>
                <w:highlight w:val="none"/>
              </w:rPr>
            </w:pPr>
          </w:p>
        </w:tc>
      </w:tr>
    </w:tbl>
    <w:p w14:paraId="4DBF6DB9">
      <w:pPr>
        <w:rPr>
          <w:rFonts w:hint="eastAsia" w:ascii="宋体" w:hAnsi="宋体" w:eastAsia="宋体" w:cs="宋体"/>
          <w:szCs w:val="24"/>
          <w:highlight w:val="none"/>
        </w:rPr>
      </w:pPr>
    </w:p>
    <w:p w14:paraId="74B1C5F5">
      <w:pPr>
        <w:rPr>
          <w:rFonts w:hint="eastAsia" w:ascii="宋体" w:hAnsi="宋体" w:eastAsia="宋体" w:cs="宋体"/>
          <w:szCs w:val="24"/>
          <w:highlight w:val="none"/>
        </w:rPr>
      </w:pPr>
    </w:p>
    <w:p w14:paraId="3E885D07">
      <w:pPr>
        <w:rPr>
          <w:rFonts w:hint="eastAsia" w:ascii="宋体" w:hAnsi="宋体" w:eastAsia="宋体" w:cs="宋体"/>
          <w:szCs w:val="24"/>
          <w:highlight w:val="none"/>
        </w:rPr>
      </w:pPr>
    </w:p>
    <w:p w14:paraId="4027E6E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14:paraId="11298359">
      <w:pPr>
        <w:spacing w:line="280" w:lineRule="exact"/>
        <w:ind w:right="617" w:rightChars="257"/>
        <w:jc w:val="left"/>
        <w:rPr>
          <w:rFonts w:hint="eastAsia" w:ascii="宋体" w:hAnsi="宋体" w:eastAsia="宋体" w:cs="宋体"/>
          <w:szCs w:val="24"/>
          <w:highlight w:val="none"/>
        </w:rPr>
      </w:pPr>
    </w:p>
    <w:p w14:paraId="2E21484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3939E0F0">
      <w:pPr>
        <w:spacing w:line="280" w:lineRule="exact"/>
        <w:ind w:right="617" w:rightChars="257"/>
        <w:jc w:val="left"/>
        <w:rPr>
          <w:rFonts w:hint="eastAsia" w:ascii="宋体" w:hAnsi="宋体" w:eastAsia="宋体" w:cs="宋体"/>
          <w:szCs w:val="24"/>
          <w:highlight w:val="none"/>
        </w:rPr>
      </w:pPr>
    </w:p>
    <w:p w14:paraId="487FA5D2">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14:paraId="6042B3F2">
      <w:pPr>
        <w:jc w:val="center"/>
        <w:rPr>
          <w:rFonts w:hint="eastAsia" w:ascii="宋体" w:hAnsi="宋体" w:eastAsia="宋体" w:cs="宋体"/>
          <w:szCs w:val="24"/>
          <w:highlight w:val="none"/>
        </w:rPr>
      </w:pPr>
    </w:p>
    <w:p w14:paraId="3F3BEBDB">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14:paraId="11483CD4">
      <w:pPr>
        <w:jc w:val="center"/>
        <w:rPr>
          <w:rFonts w:hint="eastAsia" w:ascii="宋体" w:hAnsi="宋体" w:eastAsia="宋体" w:cs="宋体"/>
          <w:b/>
          <w:sz w:val="30"/>
          <w:szCs w:val="30"/>
          <w:highlight w:val="none"/>
        </w:rPr>
      </w:pPr>
    </w:p>
    <w:p w14:paraId="3AA6D793">
      <w:pPr>
        <w:jc w:val="center"/>
        <w:outlineLvl w:val="1"/>
        <w:rPr>
          <w:rFonts w:hint="eastAsia" w:hAnsi="宋体" w:cs="宋体"/>
          <w:b/>
          <w:bCs/>
          <w:sz w:val="28"/>
          <w:szCs w:val="28"/>
          <w:highlight w:val="none"/>
          <w:lang w:val="en-US" w:eastAsia="zh-CN"/>
        </w:rPr>
      </w:pPr>
      <w:r>
        <w:rPr>
          <w:rFonts w:hint="eastAsia" w:ascii="宋体" w:hAnsi="宋体" w:eastAsia="宋体" w:cs="宋体"/>
          <w:b/>
          <w:sz w:val="30"/>
          <w:szCs w:val="30"/>
          <w:highlight w:val="none"/>
        </w:rPr>
        <w:br w:type="page"/>
      </w:r>
      <w:bookmarkEnd w:id="136"/>
      <w:bookmarkStart w:id="151" w:name="_Toc14853"/>
      <w:bookmarkStart w:id="152" w:name="_Toc32126"/>
      <w:bookmarkStart w:id="153" w:name="_Toc5944"/>
      <w:bookmarkStart w:id="154" w:name="_Toc3628"/>
      <w:bookmarkStart w:id="155" w:name="_Toc344572163"/>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51"/>
    </w:p>
    <w:p w14:paraId="2710A828">
      <w:pPr>
        <w:spacing w:line="312" w:lineRule="auto"/>
        <w:ind w:right="617" w:rightChars="257"/>
        <w:jc w:val="left"/>
        <w:rPr>
          <w:rFonts w:hint="eastAsia" w:asciiTheme="minorEastAsia" w:hAnsiTheme="minorEastAsia" w:eastAsiaTheme="minorEastAsia" w:cstheme="minorEastAsia"/>
          <w:sz w:val="24"/>
          <w:highlight w:val="none"/>
        </w:rPr>
      </w:pPr>
      <w:bookmarkStart w:id="156" w:name="_Toc12382"/>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27465837">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5567167">
      <w:pPr>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三、磋商方案说明书</w:t>
      </w:r>
      <w:bookmarkEnd w:id="152"/>
      <w:bookmarkEnd w:id="153"/>
      <w:bookmarkEnd w:id="154"/>
      <w:bookmarkEnd w:id="156"/>
    </w:p>
    <w:p w14:paraId="5F50A260">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14:paraId="61013F8C">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14:paraId="3A2AF88C">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14:paraId="34C568A5">
      <w:pPr>
        <w:pStyle w:val="9"/>
        <w:rPr>
          <w:rFonts w:hint="eastAsia" w:ascii="宋体" w:hAnsi="宋体" w:eastAsia="宋体" w:cs="宋体"/>
          <w:highlight w:val="none"/>
        </w:rPr>
      </w:pPr>
    </w:p>
    <w:p w14:paraId="0A1FFCAB">
      <w:pPr>
        <w:pStyle w:val="9"/>
        <w:rPr>
          <w:rFonts w:hint="eastAsia" w:ascii="宋体" w:hAnsi="宋体" w:eastAsia="宋体" w:cs="宋体"/>
          <w:highlight w:val="none"/>
        </w:rPr>
      </w:pPr>
    </w:p>
    <w:p w14:paraId="144D4550">
      <w:pPr>
        <w:rPr>
          <w:rFonts w:hint="eastAsia" w:ascii="宋体" w:hAnsi="宋体" w:eastAsia="宋体" w:cs="宋体"/>
          <w:highlight w:val="none"/>
        </w:rPr>
      </w:pPr>
    </w:p>
    <w:p w14:paraId="4478CC01">
      <w:pPr>
        <w:pStyle w:val="9"/>
        <w:rPr>
          <w:rFonts w:hint="eastAsia" w:ascii="宋体" w:hAnsi="宋体" w:eastAsia="宋体" w:cs="宋体"/>
          <w:highlight w:val="none"/>
        </w:rPr>
      </w:pPr>
    </w:p>
    <w:p w14:paraId="379221CA">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14:paraId="40904B1E">
      <w:pPr>
        <w:spacing w:line="480" w:lineRule="auto"/>
        <w:ind w:left="3725" w:leftChars="1552"/>
        <w:rPr>
          <w:rFonts w:hint="eastAsia" w:ascii="宋体" w:hAnsi="宋体" w:eastAsia="宋体" w:cs="宋体"/>
          <w:szCs w:val="24"/>
          <w:highlight w:val="none"/>
        </w:rPr>
      </w:pPr>
    </w:p>
    <w:p w14:paraId="01C94214">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14:paraId="3782C6B4">
      <w:pPr>
        <w:spacing w:line="480" w:lineRule="auto"/>
        <w:ind w:left="3725" w:leftChars="1552" w:firstLine="5668" w:firstLineChars="2362"/>
        <w:rPr>
          <w:rFonts w:hint="eastAsia" w:ascii="宋体" w:hAnsi="宋体" w:eastAsia="宋体" w:cs="宋体"/>
          <w:szCs w:val="24"/>
          <w:highlight w:val="none"/>
        </w:rPr>
      </w:pPr>
    </w:p>
    <w:p w14:paraId="1CDAC108">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14:paraId="13D8DC08">
      <w:pPr>
        <w:spacing w:after="120" w:line="480" w:lineRule="auto"/>
        <w:rPr>
          <w:rFonts w:hint="eastAsia" w:ascii="宋体" w:hAnsi="宋体" w:eastAsia="宋体" w:cs="宋体"/>
          <w:b/>
          <w:szCs w:val="24"/>
          <w:highlight w:val="none"/>
        </w:rPr>
      </w:pPr>
    </w:p>
    <w:p w14:paraId="7E57BB64">
      <w:pPr>
        <w:spacing w:after="120"/>
        <w:rPr>
          <w:rFonts w:hint="eastAsia" w:ascii="宋体" w:hAnsi="宋体" w:eastAsia="宋体" w:cs="宋体"/>
          <w:b/>
          <w:szCs w:val="24"/>
          <w:highlight w:val="none"/>
        </w:rPr>
      </w:pPr>
    </w:p>
    <w:p w14:paraId="26183688">
      <w:pPr>
        <w:spacing w:after="120"/>
        <w:rPr>
          <w:rFonts w:hint="eastAsia" w:ascii="宋体" w:hAnsi="宋体" w:eastAsia="宋体" w:cs="宋体"/>
          <w:b/>
          <w:szCs w:val="24"/>
          <w:highlight w:val="none"/>
        </w:rPr>
      </w:pPr>
    </w:p>
    <w:p w14:paraId="69C241C6">
      <w:pPr>
        <w:spacing w:after="120"/>
        <w:rPr>
          <w:rFonts w:hint="eastAsia" w:ascii="宋体" w:hAnsi="宋体" w:eastAsia="宋体" w:cs="宋体"/>
          <w:b/>
          <w:szCs w:val="24"/>
          <w:highlight w:val="none"/>
        </w:rPr>
      </w:pPr>
    </w:p>
    <w:p w14:paraId="57455D58">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57" w:name="_Toc23455"/>
      <w:bookmarkStart w:id="158" w:name="_Toc9218"/>
      <w:bookmarkStart w:id="159" w:name="_Toc1379"/>
      <w:bookmarkStart w:id="160" w:name="_Toc21284"/>
      <w:bookmarkStart w:id="161" w:name="_Toc2621"/>
      <w:bookmarkStart w:id="162" w:name="_Toc8845"/>
      <w:bookmarkStart w:id="163" w:name="_Toc5662"/>
      <w:bookmarkStart w:id="164" w:name="_Toc15265"/>
    </w:p>
    <w:p w14:paraId="03C66C67">
      <w:pPr>
        <w:ind w:firstLine="161" w:firstLineChars="50"/>
        <w:jc w:val="center"/>
        <w:outlineLvl w:val="1"/>
        <w:rPr>
          <w:rFonts w:hint="eastAsia" w:ascii="宋体" w:hAnsi="宋体" w:eastAsia="宋体" w:cs="宋体"/>
          <w:sz w:val="32"/>
          <w:szCs w:val="32"/>
          <w:highlight w:val="none"/>
        </w:rPr>
      </w:pPr>
      <w:bookmarkStart w:id="165" w:name="_Toc10135"/>
      <w:r>
        <w:rPr>
          <w:rFonts w:hint="eastAsia" w:ascii="宋体" w:hAnsi="宋体" w:eastAsia="宋体" w:cs="宋体"/>
          <w:b/>
          <w:bCs/>
          <w:sz w:val="32"/>
          <w:szCs w:val="32"/>
          <w:highlight w:val="none"/>
        </w:rPr>
        <w:t>四、</w:t>
      </w:r>
      <w:bookmarkEnd w:id="157"/>
      <w:bookmarkEnd w:id="158"/>
      <w:bookmarkEnd w:id="159"/>
      <w:bookmarkEnd w:id="160"/>
      <w:bookmarkEnd w:id="161"/>
      <w:r>
        <w:rPr>
          <w:rFonts w:hint="eastAsia" w:ascii="宋体" w:hAnsi="宋体" w:eastAsia="宋体" w:cs="宋体"/>
          <w:b/>
          <w:bCs/>
          <w:sz w:val="32"/>
          <w:szCs w:val="32"/>
          <w:highlight w:val="none"/>
        </w:rPr>
        <w:t>商务条款偏离表</w:t>
      </w:r>
      <w:bookmarkEnd w:id="162"/>
      <w:bookmarkEnd w:id="163"/>
      <w:bookmarkEnd w:id="164"/>
      <w:bookmarkEnd w:id="165"/>
    </w:p>
    <w:p w14:paraId="1BA2D1E1">
      <w:pPr>
        <w:pStyle w:val="18"/>
        <w:widowControl w:val="0"/>
        <w:spacing w:before="0" w:beforeAutospacing="0" w:after="0" w:afterAutospacing="0"/>
        <w:jc w:val="both"/>
        <w:rPr>
          <w:rFonts w:hint="eastAsia" w:ascii="宋体" w:hAnsi="宋体" w:eastAsia="宋体" w:cs="宋体"/>
          <w:highlight w:val="none"/>
        </w:rPr>
      </w:pPr>
    </w:p>
    <w:p w14:paraId="5F3CCD50">
      <w:pPr>
        <w:pStyle w:val="18"/>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14:paraId="4A095C31">
      <w:pPr>
        <w:pStyle w:val="18"/>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14:paraId="5946ED53">
      <w:pPr>
        <w:pStyle w:val="18"/>
        <w:widowControl w:val="0"/>
        <w:spacing w:before="0" w:beforeAutospacing="0" w:after="0" w:afterAutospacing="0"/>
        <w:ind w:firstLine="480" w:firstLineChars="200"/>
        <w:jc w:val="center"/>
        <w:rPr>
          <w:rFonts w:hint="eastAsia" w:ascii="宋体" w:hAnsi="宋体" w:eastAsia="宋体" w:cs="宋体"/>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141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D82603B">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AE50A70">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83DC05D">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1089083">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0D7144">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14:paraId="50D9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EDBC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5CB9C4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C1A6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17103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6CDE3D">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4F12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81EF64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373308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FF576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F8F080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BE9ED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2661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184BE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B123D8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AF4A5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FAC87B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4981A75">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4BE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E647D2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499DCA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4FFC5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4FF42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59DF29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7A7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AA2C22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F152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F420878">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8A83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A74CE1">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64EA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51E5C7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BA84CC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48FF7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A365EE7">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BD52F3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5564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A32DB1">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E8122E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7AEB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FE3497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BEE4B0">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bl>
    <w:p w14:paraId="10B6CF26">
      <w:pPr>
        <w:pStyle w:val="18"/>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14:paraId="4997DC86">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14:paraId="54492A8D">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14:paraId="0C0E8227">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14:paraId="23B99D05">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07DC9B4E">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14:paraId="0CFC414A">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1FA99B4F">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14:paraId="131B00B3">
      <w:pPr>
        <w:spacing w:line="360" w:lineRule="auto"/>
        <w:ind w:left="600" w:leftChars="250"/>
        <w:rPr>
          <w:rFonts w:hint="eastAsia" w:ascii="宋体" w:hAnsi="宋体" w:eastAsia="宋体" w:cs="宋体"/>
          <w:b/>
          <w:bCs/>
          <w:sz w:val="28"/>
          <w:szCs w:val="28"/>
          <w:highlight w:val="none"/>
        </w:rPr>
      </w:pPr>
    </w:p>
    <w:p w14:paraId="48974BDA">
      <w:pPr>
        <w:spacing w:line="440" w:lineRule="exact"/>
        <w:ind w:left="3725" w:leftChars="1552"/>
        <w:rPr>
          <w:rFonts w:hint="eastAsia" w:ascii="宋体" w:hAnsi="宋体" w:eastAsia="宋体" w:cs="宋体"/>
          <w:szCs w:val="24"/>
          <w:highlight w:val="none"/>
        </w:rPr>
      </w:pPr>
    </w:p>
    <w:p w14:paraId="20692510">
      <w:pPr>
        <w:spacing w:line="440" w:lineRule="exact"/>
        <w:ind w:left="3725" w:leftChars="1552"/>
        <w:rPr>
          <w:rFonts w:hint="eastAsia" w:ascii="宋体" w:hAnsi="宋体" w:eastAsia="宋体" w:cs="宋体"/>
          <w:szCs w:val="24"/>
          <w:highlight w:val="none"/>
        </w:rPr>
      </w:pPr>
    </w:p>
    <w:p w14:paraId="1A931A0B">
      <w:pPr>
        <w:spacing w:line="440" w:lineRule="exact"/>
        <w:ind w:left="3725" w:leftChars="1552"/>
        <w:rPr>
          <w:rFonts w:hint="eastAsia" w:ascii="宋体" w:hAnsi="宋体" w:eastAsia="宋体" w:cs="宋体"/>
          <w:szCs w:val="24"/>
          <w:highlight w:val="none"/>
        </w:rPr>
      </w:pPr>
    </w:p>
    <w:bookmarkEnd w:id="155"/>
    <w:p w14:paraId="278B1E83">
      <w:pPr>
        <w:spacing w:line="360" w:lineRule="auto"/>
        <w:jc w:val="center"/>
        <w:outlineLvl w:val="1"/>
        <w:rPr>
          <w:rFonts w:hint="eastAsia" w:ascii="宋体" w:hAnsi="宋体" w:eastAsia="宋体" w:cs="宋体"/>
          <w:b/>
          <w:bCs/>
          <w:sz w:val="30"/>
          <w:szCs w:val="30"/>
          <w:highlight w:val="none"/>
        </w:rPr>
      </w:pPr>
      <w:bookmarkStart w:id="166" w:name="_Toc363474033"/>
      <w:bookmarkStart w:id="167" w:name="_Toc403077656"/>
      <w:r>
        <w:rPr>
          <w:rFonts w:hint="eastAsia" w:ascii="宋体" w:hAnsi="宋体" w:eastAsia="宋体" w:cs="宋体"/>
          <w:b/>
          <w:bCs/>
          <w:sz w:val="30"/>
          <w:szCs w:val="30"/>
          <w:highlight w:val="none"/>
        </w:rPr>
        <w:br w:type="page"/>
      </w:r>
      <w:bookmarkStart w:id="168" w:name="_Toc27470"/>
      <w:bookmarkStart w:id="169" w:name="_Toc1542"/>
      <w:bookmarkStart w:id="170" w:name="_Toc3386"/>
      <w:bookmarkStart w:id="171" w:name="_Toc2451"/>
      <w:r>
        <w:rPr>
          <w:rFonts w:hint="eastAsia" w:ascii="宋体" w:hAnsi="宋体" w:eastAsia="宋体" w:cs="宋体"/>
          <w:b/>
          <w:bCs/>
          <w:sz w:val="30"/>
          <w:szCs w:val="30"/>
          <w:highlight w:val="none"/>
        </w:rPr>
        <w:t>五、陕西省政府采购供应商拒绝政府采购领域商业贿赂承诺书</w:t>
      </w:r>
      <w:bookmarkEnd w:id="166"/>
      <w:bookmarkEnd w:id="167"/>
      <w:bookmarkEnd w:id="168"/>
      <w:bookmarkEnd w:id="169"/>
      <w:bookmarkEnd w:id="170"/>
      <w:bookmarkEnd w:id="171"/>
    </w:p>
    <w:p w14:paraId="530E0B45">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14:paraId="633A2B7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14:paraId="6AFBA00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14:paraId="18260871">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14:paraId="7AE45EB9">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14:paraId="449691D7">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14:paraId="4B7043C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14:paraId="7B7D484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14:paraId="6408BD3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14:paraId="5CFF61FE">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14:paraId="755DD286">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14:paraId="71BB3E25">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14:paraId="7002FD79">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14:paraId="1D84F30A">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14:paraId="4049A8D0">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14:paraId="33CC017B">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14:paraId="35FDA4BF">
      <w:pPr>
        <w:jc w:val="center"/>
        <w:outlineLvl w:val="1"/>
        <w:rPr>
          <w:rFonts w:hint="eastAsia" w:ascii="宋体" w:hAnsi="宋体" w:eastAsia="宋体" w:cs="宋体"/>
          <w:highlight w:val="none"/>
          <w:shd w:val="clear" w:color="auto" w:fill="FFFFFF"/>
        </w:rPr>
      </w:pPr>
      <w:bookmarkStart w:id="172" w:name="_Toc363474034"/>
      <w:bookmarkStart w:id="173" w:name="_Toc403077657"/>
      <w:r>
        <w:rPr>
          <w:rFonts w:hint="eastAsia" w:ascii="宋体" w:hAnsi="宋体" w:eastAsia="宋体" w:cs="宋体"/>
          <w:b/>
          <w:bCs/>
          <w:sz w:val="30"/>
          <w:szCs w:val="30"/>
          <w:highlight w:val="none"/>
        </w:rPr>
        <w:br w:type="page"/>
      </w:r>
      <w:bookmarkStart w:id="174" w:name="_Toc7842"/>
      <w:bookmarkStart w:id="175" w:name="_Toc29285"/>
      <w:bookmarkStart w:id="176" w:name="_Toc18776"/>
      <w:bookmarkStart w:id="177" w:name="_Toc32016"/>
      <w:r>
        <w:rPr>
          <w:rFonts w:hint="eastAsia" w:ascii="宋体" w:hAnsi="宋体" w:eastAsia="宋体" w:cs="宋体"/>
          <w:b/>
          <w:bCs/>
          <w:sz w:val="30"/>
          <w:szCs w:val="30"/>
          <w:highlight w:val="none"/>
        </w:rPr>
        <w:t>六、特定资格证明文件</w:t>
      </w:r>
      <w:bookmarkEnd w:id="172"/>
      <w:bookmarkEnd w:id="173"/>
      <w:bookmarkEnd w:id="174"/>
      <w:bookmarkEnd w:id="175"/>
      <w:bookmarkEnd w:id="176"/>
      <w:bookmarkEnd w:id="177"/>
    </w:p>
    <w:p w14:paraId="3ED45D70">
      <w:pP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3326BE82">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14:paraId="353B6471">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br w:type="page"/>
      </w:r>
    </w:p>
    <w:p w14:paraId="1671565A">
      <w:pPr>
        <w:spacing w:line="500" w:lineRule="exact"/>
        <w:jc w:val="center"/>
        <w:outlineLvl w:val="1"/>
        <w:rPr>
          <w:rFonts w:hint="eastAsia" w:ascii="宋体" w:hAnsi="宋体" w:eastAsia="宋体" w:cs="宋体"/>
          <w:b/>
          <w:bCs/>
          <w:sz w:val="30"/>
          <w:szCs w:val="30"/>
          <w:highlight w:val="none"/>
        </w:rPr>
      </w:pPr>
      <w:bookmarkStart w:id="178" w:name="_Toc6853"/>
      <w:bookmarkStart w:id="179" w:name="_Toc12717"/>
      <w:bookmarkStart w:id="180" w:name="_Toc25292"/>
      <w:bookmarkStart w:id="181" w:name="_Toc19114"/>
      <w:r>
        <w:rPr>
          <w:rStyle w:val="26"/>
          <w:rFonts w:hint="eastAsia" w:ascii="宋体" w:eastAsia="宋体" w:cs="宋体"/>
          <w:sz w:val="36"/>
          <w:szCs w:val="21"/>
          <w:highlight w:val="none"/>
          <w:lang w:val="en-US" w:eastAsia="zh-CN" w:bidi="ar-SA"/>
        </w:rPr>
        <w:t>七、其它</w:t>
      </w:r>
      <w:bookmarkEnd w:id="178"/>
      <w:bookmarkEnd w:id="179"/>
      <w:bookmarkEnd w:id="180"/>
      <w:bookmarkEnd w:id="181"/>
    </w:p>
    <w:p w14:paraId="289D6AFD">
      <w:pPr>
        <w:pStyle w:val="9"/>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14:paraId="0EC5E51D">
      <w:pPr>
        <w:pStyle w:val="9"/>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14:paraId="49C610EB">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82" w:name="_Toc11863"/>
      <w:bookmarkStart w:id="183" w:name="_Toc17513"/>
      <w:bookmarkStart w:id="184" w:name="_Toc6055"/>
      <w:r>
        <w:rPr>
          <w:rFonts w:hint="eastAsia" w:ascii="宋体" w:hAnsi="宋体" w:eastAsia="宋体" w:cs="宋体"/>
          <w:b/>
          <w:sz w:val="28"/>
          <w:szCs w:val="28"/>
          <w:highlight w:val="none"/>
        </w:rPr>
        <w:t>附件1：法定代表人身份证明/法定代表人授权书</w:t>
      </w:r>
      <w:bookmarkEnd w:id="182"/>
      <w:bookmarkEnd w:id="183"/>
      <w:bookmarkEnd w:id="184"/>
    </w:p>
    <w:p w14:paraId="26CC9943">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14:paraId="3A545A3C">
      <w:pPr>
        <w:pStyle w:val="9"/>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1D9ED275">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6571D70A">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14:paraId="7086ECD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14:paraId="6424EB6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36FF9592">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0A71AF74">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14:paraId="15B0DB71">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14:paraId="20BFEF48">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9"/>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1F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2DE9060">
            <w:pPr>
              <w:snapToGrid w:val="0"/>
              <w:spacing w:line="480" w:lineRule="auto"/>
              <w:jc w:val="center"/>
              <w:rPr>
                <w:rFonts w:hint="eastAsia" w:ascii="宋体" w:hAnsi="宋体" w:eastAsia="宋体" w:cs="宋体"/>
                <w:szCs w:val="21"/>
                <w:highlight w:val="none"/>
              </w:rPr>
            </w:pPr>
          </w:p>
          <w:p w14:paraId="4AF86560">
            <w:pPr>
              <w:snapToGrid w:val="0"/>
              <w:spacing w:line="480" w:lineRule="auto"/>
              <w:jc w:val="center"/>
              <w:rPr>
                <w:rFonts w:hint="eastAsia" w:ascii="宋体" w:hAnsi="宋体" w:eastAsia="宋体" w:cs="宋体"/>
                <w:szCs w:val="21"/>
                <w:highlight w:val="none"/>
              </w:rPr>
            </w:pPr>
          </w:p>
          <w:p w14:paraId="5B50B3F1">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14:paraId="7EB6619C">
            <w:pPr>
              <w:pStyle w:val="9"/>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14:paraId="4D991E50">
            <w:pPr>
              <w:snapToGrid w:val="0"/>
              <w:spacing w:line="480" w:lineRule="auto"/>
              <w:jc w:val="center"/>
              <w:rPr>
                <w:rFonts w:hint="eastAsia" w:ascii="宋体" w:hAnsi="宋体" w:eastAsia="宋体" w:cs="宋体"/>
                <w:szCs w:val="21"/>
                <w:highlight w:val="none"/>
              </w:rPr>
            </w:pPr>
          </w:p>
          <w:p w14:paraId="1E4608EF">
            <w:pPr>
              <w:snapToGrid w:val="0"/>
              <w:spacing w:line="480" w:lineRule="auto"/>
              <w:jc w:val="center"/>
              <w:rPr>
                <w:rFonts w:hint="eastAsia" w:ascii="宋体" w:hAnsi="宋体" w:eastAsia="宋体" w:cs="宋体"/>
                <w:szCs w:val="21"/>
                <w:highlight w:val="none"/>
              </w:rPr>
            </w:pPr>
          </w:p>
        </w:tc>
      </w:tr>
    </w:tbl>
    <w:p w14:paraId="276F14B3">
      <w:pPr>
        <w:snapToGrid w:val="0"/>
        <w:spacing w:line="480" w:lineRule="auto"/>
        <w:rPr>
          <w:rFonts w:hint="eastAsia" w:ascii="宋体" w:hAnsi="宋体" w:eastAsia="宋体" w:cs="宋体"/>
          <w:szCs w:val="21"/>
          <w:highlight w:val="none"/>
        </w:rPr>
      </w:pPr>
    </w:p>
    <w:p w14:paraId="621C539F">
      <w:pPr>
        <w:snapToGrid w:val="0"/>
        <w:rPr>
          <w:rFonts w:hint="eastAsia" w:ascii="宋体" w:hAnsi="宋体" w:eastAsia="宋体" w:cs="宋体"/>
          <w:szCs w:val="21"/>
          <w:highlight w:val="none"/>
        </w:rPr>
      </w:pPr>
    </w:p>
    <w:p w14:paraId="0C33FB77">
      <w:pPr>
        <w:snapToGrid w:val="0"/>
        <w:rPr>
          <w:rFonts w:hint="eastAsia" w:ascii="宋体" w:hAnsi="宋体" w:eastAsia="宋体" w:cs="宋体"/>
          <w:szCs w:val="21"/>
          <w:highlight w:val="none"/>
        </w:rPr>
      </w:pPr>
    </w:p>
    <w:p w14:paraId="2F34CB52">
      <w:pPr>
        <w:snapToGrid w:val="0"/>
        <w:rPr>
          <w:rFonts w:hint="eastAsia" w:ascii="宋体" w:hAnsi="宋体" w:eastAsia="宋体" w:cs="宋体"/>
          <w:szCs w:val="21"/>
          <w:highlight w:val="none"/>
        </w:rPr>
      </w:pPr>
    </w:p>
    <w:p w14:paraId="740178A0">
      <w:pPr>
        <w:snapToGrid w:val="0"/>
        <w:rPr>
          <w:rFonts w:hint="eastAsia" w:ascii="宋体" w:hAnsi="宋体" w:eastAsia="宋体" w:cs="宋体"/>
          <w:szCs w:val="21"/>
          <w:highlight w:val="none"/>
        </w:rPr>
      </w:pPr>
    </w:p>
    <w:p w14:paraId="5E19CAA4">
      <w:pPr>
        <w:adjustRightInd w:val="0"/>
        <w:snapToGrid w:val="0"/>
        <w:spacing w:line="360" w:lineRule="auto"/>
        <w:rPr>
          <w:rFonts w:hint="eastAsia" w:ascii="宋体" w:hAnsi="宋体" w:eastAsia="宋体" w:cs="宋体"/>
          <w:highlight w:val="none"/>
        </w:rPr>
      </w:pPr>
    </w:p>
    <w:p w14:paraId="287E0E24">
      <w:pPr>
        <w:adjustRightInd w:val="0"/>
        <w:snapToGrid w:val="0"/>
        <w:spacing w:line="360" w:lineRule="auto"/>
        <w:ind w:right="420"/>
        <w:rPr>
          <w:rFonts w:hint="eastAsia" w:ascii="宋体" w:hAnsi="宋体" w:eastAsia="宋体" w:cs="宋体"/>
          <w:highlight w:val="none"/>
        </w:rPr>
      </w:pPr>
    </w:p>
    <w:p w14:paraId="29167169">
      <w:pPr>
        <w:adjustRightInd w:val="0"/>
        <w:snapToGrid w:val="0"/>
        <w:spacing w:line="360" w:lineRule="auto"/>
        <w:ind w:right="420"/>
        <w:rPr>
          <w:rFonts w:hint="eastAsia" w:ascii="宋体" w:hAnsi="宋体" w:eastAsia="宋体" w:cs="宋体"/>
          <w:highlight w:val="none"/>
        </w:rPr>
      </w:pPr>
    </w:p>
    <w:p w14:paraId="36A2EAA7">
      <w:pPr>
        <w:adjustRightInd w:val="0"/>
        <w:snapToGrid w:val="0"/>
        <w:spacing w:line="360" w:lineRule="auto"/>
        <w:ind w:right="420"/>
        <w:rPr>
          <w:rFonts w:hint="eastAsia" w:ascii="宋体" w:hAnsi="宋体" w:eastAsia="宋体" w:cs="宋体"/>
          <w:highlight w:val="none"/>
        </w:rPr>
      </w:pPr>
    </w:p>
    <w:p w14:paraId="62A41CB5">
      <w:pPr>
        <w:adjustRightInd w:val="0"/>
        <w:snapToGrid w:val="0"/>
        <w:spacing w:line="360" w:lineRule="auto"/>
        <w:ind w:right="420"/>
        <w:rPr>
          <w:rFonts w:hint="eastAsia" w:ascii="宋体" w:hAnsi="宋体" w:eastAsia="宋体" w:cs="宋体"/>
          <w:highlight w:val="none"/>
        </w:rPr>
      </w:pPr>
    </w:p>
    <w:p w14:paraId="61344FD5">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14:paraId="70DADD14">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14:paraId="0AE0A7E9">
      <w:pPr>
        <w:pStyle w:val="9"/>
        <w:rPr>
          <w:rFonts w:hint="eastAsia" w:ascii="宋体" w:hAnsi="宋体" w:eastAsia="宋体" w:cs="宋体"/>
          <w:highlight w:val="none"/>
        </w:rPr>
      </w:pPr>
    </w:p>
    <w:p w14:paraId="111C36C8">
      <w:pPr>
        <w:spacing w:line="360" w:lineRule="auto"/>
        <w:jc w:val="left"/>
        <w:rPr>
          <w:rFonts w:hint="eastAsia" w:ascii="宋体" w:hAnsi="宋体" w:eastAsia="宋体" w:cs="宋体"/>
          <w:spacing w:val="4"/>
          <w:szCs w:val="24"/>
          <w:highlight w:val="none"/>
        </w:rPr>
      </w:pPr>
    </w:p>
    <w:p w14:paraId="55449E01">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5A7136E">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14:paraId="5F858D05">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陕西衍森项目管理有限公司</w:t>
      </w:r>
      <w:r>
        <w:rPr>
          <w:rFonts w:hint="eastAsia" w:ascii="宋体" w:hAnsi="宋体" w:eastAsia="宋体" w:cs="宋体"/>
          <w:spacing w:val="4"/>
          <w:szCs w:val="24"/>
          <w:highlight w:val="none"/>
          <w:u w:val="single"/>
        </w:rPr>
        <w:t xml:space="preserve"> </w:t>
      </w:r>
    </w:p>
    <w:p w14:paraId="7C6C9883">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14:paraId="72C06CBD">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14:paraId="57DDC85A">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14:paraId="794C2C67">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14:paraId="28608DA6">
      <w:pPr>
        <w:spacing w:line="360" w:lineRule="auto"/>
        <w:ind w:firstLine="496" w:firstLineChars="200"/>
        <w:jc w:val="left"/>
        <w:rPr>
          <w:rFonts w:hint="eastAsia" w:ascii="宋体" w:hAnsi="宋体" w:eastAsia="宋体" w:cs="宋体"/>
          <w:spacing w:val="4"/>
          <w:szCs w:val="24"/>
          <w:highlight w:val="none"/>
        </w:rPr>
      </w:pPr>
    </w:p>
    <w:tbl>
      <w:tblPr>
        <w:tblStyle w:val="19"/>
        <w:tblW w:w="0" w:type="auto"/>
        <w:tblInd w:w="633" w:type="dxa"/>
        <w:tblLayout w:type="fixed"/>
        <w:tblCellMar>
          <w:top w:w="0" w:type="dxa"/>
          <w:left w:w="108" w:type="dxa"/>
          <w:bottom w:w="0" w:type="dxa"/>
          <w:right w:w="108" w:type="dxa"/>
        </w:tblCellMar>
      </w:tblPr>
      <w:tblGrid>
        <w:gridCol w:w="4200"/>
        <w:gridCol w:w="3990"/>
      </w:tblGrid>
      <w:tr w14:paraId="4E175947">
        <w:tblPrEx>
          <w:tblCellMar>
            <w:top w:w="0" w:type="dxa"/>
            <w:left w:w="108" w:type="dxa"/>
            <w:bottom w:w="0" w:type="dxa"/>
            <w:right w:w="108" w:type="dxa"/>
          </w:tblCellMar>
        </w:tblPrEx>
        <w:trPr>
          <w:trHeight w:val="600" w:hRule="atLeast"/>
        </w:trPr>
        <w:tc>
          <w:tcPr>
            <w:tcW w:w="4200" w:type="dxa"/>
            <w:noWrap w:val="0"/>
            <w:vAlign w:val="top"/>
          </w:tcPr>
          <w:p w14:paraId="70B040BD">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14:paraId="2646ED1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14:paraId="71D9D0DE">
        <w:tblPrEx>
          <w:tblCellMar>
            <w:top w:w="0" w:type="dxa"/>
            <w:left w:w="108" w:type="dxa"/>
            <w:bottom w:w="0" w:type="dxa"/>
            <w:right w:w="108" w:type="dxa"/>
          </w:tblCellMar>
        </w:tblPrEx>
        <w:trPr>
          <w:trHeight w:val="600" w:hRule="atLeast"/>
        </w:trPr>
        <w:tc>
          <w:tcPr>
            <w:tcW w:w="4200" w:type="dxa"/>
            <w:noWrap w:val="0"/>
            <w:vAlign w:val="top"/>
          </w:tcPr>
          <w:p w14:paraId="156887F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2BFAF864">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14:paraId="74B41445">
        <w:tblPrEx>
          <w:tblCellMar>
            <w:top w:w="0" w:type="dxa"/>
            <w:left w:w="108" w:type="dxa"/>
            <w:bottom w:w="0" w:type="dxa"/>
            <w:right w:w="108" w:type="dxa"/>
          </w:tblCellMar>
        </w:tblPrEx>
        <w:trPr>
          <w:trHeight w:val="600" w:hRule="atLeast"/>
        </w:trPr>
        <w:tc>
          <w:tcPr>
            <w:tcW w:w="4200" w:type="dxa"/>
            <w:noWrap w:val="0"/>
            <w:vAlign w:val="top"/>
          </w:tcPr>
          <w:p w14:paraId="6859AEB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14:paraId="07A1528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14:paraId="363566E3">
        <w:tblPrEx>
          <w:tblCellMar>
            <w:top w:w="0" w:type="dxa"/>
            <w:left w:w="108" w:type="dxa"/>
            <w:bottom w:w="0" w:type="dxa"/>
            <w:right w:w="108" w:type="dxa"/>
          </w:tblCellMar>
        </w:tblPrEx>
        <w:trPr>
          <w:trHeight w:val="600" w:hRule="atLeast"/>
        </w:trPr>
        <w:tc>
          <w:tcPr>
            <w:tcW w:w="4200" w:type="dxa"/>
            <w:noWrap w:val="0"/>
            <w:vAlign w:val="top"/>
          </w:tcPr>
          <w:p w14:paraId="0CE6A91C">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14:paraId="64807A86">
            <w:pPr>
              <w:spacing w:line="360" w:lineRule="auto"/>
              <w:jc w:val="left"/>
              <w:rPr>
                <w:rFonts w:hint="eastAsia" w:ascii="宋体" w:hAnsi="宋体" w:eastAsia="宋体" w:cs="宋体"/>
                <w:spacing w:val="4"/>
                <w:szCs w:val="24"/>
                <w:highlight w:val="none"/>
              </w:rPr>
            </w:pPr>
          </w:p>
        </w:tc>
      </w:tr>
    </w:tbl>
    <w:p w14:paraId="071B9ABE">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14:paraId="6E870E05">
      <w:pPr>
        <w:spacing w:line="360" w:lineRule="auto"/>
        <w:rPr>
          <w:rFonts w:hint="eastAsia" w:ascii="宋体" w:hAnsi="宋体" w:eastAsia="宋体" w:cs="宋体"/>
          <w:spacing w:val="4"/>
          <w:szCs w:val="24"/>
          <w:highlight w:val="none"/>
        </w:rPr>
      </w:pPr>
    </w:p>
    <w:tbl>
      <w:tblPr>
        <w:tblStyle w:val="19"/>
        <w:tblW w:w="0" w:type="auto"/>
        <w:tblInd w:w="540" w:type="dxa"/>
        <w:tblLayout w:type="fixed"/>
        <w:tblCellMar>
          <w:top w:w="0" w:type="dxa"/>
          <w:left w:w="108" w:type="dxa"/>
          <w:bottom w:w="0" w:type="dxa"/>
          <w:right w:w="108" w:type="dxa"/>
        </w:tblCellMar>
      </w:tblPr>
      <w:tblGrid>
        <w:gridCol w:w="4246"/>
        <w:gridCol w:w="4111"/>
      </w:tblGrid>
      <w:tr w14:paraId="6FBA901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55D23D2">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14:paraId="68178624">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5C7510E0">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14:paraId="68C9FE8F">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14:paraId="7BFCBE70">
      <w:pPr>
        <w:spacing w:line="360" w:lineRule="auto"/>
        <w:ind w:firstLine="510"/>
        <w:rPr>
          <w:rFonts w:hint="eastAsia" w:ascii="宋体" w:hAnsi="宋体" w:eastAsia="宋体" w:cs="宋体"/>
          <w:spacing w:val="4"/>
          <w:szCs w:val="24"/>
          <w:highlight w:val="none"/>
        </w:rPr>
      </w:pPr>
    </w:p>
    <w:p w14:paraId="0349BC97">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14:paraId="0BB393D0">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r>
        <w:rPr>
          <w:rFonts w:hint="eastAsia" w:ascii="宋体" w:hAnsi="宋体" w:eastAsia="宋体" w:cs="宋体"/>
          <w:highlight w:val="none"/>
        </w:rPr>
        <w:t xml:space="preserve">    年  月  日</w:t>
      </w:r>
    </w:p>
    <w:p w14:paraId="4487B6CA">
      <w:pPr>
        <w:widowControl/>
        <w:spacing w:line="360" w:lineRule="auto"/>
        <w:ind w:left="1" w:firstLine="281" w:firstLineChars="100"/>
        <w:rPr>
          <w:rFonts w:hint="eastAsia" w:ascii="宋体" w:hAnsi="宋体" w:eastAsia="宋体" w:cs="宋体"/>
          <w:b/>
          <w:kern w:val="0"/>
          <w:sz w:val="32"/>
          <w:szCs w:val="32"/>
          <w:highlight w:val="none"/>
        </w:rPr>
      </w:pPr>
      <w:r>
        <w:rPr>
          <w:rFonts w:hint="eastAsia" w:ascii="宋体" w:hAnsi="宋体" w:eastAsia="宋体" w:cs="宋体"/>
          <w:b/>
          <w:sz w:val="28"/>
          <w:szCs w:val="28"/>
          <w:highlight w:val="none"/>
          <w:lang w:val="en-US" w:eastAsia="zh-CN"/>
        </w:rPr>
        <w:br w:type="page"/>
      </w:r>
      <w:bookmarkStart w:id="185" w:name="_Toc11767"/>
      <w:bookmarkStart w:id="186" w:name="_Toc17295"/>
    </w:p>
    <w:p w14:paraId="68CE191E">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14:paraId="6BE4D091">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14:paraId="1DB1CD9E">
      <w:pPr>
        <w:pStyle w:val="18"/>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14:paraId="745D99AD">
      <w:pPr>
        <w:pStyle w:val="18"/>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14:paraId="535EE11D">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7C100023">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14:paraId="23641350">
      <w:pPr>
        <w:pStyle w:val="18"/>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14:paraId="45E92910">
      <w:pPr>
        <w:pStyle w:val="18"/>
        <w:wordWrap w:val="0"/>
        <w:spacing w:beforeAutospacing="0" w:afterAutospacing="0" w:line="560" w:lineRule="exact"/>
        <w:ind w:firstLine="420"/>
        <w:rPr>
          <w:rFonts w:hint="eastAsia" w:ascii="宋体" w:hAnsi="宋体" w:eastAsia="宋体" w:cs="宋体"/>
          <w:highlight w:val="none"/>
          <w:shd w:val="clear" w:color="auto" w:fill="FFFFFF"/>
        </w:rPr>
      </w:pPr>
    </w:p>
    <w:p w14:paraId="02ABA016">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76C69B77">
      <w:pPr>
        <w:pStyle w:val="28"/>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D01B4B6">
      <w:pPr>
        <w:adjustRightInd w:val="0"/>
        <w:snapToGrid w:val="0"/>
        <w:spacing w:line="360" w:lineRule="auto"/>
        <w:jc w:val="center"/>
        <w:rPr>
          <w:rFonts w:hint="eastAsia"/>
          <w:highlight w:val="none"/>
        </w:rPr>
      </w:pPr>
      <w:r>
        <w:rPr>
          <w:rFonts w:hint="eastAsia" w:asciiTheme="minorEastAsia" w:hAnsiTheme="minorEastAsia" w:eastAsiaTheme="minorEastAsia" w:cstheme="minorEastAsia"/>
          <w:b/>
          <w:color w:val="auto"/>
          <w:sz w:val="28"/>
          <w:szCs w:val="28"/>
          <w:highlight w:val="none"/>
        </w:rPr>
        <w:br w:type="page"/>
      </w:r>
    </w:p>
    <w:p w14:paraId="52A06DA1">
      <w:pPr>
        <w:adjustRightInd w:val="0"/>
        <w:snapToGrid w:val="0"/>
        <w:spacing w:line="360" w:lineRule="auto"/>
        <w:jc w:val="center"/>
        <w:rPr>
          <w:rFonts w:hint="eastAsia" w:ascii="宋体" w:hAnsi="宋体" w:eastAsia="宋体" w:cs="宋体"/>
          <w:b/>
          <w:sz w:val="28"/>
          <w:szCs w:val="28"/>
          <w:highlight w:val="none"/>
          <w:lang w:eastAsia="zh-CN"/>
        </w:rPr>
      </w:pPr>
      <w:r>
        <w:rPr>
          <w:rFonts w:hint="eastAsia" w:ascii="宋体" w:hAnsi="宋体" w:eastAsia="宋体" w:cs="宋体"/>
          <w:b/>
          <w:sz w:val="32"/>
          <w:szCs w:val="32"/>
          <w:highlight w:val="none"/>
        </w:rPr>
        <w:t>具有履行本合同所必需的设备和专业技术能力的</w:t>
      </w:r>
      <w:r>
        <w:rPr>
          <w:rFonts w:hint="eastAsia" w:hAnsi="宋体" w:cs="宋体"/>
          <w:b/>
          <w:sz w:val="32"/>
          <w:szCs w:val="32"/>
          <w:highlight w:val="none"/>
          <w:lang w:val="en-US" w:eastAsia="zh-CN"/>
        </w:rPr>
        <w:t>承诺函</w:t>
      </w:r>
    </w:p>
    <w:p w14:paraId="142B4A02">
      <w:pPr>
        <w:widowControl/>
        <w:spacing w:line="360" w:lineRule="auto"/>
        <w:ind w:left="1"/>
        <w:jc w:val="center"/>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（格式）</w:t>
      </w:r>
    </w:p>
    <w:p w14:paraId="47AED6B7">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14:paraId="50E19275">
      <w:pPr>
        <w:pStyle w:val="11"/>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14:paraId="343C4F46">
      <w:pPr>
        <w:pStyle w:val="11"/>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14:paraId="14F979F0">
      <w:pPr>
        <w:pStyle w:val="11"/>
        <w:adjustRightInd w:val="0"/>
        <w:snapToGrid w:val="0"/>
        <w:spacing w:line="720" w:lineRule="exact"/>
        <w:rPr>
          <w:rFonts w:hint="eastAsia" w:ascii="宋体" w:hAnsi="宋体" w:eastAsia="宋体" w:cs="宋体"/>
          <w:spacing w:val="4"/>
          <w:sz w:val="24"/>
          <w:szCs w:val="24"/>
          <w:highlight w:val="none"/>
        </w:rPr>
      </w:pPr>
    </w:p>
    <w:p w14:paraId="04E34EB1">
      <w:pPr>
        <w:pStyle w:val="11"/>
        <w:adjustRightInd w:val="0"/>
        <w:snapToGrid w:val="0"/>
        <w:spacing w:line="720" w:lineRule="exact"/>
        <w:rPr>
          <w:rFonts w:hint="eastAsia" w:ascii="宋体" w:hAnsi="宋体" w:eastAsia="宋体" w:cs="宋体"/>
          <w:spacing w:val="4"/>
          <w:sz w:val="24"/>
          <w:szCs w:val="24"/>
          <w:highlight w:val="none"/>
        </w:rPr>
      </w:pPr>
    </w:p>
    <w:p w14:paraId="50DA3CF8">
      <w:pPr>
        <w:pStyle w:val="11"/>
        <w:adjustRightInd w:val="0"/>
        <w:snapToGrid w:val="0"/>
        <w:spacing w:line="720" w:lineRule="exact"/>
        <w:rPr>
          <w:rFonts w:hint="eastAsia" w:ascii="宋体" w:hAnsi="宋体" w:eastAsia="宋体" w:cs="宋体"/>
          <w:spacing w:val="4"/>
          <w:sz w:val="24"/>
          <w:szCs w:val="24"/>
          <w:highlight w:val="none"/>
        </w:rPr>
      </w:pPr>
    </w:p>
    <w:p w14:paraId="4AABA347">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4BB29F9F">
      <w:pPr>
        <w:pStyle w:val="28"/>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4E6F86A">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3DF12596">
      <w:pPr>
        <w:spacing w:before="100" w:beforeAutospacing="1" w:afterLines="50" w:line="360" w:lineRule="auto"/>
        <w:jc w:val="left"/>
        <w:outlineLvl w:val="2"/>
        <w:rPr>
          <w:rFonts w:hint="eastAsia" w:ascii="宋体" w:hAnsi="宋体" w:eastAsia="宋体" w:cs="宋体"/>
          <w:b/>
          <w:color w:val="auto"/>
          <w:spacing w:val="6"/>
          <w:sz w:val="32"/>
          <w:szCs w:val="32"/>
          <w:highlight w:val="none"/>
        </w:rPr>
      </w:pPr>
      <w:bookmarkStart w:id="187" w:name="_Toc23920"/>
      <w:r>
        <w:rPr>
          <w:rFonts w:hint="eastAsia" w:ascii="宋体" w:hAnsi="宋体" w:eastAsia="宋体" w:cs="宋体"/>
          <w:b/>
          <w:sz w:val="28"/>
          <w:szCs w:val="28"/>
          <w:highlight w:val="none"/>
          <w:lang w:val="en-US" w:eastAsia="zh-CN"/>
        </w:rPr>
        <w:t>附件2：中小企业声明函</w:t>
      </w:r>
      <w:bookmarkEnd w:id="185"/>
      <w:bookmarkEnd w:id="186"/>
      <w:bookmarkEnd w:id="187"/>
      <w:bookmarkStart w:id="188" w:name="_Toc13836"/>
    </w:p>
    <w:p w14:paraId="3268CD7F">
      <w:pPr>
        <w:spacing w:before="156" w:beforeLines="50" w:after="156" w:afterLines="50" w:line="360" w:lineRule="auto"/>
        <w:jc w:val="center"/>
        <w:rPr>
          <w:rFonts w:hint="eastAsia" w:hAnsi="宋体" w:cs="宋体"/>
          <w:szCs w:val="24"/>
          <w:highlight w:val="none"/>
        </w:rPr>
      </w:pPr>
      <w:bookmarkStart w:id="189" w:name="_Toc20139"/>
      <w:bookmarkStart w:id="190" w:name="_Toc13530"/>
      <w:bookmarkStart w:id="191" w:name="_Toc12704"/>
      <w:r>
        <w:rPr>
          <w:rFonts w:hint="eastAsia" w:hAnsi="宋体" w:cs="宋体"/>
          <w:b/>
          <w:sz w:val="28"/>
          <w:szCs w:val="28"/>
          <w:highlight w:val="none"/>
        </w:rPr>
        <w:t>中小企业声明函</w:t>
      </w:r>
    </w:p>
    <w:p w14:paraId="3EC1FEF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4485D2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F2ACA7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3AE4FA0C">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2BDB9A9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79284AF6">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55D856C5">
      <w:pPr>
        <w:tabs>
          <w:tab w:val="left" w:pos="1620"/>
          <w:tab w:val="left" w:pos="1800"/>
        </w:tabs>
        <w:spacing w:line="500" w:lineRule="exact"/>
        <w:rPr>
          <w:rFonts w:hint="eastAsia" w:hAnsi="宋体" w:cs="宋体"/>
          <w:szCs w:val="24"/>
          <w:highlight w:val="none"/>
        </w:rPr>
      </w:pPr>
    </w:p>
    <w:p w14:paraId="4A7E7008">
      <w:pPr>
        <w:tabs>
          <w:tab w:val="left" w:pos="1620"/>
          <w:tab w:val="left" w:pos="1800"/>
        </w:tabs>
        <w:spacing w:line="500" w:lineRule="exact"/>
        <w:rPr>
          <w:rFonts w:hint="eastAsia" w:hAnsi="宋体" w:cs="宋体"/>
          <w:szCs w:val="24"/>
          <w:highlight w:val="none"/>
        </w:rPr>
      </w:pPr>
    </w:p>
    <w:p w14:paraId="2221F545">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6149BCD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55646C52">
      <w:pPr>
        <w:spacing w:before="100" w:beforeAutospacing="1" w:after="156" w:afterLines="50" w:line="360" w:lineRule="auto"/>
        <w:rPr>
          <w:rFonts w:hint="eastAsia" w:hAnsi="宋体" w:cs="宋体"/>
          <w:b/>
          <w:bCs/>
          <w:spacing w:val="6"/>
          <w:sz w:val="30"/>
          <w:szCs w:val="30"/>
          <w:highlight w:val="none"/>
        </w:rPr>
      </w:pPr>
    </w:p>
    <w:p w14:paraId="4B8F92DB">
      <w:pPr>
        <w:spacing w:before="100" w:beforeAutospacing="1" w:afterLines="50" w:line="360" w:lineRule="auto"/>
        <w:outlineLvl w:val="2"/>
        <w:rPr>
          <w:rFonts w:hint="eastAsia" w:ascii="宋体" w:hAnsi="宋体" w:eastAsia="宋体" w:cs="宋体"/>
          <w:b/>
          <w:sz w:val="28"/>
          <w:szCs w:val="28"/>
          <w:highlight w:val="none"/>
        </w:rPr>
      </w:pPr>
    </w:p>
    <w:p w14:paraId="0F2D7F4B">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E9F2BB0">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w:t>
      </w:r>
      <w:bookmarkEnd w:id="188"/>
      <w:bookmarkEnd w:id="189"/>
      <w:bookmarkEnd w:id="190"/>
      <w:bookmarkEnd w:id="191"/>
      <w:bookmarkStart w:id="192" w:name="_Toc11235"/>
      <w:bookmarkStart w:id="193" w:name="_Toc22425"/>
      <w:bookmarkStart w:id="194" w:name="_Toc9308"/>
      <w:r>
        <w:rPr>
          <w:rFonts w:hint="eastAsia" w:ascii="宋体" w:hAnsi="宋体" w:eastAsia="宋体" w:cs="宋体"/>
          <w:b/>
          <w:bCs/>
          <w:spacing w:val="6"/>
          <w:sz w:val="30"/>
          <w:szCs w:val="30"/>
          <w:highlight w:val="none"/>
        </w:rPr>
        <w:t>：残疾人福利性单位声明函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92"/>
      <w:bookmarkEnd w:id="193"/>
      <w:bookmarkEnd w:id="194"/>
    </w:p>
    <w:p w14:paraId="106C7F57">
      <w:pPr>
        <w:spacing w:line="588" w:lineRule="exact"/>
        <w:jc w:val="center"/>
        <w:outlineLvl w:val="9"/>
        <w:rPr>
          <w:rFonts w:hint="eastAsia" w:ascii="宋体" w:hAnsi="宋体" w:eastAsia="宋体" w:cs="宋体"/>
          <w:b/>
          <w:spacing w:val="6"/>
          <w:sz w:val="32"/>
          <w:szCs w:val="32"/>
          <w:highlight w:val="none"/>
        </w:rPr>
      </w:pPr>
      <w:bookmarkStart w:id="195" w:name="OLE_LINK14"/>
      <w:bookmarkStart w:id="196" w:name="OLE_LINK13"/>
      <w:r>
        <w:rPr>
          <w:rFonts w:hint="eastAsia" w:ascii="宋体" w:hAnsi="宋体" w:eastAsia="宋体" w:cs="宋体"/>
          <w:b/>
          <w:spacing w:val="6"/>
          <w:sz w:val="32"/>
          <w:szCs w:val="32"/>
          <w:highlight w:val="none"/>
        </w:rPr>
        <w:t>残疾人福利性单位声明函</w:t>
      </w:r>
    </w:p>
    <w:bookmarkEnd w:id="195"/>
    <w:bookmarkEnd w:id="196"/>
    <w:p w14:paraId="1F9851C3">
      <w:pPr>
        <w:spacing w:line="588" w:lineRule="exact"/>
        <w:rPr>
          <w:rFonts w:hint="eastAsia" w:ascii="宋体" w:hAnsi="宋体" w:eastAsia="宋体" w:cs="宋体"/>
          <w:b/>
          <w:spacing w:val="6"/>
          <w:sz w:val="30"/>
          <w:szCs w:val="30"/>
          <w:highlight w:val="none"/>
        </w:rPr>
      </w:pPr>
    </w:p>
    <w:p w14:paraId="30CF847F">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90DF12">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6A6EE3AB">
      <w:pPr>
        <w:spacing w:line="588" w:lineRule="exact"/>
        <w:ind w:firstLine="504" w:firstLineChars="200"/>
        <w:rPr>
          <w:rFonts w:hint="eastAsia" w:ascii="宋体" w:hAnsi="宋体" w:eastAsia="宋体" w:cs="宋体"/>
          <w:spacing w:val="6"/>
          <w:szCs w:val="24"/>
          <w:highlight w:val="none"/>
        </w:rPr>
      </w:pPr>
    </w:p>
    <w:p w14:paraId="42FEDE77">
      <w:pPr>
        <w:spacing w:line="588" w:lineRule="exact"/>
        <w:ind w:firstLine="504" w:firstLineChars="200"/>
        <w:rPr>
          <w:rFonts w:hint="eastAsia" w:ascii="宋体" w:hAnsi="宋体" w:eastAsia="宋体" w:cs="宋体"/>
          <w:spacing w:val="6"/>
          <w:szCs w:val="24"/>
          <w:highlight w:val="none"/>
        </w:rPr>
      </w:pPr>
    </w:p>
    <w:p w14:paraId="79E0E126">
      <w:pPr>
        <w:spacing w:line="588" w:lineRule="exact"/>
        <w:ind w:firstLine="504" w:firstLineChars="200"/>
        <w:rPr>
          <w:rFonts w:hint="eastAsia" w:ascii="宋体" w:hAnsi="宋体" w:eastAsia="宋体" w:cs="宋体"/>
          <w:spacing w:val="6"/>
          <w:szCs w:val="24"/>
          <w:highlight w:val="none"/>
        </w:rPr>
      </w:pPr>
    </w:p>
    <w:p w14:paraId="39285C5E">
      <w:pPr>
        <w:spacing w:line="588" w:lineRule="exact"/>
        <w:ind w:firstLine="504" w:firstLineChars="200"/>
        <w:rPr>
          <w:rFonts w:hint="eastAsia" w:ascii="宋体" w:hAnsi="宋体" w:eastAsia="宋体" w:cs="宋体"/>
          <w:spacing w:val="6"/>
          <w:szCs w:val="24"/>
          <w:highlight w:val="none"/>
        </w:rPr>
      </w:pPr>
    </w:p>
    <w:p w14:paraId="50521B50">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14:paraId="615A640A">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14:paraId="15BE2B53">
      <w:pPr>
        <w:rPr>
          <w:rFonts w:hint="eastAsia" w:ascii="宋体" w:hAnsi="宋体" w:eastAsia="宋体" w:cs="宋体"/>
          <w:szCs w:val="24"/>
          <w:highlight w:val="none"/>
        </w:rPr>
      </w:pPr>
      <w:r>
        <w:rPr>
          <w:rFonts w:hint="eastAsia" w:ascii="宋体" w:hAnsi="宋体" w:eastAsia="宋体" w:cs="宋体"/>
          <w:szCs w:val="24"/>
          <w:highlight w:val="none"/>
        </w:rPr>
        <w:br w:type="page"/>
      </w:r>
    </w:p>
    <w:p w14:paraId="6B63604E">
      <w:pPr>
        <w:spacing w:line="360" w:lineRule="auto"/>
        <w:rPr>
          <w:rFonts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w:t>
      </w:r>
    </w:p>
    <w:p w14:paraId="36886F51">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399F5F6E">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16C21A8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0E4C8C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783DAE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964361A">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CC6147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58F8D2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454A631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4A898E1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0A85DA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99252E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0E6126E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65D6A5B2">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2878D6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53E707C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D9BF304">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80C4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47D11D8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F153F9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9E22C6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48662E0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1E46FCA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62DA070F">
      <w:pPr>
        <w:rPr>
          <w:rFonts w:hAnsi="宋体" w:cs="宋体"/>
          <w:color w:val="auto"/>
          <w:szCs w:val="24"/>
          <w:highlight w:val="none"/>
        </w:rPr>
      </w:pPr>
      <w:r>
        <w:rPr>
          <w:rFonts w:hint="eastAsia" w:hAnsi="宋体" w:cs="宋体"/>
          <w:color w:val="auto"/>
          <w:szCs w:val="24"/>
          <w:highlight w:val="none"/>
        </w:rPr>
        <w:t xml:space="preserve">签字(签章)：                   公章：                      </w:t>
      </w:r>
    </w:p>
    <w:p w14:paraId="6D3E4DC0">
      <w:pPr>
        <w:rPr>
          <w:rFonts w:hAnsi="宋体" w:cs="宋体"/>
          <w:color w:val="auto"/>
          <w:szCs w:val="24"/>
          <w:highlight w:val="none"/>
        </w:rPr>
      </w:pPr>
      <w:r>
        <w:rPr>
          <w:rFonts w:hint="eastAsia" w:hAnsi="宋体" w:cs="宋体"/>
          <w:color w:val="auto"/>
          <w:szCs w:val="24"/>
          <w:highlight w:val="none"/>
        </w:rPr>
        <w:t xml:space="preserve">日期：    </w:t>
      </w:r>
    </w:p>
    <w:p w14:paraId="6350485F">
      <w:pPr>
        <w:jc w:val="center"/>
        <w:rPr>
          <w:rFonts w:hAnsi="宋体" w:cs="宋体"/>
          <w:b/>
          <w:color w:val="auto"/>
          <w:sz w:val="44"/>
          <w:szCs w:val="44"/>
          <w:highlight w:val="none"/>
        </w:rPr>
      </w:pPr>
    </w:p>
    <w:p w14:paraId="0CF3C859">
      <w:pPr>
        <w:jc w:val="center"/>
        <w:rPr>
          <w:rFonts w:hAnsi="宋体" w:cs="宋体"/>
          <w:b/>
          <w:color w:val="auto"/>
          <w:sz w:val="44"/>
          <w:szCs w:val="44"/>
          <w:highlight w:val="none"/>
        </w:rPr>
      </w:pPr>
    </w:p>
    <w:p w14:paraId="37CDE01A">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694947BC">
      <w:pPr>
        <w:rPr>
          <w:rFonts w:hAnsi="宋体" w:cs="宋体"/>
          <w:color w:val="auto"/>
          <w:szCs w:val="24"/>
          <w:highlight w:val="none"/>
        </w:rPr>
      </w:pPr>
      <w:r>
        <w:rPr>
          <w:rFonts w:hint="eastAsia" w:hAnsi="宋体" w:cs="宋体"/>
          <w:color w:val="auto"/>
          <w:szCs w:val="24"/>
          <w:highlight w:val="none"/>
        </w:rPr>
        <w:t>一、投诉相关主体基本情况</w:t>
      </w:r>
    </w:p>
    <w:p w14:paraId="316936F9">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A40570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63DE643">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A94C1AB">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6F6F5DA">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241B9562">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06ACFD4D">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3AD73A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8D5B1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723149E">
      <w:pPr>
        <w:rPr>
          <w:rFonts w:hAnsi="宋体" w:cs="宋体"/>
          <w:color w:val="auto"/>
          <w:szCs w:val="24"/>
          <w:highlight w:val="none"/>
        </w:rPr>
      </w:pPr>
      <w:r>
        <w:rPr>
          <w:rFonts w:hint="eastAsia" w:hAnsi="宋体" w:cs="宋体"/>
          <w:color w:val="auto"/>
          <w:szCs w:val="24"/>
          <w:highlight w:val="none"/>
        </w:rPr>
        <w:t>被投诉人2</w:t>
      </w:r>
    </w:p>
    <w:p w14:paraId="35BAC051">
      <w:pPr>
        <w:rPr>
          <w:rFonts w:hAnsi="宋体" w:cs="宋体"/>
          <w:color w:val="auto"/>
          <w:szCs w:val="24"/>
          <w:highlight w:val="none"/>
          <w:u w:val="dotted"/>
        </w:rPr>
      </w:pPr>
      <w:r>
        <w:rPr>
          <w:rFonts w:hint="eastAsia" w:hAnsi="宋体" w:cs="宋体"/>
          <w:color w:val="auto"/>
          <w:szCs w:val="24"/>
          <w:highlight w:val="none"/>
        </w:rPr>
        <w:t>……</w:t>
      </w:r>
    </w:p>
    <w:p w14:paraId="6AAE88B9">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0A95BD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9618B5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B2B0D">
      <w:pPr>
        <w:rPr>
          <w:rFonts w:hAnsi="宋体" w:cs="宋体"/>
          <w:color w:val="auto"/>
          <w:szCs w:val="24"/>
          <w:highlight w:val="none"/>
        </w:rPr>
      </w:pPr>
      <w:r>
        <w:rPr>
          <w:rFonts w:hint="eastAsia" w:hAnsi="宋体" w:cs="宋体"/>
          <w:color w:val="auto"/>
          <w:szCs w:val="24"/>
          <w:highlight w:val="none"/>
        </w:rPr>
        <w:t>二、投诉项目基本情况</w:t>
      </w:r>
    </w:p>
    <w:p w14:paraId="04BDCF50">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F54E740">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6D35403">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DEE4259">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79B6082">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7F7A37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DA3FBD0">
      <w:pPr>
        <w:rPr>
          <w:rFonts w:hAnsi="宋体" w:cs="宋体"/>
          <w:color w:val="auto"/>
          <w:szCs w:val="24"/>
          <w:highlight w:val="none"/>
        </w:rPr>
      </w:pPr>
      <w:r>
        <w:rPr>
          <w:rFonts w:hint="eastAsia" w:hAnsi="宋体" w:cs="宋体"/>
          <w:color w:val="auto"/>
          <w:szCs w:val="24"/>
          <w:highlight w:val="none"/>
        </w:rPr>
        <w:t>三、质疑基本情况</w:t>
      </w:r>
    </w:p>
    <w:p w14:paraId="578B0E5A">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CE52EE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1AC301D6">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70A10588">
      <w:pPr>
        <w:rPr>
          <w:rFonts w:hAnsi="宋体" w:cs="宋体"/>
          <w:color w:val="auto"/>
          <w:szCs w:val="24"/>
          <w:highlight w:val="none"/>
        </w:rPr>
      </w:pPr>
      <w:r>
        <w:rPr>
          <w:rFonts w:hint="eastAsia" w:hAnsi="宋体" w:cs="宋体"/>
          <w:color w:val="auto"/>
          <w:szCs w:val="24"/>
          <w:highlight w:val="none"/>
        </w:rPr>
        <w:t>四、投诉事项具体内容</w:t>
      </w:r>
    </w:p>
    <w:p w14:paraId="054C61D4">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9B7BD8D">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057CC85">
      <w:pPr>
        <w:rPr>
          <w:rFonts w:hAnsi="宋体" w:cs="宋体"/>
          <w:color w:val="auto"/>
          <w:szCs w:val="24"/>
          <w:highlight w:val="none"/>
          <w:u w:val="dotted"/>
        </w:rPr>
      </w:pPr>
      <w:r>
        <w:rPr>
          <w:rFonts w:hint="eastAsia" w:hAnsi="宋体" w:cs="宋体"/>
          <w:color w:val="auto"/>
          <w:szCs w:val="24"/>
          <w:highlight w:val="none"/>
          <w:u w:val="dotted"/>
        </w:rPr>
        <w:t xml:space="preserve">                                                      </w:t>
      </w:r>
    </w:p>
    <w:p w14:paraId="07EAFD24">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75FD435C">
      <w:pPr>
        <w:rPr>
          <w:rFonts w:hAnsi="宋体" w:cs="宋体"/>
          <w:color w:val="auto"/>
          <w:szCs w:val="24"/>
          <w:highlight w:val="none"/>
          <w:u w:val="dotted"/>
        </w:rPr>
      </w:pPr>
      <w:r>
        <w:rPr>
          <w:rFonts w:hint="eastAsia" w:hAnsi="宋体" w:cs="宋体"/>
          <w:color w:val="auto"/>
          <w:szCs w:val="24"/>
          <w:highlight w:val="none"/>
          <w:u w:val="dotted"/>
        </w:rPr>
        <w:t xml:space="preserve">                                                      </w:t>
      </w:r>
    </w:p>
    <w:p w14:paraId="51E29105">
      <w:pPr>
        <w:rPr>
          <w:rFonts w:hAnsi="宋体" w:cs="宋体"/>
          <w:color w:val="auto"/>
          <w:szCs w:val="24"/>
          <w:highlight w:val="none"/>
        </w:rPr>
      </w:pPr>
      <w:r>
        <w:rPr>
          <w:rFonts w:hint="eastAsia" w:hAnsi="宋体" w:cs="宋体"/>
          <w:color w:val="auto"/>
          <w:szCs w:val="24"/>
          <w:highlight w:val="none"/>
        </w:rPr>
        <w:t>投诉事项2</w:t>
      </w:r>
    </w:p>
    <w:p w14:paraId="1469D19B">
      <w:pPr>
        <w:rPr>
          <w:rFonts w:hAnsi="宋体" w:cs="宋体"/>
          <w:color w:val="auto"/>
          <w:szCs w:val="24"/>
          <w:highlight w:val="none"/>
          <w:u w:val="dotted"/>
        </w:rPr>
      </w:pPr>
      <w:r>
        <w:rPr>
          <w:rFonts w:hint="eastAsia" w:hAnsi="宋体" w:cs="宋体"/>
          <w:color w:val="auto"/>
          <w:szCs w:val="24"/>
          <w:highlight w:val="none"/>
        </w:rPr>
        <w:t>……</w:t>
      </w:r>
    </w:p>
    <w:p w14:paraId="7F59CBFE">
      <w:pPr>
        <w:rPr>
          <w:rFonts w:hAnsi="宋体" w:cs="宋体"/>
          <w:color w:val="auto"/>
          <w:szCs w:val="24"/>
          <w:highlight w:val="none"/>
        </w:rPr>
      </w:pPr>
      <w:r>
        <w:rPr>
          <w:rFonts w:hint="eastAsia" w:hAnsi="宋体" w:cs="宋体"/>
          <w:color w:val="auto"/>
          <w:szCs w:val="24"/>
          <w:highlight w:val="none"/>
        </w:rPr>
        <w:t>五、与投诉事项相关的投诉请求</w:t>
      </w:r>
    </w:p>
    <w:p w14:paraId="15F96BF7">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0421F92">
      <w:pPr>
        <w:rPr>
          <w:rFonts w:hAnsi="宋体" w:cs="宋体"/>
          <w:color w:val="auto"/>
          <w:szCs w:val="24"/>
          <w:highlight w:val="none"/>
          <w:u w:val="single"/>
        </w:rPr>
      </w:pPr>
      <w:r>
        <w:rPr>
          <w:rFonts w:hint="eastAsia" w:hAnsi="宋体" w:cs="宋体"/>
          <w:color w:val="auto"/>
          <w:szCs w:val="24"/>
          <w:highlight w:val="none"/>
        </w:rPr>
        <w:t xml:space="preserve">                                                                                                    </w:t>
      </w:r>
    </w:p>
    <w:p w14:paraId="0F2566F0">
      <w:pPr>
        <w:rPr>
          <w:rFonts w:hAnsi="宋体" w:cs="宋体"/>
          <w:color w:val="auto"/>
          <w:szCs w:val="24"/>
          <w:highlight w:val="none"/>
        </w:rPr>
      </w:pPr>
      <w:r>
        <w:rPr>
          <w:rFonts w:hint="eastAsia" w:hAnsi="宋体" w:cs="宋体"/>
          <w:color w:val="auto"/>
          <w:szCs w:val="24"/>
          <w:highlight w:val="none"/>
        </w:rPr>
        <w:t xml:space="preserve">签字(签章)：                   公章：                      </w:t>
      </w:r>
    </w:p>
    <w:p w14:paraId="62790682">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p w14:paraId="44479257">
      <w:pPr>
        <w:spacing w:line="360" w:lineRule="auto"/>
        <w:rPr>
          <w:rFonts w:hint="eastAsia" w:ascii="宋体" w:hAnsi="宋体" w:eastAsia="宋体" w:cs="宋体"/>
          <w:szCs w:val="24"/>
          <w:highlight w:val="none"/>
        </w:rPr>
      </w:pPr>
    </w:p>
    <w:sectPr>
      <w:headerReference r:id="rId16"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8B2A">
    <w:pPr>
      <w:pStyle w:val="12"/>
      <w:rPr>
        <w:rFonts w:hint="eastAsia" w:eastAsia="宋体"/>
        <w:lang w:eastAsia="zh-CN"/>
      </w:rPr>
    </w:pPr>
    <w:r>
      <w:rPr>
        <w:rFonts w:hint="eastAsia"/>
        <w:lang w:eastAsia="zh-CN"/>
      </w:rPr>
      <w:t>陕西衍森项目管理有限公司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A8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4D2E">
    <w:pPr>
      <w:pStyle w:val="12"/>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3DD2C42">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53DD2C42">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陕西衍森项目管理有限公司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2362">
    <w:pPr>
      <w:pStyle w:val="1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1D1BCF">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E1D1BCF">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1E85">
    <w:pPr>
      <w:tabs>
        <w:tab w:val="left" w:pos="5646"/>
      </w:tabs>
      <w:rPr>
        <w:sz w:val="18"/>
        <w:szCs w:val="18"/>
      </w:rPr>
    </w:pPr>
  </w:p>
  <w:p w14:paraId="0A6BF641">
    <w:pPr>
      <w:pStyle w:val="12"/>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96A1503">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096A1503">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9D33">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0986">
    <w:pPr>
      <w:pStyle w:val="12"/>
      <w:rPr>
        <w:rFonts w:ascii="Times New Roman" w:hAnsi="Times New Roman"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82B31D">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14:paraId="1782B31D">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9022">
    <w:pPr>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172EB0">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0B172EB0">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8A23">
    <w:pPr>
      <w:spacing w:line="500" w:lineRule="exact"/>
      <w:ind w:left="1530" w:hanging="1530" w:hangingChars="850"/>
      <w:jc w:val="left"/>
      <w:rPr>
        <w:rFonts w:hAnsi="宋体" w:cs="宋体"/>
        <w:szCs w:val="24"/>
      </w:rPr>
    </w:pPr>
    <w:r>
      <w:rPr>
        <w:rFonts w:hint="eastAsia" w:hAnsi="宋体"/>
        <w:bCs/>
        <w:sz w:val="18"/>
        <w:szCs w:val="18"/>
        <w:u w:val="single"/>
        <w:lang w:eastAsia="zh-CN"/>
      </w:rPr>
      <w:t>商洛市柞水县2025年省级林业草原改革发展资金林下经济发展补助项目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72F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5B9C">
    <w:pPr>
      <w:pStyle w:val="1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9D7B">
    <w:pPr>
      <w:spacing w:line="500" w:lineRule="exact"/>
      <w:ind w:left="1530" w:hanging="1530" w:hangingChars="850"/>
      <w:jc w:val="left"/>
      <w:rPr>
        <w:rFonts w:hAnsi="宋体" w:cs="宋体"/>
        <w:szCs w:val="24"/>
      </w:rPr>
    </w:pPr>
    <w:r>
      <w:rPr>
        <w:rFonts w:hint="eastAsia" w:hAnsi="宋体"/>
        <w:bCs/>
        <w:sz w:val="18"/>
        <w:szCs w:val="18"/>
        <w:u w:val="single"/>
        <w:lang w:eastAsia="zh-CN"/>
      </w:rPr>
      <w:t>商洛市柞水县2025年省级林业草原改革发展资金林下经济发展补助项目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30FB">
    <w:pPr>
      <w:spacing w:line="500" w:lineRule="exact"/>
      <w:ind w:left="1530" w:hanging="1530" w:hangingChars="850"/>
      <w:jc w:val="left"/>
      <w:rPr>
        <w:rFonts w:hAnsi="宋体" w:cs="宋体"/>
        <w:szCs w:val="24"/>
      </w:rPr>
    </w:pPr>
    <w:r>
      <w:rPr>
        <w:rFonts w:hint="eastAsia" w:hAnsi="宋体"/>
        <w:bCs/>
        <w:sz w:val="18"/>
        <w:szCs w:val="18"/>
        <w:u w:val="single"/>
        <w:lang w:eastAsia="zh-CN"/>
      </w:rPr>
      <w:t>商洛市柞水县2025年省级林业草原改革发展资金林下经济发展补助项目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2444">
    <w:pPr>
      <w:spacing w:line="500" w:lineRule="exact"/>
      <w:ind w:left="1530" w:hanging="1530" w:hangingChars="850"/>
      <w:jc w:val="left"/>
      <w:rPr>
        <w:rFonts w:hAnsi="宋体" w:cs="宋体"/>
        <w:szCs w:val="24"/>
      </w:rPr>
    </w:pPr>
    <w:r>
      <w:rPr>
        <w:rFonts w:hint="eastAsia" w:hAnsi="宋体"/>
        <w:bCs/>
        <w:sz w:val="18"/>
        <w:szCs w:val="18"/>
        <w:u w:val="single"/>
        <w:lang w:eastAsia="zh-CN"/>
      </w:rPr>
      <w:t>商洛市柞水县2025年省级林业草原改革发展资金林下经济发展补助项目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354ECB6"/>
    <w:multiLevelType w:val="singleLevel"/>
    <w:tmpl w:val="5354ECB6"/>
    <w:lvl w:ilvl="0" w:tentative="0">
      <w:start w:val="1"/>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000000"/>
    <w:rsid w:val="00C03990"/>
    <w:rsid w:val="027F39A3"/>
    <w:rsid w:val="02DB30C0"/>
    <w:rsid w:val="03003BEF"/>
    <w:rsid w:val="03805942"/>
    <w:rsid w:val="03984E6C"/>
    <w:rsid w:val="062F6AA3"/>
    <w:rsid w:val="06AB7B61"/>
    <w:rsid w:val="08FF5785"/>
    <w:rsid w:val="0A621DE4"/>
    <w:rsid w:val="0AA96DC2"/>
    <w:rsid w:val="0B7D3086"/>
    <w:rsid w:val="0BAF72D6"/>
    <w:rsid w:val="0D312B02"/>
    <w:rsid w:val="0D9C49BC"/>
    <w:rsid w:val="0E5A2E32"/>
    <w:rsid w:val="0ED369FD"/>
    <w:rsid w:val="0EEA6D3C"/>
    <w:rsid w:val="0FCF3D54"/>
    <w:rsid w:val="10484987"/>
    <w:rsid w:val="16374A99"/>
    <w:rsid w:val="167E0785"/>
    <w:rsid w:val="17587E2E"/>
    <w:rsid w:val="177A1A88"/>
    <w:rsid w:val="185376D8"/>
    <w:rsid w:val="1D5E4931"/>
    <w:rsid w:val="1DA7093D"/>
    <w:rsid w:val="1E71154D"/>
    <w:rsid w:val="1E93534B"/>
    <w:rsid w:val="1FAC4007"/>
    <w:rsid w:val="1FD55B9E"/>
    <w:rsid w:val="1FFA6E05"/>
    <w:rsid w:val="20B6409E"/>
    <w:rsid w:val="20FE40DD"/>
    <w:rsid w:val="21507B40"/>
    <w:rsid w:val="21ED35E0"/>
    <w:rsid w:val="22707D44"/>
    <w:rsid w:val="22A31EF1"/>
    <w:rsid w:val="23567EB7"/>
    <w:rsid w:val="247C75B5"/>
    <w:rsid w:val="25AF5F1E"/>
    <w:rsid w:val="26550AE2"/>
    <w:rsid w:val="2808340F"/>
    <w:rsid w:val="28294B17"/>
    <w:rsid w:val="2BEB5215"/>
    <w:rsid w:val="2C007380"/>
    <w:rsid w:val="2D8368BF"/>
    <w:rsid w:val="2E123C46"/>
    <w:rsid w:val="2F1D3960"/>
    <w:rsid w:val="2F742AF9"/>
    <w:rsid w:val="303A74AE"/>
    <w:rsid w:val="3072141A"/>
    <w:rsid w:val="32DE79B1"/>
    <w:rsid w:val="344A596A"/>
    <w:rsid w:val="36673126"/>
    <w:rsid w:val="38442EB7"/>
    <w:rsid w:val="3A0544CE"/>
    <w:rsid w:val="3A2F45B0"/>
    <w:rsid w:val="3AF62EE4"/>
    <w:rsid w:val="3B581E62"/>
    <w:rsid w:val="3C1249E4"/>
    <w:rsid w:val="3C934794"/>
    <w:rsid w:val="3DB868C6"/>
    <w:rsid w:val="3DD9438E"/>
    <w:rsid w:val="3EB556A0"/>
    <w:rsid w:val="3F734DA3"/>
    <w:rsid w:val="40194B81"/>
    <w:rsid w:val="40BB3B48"/>
    <w:rsid w:val="41A32991"/>
    <w:rsid w:val="41FD03B0"/>
    <w:rsid w:val="44B77688"/>
    <w:rsid w:val="46556D0D"/>
    <w:rsid w:val="468A1E4C"/>
    <w:rsid w:val="46B42555"/>
    <w:rsid w:val="47264B6E"/>
    <w:rsid w:val="483E1AB6"/>
    <w:rsid w:val="4AB541D3"/>
    <w:rsid w:val="4B900DCE"/>
    <w:rsid w:val="4BB24A44"/>
    <w:rsid w:val="4FB235F0"/>
    <w:rsid w:val="51012813"/>
    <w:rsid w:val="516D45E5"/>
    <w:rsid w:val="52103E56"/>
    <w:rsid w:val="54B76D3F"/>
    <w:rsid w:val="550D73A8"/>
    <w:rsid w:val="550F1D78"/>
    <w:rsid w:val="551D2408"/>
    <w:rsid w:val="55F74B93"/>
    <w:rsid w:val="58E90F33"/>
    <w:rsid w:val="5A4A2DB4"/>
    <w:rsid w:val="5B3A53C9"/>
    <w:rsid w:val="5BB75EDA"/>
    <w:rsid w:val="5C9E6BB9"/>
    <w:rsid w:val="5D2A2F89"/>
    <w:rsid w:val="5D9277EA"/>
    <w:rsid w:val="5F3C1FEB"/>
    <w:rsid w:val="61723266"/>
    <w:rsid w:val="62AF2A80"/>
    <w:rsid w:val="630177CF"/>
    <w:rsid w:val="64D44EE8"/>
    <w:rsid w:val="64DF6288"/>
    <w:rsid w:val="679F7FF6"/>
    <w:rsid w:val="686A72EE"/>
    <w:rsid w:val="688D6550"/>
    <w:rsid w:val="69DB2E2E"/>
    <w:rsid w:val="6A480465"/>
    <w:rsid w:val="6A520D7C"/>
    <w:rsid w:val="6B25644A"/>
    <w:rsid w:val="6BD64640"/>
    <w:rsid w:val="6DE94F98"/>
    <w:rsid w:val="6E7D3936"/>
    <w:rsid w:val="718A4F10"/>
    <w:rsid w:val="72922AB3"/>
    <w:rsid w:val="7297083C"/>
    <w:rsid w:val="72E91A6A"/>
    <w:rsid w:val="738B20A7"/>
    <w:rsid w:val="739466BB"/>
    <w:rsid w:val="74F32F6D"/>
    <w:rsid w:val="763A4B60"/>
    <w:rsid w:val="772A6852"/>
    <w:rsid w:val="774371D9"/>
    <w:rsid w:val="7A713A71"/>
    <w:rsid w:val="7A804772"/>
    <w:rsid w:val="7CF130FA"/>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6"/>
    <w:autoRedefine/>
    <w:qFormat/>
    <w:uiPriority w:val="0"/>
    <w:pPr>
      <w:keepNext/>
      <w:outlineLvl w:val="0"/>
    </w:pPr>
    <w:rPr>
      <w:rFonts w:ascii="仿宋_GB2312" w:hAnsi="宋体" w:eastAsia="仿宋_GB2312"/>
      <w:b/>
      <w:kern w:val="2"/>
      <w:sz w:val="32"/>
    </w:rPr>
  </w:style>
  <w:style w:type="paragraph" w:styleId="4">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5">
    <w:name w:val="heading 4"/>
    <w:basedOn w:val="1"/>
    <w:next w:val="1"/>
    <w:autoRedefine/>
    <w:qFormat/>
    <w:uiPriority w:val="0"/>
    <w:pPr>
      <w:keepNext/>
      <w:spacing w:line="600" w:lineRule="exact"/>
      <w:jc w:val="center"/>
      <w:outlineLvl w:val="3"/>
    </w:pPr>
    <w:rPr>
      <w:rFonts w:ascii="Cambria" w:hAnsi="Cambria"/>
      <w:b/>
      <w:bCs/>
      <w:kern w:val="0"/>
      <w:sz w:val="28"/>
      <w:szCs w:val="28"/>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7">
    <w:name w:val="Normal Indent"/>
    <w:basedOn w:val="1"/>
    <w:autoRedefine/>
    <w:qFormat/>
    <w:uiPriority w:val="0"/>
    <w:pPr>
      <w:spacing w:line="300" w:lineRule="auto"/>
      <w:ind w:firstLine="420" w:firstLineChars="200"/>
    </w:pPr>
    <w:rPr>
      <w:rFonts w:ascii="Calibri"/>
      <w:kern w:val="2"/>
      <w:sz w:val="21"/>
      <w:szCs w:val="24"/>
    </w:rPr>
  </w:style>
  <w:style w:type="paragraph" w:styleId="8">
    <w:name w:val="toa heading"/>
    <w:basedOn w:val="1"/>
    <w:next w:val="1"/>
    <w:unhideWhenUsed/>
    <w:qFormat/>
    <w:uiPriority w:val="99"/>
    <w:pPr>
      <w:spacing w:before="120"/>
    </w:pPr>
    <w:rPr>
      <w:rFonts w:ascii="Cambria" w:hAnsi="Cambria" w:cs="Times New Roman"/>
      <w:sz w:val="24"/>
      <w:szCs w:val="24"/>
    </w:rPr>
  </w:style>
  <w:style w:type="paragraph" w:styleId="9">
    <w:name w:val="Body Text"/>
    <w:basedOn w:val="1"/>
    <w:next w:val="1"/>
    <w:autoRedefine/>
    <w:qFormat/>
    <w:uiPriority w:val="0"/>
    <w:pPr>
      <w:spacing w:after="120"/>
    </w:pPr>
    <w:rPr>
      <w:rFonts w:ascii="Calibri"/>
      <w:kern w:val="2"/>
      <w:sz w:val="21"/>
    </w:r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hAnsi="Courier New"/>
      <w:kern w:val="2"/>
      <w:sz w:val="21"/>
    </w:rPr>
  </w:style>
  <w:style w:type="paragraph" w:styleId="12">
    <w:name w:val="footer"/>
    <w:basedOn w:val="1"/>
    <w:next w:val="1"/>
    <w:autoRedefine/>
    <w:qFormat/>
    <w:uiPriority w:val="99"/>
    <w:pPr>
      <w:tabs>
        <w:tab w:val="center" w:pos="4153"/>
        <w:tab w:val="right" w:pos="8306"/>
      </w:tabs>
      <w:snapToGrid w:val="0"/>
      <w:jc w:val="left"/>
    </w:pPr>
    <w:rPr>
      <w:rFonts w:ascii="Calibri"/>
      <w:kern w:val="2"/>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line="240" w:lineRule="auto"/>
      <w:ind w:left="1260" w:leftChars="600"/>
    </w:pPr>
  </w:style>
  <w:style w:type="paragraph" w:styleId="16">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Hyperlink"/>
    <w:basedOn w:val="21"/>
    <w:autoRedefine/>
    <w:qFormat/>
    <w:uiPriority w:val="0"/>
    <w:rPr>
      <w:color w:val="0000FF"/>
      <w:u w:val="single"/>
    </w:rPr>
  </w:style>
  <w:style w:type="paragraph" w:customStyle="1" w:styleId="24">
    <w:name w:val="List Paragraph"/>
    <w:basedOn w:val="1"/>
    <w:autoRedefine/>
    <w:qFormat/>
    <w:uiPriority w:val="34"/>
    <w:pPr>
      <w:ind w:firstLine="420" w:firstLineChars="200"/>
    </w:pPr>
  </w:style>
  <w:style w:type="paragraph" w:customStyle="1" w:styleId="25">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6">
    <w:name w:val="标题 1 字符"/>
    <w:link w:val="3"/>
    <w:autoRedefine/>
    <w:qFormat/>
    <w:uiPriority w:val="0"/>
    <w:rPr>
      <w:rFonts w:ascii="仿宋_GB2312" w:hAnsi="宋体" w:eastAsia="仿宋_GB2312"/>
      <w:b/>
      <w:kern w:val="2"/>
      <w:sz w:val="32"/>
    </w:rPr>
  </w:style>
  <w:style w:type="paragraph" w:customStyle="1" w:styleId="27">
    <w:name w:val="Char1"/>
    <w:basedOn w:val="1"/>
    <w:autoRedefine/>
    <w:qFormat/>
    <w:uiPriority w:val="0"/>
    <w:pPr>
      <w:tabs>
        <w:tab w:val="left" w:pos="360"/>
      </w:tabs>
      <w:ind w:left="360" w:hanging="360" w:hangingChars="200"/>
    </w:pPr>
    <w:rPr>
      <w:sz w:val="24"/>
      <w:szCs w:val="24"/>
    </w:rPr>
  </w:style>
  <w:style w:type="paragraph" w:customStyle="1" w:styleId="28">
    <w:name w:val="列出段落11"/>
    <w:basedOn w:val="1"/>
    <w:autoRedefine/>
    <w:qFormat/>
    <w:uiPriority w:val="34"/>
    <w:pPr>
      <w:ind w:firstLine="420" w:firstLineChars="200"/>
    </w:pPr>
    <w:rPr>
      <w:rFonts w:ascii="Calibri" w:hAnsi="Calibri"/>
      <w:szCs w:val="22"/>
    </w:r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paragraph" w:customStyle="1" w:styleId="30">
    <w:name w:val="NormalIndent"/>
    <w:basedOn w:val="1"/>
    <w:qFormat/>
    <w:uiPriority w:val="99"/>
    <w:pPr>
      <w:tabs>
        <w:tab w:val="left" w:leader="hyphen" w:pos="4117"/>
      </w:tabs>
      <w:spacing w:line="500" w:lineRule="exact"/>
      <w:ind w:firstLine="517" w:firstLineChars="200"/>
    </w:pPr>
    <w:rPr>
      <w:rFonts w:ascii="宋体" w:cs="宋体"/>
      <w:spacing w:val="-20"/>
      <w:kern w:val="0"/>
      <w:sz w:val="24"/>
      <w:szCs w:val="24"/>
    </w:rPr>
  </w:style>
  <w:style w:type="character" w:customStyle="1" w:styleId="31">
    <w:name w:val="font41"/>
    <w:basedOn w:val="21"/>
    <w:qFormat/>
    <w:uiPriority w:val="0"/>
    <w:rPr>
      <w:rFonts w:hint="eastAsia" w:ascii="宋体" w:hAnsi="宋体" w:eastAsia="宋体" w:cs="宋体"/>
      <w:color w:val="000000"/>
      <w:sz w:val="20"/>
      <w:szCs w:val="20"/>
      <w:u w:val="none"/>
    </w:rPr>
  </w:style>
  <w:style w:type="character" w:customStyle="1" w:styleId="32">
    <w:name w:val="font81"/>
    <w:basedOn w:val="2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26213</Words>
  <Characters>28722</Characters>
  <Lines>1</Lines>
  <Paragraphs>1</Paragraphs>
  <TotalTime>1</TotalTime>
  <ScaleCrop>false</ScaleCrop>
  <LinksUpToDate>false</LinksUpToDate>
  <CharactersWithSpaces>30316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Mr.sy</cp:lastModifiedBy>
  <dcterms:modified xsi:type="dcterms:W3CDTF">2025-11-06T10:27:54Z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229196B72DCA414F9F928D79D2854885_13</vt:lpwstr>
  </property>
  <property fmtid="{D5CDD505-2E9C-101B-9397-08002B2CF9AE}" pid="4" name="KSOTemplateDocerSaveRecord">
    <vt:lpwstr>eyJoZGlkIjoiNjE3MzAxNTgxYjAxOTI0ZjUxMzZjMDU1NTMzNDBmOTIiLCJ1c2VySWQiOiIyMzA4NTAzMTYifQ==</vt:lpwstr>
  </property>
</Properties>
</file>