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95F74">
      <w:pPr>
        <w:pStyle w:val="4"/>
        <w:jc w:val="center"/>
        <w:rPr>
          <w:rFonts w:hint="eastAsia" w:ascii="仿宋_GB2312" w:hAnsi="仿宋_GB2312" w:eastAsia="仿宋_GB2312" w:cs="仿宋_GB2312"/>
          <w:b/>
          <w:sz w:val="32"/>
          <w:szCs w:val="28"/>
          <w:lang w:val="en-US" w:eastAsia="zh-CN"/>
        </w:rPr>
      </w:pPr>
      <w:r>
        <w:rPr>
          <w:rFonts w:hint="eastAsia" w:ascii="仿宋_GB2312" w:hAnsi="仿宋_GB2312" w:eastAsia="仿宋_GB2312" w:cs="仿宋_GB2312"/>
          <w:b/>
          <w:sz w:val="32"/>
          <w:szCs w:val="28"/>
          <w:lang w:val="en-US" w:eastAsia="zh-CN"/>
        </w:rPr>
        <w:t>采购需求</w:t>
      </w:r>
    </w:p>
    <w:p w14:paraId="6F71D0B2">
      <w:pPr>
        <w:pStyle w:val="4"/>
        <w:jc w:val="both"/>
      </w:pPr>
      <w:r>
        <w:rPr>
          <w:rFonts w:ascii="仿宋_GB2312" w:hAnsi="仿宋_GB2312" w:eastAsia="仿宋_GB2312" w:cs="仿宋_GB2312"/>
          <w:b/>
          <w:sz w:val="21"/>
        </w:rPr>
        <w:t>1.项目概况及总体要求</w:t>
      </w:r>
    </w:p>
    <w:p w14:paraId="492A66A7">
      <w:pPr>
        <w:pStyle w:val="4"/>
        <w:ind w:firstLine="420"/>
        <w:jc w:val="both"/>
      </w:pPr>
      <w:r>
        <w:rPr>
          <w:rFonts w:ascii="仿宋_GB2312" w:hAnsi="仿宋_GB2312" w:eastAsia="仿宋_GB2312" w:cs="仿宋_GB2312"/>
          <w:sz w:val="21"/>
        </w:rPr>
        <w:t>为贯彻落实《中共中央国务院关于深入打好污染防治攻坚战的意见》《关于开展大气污染物与温室气体融合排放清单编制工作的通知》《空气质量持续改善行动计划》《减污降碳协同增效实施方案》等相关要求，摸清大气污染物与温室气体排放情况，需建立融合排放清单体系，构建覆盖工业、交通、农业、居民生活等全领域的大气污染物与温室气体融合排放清单，实现两类排放源数据的一体化管理，为“双碳”目标与空气质量协同治理提供科学依据。根据国家、省、市的相关要求，建立西安市污染源数据库，更新西安市大气污染物与温室气体融合排放清单及报告。支撑政策制定与评估，精准识别重点排放行业与区域，量化减排潜力，支持政府制定差异化管控措施、减排路径规划及政策效果动态评估。通过清单编制建立标准化核算方法，完善本地化排放因子库，推动监测、统计与监管体系的衔接，提升环境治理精细化水平。</w:t>
      </w:r>
    </w:p>
    <w:p w14:paraId="01E532DA">
      <w:pPr>
        <w:pStyle w:val="4"/>
        <w:ind w:firstLine="465"/>
        <w:jc w:val="both"/>
      </w:pPr>
      <w:r>
        <w:rPr>
          <w:rFonts w:ascii="仿宋_GB2312" w:hAnsi="仿宋_GB2312" w:eastAsia="仿宋_GB2312" w:cs="仿宋_GB2312"/>
          <w:sz w:val="21"/>
        </w:rPr>
        <w:t>项目内容主要包括（1）建立西安市融合排放清单方法论体系；（2）活动水平数据收集与校核；（3）排放量核算；（4）构建西安市2023年大气污染物和温室气体融合排放清单数据库；（5）编制西安市2023年大气污染物和温室气体融合排放清单报告。</w:t>
      </w:r>
    </w:p>
    <w:p w14:paraId="4148F89C">
      <w:pPr>
        <w:pStyle w:val="4"/>
        <w:ind w:firstLine="465"/>
        <w:jc w:val="both"/>
      </w:pPr>
      <w:r>
        <w:rPr>
          <w:rFonts w:ascii="仿宋_GB2312" w:hAnsi="仿宋_GB2312" w:eastAsia="仿宋_GB2312" w:cs="仿宋_GB2312"/>
          <w:b/>
          <w:sz w:val="21"/>
        </w:rPr>
        <w:t>本项目行业属性为其他未列明行业。</w:t>
      </w:r>
    </w:p>
    <w:p w14:paraId="1273999D">
      <w:pPr>
        <w:pStyle w:val="4"/>
        <w:jc w:val="both"/>
      </w:pPr>
      <w:r>
        <w:rPr>
          <w:rFonts w:ascii="仿宋_GB2312" w:hAnsi="仿宋_GB2312" w:eastAsia="仿宋_GB2312" w:cs="仿宋_GB2312"/>
          <w:b/>
          <w:sz w:val="21"/>
        </w:rPr>
        <w:t>2.服务内容与要求</w:t>
      </w:r>
    </w:p>
    <w:p w14:paraId="243236E0">
      <w:pPr>
        <w:pStyle w:val="4"/>
        <w:ind w:firstLine="420"/>
        <w:jc w:val="both"/>
      </w:pPr>
      <w:r>
        <w:rPr>
          <w:rFonts w:ascii="仿宋_GB2312" w:hAnsi="仿宋_GB2312" w:eastAsia="仿宋_GB2312" w:cs="仿宋_GB2312"/>
          <w:sz w:val="21"/>
        </w:rPr>
        <w:t>2.1项目内容</w:t>
      </w:r>
    </w:p>
    <w:p w14:paraId="15F1F8E5">
      <w:pPr>
        <w:pStyle w:val="4"/>
        <w:ind w:firstLine="420"/>
        <w:jc w:val="both"/>
      </w:pPr>
      <w:r>
        <w:rPr>
          <w:rFonts w:ascii="仿宋_GB2312" w:hAnsi="仿宋_GB2312" w:eastAsia="仿宋_GB2312" w:cs="仿宋_GB2312"/>
          <w:sz w:val="21"/>
        </w:rPr>
        <w:t>（1）建立西安市融合排放清单方法论体系。</w:t>
      </w:r>
    </w:p>
    <w:p w14:paraId="3E023022">
      <w:pPr>
        <w:pStyle w:val="4"/>
        <w:ind w:firstLine="420"/>
        <w:jc w:val="both"/>
      </w:pPr>
      <w:r>
        <w:rPr>
          <w:rFonts w:ascii="仿宋_GB2312" w:hAnsi="仿宋_GB2312" w:eastAsia="仿宋_GB2312" w:cs="仿宋_GB2312"/>
          <w:sz w:val="21"/>
        </w:rPr>
        <w:t>基于生态环境部《大气污染物源排放清单编制技术指南》《省级温室气体清单编制指南》等规范，结合西安市能源结构、产业特征和城市发展水平，制定适用于本市的大气污染物与温室气体融合排放清单编制方法论体系，确保数据可比性与可追溯性。明确各类排放源的分类体系、核算方法、推荐本地化的排放因子和活动水平数据获取途径。</w:t>
      </w:r>
    </w:p>
    <w:p w14:paraId="2892AB2E">
      <w:pPr>
        <w:pStyle w:val="4"/>
        <w:ind w:firstLine="420"/>
        <w:jc w:val="both"/>
      </w:pPr>
      <w:r>
        <w:rPr>
          <w:rFonts w:ascii="仿宋_GB2312" w:hAnsi="仿宋_GB2312" w:eastAsia="仿宋_GB2312" w:cs="仿宋_GB2312"/>
          <w:sz w:val="21"/>
        </w:rPr>
        <w:t>（2）活动水平数据收集与校核。</w:t>
      </w:r>
    </w:p>
    <w:p w14:paraId="69B1E367">
      <w:pPr>
        <w:pStyle w:val="4"/>
        <w:ind w:firstLine="420"/>
        <w:jc w:val="both"/>
      </w:pPr>
      <w:r>
        <w:rPr>
          <w:rFonts w:ascii="仿宋_GB2312" w:hAnsi="仿宋_GB2312" w:eastAsia="仿宋_GB2312" w:cs="仿宋_GB2312"/>
          <w:sz w:val="21"/>
        </w:rPr>
        <w:t>通过数据调阅、现场调研等手段获取全市大气污染物和温室气体排放源的活动水平数据。数据来源包括但不限于：统计年鉴、能源报表、环境统计、企业在线监测、交通流量数据、住建部门、农业部门、城管部门、公安交管部门等。对收集的数据进行交叉校验、逻辑审核和合理性分析，对关键数据缺失或质量不高的部分，组织开展必要的补充调研、实地监测或问卷调查。</w:t>
      </w:r>
    </w:p>
    <w:p w14:paraId="295BBCE2">
      <w:pPr>
        <w:pStyle w:val="4"/>
        <w:ind w:firstLine="420"/>
        <w:jc w:val="both"/>
      </w:pPr>
      <w:r>
        <w:rPr>
          <w:rFonts w:ascii="仿宋_GB2312" w:hAnsi="仿宋_GB2312" w:eastAsia="仿宋_GB2312" w:cs="仿宋_GB2312"/>
          <w:sz w:val="21"/>
        </w:rPr>
        <w:t>（3）排放量核算与空间分配。</w:t>
      </w:r>
    </w:p>
    <w:p w14:paraId="493AE8A1">
      <w:pPr>
        <w:pStyle w:val="4"/>
        <w:ind w:firstLine="420"/>
        <w:jc w:val="both"/>
      </w:pPr>
      <w:r>
        <w:rPr>
          <w:rFonts w:ascii="仿宋_GB2312" w:hAnsi="仿宋_GB2312" w:eastAsia="仿宋_GB2312" w:cs="仿宋_GB2312"/>
          <w:sz w:val="21"/>
        </w:rPr>
        <w:t>依据建立的方法学，分源类、分区域（区县级）、分燃料/分工艺核算2023年的大气污染物和温室气体排放量。对西安市19个区县（开发区）大气污染物排放量进行核算，包括二氧化硫（SO</w:t>
      </w:r>
      <w:r>
        <w:rPr>
          <w:rFonts w:ascii="仿宋_GB2312" w:hAnsi="仿宋_GB2312" w:eastAsia="仿宋_GB2312" w:cs="仿宋_GB2312"/>
          <w:sz w:val="21"/>
          <w:vertAlign w:val="subscript"/>
        </w:rPr>
        <w:t>2</w:t>
      </w:r>
      <w:r>
        <w:rPr>
          <w:rFonts w:ascii="仿宋_GB2312" w:hAnsi="仿宋_GB2312" w:eastAsia="仿宋_GB2312" w:cs="仿宋_GB2312"/>
          <w:sz w:val="21"/>
        </w:rPr>
        <w:t>）、氮氧化物（NOx）、一氧化碳（CO）、挥发性有机物（VOCs）、氨（NH</w:t>
      </w:r>
      <w:r>
        <w:rPr>
          <w:rFonts w:ascii="仿宋_GB2312" w:hAnsi="仿宋_GB2312" w:eastAsia="仿宋_GB2312" w:cs="仿宋_GB2312"/>
          <w:sz w:val="21"/>
          <w:vertAlign w:val="subscript"/>
        </w:rPr>
        <w:t>3</w:t>
      </w:r>
      <w:r>
        <w:rPr>
          <w:rFonts w:ascii="仿宋_GB2312" w:hAnsi="仿宋_GB2312" w:eastAsia="仿宋_GB2312" w:cs="仿宋_GB2312"/>
          <w:sz w:val="21"/>
        </w:rPr>
        <w:t>）、总悬浮颗粒物（TSP）、可吸入颗粒物（PM</w:t>
      </w:r>
      <w:r>
        <w:rPr>
          <w:rFonts w:ascii="仿宋_GB2312" w:hAnsi="仿宋_GB2312" w:eastAsia="仿宋_GB2312" w:cs="仿宋_GB2312"/>
          <w:sz w:val="21"/>
          <w:vertAlign w:val="subscript"/>
        </w:rPr>
        <w:t>10</w:t>
      </w:r>
      <w:r>
        <w:rPr>
          <w:rFonts w:ascii="仿宋_GB2312" w:hAnsi="仿宋_GB2312" w:eastAsia="仿宋_GB2312" w:cs="仿宋_GB2312"/>
          <w:sz w:val="21"/>
        </w:rPr>
        <w:t>）、细颗粒物（PM</w:t>
      </w:r>
      <w:r>
        <w:rPr>
          <w:rFonts w:ascii="仿宋_GB2312" w:hAnsi="仿宋_GB2312" w:eastAsia="仿宋_GB2312" w:cs="仿宋_GB2312"/>
          <w:sz w:val="21"/>
          <w:vertAlign w:val="subscript"/>
        </w:rPr>
        <w:t>2.5</w:t>
      </w:r>
      <w:r>
        <w:rPr>
          <w:rFonts w:ascii="仿宋_GB2312" w:hAnsi="仿宋_GB2312" w:eastAsia="仿宋_GB2312" w:cs="仿宋_GB2312"/>
          <w:sz w:val="21"/>
        </w:rPr>
        <w:t>）、黑碳（BC）和有机碳（OC），以及温室气体排放量核算，包括二氧化碳（CO</w:t>
      </w:r>
      <w:r>
        <w:rPr>
          <w:rFonts w:ascii="仿宋_GB2312" w:hAnsi="仿宋_GB2312" w:eastAsia="仿宋_GB2312" w:cs="仿宋_GB2312"/>
          <w:sz w:val="21"/>
          <w:vertAlign w:val="subscript"/>
        </w:rPr>
        <w:t>2</w:t>
      </w:r>
      <w:r>
        <w:rPr>
          <w:rFonts w:ascii="仿宋_GB2312" w:hAnsi="仿宋_GB2312" w:eastAsia="仿宋_GB2312" w:cs="仿宋_GB2312"/>
          <w:sz w:val="21"/>
        </w:rPr>
        <w:t>）、甲烷（CH</w:t>
      </w:r>
      <w:r>
        <w:rPr>
          <w:rFonts w:ascii="仿宋_GB2312" w:hAnsi="仿宋_GB2312" w:eastAsia="仿宋_GB2312" w:cs="仿宋_GB2312"/>
          <w:sz w:val="21"/>
          <w:vertAlign w:val="subscript"/>
        </w:rPr>
        <w:t>4</w:t>
      </w:r>
      <w:r>
        <w:rPr>
          <w:rFonts w:ascii="仿宋_GB2312" w:hAnsi="仿宋_GB2312" w:eastAsia="仿宋_GB2312" w:cs="仿宋_GB2312"/>
          <w:sz w:val="21"/>
        </w:rPr>
        <w:t>）、氧化亚氮（N</w:t>
      </w:r>
      <w:r>
        <w:rPr>
          <w:rFonts w:ascii="仿宋_GB2312" w:hAnsi="仿宋_GB2312" w:eastAsia="仿宋_GB2312" w:cs="仿宋_GB2312"/>
          <w:sz w:val="21"/>
          <w:vertAlign w:val="subscript"/>
        </w:rPr>
        <w:t>2</w:t>
      </w:r>
      <w:r>
        <w:rPr>
          <w:rFonts w:ascii="仿宋_GB2312" w:hAnsi="仿宋_GB2312" w:eastAsia="仿宋_GB2312" w:cs="仿宋_GB2312"/>
          <w:sz w:val="21"/>
        </w:rPr>
        <w:t>O）和氢氟碳化物（HFCs），涵盖电力热力源、工业源、移动源、生活源、扬尘源、农业源、储存运输源和废弃物处理源等排放源，空间分辨率至区（县）级。</w:t>
      </w:r>
    </w:p>
    <w:p w14:paraId="159985BC">
      <w:pPr>
        <w:pStyle w:val="4"/>
        <w:ind w:firstLine="420"/>
        <w:jc w:val="both"/>
      </w:pPr>
      <w:r>
        <w:rPr>
          <w:rFonts w:ascii="仿宋_GB2312" w:hAnsi="仿宋_GB2312" w:eastAsia="仿宋_GB2312" w:cs="仿宋_GB2312"/>
          <w:sz w:val="21"/>
        </w:rPr>
        <w:t>（4）构建西安市2023年大气污染物和温室气体融合排放清单数据库。</w:t>
      </w:r>
    </w:p>
    <w:p w14:paraId="56548A36">
      <w:pPr>
        <w:pStyle w:val="4"/>
        <w:ind w:firstLine="420"/>
        <w:jc w:val="both"/>
      </w:pPr>
      <w:r>
        <w:rPr>
          <w:rFonts w:ascii="仿宋_GB2312" w:hAnsi="仿宋_GB2312" w:eastAsia="仿宋_GB2312" w:cs="仿宋_GB2312"/>
          <w:sz w:val="21"/>
        </w:rPr>
        <w:t>建立涵盖西安市各区县电力热力源、工业源、移动源和油品储运销、生活源、农业源和废弃物处理源、扬尘源、生活溶剂使用源、餐饮源等污染源，包括二氧化硫（SO</w:t>
      </w:r>
      <w:r>
        <w:rPr>
          <w:rFonts w:ascii="仿宋_GB2312" w:hAnsi="仿宋_GB2312" w:eastAsia="仿宋_GB2312" w:cs="仿宋_GB2312"/>
          <w:sz w:val="21"/>
          <w:vertAlign w:val="subscript"/>
        </w:rPr>
        <w:t>2</w:t>
      </w:r>
      <w:r>
        <w:rPr>
          <w:rFonts w:ascii="仿宋_GB2312" w:hAnsi="仿宋_GB2312" w:eastAsia="仿宋_GB2312" w:cs="仿宋_GB2312"/>
          <w:sz w:val="21"/>
        </w:rPr>
        <w:t>）、氮氧化物（NOx）、一氧化碳（CO）、挥发性有机物（VOCs）、氨（NH</w:t>
      </w:r>
      <w:r>
        <w:rPr>
          <w:rFonts w:ascii="仿宋_GB2312" w:hAnsi="仿宋_GB2312" w:eastAsia="仿宋_GB2312" w:cs="仿宋_GB2312"/>
          <w:sz w:val="21"/>
          <w:vertAlign w:val="subscript"/>
        </w:rPr>
        <w:t>3</w:t>
      </w:r>
      <w:r>
        <w:rPr>
          <w:rFonts w:ascii="仿宋_GB2312" w:hAnsi="仿宋_GB2312" w:eastAsia="仿宋_GB2312" w:cs="仿宋_GB2312"/>
          <w:sz w:val="21"/>
        </w:rPr>
        <w:t>）、总悬浮颗粒物（TSP）、可吸入颗粒物（PM</w:t>
      </w:r>
      <w:r>
        <w:rPr>
          <w:rFonts w:ascii="仿宋_GB2312" w:hAnsi="仿宋_GB2312" w:eastAsia="仿宋_GB2312" w:cs="仿宋_GB2312"/>
          <w:sz w:val="21"/>
          <w:vertAlign w:val="subscript"/>
        </w:rPr>
        <w:t>10</w:t>
      </w:r>
      <w:r>
        <w:rPr>
          <w:rFonts w:ascii="仿宋_GB2312" w:hAnsi="仿宋_GB2312" w:eastAsia="仿宋_GB2312" w:cs="仿宋_GB2312"/>
          <w:sz w:val="21"/>
        </w:rPr>
        <w:t>）、细颗粒物（PM</w:t>
      </w:r>
      <w:r>
        <w:rPr>
          <w:rFonts w:ascii="仿宋_GB2312" w:hAnsi="仿宋_GB2312" w:eastAsia="仿宋_GB2312" w:cs="仿宋_GB2312"/>
          <w:sz w:val="21"/>
          <w:vertAlign w:val="subscript"/>
        </w:rPr>
        <w:t>2.5</w:t>
      </w:r>
      <w:r>
        <w:rPr>
          <w:rFonts w:ascii="仿宋_GB2312" w:hAnsi="仿宋_GB2312" w:eastAsia="仿宋_GB2312" w:cs="仿宋_GB2312"/>
          <w:sz w:val="21"/>
        </w:rPr>
        <w:t>）、黑碳（BC）、有机碳（OC）、二氧化碳（CO</w:t>
      </w:r>
      <w:r>
        <w:rPr>
          <w:rFonts w:ascii="仿宋_GB2312" w:hAnsi="仿宋_GB2312" w:eastAsia="仿宋_GB2312" w:cs="仿宋_GB2312"/>
          <w:sz w:val="21"/>
          <w:vertAlign w:val="subscript"/>
        </w:rPr>
        <w:t>2</w:t>
      </w:r>
      <w:r>
        <w:rPr>
          <w:rFonts w:ascii="仿宋_GB2312" w:hAnsi="仿宋_GB2312" w:eastAsia="仿宋_GB2312" w:cs="仿宋_GB2312"/>
          <w:sz w:val="21"/>
        </w:rPr>
        <w:t>）、甲烷（CH</w:t>
      </w:r>
      <w:r>
        <w:rPr>
          <w:rFonts w:ascii="仿宋_GB2312" w:hAnsi="仿宋_GB2312" w:eastAsia="仿宋_GB2312" w:cs="仿宋_GB2312"/>
          <w:sz w:val="21"/>
          <w:vertAlign w:val="subscript"/>
        </w:rPr>
        <w:t>4</w:t>
      </w:r>
      <w:r>
        <w:rPr>
          <w:rFonts w:ascii="仿宋_GB2312" w:hAnsi="仿宋_GB2312" w:eastAsia="仿宋_GB2312" w:cs="仿宋_GB2312"/>
          <w:sz w:val="21"/>
        </w:rPr>
        <w:t>）、氧化亚氮（N</w:t>
      </w:r>
      <w:r>
        <w:rPr>
          <w:rFonts w:ascii="仿宋_GB2312" w:hAnsi="仿宋_GB2312" w:eastAsia="仿宋_GB2312" w:cs="仿宋_GB2312"/>
          <w:sz w:val="21"/>
          <w:vertAlign w:val="subscript"/>
        </w:rPr>
        <w:t>2</w:t>
      </w:r>
      <w:r>
        <w:rPr>
          <w:rFonts w:ascii="仿宋_GB2312" w:hAnsi="仿宋_GB2312" w:eastAsia="仿宋_GB2312" w:cs="仿宋_GB2312"/>
          <w:sz w:val="21"/>
        </w:rPr>
        <w:t>O）、氢氟碳化物（HFCs）等14种大气污染物及温室气体的融合排放清单数据库，以EXCEL形式呈现。</w:t>
      </w:r>
    </w:p>
    <w:p w14:paraId="5565C854">
      <w:pPr>
        <w:pStyle w:val="4"/>
        <w:ind w:firstLine="420"/>
        <w:jc w:val="both"/>
      </w:pPr>
      <w:r>
        <w:rPr>
          <w:rFonts w:ascii="仿宋_GB2312" w:hAnsi="仿宋_GB2312" w:eastAsia="仿宋_GB2312" w:cs="仿宋_GB2312"/>
          <w:sz w:val="21"/>
        </w:rPr>
        <w:t>（5）编制西安市2023年大气污染物和温室气体融合排放清单报告。</w:t>
      </w:r>
    </w:p>
    <w:p w14:paraId="3A892102">
      <w:pPr>
        <w:pStyle w:val="4"/>
        <w:ind w:firstLine="420"/>
        <w:jc w:val="both"/>
      </w:pPr>
      <w:r>
        <w:rPr>
          <w:rFonts w:ascii="仿宋_GB2312" w:hAnsi="仿宋_GB2312" w:eastAsia="仿宋_GB2312" w:cs="仿宋_GB2312"/>
          <w:sz w:val="21"/>
        </w:rPr>
        <w:t>基于清单分析结果，编制西安市2023年大气污染物和温室气体融合排放清单报告，采用蒙特卡洛模拟或其他行业认可的方法，对清单核算结果进行不确定性分析，评估清单的可信度。识别西安市关键排放源、重点行业和重点区域，提出协同控制大气污染物与温室气体的政策建议。</w:t>
      </w:r>
    </w:p>
    <w:p w14:paraId="150DA352">
      <w:pPr>
        <w:pStyle w:val="4"/>
        <w:ind w:firstLine="420"/>
        <w:jc w:val="both"/>
      </w:pPr>
      <w:r>
        <w:rPr>
          <w:rFonts w:ascii="仿宋_GB2312" w:hAnsi="仿宋_GB2312" w:eastAsia="仿宋_GB2312" w:cs="仿宋_GB2312"/>
          <w:sz w:val="21"/>
        </w:rPr>
        <w:t>2.2项目目标</w:t>
      </w:r>
    </w:p>
    <w:p w14:paraId="1072C107">
      <w:pPr>
        <w:pStyle w:val="4"/>
        <w:ind w:firstLine="420"/>
        <w:jc w:val="both"/>
      </w:pPr>
      <w:r>
        <w:rPr>
          <w:rFonts w:ascii="仿宋_GB2312" w:hAnsi="仿宋_GB2312" w:eastAsia="仿宋_GB2312" w:cs="仿宋_GB2312"/>
          <w:sz w:val="21"/>
        </w:rPr>
        <w:t>通过本项目的实施，建立西安市融合排放清单数据库，摸清大气污染物与温室气体排放情况。支撑政策制定与评估，精准识别重点排放行业与区域，支持政府制定差异化管控措施、减排路径规划及政策效果动态评估。通过清单编制建立标准化核算方法，完善本地化排放因子库，推动监测、统计与监管体系的衔接，提升环境治理精细化水平。</w:t>
      </w:r>
    </w:p>
    <w:p w14:paraId="5C3468D4">
      <w:pPr>
        <w:pStyle w:val="4"/>
        <w:ind w:firstLine="420"/>
        <w:jc w:val="both"/>
      </w:pPr>
      <w:r>
        <w:rPr>
          <w:rFonts w:ascii="仿宋_GB2312" w:hAnsi="仿宋_GB2312" w:eastAsia="仿宋_GB2312" w:cs="仿宋_GB2312"/>
          <w:sz w:val="21"/>
        </w:rPr>
        <w:t>2.3编制依据</w:t>
      </w:r>
    </w:p>
    <w:p w14:paraId="4FD518EE">
      <w:pPr>
        <w:pStyle w:val="4"/>
        <w:ind w:firstLine="420"/>
        <w:jc w:val="both"/>
      </w:pPr>
      <w:r>
        <w:rPr>
          <w:rFonts w:ascii="仿宋_GB2312" w:hAnsi="仿宋_GB2312" w:eastAsia="仿宋_GB2312" w:cs="仿宋_GB2312"/>
          <w:sz w:val="21"/>
        </w:rPr>
        <w:t>1.《中共中央国务院关于深入打好污染防治攻坚战的意见》；</w:t>
      </w:r>
    </w:p>
    <w:p w14:paraId="4EF0AB4F">
      <w:pPr>
        <w:pStyle w:val="4"/>
        <w:ind w:firstLine="420"/>
        <w:jc w:val="both"/>
      </w:pPr>
      <w:r>
        <w:rPr>
          <w:rFonts w:ascii="仿宋_GB2312" w:hAnsi="仿宋_GB2312" w:eastAsia="仿宋_GB2312" w:cs="仿宋_GB2312"/>
          <w:sz w:val="21"/>
        </w:rPr>
        <w:t>2.《关于开展大气污染物与温室气体融合排放清单编制工作的通知》；</w:t>
      </w:r>
    </w:p>
    <w:p w14:paraId="019A7C64">
      <w:pPr>
        <w:pStyle w:val="4"/>
        <w:ind w:firstLine="420"/>
        <w:jc w:val="both"/>
      </w:pPr>
      <w:r>
        <w:rPr>
          <w:rFonts w:ascii="仿宋_GB2312" w:hAnsi="仿宋_GB2312" w:eastAsia="仿宋_GB2312" w:cs="仿宋_GB2312"/>
          <w:sz w:val="21"/>
        </w:rPr>
        <w:t>3.《大气污染物与温室气体融合排放清单编制技术指南（试行）》（环办大气函〔2024〕28号）</w:t>
      </w:r>
    </w:p>
    <w:p w14:paraId="061A5F3D">
      <w:pPr>
        <w:pStyle w:val="4"/>
        <w:ind w:firstLine="420"/>
        <w:jc w:val="both"/>
      </w:pPr>
      <w:r>
        <w:rPr>
          <w:rFonts w:ascii="仿宋_GB2312" w:hAnsi="仿宋_GB2312" w:eastAsia="仿宋_GB2312" w:cs="仿宋_GB2312"/>
          <w:sz w:val="21"/>
        </w:rPr>
        <w:t>3.《空气质量持续改善行动计划》；</w:t>
      </w:r>
    </w:p>
    <w:p w14:paraId="7E73F960">
      <w:pPr>
        <w:pStyle w:val="4"/>
        <w:ind w:firstLine="420"/>
        <w:jc w:val="both"/>
      </w:pPr>
      <w:r>
        <w:rPr>
          <w:rFonts w:ascii="仿宋_GB2312" w:hAnsi="仿宋_GB2312" w:eastAsia="仿宋_GB2312" w:cs="仿宋_GB2312"/>
          <w:sz w:val="21"/>
        </w:rPr>
        <w:t>4.《减污降碳协同增效实施方案》。</w:t>
      </w:r>
    </w:p>
    <w:p w14:paraId="4C570B6A">
      <w:pPr>
        <w:pStyle w:val="4"/>
        <w:ind w:firstLine="420"/>
        <w:jc w:val="both"/>
      </w:pPr>
      <w:r>
        <w:rPr>
          <w:rFonts w:ascii="仿宋_GB2312" w:hAnsi="仿宋_GB2312" w:eastAsia="仿宋_GB2312" w:cs="仿宋_GB2312"/>
          <w:sz w:val="21"/>
        </w:rPr>
        <w:t>2.4服务、产品（如有）执行的标准、规范：</w:t>
      </w:r>
    </w:p>
    <w:p w14:paraId="60C43F7C">
      <w:pPr>
        <w:pStyle w:val="4"/>
        <w:ind w:firstLine="577"/>
        <w:jc w:val="both"/>
      </w:pPr>
      <w:r>
        <w:rPr>
          <w:rFonts w:ascii="仿宋_GB2312" w:hAnsi="仿宋_GB2312" w:eastAsia="仿宋_GB2312" w:cs="仿宋_GB2312"/>
          <w:sz w:val="21"/>
        </w:rPr>
        <w:t>（1）国家标准、规范</w:t>
      </w:r>
      <w:r>
        <w:rPr>
          <w:rFonts w:ascii="仿宋_GB2312" w:hAnsi="仿宋_GB2312" w:eastAsia="仿宋_GB2312" w:cs="仿宋_GB2312"/>
          <w:sz w:val="21"/>
          <w:u w:val="single"/>
        </w:rPr>
        <w:t xml:space="preserve">     /      </w:t>
      </w:r>
      <w:r>
        <w:rPr>
          <w:rFonts w:ascii="仿宋_GB2312" w:hAnsi="仿宋_GB2312" w:eastAsia="仿宋_GB2312" w:cs="仿宋_GB2312"/>
          <w:sz w:val="21"/>
        </w:rPr>
        <w:t>；</w:t>
      </w:r>
    </w:p>
    <w:p w14:paraId="1C042013">
      <w:pPr>
        <w:pStyle w:val="4"/>
        <w:ind w:firstLine="577"/>
        <w:jc w:val="both"/>
      </w:pPr>
      <w:r>
        <w:rPr>
          <w:rFonts w:ascii="仿宋_GB2312" w:hAnsi="仿宋_GB2312" w:eastAsia="仿宋_GB2312" w:cs="仿宋_GB2312"/>
          <w:sz w:val="21"/>
        </w:rPr>
        <w:t>（2）行业标准、规范</w:t>
      </w:r>
      <w:r>
        <w:rPr>
          <w:rFonts w:ascii="仿宋_GB2312" w:hAnsi="仿宋_GB2312" w:eastAsia="仿宋_GB2312" w:cs="仿宋_GB2312"/>
          <w:sz w:val="21"/>
          <w:u w:val="single"/>
        </w:rPr>
        <w:t xml:space="preserve">     /      </w:t>
      </w:r>
      <w:r>
        <w:rPr>
          <w:rFonts w:ascii="仿宋_GB2312" w:hAnsi="仿宋_GB2312" w:eastAsia="仿宋_GB2312" w:cs="仿宋_GB2312"/>
          <w:sz w:val="21"/>
        </w:rPr>
        <w:t>；</w:t>
      </w:r>
    </w:p>
    <w:p w14:paraId="4B0C6F0A">
      <w:pPr>
        <w:pStyle w:val="4"/>
        <w:ind w:firstLine="577"/>
        <w:jc w:val="both"/>
      </w:pPr>
      <w:r>
        <w:rPr>
          <w:rFonts w:ascii="仿宋_GB2312" w:hAnsi="仿宋_GB2312" w:eastAsia="仿宋_GB2312" w:cs="仿宋_GB2312"/>
          <w:sz w:val="21"/>
        </w:rPr>
        <w:t>（3）地方标准、规范</w:t>
      </w:r>
      <w:r>
        <w:rPr>
          <w:rFonts w:ascii="仿宋_GB2312" w:hAnsi="仿宋_GB2312" w:eastAsia="仿宋_GB2312" w:cs="仿宋_GB2312"/>
          <w:sz w:val="21"/>
          <w:u w:val="single"/>
        </w:rPr>
        <w:t xml:space="preserve">     /      </w:t>
      </w:r>
      <w:r>
        <w:rPr>
          <w:rFonts w:ascii="仿宋_GB2312" w:hAnsi="仿宋_GB2312" w:eastAsia="仿宋_GB2312" w:cs="仿宋_GB2312"/>
          <w:sz w:val="21"/>
        </w:rPr>
        <w:t>；</w:t>
      </w:r>
    </w:p>
    <w:p w14:paraId="66DEC93E">
      <w:pPr>
        <w:pStyle w:val="4"/>
        <w:ind w:firstLine="577"/>
        <w:jc w:val="both"/>
      </w:pPr>
      <w:r>
        <w:rPr>
          <w:rFonts w:ascii="仿宋_GB2312" w:hAnsi="仿宋_GB2312" w:eastAsia="仿宋_GB2312" w:cs="仿宋_GB2312"/>
          <w:sz w:val="21"/>
        </w:rPr>
        <w:t>（4）团体标准、规范</w:t>
      </w:r>
      <w:r>
        <w:rPr>
          <w:rFonts w:ascii="仿宋_GB2312" w:hAnsi="仿宋_GB2312" w:eastAsia="仿宋_GB2312" w:cs="仿宋_GB2312"/>
          <w:sz w:val="21"/>
          <w:u w:val="single"/>
        </w:rPr>
        <w:t xml:space="preserve">     /      </w:t>
      </w:r>
      <w:r>
        <w:rPr>
          <w:rFonts w:ascii="仿宋_GB2312" w:hAnsi="仿宋_GB2312" w:eastAsia="仿宋_GB2312" w:cs="仿宋_GB2312"/>
          <w:sz w:val="21"/>
        </w:rPr>
        <w:t>；</w:t>
      </w:r>
    </w:p>
    <w:p w14:paraId="0EDBD8C0">
      <w:pPr>
        <w:pStyle w:val="4"/>
        <w:ind w:firstLine="577"/>
        <w:jc w:val="both"/>
      </w:pPr>
      <w:r>
        <w:rPr>
          <w:rFonts w:ascii="仿宋_GB2312" w:hAnsi="仿宋_GB2312" w:eastAsia="仿宋_GB2312" w:cs="仿宋_GB2312"/>
          <w:sz w:val="21"/>
        </w:rPr>
        <w:t>（5）企业标准、规范</w:t>
      </w:r>
      <w:r>
        <w:rPr>
          <w:rFonts w:ascii="仿宋_GB2312" w:hAnsi="仿宋_GB2312" w:eastAsia="仿宋_GB2312" w:cs="仿宋_GB2312"/>
          <w:sz w:val="21"/>
          <w:u w:val="single"/>
        </w:rPr>
        <w:t xml:space="preserve">     /      </w:t>
      </w:r>
      <w:r>
        <w:rPr>
          <w:rFonts w:ascii="仿宋_GB2312" w:hAnsi="仿宋_GB2312" w:eastAsia="仿宋_GB2312" w:cs="仿宋_GB2312"/>
          <w:sz w:val="21"/>
        </w:rPr>
        <w:t>。</w:t>
      </w:r>
    </w:p>
    <w:p w14:paraId="440CD1BA">
      <w:pPr>
        <w:pStyle w:val="4"/>
        <w:ind w:firstLine="420"/>
        <w:jc w:val="both"/>
      </w:pPr>
      <w:r>
        <w:rPr>
          <w:rFonts w:ascii="仿宋_GB2312" w:hAnsi="仿宋_GB2312" w:eastAsia="仿宋_GB2312" w:cs="仿宋_GB2312"/>
          <w:sz w:val="21"/>
        </w:rPr>
        <w:t>2.5 本章2.4条未明确服务（产品）执行标准、规范的，按下列方法进行选择：</w:t>
      </w:r>
    </w:p>
    <w:p w14:paraId="28CA4AA9">
      <w:pPr>
        <w:pStyle w:val="4"/>
        <w:ind w:firstLine="420"/>
        <w:jc w:val="both"/>
        <w:rPr>
          <w:rFonts w:ascii="仿宋_GB2312" w:hAnsi="仿宋_GB2312" w:eastAsia="仿宋_GB2312" w:cs="仿宋_GB2312"/>
          <w:sz w:val="21"/>
        </w:rPr>
      </w:pPr>
      <w:r>
        <w:rPr>
          <w:rFonts w:ascii="仿宋_GB2312" w:hAnsi="仿宋_GB2312" w:eastAsia="仿宋_GB2312" w:cs="仿宋_GB2312"/>
          <w:sz w:val="21"/>
        </w:rPr>
        <w:t>□ 顺序执行：国家标准→行业标准→地方标准→团体标准→企业标准（有国家标准按国家标准执行，没有国家标准按行业标准，以此类推）；</w:t>
      </w:r>
    </w:p>
    <w:p w14:paraId="27E4648F">
      <w:pPr>
        <w:pStyle w:val="4"/>
        <w:ind w:firstLine="420"/>
        <w:jc w:val="both"/>
        <w:rPr>
          <w:rFonts w:ascii="仿宋_GB2312" w:hAnsi="仿宋_GB2312" w:eastAsia="仿宋_GB2312" w:cs="仿宋_GB2312"/>
          <w:sz w:val="21"/>
        </w:rPr>
      </w:pPr>
      <w:r>
        <w:rPr>
          <w:rFonts w:ascii="仿宋_GB2312" w:hAnsi="仿宋_GB2312" w:eastAsia="仿宋_GB2312" w:cs="仿宋_GB2312"/>
          <w:sz w:val="21"/>
        </w:rPr>
        <w:t>□ 最高标准执行：国家标准，行业标准，地方标准，团体标准，企业标准（哪个标准高执行那个标准）；</w:t>
      </w:r>
    </w:p>
    <w:p w14:paraId="2A033F94">
      <w:pPr>
        <w:pStyle w:val="4"/>
        <w:ind w:firstLine="420"/>
        <w:jc w:val="both"/>
      </w:pPr>
      <w:bookmarkStart w:id="0" w:name="_GoBack"/>
      <w:bookmarkEnd w:id="0"/>
      <w:r>
        <w:rPr>
          <w:rFonts w:ascii="仿宋_GB2312" w:hAnsi="仿宋_GB2312" w:eastAsia="仿宋_GB2312" w:cs="仿宋_GB2312"/>
          <w:sz w:val="21"/>
        </w:rPr>
        <w:t>√ 必须执行：国家（行业）强制性标准。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209F1"/>
    <w:rsid w:val="4D2209F1"/>
    <w:rsid w:val="4E40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2025-11-19T08:40:00Z</dcterms:created>
  <dc:creator>Summer</dc:creator>
  <cp:lastModifiedBy>Summer</cp:lastModifiedBy>
  <dcterms:modified xsi:type="dcterms:W3CDTF">2025-11-19T08:40:40Z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9EB88A415FC8484FB88CC8C701E5C29F_11</vt:lpwstr>
  </property>
  <property fmtid="{D5CDD505-2E9C-101B-9397-08002B2CF9AE}" pid="4" name="KSOTemplateDocerSaveRecord">
    <vt:lpwstr>eyJoZGlkIjoiMWY3Nzc4MGZiNjQzMTVmMDc1OWRhZDhiOTgyM2ViOGIiLCJ1c2VySWQiOiIyMzczOTcxMTEifQ==</vt:lpwstr>
  </property>
</Properties>
</file>