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C510B8">
      <w:pPr>
        <w:keepNext w:val="0"/>
        <w:keepLines w:val="0"/>
        <w:pageBreakBefore w:val="0"/>
        <w:widowControl w:val="0"/>
        <w:kinsoku/>
        <w:wordWrap/>
        <w:overflowPunct/>
        <w:topLinePunct w:val="0"/>
        <w:autoSpaceDE/>
        <w:autoSpaceDN/>
        <w:bidi w:val="0"/>
        <w:adjustRightInd/>
        <w:snapToGrid/>
        <w:spacing w:before="168" w:beforeLines="50" w:after="168" w:afterLines="50" w:line="480" w:lineRule="exact"/>
        <w:ind w:firstLine="883" w:firstLineChars="200"/>
        <w:jc w:val="center"/>
        <w:textAlignment w:val="auto"/>
        <w:outlineLvl w:val="0"/>
        <w:rPr>
          <w:rFonts w:hint="eastAsia" w:ascii="仿宋_GB2312" w:eastAsia="仿宋_GB2312"/>
          <w:color w:val="auto"/>
          <w:sz w:val="32"/>
          <w:szCs w:val="32"/>
          <w:highlight w:val="none"/>
        </w:rPr>
      </w:pPr>
      <w:r>
        <w:rPr>
          <w:rFonts w:hint="eastAsia" w:ascii="仿宋" w:hAnsi="仿宋" w:eastAsia="仿宋" w:cs="仿宋"/>
          <w:b/>
          <w:color w:val="auto"/>
          <w:kern w:val="2"/>
          <w:sz w:val="44"/>
          <w:szCs w:val="44"/>
          <w:highlight w:val="none"/>
        </w:rPr>
        <w:t>采购内容及技术要求</w:t>
      </w:r>
    </w:p>
    <w:p w14:paraId="172725E6">
      <w:pPr>
        <w:pStyle w:val="2"/>
        <w:keepNext w:val="0"/>
        <w:keepLines w:val="0"/>
        <w:pageBreakBefore w:val="0"/>
        <w:widowControl w:val="0"/>
        <w:kinsoku/>
        <w:wordWrap/>
        <w:overflowPunct/>
        <w:topLinePunct w:val="0"/>
        <w:autoSpaceDE w:val="0"/>
        <w:autoSpaceDN w:val="0"/>
        <w:bidi w:val="0"/>
        <w:adjustRightInd/>
        <w:snapToGrid/>
        <w:spacing w:before="0" w:after="0" w:afterLines="0" w:line="360" w:lineRule="auto"/>
        <w:ind w:right="0" w:firstLine="482" w:firstLineChars="200"/>
        <w:textAlignment w:val="auto"/>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一、工作目标</w:t>
      </w:r>
    </w:p>
    <w:p w14:paraId="45ADF80F">
      <w:pPr>
        <w:keepNext w:val="0"/>
        <w:keepLines w:val="0"/>
        <w:pageBreakBefore w:val="0"/>
        <w:widowControl w:val="0"/>
        <w:kinsoku/>
        <w:wordWrap/>
        <w:overflowPunct/>
        <w:topLinePunct w:val="0"/>
        <w:bidi w:val="0"/>
        <w:adjustRightInd/>
        <w:snapToGrid/>
        <w:spacing w:line="360" w:lineRule="auto"/>
        <w:ind w:righ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通过</w:t>
      </w:r>
      <w:r>
        <w:rPr>
          <w:rFonts w:hint="eastAsia" w:ascii="仿宋" w:hAnsi="仿宋" w:eastAsia="仿宋" w:cs="仿宋"/>
          <w:sz w:val="24"/>
          <w:szCs w:val="24"/>
          <w:lang w:eastAsia="zh-CN"/>
        </w:rPr>
        <w:t>委托</w:t>
      </w:r>
      <w:r>
        <w:rPr>
          <w:rFonts w:hint="eastAsia" w:ascii="仿宋" w:hAnsi="仿宋" w:eastAsia="仿宋" w:cs="仿宋"/>
          <w:sz w:val="24"/>
          <w:szCs w:val="24"/>
        </w:rPr>
        <w:t>第三方</w:t>
      </w:r>
      <w:r>
        <w:rPr>
          <w:rFonts w:hint="eastAsia" w:ascii="仿宋" w:hAnsi="仿宋" w:eastAsia="仿宋" w:cs="仿宋"/>
          <w:sz w:val="24"/>
          <w:szCs w:val="24"/>
          <w:lang w:eastAsia="zh-CN"/>
        </w:rPr>
        <w:t>检测</w:t>
      </w:r>
      <w:r>
        <w:rPr>
          <w:rFonts w:hint="eastAsia" w:ascii="仿宋" w:hAnsi="仿宋" w:eastAsia="仿宋" w:cs="仿宋"/>
          <w:sz w:val="24"/>
          <w:szCs w:val="24"/>
        </w:rPr>
        <w:t>机构对</w:t>
      </w:r>
      <w:r>
        <w:rPr>
          <w:rFonts w:hint="eastAsia" w:ascii="仿宋" w:hAnsi="仿宋" w:eastAsia="仿宋" w:cs="仿宋"/>
          <w:color w:val="000000"/>
          <w:sz w:val="24"/>
          <w:szCs w:val="24"/>
        </w:rPr>
        <w:t>对辖区范围内生产的蔬菜、水果、食用菌、畜禽产品、水产品</w:t>
      </w:r>
      <w:r>
        <w:rPr>
          <w:rFonts w:hint="eastAsia" w:ascii="仿宋" w:hAnsi="仿宋" w:eastAsia="仿宋" w:cs="仿宋"/>
          <w:color w:val="000000"/>
          <w:sz w:val="24"/>
          <w:szCs w:val="24"/>
          <w:lang w:eastAsia="zh-CN"/>
        </w:rPr>
        <w:t>等</w:t>
      </w:r>
      <w:r>
        <w:rPr>
          <w:rFonts w:hint="eastAsia" w:ascii="仿宋" w:hAnsi="仿宋" w:eastAsia="仿宋" w:cs="仿宋"/>
          <w:sz w:val="24"/>
          <w:szCs w:val="24"/>
        </w:rPr>
        <w:t>进行</w:t>
      </w:r>
      <w:r>
        <w:rPr>
          <w:rFonts w:hint="eastAsia" w:ascii="仿宋" w:hAnsi="仿宋" w:eastAsia="仿宋" w:cs="仿宋"/>
          <w:sz w:val="24"/>
          <w:szCs w:val="24"/>
          <w:lang w:eastAsia="zh-CN"/>
        </w:rPr>
        <w:t>抽样</w:t>
      </w:r>
      <w:r>
        <w:rPr>
          <w:rFonts w:hint="eastAsia" w:ascii="仿宋" w:hAnsi="仿宋" w:eastAsia="仿宋" w:cs="仿宋"/>
          <w:sz w:val="24"/>
          <w:szCs w:val="24"/>
        </w:rPr>
        <w:t>检测，完成2025年农产品质量安全检测项目工作任务，通过检测结果，全面掌握</w:t>
      </w:r>
      <w:r>
        <w:rPr>
          <w:rFonts w:hint="eastAsia" w:ascii="仿宋" w:hAnsi="仿宋" w:eastAsia="仿宋" w:cs="仿宋"/>
          <w:sz w:val="24"/>
          <w:szCs w:val="24"/>
          <w:lang w:eastAsia="zh-CN"/>
        </w:rPr>
        <w:t>辖区内</w:t>
      </w:r>
      <w:r>
        <w:rPr>
          <w:rFonts w:hint="eastAsia" w:ascii="仿宋" w:hAnsi="仿宋" w:eastAsia="仿宋" w:cs="仿宋"/>
          <w:sz w:val="24"/>
          <w:szCs w:val="24"/>
        </w:rPr>
        <w:t>农产品质量安全水平，确保不发生重大农产品质量安全事件。同时承担省级、市级农业主管部门农产品质量安全例行监测抽检、专项抽检等任务。</w:t>
      </w:r>
    </w:p>
    <w:p w14:paraId="240906A2">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0" w:after="0" w:afterLines="0" w:line="360" w:lineRule="auto"/>
        <w:ind w:left="0" w:leftChars="0" w:right="0" w:rightChars="0" w:firstLine="482" w:firstLineChars="200"/>
        <w:jc w:val="both"/>
        <w:textAlignment w:val="auto"/>
        <w:rPr>
          <w:rFonts w:hint="eastAsia" w:ascii="仿宋" w:hAnsi="仿宋" w:eastAsia="仿宋" w:cs="仿宋"/>
          <w:b/>
          <w:bCs/>
          <w:sz w:val="24"/>
          <w:szCs w:val="24"/>
        </w:rPr>
      </w:pPr>
      <w:r>
        <w:rPr>
          <w:rFonts w:hint="eastAsia" w:ascii="仿宋" w:hAnsi="仿宋" w:eastAsia="仿宋" w:cs="仿宋"/>
          <w:b/>
          <w:bCs/>
          <w:kern w:val="2"/>
          <w:sz w:val="24"/>
          <w:szCs w:val="24"/>
          <w:lang w:val="en-US" w:eastAsia="zh-CN" w:bidi="ar-SA"/>
        </w:rPr>
        <w:t>二、</w:t>
      </w:r>
      <w:r>
        <w:rPr>
          <w:rFonts w:hint="eastAsia" w:ascii="仿宋" w:hAnsi="仿宋" w:eastAsia="仿宋" w:cs="仿宋"/>
          <w:b/>
          <w:bCs/>
          <w:sz w:val="24"/>
          <w:szCs w:val="24"/>
        </w:rPr>
        <w:t>项目概况</w:t>
      </w:r>
    </w:p>
    <w:p w14:paraId="30B82DA3">
      <w:pPr>
        <w:pStyle w:val="2"/>
        <w:keepNext w:val="0"/>
        <w:keepLines w:val="0"/>
        <w:pageBreakBefore w:val="0"/>
        <w:widowControl w:val="0"/>
        <w:kinsoku/>
        <w:wordWrap/>
        <w:overflowPunct/>
        <w:topLinePunct w:val="0"/>
        <w:autoSpaceDE w:val="0"/>
        <w:autoSpaceDN w:val="0"/>
        <w:bidi w:val="0"/>
        <w:adjustRightInd/>
        <w:snapToGrid/>
        <w:spacing w:before="0" w:after="0" w:afterLines="0" w:line="360" w:lineRule="auto"/>
        <w:ind w:left="0" w:leftChars="0" w:right="0" w:firstLine="480" w:firstLineChars="200"/>
        <w:jc w:val="both"/>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202</w:t>
      </w:r>
      <w:r>
        <w:rPr>
          <w:rFonts w:hint="eastAsia" w:ascii="仿宋" w:hAnsi="仿宋" w:eastAsia="仿宋" w:cs="仿宋"/>
          <w:color w:val="000000"/>
          <w:sz w:val="24"/>
          <w:szCs w:val="24"/>
          <w:lang w:val="en-US" w:eastAsia="zh-CN"/>
        </w:rPr>
        <w:t>5-2026</w:t>
      </w:r>
      <w:r>
        <w:rPr>
          <w:rFonts w:hint="eastAsia" w:ascii="仿宋" w:hAnsi="仿宋" w:eastAsia="仿宋" w:cs="仿宋"/>
          <w:color w:val="000000"/>
          <w:sz w:val="24"/>
          <w:szCs w:val="24"/>
        </w:rPr>
        <w:t>年</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对辖区范围内生产的蔬菜、水果、食用菌、畜禽产品、水产品</w:t>
      </w:r>
      <w:r>
        <w:rPr>
          <w:rFonts w:hint="eastAsia" w:ascii="仿宋" w:hAnsi="仿宋" w:eastAsia="仿宋" w:cs="仿宋"/>
          <w:color w:val="000000"/>
          <w:sz w:val="24"/>
          <w:szCs w:val="24"/>
          <w:lang w:eastAsia="zh-CN"/>
        </w:rPr>
        <w:t>等</w:t>
      </w:r>
      <w:r>
        <w:rPr>
          <w:rFonts w:hint="eastAsia" w:ascii="仿宋" w:hAnsi="仿宋" w:eastAsia="仿宋" w:cs="仿宋"/>
          <w:color w:val="000000"/>
          <w:sz w:val="24"/>
          <w:szCs w:val="24"/>
        </w:rPr>
        <w:t>开展监测工作。按照农产品质量安全定量监测</w:t>
      </w:r>
      <w:r>
        <w:rPr>
          <w:rFonts w:hint="eastAsia" w:ascii="仿宋" w:hAnsi="仿宋" w:eastAsia="仿宋" w:cs="仿宋"/>
          <w:color w:val="000000"/>
          <w:sz w:val="24"/>
          <w:szCs w:val="24"/>
          <w:lang w:val="en-US" w:eastAsia="zh-CN"/>
        </w:rPr>
        <w:t>需</w:t>
      </w:r>
      <w:r>
        <w:rPr>
          <w:rFonts w:hint="eastAsia" w:ascii="仿宋" w:hAnsi="仿宋" w:eastAsia="仿宋" w:cs="仿宋"/>
          <w:color w:val="000000"/>
          <w:sz w:val="24"/>
          <w:szCs w:val="24"/>
        </w:rPr>
        <w:t>达到</w:t>
      </w:r>
      <w:r>
        <w:rPr>
          <w:rFonts w:hint="eastAsia" w:ascii="仿宋" w:hAnsi="仿宋" w:eastAsia="仿宋" w:cs="仿宋"/>
          <w:color w:val="000000"/>
          <w:sz w:val="24"/>
          <w:szCs w:val="24"/>
          <w:lang w:val="en-US" w:eastAsia="zh-CN"/>
        </w:rPr>
        <w:t>2</w:t>
      </w:r>
      <w:r>
        <w:rPr>
          <w:rFonts w:hint="eastAsia" w:ascii="仿宋" w:hAnsi="仿宋" w:eastAsia="仿宋" w:cs="仿宋"/>
          <w:color w:val="000000"/>
          <w:sz w:val="24"/>
          <w:szCs w:val="24"/>
        </w:rPr>
        <w:t>批次/千人要求，</w:t>
      </w:r>
      <w:r>
        <w:rPr>
          <w:rFonts w:hint="eastAsia" w:ascii="仿宋" w:hAnsi="仿宋" w:eastAsia="仿宋" w:cs="仿宋"/>
          <w:color w:val="000000"/>
          <w:sz w:val="24"/>
          <w:szCs w:val="24"/>
          <w:lang w:eastAsia="zh-CN"/>
        </w:rPr>
        <w:t>新区</w:t>
      </w:r>
      <w:r>
        <w:rPr>
          <w:rFonts w:hint="eastAsia" w:ascii="仿宋" w:hAnsi="仿宋" w:eastAsia="仿宋" w:cs="仿宋"/>
          <w:color w:val="000000"/>
          <w:sz w:val="24"/>
          <w:szCs w:val="24"/>
        </w:rPr>
        <w:t>计划监测种植业产品、畜禽产品和水产品共</w:t>
      </w:r>
      <w:r>
        <w:rPr>
          <w:rFonts w:hint="eastAsia" w:ascii="仿宋" w:hAnsi="仿宋" w:eastAsia="仿宋" w:cs="仿宋"/>
          <w:color w:val="000000"/>
          <w:sz w:val="24"/>
          <w:szCs w:val="24"/>
          <w:lang w:val="en-US" w:eastAsia="zh-CN"/>
        </w:rPr>
        <w:t>1866</w:t>
      </w:r>
      <w:r>
        <w:rPr>
          <w:rFonts w:hint="eastAsia" w:ascii="仿宋" w:hAnsi="仿宋" w:eastAsia="仿宋" w:cs="仿宋"/>
          <w:color w:val="000000"/>
          <w:sz w:val="24"/>
          <w:szCs w:val="24"/>
        </w:rPr>
        <w:t>个（批）样品</w:t>
      </w:r>
      <w:r>
        <w:rPr>
          <w:rFonts w:hint="eastAsia" w:ascii="仿宋" w:hAnsi="仿宋" w:eastAsia="仿宋" w:cs="仿宋"/>
          <w:color w:val="000000"/>
          <w:sz w:val="24"/>
          <w:szCs w:val="24"/>
          <w:lang w:eastAsia="zh-CN"/>
        </w:rPr>
        <w:t>，其中畜禽产品监测比例不低于</w:t>
      </w:r>
      <w:r>
        <w:rPr>
          <w:rFonts w:hint="eastAsia" w:ascii="仿宋" w:hAnsi="仿宋" w:eastAsia="仿宋" w:cs="仿宋"/>
          <w:color w:val="000000"/>
          <w:sz w:val="24"/>
          <w:szCs w:val="24"/>
          <w:lang w:val="en-US" w:eastAsia="zh-CN"/>
        </w:rPr>
        <w:t>20%，水产品监测比例不低于1%；种植、养殖农户监测占比不低于30%；</w:t>
      </w:r>
      <w:r>
        <w:rPr>
          <w:rFonts w:hint="eastAsia" w:ascii="仿宋" w:hAnsi="仿宋" w:eastAsia="仿宋" w:cs="仿宋"/>
          <w:color w:val="000000"/>
          <w:sz w:val="24"/>
          <w:szCs w:val="24"/>
          <w:highlight w:val="none"/>
          <w:lang w:val="en-US" w:eastAsia="zh-CN"/>
        </w:rPr>
        <w:t>监督抽查不低于定量检测的25%，监督抽检要本着发现问题的目的，通过发现问题推动整改、预防风险，保障新区农产品质量安全水平。</w:t>
      </w:r>
    </w:p>
    <w:p w14:paraId="60AA699E">
      <w:pPr>
        <w:pStyle w:val="2"/>
        <w:keepNext w:val="0"/>
        <w:keepLines w:val="0"/>
        <w:pageBreakBefore w:val="0"/>
        <w:widowControl w:val="0"/>
        <w:kinsoku/>
        <w:wordWrap/>
        <w:overflowPunct/>
        <w:topLinePunct w:val="0"/>
        <w:autoSpaceDE w:val="0"/>
        <w:autoSpaceDN w:val="0"/>
        <w:bidi w:val="0"/>
        <w:adjustRightInd/>
        <w:snapToGrid/>
        <w:spacing w:before="0" w:after="0" w:afterLines="0" w:line="360" w:lineRule="auto"/>
        <w:ind w:left="0" w:leftChars="0" w:right="0" w:firstLine="482" w:firstLineChars="200"/>
        <w:jc w:val="both"/>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三、监测内容</w:t>
      </w:r>
    </w:p>
    <w:p w14:paraId="74902AFD">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default" w:ascii="仿宋" w:hAnsi="仿宋" w:eastAsia="仿宋" w:cs="仿宋"/>
          <w:sz w:val="24"/>
          <w:szCs w:val="24"/>
          <w:lang w:val="en-US"/>
        </w:rPr>
      </w:pPr>
      <w:r>
        <w:rPr>
          <w:rFonts w:hint="eastAsia" w:ascii="仿宋" w:hAnsi="仿宋" w:eastAsia="仿宋" w:cs="仿宋"/>
          <w:lang w:val="en-US" w:eastAsia="zh-CN"/>
        </w:rPr>
        <w:t>本项目监测数量：一包</w:t>
      </w:r>
      <w:r>
        <w:rPr>
          <w:rFonts w:hint="eastAsia" w:ascii="仿宋" w:hAnsi="仿宋" w:eastAsia="仿宋" w:cs="仿宋"/>
          <w:lang w:eastAsia="zh-CN"/>
        </w:rPr>
        <w:t>种植业产品例行监测</w:t>
      </w:r>
      <w:r>
        <w:rPr>
          <w:rFonts w:hint="eastAsia" w:ascii="仿宋" w:hAnsi="仿宋" w:eastAsia="仿宋" w:cs="仿宋"/>
          <w:lang w:val="en-US" w:eastAsia="zh-CN"/>
        </w:rPr>
        <w:t>1099批次，畜禽产品监督抽检94批次，水产品监督抽检7批次；二包</w:t>
      </w:r>
      <w:r>
        <w:rPr>
          <w:rFonts w:hint="eastAsia" w:ascii="仿宋" w:hAnsi="仿宋" w:eastAsia="仿宋" w:cs="仿宋"/>
          <w:lang w:eastAsia="zh-CN"/>
        </w:rPr>
        <w:t>畜禽产品产品例行监测</w:t>
      </w:r>
      <w:r>
        <w:rPr>
          <w:rFonts w:hint="eastAsia" w:ascii="仿宋" w:hAnsi="仿宋" w:eastAsia="仿宋" w:cs="仿宋"/>
          <w:lang w:val="en-US" w:eastAsia="zh-CN"/>
        </w:rPr>
        <w:t>280批次，</w:t>
      </w:r>
      <w:r>
        <w:rPr>
          <w:rFonts w:hint="eastAsia" w:ascii="仿宋" w:hAnsi="仿宋" w:eastAsia="仿宋" w:cs="仿宋"/>
          <w:lang w:eastAsia="zh-CN"/>
        </w:rPr>
        <w:t>水产品产品例行监测</w:t>
      </w:r>
      <w:r>
        <w:rPr>
          <w:rFonts w:hint="eastAsia" w:ascii="仿宋" w:hAnsi="仿宋" w:eastAsia="仿宋" w:cs="仿宋"/>
          <w:lang w:val="en-US" w:eastAsia="zh-CN"/>
        </w:rPr>
        <w:t>19批次，</w:t>
      </w:r>
      <w:r>
        <w:rPr>
          <w:rFonts w:hint="eastAsia" w:ascii="仿宋" w:hAnsi="仿宋" w:eastAsia="仿宋" w:cs="仿宋"/>
          <w:lang w:eastAsia="zh-CN"/>
        </w:rPr>
        <w:t>种植业</w:t>
      </w:r>
      <w:r>
        <w:rPr>
          <w:rFonts w:hint="eastAsia" w:ascii="仿宋" w:hAnsi="仿宋" w:eastAsia="仿宋" w:cs="仿宋"/>
          <w:lang w:val="en-US" w:eastAsia="zh-CN"/>
        </w:rPr>
        <w:t>产品监督抽检367批次。其中，检测对象包括：</w:t>
      </w:r>
    </w:p>
    <w:p w14:paraId="0E5C64D6">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rPr>
        <w:t>（一）种植业产品</w:t>
      </w:r>
      <w:r>
        <w:rPr>
          <w:rFonts w:hint="eastAsia" w:ascii="仿宋" w:hAnsi="仿宋" w:eastAsia="仿宋" w:cs="仿宋"/>
          <w:sz w:val="24"/>
          <w:szCs w:val="24"/>
          <w:lang w:eastAsia="zh-CN"/>
        </w:rPr>
        <w:t>。</w:t>
      </w:r>
    </w:p>
    <w:p w14:paraId="3580A4BA">
      <w:pPr>
        <w:keepNext w:val="0"/>
        <w:keepLines w:val="0"/>
        <w:pageBreakBefore w:val="0"/>
        <w:widowControl w:val="0"/>
        <w:kinsoku/>
        <w:wordWrap/>
        <w:overflowPunct/>
        <w:topLinePunct w:val="0"/>
        <w:autoSpaceDE/>
        <w:autoSpaceDN/>
        <w:bidi w:val="0"/>
        <w:adjustRightInd/>
        <w:snapToGrid/>
        <w:spacing w:line="360" w:lineRule="auto"/>
        <w:ind w:right="0" w:firstLine="482" w:firstLineChars="200"/>
        <w:textAlignment w:val="auto"/>
        <w:rPr>
          <w:rFonts w:hint="eastAsia" w:ascii="仿宋" w:hAnsi="仿宋" w:eastAsia="仿宋" w:cs="仿宋"/>
          <w:sz w:val="24"/>
          <w:szCs w:val="24"/>
          <w:lang w:eastAsia="zh-CN"/>
        </w:rPr>
      </w:pPr>
      <w:r>
        <w:rPr>
          <w:rFonts w:hint="eastAsia" w:ascii="仿宋" w:hAnsi="仿宋" w:eastAsia="仿宋" w:cs="仿宋"/>
          <w:b/>
          <w:bCs/>
          <w:sz w:val="24"/>
          <w:szCs w:val="24"/>
          <w:lang w:eastAsia="zh-CN"/>
        </w:rPr>
        <w:t>1.蔬菜。</w:t>
      </w:r>
      <w:r>
        <w:rPr>
          <w:rFonts w:hint="eastAsia" w:ascii="仿宋" w:hAnsi="仿宋" w:eastAsia="仿宋" w:cs="仿宋"/>
          <w:sz w:val="24"/>
          <w:szCs w:val="24"/>
          <w:lang w:eastAsia="zh-CN"/>
        </w:rPr>
        <w:t>依据新区农产品目录清单，重点监测生产环节的芹菜、菠菜、叶用莴苣、芫荽、茼蒿、普通白菜、大白菜、蕹菜花椰菜、甘蓝、青花菜、菜薹、黄瓜、苦瓜、丝瓜、西葫芦、辣椒、番茄、茄子、豇豆、菜豆、食荚豌豆、蚕豆、扁豆、韭菜、大葱、细香葱、洋葱、大蒜、莲藕、茭白、萝卜、胡萝卜、马铃薯、山药、甘薯、生姜、黄花菜、芦笋、香椿、南瓜、冬瓜、蒜苗、芋、芥菜、茎用莴苣等品种。</w:t>
      </w:r>
    </w:p>
    <w:p w14:paraId="680C5C43">
      <w:pPr>
        <w:keepNext w:val="0"/>
        <w:keepLines w:val="0"/>
        <w:pageBreakBefore w:val="0"/>
        <w:widowControl w:val="0"/>
        <w:kinsoku/>
        <w:wordWrap/>
        <w:overflowPunct/>
        <w:topLinePunct w:val="0"/>
        <w:autoSpaceDE/>
        <w:autoSpaceDN/>
        <w:bidi w:val="0"/>
        <w:adjustRightInd/>
        <w:snapToGrid/>
        <w:spacing w:line="360" w:lineRule="auto"/>
        <w:ind w:right="0" w:firstLine="482" w:firstLineChars="200"/>
        <w:textAlignment w:val="auto"/>
        <w:rPr>
          <w:rFonts w:hint="eastAsia" w:ascii="仿宋" w:hAnsi="仿宋" w:eastAsia="仿宋" w:cs="仿宋"/>
          <w:sz w:val="24"/>
          <w:szCs w:val="24"/>
          <w:lang w:eastAsia="zh-CN"/>
        </w:rPr>
      </w:pPr>
      <w:r>
        <w:rPr>
          <w:rFonts w:hint="eastAsia" w:ascii="仿宋" w:hAnsi="仿宋" w:eastAsia="仿宋" w:cs="仿宋"/>
          <w:b/>
          <w:bCs/>
          <w:sz w:val="24"/>
          <w:szCs w:val="24"/>
          <w:lang w:eastAsia="zh-CN"/>
        </w:rPr>
        <w:t>2.水果。</w:t>
      </w:r>
      <w:r>
        <w:rPr>
          <w:rFonts w:hint="eastAsia" w:ascii="仿宋" w:hAnsi="仿宋" w:eastAsia="仿宋" w:cs="仿宋"/>
          <w:sz w:val="24"/>
          <w:szCs w:val="24"/>
          <w:lang w:eastAsia="zh-CN"/>
        </w:rPr>
        <w:t>重点监测草莓、樱桃、葡萄、西瓜、石榴、甜瓜、柿子、李、杏、梨、桃、枣等新区特色或小宗品种。</w:t>
      </w:r>
    </w:p>
    <w:p w14:paraId="716CE4BF">
      <w:pPr>
        <w:keepNext w:val="0"/>
        <w:keepLines w:val="0"/>
        <w:pageBreakBefore w:val="0"/>
        <w:widowControl w:val="0"/>
        <w:kinsoku/>
        <w:wordWrap/>
        <w:overflowPunct/>
        <w:topLinePunct w:val="0"/>
        <w:autoSpaceDE/>
        <w:autoSpaceDN/>
        <w:bidi w:val="0"/>
        <w:adjustRightInd/>
        <w:snapToGrid/>
        <w:spacing w:line="360" w:lineRule="auto"/>
        <w:ind w:right="0" w:firstLine="482" w:firstLineChars="200"/>
        <w:textAlignment w:val="auto"/>
        <w:rPr>
          <w:rFonts w:hint="eastAsia" w:ascii="仿宋" w:hAnsi="仿宋" w:eastAsia="仿宋" w:cs="仿宋"/>
          <w:sz w:val="24"/>
          <w:szCs w:val="24"/>
          <w:lang w:eastAsia="zh-CN"/>
        </w:rPr>
      </w:pPr>
      <w:r>
        <w:rPr>
          <w:rFonts w:hint="eastAsia" w:ascii="仿宋" w:hAnsi="仿宋" w:eastAsia="仿宋" w:cs="仿宋"/>
          <w:b/>
          <w:bCs/>
          <w:sz w:val="24"/>
          <w:szCs w:val="24"/>
          <w:lang w:eastAsia="zh-CN"/>
        </w:rPr>
        <w:t>3.食用菌。</w:t>
      </w:r>
      <w:r>
        <w:rPr>
          <w:rFonts w:hint="eastAsia" w:ascii="仿宋" w:hAnsi="仿宋" w:eastAsia="仿宋" w:cs="仿宋"/>
          <w:sz w:val="24"/>
          <w:szCs w:val="24"/>
          <w:lang w:eastAsia="zh-CN"/>
        </w:rPr>
        <w:t>重点监测香菇、平菇、双孢蘑菇、杏鲍菇、草菇等菇类品种，样品均为鲜品。</w:t>
      </w:r>
    </w:p>
    <w:p w14:paraId="1CE8D79E">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（二）畜禽产品。重点监测猪肉、猪肝、禽肉(鸡肉)和禽蛋(鸡蛋)。</w:t>
      </w:r>
    </w:p>
    <w:p w14:paraId="6E65BBBC">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（三）水产品。重点监测草鱼、鲤鱼、鲫鱼、鲢鱼、鳙鱼、罗非鱼、鳟鱼鲟鱼、虾、鳊鱼、大口黑鲈、乌鳢等水产品。</w:t>
      </w:r>
    </w:p>
    <w:p w14:paraId="7ED1277A">
      <w:pPr>
        <w:pStyle w:val="2"/>
        <w:keepNext w:val="0"/>
        <w:keepLines w:val="0"/>
        <w:pageBreakBefore w:val="0"/>
        <w:widowControl w:val="0"/>
        <w:kinsoku/>
        <w:wordWrap/>
        <w:overflowPunct/>
        <w:topLinePunct w:val="0"/>
        <w:autoSpaceDE w:val="0"/>
        <w:autoSpaceDN w:val="0"/>
        <w:bidi w:val="0"/>
        <w:adjustRightInd/>
        <w:snapToGrid/>
        <w:spacing w:before="0" w:after="0" w:afterLines="0" w:line="360" w:lineRule="auto"/>
        <w:ind w:right="0" w:firstLine="482" w:firstLineChars="200"/>
        <w:textAlignment w:val="auto"/>
        <w:rPr>
          <w:rFonts w:hint="eastAsia" w:ascii="仿宋" w:hAnsi="仿宋" w:eastAsia="仿宋" w:cs="仿宋"/>
          <w:b/>
          <w:bCs w:val="0"/>
          <w:sz w:val="24"/>
          <w:szCs w:val="24"/>
        </w:rPr>
      </w:pPr>
      <w:r>
        <w:rPr>
          <w:rFonts w:hint="eastAsia" w:ascii="仿宋" w:hAnsi="仿宋" w:eastAsia="仿宋" w:cs="仿宋"/>
          <w:b/>
          <w:bCs w:val="0"/>
          <w:sz w:val="24"/>
          <w:szCs w:val="24"/>
          <w:lang w:eastAsia="zh-CN"/>
        </w:rPr>
        <w:t>四、</w:t>
      </w:r>
      <w:r>
        <w:rPr>
          <w:rFonts w:hint="eastAsia" w:ascii="仿宋" w:hAnsi="仿宋" w:eastAsia="仿宋" w:cs="仿宋"/>
          <w:b/>
          <w:bCs w:val="0"/>
          <w:sz w:val="24"/>
          <w:szCs w:val="24"/>
        </w:rPr>
        <w:t>监测要求</w:t>
      </w:r>
    </w:p>
    <w:p w14:paraId="06B98972">
      <w:pPr>
        <w:pStyle w:val="2"/>
        <w:keepNext w:val="0"/>
        <w:keepLines w:val="0"/>
        <w:pageBreakBefore w:val="0"/>
        <w:widowControl w:val="0"/>
        <w:kinsoku/>
        <w:wordWrap/>
        <w:overflowPunct/>
        <w:topLinePunct w:val="0"/>
        <w:autoSpaceDE w:val="0"/>
        <w:autoSpaceDN w:val="0"/>
        <w:bidi w:val="0"/>
        <w:adjustRightInd/>
        <w:snapToGrid/>
        <w:spacing w:before="0" w:after="0" w:afterLines="0" w:line="360" w:lineRule="auto"/>
        <w:ind w:righ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（一）抽样环节</w:t>
      </w:r>
    </w:p>
    <w:p w14:paraId="17939C1F">
      <w:pPr>
        <w:pStyle w:val="2"/>
        <w:keepNext w:val="0"/>
        <w:keepLines w:val="0"/>
        <w:pageBreakBefore w:val="0"/>
        <w:widowControl w:val="0"/>
        <w:kinsoku/>
        <w:wordWrap/>
        <w:overflowPunct/>
        <w:topLinePunct w:val="0"/>
        <w:autoSpaceDE w:val="0"/>
        <w:autoSpaceDN w:val="0"/>
        <w:bidi w:val="0"/>
        <w:adjustRightInd/>
        <w:snapToGrid/>
        <w:spacing w:before="0" w:after="0" w:afterLines="0" w:line="360" w:lineRule="auto"/>
        <w:ind w:righ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监测农产品生产基地、</w:t>
      </w:r>
      <w:r>
        <w:rPr>
          <w:rFonts w:hint="eastAsia" w:ascii="仿宋" w:hAnsi="仿宋" w:eastAsia="仿宋" w:cs="仿宋"/>
          <w:sz w:val="24"/>
          <w:szCs w:val="24"/>
          <w:lang w:eastAsia="zh-CN"/>
        </w:rPr>
        <w:t>屠宰场、运输车、收储场所</w:t>
      </w:r>
      <w:r>
        <w:rPr>
          <w:rFonts w:hint="eastAsia" w:ascii="仿宋" w:hAnsi="仿宋" w:eastAsia="仿宋" w:cs="仿宋"/>
          <w:sz w:val="24"/>
          <w:szCs w:val="24"/>
        </w:rPr>
        <w:t>。</w:t>
      </w:r>
    </w:p>
    <w:p w14:paraId="62ABDAD3">
      <w:pPr>
        <w:pStyle w:val="2"/>
        <w:keepNext w:val="0"/>
        <w:keepLines w:val="0"/>
        <w:pageBreakBefore w:val="0"/>
        <w:widowControl w:val="0"/>
        <w:kinsoku/>
        <w:wordWrap/>
        <w:overflowPunct/>
        <w:topLinePunct w:val="0"/>
        <w:autoSpaceDE w:val="0"/>
        <w:autoSpaceDN w:val="0"/>
        <w:bidi w:val="0"/>
        <w:adjustRightInd/>
        <w:snapToGrid/>
        <w:spacing w:before="0" w:after="0" w:afterLines="0" w:line="360" w:lineRule="auto"/>
        <w:ind w:righ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（二）抽样要求</w:t>
      </w:r>
    </w:p>
    <w:p w14:paraId="62725308">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抽样地点应具有代表性，尽量抽取</w:t>
      </w:r>
      <w:r>
        <w:rPr>
          <w:rFonts w:hint="eastAsia" w:ascii="仿宋" w:hAnsi="仿宋" w:eastAsia="仿宋" w:cs="仿宋"/>
          <w:sz w:val="24"/>
          <w:szCs w:val="24"/>
          <w:lang w:eastAsia="zh-CN"/>
        </w:rPr>
        <w:t>新区</w:t>
      </w:r>
      <w:r>
        <w:rPr>
          <w:rFonts w:hint="eastAsia" w:ascii="仿宋" w:hAnsi="仿宋" w:eastAsia="仿宋" w:cs="仿宋"/>
          <w:sz w:val="24"/>
          <w:szCs w:val="24"/>
        </w:rPr>
        <w:t>生产、规模种植的样品</w:t>
      </w:r>
      <w:r>
        <w:rPr>
          <w:rFonts w:hint="eastAsia" w:ascii="仿宋" w:hAnsi="仿宋" w:eastAsia="仿宋" w:cs="仿宋"/>
          <w:sz w:val="24"/>
          <w:szCs w:val="24"/>
          <w:lang w:eastAsia="zh-CN"/>
        </w:rPr>
        <w:t>，样品要含小农户（散户）的产品</w:t>
      </w:r>
      <w:r>
        <w:rPr>
          <w:rFonts w:hint="eastAsia" w:ascii="仿宋" w:hAnsi="仿宋" w:eastAsia="仿宋" w:cs="仿宋"/>
          <w:sz w:val="24"/>
          <w:szCs w:val="24"/>
        </w:rPr>
        <w:t>，能充分反映</w:t>
      </w:r>
      <w:r>
        <w:rPr>
          <w:rFonts w:hint="eastAsia" w:ascii="仿宋" w:hAnsi="仿宋" w:eastAsia="仿宋" w:cs="仿宋"/>
          <w:sz w:val="24"/>
          <w:szCs w:val="24"/>
          <w:lang w:eastAsia="zh-CN"/>
        </w:rPr>
        <w:t>新区</w:t>
      </w:r>
      <w:r>
        <w:rPr>
          <w:rFonts w:hint="eastAsia" w:ascii="仿宋" w:hAnsi="仿宋" w:eastAsia="仿宋" w:cs="仿宋"/>
          <w:sz w:val="24"/>
          <w:szCs w:val="24"/>
        </w:rPr>
        <w:t>农产品生产、销售和管理水平。</w:t>
      </w:r>
      <w:r>
        <w:rPr>
          <w:rFonts w:hint="eastAsia" w:ascii="仿宋" w:hAnsi="仿宋" w:eastAsia="仿宋" w:cs="仿宋"/>
          <w:sz w:val="24"/>
          <w:szCs w:val="24"/>
          <w:highlight w:val="none"/>
          <w:shd w:val="clear" w:color="auto" w:fill="auto"/>
        </w:rPr>
        <w:t>抽取样品应有明确产地或进货渠道，不抽取来源不详的样品，做到样品可追溯。</w:t>
      </w:r>
    </w:p>
    <w:p w14:paraId="39606B61">
      <w:pPr>
        <w:pStyle w:val="2"/>
        <w:keepNext w:val="0"/>
        <w:keepLines w:val="0"/>
        <w:pageBreakBefore w:val="0"/>
        <w:widowControl w:val="0"/>
        <w:kinsoku/>
        <w:wordWrap/>
        <w:overflowPunct/>
        <w:topLinePunct w:val="0"/>
        <w:autoSpaceDE w:val="0"/>
        <w:autoSpaceDN w:val="0"/>
        <w:bidi w:val="0"/>
        <w:adjustRightInd/>
        <w:snapToGrid/>
        <w:spacing w:before="0" w:after="0" w:afterLines="0" w:line="360" w:lineRule="auto"/>
        <w:ind w:right="0" w:firstLine="482" w:firstLineChars="200"/>
        <w:textAlignment w:val="auto"/>
        <w:rPr>
          <w:rFonts w:hint="eastAsia" w:ascii="仿宋" w:hAnsi="仿宋" w:eastAsia="仿宋" w:cs="仿宋"/>
          <w:b/>
          <w:bCs w:val="0"/>
          <w:sz w:val="24"/>
          <w:szCs w:val="24"/>
        </w:rPr>
      </w:pPr>
      <w:r>
        <w:rPr>
          <w:rFonts w:hint="eastAsia" w:ascii="仿宋" w:hAnsi="仿宋" w:eastAsia="仿宋" w:cs="仿宋"/>
          <w:b/>
          <w:bCs w:val="0"/>
          <w:sz w:val="24"/>
          <w:szCs w:val="24"/>
          <w:lang w:eastAsia="zh-CN"/>
        </w:rPr>
        <w:t>五、</w:t>
      </w:r>
      <w:r>
        <w:rPr>
          <w:rFonts w:hint="eastAsia" w:ascii="仿宋" w:hAnsi="仿宋" w:eastAsia="仿宋" w:cs="仿宋"/>
          <w:b/>
          <w:bCs w:val="0"/>
          <w:sz w:val="24"/>
          <w:szCs w:val="24"/>
        </w:rPr>
        <w:t>监测项目和检测依据</w:t>
      </w:r>
    </w:p>
    <w:p w14:paraId="163F74F2">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（一）种植业产品</w:t>
      </w:r>
      <w:r>
        <w:rPr>
          <w:rFonts w:hint="eastAsia" w:ascii="仿宋" w:hAnsi="仿宋" w:eastAsia="仿宋" w:cs="仿宋"/>
          <w:sz w:val="24"/>
          <w:szCs w:val="24"/>
          <w:lang w:eastAsia="zh-CN"/>
        </w:rPr>
        <w:t>。</w:t>
      </w:r>
    </w:p>
    <w:p w14:paraId="1E5F5F11">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1.抽样方法。蔬菜、食用菌和水果抽样按《农药残留分析样本的采样方法》（NY/T789-2004）执行。</w:t>
      </w:r>
    </w:p>
    <w:p w14:paraId="2D6D8F37">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2.监测项目和检测方法</w:t>
      </w:r>
      <w:r>
        <w:rPr>
          <w:rFonts w:hint="eastAsia" w:ascii="仿宋" w:hAnsi="仿宋" w:eastAsia="仿宋" w:cs="仿宋"/>
          <w:sz w:val="24"/>
          <w:szCs w:val="24"/>
          <w:lang w:eastAsia="zh-CN"/>
        </w:rPr>
        <w:t>（</w:t>
      </w:r>
      <w:r>
        <w:rPr>
          <w:rFonts w:hint="eastAsia" w:ascii="仿宋" w:hAnsi="仿宋" w:eastAsia="仿宋" w:cs="仿宋"/>
          <w:color w:val="000000"/>
          <w:sz w:val="24"/>
          <w:szCs w:val="24"/>
        </w:rPr>
        <w:t>详见附件</w:t>
      </w:r>
      <w:r>
        <w:rPr>
          <w:rFonts w:hint="eastAsia" w:ascii="仿宋" w:hAnsi="仿宋" w:eastAsia="仿宋" w:cs="仿宋"/>
          <w:color w:val="000000"/>
          <w:sz w:val="24"/>
          <w:szCs w:val="24"/>
          <w:lang w:val="en-US" w:eastAsia="zh-CN"/>
        </w:rPr>
        <w:t>1</w:t>
      </w:r>
      <w:r>
        <w:rPr>
          <w:rFonts w:hint="eastAsia" w:ascii="仿宋" w:hAnsi="仿宋" w:eastAsia="仿宋" w:cs="仿宋"/>
          <w:sz w:val="24"/>
          <w:szCs w:val="24"/>
          <w:lang w:eastAsia="zh-CN"/>
        </w:rPr>
        <w:t>）</w:t>
      </w:r>
      <w:r>
        <w:rPr>
          <w:rFonts w:hint="eastAsia" w:ascii="仿宋" w:hAnsi="仿宋" w:eastAsia="仿宋" w:cs="仿宋"/>
          <w:color w:val="000000"/>
          <w:sz w:val="24"/>
          <w:szCs w:val="24"/>
        </w:rPr>
        <w:t>。</w:t>
      </w:r>
    </w:p>
    <w:p w14:paraId="0E798634">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（二）畜禽产品</w:t>
      </w:r>
      <w:r>
        <w:rPr>
          <w:rFonts w:hint="eastAsia" w:ascii="仿宋" w:hAnsi="仿宋" w:eastAsia="仿宋" w:cs="仿宋"/>
          <w:sz w:val="24"/>
          <w:szCs w:val="24"/>
          <w:lang w:eastAsia="zh-CN"/>
        </w:rPr>
        <w:t>。</w:t>
      </w:r>
    </w:p>
    <w:p w14:paraId="33F57386">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1.抽样方法。按《动物及动物产品兽药残留监控抽样规范》（NY/T1897-2010）执行。</w:t>
      </w:r>
    </w:p>
    <w:p w14:paraId="1F8E8EE6">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2.监测项目和检测方法</w:t>
      </w:r>
      <w:r>
        <w:rPr>
          <w:rFonts w:hint="eastAsia" w:ascii="仿宋" w:hAnsi="仿宋" w:eastAsia="仿宋" w:cs="仿宋"/>
          <w:sz w:val="24"/>
          <w:szCs w:val="24"/>
          <w:lang w:eastAsia="zh-CN"/>
        </w:rPr>
        <w:t>（</w:t>
      </w:r>
      <w:r>
        <w:rPr>
          <w:rFonts w:hint="eastAsia" w:ascii="仿宋" w:hAnsi="仿宋" w:eastAsia="仿宋" w:cs="仿宋"/>
          <w:color w:val="000000"/>
          <w:sz w:val="24"/>
          <w:szCs w:val="24"/>
        </w:rPr>
        <w:t>详见附件</w:t>
      </w:r>
      <w:r>
        <w:rPr>
          <w:rFonts w:hint="eastAsia" w:ascii="仿宋" w:hAnsi="仿宋" w:eastAsia="仿宋" w:cs="仿宋"/>
          <w:color w:val="000000"/>
          <w:sz w:val="24"/>
          <w:szCs w:val="24"/>
          <w:lang w:val="en-US" w:eastAsia="zh-CN"/>
        </w:rPr>
        <w:t>2</w:t>
      </w:r>
      <w:r>
        <w:rPr>
          <w:rFonts w:hint="eastAsia" w:ascii="仿宋" w:hAnsi="仿宋" w:eastAsia="仿宋" w:cs="仿宋"/>
          <w:sz w:val="24"/>
          <w:szCs w:val="24"/>
          <w:lang w:eastAsia="zh-CN"/>
        </w:rPr>
        <w:t>）</w:t>
      </w:r>
      <w:r>
        <w:rPr>
          <w:rFonts w:hint="eastAsia" w:ascii="仿宋" w:hAnsi="仿宋" w:eastAsia="仿宋" w:cs="仿宋"/>
          <w:sz w:val="24"/>
          <w:szCs w:val="24"/>
        </w:rPr>
        <w:t>。</w:t>
      </w:r>
    </w:p>
    <w:p w14:paraId="063C667F">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（三）水产品</w:t>
      </w:r>
      <w:r>
        <w:rPr>
          <w:rFonts w:hint="eastAsia" w:ascii="仿宋" w:hAnsi="仿宋" w:eastAsia="仿宋" w:cs="仿宋"/>
          <w:sz w:val="24"/>
          <w:szCs w:val="24"/>
          <w:lang w:eastAsia="zh-CN"/>
        </w:rPr>
        <w:t>。</w:t>
      </w:r>
    </w:p>
    <w:p w14:paraId="5921139F">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1.抽样方法。按《水产品抽样规范》（GB/T30891-2014）执行。</w:t>
      </w:r>
    </w:p>
    <w:p w14:paraId="7D2DD7AE">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2.监测项目和检测方法</w:t>
      </w:r>
      <w:r>
        <w:rPr>
          <w:rFonts w:hint="eastAsia" w:ascii="仿宋" w:hAnsi="仿宋" w:eastAsia="仿宋" w:cs="仿宋"/>
          <w:sz w:val="24"/>
          <w:szCs w:val="24"/>
          <w:lang w:eastAsia="zh-CN"/>
        </w:rPr>
        <w:t>（</w:t>
      </w:r>
      <w:r>
        <w:rPr>
          <w:rFonts w:hint="eastAsia" w:ascii="仿宋" w:hAnsi="仿宋" w:eastAsia="仿宋" w:cs="仿宋"/>
          <w:color w:val="000000"/>
          <w:sz w:val="24"/>
          <w:szCs w:val="24"/>
        </w:rPr>
        <w:t>详见附件</w:t>
      </w:r>
      <w:r>
        <w:rPr>
          <w:rFonts w:hint="eastAsia" w:ascii="仿宋" w:hAnsi="仿宋" w:eastAsia="仿宋" w:cs="仿宋"/>
          <w:color w:val="000000"/>
          <w:sz w:val="24"/>
          <w:szCs w:val="24"/>
          <w:lang w:val="en-US" w:eastAsia="zh-CN"/>
        </w:rPr>
        <w:t>3</w:t>
      </w:r>
      <w:r>
        <w:rPr>
          <w:rFonts w:hint="eastAsia" w:ascii="仿宋" w:hAnsi="仿宋" w:eastAsia="仿宋" w:cs="仿宋"/>
          <w:sz w:val="24"/>
          <w:szCs w:val="24"/>
          <w:lang w:eastAsia="zh-CN"/>
        </w:rPr>
        <w:t>）</w:t>
      </w:r>
      <w:r>
        <w:rPr>
          <w:rFonts w:hint="eastAsia" w:ascii="仿宋" w:hAnsi="仿宋" w:eastAsia="仿宋" w:cs="仿宋"/>
          <w:sz w:val="24"/>
          <w:szCs w:val="24"/>
        </w:rPr>
        <w:t>。</w:t>
      </w:r>
    </w:p>
    <w:p w14:paraId="50D24E75">
      <w:pPr>
        <w:keepNext w:val="0"/>
        <w:keepLines w:val="0"/>
        <w:pageBreakBefore w:val="0"/>
        <w:widowControl w:val="0"/>
        <w:kinsoku/>
        <w:wordWrap/>
        <w:overflowPunct/>
        <w:topLinePunct w:val="0"/>
        <w:bidi w:val="0"/>
        <w:adjustRightInd/>
        <w:snapToGrid/>
        <w:spacing w:line="360" w:lineRule="auto"/>
        <w:ind w:right="0"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lang w:eastAsia="zh-CN"/>
        </w:rPr>
        <w:t>六</w:t>
      </w:r>
      <w:r>
        <w:rPr>
          <w:rFonts w:hint="eastAsia" w:ascii="仿宋" w:hAnsi="仿宋" w:eastAsia="仿宋" w:cs="仿宋"/>
          <w:b/>
          <w:bCs/>
          <w:sz w:val="24"/>
          <w:szCs w:val="24"/>
        </w:rPr>
        <w:t>、判定依据和原则</w:t>
      </w:r>
    </w:p>
    <w:p w14:paraId="3EEF09EB">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种植业产品、畜禽产品、水产品监测参数及检测方法见附件</w:t>
      </w:r>
      <w:r>
        <w:rPr>
          <w:rFonts w:hint="eastAsia" w:ascii="仿宋" w:hAnsi="仿宋" w:eastAsia="仿宋" w:cs="仿宋"/>
          <w:color w:val="000000"/>
          <w:sz w:val="24"/>
          <w:szCs w:val="24"/>
          <w:lang w:val="en-US" w:eastAsia="zh-CN"/>
        </w:rPr>
        <w:t>1-3</w:t>
      </w:r>
      <w:r>
        <w:rPr>
          <w:rFonts w:hint="eastAsia" w:ascii="仿宋" w:hAnsi="仿宋" w:eastAsia="仿宋" w:cs="仿宋"/>
          <w:color w:val="000000"/>
          <w:sz w:val="24"/>
          <w:szCs w:val="24"/>
          <w:lang w:eastAsia="zh-CN"/>
        </w:rPr>
        <w:t>。</w:t>
      </w:r>
    </w:p>
    <w:p w14:paraId="4CFDDE67">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种植业产品中的农药残留按《食品安全国家标准 食品中农药最大残留限量》（GB2763-2021）和《食品安全国家标准 食品中2,4-滴丁酸钠盐等112种农药最大残留限量》（GB 2763.1-2022）进行判定，重金属按《食品安全国家标准 食品中污染物限量》（GB2762-2017）进行判定，有一项指标不合格的，即判定为不合格。畜禽产品和水产品中的禁用药品及其它化合物检出即判定为不合格，停止使用和批准使用的药物残留按《食品安全国家标准 食品中兽药最大残留限量》（GB31650-2019）、《食品安全国家标准 食品中41种兽药最大残留限量》（GB31650.1-2022）进行判定。</w:t>
      </w:r>
    </w:p>
    <w:p w14:paraId="66287222">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根据农业农村部监测要求，应将三类药物作为相应产品的应检参数。一是禁止使用的农药和食品动物中禁止使用的药品及其他化合物中时有检出的；二是在部分范围内禁止使用的农药；三是批准使用药物中检出次数多易超标的。</w:t>
      </w:r>
    </w:p>
    <w:p w14:paraId="2DFDCE41">
      <w:pPr>
        <w:keepNext w:val="0"/>
        <w:keepLines w:val="0"/>
        <w:pageBreakBefore w:val="0"/>
        <w:widowControl w:val="0"/>
        <w:kinsoku/>
        <w:wordWrap/>
        <w:overflowPunct/>
        <w:topLinePunct w:val="0"/>
        <w:autoSpaceDE w:val="0"/>
        <w:autoSpaceDN w:val="0"/>
        <w:bidi w:val="0"/>
        <w:adjustRightInd/>
        <w:snapToGrid/>
        <w:spacing w:before="0" w:line="360" w:lineRule="auto"/>
        <w:ind w:right="0" w:firstLine="482" w:firstLineChars="200"/>
        <w:jc w:val="left"/>
        <w:textAlignment w:val="auto"/>
        <w:rPr>
          <w:rFonts w:hint="eastAsia" w:ascii="仿宋" w:hAnsi="仿宋" w:eastAsia="仿宋" w:cs="仿宋"/>
          <w:b/>
          <w:bCs w:val="0"/>
          <w:sz w:val="24"/>
          <w:szCs w:val="24"/>
        </w:rPr>
      </w:pPr>
      <w:r>
        <w:rPr>
          <w:rFonts w:hint="eastAsia" w:ascii="仿宋" w:hAnsi="仿宋" w:eastAsia="仿宋" w:cs="仿宋"/>
          <w:b/>
          <w:bCs w:val="0"/>
          <w:sz w:val="24"/>
          <w:szCs w:val="24"/>
          <w:lang w:eastAsia="zh-CN"/>
        </w:rPr>
        <w:t>七、</w:t>
      </w:r>
      <w:r>
        <w:rPr>
          <w:rFonts w:hint="eastAsia" w:ascii="仿宋" w:hAnsi="仿宋" w:eastAsia="仿宋" w:cs="仿宋"/>
          <w:b/>
          <w:bCs w:val="0"/>
          <w:sz w:val="24"/>
          <w:szCs w:val="24"/>
        </w:rPr>
        <w:t>监测结果报送</w:t>
      </w:r>
    </w:p>
    <w:p w14:paraId="1542B63D">
      <w:pPr>
        <w:pStyle w:val="2"/>
        <w:keepNext w:val="0"/>
        <w:keepLines w:val="0"/>
        <w:pageBreakBefore w:val="0"/>
        <w:widowControl w:val="0"/>
        <w:kinsoku/>
        <w:wordWrap/>
        <w:overflowPunct/>
        <w:topLinePunct w:val="0"/>
        <w:autoSpaceDE w:val="0"/>
        <w:autoSpaceDN w:val="0"/>
        <w:bidi w:val="0"/>
        <w:adjustRightInd/>
        <w:snapToGrid/>
        <w:spacing w:before="0" w:after="0" w:afterLines="0" w:line="360" w:lineRule="auto"/>
        <w:ind w:right="0" w:firstLine="464" w:firstLineChars="200"/>
        <w:textAlignment w:val="auto"/>
        <w:rPr>
          <w:rFonts w:hint="eastAsia" w:ascii="仿宋" w:hAnsi="仿宋" w:eastAsia="仿宋" w:cs="仿宋"/>
          <w:sz w:val="24"/>
          <w:szCs w:val="24"/>
        </w:rPr>
      </w:pPr>
      <w:r>
        <w:rPr>
          <w:rFonts w:hint="eastAsia" w:ascii="仿宋" w:hAnsi="仿宋" w:eastAsia="仿宋" w:cs="仿宋"/>
          <w:spacing w:val="-4"/>
          <w:sz w:val="24"/>
          <w:szCs w:val="24"/>
        </w:rPr>
        <w:t>第三方</w:t>
      </w:r>
      <w:r>
        <w:rPr>
          <w:rFonts w:hint="eastAsia" w:ascii="仿宋" w:hAnsi="仿宋" w:eastAsia="仿宋" w:cs="仿宋"/>
          <w:spacing w:val="-4"/>
          <w:sz w:val="24"/>
          <w:szCs w:val="24"/>
          <w:lang w:eastAsia="zh-CN"/>
        </w:rPr>
        <w:t>检测</w:t>
      </w:r>
      <w:r>
        <w:rPr>
          <w:rFonts w:hint="eastAsia" w:ascii="仿宋" w:hAnsi="仿宋" w:eastAsia="仿宋" w:cs="仿宋"/>
          <w:spacing w:val="-4"/>
          <w:sz w:val="24"/>
          <w:szCs w:val="24"/>
        </w:rPr>
        <w:t>机构要进行农产品监测情况分析评估，</w:t>
      </w:r>
      <w:r>
        <w:rPr>
          <w:rFonts w:hint="eastAsia" w:ascii="仿宋" w:hAnsi="仿宋" w:eastAsia="仿宋" w:cs="仿宋"/>
          <w:spacing w:val="-4"/>
          <w:sz w:val="24"/>
          <w:szCs w:val="24"/>
          <w:lang w:eastAsia="zh-CN"/>
        </w:rPr>
        <w:t>需在年度末</w:t>
      </w:r>
      <w:r>
        <w:rPr>
          <w:rFonts w:hint="eastAsia" w:ascii="仿宋" w:hAnsi="仿宋" w:eastAsia="仿宋" w:cs="仿宋"/>
          <w:sz w:val="24"/>
          <w:szCs w:val="24"/>
          <w:lang w:val="en-US" w:eastAsia="zh-CN"/>
        </w:rPr>
        <w:t>，</w:t>
      </w:r>
      <w:r>
        <w:rPr>
          <w:rFonts w:hint="eastAsia" w:ascii="仿宋" w:hAnsi="仿宋" w:eastAsia="仿宋" w:cs="仿宋"/>
          <w:sz w:val="24"/>
          <w:szCs w:val="24"/>
        </w:rPr>
        <w:t>将监测结果汇总表和分析研判报告上报新区</w:t>
      </w:r>
      <w:r>
        <w:rPr>
          <w:rFonts w:hint="eastAsia" w:ascii="仿宋" w:hAnsi="仿宋" w:eastAsia="仿宋" w:cs="仿宋"/>
          <w:sz w:val="24"/>
          <w:szCs w:val="24"/>
          <w:lang w:eastAsia="zh-CN"/>
        </w:rPr>
        <w:t>基层工作部</w:t>
      </w:r>
      <w:r>
        <w:rPr>
          <w:rFonts w:hint="eastAsia" w:ascii="仿宋" w:hAnsi="仿宋" w:eastAsia="仿宋" w:cs="仿宋"/>
          <w:sz w:val="24"/>
          <w:szCs w:val="24"/>
        </w:rPr>
        <w:t>。</w:t>
      </w:r>
    </w:p>
    <w:p w14:paraId="351D04A1">
      <w:pPr>
        <w:pStyle w:val="2"/>
        <w:keepNext w:val="0"/>
        <w:keepLines w:val="0"/>
        <w:pageBreakBefore w:val="0"/>
        <w:widowControl w:val="0"/>
        <w:kinsoku/>
        <w:wordWrap/>
        <w:overflowPunct/>
        <w:topLinePunct w:val="0"/>
        <w:autoSpaceDE w:val="0"/>
        <w:autoSpaceDN w:val="0"/>
        <w:bidi w:val="0"/>
        <w:adjustRightInd/>
        <w:snapToGrid/>
        <w:spacing w:before="0" w:after="0" w:afterLines="0" w:line="360" w:lineRule="auto"/>
        <w:ind w:righ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分析研判报告应包括以下内容：</w:t>
      </w:r>
    </w:p>
    <w:p w14:paraId="6BAD18C0">
      <w:pPr>
        <w:pStyle w:val="2"/>
        <w:keepNext w:val="0"/>
        <w:keepLines w:val="0"/>
        <w:pageBreakBefore w:val="0"/>
        <w:widowControl w:val="0"/>
        <w:kinsoku/>
        <w:wordWrap/>
        <w:overflowPunct/>
        <w:topLinePunct w:val="0"/>
        <w:autoSpaceDE w:val="0"/>
        <w:autoSpaceDN w:val="0"/>
        <w:bidi w:val="0"/>
        <w:adjustRightInd/>
        <w:snapToGrid/>
        <w:spacing w:before="0" w:after="0" w:afterLines="0" w:line="360" w:lineRule="auto"/>
        <w:ind w:righ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（一）监测结果总体概况</w:t>
      </w:r>
    </w:p>
    <w:p w14:paraId="00ACA59C">
      <w:pPr>
        <w:pStyle w:val="2"/>
        <w:keepNext w:val="0"/>
        <w:keepLines w:val="0"/>
        <w:pageBreakBefore w:val="0"/>
        <w:widowControl w:val="0"/>
        <w:kinsoku/>
        <w:wordWrap/>
        <w:overflowPunct/>
        <w:topLinePunct w:val="0"/>
        <w:autoSpaceDE w:val="0"/>
        <w:autoSpaceDN w:val="0"/>
        <w:bidi w:val="0"/>
        <w:adjustRightInd/>
        <w:snapToGrid/>
        <w:spacing w:before="0" w:after="0" w:afterLines="0" w:line="360" w:lineRule="auto"/>
        <w:ind w:righ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（二）监测基本情况：包括监测地点、抽取农产品品种，样品数量、生产企业名称、执行标准、抽检合格率等</w:t>
      </w:r>
    </w:p>
    <w:p w14:paraId="63E4A70F">
      <w:pPr>
        <w:pStyle w:val="2"/>
        <w:keepNext w:val="0"/>
        <w:keepLines w:val="0"/>
        <w:pageBreakBefore w:val="0"/>
        <w:widowControl w:val="0"/>
        <w:kinsoku/>
        <w:wordWrap/>
        <w:overflowPunct/>
        <w:topLinePunct w:val="0"/>
        <w:autoSpaceDE w:val="0"/>
        <w:autoSpaceDN w:val="0"/>
        <w:bidi w:val="0"/>
        <w:adjustRightInd/>
        <w:snapToGrid/>
        <w:spacing w:before="0" w:after="0" w:afterLines="0" w:line="360" w:lineRule="auto"/>
        <w:ind w:righ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eastAsia="zh-CN"/>
        </w:rPr>
        <w:t>三</w:t>
      </w:r>
      <w:r>
        <w:rPr>
          <w:rFonts w:hint="eastAsia" w:ascii="仿宋" w:hAnsi="仿宋" w:eastAsia="仿宋" w:cs="仿宋"/>
          <w:sz w:val="24"/>
          <w:szCs w:val="24"/>
        </w:rPr>
        <w:t xml:space="preserve">）监测结果分析   </w:t>
      </w:r>
    </w:p>
    <w:p w14:paraId="0E2D245D">
      <w:pPr>
        <w:pStyle w:val="2"/>
        <w:keepNext w:val="0"/>
        <w:keepLines w:val="0"/>
        <w:pageBreakBefore w:val="0"/>
        <w:widowControl w:val="0"/>
        <w:kinsoku/>
        <w:wordWrap/>
        <w:overflowPunct/>
        <w:topLinePunct w:val="0"/>
        <w:autoSpaceDE w:val="0"/>
        <w:autoSpaceDN w:val="0"/>
        <w:bidi w:val="0"/>
        <w:adjustRightInd/>
        <w:snapToGrid/>
        <w:spacing w:before="0" w:after="0" w:afterLines="0" w:line="360" w:lineRule="auto"/>
        <w:ind w:righ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1．各监测环节结果比较。</w:t>
      </w:r>
    </w:p>
    <w:p w14:paraId="2A02FF0E">
      <w:pPr>
        <w:pStyle w:val="2"/>
        <w:keepNext w:val="0"/>
        <w:keepLines w:val="0"/>
        <w:pageBreakBefore w:val="0"/>
        <w:widowControl w:val="0"/>
        <w:kinsoku/>
        <w:wordWrap/>
        <w:overflowPunct/>
        <w:topLinePunct w:val="0"/>
        <w:autoSpaceDE w:val="0"/>
        <w:autoSpaceDN w:val="0"/>
        <w:bidi w:val="0"/>
        <w:adjustRightInd/>
        <w:snapToGrid/>
        <w:spacing w:before="0" w:after="0" w:afterLines="0" w:line="360" w:lineRule="auto"/>
        <w:ind w:righ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不同药物（污染物）残留检出率（超标率）结果比较。</w:t>
      </w:r>
    </w:p>
    <w:p w14:paraId="0B2706D1">
      <w:pPr>
        <w:pStyle w:val="2"/>
        <w:keepNext w:val="0"/>
        <w:keepLines w:val="0"/>
        <w:pageBreakBefore w:val="0"/>
        <w:widowControl w:val="0"/>
        <w:kinsoku/>
        <w:wordWrap/>
        <w:overflowPunct/>
        <w:topLinePunct w:val="0"/>
        <w:autoSpaceDE w:val="0"/>
        <w:autoSpaceDN w:val="0"/>
        <w:bidi w:val="0"/>
        <w:adjustRightInd/>
        <w:snapToGrid/>
        <w:spacing w:before="0" w:after="0" w:afterLines="0" w:line="360" w:lineRule="auto"/>
        <w:ind w:righ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监测发现的突出问题。</w:t>
      </w:r>
    </w:p>
    <w:p w14:paraId="29DAAD3B">
      <w:pPr>
        <w:pStyle w:val="2"/>
        <w:keepNext w:val="0"/>
        <w:keepLines w:val="0"/>
        <w:pageBreakBefore w:val="0"/>
        <w:widowControl w:val="0"/>
        <w:kinsoku/>
        <w:wordWrap/>
        <w:overflowPunct/>
        <w:topLinePunct w:val="0"/>
        <w:autoSpaceDE w:val="0"/>
        <w:autoSpaceDN w:val="0"/>
        <w:bidi w:val="0"/>
        <w:adjustRightInd/>
        <w:snapToGrid/>
        <w:spacing w:before="0" w:after="0" w:afterLines="0" w:line="360" w:lineRule="auto"/>
        <w:ind w:righ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不合格样品的溯源情况。</w:t>
      </w:r>
    </w:p>
    <w:p w14:paraId="75F891A3">
      <w:pPr>
        <w:pStyle w:val="2"/>
        <w:keepNext w:val="0"/>
        <w:keepLines w:val="0"/>
        <w:pageBreakBefore w:val="0"/>
        <w:widowControl w:val="0"/>
        <w:kinsoku/>
        <w:wordWrap/>
        <w:overflowPunct/>
        <w:topLinePunct w:val="0"/>
        <w:autoSpaceDE w:val="0"/>
        <w:autoSpaceDN w:val="0"/>
        <w:bidi w:val="0"/>
        <w:adjustRightInd/>
        <w:snapToGrid/>
        <w:spacing w:before="0" w:after="0" w:afterLines="0" w:line="360" w:lineRule="auto"/>
        <w:ind w:righ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原因分析。对策、措施和建议。</w:t>
      </w:r>
    </w:p>
    <w:p w14:paraId="08D26050">
      <w:pPr>
        <w:pStyle w:val="2"/>
        <w:keepNext w:val="0"/>
        <w:keepLines w:val="0"/>
        <w:pageBreakBefore w:val="0"/>
        <w:widowControl w:val="0"/>
        <w:kinsoku/>
        <w:wordWrap/>
        <w:overflowPunct/>
        <w:topLinePunct w:val="0"/>
        <w:autoSpaceDE w:val="0"/>
        <w:autoSpaceDN w:val="0"/>
        <w:bidi w:val="0"/>
        <w:adjustRightInd/>
        <w:snapToGrid/>
        <w:spacing w:before="0" w:after="0" w:afterLines="0" w:line="360" w:lineRule="auto"/>
        <w:ind w:righ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6.</w:t>
      </w:r>
      <w:r>
        <w:rPr>
          <w:rFonts w:hint="eastAsia" w:ascii="仿宋" w:hAnsi="仿宋" w:eastAsia="仿宋" w:cs="仿宋"/>
          <w:sz w:val="24"/>
          <w:szCs w:val="24"/>
        </w:rPr>
        <w:t>有关事项</w:t>
      </w:r>
    </w:p>
    <w:p w14:paraId="0412B1E2">
      <w:pPr>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right="0" w:righ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（一）监测工作应严格遵守《农产品质量安全监测管理办法》</w:t>
      </w:r>
      <w:r>
        <w:rPr>
          <w:rFonts w:hint="eastAsia" w:ascii="仿宋" w:hAnsi="仿宋" w:eastAsia="仿宋" w:cs="仿宋"/>
          <w:sz w:val="24"/>
          <w:szCs w:val="24"/>
          <w:lang w:eastAsia="zh-CN"/>
        </w:rPr>
        <w:t>《产地水产品质量安全监督抽查工作暂行规定》等规定</w:t>
      </w:r>
      <w:r>
        <w:rPr>
          <w:rFonts w:hint="eastAsia" w:ascii="仿宋" w:hAnsi="仿宋" w:eastAsia="仿宋" w:cs="仿宋"/>
          <w:sz w:val="24"/>
          <w:szCs w:val="24"/>
        </w:rPr>
        <w:t>，保证监测结果的科学性、代表性和真实性。</w:t>
      </w:r>
    </w:p>
    <w:p w14:paraId="14D5BCA1">
      <w:pPr>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right="0" w:righ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lang w:eastAsia="zh-CN"/>
        </w:rPr>
        <w:t>（二）</w:t>
      </w:r>
      <w:r>
        <w:rPr>
          <w:rFonts w:hint="eastAsia" w:ascii="仿宋" w:hAnsi="仿宋" w:eastAsia="仿宋" w:cs="仿宋"/>
          <w:sz w:val="24"/>
          <w:szCs w:val="24"/>
        </w:rPr>
        <w:t>未经新区</w:t>
      </w:r>
      <w:r>
        <w:rPr>
          <w:rFonts w:hint="eastAsia" w:ascii="仿宋" w:hAnsi="仿宋" w:eastAsia="仿宋" w:cs="仿宋"/>
          <w:sz w:val="24"/>
          <w:szCs w:val="24"/>
          <w:lang w:eastAsia="zh-CN"/>
        </w:rPr>
        <w:t>基层工作部</w:t>
      </w:r>
      <w:r>
        <w:rPr>
          <w:rFonts w:hint="eastAsia" w:ascii="仿宋" w:hAnsi="仿宋" w:eastAsia="仿宋" w:cs="仿宋"/>
          <w:sz w:val="24"/>
          <w:szCs w:val="24"/>
        </w:rPr>
        <w:t>同意，任何单位和个人不得引用和公布监测结果。</w:t>
      </w:r>
    </w:p>
    <w:p w14:paraId="2D016335">
      <w:pPr>
        <w:keepNext w:val="0"/>
        <w:keepLines w:val="0"/>
        <w:pageBreakBefore w:val="0"/>
        <w:widowControl w:val="0"/>
        <w:kinsoku/>
        <w:wordWrap/>
        <w:overflowPunct/>
        <w:topLinePunct w:val="0"/>
        <w:autoSpaceDE w:val="0"/>
        <w:autoSpaceDN w:val="0"/>
        <w:bidi w:val="0"/>
        <w:adjustRightInd/>
        <w:snapToGrid/>
        <w:spacing w:before="0" w:line="360" w:lineRule="auto"/>
        <w:ind w:right="0" w:firstLine="482" w:firstLineChars="200"/>
        <w:jc w:val="left"/>
        <w:textAlignment w:val="auto"/>
        <w:rPr>
          <w:rFonts w:hint="eastAsia" w:ascii="仿宋" w:hAnsi="仿宋" w:eastAsia="仿宋" w:cs="仿宋"/>
          <w:b/>
          <w:bCs w:val="0"/>
          <w:sz w:val="24"/>
          <w:szCs w:val="24"/>
        </w:rPr>
      </w:pPr>
      <w:r>
        <w:rPr>
          <w:rFonts w:hint="eastAsia" w:ascii="仿宋" w:hAnsi="仿宋" w:eastAsia="仿宋" w:cs="仿宋"/>
          <w:b/>
          <w:bCs w:val="0"/>
          <w:sz w:val="24"/>
          <w:szCs w:val="24"/>
          <w:lang w:eastAsia="zh-CN"/>
        </w:rPr>
        <w:t>八、</w:t>
      </w:r>
      <w:r>
        <w:rPr>
          <w:rFonts w:hint="eastAsia" w:ascii="仿宋" w:hAnsi="仿宋" w:eastAsia="仿宋" w:cs="仿宋"/>
          <w:b/>
          <w:bCs w:val="0"/>
          <w:sz w:val="24"/>
          <w:szCs w:val="24"/>
        </w:rPr>
        <w:t>服务方式方法及抽检频率</w:t>
      </w:r>
    </w:p>
    <w:p w14:paraId="5B7CF54B">
      <w:pPr>
        <w:pStyle w:val="2"/>
        <w:keepNext w:val="0"/>
        <w:keepLines w:val="0"/>
        <w:pageBreakBefore w:val="0"/>
        <w:widowControl w:val="0"/>
        <w:kinsoku/>
        <w:wordWrap/>
        <w:overflowPunct/>
        <w:topLinePunct w:val="0"/>
        <w:autoSpaceDE w:val="0"/>
        <w:autoSpaceDN w:val="0"/>
        <w:bidi w:val="0"/>
        <w:adjustRightInd/>
        <w:snapToGrid/>
        <w:spacing w:before="0" w:after="0" w:afterLines="0" w:line="360" w:lineRule="auto"/>
        <w:ind w:righ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（一）第三方</w:t>
      </w:r>
      <w:r>
        <w:rPr>
          <w:rFonts w:hint="eastAsia" w:ascii="仿宋" w:hAnsi="仿宋" w:eastAsia="仿宋" w:cs="仿宋"/>
          <w:sz w:val="24"/>
          <w:szCs w:val="24"/>
          <w:lang w:eastAsia="zh-CN"/>
        </w:rPr>
        <w:t>检测</w:t>
      </w:r>
      <w:r>
        <w:rPr>
          <w:rFonts w:hint="eastAsia" w:ascii="仿宋" w:hAnsi="仿宋" w:eastAsia="仿宋" w:cs="仿宋"/>
          <w:sz w:val="24"/>
          <w:szCs w:val="24"/>
        </w:rPr>
        <w:t>机构负责提供采样人员、交通、样品采集、检测工作所需的一切工作条件。</w:t>
      </w:r>
    </w:p>
    <w:p w14:paraId="1D82BBD4">
      <w:pPr>
        <w:pStyle w:val="2"/>
        <w:keepNext w:val="0"/>
        <w:keepLines w:val="0"/>
        <w:pageBreakBefore w:val="0"/>
        <w:widowControl w:val="0"/>
        <w:kinsoku/>
        <w:wordWrap/>
        <w:overflowPunct/>
        <w:topLinePunct w:val="0"/>
        <w:autoSpaceDE w:val="0"/>
        <w:autoSpaceDN w:val="0"/>
        <w:bidi w:val="0"/>
        <w:adjustRightInd/>
        <w:snapToGrid/>
        <w:spacing w:before="0" w:after="0" w:afterLines="0" w:line="360" w:lineRule="auto"/>
        <w:ind w:right="0" w:firstLine="480" w:firstLineChars="200"/>
        <w:textAlignment w:val="auto"/>
        <w:rPr>
          <w:rFonts w:hint="eastAsia" w:ascii="仿宋" w:hAnsi="仿宋" w:eastAsia="仿宋" w:cs="仿宋"/>
          <w:b/>
          <w:bCs/>
          <w:sz w:val="24"/>
          <w:szCs w:val="24"/>
        </w:rPr>
      </w:pPr>
      <w:r>
        <w:rPr>
          <w:rFonts w:hint="eastAsia" w:ascii="仿宋" w:hAnsi="仿宋" w:eastAsia="仿宋" w:cs="仿宋"/>
          <w:sz w:val="24"/>
          <w:szCs w:val="24"/>
        </w:rPr>
        <w:t>（二）例行监测抽检工作每</w:t>
      </w:r>
      <w:r>
        <w:rPr>
          <w:rFonts w:hint="eastAsia" w:ascii="仿宋" w:hAnsi="仿宋" w:eastAsia="仿宋" w:cs="仿宋"/>
          <w:sz w:val="24"/>
          <w:szCs w:val="24"/>
          <w:lang w:eastAsia="zh-CN"/>
        </w:rPr>
        <w:t>月</w:t>
      </w:r>
      <w:r>
        <w:rPr>
          <w:rFonts w:hint="eastAsia" w:ascii="仿宋" w:hAnsi="仿宋" w:eastAsia="仿宋" w:cs="仿宋"/>
          <w:sz w:val="24"/>
          <w:szCs w:val="24"/>
        </w:rPr>
        <w:t>一次，专项抽检、监督抽检根据工作需要具体安排， 由第三方</w:t>
      </w:r>
      <w:r>
        <w:rPr>
          <w:rFonts w:hint="eastAsia" w:ascii="仿宋" w:hAnsi="仿宋" w:eastAsia="仿宋" w:cs="仿宋"/>
          <w:sz w:val="24"/>
          <w:szCs w:val="24"/>
          <w:lang w:eastAsia="zh-CN"/>
        </w:rPr>
        <w:t>检测</w:t>
      </w:r>
      <w:r>
        <w:rPr>
          <w:rFonts w:hint="eastAsia" w:ascii="仿宋" w:hAnsi="仿宋" w:eastAsia="仿宋" w:cs="仿宋"/>
          <w:sz w:val="24"/>
          <w:szCs w:val="24"/>
        </w:rPr>
        <w:t>机构按照约定要求开展抽检，因工作需要改变计划的以最新计划为准。</w:t>
      </w:r>
    </w:p>
    <w:p w14:paraId="4244A74C">
      <w:pPr>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right="0" w:rightChars="0" w:firstLine="482" w:firstLineChars="200"/>
        <w:jc w:val="left"/>
        <w:textAlignment w:val="auto"/>
        <w:rPr>
          <w:rFonts w:hint="eastAsia" w:ascii="仿宋" w:hAnsi="仿宋" w:eastAsia="仿宋" w:cs="仿宋"/>
          <w:b/>
          <w:bCs/>
          <w:sz w:val="24"/>
          <w:szCs w:val="24"/>
        </w:rPr>
      </w:pPr>
      <w:r>
        <w:rPr>
          <w:rFonts w:hint="eastAsia" w:ascii="仿宋" w:hAnsi="仿宋" w:eastAsia="仿宋" w:cs="仿宋"/>
          <w:b/>
          <w:bCs/>
          <w:sz w:val="24"/>
          <w:szCs w:val="24"/>
          <w:lang w:eastAsia="zh-CN"/>
        </w:rPr>
        <w:t>九、</w:t>
      </w:r>
      <w:r>
        <w:rPr>
          <w:rFonts w:hint="eastAsia" w:ascii="仿宋" w:hAnsi="仿宋" w:eastAsia="仿宋" w:cs="仿宋"/>
          <w:b/>
          <w:bCs/>
          <w:sz w:val="24"/>
          <w:szCs w:val="24"/>
        </w:rPr>
        <w:t>服务工作成果</w:t>
      </w:r>
    </w:p>
    <w:p w14:paraId="58220E6B">
      <w:pPr>
        <w:pStyle w:val="2"/>
        <w:keepNext w:val="0"/>
        <w:keepLines w:val="0"/>
        <w:pageBreakBefore w:val="0"/>
        <w:widowControl w:val="0"/>
        <w:kinsoku/>
        <w:wordWrap/>
        <w:overflowPunct/>
        <w:topLinePunct w:val="0"/>
        <w:autoSpaceDE w:val="0"/>
        <w:autoSpaceDN w:val="0"/>
        <w:bidi w:val="0"/>
        <w:adjustRightInd/>
        <w:snapToGrid/>
        <w:spacing w:before="0" w:after="0" w:afterLines="0" w:line="360" w:lineRule="auto"/>
        <w:ind w:righ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服务工作成果包括样品检测报告、监测结果汇总表和监测结果分析报告等内容。</w:t>
      </w:r>
    </w:p>
    <w:p w14:paraId="05C78DA4">
      <w:pPr>
        <w:pStyle w:val="2"/>
        <w:keepNext w:val="0"/>
        <w:keepLines w:val="0"/>
        <w:pageBreakBefore w:val="0"/>
        <w:widowControl w:val="0"/>
        <w:numPr>
          <w:ilvl w:val="0"/>
          <w:numId w:val="1"/>
        </w:numPr>
        <w:kinsoku/>
        <w:wordWrap/>
        <w:overflowPunct/>
        <w:topLinePunct w:val="0"/>
        <w:autoSpaceDE w:val="0"/>
        <w:autoSpaceDN w:val="0"/>
        <w:bidi w:val="0"/>
        <w:adjustRightInd/>
        <w:snapToGrid/>
        <w:spacing w:before="0" w:after="0" w:afterLines="0" w:line="360" w:lineRule="auto"/>
        <w:ind w:righ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检测报告：每个样品检测完成后必须出具样品检测报告，包括以下内容：抽样日期、样品名称、被抽样单位、负责人姓名、电话、抽样基数、检测项目、结论判定等相关内容。</w:t>
      </w:r>
    </w:p>
    <w:p w14:paraId="326CA90F">
      <w:pPr>
        <w:pStyle w:val="2"/>
        <w:keepNext w:val="0"/>
        <w:keepLines w:val="0"/>
        <w:pageBreakBefore w:val="0"/>
        <w:widowControl w:val="0"/>
        <w:numPr>
          <w:ilvl w:val="0"/>
          <w:numId w:val="1"/>
        </w:numPr>
        <w:kinsoku/>
        <w:wordWrap/>
        <w:overflowPunct/>
        <w:topLinePunct w:val="0"/>
        <w:autoSpaceDE w:val="0"/>
        <w:autoSpaceDN w:val="0"/>
        <w:bidi w:val="0"/>
        <w:adjustRightInd/>
        <w:snapToGrid/>
        <w:spacing w:before="0" w:after="0" w:afterLines="0" w:line="360" w:lineRule="auto"/>
        <w:ind w:left="0" w:leftChars="0" w:right="0" w:righ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监测结果汇总表：每季度对检测数量、检测品种、合格率等结果进行汇总统计。</w:t>
      </w:r>
    </w:p>
    <w:p w14:paraId="55F94F53">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0" w:after="0" w:afterLines="0" w:line="360" w:lineRule="auto"/>
        <w:ind w:right="0" w:righ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（三）监测结果分析报告：包括监测结果总体概况、监测基本情况、监测结果分析（</w:t>
      </w:r>
      <w:r>
        <w:rPr>
          <w:rFonts w:hint="eastAsia" w:ascii="仿宋" w:hAnsi="仿宋" w:eastAsia="仿宋" w:cs="仿宋"/>
          <w:sz w:val="24"/>
          <w:szCs w:val="24"/>
          <w:lang w:eastAsia="zh-CN"/>
        </w:rPr>
        <w:t>监测</w:t>
      </w:r>
      <w:r>
        <w:rPr>
          <w:rFonts w:hint="eastAsia" w:ascii="仿宋" w:hAnsi="仿宋" w:eastAsia="仿宋" w:cs="仿宋"/>
          <w:sz w:val="24"/>
          <w:szCs w:val="24"/>
        </w:rPr>
        <w:t>结果比较、各监测环节结果比较、不同药物（污染物）残留检出率（超标率）结果比较、监测发现的突出问题等）。</w:t>
      </w:r>
    </w:p>
    <w:p w14:paraId="29CBBA88">
      <w:pPr>
        <w:keepNext w:val="0"/>
        <w:keepLines w:val="0"/>
        <w:pageBreakBefore w:val="0"/>
        <w:widowControl w:val="0"/>
        <w:numPr>
          <w:ilvl w:val="0"/>
          <w:numId w:val="0"/>
        </w:numPr>
        <w:suppressAutoHyphens/>
        <w:kinsoku/>
        <w:wordWrap/>
        <w:overflowPunct/>
        <w:topLinePunct w:val="0"/>
        <w:autoSpaceDE w:val="0"/>
        <w:autoSpaceDN w:val="0"/>
        <w:bidi w:val="0"/>
        <w:adjustRightInd/>
        <w:snapToGrid/>
        <w:spacing w:before="0" w:line="360" w:lineRule="auto"/>
        <w:ind w:right="0"/>
        <w:jc w:val="both"/>
        <w:textAlignment w:val="auto"/>
        <w:rPr>
          <w:rFonts w:hint="eastAsia" w:ascii="仿宋" w:hAnsi="仿宋" w:eastAsia="仿宋" w:cs="仿宋"/>
          <w:b/>
          <w:bCs/>
          <w:sz w:val="24"/>
          <w:szCs w:val="24"/>
          <w:lang w:val="en-US" w:eastAsia="zh-CN"/>
        </w:rPr>
      </w:pPr>
    </w:p>
    <w:p w14:paraId="79D8E880">
      <w:pPr>
        <w:keepNext w:val="0"/>
        <w:keepLines w:val="0"/>
        <w:pageBreakBefore w:val="0"/>
        <w:widowControl w:val="0"/>
        <w:kinsoku/>
        <w:wordWrap/>
        <w:overflowPunct/>
        <w:topLinePunct w:val="0"/>
        <w:bidi w:val="0"/>
        <w:adjustRightInd/>
        <w:snapToGrid/>
        <w:spacing w:line="360" w:lineRule="auto"/>
        <w:ind w:righ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附件</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1</w:t>
      </w:r>
      <w:r>
        <w:rPr>
          <w:rFonts w:hint="eastAsia" w:ascii="仿宋" w:hAnsi="仿宋" w:eastAsia="仿宋" w:cs="仿宋"/>
          <w:sz w:val="24"/>
          <w:szCs w:val="24"/>
        </w:rPr>
        <w:t>.种植业（蔬菜、食用菌、水果）监测项目参数和检测方法</w:t>
      </w:r>
    </w:p>
    <w:p w14:paraId="4958CB4F">
      <w:pPr>
        <w:keepNext w:val="0"/>
        <w:keepLines w:val="0"/>
        <w:pageBreakBefore w:val="0"/>
        <w:widowControl w:val="0"/>
        <w:kinsoku/>
        <w:wordWrap/>
        <w:overflowPunct/>
        <w:topLinePunct w:val="0"/>
        <w:bidi w:val="0"/>
        <w:adjustRightInd/>
        <w:snapToGrid/>
        <w:spacing w:line="360" w:lineRule="auto"/>
        <w:ind w:right="0" w:firstLine="1200" w:firstLineChars="5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.畜禽产品监测项目参数和检测方法</w:t>
      </w:r>
    </w:p>
    <w:p w14:paraId="629E2844">
      <w:pPr>
        <w:keepNext w:val="0"/>
        <w:keepLines w:val="0"/>
        <w:pageBreakBefore w:val="0"/>
        <w:widowControl w:val="0"/>
        <w:kinsoku/>
        <w:wordWrap/>
        <w:overflowPunct/>
        <w:topLinePunct w:val="0"/>
        <w:bidi w:val="0"/>
        <w:adjustRightInd/>
        <w:snapToGrid/>
        <w:spacing w:line="360" w:lineRule="auto"/>
        <w:ind w:right="0" w:firstLine="1200" w:firstLineChars="5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r>
        <w:rPr>
          <w:rFonts w:hint="eastAsia" w:ascii="仿宋" w:hAnsi="仿宋" w:eastAsia="仿宋" w:cs="仿宋"/>
          <w:sz w:val="24"/>
          <w:szCs w:val="24"/>
        </w:rPr>
        <w:t>.水产品监测项目参数和检测方法</w:t>
      </w:r>
    </w:p>
    <w:p w14:paraId="0967D4CF">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p>
    <w:p w14:paraId="0386B512">
      <w:pPr>
        <w:keepNext w:val="0"/>
        <w:keepLines w:val="0"/>
        <w:pageBreakBefore w:val="0"/>
        <w:wordWrap/>
        <w:overflowPunct/>
        <w:topLinePunct w:val="0"/>
        <w:bidi w:val="0"/>
        <w:spacing w:line="312" w:lineRule="auto"/>
        <w:jc w:val="center"/>
        <w:rPr>
          <w:rFonts w:hint="eastAsia" w:ascii="仿宋" w:hAnsi="仿宋" w:eastAsia="仿宋" w:cs="仿宋"/>
          <w:b/>
          <w:bCs/>
          <w:sz w:val="24"/>
          <w:szCs w:val="24"/>
        </w:rPr>
      </w:pPr>
      <w:r>
        <w:rPr>
          <w:rFonts w:hint="eastAsia" w:ascii="仿宋" w:hAnsi="仿宋" w:eastAsia="仿宋" w:cs="仿宋"/>
          <w:color w:val="auto"/>
          <w:kern w:val="2"/>
          <w:sz w:val="24"/>
          <w:szCs w:val="24"/>
          <w:highlight w:val="none"/>
          <w:lang w:val="en-US" w:eastAsia="zh-CN" w:bidi="ar-SA"/>
        </w:rPr>
        <w:br w:type="page"/>
      </w:r>
      <w:r>
        <w:rPr>
          <w:rFonts w:hint="eastAsia" w:ascii="仿宋" w:hAnsi="仿宋" w:eastAsia="仿宋" w:cs="仿宋"/>
          <w:b/>
          <w:bCs/>
          <w:color w:val="auto"/>
          <w:kern w:val="2"/>
          <w:sz w:val="24"/>
          <w:szCs w:val="24"/>
          <w:highlight w:val="none"/>
          <w:lang w:val="en-US" w:eastAsia="zh-CN" w:bidi="ar-SA"/>
        </w:rPr>
        <w:t>附件1</w:t>
      </w:r>
      <w:r>
        <w:rPr>
          <w:rFonts w:hint="eastAsia" w:ascii="仿宋" w:hAnsi="仿宋" w:eastAsia="仿宋" w:cs="仿宋"/>
          <w:color w:val="auto"/>
          <w:kern w:val="2"/>
          <w:sz w:val="24"/>
          <w:szCs w:val="24"/>
          <w:highlight w:val="none"/>
          <w:lang w:val="en-US" w:eastAsia="zh-CN" w:bidi="ar-SA"/>
        </w:rPr>
        <w:t>.</w:t>
      </w:r>
      <w:r>
        <w:rPr>
          <w:rFonts w:hint="eastAsia" w:ascii="仿宋" w:hAnsi="仿宋" w:eastAsia="仿宋" w:cs="仿宋"/>
          <w:b/>
          <w:bCs/>
          <w:sz w:val="24"/>
          <w:szCs w:val="24"/>
          <w:lang w:val="en-US" w:eastAsia="zh-CN"/>
        </w:rPr>
        <w:t>种植业（</w:t>
      </w:r>
      <w:r>
        <w:rPr>
          <w:rFonts w:hint="eastAsia" w:ascii="仿宋" w:hAnsi="仿宋" w:eastAsia="仿宋" w:cs="仿宋"/>
          <w:b/>
          <w:bCs/>
          <w:sz w:val="24"/>
          <w:szCs w:val="24"/>
        </w:rPr>
        <w:t>蔬菜、食用菌、水果</w:t>
      </w:r>
      <w:r>
        <w:rPr>
          <w:rFonts w:hint="eastAsia" w:ascii="仿宋" w:hAnsi="仿宋" w:eastAsia="仿宋" w:cs="仿宋"/>
          <w:b/>
          <w:bCs/>
          <w:sz w:val="24"/>
          <w:szCs w:val="24"/>
          <w:lang w:eastAsia="zh-CN"/>
        </w:rPr>
        <w:t>）</w:t>
      </w:r>
      <w:r>
        <w:rPr>
          <w:rStyle w:val="20"/>
          <w:rFonts w:hint="eastAsia" w:ascii="仿宋" w:hAnsi="仿宋" w:eastAsia="仿宋" w:cs="仿宋"/>
          <w:b/>
          <w:bCs/>
          <w:color w:val="auto"/>
          <w:sz w:val="24"/>
          <w:szCs w:val="24"/>
          <w:lang w:val="en-US" w:eastAsia="zh-CN"/>
        </w:rPr>
        <w:t>监测项目</w:t>
      </w:r>
      <w:r>
        <w:rPr>
          <w:rStyle w:val="20"/>
          <w:rFonts w:hint="eastAsia" w:ascii="仿宋" w:hAnsi="仿宋" w:eastAsia="仿宋" w:cs="仿宋"/>
          <w:b/>
          <w:bCs/>
          <w:color w:val="auto"/>
          <w:sz w:val="24"/>
          <w:szCs w:val="24"/>
        </w:rPr>
        <w:t>参数和检测方法</w:t>
      </w:r>
    </w:p>
    <w:tbl>
      <w:tblPr>
        <w:tblStyle w:val="11"/>
        <w:tblW w:w="9697"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72"/>
        <w:gridCol w:w="2625"/>
      </w:tblGrid>
      <w:tr w14:paraId="46054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072" w:type="dxa"/>
            <w:noWrap w:val="0"/>
            <w:vAlign w:val="center"/>
          </w:tcPr>
          <w:p w14:paraId="404D9081">
            <w:pPr>
              <w:keepNext w:val="0"/>
              <w:keepLines w:val="0"/>
              <w:pageBreakBefore w:val="0"/>
              <w:widowControl/>
              <w:wordWrap/>
              <w:overflowPunct/>
              <w:topLinePunct w:val="0"/>
              <w:bidi w:val="0"/>
              <w:spacing w:line="312" w:lineRule="auto"/>
              <w:jc w:val="center"/>
              <w:textAlignment w:val="baseline"/>
              <w:rPr>
                <w:rFonts w:hint="eastAsia" w:ascii="仿宋" w:hAnsi="仿宋" w:eastAsia="仿宋" w:cs="仿宋"/>
                <w:sz w:val="21"/>
                <w:szCs w:val="21"/>
              </w:rPr>
            </w:pPr>
            <w:r>
              <w:rPr>
                <w:rFonts w:hint="eastAsia" w:ascii="仿宋" w:hAnsi="仿宋" w:eastAsia="仿宋" w:cs="仿宋"/>
                <w:sz w:val="21"/>
                <w:szCs w:val="21"/>
              </w:rPr>
              <w:t>监测参数</w:t>
            </w:r>
          </w:p>
        </w:tc>
        <w:tc>
          <w:tcPr>
            <w:tcW w:w="2625" w:type="dxa"/>
            <w:noWrap w:val="0"/>
            <w:vAlign w:val="center"/>
          </w:tcPr>
          <w:p w14:paraId="2BB215A8">
            <w:pPr>
              <w:keepNext w:val="0"/>
              <w:keepLines w:val="0"/>
              <w:pageBreakBefore w:val="0"/>
              <w:widowControl/>
              <w:wordWrap/>
              <w:overflowPunct/>
              <w:topLinePunct w:val="0"/>
              <w:bidi w:val="0"/>
              <w:spacing w:line="312" w:lineRule="auto"/>
              <w:jc w:val="center"/>
              <w:textAlignment w:val="baseline"/>
              <w:rPr>
                <w:rFonts w:hint="eastAsia" w:ascii="仿宋" w:hAnsi="仿宋" w:eastAsia="仿宋" w:cs="仿宋"/>
                <w:sz w:val="21"/>
                <w:szCs w:val="21"/>
              </w:rPr>
            </w:pPr>
            <w:r>
              <w:rPr>
                <w:rFonts w:hint="eastAsia" w:ascii="仿宋" w:hAnsi="仿宋" w:eastAsia="仿宋" w:cs="仿宋"/>
                <w:sz w:val="21"/>
                <w:szCs w:val="21"/>
              </w:rPr>
              <w:t>检测方法</w:t>
            </w:r>
          </w:p>
        </w:tc>
      </w:tr>
      <w:tr w14:paraId="76CFB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7072" w:type="dxa"/>
            <w:noWrap w:val="0"/>
            <w:vAlign w:val="top"/>
          </w:tcPr>
          <w:p w14:paraId="50158465">
            <w:pPr>
              <w:keepNext w:val="0"/>
              <w:keepLines w:val="0"/>
              <w:pageBreakBefore w:val="0"/>
              <w:widowControl/>
              <w:tabs>
                <w:tab w:val="left" w:pos="1150"/>
              </w:tabs>
              <w:wordWrap/>
              <w:overflowPunct/>
              <w:topLinePunct w:val="0"/>
              <w:bidi w:val="0"/>
              <w:spacing w:line="312" w:lineRule="auto"/>
              <w:textAlignment w:val="baseline"/>
              <w:rPr>
                <w:rFonts w:hint="eastAsia" w:ascii="仿宋" w:hAnsi="仿宋" w:eastAsia="仿宋" w:cs="仿宋"/>
                <w:sz w:val="21"/>
                <w:szCs w:val="21"/>
              </w:rPr>
            </w:pPr>
            <w:r>
              <w:rPr>
                <w:rFonts w:hint="eastAsia" w:ascii="仿宋" w:hAnsi="仿宋" w:eastAsia="仿宋" w:cs="仿宋"/>
                <w:b/>
                <w:bCs/>
                <w:sz w:val="21"/>
                <w:szCs w:val="21"/>
              </w:rPr>
              <w:t>禁用农药</w:t>
            </w:r>
            <w:r>
              <w:rPr>
                <w:rFonts w:hint="eastAsia" w:ascii="仿宋" w:hAnsi="仿宋" w:eastAsia="仿宋" w:cs="仿宋"/>
                <w:sz w:val="21"/>
                <w:szCs w:val="21"/>
              </w:rPr>
              <w:t>甲胺磷、对硫磷、甲基对硫磷、六六六、三氯杀螨醇、甲拌磷、水胺硫磷、甲基异柳磷；氧乐果、克百威（包括3-羟基克百威)、涕灭威（包括涕灭威砜和涕灭威亚砜）、灭多威（2026年6月1日起禁止使用）、灭线磷、杀扑磷</w:t>
            </w:r>
          </w:p>
          <w:p w14:paraId="6715858B">
            <w:pPr>
              <w:keepNext w:val="0"/>
              <w:keepLines w:val="0"/>
              <w:pageBreakBefore w:val="0"/>
              <w:widowControl/>
              <w:tabs>
                <w:tab w:val="left" w:pos="1150"/>
              </w:tabs>
              <w:wordWrap/>
              <w:overflowPunct/>
              <w:topLinePunct w:val="0"/>
              <w:bidi w:val="0"/>
              <w:spacing w:line="312" w:lineRule="auto"/>
              <w:textAlignment w:val="baseline"/>
              <w:rPr>
                <w:rFonts w:hint="eastAsia" w:ascii="仿宋" w:hAnsi="仿宋" w:eastAsia="仿宋" w:cs="仿宋"/>
                <w:sz w:val="21"/>
                <w:szCs w:val="21"/>
              </w:rPr>
            </w:pPr>
            <w:r>
              <w:rPr>
                <w:rFonts w:hint="eastAsia" w:ascii="仿宋" w:hAnsi="仿宋" w:eastAsia="仿宋" w:cs="仿宋"/>
                <w:b/>
                <w:bCs/>
                <w:sz w:val="21"/>
                <w:szCs w:val="21"/>
              </w:rPr>
              <w:t>限用农药</w:t>
            </w:r>
            <w:r>
              <w:rPr>
                <w:rFonts w:hint="eastAsia" w:ascii="仿宋" w:hAnsi="仿宋" w:eastAsia="仿宋" w:cs="仿宋"/>
                <w:sz w:val="21"/>
                <w:szCs w:val="21"/>
              </w:rPr>
              <w:t>氟虫腈（包括氟甲腈、氟虫腈硫醚、氟虫腈砜）、毒死蜱、三唑磷、乐果、乙酰甲胺磷</w:t>
            </w:r>
          </w:p>
          <w:p w14:paraId="1EFC3913">
            <w:pPr>
              <w:keepNext w:val="0"/>
              <w:keepLines w:val="0"/>
              <w:pageBreakBefore w:val="0"/>
              <w:widowControl/>
              <w:tabs>
                <w:tab w:val="left" w:pos="1150"/>
              </w:tabs>
              <w:wordWrap/>
              <w:overflowPunct/>
              <w:topLinePunct w:val="0"/>
              <w:bidi w:val="0"/>
              <w:spacing w:line="312" w:lineRule="auto"/>
              <w:textAlignment w:val="baseline"/>
              <w:rPr>
                <w:rFonts w:hint="eastAsia" w:ascii="仿宋" w:hAnsi="仿宋" w:eastAsia="仿宋" w:cs="仿宋"/>
                <w:sz w:val="21"/>
                <w:szCs w:val="21"/>
              </w:rPr>
            </w:pPr>
            <w:r>
              <w:rPr>
                <w:rFonts w:hint="eastAsia" w:ascii="仿宋" w:hAnsi="仿宋" w:eastAsia="仿宋" w:cs="仿宋"/>
                <w:b/>
                <w:bCs/>
                <w:sz w:val="21"/>
                <w:szCs w:val="21"/>
              </w:rPr>
              <w:t>常规农药</w:t>
            </w:r>
            <w:r>
              <w:rPr>
                <w:rFonts w:hint="eastAsia" w:ascii="仿宋" w:hAnsi="仿宋" w:eastAsia="仿宋" w:cs="仿宋"/>
                <w:sz w:val="21"/>
                <w:szCs w:val="21"/>
              </w:rPr>
              <w:t>敌敌畏、杀螟硫磷、丙溴磷、马拉硫磷、亚胺硫磷、辛硫磷、氯氰菊酯、氰戊菊酯、溴氰菊酯、甲氰菊酯、联苯菊酯、氯氟氰菊酯、氟氯氰菊酯、氯吡脲、除虫脲、灭幼脲、吡虫啉、啶虫脒、哒螨灵、阿维菌素、甲氨基阿维菌素苯甲酸盐、虫螨腈、噻虫嗪、氟啶脲、异菌脲、五氯硝基苯、三唑酮、百菌清、腐霉利、乙烯菌核利、多菌灵、苯醚甲环唑、嘧霉胺、烯酰吗啉、咪鲜胺、嘧菌酯、二甲戊灵、灭蝇胺、甲霜灵、霜霉威、氯虫苯甲酰胺、氯菊酯（异构体之和）、醚菊酯、虫酰肼、吡唑醚菌酯、</w:t>
            </w:r>
            <w:r>
              <w:rPr>
                <w:rFonts w:hint="eastAsia" w:ascii="仿宋" w:hAnsi="仿宋" w:eastAsia="仿宋" w:cs="仿宋"/>
                <w:sz w:val="21"/>
                <w:szCs w:val="21"/>
                <w:lang w:eastAsia="zh-CN"/>
              </w:rPr>
              <w:t>二</w:t>
            </w:r>
            <w:r>
              <w:rPr>
                <w:rFonts w:hint="eastAsia" w:ascii="仿宋" w:hAnsi="仿宋" w:eastAsia="仿宋" w:cs="仿宋"/>
                <w:sz w:val="21"/>
                <w:szCs w:val="21"/>
              </w:rPr>
              <w:t>嗪磷、伏杀硫磷、甲萘威、氟胺氰菊酯、三唑醇、多效唑</w:t>
            </w:r>
          </w:p>
        </w:tc>
        <w:tc>
          <w:tcPr>
            <w:tcW w:w="2625" w:type="dxa"/>
            <w:noWrap w:val="0"/>
            <w:vAlign w:val="center"/>
          </w:tcPr>
          <w:p w14:paraId="4577CE9F">
            <w:pPr>
              <w:keepNext w:val="0"/>
              <w:keepLines w:val="0"/>
              <w:pageBreakBefore w:val="0"/>
              <w:widowControl/>
              <w:wordWrap/>
              <w:overflowPunct/>
              <w:topLinePunct w:val="0"/>
              <w:bidi w:val="0"/>
              <w:spacing w:line="312" w:lineRule="auto"/>
              <w:textAlignment w:val="baseline"/>
              <w:rPr>
                <w:rFonts w:hint="eastAsia" w:ascii="仿宋" w:hAnsi="仿宋" w:eastAsia="仿宋" w:cs="仿宋"/>
                <w:sz w:val="21"/>
                <w:szCs w:val="21"/>
              </w:rPr>
            </w:pPr>
            <w:r>
              <w:rPr>
                <w:rFonts w:hint="eastAsia" w:ascii="仿宋" w:hAnsi="仿宋" w:eastAsia="仿宋" w:cs="仿宋"/>
                <w:sz w:val="21"/>
                <w:szCs w:val="21"/>
              </w:rPr>
              <w:t>按GB/T 20769</w:t>
            </w:r>
          </w:p>
          <w:p w14:paraId="7AA04817">
            <w:pPr>
              <w:keepNext w:val="0"/>
              <w:keepLines w:val="0"/>
              <w:pageBreakBefore w:val="0"/>
              <w:widowControl/>
              <w:wordWrap/>
              <w:overflowPunct/>
              <w:topLinePunct w:val="0"/>
              <w:bidi w:val="0"/>
              <w:spacing w:line="312" w:lineRule="auto"/>
              <w:textAlignment w:val="baseline"/>
              <w:rPr>
                <w:rFonts w:hint="eastAsia" w:ascii="仿宋" w:hAnsi="仿宋" w:eastAsia="仿宋" w:cs="仿宋"/>
                <w:sz w:val="21"/>
                <w:szCs w:val="21"/>
              </w:rPr>
            </w:pPr>
            <w:r>
              <w:rPr>
                <w:rFonts w:hint="eastAsia" w:ascii="仿宋" w:hAnsi="仿宋" w:eastAsia="仿宋" w:cs="仿宋"/>
                <w:sz w:val="21"/>
                <w:szCs w:val="21"/>
              </w:rPr>
              <w:t>或GB 23200.113</w:t>
            </w:r>
          </w:p>
          <w:p w14:paraId="184B0C06">
            <w:pPr>
              <w:keepNext w:val="0"/>
              <w:keepLines w:val="0"/>
              <w:pageBreakBefore w:val="0"/>
              <w:widowControl/>
              <w:wordWrap/>
              <w:overflowPunct/>
              <w:topLinePunct w:val="0"/>
              <w:bidi w:val="0"/>
              <w:spacing w:line="312" w:lineRule="auto"/>
              <w:textAlignment w:val="baseline"/>
              <w:rPr>
                <w:rFonts w:hint="eastAsia" w:ascii="仿宋" w:hAnsi="仿宋" w:eastAsia="仿宋" w:cs="仿宋"/>
                <w:sz w:val="21"/>
                <w:szCs w:val="21"/>
              </w:rPr>
            </w:pPr>
            <w:r>
              <w:rPr>
                <w:rFonts w:hint="eastAsia" w:ascii="仿宋" w:hAnsi="仿宋" w:eastAsia="仿宋" w:cs="仿宋"/>
                <w:sz w:val="21"/>
                <w:szCs w:val="21"/>
              </w:rPr>
              <w:t>或GB 23200.121</w:t>
            </w:r>
          </w:p>
          <w:p w14:paraId="61BC1959">
            <w:pPr>
              <w:keepNext w:val="0"/>
              <w:keepLines w:val="0"/>
              <w:pageBreakBefore w:val="0"/>
              <w:widowControl/>
              <w:wordWrap/>
              <w:overflowPunct/>
              <w:topLinePunct w:val="0"/>
              <w:bidi w:val="0"/>
              <w:spacing w:line="312" w:lineRule="auto"/>
              <w:textAlignment w:val="baseline"/>
              <w:rPr>
                <w:rFonts w:hint="eastAsia" w:ascii="仿宋" w:hAnsi="仿宋" w:eastAsia="仿宋" w:cs="仿宋"/>
                <w:sz w:val="21"/>
                <w:szCs w:val="21"/>
              </w:rPr>
            </w:pPr>
            <w:r>
              <w:rPr>
                <w:rFonts w:hint="eastAsia" w:ascii="仿宋" w:hAnsi="仿宋" w:eastAsia="仿宋" w:cs="仿宋"/>
                <w:sz w:val="21"/>
                <w:szCs w:val="21"/>
              </w:rPr>
              <w:t>或GB 23200.8</w:t>
            </w:r>
          </w:p>
          <w:p w14:paraId="6CA81101">
            <w:pPr>
              <w:keepNext w:val="0"/>
              <w:keepLines w:val="0"/>
              <w:pageBreakBefore w:val="0"/>
              <w:widowControl/>
              <w:wordWrap/>
              <w:overflowPunct/>
              <w:topLinePunct w:val="0"/>
              <w:bidi w:val="0"/>
              <w:spacing w:line="312" w:lineRule="auto"/>
              <w:textAlignment w:val="baseline"/>
              <w:rPr>
                <w:rFonts w:hint="eastAsia" w:ascii="仿宋" w:hAnsi="仿宋" w:eastAsia="仿宋" w:cs="仿宋"/>
                <w:sz w:val="21"/>
                <w:szCs w:val="21"/>
              </w:rPr>
            </w:pPr>
            <w:r>
              <w:rPr>
                <w:rFonts w:hint="eastAsia" w:ascii="仿宋" w:hAnsi="仿宋" w:eastAsia="仿宋" w:cs="仿宋"/>
                <w:sz w:val="21"/>
                <w:szCs w:val="21"/>
              </w:rPr>
              <w:t>或NY/T 761进行检测</w:t>
            </w:r>
          </w:p>
        </w:tc>
      </w:tr>
    </w:tbl>
    <w:p w14:paraId="59C9BBBC">
      <w:pPr>
        <w:keepNext w:val="0"/>
        <w:keepLines w:val="0"/>
        <w:pageBreakBefore w:val="0"/>
        <w:wordWrap/>
        <w:overflowPunct/>
        <w:topLinePunct w:val="0"/>
        <w:bidi w:val="0"/>
        <w:spacing w:line="312" w:lineRule="auto"/>
        <w:jc w:val="center"/>
        <w:rPr>
          <w:rStyle w:val="20"/>
          <w:rFonts w:hint="eastAsia" w:ascii="仿宋" w:hAnsi="仿宋" w:eastAsia="仿宋" w:cs="仿宋"/>
          <w:b/>
          <w:bCs/>
          <w:color w:val="auto"/>
          <w:sz w:val="24"/>
          <w:szCs w:val="24"/>
        </w:rPr>
      </w:pPr>
      <w:r>
        <w:rPr>
          <w:rFonts w:hint="eastAsia" w:ascii="仿宋" w:hAnsi="仿宋" w:eastAsia="仿宋" w:cs="仿宋"/>
          <w:color w:val="auto"/>
          <w:kern w:val="2"/>
          <w:sz w:val="24"/>
          <w:szCs w:val="24"/>
          <w:highlight w:val="none"/>
          <w:lang w:val="en-US" w:eastAsia="zh-CN" w:bidi="ar-SA"/>
        </w:rPr>
        <w:br w:type="page"/>
      </w:r>
      <w:r>
        <w:rPr>
          <w:rFonts w:hint="eastAsia" w:ascii="仿宋" w:hAnsi="仿宋" w:eastAsia="仿宋" w:cs="仿宋"/>
          <w:b/>
          <w:bCs/>
          <w:color w:val="auto"/>
          <w:kern w:val="2"/>
          <w:sz w:val="24"/>
          <w:szCs w:val="24"/>
          <w:highlight w:val="none"/>
          <w:lang w:val="en-US" w:eastAsia="zh-CN" w:bidi="ar-SA"/>
        </w:rPr>
        <w:t>附件2</w:t>
      </w:r>
      <w:r>
        <w:rPr>
          <w:rFonts w:hint="eastAsia" w:ascii="仿宋" w:hAnsi="仿宋" w:eastAsia="仿宋" w:cs="仿宋"/>
          <w:color w:val="auto"/>
          <w:kern w:val="2"/>
          <w:sz w:val="24"/>
          <w:szCs w:val="24"/>
          <w:highlight w:val="none"/>
          <w:lang w:val="en-US" w:eastAsia="zh-CN" w:bidi="ar-SA"/>
        </w:rPr>
        <w:t>.</w:t>
      </w:r>
      <w:r>
        <w:rPr>
          <w:rStyle w:val="20"/>
          <w:rFonts w:hint="eastAsia" w:ascii="仿宋" w:hAnsi="仿宋" w:eastAsia="仿宋" w:cs="仿宋"/>
          <w:b/>
          <w:bCs/>
          <w:color w:val="auto"/>
          <w:sz w:val="24"/>
          <w:szCs w:val="24"/>
        </w:rPr>
        <w:t>畜禽产品</w:t>
      </w:r>
      <w:r>
        <w:rPr>
          <w:rStyle w:val="20"/>
          <w:rFonts w:hint="eastAsia" w:ascii="仿宋" w:hAnsi="仿宋" w:eastAsia="仿宋" w:cs="仿宋"/>
          <w:b/>
          <w:bCs/>
          <w:color w:val="auto"/>
          <w:sz w:val="24"/>
          <w:szCs w:val="24"/>
          <w:lang w:val="en-US" w:eastAsia="zh-CN"/>
        </w:rPr>
        <w:t>监测项目</w:t>
      </w:r>
      <w:r>
        <w:rPr>
          <w:rStyle w:val="20"/>
          <w:rFonts w:hint="eastAsia" w:ascii="仿宋" w:hAnsi="仿宋" w:eastAsia="仿宋" w:cs="仿宋"/>
          <w:b/>
          <w:bCs/>
          <w:color w:val="auto"/>
          <w:sz w:val="24"/>
          <w:szCs w:val="24"/>
        </w:rPr>
        <w:t>参数和检测方法</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41"/>
        <w:gridCol w:w="1282"/>
        <w:gridCol w:w="3899"/>
      </w:tblGrid>
      <w:tr w14:paraId="43CEB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blHeader/>
        </w:trPr>
        <w:tc>
          <w:tcPr>
            <w:tcW w:w="3796" w:type="dxa"/>
            <w:noWrap w:val="0"/>
            <w:vAlign w:val="center"/>
          </w:tcPr>
          <w:p w14:paraId="7ADDED93">
            <w:pPr>
              <w:keepNext w:val="0"/>
              <w:keepLines w:val="0"/>
              <w:pageBreakBefore w:val="0"/>
              <w:widowControl/>
              <w:wordWrap/>
              <w:overflowPunct/>
              <w:topLinePunct w:val="0"/>
              <w:bidi w:val="0"/>
              <w:spacing w:line="312" w:lineRule="auto"/>
              <w:jc w:val="center"/>
              <w:textAlignment w:val="baseline"/>
              <w:rPr>
                <w:rFonts w:hint="eastAsia" w:ascii="仿宋" w:hAnsi="仿宋" w:eastAsia="仿宋" w:cs="仿宋"/>
                <w:sz w:val="21"/>
                <w:szCs w:val="21"/>
              </w:rPr>
            </w:pPr>
            <w:r>
              <w:rPr>
                <w:rFonts w:hint="eastAsia" w:ascii="仿宋" w:hAnsi="仿宋" w:eastAsia="仿宋" w:cs="仿宋"/>
                <w:sz w:val="21"/>
                <w:szCs w:val="21"/>
              </w:rPr>
              <w:t>监测参数</w:t>
            </w:r>
          </w:p>
        </w:tc>
        <w:tc>
          <w:tcPr>
            <w:tcW w:w="1391" w:type="dxa"/>
            <w:noWrap w:val="0"/>
            <w:vAlign w:val="center"/>
          </w:tcPr>
          <w:p w14:paraId="64D42C95">
            <w:pPr>
              <w:keepNext w:val="0"/>
              <w:keepLines w:val="0"/>
              <w:pageBreakBefore w:val="0"/>
              <w:widowControl/>
              <w:wordWrap/>
              <w:overflowPunct/>
              <w:topLinePunct w:val="0"/>
              <w:bidi w:val="0"/>
              <w:spacing w:line="312" w:lineRule="auto"/>
              <w:jc w:val="center"/>
              <w:textAlignment w:val="baseline"/>
              <w:rPr>
                <w:rFonts w:hint="eastAsia" w:ascii="仿宋" w:hAnsi="仿宋" w:eastAsia="仿宋" w:cs="仿宋"/>
                <w:sz w:val="21"/>
                <w:szCs w:val="21"/>
              </w:rPr>
            </w:pPr>
            <w:r>
              <w:rPr>
                <w:rFonts w:hint="eastAsia" w:ascii="仿宋" w:hAnsi="仿宋" w:eastAsia="仿宋" w:cs="仿宋"/>
                <w:sz w:val="21"/>
                <w:szCs w:val="21"/>
              </w:rPr>
              <w:t>样品种类</w:t>
            </w:r>
          </w:p>
        </w:tc>
        <w:tc>
          <w:tcPr>
            <w:tcW w:w="4377" w:type="dxa"/>
            <w:noWrap w:val="0"/>
            <w:vAlign w:val="center"/>
          </w:tcPr>
          <w:p w14:paraId="658ABD82">
            <w:pPr>
              <w:keepNext w:val="0"/>
              <w:keepLines w:val="0"/>
              <w:pageBreakBefore w:val="0"/>
              <w:widowControl/>
              <w:wordWrap/>
              <w:overflowPunct/>
              <w:topLinePunct w:val="0"/>
              <w:bidi w:val="0"/>
              <w:spacing w:line="312" w:lineRule="auto"/>
              <w:jc w:val="center"/>
              <w:textAlignment w:val="baseline"/>
              <w:rPr>
                <w:rFonts w:hint="eastAsia" w:ascii="仿宋" w:hAnsi="仿宋" w:eastAsia="仿宋" w:cs="仿宋"/>
                <w:sz w:val="21"/>
                <w:szCs w:val="21"/>
              </w:rPr>
            </w:pPr>
            <w:r>
              <w:rPr>
                <w:rFonts w:hint="eastAsia" w:ascii="仿宋" w:hAnsi="仿宋" w:eastAsia="仿宋" w:cs="仿宋"/>
                <w:sz w:val="21"/>
                <w:szCs w:val="21"/>
              </w:rPr>
              <w:t>检测方法</w:t>
            </w:r>
          </w:p>
        </w:tc>
      </w:tr>
      <w:tr w14:paraId="6445E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3796" w:type="dxa"/>
            <w:noWrap w:val="0"/>
            <w:vAlign w:val="center"/>
          </w:tcPr>
          <w:p w14:paraId="57A29870">
            <w:pPr>
              <w:keepNext w:val="0"/>
              <w:keepLines w:val="0"/>
              <w:pageBreakBefore w:val="0"/>
              <w:widowControl/>
              <w:wordWrap/>
              <w:overflowPunct/>
              <w:topLinePunct w:val="0"/>
              <w:bidi w:val="0"/>
              <w:snapToGrid w:val="0"/>
              <w:spacing w:line="312" w:lineRule="auto"/>
              <w:textAlignment w:val="baseline"/>
              <w:rPr>
                <w:rFonts w:hint="eastAsia" w:ascii="仿宋" w:hAnsi="仿宋" w:eastAsia="仿宋" w:cs="仿宋"/>
                <w:sz w:val="21"/>
                <w:szCs w:val="21"/>
              </w:rPr>
            </w:pPr>
            <w:r>
              <w:rPr>
                <w:rFonts w:hint="eastAsia" w:ascii="仿宋" w:hAnsi="仿宋" w:eastAsia="仿宋" w:cs="仿宋"/>
                <w:b/>
                <w:bCs/>
                <w:sz w:val="21"/>
                <w:szCs w:val="21"/>
              </w:rPr>
              <w:t>禁用药物</w:t>
            </w:r>
            <w:r>
              <w:rPr>
                <w:rFonts w:hint="eastAsia" w:ascii="仿宋" w:hAnsi="仿宋" w:eastAsia="仿宋" w:cs="仿宋"/>
                <w:sz w:val="21"/>
                <w:szCs w:val="21"/>
              </w:rPr>
              <w:t>β-受体激动剂类（克伦特罗、莱克多巴胺、沙丁胺醇、特布他林、西马特罗、氯丙那林、妥布特罗）</w:t>
            </w:r>
          </w:p>
        </w:tc>
        <w:tc>
          <w:tcPr>
            <w:tcW w:w="1391" w:type="dxa"/>
            <w:vMerge w:val="restart"/>
            <w:noWrap w:val="0"/>
            <w:vAlign w:val="center"/>
          </w:tcPr>
          <w:p w14:paraId="4AE8BDD7">
            <w:pPr>
              <w:keepNext w:val="0"/>
              <w:keepLines w:val="0"/>
              <w:pageBreakBefore w:val="0"/>
              <w:widowControl/>
              <w:wordWrap/>
              <w:overflowPunct/>
              <w:topLinePunct w:val="0"/>
              <w:bidi w:val="0"/>
              <w:snapToGrid w:val="0"/>
              <w:spacing w:line="312" w:lineRule="auto"/>
              <w:jc w:val="center"/>
              <w:textAlignment w:val="baseline"/>
              <w:rPr>
                <w:rFonts w:hint="eastAsia" w:ascii="仿宋" w:hAnsi="仿宋" w:eastAsia="仿宋" w:cs="仿宋"/>
                <w:sz w:val="21"/>
                <w:szCs w:val="21"/>
              </w:rPr>
            </w:pPr>
            <w:r>
              <w:rPr>
                <w:rFonts w:hint="eastAsia" w:ascii="仿宋" w:hAnsi="仿宋" w:eastAsia="仿宋" w:cs="仿宋"/>
                <w:sz w:val="21"/>
                <w:szCs w:val="21"/>
              </w:rPr>
              <w:t>猪肉、猪肝</w:t>
            </w:r>
          </w:p>
          <w:p w14:paraId="6D5C0B69">
            <w:pPr>
              <w:keepNext w:val="0"/>
              <w:keepLines w:val="0"/>
              <w:pageBreakBefore w:val="0"/>
              <w:widowControl/>
              <w:wordWrap/>
              <w:overflowPunct/>
              <w:topLinePunct w:val="0"/>
              <w:bidi w:val="0"/>
              <w:snapToGrid w:val="0"/>
              <w:spacing w:line="312" w:lineRule="auto"/>
              <w:jc w:val="center"/>
              <w:textAlignment w:val="baseline"/>
              <w:rPr>
                <w:rFonts w:hint="eastAsia" w:ascii="仿宋" w:hAnsi="仿宋" w:eastAsia="仿宋" w:cs="仿宋"/>
                <w:sz w:val="21"/>
                <w:szCs w:val="21"/>
              </w:rPr>
            </w:pPr>
            <w:r>
              <w:rPr>
                <w:rFonts w:hint="eastAsia" w:ascii="仿宋" w:hAnsi="仿宋" w:eastAsia="仿宋" w:cs="仿宋"/>
                <w:sz w:val="21"/>
                <w:szCs w:val="21"/>
              </w:rPr>
              <w:t>牛肉、羊肉</w:t>
            </w:r>
          </w:p>
        </w:tc>
        <w:tc>
          <w:tcPr>
            <w:tcW w:w="4377" w:type="dxa"/>
            <w:noWrap w:val="0"/>
            <w:vAlign w:val="center"/>
          </w:tcPr>
          <w:p w14:paraId="62E967FF">
            <w:pPr>
              <w:keepNext w:val="0"/>
              <w:keepLines w:val="0"/>
              <w:pageBreakBefore w:val="0"/>
              <w:widowControl/>
              <w:wordWrap/>
              <w:overflowPunct/>
              <w:topLinePunct w:val="0"/>
              <w:bidi w:val="0"/>
              <w:snapToGrid w:val="0"/>
              <w:spacing w:line="312" w:lineRule="auto"/>
              <w:textAlignment w:val="baseline"/>
              <w:rPr>
                <w:rFonts w:hint="eastAsia" w:ascii="仿宋" w:hAnsi="仿宋" w:eastAsia="仿宋" w:cs="仿宋"/>
                <w:sz w:val="21"/>
                <w:szCs w:val="21"/>
              </w:rPr>
            </w:pPr>
            <w:r>
              <w:rPr>
                <w:rFonts w:hint="eastAsia" w:ascii="仿宋" w:hAnsi="仿宋" w:eastAsia="仿宋" w:cs="仿宋"/>
                <w:sz w:val="21"/>
                <w:szCs w:val="21"/>
              </w:rPr>
              <w:t>按农业部1025号公告-18-2008</w:t>
            </w:r>
          </w:p>
          <w:p w14:paraId="44A670F2">
            <w:pPr>
              <w:keepNext w:val="0"/>
              <w:keepLines w:val="0"/>
              <w:pageBreakBefore w:val="0"/>
              <w:widowControl/>
              <w:wordWrap/>
              <w:overflowPunct/>
              <w:topLinePunct w:val="0"/>
              <w:bidi w:val="0"/>
              <w:snapToGrid w:val="0"/>
              <w:spacing w:line="312" w:lineRule="auto"/>
              <w:textAlignment w:val="baseline"/>
              <w:rPr>
                <w:rFonts w:hint="eastAsia" w:ascii="仿宋" w:hAnsi="仿宋" w:eastAsia="仿宋" w:cs="仿宋"/>
                <w:sz w:val="21"/>
                <w:szCs w:val="21"/>
              </w:rPr>
            </w:pPr>
            <w:r>
              <w:rPr>
                <w:rFonts w:hint="eastAsia" w:ascii="仿宋" w:hAnsi="仿宋" w:eastAsia="仿宋" w:cs="仿宋"/>
                <w:sz w:val="21"/>
                <w:szCs w:val="21"/>
              </w:rPr>
              <w:t>或GB 31658.22进行检测</w:t>
            </w:r>
          </w:p>
        </w:tc>
      </w:tr>
      <w:tr w14:paraId="309BE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blHeader/>
        </w:trPr>
        <w:tc>
          <w:tcPr>
            <w:tcW w:w="3796" w:type="dxa"/>
            <w:noWrap w:val="0"/>
            <w:vAlign w:val="center"/>
          </w:tcPr>
          <w:p w14:paraId="3CF70AC9">
            <w:pPr>
              <w:keepNext w:val="0"/>
              <w:keepLines w:val="0"/>
              <w:pageBreakBefore w:val="0"/>
              <w:widowControl/>
              <w:wordWrap/>
              <w:overflowPunct/>
              <w:topLinePunct w:val="0"/>
              <w:bidi w:val="0"/>
              <w:snapToGrid w:val="0"/>
              <w:spacing w:line="312" w:lineRule="auto"/>
              <w:textAlignment w:val="baseline"/>
              <w:rPr>
                <w:rFonts w:hint="eastAsia" w:ascii="仿宋" w:hAnsi="仿宋" w:eastAsia="仿宋" w:cs="仿宋"/>
                <w:sz w:val="21"/>
                <w:szCs w:val="21"/>
              </w:rPr>
            </w:pPr>
            <w:r>
              <w:rPr>
                <w:rFonts w:hint="eastAsia" w:ascii="仿宋" w:hAnsi="仿宋" w:eastAsia="仿宋" w:cs="仿宋"/>
                <w:b/>
                <w:bCs/>
                <w:sz w:val="21"/>
                <w:szCs w:val="21"/>
              </w:rPr>
              <w:t>常规药物</w:t>
            </w:r>
            <w:r>
              <w:rPr>
                <w:rFonts w:hint="eastAsia" w:ascii="仿宋" w:hAnsi="仿宋" w:eastAsia="仿宋" w:cs="仿宋"/>
                <w:sz w:val="21"/>
                <w:szCs w:val="21"/>
              </w:rPr>
              <w:t>磺胺类（磺胺间甲氧嘧啶、磺胺二甲嘧啶、磺胺甲噁唑、磺胺(间)二甲氧嘧啶、磺胺喹噁啉）</w:t>
            </w:r>
          </w:p>
        </w:tc>
        <w:tc>
          <w:tcPr>
            <w:tcW w:w="1391" w:type="dxa"/>
            <w:vMerge w:val="continue"/>
            <w:noWrap w:val="0"/>
            <w:vAlign w:val="center"/>
          </w:tcPr>
          <w:p w14:paraId="2EEDD32F">
            <w:pPr>
              <w:keepNext w:val="0"/>
              <w:keepLines w:val="0"/>
              <w:pageBreakBefore w:val="0"/>
              <w:widowControl/>
              <w:wordWrap/>
              <w:overflowPunct/>
              <w:topLinePunct w:val="0"/>
              <w:bidi w:val="0"/>
              <w:snapToGrid w:val="0"/>
              <w:spacing w:line="312" w:lineRule="auto"/>
              <w:jc w:val="center"/>
              <w:textAlignment w:val="baseline"/>
              <w:rPr>
                <w:rFonts w:hint="eastAsia" w:ascii="仿宋" w:hAnsi="仿宋" w:eastAsia="仿宋" w:cs="仿宋"/>
                <w:sz w:val="21"/>
                <w:szCs w:val="21"/>
              </w:rPr>
            </w:pPr>
          </w:p>
        </w:tc>
        <w:tc>
          <w:tcPr>
            <w:tcW w:w="4377" w:type="dxa"/>
            <w:noWrap w:val="0"/>
            <w:vAlign w:val="center"/>
          </w:tcPr>
          <w:p w14:paraId="7DF130EF">
            <w:pPr>
              <w:keepNext w:val="0"/>
              <w:keepLines w:val="0"/>
              <w:pageBreakBefore w:val="0"/>
              <w:widowControl/>
              <w:wordWrap/>
              <w:overflowPunct/>
              <w:topLinePunct w:val="0"/>
              <w:bidi w:val="0"/>
              <w:snapToGrid w:val="0"/>
              <w:spacing w:line="312" w:lineRule="auto"/>
              <w:textAlignment w:val="baseline"/>
              <w:rPr>
                <w:rFonts w:hint="eastAsia" w:ascii="仿宋" w:hAnsi="仿宋" w:eastAsia="仿宋" w:cs="仿宋"/>
                <w:sz w:val="21"/>
                <w:szCs w:val="21"/>
              </w:rPr>
            </w:pPr>
            <w:r>
              <w:rPr>
                <w:rFonts w:hint="eastAsia" w:ascii="仿宋" w:hAnsi="仿宋" w:eastAsia="仿宋" w:cs="仿宋"/>
                <w:sz w:val="21"/>
                <w:szCs w:val="21"/>
              </w:rPr>
              <w:t>按GB/T 20759</w:t>
            </w:r>
          </w:p>
          <w:p w14:paraId="69CCE271">
            <w:pPr>
              <w:keepNext w:val="0"/>
              <w:keepLines w:val="0"/>
              <w:pageBreakBefore w:val="0"/>
              <w:widowControl/>
              <w:wordWrap/>
              <w:overflowPunct/>
              <w:topLinePunct w:val="0"/>
              <w:bidi w:val="0"/>
              <w:snapToGrid w:val="0"/>
              <w:spacing w:line="312" w:lineRule="auto"/>
              <w:textAlignment w:val="baseline"/>
              <w:rPr>
                <w:rFonts w:hint="eastAsia" w:ascii="仿宋" w:hAnsi="仿宋" w:eastAsia="仿宋" w:cs="仿宋"/>
                <w:sz w:val="21"/>
                <w:szCs w:val="21"/>
              </w:rPr>
            </w:pPr>
            <w:r>
              <w:rPr>
                <w:rFonts w:hint="eastAsia" w:ascii="仿宋" w:hAnsi="仿宋" w:eastAsia="仿宋" w:cs="仿宋"/>
                <w:sz w:val="21"/>
                <w:szCs w:val="21"/>
              </w:rPr>
              <w:t>或GB 31658.17</w:t>
            </w:r>
          </w:p>
          <w:p w14:paraId="69765DBB">
            <w:pPr>
              <w:keepNext w:val="0"/>
              <w:keepLines w:val="0"/>
              <w:pageBreakBefore w:val="0"/>
              <w:widowControl/>
              <w:wordWrap/>
              <w:overflowPunct/>
              <w:topLinePunct w:val="0"/>
              <w:bidi w:val="0"/>
              <w:snapToGrid w:val="0"/>
              <w:spacing w:line="312" w:lineRule="auto"/>
              <w:textAlignment w:val="baseline"/>
              <w:rPr>
                <w:rFonts w:hint="eastAsia" w:ascii="仿宋" w:hAnsi="仿宋" w:eastAsia="仿宋" w:cs="仿宋"/>
                <w:sz w:val="21"/>
                <w:szCs w:val="21"/>
              </w:rPr>
            </w:pPr>
            <w:r>
              <w:rPr>
                <w:rFonts w:hint="eastAsia" w:ascii="仿宋" w:hAnsi="仿宋" w:eastAsia="仿宋" w:cs="仿宋"/>
                <w:sz w:val="21"/>
                <w:szCs w:val="21"/>
              </w:rPr>
              <w:t>或GB/T 21316</w:t>
            </w:r>
          </w:p>
          <w:p w14:paraId="59EAF030">
            <w:pPr>
              <w:keepNext w:val="0"/>
              <w:keepLines w:val="0"/>
              <w:pageBreakBefore w:val="0"/>
              <w:widowControl/>
              <w:wordWrap/>
              <w:overflowPunct/>
              <w:topLinePunct w:val="0"/>
              <w:bidi w:val="0"/>
              <w:snapToGrid w:val="0"/>
              <w:spacing w:line="312" w:lineRule="auto"/>
              <w:textAlignment w:val="baseline"/>
              <w:rPr>
                <w:rFonts w:hint="eastAsia" w:ascii="仿宋" w:hAnsi="仿宋" w:eastAsia="仿宋" w:cs="仿宋"/>
                <w:sz w:val="21"/>
                <w:szCs w:val="21"/>
              </w:rPr>
            </w:pPr>
            <w:r>
              <w:rPr>
                <w:rFonts w:hint="eastAsia" w:ascii="仿宋" w:hAnsi="仿宋" w:eastAsia="仿宋" w:cs="仿宋"/>
                <w:sz w:val="21"/>
                <w:szCs w:val="21"/>
              </w:rPr>
              <w:t>或农业部1025号公告-23-2008</w:t>
            </w:r>
          </w:p>
          <w:p w14:paraId="6F11B462">
            <w:pPr>
              <w:keepNext w:val="0"/>
              <w:keepLines w:val="0"/>
              <w:pageBreakBefore w:val="0"/>
              <w:widowControl/>
              <w:wordWrap/>
              <w:overflowPunct/>
              <w:topLinePunct w:val="0"/>
              <w:bidi w:val="0"/>
              <w:snapToGrid w:val="0"/>
              <w:spacing w:line="312" w:lineRule="auto"/>
              <w:textAlignment w:val="baseline"/>
              <w:rPr>
                <w:rFonts w:hint="eastAsia" w:ascii="仿宋" w:hAnsi="仿宋" w:eastAsia="仿宋" w:cs="仿宋"/>
                <w:sz w:val="21"/>
                <w:szCs w:val="21"/>
              </w:rPr>
            </w:pPr>
            <w:r>
              <w:rPr>
                <w:rFonts w:hint="eastAsia" w:ascii="仿宋" w:hAnsi="仿宋" w:eastAsia="仿宋" w:cs="仿宋"/>
                <w:sz w:val="21"/>
                <w:szCs w:val="21"/>
              </w:rPr>
              <w:t>或SN/T 5140</w:t>
            </w:r>
          </w:p>
          <w:p w14:paraId="1699DC74">
            <w:pPr>
              <w:keepNext w:val="0"/>
              <w:keepLines w:val="0"/>
              <w:pageBreakBefore w:val="0"/>
              <w:widowControl/>
              <w:wordWrap/>
              <w:overflowPunct/>
              <w:topLinePunct w:val="0"/>
              <w:bidi w:val="0"/>
              <w:snapToGrid w:val="0"/>
              <w:spacing w:line="312" w:lineRule="auto"/>
              <w:textAlignment w:val="baseline"/>
              <w:rPr>
                <w:rFonts w:hint="eastAsia" w:ascii="仿宋" w:hAnsi="仿宋" w:eastAsia="仿宋" w:cs="仿宋"/>
                <w:sz w:val="21"/>
                <w:szCs w:val="21"/>
              </w:rPr>
            </w:pPr>
            <w:r>
              <w:rPr>
                <w:rFonts w:hint="eastAsia" w:ascii="仿宋" w:hAnsi="仿宋" w:eastAsia="仿宋" w:cs="仿宋"/>
                <w:sz w:val="21"/>
                <w:szCs w:val="21"/>
              </w:rPr>
              <w:t>或农质发〔2014〕5号文件附录进行检测</w:t>
            </w:r>
          </w:p>
        </w:tc>
      </w:tr>
      <w:tr w14:paraId="19A12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tblHeader/>
        </w:trPr>
        <w:tc>
          <w:tcPr>
            <w:tcW w:w="3796" w:type="dxa"/>
            <w:noWrap w:val="0"/>
            <w:vAlign w:val="center"/>
          </w:tcPr>
          <w:p w14:paraId="765A740F">
            <w:pPr>
              <w:keepNext w:val="0"/>
              <w:keepLines w:val="0"/>
              <w:pageBreakBefore w:val="0"/>
              <w:widowControl/>
              <w:wordWrap/>
              <w:overflowPunct/>
              <w:topLinePunct w:val="0"/>
              <w:bidi w:val="0"/>
              <w:snapToGrid w:val="0"/>
              <w:spacing w:line="312" w:lineRule="auto"/>
              <w:textAlignment w:val="baseline"/>
              <w:rPr>
                <w:rFonts w:hint="eastAsia" w:ascii="仿宋" w:hAnsi="仿宋" w:eastAsia="仿宋" w:cs="仿宋"/>
                <w:sz w:val="21"/>
                <w:szCs w:val="21"/>
              </w:rPr>
            </w:pPr>
            <w:r>
              <w:rPr>
                <w:rFonts w:hint="eastAsia" w:ascii="仿宋" w:hAnsi="仿宋" w:eastAsia="仿宋" w:cs="仿宋"/>
                <w:b/>
                <w:bCs/>
                <w:sz w:val="21"/>
                <w:szCs w:val="21"/>
              </w:rPr>
              <w:t>常规药物</w:t>
            </w:r>
            <w:r>
              <w:rPr>
                <w:rFonts w:hint="eastAsia" w:ascii="仿宋" w:hAnsi="仿宋" w:eastAsia="仿宋" w:cs="仿宋"/>
                <w:sz w:val="21"/>
                <w:szCs w:val="21"/>
              </w:rPr>
              <w:t>四环素类（金霉素、土霉素、四环素、多西环素）</w:t>
            </w:r>
          </w:p>
        </w:tc>
        <w:tc>
          <w:tcPr>
            <w:tcW w:w="1391" w:type="dxa"/>
            <w:vMerge w:val="continue"/>
            <w:noWrap w:val="0"/>
            <w:vAlign w:val="center"/>
          </w:tcPr>
          <w:p w14:paraId="2A0DD9DC">
            <w:pPr>
              <w:keepNext w:val="0"/>
              <w:keepLines w:val="0"/>
              <w:pageBreakBefore w:val="0"/>
              <w:widowControl/>
              <w:wordWrap/>
              <w:overflowPunct/>
              <w:topLinePunct w:val="0"/>
              <w:bidi w:val="0"/>
              <w:snapToGrid w:val="0"/>
              <w:spacing w:line="312" w:lineRule="auto"/>
              <w:jc w:val="center"/>
              <w:textAlignment w:val="baseline"/>
              <w:rPr>
                <w:rFonts w:hint="eastAsia" w:ascii="仿宋" w:hAnsi="仿宋" w:eastAsia="仿宋" w:cs="仿宋"/>
                <w:sz w:val="21"/>
                <w:szCs w:val="21"/>
              </w:rPr>
            </w:pPr>
          </w:p>
        </w:tc>
        <w:tc>
          <w:tcPr>
            <w:tcW w:w="4377" w:type="dxa"/>
            <w:noWrap w:val="0"/>
            <w:vAlign w:val="center"/>
          </w:tcPr>
          <w:p w14:paraId="00C59CA8">
            <w:pPr>
              <w:keepNext w:val="0"/>
              <w:keepLines w:val="0"/>
              <w:pageBreakBefore w:val="0"/>
              <w:widowControl/>
              <w:wordWrap/>
              <w:overflowPunct/>
              <w:topLinePunct w:val="0"/>
              <w:bidi w:val="0"/>
              <w:snapToGrid w:val="0"/>
              <w:spacing w:line="312" w:lineRule="auto"/>
              <w:textAlignment w:val="baseline"/>
              <w:rPr>
                <w:rFonts w:hint="eastAsia" w:ascii="仿宋" w:hAnsi="仿宋" w:eastAsia="仿宋" w:cs="仿宋"/>
                <w:sz w:val="21"/>
                <w:szCs w:val="21"/>
              </w:rPr>
            </w:pPr>
            <w:r>
              <w:rPr>
                <w:rFonts w:hint="eastAsia" w:ascii="仿宋" w:hAnsi="仿宋" w:eastAsia="仿宋" w:cs="仿宋"/>
                <w:sz w:val="21"/>
                <w:szCs w:val="21"/>
              </w:rPr>
              <w:t>按GB/T 21317</w:t>
            </w:r>
          </w:p>
          <w:p w14:paraId="6C4E6518">
            <w:pPr>
              <w:keepNext w:val="0"/>
              <w:keepLines w:val="0"/>
              <w:pageBreakBefore w:val="0"/>
              <w:widowControl/>
              <w:wordWrap/>
              <w:overflowPunct/>
              <w:topLinePunct w:val="0"/>
              <w:bidi w:val="0"/>
              <w:snapToGrid w:val="0"/>
              <w:spacing w:line="312" w:lineRule="auto"/>
              <w:textAlignment w:val="baseline"/>
              <w:rPr>
                <w:rFonts w:hint="eastAsia" w:ascii="仿宋" w:hAnsi="仿宋" w:eastAsia="仿宋" w:cs="仿宋"/>
                <w:sz w:val="21"/>
                <w:szCs w:val="21"/>
              </w:rPr>
            </w:pPr>
            <w:r>
              <w:rPr>
                <w:rFonts w:hint="eastAsia" w:ascii="仿宋" w:hAnsi="仿宋" w:eastAsia="仿宋" w:cs="仿宋"/>
                <w:sz w:val="21"/>
                <w:szCs w:val="21"/>
              </w:rPr>
              <w:t>或GB 31658.17</w:t>
            </w:r>
          </w:p>
          <w:p w14:paraId="3302ABEB">
            <w:pPr>
              <w:keepNext w:val="0"/>
              <w:keepLines w:val="0"/>
              <w:pageBreakBefore w:val="0"/>
              <w:widowControl/>
              <w:wordWrap/>
              <w:overflowPunct/>
              <w:topLinePunct w:val="0"/>
              <w:bidi w:val="0"/>
              <w:snapToGrid w:val="0"/>
              <w:spacing w:line="312" w:lineRule="auto"/>
              <w:textAlignment w:val="baseline"/>
              <w:rPr>
                <w:rFonts w:hint="eastAsia" w:ascii="仿宋" w:hAnsi="仿宋" w:eastAsia="仿宋" w:cs="仿宋"/>
                <w:sz w:val="21"/>
                <w:szCs w:val="21"/>
              </w:rPr>
            </w:pPr>
            <w:r>
              <w:rPr>
                <w:rFonts w:hint="eastAsia" w:ascii="仿宋" w:hAnsi="仿宋" w:eastAsia="仿宋" w:cs="仿宋"/>
                <w:sz w:val="21"/>
                <w:szCs w:val="21"/>
              </w:rPr>
              <w:t>或GB 31658.6进行检测</w:t>
            </w:r>
          </w:p>
        </w:tc>
      </w:tr>
      <w:tr w14:paraId="61D18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3796" w:type="dxa"/>
            <w:noWrap w:val="0"/>
            <w:vAlign w:val="center"/>
          </w:tcPr>
          <w:p w14:paraId="6E281E21">
            <w:pPr>
              <w:keepNext w:val="0"/>
              <w:keepLines w:val="0"/>
              <w:pageBreakBefore w:val="0"/>
              <w:widowControl/>
              <w:wordWrap/>
              <w:overflowPunct/>
              <w:topLinePunct w:val="0"/>
              <w:bidi w:val="0"/>
              <w:snapToGrid w:val="0"/>
              <w:spacing w:line="312" w:lineRule="auto"/>
              <w:textAlignment w:val="baseline"/>
              <w:rPr>
                <w:rFonts w:hint="eastAsia" w:ascii="仿宋" w:hAnsi="仿宋" w:eastAsia="仿宋" w:cs="仿宋"/>
                <w:sz w:val="21"/>
                <w:szCs w:val="21"/>
              </w:rPr>
            </w:pPr>
            <w:r>
              <w:rPr>
                <w:rFonts w:hint="eastAsia" w:ascii="仿宋" w:hAnsi="仿宋" w:eastAsia="仿宋" w:cs="仿宋"/>
                <w:b/>
                <w:bCs/>
                <w:sz w:val="21"/>
                <w:szCs w:val="21"/>
              </w:rPr>
              <w:t>常规药物</w:t>
            </w:r>
            <w:r>
              <w:rPr>
                <w:rFonts w:hint="eastAsia" w:ascii="仿宋" w:hAnsi="仿宋" w:eastAsia="仿宋" w:cs="仿宋"/>
                <w:sz w:val="21"/>
                <w:szCs w:val="21"/>
              </w:rPr>
              <w:t>糖皮质激素类（地塞米松、倍他米松）</w:t>
            </w:r>
          </w:p>
        </w:tc>
        <w:tc>
          <w:tcPr>
            <w:tcW w:w="1391" w:type="dxa"/>
            <w:noWrap w:val="0"/>
            <w:vAlign w:val="center"/>
          </w:tcPr>
          <w:p w14:paraId="09A15373">
            <w:pPr>
              <w:keepNext w:val="0"/>
              <w:keepLines w:val="0"/>
              <w:pageBreakBefore w:val="0"/>
              <w:widowControl/>
              <w:wordWrap/>
              <w:overflowPunct/>
              <w:topLinePunct w:val="0"/>
              <w:bidi w:val="0"/>
              <w:snapToGrid w:val="0"/>
              <w:spacing w:line="312" w:lineRule="auto"/>
              <w:jc w:val="center"/>
              <w:textAlignment w:val="baseline"/>
              <w:rPr>
                <w:rFonts w:hint="eastAsia" w:ascii="仿宋" w:hAnsi="仿宋" w:eastAsia="仿宋" w:cs="仿宋"/>
                <w:sz w:val="21"/>
                <w:szCs w:val="21"/>
              </w:rPr>
            </w:pPr>
            <w:r>
              <w:rPr>
                <w:rFonts w:hint="eastAsia" w:ascii="仿宋" w:hAnsi="仿宋" w:eastAsia="仿宋" w:cs="仿宋"/>
                <w:sz w:val="21"/>
                <w:szCs w:val="21"/>
              </w:rPr>
              <w:t>牛肉</w:t>
            </w:r>
          </w:p>
        </w:tc>
        <w:tc>
          <w:tcPr>
            <w:tcW w:w="4377" w:type="dxa"/>
            <w:noWrap w:val="0"/>
            <w:vAlign w:val="center"/>
          </w:tcPr>
          <w:p w14:paraId="07DE5C20">
            <w:pPr>
              <w:keepNext w:val="0"/>
              <w:keepLines w:val="0"/>
              <w:pageBreakBefore w:val="0"/>
              <w:widowControl/>
              <w:wordWrap/>
              <w:overflowPunct/>
              <w:topLinePunct w:val="0"/>
              <w:bidi w:val="0"/>
              <w:snapToGrid w:val="0"/>
              <w:spacing w:line="312" w:lineRule="auto"/>
              <w:textAlignment w:val="baseline"/>
              <w:rPr>
                <w:rFonts w:hint="eastAsia" w:ascii="仿宋" w:hAnsi="仿宋" w:eastAsia="仿宋" w:cs="仿宋"/>
                <w:sz w:val="21"/>
                <w:szCs w:val="21"/>
              </w:rPr>
            </w:pPr>
            <w:r>
              <w:rPr>
                <w:rFonts w:hint="eastAsia" w:ascii="仿宋" w:hAnsi="仿宋" w:eastAsia="仿宋" w:cs="仿宋"/>
                <w:sz w:val="21"/>
                <w:szCs w:val="21"/>
              </w:rPr>
              <w:t>按农业部1031号公告-2-2008进行检测</w:t>
            </w:r>
          </w:p>
        </w:tc>
      </w:tr>
      <w:tr w14:paraId="29B22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3796" w:type="dxa"/>
            <w:noWrap w:val="0"/>
            <w:vAlign w:val="center"/>
          </w:tcPr>
          <w:p w14:paraId="7241C05E">
            <w:pPr>
              <w:keepNext w:val="0"/>
              <w:keepLines w:val="0"/>
              <w:pageBreakBefore w:val="0"/>
              <w:widowControl/>
              <w:wordWrap/>
              <w:overflowPunct/>
              <w:topLinePunct w:val="0"/>
              <w:bidi w:val="0"/>
              <w:snapToGrid w:val="0"/>
              <w:spacing w:line="312" w:lineRule="auto"/>
              <w:textAlignment w:val="baseline"/>
              <w:rPr>
                <w:rFonts w:hint="eastAsia" w:ascii="仿宋" w:hAnsi="仿宋" w:eastAsia="仿宋" w:cs="仿宋"/>
                <w:b/>
                <w:bCs/>
                <w:sz w:val="21"/>
                <w:szCs w:val="21"/>
              </w:rPr>
            </w:pPr>
            <w:r>
              <w:rPr>
                <w:rFonts w:hint="eastAsia" w:ascii="仿宋" w:hAnsi="仿宋" w:eastAsia="仿宋" w:cs="仿宋"/>
                <w:b/>
                <w:bCs/>
                <w:sz w:val="21"/>
                <w:szCs w:val="21"/>
              </w:rPr>
              <w:t>常规药物</w:t>
            </w:r>
            <w:r>
              <w:rPr>
                <w:rFonts w:hint="eastAsia" w:ascii="仿宋" w:hAnsi="仿宋" w:eastAsia="仿宋" w:cs="仿宋"/>
                <w:sz w:val="21"/>
                <w:szCs w:val="21"/>
              </w:rPr>
              <w:t>氟喹诺酮类（恩诺沙星、环丙沙星）</w:t>
            </w:r>
          </w:p>
        </w:tc>
        <w:tc>
          <w:tcPr>
            <w:tcW w:w="1391" w:type="dxa"/>
            <w:noWrap w:val="0"/>
            <w:vAlign w:val="center"/>
          </w:tcPr>
          <w:p w14:paraId="7874FC77">
            <w:pPr>
              <w:keepNext w:val="0"/>
              <w:keepLines w:val="0"/>
              <w:pageBreakBefore w:val="0"/>
              <w:widowControl/>
              <w:wordWrap/>
              <w:overflowPunct/>
              <w:topLinePunct w:val="0"/>
              <w:bidi w:val="0"/>
              <w:snapToGrid w:val="0"/>
              <w:spacing w:line="312" w:lineRule="auto"/>
              <w:jc w:val="center"/>
              <w:textAlignment w:val="baseline"/>
              <w:rPr>
                <w:rFonts w:hint="eastAsia" w:ascii="仿宋" w:hAnsi="仿宋" w:eastAsia="仿宋" w:cs="仿宋"/>
                <w:sz w:val="21"/>
                <w:szCs w:val="21"/>
              </w:rPr>
            </w:pPr>
            <w:r>
              <w:rPr>
                <w:rFonts w:hint="eastAsia" w:ascii="仿宋" w:hAnsi="仿宋" w:eastAsia="仿宋" w:cs="仿宋"/>
                <w:sz w:val="21"/>
                <w:szCs w:val="21"/>
              </w:rPr>
              <w:t>猪肉、牛肉、羊肉</w:t>
            </w:r>
          </w:p>
        </w:tc>
        <w:tc>
          <w:tcPr>
            <w:tcW w:w="4377" w:type="dxa"/>
            <w:noWrap w:val="0"/>
            <w:vAlign w:val="center"/>
          </w:tcPr>
          <w:p w14:paraId="620AD0AF">
            <w:pPr>
              <w:keepNext w:val="0"/>
              <w:keepLines w:val="0"/>
              <w:pageBreakBefore w:val="0"/>
              <w:widowControl/>
              <w:wordWrap/>
              <w:overflowPunct/>
              <w:topLinePunct w:val="0"/>
              <w:bidi w:val="0"/>
              <w:snapToGrid w:val="0"/>
              <w:spacing w:line="312" w:lineRule="auto"/>
              <w:textAlignment w:val="baseline"/>
              <w:rPr>
                <w:rFonts w:hint="eastAsia" w:ascii="仿宋" w:hAnsi="仿宋" w:eastAsia="仿宋" w:cs="仿宋"/>
                <w:sz w:val="21"/>
                <w:szCs w:val="21"/>
              </w:rPr>
            </w:pPr>
            <w:r>
              <w:rPr>
                <w:rFonts w:hint="eastAsia" w:ascii="仿宋" w:hAnsi="仿宋" w:eastAsia="仿宋" w:cs="仿宋"/>
                <w:sz w:val="21"/>
                <w:szCs w:val="21"/>
              </w:rPr>
              <w:t>按GB 31658.17进行检测</w:t>
            </w:r>
          </w:p>
        </w:tc>
      </w:tr>
      <w:tr w14:paraId="2B6A0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3796" w:type="dxa"/>
            <w:noWrap w:val="0"/>
            <w:vAlign w:val="center"/>
          </w:tcPr>
          <w:p w14:paraId="0AFCEB15">
            <w:pPr>
              <w:keepNext w:val="0"/>
              <w:keepLines w:val="0"/>
              <w:pageBreakBefore w:val="0"/>
              <w:widowControl/>
              <w:wordWrap/>
              <w:overflowPunct/>
              <w:topLinePunct w:val="0"/>
              <w:bidi w:val="0"/>
              <w:snapToGrid w:val="0"/>
              <w:spacing w:line="312" w:lineRule="auto"/>
              <w:textAlignment w:val="baseline"/>
              <w:rPr>
                <w:rFonts w:hint="eastAsia" w:ascii="仿宋" w:hAnsi="仿宋" w:eastAsia="仿宋" w:cs="仿宋"/>
                <w:sz w:val="21"/>
                <w:szCs w:val="21"/>
              </w:rPr>
            </w:pPr>
            <w:r>
              <w:rPr>
                <w:rFonts w:hint="eastAsia" w:ascii="仿宋" w:hAnsi="仿宋" w:eastAsia="仿宋" w:cs="仿宋"/>
                <w:b/>
                <w:bCs/>
                <w:sz w:val="21"/>
                <w:szCs w:val="21"/>
              </w:rPr>
              <w:t>食品动物中停止使用药物</w:t>
            </w:r>
            <w:r>
              <w:rPr>
                <w:rFonts w:hint="eastAsia" w:ascii="仿宋" w:hAnsi="仿宋" w:eastAsia="仿宋" w:cs="仿宋"/>
                <w:sz w:val="21"/>
                <w:szCs w:val="21"/>
              </w:rPr>
              <w:t>氟喹诺酮类（氧氟沙星、培氟沙星、诺氟沙星、洛美沙星）</w:t>
            </w:r>
          </w:p>
        </w:tc>
        <w:tc>
          <w:tcPr>
            <w:tcW w:w="1391" w:type="dxa"/>
            <w:noWrap w:val="0"/>
            <w:vAlign w:val="center"/>
          </w:tcPr>
          <w:p w14:paraId="3B33A196">
            <w:pPr>
              <w:keepNext w:val="0"/>
              <w:keepLines w:val="0"/>
              <w:pageBreakBefore w:val="0"/>
              <w:widowControl/>
              <w:wordWrap/>
              <w:overflowPunct/>
              <w:topLinePunct w:val="0"/>
              <w:bidi w:val="0"/>
              <w:snapToGrid w:val="0"/>
              <w:spacing w:line="312" w:lineRule="auto"/>
              <w:jc w:val="center"/>
              <w:textAlignment w:val="baseline"/>
              <w:rPr>
                <w:rFonts w:hint="eastAsia" w:ascii="仿宋" w:hAnsi="仿宋" w:eastAsia="仿宋" w:cs="仿宋"/>
                <w:sz w:val="21"/>
                <w:szCs w:val="21"/>
              </w:rPr>
            </w:pPr>
            <w:r>
              <w:rPr>
                <w:rFonts w:hint="eastAsia" w:ascii="仿宋" w:hAnsi="仿宋" w:eastAsia="仿宋" w:cs="仿宋"/>
                <w:sz w:val="21"/>
                <w:szCs w:val="21"/>
              </w:rPr>
              <w:t>禽肉、禽蛋</w:t>
            </w:r>
          </w:p>
        </w:tc>
        <w:tc>
          <w:tcPr>
            <w:tcW w:w="4377" w:type="dxa"/>
            <w:vMerge w:val="restart"/>
            <w:noWrap w:val="0"/>
            <w:vAlign w:val="center"/>
          </w:tcPr>
          <w:p w14:paraId="79BBABF2">
            <w:pPr>
              <w:keepNext w:val="0"/>
              <w:keepLines w:val="0"/>
              <w:pageBreakBefore w:val="0"/>
              <w:widowControl/>
              <w:wordWrap/>
              <w:overflowPunct/>
              <w:topLinePunct w:val="0"/>
              <w:bidi w:val="0"/>
              <w:snapToGrid w:val="0"/>
              <w:spacing w:line="312" w:lineRule="auto"/>
              <w:textAlignment w:val="baseline"/>
              <w:rPr>
                <w:rFonts w:hint="eastAsia" w:ascii="仿宋" w:hAnsi="仿宋" w:eastAsia="仿宋" w:cs="仿宋"/>
                <w:sz w:val="21"/>
                <w:szCs w:val="21"/>
              </w:rPr>
            </w:pPr>
            <w:r>
              <w:rPr>
                <w:rFonts w:hint="eastAsia" w:ascii="仿宋" w:hAnsi="仿宋" w:eastAsia="仿宋" w:cs="仿宋"/>
                <w:sz w:val="21"/>
                <w:szCs w:val="21"/>
              </w:rPr>
              <w:t>按GB 31658.17</w:t>
            </w:r>
          </w:p>
          <w:p w14:paraId="5853ADB1">
            <w:pPr>
              <w:keepNext w:val="0"/>
              <w:keepLines w:val="0"/>
              <w:pageBreakBefore w:val="0"/>
              <w:widowControl/>
              <w:wordWrap/>
              <w:overflowPunct/>
              <w:topLinePunct w:val="0"/>
              <w:bidi w:val="0"/>
              <w:snapToGrid w:val="0"/>
              <w:spacing w:line="312" w:lineRule="auto"/>
              <w:textAlignment w:val="baseline"/>
              <w:rPr>
                <w:rFonts w:hint="eastAsia" w:ascii="仿宋" w:hAnsi="仿宋" w:eastAsia="仿宋" w:cs="仿宋"/>
                <w:sz w:val="21"/>
                <w:szCs w:val="21"/>
              </w:rPr>
            </w:pPr>
            <w:r>
              <w:rPr>
                <w:rFonts w:hint="eastAsia" w:ascii="仿宋" w:hAnsi="仿宋" w:eastAsia="仿宋" w:cs="仿宋"/>
                <w:sz w:val="21"/>
                <w:szCs w:val="21"/>
              </w:rPr>
              <w:t>或GB/T 21316</w:t>
            </w:r>
          </w:p>
          <w:p w14:paraId="3FFDA998">
            <w:pPr>
              <w:keepNext w:val="0"/>
              <w:keepLines w:val="0"/>
              <w:pageBreakBefore w:val="0"/>
              <w:widowControl/>
              <w:wordWrap/>
              <w:overflowPunct/>
              <w:topLinePunct w:val="0"/>
              <w:bidi w:val="0"/>
              <w:snapToGrid w:val="0"/>
              <w:spacing w:line="312" w:lineRule="auto"/>
              <w:textAlignment w:val="baseline"/>
              <w:rPr>
                <w:rFonts w:hint="eastAsia" w:ascii="仿宋" w:hAnsi="仿宋" w:eastAsia="仿宋" w:cs="仿宋"/>
                <w:sz w:val="21"/>
                <w:szCs w:val="21"/>
              </w:rPr>
            </w:pPr>
            <w:r>
              <w:rPr>
                <w:rFonts w:hint="eastAsia" w:ascii="仿宋" w:hAnsi="仿宋" w:eastAsia="仿宋" w:cs="仿宋"/>
                <w:sz w:val="21"/>
                <w:szCs w:val="21"/>
              </w:rPr>
              <w:t>或GB/T 21312</w:t>
            </w:r>
          </w:p>
          <w:p w14:paraId="398D75B3">
            <w:pPr>
              <w:keepNext w:val="0"/>
              <w:keepLines w:val="0"/>
              <w:pageBreakBefore w:val="0"/>
              <w:widowControl/>
              <w:wordWrap/>
              <w:overflowPunct/>
              <w:topLinePunct w:val="0"/>
              <w:bidi w:val="0"/>
              <w:snapToGrid w:val="0"/>
              <w:spacing w:line="312" w:lineRule="auto"/>
              <w:textAlignment w:val="baseline"/>
              <w:rPr>
                <w:rFonts w:hint="eastAsia" w:ascii="仿宋" w:hAnsi="仿宋" w:eastAsia="仿宋" w:cs="仿宋"/>
                <w:sz w:val="21"/>
                <w:szCs w:val="21"/>
              </w:rPr>
            </w:pPr>
            <w:r>
              <w:rPr>
                <w:rFonts w:hint="eastAsia" w:ascii="仿宋" w:hAnsi="仿宋" w:eastAsia="仿宋" w:cs="仿宋"/>
                <w:sz w:val="21"/>
                <w:szCs w:val="21"/>
              </w:rPr>
              <w:t>或GB/T 20366</w:t>
            </w:r>
          </w:p>
          <w:p w14:paraId="6387ABCA">
            <w:pPr>
              <w:keepNext w:val="0"/>
              <w:keepLines w:val="0"/>
              <w:pageBreakBefore w:val="0"/>
              <w:widowControl/>
              <w:wordWrap/>
              <w:overflowPunct/>
              <w:topLinePunct w:val="0"/>
              <w:bidi w:val="0"/>
              <w:snapToGrid w:val="0"/>
              <w:spacing w:line="312" w:lineRule="auto"/>
              <w:textAlignment w:val="baseline"/>
              <w:rPr>
                <w:rFonts w:hint="eastAsia" w:ascii="仿宋" w:hAnsi="仿宋" w:eastAsia="仿宋" w:cs="仿宋"/>
                <w:sz w:val="21"/>
                <w:szCs w:val="21"/>
              </w:rPr>
            </w:pPr>
            <w:r>
              <w:rPr>
                <w:rFonts w:hint="eastAsia" w:ascii="仿宋" w:hAnsi="仿宋" w:eastAsia="仿宋" w:cs="仿宋"/>
                <w:sz w:val="21"/>
                <w:szCs w:val="21"/>
              </w:rPr>
              <w:t>或农业农村部指定方法进行检测</w:t>
            </w:r>
          </w:p>
        </w:tc>
      </w:tr>
      <w:tr w14:paraId="6ED4E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3796" w:type="dxa"/>
            <w:noWrap w:val="0"/>
            <w:vAlign w:val="center"/>
          </w:tcPr>
          <w:p w14:paraId="2261D953">
            <w:pPr>
              <w:keepNext w:val="0"/>
              <w:keepLines w:val="0"/>
              <w:pageBreakBefore w:val="0"/>
              <w:widowControl/>
              <w:wordWrap/>
              <w:overflowPunct/>
              <w:topLinePunct w:val="0"/>
              <w:bidi w:val="0"/>
              <w:snapToGrid w:val="0"/>
              <w:spacing w:line="312" w:lineRule="auto"/>
              <w:textAlignment w:val="baseline"/>
              <w:rPr>
                <w:rFonts w:hint="eastAsia" w:ascii="仿宋" w:hAnsi="仿宋" w:eastAsia="仿宋" w:cs="仿宋"/>
                <w:sz w:val="21"/>
                <w:szCs w:val="21"/>
              </w:rPr>
            </w:pPr>
            <w:r>
              <w:rPr>
                <w:rFonts w:hint="eastAsia" w:ascii="仿宋" w:hAnsi="仿宋" w:eastAsia="仿宋" w:cs="仿宋"/>
                <w:b/>
                <w:bCs/>
                <w:sz w:val="21"/>
                <w:szCs w:val="21"/>
              </w:rPr>
              <w:t>常规药物</w:t>
            </w:r>
            <w:r>
              <w:rPr>
                <w:rFonts w:hint="eastAsia" w:ascii="仿宋" w:hAnsi="仿宋" w:eastAsia="仿宋" w:cs="仿宋"/>
                <w:sz w:val="21"/>
                <w:szCs w:val="21"/>
              </w:rPr>
              <w:t>氟喹诺酮类（恩诺沙星、环丙沙星、沙拉沙星、达氟沙星）</w:t>
            </w:r>
          </w:p>
        </w:tc>
        <w:tc>
          <w:tcPr>
            <w:tcW w:w="1391" w:type="dxa"/>
            <w:vMerge w:val="restart"/>
            <w:noWrap w:val="0"/>
            <w:vAlign w:val="center"/>
          </w:tcPr>
          <w:p w14:paraId="4CC2E840">
            <w:pPr>
              <w:keepNext w:val="0"/>
              <w:keepLines w:val="0"/>
              <w:pageBreakBefore w:val="0"/>
              <w:widowControl/>
              <w:wordWrap/>
              <w:overflowPunct/>
              <w:topLinePunct w:val="0"/>
              <w:bidi w:val="0"/>
              <w:snapToGrid w:val="0"/>
              <w:spacing w:line="312" w:lineRule="auto"/>
              <w:jc w:val="center"/>
              <w:textAlignment w:val="baseline"/>
              <w:rPr>
                <w:rFonts w:hint="eastAsia" w:ascii="仿宋" w:hAnsi="仿宋" w:eastAsia="仿宋" w:cs="仿宋"/>
                <w:sz w:val="21"/>
                <w:szCs w:val="21"/>
              </w:rPr>
            </w:pPr>
            <w:r>
              <w:rPr>
                <w:rFonts w:hint="eastAsia" w:ascii="仿宋" w:hAnsi="仿宋" w:eastAsia="仿宋" w:cs="仿宋"/>
                <w:sz w:val="21"/>
                <w:szCs w:val="21"/>
              </w:rPr>
              <w:t>禽肉</w:t>
            </w:r>
          </w:p>
        </w:tc>
        <w:tc>
          <w:tcPr>
            <w:tcW w:w="4377" w:type="dxa"/>
            <w:vMerge w:val="continue"/>
            <w:noWrap w:val="0"/>
            <w:vAlign w:val="center"/>
          </w:tcPr>
          <w:p w14:paraId="777C5D14">
            <w:pPr>
              <w:keepNext w:val="0"/>
              <w:keepLines w:val="0"/>
              <w:pageBreakBefore w:val="0"/>
              <w:widowControl/>
              <w:wordWrap/>
              <w:overflowPunct/>
              <w:topLinePunct w:val="0"/>
              <w:bidi w:val="0"/>
              <w:snapToGrid w:val="0"/>
              <w:spacing w:line="312" w:lineRule="auto"/>
              <w:textAlignment w:val="baseline"/>
              <w:rPr>
                <w:rFonts w:hint="eastAsia" w:ascii="仿宋" w:hAnsi="仿宋" w:eastAsia="仿宋" w:cs="仿宋"/>
                <w:sz w:val="21"/>
                <w:szCs w:val="21"/>
              </w:rPr>
            </w:pPr>
          </w:p>
        </w:tc>
      </w:tr>
      <w:tr w14:paraId="6ED2A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3796" w:type="dxa"/>
            <w:noWrap w:val="0"/>
            <w:vAlign w:val="center"/>
          </w:tcPr>
          <w:p w14:paraId="5DF19455">
            <w:pPr>
              <w:keepNext w:val="0"/>
              <w:keepLines w:val="0"/>
              <w:pageBreakBefore w:val="0"/>
              <w:widowControl/>
              <w:wordWrap/>
              <w:overflowPunct/>
              <w:topLinePunct w:val="0"/>
              <w:bidi w:val="0"/>
              <w:snapToGrid w:val="0"/>
              <w:spacing w:line="312" w:lineRule="auto"/>
              <w:textAlignment w:val="baseline"/>
              <w:rPr>
                <w:rFonts w:hint="eastAsia" w:ascii="仿宋" w:hAnsi="仿宋" w:eastAsia="仿宋" w:cs="仿宋"/>
                <w:sz w:val="21"/>
                <w:szCs w:val="21"/>
              </w:rPr>
            </w:pPr>
            <w:r>
              <w:rPr>
                <w:rFonts w:hint="eastAsia" w:ascii="仿宋" w:hAnsi="仿宋" w:eastAsia="仿宋" w:cs="仿宋"/>
                <w:b/>
                <w:bCs/>
                <w:sz w:val="21"/>
                <w:szCs w:val="21"/>
              </w:rPr>
              <w:t>常规药物</w:t>
            </w:r>
            <w:r>
              <w:rPr>
                <w:rFonts w:hint="eastAsia" w:ascii="仿宋" w:hAnsi="仿宋" w:eastAsia="仿宋" w:cs="仿宋"/>
                <w:sz w:val="21"/>
                <w:szCs w:val="21"/>
              </w:rPr>
              <w:t>抗菌增效剂（甲氧苄啶）</w:t>
            </w:r>
          </w:p>
        </w:tc>
        <w:tc>
          <w:tcPr>
            <w:tcW w:w="1391" w:type="dxa"/>
            <w:vMerge w:val="continue"/>
            <w:noWrap w:val="0"/>
            <w:vAlign w:val="center"/>
          </w:tcPr>
          <w:p w14:paraId="4EA2D1D5">
            <w:pPr>
              <w:keepNext w:val="0"/>
              <w:keepLines w:val="0"/>
              <w:pageBreakBefore w:val="0"/>
              <w:widowControl/>
              <w:wordWrap/>
              <w:overflowPunct/>
              <w:topLinePunct w:val="0"/>
              <w:bidi w:val="0"/>
              <w:snapToGrid w:val="0"/>
              <w:spacing w:line="312" w:lineRule="auto"/>
              <w:jc w:val="center"/>
              <w:textAlignment w:val="baseline"/>
              <w:rPr>
                <w:rFonts w:hint="eastAsia" w:ascii="仿宋" w:hAnsi="仿宋" w:eastAsia="仿宋" w:cs="仿宋"/>
                <w:sz w:val="21"/>
                <w:szCs w:val="21"/>
              </w:rPr>
            </w:pPr>
          </w:p>
        </w:tc>
        <w:tc>
          <w:tcPr>
            <w:tcW w:w="4377" w:type="dxa"/>
            <w:vMerge w:val="continue"/>
            <w:noWrap w:val="0"/>
            <w:vAlign w:val="center"/>
          </w:tcPr>
          <w:p w14:paraId="31B8F6B6">
            <w:pPr>
              <w:keepNext w:val="0"/>
              <w:keepLines w:val="0"/>
              <w:pageBreakBefore w:val="0"/>
              <w:widowControl/>
              <w:wordWrap/>
              <w:overflowPunct/>
              <w:topLinePunct w:val="0"/>
              <w:bidi w:val="0"/>
              <w:snapToGrid w:val="0"/>
              <w:spacing w:line="312" w:lineRule="auto"/>
              <w:textAlignment w:val="baseline"/>
              <w:rPr>
                <w:rFonts w:hint="eastAsia" w:ascii="仿宋" w:hAnsi="仿宋" w:eastAsia="仿宋" w:cs="仿宋"/>
                <w:sz w:val="21"/>
                <w:szCs w:val="21"/>
              </w:rPr>
            </w:pPr>
          </w:p>
        </w:tc>
      </w:tr>
      <w:tr w14:paraId="51CDC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3796" w:type="dxa"/>
            <w:noWrap w:val="0"/>
            <w:vAlign w:val="center"/>
          </w:tcPr>
          <w:p w14:paraId="3E6CDA7E">
            <w:pPr>
              <w:keepNext w:val="0"/>
              <w:keepLines w:val="0"/>
              <w:pageBreakBefore w:val="0"/>
              <w:widowControl/>
              <w:wordWrap/>
              <w:overflowPunct/>
              <w:topLinePunct w:val="0"/>
              <w:bidi w:val="0"/>
              <w:snapToGrid w:val="0"/>
              <w:spacing w:line="312" w:lineRule="auto"/>
              <w:textAlignment w:val="baseline"/>
              <w:rPr>
                <w:rFonts w:hint="eastAsia" w:ascii="仿宋" w:hAnsi="仿宋" w:eastAsia="仿宋" w:cs="仿宋"/>
                <w:b/>
                <w:bCs/>
                <w:sz w:val="21"/>
                <w:szCs w:val="21"/>
              </w:rPr>
            </w:pPr>
            <w:r>
              <w:rPr>
                <w:rFonts w:hint="eastAsia" w:ascii="仿宋" w:hAnsi="仿宋" w:eastAsia="仿宋" w:cs="仿宋"/>
                <w:b/>
                <w:bCs/>
                <w:sz w:val="21"/>
                <w:szCs w:val="21"/>
              </w:rPr>
              <w:t>产蛋期不得使用药物</w:t>
            </w:r>
            <w:r>
              <w:rPr>
                <w:rFonts w:hint="eastAsia" w:ascii="仿宋" w:hAnsi="仿宋" w:eastAsia="仿宋" w:cs="仿宋"/>
                <w:sz w:val="21"/>
                <w:szCs w:val="21"/>
              </w:rPr>
              <w:t>氟喹诺酮类（恩诺沙星、环丙沙星、沙拉沙星、达氟沙星）</w:t>
            </w:r>
          </w:p>
        </w:tc>
        <w:tc>
          <w:tcPr>
            <w:tcW w:w="1391" w:type="dxa"/>
            <w:noWrap w:val="0"/>
            <w:vAlign w:val="center"/>
          </w:tcPr>
          <w:p w14:paraId="26249953">
            <w:pPr>
              <w:keepNext w:val="0"/>
              <w:keepLines w:val="0"/>
              <w:pageBreakBefore w:val="0"/>
              <w:widowControl/>
              <w:wordWrap/>
              <w:overflowPunct/>
              <w:topLinePunct w:val="0"/>
              <w:bidi w:val="0"/>
              <w:snapToGrid w:val="0"/>
              <w:spacing w:line="312" w:lineRule="auto"/>
              <w:jc w:val="center"/>
              <w:textAlignment w:val="baseline"/>
              <w:rPr>
                <w:rFonts w:hint="eastAsia" w:ascii="仿宋" w:hAnsi="仿宋" w:eastAsia="仿宋" w:cs="仿宋"/>
                <w:sz w:val="21"/>
                <w:szCs w:val="21"/>
              </w:rPr>
            </w:pPr>
            <w:r>
              <w:rPr>
                <w:rFonts w:hint="eastAsia" w:ascii="仿宋" w:hAnsi="仿宋" w:eastAsia="仿宋" w:cs="仿宋"/>
                <w:sz w:val="21"/>
                <w:szCs w:val="21"/>
              </w:rPr>
              <w:t>禽蛋</w:t>
            </w:r>
          </w:p>
        </w:tc>
        <w:tc>
          <w:tcPr>
            <w:tcW w:w="4377" w:type="dxa"/>
            <w:vMerge w:val="continue"/>
            <w:noWrap w:val="0"/>
            <w:vAlign w:val="center"/>
          </w:tcPr>
          <w:p w14:paraId="4E417930">
            <w:pPr>
              <w:keepNext w:val="0"/>
              <w:keepLines w:val="0"/>
              <w:pageBreakBefore w:val="0"/>
              <w:widowControl/>
              <w:wordWrap/>
              <w:overflowPunct/>
              <w:topLinePunct w:val="0"/>
              <w:bidi w:val="0"/>
              <w:snapToGrid w:val="0"/>
              <w:spacing w:line="312" w:lineRule="auto"/>
              <w:textAlignment w:val="baseline"/>
              <w:rPr>
                <w:rFonts w:hint="eastAsia" w:ascii="仿宋" w:hAnsi="仿宋" w:eastAsia="仿宋" w:cs="仿宋"/>
                <w:sz w:val="21"/>
                <w:szCs w:val="21"/>
              </w:rPr>
            </w:pPr>
          </w:p>
        </w:tc>
      </w:tr>
      <w:tr w14:paraId="29FF0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3796" w:type="dxa"/>
            <w:noWrap w:val="0"/>
            <w:vAlign w:val="center"/>
          </w:tcPr>
          <w:p w14:paraId="373F8939">
            <w:pPr>
              <w:keepNext w:val="0"/>
              <w:keepLines w:val="0"/>
              <w:pageBreakBefore w:val="0"/>
              <w:widowControl/>
              <w:wordWrap/>
              <w:overflowPunct/>
              <w:topLinePunct w:val="0"/>
              <w:bidi w:val="0"/>
              <w:snapToGrid w:val="0"/>
              <w:spacing w:line="312" w:lineRule="auto"/>
              <w:textAlignment w:val="baseline"/>
              <w:rPr>
                <w:rFonts w:hint="eastAsia" w:ascii="仿宋" w:hAnsi="仿宋" w:eastAsia="仿宋" w:cs="仿宋"/>
                <w:sz w:val="21"/>
                <w:szCs w:val="21"/>
              </w:rPr>
            </w:pPr>
            <w:r>
              <w:rPr>
                <w:rFonts w:hint="eastAsia" w:ascii="仿宋" w:hAnsi="仿宋" w:eastAsia="仿宋" w:cs="仿宋"/>
                <w:b/>
                <w:bCs/>
                <w:sz w:val="21"/>
                <w:szCs w:val="21"/>
              </w:rPr>
              <w:t>食品动物中停止使用药物</w:t>
            </w:r>
            <w:r>
              <w:rPr>
                <w:rFonts w:hint="eastAsia" w:ascii="仿宋" w:hAnsi="仿宋" w:eastAsia="仿宋" w:cs="仿宋"/>
                <w:sz w:val="21"/>
                <w:szCs w:val="21"/>
              </w:rPr>
              <w:t>金刚烷胺</w:t>
            </w:r>
          </w:p>
        </w:tc>
        <w:tc>
          <w:tcPr>
            <w:tcW w:w="1391" w:type="dxa"/>
            <w:noWrap w:val="0"/>
            <w:vAlign w:val="center"/>
          </w:tcPr>
          <w:p w14:paraId="0C3D9AA9">
            <w:pPr>
              <w:keepNext w:val="0"/>
              <w:keepLines w:val="0"/>
              <w:pageBreakBefore w:val="0"/>
              <w:widowControl/>
              <w:wordWrap/>
              <w:overflowPunct/>
              <w:topLinePunct w:val="0"/>
              <w:bidi w:val="0"/>
              <w:snapToGrid w:val="0"/>
              <w:spacing w:line="312" w:lineRule="auto"/>
              <w:jc w:val="center"/>
              <w:textAlignment w:val="baseline"/>
              <w:rPr>
                <w:rFonts w:hint="eastAsia" w:ascii="仿宋" w:hAnsi="仿宋" w:eastAsia="仿宋" w:cs="仿宋"/>
                <w:sz w:val="21"/>
                <w:szCs w:val="21"/>
              </w:rPr>
            </w:pPr>
            <w:r>
              <w:rPr>
                <w:rFonts w:hint="eastAsia" w:ascii="仿宋" w:hAnsi="仿宋" w:eastAsia="仿宋" w:cs="仿宋"/>
                <w:sz w:val="21"/>
                <w:szCs w:val="21"/>
              </w:rPr>
              <w:t>禽肉、禽蛋</w:t>
            </w:r>
          </w:p>
        </w:tc>
        <w:tc>
          <w:tcPr>
            <w:tcW w:w="4377" w:type="dxa"/>
            <w:noWrap w:val="0"/>
            <w:vAlign w:val="center"/>
          </w:tcPr>
          <w:p w14:paraId="7CE3CEC2">
            <w:pPr>
              <w:keepNext w:val="0"/>
              <w:keepLines w:val="0"/>
              <w:pageBreakBefore w:val="0"/>
              <w:widowControl/>
              <w:wordWrap/>
              <w:overflowPunct/>
              <w:topLinePunct w:val="0"/>
              <w:bidi w:val="0"/>
              <w:snapToGrid w:val="0"/>
              <w:spacing w:line="312" w:lineRule="auto"/>
              <w:textAlignment w:val="baseline"/>
              <w:rPr>
                <w:rFonts w:hint="eastAsia" w:ascii="仿宋" w:hAnsi="仿宋" w:eastAsia="仿宋" w:cs="仿宋"/>
                <w:sz w:val="21"/>
                <w:szCs w:val="21"/>
              </w:rPr>
            </w:pPr>
            <w:r>
              <w:rPr>
                <w:rFonts w:hint="eastAsia" w:ascii="仿宋" w:hAnsi="仿宋" w:eastAsia="仿宋" w:cs="仿宋"/>
                <w:sz w:val="21"/>
                <w:szCs w:val="21"/>
              </w:rPr>
              <w:t>按GB 31660.5或农业农村部指定方法进行检测</w:t>
            </w:r>
          </w:p>
        </w:tc>
      </w:tr>
      <w:tr w14:paraId="3E27C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3796" w:type="dxa"/>
            <w:noWrap w:val="0"/>
            <w:vAlign w:val="center"/>
          </w:tcPr>
          <w:p w14:paraId="3A53B32A">
            <w:pPr>
              <w:keepNext w:val="0"/>
              <w:keepLines w:val="0"/>
              <w:pageBreakBefore w:val="0"/>
              <w:widowControl/>
              <w:wordWrap/>
              <w:overflowPunct/>
              <w:topLinePunct w:val="0"/>
              <w:bidi w:val="0"/>
              <w:snapToGrid w:val="0"/>
              <w:spacing w:line="312" w:lineRule="auto"/>
              <w:textAlignment w:val="baseline"/>
              <w:rPr>
                <w:rFonts w:hint="eastAsia" w:ascii="仿宋" w:hAnsi="仿宋" w:eastAsia="仿宋" w:cs="仿宋"/>
                <w:sz w:val="21"/>
                <w:szCs w:val="21"/>
              </w:rPr>
            </w:pPr>
            <w:r>
              <w:rPr>
                <w:rFonts w:hint="eastAsia" w:ascii="仿宋" w:hAnsi="仿宋" w:eastAsia="仿宋" w:cs="仿宋"/>
                <w:b/>
                <w:bCs/>
                <w:sz w:val="21"/>
                <w:szCs w:val="21"/>
              </w:rPr>
              <w:t>禁用药物</w:t>
            </w:r>
            <w:r>
              <w:rPr>
                <w:rFonts w:hint="eastAsia" w:ascii="仿宋" w:hAnsi="仿宋" w:eastAsia="仿宋" w:cs="仿宋"/>
                <w:sz w:val="21"/>
                <w:szCs w:val="21"/>
              </w:rPr>
              <w:t>酰胺醇类（氯霉素）</w:t>
            </w:r>
          </w:p>
        </w:tc>
        <w:tc>
          <w:tcPr>
            <w:tcW w:w="1391" w:type="dxa"/>
            <w:noWrap w:val="0"/>
            <w:vAlign w:val="center"/>
          </w:tcPr>
          <w:p w14:paraId="34D19AB3">
            <w:pPr>
              <w:keepNext w:val="0"/>
              <w:keepLines w:val="0"/>
              <w:pageBreakBefore w:val="0"/>
              <w:widowControl/>
              <w:wordWrap/>
              <w:overflowPunct/>
              <w:topLinePunct w:val="0"/>
              <w:bidi w:val="0"/>
              <w:snapToGrid w:val="0"/>
              <w:spacing w:line="312" w:lineRule="auto"/>
              <w:jc w:val="center"/>
              <w:textAlignment w:val="baseline"/>
              <w:rPr>
                <w:rFonts w:hint="eastAsia" w:ascii="仿宋" w:hAnsi="仿宋" w:eastAsia="仿宋" w:cs="仿宋"/>
                <w:sz w:val="21"/>
                <w:szCs w:val="21"/>
              </w:rPr>
            </w:pPr>
            <w:r>
              <w:rPr>
                <w:rFonts w:hint="eastAsia" w:ascii="仿宋" w:hAnsi="仿宋" w:eastAsia="仿宋" w:cs="仿宋"/>
                <w:sz w:val="21"/>
                <w:szCs w:val="21"/>
              </w:rPr>
              <w:t>禽肉、禽蛋</w:t>
            </w:r>
          </w:p>
        </w:tc>
        <w:tc>
          <w:tcPr>
            <w:tcW w:w="4377" w:type="dxa"/>
            <w:vMerge w:val="restart"/>
            <w:noWrap w:val="0"/>
            <w:vAlign w:val="center"/>
          </w:tcPr>
          <w:p w14:paraId="4E6057FB">
            <w:pPr>
              <w:keepNext w:val="0"/>
              <w:keepLines w:val="0"/>
              <w:pageBreakBefore w:val="0"/>
              <w:widowControl/>
              <w:wordWrap/>
              <w:overflowPunct/>
              <w:topLinePunct w:val="0"/>
              <w:bidi w:val="0"/>
              <w:snapToGrid w:val="0"/>
              <w:spacing w:line="312" w:lineRule="auto"/>
              <w:textAlignment w:val="baseline"/>
              <w:rPr>
                <w:rFonts w:hint="eastAsia" w:ascii="仿宋" w:hAnsi="仿宋" w:eastAsia="仿宋" w:cs="仿宋"/>
                <w:sz w:val="21"/>
                <w:szCs w:val="21"/>
              </w:rPr>
            </w:pPr>
            <w:r>
              <w:rPr>
                <w:rFonts w:hint="eastAsia" w:ascii="仿宋" w:hAnsi="仿宋" w:eastAsia="仿宋" w:cs="仿宋"/>
                <w:sz w:val="21"/>
                <w:szCs w:val="21"/>
              </w:rPr>
              <w:t>按GB 31658.20或农业农村部指定方法进行检测</w:t>
            </w:r>
          </w:p>
        </w:tc>
      </w:tr>
      <w:tr w14:paraId="1ADBF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3796" w:type="dxa"/>
            <w:noWrap w:val="0"/>
            <w:vAlign w:val="center"/>
          </w:tcPr>
          <w:p w14:paraId="5AA45B2C">
            <w:pPr>
              <w:keepNext w:val="0"/>
              <w:keepLines w:val="0"/>
              <w:pageBreakBefore w:val="0"/>
              <w:widowControl/>
              <w:wordWrap/>
              <w:overflowPunct/>
              <w:topLinePunct w:val="0"/>
              <w:bidi w:val="0"/>
              <w:snapToGrid w:val="0"/>
              <w:spacing w:line="312" w:lineRule="auto"/>
              <w:textAlignment w:val="baseline"/>
              <w:rPr>
                <w:rFonts w:hint="eastAsia" w:ascii="仿宋" w:hAnsi="仿宋" w:eastAsia="仿宋" w:cs="仿宋"/>
                <w:sz w:val="21"/>
                <w:szCs w:val="21"/>
              </w:rPr>
            </w:pPr>
            <w:r>
              <w:rPr>
                <w:rFonts w:hint="eastAsia" w:ascii="仿宋" w:hAnsi="仿宋" w:eastAsia="仿宋" w:cs="仿宋"/>
                <w:b/>
                <w:bCs/>
                <w:sz w:val="21"/>
                <w:szCs w:val="21"/>
              </w:rPr>
              <w:t>常规药物</w:t>
            </w:r>
            <w:r>
              <w:rPr>
                <w:rFonts w:hint="eastAsia" w:ascii="仿宋" w:hAnsi="仿宋" w:eastAsia="仿宋" w:cs="仿宋"/>
                <w:sz w:val="21"/>
                <w:szCs w:val="21"/>
              </w:rPr>
              <w:t>酰胺醇类（氟苯尼考、氟苯尼考胺和甲砜霉素）</w:t>
            </w:r>
          </w:p>
        </w:tc>
        <w:tc>
          <w:tcPr>
            <w:tcW w:w="1391" w:type="dxa"/>
            <w:noWrap w:val="0"/>
            <w:vAlign w:val="center"/>
          </w:tcPr>
          <w:p w14:paraId="593241E5">
            <w:pPr>
              <w:keepNext w:val="0"/>
              <w:keepLines w:val="0"/>
              <w:pageBreakBefore w:val="0"/>
              <w:widowControl/>
              <w:wordWrap/>
              <w:overflowPunct/>
              <w:topLinePunct w:val="0"/>
              <w:bidi w:val="0"/>
              <w:snapToGrid w:val="0"/>
              <w:spacing w:line="312" w:lineRule="auto"/>
              <w:jc w:val="center"/>
              <w:textAlignment w:val="baseline"/>
              <w:rPr>
                <w:rFonts w:hint="eastAsia" w:ascii="仿宋" w:hAnsi="仿宋" w:eastAsia="仿宋" w:cs="仿宋"/>
                <w:sz w:val="21"/>
                <w:szCs w:val="21"/>
              </w:rPr>
            </w:pPr>
            <w:r>
              <w:rPr>
                <w:rFonts w:hint="eastAsia" w:ascii="仿宋" w:hAnsi="仿宋" w:eastAsia="仿宋" w:cs="仿宋"/>
                <w:sz w:val="21"/>
                <w:szCs w:val="21"/>
              </w:rPr>
              <w:t>禽肉</w:t>
            </w:r>
          </w:p>
        </w:tc>
        <w:tc>
          <w:tcPr>
            <w:tcW w:w="4377" w:type="dxa"/>
            <w:vMerge w:val="continue"/>
            <w:noWrap w:val="0"/>
            <w:vAlign w:val="top"/>
          </w:tcPr>
          <w:p w14:paraId="0F3EF0DD">
            <w:pPr>
              <w:keepNext w:val="0"/>
              <w:keepLines w:val="0"/>
              <w:pageBreakBefore w:val="0"/>
              <w:widowControl/>
              <w:wordWrap/>
              <w:overflowPunct/>
              <w:topLinePunct w:val="0"/>
              <w:bidi w:val="0"/>
              <w:snapToGrid w:val="0"/>
              <w:spacing w:line="312" w:lineRule="auto"/>
              <w:jc w:val="left"/>
              <w:textAlignment w:val="baseline"/>
              <w:rPr>
                <w:rFonts w:hint="eastAsia" w:ascii="仿宋" w:hAnsi="仿宋" w:eastAsia="仿宋" w:cs="仿宋"/>
                <w:sz w:val="21"/>
                <w:szCs w:val="21"/>
              </w:rPr>
            </w:pPr>
          </w:p>
        </w:tc>
      </w:tr>
      <w:tr w14:paraId="17BB2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3796" w:type="dxa"/>
            <w:noWrap w:val="0"/>
            <w:vAlign w:val="center"/>
          </w:tcPr>
          <w:p w14:paraId="109B7F03">
            <w:pPr>
              <w:keepNext w:val="0"/>
              <w:keepLines w:val="0"/>
              <w:pageBreakBefore w:val="0"/>
              <w:widowControl/>
              <w:wordWrap/>
              <w:overflowPunct/>
              <w:topLinePunct w:val="0"/>
              <w:bidi w:val="0"/>
              <w:snapToGrid w:val="0"/>
              <w:spacing w:line="312" w:lineRule="auto"/>
              <w:textAlignment w:val="baseline"/>
              <w:rPr>
                <w:rFonts w:hint="eastAsia" w:ascii="仿宋" w:hAnsi="仿宋" w:eastAsia="仿宋" w:cs="仿宋"/>
                <w:sz w:val="21"/>
                <w:szCs w:val="21"/>
              </w:rPr>
            </w:pPr>
            <w:r>
              <w:rPr>
                <w:rFonts w:hint="eastAsia" w:ascii="仿宋" w:hAnsi="仿宋" w:eastAsia="仿宋" w:cs="仿宋"/>
                <w:b/>
                <w:bCs/>
                <w:sz w:val="21"/>
                <w:szCs w:val="21"/>
              </w:rPr>
              <w:t>产蛋期不得使用药物</w:t>
            </w:r>
            <w:r>
              <w:rPr>
                <w:rFonts w:hint="eastAsia" w:ascii="仿宋" w:hAnsi="仿宋" w:eastAsia="仿宋" w:cs="仿宋"/>
                <w:sz w:val="21"/>
                <w:szCs w:val="21"/>
              </w:rPr>
              <w:t>酰胺醇类（氟苯尼考、氟苯尼考胺、甲砜霉素）</w:t>
            </w:r>
          </w:p>
        </w:tc>
        <w:tc>
          <w:tcPr>
            <w:tcW w:w="1391" w:type="dxa"/>
            <w:noWrap w:val="0"/>
            <w:vAlign w:val="center"/>
          </w:tcPr>
          <w:p w14:paraId="489F2943">
            <w:pPr>
              <w:keepNext w:val="0"/>
              <w:keepLines w:val="0"/>
              <w:pageBreakBefore w:val="0"/>
              <w:widowControl/>
              <w:wordWrap/>
              <w:overflowPunct/>
              <w:topLinePunct w:val="0"/>
              <w:bidi w:val="0"/>
              <w:snapToGrid w:val="0"/>
              <w:spacing w:line="312" w:lineRule="auto"/>
              <w:jc w:val="center"/>
              <w:textAlignment w:val="baseline"/>
              <w:rPr>
                <w:rFonts w:hint="eastAsia" w:ascii="仿宋" w:hAnsi="仿宋" w:eastAsia="仿宋" w:cs="仿宋"/>
                <w:sz w:val="21"/>
                <w:szCs w:val="21"/>
              </w:rPr>
            </w:pPr>
            <w:r>
              <w:rPr>
                <w:rFonts w:hint="eastAsia" w:ascii="仿宋" w:hAnsi="仿宋" w:eastAsia="仿宋" w:cs="仿宋"/>
                <w:sz w:val="21"/>
                <w:szCs w:val="21"/>
              </w:rPr>
              <w:t>禽蛋</w:t>
            </w:r>
          </w:p>
        </w:tc>
        <w:tc>
          <w:tcPr>
            <w:tcW w:w="4377" w:type="dxa"/>
            <w:vMerge w:val="continue"/>
            <w:noWrap w:val="0"/>
            <w:vAlign w:val="top"/>
          </w:tcPr>
          <w:p w14:paraId="17D546BF">
            <w:pPr>
              <w:keepNext w:val="0"/>
              <w:keepLines w:val="0"/>
              <w:pageBreakBefore w:val="0"/>
              <w:widowControl/>
              <w:wordWrap/>
              <w:overflowPunct/>
              <w:topLinePunct w:val="0"/>
              <w:bidi w:val="0"/>
              <w:snapToGrid w:val="0"/>
              <w:spacing w:line="312" w:lineRule="auto"/>
              <w:jc w:val="left"/>
              <w:textAlignment w:val="baseline"/>
              <w:rPr>
                <w:rFonts w:hint="eastAsia" w:ascii="仿宋" w:hAnsi="仿宋" w:eastAsia="仿宋" w:cs="仿宋"/>
                <w:sz w:val="21"/>
                <w:szCs w:val="21"/>
              </w:rPr>
            </w:pPr>
          </w:p>
        </w:tc>
      </w:tr>
      <w:tr w14:paraId="232C8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3796" w:type="dxa"/>
            <w:noWrap w:val="0"/>
            <w:vAlign w:val="center"/>
          </w:tcPr>
          <w:p w14:paraId="5E5355C0">
            <w:pPr>
              <w:keepNext w:val="0"/>
              <w:keepLines w:val="0"/>
              <w:pageBreakBefore w:val="0"/>
              <w:widowControl/>
              <w:wordWrap/>
              <w:overflowPunct/>
              <w:topLinePunct w:val="0"/>
              <w:bidi w:val="0"/>
              <w:snapToGrid w:val="0"/>
              <w:spacing w:line="312" w:lineRule="auto"/>
              <w:textAlignment w:val="baseline"/>
              <w:rPr>
                <w:rFonts w:hint="eastAsia" w:ascii="仿宋" w:hAnsi="仿宋" w:eastAsia="仿宋" w:cs="仿宋"/>
                <w:b/>
                <w:bCs/>
                <w:sz w:val="21"/>
                <w:szCs w:val="21"/>
              </w:rPr>
            </w:pPr>
            <w:r>
              <w:rPr>
                <w:rFonts w:hint="eastAsia" w:ascii="仿宋" w:hAnsi="仿宋" w:eastAsia="仿宋" w:cs="仿宋"/>
                <w:b/>
                <w:bCs/>
                <w:sz w:val="21"/>
                <w:szCs w:val="21"/>
              </w:rPr>
              <w:t>产蛋期不得使用药物</w:t>
            </w:r>
            <w:r>
              <w:rPr>
                <w:rFonts w:hint="eastAsia" w:ascii="仿宋" w:hAnsi="仿宋" w:eastAsia="仿宋" w:cs="仿宋"/>
                <w:sz w:val="21"/>
                <w:szCs w:val="21"/>
              </w:rPr>
              <w:t>四环素类（多西环素）</w:t>
            </w:r>
          </w:p>
        </w:tc>
        <w:tc>
          <w:tcPr>
            <w:tcW w:w="1391" w:type="dxa"/>
            <w:noWrap w:val="0"/>
            <w:vAlign w:val="center"/>
          </w:tcPr>
          <w:p w14:paraId="2EC3582C">
            <w:pPr>
              <w:keepNext w:val="0"/>
              <w:keepLines w:val="0"/>
              <w:pageBreakBefore w:val="0"/>
              <w:widowControl/>
              <w:wordWrap/>
              <w:overflowPunct/>
              <w:topLinePunct w:val="0"/>
              <w:bidi w:val="0"/>
              <w:snapToGrid w:val="0"/>
              <w:spacing w:line="312" w:lineRule="auto"/>
              <w:jc w:val="center"/>
              <w:textAlignment w:val="baseline"/>
              <w:rPr>
                <w:rFonts w:hint="eastAsia" w:ascii="仿宋" w:hAnsi="仿宋" w:eastAsia="仿宋" w:cs="仿宋"/>
                <w:sz w:val="21"/>
                <w:szCs w:val="21"/>
              </w:rPr>
            </w:pPr>
            <w:r>
              <w:rPr>
                <w:rFonts w:hint="eastAsia" w:ascii="仿宋" w:hAnsi="仿宋" w:eastAsia="仿宋" w:cs="仿宋"/>
                <w:sz w:val="21"/>
                <w:szCs w:val="21"/>
              </w:rPr>
              <w:t>禽蛋</w:t>
            </w:r>
          </w:p>
        </w:tc>
        <w:tc>
          <w:tcPr>
            <w:tcW w:w="4377" w:type="dxa"/>
            <w:noWrap w:val="0"/>
            <w:vAlign w:val="top"/>
          </w:tcPr>
          <w:p w14:paraId="109B9958">
            <w:pPr>
              <w:keepNext w:val="0"/>
              <w:keepLines w:val="0"/>
              <w:pageBreakBefore w:val="0"/>
              <w:widowControl/>
              <w:wordWrap/>
              <w:overflowPunct/>
              <w:topLinePunct w:val="0"/>
              <w:bidi w:val="0"/>
              <w:snapToGrid w:val="0"/>
              <w:spacing w:line="312" w:lineRule="auto"/>
              <w:jc w:val="left"/>
              <w:textAlignment w:val="baseline"/>
              <w:rPr>
                <w:rFonts w:hint="eastAsia" w:ascii="仿宋" w:hAnsi="仿宋" w:eastAsia="仿宋" w:cs="仿宋"/>
                <w:sz w:val="21"/>
                <w:szCs w:val="21"/>
              </w:rPr>
            </w:pPr>
            <w:r>
              <w:rPr>
                <w:rFonts w:hint="eastAsia" w:ascii="仿宋" w:hAnsi="仿宋" w:eastAsia="仿宋" w:cs="仿宋"/>
                <w:sz w:val="21"/>
                <w:szCs w:val="21"/>
              </w:rPr>
              <w:t>按GB 31658.6</w:t>
            </w:r>
          </w:p>
          <w:p w14:paraId="60D0A08F">
            <w:pPr>
              <w:keepNext w:val="0"/>
              <w:keepLines w:val="0"/>
              <w:pageBreakBefore w:val="0"/>
              <w:widowControl/>
              <w:wordWrap/>
              <w:overflowPunct/>
              <w:topLinePunct w:val="0"/>
              <w:bidi w:val="0"/>
              <w:snapToGrid w:val="0"/>
              <w:spacing w:line="312" w:lineRule="auto"/>
              <w:jc w:val="left"/>
              <w:textAlignment w:val="baseline"/>
              <w:rPr>
                <w:rFonts w:hint="eastAsia" w:ascii="仿宋" w:hAnsi="仿宋" w:eastAsia="仿宋" w:cs="仿宋"/>
                <w:sz w:val="21"/>
                <w:szCs w:val="21"/>
              </w:rPr>
            </w:pPr>
            <w:r>
              <w:rPr>
                <w:rFonts w:hint="eastAsia" w:ascii="仿宋" w:hAnsi="仿宋" w:eastAsia="仿宋" w:cs="仿宋"/>
                <w:sz w:val="21"/>
                <w:szCs w:val="21"/>
              </w:rPr>
              <w:t>或GB 31659.2进行检测</w:t>
            </w:r>
          </w:p>
        </w:tc>
      </w:tr>
    </w:tbl>
    <w:p w14:paraId="32208909">
      <w:pPr>
        <w:keepNext w:val="0"/>
        <w:keepLines w:val="0"/>
        <w:pageBreakBefore w:val="0"/>
        <w:wordWrap/>
        <w:overflowPunct/>
        <w:topLinePunct w:val="0"/>
        <w:bidi w:val="0"/>
        <w:spacing w:line="312" w:lineRule="auto"/>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br w:type="page"/>
      </w:r>
      <w:r>
        <w:rPr>
          <w:rFonts w:hint="eastAsia" w:ascii="仿宋" w:hAnsi="仿宋" w:eastAsia="仿宋" w:cs="仿宋"/>
          <w:b/>
          <w:bCs/>
          <w:sz w:val="24"/>
          <w:szCs w:val="24"/>
          <w:lang w:val="en-US" w:eastAsia="zh-CN"/>
        </w:rPr>
        <w:t>附件3.</w:t>
      </w:r>
      <w:r>
        <w:rPr>
          <w:rFonts w:hint="eastAsia" w:ascii="仿宋" w:hAnsi="仿宋" w:eastAsia="仿宋" w:cs="仿宋"/>
          <w:b/>
          <w:bCs/>
          <w:sz w:val="24"/>
          <w:szCs w:val="24"/>
        </w:rPr>
        <w:t>水产品</w:t>
      </w:r>
      <w:r>
        <w:rPr>
          <w:rStyle w:val="20"/>
          <w:rFonts w:hint="eastAsia" w:ascii="仿宋" w:hAnsi="仿宋" w:eastAsia="仿宋" w:cs="仿宋"/>
          <w:b/>
          <w:bCs/>
          <w:color w:val="auto"/>
          <w:sz w:val="24"/>
          <w:szCs w:val="24"/>
          <w:lang w:val="en-US" w:eastAsia="zh-CN"/>
        </w:rPr>
        <w:t>监测项目</w:t>
      </w:r>
      <w:r>
        <w:rPr>
          <w:rStyle w:val="20"/>
          <w:rFonts w:hint="eastAsia" w:ascii="仿宋" w:hAnsi="仿宋" w:eastAsia="仿宋" w:cs="仿宋"/>
          <w:b/>
          <w:bCs/>
          <w:color w:val="auto"/>
          <w:sz w:val="24"/>
          <w:szCs w:val="24"/>
        </w:rPr>
        <w:t>参数和检测方法</w:t>
      </w:r>
    </w:p>
    <w:tbl>
      <w:tblPr>
        <w:tblStyle w:val="11"/>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30"/>
        <w:gridCol w:w="4598"/>
      </w:tblGrid>
      <w:tr w14:paraId="0540B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4608" w:type="dxa"/>
            <w:noWrap w:val="0"/>
            <w:vAlign w:val="center"/>
          </w:tcPr>
          <w:p w14:paraId="524298B2">
            <w:pPr>
              <w:widowControl/>
              <w:snapToGrid w:val="0"/>
              <w:spacing w:line="520" w:lineRule="exact"/>
              <w:jc w:val="center"/>
              <w:textAlignment w:val="baseline"/>
              <w:rPr>
                <w:rFonts w:hint="eastAsia" w:ascii="仿宋" w:hAnsi="仿宋" w:eastAsia="仿宋" w:cs="仿宋"/>
                <w:sz w:val="21"/>
                <w:szCs w:val="21"/>
              </w:rPr>
            </w:pPr>
            <w:r>
              <w:rPr>
                <w:rFonts w:hint="eastAsia" w:ascii="仿宋" w:hAnsi="仿宋" w:eastAsia="仿宋" w:cs="仿宋"/>
                <w:sz w:val="21"/>
                <w:szCs w:val="21"/>
              </w:rPr>
              <w:t>监测参数</w:t>
            </w:r>
          </w:p>
        </w:tc>
        <w:tc>
          <w:tcPr>
            <w:tcW w:w="5069" w:type="dxa"/>
            <w:noWrap w:val="0"/>
            <w:vAlign w:val="center"/>
          </w:tcPr>
          <w:p w14:paraId="763437DE">
            <w:pPr>
              <w:widowControl/>
              <w:snapToGrid w:val="0"/>
              <w:spacing w:line="520" w:lineRule="exact"/>
              <w:jc w:val="center"/>
              <w:textAlignment w:val="baseline"/>
              <w:rPr>
                <w:rFonts w:hint="eastAsia" w:ascii="仿宋" w:hAnsi="仿宋" w:eastAsia="仿宋" w:cs="仿宋"/>
                <w:sz w:val="21"/>
                <w:szCs w:val="21"/>
              </w:rPr>
            </w:pPr>
            <w:r>
              <w:rPr>
                <w:rFonts w:hint="eastAsia" w:ascii="仿宋" w:hAnsi="仿宋" w:eastAsia="仿宋" w:cs="仿宋"/>
                <w:sz w:val="21"/>
                <w:szCs w:val="21"/>
              </w:rPr>
              <w:t>检测方法</w:t>
            </w:r>
          </w:p>
        </w:tc>
      </w:tr>
      <w:tr w14:paraId="1045D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8" w:type="dxa"/>
            <w:noWrap w:val="0"/>
            <w:vAlign w:val="center"/>
          </w:tcPr>
          <w:p w14:paraId="34F4FB92">
            <w:pPr>
              <w:widowControl/>
              <w:snapToGrid w:val="0"/>
              <w:spacing w:line="500" w:lineRule="exact"/>
              <w:textAlignment w:val="baseline"/>
              <w:rPr>
                <w:rFonts w:hint="eastAsia" w:ascii="仿宋" w:hAnsi="仿宋" w:eastAsia="仿宋" w:cs="仿宋"/>
                <w:sz w:val="21"/>
                <w:szCs w:val="21"/>
              </w:rPr>
            </w:pPr>
            <w:r>
              <w:rPr>
                <w:rFonts w:hint="eastAsia" w:ascii="仿宋" w:hAnsi="仿宋" w:eastAsia="仿宋" w:cs="仿宋"/>
                <w:b/>
                <w:bCs/>
                <w:sz w:val="21"/>
                <w:szCs w:val="21"/>
              </w:rPr>
              <w:t>禁用药物</w:t>
            </w:r>
            <w:r>
              <w:rPr>
                <w:rFonts w:hint="eastAsia" w:ascii="仿宋" w:hAnsi="仿宋" w:eastAsia="仿宋" w:cs="仿宋"/>
                <w:sz w:val="21"/>
                <w:szCs w:val="21"/>
              </w:rPr>
              <w:t>氯霉素</w:t>
            </w:r>
          </w:p>
        </w:tc>
        <w:tc>
          <w:tcPr>
            <w:tcW w:w="5069" w:type="dxa"/>
            <w:vMerge w:val="restart"/>
            <w:noWrap w:val="0"/>
            <w:vAlign w:val="center"/>
          </w:tcPr>
          <w:p w14:paraId="1F1A7793">
            <w:pPr>
              <w:widowControl/>
              <w:snapToGrid w:val="0"/>
              <w:spacing w:line="500" w:lineRule="exact"/>
              <w:textAlignment w:val="baseline"/>
              <w:rPr>
                <w:rFonts w:hint="eastAsia" w:ascii="仿宋" w:hAnsi="仿宋" w:eastAsia="仿宋" w:cs="仿宋"/>
                <w:sz w:val="21"/>
                <w:szCs w:val="21"/>
              </w:rPr>
            </w:pPr>
            <w:r>
              <w:rPr>
                <w:rFonts w:hint="eastAsia" w:ascii="仿宋" w:hAnsi="仿宋" w:eastAsia="仿宋" w:cs="仿宋"/>
                <w:sz w:val="21"/>
                <w:szCs w:val="21"/>
              </w:rPr>
              <w:t>按GB/T 20756</w:t>
            </w:r>
          </w:p>
          <w:p w14:paraId="5427D0FF">
            <w:pPr>
              <w:widowControl/>
              <w:snapToGrid w:val="0"/>
              <w:spacing w:line="500" w:lineRule="exact"/>
              <w:textAlignment w:val="baseline"/>
              <w:rPr>
                <w:rFonts w:hint="eastAsia" w:ascii="仿宋" w:hAnsi="仿宋" w:eastAsia="仿宋" w:cs="仿宋"/>
                <w:sz w:val="21"/>
                <w:szCs w:val="21"/>
              </w:rPr>
            </w:pPr>
            <w:r>
              <w:rPr>
                <w:rFonts w:hint="eastAsia" w:ascii="仿宋" w:hAnsi="仿宋" w:eastAsia="仿宋" w:cs="仿宋"/>
                <w:sz w:val="21"/>
                <w:szCs w:val="21"/>
              </w:rPr>
              <w:t>或GB 31656.16或SN/T 1865-2016进行检测或农业农村部指定方法进行检测</w:t>
            </w:r>
          </w:p>
        </w:tc>
      </w:tr>
      <w:tr w14:paraId="407C9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8" w:type="dxa"/>
            <w:noWrap w:val="0"/>
            <w:vAlign w:val="center"/>
          </w:tcPr>
          <w:p w14:paraId="7BC7CC6F">
            <w:pPr>
              <w:widowControl/>
              <w:snapToGrid w:val="0"/>
              <w:spacing w:line="500" w:lineRule="exact"/>
              <w:textAlignment w:val="baseline"/>
              <w:rPr>
                <w:rFonts w:hint="eastAsia" w:ascii="仿宋" w:hAnsi="仿宋" w:eastAsia="仿宋" w:cs="仿宋"/>
                <w:sz w:val="21"/>
                <w:szCs w:val="21"/>
              </w:rPr>
            </w:pPr>
            <w:r>
              <w:rPr>
                <w:rFonts w:hint="eastAsia" w:ascii="仿宋" w:hAnsi="仿宋" w:eastAsia="仿宋" w:cs="仿宋"/>
                <w:b/>
                <w:bCs/>
                <w:sz w:val="21"/>
                <w:szCs w:val="21"/>
              </w:rPr>
              <w:t>常规药物</w:t>
            </w:r>
            <w:r>
              <w:rPr>
                <w:rFonts w:hint="eastAsia" w:ascii="仿宋" w:hAnsi="仿宋" w:eastAsia="仿宋" w:cs="仿宋"/>
                <w:sz w:val="21"/>
                <w:szCs w:val="21"/>
              </w:rPr>
              <w:t>酰胺醇类（甲砜霉素、氟苯尼考和氟苯尼考胺）</w:t>
            </w:r>
          </w:p>
        </w:tc>
        <w:tc>
          <w:tcPr>
            <w:tcW w:w="5069" w:type="dxa"/>
            <w:vMerge w:val="continue"/>
            <w:noWrap w:val="0"/>
            <w:vAlign w:val="center"/>
          </w:tcPr>
          <w:p w14:paraId="5F763C88">
            <w:pPr>
              <w:widowControl/>
              <w:snapToGrid w:val="0"/>
              <w:spacing w:line="500" w:lineRule="exact"/>
              <w:textAlignment w:val="baseline"/>
              <w:rPr>
                <w:rFonts w:hint="eastAsia" w:ascii="仿宋" w:hAnsi="仿宋" w:eastAsia="仿宋" w:cs="仿宋"/>
                <w:sz w:val="21"/>
                <w:szCs w:val="21"/>
              </w:rPr>
            </w:pPr>
          </w:p>
        </w:tc>
      </w:tr>
      <w:tr w14:paraId="79AD0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8" w:type="dxa"/>
            <w:noWrap w:val="0"/>
            <w:vAlign w:val="center"/>
          </w:tcPr>
          <w:p w14:paraId="5B5459F8">
            <w:pPr>
              <w:widowControl/>
              <w:snapToGrid w:val="0"/>
              <w:spacing w:line="500" w:lineRule="exact"/>
              <w:textAlignment w:val="baseline"/>
              <w:rPr>
                <w:rFonts w:hint="eastAsia" w:ascii="仿宋" w:hAnsi="仿宋" w:eastAsia="仿宋" w:cs="仿宋"/>
                <w:sz w:val="21"/>
                <w:szCs w:val="21"/>
              </w:rPr>
            </w:pPr>
            <w:r>
              <w:rPr>
                <w:rFonts w:hint="eastAsia" w:ascii="仿宋" w:hAnsi="仿宋" w:eastAsia="仿宋" w:cs="仿宋"/>
                <w:b/>
                <w:bCs/>
                <w:sz w:val="21"/>
                <w:szCs w:val="21"/>
              </w:rPr>
              <w:t>禁用药物</w:t>
            </w:r>
            <w:r>
              <w:rPr>
                <w:rFonts w:hint="eastAsia" w:ascii="仿宋" w:hAnsi="仿宋" w:eastAsia="仿宋" w:cs="仿宋"/>
                <w:sz w:val="21"/>
                <w:szCs w:val="21"/>
              </w:rPr>
              <w:t>孔雀石绿（包括有色孔雀石绿和无色孔雀石绿）</w:t>
            </w:r>
          </w:p>
        </w:tc>
        <w:tc>
          <w:tcPr>
            <w:tcW w:w="5069" w:type="dxa"/>
            <w:noWrap w:val="0"/>
            <w:vAlign w:val="center"/>
          </w:tcPr>
          <w:p w14:paraId="31D19B24">
            <w:pPr>
              <w:widowControl/>
              <w:snapToGrid w:val="0"/>
              <w:spacing w:line="500" w:lineRule="exact"/>
              <w:textAlignment w:val="baseline"/>
              <w:rPr>
                <w:rFonts w:hint="eastAsia" w:ascii="仿宋" w:hAnsi="仿宋" w:eastAsia="仿宋" w:cs="仿宋"/>
                <w:sz w:val="21"/>
                <w:szCs w:val="21"/>
              </w:rPr>
            </w:pPr>
            <w:r>
              <w:rPr>
                <w:rFonts w:hint="eastAsia" w:ascii="仿宋" w:hAnsi="仿宋" w:eastAsia="仿宋" w:cs="仿宋"/>
                <w:sz w:val="21"/>
                <w:szCs w:val="21"/>
              </w:rPr>
              <w:t>按GB/T 20361</w:t>
            </w:r>
          </w:p>
          <w:p w14:paraId="780AD9DC">
            <w:pPr>
              <w:widowControl/>
              <w:snapToGrid w:val="0"/>
              <w:spacing w:line="500" w:lineRule="exact"/>
              <w:textAlignment w:val="baseline"/>
              <w:rPr>
                <w:rFonts w:hint="eastAsia" w:ascii="仿宋" w:hAnsi="仿宋" w:eastAsia="仿宋" w:cs="仿宋"/>
                <w:sz w:val="21"/>
                <w:szCs w:val="21"/>
              </w:rPr>
            </w:pPr>
            <w:r>
              <w:rPr>
                <w:rFonts w:hint="eastAsia" w:ascii="仿宋" w:hAnsi="仿宋" w:eastAsia="仿宋" w:cs="仿宋"/>
                <w:sz w:val="21"/>
                <w:szCs w:val="21"/>
              </w:rPr>
              <w:t>或GB/T 19857-2005进行检测</w:t>
            </w:r>
          </w:p>
        </w:tc>
      </w:tr>
      <w:tr w14:paraId="769EF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8" w:type="dxa"/>
            <w:noWrap w:val="0"/>
            <w:vAlign w:val="center"/>
          </w:tcPr>
          <w:p w14:paraId="5DF6AF9A">
            <w:pPr>
              <w:widowControl/>
              <w:snapToGrid w:val="0"/>
              <w:spacing w:line="500" w:lineRule="exact"/>
              <w:textAlignment w:val="baseline"/>
              <w:rPr>
                <w:rFonts w:hint="eastAsia" w:ascii="仿宋" w:hAnsi="仿宋" w:eastAsia="仿宋" w:cs="仿宋"/>
                <w:sz w:val="21"/>
                <w:szCs w:val="21"/>
              </w:rPr>
            </w:pPr>
            <w:r>
              <w:rPr>
                <w:rFonts w:hint="eastAsia" w:ascii="仿宋" w:hAnsi="仿宋" w:eastAsia="仿宋" w:cs="仿宋"/>
                <w:b/>
                <w:bCs/>
                <w:sz w:val="21"/>
                <w:szCs w:val="21"/>
              </w:rPr>
              <w:t>禁用药物</w:t>
            </w:r>
            <w:r>
              <w:rPr>
                <w:rFonts w:hint="eastAsia" w:ascii="仿宋" w:hAnsi="仿宋" w:eastAsia="仿宋" w:cs="仿宋"/>
                <w:sz w:val="21"/>
                <w:szCs w:val="21"/>
              </w:rPr>
              <w:t>硝基呋喃类代谢物（包括呋喃唑酮代谢物AOZ、呋喃它酮代谢物AMOZ、呋喃西林代谢物SEM和呋喃妥因代谢物AHD）</w:t>
            </w:r>
          </w:p>
        </w:tc>
        <w:tc>
          <w:tcPr>
            <w:tcW w:w="5069" w:type="dxa"/>
            <w:noWrap w:val="0"/>
            <w:vAlign w:val="center"/>
          </w:tcPr>
          <w:p w14:paraId="1B229993">
            <w:pPr>
              <w:widowControl/>
              <w:snapToGrid w:val="0"/>
              <w:spacing w:line="500" w:lineRule="exact"/>
              <w:textAlignment w:val="baseline"/>
              <w:rPr>
                <w:rFonts w:hint="eastAsia" w:ascii="仿宋" w:hAnsi="仿宋" w:eastAsia="仿宋" w:cs="仿宋"/>
                <w:sz w:val="21"/>
                <w:szCs w:val="21"/>
              </w:rPr>
            </w:pPr>
            <w:r>
              <w:rPr>
                <w:rFonts w:hint="eastAsia" w:ascii="仿宋" w:hAnsi="仿宋" w:eastAsia="仿宋" w:cs="仿宋"/>
                <w:sz w:val="21"/>
                <w:szCs w:val="21"/>
              </w:rPr>
              <w:t>按GB 31656.13</w:t>
            </w:r>
          </w:p>
          <w:p w14:paraId="2C1BFBA3">
            <w:pPr>
              <w:widowControl/>
              <w:snapToGrid w:val="0"/>
              <w:spacing w:line="500" w:lineRule="exact"/>
              <w:textAlignment w:val="baseline"/>
              <w:rPr>
                <w:rFonts w:hint="eastAsia" w:ascii="仿宋" w:hAnsi="仿宋" w:eastAsia="仿宋" w:cs="仿宋"/>
                <w:sz w:val="21"/>
                <w:szCs w:val="21"/>
              </w:rPr>
            </w:pPr>
            <w:r>
              <w:rPr>
                <w:rFonts w:hint="eastAsia" w:ascii="仿宋" w:hAnsi="仿宋" w:eastAsia="仿宋" w:cs="仿宋"/>
                <w:sz w:val="21"/>
                <w:szCs w:val="21"/>
              </w:rPr>
              <w:t>或农业部783号公告-1-2006进行检测</w:t>
            </w:r>
          </w:p>
        </w:tc>
      </w:tr>
      <w:tr w14:paraId="253D5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8" w:type="dxa"/>
            <w:noWrap w:val="0"/>
            <w:vAlign w:val="center"/>
          </w:tcPr>
          <w:p w14:paraId="204916C3">
            <w:pPr>
              <w:widowControl/>
              <w:snapToGrid w:val="0"/>
              <w:spacing w:line="500" w:lineRule="exact"/>
              <w:textAlignment w:val="baseline"/>
              <w:rPr>
                <w:rFonts w:hint="eastAsia" w:ascii="仿宋" w:hAnsi="仿宋" w:eastAsia="仿宋" w:cs="仿宋"/>
                <w:sz w:val="21"/>
                <w:szCs w:val="21"/>
              </w:rPr>
            </w:pPr>
            <w:r>
              <w:rPr>
                <w:rFonts w:hint="eastAsia" w:ascii="仿宋" w:hAnsi="仿宋" w:eastAsia="仿宋" w:cs="仿宋"/>
                <w:b/>
                <w:bCs/>
                <w:sz w:val="21"/>
                <w:szCs w:val="21"/>
              </w:rPr>
              <w:t>常规药物</w:t>
            </w:r>
            <w:r>
              <w:rPr>
                <w:rFonts w:hint="eastAsia" w:ascii="仿宋" w:hAnsi="仿宋" w:eastAsia="仿宋" w:cs="仿宋"/>
                <w:sz w:val="21"/>
                <w:szCs w:val="21"/>
              </w:rPr>
              <w:t>磺胺类（包括磺胺噻唑、磺胺嘧啶、磺胺甲基嘧啶、磺胺二甲基嘧啶、磺胺甲基异噁唑、磺胺多辛、磺胺异噁唑、磺胺喹噁啉、磺胺间甲氧嘧啶、磺胺间二甲氧嘧啶、磺胺氯哒嗪和磺胺甲噻二唑等12种）</w:t>
            </w:r>
          </w:p>
        </w:tc>
        <w:tc>
          <w:tcPr>
            <w:tcW w:w="5069" w:type="dxa"/>
            <w:noWrap w:val="0"/>
            <w:vAlign w:val="center"/>
          </w:tcPr>
          <w:p w14:paraId="625BED30">
            <w:pPr>
              <w:widowControl/>
              <w:snapToGrid w:val="0"/>
              <w:spacing w:line="500" w:lineRule="exact"/>
              <w:textAlignment w:val="baseline"/>
              <w:rPr>
                <w:rFonts w:hint="eastAsia" w:ascii="仿宋" w:hAnsi="仿宋" w:eastAsia="仿宋" w:cs="仿宋"/>
                <w:sz w:val="21"/>
                <w:szCs w:val="21"/>
              </w:rPr>
            </w:pPr>
            <w:r>
              <w:rPr>
                <w:rFonts w:hint="eastAsia" w:ascii="仿宋" w:hAnsi="仿宋" w:eastAsia="仿宋" w:cs="仿宋"/>
                <w:sz w:val="21"/>
                <w:szCs w:val="21"/>
              </w:rPr>
              <w:t>按农业部1077号公告-1-2008进行检测</w:t>
            </w:r>
          </w:p>
        </w:tc>
      </w:tr>
      <w:tr w14:paraId="6436E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8" w:type="dxa"/>
            <w:noWrap w:val="0"/>
            <w:vAlign w:val="center"/>
          </w:tcPr>
          <w:p w14:paraId="119DE0BE">
            <w:pPr>
              <w:widowControl/>
              <w:snapToGrid w:val="0"/>
              <w:spacing w:line="500" w:lineRule="exact"/>
              <w:textAlignment w:val="baseline"/>
              <w:rPr>
                <w:rFonts w:hint="eastAsia" w:ascii="仿宋" w:hAnsi="仿宋" w:eastAsia="仿宋" w:cs="仿宋"/>
                <w:sz w:val="21"/>
                <w:szCs w:val="21"/>
              </w:rPr>
            </w:pPr>
            <w:r>
              <w:rPr>
                <w:rFonts w:hint="eastAsia" w:ascii="仿宋" w:hAnsi="仿宋" w:eastAsia="仿宋" w:cs="仿宋"/>
                <w:b/>
                <w:bCs/>
                <w:sz w:val="21"/>
                <w:szCs w:val="21"/>
              </w:rPr>
              <w:t>常规药物</w:t>
            </w:r>
            <w:r>
              <w:rPr>
                <w:rFonts w:hint="eastAsia" w:ascii="仿宋" w:hAnsi="仿宋" w:eastAsia="仿宋" w:cs="仿宋"/>
                <w:sz w:val="21"/>
                <w:szCs w:val="21"/>
              </w:rPr>
              <w:t>氟喹诺酮类（包括恩诺沙星、环丙沙星）</w:t>
            </w:r>
          </w:p>
        </w:tc>
        <w:tc>
          <w:tcPr>
            <w:tcW w:w="5069" w:type="dxa"/>
            <w:vMerge w:val="restart"/>
            <w:noWrap w:val="0"/>
            <w:vAlign w:val="center"/>
          </w:tcPr>
          <w:p w14:paraId="2856B974">
            <w:pPr>
              <w:widowControl/>
              <w:snapToGrid w:val="0"/>
              <w:spacing w:line="500" w:lineRule="exact"/>
              <w:textAlignment w:val="baseline"/>
              <w:rPr>
                <w:rFonts w:hint="eastAsia" w:ascii="仿宋" w:hAnsi="仿宋" w:eastAsia="仿宋" w:cs="仿宋"/>
                <w:sz w:val="21"/>
                <w:szCs w:val="21"/>
              </w:rPr>
            </w:pPr>
            <w:r>
              <w:rPr>
                <w:rFonts w:hint="eastAsia" w:ascii="仿宋" w:hAnsi="仿宋" w:eastAsia="仿宋" w:cs="仿宋"/>
                <w:sz w:val="21"/>
                <w:szCs w:val="21"/>
              </w:rPr>
              <w:t>按农业部1077号公告-1-2008进行检测</w:t>
            </w:r>
          </w:p>
        </w:tc>
      </w:tr>
      <w:tr w14:paraId="43087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08" w:type="dxa"/>
            <w:noWrap w:val="0"/>
            <w:vAlign w:val="center"/>
          </w:tcPr>
          <w:p w14:paraId="78BA1BF4">
            <w:pPr>
              <w:widowControl/>
              <w:snapToGrid w:val="0"/>
              <w:spacing w:line="500" w:lineRule="exact"/>
              <w:textAlignment w:val="baseline"/>
              <w:rPr>
                <w:rFonts w:hint="eastAsia" w:ascii="仿宋" w:hAnsi="仿宋" w:eastAsia="仿宋" w:cs="仿宋"/>
                <w:sz w:val="21"/>
                <w:szCs w:val="21"/>
              </w:rPr>
            </w:pPr>
            <w:r>
              <w:rPr>
                <w:rFonts w:hint="eastAsia" w:ascii="仿宋" w:hAnsi="仿宋" w:eastAsia="仿宋" w:cs="仿宋"/>
                <w:b/>
                <w:bCs/>
                <w:sz w:val="21"/>
                <w:szCs w:val="21"/>
              </w:rPr>
              <w:t>食品动物中停止使用药物</w:t>
            </w:r>
            <w:r>
              <w:rPr>
                <w:rFonts w:hint="eastAsia" w:ascii="仿宋" w:hAnsi="仿宋" w:eastAsia="仿宋" w:cs="仿宋"/>
                <w:sz w:val="21"/>
                <w:szCs w:val="21"/>
              </w:rPr>
              <w:t>氟喹诺酮类（诺氟沙星、氧氟沙星、培氟沙星和洛美沙星）</w:t>
            </w:r>
          </w:p>
        </w:tc>
        <w:tc>
          <w:tcPr>
            <w:tcW w:w="5069" w:type="dxa"/>
            <w:vMerge w:val="continue"/>
            <w:noWrap w:val="0"/>
            <w:vAlign w:val="top"/>
          </w:tcPr>
          <w:p w14:paraId="023A5E95">
            <w:pPr>
              <w:widowControl/>
              <w:snapToGrid w:val="0"/>
              <w:spacing w:line="500" w:lineRule="exact"/>
              <w:jc w:val="left"/>
              <w:textAlignment w:val="baseline"/>
              <w:rPr>
                <w:rFonts w:hint="eastAsia" w:ascii="仿宋" w:hAnsi="仿宋" w:eastAsia="仿宋" w:cs="仿宋"/>
                <w:sz w:val="21"/>
                <w:szCs w:val="21"/>
              </w:rPr>
            </w:pPr>
          </w:p>
        </w:tc>
      </w:tr>
      <w:tr w14:paraId="293D0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8" w:type="dxa"/>
            <w:noWrap w:val="0"/>
            <w:vAlign w:val="center"/>
          </w:tcPr>
          <w:p w14:paraId="5630E323">
            <w:pPr>
              <w:widowControl/>
              <w:snapToGrid w:val="0"/>
              <w:spacing w:line="500" w:lineRule="exact"/>
              <w:textAlignment w:val="baseline"/>
              <w:rPr>
                <w:rFonts w:hint="eastAsia" w:ascii="仿宋" w:hAnsi="仿宋" w:eastAsia="仿宋" w:cs="仿宋"/>
                <w:b/>
                <w:bCs/>
                <w:sz w:val="21"/>
                <w:szCs w:val="21"/>
              </w:rPr>
            </w:pPr>
            <w:r>
              <w:rPr>
                <w:rFonts w:hint="eastAsia" w:ascii="仿宋" w:hAnsi="仿宋" w:eastAsia="仿宋" w:cs="仿宋"/>
                <w:b/>
                <w:bCs/>
                <w:sz w:val="21"/>
                <w:szCs w:val="21"/>
              </w:rPr>
              <w:t>常规药物</w:t>
            </w:r>
            <w:r>
              <w:rPr>
                <w:rFonts w:hint="eastAsia" w:ascii="仿宋" w:hAnsi="仿宋" w:eastAsia="仿宋" w:cs="仿宋"/>
                <w:sz w:val="21"/>
                <w:szCs w:val="21"/>
              </w:rPr>
              <w:t>抗菌增效剂（甲氧苄啶）</w:t>
            </w:r>
          </w:p>
        </w:tc>
        <w:tc>
          <w:tcPr>
            <w:tcW w:w="5069" w:type="dxa"/>
            <w:noWrap w:val="0"/>
            <w:vAlign w:val="top"/>
          </w:tcPr>
          <w:p w14:paraId="3EB7D19C">
            <w:pPr>
              <w:widowControl/>
              <w:snapToGrid w:val="0"/>
              <w:spacing w:line="500" w:lineRule="exact"/>
              <w:textAlignment w:val="baseline"/>
              <w:rPr>
                <w:rFonts w:hint="eastAsia" w:ascii="仿宋" w:hAnsi="仿宋" w:eastAsia="仿宋" w:cs="仿宋"/>
                <w:sz w:val="21"/>
                <w:szCs w:val="21"/>
              </w:rPr>
            </w:pPr>
            <w:r>
              <w:rPr>
                <w:rFonts w:hint="eastAsia" w:ascii="仿宋" w:hAnsi="仿宋" w:eastAsia="仿宋" w:cs="仿宋"/>
                <w:sz w:val="21"/>
                <w:szCs w:val="21"/>
              </w:rPr>
              <w:t>按GB 29702或GB/T 21316进行检测</w:t>
            </w:r>
          </w:p>
        </w:tc>
      </w:tr>
      <w:tr w14:paraId="1C78E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8" w:type="dxa"/>
            <w:noWrap w:val="0"/>
            <w:vAlign w:val="center"/>
          </w:tcPr>
          <w:p w14:paraId="4E80330A">
            <w:pPr>
              <w:widowControl/>
              <w:snapToGrid w:val="0"/>
              <w:spacing w:line="500" w:lineRule="exact"/>
              <w:textAlignment w:val="baseline"/>
              <w:rPr>
                <w:rFonts w:hint="eastAsia" w:ascii="仿宋" w:hAnsi="仿宋" w:eastAsia="仿宋" w:cs="仿宋"/>
                <w:b/>
                <w:bCs/>
                <w:sz w:val="21"/>
                <w:szCs w:val="21"/>
              </w:rPr>
            </w:pPr>
            <w:r>
              <w:rPr>
                <w:rFonts w:hint="eastAsia" w:ascii="仿宋" w:hAnsi="仿宋" w:eastAsia="仿宋" w:cs="仿宋"/>
                <w:sz w:val="21"/>
                <w:szCs w:val="21"/>
                <w:lang w:eastAsia="zh-CN"/>
              </w:rPr>
              <w:t>地西泮</w:t>
            </w:r>
          </w:p>
        </w:tc>
        <w:tc>
          <w:tcPr>
            <w:tcW w:w="5069" w:type="dxa"/>
            <w:noWrap w:val="0"/>
            <w:vAlign w:val="top"/>
          </w:tcPr>
          <w:p w14:paraId="3C87AEEE">
            <w:pPr>
              <w:widowControl/>
              <w:snapToGrid w:val="0"/>
              <w:spacing w:line="500" w:lineRule="exact"/>
              <w:textAlignment w:val="baseline"/>
              <w:rPr>
                <w:rFonts w:hint="eastAsia" w:ascii="仿宋" w:hAnsi="仿宋" w:eastAsia="仿宋" w:cs="仿宋"/>
                <w:sz w:val="21"/>
                <w:szCs w:val="21"/>
              </w:rPr>
            </w:pPr>
            <w:r>
              <w:rPr>
                <w:rFonts w:hint="eastAsia" w:ascii="仿宋" w:hAnsi="仿宋" w:eastAsia="仿宋" w:cs="仿宋"/>
                <w:sz w:val="21"/>
                <w:szCs w:val="21"/>
                <w:lang w:eastAsia="zh-CN"/>
              </w:rPr>
              <w:t>水产品中地西泮残留量的测定</w:t>
            </w:r>
            <w:r>
              <w:rPr>
                <w:rFonts w:hint="eastAsia" w:ascii="仿宋" w:hAnsi="仿宋" w:eastAsia="仿宋" w:cs="仿宋"/>
                <w:sz w:val="21"/>
                <w:szCs w:val="21"/>
                <w:lang w:val="en-US" w:eastAsia="zh-CN"/>
              </w:rPr>
              <w:t>液相色谱－质谱/质谱法（</w:t>
            </w:r>
            <w:r>
              <w:rPr>
                <w:rFonts w:hint="eastAsia" w:ascii="仿宋" w:hAnsi="仿宋" w:eastAsia="仿宋" w:cs="仿宋"/>
                <w:sz w:val="21"/>
                <w:szCs w:val="21"/>
                <w:lang w:eastAsia="zh-CN"/>
              </w:rPr>
              <w:t>SN/T3235-2012</w:t>
            </w:r>
            <w:r>
              <w:rPr>
                <w:rFonts w:hint="eastAsia" w:ascii="仿宋" w:hAnsi="仿宋" w:eastAsia="仿宋" w:cs="仿宋"/>
                <w:sz w:val="21"/>
                <w:szCs w:val="21"/>
                <w:lang w:val="en-US" w:eastAsia="zh-CN"/>
              </w:rPr>
              <w:t>）</w:t>
            </w:r>
          </w:p>
        </w:tc>
      </w:tr>
    </w:tbl>
    <w:p w14:paraId="5AD1A577">
      <w:pPr>
        <w:rPr>
          <w:rFonts w:hint="eastAsia"/>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AGYXIQ+Frutiger-Cn">
    <w:altName w:val="宋体"/>
    <w:panose1 w:val="00000000000000000000"/>
    <w:charset w:val="86"/>
    <w:family w:val="swiss"/>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7F367C"/>
    <w:multiLevelType w:val="singleLevel"/>
    <w:tmpl w:val="F97F367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1F3680"/>
    <w:rsid w:val="07BF18FD"/>
    <w:rsid w:val="09733BCD"/>
    <w:rsid w:val="119242E3"/>
    <w:rsid w:val="129C0D42"/>
    <w:rsid w:val="170219D5"/>
    <w:rsid w:val="17E74F00"/>
    <w:rsid w:val="18C33753"/>
    <w:rsid w:val="1A2A3B3E"/>
    <w:rsid w:val="1EFD169A"/>
    <w:rsid w:val="22E10413"/>
    <w:rsid w:val="252C351F"/>
    <w:rsid w:val="296C0B43"/>
    <w:rsid w:val="2BAC1149"/>
    <w:rsid w:val="2E3D66A4"/>
    <w:rsid w:val="3E27534E"/>
    <w:rsid w:val="44B91127"/>
    <w:rsid w:val="4E646531"/>
    <w:rsid w:val="50BF7D4B"/>
    <w:rsid w:val="53A75A71"/>
    <w:rsid w:val="5A515100"/>
    <w:rsid w:val="5DDF4B26"/>
    <w:rsid w:val="685D5026"/>
    <w:rsid w:val="6BA21785"/>
    <w:rsid w:val="71797846"/>
    <w:rsid w:val="72F23390"/>
    <w:rsid w:val="736900D2"/>
    <w:rsid w:val="7D766B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9"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sz w:val="24"/>
      <w:lang w:val="en-US" w:eastAsia="zh-CN" w:bidi="ar-SA"/>
    </w:rPr>
  </w:style>
  <w:style w:type="paragraph" w:styleId="3">
    <w:name w:val="heading 1"/>
    <w:basedOn w:val="1"/>
    <w:next w:val="1"/>
    <w:qFormat/>
    <w:uiPriority w:val="1"/>
    <w:pPr>
      <w:spacing w:before="30"/>
      <w:ind w:left="791" w:right="1168"/>
      <w:jc w:val="center"/>
      <w:outlineLvl w:val="0"/>
    </w:pPr>
    <w:rPr>
      <w:rFonts w:ascii="仿宋" w:hAnsi="仿宋" w:eastAsia="仿宋" w:cs="仿宋"/>
      <w:b/>
      <w:bCs/>
      <w:sz w:val="32"/>
      <w:szCs w:val="32"/>
    </w:rPr>
  </w:style>
  <w:style w:type="paragraph" w:styleId="4">
    <w:name w:val="heading 2"/>
    <w:basedOn w:val="1"/>
    <w:next w:val="1"/>
    <w:qFormat/>
    <w:uiPriority w:val="9"/>
    <w:pPr>
      <w:keepNext/>
      <w:keepLines/>
      <w:widowControl/>
      <w:spacing w:before="260" w:beforeLines="0" w:after="260" w:afterLines="0"/>
      <w:ind w:left="284"/>
      <w:jc w:val="left"/>
      <w:outlineLvl w:val="1"/>
    </w:pPr>
    <w:rPr>
      <w:rFonts w:ascii="Arial" w:hAnsi="Arial"/>
      <w:b/>
      <w:bCs/>
      <w:sz w:val="28"/>
      <w:szCs w:val="32"/>
    </w:rPr>
  </w:style>
  <w:style w:type="paragraph" w:styleId="5">
    <w:name w:val="heading 4"/>
    <w:basedOn w:val="1"/>
    <w:next w:val="1"/>
    <w:qFormat/>
    <w:uiPriority w:val="0"/>
    <w:pPr>
      <w:keepNext/>
      <w:keepLines/>
      <w:tabs>
        <w:tab w:val="left" w:pos="864"/>
      </w:tabs>
      <w:spacing w:before="120" w:line="360" w:lineRule="auto"/>
      <w:ind w:left="864" w:hanging="864"/>
      <w:outlineLvl w:val="3"/>
    </w:pPr>
    <w:rPr>
      <w:rFonts w:ascii="Arial" w:hAnsi="Arial"/>
      <w:bCs/>
      <w:kern w:val="2"/>
      <w:szCs w:val="28"/>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pPr>
    <w:rPr>
      <w:rFonts w:ascii="Times New Roman"/>
      <w:kern w:val="2"/>
      <w:sz w:val="21"/>
    </w:rPr>
  </w:style>
  <w:style w:type="paragraph" w:styleId="6">
    <w:name w:val="Normal Indent"/>
    <w:basedOn w:val="1"/>
    <w:qFormat/>
    <w:uiPriority w:val="0"/>
    <w:pPr>
      <w:spacing w:line="300" w:lineRule="auto"/>
      <w:ind w:firstLine="420" w:firstLineChars="200"/>
    </w:pPr>
    <w:rPr>
      <w:rFonts w:ascii="Times New Roman"/>
      <w:kern w:val="2"/>
      <w:sz w:val="21"/>
      <w:szCs w:val="24"/>
    </w:rPr>
  </w:style>
  <w:style w:type="paragraph" w:styleId="7">
    <w:name w:val="Body Text Indent"/>
    <w:basedOn w:val="1"/>
    <w:qFormat/>
    <w:uiPriority w:val="0"/>
    <w:pPr>
      <w:widowControl/>
      <w:ind w:firstLine="652" w:firstLineChars="233"/>
    </w:pPr>
    <w:rPr>
      <w:rFonts w:ascii="Times New Roman"/>
      <w:sz w:val="28"/>
    </w:rPr>
  </w:style>
  <w:style w:type="paragraph" w:styleId="8">
    <w:name w:val="Plain Text"/>
    <w:basedOn w:val="1"/>
    <w:qFormat/>
    <w:uiPriority w:val="0"/>
    <w:rPr>
      <w:rFonts w:hAnsi="Courier New"/>
      <w:kern w:val="2"/>
      <w:sz w:val="21"/>
    </w:rPr>
  </w:style>
  <w:style w:type="paragraph" w:styleId="9">
    <w:name w:val="footer"/>
    <w:basedOn w:val="1"/>
    <w:next w:val="2"/>
    <w:qFormat/>
    <w:uiPriority w:val="99"/>
    <w:pPr>
      <w:tabs>
        <w:tab w:val="center" w:pos="4153"/>
        <w:tab w:val="right" w:pos="8306"/>
      </w:tabs>
      <w:snapToGrid w:val="0"/>
      <w:jc w:val="left"/>
    </w:pPr>
    <w:rPr>
      <w:rFonts w:ascii="Times New Roman"/>
      <w:kern w:val="2"/>
      <w:sz w:val="18"/>
      <w:szCs w:val="18"/>
    </w:rPr>
  </w:style>
  <w:style w:type="paragraph" w:styleId="10">
    <w:name w:val="Body Text First Indent 2"/>
    <w:basedOn w:val="7"/>
    <w:unhideWhenUsed/>
    <w:qFormat/>
    <w:uiPriority w:val="99"/>
    <w:pPr>
      <w:widowControl/>
      <w:ind w:firstLine="420"/>
      <w:jc w:val="left"/>
    </w:pPr>
    <w:rPr>
      <w:rFonts w:ascii="宋体" w:hAnsi="宋体" w:cs="宋体"/>
      <w:sz w:val="21"/>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正文文本 31"/>
    <w:basedOn w:val="1"/>
    <w:qFormat/>
    <w:uiPriority w:val="0"/>
    <w:rPr>
      <w:sz w:val="16"/>
      <w:szCs w:val="16"/>
    </w:rPr>
  </w:style>
  <w:style w:type="character" w:customStyle="1" w:styleId="15">
    <w:name w:val="NormalCharacter"/>
    <w:qFormat/>
    <w:uiPriority w:val="0"/>
  </w:style>
  <w:style w:type="paragraph" w:customStyle="1" w:styleId="16">
    <w:name w:val="Table Paragraph"/>
    <w:basedOn w:val="1"/>
    <w:qFormat/>
    <w:uiPriority w:val="1"/>
    <w:rPr>
      <w:rFonts w:ascii="宋体" w:hAnsi="宋体" w:eastAsia="宋体" w:cs="宋体"/>
      <w:lang w:val="zh-CN" w:eastAsia="zh-CN" w:bidi="zh-CN"/>
    </w:rPr>
  </w:style>
  <w:style w:type="paragraph" w:customStyle="1" w:styleId="17">
    <w:name w:val="Default"/>
    <w:qFormat/>
    <w:uiPriority w:val="0"/>
    <w:pPr>
      <w:widowControl w:val="0"/>
      <w:autoSpaceDE w:val="0"/>
      <w:autoSpaceDN w:val="0"/>
      <w:adjustRightInd w:val="0"/>
    </w:pPr>
    <w:rPr>
      <w:rFonts w:ascii="AGYXIQ+Frutiger-Cn" w:hAnsi="Times New Roman" w:eastAsia="AGYXIQ+Frutiger-Cn" w:cs="AGYXIQ+Frutiger-Cn"/>
      <w:color w:val="000000"/>
      <w:sz w:val="24"/>
      <w:szCs w:val="24"/>
      <w:lang w:val="en-US" w:eastAsia="zh-CN" w:bidi="ar-SA"/>
    </w:rPr>
  </w:style>
  <w:style w:type="paragraph" w:customStyle="1" w:styleId="18">
    <w:name w:val="列出段落1"/>
    <w:basedOn w:val="1"/>
    <w:qFormat/>
    <w:uiPriority w:val="0"/>
    <w:pPr>
      <w:ind w:firstLine="420" w:firstLineChars="200"/>
    </w:pPr>
  </w:style>
  <w:style w:type="paragraph" w:styleId="19">
    <w:name w:val="List Paragraph"/>
    <w:basedOn w:val="1"/>
    <w:qFormat/>
    <w:uiPriority w:val="34"/>
    <w:pPr>
      <w:ind w:firstLine="420" w:firstLineChars="200"/>
    </w:pPr>
    <w:rPr>
      <w:rFonts w:ascii="Calibri" w:hAnsi="Calibri"/>
      <w:kern w:val="2"/>
      <w:sz w:val="21"/>
      <w:szCs w:val="22"/>
    </w:rPr>
  </w:style>
  <w:style w:type="character" w:customStyle="1" w:styleId="20">
    <w:name w:val="15"/>
    <w:basedOn w:val="13"/>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629</Words>
  <Characters>682</Characters>
  <Lines>0</Lines>
  <Paragraphs>0</Paragraphs>
  <TotalTime>0</TotalTime>
  <ScaleCrop>false</ScaleCrop>
  <LinksUpToDate>false</LinksUpToDate>
  <CharactersWithSpaces>684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2025-03-06T04:05:00Z</dcterms:created>
  <dc:creator>李江</dc:creator>
  <cp:lastModifiedBy>年少时代</cp:lastModifiedBy>
  <dcterms:modified xsi:type="dcterms:W3CDTF">2025-11-20T02:37:20Z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eyJoZGlkIjoiYzVkZjAwMTI1ODYzNjhmOTg0YjRhNjIwM2FkNTNlZjMiLCJ1c2VySWQiOiI3MDczMjM0OTYifQ==</vt:lpwstr>
  </property>
  <property fmtid="{D5CDD505-2E9C-101B-9397-08002B2CF9AE}" pid="4" name="ICV">
    <vt:lpwstr>FE5C44C39B7E49F5B6928CA06E070AC7_12</vt:lpwstr>
  </property>
</Properties>
</file>