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7BB3">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采购需求</w:t>
      </w:r>
    </w:p>
    <w:p w14:paraId="61C6C22E">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
          <w:sz w:val="20"/>
          <w:szCs w:val="20"/>
          <w:highlight w:val="none"/>
          <w:lang w:val="en-US" w:eastAsia="zh-CN"/>
        </w:rPr>
      </w:pPr>
      <w:r>
        <w:rPr>
          <w:rFonts w:hint="eastAsia" w:ascii="仿宋" w:hAnsi="仿宋" w:eastAsia="仿宋" w:cs="仿宋"/>
          <w:b/>
          <w:sz w:val="20"/>
          <w:szCs w:val="20"/>
          <w:highlight w:val="none"/>
          <w:lang w:val="en-US" w:eastAsia="zh-CN"/>
        </w:rPr>
        <w:t>一</w:t>
      </w:r>
      <w:r>
        <w:rPr>
          <w:rFonts w:hint="eastAsia" w:ascii="仿宋" w:hAnsi="仿宋" w:eastAsia="仿宋" w:cs="仿宋"/>
          <w:b/>
          <w:sz w:val="20"/>
          <w:szCs w:val="20"/>
          <w:highlight w:val="none"/>
        </w:rPr>
        <w:t>、</w:t>
      </w:r>
      <w:r>
        <w:rPr>
          <w:rFonts w:hint="eastAsia" w:ascii="仿宋" w:hAnsi="仿宋" w:eastAsia="仿宋" w:cs="仿宋"/>
          <w:b/>
          <w:sz w:val="20"/>
          <w:szCs w:val="20"/>
          <w:highlight w:val="none"/>
          <w:lang w:val="en-US" w:eastAsia="zh-CN"/>
        </w:rPr>
        <w:t>项目简介</w:t>
      </w:r>
    </w:p>
    <w:p w14:paraId="547F015D">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rPr>
        <w:t>根据我省需要，</w:t>
      </w:r>
      <w:r>
        <w:rPr>
          <w:rFonts w:hint="eastAsia" w:ascii="仿宋" w:hAnsi="仿宋" w:eastAsia="仿宋" w:cs="仿宋"/>
          <w:bCs/>
          <w:sz w:val="20"/>
          <w:szCs w:val="20"/>
          <w:highlight w:val="none"/>
          <w:lang w:val="en-US" w:eastAsia="zh-CN"/>
        </w:rPr>
        <w:t>全省无线电监测中心（站）系统运行维护项目运维</w:t>
      </w:r>
      <w:r>
        <w:rPr>
          <w:rFonts w:hint="eastAsia" w:ascii="仿宋" w:hAnsi="仿宋" w:eastAsia="仿宋" w:cs="仿宋"/>
          <w:bCs/>
          <w:sz w:val="20"/>
          <w:szCs w:val="20"/>
          <w:highlight w:val="none"/>
        </w:rPr>
        <w:t>服务包含</w:t>
      </w:r>
      <w:r>
        <w:rPr>
          <w:rFonts w:hint="eastAsia" w:ascii="仿宋" w:hAnsi="仿宋" w:eastAsia="仿宋" w:cs="仿宋"/>
          <w:bCs/>
          <w:color w:val="000000" w:themeColor="text1"/>
          <w:sz w:val="20"/>
          <w:szCs w:val="20"/>
          <w:highlight w:val="none"/>
          <w:lang w:val="en-US" w:eastAsia="zh-CN"/>
          <w14:textFill>
            <w14:solidFill>
              <w14:schemeClr w14:val="tx1"/>
            </w14:solidFill>
          </w14:textFill>
        </w:rPr>
        <w:t>固定监测站、移动监测站</w:t>
      </w:r>
      <w:r>
        <w:rPr>
          <w:rFonts w:hint="eastAsia" w:ascii="仿宋" w:hAnsi="仿宋" w:eastAsia="仿宋" w:cs="仿宋"/>
          <w:bCs/>
          <w:sz w:val="20"/>
          <w:szCs w:val="20"/>
          <w:highlight w:val="none"/>
          <w:lang w:val="en-US" w:eastAsia="zh-CN"/>
        </w:rPr>
        <w:t>及所配置的平台软件、信息系统</w:t>
      </w:r>
      <w:r>
        <w:rPr>
          <w:rFonts w:hint="eastAsia" w:ascii="仿宋" w:hAnsi="仿宋" w:eastAsia="仿宋" w:cs="仿宋"/>
          <w:bCs/>
          <w:sz w:val="20"/>
          <w:szCs w:val="20"/>
          <w:highlight w:val="none"/>
        </w:rPr>
        <w:t>。</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须按照国无办印发的《省级无线电监测设备设施运行维护规定》负责完成本项目涉及</w:t>
      </w:r>
      <w:r>
        <w:rPr>
          <w:rFonts w:hint="eastAsia" w:ascii="仿宋" w:hAnsi="仿宋" w:eastAsia="仿宋" w:cs="仿宋"/>
          <w:bCs/>
          <w:sz w:val="20"/>
          <w:szCs w:val="20"/>
          <w:highlight w:val="none"/>
          <w:lang w:val="en-US" w:eastAsia="zh-CN"/>
        </w:rPr>
        <w:t>无线电监测设施</w:t>
      </w:r>
      <w:r>
        <w:rPr>
          <w:rFonts w:hint="eastAsia" w:ascii="仿宋" w:hAnsi="仿宋" w:eastAsia="仿宋" w:cs="仿宋"/>
          <w:bCs/>
          <w:sz w:val="20"/>
          <w:szCs w:val="20"/>
          <w:highlight w:val="none"/>
        </w:rPr>
        <w:t>的日常检查、定期巡检、故障处理</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应急及重大活动保障运行维护工作</w:t>
      </w:r>
      <w:r>
        <w:rPr>
          <w:rFonts w:hint="eastAsia" w:ascii="仿宋" w:hAnsi="仿宋" w:eastAsia="仿宋" w:cs="仿宋"/>
          <w:bCs/>
          <w:sz w:val="20"/>
          <w:szCs w:val="20"/>
          <w:highlight w:val="none"/>
        </w:rPr>
        <w:t>，以消除设备安全隐患，确保设备故障能得到迅速修复，从而</w:t>
      </w:r>
      <w:r>
        <w:rPr>
          <w:rFonts w:hint="eastAsia" w:ascii="仿宋" w:hAnsi="仿宋" w:eastAsia="仿宋" w:cs="仿宋"/>
          <w:bCs/>
          <w:sz w:val="20"/>
          <w:szCs w:val="20"/>
          <w:highlight w:val="none"/>
          <w:lang w:val="en-US" w:eastAsia="zh-CN"/>
        </w:rPr>
        <w:t>保障我省无线电监测设施安全稳定运行</w:t>
      </w:r>
      <w:r>
        <w:rPr>
          <w:rFonts w:hint="eastAsia" w:ascii="仿宋" w:hAnsi="仿宋" w:eastAsia="仿宋" w:cs="仿宋"/>
          <w:bCs/>
          <w:sz w:val="20"/>
          <w:szCs w:val="20"/>
          <w:highlight w:val="none"/>
        </w:rPr>
        <w:t>。</w:t>
      </w:r>
    </w:p>
    <w:p w14:paraId="69BD1523">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仿宋" w:hAnsi="仿宋" w:eastAsia="仿宋" w:cs="仿宋"/>
          <w:b/>
          <w:sz w:val="20"/>
          <w:szCs w:val="20"/>
          <w:highlight w:val="none"/>
          <w:lang w:val="en-US" w:eastAsia="zh-CN"/>
        </w:rPr>
      </w:pPr>
      <w:r>
        <w:rPr>
          <w:rFonts w:hint="eastAsia" w:ascii="仿宋" w:hAnsi="仿宋" w:eastAsia="仿宋" w:cs="仿宋"/>
          <w:b/>
          <w:sz w:val="20"/>
          <w:szCs w:val="20"/>
          <w:highlight w:val="none"/>
          <w:lang w:val="en-US" w:eastAsia="zh-CN"/>
        </w:rPr>
        <w:t>二、运行维护服务要求</w:t>
      </w:r>
    </w:p>
    <w:p w14:paraId="627A0444">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
          <w:sz w:val="20"/>
          <w:szCs w:val="20"/>
          <w:highlight w:val="none"/>
        </w:rPr>
      </w:pPr>
      <w:r>
        <w:rPr>
          <w:rFonts w:hint="eastAsia" w:ascii="仿宋" w:hAnsi="仿宋" w:eastAsia="仿宋" w:cs="仿宋"/>
          <w:b/>
          <w:sz w:val="20"/>
          <w:szCs w:val="20"/>
          <w:highlight w:val="none"/>
          <w:lang w:val="en-US" w:eastAsia="zh-CN"/>
        </w:rPr>
        <w:t>1.总体</w:t>
      </w:r>
      <w:r>
        <w:rPr>
          <w:rFonts w:hint="eastAsia" w:ascii="仿宋" w:hAnsi="仿宋" w:eastAsia="仿宋" w:cs="仿宋"/>
          <w:b/>
          <w:sz w:val="20"/>
          <w:szCs w:val="20"/>
          <w:highlight w:val="none"/>
        </w:rPr>
        <w:t>要求</w:t>
      </w:r>
    </w:p>
    <w:p w14:paraId="014D9E49">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1.1</w:t>
      </w:r>
      <w:r>
        <w:rPr>
          <w:rFonts w:hint="eastAsia" w:ascii="仿宋" w:hAnsi="仿宋" w:eastAsia="仿宋" w:cs="仿宋"/>
          <w:bCs/>
          <w:sz w:val="20"/>
          <w:szCs w:val="20"/>
          <w:highlight w:val="none"/>
        </w:rPr>
        <w:t>维保方式</w:t>
      </w:r>
    </w:p>
    <w:p w14:paraId="4C24865C">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供应商应按照</w:t>
      </w:r>
      <w:r>
        <w:rPr>
          <w:rFonts w:hint="eastAsia" w:ascii="仿宋" w:hAnsi="仿宋" w:eastAsia="仿宋" w:cs="仿宋"/>
          <w:bCs/>
          <w:sz w:val="20"/>
          <w:szCs w:val="20"/>
          <w:highlight w:val="none"/>
        </w:rPr>
        <w:t>日常检查、定期巡检、故障处理</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应急及重大活动保障运行维护四个方面开展运行维护工作，</w:t>
      </w:r>
      <w:r>
        <w:rPr>
          <w:rFonts w:hint="eastAsia" w:ascii="仿宋" w:hAnsi="仿宋" w:eastAsia="仿宋" w:cs="仿宋"/>
          <w:bCs/>
          <w:sz w:val="20"/>
          <w:szCs w:val="20"/>
          <w:highlight w:val="none"/>
        </w:rPr>
        <w:t>维护内容范围符合《省级无线电监测设备设施运行维护规定》</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并</w:t>
      </w:r>
      <w:r>
        <w:rPr>
          <w:rFonts w:hint="eastAsia" w:ascii="仿宋" w:hAnsi="仿宋" w:eastAsia="仿宋" w:cs="仿宋"/>
          <w:bCs/>
          <w:sz w:val="20"/>
          <w:szCs w:val="20"/>
          <w:highlight w:val="none"/>
        </w:rPr>
        <w:t>拟定年度</w:t>
      </w:r>
      <w:r>
        <w:rPr>
          <w:rFonts w:hint="eastAsia" w:ascii="仿宋" w:hAnsi="仿宋" w:eastAsia="仿宋" w:cs="仿宋"/>
          <w:bCs/>
          <w:sz w:val="20"/>
          <w:szCs w:val="20"/>
          <w:highlight w:val="none"/>
          <w:lang w:val="en-US" w:eastAsia="zh-CN"/>
        </w:rPr>
        <w:t>运行维护</w:t>
      </w:r>
      <w:r>
        <w:rPr>
          <w:rFonts w:hint="eastAsia" w:ascii="仿宋" w:hAnsi="仿宋" w:eastAsia="仿宋" w:cs="仿宋"/>
          <w:bCs/>
          <w:sz w:val="20"/>
          <w:szCs w:val="20"/>
          <w:highlight w:val="none"/>
        </w:rPr>
        <w:t>方案，经与采购</w:t>
      </w:r>
      <w:r>
        <w:rPr>
          <w:rFonts w:hint="eastAsia" w:ascii="仿宋" w:hAnsi="仿宋" w:eastAsia="仿宋" w:cs="仿宋"/>
          <w:bCs/>
          <w:sz w:val="20"/>
          <w:szCs w:val="20"/>
          <w:highlight w:val="none"/>
          <w:lang w:val="en-US" w:eastAsia="zh-CN"/>
        </w:rPr>
        <w:t>方</w:t>
      </w:r>
      <w:r>
        <w:rPr>
          <w:rFonts w:hint="eastAsia" w:ascii="仿宋" w:hAnsi="仿宋" w:eastAsia="仿宋" w:cs="仿宋"/>
          <w:bCs/>
          <w:sz w:val="20"/>
          <w:szCs w:val="20"/>
          <w:highlight w:val="none"/>
        </w:rPr>
        <w:t>共同认定后作为合同协议附件。</w:t>
      </w:r>
      <w:bookmarkStart w:id="3" w:name="_GoBack"/>
      <w:bookmarkEnd w:id="3"/>
    </w:p>
    <w:p w14:paraId="08E6671D">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1.2服务质量要求</w:t>
      </w:r>
    </w:p>
    <w:p w14:paraId="3117D4AA">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供应商应保证工作质量，严格按照技术服务标准进行监测设施及所配置的平台软件、信息系统的运行维护服务工作，做好项目的运维内容、时间、地点和维护人员的完整记录文档。</w:t>
      </w:r>
    </w:p>
    <w:p w14:paraId="314A78E0">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1.3运维</w:t>
      </w:r>
      <w:r>
        <w:rPr>
          <w:rFonts w:hint="eastAsia" w:ascii="仿宋" w:hAnsi="仿宋" w:eastAsia="仿宋" w:cs="仿宋"/>
          <w:bCs/>
          <w:sz w:val="20"/>
          <w:szCs w:val="20"/>
          <w:highlight w:val="none"/>
        </w:rPr>
        <w:t>技术人员要求</w:t>
      </w:r>
    </w:p>
    <w:p w14:paraId="2A853427">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
          <w:bCs/>
          <w:sz w:val="20"/>
          <w:szCs w:val="20"/>
          <w:highlight w:val="none"/>
        </w:rPr>
      </w:pPr>
      <w:r>
        <w:rPr>
          <w:rFonts w:hint="eastAsia" w:ascii="仿宋" w:hAnsi="仿宋" w:eastAsia="仿宋" w:cs="仿宋"/>
          <w:bCs/>
          <w:sz w:val="20"/>
          <w:szCs w:val="20"/>
          <w:highlight w:val="none"/>
        </w:rPr>
        <w:t>根据</w:t>
      </w:r>
      <w:r>
        <w:rPr>
          <w:rFonts w:hint="eastAsia" w:ascii="仿宋" w:hAnsi="仿宋" w:eastAsia="仿宋" w:cs="仿宋"/>
          <w:bCs/>
          <w:sz w:val="20"/>
          <w:szCs w:val="20"/>
          <w:highlight w:val="none"/>
          <w:lang w:val="en-US" w:eastAsia="zh-CN"/>
        </w:rPr>
        <w:t>我省监测设施</w:t>
      </w:r>
      <w:r>
        <w:rPr>
          <w:rFonts w:hint="eastAsia" w:ascii="仿宋" w:hAnsi="仿宋" w:eastAsia="仿宋" w:cs="仿宋"/>
          <w:bCs/>
          <w:sz w:val="20"/>
          <w:szCs w:val="20"/>
          <w:highlight w:val="none"/>
        </w:rPr>
        <w:t>实际情况，</w:t>
      </w:r>
      <w:r>
        <w:rPr>
          <w:rFonts w:hint="eastAsia" w:ascii="仿宋" w:hAnsi="仿宋" w:eastAsia="仿宋" w:cs="仿宋"/>
          <w:bCs/>
          <w:sz w:val="20"/>
          <w:szCs w:val="20"/>
          <w:highlight w:val="none"/>
          <w:lang w:val="en-US" w:eastAsia="zh-CN"/>
        </w:rPr>
        <w:t>供应商应</w:t>
      </w:r>
      <w:r>
        <w:rPr>
          <w:rFonts w:hint="eastAsia" w:ascii="仿宋" w:hAnsi="仿宋" w:eastAsia="仿宋" w:cs="仿宋"/>
          <w:bCs/>
          <w:sz w:val="20"/>
          <w:szCs w:val="20"/>
          <w:highlight w:val="none"/>
        </w:rPr>
        <w:t>配备稳定、维护能力全面、现场处理问题能力强的专业维护技术人员</w:t>
      </w:r>
      <w:r>
        <w:rPr>
          <w:rFonts w:hint="eastAsia" w:ascii="仿宋" w:hAnsi="仿宋" w:eastAsia="仿宋" w:cs="仿宋"/>
          <w:bCs/>
          <w:sz w:val="20"/>
          <w:szCs w:val="20"/>
          <w:highlight w:val="none"/>
          <w:lang w:val="en-US" w:eastAsia="zh-CN"/>
        </w:rPr>
        <w:t>团队</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以</w:t>
      </w:r>
      <w:r>
        <w:rPr>
          <w:rFonts w:hint="eastAsia" w:ascii="仿宋" w:hAnsi="仿宋" w:eastAsia="仿宋" w:cs="仿宋"/>
          <w:bCs/>
          <w:sz w:val="20"/>
          <w:szCs w:val="20"/>
          <w:highlight w:val="none"/>
        </w:rPr>
        <w:t>及</w:t>
      </w:r>
      <w:r>
        <w:rPr>
          <w:rFonts w:hint="eastAsia" w:ascii="仿宋" w:hAnsi="仿宋" w:eastAsia="仿宋" w:cs="仿宋"/>
          <w:bCs/>
          <w:sz w:val="20"/>
          <w:szCs w:val="20"/>
          <w:highlight w:val="none"/>
          <w:lang w:val="en-US" w:eastAsia="zh-CN"/>
        </w:rPr>
        <w:t>配备</w:t>
      </w:r>
      <w:r>
        <w:rPr>
          <w:rFonts w:hint="eastAsia" w:ascii="仿宋" w:hAnsi="仿宋" w:eastAsia="仿宋" w:cs="仿宋"/>
          <w:bCs/>
          <w:sz w:val="20"/>
          <w:szCs w:val="20"/>
          <w:highlight w:val="none"/>
        </w:rPr>
        <w:t>经过计量的专业仪器设备，以满足各类故障响应的运维时限要求、技术要求。</w:t>
      </w:r>
      <w:r>
        <w:rPr>
          <w:rFonts w:hint="eastAsia" w:ascii="仿宋" w:hAnsi="仿宋" w:eastAsia="仿宋" w:cs="仿宋"/>
          <w:b w:val="0"/>
          <w:bCs w:val="0"/>
          <w:sz w:val="20"/>
          <w:szCs w:val="20"/>
          <w:highlight w:val="none"/>
          <w:lang w:val="en-US" w:eastAsia="zh-CN"/>
        </w:rPr>
        <w:t>运维技术</w:t>
      </w:r>
      <w:r>
        <w:rPr>
          <w:rFonts w:hint="eastAsia" w:ascii="仿宋" w:hAnsi="仿宋" w:eastAsia="仿宋" w:cs="仿宋"/>
          <w:b w:val="0"/>
          <w:bCs w:val="0"/>
          <w:sz w:val="20"/>
          <w:szCs w:val="20"/>
          <w:highlight w:val="none"/>
        </w:rPr>
        <w:t>人员要求如下：</w:t>
      </w:r>
    </w:p>
    <w:p w14:paraId="3DE52838">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eastAsia="zh-CN"/>
        </w:rPr>
      </w:pP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1</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rPr>
        <w:t>有较强的组织纪律性和大局意识，善于沟通、协调，有较丰富的无线电监测工作经验</w:t>
      </w:r>
      <w:r>
        <w:rPr>
          <w:rFonts w:hint="eastAsia" w:ascii="仿宋" w:hAnsi="仿宋" w:eastAsia="仿宋" w:cs="仿宋"/>
          <w:bCs/>
          <w:sz w:val="20"/>
          <w:szCs w:val="20"/>
          <w:highlight w:val="none"/>
          <w:lang w:eastAsia="zh-CN"/>
        </w:rPr>
        <w:t>。</w:t>
      </w:r>
    </w:p>
    <w:p w14:paraId="2FCA492B">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bCs/>
          <w:sz w:val="20"/>
          <w:szCs w:val="20"/>
          <w:highlight w:val="none"/>
          <w:lang w:eastAsia="zh-CN"/>
        </w:rPr>
      </w:pP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2</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rPr>
        <w:t>熟悉和精通常用监测设备及系统集成设备的维护保养及维修，能快速判断设备故障并提出最佳解决方法</w:t>
      </w:r>
      <w:r>
        <w:rPr>
          <w:rFonts w:hint="eastAsia" w:ascii="仿宋" w:hAnsi="仿宋" w:eastAsia="仿宋" w:cs="仿宋"/>
          <w:bCs/>
          <w:sz w:val="20"/>
          <w:szCs w:val="20"/>
          <w:highlight w:val="none"/>
          <w:lang w:eastAsia="zh-CN"/>
        </w:rPr>
        <w:t>。</w:t>
      </w:r>
    </w:p>
    <w:p w14:paraId="2130431A">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（3）具备</w:t>
      </w:r>
      <w:r>
        <w:rPr>
          <w:rFonts w:hint="eastAsia" w:ascii="仿宋" w:hAnsi="仿宋" w:eastAsia="仿宋" w:cs="仿宋"/>
          <w:bCs/>
          <w:sz w:val="20"/>
          <w:szCs w:val="20"/>
          <w:highlight w:val="none"/>
        </w:rPr>
        <w:t>扎实的无线电通信、监测</w:t>
      </w:r>
      <w:r>
        <w:rPr>
          <w:rFonts w:hint="eastAsia" w:ascii="仿宋" w:hAnsi="仿宋" w:eastAsia="仿宋" w:cs="仿宋"/>
          <w:bCs/>
          <w:sz w:val="20"/>
          <w:szCs w:val="20"/>
          <w:highlight w:val="none"/>
          <w:lang w:val="en-US" w:eastAsia="zh-CN"/>
        </w:rPr>
        <w:t>相关</w:t>
      </w:r>
      <w:r>
        <w:rPr>
          <w:rFonts w:hint="eastAsia" w:ascii="仿宋" w:hAnsi="仿宋" w:eastAsia="仿宋" w:cs="仿宋"/>
          <w:bCs/>
          <w:sz w:val="20"/>
          <w:szCs w:val="20"/>
          <w:highlight w:val="none"/>
        </w:rPr>
        <w:t>理论，有丰富的数据库、软件编程、系统集成及工程实施工作经验</w:t>
      </w:r>
      <w:r>
        <w:rPr>
          <w:rFonts w:hint="eastAsia" w:ascii="仿宋" w:hAnsi="仿宋" w:eastAsia="仿宋" w:cs="仿宋"/>
          <w:bCs/>
          <w:sz w:val="20"/>
          <w:szCs w:val="20"/>
          <w:highlight w:val="none"/>
          <w:lang w:eastAsia="zh-CN"/>
        </w:rPr>
        <w:t>。</w:t>
      </w:r>
    </w:p>
    <w:p w14:paraId="1799B708">
      <w:pPr>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仿宋" w:hAnsi="仿宋" w:eastAsia="仿宋" w:cs="仿宋"/>
          <w:bCs/>
          <w:sz w:val="20"/>
          <w:szCs w:val="20"/>
          <w:highlight w:val="none"/>
          <w:lang w:val="en-US"/>
        </w:rPr>
      </w:pPr>
      <w:r>
        <w:rPr>
          <w:rFonts w:hint="eastAsia" w:ascii="仿宋" w:hAnsi="仿宋" w:eastAsia="仿宋" w:cs="仿宋"/>
          <w:bCs/>
          <w:sz w:val="20"/>
          <w:szCs w:val="20"/>
          <w:highlight w:val="none"/>
          <w:lang w:val="en-US" w:eastAsia="zh-CN"/>
        </w:rPr>
        <w:t>1.4维护规范要求</w:t>
      </w:r>
    </w:p>
    <w:p w14:paraId="0C6B5A26">
      <w:pPr>
        <w:keepNext w:val="0"/>
        <w:keepLines w:val="0"/>
        <w:pageBreakBefore w:val="0"/>
        <w:numPr>
          <w:ilvl w:val="0"/>
          <w:numId w:val="2"/>
        </w:numPr>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供应商应严格按照</w:t>
      </w:r>
      <w:r>
        <w:rPr>
          <w:rFonts w:hint="eastAsia" w:ascii="仿宋" w:hAnsi="仿宋" w:eastAsia="仿宋" w:cs="仿宋"/>
          <w:bCs/>
          <w:sz w:val="20"/>
          <w:szCs w:val="20"/>
          <w:highlight w:val="none"/>
        </w:rPr>
        <w:t>国无办《省级无线电监测设备设施运行维护规定》</w:t>
      </w:r>
      <w:r>
        <w:rPr>
          <w:rFonts w:hint="eastAsia" w:ascii="仿宋" w:hAnsi="仿宋" w:eastAsia="仿宋" w:cs="仿宋"/>
          <w:bCs/>
          <w:sz w:val="20"/>
          <w:szCs w:val="20"/>
          <w:highlight w:val="none"/>
          <w:lang w:val="en-US" w:eastAsia="zh-CN"/>
        </w:rPr>
        <w:t>和拟定年度运行维护方案，制定维护制度和操作规程、统一格式运维文档和报告，并定期向涉及到相关单位汇报运维情况。</w:t>
      </w:r>
    </w:p>
    <w:p w14:paraId="40986C22">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2）运维期间对监测设施及所配置的平台软件、信息系统的所有维护操作，供应商维护人员都应向采购方（派出机构监测设施维护负责人）汇报问题并提供解决方案，经采购方相关负责人同意后实施处理，并及时反馈处理结果。</w:t>
      </w:r>
    </w:p>
    <w:p w14:paraId="4A9C2229">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仿宋" w:hAnsi="仿宋" w:eastAsia="仿宋" w:cs="仿宋"/>
          <w:b/>
          <w:sz w:val="20"/>
          <w:szCs w:val="20"/>
          <w:highlight w:val="none"/>
        </w:rPr>
      </w:pPr>
      <w:r>
        <w:rPr>
          <w:rFonts w:hint="eastAsia" w:ascii="仿宋" w:hAnsi="仿宋" w:eastAsia="仿宋" w:cs="仿宋"/>
          <w:b/>
          <w:sz w:val="20"/>
          <w:szCs w:val="20"/>
          <w:highlight w:val="none"/>
          <w:lang w:val="en-US" w:eastAsia="zh-CN"/>
        </w:rPr>
        <w:t>2.</w:t>
      </w:r>
      <w:r>
        <w:rPr>
          <w:rFonts w:hint="eastAsia" w:ascii="仿宋" w:hAnsi="仿宋" w:eastAsia="仿宋" w:cs="仿宋"/>
          <w:b/>
          <w:sz w:val="20"/>
          <w:szCs w:val="20"/>
          <w:highlight w:val="none"/>
        </w:rPr>
        <w:t>维护范围</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183"/>
        <w:gridCol w:w="1099"/>
        <w:gridCol w:w="1246"/>
        <w:gridCol w:w="3106"/>
      </w:tblGrid>
      <w:tr w14:paraId="2CE9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18" w:type="pct"/>
            <w:shd w:val="clear" w:color="auto" w:fill="auto"/>
            <w:vAlign w:val="center"/>
          </w:tcPr>
          <w:p w14:paraId="65A1633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序号</w:t>
            </w:r>
          </w:p>
        </w:tc>
        <w:tc>
          <w:tcPr>
            <w:tcW w:w="1281" w:type="pct"/>
            <w:shd w:val="clear" w:color="auto" w:fill="auto"/>
            <w:vAlign w:val="center"/>
          </w:tcPr>
          <w:p w14:paraId="2A0A337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设备类型</w:t>
            </w:r>
          </w:p>
        </w:tc>
        <w:tc>
          <w:tcPr>
            <w:tcW w:w="645" w:type="pct"/>
            <w:shd w:val="clear" w:color="auto" w:fill="auto"/>
            <w:vAlign w:val="center"/>
          </w:tcPr>
          <w:p w14:paraId="7BB70A0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单位</w:t>
            </w:r>
          </w:p>
        </w:tc>
        <w:tc>
          <w:tcPr>
            <w:tcW w:w="731" w:type="pct"/>
            <w:shd w:val="clear" w:color="auto" w:fill="auto"/>
            <w:vAlign w:val="center"/>
          </w:tcPr>
          <w:p w14:paraId="6C66458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数量</w:t>
            </w:r>
          </w:p>
        </w:tc>
        <w:tc>
          <w:tcPr>
            <w:tcW w:w="1822" w:type="pct"/>
            <w:shd w:val="clear" w:color="auto" w:fill="auto"/>
            <w:vAlign w:val="center"/>
          </w:tcPr>
          <w:p w14:paraId="6D06716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所属地市</w:t>
            </w:r>
          </w:p>
        </w:tc>
      </w:tr>
      <w:tr w14:paraId="7841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18" w:type="pct"/>
            <w:shd w:val="clear" w:color="auto" w:fill="auto"/>
            <w:vAlign w:val="center"/>
          </w:tcPr>
          <w:p w14:paraId="7FB3EB0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281" w:type="pct"/>
            <w:shd w:val="clear" w:color="auto" w:fill="auto"/>
            <w:vAlign w:val="center"/>
          </w:tcPr>
          <w:p w14:paraId="307D847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固定监测站</w:t>
            </w:r>
          </w:p>
        </w:tc>
        <w:tc>
          <w:tcPr>
            <w:tcW w:w="645" w:type="pct"/>
            <w:shd w:val="clear" w:color="auto" w:fill="auto"/>
            <w:vAlign w:val="center"/>
          </w:tcPr>
          <w:p w14:paraId="7DBF843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座</w:t>
            </w:r>
          </w:p>
        </w:tc>
        <w:tc>
          <w:tcPr>
            <w:tcW w:w="731" w:type="pct"/>
            <w:shd w:val="clear" w:color="auto" w:fill="auto"/>
            <w:vAlign w:val="center"/>
          </w:tcPr>
          <w:p w14:paraId="35E8B64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default"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26</w:t>
            </w:r>
          </w:p>
        </w:tc>
        <w:tc>
          <w:tcPr>
            <w:tcW w:w="1822" w:type="pct"/>
            <w:shd w:val="clear" w:color="auto" w:fill="auto"/>
            <w:vAlign w:val="center"/>
          </w:tcPr>
          <w:p w14:paraId="56C087A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西安东站、</w:t>
            </w:r>
          </w:p>
          <w:p w14:paraId="6BD16C7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西安南站、</w:t>
            </w:r>
          </w:p>
          <w:p w14:paraId="1F11AD1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西安西站、</w:t>
            </w:r>
          </w:p>
          <w:p w14:paraId="1F8D4F5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西安北站、</w:t>
            </w:r>
          </w:p>
          <w:p w14:paraId="6F3494A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西安阎良站、</w:t>
            </w:r>
          </w:p>
          <w:p w14:paraId="2CC7E1F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铜川王益区站、</w:t>
            </w:r>
          </w:p>
          <w:p w14:paraId="235D410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汉中城固站、</w:t>
            </w:r>
          </w:p>
          <w:p w14:paraId="6A60CEB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汉中勉县站、</w:t>
            </w:r>
          </w:p>
          <w:p w14:paraId="5B3460F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延安子长站、</w:t>
            </w:r>
          </w:p>
          <w:p w14:paraId="11B28F3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延安黄陵站、</w:t>
            </w:r>
          </w:p>
          <w:p w14:paraId="71DC671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安康石泉县站、</w:t>
            </w:r>
          </w:p>
          <w:p w14:paraId="2B12C5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安康汉阴县站、</w:t>
            </w:r>
          </w:p>
          <w:p w14:paraId="2D53D8A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商洛洛南站、</w:t>
            </w:r>
          </w:p>
          <w:p w14:paraId="4803DBC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商洛山阳站、</w:t>
            </w:r>
          </w:p>
          <w:p w14:paraId="5C72F91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西安聚泽酒店站、</w:t>
            </w:r>
          </w:p>
          <w:p w14:paraId="1D2029F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西安雅荷电信站、</w:t>
            </w:r>
          </w:p>
          <w:p w14:paraId="28EC17F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西安兴隆园站、</w:t>
            </w:r>
          </w:p>
          <w:p w14:paraId="073248A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西安华丰园站、</w:t>
            </w:r>
          </w:p>
          <w:p w14:paraId="097327C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西安鹿塬街站、</w:t>
            </w:r>
          </w:p>
          <w:p w14:paraId="23C112D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西安电厂西路站、</w:t>
            </w:r>
          </w:p>
          <w:p w14:paraId="37CC0E4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西安广场北路站、</w:t>
            </w:r>
          </w:p>
          <w:p w14:paraId="46BB7EA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西安大庆路站、</w:t>
            </w:r>
          </w:p>
          <w:p w14:paraId="24D178D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西安东光大厦站、</w:t>
            </w:r>
          </w:p>
          <w:p w14:paraId="0F12C5A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西安亚美大厦站、</w:t>
            </w:r>
          </w:p>
          <w:p w14:paraId="1544667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西安三爻小区站、</w:t>
            </w:r>
          </w:p>
          <w:p w14:paraId="0D1CDB8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lang w:val="en-US" w:eastAsia="zh-CN"/>
              </w:rPr>
            </w:pPr>
            <w:r>
              <w:rPr>
                <w:rFonts w:hint="eastAsia" w:ascii="仿宋" w:hAnsi="仿宋" w:eastAsia="仿宋" w:cs="仿宋"/>
                <w:i w:val="0"/>
                <w:iCs w:val="0"/>
                <w:color w:val="000000"/>
                <w:kern w:val="0"/>
                <w:sz w:val="20"/>
                <w:szCs w:val="20"/>
                <w:highlight w:val="none"/>
                <w:u w:val="none"/>
                <w:lang w:val="en-US" w:eastAsia="zh-CN" w:bidi="ar"/>
              </w:rPr>
              <w:t>西安南长安街站</w:t>
            </w:r>
          </w:p>
        </w:tc>
      </w:tr>
      <w:tr w14:paraId="688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shd w:val="clear" w:color="auto" w:fill="auto"/>
            <w:vAlign w:val="center"/>
          </w:tcPr>
          <w:p w14:paraId="741D6B3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2</w:t>
            </w:r>
          </w:p>
        </w:tc>
        <w:tc>
          <w:tcPr>
            <w:tcW w:w="1281" w:type="pct"/>
            <w:shd w:val="clear" w:color="auto" w:fill="auto"/>
            <w:vAlign w:val="center"/>
          </w:tcPr>
          <w:p w14:paraId="46CC019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移动监测站</w:t>
            </w:r>
          </w:p>
        </w:tc>
        <w:tc>
          <w:tcPr>
            <w:tcW w:w="645" w:type="pct"/>
            <w:shd w:val="clear" w:color="auto" w:fill="auto"/>
            <w:vAlign w:val="center"/>
          </w:tcPr>
          <w:p w14:paraId="268F5D2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辆</w:t>
            </w:r>
          </w:p>
        </w:tc>
        <w:tc>
          <w:tcPr>
            <w:tcW w:w="731" w:type="pct"/>
            <w:shd w:val="clear" w:color="auto" w:fill="auto"/>
            <w:vAlign w:val="center"/>
          </w:tcPr>
          <w:p w14:paraId="38E9D7B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2</w:t>
            </w:r>
          </w:p>
        </w:tc>
        <w:tc>
          <w:tcPr>
            <w:tcW w:w="1822" w:type="pct"/>
            <w:shd w:val="clear" w:color="auto" w:fill="auto"/>
            <w:vAlign w:val="center"/>
          </w:tcPr>
          <w:p w14:paraId="044B4B1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省站：陕A G6214、</w:t>
            </w:r>
          </w:p>
          <w:p w14:paraId="65899F3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省站：陕A G3501</w:t>
            </w:r>
          </w:p>
        </w:tc>
      </w:tr>
      <w:tr w14:paraId="41B7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shd w:val="clear" w:color="auto" w:fill="auto"/>
            <w:vAlign w:val="center"/>
          </w:tcPr>
          <w:p w14:paraId="0757D2F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281" w:type="pct"/>
            <w:shd w:val="clear" w:color="auto" w:fill="auto"/>
            <w:vAlign w:val="center"/>
          </w:tcPr>
          <w:p w14:paraId="729F468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服务器</w:t>
            </w:r>
          </w:p>
        </w:tc>
        <w:tc>
          <w:tcPr>
            <w:tcW w:w="645" w:type="pct"/>
            <w:shd w:val="clear" w:color="auto" w:fill="auto"/>
            <w:vAlign w:val="center"/>
          </w:tcPr>
          <w:p w14:paraId="28B5E84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731" w:type="pct"/>
            <w:shd w:val="clear" w:color="auto" w:fill="auto"/>
            <w:vAlign w:val="center"/>
          </w:tcPr>
          <w:p w14:paraId="374461E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822" w:type="pct"/>
            <w:shd w:val="clear" w:color="auto" w:fill="auto"/>
            <w:vAlign w:val="center"/>
          </w:tcPr>
          <w:p w14:paraId="083FED5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联想SR550服务器</w:t>
            </w:r>
          </w:p>
          <w:p w14:paraId="3DAF1F7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、联想SR588服务器、惠普DL388 G7服务器</w:t>
            </w:r>
          </w:p>
        </w:tc>
      </w:tr>
    </w:tbl>
    <w:p w14:paraId="2DCB5142">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仿宋" w:hAnsi="仿宋" w:eastAsia="仿宋" w:cs="仿宋"/>
          <w:b/>
          <w:sz w:val="20"/>
          <w:szCs w:val="20"/>
          <w:highlight w:val="none"/>
        </w:rPr>
      </w:pPr>
    </w:p>
    <w:p w14:paraId="3B4952A4">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仿宋" w:hAnsi="仿宋" w:eastAsia="仿宋" w:cs="仿宋"/>
          <w:b/>
          <w:bCs w:val="0"/>
          <w:sz w:val="20"/>
          <w:szCs w:val="20"/>
          <w:highlight w:val="none"/>
          <w:lang w:val="en-US" w:eastAsia="zh-CN"/>
        </w:rPr>
      </w:pPr>
      <w:r>
        <w:rPr>
          <w:rFonts w:hint="eastAsia" w:ascii="仿宋" w:hAnsi="仿宋" w:eastAsia="仿宋" w:cs="仿宋"/>
          <w:b/>
          <w:bCs w:val="0"/>
          <w:sz w:val="20"/>
          <w:szCs w:val="20"/>
          <w:highlight w:val="none"/>
          <w:lang w:val="en-US" w:eastAsia="zh-CN"/>
        </w:rPr>
        <w:t>3.维护要求</w:t>
      </w:r>
    </w:p>
    <w:p w14:paraId="2F386EA8">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3.1日常检查要求</w:t>
      </w:r>
    </w:p>
    <w:p w14:paraId="553798EF">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供应商应</w:t>
      </w:r>
      <w:r>
        <w:rPr>
          <w:rFonts w:hint="eastAsia" w:ascii="仿宋" w:hAnsi="仿宋" w:eastAsia="仿宋" w:cs="仿宋"/>
          <w:bCs/>
          <w:sz w:val="20"/>
          <w:szCs w:val="20"/>
          <w:highlight w:val="none"/>
        </w:rPr>
        <w:t>加强日常维护工作，</w:t>
      </w:r>
      <w:r>
        <w:rPr>
          <w:rFonts w:hint="eastAsia" w:ascii="仿宋" w:hAnsi="仿宋" w:eastAsia="仿宋" w:cs="仿宋"/>
          <w:bCs/>
          <w:sz w:val="20"/>
          <w:szCs w:val="20"/>
          <w:highlight w:val="none"/>
          <w:lang w:val="en-US" w:eastAsia="zh-CN"/>
        </w:rPr>
        <w:t>做好该项目监测设施及所配置的平台软件、信息系统等日常检查工作，按照</w:t>
      </w:r>
      <w:r>
        <w:rPr>
          <w:rFonts w:hint="eastAsia" w:ascii="仿宋" w:hAnsi="仿宋" w:eastAsia="仿宋" w:cs="仿宋"/>
          <w:bCs/>
          <w:sz w:val="20"/>
          <w:szCs w:val="20"/>
          <w:highlight w:val="none"/>
        </w:rPr>
        <w:t>每</w:t>
      </w:r>
      <w:r>
        <w:rPr>
          <w:rFonts w:hint="eastAsia" w:ascii="仿宋" w:hAnsi="仿宋" w:eastAsia="仿宋" w:cs="仿宋"/>
          <w:bCs/>
          <w:sz w:val="20"/>
          <w:szCs w:val="20"/>
          <w:highlight w:val="none"/>
          <w:lang w:val="en-US" w:eastAsia="zh-CN"/>
        </w:rPr>
        <w:t>月</w:t>
      </w:r>
      <w:r>
        <w:rPr>
          <w:rFonts w:hint="eastAsia" w:ascii="仿宋" w:hAnsi="仿宋" w:eastAsia="仿宋" w:cs="仿宋"/>
          <w:bCs/>
          <w:sz w:val="20"/>
          <w:szCs w:val="20"/>
          <w:highlight w:val="none"/>
        </w:rPr>
        <w:t>1次的</w:t>
      </w:r>
      <w:r>
        <w:rPr>
          <w:rFonts w:hint="eastAsia" w:ascii="仿宋" w:hAnsi="仿宋" w:eastAsia="仿宋" w:cs="仿宋"/>
          <w:bCs/>
          <w:sz w:val="20"/>
          <w:szCs w:val="20"/>
          <w:highlight w:val="none"/>
          <w:lang w:val="en-US" w:eastAsia="zh-CN"/>
        </w:rPr>
        <w:t>频次开展</w:t>
      </w:r>
      <w:r>
        <w:rPr>
          <w:rFonts w:hint="eastAsia" w:ascii="仿宋" w:hAnsi="仿宋" w:eastAsia="仿宋" w:cs="仿宋"/>
          <w:bCs/>
          <w:sz w:val="20"/>
          <w:szCs w:val="20"/>
          <w:highlight w:val="none"/>
        </w:rPr>
        <w:t>日常检查工作</w:t>
      </w:r>
      <w:r>
        <w:rPr>
          <w:rFonts w:hint="eastAsia" w:ascii="仿宋" w:hAnsi="仿宋" w:eastAsia="仿宋" w:cs="仿宋"/>
          <w:bCs/>
          <w:sz w:val="20"/>
          <w:szCs w:val="20"/>
          <w:highlight w:val="none"/>
          <w:lang w:eastAsia="zh-CN"/>
        </w:rPr>
        <w:t>，</w:t>
      </w:r>
      <w:r>
        <w:rPr>
          <w:rFonts w:hint="eastAsia" w:ascii="仿宋" w:hAnsi="仿宋" w:eastAsia="仿宋" w:cs="仿宋"/>
          <w:bCs/>
          <w:sz w:val="20"/>
          <w:szCs w:val="20"/>
          <w:highlight w:val="none"/>
          <w:lang w:val="en-US" w:eastAsia="zh-CN"/>
        </w:rPr>
        <w:t>并填写《无线电监测设施日常检查工作记录表》，格式详见《省级无线电监测设施运行维护规定》附件1。</w:t>
      </w:r>
    </w:p>
    <w:p w14:paraId="4EEDA811">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日常检查工作包括：计算机及服务器运行情况；监测测向系统、应用软件以及其他辅助软件的各种功能；测试网络、控制线、系统间连通及数据传输情况。</w:t>
      </w:r>
    </w:p>
    <w:p w14:paraId="638A0888">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除上述专业设备维护，供应商还应负责固定监测站站点的机房日常维护，包括但不限于机房清洁、机房积水处理、机柜及内部设备除尘处理，还应及时购买设备用电（购买电的费用，由业主方支付），保证各固定站的用电不中断。</w:t>
      </w:r>
    </w:p>
    <w:p w14:paraId="50C38063">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rPr>
        <w:t>3</w:t>
      </w:r>
      <w:r>
        <w:rPr>
          <w:rFonts w:hint="eastAsia" w:ascii="仿宋" w:hAnsi="仿宋" w:eastAsia="仿宋" w:cs="仿宋"/>
          <w:bCs/>
          <w:sz w:val="20"/>
          <w:szCs w:val="20"/>
          <w:highlight w:val="none"/>
          <w:lang w:val="en-US" w:eastAsia="zh-CN"/>
        </w:rPr>
        <w:t>.2定期</w:t>
      </w:r>
      <w:r>
        <w:rPr>
          <w:rFonts w:hint="eastAsia" w:ascii="仿宋" w:hAnsi="仿宋" w:eastAsia="仿宋" w:cs="仿宋"/>
          <w:bCs/>
          <w:sz w:val="20"/>
          <w:szCs w:val="20"/>
          <w:highlight w:val="none"/>
        </w:rPr>
        <w:t>巡检要求</w:t>
      </w:r>
    </w:p>
    <w:p w14:paraId="7F120D86">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应定期对项目监测设施及所配置的平台软件、信息系统等开展巡检工作，按照每季度1次的频次开展定期巡检，做好各类无线电设施的维护、保养及关键技术指标核查，排除故障隐患，及时做好故障维修。定期巡检项目、巡检要求详见《省级无线电监测设施运行维护规定》附件2。</w:t>
      </w:r>
    </w:p>
    <w:p w14:paraId="5503351C">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每次巡检结束后编写巡检报告，双方签字作为巡检工作完成的依据。如有损坏的零部件，</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须报请采购</w:t>
      </w:r>
      <w:r>
        <w:rPr>
          <w:rFonts w:hint="eastAsia" w:ascii="仿宋" w:hAnsi="仿宋" w:eastAsia="仿宋" w:cs="仿宋"/>
          <w:bCs/>
          <w:sz w:val="20"/>
          <w:szCs w:val="20"/>
          <w:highlight w:val="none"/>
          <w:lang w:val="en-US" w:eastAsia="zh-CN"/>
        </w:rPr>
        <w:t>方</w:t>
      </w:r>
      <w:r>
        <w:rPr>
          <w:rFonts w:hint="eastAsia" w:ascii="仿宋" w:hAnsi="仿宋" w:eastAsia="仿宋" w:cs="仿宋"/>
          <w:bCs/>
          <w:sz w:val="20"/>
          <w:szCs w:val="20"/>
          <w:highlight w:val="none"/>
        </w:rPr>
        <w:t>确认，费用由</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承担。</w:t>
      </w:r>
    </w:p>
    <w:p w14:paraId="10F2FF22">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3.3故障处理要求</w:t>
      </w:r>
    </w:p>
    <w:p w14:paraId="0FD23D6C">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无线电监测设施出现技术故障，供应商技术人员应赴现场分析故障原因，根据故障等级制定故障解决方案，填写故障处理记录表，格式详见《省级无线电监测设施运行维护规定》附件3。</w:t>
      </w:r>
    </w:p>
    <w:p w14:paraId="4AA4A217">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sz w:val="20"/>
          <w:szCs w:val="20"/>
          <w:highlight w:val="none"/>
        </w:rPr>
      </w:pPr>
      <w:r>
        <w:rPr>
          <w:rFonts w:hint="eastAsia" w:ascii="仿宋" w:hAnsi="仿宋" w:eastAsia="仿宋" w:cs="仿宋"/>
          <w:bCs/>
          <w:sz w:val="20"/>
          <w:szCs w:val="20"/>
          <w:highlight w:val="none"/>
          <w:lang w:val="en-US" w:eastAsia="zh-CN"/>
        </w:rPr>
        <w:t>无线电监测设施故障分为一级故障、二级故障、三级故障，故障等级划分详见《省级无线电监测设施运行维护规定》。一级故障响应时限应在30分钟内，业务恢复时限应在24小时内；二级故障响应时限应在2小时内，业务恢复时限应在48小时内；三级故障响应时限应在12小时内，业务恢复时限应在72小时内；以上三类故障解决时限根据实际情况确定。</w:t>
      </w:r>
    </w:p>
    <w:p w14:paraId="25155745">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3.4应急及重大活动保障要求</w:t>
      </w:r>
    </w:p>
    <w:p w14:paraId="5A539625">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sz w:val="20"/>
          <w:szCs w:val="20"/>
          <w:highlight w:val="none"/>
        </w:rPr>
      </w:pPr>
      <w:r>
        <w:rPr>
          <w:rFonts w:hint="eastAsia" w:ascii="仿宋" w:hAnsi="仿宋" w:eastAsia="仿宋" w:cs="仿宋"/>
          <w:bCs/>
          <w:sz w:val="20"/>
          <w:szCs w:val="20"/>
          <w:highlight w:val="none"/>
          <w:lang w:val="en-US" w:eastAsia="zh-CN"/>
        </w:rPr>
        <w:t>供应商在开展维保工作前应制定应急及重大活动无线电监测设施运行维护预案，做好应急及重大活动无线电保障任务期间无线电监测设施运行维护工作，任务结束后填写《应急及重大活动保障运维记录表》，格式详见《省级无线电监测设施运行维护规定》附件4。</w:t>
      </w:r>
    </w:p>
    <w:p w14:paraId="714ACAF4">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3.5其他维护要求</w:t>
      </w:r>
    </w:p>
    <w:p w14:paraId="73C5F1D1">
      <w:pPr>
        <w:keepNext w:val="0"/>
        <w:keepLines w:val="0"/>
        <w:pageBreakBefore w:val="0"/>
        <w:numPr>
          <w:ilvl w:val="0"/>
          <w:numId w:val="3"/>
        </w:numPr>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对无线电监测设施及其部件进行维修或更换的，应确保设施仍能满足工作需要。在对影响其关键技术指标的核心部件进行维修或更换后，应对其主要性能指标进行测试验证，保证该设施技术指标无明显下降。维修或更换核心部件周期较长的，供应商应准备应急备用设备，避免影响正常监测业务开展。</w:t>
      </w:r>
    </w:p>
    <w:p w14:paraId="59C18F3B">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供应商应定期对项目内所有固定监测站点进行现场测试校准，项目服务器内每个站点至少1次。</w:t>
      </w:r>
    </w:p>
    <w:p w14:paraId="7C80B5BE">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供应商需完成2辆监测车年审工作（每年2次），以及进行VPN专网日常维护。</w:t>
      </w:r>
    </w:p>
    <w:p w14:paraId="2599DCC6">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Cs/>
          <w:sz w:val="20"/>
          <w:szCs w:val="20"/>
          <w:highlight w:val="none"/>
          <w:lang w:val="en-US" w:eastAsia="zh-CN"/>
        </w:rPr>
      </w:pPr>
      <w:r>
        <w:rPr>
          <w:rFonts w:hint="eastAsia" w:ascii="仿宋" w:hAnsi="仿宋" w:eastAsia="仿宋" w:cs="仿宋"/>
          <w:b/>
          <w:bCs w:val="0"/>
          <w:sz w:val="20"/>
          <w:szCs w:val="20"/>
          <w:highlight w:val="none"/>
          <w:lang w:val="en-US" w:eastAsia="zh-CN"/>
        </w:rPr>
        <w:t>4.服务要求</w:t>
      </w:r>
    </w:p>
    <w:p w14:paraId="47F5750E">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4.1文档管理要求</w:t>
      </w:r>
    </w:p>
    <w:p w14:paraId="538E2C9B">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应在每季度运维工作完成后，汇总统计工作完成情况，包括各种形式的工作汇报、服务总结，提交给采购方确认；运维服务期年终时需对该项目的全部服务内容进行梳理总结汇总整理，填写《无线电监测设施运行维护情况表》（格式详见《省级无线电监测设施运行维护规定》附件5），将服务期内的巡检报告、故障处理单、设备维修报告等内容编制成《运行维护服务年度报告》，并将该报告作为项目验收附件。</w:t>
      </w:r>
    </w:p>
    <w:p w14:paraId="2F00615E">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4.2相关服务要求</w:t>
      </w:r>
    </w:p>
    <w:p w14:paraId="5071993D">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（1）供应商必须配合采购方积极参与对其运维服务人员的监督和管理，遵守采购方工作的相关规章制度。</w:t>
      </w:r>
    </w:p>
    <w:p w14:paraId="5E472AD6">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sz w:val="20"/>
          <w:szCs w:val="20"/>
          <w:highlight w:val="none"/>
        </w:rPr>
      </w:pPr>
      <w:r>
        <w:rPr>
          <w:rFonts w:hint="eastAsia" w:ascii="仿宋" w:hAnsi="仿宋" w:eastAsia="仿宋" w:cs="仿宋"/>
          <w:bCs/>
          <w:sz w:val="20"/>
          <w:szCs w:val="20"/>
          <w:highlight w:val="none"/>
          <w:lang w:val="en-US" w:eastAsia="zh-CN"/>
        </w:rPr>
        <w:t>（2）供应商必须保证其运维服务人员符合一定的技术水平，采购方有权对不满足工作要求的运维服务人员向供应商提出更换的要求；如发现工作上有弄虚作假情况，采购方有权做出相应处理，直至终止合同并追究供应商相应责任。</w:t>
      </w:r>
    </w:p>
    <w:p w14:paraId="4F0CA7B6">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（3）供应商有义务对采购方监测设施及所配置的平台软件、信息系统（包括但不限于该项目）的运行情况提出优化、升级等合理化建议及方案。</w:t>
      </w:r>
    </w:p>
    <w:p w14:paraId="289992A7">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
          <w:bCs w:val="0"/>
          <w:sz w:val="20"/>
          <w:szCs w:val="20"/>
          <w:highlight w:val="none"/>
        </w:rPr>
      </w:pPr>
      <w:bookmarkStart w:id="0" w:name="_Toc502822705"/>
      <w:r>
        <w:rPr>
          <w:rFonts w:hint="eastAsia" w:ascii="仿宋" w:hAnsi="仿宋" w:eastAsia="仿宋" w:cs="仿宋"/>
          <w:b/>
          <w:bCs w:val="0"/>
          <w:sz w:val="20"/>
          <w:szCs w:val="20"/>
          <w:highlight w:val="none"/>
          <w:lang w:val="en-US" w:eastAsia="zh-CN"/>
        </w:rPr>
        <w:t>5.</w:t>
      </w:r>
      <w:r>
        <w:rPr>
          <w:rFonts w:hint="eastAsia" w:ascii="仿宋" w:hAnsi="仿宋" w:eastAsia="仿宋" w:cs="仿宋"/>
          <w:b/>
          <w:bCs w:val="0"/>
          <w:sz w:val="20"/>
          <w:szCs w:val="20"/>
          <w:highlight w:val="none"/>
        </w:rPr>
        <w:t>培训</w:t>
      </w:r>
      <w:bookmarkEnd w:id="0"/>
    </w:p>
    <w:p w14:paraId="33C872D8">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5.1</w:t>
      </w:r>
      <w:r>
        <w:rPr>
          <w:rFonts w:hint="eastAsia" w:ascii="仿宋" w:hAnsi="仿宋" w:eastAsia="仿宋" w:cs="仿宋"/>
          <w:bCs/>
          <w:sz w:val="20"/>
          <w:szCs w:val="20"/>
          <w:highlight w:val="none"/>
        </w:rPr>
        <w:t>现场培训：</w:t>
      </w:r>
      <w:r>
        <w:rPr>
          <w:rFonts w:hint="eastAsia" w:ascii="仿宋" w:hAnsi="仿宋" w:eastAsia="仿宋" w:cs="仿宋"/>
          <w:bCs/>
          <w:sz w:val="20"/>
          <w:szCs w:val="20"/>
          <w:highlight w:val="none"/>
          <w:lang w:val="en-US" w:eastAsia="zh-CN"/>
        </w:rPr>
        <w:t>供应商应</w:t>
      </w:r>
      <w:r>
        <w:rPr>
          <w:rFonts w:hint="eastAsia" w:ascii="仿宋" w:hAnsi="仿宋" w:eastAsia="仿宋" w:cs="仿宋"/>
          <w:bCs/>
          <w:sz w:val="20"/>
          <w:szCs w:val="20"/>
          <w:highlight w:val="none"/>
        </w:rPr>
        <w:t>加强对采购方技术人员维修技能方面的专项培训。</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在巡检时，应对采购方技术人员和操作人员进行故障分析和维护培训，对采购方技术人员提出的问题进行解答。对采购方提出的建议进行记录并反馈到供应商</w:t>
      </w:r>
      <w:r>
        <w:rPr>
          <w:rFonts w:hint="eastAsia" w:ascii="仿宋" w:hAnsi="仿宋" w:eastAsia="仿宋" w:cs="仿宋"/>
          <w:bCs/>
          <w:sz w:val="20"/>
          <w:szCs w:val="20"/>
          <w:highlight w:val="none"/>
          <w:lang w:val="en-US" w:eastAsia="zh-CN"/>
        </w:rPr>
        <w:t>进行整改</w:t>
      </w:r>
      <w:r>
        <w:rPr>
          <w:rFonts w:hint="eastAsia" w:ascii="仿宋" w:hAnsi="仿宋" w:eastAsia="仿宋" w:cs="仿宋"/>
          <w:bCs/>
          <w:sz w:val="20"/>
          <w:szCs w:val="20"/>
          <w:highlight w:val="none"/>
        </w:rPr>
        <w:t>。</w:t>
      </w:r>
    </w:p>
    <w:p w14:paraId="68670C16">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5.2</w:t>
      </w:r>
      <w:r>
        <w:rPr>
          <w:rFonts w:hint="eastAsia" w:ascii="仿宋" w:hAnsi="仿宋" w:eastAsia="仿宋" w:cs="仿宋"/>
          <w:bCs/>
          <w:sz w:val="20"/>
          <w:szCs w:val="20"/>
          <w:highlight w:val="none"/>
        </w:rPr>
        <w:t>远程技术培训：</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应</w:t>
      </w:r>
      <w:r>
        <w:rPr>
          <w:rFonts w:hint="eastAsia" w:ascii="仿宋" w:hAnsi="仿宋" w:eastAsia="仿宋" w:cs="仿宋"/>
          <w:bCs/>
          <w:sz w:val="20"/>
          <w:szCs w:val="20"/>
          <w:highlight w:val="none"/>
          <w:lang w:val="en-US" w:eastAsia="zh-CN"/>
        </w:rPr>
        <w:t>通过</w:t>
      </w:r>
      <w:r>
        <w:rPr>
          <w:rFonts w:hint="eastAsia" w:ascii="仿宋" w:hAnsi="仿宋" w:eastAsia="仿宋" w:cs="仿宋"/>
          <w:bCs/>
          <w:sz w:val="20"/>
          <w:szCs w:val="20"/>
          <w:highlight w:val="none"/>
        </w:rPr>
        <w:t>电话或互联网等手段</w:t>
      </w:r>
      <w:r>
        <w:rPr>
          <w:rFonts w:hint="eastAsia" w:ascii="仿宋" w:hAnsi="仿宋" w:eastAsia="仿宋" w:cs="仿宋"/>
          <w:bCs/>
          <w:sz w:val="20"/>
          <w:szCs w:val="20"/>
          <w:highlight w:val="none"/>
          <w:lang w:val="en-US" w:eastAsia="zh-CN"/>
        </w:rPr>
        <w:t>提供</w:t>
      </w:r>
      <w:r>
        <w:rPr>
          <w:rFonts w:hint="eastAsia" w:ascii="仿宋" w:hAnsi="仿宋" w:eastAsia="仿宋" w:cs="仿宋"/>
          <w:bCs/>
          <w:sz w:val="20"/>
          <w:szCs w:val="20"/>
          <w:highlight w:val="none"/>
        </w:rPr>
        <w:t>远程技术指导、维修维护指导以及资料查询</w:t>
      </w:r>
      <w:r>
        <w:rPr>
          <w:rFonts w:hint="eastAsia" w:ascii="仿宋" w:hAnsi="仿宋" w:eastAsia="仿宋" w:cs="仿宋"/>
          <w:bCs/>
          <w:sz w:val="20"/>
          <w:szCs w:val="20"/>
          <w:highlight w:val="none"/>
          <w:lang w:val="en-US" w:eastAsia="zh-CN"/>
        </w:rPr>
        <w:t>服务</w:t>
      </w:r>
      <w:r>
        <w:rPr>
          <w:rFonts w:hint="eastAsia" w:ascii="仿宋" w:hAnsi="仿宋" w:eastAsia="仿宋" w:cs="仿宋"/>
          <w:bCs/>
          <w:sz w:val="20"/>
          <w:szCs w:val="20"/>
          <w:highlight w:val="none"/>
        </w:rPr>
        <w:t>。</w:t>
      </w:r>
    </w:p>
    <w:p w14:paraId="0FAF7443">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Cs/>
          <w:sz w:val="20"/>
          <w:szCs w:val="20"/>
          <w:highlight w:val="none"/>
        </w:rPr>
      </w:pPr>
      <w:bookmarkStart w:id="1" w:name="_Toc502822707"/>
      <w:r>
        <w:rPr>
          <w:rFonts w:hint="eastAsia" w:ascii="仿宋" w:hAnsi="仿宋" w:eastAsia="仿宋" w:cs="仿宋"/>
          <w:b/>
          <w:bCs w:val="0"/>
          <w:sz w:val="20"/>
          <w:szCs w:val="20"/>
          <w:highlight w:val="none"/>
        </w:rPr>
        <w:t>6</w:t>
      </w:r>
      <w:r>
        <w:rPr>
          <w:rFonts w:hint="eastAsia" w:ascii="仿宋" w:hAnsi="仿宋" w:eastAsia="仿宋" w:cs="仿宋"/>
          <w:b/>
          <w:bCs w:val="0"/>
          <w:sz w:val="20"/>
          <w:szCs w:val="20"/>
          <w:highlight w:val="none"/>
          <w:lang w:val="en-US" w:eastAsia="zh-CN"/>
        </w:rPr>
        <w:t>.</w:t>
      </w:r>
      <w:r>
        <w:rPr>
          <w:rFonts w:hint="eastAsia" w:ascii="仿宋" w:hAnsi="仿宋" w:eastAsia="仿宋" w:cs="仿宋"/>
          <w:b/>
          <w:bCs w:val="0"/>
          <w:sz w:val="20"/>
          <w:szCs w:val="20"/>
          <w:highlight w:val="none"/>
        </w:rPr>
        <w:t>物流保障</w:t>
      </w:r>
      <w:bookmarkEnd w:id="1"/>
    </w:p>
    <w:p w14:paraId="66B0DF9F">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6.1供应商</w:t>
      </w:r>
      <w:r>
        <w:rPr>
          <w:rFonts w:hint="eastAsia" w:ascii="仿宋" w:hAnsi="仿宋" w:eastAsia="仿宋" w:cs="仿宋"/>
          <w:bCs/>
          <w:sz w:val="20"/>
          <w:szCs w:val="20"/>
          <w:highlight w:val="none"/>
        </w:rPr>
        <w:t>需保障维护设备送检、送修的往返运输的快捷和安全。</w:t>
      </w:r>
    </w:p>
    <w:p w14:paraId="7CA4C0F5">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rPr>
      </w:pPr>
      <w:r>
        <w:rPr>
          <w:rFonts w:hint="eastAsia" w:ascii="仿宋" w:hAnsi="仿宋" w:eastAsia="仿宋" w:cs="仿宋"/>
          <w:bCs/>
          <w:sz w:val="20"/>
          <w:szCs w:val="20"/>
          <w:highlight w:val="none"/>
          <w:lang w:val="en-US" w:eastAsia="zh-CN"/>
        </w:rPr>
        <w:t>6.2</w:t>
      </w:r>
      <w:r>
        <w:rPr>
          <w:rFonts w:hint="eastAsia" w:ascii="仿宋" w:hAnsi="仿宋" w:eastAsia="仿宋" w:cs="仿宋"/>
          <w:bCs/>
          <w:sz w:val="20"/>
          <w:szCs w:val="20"/>
          <w:highlight w:val="none"/>
        </w:rPr>
        <w:t>合同期内</w:t>
      </w:r>
      <w:r>
        <w:rPr>
          <w:rFonts w:hint="eastAsia" w:ascii="仿宋" w:hAnsi="仿宋" w:eastAsia="仿宋" w:cs="仿宋"/>
          <w:bCs/>
          <w:sz w:val="20"/>
          <w:szCs w:val="20"/>
          <w:highlight w:val="none"/>
          <w:lang w:val="en-US" w:eastAsia="zh-CN"/>
        </w:rPr>
        <w:t>因本合同约定的</w:t>
      </w:r>
      <w:r>
        <w:rPr>
          <w:rFonts w:hint="eastAsia" w:ascii="仿宋" w:hAnsi="仿宋" w:eastAsia="仿宋" w:cs="仿宋"/>
          <w:bCs/>
          <w:sz w:val="20"/>
          <w:szCs w:val="20"/>
          <w:highlight w:val="none"/>
        </w:rPr>
        <w:t>监测</w:t>
      </w:r>
      <w:r>
        <w:rPr>
          <w:rFonts w:hint="eastAsia" w:ascii="仿宋" w:hAnsi="仿宋" w:eastAsia="仿宋" w:cs="仿宋"/>
          <w:bCs/>
          <w:sz w:val="20"/>
          <w:szCs w:val="20"/>
          <w:highlight w:val="none"/>
          <w:lang w:val="en-US" w:eastAsia="zh-CN"/>
        </w:rPr>
        <w:t>设施</w:t>
      </w:r>
      <w:r>
        <w:rPr>
          <w:rFonts w:hint="eastAsia" w:ascii="仿宋" w:hAnsi="仿宋" w:eastAsia="仿宋" w:cs="仿宋"/>
          <w:bCs/>
          <w:sz w:val="20"/>
          <w:szCs w:val="20"/>
          <w:highlight w:val="none"/>
        </w:rPr>
        <w:t>、配件</w:t>
      </w:r>
      <w:r>
        <w:rPr>
          <w:rFonts w:hint="eastAsia" w:ascii="仿宋" w:hAnsi="仿宋" w:eastAsia="仿宋" w:cs="仿宋"/>
          <w:bCs/>
          <w:sz w:val="20"/>
          <w:szCs w:val="20"/>
          <w:highlight w:val="none"/>
          <w:lang w:val="en-US" w:eastAsia="zh-CN"/>
        </w:rPr>
        <w:t>设备维保而产生的</w:t>
      </w:r>
      <w:r>
        <w:rPr>
          <w:rFonts w:hint="eastAsia" w:ascii="仿宋" w:hAnsi="仿宋" w:eastAsia="仿宋" w:cs="仿宋"/>
          <w:bCs/>
          <w:sz w:val="20"/>
          <w:szCs w:val="20"/>
          <w:highlight w:val="none"/>
        </w:rPr>
        <w:t>物流费用（含保险费），由</w:t>
      </w:r>
      <w:r>
        <w:rPr>
          <w:rFonts w:hint="eastAsia" w:ascii="仿宋" w:hAnsi="仿宋" w:eastAsia="仿宋" w:cs="仿宋"/>
          <w:bCs/>
          <w:sz w:val="20"/>
          <w:szCs w:val="20"/>
          <w:highlight w:val="none"/>
          <w:lang w:val="en-US" w:eastAsia="zh-CN"/>
        </w:rPr>
        <w:t>供应商</w:t>
      </w:r>
      <w:r>
        <w:rPr>
          <w:rFonts w:hint="eastAsia" w:ascii="仿宋" w:hAnsi="仿宋" w:eastAsia="仿宋" w:cs="仿宋"/>
          <w:bCs/>
          <w:sz w:val="20"/>
          <w:szCs w:val="20"/>
          <w:highlight w:val="none"/>
        </w:rPr>
        <w:t>支付。</w:t>
      </w:r>
    </w:p>
    <w:p w14:paraId="0772F992">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
          <w:bCs w:val="0"/>
          <w:sz w:val="20"/>
          <w:szCs w:val="20"/>
          <w:highlight w:val="none"/>
          <w:lang w:val="en-US" w:eastAsia="zh-CN"/>
        </w:rPr>
      </w:pPr>
      <w:r>
        <w:rPr>
          <w:rFonts w:hint="eastAsia" w:ascii="仿宋" w:hAnsi="仿宋" w:eastAsia="仿宋" w:cs="仿宋"/>
          <w:b/>
          <w:bCs w:val="0"/>
          <w:sz w:val="20"/>
          <w:szCs w:val="20"/>
          <w:highlight w:val="none"/>
          <w:lang w:val="en-US" w:eastAsia="zh-CN"/>
        </w:rPr>
        <w:t>7.保密工作</w:t>
      </w:r>
    </w:p>
    <w:p w14:paraId="6768B15C">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供应商应做好保密工作，确保无线电监测设施、信息系统和相关数据的安全保密。</w:t>
      </w:r>
    </w:p>
    <w:p w14:paraId="2904545E">
      <w:pPr>
        <w:keepNext w:val="0"/>
        <w:keepLines w:val="0"/>
        <w:pageBreakBefore w:val="0"/>
        <w:kinsoku/>
        <w:wordWrap/>
        <w:overflowPunct/>
        <w:topLinePunct w:val="0"/>
        <w:autoSpaceDE/>
        <w:autoSpaceDN/>
        <w:bidi w:val="0"/>
        <w:adjustRightInd/>
        <w:snapToGrid w:val="0"/>
        <w:spacing w:line="360" w:lineRule="auto"/>
        <w:ind w:firstLine="402" w:firstLineChars="200"/>
        <w:rPr>
          <w:rFonts w:hint="eastAsia" w:ascii="仿宋" w:hAnsi="仿宋" w:eastAsia="仿宋" w:cs="仿宋"/>
          <w:bCs/>
          <w:sz w:val="20"/>
          <w:szCs w:val="20"/>
          <w:highlight w:val="none"/>
          <w:lang w:val="en-US" w:eastAsia="zh-CN"/>
        </w:rPr>
      </w:pPr>
      <w:bookmarkStart w:id="2" w:name="_Toc6212391"/>
      <w:r>
        <w:rPr>
          <w:rFonts w:hint="eastAsia" w:ascii="仿宋" w:hAnsi="仿宋" w:eastAsia="仿宋" w:cs="仿宋"/>
          <w:b/>
          <w:bCs w:val="0"/>
          <w:sz w:val="20"/>
          <w:szCs w:val="20"/>
          <w:highlight w:val="none"/>
          <w:lang w:val="en-US" w:eastAsia="zh-CN"/>
        </w:rPr>
        <w:t>8.服务标准</w:t>
      </w:r>
      <w:bookmarkEnd w:id="2"/>
    </w:p>
    <w:p w14:paraId="70B66834">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具体服务标准参考国家无线电管理办公室《省级无线电监测设施运行维护规定》。</w:t>
      </w:r>
    </w:p>
    <w:p w14:paraId="229720F1">
      <w:pPr>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仿宋" w:hAnsi="仿宋" w:eastAsia="仿宋" w:cs="仿宋"/>
          <w:b/>
          <w:sz w:val="20"/>
          <w:szCs w:val="20"/>
          <w:highlight w:val="none"/>
          <w:lang w:val="en-US" w:eastAsia="zh-CN"/>
        </w:rPr>
      </w:pPr>
      <w:r>
        <w:rPr>
          <w:rFonts w:hint="eastAsia" w:ascii="仿宋" w:hAnsi="仿宋" w:eastAsia="仿宋" w:cs="仿宋"/>
          <w:b/>
          <w:sz w:val="20"/>
          <w:szCs w:val="20"/>
          <w:highlight w:val="none"/>
          <w:lang w:val="en-US" w:eastAsia="zh-CN"/>
        </w:rPr>
        <w:t>三、项目参考标准</w:t>
      </w:r>
    </w:p>
    <w:p w14:paraId="27B53902">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1.《省级无线电监测设施运行维护规定》国无办[2020]4号。</w:t>
      </w:r>
    </w:p>
    <w:p w14:paraId="7E70BC73">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2.《无线电管理基础和技术设施建设项目管理指导意见》（国无办函（2019）21号）。</w:t>
      </w:r>
    </w:p>
    <w:p w14:paraId="1F399ACF">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3.《VHF/UHF频段无线电监测接收机技术要求及测试方法》（GB/T32401-2015）。</w:t>
      </w:r>
    </w:p>
    <w:p w14:paraId="269BF90C">
      <w:pPr>
        <w:keepNext w:val="0"/>
        <w:keepLines w:val="0"/>
        <w:pageBreakBefore w:val="0"/>
        <w:kinsoku/>
        <w:wordWrap/>
        <w:overflowPunct/>
        <w:topLinePunct w:val="0"/>
        <w:autoSpaceDE/>
        <w:autoSpaceDN/>
        <w:bidi w:val="0"/>
        <w:adjustRightInd/>
        <w:snapToGrid w:val="0"/>
        <w:spacing w:line="360" w:lineRule="auto"/>
        <w:ind w:firstLine="400" w:firstLineChars="200"/>
        <w:rPr>
          <w:rFonts w:hint="eastAsia" w:ascii="仿宋" w:hAnsi="仿宋" w:eastAsia="仿宋" w:cs="仿宋"/>
          <w:bCs/>
          <w:sz w:val="20"/>
          <w:szCs w:val="20"/>
          <w:highlight w:val="none"/>
          <w:lang w:val="en-US" w:eastAsia="zh-CN"/>
        </w:rPr>
      </w:pPr>
      <w:r>
        <w:rPr>
          <w:rFonts w:hint="eastAsia" w:ascii="仿宋" w:hAnsi="仿宋" w:eastAsia="仿宋" w:cs="仿宋"/>
          <w:bCs/>
          <w:sz w:val="20"/>
          <w:szCs w:val="20"/>
          <w:highlight w:val="none"/>
          <w:lang w:val="en-US" w:eastAsia="zh-CN"/>
        </w:rPr>
        <w:t>4.《VHF/UHF无线电监测测向系统开场测试参数和测试方法》（GB/T34089-2017）。</w:t>
      </w:r>
    </w:p>
    <w:p w14:paraId="2AB2F4BD">
      <w:r>
        <w:rPr>
          <w:rFonts w:hint="eastAsia" w:ascii="仿宋" w:hAnsi="仿宋" w:eastAsia="仿宋" w:cs="仿宋"/>
          <w:bCs/>
          <w:sz w:val="20"/>
          <w:szCs w:val="20"/>
          <w:highlight w:val="none"/>
          <w:lang w:val="en-US" w:eastAsia="zh-CN"/>
        </w:rPr>
        <w:t>5.《关于印发&lt;省级无线电监测设施建设规范和技术要求（试行）&gt;的通知》（国无办[2019]3号）。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BB75E"/>
    <w:multiLevelType w:val="singleLevel"/>
    <w:tmpl w:val="313BB75E"/>
    <w:lvl w:ilvl="0" w:tentative="0">
      <w:start w:val="1"/>
      <w:numFmt w:val="decimal"/>
      <w:suff w:val="nothing"/>
      <w:lvlText w:val="（%1）"/>
      <w:lvlJc w:val="left"/>
      <w:rPr>
        <w:rFonts w:hint="default"/>
        <w:b w:val="0"/>
        <w:bCs w:val="0"/>
      </w:rPr>
    </w:lvl>
  </w:abstractNum>
  <w:abstractNum w:abstractNumId="1">
    <w:nsid w:val="4F6D422C"/>
    <w:multiLevelType w:val="singleLevel"/>
    <w:tmpl w:val="4F6D422C"/>
    <w:lvl w:ilvl="0" w:tentative="0">
      <w:start w:val="1"/>
      <w:numFmt w:val="decimal"/>
      <w:suff w:val="nothing"/>
      <w:lvlText w:val="（%1）"/>
      <w:lvlJc w:val="left"/>
    </w:lvl>
  </w:abstractNum>
  <w:abstractNum w:abstractNumId="2">
    <w:nsid w:val="5CE63809"/>
    <w:multiLevelType w:val="multilevel"/>
    <w:tmpl w:val="5CE63809"/>
    <w:lvl w:ilvl="0" w:tentative="0">
      <w:start w:val="1"/>
      <w:numFmt w:val="chineseCountingThousand"/>
      <w:suff w:val="space"/>
      <w:lvlText w:val="%1、"/>
      <w:lvlJc w:val="left"/>
      <w:pPr>
        <w:ind w:left="0" w:firstLine="0"/>
      </w:pPr>
      <w:rPr>
        <w:rFonts w:hint="eastAsia"/>
      </w:rPr>
    </w:lvl>
    <w:lvl w:ilvl="1" w:tentative="0">
      <w:start w:val="1"/>
      <w:numFmt w:val="decimal"/>
      <w:pStyle w:val="2"/>
      <w:isLgl/>
      <w:suff w:val="space"/>
      <w:lvlText w:val="%2"/>
      <w:lvlJc w:val="left"/>
      <w:pPr>
        <w:ind w:left="0" w:firstLine="0"/>
      </w:pPr>
      <w:rPr>
        <w:rFonts w:hint="eastAsia"/>
      </w:rPr>
    </w:lvl>
    <w:lvl w:ilvl="2" w:tentative="0">
      <w:start w:val="1"/>
      <w:numFmt w:val="decimal"/>
      <w:isLgl/>
      <w:suff w:val="space"/>
      <w:lvlText w:val="%2.%3"/>
      <w:lvlJc w:val="left"/>
      <w:pPr>
        <w:ind w:left="0" w:firstLine="0"/>
      </w:pPr>
      <w:rPr>
        <w:rFonts w:hint="eastAsia"/>
      </w:rPr>
    </w:lvl>
    <w:lvl w:ilvl="3" w:tentative="0">
      <w:start w:val="1"/>
      <w:numFmt w:val="decimal"/>
      <w:isLgl/>
      <w:suff w:val="space"/>
      <w:lvlText w:val="%2.%3.%4"/>
      <w:lvlJc w:val="left"/>
      <w:pPr>
        <w:ind w:left="0" w:firstLine="0"/>
      </w:pPr>
      <w:rPr>
        <w:rFonts w:hint="eastAsia"/>
      </w:rPr>
    </w:lvl>
    <w:lvl w:ilvl="4" w:tentative="0">
      <w:start w:val="1"/>
      <w:numFmt w:val="decimal"/>
      <w:lvlText w:val="%2.%3.%4.%5"/>
      <w:lvlJc w:val="left"/>
      <w:pPr>
        <w:ind w:left="0" w:firstLine="0"/>
      </w:p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B6686"/>
    <w:rsid w:val="6F6B6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120" w:after="120"/>
      <w:outlineLvl w:val="1"/>
    </w:pPr>
    <w:rPr>
      <w:rFonts w:ascii="黑体" w:eastAsia="黑体" w:hAnsiTheme="majorHAnsi" w:cstheme="majorBidi"/>
      <w:b/>
      <w:bCs/>
      <w:sz w:val="32"/>
      <w:szCs w:val="32"/>
      <w:shd w:val="clear" w:color="auto" w:fill="FFFFFF"/>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2025-11-20T05:04:00Z</dcterms:created>
  <dc:creator>德仁招标</dc:creator>
  <cp:lastModifiedBy>德仁招标</cp:lastModifiedBy>
  <dcterms:modified xsi:type="dcterms:W3CDTF">2025-11-20T05:04:37Z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6D1311954BC94E6CB3101F1CE051FD95_11</vt:lpwstr>
  </property>
  <property fmtid="{D5CDD505-2E9C-101B-9397-08002B2CF9AE}" pid="4" name="KSOTemplateDocerSaveRecord">
    <vt:lpwstr>eyJoZGlkIjoiNzNmNDZlOGE4YzBiODhkNTY3NTdiYjNiMTljZmEwZTciLCJ1c2VySWQiOiIyNzQ5OTcwMTQifQ==</vt:lpwstr>
  </property>
</Properties>
</file>