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6B344">
      <w:pPr>
        <w:adjustRightInd w:val="0"/>
        <w:snapToGrid w:val="0"/>
        <w:spacing w:line="360" w:lineRule="auto"/>
        <w:jc w:val="right"/>
        <w:rPr>
          <w:rFonts w:ascii="宋体" w:cs="Times New Roman"/>
          <w:b/>
          <w:bCs/>
          <w:color w:val="auto"/>
          <w:sz w:val="30"/>
          <w:szCs w:val="30"/>
        </w:rPr>
      </w:pPr>
      <w:bookmarkStart w:id="0" w:name="OLE_LINK9"/>
      <w:r>
        <w:rPr>
          <w:rFonts w:hint="eastAsia" w:ascii="宋体" w:hAnsi="宋体" w:cs="宋体"/>
          <w:b/>
          <w:bCs/>
          <w:color w:val="auto"/>
          <w:sz w:val="30"/>
          <w:szCs w:val="30"/>
        </w:rPr>
        <w:t>政府采购项目</w:t>
      </w:r>
    </w:p>
    <w:p w14:paraId="4F629947">
      <w:pPr>
        <w:tabs>
          <w:tab w:val="left" w:pos="7400"/>
        </w:tabs>
        <w:adjustRightInd w:val="0"/>
        <w:snapToGrid w:val="0"/>
        <w:spacing w:line="360" w:lineRule="auto"/>
        <w:rPr>
          <w:rFonts w:ascii="宋体" w:cs="Times New Roman"/>
          <w:b/>
          <w:bCs/>
          <w:sz w:val="44"/>
          <w:szCs w:val="44"/>
        </w:rPr>
      </w:pPr>
      <w:r>
        <w:rPr>
          <w:rFonts w:hint="eastAsia" w:ascii="宋体" w:hAnsi="宋体" w:cs="宋体"/>
          <w:b/>
          <w:bCs/>
          <w:color w:val="auto"/>
          <w:sz w:val="30"/>
          <w:szCs w:val="30"/>
        </w:rPr>
        <w:t>项目编号：</w:t>
      </w:r>
      <w:r>
        <w:rPr>
          <w:rFonts w:hint="eastAsia" w:ascii="宋体" w:hAnsi="宋体" w:cs="宋体"/>
          <w:b/>
          <w:bCs/>
          <w:color w:val="auto"/>
          <w:sz w:val="30"/>
          <w:szCs w:val="30"/>
          <w:lang w:eastAsia="zh-CN"/>
        </w:rPr>
        <w:t>AKSH2025-ZCS-138</w:t>
      </w:r>
      <w:r>
        <w:rPr>
          <w:rFonts w:hint="eastAsia" w:ascii="宋体" w:cs="Times New Roman"/>
          <w:b/>
          <w:bCs/>
          <w:sz w:val="44"/>
          <w:szCs w:val="44"/>
        </w:rPr>
        <w:tab/>
      </w:r>
    </w:p>
    <w:p w14:paraId="581BB022">
      <w:pPr>
        <w:tabs>
          <w:tab w:val="left" w:pos="0"/>
        </w:tabs>
        <w:adjustRightInd w:val="0"/>
        <w:snapToGrid w:val="0"/>
        <w:spacing w:line="360" w:lineRule="auto"/>
        <w:ind w:firstLine="2811" w:firstLineChars="500"/>
        <w:rPr>
          <w:rFonts w:hint="eastAsia" w:ascii="宋体" w:hAnsi="宋体" w:cs="宋体"/>
          <w:b/>
          <w:bCs/>
          <w:sz w:val="56"/>
          <w:szCs w:val="56"/>
        </w:rPr>
      </w:pPr>
    </w:p>
    <w:p w14:paraId="575E82D4">
      <w:pPr>
        <w:tabs>
          <w:tab w:val="left" w:pos="0"/>
        </w:tabs>
        <w:adjustRightInd w:val="0"/>
        <w:snapToGrid w:val="0"/>
        <w:spacing w:line="360" w:lineRule="auto"/>
        <w:jc w:val="center"/>
        <w:rPr>
          <w:rFonts w:hint="eastAsia" w:ascii="宋体" w:hAnsi="宋体" w:cs="宋体"/>
          <w:b/>
          <w:bCs/>
          <w:color w:val="auto"/>
          <w:sz w:val="56"/>
          <w:szCs w:val="56"/>
          <w:lang w:eastAsia="zh-CN"/>
        </w:rPr>
      </w:pPr>
      <w:r>
        <w:rPr>
          <w:rFonts w:hint="eastAsia" w:ascii="宋体" w:hAnsi="宋体" w:cs="宋体"/>
          <w:b/>
          <w:bCs/>
          <w:color w:val="auto"/>
          <w:sz w:val="56"/>
          <w:szCs w:val="56"/>
          <w:lang w:eastAsia="zh-CN"/>
        </w:rPr>
        <w:t>汉滨区农产品质量安全检验监测</w:t>
      </w:r>
    </w:p>
    <w:p w14:paraId="362EE3CD">
      <w:pPr>
        <w:tabs>
          <w:tab w:val="left" w:pos="0"/>
        </w:tabs>
        <w:adjustRightInd w:val="0"/>
        <w:snapToGrid w:val="0"/>
        <w:spacing w:line="360" w:lineRule="auto"/>
        <w:jc w:val="center"/>
        <w:rPr>
          <w:rFonts w:hint="eastAsia" w:ascii="宋体" w:hAnsi="宋体" w:cs="宋体"/>
          <w:b/>
          <w:bCs/>
          <w:sz w:val="56"/>
          <w:szCs w:val="56"/>
        </w:rPr>
      </w:pPr>
      <w:r>
        <w:rPr>
          <w:rFonts w:hint="eastAsia" w:ascii="宋体" w:hAnsi="宋体" w:cs="宋体"/>
          <w:b/>
          <w:bCs/>
          <w:color w:val="auto"/>
          <w:sz w:val="56"/>
          <w:szCs w:val="56"/>
          <w:lang w:eastAsia="zh-CN"/>
        </w:rPr>
        <w:t>和能力提升项目</w:t>
      </w:r>
    </w:p>
    <w:p w14:paraId="58CE8FE9">
      <w:pPr>
        <w:pStyle w:val="22"/>
      </w:pPr>
    </w:p>
    <w:p w14:paraId="552278C6">
      <w:pPr>
        <w:pStyle w:val="22"/>
      </w:pPr>
    </w:p>
    <w:p w14:paraId="0E20A24A">
      <w:pPr>
        <w:pStyle w:val="22"/>
      </w:pPr>
    </w:p>
    <w:p w14:paraId="153CDDBC">
      <w:pPr>
        <w:pStyle w:val="22"/>
      </w:pPr>
    </w:p>
    <w:p w14:paraId="2439E0F4">
      <w:pPr>
        <w:pStyle w:val="22"/>
      </w:pPr>
    </w:p>
    <w:p w14:paraId="009B7517">
      <w:pPr>
        <w:pStyle w:val="22"/>
      </w:pPr>
    </w:p>
    <w:p w14:paraId="0298D0D2">
      <w:pPr>
        <w:pStyle w:val="22"/>
      </w:pPr>
    </w:p>
    <w:p w14:paraId="52C7396A">
      <w:pPr>
        <w:adjustRightInd w:val="0"/>
        <w:snapToGrid w:val="0"/>
        <w:spacing w:line="360" w:lineRule="auto"/>
        <w:jc w:val="left"/>
        <w:rPr>
          <w:rFonts w:ascii="宋体" w:cs="Times New Roman"/>
          <w:b/>
          <w:bCs/>
          <w:sz w:val="52"/>
          <w:szCs w:val="52"/>
        </w:rPr>
      </w:pPr>
      <w:r>
        <w:rPr>
          <w:rFonts w:hint="eastAsia"/>
        </w:rPr>
        <w:drawing>
          <wp:anchor distT="0" distB="0" distL="114300" distR="114300" simplePos="0" relativeHeight="251663360" behindDoc="0" locked="0" layoutInCell="1" allowOverlap="1">
            <wp:simplePos x="0" y="0"/>
            <wp:positionH relativeFrom="column">
              <wp:posOffset>2211705</wp:posOffset>
            </wp:positionH>
            <wp:positionV relativeFrom="paragraph">
              <wp:posOffset>193040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8"/>
                    <a:stretch>
                      <a:fillRect/>
                    </a:stretch>
                  </pic:blipFill>
                  <pic:spPr>
                    <a:xfrm>
                      <a:off x="0" y="0"/>
                      <a:ext cx="1599474" cy="1157901"/>
                    </a:xfrm>
                    <a:prstGeom prst="rect">
                      <a:avLst/>
                    </a:prstGeom>
                  </pic:spPr>
                </pic:pic>
              </a:graphicData>
            </a:graphic>
          </wp:anchor>
        </w:drawing>
      </w:r>
      <w:r>
        <w:rPr>
          <w:rFonts w:hint="eastAsia" w:ascii="宋体" w:cs="Times New Roman"/>
          <w:b/>
          <w:bCs/>
          <w:sz w:val="52"/>
          <w:szCs w:val="52"/>
        </w:rPr>
        <w:t xml:space="preserve"> </w:t>
      </w:r>
    </w:p>
    <w:p w14:paraId="4B33E3F6">
      <w:pPr>
        <w:adjustRightInd w:val="0"/>
        <w:snapToGrid w:val="0"/>
        <w:spacing w:line="360" w:lineRule="auto"/>
        <w:jc w:val="left"/>
        <w:rPr>
          <w:rFonts w:hint="eastAsia" w:ascii="宋体" w:cs="Times New Roman"/>
          <w:b/>
          <w:bCs/>
          <w:sz w:val="52"/>
          <w:szCs w:val="52"/>
        </w:rPr>
      </w:pPr>
      <w:r>
        <w:rPr>
          <w:rFonts w:hint="eastAsia" w:ascii="宋体" w:cs="Times New Roman"/>
          <w:b/>
          <w:bCs/>
          <w:sz w:val="52"/>
          <w:szCs w:val="52"/>
        </w:rPr>
        <w:t xml:space="preserve">          </w:t>
      </w:r>
    </w:p>
    <w:p w14:paraId="599390D2">
      <w:pPr>
        <w:pStyle w:val="11"/>
      </w:pPr>
    </w:p>
    <w:p w14:paraId="1E732050">
      <w:pPr>
        <w:tabs>
          <w:tab w:val="left" w:pos="0"/>
        </w:tabs>
        <w:adjustRightInd w:val="0"/>
        <w:snapToGrid w:val="0"/>
        <w:spacing w:line="360" w:lineRule="auto"/>
        <w:ind w:firstLine="2811" w:firstLineChars="500"/>
        <w:rPr>
          <w:rFonts w:ascii="宋体" w:hAnsi="宋体" w:cs="宋体"/>
          <w:b/>
          <w:bCs/>
          <w:sz w:val="56"/>
          <w:szCs w:val="56"/>
        </w:rPr>
      </w:pPr>
      <w:r>
        <w:rPr>
          <w:rFonts w:hint="eastAsia" w:ascii="宋体" w:hAnsi="宋体" w:cs="宋体"/>
          <w:b/>
          <w:bCs/>
          <w:sz w:val="56"/>
          <w:szCs w:val="56"/>
        </w:rPr>
        <w:t>竞争性磋商文件</w:t>
      </w:r>
    </w:p>
    <w:p w14:paraId="5E75FE84">
      <w:pPr>
        <w:pStyle w:val="22"/>
      </w:pPr>
    </w:p>
    <w:p w14:paraId="5699370F">
      <w:pPr>
        <w:pStyle w:val="22"/>
      </w:pPr>
    </w:p>
    <w:p w14:paraId="3EDE3217">
      <w:pPr>
        <w:pStyle w:val="22"/>
      </w:pPr>
    </w:p>
    <w:p w14:paraId="60624B31">
      <w:pPr>
        <w:pStyle w:val="22"/>
      </w:pPr>
    </w:p>
    <w:p w14:paraId="40DBCE30">
      <w:pPr>
        <w:pStyle w:val="22"/>
      </w:pPr>
    </w:p>
    <w:p w14:paraId="43F32CE7">
      <w:pPr>
        <w:pStyle w:val="22"/>
      </w:pPr>
    </w:p>
    <w:p w14:paraId="292BE0C5">
      <w:pPr>
        <w:pStyle w:val="22"/>
        <w:jc w:val="both"/>
      </w:pPr>
    </w:p>
    <w:p w14:paraId="348C4E4D">
      <w:pPr>
        <w:keepNext w:val="0"/>
        <w:keepLines w:val="0"/>
        <w:pageBreakBefore w:val="0"/>
        <w:widowControl w:val="0"/>
        <w:kinsoku/>
        <w:wordWrap/>
        <w:overflowPunct/>
        <w:topLinePunct w:val="0"/>
        <w:autoSpaceDE/>
        <w:autoSpaceDN/>
        <w:bidi w:val="0"/>
        <w:adjustRightInd w:val="0"/>
        <w:snapToGrid w:val="0"/>
        <w:spacing w:line="720" w:lineRule="auto"/>
        <w:ind w:firstLine="904" w:firstLineChars="300"/>
        <w:jc w:val="both"/>
        <w:textAlignment w:val="auto"/>
        <w:rPr>
          <w:rFonts w:hint="eastAsia" w:ascii="宋体" w:hAnsi="宋体" w:cs="宋体"/>
          <w:b/>
          <w:bCs/>
          <w:color w:val="FF0000"/>
          <w:sz w:val="30"/>
          <w:szCs w:val="30"/>
          <w:lang w:val="en-US" w:eastAsia="zh-CN"/>
        </w:rPr>
      </w:pPr>
      <w:r>
        <w:rPr>
          <w:rFonts w:hint="eastAsia" w:ascii="宋体" w:hAnsi="宋体" w:cs="宋体"/>
          <w:b/>
          <w:bCs/>
          <w:sz w:val="30"/>
          <w:szCs w:val="30"/>
        </w:rPr>
        <w:t>采购人：</w:t>
      </w:r>
      <w:r>
        <w:rPr>
          <w:rFonts w:hint="eastAsia" w:ascii="宋体" w:hAnsi="宋体" w:cs="宋体"/>
          <w:b/>
          <w:bCs/>
          <w:sz w:val="30"/>
          <w:szCs w:val="30"/>
          <w:lang w:eastAsia="zh-CN"/>
        </w:rPr>
        <w:t>汉滨区农业农村局</w:t>
      </w:r>
      <w:r>
        <w:rPr>
          <w:rFonts w:hint="eastAsia" w:ascii="宋体" w:hAnsi="宋体" w:cs="宋体"/>
          <w:b/>
          <w:bCs/>
          <w:color w:val="auto"/>
          <w:sz w:val="30"/>
          <w:szCs w:val="30"/>
          <w:lang w:eastAsia="zh-CN"/>
        </w:rPr>
        <w:t>（汉滨区农产品检验检测中心）</w:t>
      </w:r>
    </w:p>
    <w:p w14:paraId="49CF9ACC">
      <w:pPr>
        <w:keepNext w:val="0"/>
        <w:keepLines w:val="0"/>
        <w:pageBreakBefore w:val="0"/>
        <w:widowControl w:val="0"/>
        <w:kinsoku/>
        <w:wordWrap/>
        <w:overflowPunct/>
        <w:topLinePunct w:val="0"/>
        <w:autoSpaceDE/>
        <w:autoSpaceDN/>
        <w:bidi w:val="0"/>
        <w:adjustRightInd w:val="0"/>
        <w:snapToGrid w:val="0"/>
        <w:spacing w:line="720" w:lineRule="auto"/>
        <w:ind w:firstLine="1807" w:firstLineChars="600"/>
        <w:jc w:val="both"/>
        <w:textAlignment w:val="auto"/>
        <w:rPr>
          <w:rFonts w:ascii="宋体" w:hAnsi="宋体" w:cs="宋体"/>
          <w:b/>
          <w:bCs/>
          <w:sz w:val="30"/>
          <w:szCs w:val="30"/>
        </w:rPr>
      </w:pPr>
      <w:r>
        <w:rPr>
          <w:rFonts w:hint="eastAsia" w:ascii="宋体" w:hAnsi="宋体" w:cs="宋体"/>
          <w:b/>
          <w:bCs/>
          <w:sz w:val="30"/>
          <w:szCs w:val="30"/>
        </w:rPr>
        <w:t>代理机构：安康尚昊招标代理有限公司</w:t>
      </w:r>
    </w:p>
    <w:p w14:paraId="680ECD3B">
      <w:pPr>
        <w:keepNext w:val="0"/>
        <w:keepLines w:val="0"/>
        <w:pageBreakBefore w:val="0"/>
        <w:widowControl w:val="0"/>
        <w:kinsoku/>
        <w:wordWrap/>
        <w:overflowPunct/>
        <w:topLinePunct w:val="0"/>
        <w:autoSpaceDE/>
        <w:autoSpaceDN/>
        <w:bidi w:val="0"/>
        <w:adjustRightInd w:val="0"/>
        <w:snapToGrid w:val="0"/>
        <w:spacing w:line="720" w:lineRule="auto"/>
        <w:jc w:val="center"/>
        <w:textAlignment w:val="auto"/>
        <w:rPr>
          <w:rFonts w:ascii="宋体" w:cs="Times New Roman"/>
          <w:b/>
          <w:bCs/>
          <w:sz w:val="30"/>
          <w:szCs w:val="30"/>
        </w:rPr>
        <w:sectPr>
          <w:headerReference r:id="rId4" w:type="first"/>
          <w:headerReference r:id="rId3" w:type="default"/>
          <w:footerReference r:id="rId5" w:type="default"/>
          <w:pgSz w:w="11906" w:h="16838"/>
          <w:pgMar w:top="1417" w:right="1417" w:bottom="1417" w:left="1417" w:header="1247" w:footer="720" w:gutter="0"/>
          <w:pgNumType w:fmt="decimal"/>
          <w:cols w:space="0" w:num="1"/>
          <w:rtlGutter w:val="0"/>
          <w:docGrid w:linePitch="326" w:charSpace="0"/>
        </w:sectPr>
      </w:pPr>
      <w:r>
        <w:rPr>
          <w:rFonts w:hint="eastAsia" w:ascii="宋体" w:hAnsi="宋体" w:cs="宋体"/>
          <w:b/>
          <w:bCs/>
          <w:sz w:val="30"/>
          <w:szCs w:val="30"/>
          <w:lang w:val="en-US" w:eastAsia="zh-CN"/>
        </w:rPr>
        <w:t>时    间：二〇二五年十一</w:t>
      </w:r>
      <w:r>
        <w:rPr>
          <w:rFonts w:hint="eastAsia" w:ascii="宋体" w:hAnsi="宋体" w:cs="宋体"/>
          <w:b/>
          <w:bCs/>
          <w:sz w:val="30"/>
          <w:szCs w:val="30"/>
        </w:rPr>
        <w:t>月</w:t>
      </w:r>
    </w:p>
    <w:p w14:paraId="155AC742">
      <w:pPr>
        <w:pStyle w:val="25"/>
        <w:tabs>
          <w:tab w:val="center" w:pos="4819"/>
          <w:tab w:val="left" w:pos="6069"/>
          <w:tab w:val="right" w:leader="dot" w:pos="8306"/>
        </w:tabs>
        <w:spacing w:before="0" w:after="0" w:line="480" w:lineRule="exact"/>
        <w:rPr>
          <w:rFonts w:ascii="宋体" w:hAnsi="宋体" w:cs="宋体"/>
          <w:b w:val="0"/>
          <w:bCs w:val="0"/>
          <w:sz w:val="48"/>
          <w:szCs w:val="52"/>
        </w:rPr>
      </w:pPr>
      <w:r>
        <w:rPr>
          <w:rFonts w:ascii="宋体" w:hAnsi="宋体" w:cs="宋体"/>
          <w:b w:val="0"/>
          <w:bCs w:val="0"/>
          <w:sz w:val="48"/>
          <w:szCs w:val="52"/>
        </w:rPr>
        <w:tab/>
      </w:r>
    </w:p>
    <w:p w14:paraId="184D259A">
      <w:pPr>
        <w:pStyle w:val="25"/>
        <w:tabs>
          <w:tab w:val="center" w:pos="4819"/>
          <w:tab w:val="left" w:pos="6069"/>
          <w:tab w:val="right" w:leader="dot" w:pos="8306"/>
        </w:tabs>
        <w:spacing w:before="0" w:after="0" w:line="360" w:lineRule="auto"/>
        <w:jc w:val="center"/>
        <w:rPr>
          <w:rFonts w:ascii="宋体" w:hAnsi="宋体" w:cs="宋体"/>
          <w:b w:val="0"/>
          <w:bCs w:val="0"/>
          <w:sz w:val="48"/>
          <w:szCs w:val="52"/>
        </w:rPr>
      </w:pPr>
      <w:r>
        <w:rPr>
          <w:rFonts w:hint="eastAsia" w:ascii="宋体" w:hAnsi="宋体" w:cs="宋体"/>
          <w:b w:val="0"/>
          <w:bCs w:val="0"/>
          <w:sz w:val="48"/>
          <w:szCs w:val="52"/>
        </w:rPr>
        <w:t xml:space="preserve">目 </w:t>
      </w:r>
      <w:r>
        <w:rPr>
          <w:rFonts w:ascii="宋体" w:hAnsi="宋体" w:cs="宋体"/>
          <w:b w:val="0"/>
          <w:bCs w:val="0"/>
          <w:sz w:val="48"/>
          <w:szCs w:val="52"/>
        </w:rPr>
        <w:t xml:space="preserve"> </w:t>
      </w:r>
      <w:r>
        <w:rPr>
          <w:rFonts w:hint="eastAsia" w:ascii="宋体" w:hAnsi="宋体" w:cs="宋体"/>
          <w:b w:val="0"/>
          <w:bCs w:val="0"/>
          <w:sz w:val="48"/>
          <w:szCs w:val="52"/>
        </w:rPr>
        <w:t>录</w:t>
      </w:r>
    </w:p>
    <w:p w14:paraId="08C6EB71">
      <w:pPr>
        <w:rPr>
          <w:sz w:val="28"/>
          <w:szCs w:val="28"/>
        </w:rPr>
      </w:pPr>
    </w:p>
    <w:p w14:paraId="47DCE618">
      <w:pPr>
        <w:pStyle w:val="25"/>
        <w:tabs>
          <w:tab w:val="right" w:leader="dot" w:pos="9072"/>
        </w:tabs>
        <w:spacing w:line="480" w:lineRule="auto"/>
        <w:rPr>
          <w:b w:val="0"/>
          <w:bCs w:val="0"/>
          <w:sz w:val="28"/>
          <w:szCs w:val="28"/>
        </w:rPr>
      </w:pPr>
      <w:bookmarkStart w:id="1" w:name="_Toc19543333"/>
      <w:bookmarkStart w:id="2" w:name="_Toc536202376"/>
      <w:bookmarkStart w:id="3" w:name="_Toc536429369"/>
      <w:bookmarkStart w:id="4" w:name="_Toc536202282"/>
      <w:bookmarkStart w:id="5" w:name="OLE_LINK3"/>
      <w:bookmarkStart w:id="6" w:name="_Toc30089"/>
      <w:bookmarkStart w:id="7" w:name="_Toc438048787"/>
      <w:r>
        <w:rPr>
          <w:b w:val="0"/>
          <w:bCs w:val="0"/>
          <w:caps w:val="0"/>
          <w:sz w:val="32"/>
          <w:szCs w:val="32"/>
        </w:rPr>
        <w:fldChar w:fldCharType="begin"/>
      </w:r>
      <w:r>
        <w:rPr>
          <w:b w:val="0"/>
          <w:bCs w:val="0"/>
          <w:caps w:val="0"/>
          <w:sz w:val="32"/>
          <w:szCs w:val="32"/>
        </w:rPr>
        <w:instrText xml:space="preserve"> TOC \o "1-1" \h \z \u </w:instrText>
      </w:r>
      <w:r>
        <w:rPr>
          <w:b w:val="0"/>
          <w:bCs w:val="0"/>
          <w:caps w:val="0"/>
          <w:sz w:val="32"/>
          <w:szCs w:val="32"/>
        </w:rPr>
        <w:fldChar w:fldCharType="separate"/>
      </w:r>
      <w:r>
        <w:rPr>
          <w:b w:val="0"/>
          <w:bCs w:val="0"/>
          <w:caps w:val="0"/>
          <w:sz w:val="28"/>
          <w:szCs w:val="28"/>
        </w:rPr>
        <w:fldChar w:fldCharType="begin"/>
      </w:r>
      <w:r>
        <w:rPr>
          <w:b w:val="0"/>
          <w:bCs w:val="0"/>
          <w:caps w:val="0"/>
          <w:sz w:val="28"/>
          <w:szCs w:val="28"/>
        </w:rPr>
        <w:instrText xml:space="preserve"> HYPERLINK \l _Toc20590 </w:instrText>
      </w:r>
      <w:r>
        <w:rPr>
          <w:b w:val="0"/>
          <w:bCs w:val="0"/>
          <w:caps w:val="0"/>
          <w:sz w:val="28"/>
          <w:szCs w:val="28"/>
        </w:rPr>
        <w:fldChar w:fldCharType="separate"/>
      </w:r>
      <w:r>
        <w:rPr>
          <w:rFonts w:hint="eastAsia"/>
          <w:b w:val="0"/>
          <w:bCs w:val="0"/>
          <w:sz w:val="28"/>
          <w:szCs w:val="28"/>
        </w:rPr>
        <w:t xml:space="preserve">第一部分  </w:t>
      </w:r>
      <w:r>
        <w:rPr>
          <w:rFonts w:hint="eastAsia"/>
          <w:b w:val="0"/>
          <w:bCs w:val="0"/>
          <w:sz w:val="28"/>
          <w:szCs w:val="28"/>
          <w:lang w:val="en-US" w:eastAsia="zh-CN"/>
        </w:rPr>
        <w:t xml:space="preserve"> </w:t>
      </w:r>
      <w:r>
        <w:rPr>
          <w:rFonts w:hint="eastAsia"/>
          <w:b w:val="0"/>
          <w:bCs w:val="0"/>
          <w:sz w:val="28"/>
          <w:szCs w:val="28"/>
        </w:rPr>
        <w:t>竞争性</w:t>
      </w:r>
      <w:r>
        <w:rPr>
          <w:b w:val="0"/>
          <w:bCs w:val="0"/>
          <w:sz w:val="28"/>
          <w:szCs w:val="28"/>
        </w:rPr>
        <w:t>磋商公告</w:t>
      </w:r>
      <w:r>
        <w:rPr>
          <w:b w:val="0"/>
          <w:bCs w:val="0"/>
          <w:sz w:val="28"/>
          <w:szCs w:val="28"/>
        </w:rPr>
        <w:tab/>
      </w:r>
      <w:r>
        <w:rPr>
          <w:b w:val="0"/>
          <w:bCs w:val="0"/>
          <w:sz w:val="28"/>
          <w:szCs w:val="28"/>
        </w:rPr>
        <w:fldChar w:fldCharType="begin"/>
      </w:r>
      <w:r>
        <w:rPr>
          <w:b w:val="0"/>
          <w:bCs w:val="0"/>
          <w:sz w:val="28"/>
          <w:szCs w:val="28"/>
        </w:rPr>
        <w:instrText xml:space="preserve"> PAGEREF _Toc20590 \h </w:instrText>
      </w:r>
      <w:r>
        <w:rPr>
          <w:b w:val="0"/>
          <w:bCs w:val="0"/>
          <w:sz w:val="28"/>
          <w:szCs w:val="28"/>
        </w:rPr>
        <w:fldChar w:fldCharType="separate"/>
      </w:r>
      <w:r>
        <w:rPr>
          <w:b w:val="0"/>
          <w:bCs w:val="0"/>
          <w:sz w:val="28"/>
          <w:szCs w:val="28"/>
        </w:rPr>
        <w:t>1</w:t>
      </w:r>
      <w:r>
        <w:rPr>
          <w:b w:val="0"/>
          <w:bCs w:val="0"/>
          <w:sz w:val="28"/>
          <w:szCs w:val="28"/>
        </w:rPr>
        <w:fldChar w:fldCharType="end"/>
      </w:r>
      <w:r>
        <w:rPr>
          <w:b w:val="0"/>
          <w:bCs w:val="0"/>
          <w:caps w:val="0"/>
          <w:sz w:val="28"/>
          <w:szCs w:val="28"/>
        </w:rPr>
        <w:fldChar w:fldCharType="end"/>
      </w:r>
    </w:p>
    <w:p w14:paraId="15107296">
      <w:pPr>
        <w:pStyle w:val="25"/>
        <w:tabs>
          <w:tab w:val="right" w:leader="dot" w:pos="9072"/>
        </w:tabs>
        <w:spacing w:line="480" w:lineRule="auto"/>
        <w:rPr>
          <w:b w:val="0"/>
          <w:bCs w:val="0"/>
          <w:sz w:val="28"/>
          <w:szCs w:val="28"/>
        </w:rPr>
      </w:pPr>
      <w:r>
        <w:rPr>
          <w:rFonts w:cs="Calibri" w:asciiTheme="minorHAnsi" w:hAnsiTheme="minorHAnsi"/>
          <w:b w:val="0"/>
          <w:bCs w:val="0"/>
          <w:caps/>
          <w:kern w:val="2"/>
          <w:sz w:val="28"/>
          <w:szCs w:val="28"/>
        </w:rPr>
        <w:fldChar w:fldCharType="begin"/>
      </w:r>
      <w:r>
        <w:rPr>
          <w:rFonts w:cs="Calibri" w:asciiTheme="minorHAnsi" w:hAnsiTheme="minorHAnsi"/>
          <w:b w:val="0"/>
          <w:bCs w:val="0"/>
          <w:caps/>
          <w:kern w:val="2"/>
          <w:sz w:val="28"/>
          <w:szCs w:val="28"/>
        </w:rPr>
        <w:instrText xml:space="preserve"> HYPERLINK \l _Toc25817 </w:instrText>
      </w:r>
      <w:r>
        <w:rPr>
          <w:rFonts w:cs="Calibri" w:asciiTheme="minorHAnsi" w:hAnsiTheme="minorHAnsi"/>
          <w:b w:val="0"/>
          <w:bCs w:val="0"/>
          <w:caps/>
          <w:kern w:val="2"/>
          <w:sz w:val="28"/>
          <w:szCs w:val="28"/>
        </w:rPr>
        <w:fldChar w:fldCharType="separate"/>
      </w:r>
      <w:r>
        <w:rPr>
          <w:rFonts w:hint="eastAsia"/>
          <w:b w:val="0"/>
          <w:bCs w:val="0"/>
          <w:sz w:val="28"/>
          <w:szCs w:val="28"/>
        </w:rPr>
        <w:t>第二部分</w:t>
      </w:r>
      <w:r>
        <w:rPr>
          <w:b w:val="0"/>
          <w:bCs w:val="0"/>
          <w:sz w:val="28"/>
          <w:szCs w:val="28"/>
        </w:rPr>
        <w:t xml:space="preserve">  </w:t>
      </w:r>
      <w:r>
        <w:rPr>
          <w:rFonts w:hint="eastAsia"/>
          <w:b w:val="0"/>
          <w:bCs w:val="0"/>
          <w:sz w:val="28"/>
          <w:szCs w:val="28"/>
          <w:lang w:val="en-US" w:eastAsia="zh-CN"/>
        </w:rPr>
        <w:t xml:space="preserve"> </w:t>
      </w:r>
      <w:r>
        <w:rPr>
          <w:rFonts w:hint="eastAsia"/>
          <w:b w:val="0"/>
          <w:bCs w:val="0"/>
          <w:sz w:val="28"/>
          <w:szCs w:val="28"/>
        </w:rPr>
        <w:t>供应商须知前附表</w:t>
      </w:r>
      <w:r>
        <w:rPr>
          <w:b w:val="0"/>
          <w:bCs w:val="0"/>
          <w:sz w:val="28"/>
          <w:szCs w:val="28"/>
        </w:rPr>
        <w:tab/>
      </w:r>
      <w:r>
        <w:rPr>
          <w:b w:val="0"/>
          <w:bCs w:val="0"/>
          <w:sz w:val="28"/>
          <w:szCs w:val="28"/>
        </w:rPr>
        <w:fldChar w:fldCharType="begin"/>
      </w:r>
      <w:r>
        <w:rPr>
          <w:b w:val="0"/>
          <w:bCs w:val="0"/>
          <w:sz w:val="28"/>
          <w:szCs w:val="28"/>
        </w:rPr>
        <w:instrText xml:space="preserve"> PAGEREF _Toc25817 \h </w:instrText>
      </w:r>
      <w:r>
        <w:rPr>
          <w:b w:val="0"/>
          <w:bCs w:val="0"/>
          <w:sz w:val="28"/>
          <w:szCs w:val="28"/>
        </w:rPr>
        <w:fldChar w:fldCharType="separate"/>
      </w:r>
      <w:r>
        <w:rPr>
          <w:b w:val="0"/>
          <w:bCs w:val="0"/>
          <w:sz w:val="28"/>
          <w:szCs w:val="28"/>
        </w:rPr>
        <w:t>5</w:t>
      </w:r>
      <w:r>
        <w:rPr>
          <w:b w:val="0"/>
          <w:bCs w:val="0"/>
          <w:sz w:val="28"/>
          <w:szCs w:val="28"/>
        </w:rPr>
        <w:fldChar w:fldCharType="end"/>
      </w:r>
      <w:r>
        <w:rPr>
          <w:rFonts w:cs="Calibri" w:asciiTheme="minorHAnsi" w:hAnsiTheme="minorHAnsi"/>
          <w:b w:val="0"/>
          <w:bCs w:val="0"/>
          <w:caps/>
          <w:kern w:val="2"/>
          <w:sz w:val="28"/>
          <w:szCs w:val="28"/>
        </w:rPr>
        <w:fldChar w:fldCharType="end"/>
      </w:r>
    </w:p>
    <w:p w14:paraId="6ED160D2">
      <w:pPr>
        <w:pStyle w:val="25"/>
        <w:tabs>
          <w:tab w:val="right" w:leader="dot" w:pos="9072"/>
        </w:tabs>
        <w:spacing w:line="480" w:lineRule="auto"/>
        <w:rPr>
          <w:b w:val="0"/>
          <w:bCs w:val="0"/>
          <w:sz w:val="28"/>
          <w:szCs w:val="28"/>
        </w:rPr>
      </w:pPr>
      <w:r>
        <w:rPr>
          <w:rFonts w:cs="Calibri" w:asciiTheme="minorHAnsi" w:hAnsiTheme="minorHAnsi"/>
          <w:b w:val="0"/>
          <w:bCs w:val="0"/>
          <w:caps/>
          <w:kern w:val="2"/>
          <w:sz w:val="28"/>
          <w:szCs w:val="28"/>
        </w:rPr>
        <w:fldChar w:fldCharType="begin"/>
      </w:r>
      <w:r>
        <w:rPr>
          <w:rFonts w:cs="Calibri" w:asciiTheme="minorHAnsi" w:hAnsiTheme="minorHAnsi"/>
          <w:b w:val="0"/>
          <w:bCs w:val="0"/>
          <w:caps/>
          <w:kern w:val="2"/>
          <w:sz w:val="28"/>
          <w:szCs w:val="28"/>
        </w:rPr>
        <w:instrText xml:space="preserve"> HYPERLINK \l _Toc30175 </w:instrText>
      </w:r>
      <w:r>
        <w:rPr>
          <w:rFonts w:cs="Calibri" w:asciiTheme="minorHAnsi" w:hAnsiTheme="minorHAnsi"/>
          <w:b w:val="0"/>
          <w:bCs w:val="0"/>
          <w:caps/>
          <w:kern w:val="2"/>
          <w:sz w:val="28"/>
          <w:szCs w:val="28"/>
        </w:rPr>
        <w:fldChar w:fldCharType="separate"/>
      </w:r>
      <w:r>
        <w:rPr>
          <w:rFonts w:hint="eastAsia" w:ascii="宋体" w:hAnsi="宋体" w:cs="宋体"/>
          <w:b w:val="0"/>
          <w:bCs w:val="0"/>
          <w:sz w:val="28"/>
          <w:szCs w:val="28"/>
        </w:rPr>
        <w:t xml:space="preserve">第三部分 </w:t>
      </w:r>
      <w:r>
        <w:rPr>
          <w:rFonts w:ascii="宋体" w:hAnsi="宋体" w:cs="宋体"/>
          <w:b w:val="0"/>
          <w:bCs w:val="0"/>
          <w:sz w:val="28"/>
          <w:szCs w:val="28"/>
        </w:rPr>
        <w:t xml:space="preserve">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供应商须知</w:t>
      </w:r>
      <w:r>
        <w:rPr>
          <w:b w:val="0"/>
          <w:bCs w:val="0"/>
          <w:sz w:val="28"/>
          <w:szCs w:val="28"/>
        </w:rPr>
        <w:tab/>
      </w:r>
      <w:r>
        <w:rPr>
          <w:b w:val="0"/>
          <w:bCs w:val="0"/>
          <w:sz w:val="28"/>
          <w:szCs w:val="28"/>
        </w:rPr>
        <w:fldChar w:fldCharType="begin"/>
      </w:r>
      <w:r>
        <w:rPr>
          <w:b w:val="0"/>
          <w:bCs w:val="0"/>
          <w:sz w:val="28"/>
          <w:szCs w:val="28"/>
        </w:rPr>
        <w:instrText xml:space="preserve"> PAGEREF _Toc30175 \h </w:instrText>
      </w:r>
      <w:r>
        <w:rPr>
          <w:b w:val="0"/>
          <w:bCs w:val="0"/>
          <w:sz w:val="28"/>
          <w:szCs w:val="28"/>
        </w:rPr>
        <w:fldChar w:fldCharType="separate"/>
      </w:r>
      <w:r>
        <w:rPr>
          <w:b w:val="0"/>
          <w:bCs w:val="0"/>
          <w:sz w:val="28"/>
          <w:szCs w:val="28"/>
        </w:rPr>
        <w:t>9</w:t>
      </w:r>
      <w:r>
        <w:rPr>
          <w:b w:val="0"/>
          <w:bCs w:val="0"/>
          <w:sz w:val="28"/>
          <w:szCs w:val="28"/>
        </w:rPr>
        <w:fldChar w:fldCharType="end"/>
      </w:r>
      <w:r>
        <w:rPr>
          <w:rFonts w:cs="Calibri" w:asciiTheme="minorHAnsi" w:hAnsiTheme="minorHAnsi"/>
          <w:b w:val="0"/>
          <w:bCs w:val="0"/>
          <w:caps/>
          <w:kern w:val="2"/>
          <w:sz w:val="28"/>
          <w:szCs w:val="28"/>
        </w:rPr>
        <w:fldChar w:fldCharType="end"/>
      </w:r>
    </w:p>
    <w:p w14:paraId="5C2CED6F">
      <w:pPr>
        <w:pStyle w:val="25"/>
        <w:tabs>
          <w:tab w:val="right" w:leader="dot" w:pos="9072"/>
        </w:tabs>
        <w:spacing w:line="480" w:lineRule="auto"/>
        <w:rPr>
          <w:b w:val="0"/>
          <w:bCs w:val="0"/>
          <w:sz w:val="28"/>
          <w:szCs w:val="28"/>
        </w:rPr>
      </w:pPr>
      <w:r>
        <w:rPr>
          <w:rFonts w:cs="Calibri" w:asciiTheme="minorHAnsi" w:hAnsiTheme="minorHAnsi"/>
          <w:b w:val="0"/>
          <w:bCs w:val="0"/>
          <w:caps/>
          <w:kern w:val="2"/>
          <w:sz w:val="28"/>
          <w:szCs w:val="28"/>
        </w:rPr>
        <w:fldChar w:fldCharType="begin"/>
      </w:r>
      <w:r>
        <w:rPr>
          <w:rFonts w:cs="Calibri" w:asciiTheme="minorHAnsi" w:hAnsiTheme="minorHAnsi"/>
          <w:b w:val="0"/>
          <w:bCs w:val="0"/>
          <w:caps/>
          <w:kern w:val="2"/>
          <w:sz w:val="28"/>
          <w:szCs w:val="28"/>
        </w:rPr>
        <w:instrText xml:space="preserve"> HYPERLINK \l _Toc25322 </w:instrText>
      </w:r>
      <w:r>
        <w:rPr>
          <w:rFonts w:cs="Calibri" w:asciiTheme="minorHAnsi" w:hAnsiTheme="minorHAnsi"/>
          <w:b w:val="0"/>
          <w:bCs w:val="0"/>
          <w:caps/>
          <w:kern w:val="2"/>
          <w:sz w:val="28"/>
          <w:szCs w:val="28"/>
        </w:rPr>
        <w:fldChar w:fldCharType="separate"/>
      </w:r>
      <w:r>
        <w:rPr>
          <w:rFonts w:hint="eastAsia"/>
          <w:b w:val="0"/>
          <w:bCs w:val="0"/>
          <w:sz w:val="28"/>
          <w:szCs w:val="28"/>
        </w:rPr>
        <w:t xml:space="preserve">第四部分 </w:t>
      </w:r>
      <w:r>
        <w:rPr>
          <w:rFonts w:hint="eastAsia"/>
          <w:b w:val="0"/>
          <w:bCs w:val="0"/>
          <w:sz w:val="28"/>
          <w:szCs w:val="28"/>
          <w:lang w:val="en-US" w:eastAsia="zh-CN"/>
        </w:rPr>
        <w:t xml:space="preserve">  </w:t>
      </w:r>
      <w:r>
        <w:rPr>
          <w:rFonts w:hint="eastAsia"/>
          <w:b w:val="0"/>
          <w:bCs w:val="0"/>
          <w:sz w:val="28"/>
          <w:szCs w:val="28"/>
          <w:highlight w:val="none"/>
        </w:rPr>
        <w:t>评分</w:t>
      </w:r>
      <w:r>
        <w:rPr>
          <w:b w:val="0"/>
          <w:bCs w:val="0"/>
          <w:sz w:val="28"/>
          <w:szCs w:val="28"/>
          <w:highlight w:val="none"/>
        </w:rPr>
        <w:t>标准</w:t>
      </w:r>
      <w:r>
        <w:rPr>
          <w:b w:val="0"/>
          <w:bCs w:val="0"/>
          <w:sz w:val="28"/>
          <w:szCs w:val="28"/>
        </w:rPr>
        <w:tab/>
      </w:r>
      <w:r>
        <w:rPr>
          <w:b w:val="0"/>
          <w:bCs w:val="0"/>
          <w:sz w:val="28"/>
          <w:szCs w:val="28"/>
        </w:rPr>
        <w:fldChar w:fldCharType="begin"/>
      </w:r>
      <w:r>
        <w:rPr>
          <w:b w:val="0"/>
          <w:bCs w:val="0"/>
          <w:sz w:val="28"/>
          <w:szCs w:val="28"/>
        </w:rPr>
        <w:instrText xml:space="preserve"> PAGEREF _Toc25322 \h </w:instrText>
      </w:r>
      <w:r>
        <w:rPr>
          <w:b w:val="0"/>
          <w:bCs w:val="0"/>
          <w:sz w:val="28"/>
          <w:szCs w:val="28"/>
        </w:rPr>
        <w:fldChar w:fldCharType="separate"/>
      </w:r>
      <w:r>
        <w:rPr>
          <w:b w:val="0"/>
          <w:bCs w:val="0"/>
          <w:sz w:val="28"/>
          <w:szCs w:val="28"/>
        </w:rPr>
        <w:t>24</w:t>
      </w:r>
      <w:r>
        <w:rPr>
          <w:b w:val="0"/>
          <w:bCs w:val="0"/>
          <w:sz w:val="28"/>
          <w:szCs w:val="28"/>
        </w:rPr>
        <w:fldChar w:fldCharType="end"/>
      </w:r>
      <w:r>
        <w:rPr>
          <w:rFonts w:cs="Calibri" w:asciiTheme="minorHAnsi" w:hAnsiTheme="minorHAnsi"/>
          <w:b w:val="0"/>
          <w:bCs w:val="0"/>
          <w:caps/>
          <w:kern w:val="2"/>
          <w:sz w:val="28"/>
          <w:szCs w:val="28"/>
        </w:rPr>
        <w:fldChar w:fldCharType="end"/>
      </w:r>
    </w:p>
    <w:p w14:paraId="58BDAA36">
      <w:pPr>
        <w:pStyle w:val="25"/>
        <w:tabs>
          <w:tab w:val="right" w:leader="dot" w:pos="9072"/>
        </w:tabs>
        <w:spacing w:line="480" w:lineRule="auto"/>
        <w:rPr>
          <w:b w:val="0"/>
          <w:bCs w:val="0"/>
          <w:sz w:val="28"/>
          <w:szCs w:val="28"/>
        </w:rPr>
      </w:pPr>
      <w:r>
        <w:rPr>
          <w:rFonts w:cs="Calibri" w:asciiTheme="minorHAnsi" w:hAnsiTheme="minorHAnsi"/>
          <w:b w:val="0"/>
          <w:bCs w:val="0"/>
          <w:caps/>
          <w:kern w:val="2"/>
          <w:sz w:val="28"/>
          <w:szCs w:val="28"/>
        </w:rPr>
        <w:fldChar w:fldCharType="begin"/>
      </w:r>
      <w:r>
        <w:rPr>
          <w:rFonts w:cs="Calibri" w:asciiTheme="minorHAnsi" w:hAnsiTheme="minorHAnsi"/>
          <w:b w:val="0"/>
          <w:bCs w:val="0"/>
          <w:caps/>
          <w:kern w:val="2"/>
          <w:sz w:val="28"/>
          <w:szCs w:val="28"/>
        </w:rPr>
        <w:instrText xml:space="preserve"> HYPERLINK \l _Toc23200 </w:instrText>
      </w:r>
      <w:r>
        <w:rPr>
          <w:rFonts w:cs="Calibri" w:asciiTheme="minorHAnsi" w:hAnsiTheme="minorHAnsi"/>
          <w:b w:val="0"/>
          <w:bCs w:val="0"/>
          <w:caps/>
          <w:kern w:val="2"/>
          <w:sz w:val="28"/>
          <w:szCs w:val="28"/>
        </w:rPr>
        <w:fldChar w:fldCharType="separate"/>
      </w:r>
      <w:r>
        <w:rPr>
          <w:rFonts w:hint="eastAsia" w:ascii="宋体" w:hAnsi="宋体" w:cs="宋体"/>
          <w:b w:val="0"/>
          <w:bCs w:val="0"/>
          <w:sz w:val="28"/>
          <w:szCs w:val="28"/>
        </w:rPr>
        <w:t xml:space="preserve">第五部分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采购内容及</w:t>
      </w:r>
      <w:r>
        <w:rPr>
          <w:rFonts w:hint="eastAsia" w:ascii="宋体" w:hAnsi="宋体" w:cs="宋体"/>
          <w:b w:val="0"/>
          <w:bCs w:val="0"/>
          <w:sz w:val="28"/>
          <w:szCs w:val="28"/>
          <w:lang w:eastAsia="zh-CN"/>
        </w:rPr>
        <w:t>要求</w:t>
      </w:r>
      <w:r>
        <w:rPr>
          <w:b w:val="0"/>
          <w:bCs w:val="0"/>
          <w:sz w:val="28"/>
          <w:szCs w:val="28"/>
        </w:rPr>
        <w:tab/>
      </w:r>
      <w:r>
        <w:rPr>
          <w:b w:val="0"/>
          <w:bCs w:val="0"/>
          <w:sz w:val="28"/>
          <w:szCs w:val="28"/>
        </w:rPr>
        <w:fldChar w:fldCharType="begin"/>
      </w:r>
      <w:r>
        <w:rPr>
          <w:b w:val="0"/>
          <w:bCs w:val="0"/>
          <w:sz w:val="28"/>
          <w:szCs w:val="28"/>
        </w:rPr>
        <w:instrText xml:space="preserve"> PAGEREF _Toc23200 \h </w:instrText>
      </w:r>
      <w:r>
        <w:rPr>
          <w:b w:val="0"/>
          <w:bCs w:val="0"/>
          <w:sz w:val="28"/>
          <w:szCs w:val="28"/>
        </w:rPr>
        <w:fldChar w:fldCharType="separate"/>
      </w:r>
      <w:r>
        <w:rPr>
          <w:b w:val="0"/>
          <w:bCs w:val="0"/>
          <w:sz w:val="28"/>
          <w:szCs w:val="28"/>
        </w:rPr>
        <w:t>28</w:t>
      </w:r>
      <w:r>
        <w:rPr>
          <w:b w:val="0"/>
          <w:bCs w:val="0"/>
          <w:sz w:val="28"/>
          <w:szCs w:val="28"/>
        </w:rPr>
        <w:fldChar w:fldCharType="end"/>
      </w:r>
      <w:r>
        <w:rPr>
          <w:rFonts w:cs="Calibri" w:asciiTheme="minorHAnsi" w:hAnsiTheme="minorHAnsi"/>
          <w:b w:val="0"/>
          <w:bCs w:val="0"/>
          <w:caps/>
          <w:kern w:val="2"/>
          <w:sz w:val="28"/>
          <w:szCs w:val="28"/>
        </w:rPr>
        <w:fldChar w:fldCharType="end"/>
      </w:r>
    </w:p>
    <w:p w14:paraId="6E0F2ED6">
      <w:pPr>
        <w:pStyle w:val="25"/>
        <w:tabs>
          <w:tab w:val="right" w:leader="dot" w:pos="9072"/>
        </w:tabs>
        <w:spacing w:line="480" w:lineRule="auto"/>
        <w:rPr>
          <w:b w:val="0"/>
          <w:bCs w:val="0"/>
          <w:sz w:val="28"/>
          <w:szCs w:val="28"/>
        </w:rPr>
      </w:pPr>
      <w:r>
        <w:rPr>
          <w:rFonts w:cs="Calibri" w:asciiTheme="minorHAnsi" w:hAnsiTheme="minorHAnsi"/>
          <w:b w:val="0"/>
          <w:bCs w:val="0"/>
          <w:caps/>
          <w:kern w:val="2"/>
          <w:sz w:val="28"/>
          <w:szCs w:val="28"/>
        </w:rPr>
        <w:fldChar w:fldCharType="begin"/>
      </w:r>
      <w:r>
        <w:rPr>
          <w:rFonts w:cs="Calibri" w:asciiTheme="minorHAnsi" w:hAnsiTheme="minorHAnsi"/>
          <w:b w:val="0"/>
          <w:bCs w:val="0"/>
          <w:caps/>
          <w:kern w:val="2"/>
          <w:sz w:val="28"/>
          <w:szCs w:val="28"/>
        </w:rPr>
        <w:instrText xml:space="preserve"> HYPERLINK \l _Toc6509 </w:instrText>
      </w:r>
      <w:r>
        <w:rPr>
          <w:rFonts w:cs="Calibri" w:asciiTheme="minorHAnsi" w:hAnsiTheme="minorHAnsi"/>
          <w:b w:val="0"/>
          <w:bCs w:val="0"/>
          <w:caps/>
          <w:kern w:val="2"/>
          <w:sz w:val="28"/>
          <w:szCs w:val="28"/>
        </w:rPr>
        <w:fldChar w:fldCharType="separate"/>
      </w:r>
      <w:r>
        <w:rPr>
          <w:rFonts w:hint="eastAsia" w:ascii="宋体" w:hAnsi="宋体" w:cs="宋体"/>
          <w:b w:val="0"/>
          <w:bCs w:val="0"/>
          <w:sz w:val="28"/>
          <w:szCs w:val="28"/>
        </w:rPr>
        <w:t>第六部分</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商务及合同主要条款</w:t>
      </w:r>
      <w:r>
        <w:rPr>
          <w:b w:val="0"/>
          <w:bCs w:val="0"/>
          <w:sz w:val="28"/>
          <w:szCs w:val="28"/>
        </w:rPr>
        <w:tab/>
      </w:r>
      <w:r>
        <w:rPr>
          <w:b w:val="0"/>
          <w:bCs w:val="0"/>
          <w:sz w:val="28"/>
          <w:szCs w:val="28"/>
        </w:rPr>
        <w:fldChar w:fldCharType="begin"/>
      </w:r>
      <w:r>
        <w:rPr>
          <w:b w:val="0"/>
          <w:bCs w:val="0"/>
          <w:sz w:val="28"/>
          <w:szCs w:val="28"/>
        </w:rPr>
        <w:instrText xml:space="preserve"> PAGEREF _Toc6509 \h </w:instrText>
      </w:r>
      <w:r>
        <w:rPr>
          <w:b w:val="0"/>
          <w:bCs w:val="0"/>
          <w:sz w:val="28"/>
          <w:szCs w:val="28"/>
        </w:rPr>
        <w:fldChar w:fldCharType="separate"/>
      </w:r>
      <w:r>
        <w:rPr>
          <w:b w:val="0"/>
          <w:bCs w:val="0"/>
          <w:sz w:val="28"/>
          <w:szCs w:val="28"/>
        </w:rPr>
        <w:t>35</w:t>
      </w:r>
      <w:r>
        <w:rPr>
          <w:b w:val="0"/>
          <w:bCs w:val="0"/>
          <w:sz w:val="28"/>
          <w:szCs w:val="28"/>
        </w:rPr>
        <w:fldChar w:fldCharType="end"/>
      </w:r>
      <w:r>
        <w:rPr>
          <w:rFonts w:cs="Calibri" w:asciiTheme="minorHAnsi" w:hAnsiTheme="minorHAnsi"/>
          <w:b w:val="0"/>
          <w:bCs w:val="0"/>
          <w:caps/>
          <w:kern w:val="2"/>
          <w:sz w:val="28"/>
          <w:szCs w:val="28"/>
        </w:rPr>
        <w:fldChar w:fldCharType="end"/>
      </w:r>
    </w:p>
    <w:p w14:paraId="28EC69D5">
      <w:pPr>
        <w:pStyle w:val="25"/>
        <w:tabs>
          <w:tab w:val="right" w:leader="dot" w:pos="9072"/>
        </w:tabs>
        <w:rPr>
          <w:b w:val="0"/>
          <w:bCs w:val="0"/>
          <w:sz w:val="32"/>
          <w:szCs w:val="32"/>
        </w:rPr>
      </w:pPr>
      <w:r>
        <w:rPr>
          <w:rFonts w:cs="Calibri" w:asciiTheme="minorHAnsi" w:hAnsiTheme="minorHAnsi"/>
          <w:b w:val="0"/>
          <w:bCs w:val="0"/>
          <w:caps/>
          <w:kern w:val="2"/>
          <w:sz w:val="28"/>
          <w:szCs w:val="28"/>
        </w:rPr>
        <w:fldChar w:fldCharType="begin"/>
      </w:r>
      <w:r>
        <w:rPr>
          <w:rFonts w:cs="Calibri" w:asciiTheme="minorHAnsi" w:hAnsiTheme="minorHAnsi"/>
          <w:b w:val="0"/>
          <w:bCs w:val="0"/>
          <w:caps/>
          <w:kern w:val="2"/>
          <w:sz w:val="28"/>
          <w:szCs w:val="28"/>
        </w:rPr>
        <w:instrText xml:space="preserve"> HYPERLINK \l _Toc1004 </w:instrText>
      </w:r>
      <w:r>
        <w:rPr>
          <w:rFonts w:cs="Calibri" w:asciiTheme="minorHAnsi" w:hAnsiTheme="minorHAnsi"/>
          <w:b w:val="0"/>
          <w:bCs w:val="0"/>
          <w:caps/>
          <w:kern w:val="2"/>
          <w:sz w:val="28"/>
          <w:szCs w:val="28"/>
        </w:rPr>
        <w:fldChar w:fldCharType="separate"/>
      </w:r>
      <w:r>
        <w:rPr>
          <w:rFonts w:hint="eastAsia" w:ascii="宋体" w:hAnsi="宋体" w:cs="宋体"/>
          <w:b w:val="0"/>
          <w:bCs w:val="0"/>
          <w:sz w:val="28"/>
          <w:szCs w:val="28"/>
        </w:rPr>
        <w:t>第七部分</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响应文件格式</w:t>
      </w:r>
      <w:r>
        <w:rPr>
          <w:b w:val="0"/>
          <w:bCs w:val="0"/>
          <w:sz w:val="28"/>
          <w:szCs w:val="28"/>
        </w:rPr>
        <w:tab/>
      </w:r>
      <w:r>
        <w:rPr>
          <w:b w:val="0"/>
          <w:bCs w:val="0"/>
          <w:sz w:val="28"/>
          <w:szCs w:val="28"/>
        </w:rPr>
        <w:fldChar w:fldCharType="begin"/>
      </w:r>
      <w:r>
        <w:rPr>
          <w:b w:val="0"/>
          <w:bCs w:val="0"/>
          <w:sz w:val="28"/>
          <w:szCs w:val="28"/>
        </w:rPr>
        <w:instrText xml:space="preserve"> PAGEREF _Toc1004 \h </w:instrText>
      </w:r>
      <w:r>
        <w:rPr>
          <w:b w:val="0"/>
          <w:bCs w:val="0"/>
          <w:sz w:val="28"/>
          <w:szCs w:val="28"/>
        </w:rPr>
        <w:fldChar w:fldCharType="separate"/>
      </w:r>
      <w:r>
        <w:rPr>
          <w:b w:val="0"/>
          <w:bCs w:val="0"/>
          <w:sz w:val="28"/>
          <w:szCs w:val="28"/>
        </w:rPr>
        <w:t>39</w:t>
      </w:r>
      <w:r>
        <w:rPr>
          <w:b w:val="0"/>
          <w:bCs w:val="0"/>
          <w:sz w:val="28"/>
          <w:szCs w:val="28"/>
        </w:rPr>
        <w:fldChar w:fldCharType="end"/>
      </w:r>
      <w:r>
        <w:rPr>
          <w:rFonts w:cs="Calibri" w:asciiTheme="minorHAnsi" w:hAnsiTheme="minorHAnsi"/>
          <w:b w:val="0"/>
          <w:bCs w:val="0"/>
          <w:caps/>
          <w:kern w:val="2"/>
          <w:sz w:val="28"/>
          <w:szCs w:val="28"/>
        </w:rPr>
        <w:fldChar w:fldCharType="end"/>
      </w:r>
    </w:p>
    <w:p w14:paraId="3327E099">
      <w:pPr>
        <w:pStyle w:val="2"/>
        <w:tabs>
          <w:tab w:val="left" w:pos="206"/>
        </w:tabs>
        <w:spacing w:line="480" w:lineRule="auto"/>
        <w:jc w:val="left"/>
        <w:sectPr>
          <w:headerReference r:id="rId7" w:type="first"/>
          <w:footerReference r:id="rId9" w:type="first"/>
          <w:headerReference r:id="rId6" w:type="default"/>
          <w:footerReference r:id="rId8" w:type="default"/>
          <w:pgSz w:w="11906" w:h="16838"/>
          <w:pgMar w:top="1417" w:right="1417" w:bottom="1417" w:left="1417" w:header="1191" w:footer="720" w:gutter="0"/>
          <w:pgNumType w:fmt="decimal" w:start="1"/>
          <w:cols w:space="0" w:num="1"/>
          <w:rtlGutter w:val="0"/>
          <w:docGrid w:linePitch="326" w:charSpace="0"/>
        </w:sectPr>
      </w:pPr>
      <w:r>
        <w:rPr>
          <w:rFonts w:cs="Calibri" w:asciiTheme="minorHAnsi" w:hAnsiTheme="minorHAnsi"/>
          <w:b w:val="0"/>
          <w:bCs w:val="0"/>
          <w:caps/>
          <w:kern w:val="2"/>
          <w:szCs w:val="32"/>
        </w:rPr>
        <w:fldChar w:fldCharType="end"/>
      </w:r>
    </w:p>
    <w:p w14:paraId="26148F83">
      <w:pPr>
        <w:pStyle w:val="2"/>
        <w:tabs>
          <w:tab w:val="left" w:pos="206"/>
        </w:tabs>
        <w:spacing w:line="360" w:lineRule="auto"/>
        <w:jc w:val="center"/>
        <w:rPr>
          <w:color w:val="auto"/>
        </w:rPr>
      </w:pPr>
      <w:bookmarkStart w:id="8" w:name="_Toc20590"/>
      <w:r>
        <w:rPr>
          <w:rFonts w:hint="eastAsia"/>
          <w:color w:val="auto"/>
        </w:rPr>
        <w:t xml:space="preserve">第一部分  </w:t>
      </w:r>
      <w:bookmarkStart w:id="9" w:name="OLE_LINK4"/>
      <w:bookmarkStart w:id="10" w:name="OLE_LINK1"/>
      <w:r>
        <w:rPr>
          <w:rFonts w:hint="eastAsia"/>
          <w:color w:val="auto"/>
        </w:rPr>
        <w:t>竞争性</w:t>
      </w:r>
      <w:r>
        <w:rPr>
          <w:color w:val="auto"/>
        </w:rPr>
        <w:t>磋商公告</w:t>
      </w:r>
      <w:bookmarkEnd w:id="1"/>
      <w:bookmarkEnd w:id="2"/>
      <w:bookmarkEnd w:id="3"/>
      <w:bookmarkEnd w:id="4"/>
      <w:bookmarkEnd w:id="8"/>
    </w:p>
    <w:bookmarkEnd w:id="5"/>
    <w:bookmarkEnd w:id="9"/>
    <w:bookmarkEnd w:id="10"/>
    <w:p w14:paraId="3947D48B">
      <w:pPr>
        <w:keepNext w:val="0"/>
        <w:keepLines w:val="0"/>
        <w:pageBreakBefore w:val="0"/>
        <w:widowControl/>
        <w:kinsoku/>
        <w:wordWrap/>
        <w:overflowPunct/>
        <w:topLinePunct w:val="0"/>
        <w:autoSpaceDE/>
        <w:autoSpaceDN/>
        <w:bidi w:val="0"/>
        <w:adjustRightInd/>
        <w:snapToGrid w:val="0"/>
        <w:spacing w:line="500" w:lineRule="exact"/>
        <w:ind w:left="0" w:leftChars="0" w:right="0" w:rightChars="0" w:firstLine="480" w:firstLineChars="20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汉滨区农产品质量安全检验监测和能力提升项目</w:t>
      </w:r>
      <w:r>
        <w:rPr>
          <w:rFonts w:hint="eastAsia" w:ascii="宋体" w:hAnsi="宋体" w:eastAsia="宋体" w:cs="宋体"/>
          <w:color w:val="auto"/>
          <w:kern w:val="0"/>
          <w:sz w:val="24"/>
          <w:szCs w:val="24"/>
        </w:rPr>
        <w:t>的潜在供应商应在</w:t>
      </w:r>
      <w:r>
        <w:rPr>
          <w:rFonts w:hint="eastAsia" w:ascii="宋体" w:hAnsi="宋体" w:cs="宋体"/>
          <w:color w:val="auto"/>
          <w:kern w:val="0"/>
          <w:sz w:val="24"/>
          <w:szCs w:val="24"/>
          <w:lang w:eastAsia="zh-CN"/>
        </w:rPr>
        <w:t>安康市高新区高新观澜8幢</w:t>
      </w:r>
      <w:r>
        <w:rPr>
          <w:rFonts w:hint="eastAsia" w:ascii="宋体" w:hAnsi="宋体" w:cs="宋体"/>
          <w:color w:val="auto"/>
          <w:kern w:val="0"/>
          <w:sz w:val="24"/>
          <w:szCs w:val="24"/>
          <w:lang w:val="en-US" w:eastAsia="zh-CN"/>
        </w:rPr>
        <w:t>二</w:t>
      </w:r>
      <w:r>
        <w:rPr>
          <w:rFonts w:hint="eastAsia" w:ascii="宋体" w:hAnsi="宋体" w:cs="宋体"/>
          <w:color w:val="auto"/>
          <w:kern w:val="0"/>
          <w:sz w:val="24"/>
          <w:szCs w:val="24"/>
          <w:lang w:eastAsia="zh-CN"/>
        </w:rPr>
        <w:t>单元801室</w:t>
      </w:r>
      <w:r>
        <w:rPr>
          <w:rFonts w:hint="eastAsia" w:ascii="宋体" w:hAnsi="宋体" w:eastAsia="宋体" w:cs="宋体"/>
          <w:color w:val="auto"/>
          <w:kern w:val="0"/>
          <w:sz w:val="24"/>
          <w:szCs w:val="24"/>
        </w:rPr>
        <w:t>获取采购文件。并于</w:t>
      </w:r>
      <w:r>
        <w:rPr>
          <w:rFonts w:hint="eastAsia" w:ascii="宋体" w:hAnsi="宋体" w:cs="宋体"/>
          <w:color w:val="auto"/>
          <w:kern w:val="0"/>
          <w:sz w:val="24"/>
          <w:szCs w:val="24"/>
          <w:lang w:val="en-US" w:eastAsia="zh-CN"/>
        </w:rPr>
        <w:t>2025年11月18日09：00时</w:t>
      </w:r>
      <w:r>
        <w:rPr>
          <w:rFonts w:hint="eastAsia" w:ascii="宋体" w:hAnsi="宋体" w:eastAsia="宋体" w:cs="宋体"/>
          <w:color w:val="auto"/>
          <w:kern w:val="0"/>
          <w:sz w:val="24"/>
          <w:szCs w:val="24"/>
        </w:rPr>
        <w:t>（北京时间）前提交响应文件。</w:t>
      </w:r>
      <w:bookmarkStart w:id="212" w:name="_GoBack"/>
      <w:bookmarkEnd w:id="212"/>
    </w:p>
    <w:p w14:paraId="41796E21">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right="0" w:rightChars="0" w:firstLine="482" w:firstLineChars="200"/>
        <w:jc w:val="left"/>
        <w:textAlignment w:val="auto"/>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val="en-US" w:eastAsia="zh-CN"/>
        </w:rPr>
        <w:t>一、</w:t>
      </w:r>
      <w:r>
        <w:rPr>
          <w:rFonts w:hint="eastAsia" w:ascii="宋体" w:hAnsi="宋体" w:eastAsia="宋体" w:cs="宋体"/>
          <w:b/>
          <w:bCs/>
          <w:color w:val="auto"/>
          <w:kern w:val="0"/>
          <w:sz w:val="24"/>
          <w:szCs w:val="24"/>
        </w:rPr>
        <w:t>项目基本情况</w:t>
      </w:r>
    </w:p>
    <w:p w14:paraId="7D5C3080">
      <w:pPr>
        <w:keepNext w:val="0"/>
        <w:keepLines w:val="0"/>
        <w:pageBreakBefore w:val="0"/>
        <w:widowControl/>
        <w:kinsoku/>
        <w:wordWrap/>
        <w:overflowPunct/>
        <w:topLinePunct w:val="0"/>
        <w:autoSpaceDE/>
        <w:autoSpaceDN/>
        <w:bidi w:val="0"/>
        <w:adjustRightInd/>
        <w:snapToGrid w:val="0"/>
        <w:spacing w:line="500" w:lineRule="exact"/>
        <w:ind w:right="0" w:rightChars="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项目编号：</w:t>
      </w:r>
      <w:r>
        <w:rPr>
          <w:rFonts w:hint="eastAsia" w:ascii="宋体" w:hAnsi="宋体" w:cs="宋体"/>
          <w:color w:val="auto"/>
          <w:kern w:val="0"/>
          <w:sz w:val="24"/>
          <w:szCs w:val="24"/>
          <w:lang w:eastAsia="zh-CN"/>
        </w:rPr>
        <w:t>AKSH2025-ZCS-138</w:t>
      </w:r>
    </w:p>
    <w:p w14:paraId="71D23872">
      <w:pPr>
        <w:pStyle w:val="47"/>
        <w:keepNext w:val="0"/>
        <w:keepLines w:val="0"/>
        <w:pageBreakBefore w:val="0"/>
        <w:kinsoku/>
        <w:wordWrap/>
        <w:overflowPunct/>
        <w:topLinePunct w:val="0"/>
        <w:autoSpaceDE/>
        <w:autoSpaceDN/>
        <w:bidi w:val="0"/>
        <w:adjustRightInd/>
        <w:spacing w:line="500" w:lineRule="exact"/>
        <w:ind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项目名称：</w:t>
      </w:r>
      <w:r>
        <w:rPr>
          <w:rFonts w:hint="eastAsia" w:ascii="宋体" w:hAnsi="宋体" w:cs="宋体"/>
          <w:color w:val="auto"/>
          <w:kern w:val="0"/>
          <w:sz w:val="24"/>
          <w:szCs w:val="24"/>
          <w:lang w:eastAsia="zh-CN"/>
        </w:rPr>
        <w:t>汉滨区农产品质量安全检验监测和能力提升项目</w:t>
      </w:r>
    </w:p>
    <w:p w14:paraId="596F2285">
      <w:pPr>
        <w:pStyle w:val="47"/>
        <w:keepNext w:val="0"/>
        <w:keepLines w:val="0"/>
        <w:pageBreakBefore w:val="0"/>
        <w:kinsoku/>
        <w:wordWrap/>
        <w:overflowPunct/>
        <w:topLinePunct w:val="0"/>
        <w:autoSpaceDE/>
        <w:autoSpaceDN/>
        <w:bidi w:val="0"/>
        <w:adjustRightInd/>
        <w:spacing w:line="50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采购方式：竞争性磋商</w:t>
      </w:r>
    </w:p>
    <w:p w14:paraId="05E31F9D">
      <w:pPr>
        <w:pStyle w:val="47"/>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4</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预算金额</w:t>
      </w: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295400.00元</w:t>
      </w:r>
    </w:p>
    <w:p w14:paraId="1EC630FB">
      <w:pPr>
        <w:keepNext w:val="0"/>
        <w:keepLines w:val="0"/>
        <w:pageBreakBefore w:val="0"/>
        <w:widowControl/>
        <w:kinsoku/>
        <w:wordWrap/>
        <w:overflowPunct/>
        <w:topLinePunct w:val="0"/>
        <w:autoSpaceDE/>
        <w:autoSpaceDN/>
        <w:bidi w:val="0"/>
        <w:adjustRightInd/>
        <w:snapToGrid w:val="0"/>
        <w:spacing w:line="500" w:lineRule="exact"/>
        <w:ind w:left="0" w:leftChars="0" w:right="0" w:rightChars="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5</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采购需求：</w:t>
      </w:r>
      <w:r>
        <w:rPr>
          <w:rFonts w:hint="eastAsia" w:ascii="宋体" w:hAnsi="宋体" w:cs="宋体"/>
          <w:color w:val="auto"/>
          <w:kern w:val="0"/>
          <w:sz w:val="24"/>
          <w:szCs w:val="24"/>
          <w:lang w:eastAsia="zh-CN"/>
        </w:rPr>
        <w:t>汉滨区农产品质量安全检验监测和能力提升项目</w:t>
      </w:r>
      <w:r>
        <w:rPr>
          <w:rFonts w:hint="eastAsia" w:ascii="宋体" w:hAnsi="宋体" w:eastAsia="宋体" w:cs="宋体"/>
          <w:color w:val="auto"/>
          <w:kern w:val="0"/>
          <w:sz w:val="24"/>
          <w:szCs w:val="24"/>
          <w:lang w:val="en-US" w:eastAsia="zh-CN"/>
        </w:rPr>
        <w:t>，1项；预算金额</w:t>
      </w:r>
      <w:r>
        <w:rPr>
          <w:rFonts w:hint="eastAsia" w:ascii="宋体" w:hAnsi="宋体" w:cs="宋体"/>
          <w:color w:val="auto"/>
          <w:kern w:val="0"/>
          <w:sz w:val="24"/>
          <w:szCs w:val="24"/>
          <w:lang w:val="en-US" w:eastAsia="zh-CN"/>
        </w:rPr>
        <w:t>295400.00元</w:t>
      </w:r>
      <w:r>
        <w:rPr>
          <w:rFonts w:hint="eastAsia" w:ascii="宋体" w:hAnsi="宋体" w:eastAsia="宋体" w:cs="宋体"/>
          <w:color w:val="auto"/>
          <w:kern w:val="0"/>
          <w:sz w:val="24"/>
          <w:szCs w:val="24"/>
          <w:lang w:val="en-US" w:eastAsia="zh-CN"/>
        </w:rPr>
        <w:t>，主要内容为</w:t>
      </w:r>
      <w:r>
        <w:rPr>
          <w:rFonts w:hint="eastAsia" w:ascii="宋体" w:hAnsi="宋体" w:cs="宋体"/>
          <w:color w:val="auto"/>
          <w:kern w:val="0"/>
          <w:sz w:val="24"/>
          <w:szCs w:val="24"/>
          <w:lang w:eastAsia="zh-CN"/>
        </w:rPr>
        <w:t>汉滨区农产品质量安全检验监测和能力提升项目</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技术要求详见磋商文件第五部分“采购内容及要求”。</w:t>
      </w:r>
    </w:p>
    <w:p w14:paraId="1C571C18">
      <w:pPr>
        <w:keepNext w:val="0"/>
        <w:keepLines w:val="0"/>
        <w:pageBreakBefore w:val="0"/>
        <w:widowControl/>
        <w:kinsoku/>
        <w:wordWrap/>
        <w:overflowPunct/>
        <w:topLinePunct w:val="0"/>
        <w:autoSpaceDE/>
        <w:autoSpaceDN/>
        <w:bidi w:val="0"/>
        <w:adjustRightInd/>
        <w:snapToGrid w:val="0"/>
        <w:spacing w:line="500" w:lineRule="exact"/>
        <w:ind w:left="0" w:leftChars="0" w:right="0" w:rightChars="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6.合同履行期限：</w:t>
      </w:r>
      <w:r>
        <w:rPr>
          <w:rFonts w:hint="eastAsia" w:ascii="宋体" w:hAnsi="宋体" w:cs="宋体"/>
          <w:color w:val="auto"/>
          <w:kern w:val="0"/>
          <w:sz w:val="24"/>
          <w:szCs w:val="24"/>
          <w:lang w:val="en-US" w:eastAsia="zh-CN"/>
        </w:rPr>
        <w:t>本次农产品质量安全风险监测样品检测工作自合同签订之日起至2026年3月31日，乙方签收样品当日起20个工作日内，须向甲方提交该批次样品电子版及纸质版检测报告（一式三份）、检测汇总表（三份）、检测情况分析报告（三份），在后期甲方需要本次检测的相关资料时，乙方也需要及时给予提供。如遇不可抗拒的自然因素，须及时告知甲方，并协商顺延工期事宜。</w:t>
      </w:r>
    </w:p>
    <w:p w14:paraId="3EB145C0">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right="0" w:rightChars="0" w:firstLine="482" w:firstLineChars="200"/>
        <w:jc w:val="left"/>
        <w:textAlignment w:val="auto"/>
        <w:rPr>
          <w:rFonts w:hint="eastAsia" w:ascii="宋体" w:hAnsi="宋体" w:eastAsia="宋体" w:cs="宋体"/>
          <w:kern w:val="0"/>
          <w:sz w:val="24"/>
          <w:szCs w:val="24"/>
        </w:rPr>
      </w:pPr>
      <w:r>
        <w:rPr>
          <w:rFonts w:hint="eastAsia" w:ascii="宋体" w:hAnsi="宋体" w:cs="宋体"/>
          <w:b/>
          <w:bCs/>
          <w:kern w:val="0"/>
          <w:sz w:val="24"/>
          <w:szCs w:val="24"/>
          <w:lang w:val="en-US" w:eastAsia="zh-CN"/>
        </w:rPr>
        <w:t>二、</w:t>
      </w:r>
      <w:r>
        <w:rPr>
          <w:rFonts w:hint="eastAsia" w:ascii="宋体" w:hAnsi="宋体" w:eastAsia="宋体" w:cs="宋体"/>
          <w:b/>
          <w:bCs/>
          <w:kern w:val="0"/>
          <w:sz w:val="24"/>
          <w:szCs w:val="24"/>
        </w:rPr>
        <w:t>投标人的资格要求</w:t>
      </w:r>
    </w:p>
    <w:p w14:paraId="2386851A">
      <w:pPr>
        <w:keepNext w:val="0"/>
        <w:keepLines w:val="0"/>
        <w:pageBreakBefore w:val="0"/>
        <w:widowControl w:val="0"/>
        <w:kinsoku/>
        <w:wordWrap/>
        <w:overflowPunct/>
        <w:topLinePunct w:val="0"/>
        <w:autoSpaceDE/>
        <w:autoSpaceDN/>
        <w:bidi w:val="0"/>
        <w:adjustRightIn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（一）</w:t>
      </w:r>
      <w:r>
        <w:rPr>
          <w:rFonts w:hint="eastAsia" w:ascii="宋体" w:hAnsi="宋体" w:eastAsia="宋体" w:cs="宋体"/>
          <w:sz w:val="24"/>
          <w:szCs w:val="24"/>
        </w:rPr>
        <w:t>满足《中华人民共和国政府采购法》第二十二条的规定；</w:t>
      </w:r>
    </w:p>
    <w:p w14:paraId="66AFEFBC">
      <w:pPr>
        <w:keepNext w:val="0"/>
        <w:keepLines w:val="0"/>
        <w:pageBreakBefore w:val="0"/>
        <w:widowControl w:val="0"/>
        <w:kinsoku/>
        <w:wordWrap/>
        <w:overflowPunct/>
        <w:topLinePunct w:val="0"/>
        <w:autoSpaceDE/>
        <w:autoSpaceDN/>
        <w:bidi w:val="0"/>
        <w:adjustRightIn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（二）</w:t>
      </w:r>
      <w:r>
        <w:rPr>
          <w:rFonts w:hint="eastAsia" w:ascii="宋体" w:hAnsi="宋体" w:eastAsia="宋体" w:cs="宋体"/>
          <w:sz w:val="24"/>
          <w:szCs w:val="24"/>
        </w:rPr>
        <w:t xml:space="preserve">特定资格条件： </w:t>
      </w:r>
    </w:p>
    <w:p w14:paraId="16281786">
      <w:pPr>
        <w:keepNext w:val="0"/>
        <w:keepLines w:val="0"/>
        <w:pageBreakBefore w:val="0"/>
        <w:widowControl w:val="0"/>
        <w:tabs>
          <w:tab w:val="left" w:pos="567"/>
        </w:tabs>
        <w:kinsoku/>
        <w:wordWrap/>
        <w:overflowPunct/>
        <w:topLinePunct w:val="0"/>
        <w:autoSpaceDE/>
        <w:autoSpaceDN/>
        <w:bidi w:val="0"/>
        <w:adjustRightInd/>
        <w:snapToGrid/>
        <w:spacing w:line="500" w:lineRule="exact"/>
        <w:ind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60EBAC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lang w:eastAsia="zh-CN"/>
        </w:rPr>
        <w:t>2.</w:t>
      </w:r>
      <w:r>
        <w:rPr>
          <w:rFonts w:hint="eastAsia" w:ascii="宋体" w:hAnsi="宋体" w:cs="宋体"/>
          <w:color w:val="auto"/>
          <w:kern w:val="0"/>
          <w:sz w:val="24"/>
          <w:szCs w:val="24"/>
        </w:rPr>
        <w:t>法定代表人授权书及被授权人身份证（法定代表人直接投标</w:t>
      </w:r>
      <w:r>
        <w:rPr>
          <w:rFonts w:hint="eastAsia" w:ascii="宋体" w:hAnsi="宋体" w:cs="宋体"/>
          <w:color w:val="auto"/>
          <w:kern w:val="0"/>
          <w:sz w:val="24"/>
          <w:szCs w:val="24"/>
          <w:lang w:eastAsia="zh-CN"/>
        </w:rPr>
        <w:t>只需</w:t>
      </w:r>
      <w:r>
        <w:rPr>
          <w:rFonts w:hint="eastAsia" w:ascii="宋体" w:hAnsi="宋体" w:cs="宋体"/>
          <w:color w:val="auto"/>
          <w:kern w:val="0"/>
          <w:sz w:val="24"/>
          <w:szCs w:val="24"/>
        </w:rPr>
        <w:t>提交其身份证原件）</w:t>
      </w:r>
      <w:r>
        <w:rPr>
          <w:rFonts w:hint="eastAsia" w:ascii="宋体" w:hAnsi="宋体" w:cs="宋体"/>
          <w:color w:val="auto"/>
          <w:kern w:val="0"/>
          <w:sz w:val="24"/>
          <w:szCs w:val="24"/>
          <w:lang w:eastAsia="zh-CN"/>
        </w:rPr>
        <w:t>。</w:t>
      </w:r>
    </w:p>
    <w:p w14:paraId="3087BD99">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查询结果为准（查询日期为从招标文件获取之日起至投标截止日前，评标现场通过网站对信用记录进行核实）。</w:t>
      </w:r>
    </w:p>
    <w:p w14:paraId="2DAE6084">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3CDFB616">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5.</w:t>
      </w:r>
      <w:r>
        <w:rPr>
          <w:rFonts w:hint="eastAsia" w:ascii="宋体" w:hAnsi="宋体" w:cs="宋体"/>
          <w:color w:val="auto"/>
          <w:sz w:val="24"/>
          <w:szCs w:val="24"/>
          <w:lang w:val="en-US" w:eastAsia="zh-CN"/>
        </w:rPr>
        <w:t>财务状况报告：提供2024年度经审计的财务审计报告或投标截止时间前六个月内基本开户银行出具的资信证明（成立时间至提交响应文件截止时间不足一年的可提供成立后任意时段的资产负债表）。</w:t>
      </w:r>
    </w:p>
    <w:p w14:paraId="733E6C63">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10</w:t>
      </w:r>
      <w:r>
        <w:rPr>
          <w:rFonts w:hint="eastAsia" w:ascii="宋体" w:hAnsi="宋体" w:cs="宋体"/>
          <w:color w:val="auto"/>
          <w:sz w:val="24"/>
          <w:szCs w:val="24"/>
          <w:lang w:eastAsia="zh-CN"/>
        </w:rPr>
        <w:t>月至今任意</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64293DCE">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10</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（成立时间至提交响应文件截止时间不足三个月的可不提供）</w:t>
      </w:r>
      <w:r>
        <w:rPr>
          <w:rFonts w:hint="eastAsia" w:ascii="宋体" w:hAnsi="宋体" w:cs="宋体"/>
          <w:color w:val="auto"/>
          <w:sz w:val="24"/>
          <w:szCs w:val="24"/>
        </w:rPr>
        <w:t>。</w:t>
      </w:r>
    </w:p>
    <w:p w14:paraId="64782B67">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8.具备合法有效的CMA检验检测机构资质认定证书、CATL农产品质量安全检测机构考核合格证书。</w:t>
      </w:r>
    </w:p>
    <w:p w14:paraId="44C89E2E">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9.提供具有履行合同</w:t>
      </w:r>
      <w:r>
        <w:rPr>
          <w:rFonts w:hint="eastAsia" w:ascii="宋体" w:hAnsi="宋体" w:eastAsia="宋体" w:cs="宋体"/>
          <w:color w:val="auto"/>
          <w:kern w:val="2"/>
          <w:sz w:val="24"/>
          <w:szCs w:val="24"/>
          <w:lang w:val="en-US" w:eastAsia="zh-CN" w:bidi="ar-SA"/>
        </w:rPr>
        <w:t>所必需的设备和专业技术能力的承诺书</w:t>
      </w:r>
      <w:r>
        <w:rPr>
          <w:rFonts w:hint="eastAsia" w:ascii="宋体" w:hAnsi="宋体" w:cs="宋体"/>
          <w:color w:val="auto"/>
          <w:kern w:val="2"/>
          <w:sz w:val="24"/>
          <w:szCs w:val="24"/>
          <w:lang w:val="en-US" w:eastAsia="zh-CN" w:bidi="ar-SA"/>
        </w:rPr>
        <w:t>（格式自拟）。</w:t>
      </w:r>
    </w:p>
    <w:p w14:paraId="2AD2BFBE">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10.</w:t>
      </w:r>
      <w:r>
        <w:rPr>
          <w:rFonts w:hint="eastAsia" w:ascii="宋体" w:hAnsi="宋体" w:eastAsia="宋体" w:cs="宋体"/>
          <w:color w:val="auto"/>
          <w:kern w:val="0"/>
          <w:sz w:val="24"/>
          <w:szCs w:val="24"/>
          <w:lang w:val="en-US" w:eastAsia="zh-CN" w:bidi="ar-SA"/>
        </w:rPr>
        <w:t>本项目专门面向中小企业采购，投标人须提供《中小企业声明函》。</w:t>
      </w:r>
    </w:p>
    <w:p w14:paraId="4629F484">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70F2232C">
      <w:pPr>
        <w:keepNext w:val="0"/>
        <w:keepLines w:val="0"/>
        <w:pageBreakBefore w:val="0"/>
        <w:kinsoku/>
        <w:wordWrap/>
        <w:overflowPunct/>
        <w:topLinePunct w:val="0"/>
        <w:autoSpaceDE/>
        <w:autoSpaceDN/>
        <w:bidi w:val="0"/>
        <w:adjustRightInd/>
        <w:spacing w:line="500" w:lineRule="exact"/>
        <w:ind w:firstLine="481"/>
        <w:textAlignment w:val="auto"/>
        <w:rPr>
          <w:rFonts w:ascii="宋体" w:hAnsi="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采购项目需要落实的政府采购政策</w:t>
      </w:r>
    </w:p>
    <w:p w14:paraId="0FD410A4">
      <w:pPr>
        <w:pStyle w:val="31"/>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leftChars="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依据《中华人民共和国政府采购法》和《中华人民共和国政府采购法实施条例》的有关规定，落实政府采购“优先购买节能环保产品、扶持小微企业、监狱企业、福利企业”等相关政策：</w:t>
      </w:r>
    </w:p>
    <w:p w14:paraId="0C4C9080">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1.《政府采购促进中小企业发展管理办法》（财库〔2020〕46号）；</w:t>
      </w:r>
    </w:p>
    <w:p w14:paraId="208C27C0">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2.《财政部司法部关于政府采购支持监狱企业发展有关问题的通知》（财库〔2014〕68号）；</w:t>
      </w:r>
    </w:p>
    <w:p w14:paraId="6EB21647">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3.《财政部发展改革委生态环境部市场监管总局关于调整优化节能产品、环境标志产品政府采购执行机制的通知》（财库〔2019〕9号）；</w:t>
      </w:r>
    </w:p>
    <w:p w14:paraId="72F1C7A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4.《财政部民政部中国残疾人联合会关于促进残疾人就业政府采购政策的通知》（财库〔2017〕141号）；</w:t>
      </w:r>
    </w:p>
    <w:p w14:paraId="1B281DB3">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5.《财政部农业农村部国家乡村振兴局关于运用政府采购政策支持乡村产业振兴的通知》财库〔2021〕19号；</w:t>
      </w:r>
    </w:p>
    <w:p w14:paraId="5E0BBBB1">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6.《陕西省财政厅关于加快推进我省中小企业政府采购信用融资工作的通知》（陕 财办采〔2020〕15 号）、陕西省财政厅关于印发《陕西省中小企业政府采购信用融资办法》（陕财办采〔2018〕23 号）；</w:t>
      </w:r>
    </w:p>
    <w:p w14:paraId="58580B81">
      <w:pPr>
        <w:keepNext w:val="0"/>
        <w:keepLines w:val="0"/>
        <w:pageBreakBefore w:val="0"/>
        <w:kinsoku/>
        <w:wordWrap/>
        <w:overflowPunct/>
        <w:topLinePunct w:val="0"/>
        <w:autoSpaceDE/>
        <w:autoSpaceDN/>
        <w:bidi w:val="0"/>
        <w:adjustRightInd/>
        <w:spacing w:line="500" w:lineRule="exact"/>
        <w:ind w:firstLine="480" w:firstLineChars="200"/>
        <w:textAlignment w:val="auto"/>
        <w:rPr>
          <w:color w:val="auto"/>
          <w:szCs w:val="24"/>
        </w:rPr>
      </w:pPr>
      <w:r>
        <w:rPr>
          <w:rFonts w:hint="eastAsia" w:ascii="宋体" w:hAnsi="宋体" w:cs="宋体"/>
          <w:color w:val="auto"/>
          <w:sz w:val="24"/>
          <w:szCs w:val="24"/>
          <w:lang w:val="en-US" w:eastAsia="zh-CN"/>
        </w:rPr>
        <w:t>7.其他需要落实的政府采购政策。</w:t>
      </w:r>
    </w:p>
    <w:p w14:paraId="54AAD2BD">
      <w:pPr>
        <w:keepNext w:val="0"/>
        <w:keepLines w:val="0"/>
        <w:pageBreakBefore w:val="0"/>
        <w:kinsoku/>
        <w:wordWrap/>
        <w:overflowPunct/>
        <w:topLinePunct w:val="0"/>
        <w:autoSpaceDE/>
        <w:autoSpaceDN/>
        <w:bidi w:val="0"/>
        <w:adjustRightInd/>
        <w:snapToGrid w:val="0"/>
        <w:spacing w:line="500" w:lineRule="exact"/>
        <w:ind w:left="0" w:leftChars="0" w:right="0" w:righ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三、磋商文件获取 </w:t>
      </w:r>
    </w:p>
    <w:p w14:paraId="3327267F">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auto"/>
          <w:kern w:val="0"/>
          <w:sz w:val="24"/>
          <w:szCs w:val="24"/>
        </w:rPr>
      </w:pPr>
      <w:bookmarkStart w:id="11" w:name="_Toc35529352"/>
      <w:r>
        <w:rPr>
          <w:rFonts w:hint="eastAsia" w:ascii="宋体" w:hAnsi="宋体" w:cs="宋体"/>
          <w:color w:val="auto"/>
          <w:kern w:val="0"/>
          <w:sz w:val="24"/>
          <w:szCs w:val="24"/>
          <w:lang w:eastAsia="zh-CN"/>
        </w:rPr>
        <w:t>1.</w:t>
      </w:r>
      <w:r>
        <w:rPr>
          <w:rFonts w:hint="eastAsia" w:ascii="宋体" w:hAnsi="宋体" w:cs="宋体"/>
          <w:color w:val="auto"/>
          <w:kern w:val="0"/>
          <w:sz w:val="24"/>
          <w:szCs w:val="24"/>
        </w:rPr>
        <w:t>获取时间：202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04</w:t>
      </w:r>
      <w:r>
        <w:rPr>
          <w:rFonts w:hint="eastAsia" w:ascii="宋体" w:hAnsi="宋体" w:cs="宋体"/>
          <w:color w:val="auto"/>
          <w:kern w:val="0"/>
          <w:sz w:val="24"/>
          <w:szCs w:val="24"/>
        </w:rPr>
        <w:t>日至202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日上午9</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00，下午14</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00-17</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00（节假日除外）</w:t>
      </w:r>
      <w:bookmarkEnd w:id="11"/>
      <w:r>
        <w:rPr>
          <w:rFonts w:hint="eastAsia" w:ascii="宋体" w:hAnsi="宋体" w:cs="宋体"/>
          <w:color w:val="auto"/>
          <w:kern w:val="0"/>
          <w:sz w:val="24"/>
          <w:szCs w:val="24"/>
        </w:rPr>
        <w:t xml:space="preserve"> </w:t>
      </w:r>
    </w:p>
    <w:p w14:paraId="1C9E6CF5">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auto"/>
          <w:kern w:val="0"/>
          <w:sz w:val="24"/>
          <w:szCs w:val="24"/>
        </w:rPr>
      </w:pPr>
      <w:bookmarkStart w:id="12" w:name="_Toc35529353"/>
      <w:r>
        <w:rPr>
          <w:rFonts w:hint="eastAsia" w:ascii="宋体" w:hAnsi="宋体" w:cs="宋体"/>
          <w:color w:val="auto"/>
          <w:kern w:val="0"/>
          <w:sz w:val="24"/>
          <w:szCs w:val="24"/>
          <w:lang w:eastAsia="zh-CN"/>
        </w:rPr>
        <w:t>2.</w:t>
      </w:r>
      <w:r>
        <w:rPr>
          <w:rFonts w:hint="eastAsia" w:ascii="宋体" w:hAnsi="宋体" w:cs="宋体"/>
          <w:color w:val="auto"/>
          <w:kern w:val="0"/>
          <w:sz w:val="24"/>
          <w:szCs w:val="24"/>
        </w:rPr>
        <w:t>获取地点：</w:t>
      </w:r>
      <w:bookmarkEnd w:id="12"/>
      <w:r>
        <w:rPr>
          <w:rFonts w:hint="eastAsia" w:ascii="宋体" w:hAnsi="宋体" w:cs="宋体"/>
          <w:color w:val="auto"/>
          <w:kern w:val="0"/>
          <w:sz w:val="24"/>
          <w:szCs w:val="24"/>
        </w:rPr>
        <w:t xml:space="preserve">安康市高新区高新观澜8幢2单元801室 </w:t>
      </w:r>
    </w:p>
    <w:p w14:paraId="39F85EF2">
      <w:pPr>
        <w:pStyle w:val="47"/>
        <w:keepNext w:val="0"/>
        <w:keepLines w:val="0"/>
        <w:pageBreakBefore w:val="0"/>
        <w:kinsoku/>
        <w:wordWrap/>
        <w:overflowPunct/>
        <w:topLinePunct w:val="0"/>
        <w:autoSpaceDE/>
        <w:autoSpaceDN/>
        <w:bidi w:val="0"/>
        <w:adjustRightInd/>
        <w:spacing w:line="500" w:lineRule="exact"/>
        <w:ind w:firstLine="480"/>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 xml:space="preserve">获取方式：现场获取 </w:t>
      </w:r>
    </w:p>
    <w:p w14:paraId="661BE3B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auto"/>
          <w:kern w:val="0"/>
          <w:sz w:val="24"/>
          <w:szCs w:val="24"/>
        </w:rPr>
      </w:pPr>
      <w:bookmarkStart w:id="13" w:name="_Toc35529355"/>
      <w:bookmarkStart w:id="14" w:name="_Toc35529356"/>
      <w:r>
        <w:rPr>
          <w:rFonts w:hint="eastAsia" w:ascii="宋体" w:hAnsi="宋体" w:cs="宋体"/>
          <w:color w:val="auto"/>
          <w:kern w:val="0"/>
          <w:sz w:val="24"/>
          <w:szCs w:val="24"/>
          <w:lang w:eastAsia="zh-CN"/>
        </w:rPr>
        <w:t>4.</w:t>
      </w:r>
      <w:r>
        <w:rPr>
          <w:rFonts w:hint="eastAsia" w:ascii="宋体" w:hAnsi="宋体" w:cs="宋体"/>
          <w:color w:val="auto"/>
          <w:kern w:val="0"/>
          <w:sz w:val="24"/>
          <w:szCs w:val="24"/>
        </w:rPr>
        <w:t>磋商文件的获取期限：自本公告发布之日起不得少于5个工作日</w:t>
      </w:r>
      <w:bookmarkEnd w:id="13"/>
      <w:r>
        <w:rPr>
          <w:rFonts w:hint="eastAsia" w:ascii="宋体" w:hAnsi="宋体" w:cs="宋体"/>
          <w:color w:val="auto"/>
          <w:kern w:val="0"/>
          <w:sz w:val="24"/>
          <w:szCs w:val="24"/>
        </w:rPr>
        <w:t xml:space="preserve"> </w:t>
      </w:r>
    </w:p>
    <w:bookmarkEnd w:id="14"/>
    <w:p w14:paraId="7BC34068">
      <w:pPr>
        <w:keepNext w:val="0"/>
        <w:keepLines w:val="0"/>
        <w:pageBreakBefore w:val="0"/>
        <w:kinsoku/>
        <w:wordWrap/>
        <w:overflowPunct/>
        <w:topLinePunct w:val="0"/>
        <w:autoSpaceDE/>
        <w:autoSpaceDN/>
        <w:bidi w:val="0"/>
        <w:adjustRightInd/>
        <w:spacing w:line="500" w:lineRule="exact"/>
        <w:ind w:left="0" w:leftChars="0" w:right="0" w:rightChars="0" w:firstLine="482" w:firstLineChars="200"/>
        <w:textAlignment w:val="auto"/>
        <w:rPr>
          <w:rFonts w:hint="eastAsia" w:ascii="宋体" w:hAnsi="宋体" w:eastAsia="宋体" w:cs="宋体"/>
          <w:b/>
          <w:bCs/>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获取须知：</w:t>
      </w:r>
      <w:r>
        <w:rPr>
          <w:rFonts w:hint="eastAsia" w:ascii="宋体" w:hAnsi="宋体" w:eastAsia="宋体" w:cs="宋体"/>
          <w:b/>
          <w:bCs/>
          <w:color w:val="000000" w:themeColor="text1"/>
          <w:sz w:val="24"/>
          <w:szCs w:val="24"/>
          <w:lang w:val="en-US" w:eastAsia="zh-CN"/>
          <w14:textFill>
            <w14:solidFill>
              <w14:schemeClr w14:val="tx1"/>
            </w14:solidFill>
          </w14:textFill>
        </w:rPr>
        <w:t>投标供应商请在文件获取时间以内将单位介绍信(备注经办人联系电话及电子邮箱)及身份证复印件加盖公章递交至安康</w:t>
      </w:r>
      <w:r>
        <w:rPr>
          <w:rFonts w:hint="eastAsia" w:ascii="宋体" w:hAnsi="宋体" w:cs="宋体"/>
          <w:b/>
          <w:bCs/>
          <w:color w:val="000000" w:themeColor="text1"/>
          <w:sz w:val="24"/>
          <w:szCs w:val="24"/>
          <w:lang w:val="en-US" w:eastAsia="zh-CN"/>
          <w14:textFill>
            <w14:solidFill>
              <w14:schemeClr w14:val="tx1"/>
            </w14:solidFill>
          </w14:textFill>
        </w:rPr>
        <w:t>尚昊</w:t>
      </w:r>
      <w:r>
        <w:rPr>
          <w:rFonts w:hint="eastAsia" w:ascii="宋体" w:hAnsi="宋体" w:eastAsia="宋体" w:cs="宋体"/>
          <w:b/>
          <w:bCs/>
          <w:color w:val="000000" w:themeColor="text1"/>
          <w:sz w:val="24"/>
          <w:szCs w:val="24"/>
          <w:lang w:val="en-US" w:eastAsia="zh-CN"/>
          <w14:textFill>
            <w14:solidFill>
              <w14:schemeClr w14:val="tx1"/>
            </w14:solidFill>
          </w14:textFill>
        </w:rPr>
        <w:t>招标代理有限公司(安康市高新区高新观澜8栋二单元 801室，邮箱：</w:t>
      </w:r>
      <w:r>
        <w:rPr>
          <w:rFonts w:hint="eastAsia" w:ascii="宋体" w:hAnsi="宋体" w:cs="宋体"/>
          <w:b/>
          <w:bCs/>
          <w:color w:val="000000" w:themeColor="text1"/>
          <w:sz w:val="24"/>
          <w:szCs w:val="24"/>
          <w:lang w:val="en-US" w:eastAsia="zh-CN"/>
          <w14:textFill>
            <w14:solidFill>
              <w14:schemeClr w14:val="tx1"/>
            </w14:solidFill>
          </w14:textFill>
        </w:rPr>
        <w:t>365060958</w:t>
      </w:r>
      <w:r>
        <w:rPr>
          <w:rFonts w:hint="eastAsia" w:ascii="宋体" w:hAnsi="宋体" w:eastAsia="宋体" w:cs="宋体"/>
          <w:b/>
          <w:bCs/>
          <w:color w:val="000000" w:themeColor="text1"/>
          <w:sz w:val="24"/>
          <w:szCs w:val="24"/>
          <w:lang w:val="en-US" w:eastAsia="zh-CN"/>
          <w14:textFill>
            <w14:solidFill>
              <w14:schemeClr w14:val="tx1"/>
            </w14:solidFill>
          </w14:textFill>
        </w:rPr>
        <w:t>@qq.com)，确认完毕后采购代理机构将通过邮箱传送磋商文件，请注意查收。</w:t>
      </w:r>
    </w:p>
    <w:p w14:paraId="433C9ED6">
      <w:pPr>
        <w:keepNext w:val="0"/>
        <w:keepLines w:val="0"/>
        <w:pageBreakBefore w:val="0"/>
        <w:kinsoku/>
        <w:wordWrap/>
        <w:overflowPunct/>
        <w:topLinePunct w:val="0"/>
        <w:autoSpaceDE/>
        <w:autoSpaceDN/>
        <w:bidi w:val="0"/>
        <w:adjustRightInd/>
        <w:spacing w:line="500" w:lineRule="exact"/>
        <w:ind w:left="0" w:leftChars="0" w:right="0" w:rightChars="0"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bCs/>
          <w:color w:val="auto"/>
          <w:sz w:val="24"/>
          <w:szCs w:val="24"/>
        </w:rPr>
        <w:t>四、</w:t>
      </w:r>
      <w:r>
        <w:rPr>
          <w:rFonts w:hint="eastAsia" w:ascii="宋体" w:hAnsi="宋体" w:eastAsia="宋体" w:cs="宋体"/>
          <w:b/>
          <w:bCs/>
          <w:color w:val="auto"/>
          <w:kern w:val="0"/>
          <w:sz w:val="24"/>
          <w:szCs w:val="24"/>
        </w:rPr>
        <w:t>响应文件递交</w:t>
      </w:r>
    </w:p>
    <w:p w14:paraId="5829BC4F">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right="0" w:rightChars="0" w:firstLine="480" w:firstLineChars="20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1.</w:t>
      </w:r>
      <w:r>
        <w:rPr>
          <w:rFonts w:hint="eastAsia" w:ascii="宋体" w:hAnsi="宋体" w:eastAsia="宋体" w:cs="宋体"/>
          <w:b w:val="0"/>
          <w:bCs w:val="0"/>
          <w:color w:val="auto"/>
          <w:kern w:val="0"/>
          <w:sz w:val="24"/>
          <w:szCs w:val="24"/>
        </w:rPr>
        <w:t>响应文件递交截止时间：</w:t>
      </w:r>
      <w:r>
        <w:rPr>
          <w:rFonts w:hint="eastAsia" w:ascii="宋体" w:hAnsi="宋体" w:cs="宋体"/>
          <w:color w:val="auto"/>
          <w:kern w:val="0"/>
          <w:sz w:val="24"/>
          <w:szCs w:val="24"/>
          <w:lang w:val="en-US" w:eastAsia="zh-CN"/>
        </w:rPr>
        <w:t>2025年11月18日09：00时</w:t>
      </w:r>
      <w:r>
        <w:rPr>
          <w:rFonts w:hint="eastAsia" w:ascii="宋体" w:hAnsi="宋体" w:eastAsia="宋体" w:cs="宋体"/>
          <w:b w:val="0"/>
          <w:bCs w:val="0"/>
          <w:color w:val="auto"/>
          <w:kern w:val="0"/>
          <w:sz w:val="24"/>
          <w:szCs w:val="24"/>
        </w:rPr>
        <w:t xml:space="preserve"> </w:t>
      </w:r>
    </w:p>
    <w:p w14:paraId="479CBE3A">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right="0" w:rightChars="0" w:firstLine="480" w:firstLineChars="200"/>
        <w:jc w:val="left"/>
        <w:textAlignment w:val="auto"/>
        <w:rPr>
          <w:rFonts w:hint="eastAsia" w:ascii="宋体" w:hAnsi="宋体" w:eastAsia="宋体" w:cs="宋体"/>
          <w:b w:val="0"/>
          <w:bCs w:val="0"/>
          <w:color w:val="auto"/>
          <w:kern w:val="0"/>
          <w:sz w:val="24"/>
          <w:szCs w:val="24"/>
          <w:lang w:val="en-US"/>
        </w:rPr>
      </w:pPr>
      <w:r>
        <w:rPr>
          <w:rFonts w:hint="eastAsia" w:ascii="宋体" w:hAnsi="宋体" w:eastAsia="宋体" w:cs="宋体"/>
          <w:b w:val="0"/>
          <w:bCs w:val="0"/>
          <w:color w:val="auto"/>
          <w:kern w:val="0"/>
          <w:sz w:val="24"/>
          <w:szCs w:val="24"/>
          <w:lang w:eastAsia="zh-CN"/>
        </w:rPr>
        <w:t>2.</w:t>
      </w:r>
      <w:r>
        <w:rPr>
          <w:rFonts w:hint="eastAsia" w:ascii="宋体" w:hAnsi="宋体" w:eastAsia="宋体" w:cs="宋体"/>
          <w:b w:val="0"/>
          <w:bCs w:val="0"/>
          <w:color w:val="auto"/>
          <w:kern w:val="0"/>
          <w:sz w:val="24"/>
          <w:szCs w:val="24"/>
        </w:rPr>
        <w:t>响应文件递交地点：</w:t>
      </w:r>
      <w:r>
        <w:rPr>
          <w:rFonts w:hint="eastAsia" w:ascii="宋体" w:hAnsi="宋体" w:eastAsia="宋体" w:cs="宋体"/>
          <w:b w:val="0"/>
          <w:bCs w:val="0"/>
          <w:color w:val="auto"/>
          <w:kern w:val="0"/>
          <w:sz w:val="24"/>
          <w:szCs w:val="24"/>
          <w:lang w:eastAsia="zh-CN"/>
        </w:rPr>
        <w:t>安康市高新区高新观澜8栋二单元801室</w:t>
      </w:r>
    </w:p>
    <w:p w14:paraId="6E60084B">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right="0" w:rightChars="0" w:firstLine="482"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五、公告期限：</w:t>
      </w:r>
      <w:r>
        <w:rPr>
          <w:rFonts w:hint="eastAsia" w:ascii="宋体" w:hAnsi="宋体" w:eastAsia="宋体" w:cs="宋体"/>
          <w:color w:val="auto"/>
          <w:kern w:val="0"/>
          <w:sz w:val="24"/>
          <w:szCs w:val="24"/>
        </w:rPr>
        <w:t>自本公告发布之日起3个工作日。</w:t>
      </w:r>
    </w:p>
    <w:p w14:paraId="502C2246">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right="0" w:rightChars="0" w:firstLine="482" w:firstLineChars="20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六、其他补充事宜：</w:t>
      </w:r>
      <w:r>
        <w:rPr>
          <w:rFonts w:hint="eastAsia" w:ascii="宋体" w:hAnsi="宋体" w:cs="宋体"/>
          <w:b w:val="0"/>
          <w:bCs w:val="0"/>
          <w:color w:val="auto"/>
          <w:kern w:val="0"/>
          <w:sz w:val="24"/>
          <w:szCs w:val="24"/>
          <w:lang w:eastAsia="zh-CN"/>
        </w:rPr>
        <w:t>无</w:t>
      </w:r>
    </w:p>
    <w:p w14:paraId="5E60D538">
      <w:pPr>
        <w:pStyle w:val="47"/>
        <w:keepNext w:val="0"/>
        <w:keepLines w:val="0"/>
        <w:pageBreakBefore w:val="0"/>
        <w:kinsoku/>
        <w:wordWrap/>
        <w:overflowPunct/>
        <w:topLinePunct w:val="0"/>
        <w:autoSpaceDE/>
        <w:autoSpaceDN/>
        <w:bidi w:val="0"/>
        <w:adjustRightInd/>
        <w:spacing w:line="500" w:lineRule="exact"/>
        <w:ind w:left="0" w:leftChars="0" w:right="0" w:rightChars="0"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七、对本次采购提出询问，请按以下方式联系</w:t>
      </w:r>
    </w:p>
    <w:p w14:paraId="6A0CF8AB">
      <w:pPr>
        <w:pStyle w:val="47"/>
        <w:keepNext w:val="0"/>
        <w:keepLines w:val="0"/>
        <w:pageBreakBefore w:val="0"/>
        <w:numPr>
          <w:ilvl w:val="0"/>
          <w:numId w:val="0"/>
        </w:numPr>
        <w:kinsoku/>
        <w:wordWrap/>
        <w:overflowPunct/>
        <w:topLinePunct w:val="0"/>
        <w:autoSpaceDE/>
        <w:autoSpaceDN/>
        <w:bidi w:val="0"/>
        <w:adjustRightInd/>
        <w:spacing w:line="500" w:lineRule="exact"/>
        <w:ind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采购人信息</w:t>
      </w:r>
    </w:p>
    <w:p w14:paraId="7ABD763B">
      <w:pPr>
        <w:pStyle w:val="47"/>
        <w:keepNext w:val="0"/>
        <w:keepLines w:val="0"/>
        <w:pageBreakBefore w:val="0"/>
        <w:numPr>
          <w:ilvl w:val="0"/>
          <w:numId w:val="0"/>
        </w:numPr>
        <w:kinsoku/>
        <w:wordWrap/>
        <w:overflowPunct/>
        <w:topLinePunct w:val="0"/>
        <w:autoSpaceDE/>
        <w:autoSpaceDN/>
        <w:bidi w:val="0"/>
        <w:adjustRightInd/>
        <w:spacing w:line="500" w:lineRule="exact"/>
        <w:ind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w:t>
      </w:r>
      <w:r>
        <w:rPr>
          <w:rFonts w:hint="eastAsia" w:ascii="宋体" w:hAnsi="宋体" w:cs="宋体"/>
          <w:color w:val="auto"/>
          <w:kern w:val="0"/>
          <w:sz w:val="24"/>
          <w:szCs w:val="24"/>
          <w:lang w:val="en-US" w:eastAsia="zh-CN"/>
        </w:rPr>
        <w:t>汉滨区农业农村局（汉滨区农产品检验检测中心）</w:t>
      </w:r>
    </w:p>
    <w:p w14:paraId="4528B005">
      <w:pPr>
        <w:pStyle w:val="47"/>
        <w:keepNext w:val="0"/>
        <w:keepLines w:val="0"/>
        <w:pageBreakBefore w:val="0"/>
        <w:numPr>
          <w:ilvl w:val="0"/>
          <w:numId w:val="0"/>
        </w:numPr>
        <w:kinsoku/>
        <w:wordWrap/>
        <w:overflowPunct/>
        <w:topLinePunct w:val="0"/>
        <w:autoSpaceDE/>
        <w:autoSpaceDN/>
        <w:bidi w:val="0"/>
        <w:adjustRightInd/>
        <w:spacing w:line="500" w:lineRule="exact"/>
        <w:ind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    址：</w:t>
      </w:r>
      <w:r>
        <w:rPr>
          <w:rFonts w:hint="eastAsia" w:ascii="宋体" w:hAnsi="宋体" w:cs="宋体"/>
          <w:kern w:val="0"/>
          <w:sz w:val="24"/>
          <w:szCs w:val="24"/>
          <w:lang w:val="en-US" w:eastAsia="zh-CN"/>
        </w:rPr>
        <w:t>陕西省安康市汉滨区南环路63号</w:t>
      </w:r>
    </w:p>
    <w:p w14:paraId="57488436">
      <w:pPr>
        <w:pStyle w:val="47"/>
        <w:keepNext w:val="0"/>
        <w:keepLines w:val="0"/>
        <w:pageBreakBefore w:val="0"/>
        <w:numPr>
          <w:ilvl w:val="0"/>
          <w:numId w:val="0"/>
        </w:numPr>
        <w:kinsoku/>
        <w:wordWrap/>
        <w:overflowPunct/>
        <w:topLinePunct w:val="0"/>
        <w:autoSpaceDE/>
        <w:autoSpaceDN/>
        <w:bidi w:val="0"/>
        <w:adjustRightInd/>
        <w:spacing w:line="500" w:lineRule="exact"/>
        <w:ind w:right="0" w:rightChars="0"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w:t>
      </w:r>
      <w:r>
        <w:rPr>
          <w:rFonts w:hint="eastAsia" w:ascii="宋体" w:hAnsi="宋体" w:cs="宋体"/>
          <w:color w:val="auto"/>
          <w:kern w:val="0"/>
          <w:sz w:val="24"/>
          <w:szCs w:val="24"/>
          <w:lang w:val="en-US" w:eastAsia="zh-CN"/>
        </w:rPr>
        <w:t xml:space="preserve">18909151171   </w:t>
      </w:r>
    </w:p>
    <w:p w14:paraId="2042ECAD">
      <w:pPr>
        <w:pStyle w:val="47"/>
        <w:keepNext w:val="0"/>
        <w:keepLines w:val="0"/>
        <w:pageBreakBefore w:val="0"/>
        <w:numPr>
          <w:ilvl w:val="0"/>
          <w:numId w:val="0"/>
        </w:numPr>
        <w:kinsoku/>
        <w:wordWrap/>
        <w:overflowPunct/>
        <w:topLinePunct w:val="0"/>
        <w:autoSpaceDE/>
        <w:autoSpaceDN/>
        <w:bidi w:val="0"/>
        <w:adjustRightInd/>
        <w:spacing w:line="500" w:lineRule="exact"/>
        <w:ind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采购代理机构信息</w:t>
      </w:r>
    </w:p>
    <w:p w14:paraId="2766A9B2">
      <w:pPr>
        <w:pStyle w:val="47"/>
        <w:keepNext w:val="0"/>
        <w:keepLines w:val="0"/>
        <w:pageBreakBefore w:val="0"/>
        <w:kinsoku/>
        <w:wordWrap/>
        <w:overflowPunct/>
        <w:topLinePunct w:val="0"/>
        <w:autoSpaceDE/>
        <w:autoSpaceDN/>
        <w:bidi w:val="0"/>
        <w:adjustRightInd/>
        <w:spacing w:line="50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    称：安康尚昊招标代理有限公司</w:t>
      </w:r>
    </w:p>
    <w:p w14:paraId="3A029A6B">
      <w:pPr>
        <w:pStyle w:val="47"/>
        <w:keepNext w:val="0"/>
        <w:keepLines w:val="0"/>
        <w:pageBreakBefore w:val="0"/>
        <w:kinsoku/>
        <w:wordWrap/>
        <w:overflowPunct/>
        <w:topLinePunct w:val="0"/>
        <w:autoSpaceDE/>
        <w:autoSpaceDN/>
        <w:bidi w:val="0"/>
        <w:adjustRightInd/>
        <w:spacing w:line="500" w:lineRule="exact"/>
        <w:ind w:left="0" w:leftChars="0" w:right="0" w:rightChars="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    址：</w:t>
      </w:r>
      <w:r>
        <w:rPr>
          <w:rFonts w:hint="eastAsia" w:ascii="宋体" w:hAnsi="宋体" w:cs="宋体"/>
          <w:color w:val="auto"/>
          <w:kern w:val="0"/>
          <w:sz w:val="24"/>
          <w:szCs w:val="24"/>
          <w:lang w:eastAsia="zh-CN"/>
        </w:rPr>
        <w:t>安康市高新区高新观澜8栋二单元801室</w:t>
      </w:r>
    </w:p>
    <w:p w14:paraId="66349B1E">
      <w:pPr>
        <w:pStyle w:val="47"/>
        <w:keepNext w:val="0"/>
        <w:keepLines w:val="0"/>
        <w:pageBreakBefore w:val="0"/>
        <w:kinsoku/>
        <w:wordWrap/>
        <w:overflowPunct/>
        <w:topLinePunct w:val="0"/>
        <w:autoSpaceDE/>
        <w:autoSpaceDN/>
        <w:bidi w:val="0"/>
        <w:adjustRightInd/>
        <w:spacing w:line="500" w:lineRule="exact"/>
        <w:ind w:left="0" w:leftChars="0" w:right="0" w:rightChars="0"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联 系 人：郑工</w:t>
      </w:r>
    </w:p>
    <w:p w14:paraId="4886ECBB">
      <w:pPr>
        <w:pStyle w:val="47"/>
        <w:keepNext w:val="0"/>
        <w:keepLines w:val="0"/>
        <w:pageBreakBefore w:val="0"/>
        <w:kinsoku/>
        <w:wordWrap/>
        <w:overflowPunct/>
        <w:topLinePunct w:val="0"/>
        <w:autoSpaceDE/>
        <w:autoSpaceDN/>
        <w:bidi w:val="0"/>
        <w:adjustRightInd/>
        <w:spacing w:line="500" w:lineRule="exact"/>
        <w:ind w:left="0" w:leftChars="0" w:right="0" w:rightChars="0"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cs="宋体"/>
          <w:color w:val="auto"/>
          <w:kern w:val="0"/>
          <w:sz w:val="24"/>
          <w:szCs w:val="24"/>
          <w:lang w:val="en-US" w:eastAsia="zh-CN"/>
        </w:rPr>
        <w:t>13991519725</w:t>
      </w:r>
    </w:p>
    <w:p w14:paraId="49C8978A">
      <w:pPr>
        <w:pStyle w:val="47"/>
        <w:pageBreakBefore w:val="0"/>
        <w:kinsoku/>
        <w:wordWrap/>
        <w:overflowPunct/>
        <w:topLinePunct w:val="0"/>
        <w:autoSpaceDE/>
        <w:autoSpaceDN/>
        <w:bidi w:val="0"/>
        <w:adjustRightInd/>
        <w:spacing w:line="360" w:lineRule="auto"/>
        <w:ind w:right="0" w:rightChars="0"/>
        <w:textAlignment w:val="auto"/>
        <w:rPr>
          <w:rFonts w:hint="eastAsia" w:ascii="宋体" w:hAnsi="宋体" w:eastAsia="宋体" w:cs="宋体"/>
          <w:color w:val="auto"/>
          <w:kern w:val="0"/>
          <w:sz w:val="24"/>
          <w:szCs w:val="24"/>
        </w:rPr>
      </w:pPr>
    </w:p>
    <w:p w14:paraId="35DF79AD">
      <w:pPr>
        <w:pageBreakBefore w:val="0"/>
        <w:kinsoku/>
        <w:wordWrap/>
        <w:overflowPunct/>
        <w:topLinePunct w:val="0"/>
        <w:autoSpaceDE/>
        <w:autoSpaceDN/>
        <w:bidi w:val="0"/>
        <w:adjustRightInd/>
        <w:spacing w:line="360" w:lineRule="auto"/>
        <w:ind w:left="0" w:leftChars="0" w:right="0" w:rightChars="0" w:firstLine="480" w:firstLineChars="20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安康尚昊招标代理有限公司</w:t>
      </w:r>
    </w:p>
    <w:p w14:paraId="27BF95A0">
      <w:pPr>
        <w:pageBreakBefore w:val="0"/>
        <w:kinsoku/>
        <w:wordWrap/>
        <w:overflowPunct/>
        <w:topLinePunct w:val="0"/>
        <w:autoSpaceDE/>
        <w:autoSpaceDN/>
        <w:bidi w:val="0"/>
        <w:adjustRightInd/>
        <w:spacing w:line="360" w:lineRule="auto"/>
        <w:ind w:left="0" w:leftChars="0" w:right="0" w:rightChars="0" w:firstLine="480" w:firstLineChars="200"/>
        <w:jc w:val="center"/>
        <w:textAlignment w:val="auto"/>
        <w:rPr>
          <w:rFonts w:hint="eastAsia" w:ascii="宋体" w:hAnsi="宋体" w:eastAsia="宋体" w:cs="宋体"/>
          <w:color w:val="FF0000"/>
          <w:kern w:val="0"/>
          <w:sz w:val="24"/>
          <w:szCs w:val="24"/>
          <w:lang w:val="en-US" w:eastAsia="zh-CN" w:bidi="ar-SA"/>
        </w:rPr>
        <w:sectPr>
          <w:headerReference r:id="rId10" w:type="default"/>
          <w:footerReference r:id="rId11" w:type="default"/>
          <w:footerReference r:id="rId12" w:type="even"/>
          <w:pgSz w:w="11906" w:h="16838"/>
          <w:pgMar w:top="1417" w:right="1417" w:bottom="1417" w:left="1417" w:header="1134" w:footer="720" w:gutter="0"/>
          <w:pgNumType w:fmt="decimal" w:start="1"/>
          <w:cols w:space="0" w:num="1"/>
          <w:rtlGutter w:val="0"/>
          <w:docGrid w:linePitch="288" w:charSpace="0"/>
        </w:sectPr>
      </w:pP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lang w:val="en-US" w:eastAsia="zh-CN"/>
        </w:rPr>
        <w:t xml:space="preserve">   2025</w:t>
      </w:r>
      <w:r>
        <w:rPr>
          <w:rFonts w:hint="eastAsia" w:ascii="宋体" w:hAnsi="宋体" w:eastAsia="宋体" w:cs="宋体"/>
          <w:color w:val="auto"/>
          <w:kern w:val="0"/>
          <w:sz w:val="24"/>
          <w:szCs w:val="24"/>
          <w:lang w:val="en-US" w:eastAsia="zh-CN" w:bidi="ar-SA"/>
        </w:rPr>
        <w:t>年</w:t>
      </w:r>
      <w:r>
        <w:rPr>
          <w:rFonts w:hint="eastAsia" w:ascii="宋体" w:hAnsi="宋体" w:cs="宋体"/>
          <w:color w:val="auto"/>
          <w:kern w:val="0"/>
          <w:sz w:val="24"/>
          <w:szCs w:val="24"/>
          <w:lang w:val="en-US" w:eastAsia="zh-CN" w:bidi="ar-SA"/>
        </w:rPr>
        <w:t xml:space="preserve"> 11</w:t>
      </w:r>
      <w:r>
        <w:rPr>
          <w:rFonts w:hint="eastAsia" w:ascii="宋体" w:hAnsi="宋体" w:eastAsia="宋体" w:cs="宋体"/>
          <w:color w:val="auto"/>
          <w:kern w:val="0"/>
          <w:sz w:val="24"/>
          <w:szCs w:val="24"/>
          <w:lang w:val="en-US" w:eastAsia="zh-CN" w:bidi="ar-SA"/>
        </w:rPr>
        <w:t>月</w:t>
      </w:r>
      <w:r>
        <w:rPr>
          <w:rFonts w:hint="eastAsia" w:ascii="宋体" w:hAnsi="宋体" w:cs="宋体"/>
          <w:color w:val="auto"/>
          <w:kern w:val="0"/>
          <w:sz w:val="24"/>
          <w:szCs w:val="24"/>
          <w:lang w:val="en-US" w:eastAsia="zh-CN" w:bidi="ar-SA"/>
        </w:rPr>
        <w:t>03</w:t>
      </w:r>
      <w:r>
        <w:rPr>
          <w:rFonts w:hint="eastAsia" w:ascii="宋体" w:hAnsi="宋体" w:eastAsia="宋体" w:cs="宋体"/>
          <w:color w:val="auto"/>
          <w:kern w:val="0"/>
          <w:sz w:val="24"/>
          <w:szCs w:val="24"/>
          <w:lang w:val="en-US" w:eastAsia="zh-CN" w:bidi="ar-SA"/>
        </w:rPr>
        <w:t>日</w:t>
      </w:r>
      <w:bookmarkStart w:id="15" w:name="_Toc536202377"/>
      <w:bookmarkStart w:id="16" w:name="_Toc5018"/>
      <w:bookmarkStart w:id="17" w:name="_Toc536429317"/>
      <w:bookmarkStart w:id="18" w:name="_Toc536429370"/>
      <w:bookmarkStart w:id="19" w:name="_Toc536202283"/>
    </w:p>
    <w:p w14:paraId="7F0CC5B4">
      <w:pPr>
        <w:pStyle w:val="2"/>
        <w:keepNext/>
        <w:keepLines/>
        <w:pageBreakBefore w:val="0"/>
        <w:widowControl w:val="0"/>
        <w:kinsoku/>
        <w:wordWrap/>
        <w:overflowPunct/>
        <w:topLinePunct w:val="0"/>
        <w:autoSpaceDE/>
        <w:autoSpaceDN/>
        <w:bidi w:val="0"/>
        <w:adjustRightInd/>
        <w:snapToGrid/>
        <w:spacing w:line="360" w:lineRule="auto"/>
        <w:textAlignment w:val="auto"/>
        <w:rPr>
          <w:rFonts w:ascii="宋体" w:hAnsi="宋体" w:cs="宋体"/>
        </w:rPr>
      </w:pPr>
      <w:bookmarkStart w:id="20" w:name="_Toc25817"/>
      <w:r>
        <w:rPr>
          <w:rFonts w:hint="eastAsia"/>
        </w:rPr>
        <w:t>第二部分</w:t>
      </w:r>
      <w:r>
        <w:t xml:space="preserve">  </w:t>
      </w:r>
      <w:r>
        <w:rPr>
          <w:rFonts w:hint="eastAsia"/>
        </w:rPr>
        <w:t>供应商须知前附表</w:t>
      </w:r>
      <w:bookmarkEnd w:id="20"/>
    </w:p>
    <w:tbl>
      <w:tblPr>
        <w:tblStyle w:val="80"/>
        <w:tblW w:w="10165" w:type="dxa"/>
        <w:jc w:val="center"/>
        <w:tblLayout w:type="fixed"/>
        <w:tblCellMar>
          <w:top w:w="147" w:type="dxa"/>
          <w:left w:w="108" w:type="dxa"/>
          <w:bottom w:w="56" w:type="dxa"/>
          <w:right w:w="0" w:type="dxa"/>
        </w:tblCellMar>
      </w:tblPr>
      <w:tblGrid>
        <w:gridCol w:w="704"/>
        <w:gridCol w:w="1904"/>
        <w:gridCol w:w="7557"/>
      </w:tblGrid>
      <w:tr w14:paraId="6124817C">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0AD78E7">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Theme="minorEastAsia" w:hAnsiTheme="minorEastAsia" w:eastAsiaTheme="minorEastAsia"/>
                <w:sz w:val="24"/>
                <w:szCs w:val="24"/>
              </w:rPr>
            </w:pPr>
            <w:bookmarkStart w:id="21" w:name="_Toc19543334"/>
            <w:r>
              <w:rPr>
                <w:rFonts w:asciiTheme="minorEastAsia" w:hAnsiTheme="minorEastAsia" w:eastAsiaTheme="minorEastAsia"/>
                <w:sz w:val="24"/>
                <w:szCs w:val="24"/>
              </w:rPr>
              <w:t>序号</w:t>
            </w:r>
          </w:p>
        </w:tc>
        <w:tc>
          <w:tcPr>
            <w:tcW w:w="1904" w:type="dxa"/>
            <w:tcBorders>
              <w:top w:val="single" w:color="000000" w:sz="4" w:space="0"/>
              <w:left w:val="single" w:color="000000" w:sz="4" w:space="0"/>
              <w:bottom w:val="single" w:color="000000" w:sz="4" w:space="0"/>
              <w:right w:val="single" w:color="000000" w:sz="4" w:space="0"/>
            </w:tcBorders>
            <w:vAlign w:val="center"/>
          </w:tcPr>
          <w:p w14:paraId="0A11B24D">
            <w:pPr>
              <w:keepNext w:val="0"/>
              <w:keepLines w:val="0"/>
              <w:pageBreakBefore w:val="0"/>
              <w:kinsoku/>
              <w:wordWrap/>
              <w:overflowPunct/>
              <w:topLinePunct w:val="0"/>
              <w:autoSpaceDE/>
              <w:autoSpaceDN/>
              <w:bidi w:val="0"/>
              <w:adjustRightInd/>
              <w:snapToGrid/>
              <w:spacing w:line="300" w:lineRule="exact"/>
              <w:ind w:right="310"/>
              <w:jc w:val="center"/>
              <w:textAlignment w:val="auto"/>
              <w:rPr>
                <w:rFonts w:asciiTheme="minorEastAsia" w:hAnsiTheme="minorEastAsia" w:eastAsiaTheme="minorEastAsia"/>
                <w:sz w:val="24"/>
                <w:szCs w:val="24"/>
              </w:rPr>
            </w:pPr>
            <w:r>
              <w:rPr>
                <w:rFonts w:asciiTheme="minorEastAsia" w:hAnsiTheme="minorEastAsia" w:eastAsiaTheme="minorEastAsia"/>
                <w:sz w:val="24"/>
                <w:szCs w:val="24"/>
              </w:rPr>
              <w:t>内 容</w:t>
            </w:r>
          </w:p>
        </w:tc>
        <w:tc>
          <w:tcPr>
            <w:tcW w:w="7557" w:type="dxa"/>
            <w:tcBorders>
              <w:top w:val="single" w:color="000000" w:sz="4" w:space="0"/>
              <w:left w:val="single" w:color="000000" w:sz="4" w:space="0"/>
              <w:bottom w:val="single" w:color="000000" w:sz="4" w:space="0"/>
              <w:right w:val="single" w:color="000000" w:sz="4" w:space="0"/>
            </w:tcBorders>
            <w:vAlign w:val="center"/>
          </w:tcPr>
          <w:p w14:paraId="20FD611F">
            <w:pPr>
              <w:keepNext w:val="0"/>
              <w:keepLines w:val="0"/>
              <w:pageBreakBefore w:val="0"/>
              <w:kinsoku/>
              <w:wordWrap/>
              <w:overflowPunct/>
              <w:topLinePunct w:val="0"/>
              <w:autoSpaceDE/>
              <w:autoSpaceDN/>
              <w:bidi w:val="0"/>
              <w:adjustRightInd/>
              <w:snapToGrid/>
              <w:spacing w:line="300" w:lineRule="exact"/>
              <w:ind w:left="840" w:right="111"/>
              <w:jc w:val="center"/>
              <w:textAlignment w:val="auto"/>
              <w:rPr>
                <w:rFonts w:asciiTheme="minorEastAsia" w:hAnsiTheme="minorEastAsia" w:eastAsiaTheme="minorEastAsia"/>
                <w:sz w:val="24"/>
                <w:szCs w:val="24"/>
              </w:rPr>
            </w:pPr>
            <w:r>
              <w:rPr>
                <w:rFonts w:asciiTheme="minorEastAsia" w:hAnsiTheme="minorEastAsia" w:eastAsiaTheme="minorEastAsia"/>
                <w:sz w:val="24"/>
                <w:szCs w:val="24"/>
              </w:rPr>
              <w:t>说明与要求</w:t>
            </w:r>
          </w:p>
        </w:tc>
      </w:tr>
      <w:tr w14:paraId="5B905D86">
        <w:tblPrEx>
          <w:tblCellMar>
            <w:top w:w="147" w:type="dxa"/>
            <w:left w:w="108" w:type="dxa"/>
            <w:bottom w:w="56" w:type="dxa"/>
            <w:right w:w="0" w:type="dxa"/>
          </w:tblCellMar>
        </w:tblPrEx>
        <w:trPr>
          <w:trHeight w:val="27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91FA6A6">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1101D2DF">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asciiTheme="minorEastAsia" w:hAnsiTheme="minorEastAsia" w:eastAsiaTheme="minorEastAsia"/>
                <w:sz w:val="24"/>
                <w:szCs w:val="24"/>
              </w:rPr>
            </w:pPr>
            <w:r>
              <w:rPr>
                <w:rFonts w:asciiTheme="minorEastAsia" w:hAnsiTheme="minorEastAsia" w:eastAsiaTheme="minorEastAsia"/>
                <w:sz w:val="24"/>
                <w:szCs w:val="24"/>
              </w:rPr>
              <w:t>采购人</w:t>
            </w:r>
          </w:p>
        </w:tc>
        <w:tc>
          <w:tcPr>
            <w:tcW w:w="7557" w:type="dxa"/>
            <w:tcBorders>
              <w:top w:val="single" w:color="000000" w:sz="4" w:space="0"/>
              <w:left w:val="single" w:color="000000" w:sz="4" w:space="0"/>
              <w:bottom w:val="single" w:color="000000" w:sz="4" w:space="0"/>
              <w:right w:val="single" w:color="000000" w:sz="4" w:space="0"/>
            </w:tcBorders>
            <w:vAlign w:val="center"/>
          </w:tcPr>
          <w:p w14:paraId="7D178BBA">
            <w:pPr>
              <w:keepNext w:val="0"/>
              <w:keepLines w:val="0"/>
              <w:pageBreakBefore w:val="0"/>
              <w:kinsoku/>
              <w:wordWrap/>
              <w:overflowPunct/>
              <w:topLinePunct w:val="0"/>
              <w:autoSpaceDE/>
              <w:autoSpaceDN/>
              <w:bidi w:val="0"/>
              <w:adjustRightInd/>
              <w:snapToGrid/>
              <w:spacing w:line="300" w:lineRule="exact"/>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汉滨区农业农村局（汉滨区农产品检验检测中心）</w:t>
            </w:r>
          </w:p>
        </w:tc>
      </w:tr>
      <w:tr w14:paraId="4E7BC8ED">
        <w:trPr>
          <w:trHeight w:val="3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85B9364">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0DDB64C0">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代理机构</w:t>
            </w:r>
          </w:p>
        </w:tc>
        <w:tc>
          <w:tcPr>
            <w:tcW w:w="7557" w:type="dxa"/>
            <w:tcBorders>
              <w:top w:val="single" w:color="000000" w:sz="4" w:space="0"/>
              <w:left w:val="single" w:color="000000" w:sz="4" w:space="0"/>
              <w:bottom w:val="single" w:color="000000" w:sz="4" w:space="0"/>
              <w:right w:val="single" w:color="000000" w:sz="4" w:space="0"/>
            </w:tcBorders>
            <w:vAlign w:val="center"/>
          </w:tcPr>
          <w:p w14:paraId="678CAC9C">
            <w:pPr>
              <w:keepNext w:val="0"/>
              <w:keepLines w:val="0"/>
              <w:pageBreakBefore w:val="0"/>
              <w:kinsoku/>
              <w:wordWrap/>
              <w:overflowPunct/>
              <w:topLinePunct w:val="0"/>
              <w:autoSpaceDE/>
              <w:autoSpaceDN/>
              <w:bidi w:val="0"/>
              <w:adjustRightInd/>
              <w:snapToGrid/>
              <w:spacing w:line="300" w:lineRule="exact"/>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安康</w:t>
            </w:r>
            <w:r>
              <w:rPr>
                <w:rFonts w:asciiTheme="minorEastAsia" w:hAnsiTheme="minorEastAsia" w:eastAsiaTheme="minorEastAsia"/>
                <w:sz w:val="24"/>
                <w:szCs w:val="24"/>
              </w:rPr>
              <w:t>尚昊招标代理有限公司</w:t>
            </w:r>
          </w:p>
        </w:tc>
      </w:tr>
      <w:tr w14:paraId="04CC794A">
        <w:tblPrEx>
          <w:tblCellMar>
            <w:top w:w="147" w:type="dxa"/>
            <w:left w:w="108" w:type="dxa"/>
            <w:bottom w:w="56" w:type="dxa"/>
            <w:right w:w="0" w:type="dxa"/>
          </w:tblCellMar>
        </w:tblPrEx>
        <w:trPr>
          <w:trHeight w:val="3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423D07C">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5B88FA87">
            <w:pPr>
              <w:keepNext w:val="0"/>
              <w:keepLines w:val="0"/>
              <w:pageBreakBefore w:val="0"/>
              <w:kinsoku/>
              <w:wordWrap/>
              <w:overflowPunct/>
              <w:topLinePunct w:val="0"/>
              <w:autoSpaceDE/>
              <w:autoSpaceDN/>
              <w:bidi w:val="0"/>
              <w:adjustRightInd/>
              <w:snapToGrid/>
              <w:spacing w:line="300" w:lineRule="exact"/>
              <w:ind w:right="111"/>
              <w:jc w:val="center"/>
              <w:textAlignment w:val="auto"/>
              <w:rPr>
                <w:rFonts w:asciiTheme="minorEastAsia" w:hAnsiTheme="minorEastAsia" w:eastAsiaTheme="minorEastAsia"/>
                <w:sz w:val="24"/>
                <w:szCs w:val="24"/>
              </w:rPr>
            </w:pPr>
            <w:r>
              <w:rPr>
                <w:rFonts w:asciiTheme="minorEastAsia" w:hAnsiTheme="minorEastAsia" w:eastAsiaTheme="minorEastAsia"/>
                <w:sz w:val="24"/>
                <w:szCs w:val="24"/>
              </w:rPr>
              <w:t>项目名称</w:t>
            </w:r>
          </w:p>
        </w:tc>
        <w:tc>
          <w:tcPr>
            <w:tcW w:w="7557" w:type="dxa"/>
            <w:tcBorders>
              <w:top w:val="single" w:color="000000" w:sz="4" w:space="0"/>
              <w:left w:val="single" w:color="000000" w:sz="4" w:space="0"/>
              <w:bottom w:val="single" w:color="000000" w:sz="4" w:space="0"/>
              <w:right w:val="single" w:color="000000" w:sz="4" w:space="0"/>
            </w:tcBorders>
            <w:vAlign w:val="center"/>
          </w:tcPr>
          <w:p w14:paraId="2D879FD3">
            <w:pPr>
              <w:pStyle w:val="79"/>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asciiTheme="minorEastAsia" w:hAnsiTheme="minorEastAsia" w:eastAsiaTheme="minorEastAsia"/>
                <w:sz w:val="24"/>
                <w:szCs w:val="24"/>
              </w:rPr>
            </w:pPr>
            <w:r>
              <w:rPr>
                <w:rFonts w:ascii="宋体" w:hAnsi="宋体" w:cs="Times New Roman"/>
                <w:color w:val="000000" w:themeColor="text1"/>
                <w:sz w:val="24"/>
                <w:szCs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7F8A3667">
                                  <w:pPr>
                                    <w:pStyle w:val="22"/>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7456;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7F8A3667">
                            <w:pPr>
                              <w:pStyle w:val="22"/>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Theme="minorEastAsia" w:hAnsiTheme="minorEastAsia" w:eastAsiaTheme="minorEastAsia"/>
                <w:sz w:val="24"/>
                <w:szCs w:val="24"/>
                <w:lang w:eastAsia="zh-CN"/>
              </w:rPr>
              <w:t>汉滨区农产品质量安全检验监测和能力提升项目</w:t>
            </w:r>
          </w:p>
        </w:tc>
      </w:tr>
      <w:tr w14:paraId="292F9D81">
        <w:tblPrEx>
          <w:tblCellMar>
            <w:top w:w="147" w:type="dxa"/>
            <w:left w:w="108" w:type="dxa"/>
            <w:bottom w:w="56" w:type="dxa"/>
            <w:right w:w="0" w:type="dxa"/>
          </w:tblCellMar>
        </w:tblPrEx>
        <w:trPr>
          <w:trHeight w:val="145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FEF016B">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0A3AC4C4">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采购内容</w:t>
            </w:r>
          </w:p>
        </w:tc>
        <w:tc>
          <w:tcPr>
            <w:tcW w:w="7557" w:type="dxa"/>
            <w:tcBorders>
              <w:top w:val="single" w:color="000000" w:sz="4" w:space="0"/>
              <w:left w:val="single" w:color="000000" w:sz="4" w:space="0"/>
              <w:bottom w:val="single" w:color="000000" w:sz="4" w:space="0"/>
              <w:right w:val="single" w:color="000000" w:sz="4" w:space="0"/>
            </w:tcBorders>
            <w:vAlign w:val="center"/>
          </w:tcPr>
          <w:p w14:paraId="34E49DF1">
            <w:pPr>
              <w:keepNext w:val="0"/>
              <w:keepLines w:val="0"/>
              <w:pageBreakBefore w:val="0"/>
              <w:widowControl/>
              <w:kinsoku/>
              <w:wordWrap/>
              <w:overflowPunct/>
              <w:topLinePunct w:val="0"/>
              <w:autoSpaceDE/>
              <w:autoSpaceDN/>
              <w:bidi w:val="0"/>
              <w:adjustRightInd/>
              <w:snapToGrid w:val="0"/>
              <w:spacing w:line="460" w:lineRule="exact"/>
              <w:ind w:right="0" w:rightChars="0"/>
              <w:jc w:val="left"/>
              <w:textAlignment w:val="auto"/>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eastAsia="zh-CN"/>
              </w:rPr>
              <w:t>汉滨区农产品质量安全检验监测和能力提升项目</w:t>
            </w:r>
            <w:r>
              <w:rPr>
                <w:rFonts w:hint="eastAsia" w:asciiTheme="minorEastAsia" w:hAnsiTheme="minorEastAsia" w:eastAsiaTheme="minorEastAsia"/>
                <w:color w:val="auto"/>
                <w:sz w:val="24"/>
                <w:szCs w:val="24"/>
                <w:lang w:val="en-US" w:eastAsia="zh-CN"/>
              </w:rPr>
              <w:t>，1项；预算金额295400.00元，主要内容为</w:t>
            </w:r>
            <w:r>
              <w:rPr>
                <w:rFonts w:hint="eastAsia" w:asciiTheme="minorEastAsia" w:hAnsiTheme="minorEastAsia" w:eastAsiaTheme="minorEastAsia"/>
                <w:color w:val="auto"/>
                <w:sz w:val="24"/>
                <w:szCs w:val="24"/>
                <w:lang w:eastAsia="zh-CN"/>
              </w:rPr>
              <w:t>汉滨区农产品质量安全检验监测和能力提升项目</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技术要求详见磋商文件第五部分“采购内容及要求”。</w:t>
            </w:r>
          </w:p>
        </w:tc>
      </w:tr>
      <w:tr w14:paraId="66705465">
        <w:tblPrEx>
          <w:tblCellMar>
            <w:top w:w="147" w:type="dxa"/>
            <w:left w:w="108" w:type="dxa"/>
            <w:bottom w:w="56" w:type="dxa"/>
            <w:right w:w="0" w:type="dxa"/>
          </w:tblCellMar>
        </w:tblPrEx>
        <w:trPr>
          <w:trHeight w:val="64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C087DE4">
            <w:pPr>
              <w:pStyle w:val="79"/>
              <w:keepNext w:val="0"/>
              <w:keepLines w:val="0"/>
              <w:pageBreakBefore w:val="0"/>
              <w:numPr>
                <w:ilvl w:val="0"/>
                <w:numId w:val="1"/>
              </w:numPr>
              <w:kinsoku/>
              <w:wordWrap/>
              <w:overflowPunct/>
              <w:topLinePunct w:val="0"/>
              <w:autoSpaceDE/>
              <w:autoSpaceDN/>
              <w:bidi w:val="0"/>
              <w:adjustRightInd/>
              <w:snapToGrid/>
              <w:spacing w:line="300" w:lineRule="exact"/>
              <w:ind w:left="630" w:leftChars="0" w:right="110" w:firstLineChars="0"/>
              <w:jc w:val="center"/>
              <w:textAlignment w:val="auto"/>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6D2B2094">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预算金额</w:t>
            </w:r>
          </w:p>
        </w:tc>
        <w:tc>
          <w:tcPr>
            <w:tcW w:w="7557" w:type="dxa"/>
            <w:tcBorders>
              <w:top w:val="single" w:color="000000" w:sz="4" w:space="0"/>
              <w:left w:val="single" w:color="000000" w:sz="4" w:space="0"/>
              <w:bottom w:val="single" w:color="000000" w:sz="4" w:space="0"/>
              <w:right w:val="single" w:color="000000" w:sz="4" w:space="0"/>
            </w:tcBorders>
            <w:vAlign w:val="center"/>
          </w:tcPr>
          <w:p w14:paraId="12F95C5E">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295400.00元</w:t>
            </w:r>
          </w:p>
        </w:tc>
      </w:tr>
      <w:tr w14:paraId="08F733D7">
        <w:tblPrEx>
          <w:tblCellMar>
            <w:top w:w="147" w:type="dxa"/>
            <w:left w:w="108" w:type="dxa"/>
            <w:bottom w:w="56" w:type="dxa"/>
            <w:right w:w="0" w:type="dxa"/>
          </w:tblCellMar>
        </w:tblPrEx>
        <w:trPr>
          <w:trHeight w:val="289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D36ABB">
            <w:pPr>
              <w:pStyle w:val="79"/>
              <w:numPr>
                <w:ilvl w:val="0"/>
                <w:numId w:val="1"/>
              </w:numPr>
              <w:spacing w:line="259" w:lineRule="auto"/>
              <w:ind w:left="630" w:leftChars="0" w:right="110" w:firstLineChars="0"/>
              <w:jc w:val="center"/>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59CEB9A8">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Theme="minorEastAsia" w:hAnsiTheme="minorEastAsia" w:eastAsiaTheme="minorEastAsia"/>
                <w:color w:val="auto"/>
                <w:sz w:val="24"/>
                <w:szCs w:val="24"/>
                <w:lang w:eastAsia="zh-CN"/>
              </w:rPr>
            </w:pPr>
            <w:r>
              <w:rPr>
                <w:rFonts w:hint="eastAsia" w:ascii="宋体" w:hAnsi="宋体" w:eastAsia="宋体" w:cs="宋体"/>
                <w:color w:val="auto"/>
                <w:kern w:val="0"/>
                <w:sz w:val="24"/>
                <w:szCs w:val="24"/>
                <w:lang w:val="en-US" w:eastAsia="zh-CN"/>
              </w:rPr>
              <w:t>合同履行期限</w:t>
            </w:r>
          </w:p>
        </w:tc>
        <w:tc>
          <w:tcPr>
            <w:tcW w:w="7557" w:type="dxa"/>
            <w:tcBorders>
              <w:top w:val="single" w:color="000000" w:sz="4" w:space="0"/>
              <w:left w:val="single" w:color="000000" w:sz="4" w:space="0"/>
              <w:bottom w:val="single" w:color="000000" w:sz="4" w:space="0"/>
              <w:right w:val="single" w:color="000000" w:sz="4" w:space="0"/>
            </w:tcBorders>
            <w:vAlign w:val="center"/>
          </w:tcPr>
          <w:p w14:paraId="4F23CAC3">
            <w:pPr>
              <w:widowControl/>
              <w:wordWrap/>
              <w:adjustRightInd/>
              <w:snapToGrid w:val="0"/>
              <w:spacing w:line="460" w:lineRule="exact"/>
              <w:ind w:right="0"/>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本次农产品质量安全风险监测样品检测工作自合同签订之日起至2026年3月31日，乙方签收样品当日起20个工作日内，须向甲方提交该批次样品电子版及纸质版检测报告（一式三份）、检测汇总表（三份）、检测情况分析报告（三份），在后期甲方需要本次检测的相关资料时，乙方也需要及时给予提供。如遇不可抗拒的自然因素，须及时告知甲方，并协商顺延工期事宜。</w:t>
            </w:r>
          </w:p>
          <w:p w14:paraId="03D7667E">
            <w:pPr>
              <w:keepNext w:val="0"/>
              <w:keepLines w:val="0"/>
              <w:pageBreakBefore w:val="0"/>
              <w:kinsoku/>
              <w:wordWrap/>
              <w:overflowPunct/>
              <w:topLinePunct w:val="0"/>
              <w:autoSpaceDE/>
              <w:autoSpaceDN/>
              <w:bidi w:val="0"/>
              <w:adjustRightInd/>
              <w:snapToGrid/>
              <w:spacing w:line="360" w:lineRule="auto"/>
              <w:ind w:right="111" w:rightChars="0"/>
              <w:jc w:val="left"/>
              <w:textAlignment w:val="auto"/>
              <w:rPr>
                <w:rFonts w:hint="default" w:asciiTheme="minorEastAsia" w:hAnsiTheme="minorEastAsia" w:eastAsiaTheme="minorEastAsia"/>
                <w:color w:val="auto"/>
                <w:sz w:val="24"/>
                <w:szCs w:val="24"/>
                <w:lang w:val="en-US" w:eastAsia="zh-CN"/>
              </w:rPr>
            </w:pPr>
          </w:p>
        </w:tc>
      </w:tr>
      <w:tr w14:paraId="45691FA0">
        <w:tblPrEx>
          <w:tblCellMar>
            <w:top w:w="147" w:type="dxa"/>
            <w:left w:w="108" w:type="dxa"/>
            <w:bottom w:w="56" w:type="dxa"/>
            <w:right w:w="0" w:type="dxa"/>
          </w:tblCellMar>
        </w:tblPrEx>
        <w:trPr>
          <w:trHeight w:val="587"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FF0BCEA">
            <w:pPr>
              <w:pStyle w:val="79"/>
              <w:numPr>
                <w:ilvl w:val="0"/>
                <w:numId w:val="1"/>
              </w:numPr>
              <w:spacing w:line="259" w:lineRule="auto"/>
              <w:ind w:left="630" w:leftChars="0" w:right="110" w:firstLineChars="0"/>
              <w:jc w:val="center"/>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374B4925">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sz w:val="24"/>
                <w:szCs w:val="24"/>
              </w:rPr>
              <w:t>服务</w:t>
            </w:r>
            <w:r>
              <w:rPr>
                <w:rFonts w:asciiTheme="minorEastAsia" w:hAnsiTheme="minorEastAsia" w:eastAsiaTheme="minorEastAsia"/>
                <w:sz w:val="24"/>
                <w:szCs w:val="24"/>
              </w:rPr>
              <w:t>地点</w:t>
            </w:r>
          </w:p>
        </w:tc>
        <w:tc>
          <w:tcPr>
            <w:tcW w:w="7557" w:type="dxa"/>
            <w:tcBorders>
              <w:top w:val="single" w:color="000000" w:sz="4" w:space="0"/>
              <w:left w:val="single" w:color="000000" w:sz="4" w:space="0"/>
              <w:bottom w:val="single" w:color="000000" w:sz="4" w:space="0"/>
              <w:right w:val="single" w:color="000000" w:sz="4" w:space="0"/>
            </w:tcBorders>
            <w:vAlign w:val="center"/>
          </w:tcPr>
          <w:p w14:paraId="44E840D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FF0000"/>
                <w:sz w:val="24"/>
                <w:szCs w:val="24"/>
                <w:lang w:val="en-US" w:eastAsia="zh-CN"/>
              </w:rPr>
            </w:pPr>
            <w:r>
              <w:rPr>
                <w:rFonts w:hint="eastAsia" w:asciiTheme="minorEastAsia" w:hAnsiTheme="minorEastAsia" w:eastAsiaTheme="minorEastAsia"/>
                <w:sz w:val="24"/>
                <w:szCs w:val="24"/>
                <w:lang w:eastAsia="zh-CN"/>
              </w:rPr>
              <w:t>采购人指定地点</w:t>
            </w:r>
          </w:p>
        </w:tc>
      </w:tr>
      <w:tr w14:paraId="7DCD33C2">
        <w:tblPrEx>
          <w:tblCellMar>
            <w:top w:w="147" w:type="dxa"/>
            <w:left w:w="108" w:type="dxa"/>
            <w:bottom w:w="56" w:type="dxa"/>
            <w:right w:w="0" w:type="dxa"/>
          </w:tblCellMar>
        </w:tblPrEx>
        <w:trPr>
          <w:trHeight w:val="593"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E08BD86">
            <w:pPr>
              <w:pStyle w:val="79"/>
              <w:numPr>
                <w:ilvl w:val="0"/>
                <w:numId w:val="1"/>
              </w:numPr>
              <w:spacing w:line="259" w:lineRule="auto"/>
              <w:ind w:left="630" w:leftChars="0" w:right="110" w:firstLineChars="0"/>
              <w:jc w:val="center"/>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736814FA">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资格审查方式</w:t>
            </w:r>
          </w:p>
        </w:tc>
        <w:tc>
          <w:tcPr>
            <w:tcW w:w="7557" w:type="dxa"/>
            <w:tcBorders>
              <w:top w:val="single" w:color="000000" w:sz="4" w:space="0"/>
              <w:left w:val="single" w:color="000000" w:sz="4" w:space="0"/>
              <w:bottom w:val="single" w:color="000000" w:sz="4" w:space="0"/>
              <w:right w:val="single" w:color="000000" w:sz="4" w:space="0"/>
            </w:tcBorders>
            <w:vAlign w:val="center"/>
          </w:tcPr>
          <w:p w14:paraId="642966DC">
            <w:pPr>
              <w:spacing w:line="259" w:lineRule="auto"/>
              <w:jc w:val="left"/>
              <w:rPr>
                <w:rFonts w:asciiTheme="minorEastAsia" w:hAnsiTheme="minorEastAsia" w:eastAsiaTheme="minorEastAsia"/>
                <w:sz w:val="24"/>
                <w:szCs w:val="24"/>
              </w:rPr>
            </w:pPr>
            <w:r>
              <w:rPr>
                <w:rFonts w:asciiTheme="minorEastAsia" w:hAnsiTheme="minorEastAsia" w:eastAsiaTheme="minorEastAsia"/>
                <w:sz w:val="24"/>
                <w:szCs w:val="24"/>
              </w:rPr>
              <w:t>资格后审</w:t>
            </w:r>
          </w:p>
        </w:tc>
      </w:tr>
      <w:tr w14:paraId="302A9261">
        <w:tblPrEx>
          <w:tblCellMar>
            <w:top w:w="147" w:type="dxa"/>
            <w:left w:w="108" w:type="dxa"/>
            <w:bottom w:w="56"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BCCB2FA">
            <w:pPr>
              <w:pStyle w:val="79"/>
              <w:numPr>
                <w:ilvl w:val="0"/>
                <w:numId w:val="1"/>
              </w:numPr>
              <w:spacing w:line="259" w:lineRule="auto"/>
              <w:ind w:left="630" w:leftChars="0" w:right="110" w:firstLineChars="0"/>
              <w:jc w:val="center"/>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0A9AD1DC">
            <w:pPr>
              <w:spacing w:line="259" w:lineRule="auto"/>
              <w:ind w:right="29"/>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投标人资</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格</w:t>
            </w:r>
            <w:r>
              <w:rPr>
                <w:rFonts w:asciiTheme="minorEastAsia" w:hAnsiTheme="minorEastAsia" w:eastAsiaTheme="minorEastAsia"/>
                <w:color w:val="000000" w:themeColor="text1"/>
                <w:sz w:val="24"/>
                <w:szCs w:val="24"/>
                <w14:textFill>
                  <w14:solidFill>
                    <w14:schemeClr w14:val="tx1"/>
                  </w14:solidFill>
                </w14:textFill>
              </w:rPr>
              <w:t>要求</w:t>
            </w:r>
          </w:p>
        </w:tc>
        <w:tc>
          <w:tcPr>
            <w:tcW w:w="7557" w:type="dxa"/>
            <w:tcBorders>
              <w:top w:val="single" w:color="000000" w:sz="4" w:space="0"/>
              <w:left w:val="single" w:color="000000" w:sz="4" w:space="0"/>
              <w:bottom w:val="single" w:color="000000" w:sz="4" w:space="0"/>
              <w:right w:val="single" w:color="000000" w:sz="4" w:space="0"/>
            </w:tcBorders>
          </w:tcPr>
          <w:p w14:paraId="12938354">
            <w:pPr>
              <w:keepNext w:val="0"/>
              <w:keepLines w:val="0"/>
              <w:pageBreakBefore w:val="0"/>
              <w:widowControl w:val="0"/>
              <w:tabs>
                <w:tab w:val="left" w:pos="567"/>
              </w:tabs>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0FFF5AF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lang w:eastAsia="zh-CN"/>
              </w:rPr>
              <w:t>2.</w:t>
            </w:r>
            <w:r>
              <w:rPr>
                <w:rFonts w:hint="eastAsia" w:ascii="宋体" w:hAnsi="宋体" w:cs="宋体"/>
                <w:color w:val="auto"/>
                <w:kern w:val="0"/>
                <w:sz w:val="24"/>
                <w:szCs w:val="24"/>
              </w:rPr>
              <w:t>法定代表人授权书及被授权人身份证（法定代表人直接投标</w:t>
            </w:r>
            <w:r>
              <w:rPr>
                <w:rFonts w:hint="eastAsia" w:ascii="宋体" w:hAnsi="宋体" w:cs="宋体"/>
                <w:color w:val="auto"/>
                <w:kern w:val="0"/>
                <w:sz w:val="24"/>
                <w:szCs w:val="24"/>
                <w:lang w:eastAsia="zh-CN"/>
              </w:rPr>
              <w:t>只需</w:t>
            </w:r>
            <w:r>
              <w:rPr>
                <w:rFonts w:hint="eastAsia" w:ascii="宋体" w:hAnsi="宋体" w:cs="宋体"/>
                <w:color w:val="auto"/>
                <w:kern w:val="0"/>
                <w:sz w:val="24"/>
                <w:szCs w:val="24"/>
              </w:rPr>
              <w:t>提交其身份证原件）</w:t>
            </w:r>
            <w:r>
              <w:rPr>
                <w:rFonts w:hint="eastAsia" w:ascii="宋体" w:hAnsi="宋体" w:cs="宋体"/>
                <w:color w:val="auto"/>
                <w:kern w:val="0"/>
                <w:sz w:val="24"/>
                <w:szCs w:val="24"/>
                <w:lang w:eastAsia="zh-CN"/>
              </w:rPr>
              <w:t>。</w:t>
            </w:r>
          </w:p>
          <w:p w14:paraId="7AFB8623">
            <w:pPr>
              <w:keepNext w:val="0"/>
              <w:keepLines w:val="0"/>
              <w:pageBreakBefore w:val="0"/>
              <w:tabs>
                <w:tab w:val="center" w:pos="4153"/>
                <w:tab w:val="right" w:pos="8306"/>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查询结果为准（查询日期为从招标文件获取之日起至投标截止日前，评标现场通过网站对信用记录进行核实）。</w:t>
            </w:r>
          </w:p>
          <w:p w14:paraId="79E24DFE">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6719470B">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5.</w:t>
            </w:r>
            <w:r>
              <w:rPr>
                <w:rFonts w:hint="eastAsia" w:ascii="宋体" w:hAnsi="宋体" w:cs="宋体"/>
                <w:color w:val="auto"/>
                <w:sz w:val="24"/>
                <w:szCs w:val="24"/>
                <w:lang w:val="en-US" w:eastAsia="zh-CN"/>
              </w:rPr>
              <w:t>财务状况报告：提供2024年度经审计的财务审计报告或投标截止时间前六个月内基本开户银行出具的资信证明（成立时间至提交响应文件截止时间不足一年的可提供成立后任意时段的资产负债表）。</w:t>
            </w:r>
          </w:p>
          <w:p w14:paraId="6E5CD93D">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10</w:t>
            </w:r>
            <w:r>
              <w:rPr>
                <w:rFonts w:hint="eastAsia" w:ascii="宋体" w:hAnsi="宋体" w:cs="宋体"/>
                <w:color w:val="auto"/>
                <w:sz w:val="24"/>
                <w:szCs w:val="24"/>
                <w:lang w:eastAsia="zh-CN"/>
              </w:rPr>
              <w:t>月至今任意</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4CE87480">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10</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（成立时间至提交响应文件截止时间不足三个月的可不提供）</w:t>
            </w:r>
            <w:r>
              <w:rPr>
                <w:rFonts w:hint="eastAsia" w:ascii="宋体" w:hAnsi="宋体" w:cs="宋体"/>
                <w:color w:val="auto"/>
                <w:sz w:val="24"/>
                <w:szCs w:val="24"/>
              </w:rPr>
              <w:t>。</w:t>
            </w:r>
          </w:p>
          <w:p w14:paraId="5BABB3EA">
            <w:pPr>
              <w:keepNext w:val="0"/>
              <w:keepLines w:val="0"/>
              <w:pageBreakBefore w:val="0"/>
              <w:kinsoku/>
              <w:wordWrap/>
              <w:overflowPunct/>
              <w:topLinePunct w:val="0"/>
              <w:autoSpaceDE/>
              <w:autoSpaceDN/>
              <w:bidi w:val="0"/>
              <w:adjustRightInd/>
              <w:spacing w:line="48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8.具备合法有效的CMA检验检测机构资质认定证书、CATL农产品质量安全检测机构考核合格证书。</w:t>
            </w:r>
          </w:p>
          <w:p w14:paraId="75AA4BE0">
            <w:pPr>
              <w:keepNext w:val="0"/>
              <w:keepLines w:val="0"/>
              <w:pageBreakBefore w:val="0"/>
              <w:kinsoku/>
              <w:wordWrap/>
              <w:overflowPunct/>
              <w:topLinePunct w:val="0"/>
              <w:autoSpaceDE/>
              <w:autoSpaceDN/>
              <w:bidi w:val="0"/>
              <w:adjustRightInd/>
              <w:spacing w:line="48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9.提供具有履行合同</w:t>
            </w:r>
            <w:r>
              <w:rPr>
                <w:rFonts w:hint="eastAsia" w:ascii="宋体" w:hAnsi="宋体" w:eastAsia="宋体" w:cs="宋体"/>
                <w:color w:val="auto"/>
                <w:kern w:val="2"/>
                <w:sz w:val="24"/>
                <w:szCs w:val="24"/>
                <w:lang w:val="en-US" w:eastAsia="zh-CN" w:bidi="ar-SA"/>
              </w:rPr>
              <w:t>所必需的设备和专业技术能力的承诺书</w:t>
            </w:r>
            <w:r>
              <w:rPr>
                <w:rFonts w:hint="eastAsia" w:ascii="宋体" w:hAnsi="宋体" w:cs="宋体"/>
                <w:color w:val="auto"/>
                <w:kern w:val="2"/>
                <w:sz w:val="24"/>
                <w:szCs w:val="24"/>
                <w:lang w:val="en-US" w:eastAsia="zh-CN" w:bidi="ar-SA"/>
              </w:rPr>
              <w:t>（格式自拟）。</w:t>
            </w:r>
          </w:p>
          <w:p w14:paraId="76828226">
            <w:pPr>
              <w:keepNext w:val="0"/>
              <w:keepLines w:val="0"/>
              <w:pageBreakBefore w:val="0"/>
              <w:kinsoku/>
              <w:wordWrap/>
              <w:overflowPunct/>
              <w:topLinePunct w:val="0"/>
              <w:autoSpaceDE/>
              <w:autoSpaceDN/>
              <w:bidi w:val="0"/>
              <w:adjustRightInd/>
              <w:spacing w:line="480" w:lineRule="exact"/>
              <w:ind w:left="0" w:leftChars="0" w:firstLine="481"/>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10.</w:t>
            </w:r>
            <w:r>
              <w:rPr>
                <w:rFonts w:hint="eastAsia" w:ascii="宋体" w:hAnsi="宋体" w:eastAsia="宋体" w:cs="宋体"/>
                <w:color w:val="auto"/>
                <w:kern w:val="0"/>
                <w:sz w:val="24"/>
                <w:szCs w:val="24"/>
                <w:lang w:val="en-US" w:eastAsia="zh-CN" w:bidi="ar-SA"/>
              </w:rPr>
              <w:t>本项目专门面向中小企业采购，投标人须提供《中小企业声明函》。</w:t>
            </w:r>
          </w:p>
          <w:p w14:paraId="0FE1D334">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0C9F5472">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按无效文件处理。参加</w:t>
            </w:r>
            <w:r>
              <w:rPr>
                <w:rFonts w:hint="eastAsia" w:cs="宋体" w:asciiTheme="minorEastAsia" w:hAnsiTheme="minorEastAsia" w:eastAsiaTheme="minorEastAsia"/>
                <w:b/>
                <w:bCs/>
                <w:color w:val="auto"/>
                <w:kern w:val="0"/>
                <w:sz w:val="24"/>
                <w:szCs w:val="24"/>
                <w:lang w:val="en-US" w:eastAsia="zh-CN"/>
              </w:rPr>
              <w:t>开标</w:t>
            </w:r>
            <w:r>
              <w:rPr>
                <w:rFonts w:hint="eastAsia" w:cs="宋体" w:asciiTheme="minorEastAsia" w:hAnsiTheme="minorEastAsia" w:eastAsiaTheme="minorEastAsia"/>
                <w:b/>
                <w:bCs/>
                <w:color w:val="auto"/>
                <w:kern w:val="0"/>
                <w:sz w:val="24"/>
                <w:szCs w:val="24"/>
              </w:rPr>
              <w:t>会议时须提供上述加盖投标人公章（</w:t>
            </w:r>
            <w:r>
              <w:rPr>
                <w:rFonts w:hint="eastAsia" w:cs="宋体" w:asciiTheme="minorEastAsia" w:hAnsiTheme="minorEastAsia" w:eastAsiaTheme="minorEastAsia"/>
                <w:b/>
                <w:bCs/>
                <w:color w:val="auto"/>
                <w:kern w:val="0"/>
                <w:sz w:val="24"/>
                <w:szCs w:val="24"/>
                <w:lang w:val="en-US" w:eastAsia="zh-CN"/>
              </w:rPr>
              <w:t>鲜</w:t>
            </w:r>
            <w:r>
              <w:rPr>
                <w:rFonts w:hint="eastAsia" w:cs="宋体" w:asciiTheme="minorEastAsia" w:hAnsiTheme="minorEastAsia" w:eastAsiaTheme="minorEastAsia"/>
                <w:b/>
                <w:bCs/>
                <w:color w:val="auto"/>
                <w:kern w:val="0"/>
                <w:sz w:val="24"/>
                <w:szCs w:val="24"/>
              </w:rPr>
              <w:t>章）</w:t>
            </w:r>
            <w:r>
              <w:rPr>
                <w:rFonts w:hint="eastAsia" w:cs="宋体" w:asciiTheme="minorEastAsia" w:hAnsiTheme="minorEastAsia" w:eastAsiaTheme="minorEastAsia"/>
                <w:b/>
                <w:bCs/>
                <w:color w:val="auto"/>
                <w:kern w:val="0"/>
                <w:sz w:val="24"/>
                <w:szCs w:val="24"/>
                <w:lang w:val="en-US" w:eastAsia="zh-CN"/>
              </w:rPr>
              <w:t>资格证明</w:t>
            </w:r>
            <w:r>
              <w:rPr>
                <w:rFonts w:hint="default" w:cs="宋体" w:asciiTheme="minorEastAsia" w:hAnsiTheme="minorEastAsia" w:eastAsiaTheme="minorEastAsia"/>
                <w:b/>
                <w:bCs/>
                <w:color w:val="auto"/>
                <w:kern w:val="0"/>
                <w:sz w:val="24"/>
                <w:szCs w:val="24"/>
              </w:rPr>
              <w:t>文件</w:t>
            </w:r>
            <w:r>
              <w:rPr>
                <w:rFonts w:hint="eastAsia" w:cs="宋体" w:asciiTheme="minorEastAsia" w:hAnsiTheme="minorEastAsia" w:eastAsiaTheme="minorEastAsia"/>
                <w:b/>
                <w:bCs/>
                <w:color w:val="auto"/>
                <w:kern w:val="0"/>
                <w:sz w:val="24"/>
                <w:szCs w:val="24"/>
              </w:rPr>
              <w:t>（密封）单独递交进行审查，否则</w:t>
            </w:r>
            <w:r>
              <w:rPr>
                <w:rFonts w:hint="eastAsia" w:cs="宋体" w:asciiTheme="minorEastAsia" w:hAnsiTheme="minorEastAsia" w:eastAsiaTheme="minorEastAsia"/>
                <w:b/>
                <w:bCs/>
                <w:color w:val="auto"/>
                <w:kern w:val="0"/>
                <w:sz w:val="24"/>
                <w:szCs w:val="24"/>
                <w:lang w:eastAsia="zh-CN"/>
              </w:rPr>
              <w:t>按无效文件处理</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w:t>
            </w:r>
          </w:p>
        </w:tc>
      </w:tr>
      <w:tr w14:paraId="3E5F0CC2">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0690FFA">
            <w:pPr>
              <w:pStyle w:val="79"/>
              <w:numPr>
                <w:ilvl w:val="0"/>
                <w:numId w:val="1"/>
              </w:numPr>
              <w:spacing w:line="259" w:lineRule="auto"/>
              <w:ind w:left="630" w:leftChars="0" w:firstLineChars="0"/>
              <w:jc w:val="center"/>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tcPr>
          <w:p w14:paraId="4B93CCE1">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是否接受联合体</w:t>
            </w:r>
          </w:p>
          <w:p w14:paraId="4017ABA3">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投标</w:t>
            </w:r>
          </w:p>
        </w:tc>
        <w:tc>
          <w:tcPr>
            <w:tcW w:w="7557" w:type="dxa"/>
            <w:tcBorders>
              <w:top w:val="single" w:color="000000" w:sz="4" w:space="0"/>
              <w:left w:val="single" w:color="000000" w:sz="4" w:space="0"/>
              <w:bottom w:val="single" w:color="000000" w:sz="4" w:space="0"/>
              <w:right w:val="single" w:color="000000" w:sz="4" w:space="0"/>
            </w:tcBorders>
            <w:vAlign w:val="center"/>
          </w:tcPr>
          <w:p w14:paraId="72A4C583">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不接受联合体磋商。</w:t>
            </w:r>
          </w:p>
        </w:tc>
      </w:tr>
      <w:tr w14:paraId="78AA4B56">
        <w:tblPrEx>
          <w:tblCellMar>
            <w:top w:w="147" w:type="dxa"/>
            <w:left w:w="108" w:type="dxa"/>
            <w:bottom w:w="56" w:type="dxa"/>
            <w:right w:w="0" w:type="dxa"/>
          </w:tblCellMar>
        </w:tblPrEx>
        <w:trPr>
          <w:trHeight w:val="72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4DFE818">
            <w:pPr>
              <w:pStyle w:val="79"/>
              <w:numPr>
                <w:ilvl w:val="0"/>
                <w:numId w:val="1"/>
              </w:numPr>
              <w:spacing w:line="259" w:lineRule="auto"/>
              <w:ind w:left="630" w:leftChars="0" w:firstLineChars="0"/>
              <w:jc w:val="center"/>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04BB56C1">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现场踏勘</w:t>
            </w:r>
          </w:p>
        </w:tc>
        <w:tc>
          <w:tcPr>
            <w:tcW w:w="7557" w:type="dxa"/>
            <w:tcBorders>
              <w:top w:val="single" w:color="000000" w:sz="4" w:space="0"/>
              <w:left w:val="single" w:color="000000" w:sz="4" w:space="0"/>
              <w:bottom w:val="single" w:color="000000" w:sz="4" w:space="0"/>
              <w:right w:val="single" w:color="000000" w:sz="4" w:space="0"/>
            </w:tcBorders>
            <w:vAlign w:val="center"/>
          </w:tcPr>
          <w:p w14:paraId="5A97AFB5">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自行勘察，未勘察</w:t>
            </w:r>
            <w:r>
              <w:rPr>
                <w:rFonts w:hint="eastAsia" w:asciiTheme="minorEastAsia" w:hAnsiTheme="minorEastAsia" w:eastAsiaTheme="minorEastAsia"/>
                <w:color w:val="auto"/>
                <w:sz w:val="24"/>
                <w:szCs w:val="24"/>
                <w:lang w:eastAsia="zh-CN"/>
              </w:rPr>
              <w:t>造成</w:t>
            </w:r>
            <w:r>
              <w:rPr>
                <w:rFonts w:asciiTheme="minorEastAsia" w:hAnsiTheme="minorEastAsia" w:eastAsiaTheme="minorEastAsia"/>
                <w:color w:val="auto"/>
                <w:sz w:val="24"/>
                <w:szCs w:val="24"/>
              </w:rPr>
              <w:t>的一切后果由投标人自行承担（一切费用自理）。</w:t>
            </w:r>
          </w:p>
        </w:tc>
      </w:tr>
      <w:tr w14:paraId="1BA63DC2">
        <w:tblPrEx>
          <w:tblCellMar>
            <w:top w:w="147" w:type="dxa"/>
            <w:left w:w="108" w:type="dxa"/>
            <w:bottom w:w="56" w:type="dxa"/>
            <w:right w:w="0" w:type="dxa"/>
          </w:tblCellMar>
        </w:tblPrEx>
        <w:trPr>
          <w:trHeight w:val="122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96613B6">
            <w:pPr>
              <w:pStyle w:val="79"/>
              <w:numPr>
                <w:ilvl w:val="0"/>
                <w:numId w:val="1"/>
              </w:numPr>
              <w:spacing w:line="259" w:lineRule="auto"/>
              <w:ind w:left="630" w:leftChars="0" w:firstLineChars="0"/>
              <w:jc w:val="center"/>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230CE3A4">
            <w:pPr>
              <w:spacing w:line="259"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磋商时间和地点</w:t>
            </w:r>
          </w:p>
        </w:tc>
        <w:tc>
          <w:tcPr>
            <w:tcW w:w="7557" w:type="dxa"/>
            <w:tcBorders>
              <w:top w:val="single" w:color="000000" w:sz="4" w:space="0"/>
              <w:left w:val="single" w:color="000000" w:sz="4" w:space="0"/>
              <w:bottom w:val="single" w:color="000000" w:sz="4" w:space="0"/>
              <w:right w:val="single" w:color="000000" w:sz="4" w:space="0"/>
            </w:tcBorders>
          </w:tcPr>
          <w:p w14:paraId="4B83D424">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Theme="minorEastAsia" w:hAnsiTheme="minorEastAsia" w:eastAsiaTheme="minorEastAsia"/>
                <w:color w:val="auto"/>
                <w:sz w:val="24"/>
                <w:szCs w:val="24"/>
                <w:lang w:val="en-US" w:eastAsia="zh-CN"/>
              </w:rPr>
              <w:t>：</w:t>
            </w:r>
            <w:r>
              <w:rPr>
                <w:rFonts w:hint="eastAsia" w:ascii="宋体" w:hAnsi="宋体" w:cs="宋体"/>
                <w:color w:val="auto"/>
                <w:kern w:val="0"/>
                <w:sz w:val="24"/>
                <w:szCs w:val="24"/>
                <w:lang w:val="en-US" w:eastAsia="zh-CN"/>
              </w:rPr>
              <w:t>2025年11月18日09：00时</w:t>
            </w:r>
            <w:r>
              <w:rPr>
                <w:rFonts w:hint="eastAsia" w:asciiTheme="minorEastAsia" w:hAnsiTheme="minorEastAsia" w:eastAsiaTheme="minorEastAsia"/>
                <w:color w:val="FF0000"/>
                <w:sz w:val="24"/>
                <w:szCs w:val="24"/>
                <w:lang w:eastAsia="zh-CN"/>
              </w:rPr>
              <w:t xml:space="preserve">  </w:t>
            </w:r>
            <w:r>
              <w:rPr>
                <w:rFonts w:hint="eastAsia" w:asciiTheme="minorEastAsia" w:hAnsiTheme="minorEastAsia" w:eastAsiaTheme="minorEastAsia"/>
                <w:color w:val="FF0000"/>
                <w:sz w:val="24"/>
                <w:szCs w:val="24"/>
              </w:rPr>
              <w:t xml:space="preserve">  </w:t>
            </w:r>
            <w:r>
              <w:rPr>
                <w:rFonts w:asciiTheme="minorEastAsia" w:hAnsiTheme="minorEastAsia" w:eastAsiaTheme="minorEastAsia"/>
                <w:color w:val="auto"/>
                <w:sz w:val="24"/>
                <w:szCs w:val="24"/>
              </w:rPr>
              <w:t xml:space="preserve"> </w:t>
            </w:r>
          </w:p>
          <w:p w14:paraId="67F6F3FE">
            <w:pPr>
              <w:pageBreakBefore w:val="0"/>
              <w:widowControl/>
              <w:tabs>
                <w:tab w:val="left" w:pos="1620"/>
              </w:tabs>
              <w:kinsoku/>
              <w:wordWrap/>
              <w:overflowPunct/>
              <w:topLinePunct w:val="0"/>
              <w:autoSpaceDE/>
              <w:autoSpaceDN/>
              <w:bidi w:val="0"/>
              <w:adjustRightInd/>
              <w:snapToGrid w:val="0"/>
              <w:spacing w:line="360" w:lineRule="auto"/>
              <w:ind w:right="0" w:rightChars="0"/>
              <w:jc w:val="left"/>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磋商地点：</w:t>
            </w:r>
            <w:r>
              <w:rPr>
                <w:rFonts w:hint="eastAsia" w:ascii="宋体" w:hAnsi="宋体" w:eastAsia="宋体" w:cs="宋体"/>
                <w:color w:val="auto"/>
                <w:sz w:val="24"/>
                <w:szCs w:val="24"/>
                <w:lang w:eastAsia="zh-CN"/>
              </w:rPr>
              <w:t>安康市高新区高新观澜8幢2单元801室</w:t>
            </w:r>
          </w:p>
          <w:p w14:paraId="5BC8E98F">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（如有变动，另行通知）。 </w:t>
            </w:r>
          </w:p>
        </w:tc>
      </w:tr>
      <w:tr w14:paraId="5851CE2A">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A1EE395">
            <w:pPr>
              <w:pStyle w:val="79"/>
              <w:numPr>
                <w:ilvl w:val="0"/>
                <w:numId w:val="1"/>
              </w:numPr>
              <w:spacing w:line="259" w:lineRule="auto"/>
              <w:ind w:left="630" w:leftChars="0" w:firstLineChars="0"/>
              <w:jc w:val="center"/>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tcPr>
          <w:p w14:paraId="68A174E9">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磋商响应文件递交截止时间</w:t>
            </w:r>
            <w:r>
              <w:rPr>
                <w:rFonts w:hint="eastAsia" w:asciiTheme="minorEastAsia" w:hAnsiTheme="minorEastAsia" w:eastAsiaTheme="minorEastAsia"/>
                <w:color w:val="000000" w:themeColor="text1"/>
                <w:sz w:val="24"/>
                <w:szCs w:val="24"/>
                <w14:textFill>
                  <w14:solidFill>
                    <w14:schemeClr w14:val="tx1"/>
                  </w14:solidFill>
                </w14:textFill>
              </w:rPr>
              <w:t>地点</w:t>
            </w:r>
          </w:p>
        </w:tc>
        <w:tc>
          <w:tcPr>
            <w:tcW w:w="7557" w:type="dxa"/>
            <w:tcBorders>
              <w:top w:val="single" w:color="000000" w:sz="4" w:space="0"/>
              <w:left w:val="single" w:color="000000" w:sz="4" w:space="0"/>
              <w:bottom w:val="single" w:color="000000" w:sz="4" w:space="0"/>
              <w:right w:val="single" w:color="000000" w:sz="4" w:space="0"/>
            </w:tcBorders>
            <w:vAlign w:val="center"/>
          </w:tcPr>
          <w:p w14:paraId="5C5907B6">
            <w:pPr>
              <w:spacing w:line="259" w:lineRule="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递交</w:t>
            </w:r>
            <w:r>
              <w:rPr>
                <w:rFonts w:asciiTheme="minorEastAsia" w:hAnsiTheme="minorEastAsia" w:eastAsiaTheme="minorEastAsia"/>
                <w:color w:val="auto"/>
                <w:sz w:val="24"/>
                <w:szCs w:val="24"/>
              </w:rPr>
              <w:t>截止时间</w:t>
            </w:r>
            <w:r>
              <w:rPr>
                <w:rFonts w:hint="eastAsia" w:asciiTheme="minorEastAsia" w:hAnsiTheme="minorEastAsia" w:eastAsiaTheme="minorEastAsia"/>
                <w:color w:val="auto"/>
                <w:sz w:val="24"/>
                <w:szCs w:val="24"/>
                <w:lang w:val="en-US" w:eastAsia="zh-CN"/>
              </w:rPr>
              <w:t>：</w:t>
            </w:r>
            <w:r>
              <w:rPr>
                <w:rFonts w:hint="eastAsia" w:ascii="宋体" w:hAnsi="宋体" w:cs="宋体"/>
                <w:color w:val="auto"/>
                <w:kern w:val="0"/>
                <w:sz w:val="24"/>
                <w:szCs w:val="24"/>
                <w:lang w:val="en-US" w:eastAsia="zh-CN"/>
              </w:rPr>
              <w:t>2025年11月18日09：00时</w:t>
            </w:r>
            <w:r>
              <w:rPr>
                <w:rFonts w:hint="eastAsia" w:asciiTheme="minorEastAsia" w:hAnsiTheme="minorEastAsia" w:eastAsiaTheme="minorEastAsia"/>
                <w:color w:val="auto"/>
                <w:sz w:val="24"/>
                <w:szCs w:val="24"/>
                <w:lang w:val="en-US" w:eastAsia="zh-CN"/>
              </w:rPr>
              <w:t>止</w:t>
            </w:r>
          </w:p>
          <w:p w14:paraId="5EEFCD0A">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递交地点：</w:t>
            </w:r>
            <w:r>
              <w:rPr>
                <w:rFonts w:hint="eastAsia" w:ascii="宋体" w:hAnsi="宋体" w:eastAsia="宋体" w:cs="宋体"/>
                <w:color w:val="auto"/>
                <w:sz w:val="24"/>
                <w:szCs w:val="24"/>
                <w:lang w:eastAsia="zh-CN"/>
              </w:rPr>
              <w:t>安康市高新区高新观澜8幢2单元801室</w:t>
            </w:r>
            <w:r>
              <w:rPr>
                <w:rFonts w:hint="eastAsia" w:asciiTheme="minorEastAsia" w:hAnsiTheme="minorEastAsia" w:eastAsiaTheme="minorEastAsia"/>
                <w:color w:val="auto"/>
                <w:sz w:val="24"/>
                <w:szCs w:val="24"/>
              </w:rPr>
              <w:t xml:space="preserve"> </w:t>
            </w:r>
          </w:p>
        </w:tc>
      </w:tr>
      <w:tr w14:paraId="496FB98E">
        <w:tblPrEx>
          <w:tblCellMar>
            <w:top w:w="147" w:type="dxa"/>
            <w:left w:w="108" w:type="dxa"/>
            <w:bottom w:w="56" w:type="dxa"/>
            <w:right w:w="0" w:type="dxa"/>
          </w:tblCellMar>
        </w:tblPrEx>
        <w:trPr>
          <w:trHeight w:val="47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271FFEB2">
            <w:pPr>
              <w:pStyle w:val="79"/>
              <w:numPr>
                <w:ilvl w:val="0"/>
                <w:numId w:val="1"/>
              </w:numPr>
              <w:spacing w:line="259" w:lineRule="auto"/>
              <w:ind w:left="630" w:leftChars="0" w:firstLineChars="0"/>
              <w:jc w:val="center"/>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tcPr>
          <w:p w14:paraId="320ADF14">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响应有效期</w:t>
            </w:r>
          </w:p>
        </w:tc>
        <w:tc>
          <w:tcPr>
            <w:tcW w:w="7557" w:type="dxa"/>
            <w:tcBorders>
              <w:top w:val="single" w:color="000000" w:sz="4" w:space="0"/>
              <w:left w:val="single" w:color="000000" w:sz="4" w:space="0"/>
              <w:bottom w:val="single" w:color="000000" w:sz="4" w:space="0"/>
              <w:right w:val="single" w:color="000000" w:sz="4" w:space="0"/>
            </w:tcBorders>
          </w:tcPr>
          <w:p w14:paraId="3C1FEB00">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u w:val="none" w:color="auto"/>
              </w:rPr>
              <w:t>90</w:t>
            </w:r>
            <w:r>
              <w:rPr>
                <w:rFonts w:asciiTheme="minorEastAsia" w:hAnsiTheme="minorEastAsia" w:eastAsiaTheme="minorEastAsia"/>
                <w:sz w:val="24"/>
                <w:szCs w:val="24"/>
              </w:rPr>
              <w:t xml:space="preserve">日历天（从提交响应文件日起计算） </w:t>
            </w:r>
          </w:p>
        </w:tc>
      </w:tr>
      <w:tr w14:paraId="3A8C13B5">
        <w:tblPrEx>
          <w:tblCellMar>
            <w:top w:w="147" w:type="dxa"/>
            <w:left w:w="108" w:type="dxa"/>
            <w:bottom w:w="56" w:type="dxa"/>
            <w:right w:w="0" w:type="dxa"/>
          </w:tblCellMar>
        </w:tblPrEx>
        <w:trPr>
          <w:trHeight w:val="65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BE8D296">
            <w:pPr>
              <w:pStyle w:val="79"/>
              <w:numPr>
                <w:ilvl w:val="0"/>
                <w:numId w:val="1"/>
              </w:numPr>
              <w:spacing w:line="259" w:lineRule="auto"/>
              <w:ind w:left="630" w:leftChars="0" w:firstLineChars="0"/>
              <w:jc w:val="center"/>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42F2B0C6">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响应文件份数</w:t>
            </w:r>
          </w:p>
        </w:tc>
        <w:tc>
          <w:tcPr>
            <w:tcW w:w="7557" w:type="dxa"/>
            <w:tcBorders>
              <w:top w:val="single" w:color="000000" w:sz="4" w:space="0"/>
              <w:left w:val="single" w:color="000000" w:sz="4" w:space="0"/>
              <w:bottom w:val="single" w:color="000000" w:sz="4" w:space="0"/>
              <w:right w:val="single" w:color="000000" w:sz="4" w:space="0"/>
            </w:tcBorders>
            <w:vAlign w:val="center"/>
          </w:tcPr>
          <w:p w14:paraId="4F717418">
            <w:pPr>
              <w:spacing w:line="259" w:lineRule="auto"/>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资</w:t>
            </w:r>
            <w:r>
              <w:rPr>
                <w:rFonts w:hint="eastAsia" w:asciiTheme="minorEastAsia" w:hAnsiTheme="minorEastAsia" w:eastAsiaTheme="minorEastAsia"/>
                <w:color w:val="auto"/>
                <w:sz w:val="24"/>
                <w:szCs w:val="24"/>
                <w:lang w:val="en-US" w:eastAsia="zh-CN"/>
              </w:rPr>
              <w:t>格证明</w:t>
            </w:r>
            <w:r>
              <w:rPr>
                <w:rFonts w:asciiTheme="minorEastAsia" w:hAnsiTheme="minorEastAsia" w:eastAsiaTheme="minorEastAsia"/>
                <w:color w:val="auto"/>
                <w:sz w:val="24"/>
                <w:szCs w:val="24"/>
              </w:rPr>
              <w:t>文件壹份、正本壹份、</w:t>
            </w:r>
            <w:r>
              <w:rPr>
                <w:rFonts w:hint="eastAsia" w:asciiTheme="minorEastAsia" w:hAnsiTheme="minorEastAsia" w:eastAsiaTheme="minorEastAsia"/>
                <w:color w:val="auto"/>
                <w:sz w:val="24"/>
                <w:szCs w:val="24"/>
                <w:lang w:eastAsia="zh-CN"/>
              </w:rPr>
              <w:t>副本贰份</w:t>
            </w:r>
            <w:r>
              <w:rPr>
                <w:rFonts w:asciiTheme="minorEastAsia" w:hAnsiTheme="minorEastAsia" w:eastAsiaTheme="minorEastAsia"/>
                <w:color w:val="auto"/>
                <w:sz w:val="24"/>
                <w:szCs w:val="24"/>
              </w:rPr>
              <w:t>，电子版</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U盘</w:t>
            </w:r>
            <w:r>
              <w:rPr>
                <w:rFonts w:hint="eastAsia" w:asciiTheme="minorEastAsia" w:hAnsiTheme="minorEastAsia" w:eastAsiaTheme="minorEastAsia"/>
                <w:color w:val="auto"/>
                <w:sz w:val="24"/>
                <w:szCs w:val="24"/>
                <w:lang w:eastAsia="zh-CN"/>
              </w:rPr>
              <w:t>）</w:t>
            </w:r>
            <w:r>
              <w:rPr>
                <w:rFonts w:asciiTheme="minorEastAsia" w:hAnsiTheme="minorEastAsia" w:eastAsiaTheme="minorEastAsia"/>
                <w:color w:val="auto"/>
                <w:sz w:val="24"/>
                <w:szCs w:val="24"/>
              </w:rPr>
              <w:t>壹份</w:t>
            </w:r>
          </w:p>
        </w:tc>
      </w:tr>
      <w:tr w14:paraId="7E369EC2">
        <w:tblPrEx>
          <w:tblCellMar>
            <w:top w:w="147" w:type="dxa"/>
            <w:left w:w="108" w:type="dxa"/>
            <w:bottom w:w="56" w:type="dxa"/>
            <w:right w:w="0" w:type="dxa"/>
          </w:tblCellMar>
        </w:tblPrEx>
        <w:trPr>
          <w:trHeight w:val="78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218AB0CE">
            <w:pPr>
              <w:pStyle w:val="79"/>
              <w:numPr>
                <w:ilvl w:val="0"/>
                <w:numId w:val="1"/>
              </w:numPr>
              <w:spacing w:line="259" w:lineRule="auto"/>
              <w:ind w:left="630" w:leftChars="0" w:firstLineChars="0"/>
              <w:jc w:val="center"/>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07DEA829">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eastAsia" w:ascii="宋体" w:hAnsi="宋体"/>
                <w:color w:val="auto"/>
                <w:kern w:val="0"/>
                <w:sz w:val="24"/>
                <w:szCs w:val="24"/>
              </w:rPr>
            </w:pPr>
            <w:r>
              <w:rPr>
                <w:rFonts w:hint="eastAsia" w:ascii="宋体" w:hAnsi="宋体"/>
                <w:color w:val="auto"/>
                <w:kern w:val="0"/>
                <w:sz w:val="24"/>
                <w:szCs w:val="24"/>
                <w:lang w:val="en-US" w:eastAsia="zh-CN"/>
              </w:rPr>
              <w:t>响应</w:t>
            </w:r>
            <w:r>
              <w:rPr>
                <w:rFonts w:hint="eastAsia" w:ascii="宋体" w:hAnsi="宋体"/>
                <w:color w:val="auto"/>
                <w:kern w:val="0"/>
                <w:sz w:val="24"/>
                <w:szCs w:val="24"/>
              </w:rPr>
              <w:t>文件</w:t>
            </w:r>
          </w:p>
          <w:p w14:paraId="192E466C">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center"/>
              <w:rPr>
                <w:rFonts w:asciiTheme="minorEastAsia" w:hAnsiTheme="minorEastAsia" w:eastAsiaTheme="minorEastAsia"/>
                <w:color w:val="auto"/>
                <w:sz w:val="24"/>
                <w:szCs w:val="24"/>
              </w:rPr>
            </w:pPr>
            <w:r>
              <w:rPr>
                <w:rFonts w:hint="eastAsia" w:ascii="宋体" w:hAnsi="宋体"/>
                <w:color w:val="auto"/>
                <w:kern w:val="0"/>
                <w:sz w:val="24"/>
                <w:szCs w:val="24"/>
              </w:rPr>
              <w:t>制作</w:t>
            </w:r>
          </w:p>
        </w:tc>
        <w:tc>
          <w:tcPr>
            <w:tcW w:w="7557" w:type="dxa"/>
            <w:tcBorders>
              <w:top w:val="single" w:color="000000" w:sz="4" w:space="0"/>
              <w:left w:val="single" w:color="000000" w:sz="4" w:space="0"/>
              <w:bottom w:val="single" w:color="000000" w:sz="4" w:space="0"/>
              <w:right w:val="single" w:color="000000" w:sz="4" w:space="0"/>
            </w:tcBorders>
            <w:vAlign w:val="center"/>
          </w:tcPr>
          <w:p w14:paraId="15DA53A6">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both"/>
              <w:rPr>
                <w:rFonts w:asciiTheme="minorEastAsia" w:hAnsiTheme="minorEastAsia" w:eastAsiaTheme="minorEastAsia"/>
                <w:color w:val="auto"/>
                <w:sz w:val="24"/>
                <w:szCs w:val="24"/>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color w:val="auto"/>
                <w:sz w:val="24"/>
                <w:szCs w:val="24"/>
              </w:rPr>
              <w:t>除在</w:t>
            </w:r>
            <w:r>
              <w:rPr>
                <w:rFonts w:hint="eastAsia" w:ascii="宋体" w:hAnsi="宋体"/>
                <w:color w:val="auto"/>
                <w:kern w:val="0"/>
                <w:sz w:val="24"/>
                <w:szCs w:val="24"/>
                <w:lang w:val="en-US" w:eastAsia="zh-CN"/>
              </w:rPr>
              <w:t>响应</w:t>
            </w:r>
            <w:r>
              <w:rPr>
                <w:rFonts w:hint="eastAsia" w:ascii="宋体" w:hAnsi="宋体"/>
                <w:color w:val="auto"/>
                <w:sz w:val="24"/>
                <w:szCs w:val="24"/>
              </w:rPr>
              <w:t>文件正副本中装订外，</w:t>
            </w:r>
            <w:r>
              <w:rPr>
                <w:rFonts w:hint="eastAsia" w:ascii="宋体" w:hAnsi="宋体"/>
                <w:color w:val="auto"/>
                <w:sz w:val="24"/>
                <w:szCs w:val="24"/>
                <w:lang w:val="en-US" w:eastAsia="zh-CN"/>
              </w:rPr>
              <w:t>另外</w:t>
            </w:r>
            <w:r>
              <w:rPr>
                <w:rFonts w:hint="eastAsia" w:ascii="宋体" w:hAnsi="宋体"/>
                <w:color w:val="auto"/>
                <w:sz w:val="24"/>
                <w:szCs w:val="24"/>
              </w:rPr>
              <w:t>制作一份单独封装在</w:t>
            </w:r>
            <w:r>
              <w:rPr>
                <w:rFonts w:hint="eastAsia" w:ascii="宋体" w:hAnsi="宋体"/>
                <w:color w:val="auto"/>
                <w:sz w:val="24"/>
                <w:szCs w:val="24"/>
                <w:lang w:val="en-US" w:eastAsia="zh-CN"/>
              </w:rPr>
              <w:t>封袋</w:t>
            </w:r>
            <w:r>
              <w:rPr>
                <w:rFonts w:hint="eastAsia" w:ascii="宋体" w:hAnsi="宋体"/>
                <w:color w:val="auto"/>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color w:val="auto"/>
                <w:sz w:val="24"/>
                <w:szCs w:val="24"/>
              </w:rPr>
              <w:t>并加盖投标人公章</w:t>
            </w:r>
            <w:r>
              <w:rPr>
                <w:rFonts w:hint="eastAsia" w:ascii="宋体" w:hAnsi="宋体"/>
                <w:color w:val="auto"/>
                <w:sz w:val="24"/>
                <w:szCs w:val="24"/>
                <w:lang w:eastAsia="zh-CN"/>
              </w:rPr>
              <w:t>（</w:t>
            </w:r>
            <w:r>
              <w:rPr>
                <w:rFonts w:hint="eastAsia" w:ascii="宋体" w:hAnsi="宋体"/>
                <w:color w:val="auto"/>
                <w:sz w:val="24"/>
                <w:szCs w:val="24"/>
                <w:lang w:val="en-US" w:eastAsia="zh-CN"/>
              </w:rPr>
              <w:t>鲜章</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ascii="宋体" w:hAnsi="宋体" w:cs="宋体"/>
                <w:color w:val="auto"/>
                <w:kern w:val="2"/>
                <w:sz w:val="24"/>
                <w:szCs w:val="24"/>
                <w:lang w:val="en-US" w:eastAsia="zh-CN" w:bidi="ar-SA"/>
              </w:rPr>
              <w:t>。</w:t>
            </w:r>
            <w:r>
              <w:rPr>
                <w:rFonts w:hint="eastAsia" w:cs="Times New Roman" w:asciiTheme="minorEastAsia" w:hAnsiTheme="minorEastAsia" w:eastAsiaTheme="minorEastAsia"/>
                <w:color w:val="auto"/>
                <w:kern w:val="0"/>
                <w:sz w:val="24"/>
                <w:szCs w:val="24"/>
                <w:lang w:val="en-US" w:eastAsia="zh-CN"/>
              </w:rPr>
              <w:t xml:space="preserve"> </w:t>
            </w:r>
          </w:p>
        </w:tc>
      </w:tr>
      <w:tr w14:paraId="689BCD31">
        <w:tblPrEx>
          <w:tblCellMar>
            <w:top w:w="147" w:type="dxa"/>
            <w:left w:w="108" w:type="dxa"/>
            <w:bottom w:w="56" w:type="dxa"/>
            <w:right w:w="0" w:type="dxa"/>
          </w:tblCellMar>
        </w:tblPrEx>
        <w:trPr>
          <w:trHeight w:val="55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4460EC6">
            <w:pPr>
              <w:pStyle w:val="79"/>
              <w:numPr>
                <w:ilvl w:val="0"/>
                <w:numId w:val="1"/>
              </w:numPr>
              <w:spacing w:line="259" w:lineRule="auto"/>
              <w:ind w:left="630" w:leftChars="0" w:firstLineChars="0"/>
              <w:jc w:val="center"/>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3608C519">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评分办法</w:t>
            </w:r>
          </w:p>
        </w:tc>
        <w:tc>
          <w:tcPr>
            <w:tcW w:w="7557" w:type="dxa"/>
            <w:tcBorders>
              <w:top w:val="single" w:color="000000" w:sz="4" w:space="0"/>
              <w:left w:val="single" w:color="000000" w:sz="4" w:space="0"/>
              <w:bottom w:val="single" w:color="000000" w:sz="4" w:space="0"/>
              <w:right w:val="single" w:color="000000" w:sz="4" w:space="0"/>
            </w:tcBorders>
            <w:vAlign w:val="center"/>
          </w:tcPr>
          <w:p w14:paraId="0F1099BA">
            <w:pPr>
              <w:spacing w:line="259" w:lineRule="auto"/>
              <w:jc w:val="left"/>
              <w:rPr>
                <w:rFonts w:asciiTheme="minorEastAsia" w:hAnsiTheme="minorEastAsia" w:eastAsiaTheme="minorEastAsia"/>
                <w:sz w:val="24"/>
                <w:szCs w:val="24"/>
              </w:rPr>
            </w:pPr>
            <w:r>
              <w:rPr>
                <w:rFonts w:asciiTheme="minorEastAsia" w:hAnsiTheme="minorEastAsia" w:eastAsiaTheme="minorEastAsia"/>
                <w:sz w:val="24"/>
                <w:szCs w:val="24"/>
              </w:rPr>
              <w:t>综合评分法</w:t>
            </w:r>
          </w:p>
        </w:tc>
      </w:tr>
      <w:tr w14:paraId="12D92F20">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B49F8DE">
            <w:pPr>
              <w:pStyle w:val="79"/>
              <w:numPr>
                <w:ilvl w:val="0"/>
                <w:numId w:val="1"/>
              </w:numPr>
              <w:spacing w:line="259" w:lineRule="auto"/>
              <w:ind w:left="630" w:leftChars="0" w:firstLineChars="0"/>
              <w:jc w:val="center"/>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27729715">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磋商小组构成</w:t>
            </w:r>
          </w:p>
        </w:tc>
        <w:tc>
          <w:tcPr>
            <w:tcW w:w="7557" w:type="dxa"/>
            <w:tcBorders>
              <w:top w:val="single" w:color="000000" w:sz="4" w:space="0"/>
              <w:left w:val="single" w:color="000000" w:sz="4" w:space="0"/>
              <w:bottom w:val="single" w:color="000000" w:sz="4" w:space="0"/>
              <w:right w:val="single" w:color="000000" w:sz="4" w:space="0"/>
            </w:tcBorders>
          </w:tcPr>
          <w:p w14:paraId="56985526">
            <w:pPr>
              <w:spacing w:line="259" w:lineRule="auto"/>
              <w:rPr>
                <w:rFonts w:asciiTheme="minorEastAsia" w:hAnsiTheme="minorEastAsia" w:eastAsiaTheme="minorEastAsia"/>
                <w:color w:val="auto"/>
                <w:sz w:val="24"/>
                <w:szCs w:val="24"/>
              </w:rPr>
            </w:pPr>
            <w:r>
              <w:rPr>
                <w:rFonts w:hint="eastAsia" w:ascii="宋体" w:hAnsi="宋体" w:eastAsia="宋体" w:cs="宋体"/>
                <w:color w:val="auto"/>
                <w:sz w:val="24"/>
                <w:szCs w:val="24"/>
              </w:rPr>
              <w:t>根据《中华人民共和国政府采购法》《中华人民共和国</w:t>
            </w:r>
            <w:r>
              <w:rPr>
                <w:rFonts w:hint="eastAsia" w:ascii="宋体" w:hAnsi="宋体" w:cs="宋体"/>
                <w:color w:val="auto"/>
                <w:sz w:val="24"/>
                <w:szCs w:val="24"/>
                <w:lang w:val="en-US" w:eastAsia="zh-CN"/>
              </w:rPr>
              <w:t>政府采购竞争性磋商采购方式管理暂行办法</w:t>
            </w:r>
            <w:r>
              <w:rPr>
                <w:rFonts w:hint="eastAsia" w:ascii="宋体" w:hAnsi="宋体" w:eastAsia="宋体" w:cs="宋体"/>
                <w:color w:val="auto"/>
                <w:sz w:val="24"/>
                <w:szCs w:val="24"/>
              </w:rPr>
              <w:t>》等有关法律规定组建磋商小组</w:t>
            </w:r>
          </w:p>
        </w:tc>
      </w:tr>
      <w:tr w14:paraId="7D9E24AA">
        <w:tblPrEx>
          <w:tblCellMar>
            <w:top w:w="147" w:type="dxa"/>
            <w:left w:w="108" w:type="dxa"/>
            <w:bottom w:w="56" w:type="dxa"/>
            <w:right w:w="0" w:type="dxa"/>
          </w:tblCellMar>
        </w:tblPrEx>
        <w:trPr>
          <w:trHeight w:val="10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FA5367F">
            <w:pPr>
              <w:pStyle w:val="79"/>
              <w:numPr>
                <w:ilvl w:val="0"/>
                <w:numId w:val="1"/>
              </w:numPr>
              <w:spacing w:line="259" w:lineRule="auto"/>
              <w:ind w:left="630" w:leftChars="0" w:firstLineChars="0"/>
              <w:jc w:val="center"/>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7EA9FA1A">
            <w:pPr>
              <w:spacing w:line="259" w:lineRule="auto"/>
              <w:ind w:right="111" w:rightChars="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eastAsia="zh-CN"/>
              </w:rPr>
              <w:t>付款</w:t>
            </w:r>
            <w:r>
              <w:rPr>
                <w:rFonts w:hint="eastAsia" w:asciiTheme="minorEastAsia" w:hAnsiTheme="minorEastAsia" w:eastAsiaTheme="minorEastAsia"/>
                <w:color w:val="auto"/>
                <w:sz w:val="24"/>
                <w:szCs w:val="24"/>
              </w:rPr>
              <w:t>方式</w:t>
            </w:r>
          </w:p>
        </w:tc>
        <w:tc>
          <w:tcPr>
            <w:tcW w:w="7557" w:type="dxa"/>
            <w:tcBorders>
              <w:top w:val="single" w:color="000000" w:sz="4" w:space="0"/>
              <w:left w:val="single" w:color="000000" w:sz="4" w:space="0"/>
              <w:bottom w:val="single" w:color="000000" w:sz="4" w:space="0"/>
              <w:right w:val="single" w:color="000000" w:sz="4" w:space="0"/>
            </w:tcBorders>
            <w:vAlign w:val="center"/>
          </w:tcPr>
          <w:p w14:paraId="457F6FF2">
            <w:pPr>
              <w:widowControl w:val="0"/>
              <w:numPr>
                <w:ilvl w:val="0"/>
                <w:numId w:val="0"/>
              </w:numPr>
              <w:wordWrap/>
              <w:adjustRightInd/>
              <w:snapToGrid/>
              <w:spacing w:line="480" w:lineRule="exact"/>
              <w:ind w:firstLine="0" w:firstLineChars="0"/>
              <w:textAlignment w:val="auto"/>
              <w:rPr>
                <w:rFonts w:hint="eastAsia" w:eastAsia="宋体"/>
                <w:color w:val="auto"/>
                <w:lang w:val="en-US" w:eastAsia="zh-CN"/>
              </w:rPr>
            </w:pPr>
            <w:r>
              <w:rPr>
                <w:rFonts w:hint="eastAsia" w:ascii="宋体" w:hAnsi="宋体"/>
                <w:color w:val="auto"/>
                <w:sz w:val="24"/>
                <w:szCs w:val="24"/>
                <w:lang w:eastAsia="zh-CN"/>
              </w:rPr>
              <w:t>检测费结算按季度结算，乙方检测报告及检测情况分析报告按季度出具后10个工作日内，甲方根据本季度检测任务完成情况支付本季度检测费用</w:t>
            </w:r>
          </w:p>
        </w:tc>
      </w:tr>
      <w:tr w14:paraId="3EBEA544">
        <w:tblPrEx>
          <w:tblCellMar>
            <w:top w:w="147" w:type="dxa"/>
            <w:left w:w="108" w:type="dxa"/>
            <w:bottom w:w="56" w:type="dxa"/>
            <w:right w:w="0" w:type="dxa"/>
          </w:tblCellMar>
        </w:tblPrEx>
        <w:trPr>
          <w:trHeight w:val="473"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32CC6B34">
            <w:pPr>
              <w:pStyle w:val="79"/>
              <w:numPr>
                <w:ilvl w:val="0"/>
                <w:numId w:val="1"/>
              </w:numPr>
              <w:spacing w:line="259" w:lineRule="auto"/>
              <w:ind w:left="630" w:leftChars="0" w:firstLineChars="0"/>
              <w:jc w:val="center"/>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tcPr>
          <w:p w14:paraId="37EFB9BB">
            <w:pPr>
              <w:spacing w:line="259" w:lineRule="auto"/>
              <w:ind w:right="109"/>
              <w:jc w:val="center"/>
              <w:rPr>
                <w:rFonts w:asciiTheme="minorEastAsia" w:hAnsiTheme="minorEastAsia" w:eastAsiaTheme="minorEastAsia"/>
                <w:sz w:val="24"/>
                <w:szCs w:val="24"/>
              </w:rPr>
            </w:pPr>
            <w:r>
              <w:rPr>
                <w:rFonts w:asciiTheme="minorEastAsia" w:hAnsiTheme="minorEastAsia" w:eastAsiaTheme="minorEastAsia"/>
                <w:sz w:val="24"/>
                <w:szCs w:val="24"/>
              </w:rPr>
              <w:t>答疑</w:t>
            </w:r>
          </w:p>
        </w:tc>
        <w:tc>
          <w:tcPr>
            <w:tcW w:w="7557" w:type="dxa"/>
            <w:tcBorders>
              <w:top w:val="single" w:color="000000" w:sz="4" w:space="0"/>
              <w:left w:val="single" w:color="000000" w:sz="4" w:space="0"/>
              <w:bottom w:val="single" w:color="000000" w:sz="4" w:space="0"/>
              <w:right w:val="single" w:color="000000" w:sz="4" w:space="0"/>
            </w:tcBorders>
          </w:tcPr>
          <w:p w14:paraId="740E2A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 xml:space="preserve">如有疑问，投标人需书面提出，经采购人收集问题后，统一答疑 </w:t>
            </w:r>
          </w:p>
        </w:tc>
      </w:tr>
      <w:tr w14:paraId="18846535">
        <w:tblPrEx>
          <w:tblCellMar>
            <w:top w:w="147" w:type="dxa"/>
            <w:left w:w="108" w:type="dxa"/>
            <w:bottom w:w="56" w:type="dxa"/>
            <w:right w:w="0" w:type="dxa"/>
          </w:tblCellMar>
        </w:tblPrEx>
        <w:trPr>
          <w:trHeight w:val="19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06BC7B6">
            <w:pPr>
              <w:pStyle w:val="79"/>
              <w:numPr>
                <w:ilvl w:val="0"/>
                <w:numId w:val="1"/>
              </w:numPr>
              <w:spacing w:line="259" w:lineRule="auto"/>
              <w:ind w:left="630" w:leftChars="0" w:firstLineChars="0"/>
              <w:jc w:val="both"/>
              <w:rPr>
                <w:rFonts w:asciiTheme="minorEastAsia" w:hAnsiTheme="minorEastAsia" w:eastAsiaTheme="minorEastAsia"/>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4ABC6C11">
            <w:pPr>
              <w:spacing w:line="259" w:lineRule="auto"/>
              <w:ind w:right="-11" w:rightChars="0" w:firstLine="240" w:firstLineChars="100"/>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其他说明事项</w:t>
            </w:r>
          </w:p>
        </w:tc>
        <w:tc>
          <w:tcPr>
            <w:tcW w:w="7557" w:type="dxa"/>
            <w:tcBorders>
              <w:top w:val="single" w:color="000000" w:sz="4" w:space="0"/>
              <w:left w:val="single" w:color="000000" w:sz="4" w:space="0"/>
              <w:bottom w:val="single" w:color="000000" w:sz="4" w:space="0"/>
              <w:right w:val="single" w:color="000000" w:sz="4" w:space="0"/>
            </w:tcBorders>
            <w:vAlign w:val="center"/>
          </w:tcPr>
          <w:p w14:paraId="08C594E3">
            <w:pPr>
              <w:spacing w:line="360" w:lineRule="auto"/>
              <w:jc w:val="left"/>
              <w:rPr>
                <w:rFonts w:hint="eastAsia" w:asciiTheme="minorEastAsia" w:hAnsiTheme="minorEastAsia" w:eastAsiaTheme="minorEastAsia"/>
                <w:color w:val="auto"/>
                <w:sz w:val="24"/>
                <w:szCs w:val="24"/>
                <w:highlight w:val="none"/>
                <w:lang w:eastAsia="zh-CN"/>
              </w:rPr>
            </w:pPr>
            <w:r>
              <w:rPr>
                <w:rFonts w:hint="eastAsia" w:ascii="宋体" w:hAnsi="宋体" w:eastAsia="宋体" w:cs="宋体"/>
                <w:sz w:val="24"/>
                <w:szCs w:val="24"/>
                <w:highlight w:val="none"/>
              </w:rPr>
              <w:t>采购标的对应的中小企业划分标准所属行业为</w:t>
            </w:r>
            <w:r>
              <w:rPr>
                <w:rFonts w:hint="eastAsia" w:ascii="宋体" w:hAnsi="宋体" w:eastAsia="宋体" w:cs="宋体"/>
                <w:color w:val="auto"/>
                <w:sz w:val="24"/>
                <w:szCs w:val="24"/>
                <w:highlight w:val="none"/>
              </w:rPr>
              <w:t>其他未列明行业</w:t>
            </w:r>
            <w:r>
              <w:rPr>
                <w:rFonts w:hint="eastAsia" w:ascii="宋体" w:hAnsi="宋体" w:eastAsia="宋体" w:cs="宋体"/>
                <w:sz w:val="24"/>
                <w:szCs w:val="24"/>
                <w:highlight w:val="none"/>
                <w:lang w:eastAsia="zh-CN"/>
              </w:rPr>
              <w:t>，从业人员300人以下的为中小微型企业。其中，从业人员100人及以上的为中型企业；从业人员10人及以上的为小型企业；从业人员10人以下的为微型企业。</w:t>
            </w:r>
          </w:p>
        </w:tc>
      </w:tr>
      <w:bookmarkEnd w:id="6"/>
      <w:bookmarkEnd w:id="7"/>
      <w:bookmarkEnd w:id="15"/>
      <w:bookmarkEnd w:id="16"/>
      <w:bookmarkEnd w:id="17"/>
      <w:bookmarkEnd w:id="18"/>
      <w:bookmarkEnd w:id="19"/>
      <w:bookmarkEnd w:id="21"/>
    </w:tbl>
    <w:p w14:paraId="246139C0">
      <w:pPr>
        <w:pStyle w:val="11"/>
        <w:rPr>
          <w:kern w:val="44"/>
          <w:sz w:val="32"/>
          <w:szCs w:val="32"/>
        </w:rPr>
      </w:pPr>
      <w:bookmarkStart w:id="22" w:name="_Toc536202378"/>
      <w:bookmarkStart w:id="23" w:name="_Toc536202284"/>
      <w:bookmarkStart w:id="24" w:name="_Toc536429318"/>
      <w:bookmarkStart w:id="25" w:name="_Toc19272"/>
      <w:bookmarkStart w:id="26" w:name="_Toc536429371"/>
      <w:bookmarkStart w:id="27" w:name="_Toc21495"/>
      <w:r>
        <w:br w:type="page"/>
      </w:r>
    </w:p>
    <w:p w14:paraId="38B383C3">
      <w:pPr>
        <w:pStyle w:val="2"/>
        <w:keepLines w:val="0"/>
        <w:pageBreakBefore w:val="0"/>
        <w:kinsoku/>
        <w:wordWrap/>
        <w:overflowPunct/>
        <w:topLinePunct w:val="0"/>
        <w:autoSpaceDE/>
        <w:autoSpaceDN/>
        <w:bidi w:val="0"/>
        <w:adjustRightInd/>
        <w:snapToGrid/>
        <w:spacing w:line="460" w:lineRule="exact"/>
        <w:textAlignment w:val="auto"/>
        <w:rPr>
          <w:rFonts w:ascii="宋体"/>
        </w:rPr>
      </w:pPr>
      <w:bookmarkStart w:id="28" w:name="_Toc30175"/>
      <w:bookmarkStart w:id="29" w:name="_Toc19543335"/>
      <w:r>
        <w:rPr>
          <w:rFonts w:hint="eastAsia" w:ascii="宋体" w:hAnsi="宋体" w:cs="宋体"/>
        </w:rPr>
        <w:t xml:space="preserve">第三部分 </w:t>
      </w:r>
      <w:r>
        <w:rPr>
          <w:rFonts w:ascii="宋体" w:hAnsi="宋体" w:cs="宋体"/>
        </w:rPr>
        <w:t xml:space="preserve">  </w:t>
      </w:r>
      <w:r>
        <w:rPr>
          <w:rFonts w:hint="eastAsia" w:ascii="宋体" w:hAnsi="宋体" w:cs="宋体"/>
        </w:rPr>
        <w:t>供应商须知</w:t>
      </w:r>
      <w:bookmarkEnd w:id="22"/>
      <w:bookmarkEnd w:id="23"/>
      <w:bookmarkEnd w:id="24"/>
      <w:bookmarkEnd w:id="25"/>
      <w:bookmarkEnd w:id="26"/>
      <w:bookmarkEnd w:id="27"/>
      <w:bookmarkEnd w:id="28"/>
      <w:bookmarkEnd w:id="29"/>
    </w:p>
    <w:p w14:paraId="3913EAB9">
      <w:pPr>
        <w:keepLines w:val="0"/>
        <w:pageBreakBefore w:val="0"/>
        <w:widowControl/>
        <w:numPr>
          <w:ilvl w:val="0"/>
          <w:numId w:val="2"/>
        </w:numPr>
        <w:kinsoku/>
        <w:wordWrap/>
        <w:overflowPunct/>
        <w:topLinePunct w:val="0"/>
        <w:autoSpaceDE/>
        <w:autoSpaceDN/>
        <w:bidi w:val="0"/>
        <w:adjustRightInd/>
        <w:snapToGrid/>
        <w:spacing w:line="460" w:lineRule="exact"/>
        <w:ind w:firstLine="643" w:firstLineChars="200"/>
        <w:jc w:val="center"/>
        <w:textAlignment w:val="auto"/>
        <w:outlineLvl w:val="1"/>
        <w:rPr>
          <w:rFonts w:ascii="宋体" w:cs="Times New Roman"/>
          <w:b/>
          <w:bCs/>
          <w:kern w:val="0"/>
          <w:sz w:val="32"/>
          <w:szCs w:val="32"/>
        </w:rPr>
      </w:pPr>
      <w:bookmarkStart w:id="30" w:name="_Toc19543336"/>
      <w:bookmarkStart w:id="31" w:name="_Toc17059"/>
      <w:bookmarkStart w:id="32" w:name="_Toc26739"/>
      <w:bookmarkStart w:id="33" w:name="_Toc536429319"/>
      <w:bookmarkStart w:id="34" w:name="_Toc536429372"/>
      <w:bookmarkStart w:id="35" w:name="_Toc536202379"/>
      <w:bookmarkStart w:id="36" w:name="_Toc536202285"/>
      <w:r>
        <w:rPr>
          <w:rFonts w:hint="eastAsia" w:ascii="宋体" w:hAnsi="宋体" w:cs="宋体"/>
          <w:b/>
          <w:bCs/>
          <w:kern w:val="0"/>
          <w:sz w:val="32"/>
          <w:szCs w:val="32"/>
        </w:rPr>
        <w:t>总 则</w:t>
      </w:r>
      <w:bookmarkEnd w:id="30"/>
      <w:bookmarkEnd w:id="31"/>
      <w:bookmarkEnd w:id="32"/>
      <w:bookmarkEnd w:id="33"/>
      <w:bookmarkEnd w:id="34"/>
      <w:bookmarkEnd w:id="35"/>
      <w:bookmarkEnd w:id="36"/>
    </w:p>
    <w:p w14:paraId="2D361977">
      <w:pPr>
        <w:keepNext w:val="0"/>
        <w:keepLines w:val="0"/>
        <w:pageBreakBefore w:val="0"/>
        <w:widowControl/>
        <w:kinsoku/>
        <w:wordWrap/>
        <w:overflowPunct/>
        <w:topLinePunct w:val="0"/>
        <w:bidi w:val="0"/>
        <w:snapToGrid w:val="0"/>
        <w:spacing w:line="460" w:lineRule="exact"/>
        <w:ind w:right="0" w:rightChars="0"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lang w:eastAsia="zh-CN"/>
        </w:rPr>
        <w:t>1.</w:t>
      </w:r>
      <w:r>
        <w:rPr>
          <w:rFonts w:hint="eastAsia" w:ascii="宋体" w:hAnsi="宋体" w:cs="宋体"/>
          <w:b/>
          <w:bCs/>
          <w:color w:val="auto"/>
          <w:sz w:val="24"/>
          <w:szCs w:val="24"/>
        </w:rPr>
        <w:t>适用范围</w:t>
      </w:r>
    </w:p>
    <w:p w14:paraId="45C210B9">
      <w:pPr>
        <w:keepNext w:val="0"/>
        <w:keepLines w:val="0"/>
        <w:pageBreakBefore w:val="0"/>
        <w:widowControl/>
        <w:kinsoku/>
        <w:wordWrap/>
        <w:overflowPunct/>
        <w:topLinePunct w:val="0"/>
        <w:bidi w:val="0"/>
        <w:snapToGrid w:val="0"/>
        <w:spacing w:line="460" w:lineRule="exact"/>
        <w:ind w:right="0" w:rightChars="0"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1.1本磋商文件适用于本次采购活动的全过程。</w:t>
      </w:r>
    </w:p>
    <w:p w14:paraId="548A5FC4">
      <w:pPr>
        <w:keepNext w:val="0"/>
        <w:keepLines w:val="0"/>
        <w:pageBreakBefore w:val="0"/>
        <w:widowControl/>
        <w:kinsoku/>
        <w:wordWrap/>
        <w:overflowPunct/>
        <w:topLinePunct w:val="0"/>
        <w:bidi w:val="0"/>
        <w:snapToGrid w:val="0"/>
        <w:spacing w:line="460" w:lineRule="exact"/>
        <w:ind w:right="0" w:rightChars="0"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1D78FF14">
      <w:pPr>
        <w:keepNext w:val="0"/>
        <w:keepLines w:val="0"/>
        <w:pageBreakBefore w:val="0"/>
        <w:widowControl/>
        <w:kinsoku/>
        <w:wordWrap/>
        <w:overflowPunct/>
        <w:topLinePunct w:val="0"/>
        <w:autoSpaceDE/>
        <w:autoSpaceDN/>
        <w:bidi w:val="0"/>
        <w:snapToGrid w:val="0"/>
        <w:spacing w:line="460" w:lineRule="exact"/>
        <w:ind w:left="0" w:leftChars="0" w:right="0" w:rightChars="0"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定义</w:t>
      </w:r>
    </w:p>
    <w:p w14:paraId="3344CE9D">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2.1采购人：</w:t>
      </w:r>
      <w:r>
        <w:rPr>
          <w:rFonts w:hint="eastAsia" w:ascii="宋体" w:hAnsi="宋体" w:cs="宋体"/>
          <w:bCs/>
          <w:color w:val="auto"/>
          <w:sz w:val="24"/>
          <w:szCs w:val="24"/>
          <w:lang w:val="en-US" w:eastAsia="zh-CN"/>
        </w:rPr>
        <w:t>汉滨区农业农村局（汉滨区农产品检验检测中心）</w:t>
      </w:r>
    </w:p>
    <w:p w14:paraId="0ABD41BE">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6D92353D">
      <w:pPr>
        <w:keepNext w:val="0"/>
        <w:keepLines w:val="0"/>
        <w:pageBreakBefore w:val="0"/>
        <w:widowControl/>
        <w:kinsoku/>
        <w:wordWrap/>
        <w:overflowPunct/>
        <w:topLinePunct w:val="0"/>
        <w:autoSpaceDE/>
        <w:autoSpaceDN/>
        <w:bidi w:val="0"/>
        <w:snapToGrid w:val="0"/>
        <w:spacing w:line="460" w:lineRule="exact"/>
        <w:ind w:right="0" w:rightChars="0" w:firstLine="480" w:firstLineChars="200"/>
        <w:jc w:val="left"/>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eastAsia="宋体" w:cs="宋体"/>
          <w:bCs/>
          <w:color w:val="000000" w:themeColor="text1"/>
          <w:sz w:val="24"/>
          <w:szCs w:val="24"/>
          <w:lang w:eastAsia="zh-CN"/>
          <w14:textFill>
            <w14:solidFill>
              <w14:schemeClr w14:val="tx1"/>
            </w14:solidFill>
          </w14:textFill>
        </w:rPr>
        <w:t>安康市</w:t>
      </w:r>
      <w:r>
        <w:rPr>
          <w:rFonts w:hint="eastAsia" w:ascii="宋体" w:hAnsi="宋体" w:eastAsia="宋体" w:cs="宋体"/>
          <w:bCs/>
          <w:color w:val="000000" w:themeColor="text1"/>
          <w:sz w:val="24"/>
          <w:szCs w:val="24"/>
          <w14:textFill>
            <w14:solidFill>
              <w14:schemeClr w14:val="tx1"/>
            </w14:solidFill>
          </w14:textFill>
        </w:rPr>
        <w:t>财政局</w:t>
      </w:r>
    </w:p>
    <w:p w14:paraId="03800AEA">
      <w:pPr>
        <w:keepNext w:val="0"/>
        <w:keepLines w:val="0"/>
        <w:pageBreakBefore w:val="0"/>
        <w:widowControl/>
        <w:kinsoku/>
        <w:wordWrap/>
        <w:overflowPunct/>
        <w:topLinePunct w:val="0"/>
        <w:autoSpaceDE/>
        <w:autoSpaceDN/>
        <w:bidi w:val="0"/>
        <w:snapToGrid w:val="0"/>
        <w:spacing w:line="460" w:lineRule="exact"/>
        <w:ind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087FCFF1">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5</w:t>
      </w:r>
      <w:r>
        <w:rPr>
          <w:rFonts w:hint="eastAsia" w:ascii="宋体" w:hAnsi="宋体" w:eastAsia="宋体" w:cs="宋体"/>
          <w:bCs/>
          <w:sz w:val="24"/>
          <w:szCs w:val="24"/>
        </w:rPr>
        <w:t>货物：是指本次投标所需的各种形态和种类的物品。</w:t>
      </w:r>
    </w:p>
    <w:p w14:paraId="5EA4389F">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2.</w:t>
      </w:r>
      <w:r>
        <w:rPr>
          <w:rFonts w:hint="eastAsia" w:ascii="宋体" w:hAnsi="宋体" w:cs="宋体"/>
          <w:bCs/>
          <w:sz w:val="24"/>
          <w:szCs w:val="24"/>
          <w:lang w:val="en-US" w:eastAsia="zh-CN"/>
        </w:rPr>
        <w:t>6</w:t>
      </w:r>
      <w:r>
        <w:rPr>
          <w:rFonts w:hint="eastAsia" w:ascii="宋体" w:hAnsi="宋体" w:eastAsia="宋体" w:cs="宋体"/>
          <w:bCs/>
          <w:sz w:val="24"/>
          <w:szCs w:val="24"/>
        </w:rPr>
        <w:t>服务：指除了货物和工程外的其他政府采购对象，包含除货物以外规定由供应商承担的</w:t>
      </w:r>
      <w:r>
        <w:rPr>
          <w:rFonts w:hint="eastAsia" w:ascii="宋体" w:hAnsi="宋体" w:eastAsia="宋体" w:cs="宋体"/>
          <w:bCs/>
          <w:color w:val="000000" w:themeColor="text1"/>
          <w:sz w:val="24"/>
          <w:szCs w:val="24"/>
          <w14:textFill>
            <w14:solidFill>
              <w14:schemeClr w14:val="tx1"/>
            </w14:solidFill>
          </w14:textFill>
        </w:rPr>
        <w:t>与货物有关的辅助服务。</w:t>
      </w:r>
    </w:p>
    <w:p w14:paraId="306DA57E">
      <w:pPr>
        <w:keepNext w:val="0"/>
        <w:keepLines w:val="0"/>
        <w:pageBreakBefore w:val="0"/>
        <w:widowControl/>
        <w:kinsoku/>
        <w:wordWrap/>
        <w:overflowPunct/>
        <w:topLinePunct w:val="0"/>
        <w:bidi w:val="0"/>
        <w:snapToGrid w:val="0"/>
        <w:spacing w:line="460" w:lineRule="exact"/>
        <w:ind w:right="0" w:rightChars="0"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lang w:eastAsia="zh-CN"/>
        </w:rPr>
        <w:t>3.</w:t>
      </w:r>
      <w:r>
        <w:rPr>
          <w:rFonts w:hint="eastAsia" w:ascii="宋体" w:hAnsi="宋体" w:cs="宋体"/>
          <w:b/>
          <w:bCs/>
          <w:color w:val="auto"/>
          <w:sz w:val="24"/>
          <w:szCs w:val="24"/>
        </w:rPr>
        <w:t>合格的供应商</w:t>
      </w:r>
    </w:p>
    <w:p w14:paraId="163B420D">
      <w:pPr>
        <w:keepNext w:val="0"/>
        <w:keepLines w:val="0"/>
        <w:pageBreakBefore w:val="0"/>
        <w:widowControl/>
        <w:kinsoku/>
        <w:wordWrap/>
        <w:overflowPunct/>
        <w:topLinePunct w:val="0"/>
        <w:bidi w:val="0"/>
        <w:snapToGrid w:val="0"/>
        <w:spacing w:line="460" w:lineRule="exact"/>
        <w:ind w:right="0" w:rightChars="0"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3.1具有本项目生产、制造、加工、供应或实施能力，符合、承认并承诺履行本磋商文件各项规定的国内供应商。</w:t>
      </w:r>
    </w:p>
    <w:p w14:paraId="499C51A3">
      <w:pPr>
        <w:keepNext w:val="0"/>
        <w:keepLines w:val="0"/>
        <w:pageBreakBefore w:val="0"/>
        <w:widowControl/>
        <w:kinsoku/>
        <w:wordWrap/>
        <w:overflowPunct/>
        <w:topLinePunct w:val="0"/>
        <w:bidi w:val="0"/>
        <w:snapToGrid w:val="0"/>
        <w:spacing w:line="460" w:lineRule="exact"/>
        <w:ind w:right="0" w:rightChars="0"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3.2供应商应遵守有关的国家</w:t>
      </w:r>
      <w:r>
        <w:rPr>
          <w:rFonts w:hint="eastAsia" w:ascii="宋体" w:hAnsi="宋体" w:cs="宋体"/>
          <w:bCs/>
          <w:color w:val="auto"/>
          <w:sz w:val="24"/>
          <w:szCs w:val="24"/>
          <w:lang w:eastAsia="zh-CN"/>
        </w:rPr>
        <w:t>法律法规</w:t>
      </w:r>
      <w:r>
        <w:rPr>
          <w:rFonts w:hint="eastAsia" w:ascii="宋体" w:hAnsi="宋体" w:cs="宋体"/>
          <w:bCs/>
          <w:color w:val="auto"/>
          <w:sz w:val="24"/>
          <w:szCs w:val="24"/>
        </w:rPr>
        <w:t>和条例，具备《中华人民共和国政府采购法》和本文件中规定的条件：</w:t>
      </w:r>
    </w:p>
    <w:p w14:paraId="72254D37">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具有独立承担民事责任的能力；</w:t>
      </w:r>
    </w:p>
    <w:p w14:paraId="5D004ACC">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具有良好的商业信誉和健全的财务会计制度；</w:t>
      </w:r>
    </w:p>
    <w:p w14:paraId="138255D6">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具有履行合同所必需的产品和专业技术能力；</w:t>
      </w:r>
    </w:p>
    <w:p w14:paraId="74429AF7">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具有依法缴纳税收和社会保障资金的良好记录；</w:t>
      </w:r>
    </w:p>
    <w:p w14:paraId="2306558C">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参加此项采购活动前三年内，在经营活动中没有重大违法记录；</w:t>
      </w:r>
    </w:p>
    <w:p w14:paraId="7D3F80FB">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法律、行政法规规定的其他条件。</w:t>
      </w:r>
    </w:p>
    <w:p w14:paraId="6A9BD28B">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eastAsia="宋体" w:cs="宋体"/>
          <w:bCs/>
          <w:color w:val="000000" w:themeColor="text1"/>
          <w:sz w:val="24"/>
          <w:szCs w:val="24"/>
          <w14:textFill>
            <w14:solidFill>
              <w14:schemeClr w14:val="tx1"/>
            </w14:solidFill>
          </w14:textFill>
        </w:rPr>
        <w:t>磋商文件时应提供有效联系方式。</w:t>
      </w:r>
    </w:p>
    <w:p w14:paraId="1E6CF99C">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按磋商文件提供的格式填写</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w:t>
      </w:r>
    </w:p>
    <w:p w14:paraId="50657DDC">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cs="宋体"/>
          <w:bCs/>
          <w:color w:val="000000" w:themeColor="text1"/>
          <w:sz w:val="24"/>
          <w:szCs w:val="24"/>
          <w:lang w:eastAsia="zh-CN"/>
          <w14:textFill>
            <w14:solidFill>
              <w14:schemeClr w14:val="tx1"/>
            </w14:solidFill>
          </w14:textFill>
        </w:rPr>
        <w:t>和其他</w:t>
      </w:r>
      <w:r>
        <w:rPr>
          <w:rFonts w:hint="eastAsia" w:ascii="宋体" w:hAnsi="宋体" w:eastAsia="宋体" w:cs="宋体"/>
          <w:bCs/>
          <w:color w:val="000000" w:themeColor="text1"/>
          <w:sz w:val="24"/>
          <w:szCs w:val="24"/>
          <w14:textFill>
            <w14:solidFill>
              <w14:schemeClr w14:val="tx1"/>
            </w14:solidFill>
          </w14:textFill>
        </w:rPr>
        <w:t>文件所委托的咨询公司或其附属机构有任何关联。</w:t>
      </w:r>
    </w:p>
    <w:p w14:paraId="5F3D9F93">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3.6供应商不得存在下列情形之一：</w:t>
      </w:r>
    </w:p>
    <w:p w14:paraId="1D7000CA">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（1）与采购人或采购代理机构存在隶属关系或者其他利害关系；</w:t>
      </w:r>
    </w:p>
    <w:p w14:paraId="6483E64F">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1C98FBDC">
      <w:pPr>
        <w:keepNext w:val="0"/>
        <w:keepLines w:val="0"/>
        <w:pageBreakBefore w:val="0"/>
        <w:widowControl/>
        <w:kinsoku/>
        <w:wordWrap/>
        <w:overflowPunct/>
        <w:topLinePunct w:val="0"/>
        <w:bidi w:val="0"/>
        <w:snapToGrid w:val="0"/>
        <w:spacing w:line="460" w:lineRule="exact"/>
        <w:ind w:right="0" w:rightChars="0"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（3）</w:t>
      </w:r>
      <w:r>
        <w:rPr>
          <w:rFonts w:hint="eastAsia" w:ascii="宋体" w:hAnsi="宋体" w:eastAsia="宋体" w:cs="宋体"/>
          <w:b w:val="0"/>
          <w:bCs w:val="0"/>
          <w:color w:val="auto"/>
          <w:sz w:val="24"/>
          <w:szCs w:val="24"/>
        </w:rPr>
        <w:t>受到刑事处罚，或者受到 200万元以上罚款，责令停产停业、在一年至三年内禁止参加政府采购活动或吊销许可证、营业执照等情形之一的行政处罚，或者存在财政部门认定的其他重大违法记录</w:t>
      </w:r>
      <w:r>
        <w:rPr>
          <w:rFonts w:hint="eastAsia" w:ascii="宋体" w:hAnsi="宋体" w:cs="宋体"/>
          <w:b w:val="0"/>
          <w:bCs w:val="0"/>
          <w:color w:val="auto"/>
          <w:sz w:val="24"/>
          <w:szCs w:val="24"/>
          <w:lang w:eastAsia="zh-CN"/>
        </w:rPr>
        <w:t>；</w:t>
      </w:r>
    </w:p>
    <w:p w14:paraId="683860C2">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p>
    <w:p w14:paraId="2E019E91">
      <w:pPr>
        <w:keepNext w:val="0"/>
        <w:keepLines w:val="0"/>
        <w:pageBreakBefore w:val="0"/>
        <w:widowControl/>
        <w:kinsoku/>
        <w:wordWrap/>
        <w:overflowPunct/>
        <w:topLinePunct w:val="0"/>
        <w:autoSpaceDE/>
        <w:autoSpaceDN/>
        <w:bidi w:val="0"/>
        <w:snapToGrid w:val="0"/>
        <w:spacing w:line="460" w:lineRule="exact"/>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政府采购政策支持</w:t>
      </w:r>
    </w:p>
    <w:p w14:paraId="438FA59A">
      <w:pPr>
        <w:spacing w:line="360" w:lineRule="auto"/>
        <w:ind w:firstLine="480" w:firstLineChars="200"/>
        <w:rPr>
          <w:rFonts w:ascii="宋体" w:hAnsi="宋体"/>
          <w:color w:val="auto"/>
          <w:sz w:val="24"/>
          <w:szCs w:val="24"/>
        </w:rPr>
      </w:pPr>
      <w:r>
        <w:rPr>
          <w:rFonts w:hint="eastAsia" w:ascii="宋体" w:hAnsi="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26DFAC2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color w:val="auto"/>
          <w:sz w:val="24"/>
          <w:szCs w:val="24"/>
          <w:lang w:val="en-US" w:eastAsia="zh-CN"/>
        </w:rPr>
        <w:t>10%</w:t>
      </w:r>
      <w:r>
        <w:rPr>
          <w:rFonts w:hint="eastAsia" w:ascii="宋体" w:hAnsi="宋体"/>
          <w:color w:val="auto"/>
          <w:sz w:val="24"/>
          <w:szCs w:val="24"/>
        </w:rPr>
        <w:t xml:space="preserve">的价格扣除，用扣除后的价格参与评标。  </w:t>
      </w:r>
    </w:p>
    <w:p w14:paraId="2649334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color w:val="auto"/>
          <w:sz w:val="24"/>
          <w:szCs w:val="24"/>
          <w:lang w:eastAsia="zh-CN"/>
        </w:rPr>
        <w:t>给予</w:t>
      </w:r>
      <w:r>
        <w:rPr>
          <w:rFonts w:hint="eastAsia" w:ascii="宋体" w:hAnsi="宋体"/>
          <w:color w:val="auto"/>
          <w:sz w:val="24"/>
          <w:szCs w:val="24"/>
          <w:lang w:val="en-US" w:eastAsia="zh-CN"/>
        </w:rPr>
        <w:t>10%</w:t>
      </w:r>
      <w:r>
        <w:rPr>
          <w:rFonts w:hint="eastAsia" w:ascii="宋体" w:hAnsi="宋体"/>
          <w:color w:val="auto"/>
          <w:sz w:val="24"/>
          <w:szCs w:val="24"/>
        </w:rPr>
        <w:t>的价格扣除，用扣除后的价格参与评审；</w:t>
      </w:r>
    </w:p>
    <w:p w14:paraId="07F2EB60">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hint="eastAsia" w:ascii="宋体" w:hAnsi="宋体"/>
          <w:color w:val="auto"/>
          <w:sz w:val="24"/>
          <w:szCs w:val="24"/>
        </w:rPr>
        <w:t>）根据财政部、民政部、中国残疾人联合会下发的《关于促进残疾人就业政府采购政策的通知》（财库〔201</w:t>
      </w:r>
      <w:r>
        <w:rPr>
          <w:rFonts w:ascii="宋体" w:hAnsi="宋体"/>
          <w:color w:val="auto"/>
          <w:sz w:val="24"/>
          <w:szCs w:val="24"/>
        </w:rPr>
        <w:t>7</w:t>
      </w:r>
      <w:r>
        <w:rPr>
          <w:rFonts w:hint="eastAsia" w:ascii="宋体" w:hAnsi="宋体"/>
          <w:color w:val="auto"/>
          <w:sz w:val="24"/>
          <w:szCs w:val="24"/>
        </w:rPr>
        <w:t>〕</w:t>
      </w:r>
      <w:r>
        <w:rPr>
          <w:rFonts w:ascii="宋体" w:hAnsi="宋体"/>
          <w:color w:val="auto"/>
          <w:sz w:val="24"/>
          <w:szCs w:val="24"/>
        </w:rPr>
        <w:t>141</w:t>
      </w:r>
      <w:r>
        <w:rPr>
          <w:rFonts w:hint="eastAsia" w:ascii="宋体" w:hAnsi="宋体"/>
          <w:color w:val="auto"/>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5B5CE45">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（4）对专门面向中小企业采购项目，不再执行价格扣除政策。</w:t>
      </w:r>
    </w:p>
    <w:p w14:paraId="529AC154">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（5）对非专门面向中小企业采购项目，执行以上价格扣除政策。</w:t>
      </w:r>
    </w:p>
    <w:p w14:paraId="20718B5B">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olor w:val="auto"/>
          <w:sz w:val="24"/>
          <w:szCs w:val="24"/>
          <w:lang w:eastAsia="zh-CN"/>
        </w:rPr>
        <w:t>磋商文件</w:t>
      </w:r>
      <w:r>
        <w:rPr>
          <w:rFonts w:hint="eastAsia" w:ascii="宋体" w:hAnsi="宋体"/>
          <w:color w:val="auto"/>
          <w:sz w:val="24"/>
          <w:szCs w:val="24"/>
        </w:rPr>
        <w:t>规定的价格扣除，但不影响</w:t>
      </w:r>
      <w:r>
        <w:rPr>
          <w:rFonts w:hint="eastAsia" w:ascii="宋体" w:hAnsi="宋体"/>
          <w:color w:val="auto"/>
          <w:sz w:val="24"/>
          <w:szCs w:val="24"/>
          <w:lang w:eastAsia="zh-CN"/>
        </w:rPr>
        <w:t>响应文件</w:t>
      </w:r>
      <w:r>
        <w:rPr>
          <w:rFonts w:hint="eastAsia" w:ascii="宋体" w:hAnsi="宋体"/>
          <w:color w:val="auto"/>
          <w:sz w:val="24"/>
          <w:szCs w:val="24"/>
        </w:rPr>
        <w:t>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3DB36FC6">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 ①根据财政部、国家发展改革委《关于印发〈节能产品政府采购实施意见〉的通知》（财库〔2004〕185号）所投产品属于节能产品政府采购清单所列产品，在技术、服务同等的条件下，应当优先采用清单中的节能产品；</w:t>
      </w:r>
    </w:p>
    <w:p w14:paraId="2D964B8C">
      <w:pPr>
        <w:spacing w:line="360" w:lineRule="auto"/>
        <w:ind w:firstLine="480" w:firstLineChars="200"/>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4EF8D075">
      <w:pPr>
        <w:spacing w:line="360" w:lineRule="auto"/>
        <w:ind w:firstLine="480" w:firstLineChars="200"/>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693E7CC6">
      <w:pPr>
        <w:spacing w:line="360" w:lineRule="auto"/>
        <w:ind w:firstLine="480" w:firstLineChars="200"/>
        <w:rPr>
          <w:rFonts w:ascii="宋体" w:hAnsi="宋体"/>
          <w:color w:val="auto"/>
          <w:sz w:val="24"/>
          <w:szCs w:val="24"/>
        </w:rPr>
      </w:pPr>
      <w:r>
        <w:rPr>
          <w:rFonts w:hint="eastAsia" w:ascii="宋体" w:hAnsi="宋体"/>
          <w:color w:val="auto"/>
          <w:sz w:val="24"/>
          <w:szCs w:val="24"/>
        </w:rPr>
        <w:t>④环境标志产品根据《环境标志产品政府采购实施的意见》（财库[2006]90号）的规定，以中国政府采购网（http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78137F23">
      <w:pPr>
        <w:spacing w:line="360" w:lineRule="auto"/>
        <w:ind w:firstLine="480" w:firstLineChars="200"/>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2F4AAE7C">
      <w:pPr>
        <w:ind w:firstLine="480" w:firstLineChars="200"/>
        <w:rPr>
          <w:rFonts w:ascii="Calibri" w:hAnsi="Calibri"/>
          <w:color w:val="auto"/>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w:t>
      </w:r>
      <w:r>
        <w:rPr>
          <w:rFonts w:ascii="宋体" w:hAnsi="宋体"/>
          <w:color w:val="auto"/>
          <w:sz w:val="24"/>
          <w:szCs w:val="24"/>
        </w:rPr>
        <w:t>关于信用记录的查询和使用</w:t>
      </w:r>
    </w:p>
    <w:p w14:paraId="021978AE">
      <w:pPr>
        <w:spacing w:line="360" w:lineRule="auto"/>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color w:val="auto"/>
        </w:rPr>
        <w:fldChar w:fldCharType="begin"/>
      </w:r>
      <w:r>
        <w:rPr>
          <w:color w:val="auto"/>
        </w:rPr>
        <w:instrText xml:space="preserve"> HYPERLINK "http://www.ccgp.gov.cn/cr/list" </w:instrText>
      </w:r>
      <w:r>
        <w:rPr>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w:t>
      </w:r>
      <w:r>
        <w:rPr>
          <w:rFonts w:hint="eastAsia" w:ascii="宋体" w:hAnsi="宋体"/>
          <w:color w:val="auto"/>
          <w:sz w:val="24"/>
          <w:szCs w:val="24"/>
          <w:lang w:eastAsia="zh-CN"/>
        </w:rPr>
        <w:t>响应文件</w:t>
      </w:r>
      <w:r>
        <w:rPr>
          <w:rFonts w:hint="eastAsia" w:ascii="宋体" w:hAnsi="宋体"/>
          <w:color w:val="auto"/>
          <w:sz w:val="24"/>
          <w:szCs w:val="24"/>
        </w:rPr>
        <w:t>中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69DE63F6">
      <w:pPr>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1BA78AC6">
      <w:pPr>
        <w:spacing w:line="360" w:lineRule="auto"/>
        <w:ind w:firstLine="480" w:firstLineChars="200"/>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lang w:eastAsia="zh-CN"/>
        </w:rPr>
        <w:t>.</w:t>
      </w:r>
      <w:r>
        <w:rPr>
          <w:rFonts w:ascii="宋体" w:hAnsi="宋体"/>
          <w:color w:val="auto"/>
          <w:sz w:val="24"/>
          <w:szCs w:val="24"/>
        </w:rPr>
        <w:t>信用记录查询的截止时点为“</w:t>
      </w:r>
      <w:r>
        <w:rPr>
          <w:rFonts w:hint="eastAsia" w:ascii="宋体" w:hAnsi="宋体"/>
          <w:color w:val="auto"/>
          <w:sz w:val="24"/>
          <w:szCs w:val="24"/>
          <w:lang w:eastAsia="zh-CN"/>
        </w:rPr>
        <w:t>磋商文件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信用记录查询的结果，将以纸质截图或将截图保存至电子介质的形式留存。</w:t>
      </w:r>
    </w:p>
    <w:p w14:paraId="1168689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8</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zh-CN" w:eastAsia="zh-CN"/>
        </w:rPr>
        <w:t>融资政策</w:t>
      </w:r>
    </w:p>
    <w:p w14:paraId="12075551">
      <w:pPr>
        <w:keepNext w:val="0"/>
        <w:keepLines w:val="0"/>
        <w:pageBreakBefore w:val="0"/>
        <w:kinsoku/>
        <w:wordWrap/>
        <w:overflowPunct/>
        <w:topLinePunct w:val="0"/>
        <w:bidi w:val="0"/>
        <w:spacing w:line="460" w:lineRule="exact"/>
        <w:ind w:right="0" w:rightChars="0"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 w:val="0"/>
          <w:bCs w:val="0"/>
          <w:color w:val="auto"/>
          <w:sz w:val="24"/>
          <w:szCs w:val="24"/>
          <w:lang w:val="zh-CN" w:eastAsia="zh-CN"/>
        </w:rPr>
        <w:t>根据《陕西省财政厅关于加快推进我省中小企业政府采购信用融资工作的通知》（陕财办采</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2020</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15号）文件精神，有融资需求的</w:t>
      </w:r>
      <w:r>
        <w:rPr>
          <w:rFonts w:hint="eastAsia" w:ascii="宋体" w:hAnsi="宋体" w:cs="宋体"/>
          <w:b w:val="0"/>
          <w:bCs w:val="0"/>
          <w:color w:val="auto"/>
          <w:sz w:val="24"/>
          <w:szCs w:val="24"/>
          <w:lang w:val="en-US" w:eastAsia="zh-CN"/>
        </w:rPr>
        <w:t>中标（成交）人</w:t>
      </w:r>
      <w:r>
        <w:rPr>
          <w:rFonts w:hint="eastAsia" w:ascii="宋体" w:hAnsi="宋体" w:cs="宋体"/>
          <w:b w:val="0"/>
          <w:bCs w:val="0"/>
          <w:color w:val="auto"/>
          <w:sz w:val="24"/>
          <w:szCs w:val="24"/>
          <w:lang w:val="zh-CN" w:eastAsia="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2418E1B1">
      <w:pPr>
        <w:keepNext w:val="0"/>
        <w:keepLines w:val="0"/>
        <w:pageBreakBefore w:val="0"/>
        <w:widowControl/>
        <w:kinsoku/>
        <w:wordWrap/>
        <w:overflowPunct/>
        <w:topLinePunct w:val="0"/>
        <w:bidi w:val="0"/>
        <w:snapToGrid w:val="0"/>
        <w:spacing w:line="460" w:lineRule="exact"/>
        <w:ind w:right="0" w:rightChars="0"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lang w:eastAsia="zh-CN"/>
        </w:rPr>
        <w:t>5.</w:t>
      </w:r>
      <w:r>
        <w:rPr>
          <w:rFonts w:hint="eastAsia" w:ascii="宋体" w:hAnsi="宋体" w:cs="宋体"/>
          <w:b/>
          <w:bCs/>
          <w:color w:val="auto"/>
          <w:sz w:val="24"/>
          <w:szCs w:val="24"/>
        </w:rPr>
        <w:t>费用承担</w:t>
      </w:r>
    </w:p>
    <w:p w14:paraId="0D501D54">
      <w:pPr>
        <w:keepNext w:val="0"/>
        <w:keepLines w:val="0"/>
        <w:pageBreakBefore w:val="0"/>
        <w:widowControl/>
        <w:kinsoku/>
        <w:wordWrap/>
        <w:overflowPunct/>
        <w:topLinePunct w:val="0"/>
        <w:bidi w:val="0"/>
        <w:snapToGrid w:val="0"/>
        <w:spacing w:line="460" w:lineRule="exact"/>
        <w:ind w:right="0" w:rightChars="0" w:firstLine="480" w:firstLineChars="200"/>
        <w:jc w:val="left"/>
        <w:textAlignment w:val="auto"/>
        <w:rPr>
          <w:color w:val="auto"/>
          <w:sz w:val="24"/>
          <w:szCs w:val="24"/>
        </w:rPr>
      </w:pPr>
      <w:r>
        <w:rPr>
          <w:rFonts w:hint="eastAsia"/>
          <w:color w:val="auto"/>
          <w:sz w:val="24"/>
          <w:szCs w:val="24"/>
        </w:rPr>
        <w:t>无论磋商结果如何，供应商自行承担所有与参加磋商有关的全部费用。</w:t>
      </w:r>
    </w:p>
    <w:p w14:paraId="255852D2">
      <w:pPr>
        <w:keepNext w:val="0"/>
        <w:keepLines w:val="0"/>
        <w:pageBreakBefore w:val="0"/>
        <w:widowControl/>
        <w:kinsoku/>
        <w:wordWrap/>
        <w:overflowPunct/>
        <w:topLinePunct w:val="0"/>
        <w:autoSpaceDE/>
        <w:autoSpaceDN/>
        <w:bidi w:val="0"/>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6</w:t>
      </w:r>
      <w:r>
        <w:rPr>
          <w:rFonts w:hint="eastAsia" w:ascii="宋体" w:hAnsi="宋体" w:cs="宋体"/>
          <w:b/>
          <w:bCs/>
          <w:sz w:val="24"/>
          <w:szCs w:val="24"/>
          <w:lang w:val="en-US" w:eastAsia="zh-CN"/>
        </w:rPr>
        <w:t>.</w:t>
      </w:r>
      <w:r>
        <w:rPr>
          <w:rFonts w:hint="eastAsia" w:ascii="宋体" w:hAnsi="宋体" w:eastAsia="宋体" w:cs="宋体"/>
          <w:b/>
          <w:bCs/>
          <w:sz w:val="24"/>
          <w:szCs w:val="24"/>
        </w:rPr>
        <w:t>保密</w:t>
      </w:r>
    </w:p>
    <w:p w14:paraId="4C264265">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2484BD8D">
      <w:pPr>
        <w:keepNext w:val="0"/>
        <w:keepLines w:val="0"/>
        <w:pageBreakBefore w:val="0"/>
        <w:widowControl/>
        <w:kinsoku/>
        <w:wordWrap/>
        <w:overflowPunct/>
        <w:topLinePunct w:val="0"/>
        <w:autoSpaceDE/>
        <w:autoSpaceDN/>
        <w:bidi w:val="0"/>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7</w:t>
      </w:r>
      <w:r>
        <w:rPr>
          <w:rFonts w:hint="eastAsia" w:ascii="宋体" w:hAnsi="宋体" w:cs="宋体"/>
          <w:b/>
          <w:bCs/>
          <w:sz w:val="24"/>
          <w:szCs w:val="24"/>
          <w:lang w:val="en-US" w:eastAsia="zh-CN"/>
        </w:rPr>
        <w:t>.</w:t>
      </w:r>
      <w:r>
        <w:rPr>
          <w:rFonts w:hint="eastAsia" w:ascii="宋体" w:hAnsi="宋体" w:eastAsia="宋体" w:cs="宋体"/>
          <w:b/>
          <w:bCs/>
          <w:sz w:val="24"/>
          <w:szCs w:val="24"/>
        </w:rPr>
        <w:t>语言文字</w:t>
      </w:r>
    </w:p>
    <w:p w14:paraId="43E3E457">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244EB0FF">
      <w:pPr>
        <w:keepNext w:val="0"/>
        <w:keepLines w:val="0"/>
        <w:pageBreakBefore w:val="0"/>
        <w:widowControl/>
        <w:kinsoku/>
        <w:wordWrap/>
        <w:overflowPunct/>
        <w:topLinePunct w:val="0"/>
        <w:autoSpaceDE/>
        <w:autoSpaceDN/>
        <w:bidi w:val="0"/>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8</w:t>
      </w:r>
      <w:r>
        <w:rPr>
          <w:rFonts w:hint="eastAsia" w:ascii="宋体" w:hAnsi="宋体" w:cs="宋体"/>
          <w:b/>
          <w:bCs/>
          <w:sz w:val="24"/>
          <w:szCs w:val="24"/>
          <w:lang w:val="en-US" w:eastAsia="zh-CN"/>
        </w:rPr>
        <w:t>.</w:t>
      </w:r>
      <w:r>
        <w:rPr>
          <w:rFonts w:hint="eastAsia" w:ascii="宋体" w:hAnsi="宋体" w:eastAsia="宋体" w:cs="宋体"/>
          <w:b/>
          <w:bCs/>
          <w:sz w:val="24"/>
          <w:szCs w:val="24"/>
        </w:rPr>
        <w:t>计量单位</w:t>
      </w:r>
    </w:p>
    <w:p w14:paraId="4F271C83">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684A8E2B">
      <w:pPr>
        <w:keepNext w:val="0"/>
        <w:keepLines w:val="0"/>
        <w:pageBreakBefore w:val="0"/>
        <w:widowControl/>
        <w:kinsoku/>
        <w:wordWrap/>
        <w:overflowPunct/>
        <w:topLinePunct w:val="0"/>
        <w:autoSpaceDE/>
        <w:autoSpaceDN/>
        <w:bidi w:val="0"/>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9</w:t>
      </w:r>
      <w:r>
        <w:rPr>
          <w:rFonts w:hint="eastAsia" w:ascii="宋体" w:hAnsi="宋体" w:cs="宋体"/>
          <w:b/>
          <w:bCs/>
          <w:sz w:val="24"/>
          <w:szCs w:val="24"/>
          <w:lang w:val="en-US" w:eastAsia="zh-CN"/>
        </w:rPr>
        <w:t>.</w:t>
      </w:r>
      <w:r>
        <w:rPr>
          <w:rFonts w:hint="eastAsia" w:ascii="宋体" w:hAnsi="宋体" w:eastAsia="宋体" w:cs="宋体"/>
          <w:b/>
          <w:bCs/>
          <w:sz w:val="24"/>
          <w:szCs w:val="24"/>
        </w:rPr>
        <w:t>踏勘现场</w:t>
      </w:r>
    </w:p>
    <w:p w14:paraId="5C053E6E">
      <w:pPr>
        <w:pStyle w:val="11"/>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1615AC8F">
      <w:pPr>
        <w:keepNext w:val="0"/>
        <w:keepLines w:val="0"/>
        <w:pageBreakBefore w:val="0"/>
        <w:widowControl/>
        <w:kinsoku/>
        <w:wordWrap/>
        <w:overflowPunct/>
        <w:topLinePunct w:val="0"/>
        <w:autoSpaceDE/>
        <w:autoSpaceDN/>
        <w:bidi w:val="0"/>
        <w:snapToGrid w:val="0"/>
        <w:spacing w:line="460" w:lineRule="exac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10</w:t>
      </w:r>
      <w:r>
        <w:rPr>
          <w:rFonts w:hint="eastAsia" w:ascii="宋体" w:hAnsi="宋体" w:cs="宋体"/>
          <w:b/>
          <w:bCs/>
          <w:sz w:val="24"/>
          <w:szCs w:val="24"/>
          <w:lang w:val="en-US" w:eastAsia="zh-CN"/>
        </w:rPr>
        <w:t>.</w:t>
      </w:r>
      <w:r>
        <w:rPr>
          <w:rFonts w:hint="eastAsia" w:ascii="宋体" w:hAnsi="宋体" w:eastAsia="宋体" w:cs="宋体"/>
          <w:b/>
          <w:bCs/>
          <w:sz w:val="24"/>
          <w:szCs w:val="24"/>
        </w:rPr>
        <w:t>偏离</w:t>
      </w:r>
    </w:p>
    <w:p w14:paraId="0F664653">
      <w:pPr>
        <w:keepNext w:val="0"/>
        <w:keepLines w:val="0"/>
        <w:pageBreakBefore w:val="0"/>
        <w:widowControl/>
        <w:kinsoku/>
        <w:wordWrap/>
        <w:overflowPunct/>
        <w:topLinePunct w:val="0"/>
        <w:autoSpaceDE/>
        <w:autoSpaceDN/>
        <w:bidi w:val="0"/>
        <w:snapToGrid w:val="0"/>
        <w:spacing w:line="460" w:lineRule="exact"/>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2F4B9389">
      <w:pPr>
        <w:pageBreakBefore w:val="0"/>
        <w:widowControl/>
        <w:numPr>
          <w:ilvl w:val="0"/>
          <w:numId w:val="2"/>
        </w:numPr>
        <w:wordWrap/>
        <w:topLinePunct w:val="0"/>
        <w:autoSpaceDE/>
        <w:autoSpaceDN/>
        <w:bidi w:val="0"/>
        <w:spacing w:line="360" w:lineRule="auto"/>
        <w:ind w:left="0" w:leftChars="0" w:right="0" w:rightChars="0" w:firstLine="643" w:firstLineChars="200"/>
        <w:jc w:val="center"/>
        <w:textAlignment w:val="auto"/>
        <w:outlineLvl w:val="1"/>
        <w:rPr>
          <w:rFonts w:hint="eastAsia" w:ascii="宋体" w:hAnsi="宋体" w:eastAsia="宋体" w:cs="宋体"/>
          <w:b/>
          <w:bCs/>
          <w:kern w:val="0"/>
          <w:sz w:val="32"/>
          <w:szCs w:val="32"/>
        </w:rPr>
      </w:pPr>
      <w:bookmarkStart w:id="37" w:name="_Toc19543337"/>
      <w:bookmarkStart w:id="38" w:name="_Toc536202380"/>
      <w:bookmarkStart w:id="39" w:name="_Toc3976"/>
      <w:bookmarkStart w:id="40" w:name="_Toc536202288"/>
      <w:bookmarkStart w:id="41" w:name="_Toc536429373"/>
      <w:bookmarkStart w:id="42" w:name="_Toc536429320"/>
      <w:r>
        <w:rPr>
          <w:rFonts w:hint="eastAsia" w:ascii="宋体" w:hAnsi="宋体" w:eastAsia="宋体" w:cs="宋体"/>
          <w:b/>
          <w:bCs/>
          <w:kern w:val="0"/>
          <w:sz w:val="32"/>
          <w:szCs w:val="32"/>
        </w:rPr>
        <w:t>竞争性磋商文件</w:t>
      </w:r>
      <w:bookmarkEnd w:id="37"/>
      <w:bookmarkEnd w:id="38"/>
      <w:bookmarkEnd w:id="39"/>
      <w:bookmarkEnd w:id="40"/>
      <w:bookmarkEnd w:id="41"/>
      <w:bookmarkEnd w:id="42"/>
    </w:p>
    <w:p w14:paraId="7B813BFE">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3" w:name="_Toc536202289"/>
      <w:bookmarkStart w:id="44" w:name="_Toc5801"/>
      <w:r>
        <w:rPr>
          <w:rFonts w:hint="eastAsia" w:ascii="宋体" w:hAnsi="宋体" w:cs="宋体"/>
          <w:sz w:val="24"/>
          <w:szCs w:val="28"/>
          <w:lang w:val="en-US" w:eastAsia="zh-CN"/>
        </w:rPr>
        <w:t>1.</w:t>
      </w:r>
      <w:r>
        <w:rPr>
          <w:rFonts w:hint="eastAsia" w:ascii="宋体" w:hAnsi="宋体" w:eastAsia="宋体" w:cs="宋体"/>
          <w:sz w:val="24"/>
          <w:szCs w:val="28"/>
        </w:rPr>
        <w:t>竞争性磋商文件的构成</w:t>
      </w:r>
      <w:bookmarkEnd w:id="43"/>
      <w:bookmarkEnd w:id="44"/>
    </w:p>
    <w:p w14:paraId="6C4B46B4">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181EB3E1">
      <w:pPr>
        <w:pageBreakBefore w:val="0"/>
        <w:numPr>
          <w:ilvl w:val="0"/>
          <w:numId w:val="3"/>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竞争性磋商公告；</w:t>
      </w:r>
    </w:p>
    <w:p w14:paraId="497E36C6">
      <w:pPr>
        <w:pageBreakBefore w:val="0"/>
        <w:numPr>
          <w:ilvl w:val="0"/>
          <w:numId w:val="3"/>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供应商须知前附表；</w:t>
      </w:r>
    </w:p>
    <w:p w14:paraId="69AA13E4">
      <w:pPr>
        <w:pageBreakBefore w:val="0"/>
        <w:numPr>
          <w:ilvl w:val="0"/>
          <w:numId w:val="3"/>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w:t>
      </w:r>
    </w:p>
    <w:p w14:paraId="6735FE7F">
      <w:pPr>
        <w:pageBreakBefore w:val="0"/>
        <w:numPr>
          <w:ilvl w:val="0"/>
          <w:numId w:val="3"/>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评分标准；</w:t>
      </w:r>
    </w:p>
    <w:p w14:paraId="0094CE82">
      <w:pPr>
        <w:pageBreakBefore w:val="0"/>
        <w:numPr>
          <w:ilvl w:val="0"/>
          <w:numId w:val="3"/>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采购</w:t>
      </w:r>
      <w:r>
        <w:rPr>
          <w:rFonts w:hint="eastAsia" w:ascii="宋体" w:hAnsi="宋体" w:cs="宋体"/>
          <w:sz w:val="24"/>
          <w:szCs w:val="28"/>
          <w:lang w:val="en-US" w:eastAsia="zh-CN"/>
        </w:rPr>
        <w:t>内容及</w:t>
      </w:r>
      <w:r>
        <w:rPr>
          <w:rFonts w:hint="eastAsia" w:ascii="宋体" w:hAnsi="宋体" w:eastAsia="宋体" w:cs="宋体"/>
          <w:sz w:val="24"/>
          <w:szCs w:val="28"/>
        </w:rPr>
        <w:t>要求；</w:t>
      </w:r>
    </w:p>
    <w:p w14:paraId="50F85BEA">
      <w:pPr>
        <w:pageBreakBefore w:val="0"/>
        <w:numPr>
          <w:ilvl w:val="0"/>
          <w:numId w:val="3"/>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商务及合同主要条款</w:t>
      </w:r>
      <w:r>
        <w:rPr>
          <w:rFonts w:hint="eastAsia" w:ascii="宋体" w:hAnsi="宋体" w:eastAsia="宋体" w:cs="宋体"/>
          <w:sz w:val="24"/>
          <w:szCs w:val="28"/>
        </w:rPr>
        <w:t>；</w:t>
      </w:r>
    </w:p>
    <w:p w14:paraId="005E0F99">
      <w:pPr>
        <w:pageBreakBefore w:val="0"/>
        <w:numPr>
          <w:ilvl w:val="0"/>
          <w:numId w:val="3"/>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响应文件格式。</w:t>
      </w:r>
    </w:p>
    <w:p w14:paraId="3A705B74">
      <w:pPr>
        <w:pStyle w:val="4"/>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bookmarkStart w:id="45" w:name="_Toc536202290"/>
      <w:r>
        <w:rPr>
          <w:rFonts w:hint="eastAsia" w:ascii="宋体" w:hAnsi="宋体" w:cs="宋体"/>
          <w:sz w:val="24"/>
          <w:szCs w:val="28"/>
          <w:lang w:val="en-US" w:eastAsia="zh-CN"/>
        </w:rPr>
        <w:t>2.</w:t>
      </w:r>
      <w:r>
        <w:rPr>
          <w:rFonts w:hint="eastAsia" w:ascii="宋体" w:hAnsi="宋体" w:eastAsia="宋体" w:cs="宋体"/>
          <w:sz w:val="24"/>
          <w:szCs w:val="28"/>
        </w:rPr>
        <w:t>磋商文件的检查及阅读</w:t>
      </w:r>
      <w:bookmarkEnd w:id="45"/>
    </w:p>
    <w:p w14:paraId="5FB36EC1">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cs="宋体"/>
          <w:sz w:val="24"/>
          <w:szCs w:val="28"/>
          <w:lang w:val="en-US" w:eastAsia="zh-CN"/>
        </w:rPr>
        <w:t>无效文件</w:t>
      </w:r>
      <w:r>
        <w:rPr>
          <w:rFonts w:hint="eastAsia" w:ascii="宋体" w:hAnsi="宋体" w:eastAsia="宋体" w:cs="宋体"/>
          <w:sz w:val="24"/>
          <w:szCs w:val="28"/>
        </w:rPr>
        <w:t>处理。</w:t>
      </w:r>
    </w:p>
    <w:p w14:paraId="7F8573B9">
      <w:pPr>
        <w:pStyle w:val="4"/>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6"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46"/>
    </w:p>
    <w:p w14:paraId="2303A48B">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31511F34">
      <w:pPr>
        <w:pStyle w:val="4"/>
        <w:pageBreakBefore w:val="0"/>
        <w:numPr>
          <w:ilvl w:val="0"/>
          <w:numId w:val="0"/>
        </w:numPr>
        <w:kinsoku/>
        <w:wordWrap/>
        <w:topLinePunct w:val="0"/>
        <w:autoSpaceDE/>
        <w:autoSpaceDN/>
        <w:bidi w:val="0"/>
        <w:spacing w:line="460" w:lineRule="exact"/>
        <w:ind w:left="0" w:leftChars="0" w:right="0" w:rightChars="0" w:firstLine="482" w:firstLineChars="200"/>
        <w:textAlignment w:val="auto"/>
        <w:rPr>
          <w:rFonts w:hint="eastAsia" w:ascii="宋体" w:hAnsi="宋体" w:eastAsia="宋体" w:cs="宋体"/>
          <w:sz w:val="24"/>
          <w:szCs w:val="28"/>
        </w:rPr>
      </w:pPr>
      <w:bookmarkStart w:id="47" w:name="_Toc19797"/>
      <w:bookmarkStart w:id="48" w:name="_Toc536202293"/>
      <w:r>
        <w:rPr>
          <w:rFonts w:hint="eastAsia" w:ascii="宋体" w:hAnsi="宋体" w:cs="宋体"/>
          <w:sz w:val="24"/>
          <w:szCs w:val="28"/>
          <w:lang w:val="en-US" w:eastAsia="zh-CN"/>
        </w:rPr>
        <w:t>4.</w:t>
      </w:r>
      <w:r>
        <w:rPr>
          <w:rFonts w:hint="eastAsia" w:ascii="宋体" w:hAnsi="宋体" w:eastAsia="宋体" w:cs="宋体"/>
          <w:sz w:val="24"/>
          <w:szCs w:val="28"/>
        </w:rPr>
        <w:t>竞争性磋商文件的澄清</w:t>
      </w:r>
      <w:bookmarkEnd w:id="47"/>
      <w:bookmarkEnd w:id="48"/>
    </w:p>
    <w:p w14:paraId="58D94EFC">
      <w:pPr>
        <w:pageBreakBefore w:val="0"/>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4.1供应商应认真阅读和充分理解竞争性磋商文件中所有的事项，如有问题或</w:t>
      </w:r>
      <w:r>
        <w:rPr>
          <w:rFonts w:hint="eastAsia" w:ascii="宋体" w:hAnsi="宋体" w:cs="宋体"/>
          <w:sz w:val="24"/>
          <w:szCs w:val="28"/>
          <w:lang w:eastAsia="zh-CN"/>
        </w:rPr>
        <w:t>异议</w:t>
      </w:r>
      <w:r>
        <w:rPr>
          <w:rFonts w:hint="eastAsia" w:ascii="宋体" w:hAnsi="宋体" w:eastAsia="宋体" w:cs="宋体"/>
          <w:sz w:val="24"/>
          <w:szCs w:val="28"/>
        </w:rPr>
        <w:t>请及时函告。否则，视为同意竞争性磋商文件的一切条款和要求并承担由此引起的一切法律责任。凡因供应商对竞争性磋商文件阅读不深、理解不透、误解、疏漏</w:t>
      </w:r>
      <w:r>
        <w:rPr>
          <w:rFonts w:hint="eastAsia" w:ascii="宋体" w:hAnsi="宋体" w:cs="宋体"/>
          <w:sz w:val="24"/>
          <w:szCs w:val="28"/>
          <w:lang w:eastAsia="zh-CN"/>
        </w:rPr>
        <w:t>或</w:t>
      </w:r>
      <w:r>
        <w:rPr>
          <w:rFonts w:hint="eastAsia" w:ascii="宋体" w:hAnsi="宋体" w:eastAsia="宋体" w:cs="宋体"/>
          <w:sz w:val="24"/>
          <w:szCs w:val="28"/>
        </w:rPr>
        <w:t>因市场行情了解不清造成的后果和风险均由供应商自负。</w:t>
      </w:r>
    </w:p>
    <w:p w14:paraId="29503D51">
      <w:pPr>
        <w:pageBreakBefore w:val="0"/>
        <w:tabs>
          <w:tab w:val="left" w:pos="0"/>
        </w:tabs>
        <w:kinsoku/>
        <w:wordWrap/>
        <w:topLinePunct w:val="0"/>
        <w:autoSpaceDE/>
        <w:autoSpaceDN/>
        <w:bidi w:val="0"/>
        <w:adjustRightInd w:val="0"/>
        <w:snapToGrid w:val="0"/>
        <w:spacing w:line="460" w:lineRule="exact"/>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sz w:val="24"/>
          <w:szCs w:val="24"/>
        </w:rPr>
        <w:t>七个工作日内</w:t>
      </w:r>
      <w:r>
        <w:rPr>
          <w:rFonts w:hint="eastAsia" w:ascii="宋体" w:hAnsi="宋体" w:eastAsia="宋体" w:cs="宋体"/>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6D37E647">
      <w:pPr>
        <w:pageBreakBefore w:val="0"/>
        <w:kinsoku/>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4.3对于在规定时间内收到的投标人依法提出的询问或者质疑，采购代理机构将按程序及时</w:t>
      </w:r>
      <w:r>
        <w:rPr>
          <w:rFonts w:hint="eastAsia" w:ascii="宋体" w:hAnsi="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磋商文件</w:t>
      </w:r>
      <w:r>
        <w:rPr>
          <w:rFonts w:hint="eastAsia" w:ascii="宋体" w:hAnsi="宋体" w:eastAsia="宋体" w:cs="宋体"/>
          <w:sz w:val="24"/>
          <w:szCs w:val="24"/>
        </w:rPr>
        <w:t>做出实质性变动，则按照相关规定延长投标截止时间。</w:t>
      </w:r>
    </w:p>
    <w:p w14:paraId="74AE6F48">
      <w:pPr>
        <w:pStyle w:val="7"/>
        <w:pageBreakBefore w:val="0"/>
        <w:kinsoku/>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rPr>
      </w:pPr>
      <w:r>
        <w:rPr>
          <w:rFonts w:hint="eastAsia" w:ascii="宋体" w:hAnsi="宋体" w:eastAsia="宋体" w:cs="宋体"/>
          <w:sz w:val="24"/>
          <w:szCs w:val="24"/>
        </w:rPr>
        <w:t>4.4投标人提出质疑应当有明确的请求和必要的证明材料。</w:t>
      </w:r>
    </w:p>
    <w:p w14:paraId="529AC5CB">
      <w:pPr>
        <w:pStyle w:val="4"/>
        <w:pageBreakBefore w:val="0"/>
        <w:numPr>
          <w:ilvl w:val="0"/>
          <w:numId w:val="0"/>
        </w:numPr>
        <w:kinsoku/>
        <w:wordWrap/>
        <w:topLinePunct w:val="0"/>
        <w:autoSpaceDE/>
        <w:autoSpaceDN/>
        <w:bidi w:val="0"/>
        <w:spacing w:line="460" w:lineRule="exact"/>
        <w:ind w:left="0" w:leftChars="0" w:right="0" w:rightChars="0" w:firstLine="482" w:firstLineChars="200"/>
        <w:textAlignment w:val="auto"/>
        <w:rPr>
          <w:rFonts w:hint="eastAsia" w:ascii="宋体" w:hAnsi="宋体" w:eastAsia="宋体" w:cs="宋体"/>
          <w:sz w:val="24"/>
          <w:szCs w:val="28"/>
        </w:rPr>
      </w:pPr>
      <w:bookmarkStart w:id="49" w:name="_Toc6390"/>
      <w:bookmarkStart w:id="50" w:name="_Toc536202294"/>
      <w:r>
        <w:rPr>
          <w:rFonts w:hint="eastAsia" w:ascii="宋体" w:hAnsi="宋体" w:cs="宋体"/>
          <w:sz w:val="24"/>
          <w:szCs w:val="28"/>
          <w:lang w:val="en-US" w:eastAsia="zh-CN"/>
        </w:rPr>
        <w:t>5.</w:t>
      </w:r>
      <w:r>
        <w:rPr>
          <w:rFonts w:hint="eastAsia" w:ascii="宋体" w:hAnsi="宋体" w:eastAsia="宋体" w:cs="宋体"/>
          <w:sz w:val="24"/>
          <w:szCs w:val="28"/>
        </w:rPr>
        <w:t>竞争性磋商文件的修改</w:t>
      </w:r>
      <w:bookmarkEnd w:id="49"/>
      <w:bookmarkEnd w:id="50"/>
    </w:p>
    <w:p w14:paraId="41040A50">
      <w:pPr>
        <w:pageBreakBefore w:val="0"/>
        <w:kinsoku/>
        <w:wordWrap/>
        <w:overflowPunct w:val="0"/>
        <w:topLinePunct w:val="0"/>
        <w:autoSpaceDE/>
        <w:autoSpaceDN/>
        <w:bidi w:val="0"/>
        <w:adjustRightInd w:val="0"/>
        <w:snapToGrid w:val="0"/>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8"/>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rPr>
        <w:t>不足5日的，顺延提交响应文件的截止时间</w:t>
      </w:r>
      <w:r>
        <w:rPr>
          <w:rFonts w:hint="eastAsia" w:ascii="宋体" w:hAnsi="宋体" w:eastAsia="宋体" w:cs="宋体"/>
          <w:sz w:val="24"/>
          <w:szCs w:val="28"/>
        </w:rPr>
        <w:t>，并</w:t>
      </w:r>
      <w:r>
        <w:rPr>
          <w:rFonts w:hint="eastAsia" w:ascii="宋体" w:hAnsi="宋体" w:eastAsia="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磋商文件的单位。该澄清或者修改的内容为</w:t>
      </w:r>
      <w:r>
        <w:rPr>
          <w:rFonts w:hint="eastAsia" w:ascii="宋体" w:hAnsi="宋体" w:cs="宋体"/>
          <w:sz w:val="24"/>
          <w:szCs w:val="24"/>
          <w:lang w:val="en-US" w:eastAsia="zh-CN"/>
        </w:rPr>
        <w:t>磋商文件</w:t>
      </w:r>
      <w:r>
        <w:rPr>
          <w:rFonts w:hint="eastAsia" w:ascii="宋体" w:hAnsi="宋体" w:eastAsia="宋体" w:cs="宋体"/>
          <w:sz w:val="24"/>
          <w:szCs w:val="24"/>
        </w:rPr>
        <w:t>的组成部分。</w:t>
      </w:r>
    </w:p>
    <w:p w14:paraId="0D70F17B">
      <w:pPr>
        <w:pageBreakBefore w:val="0"/>
        <w:kinsoku/>
        <w:wordWrap/>
        <w:overflowPunct w:val="0"/>
        <w:topLinePunct w:val="0"/>
        <w:autoSpaceDE/>
        <w:autoSpaceDN/>
        <w:bidi w:val="0"/>
        <w:adjustRightInd w:val="0"/>
        <w:snapToGrid w:val="0"/>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val="en-US" w:eastAsia="zh-CN"/>
        </w:rPr>
        <w:t>磋商文件</w:t>
      </w:r>
      <w:r>
        <w:rPr>
          <w:rFonts w:hint="eastAsia" w:ascii="宋体" w:hAnsi="宋体" w:eastAsia="宋体" w:cs="宋体"/>
          <w:sz w:val="24"/>
          <w:szCs w:val="24"/>
        </w:rPr>
        <w:t>的修改书将构成</w:t>
      </w:r>
      <w:r>
        <w:rPr>
          <w:rFonts w:hint="eastAsia" w:ascii="宋体" w:hAnsi="宋体" w:cs="宋体"/>
          <w:sz w:val="24"/>
          <w:szCs w:val="24"/>
          <w:lang w:val="en-US" w:eastAsia="zh-CN"/>
        </w:rPr>
        <w:t>磋商文件</w:t>
      </w:r>
      <w:r>
        <w:rPr>
          <w:rFonts w:hint="eastAsia" w:ascii="宋体" w:hAnsi="宋体" w:eastAsia="宋体" w:cs="宋体"/>
          <w:sz w:val="24"/>
          <w:szCs w:val="24"/>
        </w:rPr>
        <w:t>的一部分，对采购人和投标人都具有约束力。</w:t>
      </w:r>
    </w:p>
    <w:p w14:paraId="4C2A0DDD">
      <w:pPr>
        <w:pageBreakBefore w:val="0"/>
        <w:kinsoku/>
        <w:wordWrap/>
        <w:topLinePunct w:val="0"/>
        <w:autoSpaceDE/>
        <w:autoSpaceDN/>
        <w:bidi w:val="0"/>
        <w:spacing w:line="460" w:lineRule="exact"/>
        <w:ind w:left="0" w:leftChars="0" w:right="0" w:rightChars="0" w:firstLine="480" w:firstLineChars="200"/>
        <w:textAlignment w:val="auto"/>
        <w:rPr>
          <w:rFonts w:hint="eastAsia"/>
        </w:rPr>
      </w:pPr>
      <w:r>
        <w:rPr>
          <w:rFonts w:hint="eastAsia" w:ascii="宋体" w:hAnsi="宋体" w:eastAsia="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w:t>
      </w:r>
    </w:p>
    <w:p w14:paraId="33E03981">
      <w:pPr>
        <w:pStyle w:val="4"/>
        <w:pageBreakBefore w:val="0"/>
        <w:numPr>
          <w:ilvl w:val="0"/>
          <w:numId w:val="0"/>
        </w:numPr>
        <w:kinsoku/>
        <w:wordWrap/>
        <w:topLinePunct w:val="0"/>
        <w:autoSpaceDE/>
        <w:autoSpaceDN/>
        <w:bidi w:val="0"/>
        <w:spacing w:line="460" w:lineRule="exact"/>
        <w:ind w:left="0" w:leftChars="0" w:right="0" w:rightChars="0" w:firstLine="482" w:firstLineChars="200"/>
        <w:textAlignment w:val="auto"/>
        <w:rPr>
          <w:rFonts w:hint="eastAsia" w:ascii="宋体" w:hAnsi="宋体" w:eastAsia="宋体" w:cs="宋体"/>
          <w:sz w:val="24"/>
          <w:szCs w:val="28"/>
        </w:rPr>
      </w:pPr>
      <w:bookmarkStart w:id="51" w:name="_Toc536202295"/>
      <w:bookmarkStart w:id="52" w:name="_Toc31188"/>
      <w:r>
        <w:rPr>
          <w:rFonts w:hint="eastAsia" w:ascii="宋体" w:hAnsi="宋体" w:cs="宋体"/>
          <w:sz w:val="24"/>
          <w:szCs w:val="28"/>
          <w:lang w:val="en-US" w:eastAsia="zh-CN"/>
        </w:rPr>
        <w:t>6.</w:t>
      </w:r>
      <w:r>
        <w:rPr>
          <w:rFonts w:hint="eastAsia" w:ascii="宋体" w:hAnsi="宋体" w:eastAsia="宋体" w:cs="宋体"/>
          <w:sz w:val="24"/>
          <w:szCs w:val="28"/>
        </w:rPr>
        <w:t>质疑</w:t>
      </w:r>
    </w:p>
    <w:p w14:paraId="2B66C5BE">
      <w:pPr>
        <w:pStyle w:val="4"/>
        <w:pageBreakBefore w:val="0"/>
        <w:kinsoku/>
        <w:wordWrap/>
        <w:topLinePunct w:val="0"/>
        <w:autoSpaceDE/>
        <w:autoSpaceDN/>
        <w:bidi w:val="0"/>
        <w:spacing w:line="460" w:lineRule="exact"/>
        <w:ind w:left="0" w:leftChars="0" w:right="0" w:rightChars="0"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rPr>
        <w:t>供应商认为磋商文件、招标过程和中标结果使自己的权益受到损害的，可以按《政府采购法》第52条执行。</w:t>
      </w:r>
    </w:p>
    <w:p w14:paraId="70322937">
      <w:pPr>
        <w:pStyle w:val="4"/>
        <w:pageBreakBefore w:val="0"/>
        <w:numPr>
          <w:ilvl w:val="0"/>
          <w:numId w:val="0"/>
        </w:numPr>
        <w:kinsoku/>
        <w:wordWrap/>
        <w:topLinePunct w:val="0"/>
        <w:autoSpaceDE/>
        <w:autoSpaceDN/>
        <w:bidi w:val="0"/>
        <w:spacing w:line="460" w:lineRule="exact"/>
        <w:ind w:left="0" w:leftChars="0"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51"/>
      <w:bookmarkEnd w:id="52"/>
    </w:p>
    <w:p w14:paraId="1997D409">
      <w:pPr>
        <w:pageBreakBefore w:val="0"/>
        <w:widowControl/>
        <w:kinsoku/>
        <w:wordWrap/>
        <w:topLinePunct w:val="0"/>
        <w:autoSpaceDE/>
        <w:autoSpaceDN/>
        <w:bidi w:val="0"/>
        <w:spacing w:line="460" w:lineRule="exact"/>
        <w:ind w:left="0" w:leftChars="0" w:firstLine="480" w:firstLineChars="200"/>
        <w:jc w:val="left"/>
        <w:textAlignment w:val="auto"/>
        <w:rPr>
          <w:rFonts w:ascii="宋体" w:hAnsi="宋体" w:cs="宋体"/>
          <w:color w:val="auto"/>
          <w:sz w:val="24"/>
          <w:szCs w:val="28"/>
        </w:rPr>
      </w:pPr>
      <w:bookmarkStart w:id="53" w:name="_Toc5095"/>
      <w:bookmarkStart w:id="54" w:name="_Toc536202296"/>
      <w:r>
        <w:rPr>
          <w:rFonts w:hint="eastAsia" w:ascii="宋体" w:hAnsi="宋体" w:cs="宋体"/>
          <w:color w:val="auto"/>
          <w:sz w:val="24"/>
          <w:szCs w:val="28"/>
        </w:rPr>
        <w:t>供应商必须从代理机构</w:t>
      </w:r>
      <w:r>
        <w:rPr>
          <w:rFonts w:hint="eastAsia" w:ascii="宋体" w:hAnsi="宋体" w:cs="宋体"/>
          <w:color w:val="auto"/>
          <w:sz w:val="24"/>
          <w:szCs w:val="28"/>
          <w:lang w:val="en-US" w:eastAsia="zh-CN"/>
        </w:rPr>
        <w:t>获取</w:t>
      </w:r>
      <w:r>
        <w:rPr>
          <w:rFonts w:hint="eastAsia" w:ascii="宋体" w:hAnsi="宋体" w:cs="宋体"/>
          <w:color w:val="auto"/>
          <w:sz w:val="24"/>
          <w:szCs w:val="28"/>
        </w:rPr>
        <w:t>竞争性磋商文件，供应商自行转让或复制竞争性磋商文件视为无效。</w:t>
      </w:r>
      <w:r>
        <w:rPr>
          <w:rFonts w:hint="eastAsia" w:ascii="宋体" w:hAnsi="宋体" w:cs="宋体"/>
          <w:color w:val="auto"/>
          <w:sz w:val="24"/>
          <w:szCs w:val="28"/>
          <w:lang w:val="en-US" w:eastAsia="zh-CN"/>
        </w:rPr>
        <w:t>本</w:t>
      </w:r>
      <w:r>
        <w:rPr>
          <w:rFonts w:hint="eastAsia" w:ascii="宋体" w:hAnsi="宋体" w:cs="宋体"/>
          <w:color w:val="auto"/>
          <w:sz w:val="24"/>
          <w:szCs w:val="28"/>
        </w:rPr>
        <w:t>竞争性磋商文件仅作为本次竞争性磋商使用。</w:t>
      </w:r>
    </w:p>
    <w:p w14:paraId="67E5C3F7">
      <w:pPr>
        <w:pStyle w:val="7"/>
        <w:pageBreakBefore w:val="0"/>
        <w:kinsoku/>
        <w:wordWrap/>
        <w:topLinePunct w:val="0"/>
        <w:autoSpaceDE/>
        <w:autoSpaceDN/>
        <w:bidi w:val="0"/>
        <w:spacing w:line="460" w:lineRule="exact"/>
        <w:ind w:left="0" w:leftChars="0" w:right="0" w:rightChars="0" w:firstLine="482" w:firstLineChars="200"/>
        <w:jc w:val="left"/>
        <w:textAlignment w:val="auto"/>
        <w:rPr>
          <w:rFonts w:hint="eastAsia" w:ascii="宋体" w:hAnsi="宋体" w:eastAsia="宋体" w:cs="宋体"/>
          <w:sz w:val="24"/>
          <w:szCs w:val="28"/>
        </w:rPr>
      </w:pPr>
      <w:r>
        <w:rPr>
          <w:rFonts w:hint="eastAsia" w:ascii="宋体" w:hAnsi="宋体" w:cs="宋体"/>
          <w:b/>
          <w:bCs/>
          <w:sz w:val="24"/>
          <w:szCs w:val="28"/>
          <w:lang w:val="en-US" w:eastAsia="zh-CN"/>
        </w:rPr>
        <w:t>8.</w:t>
      </w:r>
      <w:r>
        <w:rPr>
          <w:rFonts w:hint="eastAsia" w:ascii="宋体" w:hAnsi="宋体" w:eastAsia="宋体" w:cs="宋体"/>
          <w:b/>
          <w:bCs/>
          <w:sz w:val="24"/>
          <w:szCs w:val="28"/>
        </w:rPr>
        <w:t>竞争性磋商文件的解释权归代理机构</w:t>
      </w:r>
      <w:bookmarkEnd w:id="53"/>
      <w:bookmarkEnd w:id="54"/>
      <w:r>
        <w:rPr>
          <w:rFonts w:hint="eastAsia" w:ascii="宋体" w:hAnsi="宋体" w:eastAsia="宋体" w:cs="宋体"/>
          <w:sz w:val="24"/>
          <w:szCs w:val="28"/>
        </w:rPr>
        <w:t>（ 如发现</w:t>
      </w:r>
      <w:r>
        <w:rPr>
          <w:rFonts w:hint="eastAsia" w:ascii="宋体" w:hAnsi="宋体" w:cs="宋体"/>
          <w:sz w:val="24"/>
          <w:szCs w:val="28"/>
          <w:lang w:val="en-US" w:eastAsia="zh-CN"/>
        </w:rPr>
        <w:t>磋商文件</w:t>
      </w:r>
      <w:r>
        <w:rPr>
          <w:rFonts w:hint="eastAsia" w:ascii="宋体" w:hAnsi="宋体" w:eastAsia="宋体" w:cs="宋体"/>
          <w:sz w:val="24"/>
          <w:szCs w:val="28"/>
        </w:rPr>
        <w:t>内容与现行法律法规不相符的情况，以现行法律法规为准。</w:t>
      </w:r>
      <w:r>
        <w:rPr>
          <w:rFonts w:hint="eastAsia" w:ascii="宋体" w:hAnsi="宋体" w:cs="宋体"/>
          <w:sz w:val="24"/>
          <w:szCs w:val="28"/>
          <w:lang w:eastAsia="zh-CN"/>
        </w:rPr>
        <w:t>）</w:t>
      </w:r>
    </w:p>
    <w:p w14:paraId="4C5B1AA3">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55" w:name="_Toc536429321"/>
      <w:bookmarkStart w:id="56" w:name="_Toc536202381"/>
      <w:bookmarkStart w:id="57" w:name="_Toc622"/>
      <w:bookmarkStart w:id="58" w:name="_Toc536429374"/>
      <w:bookmarkStart w:id="59" w:name="_Toc536202297"/>
      <w:bookmarkStart w:id="60" w:name="_Toc19543338"/>
      <w:r>
        <w:rPr>
          <w:rFonts w:hint="eastAsia" w:ascii="宋体" w:hAnsi="宋体" w:eastAsia="宋体" w:cs="宋体"/>
          <w:b/>
          <w:bCs/>
          <w:kern w:val="0"/>
          <w:sz w:val="28"/>
          <w:szCs w:val="32"/>
        </w:rPr>
        <w:t>响应文件</w:t>
      </w:r>
      <w:bookmarkEnd w:id="55"/>
      <w:bookmarkEnd w:id="56"/>
      <w:bookmarkEnd w:id="57"/>
      <w:bookmarkEnd w:id="58"/>
      <w:bookmarkEnd w:id="59"/>
      <w:bookmarkEnd w:id="60"/>
    </w:p>
    <w:p w14:paraId="230303CE">
      <w:pPr>
        <w:pStyle w:val="4"/>
        <w:pageBreakBefore w:val="0"/>
        <w:wordWrap/>
        <w:overflowPunct/>
        <w:topLinePunct w:val="0"/>
        <w:autoSpaceDE/>
        <w:autoSpaceDN/>
        <w:bidi w:val="0"/>
        <w:spacing w:line="312" w:lineRule="auto"/>
        <w:ind w:firstLine="480" w:firstLineChars="200"/>
        <w:textAlignment w:val="auto"/>
        <w:rPr>
          <w:rFonts w:ascii="宋体" w:hAnsi="宋体"/>
          <w:b w:val="0"/>
          <w:bCs w:val="0"/>
          <w:sz w:val="24"/>
          <w:szCs w:val="21"/>
        </w:rPr>
      </w:pPr>
      <w:r>
        <w:rPr>
          <w:rFonts w:hint="eastAsia" w:ascii="宋体" w:hAnsi="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14:paraId="098A5B66">
      <w:pPr>
        <w:pStyle w:val="4"/>
        <w:pageBreakBefore w:val="0"/>
        <w:wordWrap/>
        <w:overflowPunct/>
        <w:topLinePunct w:val="0"/>
        <w:autoSpaceDE/>
        <w:autoSpaceDN/>
        <w:bidi w:val="0"/>
        <w:spacing w:line="312" w:lineRule="auto"/>
        <w:ind w:firstLine="480" w:firstLineChars="200"/>
        <w:textAlignment w:val="auto"/>
        <w:rPr>
          <w:rFonts w:ascii="宋体" w:hAnsi="宋体"/>
          <w:b w:val="0"/>
          <w:bCs w:val="0"/>
          <w:sz w:val="24"/>
          <w:szCs w:val="21"/>
        </w:rPr>
      </w:pPr>
      <w:r>
        <w:rPr>
          <w:rFonts w:hint="eastAsia" w:ascii="宋体" w:hAnsi="宋体"/>
          <w:b w:val="0"/>
          <w:bCs w:val="0"/>
          <w:sz w:val="24"/>
          <w:szCs w:val="21"/>
        </w:rPr>
        <w:t>投标人提交的磋商响应文件（包括产品的技术资料）以及投标人与采购代理机构就有关磋商的所有来往函电均应以中文书写。</w:t>
      </w:r>
    </w:p>
    <w:p w14:paraId="719219C5">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1.</w:t>
      </w:r>
      <w:r>
        <w:rPr>
          <w:rFonts w:hint="eastAsia" w:ascii="宋体" w:hAnsi="宋体" w:eastAsia="宋体" w:cs="宋体"/>
          <w:sz w:val="24"/>
          <w:szCs w:val="28"/>
        </w:rPr>
        <w:t>响应文件构成和格式</w:t>
      </w:r>
    </w:p>
    <w:p w14:paraId="2FC38E8E">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kern w:val="0"/>
          <w:sz w:val="24"/>
          <w:szCs w:val="24"/>
        </w:rPr>
      </w:pPr>
      <w:r>
        <w:rPr>
          <w:rFonts w:hint="eastAsia" w:ascii="宋体" w:hAnsi="宋体" w:eastAsia="宋体" w:cs="宋体"/>
          <w:bCs/>
          <w:kern w:val="0"/>
          <w:sz w:val="24"/>
          <w:szCs w:val="24"/>
        </w:rPr>
        <w:t>投标人应按照本须知响应文件构成和格式及第七部分提供的格式编写投标文件，不得缺少</w:t>
      </w:r>
      <w:r>
        <w:rPr>
          <w:rFonts w:hint="eastAsia" w:ascii="宋体" w:hAnsi="宋体" w:cs="宋体"/>
          <w:bCs/>
          <w:kern w:val="0"/>
          <w:sz w:val="24"/>
          <w:szCs w:val="24"/>
          <w:lang w:val="en-US" w:eastAsia="zh-CN"/>
        </w:rPr>
        <w:t>磋商文件</w:t>
      </w:r>
      <w:r>
        <w:rPr>
          <w:rFonts w:hint="eastAsia" w:ascii="宋体" w:hAnsi="宋体" w:eastAsia="宋体" w:cs="宋体"/>
          <w:bCs/>
          <w:kern w:val="0"/>
          <w:sz w:val="24"/>
          <w:szCs w:val="24"/>
        </w:rPr>
        <w:t>要求填写的表格或提交的资料。</w:t>
      </w:r>
    </w:p>
    <w:p w14:paraId="2D5826BA">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1" w:name="_Toc536202299"/>
      <w:r>
        <w:rPr>
          <w:rFonts w:hint="eastAsia" w:ascii="宋体" w:hAnsi="宋体" w:cs="宋体"/>
          <w:sz w:val="24"/>
          <w:szCs w:val="28"/>
          <w:lang w:val="en-US" w:eastAsia="zh-CN"/>
        </w:rPr>
        <w:t>2.</w:t>
      </w:r>
      <w:r>
        <w:rPr>
          <w:rFonts w:hint="eastAsia" w:ascii="宋体" w:hAnsi="宋体" w:eastAsia="宋体" w:cs="宋体"/>
          <w:sz w:val="24"/>
          <w:szCs w:val="28"/>
        </w:rPr>
        <w:t>磋商报价</w:t>
      </w:r>
      <w:bookmarkEnd w:id="61"/>
    </w:p>
    <w:p w14:paraId="4FC5EA72">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8"/>
          <w:szCs w:val="22"/>
        </w:rPr>
      </w:pPr>
      <w:bookmarkStart w:id="62" w:name="_Toc536202300"/>
      <w:bookmarkStart w:id="63" w:name="_Toc29200"/>
      <w:r>
        <w:rPr>
          <w:rFonts w:hint="eastAsia" w:ascii="宋体" w:hAnsi="宋体" w:eastAsia="宋体" w:cs="宋体"/>
          <w:sz w:val="24"/>
        </w:rPr>
        <w:t>（1）磋商报价为供应商充分考虑磋商文件的各项条款和所掌握的市场情况及本项目的实际情况，根据自身情况自主报价。</w:t>
      </w:r>
    </w:p>
    <w:p w14:paraId="25C8B26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（2）供应商应在响应报价表中标明本次招标所要求的货物、服务且验收合格的所有费用。</w:t>
      </w:r>
    </w:p>
    <w:p w14:paraId="7E4C3C36">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spacing w:val="4"/>
          <w:sz w:val="24"/>
        </w:rPr>
        <w:t>供应商应考虑全部材料的风险，供应商一旦成交，采购人将不再对此部分进行调整；供应商的报价应将此差异考虑在综合单价内，</w:t>
      </w:r>
      <w:r>
        <w:rPr>
          <w:rFonts w:hint="eastAsia" w:ascii="宋体" w:hAnsi="宋体" w:eastAsia="宋体" w:cs="宋体"/>
          <w:sz w:val="24"/>
          <w:szCs w:val="24"/>
        </w:rPr>
        <w:t>采购人不再承担其它任何费用</w:t>
      </w:r>
      <w:r>
        <w:rPr>
          <w:rFonts w:hint="eastAsia" w:ascii="宋体" w:hAnsi="宋体" w:eastAsia="宋体" w:cs="宋体"/>
          <w:spacing w:val="4"/>
          <w:sz w:val="24"/>
        </w:rPr>
        <w:t>。</w:t>
      </w:r>
    </w:p>
    <w:p w14:paraId="345467D2">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（4）响应报价表应有法定代表人或被授权人的签字。</w:t>
      </w:r>
    </w:p>
    <w:p w14:paraId="6F50E001">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3.</w:t>
      </w:r>
      <w:r>
        <w:rPr>
          <w:rFonts w:hint="eastAsia" w:ascii="宋体" w:hAnsi="宋体" w:eastAsia="宋体" w:cs="宋体"/>
          <w:sz w:val="24"/>
          <w:szCs w:val="28"/>
        </w:rPr>
        <w:t>磋商货币</w:t>
      </w:r>
      <w:bookmarkEnd w:id="62"/>
      <w:bookmarkEnd w:id="63"/>
    </w:p>
    <w:p w14:paraId="58389D4A">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rPr>
        <w:t>采购人只接受人民币作为唯一磋商货币。以人民币为投标货币。以元为报价单位，保留小数点后两位。</w:t>
      </w:r>
    </w:p>
    <w:p w14:paraId="6663F8B9">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4" w:name="_Toc536202302"/>
      <w:r>
        <w:rPr>
          <w:rFonts w:hint="eastAsia" w:ascii="宋体" w:hAnsi="宋体" w:cs="宋体"/>
          <w:sz w:val="24"/>
          <w:szCs w:val="28"/>
          <w:lang w:val="en-US" w:eastAsia="zh-CN"/>
        </w:rPr>
        <w:t>4.</w:t>
      </w:r>
      <w:r>
        <w:rPr>
          <w:rFonts w:hint="eastAsia" w:ascii="宋体" w:hAnsi="宋体" w:eastAsia="宋体" w:cs="宋体"/>
          <w:sz w:val="24"/>
          <w:szCs w:val="28"/>
        </w:rPr>
        <w:t>响应有效期</w:t>
      </w:r>
      <w:bookmarkEnd w:id="64"/>
    </w:p>
    <w:p w14:paraId="6E37477C">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13061BC8">
      <w:pPr>
        <w:pStyle w:val="4"/>
        <w:numPr>
          <w:ilvl w:val="0"/>
          <w:numId w:val="0"/>
        </w:numPr>
        <w:spacing w:line="360" w:lineRule="auto"/>
        <w:ind w:firstLine="482" w:firstLineChars="200"/>
        <w:rPr>
          <w:rFonts w:ascii="宋体" w:hAnsi="宋体" w:cs="宋体"/>
          <w:color w:val="auto"/>
          <w:sz w:val="24"/>
          <w:szCs w:val="28"/>
        </w:rPr>
      </w:pPr>
      <w:bookmarkStart w:id="65" w:name="_Toc536202303"/>
      <w:bookmarkStart w:id="66" w:name="_Toc24827"/>
      <w:bookmarkStart w:id="67" w:name="_Toc536202382"/>
      <w:bookmarkStart w:id="68" w:name="_Toc19543339"/>
      <w:bookmarkStart w:id="69" w:name="_Toc536202305"/>
      <w:bookmarkStart w:id="70" w:name="_Toc536429375"/>
      <w:bookmarkStart w:id="71" w:name="_Toc4747"/>
      <w:bookmarkStart w:id="72" w:name="_Toc536429322"/>
      <w:bookmarkStart w:id="73" w:name="_Toc3565"/>
      <w:bookmarkStart w:id="74" w:name="_Toc3736"/>
      <w:r>
        <w:rPr>
          <w:rFonts w:hint="eastAsia" w:ascii="宋体" w:hAnsi="宋体" w:cs="宋体"/>
          <w:color w:val="auto"/>
          <w:sz w:val="24"/>
          <w:szCs w:val="28"/>
          <w:lang w:val="en-US" w:eastAsia="zh-CN"/>
        </w:rPr>
        <w:t>5.</w:t>
      </w:r>
      <w:r>
        <w:rPr>
          <w:rFonts w:hint="eastAsia" w:ascii="宋体" w:hAnsi="宋体" w:cs="宋体"/>
          <w:color w:val="auto"/>
          <w:sz w:val="24"/>
          <w:szCs w:val="28"/>
        </w:rPr>
        <w:t>响应文件的格式、装订、密封和签署</w:t>
      </w:r>
      <w:bookmarkEnd w:id="65"/>
      <w:bookmarkEnd w:id="66"/>
    </w:p>
    <w:p w14:paraId="07C5BAAA">
      <w:pPr>
        <w:spacing w:line="312" w:lineRule="auto"/>
        <w:ind w:firstLine="480" w:firstLineChars="200"/>
        <w:jc w:val="left"/>
        <w:rPr>
          <w:rFonts w:ascii="宋体" w:hAnsi="宋体" w:cs="宋体"/>
          <w:sz w:val="24"/>
          <w:szCs w:val="28"/>
        </w:rPr>
      </w:pPr>
      <w:r>
        <w:rPr>
          <w:rFonts w:hint="eastAsia" w:ascii="宋体" w:hAnsi="宋体" w:cs="宋体"/>
          <w:sz w:val="24"/>
          <w:szCs w:val="28"/>
        </w:rPr>
        <w:t>5.1供应商须依据竞争性磋商文件内容和响应文件格式的要求编制响应文件；响应文件的正本和副本须用A4纸打印，并编制目录和页码，确保纸质</w:t>
      </w:r>
      <w:r>
        <w:rPr>
          <w:rFonts w:hint="eastAsia" w:ascii="宋体" w:hAnsi="宋体" w:cs="宋体"/>
          <w:sz w:val="24"/>
          <w:szCs w:val="28"/>
          <w:lang w:eastAsia="zh-CN"/>
        </w:rPr>
        <w:t>响应文件</w:t>
      </w:r>
      <w:r>
        <w:rPr>
          <w:rFonts w:hint="eastAsia" w:ascii="宋体" w:hAnsi="宋体" w:cs="宋体"/>
          <w:sz w:val="24"/>
          <w:szCs w:val="28"/>
        </w:rPr>
        <w:t>应与电子</w:t>
      </w:r>
      <w:r>
        <w:rPr>
          <w:rFonts w:hint="eastAsia" w:ascii="宋体" w:hAnsi="宋体" w:cs="宋体"/>
          <w:sz w:val="24"/>
          <w:szCs w:val="28"/>
          <w:lang w:eastAsia="zh-CN"/>
        </w:rPr>
        <w:t>响应文件</w:t>
      </w:r>
      <w:r>
        <w:rPr>
          <w:rFonts w:hint="eastAsia" w:ascii="宋体" w:hAnsi="宋体" w:cs="宋体"/>
          <w:sz w:val="24"/>
          <w:szCs w:val="28"/>
        </w:rPr>
        <w:t>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以为正本的复印件。</w:t>
      </w:r>
    </w:p>
    <w:p w14:paraId="478F8878">
      <w:pPr>
        <w:spacing w:line="312" w:lineRule="auto"/>
        <w:ind w:firstLine="480" w:firstLineChars="200"/>
        <w:jc w:val="left"/>
        <w:rPr>
          <w:rFonts w:ascii="宋体" w:hAnsi="宋体" w:cs="宋体"/>
          <w:sz w:val="24"/>
          <w:szCs w:val="28"/>
        </w:rPr>
      </w:pPr>
      <w:r>
        <w:rPr>
          <w:rFonts w:hint="eastAsia" w:ascii="宋体" w:hAnsi="宋体" w:cs="宋体"/>
          <w:sz w:val="24"/>
          <w:szCs w:val="28"/>
        </w:rPr>
        <w:t>5.2响应文件的装订</w:t>
      </w:r>
    </w:p>
    <w:p w14:paraId="2EE10757">
      <w:pPr>
        <w:spacing w:line="360" w:lineRule="auto"/>
        <w:ind w:firstLine="480" w:firstLineChars="200"/>
        <w:jc w:val="left"/>
        <w:rPr>
          <w:rFonts w:ascii="宋体" w:hAnsi="宋体" w:cs="宋体"/>
          <w:color w:val="000000" w:themeColor="text1"/>
          <w:sz w:val="24"/>
          <w:szCs w:val="28"/>
          <w:highlight w:val="yellow"/>
          <w14:textFill>
            <w14:solidFill>
              <w14:schemeClr w14:val="tx1"/>
            </w14:solidFill>
          </w14:textFill>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sz w:val="24"/>
          <w:szCs w:val="24"/>
        </w:rPr>
        <w:t>除在</w:t>
      </w:r>
      <w:r>
        <w:rPr>
          <w:rFonts w:hint="eastAsia" w:ascii="宋体" w:hAnsi="宋体"/>
          <w:kern w:val="0"/>
          <w:sz w:val="24"/>
          <w:szCs w:val="24"/>
          <w:lang w:val="en-US" w:eastAsia="zh-CN"/>
        </w:rPr>
        <w:t>响应</w:t>
      </w:r>
      <w:r>
        <w:rPr>
          <w:rFonts w:hint="eastAsia" w:ascii="宋体" w:hAnsi="宋体"/>
          <w:sz w:val="24"/>
          <w:szCs w:val="24"/>
        </w:rPr>
        <w:t>文件正副本中装订外，</w:t>
      </w:r>
      <w:r>
        <w:rPr>
          <w:rFonts w:hint="eastAsia" w:ascii="宋体" w:hAnsi="宋体"/>
          <w:sz w:val="24"/>
          <w:szCs w:val="24"/>
          <w:lang w:val="en-US" w:eastAsia="zh-CN"/>
        </w:rPr>
        <w:t>另外</w:t>
      </w:r>
      <w:r>
        <w:rPr>
          <w:rFonts w:hint="eastAsia" w:ascii="宋体" w:hAnsi="宋体"/>
          <w:sz w:val="24"/>
          <w:szCs w:val="24"/>
        </w:rPr>
        <w:t>制作一份单独封装在</w:t>
      </w:r>
      <w:r>
        <w:rPr>
          <w:rFonts w:hint="eastAsia" w:ascii="宋体" w:hAnsi="宋体"/>
          <w:sz w:val="24"/>
          <w:szCs w:val="24"/>
          <w:lang w:val="en-US" w:eastAsia="zh-CN"/>
        </w:rPr>
        <w:t>封袋</w:t>
      </w:r>
      <w:r>
        <w:rPr>
          <w:rFonts w:hint="eastAsia" w:ascii="宋体" w:hAnsi="宋体"/>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sz w:val="24"/>
          <w:szCs w:val="24"/>
        </w:rPr>
        <w:t>并加盖投标人公章</w:t>
      </w:r>
      <w:r>
        <w:rPr>
          <w:rFonts w:hint="eastAsia" w:ascii="宋体" w:hAnsi="宋体"/>
          <w:sz w:val="24"/>
          <w:szCs w:val="24"/>
          <w:lang w:eastAsia="zh-CN"/>
        </w:rPr>
        <w:t>（</w:t>
      </w:r>
      <w:r>
        <w:rPr>
          <w:rFonts w:hint="eastAsia" w:ascii="宋体" w:hAnsi="宋体"/>
          <w:sz w:val="24"/>
          <w:szCs w:val="24"/>
          <w:lang w:val="en-US" w:eastAsia="zh-CN"/>
        </w:rPr>
        <w:t>鲜章</w:t>
      </w:r>
      <w:r>
        <w:rPr>
          <w:rFonts w:hint="eastAsia" w:ascii="宋体" w:hAnsi="宋体"/>
          <w:sz w:val="24"/>
          <w:szCs w:val="24"/>
          <w:lang w:eastAsia="zh-CN"/>
        </w:rPr>
        <w:t>）</w:t>
      </w:r>
      <w:r>
        <w:rPr>
          <w:rFonts w:hint="eastAsia" w:ascii="宋体" w:hAnsi="宋体"/>
          <w:sz w:val="24"/>
          <w:szCs w:val="24"/>
        </w:rPr>
        <w:t>。</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ascii="宋体" w:hAnsi="宋体" w:cs="宋体"/>
          <w:color w:val="auto"/>
          <w:kern w:val="2"/>
          <w:sz w:val="24"/>
          <w:szCs w:val="24"/>
          <w:lang w:val="en-US" w:eastAsia="zh-CN" w:bidi="ar-SA"/>
        </w:rPr>
        <w:t>。</w:t>
      </w:r>
    </w:p>
    <w:p w14:paraId="3CAC9FD4">
      <w:pPr>
        <w:spacing w:line="360" w:lineRule="auto"/>
        <w:ind w:firstLine="480" w:firstLineChars="200"/>
        <w:jc w:val="left"/>
        <w:rPr>
          <w:rFonts w:ascii="宋体" w:hAnsi="宋体" w:cs="宋体"/>
          <w:sz w:val="24"/>
          <w:szCs w:val="28"/>
        </w:rPr>
      </w:pPr>
      <w:r>
        <w:rPr>
          <w:rFonts w:hint="eastAsia" w:ascii="宋体" w:hAnsi="宋体" w:cs="宋体"/>
          <w:sz w:val="24"/>
          <w:szCs w:val="28"/>
        </w:rPr>
        <w:t>5.3响应文件的签署</w:t>
      </w:r>
    </w:p>
    <w:p w14:paraId="171F4E1E">
      <w:pPr>
        <w:numPr>
          <w:ilvl w:val="0"/>
          <w:numId w:val="4"/>
        </w:numPr>
        <w:spacing w:line="360" w:lineRule="auto"/>
        <w:jc w:val="left"/>
        <w:rPr>
          <w:rFonts w:ascii="宋体" w:hAnsi="宋体" w:cs="宋体"/>
          <w:sz w:val="24"/>
          <w:szCs w:val="28"/>
        </w:rPr>
      </w:pPr>
      <w:r>
        <w:rPr>
          <w:rFonts w:hint="eastAsia" w:ascii="宋体" w:hAnsi="宋体" w:cs="宋体"/>
          <w:sz w:val="24"/>
          <w:szCs w:val="28"/>
        </w:rPr>
        <w:t>供应商应在</w:t>
      </w:r>
      <w:r>
        <w:rPr>
          <w:rFonts w:hint="eastAsia" w:ascii="宋体" w:hAnsi="宋体" w:cs="宋体"/>
          <w:sz w:val="24"/>
          <w:szCs w:val="28"/>
          <w:lang w:eastAsia="zh-CN"/>
        </w:rPr>
        <w:t>响应文件</w:t>
      </w:r>
      <w:r>
        <w:rPr>
          <w:rFonts w:hint="eastAsia" w:ascii="宋体" w:hAnsi="宋体" w:cs="宋体"/>
          <w:sz w:val="24"/>
          <w:szCs w:val="28"/>
        </w:rPr>
        <w:t>正副本中指定的页面落款处填写供应商全称，并按要求加盖公章及签字</w:t>
      </w:r>
      <w:r>
        <w:rPr>
          <w:rFonts w:hint="eastAsia" w:ascii="宋体" w:hAnsi="宋体" w:cs="宋体"/>
          <w:sz w:val="24"/>
          <w:szCs w:val="28"/>
          <w:lang w:eastAsia="zh-CN"/>
        </w:rPr>
        <w:t>（</w:t>
      </w:r>
      <w:r>
        <w:rPr>
          <w:rFonts w:hint="eastAsia" w:ascii="宋体" w:hAnsi="宋体" w:cs="宋体"/>
          <w:sz w:val="24"/>
          <w:szCs w:val="28"/>
        </w:rPr>
        <w:t>包括</w:t>
      </w:r>
      <w:r>
        <w:rPr>
          <w:rFonts w:hint="eastAsia" w:ascii="宋体" w:hAnsi="宋体" w:cs="宋体"/>
          <w:sz w:val="24"/>
          <w:szCs w:val="28"/>
          <w:lang w:eastAsia="zh-CN"/>
        </w:rPr>
        <w:t>响应文件</w:t>
      </w:r>
      <w:r>
        <w:rPr>
          <w:rFonts w:hint="eastAsia" w:ascii="宋体" w:hAnsi="宋体" w:cs="宋体"/>
          <w:sz w:val="24"/>
          <w:szCs w:val="28"/>
        </w:rPr>
        <w:t>的封面）侧面还需加盖骑缝章。</w:t>
      </w:r>
    </w:p>
    <w:p w14:paraId="472BE9A4">
      <w:pPr>
        <w:numPr>
          <w:ilvl w:val="0"/>
          <w:numId w:val="4"/>
        </w:numPr>
        <w:spacing w:line="360" w:lineRule="auto"/>
        <w:ind w:firstLine="480" w:firstLineChars="200"/>
        <w:jc w:val="left"/>
        <w:rPr>
          <w:rFonts w:ascii="宋体" w:hAnsi="宋体" w:cs="宋体"/>
          <w:sz w:val="24"/>
          <w:szCs w:val="28"/>
        </w:rPr>
      </w:pPr>
      <w:r>
        <w:rPr>
          <w:rFonts w:hint="eastAsia" w:ascii="宋体" w:hAnsi="宋体" w:cs="宋体"/>
          <w:sz w:val="24"/>
          <w:szCs w:val="28"/>
        </w:rPr>
        <w:t>响应文件应字迹清楚、内容齐全、不得涂改或增删。如有修改和增删，必须有供应商公章及法定代表人或其授权代表签字。</w:t>
      </w:r>
    </w:p>
    <w:p w14:paraId="2254CDEF">
      <w:pPr>
        <w:keepNext w:val="0"/>
        <w:keepLines w:val="0"/>
        <w:pageBreakBefore w:val="0"/>
        <w:numPr>
          <w:ilvl w:val="0"/>
          <w:numId w:val="4"/>
        </w:numPr>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sz w:val="24"/>
          <w:szCs w:val="28"/>
        </w:rPr>
        <w:t>因响应文件字迹潦草或表达不清所引起的不利后果由供应商承担。</w:t>
      </w:r>
    </w:p>
    <w:p w14:paraId="6ED41D5F">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sz w:val="24"/>
          <w:szCs w:val="28"/>
        </w:rPr>
        <w:t>5.4响应文件的密封</w:t>
      </w:r>
    </w:p>
    <w:p w14:paraId="7D1A372E">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14:textFill>
            <w14:solidFill>
              <w14:schemeClr w14:val="tx1"/>
            </w14:solidFill>
          </w14:textFill>
        </w:rPr>
        <w:t>文件、响应文件正本、副本应分开封装在单独的封袋中（封袋不得有破损），且在封袋正面标明“正本”“副本”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14:textFill>
            <w14:solidFill>
              <w14:schemeClr w14:val="tx1"/>
            </w14:solidFill>
          </w14:textFill>
        </w:rPr>
        <w:t>，电子版放置正本密封袋内。封袋应加贴封条，并在封线处加盖供应商鲜章，封袋正面要粘贴供应商全称、项目名称、编号等标识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cs="宋体"/>
          <w:color w:val="000000" w:themeColor="text1"/>
          <w:sz w:val="24"/>
          <w:szCs w:val="28"/>
          <w14:textFill>
            <w14:solidFill>
              <w14:schemeClr w14:val="tx1"/>
            </w14:solidFill>
          </w14:textFill>
        </w:rPr>
        <w:t>。</w:t>
      </w:r>
    </w:p>
    <w:p w14:paraId="65861A4B">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color w:val="000000" w:themeColor="text1"/>
          <w:sz w:val="24"/>
          <w:szCs w:val="28"/>
          <w14:textFill>
            <w14:solidFill>
              <w14:schemeClr w14:val="tx1"/>
            </w14:solidFill>
          </w14:textFill>
        </w:rPr>
        <w:t>如果供应商未按上述要求密封及加写标</w:t>
      </w:r>
      <w:r>
        <w:rPr>
          <w:rFonts w:hint="eastAsia" w:ascii="宋体" w:hAnsi="宋体" w:cs="宋体"/>
          <w:sz w:val="24"/>
          <w:szCs w:val="28"/>
        </w:rPr>
        <w:t>记，误投或过早启封的响应文件，将自行承担其响应文件被视为无效响应文件的风险。</w:t>
      </w:r>
    </w:p>
    <w:p w14:paraId="46DDD2F2">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5.5本次磋商只接受简体中文文字的响应文件；如响应文件中出现外文资料，必须配以中文译文。否则，由此引发的一切责任由供应商自负。</w:t>
      </w:r>
    </w:p>
    <w:p w14:paraId="7861C96C">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5.6拒绝接受以电话、传真、电子邮件形式的磋商。</w:t>
      </w:r>
    </w:p>
    <w:p w14:paraId="4E5A4083">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r>
        <w:rPr>
          <w:rFonts w:hint="eastAsia" w:ascii="宋体" w:hAnsi="宋体" w:eastAsia="宋体" w:cs="宋体"/>
          <w:b/>
          <w:bCs/>
          <w:kern w:val="0"/>
          <w:sz w:val="28"/>
          <w:szCs w:val="32"/>
        </w:rPr>
        <w:t>响应文件的递交</w:t>
      </w:r>
      <w:bookmarkEnd w:id="67"/>
      <w:bookmarkEnd w:id="68"/>
      <w:bookmarkEnd w:id="69"/>
      <w:bookmarkEnd w:id="70"/>
      <w:bookmarkEnd w:id="71"/>
      <w:bookmarkEnd w:id="72"/>
      <w:bookmarkEnd w:id="73"/>
      <w:r>
        <w:rPr>
          <w:rFonts w:hint="eastAsia" w:ascii="宋体" w:hAnsi="宋体" w:eastAsia="宋体" w:cs="宋体"/>
          <w:b/>
          <w:bCs/>
          <w:kern w:val="0"/>
          <w:sz w:val="28"/>
          <w:szCs w:val="32"/>
        </w:rPr>
        <w:t xml:space="preserve"> </w:t>
      </w:r>
    </w:p>
    <w:bookmarkEnd w:id="74"/>
    <w:p w14:paraId="70078CB9">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75" w:name="_Toc3685"/>
      <w:bookmarkStart w:id="76" w:name="_Toc536202306"/>
      <w:r>
        <w:rPr>
          <w:rFonts w:hint="eastAsia" w:ascii="宋体" w:hAnsi="宋体" w:cs="宋体"/>
          <w:sz w:val="24"/>
          <w:szCs w:val="28"/>
          <w:lang w:val="en-US" w:eastAsia="zh-CN"/>
        </w:rPr>
        <w:t>11.</w:t>
      </w:r>
      <w:r>
        <w:rPr>
          <w:rFonts w:hint="eastAsia" w:ascii="宋体" w:hAnsi="宋体" w:eastAsia="宋体" w:cs="宋体"/>
          <w:sz w:val="24"/>
          <w:szCs w:val="28"/>
        </w:rPr>
        <w:t>响应文件递交</w:t>
      </w:r>
      <w:bookmarkEnd w:id="75"/>
      <w:bookmarkEnd w:id="76"/>
    </w:p>
    <w:p w14:paraId="5A34551D">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4766A136">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1.2代理机构在宣布递交响应文件时间截止之后，拒绝接收任何人送达、递交的响应文件及其他资料；</w:t>
      </w:r>
    </w:p>
    <w:p w14:paraId="5C98BFE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1.3代理机构不接受邮寄的响应文件；</w:t>
      </w:r>
    </w:p>
    <w:p w14:paraId="523E6D2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1.4无论供应商成交与否，其响应文件恕不退还。</w:t>
      </w:r>
    </w:p>
    <w:p w14:paraId="3DDC38DA">
      <w:pPr>
        <w:pStyle w:val="4"/>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77" w:name="_Toc536202307"/>
      <w:bookmarkStart w:id="78" w:name="_Toc12741"/>
      <w:r>
        <w:rPr>
          <w:rFonts w:hint="eastAsia" w:ascii="宋体" w:hAnsi="宋体" w:cs="宋体"/>
          <w:sz w:val="24"/>
          <w:szCs w:val="28"/>
          <w:lang w:val="en-US" w:eastAsia="zh-CN"/>
        </w:rPr>
        <w:t>2.</w:t>
      </w:r>
      <w:r>
        <w:rPr>
          <w:rFonts w:hint="eastAsia" w:ascii="宋体" w:hAnsi="宋体" w:eastAsia="宋体" w:cs="宋体"/>
          <w:sz w:val="24"/>
          <w:szCs w:val="28"/>
        </w:rPr>
        <w:t>响应文件的修改和撤回</w:t>
      </w:r>
      <w:bookmarkEnd w:id="77"/>
      <w:bookmarkEnd w:id="78"/>
    </w:p>
    <w:p w14:paraId="051BA67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2.1供应商在递交响应文件以后，在规定的投标截止时间之前</w:t>
      </w:r>
      <w:r>
        <w:rPr>
          <w:rFonts w:hint="eastAsia" w:ascii="宋体" w:hAnsi="宋体" w:cs="宋体"/>
          <w:sz w:val="24"/>
          <w:szCs w:val="28"/>
          <w:lang w:eastAsia="zh-CN"/>
        </w:rPr>
        <w:t>，</w:t>
      </w:r>
      <w:r>
        <w:rPr>
          <w:rFonts w:hint="eastAsia" w:ascii="宋体" w:hAnsi="宋体" w:eastAsia="宋体" w:cs="宋体"/>
          <w:sz w:val="24"/>
          <w:szCs w:val="28"/>
        </w:rPr>
        <w:t>可以书面形式补充、修改或撤回已递交的响应文件，并以书面形式通知招标代理机构。补充、修改的内容应当按磋商文件要求密封、签署、盖章，并作为响应文件的组成部分；</w:t>
      </w:r>
    </w:p>
    <w:p w14:paraId="1E2D9A1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7C978F29">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4D0C611D">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2.4投标截止时间之后，供应商不得补充、修改响应文件。</w:t>
      </w:r>
    </w:p>
    <w:p w14:paraId="3FD772D3">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79" w:name="_Toc536429376"/>
      <w:bookmarkStart w:id="80" w:name="_Toc19543340"/>
      <w:bookmarkStart w:id="81" w:name="_Toc175"/>
      <w:bookmarkStart w:id="82" w:name="_Toc27066"/>
      <w:bookmarkStart w:id="83" w:name="_Toc14415"/>
      <w:bookmarkStart w:id="84" w:name="_Toc536429323"/>
      <w:bookmarkStart w:id="85" w:name="_Toc536202308"/>
      <w:bookmarkStart w:id="86" w:name="_Toc536202383"/>
      <w:r>
        <w:rPr>
          <w:rFonts w:hint="eastAsia" w:ascii="宋体" w:hAnsi="宋体" w:eastAsia="宋体" w:cs="宋体"/>
          <w:b/>
          <w:bCs/>
          <w:kern w:val="0"/>
          <w:sz w:val="28"/>
          <w:szCs w:val="28"/>
        </w:rPr>
        <w:t>磋商、评审、定标</w:t>
      </w:r>
      <w:bookmarkEnd w:id="79"/>
      <w:bookmarkEnd w:id="80"/>
      <w:bookmarkEnd w:id="81"/>
      <w:bookmarkEnd w:id="82"/>
      <w:bookmarkEnd w:id="83"/>
      <w:bookmarkEnd w:id="84"/>
      <w:bookmarkEnd w:id="85"/>
      <w:bookmarkEnd w:id="86"/>
    </w:p>
    <w:p w14:paraId="15988FBD">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87" w:name="_Toc536202309"/>
      <w:r>
        <w:rPr>
          <w:rFonts w:hint="eastAsia" w:ascii="宋体" w:hAnsi="宋体" w:cs="宋体"/>
          <w:sz w:val="24"/>
          <w:szCs w:val="28"/>
          <w:lang w:val="en-US" w:eastAsia="zh-CN"/>
        </w:rPr>
        <w:t>1.</w:t>
      </w:r>
      <w:r>
        <w:rPr>
          <w:rFonts w:hint="eastAsia" w:ascii="宋体" w:hAnsi="宋体" w:eastAsia="宋体" w:cs="宋体"/>
          <w:sz w:val="24"/>
          <w:szCs w:val="28"/>
        </w:rPr>
        <w:t>磋商</w:t>
      </w:r>
      <w:bookmarkEnd w:id="87"/>
    </w:p>
    <w:p w14:paraId="53B9FEB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1.1采购代理机构按磋商公告中规定的时间和地点接收供应商递交的响应文件，主持磋商会议，邀请供应商代表及采购人代表参加。</w:t>
      </w:r>
      <w:r>
        <w:rPr>
          <w:rFonts w:hint="eastAsia" w:ascii="宋体" w:hAnsi="宋体" w:eastAsia="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6DAE44B6">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1.2磋商时，当众查验投标文件密封情况，由投标人或者其推选的代表检查投标文件的密封情况，以确认各投标人的投标文件密封情况是否与递交时一致，没有被提前启封等异常情况。</w:t>
      </w:r>
    </w:p>
    <w:p w14:paraId="4F84EE01">
      <w:pPr>
        <w:pageBreakBefore w:val="0"/>
        <w:wordWrap/>
        <w:overflowPunct w:val="0"/>
        <w:topLinePunct w:val="0"/>
        <w:autoSpaceDE/>
        <w:autoSpaceDN/>
        <w:bidi w:val="0"/>
        <w:adjustRightInd w:val="0"/>
        <w:snapToGrid w:val="0"/>
        <w:spacing w:line="360" w:lineRule="auto"/>
        <w:ind w:left="0" w:leftChars="0" w:right="0" w:rightChars="0"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8"/>
        </w:rPr>
        <w:t>1.3经确认无误后，</w:t>
      </w:r>
      <w:r>
        <w:rPr>
          <w:rFonts w:hint="eastAsia" w:ascii="宋体" w:hAnsi="宋体" w:eastAsia="宋体" w:cs="宋体"/>
          <w:sz w:val="24"/>
          <w:szCs w:val="24"/>
        </w:rPr>
        <w:t>对密封合格的投标文件由代理机构工作人员现场拆封开启，密封不合格的投标文件以及按照“响应文件的修改和撤回”规定，提交了可接受的“撤回”通知书的投标文件将不予拆封。</w:t>
      </w:r>
    </w:p>
    <w:p w14:paraId="2EAA713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sz w:val="24"/>
          <w:szCs w:val="28"/>
        </w:rPr>
      </w:pPr>
      <w:r>
        <w:rPr>
          <w:rFonts w:hint="eastAsia" w:ascii="宋体" w:hAnsi="宋体" w:eastAsia="宋体" w:cs="宋体"/>
          <w:sz w:val="24"/>
          <w:szCs w:val="24"/>
        </w:rPr>
        <w:t>1.4投标文件拆封后，宣读投标人名称</w:t>
      </w:r>
      <w:r>
        <w:rPr>
          <w:rFonts w:hint="eastAsia" w:ascii="宋体" w:hAnsi="宋体" w:eastAsia="宋体" w:cs="宋体"/>
          <w:bCs/>
          <w:color w:val="000000"/>
          <w:sz w:val="24"/>
          <w:szCs w:val="24"/>
        </w:rPr>
        <w:t>。</w:t>
      </w:r>
    </w:p>
    <w:p w14:paraId="3103C8C0">
      <w:pPr>
        <w:pStyle w:val="4"/>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bookmarkStart w:id="88" w:name="_Toc536202310"/>
      <w:r>
        <w:rPr>
          <w:rFonts w:hint="eastAsia" w:ascii="宋体" w:hAnsi="宋体" w:cs="宋体"/>
          <w:sz w:val="24"/>
          <w:szCs w:val="28"/>
          <w:lang w:val="en-US" w:eastAsia="zh-CN"/>
        </w:rPr>
        <w:t>2.</w:t>
      </w:r>
      <w:r>
        <w:rPr>
          <w:rFonts w:hint="eastAsia" w:ascii="宋体" w:hAnsi="宋体" w:eastAsia="宋体" w:cs="宋体"/>
          <w:sz w:val="24"/>
          <w:szCs w:val="28"/>
        </w:rPr>
        <w:t>磋商小组</w:t>
      </w:r>
      <w:bookmarkEnd w:id="88"/>
    </w:p>
    <w:p w14:paraId="5F861BC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bookmarkStart w:id="89" w:name="_Toc386129876"/>
      <w:bookmarkStart w:id="90" w:name="_Toc28085"/>
      <w:bookmarkStart w:id="91" w:name="_Toc385958808"/>
      <w:bookmarkStart w:id="92" w:name="_Toc536202311"/>
      <w:bookmarkStart w:id="93" w:name="_Toc27940"/>
      <w:r>
        <w:rPr>
          <w:rFonts w:hint="eastAsia" w:ascii="宋体" w:hAnsi="宋体" w:eastAsia="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2E54ECB8">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（1）要严格遵守政府采购相关法律制度，依法履行各自职责，公正、客观、审慎地组织和参与评审工作；</w:t>
      </w:r>
    </w:p>
    <w:p w14:paraId="7CCFF9CB">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（2）对所有响应文件逐一进行资格性、符合性审查，并</w:t>
      </w:r>
      <w:r>
        <w:rPr>
          <w:rFonts w:hint="eastAsia" w:ascii="宋体" w:hAnsi="宋体" w:cs="宋体"/>
          <w:sz w:val="24"/>
          <w:lang w:eastAsia="zh-CN"/>
        </w:rPr>
        <w:t>作出评价</w:t>
      </w:r>
      <w:r>
        <w:rPr>
          <w:rFonts w:hint="eastAsia" w:ascii="宋体" w:hAnsi="宋体" w:eastAsia="宋体" w:cs="宋体"/>
          <w:sz w:val="24"/>
        </w:rPr>
        <w:t>；</w:t>
      </w:r>
    </w:p>
    <w:p w14:paraId="30C9FC25">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（3）按磋商文件规定的评审方法和标准，进行比较和评价；对供应商的价格分等客观评分项的评分应当一致；</w:t>
      </w:r>
    </w:p>
    <w:p w14:paraId="290DB40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（4）要求供应商对响应文件有关事项作出解释或澄清；</w:t>
      </w:r>
    </w:p>
    <w:p w14:paraId="619438F2">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（5）要依法独立评审，按照磋商文件的要求和评标标准进行评标，推荐成交候选供应商名单，对评审意见承担个人责任；</w:t>
      </w:r>
    </w:p>
    <w:p w14:paraId="0F42B04E">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（6）对需要共同认定的事项存在争议的，按照少数服从多数的原则</w:t>
      </w:r>
      <w:r>
        <w:rPr>
          <w:rFonts w:hint="eastAsia" w:ascii="宋体" w:hAnsi="宋体" w:cs="宋体"/>
          <w:sz w:val="24"/>
          <w:lang w:eastAsia="zh-CN"/>
        </w:rPr>
        <w:t>作出</w:t>
      </w:r>
      <w:r>
        <w:rPr>
          <w:rFonts w:hint="eastAsia" w:ascii="宋体" w:hAnsi="宋体" w:eastAsia="宋体" w:cs="宋体"/>
          <w:sz w:val="24"/>
        </w:rPr>
        <w:t xml:space="preserve">结论。持不同意见的磋商小组成员应当在评审报告上签署不同意见并说明理由，否则视为同意； </w:t>
      </w:r>
    </w:p>
    <w:p w14:paraId="62D04F09">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（7）对评审情况以及在评审过程中获悉的国家秘密、商业秘密负有保密责任；</w:t>
      </w:r>
    </w:p>
    <w:p w14:paraId="74927128">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 xml:space="preserve"> 配合财政部门的投诉处理工作；</w:t>
      </w:r>
    </w:p>
    <w:p w14:paraId="6B1DCD1B">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配合采购人、采购代理机构答复供应商提出的质疑。</w:t>
      </w:r>
    </w:p>
    <w:bookmarkEnd w:id="89"/>
    <w:bookmarkEnd w:id="90"/>
    <w:bookmarkEnd w:id="91"/>
    <w:bookmarkEnd w:id="92"/>
    <w:bookmarkEnd w:id="93"/>
    <w:p w14:paraId="2847D13A">
      <w:pPr>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b/>
          <w:sz w:val="24"/>
        </w:rPr>
      </w:pPr>
      <w:bookmarkStart w:id="94" w:name="_Toc536202313"/>
      <w:r>
        <w:rPr>
          <w:rFonts w:hint="eastAsia" w:ascii="宋体" w:hAnsi="宋体" w:eastAsia="宋体" w:cs="宋体"/>
          <w:b/>
          <w:sz w:val="24"/>
        </w:rPr>
        <w:t>3、响应文件的初审</w:t>
      </w:r>
    </w:p>
    <w:p w14:paraId="2C2B897C">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（1）初审分为资格性审查和符合性审查。</w:t>
      </w:r>
    </w:p>
    <w:p w14:paraId="0E177365">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（2）资格性审查：依据磋商文件第二部分供应商须知前附表</w:t>
      </w:r>
      <w:r>
        <w:rPr>
          <w:rFonts w:hint="eastAsia" w:ascii="宋体" w:hAnsi="宋体" w:cs="宋体"/>
          <w:sz w:val="24"/>
          <w:lang w:val="en-US" w:eastAsia="zh-CN"/>
        </w:rPr>
        <w:t>第9项</w:t>
      </w:r>
      <w:r>
        <w:rPr>
          <w:rFonts w:asciiTheme="minorEastAsia" w:hAnsiTheme="minorEastAsia" w:eastAsiaTheme="minorEastAsia"/>
          <w:color w:val="000000" w:themeColor="text1"/>
          <w:sz w:val="24"/>
          <w:szCs w:val="24"/>
          <w14:textFill>
            <w14:solidFill>
              <w14:schemeClr w14:val="tx1"/>
            </w14:solidFill>
          </w14:textFill>
        </w:rPr>
        <w:t>投标人资</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格</w:t>
      </w:r>
      <w:r>
        <w:rPr>
          <w:rFonts w:asciiTheme="minorEastAsia" w:hAnsiTheme="minorEastAsia" w:eastAsiaTheme="minorEastAsia"/>
          <w:color w:val="000000" w:themeColor="text1"/>
          <w:sz w:val="24"/>
          <w:szCs w:val="24"/>
          <w14:textFill>
            <w14:solidFill>
              <w14:schemeClr w14:val="tx1"/>
            </w14:solidFill>
          </w14:textFill>
        </w:rPr>
        <w:t>要求</w:t>
      </w:r>
      <w:r>
        <w:rPr>
          <w:rFonts w:hint="eastAsia" w:ascii="宋体" w:hAnsi="宋体" w:eastAsia="宋体" w:cs="宋体"/>
          <w:sz w:val="24"/>
        </w:rPr>
        <w:t>的规定，对供应商的资格证明文件进行审查，以确定供应商是否具备磋商资格。</w:t>
      </w:r>
    </w:p>
    <w:p w14:paraId="1114A975">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（3）符合性审查：依据磋商文件规定，从响应文件的有效性、完整性和对磋商文件的响应程度进行审查。</w:t>
      </w:r>
    </w:p>
    <w:tbl>
      <w:tblPr>
        <w:tblStyle w:val="3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9"/>
        <w:gridCol w:w="3770"/>
        <w:gridCol w:w="1002"/>
        <w:gridCol w:w="1497"/>
      </w:tblGrid>
      <w:tr w14:paraId="2E3B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1603CC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3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78FF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C873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1688A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0D3C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53D9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5D66E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2359" w:type="dxa"/>
            <w:tcBorders>
              <w:top w:val="single" w:color="auto" w:sz="4" w:space="0"/>
              <w:left w:val="single" w:color="auto" w:sz="4" w:space="0"/>
              <w:bottom w:val="single" w:color="auto" w:sz="4" w:space="0"/>
              <w:right w:val="single" w:color="auto" w:sz="4" w:space="0"/>
            </w:tcBorders>
            <w:vAlign w:val="top"/>
          </w:tcPr>
          <w:p w14:paraId="4E3E3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564DB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均符合</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1002" w:type="dxa"/>
            <w:tcBorders>
              <w:top w:val="single" w:color="auto" w:sz="4" w:space="0"/>
              <w:left w:val="single" w:color="auto" w:sz="4" w:space="0"/>
              <w:bottom w:val="single" w:color="auto" w:sz="4" w:space="0"/>
              <w:right w:val="single" w:color="auto" w:sz="4" w:space="0"/>
            </w:tcBorders>
            <w:vAlign w:val="top"/>
          </w:tcPr>
          <w:p w14:paraId="09DD42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E6DC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6651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vAlign w:val="top"/>
          </w:tcPr>
          <w:p w14:paraId="55F63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p>
          <w:p w14:paraId="4FC5C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2359" w:type="dxa"/>
            <w:tcBorders>
              <w:top w:val="single" w:color="auto" w:sz="4" w:space="0"/>
              <w:left w:val="single" w:color="auto" w:sz="4" w:space="0"/>
              <w:bottom w:val="single" w:color="auto" w:sz="4" w:space="0"/>
              <w:right w:val="single" w:color="auto" w:sz="4" w:space="0"/>
            </w:tcBorders>
            <w:vAlign w:val="top"/>
          </w:tcPr>
          <w:p w14:paraId="3BF33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投标文件封面、投标函、法定代表人委托授权书三处的项目名称、项目编号、标段</w:t>
            </w:r>
          </w:p>
        </w:tc>
        <w:tc>
          <w:tcPr>
            <w:tcW w:w="3770" w:type="dxa"/>
            <w:tcBorders>
              <w:top w:val="single" w:color="auto" w:sz="4" w:space="0"/>
              <w:left w:val="single" w:color="auto" w:sz="4" w:space="0"/>
              <w:bottom w:val="single" w:color="auto" w:sz="4" w:space="0"/>
              <w:right w:val="single" w:color="auto" w:sz="4" w:space="0"/>
            </w:tcBorders>
            <w:vAlign w:val="center"/>
          </w:tcPr>
          <w:p w14:paraId="52E16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vAlign w:val="top"/>
          </w:tcPr>
          <w:p w14:paraId="6F94C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E839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15B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18BA0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p>
          <w:p w14:paraId="779F7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2359" w:type="dxa"/>
            <w:tcBorders>
              <w:top w:val="single" w:color="auto" w:sz="4" w:space="0"/>
              <w:left w:val="single" w:color="auto" w:sz="4" w:space="0"/>
              <w:bottom w:val="single" w:color="auto" w:sz="4" w:space="0"/>
              <w:right w:val="single" w:color="auto" w:sz="4" w:space="0"/>
            </w:tcBorders>
            <w:vAlign w:val="center"/>
          </w:tcPr>
          <w:p w14:paraId="485BA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投标文件签署、盖章</w:t>
            </w:r>
          </w:p>
        </w:tc>
        <w:tc>
          <w:tcPr>
            <w:tcW w:w="3770" w:type="dxa"/>
            <w:tcBorders>
              <w:top w:val="single" w:color="auto" w:sz="4" w:space="0"/>
              <w:left w:val="single" w:color="auto" w:sz="4" w:space="0"/>
              <w:bottom w:val="single" w:color="auto" w:sz="4" w:space="0"/>
              <w:right w:val="single" w:color="auto" w:sz="4" w:space="0"/>
            </w:tcBorders>
            <w:vAlign w:val="top"/>
          </w:tcPr>
          <w:p w14:paraId="0E432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vAlign w:val="top"/>
          </w:tcPr>
          <w:p w14:paraId="46BF4B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2D865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38E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660" w:type="dxa"/>
            <w:tcBorders>
              <w:top w:val="single" w:color="auto" w:sz="4" w:space="0"/>
              <w:left w:val="single" w:color="auto" w:sz="4" w:space="0"/>
              <w:bottom w:val="single" w:color="auto" w:sz="4" w:space="0"/>
              <w:right w:val="single" w:color="auto" w:sz="4" w:space="0"/>
            </w:tcBorders>
            <w:vAlign w:val="top"/>
          </w:tcPr>
          <w:p w14:paraId="73340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p>
          <w:p w14:paraId="2872D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p>
          <w:p w14:paraId="13E9DB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359" w:type="dxa"/>
            <w:tcBorders>
              <w:top w:val="single" w:color="auto" w:sz="4" w:space="0"/>
              <w:left w:val="single" w:color="auto" w:sz="4" w:space="0"/>
              <w:bottom w:val="single" w:color="auto" w:sz="4" w:space="0"/>
              <w:right w:val="single" w:color="auto" w:sz="4" w:space="0"/>
            </w:tcBorders>
            <w:vAlign w:val="center"/>
          </w:tcPr>
          <w:p w14:paraId="5B92D3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eastAsia="宋体" w:cs="宋体"/>
                <w:bCs/>
                <w:color w:val="auto"/>
                <w:kern w:val="0"/>
                <w:sz w:val="24"/>
                <w:szCs w:val="24"/>
                <w:highlight w:val="none"/>
              </w:rPr>
              <w:t>投标文件组成</w:t>
            </w:r>
          </w:p>
        </w:tc>
        <w:tc>
          <w:tcPr>
            <w:tcW w:w="3770" w:type="dxa"/>
            <w:tcBorders>
              <w:top w:val="single" w:color="auto" w:sz="4" w:space="0"/>
              <w:left w:val="single" w:color="auto" w:sz="4" w:space="0"/>
              <w:bottom w:val="single" w:color="auto" w:sz="4" w:space="0"/>
              <w:right w:val="single" w:color="auto" w:sz="4" w:space="0"/>
            </w:tcBorders>
            <w:vAlign w:val="top"/>
          </w:tcPr>
          <w:p w14:paraId="04CCC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投标文件应包含以下内容：</w:t>
            </w:r>
          </w:p>
          <w:p w14:paraId="402BEF9C">
            <w:pPr>
              <w:pStyle w:val="22"/>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288" w:lineRule="auto"/>
              <w:ind w:left="0" w:right="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响应函</w:t>
            </w:r>
          </w:p>
          <w:p w14:paraId="79F2B3E3">
            <w:pPr>
              <w:pStyle w:val="22"/>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288" w:lineRule="auto"/>
              <w:ind w:left="0" w:right="0"/>
              <w:jc w:val="left"/>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响应报价</w:t>
            </w:r>
            <w:r>
              <w:rPr>
                <w:rFonts w:hint="eastAsia" w:ascii="宋体" w:hAnsi="宋体" w:eastAsia="宋体" w:cs="宋体"/>
                <w:b w:val="0"/>
                <w:bCs w:val="0"/>
                <w:color w:val="auto"/>
                <w:kern w:val="0"/>
                <w:sz w:val="24"/>
                <w:szCs w:val="24"/>
                <w:highlight w:val="none"/>
              </w:rPr>
              <w:t>表</w:t>
            </w:r>
          </w:p>
          <w:p w14:paraId="4EB76303">
            <w:pPr>
              <w:pStyle w:val="22"/>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288" w:lineRule="auto"/>
              <w:ind w:left="0" w:right="0"/>
              <w:jc w:val="left"/>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供应商资格证明文件</w:t>
            </w:r>
          </w:p>
          <w:p w14:paraId="38A845F9">
            <w:pPr>
              <w:pStyle w:val="22"/>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288" w:lineRule="auto"/>
              <w:ind w:left="0" w:right="0"/>
              <w:jc w:val="left"/>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技术及</w:t>
            </w:r>
            <w:r>
              <w:rPr>
                <w:rFonts w:hint="eastAsia" w:ascii="宋体" w:hAnsi="宋体" w:cs="宋体"/>
                <w:color w:val="000000" w:themeColor="text1"/>
                <w:kern w:val="0"/>
                <w:sz w:val="24"/>
                <w:szCs w:val="24"/>
                <w:lang w:eastAsia="zh-CN"/>
                <w14:textFill>
                  <w14:solidFill>
                    <w14:schemeClr w14:val="tx1"/>
                  </w14:solidFill>
                </w14:textFill>
              </w:rPr>
              <w:t>商务</w:t>
            </w:r>
            <w:r>
              <w:rPr>
                <w:rFonts w:hint="eastAsia" w:ascii="宋体" w:hAnsi="宋体" w:cs="宋体"/>
                <w:color w:val="000000" w:themeColor="text1"/>
                <w:kern w:val="0"/>
                <w:sz w:val="24"/>
                <w:szCs w:val="24"/>
                <w:lang w:val="en-US" w:eastAsia="zh-CN"/>
                <w14:textFill>
                  <w14:solidFill>
                    <w14:schemeClr w14:val="tx1"/>
                  </w14:solidFill>
                </w14:textFill>
              </w:rPr>
              <w:t>响应</w:t>
            </w:r>
            <w:r>
              <w:rPr>
                <w:rFonts w:hint="eastAsia" w:ascii="宋体" w:hAnsi="宋体" w:cs="宋体"/>
                <w:color w:val="000000" w:themeColor="text1"/>
                <w:kern w:val="0"/>
                <w:sz w:val="24"/>
                <w:szCs w:val="24"/>
                <w:lang w:eastAsia="zh-CN"/>
                <w14:textFill>
                  <w14:solidFill>
                    <w14:schemeClr w14:val="tx1"/>
                  </w14:solidFill>
                </w14:textFill>
              </w:rPr>
              <w:t>偏离表</w:t>
            </w:r>
          </w:p>
          <w:p w14:paraId="04D2BAF6">
            <w:pPr>
              <w:pStyle w:val="22"/>
              <w:keepNext w:val="0"/>
              <w:keepLines w:val="0"/>
              <w:numPr>
                <w:ilvl w:val="0"/>
                <w:numId w:val="5"/>
              </w:numPr>
              <w:suppressLineNumbers w:val="0"/>
              <w:spacing w:before="0" w:beforeAutospacing="0" w:after="0" w:afterAutospacing="0" w:line="288" w:lineRule="auto"/>
              <w:ind w:left="0" w:right="0"/>
              <w:rPr>
                <w:rFonts w:hint="default"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响应</w:t>
            </w:r>
            <w:r>
              <w:rPr>
                <w:rFonts w:hint="eastAsia" w:ascii="宋体" w:hAnsi="宋体" w:cs="宋体"/>
                <w:color w:val="000000" w:themeColor="text1"/>
                <w:kern w:val="0"/>
                <w:sz w:val="24"/>
                <w:szCs w:val="24"/>
                <w14:textFill>
                  <w14:solidFill>
                    <w14:schemeClr w14:val="tx1"/>
                  </w14:solidFill>
                </w14:textFill>
              </w:rPr>
              <w:t>方案</w:t>
            </w:r>
          </w:p>
          <w:p w14:paraId="37473A5B">
            <w:pPr>
              <w:pStyle w:val="22"/>
              <w:keepNext w:val="0"/>
              <w:keepLines w:val="0"/>
              <w:pageBreakBefore w:val="0"/>
              <w:numPr>
                <w:ilvl w:val="0"/>
                <w:numId w:val="5"/>
              </w:numPr>
              <w:suppressLineNumbers w:val="0"/>
              <w:kinsoku/>
              <w:wordWrap/>
              <w:overflowPunct/>
              <w:topLinePunct w:val="0"/>
              <w:autoSpaceDE/>
              <w:autoSpaceDN/>
              <w:bidi w:val="0"/>
              <w:adjustRightInd/>
              <w:spacing w:before="0" w:beforeAutospacing="0" w:after="0" w:afterAutospacing="0" w:line="288" w:lineRule="auto"/>
              <w:ind w:left="0" w:right="0"/>
              <w:jc w:val="left"/>
              <w:textAlignment w:val="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rPr>
              <w:t>承诺书</w:t>
            </w:r>
          </w:p>
        </w:tc>
        <w:tc>
          <w:tcPr>
            <w:tcW w:w="1002" w:type="dxa"/>
            <w:tcBorders>
              <w:top w:val="single" w:color="auto" w:sz="4" w:space="0"/>
              <w:left w:val="single" w:color="auto" w:sz="4" w:space="0"/>
              <w:bottom w:val="single" w:color="auto" w:sz="4" w:space="0"/>
              <w:right w:val="single" w:color="auto" w:sz="4" w:space="0"/>
            </w:tcBorders>
            <w:vAlign w:val="top"/>
          </w:tcPr>
          <w:p w14:paraId="7098E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90C3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86E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660" w:type="dxa"/>
            <w:tcBorders>
              <w:top w:val="single" w:color="auto" w:sz="4" w:space="0"/>
              <w:left w:val="single" w:color="auto" w:sz="4" w:space="0"/>
              <w:bottom w:val="single" w:color="auto" w:sz="4" w:space="0"/>
              <w:right w:val="single" w:color="auto" w:sz="4" w:space="0"/>
            </w:tcBorders>
            <w:vAlign w:val="top"/>
          </w:tcPr>
          <w:p w14:paraId="144DE8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p>
          <w:p w14:paraId="23E63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359" w:type="dxa"/>
            <w:tcBorders>
              <w:top w:val="single" w:color="auto" w:sz="4" w:space="0"/>
              <w:left w:val="single" w:color="auto" w:sz="4" w:space="0"/>
              <w:bottom w:val="single" w:color="auto" w:sz="4" w:space="0"/>
              <w:right w:val="single" w:color="auto" w:sz="4" w:space="0"/>
            </w:tcBorders>
            <w:vAlign w:val="center"/>
          </w:tcPr>
          <w:p w14:paraId="3424B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7ECED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w:t>
            </w:r>
          </w:p>
        </w:tc>
        <w:tc>
          <w:tcPr>
            <w:tcW w:w="1002" w:type="dxa"/>
            <w:tcBorders>
              <w:top w:val="single" w:color="auto" w:sz="4" w:space="0"/>
              <w:left w:val="single" w:color="auto" w:sz="4" w:space="0"/>
              <w:bottom w:val="single" w:color="auto" w:sz="4" w:space="0"/>
              <w:right w:val="single" w:color="auto" w:sz="4" w:space="0"/>
            </w:tcBorders>
            <w:vAlign w:val="center"/>
          </w:tcPr>
          <w:p w14:paraId="16F60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28FE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67C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1A257E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p>
          <w:p w14:paraId="24DC4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w:t>
            </w:r>
          </w:p>
        </w:tc>
        <w:tc>
          <w:tcPr>
            <w:tcW w:w="2359" w:type="dxa"/>
            <w:tcBorders>
              <w:top w:val="single" w:color="auto" w:sz="4" w:space="0"/>
              <w:left w:val="single" w:color="auto" w:sz="4" w:space="0"/>
              <w:bottom w:val="single" w:color="auto" w:sz="4" w:space="0"/>
              <w:right w:val="single" w:color="auto" w:sz="4" w:space="0"/>
            </w:tcBorders>
            <w:vAlign w:val="center"/>
          </w:tcPr>
          <w:p w14:paraId="457AF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报价</w:t>
            </w:r>
          </w:p>
        </w:tc>
        <w:tc>
          <w:tcPr>
            <w:tcW w:w="3770" w:type="dxa"/>
            <w:tcBorders>
              <w:top w:val="single" w:color="auto" w:sz="4" w:space="0"/>
              <w:left w:val="single" w:color="auto" w:sz="4" w:space="0"/>
              <w:bottom w:val="single" w:color="auto" w:sz="4" w:space="0"/>
              <w:right w:val="single" w:color="auto" w:sz="4" w:space="0"/>
            </w:tcBorders>
            <w:vAlign w:val="top"/>
          </w:tcPr>
          <w:p w14:paraId="43844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报价符合唯一性要求：</w:t>
            </w:r>
          </w:p>
          <w:p w14:paraId="44C7B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3EC9F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eastAsia="zh-CN"/>
              </w:rPr>
              <w:t>磋商文件</w:t>
            </w:r>
            <w:r>
              <w:rPr>
                <w:rFonts w:hint="eastAsia" w:ascii="宋体" w:hAnsi="宋体" w:eastAsia="宋体" w:cs="宋体"/>
                <w:bCs/>
                <w:color w:val="auto"/>
                <w:kern w:val="0"/>
                <w:sz w:val="24"/>
                <w:szCs w:val="24"/>
                <w:highlight w:val="none"/>
              </w:rPr>
              <w:t>规定的最高限价；</w:t>
            </w:r>
          </w:p>
        </w:tc>
        <w:tc>
          <w:tcPr>
            <w:tcW w:w="1002" w:type="dxa"/>
            <w:tcBorders>
              <w:top w:val="single" w:color="auto" w:sz="4" w:space="0"/>
              <w:left w:val="single" w:color="auto" w:sz="4" w:space="0"/>
              <w:bottom w:val="single" w:color="auto" w:sz="4" w:space="0"/>
              <w:right w:val="single" w:color="auto" w:sz="4" w:space="0"/>
            </w:tcBorders>
            <w:vAlign w:val="top"/>
          </w:tcPr>
          <w:p w14:paraId="45EF2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2D4E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6A9D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08DE2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p>
          <w:p w14:paraId="077D2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w:t>
            </w:r>
          </w:p>
        </w:tc>
        <w:tc>
          <w:tcPr>
            <w:tcW w:w="2359" w:type="dxa"/>
            <w:tcBorders>
              <w:top w:val="single" w:color="auto" w:sz="4" w:space="0"/>
              <w:left w:val="single" w:color="auto" w:sz="4" w:space="0"/>
              <w:bottom w:val="single" w:color="auto" w:sz="4" w:space="0"/>
              <w:right w:val="single" w:color="auto" w:sz="4" w:space="0"/>
            </w:tcBorders>
            <w:vAlign w:val="center"/>
          </w:tcPr>
          <w:p w14:paraId="00DA5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eastAsia="zh-CN"/>
              </w:rPr>
              <w:t>磋商文件</w:t>
            </w:r>
            <w:r>
              <w:rPr>
                <w:rFonts w:hint="eastAsia" w:ascii="宋体" w:hAnsi="宋体" w:eastAsia="宋体" w:cs="宋体"/>
                <w:bCs/>
                <w:color w:val="auto"/>
                <w:kern w:val="0"/>
                <w:sz w:val="24"/>
                <w:szCs w:val="24"/>
                <w:highlight w:val="none"/>
              </w:rPr>
              <w:t>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1576E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要求的各项实质性条款。</w:t>
            </w:r>
          </w:p>
        </w:tc>
        <w:tc>
          <w:tcPr>
            <w:tcW w:w="1002" w:type="dxa"/>
            <w:tcBorders>
              <w:top w:val="single" w:color="auto" w:sz="4" w:space="0"/>
              <w:left w:val="single" w:color="auto" w:sz="4" w:space="0"/>
              <w:bottom w:val="single" w:color="auto" w:sz="4" w:space="0"/>
              <w:right w:val="single" w:color="auto" w:sz="4" w:space="0"/>
            </w:tcBorders>
            <w:vAlign w:val="top"/>
          </w:tcPr>
          <w:p w14:paraId="26B39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17D07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6F54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0" w:type="dxa"/>
            <w:tcBorders>
              <w:top w:val="single" w:color="auto" w:sz="4" w:space="0"/>
              <w:left w:val="single" w:color="auto" w:sz="4" w:space="0"/>
              <w:bottom w:val="single" w:color="auto" w:sz="4" w:space="0"/>
              <w:right w:val="single" w:color="auto" w:sz="4" w:space="0"/>
            </w:tcBorders>
            <w:vAlign w:val="top"/>
          </w:tcPr>
          <w:p w14:paraId="69895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dxa"/>
            <w:tcBorders>
              <w:top w:val="single" w:color="auto" w:sz="4" w:space="0"/>
              <w:left w:val="single" w:color="auto" w:sz="4" w:space="0"/>
              <w:bottom w:val="single" w:color="auto" w:sz="4" w:space="0"/>
              <w:right w:val="single" w:color="auto" w:sz="4" w:space="0"/>
            </w:tcBorders>
            <w:vAlign w:val="center"/>
          </w:tcPr>
          <w:p w14:paraId="6DE17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5083B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合同主要条款。</w:t>
            </w:r>
          </w:p>
        </w:tc>
        <w:tc>
          <w:tcPr>
            <w:tcW w:w="1002" w:type="dxa"/>
            <w:tcBorders>
              <w:top w:val="single" w:color="auto" w:sz="4" w:space="0"/>
              <w:left w:val="single" w:color="auto" w:sz="4" w:space="0"/>
              <w:bottom w:val="single" w:color="auto" w:sz="4" w:space="0"/>
              <w:right w:val="single" w:color="auto" w:sz="4" w:space="0"/>
            </w:tcBorders>
            <w:vAlign w:val="top"/>
          </w:tcPr>
          <w:p w14:paraId="0BBFE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B1CE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bl>
    <w:p w14:paraId="0BF9A6A4">
      <w:pPr>
        <w:pStyle w:val="11"/>
        <w:rPr>
          <w:rFonts w:hint="eastAsia"/>
        </w:rPr>
      </w:pPr>
    </w:p>
    <w:p w14:paraId="69239E57">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（4）磋商时，响应文件中出现下列情况，修正原则为：</w:t>
      </w:r>
    </w:p>
    <w:p w14:paraId="56EBA21B">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color w:val="000000"/>
          <w:sz w:val="24"/>
        </w:rPr>
        <w:t>A</w:t>
      </w:r>
      <w:r>
        <w:rPr>
          <w:rFonts w:hint="eastAsia" w:ascii="宋体" w:hAnsi="宋体" w:cs="宋体"/>
          <w:color w:val="000000"/>
          <w:sz w:val="24"/>
          <w:lang w:eastAsia="zh-CN"/>
        </w:rPr>
        <w:t>.</w:t>
      </w:r>
      <w:r>
        <w:rPr>
          <w:rFonts w:hint="eastAsia" w:ascii="宋体" w:hAnsi="宋体" w:eastAsia="宋体" w:cs="宋体"/>
          <w:color w:val="000000"/>
          <w:sz w:val="24"/>
        </w:rPr>
        <w:t>响应文件中响应报价表内容与响应文件中明细内容不一致的，以响应报价表为准；</w:t>
      </w:r>
    </w:p>
    <w:p w14:paraId="5EED95A0">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B</w:t>
      </w:r>
      <w:r>
        <w:rPr>
          <w:rFonts w:hint="eastAsia" w:ascii="宋体" w:hAnsi="宋体" w:cs="宋体"/>
          <w:sz w:val="24"/>
          <w:lang w:eastAsia="zh-CN"/>
        </w:rPr>
        <w:t>.</w:t>
      </w:r>
      <w:r>
        <w:rPr>
          <w:rFonts w:hint="eastAsia" w:ascii="宋体" w:hAnsi="宋体" w:eastAsia="宋体" w:cs="宋体"/>
          <w:sz w:val="24"/>
        </w:rPr>
        <w:t>大写金额和小写金额不一致的，以大写金额为准；</w:t>
      </w:r>
    </w:p>
    <w:p w14:paraId="0B019566">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C</w:t>
      </w:r>
      <w:r>
        <w:rPr>
          <w:rFonts w:hint="eastAsia" w:ascii="宋体" w:hAnsi="宋体" w:cs="宋体"/>
          <w:sz w:val="24"/>
          <w:lang w:eastAsia="zh-CN"/>
        </w:rPr>
        <w:t>.</w:t>
      </w:r>
      <w:r>
        <w:rPr>
          <w:rFonts w:hint="eastAsia" w:ascii="宋体" w:hAnsi="宋体" w:eastAsia="宋体" w:cs="宋体"/>
          <w:sz w:val="24"/>
        </w:rPr>
        <w:t>单价金额小数点或者百分比有明显错位的，以</w:t>
      </w:r>
      <w:r>
        <w:rPr>
          <w:rFonts w:hint="eastAsia" w:ascii="宋体" w:hAnsi="宋体" w:eastAsia="宋体" w:cs="宋体"/>
          <w:color w:val="000000"/>
          <w:sz w:val="24"/>
        </w:rPr>
        <w:t>响应报价表</w:t>
      </w:r>
      <w:r>
        <w:rPr>
          <w:rFonts w:hint="eastAsia" w:ascii="宋体" w:hAnsi="宋体" w:eastAsia="宋体" w:cs="宋体"/>
          <w:sz w:val="24"/>
        </w:rPr>
        <w:t>的总价为准，并修改单价；</w:t>
      </w:r>
    </w:p>
    <w:p w14:paraId="5A37C7E1">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sz w:val="24"/>
        </w:rPr>
        <w:t>D</w:t>
      </w:r>
      <w:r>
        <w:rPr>
          <w:rFonts w:hint="eastAsia" w:ascii="宋体" w:hAnsi="宋体" w:cs="宋体"/>
          <w:sz w:val="24"/>
          <w:lang w:eastAsia="zh-CN"/>
        </w:rPr>
        <w:t>.</w:t>
      </w:r>
      <w:r>
        <w:rPr>
          <w:rFonts w:hint="eastAsia" w:ascii="宋体" w:hAnsi="宋体" w:eastAsia="宋体" w:cs="宋体"/>
          <w:sz w:val="24"/>
        </w:rPr>
        <w:t xml:space="preserve">总价金额与按单价汇总金额不一致的，以单价金额计算结果为准； </w:t>
      </w:r>
    </w:p>
    <w:p w14:paraId="78CAD7A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E</w:t>
      </w:r>
      <w:r>
        <w:rPr>
          <w:rFonts w:hint="eastAsia" w:ascii="宋体" w:hAnsi="宋体" w:cs="宋体"/>
          <w:sz w:val="24"/>
          <w:lang w:eastAsia="zh-CN"/>
        </w:rPr>
        <w:t>.</w:t>
      </w:r>
      <w:r>
        <w:rPr>
          <w:rFonts w:hint="eastAsia" w:ascii="宋体" w:hAnsi="宋体" w:eastAsia="宋体" w:cs="宋体"/>
          <w:sz w:val="24"/>
        </w:rPr>
        <w:t>响应文件正本与副本不一致的，以正本为准；</w:t>
      </w:r>
    </w:p>
    <w:p w14:paraId="696BB9EF">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F</w:t>
      </w:r>
      <w:r>
        <w:rPr>
          <w:rFonts w:hint="eastAsia" w:ascii="宋体" w:hAnsi="宋体" w:cs="宋体"/>
          <w:sz w:val="24"/>
          <w:lang w:eastAsia="zh-CN"/>
        </w:rPr>
        <w:t>.</w:t>
      </w:r>
      <w:r>
        <w:rPr>
          <w:rFonts w:hint="eastAsia" w:ascii="宋体" w:hAnsi="宋体" w:eastAsia="宋体" w:cs="宋体"/>
          <w:sz w:val="24"/>
        </w:rPr>
        <w:t>多处内容交叉不符时，以磋商小组评审结果为准；</w:t>
      </w:r>
    </w:p>
    <w:p w14:paraId="2A6C81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u w:val="none"/>
        </w:rPr>
      </w:pPr>
      <w:r>
        <w:rPr>
          <w:rFonts w:hint="eastAsia" w:ascii="宋体" w:hAnsi="宋体" w:eastAsia="宋体" w:cs="宋体"/>
          <w:sz w:val="24"/>
          <w:u w:val="none"/>
        </w:rPr>
        <w:t xml:space="preserve"> G</w:t>
      </w:r>
      <w:r>
        <w:rPr>
          <w:rFonts w:hint="eastAsia" w:ascii="宋体" w:hAnsi="宋体" w:cs="宋体"/>
          <w:sz w:val="24"/>
          <w:u w:val="none"/>
          <w:lang w:eastAsia="zh-CN"/>
        </w:rPr>
        <w:t>.</w:t>
      </w:r>
      <w:r>
        <w:rPr>
          <w:rFonts w:hint="eastAsia" w:ascii="宋体" w:hAnsi="宋体" w:eastAsia="宋体" w:cs="宋体"/>
          <w:sz w:val="24"/>
          <w:u w:val="none"/>
        </w:rPr>
        <w:t>文字与图表不符的，以文字为准。</w:t>
      </w:r>
    </w:p>
    <w:p w14:paraId="725F343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同时出现两种以上不一致的</w:t>
      </w:r>
    </w:p>
    <w:p w14:paraId="3DE01D5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57D1593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（5）磋商开始后，直到向成交供应商授予合同为止，凡审查、澄清、评价和比较磋商的有关资料，磋商小组成员均不得向供应商及与磋商无关的其他人透露。</w:t>
      </w:r>
    </w:p>
    <w:p w14:paraId="79328EFF">
      <w:pPr>
        <w:pageBreakBefore w:val="0"/>
        <w:kinsoku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5883B2C1">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7FFC733C">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37BFDE57">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4A4775FF">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07BD4757">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p>
    <w:p w14:paraId="5D21572E">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澄清</w:t>
      </w:r>
    </w:p>
    <w:p w14:paraId="6E978B12">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DCCF7E">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FF0000"/>
          <w:sz w:val="24"/>
        </w:rPr>
      </w:pPr>
      <w:r>
        <w:rPr>
          <w:rFonts w:hint="eastAsia" w:ascii="宋体" w:hAnsi="宋体" w:eastAsia="宋体" w:cs="宋体"/>
          <w:sz w:val="24"/>
        </w:rPr>
        <w:t>（2）实质性内容包括但不限于：</w:t>
      </w:r>
      <w:r>
        <w:rPr>
          <w:rFonts w:hint="eastAsia" w:ascii="宋体" w:hAnsi="宋体" w:eastAsia="宋体" w:cs="宋体"/>
          <w:color w:val="000000" w:themeColor="text1"/>
          <w:sz w:val="24"/>
          <w14:textFill>
            <w14:solidFill>
              <w14:schemeClr w14:val="tx1"/>
            </w14:solidFill>
          </w14:textFill>
        </w:rPr>
        <w:t>服务期、付款方式、</w:t>
      </w:r>
      <w:r>
        <w:rPr>
          <w:rFonts w:hint="eastAsia" w:ascii="宋体" w:hAnsi="宋体" w:cs="宋体"/>
          <w:color w:val="000000" w:themeColor="text1"/>
          <w:sz w:val="24"/>
          <w:lang w:val="en-US" w:eastAsia="zh-CN"/>
          <w14:textFill>
            <w14:solidFill>
              <w14:schemeClr w14:val="tx1"/>
            </w14:solidFill>
          </w14:textFill>
        </w:rPr>
        <w:t>安全指标、</w:t>
      </w:r>
      <w:r>
        <w:rPr>
          <w:rFonts w:hint="eastAsia" w:ascii="宋体" w:hAnsi="宋体" w:eastAsia="宋体" w:cs="宋体"/>
          <w:color w:val="000000" w:themeColor="text1"/>
          <w:sz w:val="24"/>
          <w14:textFill>
            <w14:solidFill>
              <w14:schemeClr w14:val="tx1"/>
            </w14:solidFill>
          </w14:textFill>
        </w:rPr>
        <w:t>质量指标、主要技术指标等。</w:t>
      </w:r>
    </w:p>
    <w:p w14:paraId="201CCB77">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（3）磋商小组要求供应商澄清、说明或者更正响应文件应当以书面形式作出，并由其法定代表人或被授权人签字。</w:t>
      </w:r>
    </w:p>
    <w:p w14:paraId="70896E89">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4"/>
    <w:p w14:paraId="700B9ECA">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bookmarkStart w:id="95" w:name="_Toc536202314"/>
      <w:bookmarkStart w:id="96" w:name="_Toc12947"/>
      <w:r>
        <w:rPr>
          <w:rFonts w:hint="eastAsia" w:ascii="宋体" w:hAnsi="宋体" w:cs="宋体"/>
          <w:sz w:val="24"/>
          <w:szCs w:val="24"/>
          <w:lang w:val="en-US" w:eastAsia="zh-CN"/>
        </w:rPr>
        <w:t>6.</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0BFEEB72">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（1）按照磋商文件规定的评审方法和标准，对资格性审查和符合性审查合格的响应文件进行商务和技术评审，综合比较和评价。</w:t>
      </w:r>
    </w:p>
    <w:p w14:paraId="44D9DB6C">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7473986E">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67A8159F">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磋商小组须对畸高、畸低的重大差异评分进行复核或书面说明理由。</w:t>
      </w:r>
    </w:p>
    <w:p w14:paraId="10E62E5C">
      <w:pPr>
        <w:pStyle w:val="4"/>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r>
        <w:rPr>
          <w:rFonts w:hint="eastAsia" w:ascii="宋体" w:hAnsi="宋体" w:cs="宋体"/>
          <w:sz w:val="24"/>
          <w:szCs w:val="28"/>
          <w:lang w:val="en-US" w:eastAsia="zh-CN"/>
        </w:rPr>
        <w:t>7.</w:t>
      </w:r>
      <w:r>
        <w:rPr>
          <w:rFonts w:hint="eastAsia" w:ascii="宋体" w:hAnsi="宋体" w:eastAsia="宋体" w:cs="宋体"/>
          <w:sz w:val="24"/>
          <w:szCs w:val="28"/>
        </w:rPr>
        <w:t>定标</w:t>
      </w:r>
      <w:bookmarkEnd w:id="95"/>
      <w:bookmarkEnd w:id="96"/>
    </w:p>
    <w:p w14:paraId="3EDC935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7</w:t>
      </w:r>
      <w:r>
        <w:rPr>
          <w:rFonts w:hint="eastAsia" w:ascii="宋体" w:hAnsi="宋体" w:eastAsia="宋体" w:cs="宋体"/>
          <w:sz w:val="24"/>
          <w:szCs w:val="28"/>
        </w:rPr>
        <w:t>.1代理机构在评审结束后2个工作日内将评审报告送达采购单位，采购单位在收到评审报告后5个工作日内，按照评审报告中推荐的成交候选人顺序确认第一成交候选人为成交单位，同时书面复函代理机构；</w:t>
      </w:r>
    </w:p>
    <w:p w14:paraId="0C44A387">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7</w:t>
      </w:r>
      <w:r>
        <w:rPr>
          <w:rFonts w:hint="eastAsia" w:ascii="宋体" w:hAnsi="宋体" w:eastAsia="宋体" w:cs="宋体"/>
          <w:sz w:val="24"/>
          <w:szCs w:val="28"/>
        </w:rPr>
        <w:t>.2代理机构收到采购单位“</w:t>
      </w:r>
      <w:r>
        <w:rPr>
          <w:rFonts w:hint="eastAsia" w:ascii="宋体" w:hAnsi="宋体" w:cs="宋体"/>
          <w:sz w:val="24"/>
          <w:szCs w:val="28"/>
          <w:lang w:val="en-US" w:eastAsia="zh-CN"/>
        </w:rPr>
        <w:t>成交</w:t>
      </w:r>
      <w:r>
        <w:rPr>
          <w:rFonts w:hint="eastAsia" w:ascii="宋体" w:hAnsi="宋体" w:eastAsia="宋体" w:cs="宋体"/>
          <w:sz w:val="24"/>
          <w:szCs w:val="28"/>
        </w:rPr>
        <w:t>复函”后2</w:t>
      </w:r>
      <w:r>
        <w:rPr>
          <w:rFonts w:hint="eastAsia" w:ascii="宋体" w:hAnsi="宋体" w:cs="宋体"/>
          <w:sz w:val="24"/>
          <w:szCs w:val="28"/>
          <w:lang w:val="en-US" w:eastAsia="zh-CN"/>
        </w:rPr>
        <w:t>个工作</w:t>
      </w:r>
      <w:r>
        <w:rPr>
          <w:rFonts w:hint="eastAsia" w:ascii="宋体" w:hAnsi="宋体" w:eastAsia="宋体" w:cs="宋体"/>
          <w:sz w:val="24"/>
          <w:szCs w:val="28"/>
        </w:rPr>
        <w:t>日内，在财政部门指定的政府采购信息媒体上发布公告，并向成交供应商发出“成交通知书”。</w:t>
      </w:r>
    </w:p>
    <w:p w14:paraId="3C63B61C">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97" w:name="_Toc536202384"/>
      <w:bookmarkStart w:id="98" w:name="_Toc536202315"/>
      <w:bookmarkStart w:id="99" w:name="_Toc19972"/>
      <w:bookmarkStart w:id="100" w:name="_Toc25308"/>
      <w:bookmarkStart w:id="101" w:name="_Toc19543341"/>
      <w:bookmarkStart w:id="102" w:name="_Toc11870"/>
      <w:bookmarkStart w:id="103" w:name="_Toc536429324"/>
      <w:bookmarkStart w:id="104" w:name="_Toc536429377"/>
      <w:r>
        <w:rPr>
          <w:rFonts w:hint="eastAsia" w:ascii="宋体" w:hAnsi="宋体" w:eastAsia="宋体" w:cs="宋体"/>
          <w:b/>
          <w:bCs/>
          <w:kern w:val="0"/>
          <w:sz w:val="28"/>
          <w:szCs w:val="28"/>
        </w:rPr>
        <w:t>签订合同</w:t>
      </w:r>
      <w:bookmarkEnd w:id="97"/>
      <w:bookmarkEnd w:id="98"/>
      <w:bookmarkEnd w:id="99"/>
      <w:bookmarkEnd w:id="100"/>
      <w:bookmarkEnd w:id="101"/>
      <w:bookmarkEnd w:id="102"/>
      <w:bookmarkEnd w:id="103"/>
      <w:bookmarkEnd w:id="104"/>
    </w:p>
    <w:p w14:paraId="5198C592">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1.</w:t>
      </w:r>
      <w:r>
        <w:rPr>
          <w:rFonts w:hint="eastAsia" w:ascii="宋体" w:hAnsi="宋体" w:cs="宋体"/>
          <w:color w:val="auto"/>
          <w:sz w:val="24"/>
        </w:rPr>
        <w:t>成交后，成交供应商在收到成交通知书后</w:t>
      </w:r>
      <w:r>
        <w:rPr>
          <w:rFonts w:hint="eastAsia" w:ascii="宋体" w:hAnsi="宋体" w:cs="宋体"/>
          <w:color w:val="auto"/>
          <w:sz w:val="24"/>
          <w:lang w:val="en-US" w:eastAsia="zh-CN"/>
        </w:rPr>
        <w:t>二十五</w:t>
      </w:r>
      <w:r>
        <w:rPr>
          <w:rFonts w:hint="eastAsia" w:ascii="宋体" w:hAnsi="宋体" w:cs="宋体"/>
          <w:color w:val="auto"/>
          <w:sz w:val="24"/>
        </w:rPr>
        <w:t>（</w:t>
      </w:r>
      <w:r>
        <w:rPr>
          <w:rFonts w:hint="eastAsia" w:ascii="宋体" w:hAnsi="宋体" w:cs="宋体"/>
          <w:color w:val="auto"/>
          <w:sz w:val="24"/>
          <w:lang w:val="en-US" w:eastAsia="zh-CN"/>
        </w:rPr>
        <w:t>25</w:t>
      </w:r>
      <w:r>
        <w:rPr>
          <w:rFonts w:hint="eastAsia" w:ascii="宋体" w:hAnsi="宋体" w:cs="宋体"/>
          <w:color w:val="auto"/>
          <w:sz w:val="24"/>
        </w:rPr>
        <w:t>）个日历日内，应按磋商文件的要求与采购人洽谈合同条款，并签订供货合同，同时送监督机构备案，磋商文件及成交供应商的响应文件均作为合同的组成部分；</w:t>
      </w:r>
    </w:p>
    <w:p w14:paraId="02D9D9D7">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2.</w:t>
      </w:r>
      <w:r>
        <w:rPr>
          <w:rFonts w:hint="eastAsia" w:ascii="宋体" w:hAnsi="宋体" w:cs="宋体"/>
          <w:color w:val="auto"/>
          <w:sz w:val="24"/>
          <w:szCs w:val="28"/>
        </w:rPr>
        <w:t>采购人不得向成交供应商提出超出磋商文件以外的任何要求作为签订合同的条件，不得与成交供应商订立背离磋商文件确定的合同文本以及采购服务要求实质性内容的协议。</w:t>
      </w:r>
    </w:p>
    <w:p w14:paraId="776B455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cs="宋体"/>
          <w:color w:val="auto"/>
          <w:sz w:val="24"/>
        </w:rPr>
      </w:pPr>
      <w:r>
        <w:rPr>
          <w:rFonts w:hint="eastAsia" w:ascii="宋体" w:hAnsi="宋体" w:cs="宋体"/>
          <w:color w:val="auto"/>
          <w:sz w:val="24"/>
          <w:lang w:eastAsia="zh-CN"/>
        </w:rPr>
        <w:t>3.</w:t>
      </w:r>
      <w:r>
        <w:rPr>
          <w:rFonts w:hint="eastAsia" w:ascii="宋体" w:hAnsi="宋体" w:cs="宋体"/>
          <w:color w:val="auto"/>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23D45998">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4.</w:t>
      </w:r>
      <w:r>
        <w:rPr>
          <w:rFonts w:hint="eastAsia" w:ascii="宋体" w:hAnsi="宋体" w:cs="宋体"/>
          <w:color w:val="auto"/>
          <w:sz w:val="24"/>
        </w:rPr>
        <w:t>政府采购合同在执行过程中，确需修改、变更时，应当按照相应的审核批准程序办理。</w:t>
      </w:r>
    </w:p>
    <w:p w14:paraId="10CA07B3">
      <w:pPr>
        <w:spacing w:line="360" w:lineRule="auto"/>
        <w:ind w:firstLine="480" w:firstLineChars="200"/>
        <w:rPr>
          <w:rFonts w:ascii="宋体" w:hAnsi="宋体" w:cs="宋体"/>
          <w:color w:val="auto"/>
          <w:sz w:val="24"/>
        </w:rPr>
      </w:pPr>
      <w:bookmarkStart w:id="105" w:name="_Toc536202385"/>
      <w:bookmarkStart w:id="106" w:name="_Toc536429325"/>
      <w:bookmarkStart w:id="107" w:name="_Toc32237"/>
      <w:bookmarkStart w:id="108" w:name="_Toc536202316"/>
      <w:bookmarkStart w:id="109" w:name="_Toc19543342"/>
      <w:bookmarkStart w:id="110" w:name="_Toc26132"/>
      <w:bookmarkStart w:id="111" w:name="_Toc536429378"/>
      <w:bookmarkStart w:id="112" w:name="_Toc28110"/>
      <w:r>
        <w:rPr>
          <w:rFonts w:hint="eastAsia" w:ascii="宋体" w:hAnsi="宋体" w:cs="宋体"/>
          <w:color w:val="auto"/>
          <w:sz w:val="24"/>
          <w:lang w:eastAsia="zh-CN"/>
        </w:rPr>
        <w:t>5.</w:t>
      </w:r>
      <w:r>
        <w:rPr>
          <w:rFonts w:hint="eastAsia" w:ascii="宋体" w:hAnsi="宋体" w:cs="宋体"/>
          <w:color w:val="auto"/>
          <w:sz w:val="24"/>
        </w:rPr>
        <w:t>磋商文件、响应文件、澄清等为政府采购合同的组成部分，具有同等法律效力。</w:t>
      </w:r>
    </w:p>
    <w:p w14:paraId="7FBE94B9">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6.</w:t>
      </w:r>
      <w:r>
        <w:rPr>
          <w:rFonts w:hint="eastAsia" w:ascii="宋体" w:hAnsi="宋体" w:cs="宋体"/>
          <w:color w:val="auto"/>
          <w:sz w:val="24"/>
        </w:rPr>
        <w:t>政府采购管理部门在合同履行期间以及履行期后，可以随时检查项目的执行情况，对采购标准、采购内容进行调查核实，并对发现的问题进行处理。</w:t>
      </w:r>
    </w:p>
    <w:p w14:paraId="5A5E5D6C">
      <w:pPr>
        <w:pageBreakBefore w:val="0"/>
        <w:widowControl/>
        <w:numPr>
          <w:ilvl w:val="0"/>
          <w:numId w:val="2"/>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代理服务费</w:t>
      </w:r>
      <w:bookmarkEnd w:id="105"/>
      <w:bookmarkEnd w:id="106"/>
      <w:bookmarkEnd w:id="107"/>
      <w:bookmarkEnd w:id="108"/>
      <w:bookmarkEnd w:id="109"/>
      <w:bookmarkEnd w:id="110"/>
      <w:bookmarkEnd w:id="111"/>
      <w:bookmarkEnd w:id="112"/>
    </w:p>
    <w:p w14:paraId="1EAB3257">
      <w:pPr>
        <w:numPr>
          <w:ilvl w:val="0"/>
          <w:numId w:val="0"/>
        </w:numPr>
        <w:spacing w:line="360" w:lineRule="auto"/>
        <w:ind w:firstLine="480" w:firstLineChars="200"/>
        <w:jc w:val="left"/>
        <w:rPr>
          <w:rFonts w:ascii="宋体" w:hAnsi="宋体" w:cs="宋体"/>
          <w:color w:val="auto"/>
          <w:sz w:val="24"/>
          <w:szCs w:val="28"/>
        </w:rPr>
      </w:pPr>
      <w:bookmarkStart w:id="113" w:name="_Toc536429379"/>
      <w:bookmarkStart w:id="114" w:name="_Toc536202386"/>
      <w:bookmarkStart w:id="115" w:name="_Toc19543343"/>
      <w:bookmarkStart w:id="116" w:name="_Toc536429326"/>
      <w:bookmarkStart w:id="117" w:name="_Toc664"/>
      <w:bookmarkStart w:id="118" w:name="_Toc11491"/>
      <w:bookmarkStart w:id="119" w:name="_Toc536202317"/>
      <w:r>
        <w:rPr>
          <w:rFonts w:hint="eastAsia" w:ascii="宋体" w:hAnsi="宋体" w:cs="宋体"/>
          <w:color w:val="auto"/>
          <w:sz w:val="24"/>
          <w:szCs w:val="28"/>
          <w:lang w:val="en-US" w:eastAsia="zh-CN"/>
        </w:rPr>
        <w:t>1.</w:t>
      </w:r>
      <w:r>
        <w:rPr>
          <w:rFonts w:hint="eastAsia" w:ascii="宋体" w:hAnsi="宋体" w:cs="宋体"/>
          <w:color w:val="auto"/>
          <w:sz w:val="24"/>
          <w:szCs w:val="28"/>
        </w:rPr>
        <w:t>参照国家计委颁发的《招标代理服务收费管理暂行办法》（计价格[2002]1980号）和国家发展</w:t>
      </w:r>
      <w:r>
        <w:rPr>
          <w:rFonts w:hint="eastAsia" w:ascii="宋体" w:hAnsi="宋体" w:cs="宋体"/>
          <w:color w:val="auto"/>
          <w:sz w:val="24"/>
          <w:szCs w:val="28"/>
          <w:lang w:val="en-US" w:eastAsia="zh-CN"/>
        </w:rPr>
        <w:t>和</w:t>
      </w:r>
      <w:r>
        <w:rPr>
          <w:rFonts w:hint="eastAsia" w:ascii="宋体" w:hAnsi="宋体" w:cs="宋体"/>
          <w:color w:val="auto"/>
          <w:sz w:val="24"/>
          <w:szCs w:val="28"/>
        </w:rPr>
        <w:t xml:space="preserve">改革委员会办公厅颁发的《关于招标代理服务收费有关问题的通知》（发改办价格[2003]857号）的标准收取。（采购代理机构开户名称：安康尚昊招标代理有限公司  开户行名称：中国建设银行股份有限公司安康分行营业部  </w:t>
      </w:r>
      <w:r>
        <w:rPr>
          <w:rFonts w:hint="eastAsia" w:ascii="宋体" w:hAnsi="宋体" w:cs="宋体"/>
          <w:color w:val="auto"/>
          <w:sz w:val="24"/>
          <w:szCs w:val="28"/>
          <w:lang w:eastAsia="zh-CN"/>
        </w:rPr>
        <w:t>账号</w:t>
      </w:r>
      <w:r>
        <w:rPr>
          <w:rFonts w:hint="eastAsia" w:ascii="宋体" w:hAnsi="宋体" w:cs="宋体"/>
          <w:color w:val="auto"/>
          <w:sz w:val="24"/>
          <w:szCs w:val="28"/>
        </w:rPr>
        <w:t>：61050166371100000492）</w:t>
      </w:r>
    </w:p>
    <w:p w14:paraId="4F050B0D">
      <w:pPr>
        <w:numPr>
          <w:ilvl w:val="0"/>
          <w:numId w:val="0"/>
        </w:num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val="en-US" w:eastAsia="zh-CN"/>
        </w:rPr>
        <w:t>2.本次项目代理服务费由成交供应商支付，</w:t>
      </w:r>
      <w:r>
        <w:rPr>
          <w:rFonts w:hint="eastAsia" w:ascii="宋体" w:hAnsi="宋体" w:cs="宋体"/>
          <w:color w:val="auto"/>
          <w:sz w:val="24"/>
          <w:szCs w:val="28"/>
        </w:rPr>
        <w:t>代理服务费以转账、电汇或现金等形式交纳。</w:t>
      </w:r>
    </w:p>
    <w:p w14:paraId="521F9B5A">
      <w:pPr>
        <w:pageBreakBefore w:val="0"/>
        <w:widowControl/>
        <w:numPr>
          <w:ilvl w:val="0"/>
          <w:numId w:val="2"/>
        </w:numPr>
        <w:wordWrap/>
        <w:topLinePunct w:val="0"/>
        <w:autoSpaceDE/>
        <w:autoSpaceDN/>
        <w:bidi w:val="0"/>
        <w:spacing w:line="360" w:lineRule="auto"/>
        <w:ind w:left="0" w:leftChars="0" w:right="0" w:rightChars="0" w:firstLine="0"/>
        <w:jc w:val="center"/>
        <w:textAlignment w:val="auto"/>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质疑和投诉</w:t>
      </w:r>
      <w:bookmarkEnd w:id="113"/>
      <w:bookmarkEnd w:id="114"/>
      <w:bookmarkEnd w:id="115"/>
      <w:bookmarkEnd w:id="116"/>
      <w:bookmarkEnd w:id="117"/>
      <w:bookmarkEnd w:id="118"/>
      <w:bookmarkEnd w:id="119"/>
    </w:p>
    <w:p w14:paraId="54FE04F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质疑或投诉的接收和处理应当按照《中华人民共和国政府采购法》及其实施条例、《政府采购质疑和投诉办法</w:t>
      </w:r>
      <w:r>
        <w:rPr>
          <w:rFonts w:hint="eastAsia" w:ascii="宋体" w:hAnsi="宋体" w:cs="宋体"/>
          <w:sz w:val="24"/>
          <w:szCs w:val="28"/>
          <w:lang w:eastAsia="zh-CN"/>
        </w:rPr>
        <w:t>》《</w:t>
      </w:r>
      <w:r>
        <w:rPr>
          <w:rFonts w:hint="eastAsia" w:ascii="宋体" w:hAnsi="宋体" w:eastAsia="宋体" w:cs="宋体"/>
          <w:sz w:val="24"/>
          <w:szCs w:val="28"/>
        </w:rPr>
        <w:t>财政部关于加强政府采购供应商投诉受理审查工作的通知》等的相关规定办理。</w:t>
      </w:r>
    </w:p>
    <w:p w14:paraId="66ECF5F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1.</w:t>
      </w:r>
      <w:r>
        <w:rPr>
          <w:rFonts w:hint="eastAsia" w:ascii="宋体" w:hAnsi="宋体" w:eastAsia="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09FE3632">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（1）对采购文件提出质疑的，为收到采购文件之日或者采购文件公告期限届满之日；</w:t>
      </w:r>
    </w:p>
    <w:p w14:paraId="7E605F15">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（2）对采购过程提出质疑的，为各采购程序环节结束之日；</w:t>
      </w:r>
    </w:p>
    <w:p w14:paraId="1183DE46">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（3）对中标或者成交结果提出质疑的，为中标或者成交结果公告期限届满之日。</w:t>
      </w:r>
    </w:p>
    <w:p w14:paraId="6A188455">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val="en-US" w:eastAsia="zh-CN"/>
        </w:rPr>
        <w:t>.</w:t>
      </w:r>
      <w:r>
        <w:rPr>
          <w:rFonts w:hint="eastAsia" w:ascii="宋体" w:hAnsi="宋体" w:eastAsia="宋体" w:cs="宋体"/>
          <w:sz w:val="24"/>
          <w:szCs w:val="28"/>
        </w:rPr>
        <w:t>供应商应当在法定质疑期内一次性提出针对同一采购程序环节的质疑。</w:t>
      </w:r>
    </w:p>
    <w:p w14:paraId="17C90B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w:t>
      </w:r>
      <w:r>
        <w:rPr>
          <w:rFonts w:hint="eastAsia" w:ascii="宋体" w:hAnsi="宋体" w:cs="宋体"/>
          <w:sz w:val="24"/>
          <w:szCs w:val="28"/>
          <w:lang w:val="en-US" w:eastAsia="zh-CN"/>
        </w:rPr>
        <w:t>.</w:t>
      </w:r>
      <w:r>
        <w:rPr>
          <w:rFonts w:hint="eastAsia" w:ascii="宋体" w:hAnsi="宋体" w:eastAsia="宋体" w:cs="宋体"/>
          <w:sz w:val="24"/>
          <w:szCs w:val="28"/>
        </w:rPr>
        <w:t>质疑函应当包括下列主要内容：</w:t>
      </w:r>
    </w:p>
    <w:p w14:paraId="69F6C8F0">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（1）供应商的姓名或者名称、地址、邮编、联系人及联系电话；</w:t>
      </w:r>
    </w:p>
    <w:p w14:paraId="767E708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（2）质疑项目的名称、编号；</w:t>
      </w:r>
    </w:p>
    <w:p w14:paraId="44DE604D">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（3）具体、明确的质疑事项和与质疑事项相关的请求；</w:t>
      </w:r>
    </w:p>
    <w:p w14:paraId="2700E324">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（4）事实依据；</w:t>
      </w:r>
    </w:p>
    <w:p w14:paraId="50D4BDD1">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（5）必要的法律依据；</w:t>
      </w:r>
    </w:p>
    <w:p w14:paraId="636BE79D">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（6）提出质疑的日期。</w:t>
      </w:r>
    </w:p>
    <w:p w14:paraId="21AF774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4.</w:t>
      </w:r>
      <w:r>
        <w:rPr>
          <w:rFonts w:hint="eastAsia" w:ascii="宋体" w:hAnsi="宋体" w:eastAsia="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5240283">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5.</w:t>
      </w:r>
      <w:r>
        <w:rPr>
          <w:rFonts w:hint="eastAsia" w:ascii="宋体" w:hAnsi="宋体" w:eastAsia="宋体" w:cs="宋体"/>
          <w:sz w:val="24"/>
          <w:szCs w:val="28"/>
        </w:rPr>
        <w:t>质疑函内容不得含有虚假、恶意</w:t>
      </w:r>
      <w:r>
        <w:rPr>
          <w:rFonts w:hint="eastAsia" w:ascii="宋体" w:hAnsi="宋体" w:cs="宋体"/>
          <w:sz w:val="24"/>
          <w:szCs w:val="28"/>
          <w:lang w:eastAsia="zh-CN"/>
        </w:rPr>
        <w:t>成分</w:t>
      </w:r>
      <w:r>
        <w:rPr>
          <w:rFonts w:hint="eastAsia" w:ascii="宋体" w:hAnsi="宋体" w:eastAsia="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s="宋体"/>
          <w:sz w:val="24"/>
          <w:szCs w:val="28"/>
          <w:lang w:eastAsia="zh-CN"/>
        </w:rPr>
        <w:t>滥用职权</w:t>
      </w:r>
      <w:r>
        <w:rPr>
          <w:rFonts w:hint="eastAsia" w:ascii="宋体" w:hAnsi="宋体" w:eastAsia="宋体" w:cs="宋体"/>
          <w:sz w:val="24"/>
          <w:szCs w:val="28"/>
        </w:rPr>
        <w:t>扰乱采购秩序的恶意质疑者，采购人、采购代理机构应当依法驳回。</w:t>
      </w:r>
    </w:p>
    <w:p w14:paraId="19B0F5B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6.</w:t>
      </w:r>
      <w:r>
        <w:rPr>
          <w:rFonts w:hint="eastAsia" w:ascii="宋体" w:hAnsi="宋体" w:eastAsia="宋体" w:cs="宋体"/>
          <w:sz w:val="24"/>
          <w:szCs w:val="28"/>
        </w:rPr>
        <w:t xml:space="preserve">质疑函接收方式：由自然人本人或法定代表人或者其授权代表携带书面原件及身份证明原件到现场递交，否则不予受理 。 </w:t>
      </w:r>
    </w:p>
    <w:p w14:paraId="448B0AB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7.</w:t>
      </w:r>
      <w:r>
        <w:rPr>
          <w:rFonts w:hint="eastAsia" w:ascii="宋体" w:hAnsi="宋体" w:eastAsia="宋体" w:cs="宋体"/>
          <w:sz w:val="24"/>
          <w:szCs w:val="28"/>
        </w:rPr>
        <w:t>质疑受理部门：安康尚昊招标代理有限公司</w:t>
      </w:r>
    </w:p>
    <w:p w14:paraId="7D256DA6">
      <w:pPr>
        <w:spacing w:line="360" w:lineRule="auto"/>
        <w:ind w:firstLine="480" w:firstLineChars="200"/>
        <w:jc w:val="left"/>
        <w:rPr>
          <w:rFonts w:ascii="宋体" w:hAnsi="宋体" w:cs="宋体"/>
          <w:color w:val="auto"/>
          <w:sz w:val="24"/>
          <w:szCs w:val="28"/>
        </w:rPr>
      </w:pPr>
      <w:r>
        <w:rPr>
          <w:rFonts w:hint="eastAsia" w:ascii="宋体" w:hAnsi="宋体" w:eastAsia="宋体" w:cs="宋体"/>
          <w:sz w:val="24"/>
          <w:szCs w:val="28"/>
        </w:rPr>
        <w:t xml:space="preserve">   质疑受理电话：</w:t>
      </w:r>
      <w:r>
        <w:rPr>
          <w:rFonts w:hint="eastAsia" w:ascii="宋体" w:hAnsi="宋体" w:cs="宋体"/>
          <w:color w:val="auto"/>
          <w:sz w:val="24"/>
          <w:szCs w:val="28"/>
        </w:rPr>
        <w:t>13991519725</w:t>
      </w:r>
    </w:p>
    <w:p w14:paraId="52FD06BE">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cs="宋体"/>
          <w:sz w:val="24"/>
          <w:szCs w:val="28"/>
          <w:lang w:val="en-US" w:eastAsia="zh-CN"/>
        </w:rPr>
        <w:t>8.</w:t>
      </w:r>
      <w:r>
        <w:rPr>
          <w:rFonts w:hint="eastAsia" w:ascii="宋体" w:hAnsi="宋体" w:eastAsia="宋体" w:cs="宋体"/>
          <w:sz w:val="24"/>
          <w:szCs w:val="28"/>
        </w:rPr>
        <w:t>提交质疑函地点：</w:t>
      </w:r>
      <w:r>
        <w:rPr>
          <w:rFonts w:hint="eastAsia" w:ascii="宋体" w:hAnsi="宋体" w:cs="宋体"/>
          <w:sz w:val="24"/>
          <w:szCs w:val="28"/>
          <w:lang w:eastAsia="zh-CN"/>
        </w:rPr>
        <w:t>安康市高新区高新观澜8幢2单元801室</w:t>
      </w:r>
    </w:p>
    <w:p w14:paraId="19C4426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9.</w:t>
      </w:r>
      <w:r>
        <w:rPr>
          <w:rFonts w:hint="eastAsia" w:ascii="宋体" w:hAnsi="宋体" w:eastAsia="宋体" w:cs="宋体"/>
          <w:sz w:val="24"/>
          <w:szCs w:val="28"/>
        </w:rPr>
        <w:t>本次采购活动中，采购代理机构对质疑函回复的书面文件的送达方式为现场取件。</w:t>
      </w:r>
    </w:p>
    <w:p w14:paraId="21ED4DF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如所质疑的问题比较复杂，采购人或者采购代理机构在规定的答复时间内无法回复，应事先告知提出质疑的供应商，同时向同级政府采购监督管理部门报告。</w:t>
      </w:r>
    </w:p>
    <w:p w14:paraId="72F9D9F4">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cs="宋体"/>
          <w:sz w:val="24"/>
          <w:szCs w:val="28"/>
          <w:lang w:val="en-US" w:eastAsia="zh-CN"/>
        </w:rPr>
        <w:t>10.</w:t>
      </w:r>
      <w:r>
        <w:rPr>
          <w:rFonts w:hint="eastAsia" w:ascii="宋体" w:hAnsi="宋体" w:eastAsia="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6D3D88C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cs="宋体"/>
          <w:sz w:val="24"/>
          <w:szCs w:val="28"/>
          <w:lang w:val="en-US" w:eastAsia="zh-CN"/>
        </w:rPr>
        <w:t>11.</w:t>
      </w:r>
      <w:r>
        <w:rPr>
          <w:rFonts w:hint="eastAsia" w:ascii="宋体" w:hAnsi="宋体" w:eastAsia="宋体" w:cs="宋体"/>
          <w:sz w:val="24"/>
          <w:szCs w:val="28"/>
        </w:rPr>
        <w:t>质疑函应当使用中文。</w:t>
      </w:r>
    </w:p>
    <w:p w14:paraId="79E6DA8F">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right="0" w:rightChars="0" w:firstLine="0"/>
        <w:jc w:val="center"/>
        <w:textAlignment w:val="auto"/>
        <w:outlineLvl w:val="1"/>
        <w:rPr>
          <w:rFonts w:hint="eastAsia" w:ascii="宋体" w:hAnsi="宋体" w:eastAsia="宋体" w:cs="宋体"/>
          <w:b/>
          <w:bCs/>
          <w:kern w:val="0"/>
          <w:sz w:val="24"/>
          <w:szCs w:val="28"/>
        </w:rPr>
      </w:pPr>
      <w:bookmarkStart w:id="120" w:name="_Toc19543344"/>
      <w:bookmarkStart w:id="121" w:name="_Toc536202318"/>
      <w:bookmarkStart w:id="122" w:name="_Toc536429327"/>
      <w:bookmarkStart w:id="123" w:name="_Toc536429380"/>
      <w:bookmarkStart w:id="124" w:name="_Toc536202387"/>
      <w:r>
        <w:rPr>
          <w:rFonts w:hint="eastAsia" w:ascii="宋体" w:hAnsi="宋体" w:eastAsia="宋体" w:cs="宋体"/>
          <w:b/>
          <w:bCs/>
          <w:kern w:val="0"/>
          <w:sz w:val="24"/>
          <w:szCs w:val="28"/>
        </w:rPr>
        <w:t>其他</w:t>
      </w:r>
      <w:bookmarkEnd w:id="120"/>
      <w:bookmarkEnd w:id="121"/>
      <w:bookmarkEnd w:id="122"/>
      <w:bookmarkEnd w:id="123"/>
      <w:bookmarkEnd w:id="124"/>
    </w:p>
    <w:p w14:paraId="45FA6EF4">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bookmarkStart w:id="125" w:name="_Toc3298"/>
      <w:r>
        <w:rPr>
          <w:rFonts w:hint="eastAsia" w:ascii="宋体" w:hAnsi="宋体" w:cs="宋体"/>
          <w:sz w:val="24"/>
          <w:szCs w:val="28"/>
          <w:lang w:val="en-US" w:eastAsia="zh-CN"/>
        </w:rPr>
        <w:t>1.</w:t>
      </w:r>
      <w:r>
        <w:rPr>
          <w:rFonts w:hint="eastAsia" w:ascii="宋体" w:hAnsi="宋体" w:eastAsia="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4A6EACA4">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（1）因情况变化，不再符合规定的竞争性磋商采购方式适用情形的；</w:t>
      </w:r>
    </w:p>
    <w:p w14:paraId="6DBB1D1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（2）出现影响采购公正的违法、违规行为的；</w:t>
      </w:r>
    </w:p>
    <w:p w14:paraId="1F91540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270840B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（4）因重大变故，采购任务取消的。</w:t>
      </w:r>
    </w:p>
    <w:p w14:paraId="238926ED">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val="en-US" w:eastAsia="zh-CN"/>
        </w:rPr>
        <w:t>.</w:t>
      </w:r>
      <w:r>
        <w:rPr>
          <w:rFonts w:hint="eastAsia" w:ascii="宋体" w:hAnsi="宋体" w:eastAsia="宋体" w:cs="宋体"/>
          <w:sz w:val="24"/>
          <w:szCs w:val="28"/>
        </w:rPr>
        <w:t>磋商失败后，除采购任务取消外，将重新组织采购</w:t>
      </w:r>
      <w:bookmarkEnd w:id="125"/>
      <w:bookmarkStart w:id="126" w:name="_Toc536429328"/>
      <w:bookmarkStart w:id="127" w:name="_Toc536202388"/>
      <w:bookmarkStart w:id="128" w:name="_Toc25345"/>
      <w:bookmarkStart w:id="129" w:name="_Toc536429381"/>
      <w:bookmarkStart w:id="130" w:name="_Toc536202319"/>
      <w:r>
        <w:rPr>
          <w:rFonts w:hint="eastAsia" w:ascii="宋体" w:hAnsi="宋体" w:eastAsia="宋体" w:cs="宋体"/>
          <w:sz w:val="24"/>
          <w:szCs w:val="28"/>
        </w:rPr>
        <w:t>。</w:t>
      </w:r>
      <w:bookmarkEnd w:id="126"/>
      <w:bookmarkEnd w:id="127"/>
      <w:bookmarkEnd w:id="128"/>
      <w:bookmarkEnd w:id="129"/>
      <w:bookmarkEnd w:id="130"/>
    </w:p>
    <w:p w14:paraId="3449E143">
      <w:pPr>
        <w:pageBreakBefore w:val="0"/>
        <w:widowControl/>
        <w:wordWrap/>
        <w:topLinePunct w:val="0"/>
        <w:autoSpaceDE/>
        <w:autoSpaceDN/>
        <w:bidi w:val="0"/>
        <w:spacing w:line="360" w:lineRule="auto"/>
        <w:ind w:left="0" w:leftChars="0" w:right="0" w:rightChars="0"/>
        <w:jc w:val="left"/>
        <w:textAlignment w:val="auto"/>
        <w:rPr>
          <w:rFonts w:hint="eastAsia" w:ascii="宋体" w:hAnsi="宋体" w:eastAsia="宋体" w:cs="宋体"/>
          <w:b/>
          <w:bCs/>
          <w:caps/>
          <w:color w:val="000000" w:themeColor="text1"/>
          <w:sz w:val="36"/>
          <w:szCs w:val="20"/>
          <w14:textFill>
            <w14:solidFill>
              <w14:schemeClr w14:val="tx1"/>
            </w14:solidFill>
          </w14:textFill>
        </w:rPr>
      </w:pPr>
      <w:bookmarkStart w:id="131" w:name="_Toc19543345"/>
      <w:r>
        <w:rPr>
          <w:rFonts w:hint="eastAsia" w:ascii="宋体" w:hAnsi="宋体" w:eastAsia="宋体" w:cs="宋体"/>
          <w:color w:val="000000" w:themeColor="text1"/>
          <w:sz w:val="36"/>
          <w14:textFill>
            <w14:solidFill>
              <w14:schemeClr w14:val="tx1"/>
            </w14:solidFill>
          </w14:textFill>
        </w:rPr>
        <w:br w:type="page"/>
      </w:r>
    </w:p>
    <w:p w14:paraId="346BEF77">
      <w:pPr>
        <w:pStyle w:val="25"/>
        <w:numPr>
          <w:ilvl w:val="0"/>
          <w:numId w:val="6"/>
        </w:numPr>
        <w:spacing w:before="0" w:after="0" w:line="420" w:lineRule="exact"/>
        <w:jc w:val="center"/>
        <w:outlineLvl w:val="0"/>
        <w:rPr>
          <w:color w:val="000000" w:themeColor="text1"/>
          <w:sz w:val="36"/>
          <w:highlight w:val="none"/>
          <w14:textFill>
            <w14:solidFill>
              <w14:schemeClr w14:val="tx1"/>
            </w14:solidFill>
          </w14:textFill>
        </w:rPr>
      </w:pPr>
      <w:r>
        <w:rPr>
          <w:rFonts w:hint="eastAsia"/>
          <w:color w:val="000000" w:themeColor="text1"/>
          <w:sz w:val="36"/>
          <w:highlight w:val="none"/>
          <w14:textFill>
            <w14:solidFill>
              <w14:schemeClr w14:val="tx1"/>
            </w14:solidFill>
          </w14:textFill>
        </w:rPr>
        <w:t xml:space="preserve"> </w:t>
      </w:r>
      <w:bookmarkStart w:id="132" w:name="_Toc25322"/>
      <w:r>
        <w:rPr>
          <w:rFonts w:hint="eastAsia"/>
          <w:color w:val="000000" w:themeColor="text1"/>
          <w:sz w:val="36"/>
          <w:highlight w:val="none"/>
          <w14:textFill>
            <w14:solidFill>
              <w14:schemeClr w14:val="tx1"/>
            </w14:solidFill>
          </w14:textFill>
        </w:rPr>
        <w:t>评分</w:t>
      </w:r>
      <w:r>
        <w:rPr>
          <w:color w:val="000000" w:themeColor="text1"/>
          <w:sz w:val="36"/>
          <w:highlight w:val="none"/>
          <w14:textFill>
            <w14:solidFill>
              <w14:schemeClr w14:val="tx1"/>
            </w14:solidFill>
          </w14:textFill>
        </w:rPr>
        <w:t>标准</w:t>
      </w:r>
      <w:bookmarkEnd w:id="131"/>
      <w:bookmarkEnd w:id="132"/>
      <w:bookmarkStart w:id="133" w:name="_Toc262"/>
    </w:p>
    <w:tbl>
      <w:tblPr>
        <w:tblStyle w:val="34"/>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86"/>
        <w:gridCol w:w="7483"/>
      </w:tblGrid>
      <w:tr w14:paraId="635E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7" w:type="dxa"/>
          </w:tcPr>
          <w:p w14:paraId="3726F01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评审内容</w:t>
            </w:r>
          </w:p>
        </w:tc>
        <w:tc>
          <w:tcPr>
            <w:tcW w:w="786" w:type="dxa"/>
          </w:tcPr>
          <w:p w14:paraId="13013E0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7483" w:type="dxa"/>
          </w:tcPr>
          <w:p w14:paraId="7E9F88B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评审原则及标准</w:t>
            </w:r>
          </w:p>
        </w:tc>
      </w:tr>
      <w:tr w14:paraId="751A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477" w:type="dxa"/>
            <w:vAlign w:val="center"/>
          </w:tcPr>
          <w:p w14:paraId="351C68E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p w14:paraId="60BD872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10分</w:t>
            </w:r>
            <w:r>
              <w:rPr>
                <w:rFonts w:hint="eastAsia" w:ascii="宋体" w:hAnsi="宋体" w:cs="宋体"/>
                <w:color w:val="000000" w:themeColor="text1"/>
                <w:sz w:val="24"/>
                <w:szCs w:val="24"/>
                <w:lang w:eastAsia="zh-CN"/>
                <w14:textFill>
                  <w14:solidFill>
                    <w14:schemeClr w14:val="tx1"/>
                  </w14:solidFill>
                </w14:textFill>
              </w:rPr>
              <w:t>）</w:t>
            </w:r>
          </w:p>
        </w:tc>
        <w:tc>
          <w:tcPr>
            <w:tcW w:w="786" w:type="dxa"/>
            <w:vAlign w:val="center"/>
          </w:tcPr>
          <w:p w14:paraId="6FF93BD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w:t>
            </w:r>
          </w:p>
        </w:tc>
        <w:tc>
          <w:tcPr>
            <w:tcW w:w="7483" w:type="dxa"/>
          </w:tcPr>
          <w:p w14:paraId="6D3C5E6C">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firstLine="480" w:firstLineChars="200"/>
              <w:textAlignment w:val="auto"/>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满足磋商文件要求且投标价格最低的投标报价为评标基准价，其价格分为满分。其他</w:t>
            </w:r>
            <w:r>
              <w:rPr>
                <w:rFonts w:hint="eastAsia" w:asciiTheme="minorEastAsia" w:hAnsiTheme="minorEastAsia" w:eastAsia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人的价格分统一按照下列公式计算：报价得分=(评审基准价／最终报价)×</w:t>
            </w:r>
            <w:r>
              <w:rPr>
                <w:rFonts w:hint="eastAsia" w:asciiTheme="minorEastAsia" w:hAnsiTheme="minorEastAsia" w:eastAsiaTheme="minorEastAsia" w:cstheme="minorEastAsia"/>
                <w:color w:val="auto"/>
                <w:sz w:val="24"/>
                <w:szCs w:val="24"/>
                <w:lang w:val="en-US" w:eastAsia="zh-CN"/>
              </w:rPr>
              <w:t>10</w:t>
            </w:r>
          </w:p>
          <w:p w14:paraId="3E2F76B8">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w:t>
            </w:r>
            <w:r>
              <w:rPr>
                <w:rFonts w:hint="eastAsia" w:asciiTheme="minorEastAsia" w:hAnsiTheme="minorEastAsia" w:eastAsiaTheme="minorEastAsia" w:cstheme="minorEastAsia"/>
                <w:color w:val="auto"/>
                <w:sz w:val="24"/>
                <w:szCs w:val="24"/>
                <w:lang w:val="en-US"/>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符合招标文件规定的小微企业、监狱企业、残疾人福利性单位优惠条件的投标人，价格给予</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%的扣除，用扣除后的价格参与评审。</w:t>
            </w:r>
          </w:p>
          <w:p w14:paraId="057C63CC">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经评标小组一致认定某个供应商的报价明显低于其他通过符合性审查供应商的报价，有可能影响产品质量和不能诚信履约的，应要求该供应商在评标现场合理的时间内提供书面说明，必要时提交相关证明材料；供应商不能证明其报价合理的，评标小组将其作为无效投标处理。</w:t>
            </w:r>
          </w:p>
          <w:p w14:paraId="1BDEEF89">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投标报价不完整的，不进入评标标准价的计算，本项得0分。</w:t>
            </w:r>
          </w:p>
          <w:p w14:paraId="1611B439">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4.对专门面向中小企业采购项目，不再执行价格扣除政策。</w:t>
            </w:r>
          </w:p>
          <w:p w14:paraId="3BE715CE">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firstLine="480" w:firstLineChars="200"/>
              <w:textAlignment w:val="auto"/>
              <w:outlineLvl w:val="9"/>
              <w:rPr>
                <w:rFonts w:hint="eastAsia"/>
              </w:rPr>
            </w:pPr>
            <w:r>
              <w:rPr>
                <w:rFonts w:hint="eastAsia" w:asciiTheme="minorEastAsia" w:hAnsiTheme="minorEastAsia" w:eastAsiaTheme="minorEastAsia" w:cstheme="minorEastAsia"/>
                <w:color w:val="auto"/>
                <w:sz w:val="24"/>
                <w:szCs w:val="24"/>
                <w:lang w:val="en-US" w:eastAsia="zh-CN"/>
              </w:rPr>
              <w:t>5.对非专门面向中小企业采购项目，执行以上价格扣除政策。</w:t>
            </w:r>
          </w:p>
        </w:tc>
      </w:tr>
      <w:tr w14:paraId="4C71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77" w:type="dxa"/>
            <w:vMerge w:val="restart"/>
            <w:vAlign w:val="center"/>
          </w:tcPr>
          <w:p w14:paraId="3C1C630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技术评审</w:t>
            </w:r>
            <w:r>
              <w:rPr>
                <w:rFonts w:hint="eastAsia" w:ascii="宋体" w:hAnsi="宋体" w:cs="宋体"/>
                <w:color w:val="000000" w:themeColor="text1"/>
                <w:sz w:val="24"/>
                <w:szCs w:val="24"/>
                <w:lang w:val="en-US" w:eastAsia="zh-CN"/>
                <w14:textFill>
                  <w14:solidFill>
                    <w14:schemeClr w14:val="tx1"/>
                  </w14:solidFill>
                </w14:textFill>
              </w:rPr>
              <w:t>（40分）</w:t>
            </w:r>
          </w:p>
        </w:tc>
        <w:tc>
          <w:tcPr>
            <w:tcW w:w="786" w:type="dxa"/>
            <w:vAlign w:val="center"/>
          </w:tcPr>
          <w:p w14:paraId="1AA92FA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15分</w:t>
            </w:r>
          </w:p>
        </w:tc>
        <w:tc>
          <w:tcPr>
            <w:tcW w:w="7483" w:type="dxa"/>
            <w:vAlign w:val="center"/>
          </w:tcPr>
          <w:p w14:paraId="399389D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监测实施方案（15分）</w:t>
            </w:r>
          </w:p>
          <w:p w14:paraId="02EF33B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供应商针对本项目提供详尽的</w:t>
            </w:r>
            <w:r>
              <w:rPr>
                <w:rFonts w:hint="eastAsia" w:ascii="宋体" w:hAnsi="宋体" w:eastAsia="宋体" w:cs="宋体"/>
                <w:color w:val="000000" w:themeColor="text1"/>
                <w:sz w:val="24"/>
                <w:szCs w:val="24"/>
                <w:lang w:eastAsia="zh-CN"/>
                <w14:textFill>
                  <w14:solidFill>
                    <w14:schemeClr w14:val="tx1"/>
                  </w14:solidFill>
                </w14:textFill>
              </w:rPr>
              <w:t>监测</w:t>
            </w:r>
            <w:r>
              <w:rPr>
                <w:rFonts w:hint="eastAsia" w:ascii="宋体" w:hAnsi="宋体" w:eastAsia="宋体" w:cs="宋体"/>
                <w:color w:val="000000" w:themeColor="text1"/>
                <w:sz w:val="24"/>
                <w:szCs w:val="24"/>
                <w14:textFill>
                  <w14:solidFill>
                    <w14:schemeClr w14:val="tx1"/>
                  </w14:solidFill>
                </w14:textFill>
              </w:rPr>
              <w:t>实施方案，</w:t>
            </w:r>
            <w:r>
              <w:rPr>
                <w:rFonts w:hint="eastAsia" w:ascii="宋体" w:hAnsi="宋体" w:cs="宋体"/>
                <w:color w:val="000000"/>
                <w:kern w:val="2"/>
                <w:sz w:val="24"/>
                <w:szCs w:val="24"/>
                <w:u w:val="none"/>
                <w:lang w:val="en-US" w:eastAsia="zh-CN" w:bidi="ar-SA"/>
              </w:rPr>
              <w:t>包括但不限于：抽检样品保存、运输方案、样品检测、报告送达时间等方面。项目检测方案满足监督抽检检验项目要求，内容详尽完善、切实可行的计11-15分；项目检测方案基本满足监督抽检检验项目要求，内容比较详尽完善、比较切实可行的计5-10分；项目检测方案内容比较粗略、不切实际的计1-5分；未提供的不计分。</w:t>
            </w:r>
          </w:p>
        </w:tc>
      </w:tr>
      <w:tr w14:paraId="6143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77" w:type="dxa"/>
            <w:vMerge w:val="continue"/>
            <w:vAlign w:val="center"/>
          </w:tcPr>
          <w:p w14:paraId="7F2BE1C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786" w:type="dxa"/>
            <w:vAlign w:val="center"/>
          </w:tcPr>
          <w:p w14:paraId="41AF029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6分</w:t>
            </w:r>
          </w:p>
        </w:tc>
        <w:tc>
          <w:tcPr>
            <w:tcW w:w="7483" w:type="dxa"/>
            <w:vAlign w:val="center"/>
          </w:tcPr>
          <w:p w14:paraId="23E9C65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default"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kern w:val="2"/>
                <w:sz w:val="24"/>
                <w:szCs w:val="24"/>
                <w:u w:val="none"/>
                <w:lang w:val="en-US" w:eastAsia="zh-CN" w:bidi="ar-SA"/>
              </w:rPr>
              <w:t>应急预案（6分）</w:t>
            </w:r>
          </w:p>
          <w:p w14:paraId="56D5675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auto"/>
                <w:sz w:val="24"/>
                <w:szCs w:val="24"/>
              </w:rPr>
            </w:pPr>
            <w:r>
              <w:rPr>
                <w:rFonts w:hint="eastAsia" w:ascii="宋体" w:hAnsi="宋体" w:eastAsia="宋体" w:cs="宋体"/>
                <w:color w:val="000000"/>
                <w:kern w:val="2"/>
                <w:sz w:val="24"/>
                <w:szCs w:val="24"/>
                <w:u w:val="none"/>
                <w:lang w:val="zh-CN" w:eastAsia="zh-CN" w:bidi="ar-SA"/>
              </w:rPr>
              <w:t>能够提供应急服务，有类似业务抽检经验。若管辖区出现应急类事件时，可立即派遣相关人员、车辆在2小时内到达指定地点，配合采购方进行采样、调查，并提出相关技术建议。应急服务内容全面、完善、响应及时的计</w:t>
            </w:r>
            <w:r>
              <w:rPr>
                <w:rFonts w:hint="eastAsia" w:ascii="宋体" w:hAnsi="宋体" w:cs="宋体"/>
                <w:color w:val="000000"/>
                <w:kern w:val="2"/>
                <w:sz w:val="24"/>
                <w:szCs w:val="24"/>
                <w:u w:val="none"/>
                <w:lang w:val="en-US" w:eastAsia="zh-CN" w:bidi="ar-SA"/>
              </w:rPr>
              <w:t>5-</w:t>
            </w:r>
            <w:r>
              <w:rPr>
                <w:rFonts w:hint="eastAsia" w:ascii="宋体" w:hAnsi="宋体" w:eastAsia="宋体" w:cs="宋体"/>
                <w:color w:val="000000"/>
                <w:kern w:val="2"/>
                <w:sz w:val="24"/>
                <w:szCs w:val="24"/>
                <w:u w:val="none"/>
                <w:lang w:val="zh-CN" w:eastAsia="zh-CN" w:bidi="ar-SA"/>
              </w:rPr>
              <w:t>6分，应急服务内容较全面、较完善、响应及时的计</w:t>
            </w:r>
            <w:r>
              <w:rPr>
                <w:rFonts w:hint="eastAsia" w:ascii="宋体" w:hAnsi="宋体" w:cs="宋体"/>
                <w:color w:val="000000"/>
                <w:kern w:val="2"/>
                <w:sz w:val="24"/>
                <w:szCs w:val="24"/>
                <w:u w:val="none"/>
                <w:lang w:val="en-US" w:eastAsia="zh-CN" w:bidi="ar-SA"/>
              </w:rPr>
              <w:t>3-</w:t>
            </w:r>
            <w:r>
              <w:rPr>
                <w:rFonts w:hint="eastAsia" w:ascii="宋体" w:hAnsi="宋体" w:eastAsia="宋体" w:cs="宋体"/>
                <w:color w:val="000000"/>
                <w:kern w:val="2"/>
                <w:sz w:val="24"/>
                <w:szCs w:val="24"/>
                <w:u w:val="none"/>
                <w:lang w:val="zh-CN" w:eastAsia="zh-CN" w:bidi="ar-SA"/>
              </w:rPr>
              <w:t>4分；应急服务内容粗略、不完善、响应不及时的计</w:t>
            </w:r>
            <w:r>
              <w:rPr>
                <w:rFonts w:hint="eastAsia" w:ascii="宋体" w:hAnsi="宋体" w:cs="宋体"/>
                <w:color w:val="000000"/>
                <w:kern w:val="2"/>
                <w:sz w:val="24"/>
                <w:szCs w:val="24"/>
                <w:u w:val="none"/>
                <w:lang w:val="en-US" w:eastAsia="zh-CN" w:bidi="ar-SA"/>
              </w:rPr>
              <w:t>1-</w:t>
            </w:r>
            <w:r>
              <w:rPr>
                <w:rFonts w:hint="eastAsia" w:ascii="宋体" w:hAnsi="宋体" w:eastAsia="宋体" w:cs="宋体"/>
                <w:color w:val="000000"/>
                <w:kern w:val="2"/>
                <w:sz w:val="24"/>
                <w:szCs w:val="24"/>
                <w:u w:val="none"/>
                <w:lang w:val="zh-CN" w:eastAsia="zh-CN" w:bidi="ar-SA"/>
              </w:rPr>
              <w:t>2分；未提供不计分。</w:t>
            </w:r>
          </w:p>
        </w:tc>
      </w:tr>
      <w:tr w14:paraId="320D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77" w:type="dxa"/>
            <w:vMerge w:val="continue"/>
            <w:vAlign w:val="center"/>
          </w:tcPr>
          <w:p w14:paraId="41597C2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786" w:type="dxa"/>
            <w:vAlign w:val="center"/>
          </w:tcPr>
          <w:p w14:paraId="273398E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auto"/>
                <w:sz w:val="24"/>
                <w:szCs w:val="24"/>
                <w:lang w:val="en-US" w:eastAsia="zh-CN"/>
              </w:rPr>
              <w:t>分</w:t>
            </w:r>
          </w:p>
        </w:tc>
        <w:tc>
          <w:tcPr>
            <w:tcW w:w="7483" w:type="dxa"/>
            <w:vAlign w:val="center"/>
          </w:tcPr>
          <w:p w14:paraId="6EB74B9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监测内容</w:t>
            </w:r>
            <w:r>
              <w:rPr>
                <w:rFonts w:hint="eastAsia" w:ascii="宋体" w:hAnsi="宋体" w:eastAsia="宋体" w:cs="宋体"/>
                <w:b/>
                <w:bCs/>
                <w:color w:val="000000" w:themeColor="text1"/>
                <w:sz w:val="24"/>
                <w:szCs w:val="24"/>
                <w14:textFill>
                  <w14:solidFill>
                    <w14:schemeClr w14:val="tx1"/>
                  </w14:solidFill>
                </w14:textFill>
              </w:rPr>
              <w:t>及成果文件</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10</w:t>
            </w:r>
            <w:r>
              <w:rPr>
                <w:rFonts w:hint="eastAsia" w:ascii="宋体" w:hAnsi="宋体" w:eastAsia="宋体" w:cs="宋体"/>
                <w:b/>
                <w:bCs/>
                <w:color w:val="000000" w:themeColor="text1"/>
                <w:sz w:val="24"/>
                <w:szCs w:val="24"/>
                <w:lang w:val="en-US" w:eastAsia="zh-CN"/>
                <w14:textFill>
                  <w14:solidFill>
                    <w14:schemeClr w14:val="tx1"/>
                  </w14:solidFill>
                </w14:textFill>
              </w:rPr>
              <w:t>分</w:t>
            </w:r>
            <w:r>
              <w:rPr>
                <w:rFonts w:hint="eastAsia" w:ascii="宋体" w:hAnsi="宋体" w:eastAsia="宋体" w:cs="宋体"/>
                <w:b/>
                <w:bCs/>
                <w:color w:val="000000" w:themeColor="text1"/>
                <w:sz w:val="24"/>
                <w:szCs w:val="24"/>
                <w:lang w:eastAsia="zh-CN"/>
                <w14:textFill>
                  <w14:solidFill>
                    <w14:schemeClr w14:val="tx1"/>
                  </w14:solidFill>
                </w14:textFill>
              </w:rPr>
              <w:t>）</w:t>
            </w:r>
          </w:p>
          <w:p w14:paraId="65FE1A1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监测内容</w:t>
            </w:r>
            <w:r>
              <w:rPr>
                <w:rFonts w:hint="eastAsia" w:ascii="宋体" w:hAnsi="宋体" w:eastAsia="宋体" w:cs="宋体"/>
                <w:color w:val="000000" w:themeColor="text1"/>
                <w:sz w:val="24"/>
                <w:szCs w:val="24"/>
                <w14:textFill>
                  <w14:solidFill>
                    <w14:schemeClr w14:val="tx1"/>
                  </w14:solidFill>
                </w14:textFill>
              </w:rPr>
              <w:t>及成果文件应满足本项目服务内容，具备详尽的工作安排体系。以</w:t>
            </w:r>
            <w:r>
              <w:rPr>
                <w:rFonts w:hint="eastAsia" w:ascii="宋体" w:hAnsi="宋体" w:eastAsia="宋体" w:cs="宋体"/>
                <w:color w:val="000000" w:themeColor="text1"/>
                <w:sz w:val="24"/>
                <w:szCs w:val="24"/>
                <w:lang w:eastAsia="zh-CN"/>
                <w14:textFill>
                  <w14:solidFill>
                    <w14:schemeClr w14:val="tx1"/>
                  </w14:solidFill>
                </w14:textFill>
              </w:rPr>
              <w:t>及完善的质量保证措施，体系详尽、措施完善的计</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分，措施内容笼统，体系混乱的计</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分，无保证措施，不具备工作体系的计</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未提供不得分。</w:t>
            </w:r>
          </w:p>
        </w:tc>
      </w:tr>
      <w:tr w14:paraId="6AEF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77" w:type="dxa"/>
            <w:vMerge w:val="continue"/>
            <w:vAlign w:val="center"/>
          </w:tcPr>
          <w:p w14:paraId="316819D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786" w:type="dxa"/>
            <w:vAlign w:val="center"/>
          </w:tcPr>
          <w:p w14:paraId="11A5C79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auto"/>
                <w:sz w:val="24"/>
                <w:szCs w:val="24"/>
                <w:lang w:val="en-US" w:eastAsia="zh-CN"/>
              </w:rPr>
              <w:t>分</w:t>
            </w:r>
          </w:p>
        </w:tc>
        <w:tc>
          <w:tcPr>
            <w:tcW w:w="7483" w:type="dxa"/>
            <w:vAlign w:val="center"/>
          </w:tcPr>
          <w:p w14:paraId="6F1C3FB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质控措施（9分）</w:t>
            </w:r>
          </w:p>
          <w:p w14:paraId="401B747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kern w:val="2"/>
                <w:sz w:val="24"/>
                <w:szCs w:val="24"/>
                <w:u w:val="none"/>
                <w:lang w:val="en-US" w:eastAsia="zh-CN" w:bidi="ar-SA"/>
              </w:rPr>
              <w:t>供应商针对本项目提供有效质控措施，包括设备、试剂的期间核查，报告数据审核、参加能力验证、不同实验室之间比对、机构内部比对、盲样检验等，质量控制应有适当的方法和计划并加以评价。质控措施完整、全面、可行的计7-9分；质控措施较完整、较全面的计4-6分；质控措施粗略、不完整的计1-3分；未提供不计分。</w:t>
            </w:r>
          </w:p>
        </w:tc>
      </w:tr>
      <w:tr w14:paraId="4398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77" w:type="dxa"/>
            <w:vMerge w:val="restart"/>
            <w:vAlign w:val="center"/>
          </w:tcPr>
          <w:p w14:paraId="5F3EC2F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服务能力</w:t>
            </w:r>
            <w:r>
              <w:rPr>
                <w:rFonts w:hint="eastAsia" w:ascii="宋体" w:hAnsi="宋体" w:cs="宋体"/>
                <w:color w:val="000000" w:themeColor="text1"/>
                <w:sz w:val="24"/>
                <w:szCs w:val="24"/>
                <w:lang w:val="en-US" w:eastAsia="zh-CN"/>
                <w14:textFill>
                  <w14:solidFill>
                    <w14:schemeClr w14:val="tx1"/>
                  </w14:solidFill>
                </w14:textFill>
              </w:rPr>
              <w:t>（33分）</w:t>
            </w:r>
          </w:p>
        </w:tc>
        <w:tc>
          <w:tcPr>
            <w:tcW w:w="786" w:type="dxa"/>
            <w:vAlign w:val="center"/>
          </w:tcPr>
          <w:p w14:paraId="7F20805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cs="宋体"/>
                <w:color w:val="auto"/>
                <w:sz w:val="24"/>
                <w:szCs w:val="24"/>
                <w:lang w:val="en-US" w:eastAsia="zh-CN"/>
              </w:rPr>
              <w:t>分</w:t>
            </w:r>
          </w:p>
        </w:tc>
        <w:tc>
          <w:tcPr>
            <w:tcW w:w="7483" w:type="dxa"/>
            <w:vAlign w:val="center"/>
          </w:tcPr>
          <w:p w14:paraId="482EF3B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b/>
                <w:bCs/>
                <w:color w:val="000000"/>
                <w:kern w:val="2"/>
                <w:sz w:val="24"/>
                <w:szCs w:val="24"/>
                <w:u w:val="none"/>
                <w:lang w:val="zh-CN" w:eastAsia="zh-CN" w:bidi="ar-SA"/>
              </w:rPr>
            </w:pPr>
            <w:r>
              <w:rPr>
                <w:rFonts w:hint="eastAsia" w:ascii="宋体" w:hAnsi="宋体" w:eastAsia="宋体" w:cs="宋体"/>
                <w:b/>
                <w:bCs/>
                <w:color w:val="000000"/>
                <w:kern w:val="2"/>
                <w:sz w:val="24"/>
                <w:szCs w:val="24"/>
                <w:u w:val="none"/>
                <w:lang w:val="zh-CN" w:eastAsia="zh-CN" w:bidi="ar-SA"/>
              </w:rPr>
              <w:t>进度和后期服务措施（</w:t>
            </w:r>
            <w:r>
              <w:rPr>
                <w:rFonts w:hint="eastAsia" w:ascii="宋体" w:hAnsi="宋体" w:eastAsia="宋体" w:cs="宋体"/>
                <w:b/>
                <w:bCs/>
                <w:color w:val="000000"/>
                <w:kern w:val="2"/>
                <w:sz w:val="24"/>
                <w:szCs w:val="24"/>
                <w:u w:val="none"/>
                <w:lang w:val="en-US" w:eastAsia="zh-CN" w:bidi="ar-SA"/>
              </w:rPr>
              <w:t>6分</w:t>
            </w:r>
            <w:r>
              <w:rPr>
                <w:rFonts w:hint="eastAsia" w:ascii="宋体" w:hAnsi="宋体" w:eastAsia="宋体" w:cs="宋体"/>
                <w:b/>
                <w:bCs/>
                <w:color w:val="000000"/>
                <w:kern w:val="2"/>
                <w:sz w:val="24"/>
                <w:szCs w:val="24"/>
                <w:u w:val="none"/>
                <w:lang w:val="zh-CN" w:eastAsia="zh-CN" w:bidi="ar-SA"/>
              </w:rPr>
              <w:t>）</w:t>
            </w:r>
          </w:p>
          <w:p w14:paraId="3ACF611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2"/>
                <w:sz w:val="24"/>
                <w:szCs w:val="24"/>
                <w:u w:val="none"/>
                <w:lang w:val="zh-CN" w:eastAsia="zh-CN" w:bidi="ar-SA"/>
              </w:rPr>
              <w:t>提供</w:t>
            </w:r>
            <w:r>
              <w:rPr>
                <w:rFonts w:hint="eastAsia" w:ascii="宋体" w:hAnsi="宋体" w:eastAsia="宋体" w:cs="宋体"/>
                <w:color w:val="000000"/>
                <w:kern w:val="2"/>
                <w:sz w:val="24"/>
                <w:szCs w:val="24"/>
                <w:u w:val="none"/>
                <w:lang w:val="en-US" w:eastAsia="zh-CN" w:bidi="ar-SA"/>
              </w:rPr>
              <w:t>针对</w:t>
            </w:r>
            <w:r>
              <w:rPr>
                <w:rFonts w:hint="eastAsia" w:ascii="宋体" w:hAnsi="宋体" w:eastAsia="宋体" w:cs="宋体"/>
                <w:color w:val="000000"/>
                <w:kern w:val="2"/>
                <w:sz w:val="24"/>
                <w:szCs w:val="24"/>
                <w:u w:val="none"/>
                <w:lang w:val="zh-CN" w:eastAsia="zh-CN" w:bidi="ar-SA"/>
              </w:rPr>
              <w:t>本项目进度和后期服务措施，能够考虑并满足委托人服务的多种需求。满足项目要求，方案内容丰富全面、科学合理、规范的计</w:t>
            </w:r>
            <w:r>
              <w:rPr>
                <w:rFonts w:hint="eastAsia" w:ascii="宋体" w:hAnsi="宋体" w:cs="宋体"/>
                <w:color w:val="000000"/>
                <w:kern w:val="2"/>
                <w:sz w:val="24"/>
                <w:szCs w:val="24"/>
                <w:u w:val="none"/>
                <w:lang w:val="en-US" w:eastAsia="zh-CN" w:bidi="ar-SA"/>
              </w:rPr>
              <w:t>5-6</w:t>
            </w:r>
            <w:r>
              <w:rPr>
                <w:rFonts w:hint="eastAsia" w:ascii="宋体" w:hAnsi="宋体" w:eastAsia="宋体" w:cs="宋体"/>
                <w:color w:val="000000"/>
                <w:kern w:val="2"/>
                <w:sz w:val="24"/>
                <w:szCs w:val="24"/>
                <w:u w:val="none"/>
                <w:lang w:val="zh-CN" w:eastAsia="zh-CN" w:bidi="ar-SA"/>
              </w:rPr>
              <w:t>分；基本满足项目要求，方案内容比较全面、较科学合理、较规范的计</w:t>
            </w:r>
            <w:r>
              <w:rPr>
                <w:rFonts w:hint="eastAsia" w:ascii="宋体" w:hAnsi="宋体" w:cs="宋体"/>
                <w:color w:val="000000"/>
                <w:kern w:val="2"/>
                <w:sz w:val="24"/>
                <w:szCs w:val="24"/>
                <w:u w:val="none"/>
                <w:lang w:val="en-US" w:eastAsia="zh-CN" w:bidi="ar-SA"/>
              </w:rPr>
              <w:t>3-4</w:t>
            </w:r>
            <w:r>
              <w:rPr>
                <w:rFonts w:hint="eastAsia" w:ascii="宋体" w:hAnsi="宋体" w:eastAsia="宋体" w:cs="宋体"/>
                <w:color w:val="000000"/>
                <w:kern w:val="2"/>
                <w:sz w:val="24"/>
                <w:szCs w:val="24"/>
                <w:u w:val="none"/>
                <w:lang w:val="zh-CN" w:eastAsia="zh-CN" w:bidi="ar-SA"/>
              </w:rPr>
              <w:t>分；不满足项目要求，方案内容不完善、不规范的计</w:t>
            </w:r>
            <w:r>
              <w:rPr>
                <w:rFonts w:hint="eastAsia" w:ascii="宋体" w:hAnsi="宋体" w:cs="宋体"/>
                <w:color w:val="000000"/>
                <w:kern w:val="2"/>
                <w:sz w:val="24"/>
                <w:szCs w:val="24"/>
                <w:u w:val="none"/>
                <w:lang w:val="en-US" w:eastAsia="zh-CN" w:bidi="ar-SA"/>
              </w:rPr>
              <w:t>1-2</w:t>
            </w:r>
            <w:r>
              <w:rPr>
                <w:rFonts w:hint="eastAsia" w:ascii="宋体" w:hAnsi="宋体" w:eastAsia="宋体" w:cs="宋体"/>
                <w:color w:val="000000"/>
                <w:kern w:val="2"/>
                <w:sz w:val="24"/>
                <w:szCs w:val="24"/>
                <w:u w:val="none"/>
                <w:lang w:val="zh-CN" w:eastAsia="zh-CN" w:bidi="ar-SA"/>
              </w:rPr>
              <w:t>分；未提供不计分。</w:t>
            </w:r>
          </w:p>
        </w:tc>
      </w:tr>
      <w:tr w14:paraId="278C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77" w:type="dxa"/>
            <w:vMerge w:val="continue"/>
            <w:vAlign w:val="center"/>
          </w:tcPr>
          <w:p w14:paraId="7F25055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786" w:type="dxa"/>
            <w:vAlign w:val="center"/>
          </w:tcPr>
          <w:p w14:paraId="17C446F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6分</w:t>
            </w:r>
          </w:p>
        </w:tc>
        <w:tc>
          <w:tcPr>
            <w:tcW w:w="7483" w:type="dxa"/>
            <w:vAlign w:val="center"/>
          </w:tcPr>
          <w:p w14:paraId="74399E8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default"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kern w:val="2"/>
                <w:sz w:val="24"/>
                <w:szCs w:val="24"/>
                <w:u w:val="none"/>
                <w:lang w:val="en-US" w:eastAsia="zh-CN" w:bidi="ar-SA"/>
              </w:rPr>
              <w:t>管理制度（6分）</w:t>
            </w:r>
          </w:p>
          <w:p w14:paraId="35EA36E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FF0000"/>
                <w:sz w:val="24"/>
                <w:szCs w:val="24"/>
              </w:rPr>
            </w:pPr>
            <w:r>
              <w:rPr>
                <w:rFonts w:hint="eastAsia" w:ascii="宋体" w:hAnsi="宋体" w:eastAsia="宋体" w:cs="宋体"/>
                <w:color w:val="000000"/>
                <w:kern w:val="2"/>
                <w:sz w:val="24"/>
                <w:szCs w:val="24"/>
                <w:u w:val="none"/>
                <w:lang w:val="zh-CN" w:eastAsia="zh-CN" w:bidi="ar-SA"/>
              </w:rPr>
              <w:t>具有完善的农产品安全检测制度、检验档案管理制度、责任追究制度等管理制度。制度类别详细，内容全面、完善的计</w:t>
            </w:r>
            <w:r>
              <w:rPr>
                <w:rFonts w:hint="eastAsia" w:ascii="宋体" w:hAnsi="宋体" w:cs="宋体"/>
                <w:color w:val="000000"/>
                <w:kern w:val="2"/>
                <w:sz w:val="24"/>
                <w:szCs w:val="24"/>
                <w:u w:val="none"/>
                <w:lang w:val="en-US" w:eastAsia="zh-CN" w:bidi="ar-SA"/>
              </w:rPr>
              <w:t>4-6</w:t>
            </w:r>
            <w:r>
              <w:rPr>
                <w:rFonts w:hint="eastAsia" w:ascii="宋体" w:hAnsi="宋体" w:eastAsia="宋体" w:cs="宋体"/>
                <w:color w:val="000000"/>
                <w:kern w:val="2"/>
                <w:sz w:val="24"/>
                <w:szCs w:val="24"/>
                <w:u w:val="none"/>
                <w:lang w:val="zh-CN" w:eastAsia="zh-CN" w:bidi="ar-SA"/>
              </w:rPr>
              <w:t>分；制度制度类别粗略，内容不全面、不完善的计计</w:t>
            </w:r>
            <w:r>
              <w:rPr>
                <w:rFonts w:hint="eastAsia" w:ascii="宋体" w:hAnsi="宋体" w:cs="宋体"/>
                <w:color w:val="000000"/>
                <w:kern w:val="2"/>
                <w:sz w:val="24"/>
                <w:szCs w:val="24"/>
                <w:u w:val="none"/>
                <w:lang w:val="en-US" w:eastAsia="zh-CN" w:bidi="ar-SA"/>
              </w:rPr>
              <w:t>1-3</w:t>
            </w:r>
            <w:r>
              <w:rPr>
                <w:rFonts w:hint="eastAsia" w:ascii="宋体" w:hAnsi="宋体" w:eastAsia="宋体" w:cs="宋体"/>
                <w:color w:val="000000"/>
                <w:kern w:val="2"/>
                <w:sz w:val="24"/>
                <w:szCs w:val="24"/>
                <w:u w:val="none"/>
                <w:lang w:val="zh-CN" w:eastAsia="zh-CN" w:bidi="ar-SA"/>
              </w:rPr>
              <w:t>分；未提供不计分。</w:t>
            </w:r>
          </w:p>
        </w:tc>
      </w:tr>
      <w:tr w14:paraId="7920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77" w:type="dxa"/>
            <w:vMerge w:val="continue"/>
            <w:vAlign w:val="center"/>
          </w:tcPr>
          <w:p w14:paraId="20C7BD7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786" w:type="dxa"/>
            <w:vAlign w:val="center"/>
          </w:tcPr>
          <w:p w14:paraId="1D77C7E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cs="宋体"/>
                <w:color w:val="auto"/>
                <w:sz w:val="24"/>
                <w:szCs w:val="24"/>
                <w:lang w:val="en-US" w:eastAsia="zh-CN"/>
              </w:rPr>
              <w:t>分</w:t>
            </w:r>
          </w:p>
        </w:tc>
        <w:tc>
          <w:tcPr>
            <w:tcW w:w="7483" w:type="dxa"/>
            <w:vAlign w:val="center"/>
          </w:tcPr>
          <w:p w14:paraId="457D88B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人员配置（10分）</w:t>
            </w:r>
          </w:p>
          <w:p w14:paraId="644CF83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项目人员中具备中级技术职称及以上，每提供1人得1分，共 5分。 </w:t>
            </w:r>
          </w:p>
          <w:p w14:paraId="22153F3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（投标人需提供人员学历证、身份证、职称证以及在本单位所缴纳的社会保险凭证证明材料，复印件加盖投标人公章）。</w:t>
            </w:r>
          </w:p>
          <w:p w14:paraId="49B8F63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rPr>
            </w:pPr>
            <w:r>
              <w:rPr>
                <w:rFonts w:hint="eastAsia" w:ascii="宋体" w:hAnsi="宋体" w:eastAsia="宋体" w:cs="宋体"/>
                <w:color w:val="auto"/>
                <w:sz w:val="24"/>
                <w:szCs w:val="24"/>
                <w:lang w:val="en-US" w:eastAsia="zh-CN"/>
              </w:rPr>
              <w:t>2.拟投入的团队人员配置(项目管理、技术、服务人员)专业合理，人员配备齐全、岗位职责明确。团队人员配置合理、齐全、清晰计4-5分；团队人员配置模糊、人员不齐全、不清晰计的计1-3分；未提供不计分。</w:t>
            </w:r>
          </w:p>
        </w:tc>
      </w:tr>
      <w:tr w14:paraId="1D06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477" w:type="dxa"/>
            <w:vMerge w:val="continue"/>
            <w:vAlign w:val="center"/>
          </w:tcPr>
          <w:p w14:paraId="32B56A7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786" w:type="dxa"/>
            <w:vAlign w:val="center"/>
          </w:tcPr>
          <w:p w14:paraId="31CA6E2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cs="宋体"/>
                <w:color w:val="auto"/>
                <w:sz w:val="24"/>
                <w:szCs w:val="24"/>
                <w:lang w:val="en-US" w:eastAsia="zh-CN"/>
              </w:rPr>
              <w:t>分</w:t>
            </w:r>
          </w:p>
        </w:tc>
        <w:tc>
          <w:tcPr>
            <w:tcW w:w="7483" w:type="dxa"/>
          </w:tcPr>
          <w:p w14:paraId="0E32878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检测设备（6分）</w:t>
            </w:r>
          </w:p>
          <w:p w14:paraId="0E5FF2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检测仪器</w:t>
            </w:r>
            <w:r>
              <w:rPr>
                <w:rFonts w:hint="eastAsia" w:ascii="宋体" w:hAnsi="宋体" w:eastAsia="宋体" w:cs="宋体"/>
                <w:color w:val="auto"/>
                <w:sz w:val="24"/>
                <w:szCs w:val="24"/>
              </w:rPr>
              <w:t>的技术指标、配置、功能、质量标准、检测标准符合或高于国家标准，是否具有本次检验要求的检测仪器，至少包括高效液相色谱仪、气相色谱仪、气相色谱质普联用仪、液相色谱质普联用仪、紫外分光光度计、原子吸收分光光度计、原子荧光光度计、离子色谱仪，提供仪器设备照片、购买发票或鉴定/校准报告（复印件加盖供应商公章），同一类型算一个，全部提供计</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分，按其响应程度，每少一个，扣1分，扣完为止</w:t>
            </w:r>
            <w:r>
              <w:rPr>
                <w:rFonts w:hint="eastAsia" w:ascii="宋体" w:hAnsi="宋体" w:eastAsia="宋体" w:cs="宋体"/>
                <w:color w:val="auto"/>
                <w:sz w:val="24"/>
                <w:szCs w:val="24"/>
                <w:lang w:val="en-US" w:eastAsia="zh-CN"/>
              </w:rPr>
              <w:t>。</w:t>
            </w:r>
          </w:p>
        </w:tc>
      </w:tr>
      <w:tr w14:paraId="237C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1477" w:type="dxa"/>
            <w:vMerge w:val="continue"/>
            <w:vAlign w:val="center"/>
          </w:tcPr>
          <w:p w14:paraId="6C7B197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786" w:type="dxa"/>
            <w:vAlign w:val="center"/>
          </w:tcPr>
          <w:p w14:paraId="6916DAC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cs="宋体"/>
                <w:color w:val="auto"/>
                <w:sz w:val="24"/>
                <w:szCs w:val="24"/>
                <w:lang w:val="en-US" w:eastAsia="zh-CN"/>
              </w:rPr>
              <w:t>分</w:t>
            </w:r>
          </w:p>
        </w:tc>
        <w:tc>
          <w:tcPr>
            <w:tcW w:w="7483" w:type="dxa"/>
          </w:tcPr>
          <w:p w14:paraId="213C4E7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检测能力（5分）</w:t>
            </w:r>
          </w:p>
          <w:p w14:paraId="3514384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投标供应商CMA认证检验项目应覆盖本次所列参数项目需求：覆盖率100%，得5分；覆盖率95%</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99%，得4分；覆盖率90%</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94%，得2分；低于90%不得分。</w:t>
            </w:r>
          </w:p>
        </w:tc>
      </w:tr>
      <w:tr w14:paraId="0361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477" w:type="dxa"/>
            <w:vAlign w:val="center"/>
          </w:tcPr>
          <w:p w14:paraId="1A03428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业绩</w:t>
            </w:r>
          </w:p>
          <w:p w14:paraId="496C2BC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6分</w:t>
            </w:r>
            <w:r>
              <w:rPr>
                <w:rFonts w:hint="eastAsia" w:ascii="宋体" w:hAnsi="宋体" w:cs="宋体"/>
                <w:color w:val="000000" w:themeColor="text1"/>
                <w:sz w:val="24"/>
                <w:szCs w:val="24"/>
                <w:lang w:eastAsia="zh-CN"/>
                <w14:textFill>
                  <w14:solidFill>
                    <w14:schemeClr w14:val="tx1"/>
                  </w14:solidFill>
                </w14:textFill>
              </w:rPr>
              <w:t>）</w:t>
            </w:r>
          </w:p>
        </w:tc>
        <w:tc>
          <w:tcPr>
            <w:tcW w:w="786" w:type="dxa"/>
            <w:vAlign w:val="center"/>
          </w:tcPr>
          <w:p w14:paraId="10FC089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cs="宋体"/>
                <w:color w:val="auto"/>
                <w:sz w:val="24"/>
                <w:szCs w:val="24"/>
                <w:lang w:val="en-US" w:eastAsia="zh-CN"/>
              </w:rPr>
              <w:t>分</w:t>
            </w:r>
          </w:p>
        </w:tc>
        <w:tc>
          <w:tcPr>
            <w:tcW w:w="7483" w:type="dxa"/>
          </w:tcPr>
          <w:p w14:paraId="1E0151A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kern w:val="2"/>
                <w:sz w:val="24"/>
                <w:szCs w:val="24"/>
                <w:u w:val="none"/>
                <w:lang w:val="zh-CN" w:eastAsia="zh-CN" w:bidi="ar-SA"/>
              </w:rPr>
              <w:t>供应商</w:t>
            </w:r>
            <w:r>
              <w:rPr>
                <w:rFonts w:hint="eastAsia" w:ascii="宋体" w:hAnsi="宋体" w:eastAsia="宋体" w:cs="宋体"/>
                <w:color w:val="000000"/>
                <w:kern w:val="2"/>
                <w:sz w:val="24"/>
                <w:szCs w:val="24"/>
                <w:u w:val="none"/>
                <w:lang w:val="en-US" w:eastAsia="zh-CN" w:bidi="ar-SA"/>
              </w:rPr>
              <w:t>须提供</w:t>
            </w:r>
            <w:r>
              <w:rPr>
                <w:rFonts w:hint="eastAsia" w:ascii="宋体" w:hAnsi="宋体" w:eastAsia="宋体" w:cs="宋体"/>
                <w:color w:val="auto"/>
                <w:kern w:val="2"/>
                <w:sz w:val="24"/>
                <w:szCs w:val="24"/>
                <w:lang w:val="en-US" w:eastAsia="zh-CN" w:bidi="ar"/>
              </w:rPr>
              <w:t>2022年10月以来</w:t>
            </w:r>
            <w:r>
              <w:rPr>
                <w:rFonts w:hint="eastAsia" w:ascii="宋体" w:hAnsi="宋体" w:cs="宋体"/>
                <w:color w:val="000000"/>
                <w:kern w:val="2"/>
                <w:sz w:val="24"/>
                <w:szCs w:val="24"/>
                <w:u w:val="none"/>
                <w:lang w:val="en-US" w:eastAsia="zh-CN" w:bidi="ar-SA"/>
              </w:rPr>
              <w:t>类似</w:t>
            </w:r>
            <w:r>
              <w:rPr>
                <w:rFonts w:hint="eastAsia" w:ascii="宋体" w:hAnsi="宋体" w:eastAsia="宋体" w:cs="宋体"/>
                <w:color w:val="000000"/>
                <w:kern w:val="2"/>
                <w:sz w:val="24"/>
                <w:szCs w:val="24"/>
                <w:u w:val="none"/>
                <w:lang w:val="en-US" w:eastAsia="zh-CN" w:bidi="ar-SA"/>
              </w:rPr>
              <w:t>项目业绩</w:t>
            </w:r>
            <w:r>
              <w:rPr>
                <w:rFonts w:hint="eastAsia" w:ascii="宋体" w:hAnsi="宋体" w:cs="宋体"/>
                <w:color w:val="000000"/>
                <w:kern w:val="2"/>
                <w:sz w:val="24"/>
                <w:szCs w:val="24"/>
                <w:u w:val="none"/>
                <w:lang w:val="en-US" w:eastAsia="zh-CN" w:bidi="ar-SA"/>
              </w:rPr>
              <w:t>，</w:t>
            </w:r>
            <w:r>
              <w:rPr>
                <w:rFonts w:hint="eastAsia" w:ascii="宋体" w:hAnsi="宋体" w:eastAsia="宋体" w:cs="宋体"/>
                <w:color w:val="000000"/>
                <w:kern w:val="2"/>
                <w:sz w:val="24"/>
                <w:szCs w:val="24"/>
                <w:u w:val="none"/>
                <w:lang w:val="en-US" w:eastAsia="zh-CN" w:bidi="ar-SA"/>
              </w:rPr>
              <w:t>每</w:t>
            </w:r>
            <w:r>
              <w:rPr>
                <w:rFonts w:hint="eastAsia" w:ascii="宋体" w:hAnsi="宋体" w:cs="宋体"/>
                <w:color w:val="000000"/>
                <w:kern w:val="2"/>
                <w:sz w:val="24"/>
                <w:szCs w:val="24"/>
                <w:u w:val="none"/>
                <w:lang w:val="en-US" w:eastAsia="zh-CN" w:bidi="ar-SA"/>
              </w:rPr>
              <w:t>提供一</w:t>
            </w:r>
            <w:r>
              <w:rPr>
                <w:rFonts w:hint="eastAsia" w:ascii="宋体" w:hAnsi="宋体" w:eastAsia="宋体" w:cs="宋体"/>
                <w:color w:val="000000"/>
                <w:kern w:val="2"/>
                <w:sz w:val="24"/>
                <w:szCs w:val="24"/>
                <w:u w:val="none"/>
                <w:lang w:val="en-US" w:eastAsia="zh-CN" w:bidi="ar-SA"/>
              </w:rPr>
              <w:t>份得3分，最高得</w:t>
            </w:r>
            <w:r>
              <w:rPr>
                <w:rFonts w:hint="eastAsia" w:ascii="宋体" w:hAnsi="宋体" w:cs="宋体"/>
                <w:color w:val="000000"/>
                <w:kern w:val="2"/>
                <w:sz w:val="24"/>
                <w:szCs w:val="24"/>
                <w:u w:val="none"/>
                <w:lang w:val="en-US" w:eastAsia="zh-CN" w:bidi="ar-SA"/>
              </w:rPr>
              <w:t>6</w:t>
            </w:r>
            <w:r>
              <w:rPr>
                <w:rFonts w:hint="eastAsia" w:ascii="宋体" w:hAnsi="宋体" w:eastAsia="宋体" w:cs="宋体"/>
                <w:color w:val="000000"/>
                <w:kern w:val="2"/>
                <w:sz w:val="24"/>
                <w:szCs w:val="24"/>
                <w:u w:val="none"/>
                <w:lang w:val="en-US" w:eastAsia="zh-CN" w:bidi="ar-SA"/>
              </w:rPr>
              <w:t>分</w:t>
            </w:r>
            <w:r>
              <w:rPr>
                <w:rFonts w:hint="eastAsia" w:ascii="宋体" w:hAnsi="宋体" w:eastAsia="宋体" w:cs="宋体"/>
                <w:color w:val="auto"/>
                <w:sz w:val="24"/>
                <w:szCs w:val="24"/>
              </w:rPr>
              <w:t>（以合同为准，</w:t>
            </w:r>
            <w:r>
              <w:rPr>
                <w:rFonts w:hint="eastAsia" w:ascii="宋体" w:hAnsi="宋体" w:eastAsia="宋体" w:cs="宋体"/>
                <w:color w:val="auto"/>
                <w:sz w:val="24"/>
                <w:szCs w:val="24"/>
                <w:u w:val="none"/>
                <w:lang w:val="en-US" w:eastAsia="zh-CN"/>
              </w:rPr>
              <w:t>合同不得有缺页、残页，金额、签署、盖章、日期等要素齐全，所有内容应清晰可辨，否则不予认可</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。未提供不得分。</w:t>
            </w:r>
          </w:p>
        </w:tc>
      </w:tr>
      <w:tr w14:paraId="06D1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477" w:type="dxa"/>
            <w:vAlign w:val="center"/>
          </w:tcPr>
          <w:p w14:paraId="66A9558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售后服务</w:t>
            </w:r>
          </w:p>
          <w:p w14:paraId="2A31A87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8分</w:t>
            </w:r>
            <w:r>
              <w:rPr>
                <w:rFonts w:hint="eastAsia" w:ascii="宋体" w:hAnsi="宋体" w:cs="宋体"/>
                <w:color w:val="000000" w:themeColor="text1"/>
                <w:sz w:val="24"/>
                <w:szCs w:val="24"/>
                <w:lang w:eastAsia="zh-CN"/>
                <w14:textFill>
                  <w14:solidFill>
                    <w14:schemeClr w14:val="tx1"/>
                  </w14:solidFill>
                </w14:textFill>
              </w:rPr>
              <w:t>）</w:t>
            </w:r>
          </w:p>
        </w:tc>
        <w:tc>
          <w:tcPr>
            <w:tcW w:w="786" w:type="dxa"/>
            <w:vAlign w:val="center"/>
          </w:tcPr>
          <w:p w14:paraId="6C1CFD7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en-US" w:eastAsia="zh-CN"/>
                <w14:textFill>
                  <w14:solidFill>
                    <w14:schemeClr w14:val="tx1"/>
                  </w14:solidFill>
                </w14:textFill>
              </w:rPr>
              <w:t>分</w:t>
            </w:r>
          </w:p>
        </w:tc>
        <w:tc>
          <w:tcPr>
            <w:tcW w:w="7483" w:type="dxa"/>
            <w:vAlign w:val="center"/>
          </w:tcPr>
          <w:p w14:paraId="1BDB29A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根据投标人售后服务方案</w:t>
            </w:r>
            <w:r>
              <w:rPr>
                <w:rFonts w:hint="eastAsia" w:ascii="宋体" w:hAnsi="宋体" w:eastAsia="宋体" w:cs="宋体"/>
                <w:color w:val="000000" w:themeColor="text1"/>
                <w:sz w:val="24"/>
                <w:szCs w:val="24"/>
                <w:lang w:val="zh-CN"/>
                <w14:textFill>
                  <w14:solidFill>
                    <w14:schemeClr w14:val="tx1"/>
                  </w14:solidFill>
                </w14:textFill>
              </w:rPr>
              <w:t>提供</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lang w:val="zh-CN"/>
                <w14:textFill>
                  <w14:solidFill>
                    <w14:schemeClr w14:val="tx1"/>
                  </w14:solidFill>
                </w14:textFill>
              </w:rPr>
              <w:t>项目服务期内详细合理的服务计划、响应时间的承诺，</w:t>
            </w:r>
            <w:r>
              <w:rPr>
                <w:rFonts w:hint="eastAsia" w:ascii="宋体" w:hAnsi="宋体" w:eastAsia="宋体" w:cs="宋体"/>
                <w:color w:val="000000" w:themeColor="text1"/>
                <w:sz w:val="24"/>
                <w:szCs w:val="24"/>
                <w:lang w:val="en-US" w:eastAsia="zh-CN"/>
                <w14:textFill>
                  <w14:solidFill>
                    <w14:schemeClr w14:val="tx1"/>
                  </w14:solidFill>
                </w14:textFill>
              </w:rPr>
              <w:t>培训服务承诺，配合处理异议复检及免费提供相关检验技术咨询</w:t>
            </w:r>
            <w:r>
              <w:rPr>
                <w:rFonts w:hint="eastAsia" w:ascii="宋体" w:hAnsi="宋体" w:eastAsia="宋体" w:cs="宋体"/>
                <w:color w:val="000000" w:themeColor="text1"/>
                <w:sz w:val="24"/>
                <w:szCs w:val="24"/>
                <w:lang w:val="zh-CN"/>
                <w14:textFill>
                  <w14:solidFill>
                    <w14:schemeClr w14:val="tx1"/>
                  </w14:solidFill>
                </w14:textFill>
              </w:rPr>
              <w:t>服务方案周详</w:t>
            </w:r>
            <w:r>
              <w:rPr>
                <w:rFonts w:hint="eastAsia" w:ascii="宋体" w:hAnsi="宋体" w:eastAsia="宋体" w:cs="宋体"/>
                <w:color w:val="000000" w:themeColor="text1"/>
                <w:sz w:val="24"/>
                <w:szCs w:val="24"/>
                <w:lang w:val="en-US" w:eastAsia="zh-CN"/>
                <w14:textFill>
                  <w14:solidFill>
                    <w14:schemeClr w14:val="tx1"/>
                  </w14:solidFill>
                </w14:textFill>
              </w:rPr>
              <w:t>情况进行评价，</w:t>
            </w:r>
            <w:r>
              <w:rPr>
                <w:rFonts w:hint="eastAsia" w:ascii="宋体" w:hAnsi="宋体" w:eastAsia="宋体" w:cs="宋体"/>
                <w:color w:val="000000" w:themeColor="text1"/>
                <w:sz w:val="24"/>
                <w:szCs w:val="24"/>
                <w:lang w:val="zh-CN"/>
                <w14:textFill>
                  <w14:solidFill>
                    <w14:schemeClr w14:val="tx1"/>
                  </w14:solidFill>
                </w14:textFill>
              </w:rPr>
              <w:t>售后服务方案周详，可行性高，内容覆盖面全得</w:t>
            </w:r>
            <w:r>
              <w:rPr>
                <w:rFonts w:hint="eastAsia" w:ascii="宋体" w:hAnsi="宋体" w:cs="宋体"/>
                <w:color w:val="000000" w:themeColor="text1"/>
                <w:sz w:val="24"/>
                <w:szCs w:val="24"/>
                <w:lang w:val="en-US" w:eastAsia="zh-CN"/>
                <w14:textFill>
                  <w14:solidFill>
                    <w14:schemeClr w14:val="tx1"/>
                  </w14:solidFill>
                </w14:textFill>
              </w:rPr>
              <w:t>6-8</w:t>
            </w:r>
            <w:r>
              <w:rPr>
                <w:rFonts w:hint="eastAsia" w:ascii="宋体" w:hAnsi="宋体" w:eastAsia="宋体" w:cs="宋体"/>
                <w:color w:val="000000" w:themeColor="text1"/>
                <w:sz w:val="24"/>
                <w:szCs w:val="24"/>
                <w:lang w:val="zh-CN"/>
                <w14:textFill>
                  <w14:solidFill>
                    <w14:schemeClr w14:val="tx1"/>
                  </w14:solidFill>
                </w14:textFill>
              </w:rPr>
              <w:t>分；售后服务</w:t>
            </w:r>
            <w:r>
              <w:rPr>
                <w:rFonts w:hint="eastAsia" w:ascii="宋体" w:hAnsi="宋体" w:eastAsia="宋体" w:cs="宋体"/>
                <w:color w:val="000000" w:themeColor="text1"/>
                <w:sz w:val="24"/>
                <w:szCs w:val="24"/>
                <w:lang w:val="en-US" w:eastAsia="zh-CN"/>
                <w14:textFill>
                  <w14:solidFill>
                    <w14:schemeClr w14:val="tx1"/>
                  </w14:solidFill>
                </w14:textFill>
              </w:rPr>
              <w:t>方案基本周</w:t>
            </w:r>
            <w:r>
              <w:rPr>
                <w:rFonts w:hint="eastAsia" w:ascii="宋体" w:hAnsi="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val="en-US" w:eastAsia="zh-CN"/>
                <w14:textFill>
                  <w14:solidFill>
                    <w14:schemeClr w14:val="tx1"/>
                  </w14:solidFill>
                </w14:textFill>
              </w:rPr>
              <w:t>，基本可行</w:t>
            </w:r>
            <w:r>
              <w:rPr>
                <w:rFonts w:hint="eastAsia" w:ascii="宋体" w:hAnsi="宋体" w:eastAsia="宋体" w:cs="宋体"/>
                <w:color w:val="000000" w:themeColor="text1"/>
                <w:sz w:val="24"/>
                <w:szCs w:val="24"/>
                <w:lang w:val="zh-CN"/>
                <w14:textFill>
                  <w14:solidFill>
                    <w14:schemeClr w14:val="tx1"/>
                  </w14:solidFill>
                </w14:textFill>
              </w:rPr>
              <w:t>的得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分；售后服务</w:t>
            </w:r>
            <w:r>
              <w:rPr>
                <w:rFonts w:hint="eastAsia" w:ascii="宋体" w:hAnsi="宋体" w:eastAsia="宋体" w:cs="宋体"/>
                <w:color w:val="000000" w:themeColor="text1"/>
                <w:sz w:val="24"/>
                <w:szCs w:val="24"/>
                <w:lang w:val="en-US" w:eastAsia="zh-CN"/>
                <w14:textFill>
                  <w14:solidFill>
                    <w14:schemeClr w14:val="tx1"/>
                  </w14:solidFill>
                </w14:textFill>
              </w:rPr>
              <w:t>方案</w:t>
            </w:r>
            <w:r>
              <w:rPr>
                <w:rFonts w:hint="eastAsia" w:ascii="宋体" w:hAnsi="宋体" w:cs="宋体"/>
                <w:color w:val="000000" w:themeColor="text1"/>
                <w:sz w:val="24"/>
                <w:szCs w:val="24"/>
                <w:lang w:val="en-US" w:eastAsia="zh-CN"/>
                <w14:textFill>
                  <w14:solidFill>
                    <w14:schemeClr w14:val="tx1"/>
                  </w14:solidFill>
                </w14:textFill>
              </w:rPr>
              <w:t>不周详</w:t>
            </w:r>
            <w:r>
              <w:rPr>
                <w:rFonts w:hint="eastAsia" w:ascii="宋体" w:hAnsi="宋体" w:eastAsia="宋体" w:cs="宋体"/>
                <w:color w:val="000000" w:themeColor="text1"/>
                <w:sz w:val="24"/>
                <w:szCs w:val="24"/>
                <w:lang w:val="en-US" w:eastAsia="zh-CN"/>
                <w14:textFill>
                  <w14:solidFill>
                    <w14:schemeClr w14:val="tx1"/>
                  </w14:solidFill>
                </w14:textFill>
              </w:rPr>
              <w:t>，可行性差</w:t>
            </w:r>
            <w:r>
              <w:rPr>
                <w:rFonts w:hint="eastAsia" w:ascii="宋体" w:hAnsi="宋体" w:eastAsia="宋体" w:cs="宋体"/>
                <w:color w:val="000000" w:themeColor="text1"/>
                <w:sz w:val="24"/>
                <w:szCs w:val="24"/>
                <w:lang w:val="zh-CN"/>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zh-CN"/>
                <w14:textFill>
                  <w14:solidFill>
                    <w14:schemeClr w14:val="tx1"/>
                  </w14:solidFill>
                </w14:textFill>
              </w:rPr>
              <w:t>分；未提供的不得分。</w:t>
            </w:r>
          </w:p>
        </w:tc>
      </w:tr>
      <w:tr w14:paraId="42FE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477" w:type="dxa"/>
            <w:vAlign w:val="center"/>
          </w:tcPr>
          <w:p w14:paraId="3067565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合理化建议</w:t>
            </w:r>
            <w:r>
              <w:rPr>
                <w:rFonts w:hint="eastAsia" w:ascii="宋体" w:hAnsi="宋体" w:cs="宋体"/>
                <w:color w:val="000000" w:themeColor="text1"/>
                <w:sz w:val="24"/>
                <w:szCs w:val="24"/>
                <w:lang w:val="en-US" w:eastAsia="zh-CN"/>
                <w14:textFill>
                  <w14:solidFill>
                    <w14:schemeClr w14:val="tx1"/>
                  </w14:solidFill>
                </w14:textFill>
              </w:rPr>
              <w:t>（3分）</w:t>
            </w:r>
          </w:p>
        </w:tc>
        <w:tc>
          <w:tcPr>
            <w:tcW w:w="786" w:type="dxa"/>
            <w:vAlign w:val="center"/>
          </w:tcPr>
          <w:p w14:paraId="41CB8D0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3分</w:t>
            </w:r>
          </w:p>
        </w:tc>
        <w:tc>
          <w:tcPr>
            <w:tcW w:w="7483" w:type="dxa"/>
            <w:vAlign w:val="center"/>
          </w:tcPr>
          <w:p w14:paraId="1464CA8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auto"/>
                <w:sz w:val="24"/>
                <w:szCs w:val="24"/>
                <w:highlight w:val="none"/>
                <w:lang w:val="en-US" w:eastAsia="zh-CN"/>
              </w:rPr>
              <w:t>供应商根据本项目特点，提供具有针对性、切实可行、有效的合理化建议，建议内容合理、可行计3分，建议内容基本合理可行计1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2分。未提供不得分。</w:t>
            </w:r>
          </w:p>
        </w:tc>
      </w:tr>
    </w:tbl>
    <w:p w14:paraId="1D7D392D">
      <w:pPr>
        <w:spacing w:line="360" w:lineRule="auto"/>
        <w:rPr>
          <w:rFonts w:hint="eastAsia" w:cs="宋体" w:asciiTheme="minorEastAsia" w:hAnsiTheme="minorEastAsia" w:eastAsiaTheme="minorEastAsia"/>
          <w:b/>
          <w:bCs/>
          <w:sz w:val="24"/>
          <w:szCs w:val="24"/>
        </w:rPr>
      </w:pPr>
    </w:p>
    <w:p w14:paraId="6D01BDF4">
      <w:pPr>
        <w:spacing w:line="360" w:lineRule="auto"/>
        <w:rPr>
          <w:rFonts w:hint="eastAsia"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备注</w:t>
      </w:r>
      <w:r>
        <w:rPr>
          <w:rFonts w:hint="eastAsia" w:cs="宋体" w:asciiTheme="minorEastAsia" w:hAnsiTheme="minorEastAsia" w:eastAsiaTheme="minorEastAsia"/>
          <w:bCs/>
          <w:sz w:val="24"/>
          <w:szCs w:val="24"/>
        </w:rPr>
        <w:t>：</w:t>
      </w:r>
    </w:p>
    <w:bookmarkEnd w:id="133"/>
    <w:p w14:paraId="13A34A95">
      <w:pPr>
        <w:spacing w:line="336" w:lineRule="auto"/>
        <w:ind w:firstLine="600" w:firstLineChars="250"/>
        <w:rPr>
          <w:rFonts w:ascii="宋体" w:hAnsi="宋体" w:cs="宋体"/>
          <w:bCs/>
          <w:color w:val="auto"/>
          <w:sz w:val="24"/>
          <w:szCs w:val="24"/>
        </w:rPr>
      </w:pPr>
      <w:bookmarkStart w:id="134" w:name="_Toc15647"/>
      <w:bookmarkStart w:id="135" w:name="_Toc6835"/>
      <w:r>
        <w:rPr>
          <w:rFonts w:hint="eastAsia" w:ascii="宋体" w:hAnsi="宋体" w:cs="宋体"/>
          <w:bCs/>
          <w:color w:val="auto"/>
          <w:sz w:val="24"/>
          <w:szCs w:val="24"/>
          <w:lang w:eastAsia="zh-CN"/>
        </w:rPr>
        <w:t>1.</w:t>
      </w:r>
      <w:r>
        <w:rPr>
          <w:rFonts w:hint="eastAsia" w:ascii="宋体" w:hAnsi="宋体" w:cs="宋体"/>
          <w:bCs/>
          <w:color w:val="auto"/>
          <w:sz w:val="24"/>
          <w:szCs w:val="24"/>
        </w:rPr>
        <w:t>以上各项打分均由评标委员会独立评分，评分相邻两档之间的得分，归属于较低一档</w:t>
      </w:r>
      <w:r>
        <w:rPr>
          <w:rFonts w:hint="eastAsia" w:ascii="宋体" w:hAnsi="宋体" w:cs="宋体"/>
          <w:bCs/>
          <w:color w:val="auto"/>
          <w:sz w:val="24"/>
          <w:szCs w:val="24"/>
          <w:lang w:eastAsia="zh-CN"/>
        </w:rPr>
        <w:t>，</w:t>
      </w:r>
      <w:r>
        <w:rPr>
          <w:rFonts w:hint="eastAsia" w:ascii="宋体" w:hAnsi="宋体" w:cs="宋体"/>
          <w:bCs/>
          <w:color w:val="auto"/>
          <w:sz w:val="24"/>
          <w:szCs w:val="24"/>
        </w:rPr>
        <w:t>两档之间可取小数点进行打分，按评审后综合得分由高到低推荐一至三名中标候选人。</w:t>
      </w:r>
    </w:p>
    <w:p w14:paraId="243F0FCE">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2.</w:t>
      </w:r>
      <w:r>
        <w:rPr>
          <w:rFonts w:hint="eastAsia" w:ascii="宋体" w:hAnsi="宋体" w:cs="宋体"/>
          <w:bCs/>
          <w:color w:val="auto"/>
          <w:sz w:val="24"/>
          <w:szCs w:val="24"/>
        </w:rPr>
        <w:t>对于非专门面向中小企业的项目，对小型和微型企业产品的价格给予10%的扣除，用扣除后的价格参与评审；</w:t>
      </w:r>
    </w:p>
    <w:p w14:paraId="3126D33C">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3.</w:t>
      </w:r>
      <w:r>
        <w:rPr>
          <w:rFonts w:hint="eastAsia" w:ascii="宋体" w:hAnsi="宋体" w:cs="宋体"/>
          <w:bCs/>
          <w:color w:val="auto"/>
          <w:sz w:val="24"/>
          <w:szCs w:val="24"/>
        </w:rPr>
        <w:t>对于非专门面向中小企业的项目、残疾人福利性单位的项目，对小型和微型企业，残疾人福利性单位产品的价格给予10%的扣除，用扣除后的价格参与评审，残疾人福利性单位属于小型、微型企业的，不重复享受政策；</w:t>
      </w:r>
    </w:p>
    <w:p w14:paraId="6CEA47C6">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4.</w:t>
      </w:r>
      <w:r>
        <w:rPr>
          <w:rFonts w:hint="eastAsia" w:ascii="宋体" w:hAnsi="宋体" w:cs="宋体"/>
          <w:bCs/>
          <w:color w:val="auto"/>
          <w:sz w:val="24"/>
          <w:szCs w:val="24"/>
        </w:rPr>
        <w:t>《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14:paraId="23B313D5">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5.</w:t>
      </w:r>
      <w:r>
        <w:rPr>
          <w:rFonts w:hint="eastAsia" w:ascii="宋体" w:hAnsi="宋体" w:cs="宋体"/>
          <w:bCs/>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0266FCE">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6.</w:t>
      </w:r>
      <w:r>
        <w:rPr>
          <w:rFonts w:hint="eastAsia" w:ascii="宋体" w:hAnsi="宋体" w:cs="宋体"/>
          <w:bCs/>
          <w:color w:val="auto"/>
          <w:sz w:val="24"/>
          <w:szCs w:val="24"/>
        </w:rPr>
        <w:t>若出现综合得分并列时，按投标报价由低到高顺序排列。得分且投标报价相同的并列。投标文件满足</w:t>
      </w:r>
      <w:r>
        <w:rPr>
          <w:rFonts w:hint="eastAsia" w:ascii="宋体" w:hAnsi="宋体" w:cs="宋体"/>
          <w:bCs/>
          <w:color w:val="auto"/>
          <w:sz w:val="24"/>
          <w:szCs w:val="24"/>
          <w:lang w:eastAsia="zh-CN"/>
        </w:rPr>
        <w:t>磋商文件</w:t>
      </w:r>
      <w:r>
        <w:rPr>
          <w:rFonts w:hint="eastAsia" w:ascii="宋体" w:hAnsi="宋体" w:cs="宋体"/>
          <w:bCs/>
          <w:color w:val="auto"/>
          <w:sz w:val="24"/>
          <w:szCs w:val="24"/>
        </w:rPr>
        <w:t>全部实质性要求，且按照评审因素的量化指标评审得分最高的投标人为排名第一的中标候选人。</w:t>
      </w:r>
    </w:p>
    <w:p w14:paraId="1A0C8143">
      <w:pPr>
        <w:pStyle w:val="2"/>
        <w:keepNext/>
        <w:keepLines/>
        <w:pageBreakBefore/>
        <w:widowControl w:val="0"/>
        <w:numPr>
          <w:ilvl w:val="0"/>
          <w:numId w:val="6"/>
        </w:numPr>
        <w:kinsoku/>
        <w:wordWrap/>
        <w:overflowPunct/>
        <w:topLinePunct w:val="0"/>
        <w:autoSpaceDE/>
        <w:autoSpaceDN/>
        <w:bidi w:val="0"/>
        <w:adjustRightInd/>
        <w:snapToGrid/>
        <w:spacing w:line="360" w:lineRule="auto"/>
        <w:textAlignment w:val="auto"/>
        <w:rPr>
          <w:rFonts w:ascii="宋体" w:hAnsi="宋体" w:cs="宋体"/>
          <w:color w:val="auto"/>
        </w:rPr>
      </w:pPr>
      <w:bookmarkStart w:id="136" w:name="_Toc23200"/>
      <w:r>
        <w:rPr>
          <w:rFonts w:hint="eastAsia" w:ascii="宋体" w:hAnsi="宋体" w:cs="宋体"/>
          <w:color w:val="auto"/>
        </w:rPr>
        <w:t>采购内容及</w:t>
      </w:r>
      <w:r>
        <w:rPr>
          <w:rFonts w:hint="eastAsia" w:ascii="宋体" w:hAnsi="宋体" w:cs="宋体"/>
          <w:color w:val="auto"/>
          <w:lang w:eastAsia="zh-CN"/>
        </w:rPr>
        <w:t>要求</w:t>
      </w:r>
      <w:bookmarkEnd w:id="136"/>
    </w:p>
    <w:p w14:paraId="4EF5C9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default" w:ascii="宋体" w:hAnsi="宋体" w:cs="宋体"/>
          <w:b/>
          <w:bCs/>
          <w:color w:val="auto"/>
          <w:kern w:val="0"/>
          <w:sz w:val="24"/>
          <w:szCs w:val="24"/>
          <w:lang w:val="en-US" w:eastAsia="zh-CN" w:bidi="ar"/>
        </w:rPr>
      </w:pPr>
      <w:bookmarkStart w:id="137" w:name="_Toc21652"/>
      <w:r>
        <w:rPr>
          <w:rFonts w:hint="eastAsia" w:ascii="宋体" w:hAnsi="宋体" w:cs="宋体"/>
          <w:b/>
          <w:bCs/>
          <w:color w:val="auto"/>
          <w:kern w:val="0"/>
          <w:sz w:val="24"/>
          <w:szCs w:val="24"/>
          <w:lang w:val="en-US" w:eastAsia="zh-CN" w:bidi="ar"/>
        </w:rPr>
        <w:t>一、服务内容</w:t>
      </w:r>
    </w:p>
    <w:p w14:paraId="08EE84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default" w:ascii="宋体" w:hAnsi="宋体" w:cs="宋体"/>
          <w:color w:val="auto"/>
          <w:kern w:val="0"/>
          <w:sz w:val="24"/>
          <w:szCs w:val="24"/>
          <w:lang w:val="en-US" w:eastAsia="zh-CN" w:bidi="ar"/>
        </w:rPr>
      </w:pPr>
      <w:r>
        <w:rPr>
          <w:rFonts w:hint="default" w:ascii="宋体" w:hAnsi="宋体" w:cs="宋体"/>
          <w:color w:val="auto"/>
          <w:kern w:val="0"/>
          <w:sz w:val="24"/>
          <w:szCs w:val="24"/>
          <w:lang w:val="en-US" w:eastAsia="zh-CN" w:bidi="ar"/>
        </w:rPr>
        <w:t>种植业产品、畜禽产品和水产品在全区范围内抽检，生产中使用农兽药的“菜篮子”产品和农业农村、市场监管部门通报的风险较高品种全部纳入监测范围。</w:t>
      </w:r>
    </w:p>
    <w:p w14:paraId="2F0FD8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default" w:ascii="宋体" w:hAnsi="宋体" w:cs="宋体"/>
          <w:color w:val="auto"/>
          <w:kern w:val="0"/>
          <w:sz w:val="24"/>
          <w:szCs w:val="24"/>
          <w:lang w:val="en-US" w:eastAsia="zh-CN" w:bidi="ar"/>
        </w:rPr>
      </w:pPr>
      <w:r>
        <w:rPr>
          <w:rFonts w:hint="default" w:ascii="宋体" w:hAnsi="宋体" w:cs="宋体"/>
          <w:color w:val="auto"/>
          <w:kern w:val="0"/>
          <w:sz w:val="24"/>
          <w:szCs w:val="24"/>
          <w:lang w:val="en-US" w:eastAsia="zh-CN" w:bidi="ar"/>
        </w:rPr>
        <w:t>采取定期或不定期随机抽样方式进行，以“菜篮子”产品为重点，紧盯重要农时和大宗农产品上市关键期，将稻谷产品纳入监测项目，加大散户、小农户监测力度，监测服务包括抽样、运输、保管、检测、数据、检测信息、购买样品、合格及不合格样品每批次各三份检测报告、分析报告以及其他相关服务。</w:t>
      </w:r>
    </w:p>
    <w:p w14:paraId="7267E63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default"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二、</w:t>
      </w:r>
      <w:r>
        <w:rPr>
          <w:rFonts w:hint="default" w:ascii="宋体" w:hAnsi="宋体" w:cs="宋体"/>
          <w:b/>
          <w:bCs/>
          <w:color w:val="auto"/>
          <w:kern w:val="0"/>
          <w:sz w:val="24"/>
          <w:szCs w:val="24"/>
          <w:lang w:val="en-US" w:eastAsia="zh-CN" w:bidi="ar"/>
        </w:rPr>
        <w:t>监测品种和数量</w:t>
      </w:r>
    </w:p>
    <w:p w14:paraId="612628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left"/>
        <w:textAlignment w:val="auto"/>
        <w:rPr>
          <w:rFonts w:hint="default" w:ascii="宋体" w:hAnsi="宋体" w:cs="宋体"/>
          <w:color w:val="auto"/>
          <w:kern w:val="0"/>
          <w:sz w:val="24"/>
          <w:szCs w:val="24"/>
          <w:lang w:val="en-US" w:eastAsia="zh-CN" w:bidi="ar"/>
        </w:rPr>
      </w:pPr>
      <w:r>
        <w:rPr>
          <w:rFonts w:hint="default" w:ascii="宋体" w:hAnsi="宋体" w:cs="宋体"/>
          <w:color w:val="auto"/>
          <w:kern w:val="0"/>
          <w:sz w:val="24"/>
          <w:szCs w:val="24"/>
          <w:lang w:val="en-US" w:eastAsia="zh-CN" w:bidi="ar"/>
        </w:rPr>
        <w:t>按照农产品质量安全定量监测数量2批次/千人要求，委托监测</w:t>
      </w:r>
      <w:r>
        <w:rPr>
          <w:rFonts w:hint="eastAsia" w:ascii="宋体" w:hAnsi="宋体" w:cs="宋体"/>
          <w:color w:val="auto"/>
          <w:kern w:val="0"/>
          <w:sz w:val="24"/>
          <w:szCs w:val="24"/>
          <w:lang w:val="en-US" w:eastAsia="zh-CN" w:bidi="ar"/>
        </w:rPr>
        <w:t>农产品</w:t>
      </w:r>
      <w:r>
        <w:rPr>
          <w:rFonts w:hint="default" w:ascii="宋体" w:hAnsi="宋体" w:cs="宋体"/>
          <w:color w:val="auto"/>
          <w:kern w:val="0"/>
          <w:sz w:val="24"/>
          <w:szCs w:val="24"/>
          <w:lang w:val="en-US" w:eastAsia="zh-CN" w:bidi="ar"/>
        </w:rPr>
        <w:t>共422个（批）样品，其中种植业产品224个，畜禽产品156个（监测比例不低于20％），水产品42个（监测比例不低于1％）。</w:t>
      </w:r>
    </w:p>
    <w:p w14:paraId="0A7FEA41">
      <w:pPr>
        <w:pStyle w:val="1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auto"/>
          <w:kern w:val="0"/>
          <w:sz w:val="24"/>
          <w:szCs w:val="24"/>
          <w:lang w:val="en-US" w:eastAsia="zh-CN" w:bidi="ar"/>
        </w:rPr>
      </w:pPr>
      <w:bookmarkStart w:id="138" w:name="_Toc31707"/>
      <w:r>
        <w:rPr>
          <w:rFonts w:hint="default" w:ascii="宋体" w:hAnsi="宋体" w:eastAsia="宋体" w:cs="宋体"/>
          <w:b/>
          <w:bCs/>
          <w:color w:val="auto"/>
          <w:kern w:val="0"/>
          <w:sz w:val="24"/>
          <w:szCs w:val="24"/>
          <w:lang w:val="en-US" w:eastAsia="zh-CN" w:bidi="ar"/>
        </w:rPr>
        <w:t>1.种植业产品</w:t>
      </w:r>
    </w:p>
    <w:p w14:paraId="75A302E4">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蔬菜。依据汉滨区农产品目录清单，重点监测生产环节的芹菜、菠菜、叶用莴苣、芫荽、茼蒿、普通白菜、大白菜、蕹菜、花椰菜、甘蓝、青花菜、菜薹、黄瓜、苦瓜、丝瓜、西葫芦、辣椒、番茄、茄子、豇豆、菜豆、食荚豌豆、蚕豆、扁豆、韭菜、大葱、细香葱、洋葱、大蒜、莲藕、茭白、萝卜、胡萝卜、马铃薯、山药、甘薯、生姜、黄花菜、芦笋、香椿、南瓜、冬瓜、蒜苗、芋、芥菜、茎用莴苣等品种。</w:t>
      </w:r>
    </w:p>
    <w:p w14:paraId="1B6CDFAF">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（2）水果。重点监测枇杷、猕猴桃、草莓、樱桃、葡萄、西瓜、柑橘、甜瓜、柿子、李、杏、梨、桃等特色或小宗品种。</w:t>
      </w:r>
    </w:p>
    <w:p w14:paraId="4EADE646">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（3）食用菌。重点监测香菇、平菇、双孢蘑菇、金针菇、秀珍菇、黑木耳（含毛木耳）、银耳、茶树菇、杏鲍菇、草菇等品种，均为鲜品。</w:t>
      </w:r>
    </w:p>
    <w:p w14:paraId="1C145B46">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（4）茶叶。重点监测我区生产的绿茶、红茶等产品。</w:t>
      </w:r>
    </w:p>
    <w:p w14:paraId="418DEEF8">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（5）稻谷产品。</w:t>
      </w:r>
    </w:p>
    <w:p w14:paraId="665C5EA7">
      <w:pPr>
        <w:pStyle w:val="1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auto"/>
          <w:kern w:val="0"/>
          <w:sz w:val="24"/>
          <w:szCs w:val="24"/>
          <w:lang w:val="en-US" w:eastAsia="zh-CN" w:bidi="ar"/>
        </w:rPr>
      </w:pPr>
      <w:r>
        <w:rPr>
          <w:rFonts w:hint="default" w:ascii="宋体" w:hAnsi="宋体" w:eastAsia="宋体" w:cs="宋体"/>
          <w:b/>
          <w:bCs/>
          <w:color w:val="auto"/>
          <w:kern w:val="0"/>
          <w:sz w:val="24"/>
          <w:szCs w:val="24"/>
          <w:lang w:val="en-US" w:eastAsia="zh-CN" w:bidi="ar"/>
        </w:rPr>
        <w:t>2.畜禽产品</w:t>
      </w:r>
    </w:p>
    <w:p w14:paraId="04631EA2">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重点监测猪肉、猪肝、牛肉、羊肉、禽肉（鸡肉、鸭肉、乌骨鸡肉）和禽蛋（鸡蛋、鸭蛋）。</w:t>
      </w:r>
    </w:p>
    <w:p w14:paraId="5F28E98E">
      <w:pPr>
        <w:pStyle w:val="1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auto"/>
          <w:kern w:val="0"/>
          <w:sz w:val="24"/>
          <w:szCs w:val="24"/>
          <w:lang w:val="en-US" w:eastAsia="zh-CN" w:bidi="ar"/>
        </w:rPr>
      </w:pPr>
      <w:r>
        <w:rPr>
          <w:rFonts w:hint="default" w:ascii="宋体" w:hAnsi="宋体" w:eastAsia="宋体" w:cs="宋体"/>
          <w:b/>
          <w:bCs/>
          <w:color w:val="auto"/>
          <w:kern w:val="0"/>
          <w:sz w:val="24"/>
          <w:szCs w:val="24"/>
          <w:lang w:val="en-US" w:eastAsia="zh-CN" w:bidi="ar"/>
        </w:rPr>
        <w:t>3.水产品</w:t>
      </w:r>
    </w:p>
    <w:p w14:paraId="0B204877">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重点监测草鱼、鲤鱼、鲫鱼、鲢鱼、鳙鱼、鳟鱼、鲟鱼、虾、鳊鱼、大口黑鲈、乌鳢、黄鳝、大鲵等水产品。</w:t>
      </w:r>
    </w:p>
    <w:p w14:paraId="37600403">
      <w:pPr>
        <w:pStyle w:val="1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auto"/>
          <w:kern w:val="0"/>
          <w:sz w:val="24"/>
          <w:szCs w:val="24"/>
          <w:lang w:val="en-US" w:eastAsia="zh-CN" w:bidi="ar"/>
        </w:rPr>
      </w:pPr>
      <w:bookmarkStart w:id="139" w:name="_Toc11576"/>
      <w:r>
        <w:rPr>
          <w:rFonts w:hint="default" w:ascii="宋体" w:hAnsi="宋体" w:eastAsia="宋体" w:cs="宋体"/>
          <w:b/>
          <w:bCs/>
          <w:color w:val="auto"/>
          <w:kern w:val="0"/>
          <w:sz w:val="24"/>
          <w:szCs w:val="24"/>
          <w:lang w:val="en-US" w:eastAsia="zh-CN" w:bidi="ar"/>
        </w:rPr>
        <w:t>4.监测选点</w:t>
      </w:r>
    </w:p>
    <w:p w14:paraId="245142CB">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监测覆盖农产品生产基地（种植养殖基地、散户、农民专业合作社、家庭农场等）、养殖场、屠宰厂（场）、运输车、水产品暂养池、产地储存场所、农产品批发市场、农贸市场等。</w:t>
      </w:r>
    </w:p>
    <w:bookmarkEnd w:id="139"/>
    <w:p w14:paraId="31CBE67C">
      <w:pPr>
        <w:pStyle w:val="1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auto"/>
          <w:kern w:val="0"/>
          <w:sz w:val="24"/>
          <w:szCs w:val="24"/>
          <w:lang w:val="en-US" w:eastAsia="zh-CN" w:bidi="ar"/>
        </w:rPr>
      </w:pPr>
      <w:bookmarkStart w:id="140" w:name="_Toc22984"/>
      <w:r>
        <w:rPr>
          <w:rFonts w:hint="eastAsia" w:ascii="宋体" w:hAnsi="宋体" w:cs="宋体"/>
          <w:b/>
          <w:bCs/>
          <w:color w:val="auto"/>
          <w:kern w:val="0"/>
          <w:sz w:val="24"/>
          <w:szCs w:val="24"/>
          <w:lang w:val="en-US" w:eastAsia="zh-CN" w:bidi="ar"/>
        </w:rPr>
        <w:t>三、</w:t>
      </w:r>
      <w:r>
        <w:rPr>
          <w:rFonts w:hint="default" w:ascii="宋体" w:hAnsi="宋体" w:eastAsia="宋体" w:cs="宋体"/>
          <w:b/>
          <w:bCs/>
          <w:color w:val="auto"/>
          <w:kern w:val="0"/>
          <w:sz w:val="24"/>
          <w:szCs w:val="24"/>
          <w:lang w:val="en-US" w:eastAsia="zh-CN" w:bidi="ar"/>
        </w:rPr>
        <w:t>监测要求</w:t>
      </w:r>
    </w:p>
    <w:p w14:paraId="5D7A2469">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由局属相关单位根据监测方案要求，提供农产品目录清单和农产品生产经营主体名录，建立辖区的农产品目录清单，实行动态管理，委派专人全程配合抽样。区农产品检验检测中心随机选取生产经营主体，准确填写抽样单据，抽样地点应具有代表性，尽量抽取当地生产的样品，客观反映当地农产品生产、销售和管理水平。所有样品应有明确产地或进货渠道，做到全程可追溯，无法掌握来源信息的，原则上不抽样。</w:t>
      </w:r>
    </w:p>
    <w:p w14:paraId="4170E883">
      <w:pPr>
        <w:pStyle w:val="1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四、</w:t>
      </w:r>
      <w:r>
        <w:rPr>
          <w:rFonts w:hint="default" w:ascii="宋体" w:hAnsi="宋体" w:eastAsia="宋体" w:cs="宋体"/>
          <w:b/>
          <w:bCs/>
          <w:color w:val="auto"/>
          <w:kern w:val="0"/>
          <w:sz w:val="24"/>
          <w:szCs w:val="24"/>
          <w:lang w:val="en-US" w:eastAsia="zh-CN" w:bidi="ar"/>
        </w:rPr>
        <w:t>监测方法</w:t>
      </w:r>
    </w:p>
    <w:bookmarkEnd w:id="140"/>
    <w:p w14:paraId="600A9257">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1.抽样方法</w:t>
      </w:r>
    </w:p>
    <w:p w14:paraId="1DFA8A8B">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蔬菜、食用菌和水果按《农药残留分析样本的采样方法》（NY/T789-2004）规定执行。茶叶按《茶取样》（GB/T8302-2013）规定执行。畜禽产品按《动物及动物产品兽药残留监控抽样规范》（NY/ T1897-2010）规定执行。水产品按《水产品抽样规范》（GB/T 30891-2014）规定执行。</w:t>
      </w:r>
    </w:p>
    <w:p w14:paraId="026D07FF">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2.监测参数</w:t>
      </w:r>
    </w:p>
    <w:p w14:paraId="4FD6635E">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种植业产品、畜禽产品、水产品监测参数及检测方法根据区农业农村局农产品质量安全监测方案确定，可根据区域特色产品监测需要及用药实际适度优化调整。</w:t>
      </w:r>
    </w:p>
    <w:p w14:paraId="1504C62A">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3.判定原则</w:t>
      </w:r>
    </w:p>
    <w:p w14:paraId="55A28C5A">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种植业产品中的农药残留按照《食品安全国家标准食品中农药最大残留限量》（GB 2763-2021）和《食品安全国家标准食品中2，4-滴丁酸钠盐等112 种农药最大残留限量》（GB2763.1-2022）及例行监测要求的判定值进行判定，有一项指标不合格的，即判定为不合格，畜禽产品和水产品中的禁用药物检出即判定为不合格，停止使用和批准使用的药物残留按《食品安全国家标准食品中兽药最大残留限量》（GB31650-2019）和《食品安全国家标准食品中 41种兽药最大残留限量》（GB31650.1-2022）进行判定。</w:t>
      </w:r>
    </w:p>
    <w:p w14:paraId="5A4ECE32">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kern w:val="0"/>
          <w:sz w:val="24"/>
          <w:szCs w:val="24"/>
          <w:lang w:val="en-US" w:eastAsia="zh-CN" w:bidi="ar"/>
        </w:rPr>
        <w:t>4</w:t>
      </w:r>
      <w:r>
        <w:rPr>
          <w:rFonts w:hint="default" w:ascii="宋体" w:hAnsi="宋体" w:eastAsia="宋体" w:cs="宋体"/>
          <w:color w:val="auto"/>
          <w:kern w:val="0"/>
          <w:sz w:val="24"/>
          <w:szCs w:val="24"/>
          <w:lang w:val="en-US" w:eastAsia="zh-CN" w:bidi="ar"/>
        </w:rPr>
        <w:t>.监测参数</w:t>
      </w:r>
      <w:r>
        <w:rPr>
          <w:rFonts w:hint="eastAsia" w:ascii="宋体" w:hAnsi="宋体" w:cs="宋体"/>
          <w:color w:val="auto"/>
          <w:kern w:val="0"/>
          <w:sz w:val="24"/>
          <w:szCs w:val="24"/>
          <w:lang w:val="en-US" w:eastAsia="zh-CN" w:bidi="ar"/>
        </w:rPr>
        <w:t>和检测方法</w:t>
      </w:r>
    </w:p>
    <w:p w14:paraId="71C53E5C">
      <w:pPr>
        <w:wordWrap w:val="0"/>
        <w:spacing w:before="0" w:after="0"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color w:val="000000"/>
          <w:sz w:val="24"/>
          <w:szCs w:val="24"/>
        </w:rPr>
        <w:t>蔬菜、食用菌、水果例行监测参数和检测方法</w:t>
      </w:r>
    </w:p>
    <w:tbl>
      <w:tblPr>
        <w:tblStyle w:val="34"/>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08"/>
        <w:gridCol w:w="2582"/>
      </w:tblGrid>
      <w:tr w14:paraId="05CCC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7008" w:type="dxa"/>
            <w:tcBorders>
              <w:top w:val="single" w:color="000000" w:sz="4" w:space="0"/>
              <w:left w:val="single" w:color="000000" w:sz="4" w:space="0"/>
              <w:bottom w:val="single" w:color="000000" w:sz="4" w:space="0"/>
              <w:right w:val="single" w:color="000000" w:sz="4" w:space="0"/>
            </w:tcBorders>
            <w:vAlign w:val="center"/>
          </w:tcPr>
          <w:p w14:paraId="2A590006">
            <w:pPr>
              <w:keepNext w:val="0"/>
              <w:keepLines w:val="0"/>
              <w:suppressLineNumbers w:val="0"/>
              <w:spacing w:before="0" w:beforeAutospacing="0" w:after="0" w:afterAutospacing="0" w:line="560" w:lineRule="exact"/>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监测参数</w:t>
            </w:r>
          </w:p>
        </w:tc>
        <w:tc>
          <w:tcPr>
            <w:tcW w:w="2582" w:type="dxa"/>
            <w:tcBorders>
              <w:top w:val="single" w:color="000000" w:sz="4" w:space="0"/>
              <w:left w:val="nil"/>
              <w:bottom w:val="single" w:color="000000" w:sz="4" w:space="0"/>
              <w:right w:val="single" w:color="000000" w:sz="4" w:space="0"/>
            </w:tcBorders>
            <w:vAlign w:val="center"/>
          </w:tcPr>
          <w:p w14:paraId="71783841">
            <w:pPr>
              <w:keepNext w:val="0"/>
              <w:keepLines w:val="0"/>
              <w:suppressLineNumbers w:val="0"/>
              <w:spacing w:before="0" w:beforeAutospacing="0" w:after="0" w:afterAutospacing="0" w:line="560" w:lineRule="exact"/>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检测方法</w:t>
            </w:r>
          </w:p>
        </w:tc>
      </w:tr>
      <w:tr w14:paraId="15381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7" w:hRule="atLeast"/>
          <w:jc w:val="center"/>
        </w:trPr>
        <w:tc>
          <w:tcPr>
            <w:tcW w:w="7008" w:type="dxa"/>
            <w:tcBorders>
              <w:top w:val="single" w:color="000000" w:sz="4" w:space="0"/>
              <w:left w:val="single" w:color="000000" w:sz="4" w:space="0"/>
              <w:bottom w:val="single" w:color="000000" w:sz="4" w:space="0"/>
              <w:right w:val="single" w:color="000000" w:sz="4" w:space="0"/>
            </w:tcBorders>
            <w:vAlign w:val="center"/>
          </w:tcPr>
          <w:p w14:paraId="29BF4B5D">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b/>
                <w:bCs/>
                <w:i w:val="0"/>
                <w:iCs w:val="0"/>
                <w:sz w:val="24"/>
                <w:szCs w:val="24"/>
              </w:rPr>
              <w:t>禁用农药</w:t>
            </w:r>
            <w:r>
              <w:rPr>
                <w:rStyle w:val="65"/>
                <w:rFonts w:hint="eastAsia" w:ascii="宋体" w:hAnsi="宋体" w:eastAsia="宋体" w:cs="宋体"/>
                <w:i w:val="0"/>
                <w:iCs w:val="0"/>
                <w:sz w:val="24"/>
                <w:szCs w:val="24"/>
              </w:rPr>
              <w:t>甲胺磷、对硫磷、甲基对硫磷、六六六、三氯杀螨醇、甲拌磷、水胺硫磷、甲基异柳磷；氧乐果、克百威（包括 3-羟基克百威）、涕灭威（包括涕灭威砜和涕灭威亚砜）、灭多威（2026年6月1日起禁止使用）</w:t>
            </w:r>
          </w:p>
          <w:p w14:paraId="6AEBCC40">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b/>
                <w:bCs/>
                <w:i w:val="0"/>
                <w:iCs w:val="0"/>
                <w:sz w:val="24"/>
                <w:szCs w:val="24"/>
              </w:rPr>
              <w:t>限用农药</w:t>
            </w:r>
            <w:r>
              <w:rPr>
                <w:rStyle w:val="65"/>
                <w:rFonts w:hint="eastAsia" w:ascii="宋体" w:hAnsi="宋体" w:eastAsia="宋体" w:cs="宋体"/>
                <w:i w:val="0"/>
                <w:iCs w:val="0"/>
                <w:sz w:val="24"/>
                <w:szCs w:val="24"/>
              </w:rPr>
              <w:t>氟虫腈（包括氟甲腈、氟虫腈硫醚、氟虫腈砜）、毒死蜱、三唑磷、乐果、乙酰甲胺磷、硫环磷、氯唑磷、内吸磷</w:t>
            </w:r>
          </w:p>
          <w:p w14:paraId="61D94E3E">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b/>
                <w:bCs/>
                <w:i w:val="0"/>
                <w:iCs w:val="0"/>
                <w:sz w:val="24"/>
                <w:szCs w:val="24"/>
              </w:rPr>
              <w:t>常规农药</w:t>
            </w:r>
            <w:r>
              <w:rPr>
                <w:rStyle w:val="65"/>
                <w:rFonts w:hint="eastAsia" w:ascii="宋体" w:hAnsi="宋体" w:eastAsia="宋体" w:cs="宋体"/>
                <w:i w:val="0"/>
                <w:iCs w:val="0"/>
                <w:sz w:val="24"/>
                <w:szCs w:val="24"/>
              </w:rPr>
              <w:t>敌敌畏、杀螟硫磷、丙澳磷、马拉硫磷、亚胺硫磷、倍硫磷、辛硫磷、氯氰菊酯、氰戊菊酯、溴氰菊酯、甲氰菊酯、联苯菊酯、氯氟氰菊酯、氟氯氰菊酯、氯吡脲、噻苯隆、除虫脲、灭幼脲、吡虫啉、啶虫脒、哒螨灵、阿维菌素、甲氨基阿维菌素苯甲酸盐、虫螨腈、噻虫嗪、氟啶脲、异菌脲、五氯硝基苯、三唑酮、百菌清、腐霉利、乙烯菌核利、多菌灵、苯醚甲环唑、嘧霉胺、烯酰吗啉、咪鲜胺、嘧菌酯、二甲戊灵、灭蝇胺、甲霜灵、霜霉威、乙基多杀菌素、氯虫苯甲酰胺、氯菊酯（异构体之和）、醚菊酯、虫酰肼、吡唑醚菌酯、戊唑醇、抑霉唑</w:t>
            </w:r>
          </w:p>
        </w:tc>
        <w:tc>
          <w:tcPr>
            <w:tcW w:w="2582" w:type="dxa"/>
            <w:tcBorders>
              <w:top w:val="single" w:color="000000" w:sz="4" w:space="0"/>
              <w:left w:val="nil"/>
              <w:bottom w:val="single" w:color="000000" w:sz="4" w:space="0"/>
              <w:right w:val="single" w:color="000000" w:sz="4" w:space="0"/>
            </w:tcBorders>
            <w:vAlign w:val="center"/>
          </w:tcPr>
          <w:p w14:paraId="7ADA4DED">
            <w:pPr>
              <w:keepNext w:val="0"/>
              <w:keepLines w:val="0"/>
              <w:suppressLineNumbers w:val="0"/>
              <w:spacing w:before="0" w:beforeAutospacing="0" w:after="0" w:afterAutospacing="0" w:line="560" w:lineRule="exact"/>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按GB/T 20769</w:t>
            </w:r>
          </w:p>
          <w:p w14:paraId="407D40E9">
            <w:pPr>
              <w:keepNext w:val="0"/>
              <w:keepLines w:val="0"/>
              <w:suppressLineNumbers w:val="0"/>
              <w:spacing w:before="0" w:beforeAutospacing="0" w:after="0" w:afterAutospacing="0" w:line="560" w:lineRule="exact"/>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或BG/ 23200.113</w:t>
            </w:r>
          </w:p>
          <w:p w14:paraId="60A0DF10">
            <w:pPr>
              <w:keepNext w:val="0"/>
              <w:keepLines w:val="0"/>
              <w:suppressLineNumbers w:val="0"/>
              <w:spacing w:before="0" w:beforeAutospacing="0" w:after="0" w:afterAutospacing="0" w:line="560" w:lineRule="exact"/>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或GB 23200.121</w:t>
            </w:r>
          </w:p>
          <w:p w14:paraId="3FFD85E5">
            <w:pPr>
              <w:keepNext w:val="0"/>
              <w:keepLines w:val="0"/>
              <w:suppressLineNumbers w:val="0"/>
              <w:spacing w:before="0" w:beforeAutospacing="0" w:after="0" w:afterAutospacing="0" w:line="560" w:lineRule="exact"/>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或NY/T 761进行检测。</w:t>
            </w:r>
          </w:p>
        </w:tc>
      </w:tr>
    </w:tbl>
    <w:p w14:paraId="6AF4BC6D">
      <w:pPr>
        <w:keepNext w:val="0"/>
        <w:keepLines w:val="0"/>
        <w:pageBreakBefore w:val="0"/>
        <w:widowControl w:val="0"/>
        <w:suppressLineNumbers w:val="0"/>
        <w:kinsoku/>
        <w:wordWrap/>
        <w:overflowPunct/>
        <w:topLinePunct w:val="0"/>
        <w:autoSpaceDN/>
        <w:bidi w:val="0"/>
        <w:spacing w:before="0" w:beforeAutospacing="0" w:afterAutospacing="0" w:line="400" w:lineRule="exact"/>
        <w:ind w:right="0"/>
        <w:jc w:val="center"/>
        <w:textAlignment w:val="auto"/>
        <w:rPr>
          <w:rFonts w:hint="eastAsia" w:ascii="宋体" w:hAnsi="宋体" w:eastAsia="宋体" w:cs="宋体"/>
          <w:b/>
          <w:bCs/>
          <w:color w:val="000000"/>
          <w:kern w:val="0"/>
          <w:sz w:val="24"/>
          <w:szCs w:val="24"/>
          <w:lang w:val="en-US" w:eastAsia="zh-CN" w:bidi="ar"/>
        </w:rPr>
      </w:pPr>
    </w:p>
    <w:p w14:paraId="64DB0E48">
      <w:pPr>
        <w:keepNext w:val="0"/>
        <w:keepLines w:val="0"/>
        <w:pageBreakBefore w:val="0"/>
        <w:widowControl w:val="0"/>
        <w:suppressLineNumbers w:val="0"/>
        <w:kinsoku/>
        <w:wordWrap/>
        <w:overflowPunct/>
        <w:topLinePunct w:val="0"/>
        <w:autoSpaceDN/>
        <w:bidi w:val="0"/>
        <w:spacing w:before="0" w:beforeAutospacing="0" w:afterAutospacing="0" w:line="400" w:lineRule="exact"/>
        <w:ind w:right="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茶叶</w:t>
      </w:r>
      <w:r>
        <w:rPr>
          <w:rFonts w:hint="eastAsia" w:asciiTheme="minorEastAsia" w:hAnsiTheme="minorEastAsia" w:eastAsiaTheme="minorEastAsia" w:cstheme="minorEastAsia"/>
          <w:b/>
          <w:color w:val="000000"/>
          <w:sz w:val="24"/>
          <w:szCs w:val="24"/>
        </w:rPr>
        <w:t>例行</w:t>
      </w:r>
      <w:r>
        <w:rPr>
          <w:rFonts w:hint="eastAsia" w:ascii="宋体" w:hAnsi="宋体" w:eastAsia="宋体" w:cs="宋体"/>
          <w:b/>
          <w:bCs/>
          <w:color w:val="000000"/>
          <w:kern w:val="0"/>
          <w:sz w:val="24"/>
          <w:szCs w:val="24"/>
          <w:lang w:val="en-US" w:eastAsia="zh-CN" w:bidi="ar"/>
        </w:rPr>
        <w:t>监测参数和检测方法</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20"/>
        <w:gridCol w:w="4220"/>
      </w:tblGrid>
      <w:tr w14:paraId="52681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4720" w:type="dxa"/>
            <w:tcBorders>
              <w:top w:val="single" w:color="000000" w:sz="4" w:space="0"/>
              <w:left w:val="single" w:color="000000" w:sz="4" w:space="0"/>
              <w:bottom w:val="single" w:color="000000" w:sz="4" w:space="0"/>
              <w:right w:val="single" w:color="000000" w:sz="4" w:space="0"/>
            </w:tcBorders>
            <w:vAlign w:val="center"/>
          </w:tcPr>
          <w:p w14:paraId="07B867D3">
            <w:pPr>
              <w:keepNext w:val="0"/>
              <w:keepLines w:val="0"/>
              <w:suppressLineNumbers w:val="0"/>
              <w:spacing w:before="0" w:beforeAutospacing="0" w:after="0" w:afterAutospacing="0" w:line="560" w:lineRule="exact"/>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监测参数</w:t>
            </w:r>
          </w:p>
        </w:tc>
        <w:tc>
          <w:tcPr>
            <w:tcW w:w="4220" w:type="dxa"/>
            <w:tcBorders>
              <w:top w:val="single" w:color="000000" w:sz="4" w:space="0"/>
              <w:left w:val="nil"/>
              <w:bottom w:val="single" w:color="000000" w:sz="4" w:space="0"/>
              <w:right w:val="single" w:color="000000" w:sz="4" w:space="0"/>
            </w:tcBorders>
            <w:vAlign w:val="center"/>
          </w:tcPr>
          <w:p w14:paraId="31663856">
            <w:pPr>
              <w:keepNext w:val="0"/>
              <w:keepLines w:val="0"/>
              <w:suppressLineNumbers w:val="0"/>
              <w:spacing w:before="0" w:beforeAutospacing="0" w:after="0" w:afterAutospacing="0" w:line="560" w:lineRule="exact"/>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检测方法</w:t>
            </w:r>
          </w:p>
        </w:tc>
      </w:tr>
      <w:tr w14:paraId="59566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7" w:hRule="atLeast"/>
          <w:jc w:val="center"/>
        </w:trPr>
        <w:tc>
          <w:tcPr>
            <w:tcW w:w="4720" w:type="dxa"/>
            <w:tcBorders>
              <w:top w:val="single" w:color="000000" w:sz="4" w:space="0"/>
              <w:left w:val="single" w:color="000000" w:sz="4" w:space="0"/>
              <w:bottom w:val="single" w:color="000000" w:sz="4" w:space="0"/>
              <w:right w:val="single" w:color="000000" w:sz="4" w:space="0"/>
            </w:tcBorders>
            <w:vAlign w:val="center"/>
          </w:tcPr>
          <w:p w14:paraId="29889FC3">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限用农药氟戊菊酯</w:t>
            </w:r>
          </w:p>
          <w:p w14:paraId="7B203E5C">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常规农药联苯菊酯、氯氟菊酯、溴氰菊酯、氟氰戊菊酯、氯菊酯</w:t>
            </w:r>
          </w:p>
        </w:tc>
        <w:tc>
          <w:tcPr>
            <w:tcW w:w="4220" w:type="dxa"/>
            <w:tcBorders>
              <w:top w:val="single" w:color="000000" w:sz="4" w:space="0"/>
              <w:left w:val="nil"/>
              <w:bottom w:val="single" w:color="000000" w:sz="4" w:space="0"/>
              <w:right w:val="single" w:color="000000" w:sz="4" w:space="0"/>
            </w:tcBorders>
            <w:vAlign w:val="center"/>
          </w:tcPr>
          <w:p w14:paraId="590F9974">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 GB/T23204</w:t>
            </w:r>
          </w:p>
          <w:p w14:paraId="541ACDF6">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 GB23200.113 进行检测</w:t>
            </w:r>
          </w:p>
        </w:tc>
      </w:tr>
      <w:tr w14:paraId="5E97D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6" w:hRule="atLeast"/>
          <w:jc w:val="center"/>
        </w:trPr>
        <w:tc>
          <w:tcPr>
            <w:tcW w:w="4720" w:type="dxa"/>
            <w:tcBorders>
              <w:top w:val="single" w:color="000000" w:sz="4" w:space="0"/>
              <w:left w:val="single" w:color="000000" w:sz="4" w:space="0"/>
              <w:bottom w:val="single" w:color="000000" w:sz="4" w:space="0"/>
              <w:right w:val="single" w:color="000000" w:sz="4" w:space="0"/>
            </w:tcBorders>
            <w:vAlign w:val="center"/>
          </w:tcPr>
          <w:p w14:paraId="1125D76A">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禁用农药六六六、滴滴涕 (DDT)</w:t>
            </w:r>
          </w:p>
        </w:tc>
        <w:tc>
          <w:tcPr>
            <w:tcW w:w="4220" w:type="dxa"/>
            <w:tcBorders>
              <w:top w:val="single" w:color="000000" w:sz="4" w:space="0"/>
              <w:left w:val="nil"/>
              <w:bottom w:val="single" w:color="000000" w:sz="4" w:space="0"/>
              <w:right w:val="single" w:color="000000" w:sz="4" w:space="0"/>
            </w:tcBorders>
            <w:vAlign w:val="center"/>
          </w:tcPr>
          <w:p w14:paraId="034A1BC0">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按GB/T 5009.19</w:t>
            </w:r>
          </w:p>
          <w:p w14:paraId="41CDF21C">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 GB23200.113 进行检测</w:t>
            </w:r>
          </w:p>
        </w:tc>
      </w:tr>
      <w:tr w14:paraId="363A0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6" w:hRule="atLeast"/>
          <w:jc w:val="center"/>
        </w:trPr>
        <w:tc>
          <w:tcPr>
            <w:tcW w:w="4720" w:type="dxa"/>
            <w:tcBorders>
              <w:top w:val="single" w:color="000000" w:sz="4" w:space="0"/>
              <w:left w:val="single" w:color="000000" w:sz="4" w:space="0"/>
              <w:bottom w:val="single" w:color="000000" w:sz="4" w:space="0"/>
              <w:right w:val="single" w:color="000000" w:sz="4" w:space="0"/>
            </w:tcBorders>
            <w:vAlign w:val="center"/>
          </w:tcPr>
          <w:p w14:paraId="63C4CCCC">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禁用农药三氯杀螨醇</w:t>
            </w:r>
          </w:p>
        </w:tc>
        <w:tc>
          <w:tcPr>
            <w:tcW w:w="4220" w:type="dxa"/>
            <w:tcBorders>
              <w:top w:val="single" w:color="000000" w:sz="4" w:space="0"/>
              <w:left w:val="nil"/>
              <w:bottom w:val="single" w:color="000000" w:sz="4" w:space="0"/>
              <w:right w:val="single" w:color="000000" w:sz="4" w:space="0"/>
            </w:tcBorders>
            <w:vAlign w:val="center"/>
          </w:tcPr>
          <w:p w14:paraId="6FDFD38D">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按GB/T 5009.176</w:t>
            </w:r>
          </w:p>
          <w:p w14:paraId="511ED893">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或GB 23200.113 进行检测</w:t>
            </w:r>
          </w:p>
        </w:tc>
      </w:tr>
      <w:tr w14:paraId="7E835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6" w:hRule="atLeast"/>
          <w:jc w:val="center"/>
        </w:trPr>
        <w:tc>
          <w:tcPr>
            <w:tcW w:w="4720" w:type="dxa"/>
            <w:tcBorders>
              <w:top w:val="single" w:color="000000" w:sz="4" w:space="0"/>
              <w:left w:val="single" w:color="000000" w:sz="4" w:space="0"/>
              <w:bottom w:val="single" w:color="000000" w:sz="4" w:space="0"/>
              <w:right w:val="single" w:color="000000" w:sz="4" w:space="0"/>
            </w:tcBorders>
            <w:vAlign w:val="center"/>
          </w:tcPr>
          <w:p w14:paraId="5421144D">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禁用农药甲胺磷</w:t>
            </w:r>
          </w:p>
          <w:p w14:paraId="1FBED55D">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限用农药乙酰甲胺磷</w:t>
            </w:r>
          </w:p>
        </w:tc>
        <w:tc>
          <w:tcPr>
            <w:tcW w:w="4220" w:type="dxa"/>
            <w:tcBorders>
              <w:top w:val="single" w:color="000000" w:sz="4" w:space="0"/>
              <w:left w:val="nil"/>
              <w:bottom w:val="single" w:color="000000" w:sz="4" w:space="0"/>
              <w:right w:val="single" w:color="000000" w:sz="4" w:space="0"/>
            </w:tcBorders>
            <w:vAlign w:val="center"/>
          </w:tcPr>
          <w:p w14:paraId="048EE997">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 GB 23200.113</w:t>
            </w:r>
          </w:p>
          <w:p w14:paraId="385F0515">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或GB23200.116</w:t>
            </w:r>
          </w:p>
          <w:p w14:paraId="01C8F9BE">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或GB 23200.121进行检测</w:t>
            </w:r>
          </w:p>
        </w:tc>
      </w:tr>
      <w:tr w14:paraId="5075C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4720" w:type="dxa"/>
            <w:tcBorders>
              <w:top w:val="single" w:color="000000" w:sz="4" w:space="0"/>
              <w:left w:val="single" w:color="000000" w:sz="4" w:space="0"/>
              <w:bottom w:val="single" w:color="000000" w:sz="4" w:space="0"/>
              <w:right w:val="single" w:color="000000" w:sz="4" w:space="0"/>
            </w:tcBorders>
            <w:vAlign w:val="center"/>
          </w:tcPr>
          <w:p w14:paraId="4A1561D2">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常规农药杀螟硫磷</w:t>
            </w:r>
          </w:p>
        </w:tc>
        <w:tc>
          <w:tcPr>
            <w:tcW w:w="4220" w:type="dxa"/>
            <w:tcBorders>
              <w:top w:val="single" w:color="000000" w:sz="4" w:space="0"/>
              <w:left w:val="nil"/>
              <w:bottom w:val="single" w:color="000000" w:sz="4" w:space="0"/>
              <w:right w:val="single" w:color="000000" w:sz="4" w:space="0"/>
            </w:tcBorders>
            <w:vAlign w:val="center"/>
          </w:tcPr>
          <w:p w14:paraId="299B379E">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按GB 23200.113 进行检测</w:t>
            </w:r>
          </w:p>
        </w:tc>
      </w:tr>
      <w:tr w14:paraId="275CA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9" w:hRule="atLeast"/>
          <w:jc w:val="center"/>
        </w:trPr>
        <w:tc>
          <w:tcPr>
            <w:tcW w:w="4720" w:type="dxa"/>
            <w:tcBorders>
              <w:top w:val="single" w:color="000000" w:sz="4" w:space="0"/>
              <w:left w:val="single" w:color="000000" w:sz="4" w:space="0"/>
              <w:bottom w:val="single" w:color="000000" w:sz="4" w:space="0"/>
              <w:right w:val="single" w:color="000000" w:sz="4" w:space="0"/>
            </w:tcBorders>
            <w:vAlign w:val="center"/>
          </w:tcPr>
          <w:p w14:paraId="6DD0C1FC">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限用农药灭多威</w:t>
            </w:r>
          </w:p>
          <w:p w14:paraId="5B5E54C0">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常规农药吡虫啉、多菌灵、茚虫威、噻嗪酮、哒螨灵、啶虫脒、苯醚甲环唑</w:t>
            </w:r>
          </w:p>
        </w:tc>
        <w:tc>
          <w:tcPr>
            <w:tcW w:w="4220" w:type="dxa"/>
            <w:tcBorders>
              <w:top w:val="single" w:color="000000" w:sz="4" w:space="0"/>
              <w:left w:val="nil"/>
              <w:bottom w:val="single" w:color="000000" w:sz="4" w:space="0"/>
              <w:right w:val="single" w:color="000000" w:sz="4" w:space="0"/>
            </w:tcBorders>
            <w:vAlign w:val="center"/>
          </w:tcPr>
          <w:p w14:paraId="737CD69D">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 GB 23200.13</w:t>
            </w:r>
          </w:p>
          <w:p w14:paraId="2D462BB0">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或GB 23200.113</w:t>
            </w:r>
          </w:p>
          <w:p w14:paraId="0850A9B1">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 GB23200.121</w:t>
            </w:r>
          </w:p>
          <w:p w14:paraId="7C3128C4">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或GB/T 23204进行检测</w:t>
            </w:r>
          </w:p>
        </w:tc>
      </w:tr>
      <w:tr w14:paraId="3BF24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4720" w:type="dxa"/>
            <w:tcBorders>
              <w:top w:val="single" w:color="000000" w:sz="4" w:space="0"/>
              <w:left w:val="single" w:color="000000" w:sz="4" w:space="0"/>
              <w:bottom w:val="single" w:color="000000" w:sz="4" w:space="0"/>
              <w:right w:val="single" w:color="000000" w:sz="4" w:space="0"/>
            </w:tcBorders>
            <w:vAlign w:val="center"/>
          </w:tcPr>
          <w:p w14:paraId="6E1444C6">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b/>
                <w:bCs/>
                <w:i w:val="0"/>
                <w:iCs w:val="0"/>
                <w:sz w:val="24"/>
                <w:szCs w:val="24"/>
              </w:rPr>
              <w:t>常规农药</w:t>
            </w:r>
            <w:r>
              <w:rPr>
                <w:rStyle w:val="65"/>
                <w:rFonts w:hint="eastAsia" w:ascii="宋体" w:hAnsi="宋体" w:eastAsia="宋体" w:cs="宋体"/>
                <w:i w:val="0"/>
                <w:iCs w:val="0"/>
                <w:sz w:val="24"/>
                <w:szCs w:val="24"/>
              </w:rPr>
              <w:t>草甘膦</w:t>
            </w:r>
          </w:p>
        </w:tc>
        <w:tc>
          <w:tcPr>
            <w:tcW w:w="4220" w:type="dxa"/>
            <w:tcBorders>
              <w:top w:val="single" w:color="000000" w:sz="4" w:space="0"/>
              <w:left w:val="nil"/>
              <w:bottom w:val="single" w:color="000000" w:sz="4" w:space="0"/>
              <w:right w:val="single" w:color="000000" w:sz="4" w:space="0"/>
            </w:tcBorders>
            <w:vAlign w:val="center"/>
          </w:tcPr>
          <w:p w14:paraId="009E39DE">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按SN/T1923进行检测</w:t>
            </w:r>
          </w:p>
        </w:tc>
      </w:tr>
      <w:tr w14:paraId="3FD39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4720" w:type="dxa"/>
            <w:tcBorders>
              <w:top w:val="single" w:color="000000" w:sz="4" w:space="0"/>
              <w:left w:val="single" w:color="000000" w:sz="4" w:space="0"/>
              <w:bottom w:val="single" w:color="000000" w:sz="4" w:space="0"/>
              <w:right w:val="single" w:color="000000" w:sz="4" w:space="0"/>
            </w:tcBorders>
            <w:vAlign w:val="center"/>
          </w:tcPr>
          <w:p w14:paraId="04561FBD">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b/>
                <w:bCs/>
                <w:i w:val="0"/>
                <w:iCs w:val="0"/>
                <w:sz w:val="24"/>
                <w:szCs w:val="24"/>
              </w:rPr>
              <w:t>常规农药</w:t>
            </w:r>
            <w:r>
              <w:rPr>
                <w:rStyle w:val="65"/>
                <w:rFonts w:hint="eastAsia" w:ascii="宋体" w:hAnsi="宋体" w:eastAsia="宋体" w:cs="宋体"/>
                <w:i w:val="0"/>
                <w:iCs w:val="0"/>
                <w:sz w:val="24"/>
                <w:szCs w:val="24"/>
              </w:rPr>
              <w:t>草铵膦</w:t>
            </w:r>
          </w:p>
        </w:tc>
        <w:tc>
          <w:tcPr>
            <w:tcW w:w="4220" w:type="dxa"/>
            <w:tcBorders>
              <w:top w:val="single" w:color="000000" w:sz="4" w:space="0"/>
              <w:left w:val="nil"/>
              <w:bottom w:val="single" w:color="000000" w:sz="4" w:space="0"/>
              <w:right w:val="single" w:color="000000" w:sz="4" w:space="0"/>
            </w:tcBorders>
            <w:vAlign w:val="center"/>
          </w:tcPr>
          <w:p w14:paraId="039618D9">
            <w:pPr>
              <w:keepNext w:val="0"/>
              <w:keepLines w:val="0"/>
              <w:suppressLineNumbers w:val="0"/>
              <w:spacing w:before="0" w:beforeAutospacing="0" w:after="0" w:afterAutospacing="0" w:line="360" w:lineRule="auto"/>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按GB23200.108进行检测</w:t>
            </w:r>
          </w:p>
        </w:tc>
      </w:tr>
    </w:tbl>
    <w:p w14:paraId="17BA097C">
      <w:pPr>
        <w:wordWrap w:val="0"/>
        <w:spacing w:before="0" w:after="0" w:line="360" w:lineRule="auto"/>
        <w:jc w:val="center"/>
        <w:rPr>
          <w:rFonts w:hint="eastAsia" w:asciiTheme="minorEastAsia" w:hAnsiTheme="minorEastAsia" w:eastAsiaTheme="minorEastAsia" w:cstheme="minorEastAsia"/>
          <w:b/>
          <w:color w:val="000000"/>
          <w:sz w:val="24"/>
          <w:szCs w:val="24"/>
        </w:rPr>
      </w:pPr>
    </w:p>
    <w:p w14:paraId="3C87488E">
      <w:pPr>
        <w:wordWrap w:val="0"/>
        <w:spacing w:before="0" w:after="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畜禽产品例行监测参数和检测方法</w:t>
      </w:r>
    </w:p>
    <w:tbl>
      <w:tblPr>
        <w:tblStyle w:val="3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97"/>
        <w:gridCol w:w="1400"/>
        <w:gridCol w:w="3303"/>
      </w:tblGrid>
      <w:tr w14:paraId="7CFEC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4197" w:type="dxa"/>
            <w:tcBorders>
              <w:top w:val="single" w:color="000000" w:sz="4" w:space="0"/>
              <w:left w:val="single" w:color="000000" w:sz="4" w:space="0"/>
              <w:bottom w:val="single" w:color="000000" w:sz="4" w:space="0"/>
              <w:right w:val="single" w:color="000000" w:sz="4" w:space="0"/>
            </w:tcBorders>
            <w:vAlign w:val="center"/>
          </w:tcPr>
          <w:p w14:paraId="758A4EBD">
            <w:pPr>
              <w:pStyle w:val="115"/>
              <w:keepNext w:val="0"/>
              <w:keepLines w:val="0"/>
              <w:suppressLineNumbers w:val="0"/>
              <w:spacing w:before="0" w:beforeAutospacing="0" w:after="0" w:afterAutospacing="0" w:line="560" w:lineRule="exact"/>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监测项目</w:t>
            </w:r>
          </w:p>
        </w:tc>
        <w:tc>
          <w:tcPr>
            <w:tcW w:w="1400" w:type="dxa"/>
            <w:tcBorders>
              <w:top w:val="single" w:color="000000" w:sz="4" w:space="0"/>
              <w:left w:val="nil"/>
              <w:bottom w:val="single" w:color="000000" w:sz="4" w:space="0"/>
              <w:right w:val="single" w:color="000000" w:sz="4" w:space="0"/>
            </w:tcBorders>
            <w:vAlign w:val="center"/>
          </w:tcPr>
          <w:p w14:paraId="3E066CC0">
            <w:pPr>
              <w:pStyle w:val="1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样品种类</w:t>
            </w:r>
          </w:p>
        </w:tc>
        <w:tc>
          <w:tcPr>
            <w:tcW w:w="3303" w:type="dxa"/>
            <w:tcBorders>
              <w:top w:val="single" w:color="000000" w:sz="4" w:space="0"/>
              <w:left w:val="nil"/>
              <w:bottom w:val="single" w:color="000000" w:sz="4" w:space="0"/>
              <w:right w:val="single" w:color="000000" w:sz="4" w:space="0"/>
            </w:tcBorders>
            <w:vAlign w:val="center"/>
          </w:tcPr>
          <w:p w14:paraId="43352F58">
            <w:pPr>
              <w:pStyle w:val="115"/>
              <w:keepNext w:val="0"/>
              <w:keepLines w:val="0"/>
              <w:suppressLineNumbers w:val="0"/>
              <w:spacing w:before="0" w:beforeAutospacing="0" w:after="0" w:afterAutospacing="0" w:line="560" w:lineRule="exact"/>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检测方法</w:t>
            </w:r>
          </w:p>
        </w:tc>
      </w:tr>
      <w:tr w14:paraId="11BC6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85" w:hRule="atLeast"/>
        </w:trPr>
        <w:tc>
          <w:tcPr>
            <w:tcW w:w="4197" w:type="dxa"/>
            <w:tcBorders>
              <w:top w:val="single" w:color="000000" w:sz="4" w:space="0"/>
              <w:left w:val="single" w:color="000000" w:sz="4" w:space="0"/>
              <w:bottom w:val="single" w:color="000000" w:sz="4" w:space="0"/>
              <w:right w:val="single" w:color="000000" w:sz="4" w:space="0"/>
            </w:tcBorders>
            <w:vAlign w:val="center"/>
          </w:tcPr>
          <w:p w14:paraId="734BFE34">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禁用药物β－受体激动剂类（克伦特罗、莱克多巴胺、沙丁胺醇、特布他林、西马特罗、氯丙那林、妥布特罗）</w:t>
            </w:r>
          </w:p>
        </w:tc>
        <w:tc>
          <w:tcPr>
            <w:tcW w:w="1400" w:type="dxa"/>
            <w:vMerge w:val="restart"/>
            <w:tcBorders>
              <w:top w:val="nil"/>
              <w:left w:val="nil"/>
              <w:bottom w:val="single" w:color="000000" w:sz="4" w:space="0"/>
              <w:right w:val="single" w:color="000000" w:sz="4" w:space="0"/>
            </w:tcBorders>
            <w:vAlign w:val="center"/>
          </w:tcPr>
          <w:p w14:paraId="6FA9062D">
            <w:pPr>
              <w:keepNext w:val="0"/>
              <w:keepLines w:val="0"/>
              <w:suppressLineNumbers w:val="0"/>
              <w:spacing w:before="0" w:beforeAutospacing="0" w:after="0" w:afterAutospacing="0"/>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猪肉、猪肝</w:t>
            </w:r>
          </w:p>
          <w:p w14:paraId="01F08171">
            <w:pPr>
              <w:keepNext w:val="0"/>
              <w:keepLines w:val="0"/>
              <w:suppressLineNumbers w:val="0"/>
              <w:spacing w:before="0" w:beforeAutospacing="0" w:after="0" w:afterAutospacing="0"/>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牛肉、羊肉</w:t>
            </w:r>
          </w:p>
        </w:tc>
        <w:tc>
          <w:tcPr>
            <w:tcW w:w="3303" w:type="dxa"/>
            <w:tcBorders>
              <w:top w:val="single" w:color="000000" w:sz="4" w:space="0"/>
              <w:left w:val="nil"/>
              <w:bottom w:val="single" w:color="000000" w:sz="4" w:space="0"/>
              <w:right w:val="single" w:color="000000" w:sz="4" w:space="0"/>
            </w:tcBorders>
            <w:vAlign w:val="center"/>
          </w:tcPr>
          <w:p w14:paraId="4D3EA5D2">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按农业部1025号公告-18-2008</w:t>
            </w:r>
          </w:p>
          <w:p w14:paraId="20132575">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或GB31658.22进行检测</w:t>
            </w:r>
          </w:p>
        </w:tc>
      </w:tr>
      <w:tr w14:paraId="3A7D8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84" w:hRule="atLeast"/>
        </w:trPr>
        <w:tc>
          <w:tcPr>
            <w:tcW w:w="4197" w:type="dxa"/>
            <w:tcBorders>
              <w:top w:val="single" w:color="000000" w:sz="4" w:space="0"/>
              <w:left w:val="single" w:color="000000" w:sz="4" w:space="0"/>
              <w:bottom w:val="single" w:color="000000" w:sz="4" w:space="0"/>
              <w:right w:val="single" w:color="000000" w:sz="4" w:space="0"/>
            </w:tcBorders>
            <w:vAlign w:val="center"/>
          </w:tcPr>
          <w:p w14:paraId="0DE9252B">
            <w:pPr>
              <w:keepNext w:val="0"/>
              <w:keepLines w:val="0"/>
              <w:suppressLineNumbers w:val="0"/>
              <w:spacing w:before="0" w:beforeAutospacing="0" w:after="0" w:afterAutospacing="0"/>
              <w:ind w:left="0" w:right="0"/>
              <w:rPr>
                <w:rFonts w:hint="eastAsia" w:ascii="宋体" w:hAnsi="宋体" w:eastAsia="宋体" w:cs="宋体"/>
                <w:i w:val="0"/>
                <w:iCs w:val="0"/>
                <w:sz w:val="24"/>
                <w:szCs w:val="24"/>
              </w:rPr>
            </w:pPr>
            <w:r>
              <w:rPr>
                <w:rStyle w:val="65"/>
                <w:rFonts w:hint="eastAsia" w:ascii="宋体" w:hAnsi="宋体" w:eastAsia="宋体" w:cs="宋体"/>
                <w:i w:val="0"/>
                <w:iCs w:val="0"/>
                <w:sz w:val="24"/>
                <w:szCs w:val="24"/>
              </w:rPr>
              <w:t>常规药物磺胺类（磺胺间甲氧嘧啶、磺胺甲噁唑、磺胺（间）二甲氧嘧啶、磺胺喹噁啉）</w:t>
            </w:r>
          </w:p>
        </w:tc>
        <w:tc>
          <w:tcPr>
            <w:tcW w:w="1400" w:type="dxa"/>
            <w:vMerge w:val="continue"/>
            <w:tcBorders>
              <w:top w:val="nil"/>
              <w:left w:val="nil"/>
              <w:bottom w:val="single" w:color="000000" w:sz="4" w:space="0"/>
              <w:right w:val="single" w:color="000000" w:sz="4" w:space="0"/>
            </w:tcBorders>
            <w:vAlign w:val="center"/>
          </w:tcPr>
          <w:p w14:paraId="4AD086FE">
            <w:pPr>
              <w:keepNext w:val="0"/>
              <w:keepLines w:val="0"/>
              <w:suppressLineNumbers w:val="0"/>
              <w:spacing w:before="0" w:beforeAutospacing="0" w:after="0" w:afterAutospacing="0"/>
              <w:ind w:left="0" w:right="0"/>
              <w:jc w:val="left"/>
              <w:rPr>
                <w:rStyle w:val="65"/>
                <w:rFonts w:hint="eastAsia" w:ascii="宋体" w:hAnsi="宋体" w:eastAsia="宋体" w:cs="宋体"/>
                <w:i w:val="0"/>
                <w:iCs w:val="0"/>
                <w:sz w:val="24"/>
                <w:szCs w:val="24"/>
              </w:rPr>
            </w:pPr>
          </w:p>
        </w:tc>
        <w:tc>
          <w:tcPr>
            <w:tcW w:w="3303" w:type="dxa"/>
            <w:tcBorders>
              <w:top w:val="single" w:color="000000" w:sz="4" w:space="0"/>
              <w:left w:val="nil"/>
              <w:bottom w:val="single" w:color="000000" w:sz="4" w:space="0"/>
              <w:right w:val="single" w:color="000000" w:sz="4" w:space="0"/>
            </w:tcBorders>
            <w:vAlign w:val="center"/>
          </w:tcPr>
          <w:p w14:paraId="40B8E062">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按GB/T 20759</w:t>
            </w:r>
          </w:p>
          <w:p w14:paraId="19E12717">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或GB 31658.17</w:t>
            </w:r>
          </w:p>
          <w:p w14:paraId="3DFCCC98">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或GB/T 21316</w:t>
            </w:r>
          </w:p>
          <w:p w14:paraId="0170F5C3">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或农业部1025号公告-23-2008</w:t>
            </w:r>
          </w:p>
          <w:p w14:paraId="2F49721A">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或SN/T 5140或农质发[2014]5号文件附录进行检测</w:t>
            </w:r>
          </w:p>
        </w:tc>
      </w:tr>
      <w:tr w14:paraId="4CCF2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3" w:hRule="atLeast"/>
        </w:trPr>
        <w:tc>
          <w:tcPr>
            <w:tcW w:w="4197" w:type="dxa"/>
            <w:tcBorders>
              <w:top w:val="single" w:color="000000" w:sz="4" w:space="0"/>
              <w:left w:val="single" w:color="000000" w:sz="4" w:space="0"/>
              <w:bottom w:val="single" w:color="000000" w:sz="4" w:space="0"/>
              <w:right w:val="single" w:color="000000" w:sz="4" w:space="0"/>
            </w:tcBorders>
            <w:vAlign w:val="center"/>
          </w:tcPr>
          <w:p w14:paraId="3FE53839">
            <w:pPr>
              <w:keepNext w:val="0"/>
              <w:keepLines w:val="0"/>
              <w:suppressLineNumbers w:val="0"/>
              <w:spacing w:before="0" w:beforeAutospacing="0" w:after="0" w:afterAutospacing="0"/>
              <w:ind w:left="0" w:right="0"/>
              <w:rPr>
                <w:rFonts w:hint="eastAsia" w:ascii="宋体" w:hAnsi="宋体" w:eastAsia="宋体" w:cs="宋体"/>
                <w:i w:val="0"/>
                <w:iCs w:val="0"/>
                <w:sz w:val="24"/>
                <w:szCs w:val="24"/>
              </w:rPr>
            </w:pPr>
            <w:r>
              <w:rPr>
                <w:rStyle w:val="65"/>
                <w:rFonts w:hint="eastAsia" w:ascii="宋体" w:hAnsi="宋体" w:eastAsia="宋体" w:cs="宋体"/>
                <w:i w:val="0"/>
                <w:iCs w:val="0"/>
                <w:sz w:val="24"/>
                <w:szCs w:val="24"/>
              </w:rPr>
              <w:t>常规药物四环素类（金霉素、土霉素、四环素、强力霉素）</w:t>
            </w:r>
          </w:p>
        </w:tc>
        <w:tc>
          <w:tcPr>
            <w:tcW w:w="1400" w:type="dxa"/>
            <w:vMerge w:val="continue"/>
            <w:tcBorders>
              <w:top w:val="nil"/>
              <w:left w:val="nil"/>
              <w:bottom w:val="single" w:color="000000" w:sz="4" w:space="0"/>
              <w:right w:val="single" w:color="000000" w:sz="4" w:space="0"/>
            </w:tcBorders>
            <w:vAlign w:val="center"/>
          </w:tcPr>
          <w:p w14:paraId="07A774E5">
            <w:pPr>
              <w:keepNext w:val="0"/>
              <w:keepLines w:val="0"/>
              <w:suppressLineNumbers w:val="0"/>
              <w:spacing w:before="0" w:beforeAutospacing="0" w:after="0" w:afterAutospacing="0"/>
              <w:ind w:left="0" w:right="0"/>
              <w:jc w:val="left"/>
              <w:rPr>
                <w:rStyle w:val="65"/>
                <w:rFonts w:hint="eastAsia" w:ascii="宋体" w:hAnsi="宋体" w:eastAsia="宋体" w:cs="宋体"/>
                <w:i w:val="0"/>
                <w:iCs w:val="0"/>
                <w:sz w:val="24"/>
                <w:szCs w:val="24"/>
              </w:rPr>
            </w:pPr>
          </w:p>
        </w:tc>
        <w:tc>
          <w:tcPr>
            <w:tcW w:w="3303" w:type="dxa"/>
            <w:tcBorders>
              <w:top w:val="single" w:color="000000" w:sz="4" w:space="0"/>
              <w:left w:val="nil"/>
              <w:bottom w:val="single" w:color="000000" w:sz="4" w:space="0"/>
              <w:right w:val="single" w:color="000000" w:sz="4" w:space="0"/>
            </w:tcBorders>
            <w:vAlign w:val="center"/>
          </w:tcPr>
          <w:p w14:paraId="57D50634">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 GB/T 21317或GB 31658.17或GB31658.6 进行检测</w:t>
            </w:r>
          </w:p>
        </w:tc>
      </w:tr>
      <w:tr w14:paraId="271B3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2" w:hRule="atLeast"/>
        </w:trPr>
        <w:tc>
          <w:tcPr>
            <w:tcW w:w="4197" w:type="dxa"/>
            <w:tcBorders>
              <w:top w:val="single" w:color="000000" w:sz="4" w:space="0"/>
              <w:left w:val="single" w:color="000000" w:sz="4" w:space="0"/>
              <w:bottom w:val="single" w:color="000000" w:sz="4" w:space="0"/>
              <w:right w:val="single" w:color="auto" w:sz="4" w:space="0"/>
            </w:tcBorders>
            <w:vAlign w:val="center"/>
          </w:tcPr>
          <w:p w14:paraId="53A7F663">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常规药物糖皮质激素类（地塞米松、倍他米松）</w:t>
            </w:r>
          </w:p>
        </w:tc>
        <w:tc>
          <w:tcPr>
            <w:tcW w:w="1400" w:type="dxa"/>
            <w:tcBorders>
              <w:top w:val="single" w:color="auto" w:sz="4" w:space="0"/>
              <w:left w:val="nil"/>
              <w:bottom w:val="single" w:color="auto" w:sz="4" w:space="0"/>
              <w:right w:val="single" w:color="auto" w:sz="4" w:space="0"/>
            </w:tcBorders>
            <w:vAlign w:val="center"/>
          </w:tcPr>
          <w:p w14:paraId="7C975481">
            <w:pPr>
              <w:keepNext w:val="0"/>
              <w:keepLines w:val="0"/>
              <w:suppressLineNumbers w:val="0"/>
              <w:spacing w:before="0" w:beforeAutospacing="0" w:after="0" w:afterAutospacing="0"/>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牛肉</w:t>
            </w:r>
          </w:p>
        </w:tc>
        <w:tc>
          <w:tcPr>
            <w:tcW w:w="3303" w:type="dxa"/>
            <w:tcBorders>
              <w:top w:val="single" w:color="000000" w:sz="4" w:space="0"/>
              <w:left w:val="nil"/>
              <w:bottom w:val="single" w:color="000000" w:sz="4" w:space="0"/>
              <w:right w:val="single" w:color="000000" w:sz="4" w:space="0"/>
            </w:tcBorders>
            <w:vAlign w:val="center"/>
          </w:tcPr>
          <w:p w14:paraId="54720435">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按农业部 1031号公告-2-2008 进行检测</w:t>
            </w:r>
          </w:p>
        </w:tc>
      </w:tr>
      <w:tr w14:paraId="2D34A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7" w:hRule="atLeast"/>
        </w:trPr>
        <w:tc>
          <w:tcPr>
            <w:tcW w:w="4197" w:type="dxa"/>
            <w:tcBorders>
              <w:top w:val="single" w:color="000000" w:sz="4" w:space="0"/>
              <w:left w:val="single" w:color="000000" w:sz="4" w:space="0"/>
              <w:bottom w:val="single" w:color="000000" w:sz="4" w:space="0"/>
              <w:right w:val="single" w:color="auto" w:sz="4" w:space="0"/>
            </w:tcBorders>
            <w:vAlign w:val="center"/>
          </w:tcPr>
          <w:p w14:paraId="4F91A616">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常规药物氟喹诺酮类（恩诺沙星、环丙沙星）</w:t>
            </w:r>
          </w:p>
        </w:tc>
        <w:tc>
          <w:tcPr>
            <w:tcW w:w="1400" w:type="dxa"/>
            <w:tcBorders>
              <w:top w:val="single" w:color="auto" w:sz="4" w:space="0"/>
              <w:left w:val="nil"/>
              <w:bottom w:val="single" w:color="auto" w:sz="4" w:space="0"/>
              <w:right w:val="single" w:color="auto" w:sz="4" w:space="0"/>
            </w:tcBorders>
            <w:vAlign w:val="center"/>
          </w:tcPr>
          <w:p w14:paraId="00702FE9">
            <w:pPr>
              <w:keepNext w:val="0"/>
              <w:keepLines w:val="0"/>
              <w:suppressLineNumbers w:val="0"/>
              <w:spacing w:before="0" w:beforeAutospacing="0" w:after="0" w:afterAutospacing="0"/>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猪肉、牛肉、羊肉</w:t>
            </w:r>
          </w:p>
        </w:tc>
        <w:tc>
          <w:tcPr>
            <w:tcW w:w="3303" w:type="dxa"/>
            <w:tcBorders>
              <w:top w:val="single" w:color="000000" w:sz="4" w:space="0"/>
              <w:left w:val="nil"/>
              <w:bottom w:val="single" w:color="000000" w:sz="4" w:space="0"/>
              <w:right w:val="single" w:color="000000" w:sz="4" w:space="0"/>
            </w:tcBorders>
            <w:vAlign w:val="center"/>
          </w:tcPr>
          <w:p w14:paraId="2EF4A834">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按GB31658.17进行检测</w:t>
            </w:r>
          </w:p>
        </w:tc>
      </w:tr>
      <w:tr w14:paraId="67636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0" w:hRule="atLeast"/>
        </w:trPr>
        <w:tc>
          <w:tcPr>
            <w:tcW w:w="4197" w:type="dxa"/>
            <w:tcBorders>
              <w:top w:val="single" w:color="000000" w:sz="4" w:space="0"/>
              <w:left w:val="single" w:color="000000" w:sz="4" w:space="0"/>
              <w:bottom w:val="single" w:color="000000" w:sz="4" w:space="0"/>
              <w:right w:val="single" w:color="auto" w:sz="4" w:space="0"/>
            </w:tcBorders>
            <w:vAlign w:val="center"/>
          </w:tcPr>
          <w:p w14:paraId="73932554">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常规药物抗菌增效剂 （甲氧苄啶）</w:t>
            </w:r>
          </w:p>
        </w:tc>
        <w:tc>
          <w:tcPr>
            <w:tcW w:w="1400" w:type="dxa"/>
            <w:tcBorders>
              <w:top w:val="single" w:color="auto" w:sz="4" w:space="0"/>
              <w:left w:val="nil"/>
              <w:bottom w:val="single" w:color="auto" w:sz="4" w:space="0"/>
              <w:right w:val="single" w:color="auto" w:sz="4" w:space="0"/>
            </w:tcBorders>
            <w:vAlign w:val="center"/>
          </w:tcPr>
          <w:p w14:paraId="1AE900B8">
            <w:pPr>
              <w:keepNext w:val="0"/>
              <w:keepLines w:val="0"/>
              <w:suppressLineNumbers w:val="0"/>
              <w:spacing w:before="0" w:beforeAutospacing="0" w:after="0" w:afterAutospacing="0"/>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禽肉、禽蛋</w:t>
            </w:r>
          </w:p>
        </w:tc>
        <w:tc>
          <w:tcPr>
            <w:tcW w:w="3303" w:type="dxa"/>
            <w:vMerge w:val="restart"/>
            <w:tcBorders>
              <w:top w:val="nil"/>
              <w:left w:val="nil"/>
              <w:bottom w:val="single" w:color="000000" w:sz="4" w:space="0"/>
              <w:right w:val="single" w:color="000000" w:sz="4" w:space="0"/>
            </w:tcBorders>
            <w:vAlign w:val="center"/>
          </w:tcPr>
          <w:p w14:paraId="424B563C">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按GB 31658.17或 GB/T 21316或GB/T 21312或GB/T 20366或农业农村部指定方法进行检测</w:t>
            </w:r>
          </w:p>
        </w:tc>
      </w:tr>
      <w:tr w14:paraId="4F510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3" w:hRule="atLeast"/>
        </w:trPr>
        <w:tc>
          <w:tcPr>
            <w:tcW w:w="4197" w:type="dxa"/>
            <w:tcBorders>
              <w:top w:val="single" w:color="000000" w:sz="4" w:space="0"/>
              <w:left w:val="single" w:color="000000" w:sz="4" w:space="0"/>
              <w:bottom w:val="single" w:color="000000" w:sz="4" w:space="0"/>
              <w:right w:val="single" w:color="auto" w:sz="4" w:space="0"/>
            </w:tcBorders>
            <w:vAlign w:val="center"/>
          </w:tcPr>
          <w:p w14:paraId="7E50DB42">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常规药物氟喹诺酮类（恩诺沙星、环丙沙星、沙拉沙星、达氟沙星）</w:t>
            </w:r>
          </w:p>
        </w:tc>
        <w:tc>
          <w:tcPr>
            <w:tcW w:w="1400" w:type="dxa"/>
            <w:vMerge w:val="restart"/>
            <w:tcBorders>
              <w:top w:val="nil"/>
              <w:left w:val="nil"/>
              <w:bottom w:val="single" w:color="000000" w:sz="4" w:space="0"/>
              <w:right w:val="single" w:color="auto" w:sz="4" w:space="0"/>
            </w:tcBorders>
            <w:vAlign w:val="center"/>
          </w:tcPr>
          <w:p w14:paraId="148A5EE6">
            <w:pPr>
              <w:keepNext w:val="0"/>
              <w:keepLines w:val="0"/>
              <w:suppressLineNumbers w:val="0"/>
              <w:spacing w:before="0" w:beforeAutospacing="0" w:after="0" w:afterAutospacing="0"/>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禽蛋</w:t>
            </w:r>
          </w:p>
        </w:tc>
        <w:tc>
          <w:tcPr>
            <w:tcW w:w="3303" w:type="dxa"/>
            <w:vMerge w:val="continue"/>
            <w:tcBorders>
              <w:top w:val="nil"/>
              <w:left w:val="nil"/>
              <w:bottom w:val="single" w:color="000000" w:sz="4" w:space="0"/>
              <w:right w:val="single" w:color="000000" w:sz="4" w:space="0"/>
            </w:tcBorders>
            <w:vAlign w:val="center"/>
          </w:tcPr>
          <w:p w14:paraId="4625D4FC">
            <w:pPr>
              <w:keepNext w:val="0"/>
              <w:keepLines w:val="0"/>
              <w:suppressLineNumbers w:val="0"/>
              <w:spacing w:before="0" w:beforeAutospacing="0" w:after="0" w:afterAutospacing="0"/>
              <w:ind w:left="0" w:right="0"/>
              <w:jc w:val="left"/>
              <w:rPr>
                <w:rStyle w:val="65"/>
                <w:rFonts w:hint="eastAsia" w:ascii="宋体" w:hAnsi="宋体" w:eastAsia="宋体" w:cs="宋体"/>
                <w:i w:val="0"/>
                <w:iCs w:val="0"/>
                <w:sz w:val="24"/>
                <w:szCs w:val="24"/>
              </w:rPr>
            </w:pPr>
          </w:p>
        </w:tc>
      </w:tr>
      <w:tr w14:paraId="53F8E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0" w:hRule="atLeast"/>
        </w:trPr>
        <w:tc>
          <w:tcPr>
            <w:tcW w:w="4197" w:type="dxa"/>
            <w:tcBorders>
              <w:top w:val="single" w:color="000000" w:sz="4" w:space="0"/>
              <w:left w:val="single" w:color="000000" w:sz="4" w:space="0"/>
              <w:bottom w:val="single" w:color="000000" w:sz="4" w:space="0"/>
              <w:right w:val="single" w:color="auto" w:sz="4" w:space="0"/>
            </w:tcBorders>
            <w:vAlign w:val="center"/>
          </w:tcPr>
          <w:p w14:paraId="05DB2AEB">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常规药物抗菌增效剂（甲氧苄啶）</w:t>
            </w:r>
          </w:p>
        </w:tc>
        <w:tc>
          <w:tcPr>
            <w:tcW w:w="1400" w:type="dxa"/>
            <w:vMerge w:val="continue"/>
            <w:tcBorders>
              <w:top w:val="nil"/>
              <w:left w:val="nil"/>
              <w:bottom w:val="single" w:color="000000" w:sz="4" w:space="0"/>
              <w:right w:val="single" w:color="auto" w:sz="4" w:space="0"/>
            </w:tcBorders>
            <w:vAlign w:val="center"/>
          </w:tcPr>
          <w:p w14:paraId="3E6EA105">
            <w:pPr>
              <w:keepNext w:val="0"/>
              <w:keepLines w:val="0"/>
              <w:suppressLineNumbers w:val="0"/>
              <w:spacing w:before="0" w:beforeAutospacing="0" w:after="0" w:afterAutospacing="0"/>
              <w:ind w:left="0" w:right="0"/>
              <w:jc w:val="left"/>
              <w:rPr>
                <w:rStyle w:val="65"/>
                <w:rFonts w:hint="eastAsia" w:ascii="宋体" w:hAnsi="宋体" w:eastAsia="宋体" w:cs="宋体"/>
                <w:i w:val="0"/>
                <w:iCs w:val="0"/>
                <w:sz w:val="24"/>
                <w:szCs w:val="24"/>
              </w:rPr>
            </w:pPr>
          </w:p>
        </w:tc>
        <w:tc>
          <w:tcPr>
            <w:tcW w:w="3303" w:type="dxa"/>
            <w:vMerge w:val="continue"/>
            <w:tcBorders>
              <w:top w:val="nil"/>
              <w:left w:val="nil"/>
              <w:bottom w:val="single" w:color="000000" w:sz="4" w:space="0"/>
              <w:right w:val="single" w:color="000000" w:sz="4" w:space="0"/>
            </w:tcBorders>
            <w:vAlign w:val="center"/>
          </w:tcPr>
          <w:p w14:paraId="0F417F42">
            <w:pPr>
              <w:keepNext w:val="0"/>
              <w:keepLines w:val="0"/>
              <w:suppressLineNumbers w:val="0"/>
              <w:spacing w:before="0" w:beforeAutospacing="0" w:after="0" w:afterAutospacing="0"/>
              <w:ind w:left="0" w:right="0"/>
              <w:jc w:val="left"/>
              <w:rPr>
                <w:rStyle w:val="65"/>
                <w:rFonts w:hint="eastAsia" w:ascii="宋体" w:hAnsi="宋体" w:eastAsia="宋体" w:cs="宋体"/>
                <w:i w:val="0"/>
                <w:iCs w:val="0"/>
                <w:sz w:val="24"/>
                <w:szCs w:val="24"/>
              </w:rPr>
            </w:pPr>
          </w:p>
        </w:tc>
      </w:tr>
      <w:tr w14:paraId="050AE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4197" w:type="dxa"/>
            <w:tcBorders>
              <w:top w:val="single" w:color="000000" w:sz="4" w:space="0"/>
              <w:left w:val="single" w:color="000000" w:sz="4" w:space="0"/>
              <w:bottom w:val="single" w:color="000000" w:sz="4" w:space="0"/>
              <w:right w:val="single" w:color="auto" w:sz="4" w:space="0"/>
            </w:tcBorders>
            <w:vAlign w:val="center"/>
          </w:tcPr>
          <w:p w14:paraId="2A096219">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产蛋期不得使用药物氟喹诺酮类（恩诺沙星、环丙沙星、沙拉沙星、达氟沙星）</w:t>
            </w:r>
          </w:p>
        </w:tc>
        <w:tc>
          <w:tcPr>
            <w:tcW w:w="1400" w:type="dxa"/>
            <w:vMerge w:val="continue"/>
            <w:tcBorders>
              <w:top w:val="nil"/>
              <w:left w:val="nil"/>
              <w:bottom w:val="single" w:color="000000" w:sz="4" w:space="0"/>
              <w:right w:val="single" w:color="auto" w:sz="4" w:space="0"/>
            </w:tcBorders>
            <w:vAlign w:val="center"/>
          </w:tcPr>
          <w:p w14:paraId="77BE0E12">
            <w:pPr>
              <w:keepNext w:val="0"/>
              <w:keepLines w:val="0"/>
              <w:suppressLineNumbers w:val="0"/>
              <w:spacing w:before="0" w:beforeAutospacing="0" w:after="0" w:afterAutospacing="0"/>
              <w:ind w:left="0" w:right="0"/>
              <w:jc w:val="left"/>
              <w:rPr>
                <w:rStyle w:val="65"/>
                <w:rFonts w:hint="eastAsia" w:ascii="宋体" w:hAnsi="宋体" w:eastAsia="宋体" w:cs="宋体"/>
                <w:i w:val="0"/>
                <w:iCs w:val="0"/>
                <w:sz w:val="24"/>
                <w:szCs w:val="24"/>
              </w:rPr>
            </w:pPr>
          </w:p>
        </w:tc>
        <w:tc>
          <w:tcPr>
            <w:tcW w:w="3303" w:type="dxa"/>
            <w:vMerge w:val="continue"/>
            <w:tcBorders>
              <w:top w:val="nil"/>
              <w:left w:val="nil"/>
              <w:bottom w:val="single" w:color="000000" w:sz="4" w:space="0"/>
              <w:right w:val="single" w:color="000000" w:sz="4" w:space="0"/>
            </w:tcBorders>
            <w:vAlign w:val="center"/>
          </w:tcPr>
          <w:p w14:paraId="4299891C">
            <w:pPr>
              <w:keepNext w:val="0"/>
              <w:keepLines w:val="0"/>
              <w:suppressLineNumbers w:val="0"/>
              <w:spacing w:before="0" w:beforeAutospacing="0" w:after="0" w:afterAutospacing="0"/>
              <w:ind w:left="0" w:right="0"/>
              <w:jc w:val="left"/>
              <w:rPr>
                <w:rStyle w:val="65"/>
                <w:rFonts w:hint="eastAsia" w:ascii="宋体" w:hAnsi="宋体" w:eastAsia="宋体" w:cs="宋体"/>
                <w:i w:val="0"/>
                <w:iCs w:val="0"/>
                <w:sz w:val="24"/>
                <w:szCs w:val="24"/>
              </w:rPr>
            </w:pPr>
          </w:p>
        </w:tc>
      </w:tr>
      <w:tr w14:paraId="6B4FB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2" w:hRule="atLeast"/>
        </w:trPr>
        <w:tc>
          <w:tcPr>
            <w:tcW w:w="4197" w:type="dxa"/>
            <w:tcBorders>
              <w:top w:val="single" w:color="000000" w:sz="4" w:space="0"/>
              <w:left w:val="single" w:color="000000" w:sz="4" w:space="0"/>
              <w:bottom w:val="single" w:color="000000" w:sz="4" w:space="0"/>
              <w:right w:val="single" w:color="auto" w:sz="4" w:space="0"/>
            </w:tcBorders>
            <w:vAlign w:val="center"/>
          </w:tcPr>
          <w:p w14:paraId="0264E0C3">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食品动物中停止使用药物金刚烷胺</w:t>
            </w:r>
          </w:p>
        </w:tc>
        <w:tc>
          <w:tcPr>
            <w:tcW w:w="1400" w:type="dxa"/>
            <w:tcBorders>
              <w:top w:val="single" w:color="auto" w:sz="4" w:space="0"/>
              <w:left w:val="nil"/>
              <w:bottom w:val="single" w:color="auto" w:sz="4" w:space="0"/>
              <w:right w:val="single" w:color="auto" w:sz="4" w:space="0"/>
            </w:tcBorders>
            <w:vAlign w:val="center"/>
          </w:tcPr>
          <w:p w14:paraId="1B07F648">
            <w:pPr>
              <w:keepNext w:val="0"/>
              <w:keepLines w:val="0"/>
              <w:suppressLineNumbers w:val="0"/>
              <w:spacing w:before="0" w:beforeAutospacing="0" w:after="0" w:afterAutospacing="0"/>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禽肉、禽蛋</w:t>
            </w:r>
          </w:p>
        </w:tc>
        <w:tc>
          <w:tcPr>
            <w:tcW w:w="3303" w:type="dxa"/>
            <w:tcBorders>
              <w:top w:val="single" w:color="000000" w:sz="4" w:space="0"/>
              <w:left w:val="nil"/>
              <w:bottom w:val="single" w:color="000000" w:sz="4" w:space="0"/>
              <w:right w:val="single" w:color="000000" w:sz="4" w:space="0"/>
            </w:tcBorders>
            <w:vAlign w:val="center"/>
          </w:tcPr>
          <w:p w14:paraId="6D93D817">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按GB 31660.5或农业农村部指定方法进行检测</w:t>
            </w:r>
          </w:p>
        </w:tc>
      </w:tr>
      <w:tr w14:paraId="473F8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0" w:hRule="atLeast"/>
        </w:trPr>
        <w:tc>
          <w:tcPr>
            <w:tcW w:w="4197" w:type="dxa"/>
            <w:tcBorders>
              <w:top w:val="single" w:color="000000" w:sz="4" w:space="0"/>
              <w:left w:val="single" w:color="000000" w:sz="4" w:space="0"/>
              <w:bottom w:val="single" w:color="000000" w:sz="4" w:space="0"/>
              <w:right w:val="single" w:color="auto" w:sz="4" w:space="0"/>
            </w:tcBorders>
            <w:vAlign w:val="center"/>
          </w:tcPr>
          <w:p w14:paraId="73B11516">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禁用药物酰胺醇类（氯霉素）</w:t>
            </w:r>
          </w:p>
        </w:tc>
        <w:tc>
          <w:tcPr>
            <w:tcW w:w="1400" w:type="dxa"/>
            <w:tcBorders>
              <w:top w:val="single" w:color="auto" w:sz="4" w:space="0"/>
              <w:left w:val="nil"/>
              <w:bottom w:val="single" w:color="auto" w:sz="4" w:space="0"/>
              <w:right w:val="single" w:color="auto" w:sz="4" w:space="0"/>
            </w:tcBorders>
            <w:vAlign w:val="center"/>
          </w:tcPr>
          <w:p w14:paraId="2769A9D5">
            <w:pPr>
              <w:keepNext w:val="0"/>
              <w:keepLines w:val="0"/>
              <w:suppressLineNumbers w:val="0"/>
              <w:spacing w:before="0" w:beforeAutospacing="0" w:after="0" w:afterAutospacing="0"/>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禽肉、禽蛋</w:t>
            </w:r>
          </w:p>
        </w:tc>
        <w:tc>
          <w:tcPr>
            <w:tcW w:w="3303" w:type="dxa"/>
            <w:vMerge w:val="restart"/>
            <w:tcBorders>
              <w:top w:val="nil"/>
              <w:left w:val="nil"/>
              <w:bottom w:val="single" w:color="000000" w:sz="4" w:space="0"/>
              <w:right w:val="single" w:color="000000" w:sz="4" w:space="0"/>
            </w:tcBorders>
            <w:vAlign w:val="center"/>
          </w:tcPr>
          <w:p w14:paraId="23D16D2D">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按GB31658.20或农业农村部指定方法进行检测</w:t>
            </w:r>
          </w:p>
        </w:tc>
      </w:tr>
      <w:tr w14:paraId="68398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5" w:hRule="atLeast"/>
        </w:trPr>
        <w:tc>
          <w:tcPr>
            <w:tcW w:w="4197" w:type="dxa"/>
            <w:tcBorders>
              <w:top w:val="single" w:color="000000" w:sz="4" w:space="0"/>
              <w:left w:val="single" w:color="000000" w:sz="4" w:space="0"/>
              <w:bottom w:val="single" w:color="000000" w:sz="4" w:space="0"/>
              <w:right w:val="single" w:color="auto" w:sz="4" w:space="0"/>
            </w:tcBorders>
            <w:vAlign w:val="center"/>
          </w:tcPr>
          <w:p w14:paraId="555CA2C2">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常规药物酰胺醇类（氟苯尼考、氟苯尼考胺和甲砜霉素 ）</w:t>
            </w:r>
          </w:p>
        </w:tc>
        <w:tc>
          <w:tcPr>
            <w:tcW w:w="1400" w:type="dxa"/>
            <w:tcBorders>
              <w:top w:val="single" w:color="auto" w:sz="4" w:space="0"/>
              <w:left w:val="nil"/>
              <w:bottom w:val="single" w:color="auto" w:sz="4" w:space="0"/>
              <w:right w:val="single" w:color="auto" w:sz="4" w:space="0"/>
            </w:tcBorders>
            <w:vAlign w:val="center"/>
          </w:tcPr>
          <w:p w14:paraId="01F21986">
            <w:pPr>
              <w:keepNext w:val="0"/>
              <w:keepLines w:val="0"/>
              <w:suppressLineNumbers w:val="0"/>
              <w:spacing w:before="0" w:beforeAutospacing="0" w:after="0" w:afterAutospacing="0"/>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禽肉</w:t>
            </w:r>
          </w:p>
        </w:tc>
        <w:tc>
          <w:tcPr>
            <w:tcW w:w="3303" w:type="dxa"/>
            <w:vMerge w:val="continue"/>
            <w:tcBorders>
              <w:top w:val="nil"/>
              <w:left w:val="nil"/>
              <w:bottom w:val="single" w:color="000000" w:sz="4" w:space="0"/>
              <w:right w:val="single" w:color="000000" w:sz="4" w:space="0"/>
            </w:tcBorders>
            <w:vAlign w:val="center"/>
          </w:tcPr>
          <w:p w14:paraId="1DB73776">
            <w:pPr>
              <w:keepNext w:val="0"/>
              <w:keepLines w:val="0"/>
              <w:suppressLineNumbers w:val="0"/>
              <w:spacing w:before="0" w:beforeAutospacing="0" w:after="0" w:afterAutospacing="0"/>
              <w:ind w:left="0" w:right="0"/>
              <w:jc w:val="left"/>
              <w:rPr>
                <w:rStyle w:val="65"/>
                <w:rFonts w:hint="eastAsia" w:ascii="宋体" w:hAnsi="宋体" w:eastAsia="宋体" w:cs="宋体"/>
                <w:i w:val="0"/>
                <w:iCs w:val="0"/>
                <w:sz w:val="24"/>
                <w:szCs w:val="24"/>
              </w:rPr>
            </w:pPr>
          </w:p>
        </w:tc>
      </w:tr>
      <w:tr w14:paraId="70F4F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7" w:hRule="atLeast"/>
        </w:trPr>
        <w:tc>
          <w:tcPr>
            <w:tcW w:w="4197" w:type="dxa"/>
            <w:tcBorders>
              <w:top w:val="single" w:color="000000" w:sz="4" w:space="0"/>
              <w:left w:val="single" w:color="000000" w:sz="4" w:space="0"/>
              <w:bottom w:val="single" w:color="000000" w:sz="4" w:space="0"/>
              <w:right w:val="single" w:color="auto" w:sz="4" w:space="0"/>
            </w:tcBorders>
            <w:vAlign w:val="center"/>
          </w:tcPr>
          <w:p w14:paraId="3BB83C5E">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产蛋期不得使用药物酷胺醇类（氟苯尼考、氟苯尼考胺、甲砜霉素）</w:t>
            </w:r>
          </w:p>
        </w:tc>
        <w:tc>
          <w:tcPr>
            <w:tcW w:w="1400" w:type="dxa"/>
            <w:tcBorders>
              <w:top w:val="single" w:color="auto" w:sz="4" w:space="0"/>
              <w:left w:val="nil"/>
              <w:bottom w:val="single" w:color="auto" w:sz="4" w:space="0"/>
              <w:right w:val="single" w:color="auto" w:sz="4" w:space="0"/>
            </w:tcBorders>
            <w:vAlign w:val="center"/>
          </w:tcPr>
          <w:p w14:paraId="5AEA4151">
            <w:pPr>
              <w:keepNext w:val="0"/>
              <w:keepLines w:val="0"/>
              <w:suppressLineNumbers w:val="0"/>
              <w:spacing w:before="0" w:beforeAutospacing="0" w:after="0" w:afterAutospacing="0"/>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禽蛋</w:t>
            </w:r>
          </w:p>
        </w:tc>
        <w:tc>
          <w:tcPr>
            <w:tcW w:w="3303" w:type="dxa"/>
            <w:vMerge w:val="continue"/>
            <w:tcBorders>
              <w:top w:val="nil"/>
              <w:left w:val="nil"/>
              <w:bottom w:val="single" w:color="000000" w:sz="4" w:space="0"/>
              <w:right w:val="single" w:color="000000" w:sz="4" w:space="0"/>
            </w:tcBorders>
            <w:vAlign w:val="center"/>
          </w:tcPr>
          <w:p w14:paraId="650BA1EE">
            <w:pPr>
              <w:keepNext w:val="0"/>
              <w:keepLines w:val="0"/>
              <w:suppressLineNumbers w:val="0"/>
              <w:spacing w:before="0" w:beforeAutospacing="0" w:after="0" w:afterAutospacing="0"/>
              <w:ind w:left="0" w:right="0"/>
              <w:jc w:val="left"/>
              <w:rPr>
                <w:rStyle w:val="65"/>
                <w:rFonts w:hint="eastAsia" w:ascii="宋体" w:hAnsi="宋体" w:eastAsia="宋体" w:cs="宋体"/>
                <w:i w:val="0"/>
                <w:iCs w:val="0"/>
                <w:sz w:val="24"/>
                <w:szCs w:val="24"/>
              </w:rPr>
            </w:pPr>
          </w:p>
        </w:tc>
      </w:tr>
      <w:tr w14:paraId="6A2FA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1" w:hRule="atLeast"/>
        </w:trPr>
        <w:tc>
          <w:tcPr>
            <w:tcW w:w="4197" w:type="dxa"/>
            <w:tcBorders>
              <w:top w:val="single" w:color="000000" w:sz="4" w:space="0"/>
              <w:left w:val="single" w:color="000000" w:sz="4" w:space="0"/>
              <w:bottom w:val="single" w:color="000000" w:sz="4" w:space="0"/>
              <w:right w:val="single" w:color="auto" w:sz="4" w:space="0"/>
            </w:tcBorders>
            <w:vAlign w:val="center"/>
          </w:tcPr>
          <w:p w14:paraId="3911E8A2">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产蛋期不得使用药物四环素类（多西环素）</w:t>
            </w:r>
          </w:p>
        </w:tc>
        <w:tc>
          <w:tcPr>
            <w:tcW w:w="1400" w:type="dxa"/>
            <w:tcBorders>
              <w:top w:val="single" w:color="auto" w:sz="4" w:space="0"/>
              <w:left w:val="nil"/>
              <w:bottom w:val="single" w:color="auto" w:sz="4" w:space="0"/>
              <w:right w:val="single" w:color="auto" w:sz="4" w:space="0"/>
            </w:tcBorders>
            <w:vAlign w:val="center"/>
          </w:tcPr>
          <w:p w14:paraId="7D7AB625">
            <w:pPr>
              <w:keepNext w:val="0"/>
              <w:keepLines w:val="0"/>
              <w:suppressLineNumbers w:val="0"/>
              <w:spacing w:before="0" w:beforeAutospacing="0" w:after="0" w:afterAutospacing="0"/>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禽蛋</w:t>
            </w:r>
          </w:p>
        </w:tc>
        <w:tc>
          <w:tcPr>
            <w:tcW w:w="3303" w:type="dxa"/>
            <w:tcBorders>
              <w:top w:val="single" w:color="000000" w:sz="4" w:space="0"/>
              <w:left w:val="nil"/>
              <w:bottom w:val="single" w:color="000000" w:sz="4" w:space="0"/>
              <w:right w:val="single" w:color="000000" w:sz="4" w:space="0"/>
            </w:tcBorders>
            <w:vAlign w:val="center"/>
          </w:tcPr>
          <w:p w14:paraId="42C73626">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按GB 31658.6或GB31659.2进行检测</w:t>
            </w:r>
          </w:p>
        </w:tc>
      </w:tr>
    </w:tbl>
    <w:p w14:paraId="0B15238A">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42" w:lineRule="exact"/>
        <w:ind w:right="0"/>
        <w:jc w:val="center"/>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水产品</w:t>
      </w:r>
      <w:r>
        <w:rPr>
          <w:rFonts w:hint="eastAsia" w:asciiTheme="minorEastAsia" w:hAnsiTheme="minorEastAsia" w:eastAsiaTheme="minorEastAsia" w:cstheme="minorEastAsia"/>
          <w:b/>
          <w:color w:val="000000"/>
          <w:sz w:val="24"/>
          <w:szCs w:val="24"/>
        </w:rPr>
        <w:t>例行</w:t>
      </w:r>
      <w:r>
        <w:rPr>
          <w:rFonts w:hint="eastAsia" w:ascii="宋体" w:hAnsi="宋体" w:eastAsia="宋体" w:cs="宋体"/>
          <w:b/>
          <w:bCs/>
          <w:color w:val="000000"/>
          <w:kern w:val="0"/>
          <w:sz w:val="24"/>
          <w:szCs w:val="24"/>
          <w:lang w:val="en-US" w:eastAsia="zh-CN" w:bidi="ar"/>
        </w:rPr>
        <w:t>监测参数和检测方法</w:t>
      </w:r>
    </w:p>
    <w:bookmarkEnd w:id="138"/>
    <w:tbl>
      <w:tblPr>
        <w:tblStyle w:val="34"/>
        <w:tblW w:w="90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85"/>
        <w:gridCol w:w="3506"/>
      </w:tblGrid>
      <w:tr w14:paraId="698A5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5585" w:type="dxa"/>
            <w:tcBorders>
              <w:top w:val="single" w:color="000000" w:sz="4" w:space="0"/>
              <w:left w:val="single" w:color="000000" w:sz="4" w:space="0"/>
              <w:bottom w:val="single" w:color="000000" w:sz="4" w:space="0"/>
              <w:right w:val="single" w:color="000000" w:sz="4" w:space="0"/>
            </w:tcBorders>
            <w:vAlign w:val="center"/>
          </w:tcPr>
          <w:p w14:paraId="75BBA296">
            <w:pPr>
              <w:pStyle w:val="115"/>
              <w:keepNext w:val="0"/>
              <w:keepLines w:val="0"/>
              <w:suppressLineNumbers w:val="0"/>
              <w:spacing w:before="0" w:beforeAutospacing="0" w:after="0" w:afterAutospacing="0" w:line="560" w:lineRule="exact"/>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监测项目</w:t>
            </w:r>
          </w:p>
        </w:tc>
        <w:tc>
          <w:tcPr>
            <w:tcW w:w="3506" w:type="dxa"/>
            <w:tcBorders>
              <w:top w:val="single" w:color="000000" w:sz="4" w:space="0"/>
              <w:left w:val="nil"/>
              <w:bottom w:val="single" w:color="000000" w:sz="4" w:space="0"/>
              <w:right w:val="single" w:color="000000" w:sz="4" w:space="0"/>
            </w:tcBorders>
            <w:vAlign w:val="center"/>
          </w:tcPr>
          <w:p w14:paraId="40059E27">
            <w:pPr>
              <w:pStyle w:val="115"/>
              <w:keepNext w:val="0"/>
              <w:keepLines w:val="0"/>
              <w:suppressLineNumbers w:val="0"/>
              <w:spacing w:before="0" w:beforeAutospacing="0" w:after="0" w:afterAutospacing="0" w:line="560" w:lineRule="exact"/>
              <w:ind w:left="0" w:right="0"/>
              <w:jc w:val="center"/>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检测方法</w:t>
            </w:r>
          </w:p>
        </w:tc>
      </w:tr>
      <w:tr w14:paraId="29275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28" w:hRule="atLeast"/>
          <w:jc w:val="center"/>
        </w:trPr>
        <w:tc>
          <w:tcPr>
            <w:tcW w:w="5585" w:type="dxa"/>
            <w:tcBorders>
              <w:top w:val="single" w:color="000000" w:sz="4" w:space="0"/>
              <w:left w:val="single" w:color="000000" w:sz="4" w:space="0"/>
              <w:bottom w:val="single" w:color="000000" w:sz="4" w:space="0"/>
              <w:right w:val="single" w:color="000000" w:sz="4" w:space="0"/>
            </w:tcBorders>
            <w:vAlign w:val="center"/>
          </w:tcPr>
          <w:p w14:paraId="78DA8DFA">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禁用药物氯霉素</w:t>
            </w:r>
          </w:p>
        </w:tc>
        <w:tc>
          <w:tcPr>
            <w:tcW w:w="3506" w:type="dxa"/>
            <w:vMerge w:val="restart"/>
            <w:tcBorders>
              <w:top w:val="nil"/>
              <w:left w:val="nil"/>
              <w:bottom w:val="single" w:color="000000" w:sz="4" w:space="0"/>
              <w:right w:val="single" w:color="000000" w:sz="4" w:space="0"/>
            </w:tcBorders>
            <w:vAlign w:val="center"/>
          </w:tcPr>
          <w:p w14:paraId="2619CE80">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按GB/T 20756</w:t>
            </w:r>
          </w:p>
          <w:p w14:paraId="3BB8A735">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或GB31656.16</w:t>
            </w:r>
          </w:p>
          <w:p w14:paraId="47ABE434">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或SN/T 1865-2016进行检测</w:t>
            </w:r>
          </w:p>
          <w:p w14:paraId="77242DAE">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或农业农村部指定方法进行检测</w:t>
            </w:r>
          </w:p>
        </w:tc>
      </w:tr>
      <w:tr w14:paraId="33519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0" w:hRule="atLeast"/>
          <w:jc w:val="center"/>
        </w:trPr>
        <w:tc>
          <w:tcPr>
            <w:tcW w:w="5585" w:type="dxa"/>
            <w:tcBorders>
              <w:top w:val="single" w:color="000000" w:sz="4" w:space="0"/>
              <w:left w:val="single" w:color="000000" w:sz="4" w:space="0"/>
              <w:bottom w:val="single" w:color="000000" w:sz="4" w:space="0"/>
              <w:right w:val="single" w:color="000000" w:sz="4" w:space="0"/>
            </w:tcBorders>
            <w:vAlign w:val="center"/>
          </w:tcPr>
          <w:p w14:paraId="764B7A7D">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常规药物酰胺醇类（甲砜霉素、氟苯尼考和氟苯尼考胺）</w:t>
            </w:r>
          </w:p>
        </w:tc>
        <w:tc>
          <w:tcPr>
            <w:tcW w:w="3506" w:type="dxa"/>
            <w:vMerge w:val="continue"/>
            <w:tcBorders>
              <w:top w:val="nil"/>
              <w:left w:val="nil"/>
              <w:bottom w:val="single" w:color="000000" w:sz="4" w:space="0"/>
              <w:right w:val="single" w:color="000000" w:sz="4" w:space="0"/>
            </w:tcBorders>
            <w:vAlign w:val="center"/>
          </w:tcPr>
          <w:p w14:paraId="0EA192DA">
            <w:pPr>
              <w:keepNext w:val="0"/>
              <w:keepLines w:val="0"/>
              <w:suppressLineNumbers w:val="0"/>
              <w:spacing w:before="0" w:beforeAutospacing="0" w:after="0" w:afterAutospacing="0"/>
              <w:ind w:left="0" w:right="0"/>
              <w:jc w:val="left"/>
              <w:rPr>
                <w:rStyle w:val="65"/>
                <w:rFonts w:hint="eastAsia" w:ascii="宋体" w:hAnsi="宋体" w:eastAsia="宋体" w:cs="宋体"/>
                <w:i w:val="0"/>
                <w:iCs w:val="0"/>
                <w:sz w:val="24"/>
                <w:szCs w:val="24"/>
              </w:rPr>
            </w:pPr>
          </w:p>
        </w:tc>
      </w:tr>
      <w:tr w14:paraId="22B31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5585" w:type="dxa"/>
            <w:tcBorders>
              <w:top w:val="single" w:color="000000" w:sz="4" w:space="0"/>
              <w:left w:val="single" w:color="000000" w:sz="4" w:space="0"/>
              <w:bottom w:val="single" w:color="000000" w:sz="4" w:space="0"/>
              <w:right w:val="single" w:color="000000" w:sz="4" w:space="0"/>
            </w:tcBorders>
            <w:vAlign w:val="center"/>
          </w:tcPr>
          <w:p w14:paraId="69B506F0">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禁用药物孔雀石绿（包括有色孔雀石绿和无色孔雀石绿）</w:t>
            </w:r>
          </w:p>
        </w:tc>
        <w:tc>
          <w:tcPr>
            <w:tcW w:w="3506" w:type="dxa"/>
            <w:tcBorders>
              <w:top w:val="single" w:color="000000" w:sz="4" w:space="0"/>
              <w:left w:val="nil"/>
              <w:bottom w:val="single" w:color="000000" w:sz="4" w:space="0"/>
              <w:right w:val="single" w:color="000000" w:sz="4" w:space="0"/>
            </w:tcBorders>
            <w:vAlign w:val="center"/>
          </w:tcPr>
          <w:p w14:paraId="0A2C7453">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按GB/T 20361</w:t>
            </w:r>
          </w:p>
          <w:p w14:paraId="6EC59D17">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或GB/T 19857-2005进行检测</w:t>
            </w:r>
          </w:p>
        </w:tc>
      </w:tr>
      <w:tr w14:paraId="4DD1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5585" w:type="dxa"/>
            <w:tcBorders>
              <w:top w:val="single" w:color="000000" w:sz="4" w:space="0"/>
              <w:left w:val="single" w:color="000000" w:sz="4" w:space="0"/>
              <w:bottom w:val="single" w:color="auto" w:sz="4" w:space="0"/>
              <w:right w:val="single" w:color="000000" w:sz="4" w:space="0"/>
            </w:tcBorders>
            <w:vAlign w:val="center"/>
          </w:tcPr>
          <w:p w14:paraId="07D0D313">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禁用药物硝基呋喃类代谢物（包括呋喃唑酮代谢物AOZ、呋喃它酮代谢物AMOZ、呋喃西林代谢物SEM和呋喃妥因代谢物AHD）</w:t>
            </w:r>
          </w:p>
        </w:tc>
        <w:tc>
          <w:tcPr>
            <w:tcW w:w="3506" w:type="dxa"/>
            <w:tcBorders>
              <w:top w:val="single" w:color="000000" w:sz="4" w:space="0"/>
              <w:left w:val="nil"/>
              <w:bottom w:val="single" w:color="auto" w:sz="4" w:space="0"/>
              <w:right w:val="single" w:color="000000" w:sz="4" w:space="0"/>
            </w:tcBorders>
            <w:vAlign w:val="center"/>
          </w:tcPr>
          <w:p w14:paraId="6D4C042B">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按GB 31656.13</w:t>
            </w:r>
          </w:p>
          <w:p w14:paraId="4D12760F">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或农业部783号公告-1-2006进行检测</w:t>
            </w:r>
          </w:p>
        </w:tc>
      </w:tr>
      <w:tr w14:paraId="6775A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2" w:hRule="atLeast"/>
          <w:jc w:val="center"/>
        </w:trPr>
        <w:tc>
          <w:tcPr>
            <w:tcW w:w="5585" w:type="dxa"/>
            <w:tcBorders>
              <w:top w:val="single" w:color="auto" w:sz="4" w:space="0"/>
              <w:left w:val="single" w:color="auto" w:sz="4" w:space="0"/>
              <w:bottom w:val="single" w:color="auto" w:sz="4" w:space="0"/>
              <w:right w:val="single" w:color="000000" w:sz="4" w:space="0"/>
            </w:tcBorders>
            <w:vAlign w:val="center"/>
          </w:tcPr>
          <w:p w14:paraId="0F36E074">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常规药物磺胺类（包括磺胺噻唑、磺胺嘧啶、磺胺甲基嘧啶、磺胺二甲基嘧啶、磺胺甲基异噁唑、磺胺多辛、磺胺异噁唑、磺胺喹噁啉、磺胺间甲氧嘧啶、磺胺间二甲氧嘧啶、磺胺氯哒嗪和磺胺甲噻二唑等12种）</w:t>
            </w:r>
          </w:p>
        </w:tc>
        <w:tc>
          <w:tcPr>
            <w:tcW w:w="3506" w:type="dxa"/>
            <w:tcBorders>
              <w:top w:val="single" w:color="auto" w:sz="4" w:space="0"/>
              <w:left w:val="nil"/>
              <w:bottom w:val="single" w:color="000000" w:sz="4" w:space="0"/>
              <w:right w:val="single" w:color="auto" w:sz="4" w:space="0"/>
            </w:tcBorders>
            <w:vAlign w:val="center"/>
          </w:tcPr>
          <w:p w14:paraId="56C6F558">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按农业部1077号公告-1-2008 进行检测</w:t>
            </w:r>
          </w:p>
        </w:tc>
      </w:tr>
      <w:tr w14:paraId="3596B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9" w:hRule="atLeast"/>
          <w:jc w:val="center"/>
        </w:trPr>
        <w:tc>
          <w:tcPr>
            <w:tcW w:w="5585" w:type="dxa"/>
            <w:tcBorders>
              <w:top w:val="single" w:color="auto" w:sz="4" w:space="0"/>
              <w:left w:val="single" w:color="000000" w:sz="4" w:space="0"/>
              <w:bottom w:val="single" w:color="000000" w:sz="4" w:space="0"/>
              <w:right w:val="single" w:color="000000" w:sz="4" w:space="0"/>
            </w:tcBorders>
            <w:vAlign w:val="center"/>
          </w:tcPr>
          <w:p w14:paraId="28A6FA51">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常规药物氟喹诺酮类（包括恩诺沙星、环丙沙星）</w:t>
            </w:r>
          </w:p>
        </w:tc>
        <w:tc>
          <w:tcPr>
            <w:tcW w:w="3506" w:type="dxa"/>
            <w:vMerge w:val="restart"/>
            <w:tcBorders>
              <w:top w:val="nil"/>
              <w:left w:val="nil"/>
              <w:bottom w:val="single" w:color="000000" w:sz="4" w:space="0"/>
              <w:right w:val="single" w:color="auto" w:sz="4" w:space="0"/>
            </w:tcBorders>
            <w:vAlign w:val="center"/>
          </w:tcPr>
          <w:p w14:paraId="02361650">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按农业部1077号公告-1-2008 进行检测</w:t>
            </w:r>
          </w:p>
        </w:tc>
      </w:tr>
      <w:tr w14:paraId="3750E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6" w:hRule="atLeast"/>
          <w:jc w:val="center"/>
        </w:trPr>
        <w:tc>
          <w:tcPr>
            <w:tcW w:w="5585" w:type="dxa"/>
            <w:tcBorders>
              <w:top w:val="single" w:color="000000" w:sz="4" w:space="0"/>
              <w:left w:val="single" w:color="000000" w:sz="4" w:space="0"/>
              <w:bottom w:val="single" w:color="000000" w:sz="4" w:space="0"/>
              <w:right w:val="single" w:color="000000" w:sz="4" w:space="0"/>
            </w:tcBorders>
            <w:vAlign w:val="center"/>
          </w:tcPr>
          <w:p w14:paraId="033BAF76">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食品动物中停止使用药物氟喹诺酮类（诺氟沙星、氧氟沙星、培氟沙星和洛美沙星）</w:t>
            </w:r>
          </w:p>
        </w:tc>
        <w:tc>
          <w:tcPr>
            <w:tcW w:w="3506" w:type="dxa"/>
            <w:vMerge w:val="continue"/>
            <w:tcBorders>
              <w:top w:val="nil"/>
              <w:left w:val="nil"/>
              <w:bottom w:val="single" w:color="000000" w:sz="4" w:space="0"/>
              <w:right w:val="single" w:color="auto" w:sz="4" w:space="0"/>
            </w:tcBorders>
            <w:vAlign w:val="center"/>
          </w:tcPr>
          <w:p w14:paraId="022AAA60">
            <w:pPr>
              <w:keepNext w:val="0"/>
              <w:keepLines w:val="0"/>
              <w:suppressLineNumbers w:val="0"/>
              <w:spacing w:before="0" w:beforeAutospacing="0" w:after="0" w:afterAutospacing="0"/>
              <w:ind w:left="0" w:right="0"/>
              <w:jc w:val="left"/>
              <w:rPr>
                <w:rStyle w:val="65"/>
                <w:rFonts w:hint="eastAsia" w:ascii="宋体" w:hAnsi="宋体" w:eastAsia="宋体" w:cs="宋体"/>
                <w:i w:val="0"/>
                <w:iCs w:val="0"/>
                <w:sz w:val="24"/>
                <w:szCs w:val="24"/>
              </w:rPr>
            </w:pPr>
          </w:p>
        </w:tc>
      </w:tr>
      <w:tr w14:paraId="0C44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0" w:hRule="atLeast"/>
          <w:jc w:val="center"/>
        </w:trPr>
        <w:tc>
          <w:tcPr>
            <w:tcW w:w="5585" w:type="dxa"/>
            <w:tcBorders>
              <w:top w:val="single" w:color="000000" w:sz="4" w:space="0"/>
              <w:left w:val="single" w:color="000000" w:sz="4" w:space="0"/>
              <w:bottom w:val="single" w:color="000000" w:sz="4" w:space="0"/>
              <w:right w:val="single" w:color="000000" w:sz="4" w:space="0"/>
            </w:tcBorders>
            <w:vAlign w:val="center"/>
          </w:tcPr>
          <w:p w14:paraId="2B9E0A83">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常规药物抗菌增效剂（甲氧苄啶）</w:t>
            </w:r>
          </w:p>
        </w:tc>
        <w:tc>
          <w:tcPr>
            <w:tcW w:w="3506" w:type="dxa"/>
            <w:tcBorders>
              <w:top w:val="single" w:color="000000" w:sz="4" w:space="0"/>
              <w:left w:val="nil"/>
              <w:bottom w:val="single" w:color="000000" w:sz="4" w:space="0"/>
              <w:right w:val="single" w:color="auto" w:sz="4" w:space="0"/>
            </w:tcBorders>
            <w:vAlign w:val="center"/>
          </w:tcPr>
          <w:p w14:paraId="55D8BF33">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按GB 29702</w:t>
            </w:r>
          </w:p>
          <w:p w14:paraId="1FC9B8E1">
            <w:pPr>
              <w:keepNext w:val="0"/>
              <w:keepLines w:val="0"/>
              <w:suppressLineNumbers w:val="0"/>
              <w:spacing w:before="0" w:beforeAutospacing="0" w:after="0" w:afterAutospacing="0"/>
              <w:ind w:left="0" w:right="0"/>
              <w:rPr>
                <w:rStyle w:val="65"/>
                <w:rFonts w:hint="eastAsia" w:ascii="宋体" w:hAnsi="宋体" w:eastAsia="宋体" w:cs="宋体"/>
                <w:i w:val="0"/>
                <w:iCs w:val="0"/>
                <w:sz w:val="24"/>
                <w:szCs w:val="24"/>
              </w:rPr>
            </w:pPr>
            <w:r>
              <w:rPr>
                <w:rStyle w:val="65"/>
                <w:rFonts w:hint="eastAsia" w:ascii="宋体" w:hAnsi="宋体" w:eastAsia="宋体" w:cs="宋体"/>
                <w:i w:val="0"/>
                <w:iCs w:val="0"/>
                <w:sz w:val="24"/>
                <w:szCs w:val="24"/>
              </w:rPr>
              <w:t>或GB/T 21316进行检测</w:t>
            </w:r>
          </w:p>
        </w:tc>
      </w:tr>
    </w:tbl>
    <w:p w14:paraId="416F69D6">
      <w:pPr>
        <w:pStyle w:val="1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五、</w:t>
      </w:r>
      <w:r>
        <w:rPr>
          <w:rFonts w:hint="default" w:ascii="宋体" w:hAnsi="宋体" w:eastAsia="宋体" w:cs="宋体"/>
          <w:b/>
          <w:bCs/>
          <w:color w:val="auto"/>
          <w:kern w:val="0"/>
          <w:sz w:val="24"/>
          <w:szCs w:val="24"/>
          <w:lang w:val="en-US" w:eastAsia="zh-CN" w:bidi="ar"/>
        </w:rPr>
        <w:t>监测结果报送</w:t>
      </w:r>
    </w:p>
    <w:p w14:paraId="6FD5BCED">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bookmarkStart w:id="141" w:name="_Toc16187"/>
      <w:r>
        <w:rPr>
          <w:rFonts w:hint="default" w:ascii="宋体" w:hAnsi="宋体" w:eastAsia="宋体" w:cs="宋体"/>
          <w:color w:val="auto"/>
          <w:kern w:val="0"/>
          <w:sz w:val="24"/>
          <w:szCs w:val="24"/>
          <w:lang w:val="en-US" w:eastAsia="zh-CN" w:bidi="ar"/>
        </w:rPr>
        <w:t>做到快速抽样检测、快速出具数据、快速报送结果。区农产品检验检测中心</w:t>
      </w:r>
      <w:r>
        <w:rPr>
          <w:rFonts w:hint="eastAsia" w:ascii="宋体" w:hAnsi="宋体" w:cs="宋体"/>
          <w:color w:val="auto"/>
          <w:kern w:val="0"/>
          <w:sz w:val="24"/>
          <w:szCs w:val="24"/>
          <w:lang w:val="en-US" w:eastAsia="zh-CN" w:bidi="ar"/>
        </w:rPr>
        <w:t>根据检测结果</w:t>
      </w:r>
      <w:r>
        <w:rPr>
          <w:rFonts w:hint="default" w:ascii="宋体" w:hAnsi="宋体" w:eastAsia="宋体" w:cs="宋体"/>
          <w:color w:val="auto"/>
          <w:kern w:val="0"/>
          <w:sz w:val="24"/>
          <w:szCs w:val="24"/>
          <w:lang w:val="en-US" w:eastAsia="zh-CN" w:bidi="ar"/>
        </w:rPr>
        <w:t>将监测分析报告以正式文件报送区农业农村局；在确认不合格样品后，要第一时间将不合格样品检验报告报送区农业农村局，局质监法规股负责收集汇总并及时上报市农业农村局。</w:t>
      </w:r>
    </w:p>
    <w:p w14:paraId="3A93C671">
      <w:pPr>
        <w:pStyle w:val="1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六、</w:t>
      </w:r>
      <w:r>
        <w:rPr>
          <w:rFonts w:hint="default" w:ascii="宋体" w:hAnsi="宋体" w:eastAsia="宋体" w:cs="宋体"/>
          <w:b/>
          <w:bCs/>
          <w:color w:val="auto"/>
          <w:kern w:val="0"/>
          <w:sz w:val="24"/>
          <w:szCs w:val="24"/>
          <w:lang w:val="en-US" w:eastAsia="zh-CN" w:bidi="ar"/>
        </w:rPr>
        <w:t>监测有关事项</w:t>
      </w:r>
      <w:bookmarkEnd w:id="141"/>
    </w:p>
    <w:p w14:paraId="304C0D26">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1.监测工作应严格遵守《农产品质量安全监测管理办法》等规定，保证监测结果的科学性、代表性和真实性。</w:t>
      </w:r>
    </w:p>
    <w:p w14:paraId="6F2F09CB">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2.承担监测任务单位要严格执行方案要求，统一标准溶液、统一判定原则，检测过程要做试剂空白和加标回收，对监测不合格样品要做确认试验。</w:t>
      </w:r>
    </w:p>
    <w:p w14:paraId="3E795636">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3.监测样品编号规则按承担监测任务单位的样品管理程序执行，做好样品信息溯源工作。</w:t>
      </w:r>
    </w:p>
    <w:p w14:paraId="72E5E614">
      <w:pPr>
        <w:pStyle w:val="1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4.未经区农业农村局同意，任何单位和个人不得引用和公布监测结果。</w:t>
      </w:r>
    </w:p>
    <w:p w14:paraId="1C70C948">
      <w:pPr>
        <w:pStyle w:val="12"/>
        <w:ind w:firstLine="482" w:firstLineChars="200"/>
        <w:jc w:val="both"/>
        <w:rPr>
          <w:rFonts w:hint="default" w:ascii="宋体" w:hAnsi="宋体" w:eastAsia="宋体" w:cs="宋体"/>
          <w:b/>
          <w:bCs/>
          <w:color w:val="auto"/>
          <w:spacing w:val="0"/>
          <w:w w:val="100"/>
          <w:kern w:val="0"/>
          <w:sz w:val="24"/>
          <w:szCs w:val="24"/>
          <w:lang w:val="en-US" w:eastAsia="zh-CN" w:bidi="ar"/>
        </w:rPr>
      </w:pPr>
      <w:r>
        <w:rPr>
          <w:rFonts w:hint="eastAsia" w:ascii="宋体" w:hAnsi="宋体" w:eastAsia="宋体" w:cs="宋体"/>
          <w:b/>
          <w:bCs/>
          <w:color w:val="auto"/>
          <w:spacing w:val="0"/>
          <w:w w:val="100"/>
          <w:kern w:val="0"/>
          <w:sz w:val="24"/>
          <w:szCs w:val="24"/>
          <w:lang w:val="en-US" w:eastAsia="zh-CN" w:bidi="ar"/>
        </w:rPr>
        <w:t>七、监测工作任务明细</w:t>
      </w:r>
    </w:p>
    <w:tbl>
      <w:tblPr>
        <w:tblStyle w:val="34"/>
        <w:tblW w:w="14546" w:type="dxa"/>
        <w:jc w:val="center"/>
        <w:tblLayout w:type="fixed"/>
        <w:tblCellMar>
          <w:top w:w="0" w:type="dxa"/>
          <w:left w:w="0" w:type="dxa"/>
          <w:bottom w:w="0" w:type="dxa"/>
          <w:right w:w="0" w:type="dxa"/>
        </w:tblCellMar>
      </w:tblPr>
      <w:tblGrid>
        <w:gridCol w:w="440"/>
        <w:gridCol w:w="1144"/>
        <w:gridCol w:w="637"/>
        <w:gridCol w:w="1069"/>
        <w:gridCol w:w="862"/>
        <w:gridCol w:w="1163"/>
        <w:gridCol w:w="675"/>
        <w:gridCol w:w="431"/>
        <w:gridCol w:w="1181"/>
        <w:gridCol w:w="3094"/>
      </w:tblGrid>
      <w:tr w14:paraId="69A52C12">
        <w:tblPrEx>
          <w:tblCellMar>
            <w:top w:w="0" w:type="dxa"/>
            <w:left w:w="0" w:type="dxa"/>
            <w:bottom w:w="0" w:type="dxa"/>
            <w:right w:w="0" w:type="dxa"/>
          </w:tblCellMar>
        </w:tblPrEx>
        <w:trPr>
          <w:trHeight w:val="209" w:hRule="atLeast"/>
          <w:jc w:val="center"/>
        </w:trPr>
        <w:tc>
          <w:tcPr>
            <w:tcW w:w="44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740799">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i w:val="0"/>
                <w:iCs w:val="0"/>
                <w:color w:val="000000"/>
                <w:kern w:val="0"/>
                <w:sz w:val="20"/>
                <w:szCs w:val="20"/>
              </w:rPr>
              <w:t>序号</w:t>
            </w:r>
          </w:p>
        </w:tc>
        <w:tc>
          <w:tcPr>
            <w:tcW w:w="1144"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7078082">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i w:val="0"/>
                <w:iCs w:val="0"/>
                <w:color w:val="000000"/>
                <w:kern w:val="0"/>
                <w:sz w:val="20"/>
                <w:szCs w:val="20"/>
              </w:rPr>
              <w:t>品种大类</w:t>
            </w:r>
          </w:p>
        </w:tc>
        <w:tc>
          <w:tcPr>
            <w:tcW w:w="637"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7B86023">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i w:val="0"/>
                <w:iCs w:val="0"/>
                <w:color w:val="000000"/>
                <w:kern w:val="0"/>
                <w:sz w:val="20"/>
                <w:szCs w:val="20"/>
              </w:rPr>
              <w:t>数量</w:t>
            </w:r>
            <w:r>
              <w:rPr>
                <w:rFonts w:hint="eastAsia" w:asciiTheme="minorEastAsia" w:hAnsiTheme="minorEastAsia" w:eastAsiaTheme="minorEastAsia"/>
                <w:b/>
                <w:i w:val="0"/>
                <w:iCs w:val="0"/>
                <w:color w:val="000000"/>
                <w:kern w:val="0"/>
                <w:sz w:val="20"/>
                <w:szCs w:val="20"/>
              </w:rPr>
              <w:br w:type="textWrapping"/>
            </w:r>
            <w:r>
              <w:rPr>
                <w:rFonts w:hint="eastAsia" w:asciiTheme="minorEastAsia" w:hAnsiTheme="minorEastAsia" w:eastAsiaTheme="minorEastAsia"/>
                <w:b/>
                <w:i w:val="0"/>
                <w:iCs w:val="0"/>
                <w:color w:val="000000"/>
                <w:kern w:val="0"/>
                <w:sz w:val="20"/>
                <w:szCs w:val="20"/>
              </w:rPr>
              <w:t>(个)</w:t>
            </w:r>
          </w:p>
        </w:tc>
        <w:tc>
          <w:tcPr>
            <w:tcW w:w="1069"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D967B42">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i w:val="0"/>
                <w:iCs w:val="0"/>
                <w:color w:val="000000"/>
                <w:kern w:val="0"/>
                <w:sz w:val="20"/>
                <w:szCs w:val="20"/>
              </w:rPr>
              <w:t>具体分类</w:t>
            </w:r>
          </w:p>
        </w:tc>
        <w:tc>
          <w:tcPr>
            <w:tcW w:w="862"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C910D04">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i w:val="0"/>
                <w:iCs w:val="0"/>
                <w:color w:val="000000"/>
                <w:kern w:val="0"/>
                <w:sz w:val="20"/>
                <w:szCs w:val="20"/>
              </w:rPr>
              <w:t>数量</w:t>
            </w:r>
            <w:r>
              <w:rPr>
                <w:rFonts w:hint="eastAsia" w:asciiTheme="minorEastAsia" w:hAnsiTheme="minorEastAsia" w:eastAsiaTheme="minorEastAsia"/>
                <w:b/>
                <w:i w:val="0"/>
                <w:iCs w:val="0"/>
                <w:color w:val="000000"/>
                <w:kern w:val="0"/>
                <w:sz w:val="20"/>
                <w:szCs w:val="20"/>
              </w:rPr>
              <w:br w:type="textWrapping"/>
            </w:r>
            <w:r>
              <w:rPr>
                <w:rFonts w:hint="eastAsia" w:asciiTheme="minorEastAsia" w:hAnsiTheme="minorEastAsia" w:eastAsiaTheme="minorEastAsia"/>
                <w:b/>
                <w:i w:val="0"/>
                <w:iCs w:val="0"/>
                <w:color w:val="000000"/>
                <w:kern w:val="0"/>
                <w:sz w:val="20"/>
                <w:szCs w:val="20"/>
              </w:rPr>
              <w:t>(个)</w:t>
            </w:r>
          </w:p>
        </w:tc>
        <w:tc>
          <w:tcPr>
            <w:tcW w:w="3450" w:type="dxa"/>
            <w:gridSpan w:val="4"/>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632C035">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bCs/>
                <w:i w:val="0"/>
                <w:iCs w:val="0"/>
                <w:color w:val="000000"/>
                <w:kern w:val="0"/>
                <w:sz w:val="20"/>
                <w:szCs w:val="20"/>
              </w:rPr>
              <w:t>抽样环节</w:t>
            </w:r>
          </w:p>
        </w:tc>
        <w:tc>
          <w:tcPr>
            <w:tcW w:w="3094"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BDFF090">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i w:val="0"/>
                <w:iCs w:val="0"/>
                <w:color w:val="000000"/>
                <w:kern w:val="0"/>
                <w:sz w:val="20"/>
                <w:szCs w:val="20"/>
              </w:rPr>
              <w:t>采样标准</w:t>
            </w:r>
          </w:p>
        </w:tc>
      </w:tr>
      <w:tr w14:paraId="6305B9F4">
        <w:tblPrEx>
          <w:tblCellMar>
            <w:top w:w="0" w:type="dxa"/>
            <w:left w:w="0" w:type="dxa"/>
            <w:bottom w:w="0" w:type="dxa"/>
            <w:right w:w="0" w:type="dxa"/>
          </w:tblCellMar>
        </w:tblPrEx>
        <w:trPr>
          <w:trHeight w:val="257" w:hRule="atLeast"/>
          <w:jc w:val="center"/>
        </w:trPr>
        <w:tc>
          <w:tcPr>
            <w:tcW w:w="440" w:type="dxa"/>
            <w:vMerge w:val="continue"/>
            <w:tcBorders>
              <w:top w:val="single" w:color="000000" w:sz="4" w:space="0"/>
              <w:left w:val="single" w:color="000000" w:sz="4" w:space="0"/>
              <w:bottom w:val="single" w:color="000000" w:sz="4" w:space="0"/>
              <w:right w:val="single" w:color="000000" w:sz="4" w:space="0"/>
            </w:tcBorders>
            <w:vAlign w:val="center"/>
          </w:tcPr>
          <w:p w14:paraId="28B2E92F">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44" w:type="dxa"/>
            <w:vMerge w:val="continue"/>
            <w:tcBorders>
              <w:top w:val="single" w:color="000000" w:sz="4" w:space="0"/>
              <w:left w:val="nil"/>
              <w:bottom w:val="single" w:color="000000" w:sz="4" w:space="0"/>
              <w:right w:val="single" w:color="000000" w:sz="4" w:space="0"/>
            </w:tcBorders>
            <w:vAlign w:val="center"/>
          </w:tcPr>
          <w:p w14:paraId="5198B987">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637" w:type="dxa"/>
            <w:vMerge w:val="continue"/>
            <w:tcBorders>
              <w:top w:val="single" w:color="000000" w:sz="4" w:space="0"/>
              <w:left w:val="nil"/>
              <w:bottom w:val="single" w:color="000000" w:sz="4" w:space="0"/>
              <w:right w:val="single" w:color="000000" w:sz="4" w:space="0"/>
            </w:tcBorders>
            <w:vAlign w:val="center"/>
          </w:tcPr>
          <w:p w14:paraId="6A7C5BCC">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069" w:type="dxa"/>
            <w:vMerge w:val="continue"/>
            <w:tcBorders>
              <w:top w:val="single" w:color="000000" w:sz="4" w:space="0"/>
              <w:left w:val="nil"/>
              <w:bottom w:val="single" w:color="000000" w:sz="4" w:space="0"/>
              <w:right w:val="single" w:color="000000" w:sz="4" w:space="0"/>
            </w:tcBorders>
            <w:vAlign w:val="center"/>
          </w:tcPr>
          <w:p w14:paraId="2DD87B30">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862" w:type="dxa"/>
            <w:vMerge w:val="continue"/>
            <w:tcBorders>
              <w:top w:val="single" w:color="000000" w:sz="4" w:space="0"/>
              <w:left w:val="nil"/>
              <w:bottom w:val="single" w:color="000000" w:sz="4" w:space="0"/>
              <w:right w:val="single" w:color="000000" w:sz="4" w:space="0"/>
            </w:tcBorders>
            <w:vAlign w:val="center"/>
          </w:tcPr>
          <w:p w14:paraId="6C7BDB3B">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6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64FB42D">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bCs/>
                <w:i w:val="0"/>
                <w:iCs w:val="0"/>
                <w:color w:val="000000"/>
                <w:kern w:val="0"/>
                <w:sz w:val="20"/>
                <w:szCs w:val="20"/>
              </w:rPr>
              <w:t>生产环节</w:t>
            </w:r>
          </w:p>
        </w:tc>
        <w:tc>
          <w:tcPr>
            <w:tcW w:w="1106"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28DF399">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sz w:val="20"/>
                <w:szCs w:val="20"/>
              </w:rPr>
            </w:pPr>
            <w:r>
              <w:rPr>
                <w:rFonts w:hint="eastAsia" w:asciiTheme="minorEastAsia" w:hAnsiTheme="minorEastAsia" w:eastAsiaTheme="minorEastAsia"/>
                <w:b/>
                <w:bCs/>
                <w:i w:val="0"/>
                <w:iCs w:val="0"/>
                <w:color w:val="000000"/>
                <w:kern w:val="0"/>
                <w:sz w:val="20"/>
                <w:szCs w:val="20"/>
              </w:rPr>
              <w:t>运输环节</w:t>
            </w:r>
          </w:p>
        </w:tc>
        <w:tc>
          <w:tcPr>
            <w:tcW w:w="118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C080F57">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bCs/>
                <w:i w:val="0"/>
                <w:iCs w:val="0"/>
                <w:color w:val="000000"/>
                <w:kern w:val="0"/>
                <w:sz w:val="20"/>
                <w:szCs w:val="20"/>
              </w:rPr>
              <w:t>市场环节</w:t>
            </w:r>
          </w:p>
        </w:tc>
        <w:tc>
          <w:tcPr>
            <w:tcW w:w="3094" w:type="dxa"/>
            <w:vMerge w:val="continue"/>
            <w:tcBorders>
              <w:top w:val="single" w:color="000000" w:sz="4" w:space="0"/>
              <w:left w:val="nil"/>
              <w:bottom w:val="single" w:color="000000" w:sz="4" w:space="0"/>
              <w:right w:val="single" w:color="000000" w:sz="4" w:space="0"/>
            </w:tcBorders>
            <w:vAlign w:val="center"/>
          </w:tcPr>
          <w:p w14:paraId="3ED52867">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r>
      <w:tr w14:paraId="4AB6177F">
        <w:tblPrEx>
          <w:tblCellMar>
            <w:top w:w="0" w:type="dxa"/>
            <w:left w:w="0" w:type="dxa"/>
            <w:bottom w:w="0" w:type="dxa"/>
            <w:right w:w="0" w:type="dxa"/>
          </w:tblCellMar>
        </w:tblPrEx>
        <w:trPr>
          <w:trHeight w:val="309" w:hRule="atLeast"/>
          <w:jc w:val="center"/>
        </w:trPr>
        <w:tc>
          <w:tcPr>
            <w:tcW w:w="440" w:type="dxa"/>
            <w:vMerge w:val="restart"/>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14:paraId="544A1540">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i w:val="0"/>
                <w:iCs w:val="0"/>
                <w:color w:val="000000"/>
                <w:kern w:val="0"/>
                <w:sz w:val="20"/>
                <w:szCs w:val="20"/>
              </w:rPr>
              <w:t>1</w:t>
            </w:r>
          </w:p>
        </w:tc>
        <w:tc>
          <w:tcPr>
            <w:tcW w:w="1144" w:type="dxa"/>
            <w:vMerge w:val="restart"/>
            <w:tcBorders>
              <w:top w:val="single" w:color="000000" w:sz="4" w:space="0"/>
              <w:left w:val="nil"/>
              <w:bottom w:val="nil"/>
              <w:right w:val="single" w:color="000000" w:sz="4" w:space="0"/>
            </w:tcBorders>
            <w:tcMar>
              <w:top w:w="15" w:type="dxa"/>
              <w:left w:w="15" w:type="dxa"/>
              <w:bottom w:w="0" w:type="dxa"/>
              <w:right w:w="15" w:type="dxa"/>
            </w:tcMar>
            <w:vAlign w:val="center"/>
          </w:tcPr>
          <w:p w14:paraId="33E952B0">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i w:val="0"/>
                <w:iCs w:val="0"/>
                <w:color w:val="000000"/>
                <w:kern w:val="0"/>
                <w:sz w:val="20"/>
                <w:szCs w:val="20"/>
              </w:rPr>
              <w:t>种植业产品</w:t>
            </w:r>
          </w:p>
        </w:tc>
        <w:tc>
          <w:tcPr>
            <w:tcW w:w="637" w:type="dxa"/>
            <w:vMerge w:val="restart"/>
            <w:tcBorders>
              <w:top w:val="single" w:color="000000" w:sz="4" w:space="0"/>
              <w:left w:val="nil"/>
              <w:bottom w:val="nil"/>
              <w:right w:val="single" w:color="000000" w:sz="4" w:space="0"/>
            </w:tcBorders>
            <w:tcMar>
              <w:top w:w="15" w:type="dxa"/>
              <w:left w:w="15" w:type="dxa"/>
              <w:bottom w:w="0" w:type="dxa"/>
              <w:right w:w="15" w:type="dxa"/>
            </w:tcMar>
            <w:vAlign w:val="center"/>
          </w:tcPr>
          <w:p w14:paraId="6070D189">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224</w:t>
            </w: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C8BABD0">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蔬菜</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2BE2308">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174</w:t>
            </w:r>
          </w:p>
        </w:tc>
        <w:tc>
          <w:tcPr>
            <w:tcW w:w="116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7DD4121">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100</w:t>
            </w:r>
          </w:p>
        </w:tc>
        <w:tc>
          <w:tcPr>
            <w:tcW w:w="1106"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300C4E8">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sz w:val="20"/>
                <w:szCs w:val="20"/>
              </w:rPr>
            </w:pPr>
            <w:r>
              <w:rPr>
                <w:rFonts w:hint="eastAsia" w:asciiTheme="minorEastAsia" w:hAnsiTheme="minorEastAsia" w:eastAsiaTheme="minorEastAsia"/>
                <w:i w:val="0"/>
                <w:iCs w:val="0"/>
                <w:sz w:val="20"/>
                <w:szCs w:val="20"/>
              </w:rPr>
              <w:t>45</w:t>
            </w:r>
          </w:p>
        </w:tc>
        <w:tc>
          <w:tcPr>
            <w:tcW w:w="118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50447E5">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29</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CA09FF5">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3kg</w:t>
            </w:r>
          </w:p>
        </w:tc>
      </w:tr>
      <w:tr w14:paraId="2C41B619">
        <w:tblPrEx>
          <w:tblCellMar>
            <w:top w:w="0" w:type="dxa"/>
            <w:left w:w="0" w:type="dxa"/>
            <w:bottom w:w="0" w:type="dxa"/>
            <w:right w:w="0" w:type="dxa"/>
          </w:tblCellMar>
        </w:tblPrEx>
        <w:trPr>
          <w:trHeight w:val="264" w:hRule="atLeast"/>
          <w:jc w:val="center"/>
        </w:trPr>
        <w:tc>
          <w:tcPr>
            <w:tcW w:w="440" w:type="dxa"/>
            <w:vMerge w:val="continue"/>
            <w:tcBorders>
              <w:top w:val="single" w:color="000000" w:sz="4" w:space="0"/>
              <w:left w:val="single" w:color="000000" w:sz="4" w:space="0"/>
              <w:bottom w:val="nil"/>
              <w:right w:val="single" w:color="000000" w:sz="4" w:space="0"/>
            </w:tcBorders>
            <w:vAlign w:val="center"/>
          </w:tcPr>
          <w:p w14:paraId="10285FBE">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44" w:type="dxa"/>
            <w:vMerge w:val="continue"/>
            <w:tcBorders>
              <w:top w:val="single" w:color="000000" w:sz="4" w:space="0"/>
              <w:left w:val="nil"/>
              <w:bottom w:val="nil"/>
              <w:right w:val="single" w:color="000000" w:sz="4" w:space="0"/>
            </w:tcBorders>
            <w:vAlign w:val="center"/>
          </w:tcPr>
          <w:p w14:paraId="7C17B8D0">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637" w:type="dxa"/>
            <w:vMerge w:val="continue"/>
            <w:tcBorders>
              <w:top w:val="single" w:color="000000" w:sz="4" w:space="0"/>
              <w:left w:val="nil"/>
              <w:bottom w:val="nil"/>
              <w:right w:val="single" w:color="000000" w:sz="4" w:space="0"/>
            </w:tcBorders>
            <w:vAlign w:val="center"/>
          </w:tcPr>
          <w:p w14:paraId="6ABD61D3">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i w:val="0"/>
                <w:iCs w:val="0"/>
                <w:color w:val="000000"/>
                <w:sz w:val="20"/>
                <w:szCs w:val="20"/>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340A50C">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食用菌</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FF7C55C">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7</w:t>
            </w:r>
          </w:p>
        </w:tc>
        <w:tc>
          <w:tcPr>
            <w:tcW w:w="116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7FFEF42">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2</w:t>
            </w:r>
          </w:p>
        </w:tc>
        <w:tc>
          <w:tcPr>
            <w:tcW w:w="1106"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A17339D">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sz w:val="20"/>
                <w:szCs w:val="20"/>
              </w:rPr>
            </w:pPr>
          </w:p>
        </w:tc>
        <w:tc>
          <w:tcPr>
            <w:tcW w:w="118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76BCF8D">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5</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BF015E0">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3kg</w:t>
            </w:r>
          </w:p>
        </w:tc>
      </w:tr>
      <w:tr w14:paraId="23807C96">
        <w:tblPrEx>
          <w:tblCellMar>
            <w:top w:w="0" w:type="dxa"/>
            <w:left w:w="0" w:type="dxa"/>
            <w:bottom w:w="0" w:type="dxa"/>
            <w:right w:w="0" w:type="dxa"/>
          </w:tblCellMar>
        </w:tblPrEx>
        <w:trPr>
          <w:trHeight w:val="276" w:hRule="atLeast"/>
          <w:jc w:val="center"/>
        </w:trPr>
        <w:tc>
          <w:tcPr>
            <w:tcW w:w="440" w:type="dxa"/>
            <w:vMerge w:val="continue"/>
            <w:tcBorders>
              <w:top w:val="single" w:color="000000" w:sz="4" w:space="0"/>
              <w:left w:val="single" w:color="000000" w:sz="4" w:space="0"/>
              <w:bottom w:val="nil"/>
              <w:right w:val="single" w:color="000000" w:sz="4" w:space="0"/>
            </w:tcBorders>
            <w:vAlign w:val="center"/>
          </w:tcPr>
          <w:p w14:paraId="6CF9E5F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44" w:type="dxa"/>
            <w:vMerge w:val="continue"/>
            <w:tcBorders>
              <w:top w:val="single" w:color="000000" w:sz="4" w:space="0"/>
              <w:left w:val="nil"/>
              <w:bottom w:val="nil"/>
              <w:right w:val="single" w:color="000000" w:sz="4" w:space="0"/>
            </w:tcBorders>
            <w:vAlign w:val="center"/>
          </w:tcPr>
          <w:p w14:paraId="08236149">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637" w:type="dxa"/>
            <w:vMerge w:val="continue"/>
            <w:tcBorders>
              <w:top w:val="single" w:color="000000" w:sz="4" w:space="0"/>
              <w:left w:val="nil"/>
              <w:bottom w:val="nil"/>
              <w:right w:val="single" w:color="000000" w:sz="4" w:space="0"/>
            </w:tcBorders>
            <w:vAlign w:val="center"/>
          </w:tcPr>
          <w:p w14:paraId="64258214">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i w:val="0"/>
                <w:iCs w:val="0"/>
                <w:color w:val="000000"/>
                <w:sz w:val="20"/>
                <w:szCs w:val="20"/>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A516755">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水果</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D03CD1A">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20</w:t>
            </w:r>
          </w:p>
        </w:tc>
        <w:tc>
          <w:tcPr>
            <w:tcW w:w="116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9A89474">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12</w:t>
            </w:r>
          </w:p>
        </w:tc>
        <w:tc>
          <w:tcPr>
            <w:tcW w:w="1106"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9EDD987">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sz w:val="20"/>
                <w:szCs w:val="20"/>
              </w:rPr>
            </w:pPr>
          </w:p>
        </w:tc>
        <w:tc>
          <w:tcPr>
            <w:tcW w:w="118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3F44B15">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8</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4CA1F05">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3kg</w:t>
            </w:r>
          </w:p>
        </w:tc>
      </w:tr>
      <w:tr w14:paraId="6E11E69A">
        <w:tblPrEx>
          <w:tblCellMar>
            <w:top w:w="0" w:type="dxa"/>
            <w:left w:w="0" w:type="dxa"/>
            <w:bottom w:w="0" w:type="dxa"/>
            <w:right w:w="0" w:type="dxa"/>
          </w:tblCellMar>
        </w:tblPrEx>
        <w:trPr>
          <w:trHeight w:val="286" w:hRule="atLeast"/>
          <w:jc w:val="center"/>
        </w:trPr>
        <w:tc>
          <w:tcPr>
            <w:tcW w:w="440" w:type="dxa"/>
            <w:vMerge w:val="continue"/>
            <w:tcBorders>
              <w:top w:val="single" w:color="000000" w:sz="4" w:space="0"/>
              <w:left w:val="single" w:color="000000" w:sz="4" w:space="0"/>
              <w:bottom w:val="nil"/>
              <w:right w:val="single" w:color="000000" w:sz="4" w:space="0"/>
            </w:tcBorders>
            <w:vAlign w:val="center"/>
          </w:tcPr>
          <w:p w14:paraId="1F90C14B">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44" w:type="dxa"/>
            <w:vMerge w:val="continue"/>
            <w:tcBorders>
              <w:top w:val="single" w:color="000000" w:sz="4" w:space="0"/>
              <w:left w:val="nil"/>
              <w:bottom w:val="nil"/>
              <w:right w:val="single" w:color="000000" w:sz="4" w:space="0"/>
            </w:tcBorders>
            <w:vAlign w:val="center"/>
          </w:tcPr>
          <w:p w14:paraId="1C4DCE6C">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637" w:type="dxa"/>
            <w:vMerge w:val="continue"/>
            <w:tcBorders>
              <w:top w:val="single" w:color="000000" w:sz="4" w:space="0"/>
              <w:left w:val="nil"/>
              <w:bottom w:val="nil"/>
              <w:right w:val="single" w:color="000000" w:sz="4" w:space="0"/>
            </w:tcBorders>
            <w:vAlign w:val="center"/>
          </w:tcPr>
          <w:p w14:paraId="78160DF9">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i w:val="0"/>
                <w:iCs w:val="0"/>
                <w:color w:val="000000"/>
                <w:sz w:val="20"/>
                <w:szCs w:val="20"/>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76D5C6E">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茶叶</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E1EFC47">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18</w:t>
            </w:r>
          </w:p>
        </w:tc>
        <w:tc>
          <w:tcPr>
            <w:tcW w:w="116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9125553">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16</w:t>
            </w:r>
          </w:p>
        </w:tc>
        <w:tc>
          <w:tcPr>
            <w:tcW w:w="1106"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0D944D4">
            <w:pPr>
              <w:keepNext w:val="0"/>
              <w:keepLines w:val="0"/>
              <w:suppressLineNumbers w:val="0"/>
              <w:autoSpaceDE w:val="0"/>
              <w:spacing w:before="0" w:beforeAutospacing="0" w:after="0" w:afterAutospacing="0" w:line="0" w:lineRule="atLeast"/>
              <w:ind w:left="0" w:right="0"/>
              <w:jc w:val="center"/>
              <w:rPr>
                <w:rFonts w:hint="default" w:asciiTheme="minorEastAsia" w:hAnsiTheme="minorEastAsia" w:eastAsiaTheme="minorEastAsia"/>
                <w:i w:val="0"/>
                <w:iCs w:val="0"/>
                <w:sz w:val="20"/>
                <w:szCs w:val="20"/>
              </w:rPr>
            </w:pPr>
          </w:p>
        </w:tc>
        <w:tc>
          <w:tcPr>
            <w:tcW w:w="118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54B4F6E">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2</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BD47545">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1kg</w:t>
            </w:r>
          </w:p>
        </w:tc>
      </w:tr>
      <w:tr w14:paraId="33E510B4">
        <w:tblPrEx>
          <w:tblCellMar>
            <w:top w:w="0" w:type="dxa"/>
            <w:left w:w="0" w:type="dxa"/>
            <w:bottom w:w="0" w:type="dxa"/>
            <w:right w:w="0" w:type="dxa"/>
          </w:tblCellMar>
        </w:tblPrEx>
        <w:trPr>
          <w:trHeight w:val="286" w:hRule="atLeast"/>
          <w:jc w:val="center"/>
        </w:trPr>
        <w:tc>
          <w:tcPr>
            <w:tcW w:w="440" w:type="dxa"/>
            <w:vMerge w:val="continue"/>
            <w:tcBorders>
              <w:top w:val="single" w:color="000000" w:sz="4" w:space="0"/>
              <w:left w:val="single" w:color="000000" w:sz="4" w:space="0"/>
              <w:bottom w:val="nil"/>
              <w:right w:val="single" w:color="000000" w:sz="4" w:space="0"/>
            </w:tcBorders>
            <w:vAlign w:val="center"/>
          </w:tcPr>
          <w:p w14:paraId="4FB36D9E">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44" w:type="dxa"/>
            <w:vMerge w:val="continue"/>
            <w:tcBorders>
              <w:top w:val="single" w:color="000000" w:sz="4" w:space="0"/>
              <w:left w:val="nil"/>
              <w:bottom w:val="nil"/>
              <w:right w:val="single" w:color="000000" w:sz="4" w:space="0"/>
            </w:tcBorders>
            <w:vAlign w:val="center"/>
          </w:tcPr>
          <w:p w14:paraId="25BDE9AE">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637" w:type="dxa"/>
            <w:vMerge w:val="continue"/>
            <w:tcBorders>
              <w:top w:val="single" w:color="000000" w:sz="4" w:space="0"/>
              <w:left w:val="nil"/>
              <w:bottom w:val="nil"/>
              <w:right w:val="single" w:color="000000" w:sz="4" w:space="0"/>
            </w:tcBorders>
            <w:vAlign w:val="center"/>
          </w:tcPr>
          <w:p w14:paraId="7887F3F2">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i w:val="0"/>
                <w:iCs w:val="0"/>
                <w:color w:val="000000"/>
                <w:sz w:val="20"/>
                <w:szCs w:val="20"/>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C56FA89">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稻谷</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25EF2D6">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5</w:t>
            </w:r>
          </w:p>
        </w:tc>
        <w:tc>
          <w:tcPr>
            <w:tcW w:w="116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993E9E5">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5</w:t>
            </w:r>
          </w:p>
        </w:tc>
        <w:tc>
          <w:tcPr>
            <w:tcW w:w="1106"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643E843">
            <w:pPr>
              <w:keepNext w:val="0"/>
              <w:keepLines w:val="0"/>
              <w:suppressLineNumbers w:val="0"/>
              <w:autoSpaceDE w:val="0"/>
              <w:spacing w:before="0" w:beforeAutospacing="0" w:after="0" w:afterAutospacing="0" w:line="0" w:lineRule="atLeast"/>
              <w:ind w:left="0" w:right="0"/>
              <w:jc w:val="center"/>
              <w:rPr>
                <w:rFonts w:hint="default" w:asciiTheme="minorEastAsia" w:hAnsiTheme="minorEastAsia" w:eastAsiaTheme="minorEastAsia"/>
                <w:i w:val="0"/>
                <w:iCs w:val="0"/>
                <w:sz w:val="20"/>
                <w:szCs w:val="20"/>
              </w:rPr>
            </w:pPr>
          </w:p>
        </w:tc>
        <w:tc>
          <w:tcPr>
            <w:tcW w:w="118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C23BFE9">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A428D2A">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2kg</w:t>
            </w:r>
          </w:p>
        </w:tc>
      </w:tr>
      <w:tr w14:paraId="75855605">
        <w:tblPrEx>
          <w:tblCellMar>
            <w:top w:w="0" w:type="dxa"/>
            <w:left w:w="0" w:type="dxa"/>
            <w:bottom w:w="0" w:type="dxa"/>
            <w:right w:w="0" w:type="dxa"/>
          </w:tblCellMar>
        </w:tblPrEx>
        <w:trPr>
          <w:trHeight w:val="270" w:hRule="atLeast"/>
          <w:jc w:val="center"/>
        </w:trPr>
        <w:tc>
          <w:tcPr>
            <w:tcW w:w="44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4D752F7C">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i w:val="0"/>
                <w:iCs w:val="0"/>
                <w:color w:val="000000"/>
                <w:kern w:val="0"/>
                <w:sz w:val="20"/>
                <w:szCs w:val="20"/>
              </w:rPr>
              <w:t>2</w:t>
            </w:r>
          </w:p>
        </w:tc>
        <w:tc>
          <w:tcPr>
            <w:tcW w:w="1144" w:type="dxa"/>
            <w:vMerge w:val="restart"/>
            <w:tcBorders>
              <w:top w:val="single" w:color="000000" w:sz="4" w:space="0"/>
              <w:left w:val="nil"/>
              <w:right w:val="single" w:color="000000" w:sz="4" w:space="0"/>
            </w:tcBorders>
            <w:tcMar>
              <w:top w:w="15" w:type="dxa"/>
              <w:left w:w="15" w:type="dxa"/>
              <w:bottom w:w="0" w:type="dxa"/>
              <w:right w:w="15" w:type="dxa"/>
            </w:tcMar>
            <w:vAlign w:val="center"/>
          </w:tcPr>
          <w:p w14:paraId="41115076">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b/>
                <w:i w:val="0"/>
                <w:iCs w:val="0"/>
                <w:color w:val="000000"/>
                <w:kern w:val="0"/>
                <w:sz w:val="20"/>
                <w:szCs w:val="20"/>
              </w:rPr>
            </w:pPr>
            <w:r>
              <w:rPr>
                <w:rFonts w:hint="eastAsia" w:asciiTheme="minorEastAsia" w:hAnsiTheme="minorEastAsia" w:eastAsiaTheme="minorEastAsia"/>
                <w:b/>
                <w:i w:val="0"/>
                <w:iCs w:val="0"/>
                <w:color w:val="000000"/>
                <w:kern w:val="0"/>
                <w:sz w:val="20"/>
                <w:szCs w:val="20"/>
              </w:rPr>
              <w:t>畜禽产品</w:t>
            </w:r>
          </w:p>
          <w:p w14:paraId="0184FCF7">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Style w:val="65"/>
                <w:rFonts w:hint="default" w:asciiTheme="minorEastAsia" w:hAnsiTheme="minorEastAsia" w:eastAsiaTheme="minorEastAsia"/>
                <w:i w:val="0"/>
                <w:iCs w:val="0"/>
                <w:sz w:val="20"/>
                <w:szCs w:val="20"/>
              </w:rPr>
              <w:t>（监测比例不低于</w:t>
            </w:r>
            <w:r>
              <w:rPr>
                <w:rStyle w:val="65"/>
                <w:rFonts w:hint="eastAsia" w:asciiTheme="minorEastAsia" w:hAnsiTheme="minorEastAsia" w:eastAsiaTheme="minorEastAsia"/>
                <w:i w:val="0"/>
                <w:iCs w:val="0"/>
                <w:sz w:val="20"/>
                <w:szCs w:val="20"/>
                <w:lang w:val="en-US" w:eastAsia="zh-CN"/>
              </w:rPr>
              <w:t>20</w:t>
            </w:r>
            <w:r>
              <w:rPr>
                <w:rStyle w:val="65"/>
                <w:rFonts w:hint="default" w:asciiTheme="minorEastAsia" w:hAnsiTheme="minorEastAsia" w:eastAsiaTheme="minorEastAsia"/>
                <w:i w:val="0"/>
                <w:iCs w:val="0"/>
                <w:sz w:val="20"/>
                <w:szCs w:val="20"/>
              </w:rPr>
              <w:t>%）</w:t>
            </w:r>
          </w:p>
        </w:tc>
        <w:tc>
          <w:tcPr>
            <w:tcW w:w="637" w:type="dxa"/>
            <w:vMerge w:val="restart"/>
            <w:tcBorders>
              <w:top w:val="single" w:color="000000" w:sz="4" w:space="0"/>
              <w:left w:val="nil"/>
              <w:right w:val="single" w:color="000000" w:sz="4" w:space="0"/>
            </w:tcBorders>
            <w:tcMar>
              <w:top w:w="15" w:type="dxa"/>
              <w:left w:w="15" w:type="dxa"/>
              <w:bottom w:w="0" w:type="dxa"/>
              <w:right w:w="15" w:type="dxa"/>
            </w:tcMar>
            <w:vAlign w:val="center"/>
          </w:tcPr>
          <w:p w14:paraId="3067D520">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156</w:t>
            </w: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24468D4">
            <w:pPr>
              <w:keepNext w:val="0"/>
              <w:keepLines w:val="0"/>
              <w:suppressLineNumbers w:val="0"/>
              <w:autoSpaceDE w:val="0"/>
              <w:spacing w:before="0" w:beforeAutospacing="0" w:after="0" w:afterAutospacing="0" w:line="0" w:lineRule="atLeast"/>
              <w:ind w:left="0" w:right="0"/>
              <w:jc w:val="center"/>
              <w:rPr>
                <w:rFonts w:hint="default" w:asciiTheme="minorEastAsia" w:hAnsiTheme="minorEastAsia" w:eastAsiaTheme="minorEastAsia"/>
                <w:i w:val="0"/>
                <w:iCs w:val="0"/>
                <w:color w:val="000000"/>
                <w:sz w:val="20"/>
                <w:szCs w:val="20"/>
              </w:rPr>
            </w:pP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2C218AD">
            <w:pPr>
              <w:keepNext w:val="0"/>
              <w:keepLines w:val="0"/>
              <w:suppressLineNumbers w:val="0"/>
              <w:autoSpaceDE w:val="0"/>
              <w:spacing w:before="0" w:beforeAutospacing="0" w:after="0" w:afterAutospacing="0" w:line="0" w:lineRule="atLeast"/>
              <w:ind w:left="0" w:right="0"/>
              <w:jc w:val="center"/>
              <w:rPr>
                <w:rFonts w:hint="default" w:asciiTheme="minorEastAsia" w:hAnsiTheme="minorEastAsia" w:eastAsiaTheme="minorEastAsia"/>
                <w:i w:val="0"/>
                <w:iCs w:val="0"/>
                <w:color w:val="000000"/>
                <w:sz w:val="20"/>
                <w:szCs w:val="20"/>
              </w:rPr>
            </w:pP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837BD17">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i w:val="0"/>
                <w:iCs w:val="0"/>
                <w:color w:val="000000"/>
                <w:kern w:val="0"/>
                <w:sz w:val="20"/>
                <w:szCs w:val="20"/>
              </w:rPr>
              <w:t>屠宰场</w:t>
            </w: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E7059C1">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i w:val="0"/>
                <w:iCs w:val="0"/>
                <w:color w:val="000000"/>
                <w:kern w:val="0"/>
                <w:sz w:val="20"/>
                <w:szCs w:val="20"/>
              </w:rPr>
              <w:t>批发市场</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4032E30">
            <w:pPr>
              <w:keepNext w:val="0"/>
              <w:keepLines w:val="0"/>
              <w:suppressLineNumbers w:val="0"/>
              <w:autoSpaceDE w:val="0"/>
              <w:spacing w:before="0" w:beforeAutospacing="0" w:after="0" w:afterAutospacing="0" w:line="0" w:lineRule="atLeast"/>
              <w:ind w:left="0" w:right="0"/>
              <w:jc w:val="center"/>
              <w:rPr>
                <w:rFonts w:hint="default" w:asciiTheme="minorEastAsia" w:hAnsiTheme="minorEastAsia" w:eastAsiaTheme="minorEastAsia"/>
                <w:i w:val="0"/>
                <w:iCs w:val="0"/>
                <w:color w:val="000000"/>
                <w:sz w:val="20"/>
                <w:szCs w:val="20"/>
              </w:rPr>
            </w:pPr>
          </w:p>
        </w:tc>
      </w:tr>
      <w:tr w14:paraId="2495272B">
        <w:tblPrEx>
          <w:tblCellMar>
            <w:top w:w="0" w:type="dxa"/>
            <w:left w:w="0" w:type="dxa"/>
            <w:bottom w:w="0" w:type="dxa"/>
            <w:right w:w="0" w:type="dxa"/>
          </w:tblCellMar>
        </w:tblPrEx>
        <w:trPr>
          <w:trHeight w:val="274" w:hRule="atLeast"/>
          <w:jc w:val="center"/>
        </w:trPr>
        <w:tc>
          <w:tcPr>
            <w:tcW w:w="440" w:type="dxa"/>
            <w:vMerge w:val="continue"/>
            <w:tcBorders>
              <w:left w:val="single" w:color="000000" w:sz="4" w:space="0"/>
              <w:right w:val="single" w:color="000000" w:sz="4" w:space="0"/>
            </w:tcBorders>
            <w:vAlign w:val="center"/>
          </w:tcPr>
          <w:p w14:paraId="349E8887">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44" w:type="dxa"/>
            <w:vMerge w:val="continue"/>
            <w:tcBorders>
              <w:left w:val="nil"/>
              <w:right w:val="single" w:color="000000" w:sz="4" w:space="0"/>
            </w:tcBorders>
            <w:vAlign w:val="center"/>
          </w:tcPr>
          <w:p w14:paraId="02DA4875">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637" w:type="dxa"/>
            <w:vMerge w:val="continue"/>
            <w:tcBorders>
              <w:left w:val="nil"/>
              <w:right w:val="single" w:color="000000" w:sz="4" w:space="0"/>
            </w:tcBorders>
            <w:vAlign w:val="center"/>
          </w:tcPr>
          <w:p w14:paraId="0575A3F8">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i w:val="0"/>
                <w:iCs w:val="0"/>
                <w:color w:val="000000"/>
                <w:sz w:val="20"/>
                <w:szCs w:val="20"/>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2CCC74A">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猪肉</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28A6D7A">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47</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6E241D4">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20</w:t>
            </w: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B8BACB4">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9</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FA6E44D">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去骨头、去脂肪后1kg</w:t>
            </w:r>
          </w:p>
        </w:tc>
      </w:tr>
      <w:tr w14:paraId="18C868EB">
        <w:tblPrEx>
          <w:tblCellMar>
            <w:top w:w="0" w:type="dxa"/>
            <w:left w:w="0" w:type="dxa"/>
            <w:bottom w:w="0" w:type="dxa"/>
            <w:right w:w="0" w:type="dxa"/>
          </w:tblCellMar>
        </w:tblPrEx>
        <w:trPr>
          <w:trHeight w:val="251" w:hRule="atLeast"/>
          <w:jc w:val="center"/>
        </w:trPr>
        <w:tc>
          <w:tcPr>
            <w:tcW w:w="440" w:type="dxa"/>
            <w:vMerge w:val="continue"/>
            <w:tcBorders>
              <w:left w:val="single" w:color="000000" w:sz="4" w:space="0"/>
              <w:right w:val="single" w:color="000000" w:sz="4" w:space="0"/>
            </w:tcBorders>
            <w:vAlign w:val="center"/>
          </w:tcPr>
          <w:p w14:paraId="2D76ED73">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44" w:type="dxa"/>
            <w:vMerge w:val="continue"/>
            <w:tcBorders>
              <w:left w:val="nil"/>
              <w:right w:val="single" w:color="000000" w:sz="4" w:space="0"/>
            </w:tcBorders>
            <w:vAlign w:val="center"/>
          </w:tcPr>
          <w:p w14:paraId="2B5DD0AC">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637" w:type="dxa"/>
            <w:vMerge w:val="continue"/>
            <w:tcBorders>
              <w:left w:val="nil"/>
              <w:right w:val="single" w:color="000000" w:sz="4" w:space="0"/>
            </w:tcBorders>
            <w:vAlign w:val="center"/>
          </w:tcPr>
          <w:p w14:paraId="2D4E22A0">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i w:val="0"/>
                <w:iCs w:val="0"/>
                <w:color w:val="000000"/>
                <w:sz w:val="20"/>
                <w:szCs w:val="20"/>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CC16812">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牛肉</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010D131">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15</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D1C3526">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sz w:val="20"/>
                <w:szCs w:val="20"/>
                <w:lang w:eastAsia="zh-CN"/>
              </w:rPr>
            </w:pPr>
            <w:r>
              <w:rPr>
                <w:rFonts w:hint="eastAsia" w:asciiTheme="minorEastAsia" w:hAnsiTheme="minorEastAsia" w:eastAsiaTheme="minorEastAsia"/>
                <w:i w:val="0"/>
                <w:iCs w:val="0"/>
                <w:color w:val="000000"/>
                <w:sz w:val="20"/>
                <w:szCs w:val="20"/>
                <w:lang w:val="en-US" w:eastAsia="zh-CN"/>
              </w:rPr>
              <w:t>2</w:t>
            </w: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3801B80">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13</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8EF90DC">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去骨头、去脂肪后1kg</w:t>
            </w:r>
          </w:p>
        </w:tc>
      </w:tr>
      <w:tr w14:paraId="4DA2766E">
        <w:tblPrEx>
          <w:tblCellMar>
            <w:top w:w="0" w:type="dxa"/>
            <w:left w:w="0" w:type="dxa"/>
            <w:bottom w:w="0" w:type="dxa"/>
            <w:right w:w="0" w:type="dxa"/>
          </w:tblCellMar>
        </w:tblPrEx>
        <w:trPr>
          <w:trHeight w:val="254" w:hRule="atLeast"/>
          <w:jc w:val="center"/>
        </w:trPr>
        <w:tc>
          <w:tcPr>
            <w:tcW w:w="440" w:type="dxa"/>
            <w:vMerge w:val="continue"/>
            <w:tcBorders>
              <w:left w:val="single" w:color="000000" w:sz="4" w:space="0"/>
              <w:right w:val="single" w:color="000000" w:sz="4" w:space="0"/>
            </w:tcBorders>
            <w:vAlign w:val="center"/>
          </w:tcPr>
          <w:p w14:paraId="022EFA34">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44" w:type="dxa"/>
            <w:vMerge w:val="continue"/>
            <w:tcBorders>
              <w:left w:val="nil"/>
              <w:right w:val="single" w:color="000000" w:sz="4" w:space="0"/>
            </w:tcBorders>
            <w:vAlign w:val="center"/>
          </w:tcPr>
          <w:p w14:paraId="00B8365D">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637" w:type="dxa"/>
            <w:vMerge w:val="continue"/>
            <w:tcBorders>
              <w:left w:val="nil"/>
              <w:right w:val="single" w:color="000000" w:sz="4" w:space="0"/>
            </w:tcBorders>
            <w:vAlign w:val="center"/>
          </w:tcPr>
          <w:p w14:paraId="715A5C6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i w:val="0"/>
                <w:iCs w:val="0"/>
                <w:color w:val="000000"/>
                <w:sz w:val="20"/>
                <w:szCs w:val="20"/>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A0BBA6B">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羊肉</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D87FBCA">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15</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C934D12">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sz w:val="20"/>
                <w:szCs w:val="20"/>
                <w:lang w:eastAsia="zh-CN"/>
              </w:rPr>
            </w:pPr>
            <w:r>
              <w:rPr>
                <w:rFonts w:hint="eastAsia" w:asciiTheme="minorEastAsia" w:hAnsiTheme="minorEastAsia" w:eastAsiaTheme="minorEastAsia"/>
                <w:i w:val="0"/>
                <w:iCs w:val="0"/>
                <w:color w:val="000000"/>
                <w:sz w:val="20"/>
                <w:szCs w:val="20"/>
                <w:lang w:val="en-US" w:eastAsia="zh-CN"/>
              </w:rPr>
              <w:t>2</w:t>
            </w: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F5F7BB8">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13</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A01CE87">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去骨头、去脂肪后1kg</w:t>
            </w:r>
          </w:p>
        </w:tc>
      </w:tr>
      <w:tr w14:paraId="0B462C74">
        <w:tblPrEx>
          <w:tblCellMar>
            <w:top w:w="0" w:type="dxa"/>
            <w:left w:w="0" w:type="dxa"/>
            <w:bottom w:w="0" w:type="dxa"/>
            <w:right w:w="0" w:type="dxa"/>
          </w:tblCellMar>
        </w:tblPrEx>
        <w:trPr>
          <w:trHeight w:val="203" w:hRule="atLeast"/>
          <w:jc w:val="center"/>
        </w:trPr>
        <w:tc>
          <w:tcPr>
            <w:tcW w:w="440" w:type="dxa"/>
            <w:vMerge w:val="continue"/>
            <w:tcBorders>
              <w:left w:val="single" w:color="000000" w:sz="4" w:space="0"/>
              <w:right w:val="single" w:color="000000" w:sz="4" w:space="0"/>
            </w:tcBorders>
            <w:vAlign w:val="center"/>
          </w:tcPr>
          <w:p w14:paraId="32969D67">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44" w:type="dxa"/>
            <w:vMerge w:val="continue"/>
            <w:tcBorders>
              <w:left w:val="nil"/>
              <w:right w:val="single" w:color="000000" w:sz="4" w:space="0"/>
            </w:tcBorders>
            <w:vAlign w:val="center"/>
          </w:tcPr>
          <w:p w14:paraId="6A06BCDE">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637" w:type="dxa"/>
            <w:vMerge w:val="continue"/>
            <w:tcBorders>
              <w:left w:val="nil"/>
              <w:right w:val="single" w:color="000000" w:sz="4" w:space="0"/>
            </w:tcBorders>
            <w:vAlign w:val="center"/>
          </w:tcPr>
          <w:p w14:paraId="179C096C">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i w:val="0"/>
                <w:iCs w:val="0"/>
                <w:color w:val="000000"/>
                <w:sz w:val="20"/>
                <w:szCs w:val="20"/>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71000A6">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鸡肉</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CFDEF71">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15</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1A5BB47">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sz w:val="20"/>
                <w:szCs w:val="20"/>
              </w:rPr>
            </w:pP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EAF85F9">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sz w:val="20"/>
                <w:szCs w:val="20"/>
                <w:lang w:val="en-US" w:eastAsia="zh-CN"/>
              </w:rPr>
            </w:pPr>
            <w:r>
              <w:rPr>
                <w:rFonts w:hint="eastAsia" w:asciiTheme="minorEastAsia" w:hAnsiTheme="minorEastAsia" w:eastAsiaTheme="minorEastAsia"/>
                <w:i w:val="0"/>
                <w:iCs w:val="0"/>
                <w:color w:val="000000"/>
                <w:sz w:val="20"/>
                <w:szCs w:val="20"/>
                <w:lang w:val="en-US" w:eastAsia="zh-CN"/>
              </w:rPr>
              <w:t>15</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BE126D3">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整只鸡取全部鸡胸肉</w:t>
            </w:r>
          </w:p>
        </w:tc>
      </w:tr>
      <w:tr w14:paraId="1D96C46A">
        <w:tblPrEx>
          <w:tblCellMar>
            <w:top w:w="0" w:type="dxa"/>
            <w:left w:w="0" w:type="dxa"/>
            <w:bottom w:w="0" w:type="dxa"/>
            <w:right w:w="0" w:type="dxa"/>
          </w:tblCellMar>
        </w:tblPrEx>
        <w:trPr>
          <w:trHeight w:val="264" w:hRule="atLeast"/>
          <w:jc w:val="center"/>
        </w:trPr>
        <w:tc>
          <w:tcPr>
            <w:tcW w:w="440" w:type="dxa"/>
            <w:vMerge w:val="continue"/>
            <w:tcBorders>
              <w:left w:val="single" w:color="000000" w:sz="4" w:space="0"/>
              <w:right w:val="single" w:color="000000" w:sz="4" w:space="0"/>
            </w:tcBorders>
            <w:vAlign w:val="center"/>
          </w:tcPr>
          <w:p w14:paraId="502340FE">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44" w:type="dxa"/>
            <w:vMerge w:val="continue"/>
            <w:tcBorders>
              <w:left w:val="nil"/>
              <w:right w:val="single" w:color="000000" w:sz="4" w:space="0"/>
            </w:tcBorders>
            <w:vAlign w:val="center"/>
          </w:tcPr>
          <w:p w14:paraId="26DB9B4F">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637" w:type="dxa"/>
            <w:vMerge w:val="continue"/>
            <w:tcBorders>
              <w:left w:val="nil"/>
              <w:right w:val="single" w:color="000000" w:sz="4" w:space="0"/>
            </w:tcBorders>
            <w:vAlign w:val="center"/>
          </w:tcPr>
          <w:p w14:paraId="0C782EAF">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i w:val="0"/>
                <w:iCs w:val="0"/>
                <w:color w:val="000000"/>
                <w:sz w:val="20"/>
                <w:szCs w:val="20"/>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43F1605">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鸭肉</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992F81F">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15</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E497698">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sz w:val="20"/>
                <w:szCs w:val="20"/>
              </w:rPr>
            </w:pP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C686CAF">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sz w:val="20"/>
                <w:szCs w:val="20"/>
                <w:lang w:val="en-US" w:eastAsia="zh-CN"/>
              </w:rPr>
            </w:pPr>
            <w:r>
              <w:rPr>
                <w:rFonts w:hint="eastAsia" w:asciiTheme="minorEastAsia" w:hAnsiTheme="minorEastAsia" w:eastAsiaTheme="minorEastAsia"/>
                <w:i w:val="0"/>
                <w:iCs w:val="0"/>
                <w:color w:val="000000"/>
                <w:sz w:val="20"/>
                <w:szCs w:val="20"/>
                <w:lang w:val="en-US" w:eastAsia="zh-CN"/>
              </w:rPr>
              <w:t>15</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1253628">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去骨头、去脂肪后1kg</w:t>
            </w:r>
          </w:p>
        </w:tc>
      </w:tr>
      <w:tr w14:paraId="6D4AF354">
        <w:tblPrEx>
          <w:tblCellMar>
            <w:top w:w="0" w:type="dxa"/>
            <w:left w:w="0" w:type="dxa"/>
            <w:bottom w:w="0" w:type="dxa"/>
            <w:right w:w="0" w:type="dxa"/>
          </w:tblCellMar>
        </w:tblPrEx>
        <w:trPr>
          <w:trHeight w:val="330" w:hRule="atLeast"/>
          <w:jc w:val="center"/>
        </w:trPr>
        <w:tc>
          <w:tcPr>
            <w:tcW w:w="440" w:type="dxa"/>
            <w:vMerge w:val="continue"/>
            <w:tcBorders>
              <w:left w:val="single" w:color="000000" w:sz="4" w:space="0"/>
              <w:right w:val="single" w:color="000000" w:sz="4" w:space="0"/>
            </w:tcBorders>
            <w:vAlign w:val="center"/>
          </w:tcPr>
          <w:p w14:paraId="24B39F99">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44" w:type="dxa"/>
            <w:vMerge w:val="continue"/>
            <w:tcBorders>
              <w:left w:val="nil"/>
              <w:right w:val="single" w:color="000000" w:sz="4" w:space="0"/>
            </w:tcBorders>
            <w:vAlign w:val="center"/>
          </w:tcPr>
          <w:p w14:paraId="24C4854D">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637" w:type="dxa"/>
            <w:vMerge w:val="continue"/>
            <w:tcBorders>
              <w:left w:val="nil"/>
              <w:right w:val="single" w:color="000000" w:sz="4" w:space="0"/>
            </w:tcBorders>
            <w:vAlign w:val="center"/>
          </w:tcPr>
          <w:p w14:paraId="651B4985">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i w:val="0"/>
                <w:iCs w:val="0"/>
                <w:color w:val="000000"/>
                <w:sz w:val="20"/>
                <w:szCs w:val="20"/>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8153D19">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猪肝</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F3B4D46">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16</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1CD4FF1">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sz w:val="20"/>
                <w:szCs w:val="20"/>
                <w:lang w:val="en-US" w:eastAsia="zh-CN"/>
              </w:rPr>
            </w:pPr>
            <w:r>
              <w:rPr>
                <w:rFonts w:hint="eastAsia" w:asciiTheme="minorEastAsia" w:hAnsiTheme="minorEastAsia" w:eastAsiaTheme="minorEastAsia"/>
                <w:i w:val="0"/>
                <w:iCs w:val="0"/>
                <w:color w:val="000000"/>
                <w:sz w:val="20"/>
                <w:szCs w:val="20"/>
                <w:lang w:val="en-US" w:eastAsia="zh-CN"/>
              </w:rPr>
              <w:t>10</w:t>
            </w: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976B84D">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6</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426F781">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取整叶</w:t>
            </w:r>
          </w:p>
        </w:tc>
      </w:tr>
      <w:tr w14:paraId="2F377BCB">
        <w:tblPrEx>
          <w:tblCellMar>
            <w:top w:w="0" w:type="dxa"/>
            <w:left w:w="0" w:type="dxa"/>
            <w:bottom w:w="0" w:type="dxa"/>
            <w:right w:w="0" w:type="dxa"/>
          </w:tblCellMar>
        </w:tblPrEx>
        <w:trPr>
          <w:trHeight w:val="262" w:hRule="atLeast"/>
          <w:jc w:val="center"/>
        </w:trPr>
        <w:tc>
          <w:tcPr>
            <w:tcW w:w="440" w:type="dxa"/>
            <w:vMerge w:val="continue"/>
            <w:tcBorders>
              <w:left w:val="single" w:color="000000" w:sz="4" w:space="0"/>
              <w:right w:val="single" w:color="000000" w:sz="4" w:space="0"/>
            </w:tcBorders>
            <w:vAlign w:val="center"/>
          </w:tcPr>
          <w:p w14:paraId="299F0598">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44" w:type="dxa"/>
            <w:vMerge w:val="continue"/>
            <w:tcBorders>
              <w:left w:val="nil"/>
              <w:right w:val="single" w:color="000000" w:sz="4" w:space="0"/>
            </w:tcBorders>
            <w:vAlign w:val="center"/>
          </w:tcPr>
          <w:p w14:paraId="7966A4F7">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637" w:type="dxa"/>
            <w:vMerge w:val="continue"/>
            <w:tcBorders>
              <w:left w:val="nil"/>
              <w:right w:val="single" w:color="000000" w:sz="4" w:space="0"/>
            </w:tcBorders>
            <w:vAlign w:val="center"/>
          </w:tcPr>
          <w:p w14:paraId="5DC49101">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i w:val="0"/>
                <w:iCs w:val="0"/>
                <w:color w:val="000000"/>
                <w:sz w:val="20"/>
                <w:szCs w:val="20"/>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59D87BF">
            <w:pPr>
              <w:keepNext w:val="0"/>
              <w:keepLines w:val="0"/>
              <w:suppressLineNumbers w:val="0"/>
              <w:autoSpaceDE w:val="0"/>
              <w:spacing w:before="0" w:beforeAutospacing="0" w:after="0" w:afterAutospacing="0" w:line="0" w:lineRule="atLeast"/>
              <w:ind w:left="0" w:right="0"/>
              <w:jc w:val="center"/>
              <w:rPr>
                <w:rFonts w:hint="default" w:asciiTheme="minorEastAsia" w:hAnsiTheme="minorEastAsia" w:eastAsiaTheme="minorEastAsia"/>
                <w:i w:val="0"/>
                <w:iCs w:val="0"/>
                <w:color w:val="000000"/>
                <w:sz w:val="20"/>
                <w:szCs w:val="20"/>
              </w:rPr>
            </w:pP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4A8F5B5">
            <w:pPr>
              <w:keepNext w:val="0"/>
              <w:keepLines w:val="0"/>
              <w:suppressLineNumbers w:val="0"/>
              <w:autoSpaceDE w:val="0"/>
              <w:spacing w:before="0" w:beforeAutospacing="0" w:after="0" w:afterAutospacing="0" w:line="0" w:lineRule="atLeast"/>
              <w:ind w:left="0" w:right="0"/>
              <w:jc w:val="center"/>
              <w:rPr>
                <w:rFonts w:hint="default" w:asciiTheme="minorEastAsia" w:hAnsiTheme="minorEastAsia" w:eastAsiaTheme="minorEastAsia"/>
                <w:i w:val="0"/>
                <w:iCs w:val="0"/>
                <w:color w:val="000000"/>
                <w:kern w:val="0"/>
                <w:sz w:val="20"/>
                <w:szCs w:val="20"/>
              </w:rPr>
            </w:pP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A24966E">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bCs/>
                <w:i w:val="0"/>
                <w:iCs w:val="0"/>
                <w:color w:val="000000"/>
                <w:kern w:val="0"/>
                <w:sz w:val="20"/>
                <w:szCs w:val="20"/>
              </w:rPr>
              <w:t>养殖场</w:t>
            </w: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EA4B2D9">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bCs/>
                <w:i w:val="0"/>
                <w:iCs w:val="0"/>
                <w:color w:val="000000"/>
                <w:kern w:val="0"/>
                <w:sz w:val="20"/>
                <w:szCs w:val="20"/>
              </w:rPr>
              <w:t>批发市场</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69DA557">
            <w:pPr>
              <w:keepNext w:val="0"/>
              <w:keepLines w:val="0"/>
              <w:suppressLineNumbers w:val="0"/>
              <w:autoSpaceDE w:val="0"/>
              <w:spacing w:before="0" w:beforeAutospacing="0" w:after="0" w:afterAutospacing="0" w:line="0" w:lineRule="atLeast"/>
              <w:ind w:left="0" w:right="0"/>
              <w:jc w:val="center"/>
              <w:rPr>
                <w:rFonts w:hint="default" w:asciiTheme="minorEastAsia" w:hAnsiTheme="minorEastAsia" w:eastAsiaTheme="minorEastAsia"/>
                <w:i w:val="0"/>
                <w:iCs w:val="0"/>
                <w:color w:val="000000"/>
                <w:sz w:val="20"/>
                <w:szCs w:val="20"/>
              </w:rPr>
            </w:pPr>
          </w:p>
        </w:tc>
      </w:tr>
      <w:tr w14:paraId="0E9B81A8">
        <w:tblPrEx>
          <w:tblCellMar>
            <w:top w:w="0" w:type="dxa"/>
            <w:left w:w="0" w:type="dxa"/>
            <w:bottom w:w="0" w:type="dxa"/>
            <w:right w:w="0" w:type="dxa"/>
          </w:tblCellMar>
        </w:tblPrEx>
        <w:trPr>
          <w:trHeight w:val="266" w:hRule="atLeast"/>
          <w:jc w:val="center"/>
        </w:trPr>
        <w:tc>
          <w:tcPr>
            <w:tcW w:w="440" w:type="dxa"/>
            <w:vMerge w:val="continue"/>
            <w:tcBorders>
              <w:left w:val="single" w:color="000000" w:sz="4" w:space="0"/>
              <w:right w:val="single" w:color="000000" w:sz="4" w:space="0"/>
            </w:tcBorders>
            <w:vAlign w:val="center"/>
          </w:tcPr>
          <w:p w14:paraId="6F2BD6FD">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44" w:type="dxa"/>
            <w:vMerge w:val="continue"/>
            <w:tcBorders>
              <w:left w:val="nil"/>
              <w:right w:val="single" w:color="000000" w:sz="4" w:space="0"/>
            </w:tcBorders>
            <w:vAlign w:val="center"/>
          </w:tcPr>
          <w:p w14:paraId="68FCA983">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637" w:type="dxa"/>
            <w:vMerge w:val="continue"/>
            <w:tcBorders>
              <w:left w:val="nil"/>
              <w:right w:val="single" w:color="000000" w:sz="4" w:space="0"/>
            </w:tcBorders>
            <w:vAlign w:val="center"/>
          </w:tcPr>
          <w:p w14:paraId="2672F91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i w:val="0"/>
                <w:iCs w:val="0"/>
                <w:color w:val="000000"/>
                <w:sz w:val="20"/>
                <w:szCs w:val="20"/>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B43B09B">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鸡蛋</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98E8120">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28</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D881DEE">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sz w:val="20"/>
                <w:szCs w:val="20"/>
                <w:lang w:val="en-US" w:eastAsia="zh-CN"/>
              </w:rPr>
            </w:pPr>
            <w:r>
              <w:rPr>
                <w:rFonts w:hint="eastAsia" w:asciiTheme="minorEastAsia" w:hAnsiTheme="minorEastAsia" w:eastAsiaTheme="minorEastAsia"/>
                <w:i w:val="0"/>
                <w:iCs w:val="0"/>
                <w:color w:val="000000"/>
                <w:sz w:val="20"/>
                <w:szCs w:val="20"/>
                <w:lang w:val="en-US" w:eastAsia="zh-CN"/>
              </w:rPr>
              <w:t>20</w:t>
            </w: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5219F98">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sz w:val="20"/>
                <w:szCs w:val="20"/>
                <w:lang w:val="en-US" w:eastAsia="zh-CN"/>
              </w:rPr>
            </w:pPr>
            <w:r>
              <w:rPr>
                <w:rFonts w:hint="eastAsia" w:asciiTheme="minorEastAsia" w:hAnsiTheme="minorEastAsia" w:eastAsiaTheme="minorEastAsia"/>
                <w:i w:val="0"/>
                <w:iCs w:val="0"/>
                <w:color w:val="000000"/>
                <w:sz w:val="20"/>
                <w:szCs w:val="20"/>
                <w:lang w:val="en-US" w:eastAsia="zh-CN"/>
              </w:rPr>
              <w:t>8</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B4C0CA4">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kern w:val="0"/>
                <w:sz w:val="20"/>
                <w:szCs w:val="20"/>
              </w:rPr>
              <w:t>30枚</w:t>
            </w:r>
          </w:p>
        </w:tc>
      </w:tr>
      <w:tr w14:paraId="4FDAF20F">
        <w:tblPrEx>
          <w:tblCellMar>
            <w:top w:w="0" w:type="dxa"/>
            <w:left w:w="0" w:type="dxa"/>
            <w:bottom w:w="0" w:type="dxa"/>
            <w:right w:w="0" w:type="dxa"/>
          </w:tblCellMar>
        </w:tblPrEx>
        <w:trPr>
          <w:trHeight w:val="256" w:hRule="atLeast"/>
          <w:jc w:val="center"/>
        </w:trPr>
        <w:tc>
          <w:tcPr>
            <w:tcW w:w="440" w:type="dxa"/>
            <w:vMerge w:val="continue"/>
            <w:tcBorders>
              <w:left w:val="single" w:color="000000" w:sz="4" w:space="0"/>
              <w:bottom w:val="nil"/>
              <w:right w:val="single" w:color="000000" w:sz="4" w:space="0"/>
            </w:tcBorders>
            <w:vAlign w:val="center"/>
          </w:tcPr>
          <w:p w14:paraId="4C931D3B">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44" w:type="dxa"/>
            <w:vMerge w:val="continue"/>
            <w:tcBorders>
              <w:left w:val="nil"/>
              <w:bottom w:val="nil"/>
              <w:right w:val="single" w:color="000000" w:sz="4" w:space="0"/>
            </w:tcBorders>
            <w:vAlign w:val="center"/>
          </w:tcPr>
          <w:p w14:paraId="6E9E5AFC">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637" w:type="dxa"/>
            <w:vMerge w:val="continue"/>
            <w:tcBorders>
              <w:left w:val="nil"/>
              <w:bottom w:val="nil"/>
              <w:right w:val="single" w:color="000000" w:sz="4" w:space="0"/>
            </w:tcBorders>
            <w:vAlign w:val="center"/>
          </w:tcPr>
          <w:p w14:paraId="0C8FC94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i w:val="0"/>
                <w:iCs w:val="0"/>
                <w:color w:val="000000"/>
                <w:sz w:val="20"/>
                <w:szCs w:val="20"/>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FDA81C7">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鸭蛋</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CDE3214">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5</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9EB6BAA">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kern w:val="0"/>
                <w:sz w:val="20"/>
                <w:szCs w:val="20"/>
              </w:rPr>
            </w:pP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FB4621F">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5</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C4460CE">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30枚</w:t>
            </w:r>
          </w:p>
        </w:tc>
      </w:tr>
      <w:tr w14:paraId="449531A0">
        <w:tblPrEx>
          <w:tblCellMar>
            <w:top w:w="0" w:type="dxa"/>
            <w:left w:w="0" w:type="dxa"/>
            <w:bottom w:w="0" w:type="dxa"/>
            <w:right w:w="0" w:type="dxa"/>
          </w:tblCellMar>
        </w:tblPrEx>
        <w:trPr>
          <w:trHeight w:val="260" w:hRule="atLeast"/>
          <w:jc w:val="center"/>
        </w:trPr>
        <w:tc>
          <w:tcPr>
            <w:tcW w:w="44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304F96AC">
            <w:pPr>
              <w:keepNext w:val="0"/>
              <w:keepLines w:val="0"/>
              <w:suppressLineNumbers w:val="0"/>
              <w:autoSpaceDE w:val="0"/>
              <w:spacing w:before="0" w:beforeAutospacing="0" w:after="0" w:afterAutospacing="0" w:line="0" w:lineRule="atLeast"/>
              <w:ind w:left="0" w:right="0"/>
              <w:jc w:val="center"/>
              <w:rPr>
                <w:rFonts w:hint="default" w:asciiTheme="minorEastAsia" w:hAnsiTheme="minorEastAsia" w:eastAsiaTheme="minorEastAsia"/>
                <w:b/>
                <w:i w:val="0"/>
                <w:iCs w:val="0"/>
                <w:color w:val="000000"/>
                <w:sz w:val="20"/>
                <w:szCs w:val="20"/>
              </w:rPr>
            </w:pPr>
            <w:r>
              <w:rPr>
                <w:rFonts w:hint="eastAsia" w:asciiTheme="minorEastAsia" w:hAnsiTheme="minorEastAsia" w:eastAsiaTheme="minorEastAsia"/>
                <w:b/>
                <w:i w:val="0"/>
                <w:iCs w:val="0"/>
                <w:color w:val="000000"/>
                <w:sz w:val="20"/>
                <w:szCs w:val="20"/>
              </w:rPr>
              <w:t>3</w:t>
            </w:r>
          </w:p>
        </w:tc>
        <w:tc>
          <w:tcPr>
            <w:tcW w:w="1144" w:type="dxa"/>
            <w:vMerge w:val="restart"/>
            <w:tcBorders>
              <w:top w:val="single" w:color="auto" w:sz="4" w:space="0"/>
              <w:left w:val="nil"/>
              <w:right w:val="single" w:color="auto" w:sz="4" w:space="0"/>
            </w:tcBorders>
            <w:tcMar>
              <w:top w:w="15" w:type="dxa"/>
              <w:left w:w="15" w:type="dxa"/>
              <w:bottom w:w="0" w:type="dxa"/>
              <w:right w:w="15" w:type="dxa"/>
            </w:tcMar>
            <w:vAlign w:val="center"/>
          </w:tcPr>
          <w:p w14:paraId="48B74931">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kern w:val="0"/>
                <w:sz w:val="20"/>
                <w:szCs w:val="20"/>
              </w:rPr>
            </w:pPr>
            <w:r>
              <w:rPr>
                <w:rFonts w:hint="eastAsia" w:asciiTheme="minorEastAsia" w:hAnsiTheme="minorEastAsia" w:eastAsiaTheme="minorEastAsia"/>
                <w:b/>
                <w:i w:val="0"/>
                <w:iCs w:val="0"/>
                <w:color w:val="000000"/>
                <w:kern w:val="0"/>
                <w:sz w:val="20"/>
                <w:szCs w:val="20"/>
              </w:rPr>
              <w:t>水产品</w:t>
            </w:r>
          </w:p>
          <w:p w14:paraId="77F19674">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i w:val="0"/>
                <w:iCs w:val="0"/>
                <w:color w:val="000000"/>
                <w:sz w:val="20"/>
                <w:szCs w:val="20"/>
              </w:rPr>
            </w:pPr>
            <w:r>
              <w:rPr>
                <w:rStyle w:val="65"/>
                <w:rFonts w:hint="default" w:asciiTheme="minorEastAsia" w:hAnsiTheme="minorEastAsia" w:eastAsiaTheme="minorEastAsia"/>
                <w:i w:val="0"/>
                <w:iCs w:val="0"/>
                <w:sz w:val="20"/>
                <w:szCs w:val="20"/>
              </w:rPr>
              <w:t>（监测比例不低于1%）</w:t>
            </w:r>
          </w:p>
        </w:tc>
        <w:tc>
          <w:tcPr>
            <w:tcW w:w="637" w:type="dxa"/>
            <w:vMerge w:val="restart"/>
            <w:tcBorders>
              <w:top w:val="single" w:color="auto" w:sz="4" w:space="0"/>
              <w:left w:val="nil"/>
              <w:right w:val="single" w:color="auto" w:sz="4" w:space="0"/>
            </w:tcBorders>
            <w:tcMar>
              <w:top w:w="15" w:type="dxa"/>
              <w:left w:w="15" w:type="dxa"/>
              <w:bottom w:w="0" w:type="dxa"/>
              <w:right w:w="15" w:type="dxa"/>
            </w:tcMar>
            <w:vAlign w:val="center"/>
          </w:tcPr>
          <w:p w14:paraId="6AC2ED38">
            <w:pPr>
              <w:keepNext w:val="0"/>
              <w:keepLines w:val="0"/>
              <w:suppressLineNumbers w:val="0"/>
              <w:autoSpaceDE w:val="0"/>
              <w:spacing w:before="0" w:beforeAutospacing="0" w:after="0" w:afterAutospacing="0" w:line="0" w:lineRule="atLeast"/>
              <w:ind w:left="0" w:right="0"/>
              <w:jc w:val="center"/>
              <w:rPr>
                <w:rFonts w:hint="default" w:asciiTheme="minorEastAsia" w:hAnsiTheme="minorEastAsia" w:eastAsiaTheme="minorEastAsia"/>
                <w:i w:val="0"/>
                <w:iCs w:val="0"/>
                <w:color w:val="000000"/>
                <w:sz w:val="20"/>
                <w:szCs w:val="20"/>
                <w:lang w:val="en-US" w:eastAsia="zh-CN"/>
              </w:rPr>
            </w:pPr>
            <w:r>
              <w:rPr>
                <w:rFonts w:hint="eastAsia" w:asciiTheme="minorEastAsia" w:hAnsiTheme="minorEastAsia" w:eastAsiaTheme="minorEastAsia"/>
                <w:i w:val="0"/>
                <w:iCs w:val="0"/>
                <w:color w:val="000000"/>
                <w:sz w:val="20"/>
                <w:szCs w:val="20"/>
                <w:lang w:val="en-US" w:eastAsia="zh-CN"/>
              </w:rPr>
              <w:t>42</w:t>
            </w: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BF40016">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93FDC56">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7E50216">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bCs/>
                <w:i w:val="0"/>
                <w:iCs w:val="0"/>
                <w:color w:val="000000"/>
                <w:kern w:val="0"/>
                <w:sz w:val="20"/>
                <w:szCs w:val="20"/>
              </w:rPr>
            </w:pPr>
            <w:r>
              <w:rPr>
                <w:rFonts w:hint="eastAsia" w:asciiTheme="minorEastAsia" w:hAnsiTheme="minorEastAsia" w:eastAsiaTheme="minorEastAsia"/>
                <w:b/>
                <w:bCs/>
                <w:i w:val="0"/>
                <w:iCs w:val="0"/>
                <w:color w:val="000000"/>
                <w:kern w:val="0"/>
                <w:sz w:val="20"/>
                <w:szCs w:val="20"/>
              </w:rPr>
              <w:t>运输车或暂养池</w:t>
            </w: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B790724">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b/>
                <w:bCs/>
                <w:i w:val="0"/>
                <w:iCs w:val="0"/>
                <w:color w:val="000000"/>
                <w:kern w:val="0"/>
                <w:sz w:val="20"/>
                <w:szCs w:val="20"/>
              </w:rPr>
            </w:pPr>
            <w:r>
              <w:rPr>
                <w:rFonts w:hint="eastAsia" w:asciiTheme="minorEastAsia" w:hAnsiTheme="minorEastAsia" w:eastAsiaTheme="minorEastAsia"/>
                <w:b/>
                <w:bCs/>
                <w:i w:val="0"/>
                <w:iCs w:val="0"/>
                <w:color w:val="000000"/>
                <w:kern w:val="0"/>
                <w:sz w:val="20"/>
                <w:szCs w:val="20"/>
              </w:rPr>
              <w:t>批发市场</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DEA64FF">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p>
        </w:tc>
      </w:tr>
      <w:tr w14:paraId="5BFF9701">
        <w:tblPrEx>
          <w:tblCellMar>
            <w:top w:w="0" w:type="dxa"/>
            <w:left w:w="0" w:type="dxa"/>
            <w:bottom w:w="0" w:type="dxa"/>
            <w:right w:w="0" w:type="dxa"/>
          </w:tblCellMar>
        </w:tblPrEx>
        <w:trPr>
          <w:trHeight w:val="264" w:hRule="atLeast"/>
          <w:jc w:val="center"/>
        </w:trPr>
        <w:tc>
          <w:tcPr>
            <w:tcW w:w="440" w:type="dxa"/>
            <w:vMerge w:val="continue"/>
            <w:tcBorders>
              <w:left w:val="single" w:color="auto" w:sz="4" w:space="0"/>
              <w:right w:val="single" w:color="auto" w:sz="4" w:space="0"/>
            </w:tcBorders>
            <w:vAlign w:val="center"/>
          </w:tcPr>
          <w:p w14:paraId="41923D7E">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44" w:type="dxa"/>
            <w:vMerge w:val="continue"/>
            <w:tcBorders>
              <w:left w:val="nil"/>
              <w:right w:val="single" w:color="auto" w:sz="4" w:space="0"/>
            </w:tcBorders>
            <w:vAlign w:val="center"/>
          </w:tcPr>
          <w:p w14:paraId="32036B69">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637" w:type="dxa"/>
            <w:vMerge w:val="continue"/>
            <w:tcBorders>
              <w:left w:val="nil"/>
              <w:right w:val="single" w:color="auto" w:sz="4" w:space="0"/>
            </w:tcBorders>
            <w:vAlign w:val="center"/>
          </w:tcPr>
          <w:p w14:paraId="18B1B57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i w:val="0"/>
                <w:iCs w:val="0"/>
                <w:color w:val="000000"/>
                <w:sz w:val="20"/>
                <w:szCs w:val="20"/>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9D0CDDF">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草鱼</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569AF20">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5</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DD72077">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3</w:t>
            </w: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661B36D">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2</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CB308F6">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刮鳞、去头尾、骨头、内脏后1kg</w:t>
            </w:r>
          </w:p>
        </w:tc>
      </w:tr>
      <w:tr w14:paraId="5A1F08F6">
        <w:tblPrEx>
          <w:tblCellMar>
            <w:top w:w="0" w:type="dxa"/>
            <w:left w:w="0" w:type="dxa"/>
            <w:bottom w:w="0" w:type="dxa"/>
            <w:right w:w="0" w:type="dxa"/>
          </w:tblCellMar>
        </w:tblPrEx>
        <w:trPr>
          <w:trHeight w:val="198" w:hRule="atLeast"/>
          <w:jc w:val="center"/>
        </w:trPr>
        <w:tc>
          <w:tcPr>
            <w:tcW w:w="440" w:type="dxa"/>
            <w:vMerge w:val="continue"/>
            <w:tcBorders>
              <w:left w:val="single" w:color="auto" w:sz="4" w:space="0"/>
              <w:right w:val="single" w:color="auto" w:sz="4" w:space="0"/>
            </w:tcBorders>
            <w:vAlign w:val="center"/>
          </w:tcPr>
          <w:p w14:paraId="63FFE9AF">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1144" w:type="dxa"/>
            <w:vMerge w:val="continue"/>
            <w:tcBorders>
              <w:left w:val="nil"/>
              <w:right w:val="single" w:color="auto" w:sz="4" w:space="0"/>
            </w:tcBorders>
            <w:vAlign w:val="center"/>
          </w:tcPr>
          <w:p w14:paraId="19870C03">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i w:val="0"/>
                <w:iCs w:val="0"/>
                <w:color w:val="000000"/>
                <w:sz w:val="20"/>
                <w:szCs w:val="20"/>
              </w:rPr>
            </w:pPr>
          </w:p>
        </w:tc>
        <w:tc>
          <w:tcPr>
            <w:tcW w:w="637" w:type="dxa"/>
            <w:vMerge w:val="continue"/>
            <w:tcBorders>
              <w:left w:val="nil"/>
              <w:right w:val="single" w:color="auto" w:sz="4" w:space="0"/>
            </w:tcBorders>
            <w:vAlign w:val="center"/>
          </w:tcPr>
          <w:p w14:paraId="0868F8F2">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i w:val="0"/>
                <w:iCs w:val="0"/>
                <w:color w:val="000000"/>
                <w:sz w:val="20"/>
                <w:szCs w:val="20"/>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90C0F30">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鲤鱼</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0841EE4">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4</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4C11D50">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3</w:t>
            </w: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64B3854">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1</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3CE9C63">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刮鳞、去头尾、骨头、内脏后1kg</w:t>
            </w:r>
          </w:p>
        </w:tc>
      </w:tr>
      <w:tr w14:paraId="6310DC82">
        <w:tblPrEx>
          <w:tblCellMar>
            <w:top w:w="0" w:type="dxa"/>
            <w:left w:w="0" w:type="dxa"/>
            <w:bottom w:w="0" w:type="dxa"/>
            <w:right w:w="0" w:type="dxa"/>
          </w:tblCellMar>
        </w:tblPrEx>
        <w:trPr>
          <w:trHeight w:val="146" w:hRule="atLeast"/>
          <w:jc w:val="center"/>
        </w:trPr>
        <w:tc>
          <w:tcPr>
            <w:tcW w:w="440" w:type="dxa"/>
            <w:vMerge w:val="continue"/>
            <w:tcBorders>
              <w:left w:val="single" w:color="auto" w:sz="4" w:space="0"/>
              <w:right w:val="single" w:color="auto" w:sz="4" w:space="0"/>
            </w:tcBorders>
            <w:vAlign w:val="center"/>
          </w:tcPr>
          <w:p w14:paraId="04A43B25">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1144" w:type="dxa"/>
            <w:vMerge w:val="continue"/>
            <w:tcBorders>
              <w:left w:val="nil"/>
              <w:right w:val="single" w:color="auto" w:sz="4" w:space="0"/>
            </w:tcBorders>
            <w:vAlign w:val="center"/>
          </w:tcPr>
          <w:p w14:paraId="1DAB06C1">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637" w:type="dxa"/>
            <w:vMerge w:val="continue"/>
            <w:tcBorders>
              <w:left w:val="nil"/>
              <w:right w:val="single" w:color="auto" w:sz="4" w:space="0"/>
            </w:tcBorders>
            <w:vAlign w:val="center"/>
          </w:tcPr>
          <w:p w14:paraId="6E445728">
            <w:pPr>
              <w:keepNext w:val="0"/>
              <w:keepLines w:val="0"/>
              <w:widowControl/>
              <w:suppressLineNumbers w:val="0"/>
              <w:spacing w:before="0" w:beforeAutospacing="0" w:after="0" w:afterAutospacing="0"/>
              <w:ind w:left="0" w:right="0"/>
              <w:jc w:val="left"/>
              <w:rPr>
                <w:rFonts w:hint="default" w:ascii="宋体" w:hAnsi="宋体"/>
                <w:i w:val="0"/>
                <w:iCs w:val="0"/>
                <w:color w:val="000000"/>
                <w:sz w:val="21"/>
                <w:szCs w:val="21"/>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26F9FB7">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鲫鱼</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B45FF43">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3</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160B012">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2</w:t>
            </w: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90106D8">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1</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9C15C42">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刮鳞、去头尾、骨头、内脏后1kg</w:t>
            </w:r>
          </w:p>
        </w:tc>
      </w:tr>
      <w:tr w14:paraId="78337C2D">
        <w:tblPrEx>
          <w:tblCellMar>
            <w:top w:w="0" w:type="dxa"/>
            <w:left w:w="0" w:type="dxa"/>
            <w:bottom w:w="0" w:type="dxa"/>
            <w:right w:w="0" w:type="dxa"/>
          </w:tblCellMar>
        </w:tblPrEx>
        <w:trPr>
          <w:trHeight w:val="148" w:hRule="atLeast"/>
          <w:jc w:val="center"/>
        </w:trPr>
        <w:tc>
          <w:tcPr>
            <w:tcW w:w="440" w:type="dxa"/>
            <w:vMerge w:val="continue"/>
            <w:tcBorders>
              <w:left w:val="single" w:color="auto" w:sz="4" w:space="0"/>
              <w:right w:val="single" w:color="auto" w:sz="4" w:space="0"/>
            </w:tcBorders>
            <w:vAlign w:val="center"/>
          </w:tcPr>
          <w:p w14:paraId="5AB11B67">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1144" w:type="dxa"/>
            <w:vMerge w:val="continue"/>
            <w:tcBorders>
              <w:left w:val="nil"/>
              <w:right w:val="single" w:color="auto" w:sz="4" w:space="0"/>
            </w:tcBorders>
            <w:vAlign w:val="center"/>
          </w:tcPr>
          <w:p w14:paraId="52E7C8BF">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637" w:type="dxa"/>
            <w:vMerge w:val="continue"/>
            <w:tcBorders>
              <w:left w:val="nil"/>
              <w:right w:val="single" w:color="auto" w:sz="4" w:space="0"/>
            </w:tcBorders>
            <w:vAlign w:val="center"/>
          </w:tcPr>
          <w:p w14:paraId="6213B2D8">
            <w:pPr>
              <w:keepNext w:val="0"/>
              <w:keepLines w:val="0"/>
              <w:widowControl/>
              <w:suppressLineNumbers w:val="0"/>
              <w:spacing w:before="0" w:beforeAutospacing="0" w:after="0" w:afterAutospacing="0"/>
              <w:ind w:left="0" w:right="0"/>
              <w:jc w:val="left"/>
              <w:rPr>
                <w:rFonts w:hint="default" w:ascii="宋体" w:hAnsi="宋体"/>
                <w:i w:val="0"/>
                <w:iCs w:val="0"/>
                <w:color w:val="000000"/>
                <w:sz w:val="21"/>
                <w:szCs w:val="21"/>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6767FE2">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黄鳝</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6739564">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3</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24F9300">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71E4587">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3</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5B876FD">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去头尾、骨头、内脏后1kg</w:t>
            </w:r>
          </w:p>
        </w:tc>
      </w:tr>
      <w:tr w14:paraId="6EF455EF">
        <w:tblPrEx>
          <w:tblCellMar>
            <w:top w:w="0" w:type="dxa"/>
            <w:left w:w="0" w:type="dxa"/>
            <w:bottom w:w="0" w:type="dxa"/>
            <w:right w:w="0" w:type="dxa"/>
          </w:tblCellMar>
        </w:tblPrEx>
        <w:trPr>
          <w:trHeight w:val="224" w:hRule="atLeast"/>
          <w:jc w:val="center"/>
        </w:trPr>
        <w:tc>
          <w:tcPr>
            <w:tcW w:w="440" w:type="dxa"/>
            <w:vMerge w:val="continue"/>
            <w:tcBorders>
              <w:left w:val="single" w:color="auto" w:sz="4" w:space="0"/>
              <w:right w:val="single" w:color="auto" w:sz="4" w:space="0"/>
            </w:tcBorders>
            <w:vAlign w:val="center"/>
          </w:tcPr>
          <w:p w14:paraId="72CC0FCB">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1144" w:type="dxa"/>
            <w:vMerge w:val="continue"/>
            <w:tcBorders>
              <w:left w:val="nil"/>
              <w:right w:val="single" w:color="auto" w:sz="4" w:space="0"/>
            </w:tcBorders>
            <w:vAlign w:val="center"/>
          </w:tcPr>
          <w:p w14:paraId="10128756">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637" w:type="dxa"/>
            <w:vMerge w:val="continue"/>
            <w:tcBorders>
              <w:left w:val="nil"/>
              <w:right w:val="single" w:color="auto" w:sz="4" w:space="0"/>
            </w:tcBorders>
            <w:vAlign w:val="center"/>
          </w:tcPr>
          <w:p w14:paraId="6FAD4AD5">
            <w:pPr>
              <w:keepNext w:val="0"/>
              <w:keepLines w:val="0"/>
              <w:widowControl/>
              <w:suppressLineNumbers w:val="0"/>
              <w:spacing w:before="0" w:beforeAutospacing="0" w:after="0" w:afterAutospacing="0"/>
              <w:ind w:left="0" w:right="0"/>
              <w:jc w:val="left"/>
              <w:rPr>
                <w:rFonts w:hint="default" w:ascii="宋体" w:hAnsi="宋体"/>
                <w:i w:val="0"/>
                <w:iCs w:val="0"/>
                <w:color w:val="000000"/>
                <w:sz w:val="21"/>
                <w:szCs w:val="21"/>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CE54436">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牛蛙</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93140CD">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3</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3E392A0">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0CE80A2">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3</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25FDE50">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去头尾、骨头、内脏后1kg</w:t>
            </w:r>
          </w:p>
        </w:tc>
      </w:tr>
      <w:tr w14:paraId="5140DAA3">
        <w:tblPrEx>
          <w:tblCellMar>
            <w:top w:w="0" w:type="dxa"/>
            <w:left w:w="0" w:type="dxa"/>
            <w:bottom w:w="0" w:type="dxa"/>
            <w:right w:w="0" w:type="dxa"/>
          </w:tblCellMar>
        </w:tblPrEx>
        <w:trPr>
          <w:trHeight w:val="264" w:hRule="atLeast"/>
          <w:jc w:val="center"/>
        </w:trPr>
        <w:tc>
          <w:tcPr>
            <w:tcW w:w="440" w:type="dxa"/>
            <w:vMerge w:val="continue"/>
            <w:tcBorders>
              <w:left w:val="single" w:color="auto" w:sz="4" w:space="0"/>
              <w:right w:val="single" w:color="auto" w:sz="4" w:space="0"/>
            </w:tcBorders>
            <w:vAlign w:val="center"/>
          </w:tcPr>
          <w:p w14:paraId="64A95CB4">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1144" w:type="dxa"/>
            <w:vMerge w:val="continue"/>
            <w:tcBorders>
              <w:left w:val="nil"/>
              <w:right w:val="single" w:color="auto" w:sz="4" w:space="0"/>
            </w:tcBorders>
            <w:vAlign w:val="center"/>
          </w:tcPr>
          <w:p w14:paraId="4484DB50">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637" w:type="dxa"/>
            <w:vMerge w:val="continue"/>
            <w:tcBorders>
              <w:left w:val="nil"/>
              <w:right w:val="single" w:color="auto" w:sz="4" w:space="0"/>
            </w:tcBorders>
            <w:vAlign w:val="center"/>
          </w:tcPr>
          <w:p w14:paraId="7ED54523">
            <w:pPr>
              <w:keepNext w:val="0"/>
              <w:keepLines w:val="0"/>
              <w:widowControl/>
              <w:suppressLineNumbers w:val="0"/>
              <w:spacing w:before="0" w:beforeAutospacing="0" w:after="0" w:afterAutospacing="0"/>
              <w:ind w:left="0" w:right="0"/>
              <w:jc w:val="left"/>
              <w:rPr>
                <w:rFonts w:hint="default" w:ascii="宋体" w:hAnsi="宋体"/>
                <w:i w:val="0"/>
                <w:iCs w:val="0"/>
                <w:color w:val="000000"/>
                <w:sz w:val="21"/>
                <w:szCs w:val="21"/>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B0FD488">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对虾</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084A7AF">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3</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8F13CBD">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77B2AD5">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3</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1A19E84">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去壳、头尾、骨头、内脏后1kg</w:t>
            </w:r>
          </w:p>
        </w:tc>
      </w:tr>
      <w:tr w14:paraId="56444395">
        <w:tblPrEx>
          <w:tblCellMar>
            <w:top w:w="0" w:type="dxa"/>
            <w:left w:w="0" w:type="dxa"/>
            <w:bottom w:w="0" w:type="dxa"/>
            <w:right w:w="0" w:type="dxa"/>
          </w:tblCellMar>
        </w:tblPrEx>
        <w:trPr>
          <w:trHeight w:val="222" w:hRule="atLeast"/>
          <w:jc w:val="center"/>
        </w:trPr>
        <w:tc>
          <w:tcPr>
            <w:tcW w:w="440" w:type="dxa"/>
            <w:vMerge w:val="continue"/>
            <w:tcBorders>
              <w:left w:val="single" w:color="auto" w:sz="4" w:space="0"/>
              <w:right w:val="single" w:color="auto" w:sz="4" w:space="0"/>
            </w:tcBorders>
            <w:vAlign w:val="center"/>
          </w:tcPr>
          <w:p w14:paraId="575573F5">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1144" w:type="dxa"/>
            <w:vMerge w:val="continue"/>
            <w:tcBorders>
              <w:left w:val="nil"/>
              <w:right w:val="single" w:color="auto" w:sz="4" w:space="0"/>
            </w:tcBorders>
            <w:vAlign w:val="center"/>
          </w:tcPr>
          <w:p w14:paraId="432DD0C5">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637" w:type="dxa"/>
            <w:vMerge w:val="continue"/>
            <w:tcBorders>
              <w:left w:val="nil"/>
              <w:right w:val="single" w:color="auto" w:sz="4" w:space="0"/>
            </w:tcBorders>
            <w:vAlign w:val="center"/>
          </w:tcPr>
          <w:p w14:paraId="7AA038B7">
            <w:pPr>
              <w:keepNext w:val="0"/>
              <w:keepLines w:val="0"/>
              <w:widowControl/>
              <w:suppressLineNumbers w:val="0"/>
              <w:spacing w:before="0" w:beforeAutospacing="0" w:after="0" w:afterAutospacing="0"/>
              <w:ind w:left="0" w:right="0"/>
              <w:jc w:val="left"/>
              <w:rPr>
                <w:rFonts w:hint="default" w:ascii="宋体" w:hAnsi="宋体"/>
                <w:i w:val="0"/>
                <w:iCs w:val="0"/>
                <w:color w:val="000000"/>
                <w:sz w:val="21"/>
                <w:szCs w:val="21"/>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D89BD2E">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大鲵</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2C71D0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3</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1CE0B3D">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3</w:t>
            </w: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9B15A9C">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kern w:val="0"/>
                <w:sz w:val="20"/>
                <w:szCs w:val="20"/>
              </w:rPr>
            </w:pP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37E2D94">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去头尾、骨头、内脏后1kg</w:t>
            </w:r>
          </w:p>
        </w:tc>
      </w:tr>
      <w:tr w14:paraId="51B6A1C9">
        <w:tblPrEx>
          <w:tblCellMar>
            <w:top w:w="0" w:type="dxa"/>
            <w:left w:w="0" w:type="dxa"/>
            <w:bottom w:w="0" w:type="dxa"/>
            <w:right w:w="0" w:type="dxa"/>
          </w:tblCellMar>
        </w:tblPrEx>
        <w:trPr>
          <w:trHeight w:val="264" w:hRule="atLeast"/>
          <w:jc w:val="center"/>
        </w:trPr>
        <w:tc>
          <w:tcPr>
            <w:tcW w:w="440" w:type="dxa"/>
            <w:vMerge w:val="continue"/>
            <w:tcBorders>
              <w:left w:val="single" w:color="auto" w:sz="4" w:space="0"/>
              <w:right w:val="single" w:color="auto" w:sz="4" w:space="0"/>
            </w:tcBorders>
            <w:vAlign w:val="center"/>
          </w:tcPr>
          <w:p w14:paraId="056E7089">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1144" w:type="dxa"/>
            <w:vMerge w:val="continue"/>
            <w:tcBorders>
              <w:left w:val="nil"/>
              <w:right w:val="single" w:color="auto" w:sz="4" w:space="0"/>
            </w:tcBorders>
            <w:vAlign w:val="center"/>
          </w:tcPr>
          <w:p w14:paraId="70800730">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637" w:type="dxa"/>
            <w:vMerge w:val="continue"/>
            <w:tcBorders>
              <w:left w:val="nil"/>
              <w:right w:val="single" w:color="auto" w:sz="4" w:space="0"/>
            </w:tcBorders>
            <w:vAlign w:val="center"/>
          </w:tcPr>
          <w:p w14:paraId="6207F7BA">
            <w:pPr>
              <w:keepNext w:val="0"/>
              <w:keepLines w:val="0"/>
              <w:widowControl/>
              <w:suppressLineNumbers w:val="0"/>
              <w:spacing w:before="0" w:beforeAutospacing="0" w:after="0" w:afterAutospacing="0"/>
              <w:ind w:left="0" w:right="0"/>
              <w:jc w:val="left"/>
              <w:rPr>
                <w:rFonts w:hint="default" w:ascii="宋体" w:hAnsi="宋体"/>
                <w:i w:val="0"/>
                <w:iCs w:val="0"/>
                <w:color w:val="000000"/>
                <w:sz w:val="21"/>
                <w:szCs w:val="21"/>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B9CE982">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大口黑鲈</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AE6F3A1">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3</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5F29B6C">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E2DB575">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3</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43088C4">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刮鳞、去头尾、骨头、内脏后1kg</w:t>
            </w:r>
          </w:p>
        </w:tc>
      </w:tr>
      <w:tr w14:paraId="217DEE4D">
        <w:tblPrEx>
          <w:tblCellMar>
            <w:top w:w="0" w:type="dxa"/>
            <w:left w:w="0" w:type="dxa"/>
            <w:bottom w:w="0" w:type="dxa"/>
            <w:right w:w="0" w:type="dxa"/>
          </w:tblCellMar>
        </w:tblPrEx>
        <w:trPr>
          <w:trHeight w:val="264" w:hRule="atLeast"/>
          <w:jc w:val="center"/>
        </w:trPr>
        <w:tc>
          <w:tcPr>
            <w:tcW w:w="440" w:type="dxa"/>
            <w:vMerge w:val="continue"/>
            <w:tcBorders>
              <w:left w:val="single" w:color="auto" w:sz="4" w:space="0"/>
              <w:right w:val="single" w:color="auto" w:sz="4" w:space="0"/>
            </w:tcBorders>
            <w:vAlign w:val="center"/>
          </w:tcPr>
          <w:p w14:paraId="3512AA1D">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1144" w:type="dxa"/>
            <w:vMerge w:val="continue"/>
            <w:tcBorders>
              <w:left w:val="nil"/>
              <w:right w:val="single" w:color="auto" w:sz="4" w:space="0"/>
            </w:tcBorders>
            <w:vAlign w:val="center"/>
          </w:tcPr>
          <w:p w14:paraId="4BD6A2C6">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637" w:type="dxa"/>
            <w:vMerge w:val="continue"/>
            <w:tcBorders>
              <w:left w:val="nil"/>
              <w:right w:val="single" w:color="auto" w:sz="4" w:space="0"/>
            </w:tcBorders>
            <w:vAlign w:val="center"/>
          </w:tcPr>
          <w:p w14:paraId="18F00CFE">
            <w:pPr>
              <w:keepNext w:val="0"/>
              <w:keepLines w:val="0"/>
              <w:widowControl/>
              <w:suppressLineNumbers w:val="0"/>
              <w:spacing w:before="0" w:beforeAutospacing="0" w:after="0" w:afterAutospacing="0"/>
              <w:ind w:left="0" w:right="0"/>
              <w:jc w:val="left"/>
              <w:rPr>
                <w:rFonts w:hint="default" w:ascii="宋体" w:hAnsi="宋体"/>
                <w:i w:val="0"/>
                <w:iCs w:val="0"/>
                <w:color w:val="000000"/>
                <w:sz w:val="21"/>
                <w:szCs w:val="21"/>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98280CE">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乌鳢</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FF6A4F2">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3</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04E8A77">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A43C1C2">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3</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2F4A5AA">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刮鳞、去头尾、骨头、内脏后1kg</w:t>
            </w:r>
          </w:p>
        </w:tc>
      </w:tr>
      <w:tr w14:paraId="408D7505">
        <w:tblPrEx>
          <w:tblCellMar>
            <w:top w:w="0" w:type="dxa"/>
            <w:left w:w="0" w:type="dxa"/>
            <w:bottom w:w="0" w:type="dxa"/>
            <w:right w:w="0" w:type="dxa"/>
          </w:tblCellMar>
        </w:tblPrEx>
        <w:trPr>
          <w:trHeight w:val="264" w:hRule="atLeast"/>
          <w:jc w:val="center"/>
        </w:trPr>
        <w:tc>
          <w:tcPr>
            <w:tcW w:w="440" w:type="dxa"/>
            <w:vMerge w:val="continue"/>
            <w:tcBorders>
              <w:left w:val="single" w:color="auto" w:sz="4" w:space="0"/>
              <w:right w:val="single" w:color="auto" w:sz="4" w:space="0"/>
            </w:tcBorders>
            <w:vAlign w:val="center"/>
          </w:tcPr>
          <w:p w14:paraId="52EC3726">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1144" w:type="dxa"/>
            <w:vMerge w:val="continue"/>
            <w:tcBorders>
              <w:left w:val="nil"/>
              <w:right w:val="single" w:color="auto" w:sz="4" w:space="0"/>
            </w:tcBorders>
            <w:vAlign w:val="center"/>
          </w:tcPr>
          <w:p w14:paraId="07DF1C28">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637" w:type="dxa"/>
            <w:vMerge w:val="continue"/>
            <w:tcBorders>
              <w:left w:val="nil"/>
              <w:right w:val="single" w:color="auto" w:sz="4" w:space="0"/>
            </w:tcBorders>
            <w:vAlign w:val="center"/>
          </w:tcPr>
          <w:p w14:paraId="7EBFF9F7">
            <w:pPr>
              <w:keepNext w:val="0"/>
              <w:keepLines w:val="0"/>
              <w:widowControl/>
              <w:suppressLineNumbers w:val="0"/>
              <w:spacing w:before="0" w:beforeAutospacing="0" w:after="0" w:afterAutospacing="0"/>
              <w:ind w:left="0" w:right="0"/>
              <w:jc w:val="left"/>
              <w:rPr>
                <w:rFonts w:hint="default" w:ascii="宋体" w:hAnsi="宋体"/>
                <w:i w:val="0"/>
                <w:iCs w:val="0"/>
                <w:color w:val="000000"/>
                <w:sz w:val="21"/>
                <w:szCs w:val="21"/>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9721C62">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泥鳅</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0A36880">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3</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A8C6C9F">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4F734DC">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3</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BFB0526">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去头尾、骨头、内脏后1kg</w:t>
            </w:r>
          </w:p>
        </w:tc>
      </w:tr>
      <w:tr w14:paraId="27B630E1">
        <w:tblPrEx>
          <w:tblCellMar>
            <w:top w:w="0" w:type="dxa"/>
            <w:left w:w="0" w:type="dxa"/>
            <w:bottom w:w="0" w:type="dxa"/>
            <w:right w:w="0" w:type="dxa"/>
          </w:tblCellMar>
        </w:tblPrEx>
        <w:trPr>
          <w:trHeight w:val="264" w:hRule="atLeast"/>
          <w:jc w:val="center"/>
        </w:trPr>
        <w:tc>
          <w:tcPr>
            <w:tcW w:w="440" w:type="dxa"/>
            <w:vMerge w:val="continue"/>
            <w:tcBorders>
              <w:left w:val="single" w:color="auto" w:sz="4" w:space="0"/>
              <w:right w:val="single" w:color="auto" w:sz="4" w:space="0"/>
            </w:tcBorders>
            <w:vAlign w:val="center"/>
          </w:tcPr>
          <w:p w14:paraId="4CC5D8CA">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1144" w:type="dxa"/>
            <w:vMerge w:val="continue"/>
            <w:tcBorders>
              <w:left w:val="nil"/>
              <w:right w:val="single" w:color="auto" w:sz="4" w:space="0"/>
            </w:tcBorders>
            <w:vAlign w:val="center"/>
          </w:tcPr>
          <w:p w14:paraId="016985F8">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637" w:type="dxa"/>
            <w:vMerge w:val="continue"/>
            <w:tcBorders>
              <w:left w:val="nil"/>
              <w:right w:val="single" w:color="auto" w:sz="4" w:space="0"/>
            </w:tcBorders>
            <w:vAlign w:val="center"/>
          </w:tcPr>
          <w:p w14:paraId="0F5B8796">
            <w:pPr>
              <w:keepNext w:val="0"/>
              <w:keepLines w:val="0"/>
              <w:widowControl/>
              <w:suppressLineNumbers w:val="0"/>
              <w:spacing w:before="0" w:beforeAutospacing="0" w:after="0" w:afterAutospacing="0"/>
              <w:ind w:left="0" w:right="0"/>
              <w:jc w:val="left"/>
              <w:rPr>
                <w:rFonts w:hint="default" w:ascii="宋体" w:hAnsi="宋体"/>
                <w:i w:val="0"/>
                <w:iCs w:val="0"/>
                <w:color w:val="000000"/>
                <w:sz w:val="21"/>
                <w:szCs w:val="21"/>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C418B49">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鳊鱼</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D4B73F4">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3</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BB935E3">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F193A7B">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3</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64A4C2E">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刮鳞、去头尾、骨头、内脏后1kg</w:t>
            </w:r>
          </w:p>
        </w:tc>
      </w:tr>
      <w:tr w14:paraId="3116DD3F">
        <w:tblPrEx>
          <w:tblCellMar>
            <w:top w:w="0" w:type="dxa"/>
            <w:left w:w="0" w:type="dxa"/>
            <w:bottom w:w="0" w:type="dxa"/>
            <w:right w:w="0" w:type="dxa"/>
          </w:tblCellMar>
        </w:tblPrEx>
        <w:trPr>
          <w:trHeight w:val="264" w:hRule="atLeast"/>
          <w:jc w:val="center"/>
        </w:trPr>
        <w:tc>
          <w:tcPr>
            <w:tcW w:w="440" w:type="dxa"/>
            <w:vMerge w:val="continue"/>
            <w:tcBorders>
              <w:left w:val="single" w:color="auto" w:sz="4" w:space="0"/>
              <w:right w:val="single" w:color="auto" w:sz="4" w:space="0"/>
            </w:tcBorders>
            <w:vAlign w:val="center"/>
          </w:tcPr>
          <w:p w14:paraId="16C5AFA5">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1144" w:type="dxa"/>
            <w:vMerge w:val="continue"/>
            <w:tcBorders>
              <w:left w:val="nil"/>
              <w:right w:val="single" w:color="auto" w:sz="4" w:space="0"/>
            </w:tcBorders>
            <w:vAlign w:val="center"/>
          </w:tcPr>
          <w:p w14:paraId="61F3AD9F">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637" w:type="dxa"/>
            <w:vMerge w:val="continue"/>
            <w:tcBorders>
              <w:left w:val="nil"/>
              <w:right w:val="single" w:color="auto" w:sz="4" w:space="0"/>
            </w:tcBorders>
            <w:vAlign w:val="center"/>
          </w:tcPr>
          <w:p w14:paraId="1BBCD84D">
            <w:pPr>
              <w:keepNext w:val="0"/>
              <w:keepLines w:val="0"/>
              <w:widowControl/>
              <w:suppressLineNumbers w:val="0"/>
              <w:spacing w:before="0" w:beforeAutospacing="0" w:after="0" w:afterAutospacing="0"/>
              <w:ind w:left="0" w:right="0"/>
              <w:jc w:val="left"/>
              <w:rPr>
                <w:rFonts w:hint="default" w:ascii="宋体" w:hAnsi="宋体"/>
                <w:i w:val="0"/>
                <w:iCs w:val="0"/>
                <w:color w:val="000000"/>
                <w:sz w:val="21"/>
                <w:szCs w:val="21"/>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50C862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鲶鱼</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0595073">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3</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1B65727">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43B900D">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3</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F5F53DE">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刮鳞、去头尾、骨头、内脏后1kg</w:t>
            </w:r>
          </w:p>
        </w:tc>
      </w:tr>
      <w:tr w14:paraId="58147331">
        <w:tblPrEx>
          <w:tblCellMar>
            <w:top w:w="0" w:type="dxa"/>
            <w:left w:w="0" w:type="dxa"/>
            <w:bottom w:w="0" w:type="dxa"/>
            <w:right w:w="0" w:type="dxa"/>
          </w:tblCellMar>
        </w:tblPrEx>
        <w:trPr>
          <w:trHeight w:val="264" w:hRule="atLeast"/>
          <w:jc w:val="center"/>
        </w:trPr>
        <w:tc>
          <w:tcPr>
            <w:tcW w:w="440" w:type="dxa"/>
            <w:vMerge w:val="continue"/>
            <w:tcBorders>
              <w:left w:val="single" w:color="auto" w:sz="4" w:space="0"/>
              <w:bottom w:val="nil"/>
              <w:right w:val="single" w:color="auto" w:sz="4" w:space="0"/>
            </w:tcBorders>
            <w:vAlign w:val="center"/>
          </w:tcPr>
          <w:p w14:paraId="3ABA7B4B">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1144" w:type="dxa"/>
            <w:vMerge w:val="continue"/>
            <w:tcBorders>
              <w:left w:val="nil"/>
              <w:bottom w:val="nil"/>
              <w:right w:val="single" w:color="auto" w:sz="4" w:space="0"/>
            </w:tcBorders>
            <w:vAlign w:val="center"/>
          </w:tcPr>
          <w:p w14:paraId="6C772B6C">
            <w:pPr>
              <w:keepNext w:val="0"/>
              <w:keepLines w:val="0"/>
              <w:widowControl/>
              <w:suppressLineNumbers w:val="0"/>
              <w:spacing w:before="0" w:beforeAutospacing="0" w:after="0" w:afterAutospacing="0"/>
              <w:ind w:left="0" w:right="0"/>
              <w:jc w:val="left"/>
              <w:rPr>
                <w:rFonts w:hint="default" w:ascii="宋体" w:hAnsi="宋体"/>
                <w:b/>
                <w:i w:val="0"/>
                <w:iCs w:val="0"/>
                <w:color w:val="000000"/>
                <w:sz w:val="21"/>
                <w:szCs w:val="21"/>
              </w:rPr>
            </w:pPr>
          </w:p>
        </w:tc>
        <w:tc>
          <w:tcPr>
            <w:tcW w:w="637" w:type="dxa"/>
            <w:vMerge w:val="continue"/>
            <w:tcBorders>
              <w:left w:val="nil"/>
              <w:bottom w:val="nil"/>
              <w:right w:val="single" w:color="auto" w:sz="4" w:space="0"/>
            </w:tcBorders>
            <w:vAlign w:val="center"/>
          </w:tcPr>
          <w:p w14:paraId="4722DFF7">
            <w:pPr>
              <w:keepNext w:val="0"/>
              <w:keepLines w:val="0"/>
              <w:widowControl/>
              <w:suppressLineNumbers w:val="0"/>
              <w:spacing w:before="0" w:beforeAutospacing="0" w:after="0" w:afterAutospacing="0"/>
              <w:ind w:left="0" w:right="0"/>
              <w:jc w:val="left"/>
              <w:rPr>
                <w:rFonts w:hint="default" w:ascii="宋体" w:hAnsi="宋体"/>
                <w:i w:val="0"/>
                <w:iCs w:val="0"/>
                <w:color w:val="000000"/>
                <w:sz w:val="21"/>
                <w:szCs w:val="21"/>
              </w:rPr>
            </w:pP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CA77504">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鳙鱼</w:t>
            </w: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C2D2C3E">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3</w:t>
            </w: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78E1B68">
            <w:pPr>
              <w:keepNext w:val="0"/>
              <w:keepLines w:val="0"/>
              <w:suppressLineNumbers w:val="0"/>
              <w:autoSpaceDE w:val="0"/>
              <w:spacing w:before="0" w:beforeAutospacing="0" w:after="0" w:afterAutospacing="0" w:line="0" w:lineRule="atLeast"/>
              <w:ind w:left="0" w:right="0"/>
              <w:jc w:val="center"/>
              <w:textAlignment w:val="center"/>
              <w:rPr>
                <w:rFonts w:hint="default" w:asciiTheme="minorEastAsia" w:hAnsiTheme="minorEastAsia" w:eastAsiaTheme="minorEastAsia"/>
                <w:i w:val="0"/>
                <w:iCs w:val="0"/>
                <w:color w:val="000000"/>
                <w:kern w:val="0"/>
                <w:sz w:val="20"/>
                <w:szCs w:val="20"/>
              </w:rPr>
            </w:pP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6BF4DB2">
            <w:pPr>
              <w:keepNext w:val="0"/>
              <w:keepLines w:val="0"/>
              <w:suppressLineNumbers w:val="0"/>
              <w:autoSpaceDE w:val="0"/>
              <w:spacing w:before="0" w:beforeAutospacing="0" w:after="0" w:afterAutospacing="0" w:line="0" w:lineRule="atLeast"/>
              <w:ind w:left="0" w:right="0"/>
              <w:jc w:val="center"/>
              <w:textAlignment w:val="center"/>
              <w:rPr>
                <w:rFonts w:hint="eastAsia" w:asciiTheme="minorEastAsia" w:hAnsiTheme="minorEastAsia" w:eastAsiaTheme="minorEastAsia"/>
                <w:i w:val="0"/>
                <w:iCs w:val="0"/>
                <w:color w:val="000000"/>
                <w:kern w:val="0"/>
                <w:sz w:val="20"/>
                <w:szCs w:val="20"/>
              </w:rPr>
            </w:pPr>
            <w:r>
              <w:rPr>
                <w:rFonts w:hint="eastAsia" w:asciiTheme="minorEastAsia" w:hAnsiTheme="minorEastAsia" w:eastAsiaTheme="minorEastAsia"/>
                <w:i w:val="0"/>
                <w:iCs w:val="0"/>
                <w:color w:val="000000"/>
                <w:kern w:val="0"/>
                <w:sz w:val="20"/>
                <w:szCs w:val="20"/>
              </w:rPr>
              <w:t>3</w:t>
            </w: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FBD572D">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i w:val="0"/>
                <w:iCs w:val="0"/>
                <w:color w:val="000000"/>
                <w:sz w:val="20"/>
                <w:szCs w:val="20"/>
              </w:rPr>
            </w:pPr>
            <w:r>
              <w:rPr>
                <w:rFonts w:hint="eastAsia" w:asciiTheme="minorEastAsia" w:hAnsiTheme="minorEastAsia" w:eastAsiaTheme="minorEastAsia"/>
                <w:i w:val="0"/>
                <w:iCs w:val="0"/>
                <w:color w:val="000000"/>
                <w:sz w:val="20"/>
                <w:szCs w:val="20"/>
              </w:rPr>
              <w:t>刮鳞、去头尾、骨头、内脏后1kg</w:t>
            </w:r>
          </w:p>
        </w:tc>
      </w:tr>
      <w:tr w14:paraId="2119C91C">
        <w:tblPrEx>
          <w:tblCellMar>
            <w:top w:w="0" w:type="dxa"/>
            <w:left w:w="0" w:type="dxa"/>
            <w:bottom w:w="0" w:type="dxa"/>
            <w:right w:w="0" w:type="dxa"/>
          </w:tblCellMar>
        </w:tblPrEx>
        <w:trPr>
          <w:trHeight w:val="255" w:hRule="atLeast"/>
          <w:jc w:val="center"/>
        </w:trPr>
        <w:tc>
          <w:tcPr>
            <w:tcW w:w="158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6FDD1E">
            <w:pPr>
              <w:keepNext w:val="0"/>
              <w:keepLines w:val="0"/>
              <w:suppressLineNumbers w:val="0"/>
              <w:autoSpaceDE w:val="0"/>
              <w:spacing w:before="0" w:beforeAutospacing="0" w:after="0" w:afterAutospacing="0" w:line="0" w:lineRule="atLeast"/>
              <w:ind w:left="0" w:right="0"/>
              <w:jc w:val="center"/>
              <w:textAlignment w:val="center"/>
              <w:rPr>
                <w:rFonts w:hint="default" w:ascii="宋体" w:hAnsi="宋体"/>
                <w:b/>
                <w:i w:val="0"/>
                <w:iCs w:val="0"/>
                <w:color w:val="000000"/>
                <w:sz w:val="21"/>
                <w:szCs w:val="21"/>
              </w:rPr>
            </w:pPr>
            <w:r>
              <w:rPr>
                <w:rFonts w:hint="eastAsia" w:ascii="宋体" w:hAnsi="宋体"/>
                <w:b/>
                <w:i w:val="0"/>
                <w:iCs w:val="0"/>
                <w:color w:val="000000"/>
                <w:kern w:val="0"/>
                <w:sz w:val="21"/>
                <w:szCs w:val="21"/>
              </w:rPr>
              <w:t>合  计</w:t>
            </w:r>
          </w:p>
        </w:tc>
        <w:tc>
          <w:tcPr>
            <w:tcW w:w="63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5B25DEA">
            <w:pPr>
              <w:keepNext w:val="0"/>
              <w:keepLines w:val="0"/>
              <w:suppressLineNumbers w:val="0"/>
              <w:autoSpaceDE w:val="0"/>
              <w:spacing w:before="0" w:beforeAutospacing="0" w:after="0" w:afterAutospacing="0" w:line="0" w:lineRule="atLeast"/>
              <w:ind w:left="0" w:right="0"/>
              <w:jc w:val="center"/>
              <w:textAlignment w:val="center"/>
              <w:rPr>
                <w:rFonts w:hint="default" w:ascii="宋体" w:hAnsi="宋体"/>
                <w:b/>
                <w:i w:val="0"/>
                <w:iCs w:val="0"/>
                <w:color w:val="000000"/>
                <w:sz w:val="21"/>
                <w:szCs w:val="21"/>
              </w:rPr>
            </w:pPr>
            <w:r>
              <w:rPr>
                <w:rFonts w:hint="eastAsia" w:ascii="宋体" w:hAnsi="宋体"/>
                <w:b/>
                <w:i w:val="0"/>
                <w:iCs w:val="0"/>
                <w:color w:val="000000"/>
                <w:kern w:val="0"/>
                <w:sz w:val="21"/>
                <w:szCs w:val="21"/>
              </w:rPr>
              <w:t>422</w:t>
            </w:r>
          </w:p>
        </w:tc>
        <w:tc>
          <w:tcPr>
            <w:tcW w:w="10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5D1DE5E">
            <w:pPr>
              <w:keepNext w:val="0"/>
              <w:keepLines w:val="0"/>
              <w:suppressLineNumbers w:val="0"/>
              <w:autoSpaceDE w:val="0"/>
              <w:spacing w:before="0" w:beforeAutospacing="0" w:after="0" w:afterAutospacing="0" w:line="0" w:lineRule="atLeast"/>
              <w:ind w:left="0" w:right="0"/>
              <w:jc w:val="center"/>
              <w:rPr>
                <w:rFonts w:hint="default" w:ascii="宋体" w:hAnsi="宋体"/>
                <w:i w:val="0"/>
                <w:iCs w:val="0"/>
                <w:color w:val="000000"/>
                <w:sz w:val="21"/>
                <w:szCs w:val="21"/>
              </w:rPr>
            </w:pPr>
          </w:p>
        </w:tc>
        <w:tc>
          <w:tcPr>
            <w:tcW w:w="8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84DC87E">
            <w:pPr>
              <w:keepNext w:val="0"/>
              <w:keepLines w:val="0"/>
              <w:suppressLineNumbers w:val="0"/>
              <w:autoSpaceDE w:val="0"/>
              <w:spacing w:before="0" w:beforeAutospacing="0" w:after="0" w:afterAutospacing="0" w:line="0" w:lineRule="atLeast"/>
              <w:ind w:left="0" w:right="0"/>
              <w:jc w:val="center"/>
              <w:rPr>
                <w:rFonts w:hint="default" w:ascii="宋体" w:hAnsi="宋体"/>
                <w:i w:val="0"/>
                <w:iCs w:val="0"/>
                <w:color w:val="000000"/>
                <w:sz w:val="21"/>
                <w:szCs w:val="21"/>
              </w:rPr>
            </w:pPr>
          </w:p>
        </w:tc>
        <w:tc>
          <w:tcPr>
            <w:tcW w:w="1838"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118D3A5">
            <w:pPr>
              <w:keepNext w:val="0"/>
              <w:keepLines w:val="0"/>
              <w:suppressLineNumbers w:val="0"/>
              <w:autoSpaceDE w:val="0"/>
              <w:spacing w:before="0" w:beforeAutospacing="0" w:after="0" w:afterAutospacing="0" w:line="0" w:lineRule="atLeast"/>
              <w:ind w:left="0" w:right="0"/>
              <w:jc w:val="center"/>
              <w:rPr>
                <w:rFonts w:hint="default" w:ascii="宋体" w:hAnsi="宋体"/>
                <w:i w:val="0"/>
                <w:iCs w:val="0"/>
                <w:color w:val="000000"/>
                <w:sz w:val="21"/>
                <w:szCs w:val="21"/>
              </w:rPr>
            </w:pPr>
          </w:p>
        </w:tc>
        <w:tc>
          <w:tcPr>
            <w:tcW w:w="16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C4FB2B0">
            <w:pPr>
              <w:keepNext w:val="0"/>
              <w:keepLines w:val="0"/>
              <w:suppressLineNumbers w:val="0"/>
              <w:autoSpaceDE w:val="0"/>
              <w:spacing w:before="0" w:beforeAutospacing="0" w:after="0" w:afterAutospacing="0" w:line="0" w:lineRule="atLeast"/>
              <w:ind w:left="0" w:right="0"/>
              <w:jc w:val="center"/>
              <w:rPr>
                <w:rFonts w:hint="default" w:ascii="宋体" w:hAnsi="宋体"/>
                <w:i w:val="0"/>
                <w:iCs w:val="0"/>
                <w:color w:val="000000"/>
                <w:sz w:val="21"/>
                <w:szCs w:val="21"/>
              </w:rPr>
            </w:pPr>
          </w:p>
        </w:tc>
        <w:tc>
          <w:tcPr>
            <w:tcW w:w="30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0FA7BEB">
            <w:pPr>
              <w:keepNext w:val="0"/>
              <w:keepLines w:val="0"/>
              <w:suppressLineNumbers w:val="0"/>
              <w:autoSpaceDE w:val="0"/>
              <w:spacing w:before="0" w:beforeAutospacing="0" w:after="0" w:afterAutospacing="0" w:line="0" w:lineRule="atLeast"/>
              <w:ind w:left="0" w:right="0"/>
              <w:jc w:val="center"/>
              <w:rPr>
                <w:rFonts w:hint="default" w:ascii="宋体" w:hAnsi="宋体"/>
                <w:i w:val="0"/>
                <w:iCs w:val="0"/>
                <w:color w:val="000000"/>
                <w:sz w:val="21"/>
                <w:szCs w:val="21"/>
              </w:rPr>
            </w:pPr>
          </w:p>
        </w:tc>
      </w:tr>
    </w:tbl>
    <w:p w14:paraId="56C591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2"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八、商务要求</w:t>
      </w:r>
    </w:p>
    <w:p w14:paraId="05FB49EF">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color w:val="auto"/>
        </w:rPr>
      </w:pPr>
      <w:r>
        <w:rPr>
          <w:rFonts w:hint="eastAsia" w:ascii="宋体" w:hAnsi="宋体" w:cs="宋体"/>
          <w:color w:val="000000" w:themeColor="text1"/>
          <w:kern w:val="0"/>
          <w:sz w:val="24"/>
          <w:szCs w:val="24"/>
          <w:lang w:val="en-US" w:eastAsia="zh-CN" w:bidi="ar"/>
          <w14:textFill>
            <w14:solidFill>
              <w14:schemeClr w14:val="tx1"/>
            </w14:solidFill>
          </w14:textFill>
        </w:rPr>
        <w:t>1.合同履行期</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rPr>
        <w:t>本次农产品质量安全风险监测样品检测工作自合同签订之日起至2026年3月31日，乙方签收样品当日起20个工作日内，须向甲方提交该批次样品电子版及纸质版检测报告（一式三份）、检测汇总表（三份）、检测情况分析报告（三份），在后期甲方需要本次检测的相关资料时，乙方也需要及时给予提供。如遇不可抗拒的自然因素，须及时告知甲方，并协商顺延工期事宜</w:t>
      </w:r>
      <w:r>
        <w:rPr>
          <w:rFonts w:hint="eastAsia" w:ascii="宋体" w:hAnsi="宋体" w:cs="宋体"/>
          <w:color w:val="auto"/>
          <w:kern w:val="0"/>
          <w:sz w:val="24"/>
          <w:szCs w:val="24"/>
          <w:lang w:eastAsia="zh-CN"/>
        </w:rPr>
        <w:t>。</w:t>
      </w:r>
    </w:p>
    <w:p w14:paraId="3EC49E43">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2.合同价格及付款方式</w:t>
      </w:r>
    </w:p>
    <w:p w14:paraId="55BBB191">
      <w:pPr>
        <w:keepNext w:val="0"/>
        <w:keepLines w:val="0"/>
        <w:pageBreakBefore w:val="0"/>
        <w:numPr>
          <w:ilvl w:val="0"/>
          <w:numId w:val="0"/>
        </w:numPr>
        <w:tabs>
          <w:tab w:val="left" w:pos="540"/>
        </w:tabs>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2.1合同总价即成交价，为一次性报价，不受市场价变化或实际工作量变化的影响。</w:t>
      </w:r>
      <w:r>
        <w:rPr>
          <w:rFonts w:hint="eastAsia" w:ascii="宋体" w:hAnsi="宋体" w:eastAsia="宋体" w:cs="宋体"/>
          <w:color w:val="000000" w:themeColor="text1"/>
          <w:sz w:val="24"/>
          <w:szCs w:val="24"/>
          <w14:textFill>
            <w14:solidFill>
              <w14:schemeClr w14:val="tx1"/>
            </w14:solidFill>
          </w14:textFill>
        </w:rPr>
        <w:t>此费用涵盖乙方提供的</w:t>
      </w:r>
      <w:r>
        <w:rPr>
          <w:rFonts w:hint="eastAsia" w:ascii="宋体" w:hAnsi="宋体" w:cs="宋体"/>
          <w:color w:val="000000" w:themeColor="text1"/>
          <w:sz w:val="24"/>
          <w:szCs w:val="24"/>
          <w:lang w:val="en-US" w:eastAsia="zh-CN"/>
          <w14:textFill>
            <w14:solidFill>
              <w14:schemeClr w14:val="tx1"/>
            </w14:solidFill>
          </w14:textFill>
        </w:rPr>
        <w:t>监测服务</w:t>
      </w:r>
      <w:r>
        <w:rPr>
          <w:rFonts w:hint="eastAsia" w:ascii="宋体" w:hAnsi="宋体" w:eastAsia="宋体" w:cs="宋体"/>
          <w:color w:val="000000" w:themeColor="text1"/>
          <w:sz w:val="24"/>
          <w:szCs w:val="24"/>
          <w14:textFill>
            <w14:solidFill>
              <w14:schemeClr w14:val="tx1"/>
            </w14:solidFill>
          </w14:textFill>
        </w:rPr>
        <w:t>、项目管理等所有服务内容的费用，甲方无需另行支付其他费用。</w:t>
      </w:r>
    </w:p>
    <w:p w14:paraId="212AFDF6">
      <w:pPr>
        <w:keepNext w:val="0"/>
        <w:keepLines w:val="0"/>
        <w:pageBreakBefore w:val="0"/>
        <w:numPr>
          <w:ilvl w:val="0"/>
          <w:numId w:val="0"/>
        </w:numPr>
        <w:tabs>
          <w:tab w:val="left" w:pos="540"/>
        </w:tabs>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0"/>
          <w:sz w:val="24"/>
          <w:szCs w:val="24"/>
          <w:lang w:val="en-US" w:eastAsia="zh-CN" w:bidi="ar"/>
        </w:rPr>
        <w:t>2.2付款方式：</w:t>
      </w:r>
      <w:r>
        <w:rPr>
          <w:rFonts w:hint="eastAsia" w:ascii="宋体" w:hAnsi="宋体" w:cs="宋体"/>
          <w:color w:val="auto"/>
          <w:sz w:val="24"/>
          <w:szCs w:val="24"/>
          <w:lang w:eastAsia="zh-CN"/>
        </w:rPr>
        <w:t>检测费结算按季度结算，乙方检测报告及检测情况分析报告按季度出具后10个工作日内，甲方根据本季度检测任务完成情况支付本季度检测费用</w:t>
      </w:r>
      <w:r>
        <w:rPr>
          <w:rFonts w:hint="eastAsia" w:ascii="宋体" w:hAnsi="宋体" w:eastAsia="宋体" w:cs="宋体"/>
          <w:color w:val="auto"/>
          <w:sz w:val="24"/>
          <w:szCs w:val="24"/>
        </w:rPr>
        <w:t>。</w:t>
      </w:r>
    </w:p>
    <w:bookmarkEnd w:id="137"/>
    <w:p w14:paraId="22CD5F6C">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3.验收</w:t>
      </w:r>
    </w:p>
    <w:p w14:paraId="0D0A97F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b/>
          <w:bCs/>
          <w:color w:val="auto"/>
          <w:sz w:val="24"/>
          <w:szCs w:val="24"/>
          <w:lang w:val="en-US" w:eastAsia="zh-CN"/>
        </w:rPr>
      </w:pPr>
      <w:r>
        <w:rPr>
          <w:rFonts w:hint="eastAsia" w:ascii="宋体" w:hAnsi="宋体" w:cs="宋体"/>
          <w:color w:val="auto"/>
          <w:kern w:val="0"/>
          <w:sz w:val="24"/>
          <w:szCs w:val="24"/>
          <w:lang w:val="en-US" w:eastAsia="zh-CN" w:bidi="ar"/>
        </w:rPr>
        <w:t>3.1由采购人组织相关专家对监测产品进行整体抽样验收。其内容包括产品监测结果是否达到现行国家有关验收规范“合格”标准、是否按照要求按时完成、是否得到相关部门的认可与批准。</w:t>
      </w:r>
    </w:p>
    <w:bookmarkEnd w:id="134"/>
    <w:bookmarkEnd w:id="135"/>
    <w:p w14:paraId="146E8ACD">
      <w:pPr>
        <w:pStyle w:val="2"/>
        <w:keepNext/>
        <w:keepLines/>
        <w:pageBreakBefore/>
        <w:widowControl w:val="0"/>
        <w:kinsoku/>
        <w:wordWrap/>
        <w:overflowPunct/>
        <w:topLinePunct w:val="0"/>
        <w:autoSpaceDE/>
        <w:autoSpaceDN/>
        <w:bidi w:val="0"/>
        <w:adjustRightInd/>
        <w:snapToGrid/>
        <w:textAlignment w:val="auto"/>
        <w:rPr>
          <w:color w:val="000000" w:themeColor="text1"/>
          <w:sz w:val="40"/>
          <w:szCs w:val="56"/>
          <w14:textFill>
            <w14:solidFill>
              <w14:schemeClr w14:val="tx1"/>
            </w14:solidFill>
          </w14:textFill>
        </w:rPr>
      </w:pPr>
      <w:bookmarkStart w:id="142" w:name="_Toc536202391"/>
      <w:bookmarkStart w:id="143" w:name="_Toc536202322"/>
      <w:bookmarkStart w:id="144" w:name="_Toc536429384"/>
      <w:bookmarkStart w:id="145" w:name="_Toc10286"/>
      <w:bookmarkStart w:id="146" w:name="_Toc536429331"/>
      <w:bookmarkStart w:id="147" w:name="_Toc6509"/>
      <w:bookmarkStart w:id="148" w:name="_Toc30668"/>
      <w:bookmarkStart w:id="149" w:name="_Toc14318"/>
      <w:bookmarkStart w:id="150" w:name="_Toc19543347"/>
      <w:r>
        <w:rPr>
          <w:rFonts w:hint="eastAsia" w:ascii="宋体" w:hAnsi="宋体" w:cs="宋体"/>
          <w:color w:val="000000" w:themeColor="text1"/>
          <w:sz w:val="44"/>
          <w:szCs w:val="44"/>
          <w14:textFill>
            <w14:solidFill>
              <w14:schemeClr w14:val="tx1"/>
            </w14:solidFill>
          </w14:textFill>
        </w:rPr>
        <w:t>第六部分</w:t>
      </w:r>
      <w:r>
        <w:rPr>
          <w:rFonts w:ascii="宋体" w:hAnsi="宋体" w:cs="宋体"/>
          <w:color w:val="000000" w:themeColor="text1"/>
          <w:sz w:val="44"/>
          <w:szCs w:val="44"/>
          <w14:textFill>
            <w14:solidFill>
              <w14:schemeClr w14:val="tx1"/>
            </w14:solidFill>
          </w14:textFill>
        </w:rPr>
        <w:t xml:space="preserve">  </w:t>
      </w:r>
      <w:bookmarkEnd w:id="142"/>
      <w:bookmarkEnd w:id="143"/>
      <w:bookmarkEnd w:id="144"/>
      <w:bookmarkEnd w:id="145"/>
      <w:bookmarkEnd w:id="146"/>
      <w:bookmarkStart w:id="151" w:name="_Toc3837039"/>
      <w:r>
        <w:rPr>
          <w:rFonts w:hint="eastAsia" w:ascii="宋体" w:hAnsi="宋体" w:cs="宋体"/>
          <w:color w:val="000000" w:themeColor="text1"/>
          <w:sz w:val="44"/>
          <w:szCs w:val="44"/>
          <w14:textFill>
            <w14:solidFill>
              <w14:schemeClr w14:val="tx1"/>
            </w14:solidFill>
          </w14:textFill>
        </w:rPr>
        <w:t>商务及合同主要条款</w:t>
      </w:r>
      <w:bookmarkEnd w:id="147"/>
      <w:bookmarkEnd w:id="148"/>
      <w:bookmarkEnd w:id="149"/>
      <w:bookmarkEnd w:id="150"/>
      <w:bookmarkEnd w:id="151"/>
    </w:p>
    <w:p w14:paraId="4EAF31E0">
      <w:pPr>
        <w:spacing w:line="900" w:lineRule="exact"/>
        <w:jc w:val="left"/>
        <w:rPr>
          <w:rFonts w:hint="default" w:ascii="宋体" w:hAnsi="宋体" w:eastAsia="宋体" w:cs="宋体"/>
          <w:b/>
          <w:bCs/>
          <w:sz w:val="32"/>
          <w:szCs w:val="32"/>
          <w:lang w:val="en-US" w:eastAsia="zh-CN"/>
        </w:rPr>
      </w:pPr>
      <w:r>
        <w:rPr>
          <w:rFonts w:hint="eastAsia" w:ascii="宋体" w:hAnsi="宋体" w:cs="宋体"/>
          <w:b/>
          <w:bCs/>
          <w:sz w:val="32"/>
          <w:szCs w:val="32"/>
        </w:rPr>
        <w:t>项目编号：</w:t>
      </w:r>
    </w:p>
    <w:p w14:paraId="0E1B65A1">
      <w:pPr>
        <w:pStyle w:val="32"/>
        <w:ind w:firstLine="200"/>
        <w:rPr>
          <w:rFonts w:hint="eastAsia"/>
        </w:rPr>
      </w:pPr>
    </w:p>
    <w:p w14:paraId="3AFBA2BF">
      <w:pPr>
        <w:pStyle w:val="32"/>
        <w:ind w:firstLine="200"/>
        <w:rPr>
          <w:rFonts w:hint="eastAsia"/>
          <w:sz w:val="32"/>
          <w:szCs w:val="20"/>
        </w:rPr>
      </w:pPr>
    </w:p>
    <w:p w14:paraId="70F2F570">
      <w:pPr>
        <w:spacing w:line="800" w:lineRule="exact"/>
        <w:jc w:val="center"/>
        <w:rPr>
          <w:rFonts w:hint="eastAsia" w:ascii="宋体" w:hAnsi="宋体" w:cs="宋体"/>
          <w:b/>
          <w:bCs/>
          <w:color w:val="000000"/>
          <w:sz w:val="56"/>
          <w:szCs w:val="24"/>
        </w:rPr>
      </w:pPr>
      <w:r>
        <w:rPr>
          <w:rFonts w:hint="eastAsia" w:ascii="宋体" w:hAnsi="宋体" w:cs="宋体"/>
          <w:b/>
          <w:bCs/>
          <w:color w:val="000000"/>
          <w:sz w:val="56"/>
          <w:szCs w:val="24"/>
          <w:lang w:eastAsia="zh-CN"/>
        </w:rPr>
        <w:t>汉滨区农产品质量安全检验监测和能力提升项目</w:t>
      </w:r>
    </w:p>
    <w:p w14:paraId="31F07501">
      <w:pPr>
        <w:spacing w:line="800" w:lineRule="exact"/>
        <w:jc w:val="center"/>
        <w:rPr>
          <w:rFonts w:hint="eastAsia" w:ascii="宋体" w:hAnsi="宋体" w:cs="宋体"/>
          <w:b/>
          <w:bCs/>
          <w:color w:val="000000"/>
          <w:sz w:val="72"/>
          <w:szCs w:val="32"/>
        </w:rPr>
      </w:pPr>
    </w:p>
    <w:p w14:paraId="6746C2E3">
      <w:pPr>
        <w:spacing w:line="800" w:lineRule="exact"/>
        <w:jc w:val="center"/>
        <w:rPr>
          <w:rFonts w:hint="eastAsia" w:ascii="宋体" w:hAnsi="宋体" w:cs="宋体"/>
          <w:b/>
          <w:bCs/>
          <w:color w:val="000000"/>
          <w:sz w:val="72"/>
          <w:szCs w:val="32"/>
        </w:rPr>
      </w:pPr>
    </w:p>
    <w:p w14:paraId="1696F703">
      <w:pPr>
        <w:spacing w:line="800" w:lineRule="exact"/>
        <w:jc w:val="center"/>
        <w:rPr>
          <w:rFonts w:hint="eastAsia" w:ascii="宋体" w:hAnsi="宋体" w:cs="宋体"/>
          <w:b/>
          <w:bCs/>
          <w:color w:val="000000"/>
          <w:sz w:val="72"/>
          <w:szCs w:val="32"/>
        </w:rPr>
      </w:pPr>
    </w:p>
    <w:p w14:paraId="4ADF5B31">
      <w:pPr>
        <w:spacing w:line="800" w:lineRule="exact"/>
        <w:jc w:val="center"/>
        <w:rPr>
          <w:rFonts w:hint="eastAsia" w:ascii="宋体" w:hAnsi="宋体" w:cs="宋体"/>
          <w:b/>
          <w:bCs/>
          <w:color w:val="000000"/>
          <w:sz w:val="72"/>
          <w:szCs w:val="32"/>
        </w:rPr>
      </w:pPr>
      <w:r>
        <w:rPr>
          <w:rFonts w:hint="eastAsia" w:ascii="宋体" w:hAnsi="宋体" w:cs="宋体"/>
          <w:b/>
          <w:bCs/>
          <w:color w:val="000000"/>
          <w:sz w:val="72"/>
          <w:szCs w:val="32"/>
        </w:rPr>
        <w:t>服务合同</w:t>
      </w:r>
    </w:p>
    <w:p w14:paraId="49B59292">
      <w:pPr>
        <w:spacing w:line="800" w:lineRule="exact"/>
        <w:jc w:val="left"/>
        <w:rPr>
          <w:color w:val="FF0000"/>
          <w:sz w:val="24"/>
        </w:rPr>
      </w:pPr>
    </w:p>
    <w:p w14:paraId="0F6576B3">
      <w:pPr>
        <w:spacing w:line="360" w:lineRule="exact"/>
        <w:jc w:val="left"/>
        <w:rPr>
          <w:sz w:val="24"/>
        </w:rPr>
      </w:pPr>
    </w:p>
    <w:p w14:paraId="413FE032">
      <w:pPr>
        <w:spacing w:line="360" w:lineRule="exact"/>
        <w:jc w:val="left"/>
        <w:rPr>
          <w:sz w:val="24"/>
        </w:rPr>
      </w:pPr>
    </w:p>
    <w:p w14:paraId="1C76F9B4">
      <w:pPr>
        <w:spacing w:line="360" w:lineRule="exact"/>
        <w:jc w:val="left"/>
        <w:rPr>
          <w:sz w:val="24"/>
        </w:rPr>
      </w:pPr>
    </w:p>
    <w:p w14:paraId="34D05D47">
      <w:pPr>
        <w:spacing w:line="800" w:lineRule="exact"/>
        <w:ind w:firstLine="360" w:firstLineChars="100"/>
        <w:jc w:val="both"/>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甲方</w:t>
      </w:r>
      <w:r>
        <w:rPr>
          <w:rFonts w:hint="eastAsia" w:ascii="宋体" w:hAnsi="宋体" w:cs="宋体"/>
          <w:sz w:val="36"/>
          <w:szCs w:val="36"/>
          <w:lang w:val="en-US" w:eastAsia="zh-CN"/>
        </w:rPr>
        <w:t>：汉滨区农业农村局（汉滨区农产品检验检测中心）</w:t>
      </w:r>
    </w:p>
    <w:p w14:paraId="0B09FA7A">
      <w:pPr>
        <w:spacing w:line="800" w:lineRule="exact"/>
        <w:ind w:firstLine="360" w:firstLineChars="100"/>
        <w:jc w:val="both"/>
        <w:rPr>
          <w:rFonts w:hint="eastAsia" w:ascii="宋体" w:hAnsi="宋体" w:eastAsia="宋体" w:cs="宋体"/>
          <w:sz w:val="36"/>
          <w:szCs w:val="36"/>
          <w:lang w:val="en-US" w:eastAsia="zh-CN"/>
        </w:rPr>
      </w:pPr>
    </w:p>
    <w:p w14:paraId="3CE1084F">
      <w:pPr>
        <w:spacing w:line="800" w:lineRule="exact"/>
        <w:ind w:firstLine="360" w:firstLineChars="100"/>
        <w:jc w:val="both"/>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乙方</w:t>
      </w:r>
      <w:r>
        <w:rPr>
          <w:rFonts w:hint="eastAsia" w:ascii="宋体" w:hAnsi="宋体" w:cs="宋体"/>
          <w:sz w:val="36"/>
          <w:szCs w:val="36"/>
          <w:lang w:val="en-US" w:eastAsia="zh-CN"/>
        </w:rPr>
        <w:t>：</w:t>
      </w:r>
      <w:r>
        <w:rPr>
          <w:rFonts w:hint="eastAsia" w:ascii="宋体" w:hAnsi="宋体" w:eastAsia="宋体" w:cs="宋体"/>
          <w:sz w:val="36"/>
          <w:szCs w:val="36"/>
          <w:lang w:val="en-US" w:eastAsia="zh-CN"/>
        </w:rPr>
        <w:t xml:space="preserve">  </w:t>
      </w:r>
    </w:p>
    <w:p w14:paraId="5D318277">
      <w:pPr>
        <w:spacing w:line="800" w:lineRule="exact"/>
        <w:jc w:val="center"/>
        <w:rPr>
          <w:rFonts w:hint="eastAsia" w:ascii="宋体" w:hAnsi="宋体" w:eastAsia="宋体" w:cs="宋体"/>
          <w:sz w:val="36"/>
          <w:szCs w:val="36"/>
          <w:lang w:val="en-US" w:eastAsia="zh-CN"/>
        </w:rPr>
      </w:pPr>
    </w:p>
    <w:p w14:paraId="747705CC">
      <w:pPr>
        <w:spacing w:line="800" w:lineRule="exact"/>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时间</w:t>
      </w:r>
      <w:r>
        <w:rPr>
          <w:rFonts w:hint="eastAsia" w:ascii="宋体" w:hAnsi="宋体" w:cs="宋体"/>
          <w:sz w:val="36"/>
          <w:szCs w:val="36"/>
          <w:lang w:val="en-US" w:eastAsia="zh-CN"/>
        </w:rPr>
        <w:t>：2025</w:t>
      </w:r>
      <w:r>
        <w:rPr>
          <w:rFonts w:hint="eastAsia" w:ascii="宋体" w:hAnsi="宋体" w:eastAsia="宋体" w:cs="宋体"/>
          <w:sz w:val="36"/>
          <w:szCs w:val="36"/>
          <w:lang w:val="en-US" w:eastAsia="zh-CN"/>
        </w:rPr>
        <w:t>年  月   日</w:t>
      </w:r>
    </w:p>
    <w:p w14:paraId="3C01501C">
      <w:pPr>
        <w:rPr>
          <w:rFonts w:hint="eastAsia"/>
        </w:rPr>
      </w:pPr>
    </w:p>
    <w:p w14:paraId="729E2B35">
      <w:pPr>
        <w:spacing w:line="360" w:lineRule="auto"/>
        <w:ind w:firstLine="643" w:firstLineChars="200"/>
        <w:jc w:val="center"/>
        <w:rPr>
          <w:rFonts w:hint="eastAsia" w:ascii="宋体" w:hAnsi="宋体" w:eastAsia="宋体" w:cs="宋体"/>
          <w:b/>
          <w:bCs/>
          <w:color w:val="000000" w:themeColor="text1"/>
          <w:kern w:val="44"/>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44"/>
          <w:sz w:val="32"/>
          <w:szCs w:val="32"/>
          <w:lang w:val="en-US" w:eastAsia="zh-CN" w:bidi="ar-SA"/>
          <w14:textFill>
            <w14:solidFill>
              <w14:schemeClr w14:val="tx1"/>
            </w14:solidFill>
          </w14:textFill>
        </w:rPr>
        <w:t>合同主要条款</w:t>
      </w:r>
    </w:p>
    <w:p w14:paraId="6D32E375">
      <w:pPr>
        <w:spacing w:line="360" w:lineRule="auto"/>
        <w:ind w:firstLine="482" w:firstLineChars="200"/>
        <w:rPr>
          <w:rFonts w:ascii="宋体" w:hAnsi="宋体"/>
          <w:b/>
          <w:bCs/>
          <w:sz w:val="28"/>
          <w:szCs w:val="32"/>
        </w:rPr>
      </w:pPr>
      <w:r>
        <w:rPr>
          <w:rFonts w:hint="eastAsia" w:ascii="宋体" w:hAnsi="宋体" w:cs="宋体"/>
          <w:b/>
          <w:bCs/>
          <w:sz w:val="24"/>
          <w:szCs w:val="24"/>
        </w:rPr>
        <w:t>（说明：本合同作为合同的基本格式，不作为最终合同，甲方有权在签订合同时对合同的相关条款及内容作进一步的细化和修改。）</w:t>
      </w:r>
    </w:p>
    <w:p w14:paraId="492E6DF0">
      <w:pPr>
        <w:autoSpaceDE w:val="0"/>
        <w:autoSpaceDN w:val="0"/>
        <w:adjustRightInd w:val="0"/>
        <w:spacing w:line="360" w:lineRule="auto"/>
        <w:rPr>
          <w:rFonts w:hint="eastAsia" w:ascii="宋体" w:hAnsi="宋体" w:eastAsia="宋体" w:cs="宋体"/>
          <w:b/>
          <w:bCs/>
          <w:color w:val="000000"/>
          <w:sz w:val="24"/>
          <w:szCs w:val="24"/>
        </w:rPr>
      </w:pPr>
    </w:p>
    <w:p w14:paraId="2C62464D">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甲方：</w:t>
      </w:r>
    </w:p>
    <w:p w14:paraId="021A56EE">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联系地址：</w:t>
      </w:r>
    </w:p>
    <w:p w14:paraId="118B6E9F">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甲方负责人：</w:t>
      </w:r>
    </w:p>
    <w:p w14:paraId="01A3AD90">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rPr>
      </w:pPr>
    </w:p>
    <w:p w14:paraId="2A32255C">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乙方：</w:t>
      </w:r>
    </w:p>
    <w:p w14:paraId="2FEAA4E1">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联系地址：</w:t>
      </w:r>
    </w:p>
    <w:p w14:paraId="369845FF">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乙方负责人：</w:t>
      </w:r>
    </w:p>
    <w:p w14:paraId="76E57036">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依据《中华人民共和国民法典》《中华人民共和国政府采购法》</w:t>
      </w:r>
      <w:r>
        <w:rPr>
          <w:rFonts w:hint="eastAsia" w:ascii="宋体" w:hAnsi="宋体" w:cs="宋体"/>
          <w:color w:val="000000"/>
          <w:sz w:val="24"/>
          <w:szCs w:val="24"/>
          <w:lang w:val="en-US" w:eastAsia="zh-CN"/>
        </w:rPr>
        <w:t>及</w:t>
      </w:r>
      <w:r>
        <w:rPr>
          <w:rFonts w:hint="eastAsia" w:ascii="宋体" w:hAnsi="宋体" w:eastAsia="宋体" w:cs="宋体"/>
          <w:color w:val="000000"/>
          <w:sz w:val="24"/>
          <w:szCs w:val="24"/>
        </w:rPr>
        <w:t>《中华人民共和国政府采购法实施条例》等相关规定，甲方通过竞争性磋商采购</w:t>
      </w:r>
      <w:r>
        <w:rPr>
          <w:rFonts w:hint="eastAsia" w:ascii="宋体" w:hAnsi="宋体" w:cs="宋体"/>
          <w:color w:val="000000" w:themeColor="text1"/>
          <w:sz w:val="24"/>
          <w:szCs w:val="24"/>
          <w:lang w:eastAsia="zh-CN"/>
          <w14:textFill>
            <w14:solidFill>
              <w14:schemeClr w14:val="tx1"/>
            </w14:solidFill>
          </w14:textFill>
        </w:rPr>
        <w:t>汉滨区农产品质量安全检验监测和能力提升项目</w:t>
      </w:r>
      <w:r>
        <w:rPr>
          <w:rFonts w:hint="eastAsia" w:ascii="宋体" w:hAnsi="宋体" w:eastAsia="宋体" w:cs="宋体"/>
          <w:color w:val="000000"/>
          <w:sz w:val="24"/>
          <w:szCs w:val="24"/>
        </w:rPr>
        <w:t>，甲、乙双方在平等自愿原则下签订本合同，并共同遵守如下条款</w:t>
      </w:r>
      <w:r>
        <w:rPr>
          <w:rFonts w:hint="eastAsia" w:ascii="宋体" w:hAnsi="宋体" w:cs="宋体"/>
          <w:color w:val="000000"/>
          <w:sz w:val="24"/>
          <w:szCs w:val="24"/>
          <w:lang w:eastAsia="zh-CN"/>
        </w:rPr>
        <w:t>：</w:t>
      </w:r>
    </w:p>
    <w:p w14:paraId="732818DC">
      <w:pPr>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jc w:val="both"/>
        <w:textAlignment w:val="auto"/>
        <w:rPr>
          <w:rFonts w:hint="eastAsia" w:ascii="宋体" w:hAnsi="宋体" w:cs="宋体"/>
          <w:b/>
          <w:sz w:val="24"/>
          <w:szCs w:val="24"/>
        </w:rPr>
      </w:pPr>
      <w:r>
        <w:rPr>
          <w:rFonts w:hint="eastAsia" w:ascii="宋体" w:hAnsi="宋体" w:cs="宋体"/>
          <w:b/>
          <w:sz w:val="24"/>
          <w:szCs w:val="24"/>
        </w:rPr>
        <w:t>第一条</w:t>
      </w:r>
      <w:r>
        <w:rPr>
          <w:rFonts w:ascii="宋体" w:hAnsi="宋体" w:cs="宋体"/>
          <w:b/>
          <w:sz w:val="24"/>
          <w:szCs w:val="24"/>
        </w:rPr>
        <w:t xml:space="preserve">  </w:t>
      </w:r>
      <w:r>
        <w:rPr>
          <w:rFonts w:hint="eastAsia" w:ascii="宋体" w:hAnsi="宋体" w:cs="宋体"/>
          <w:b/>
          <w:sz w:val="24"/>
          <w:szCs w:val="24"/>
        </w:rPr>
        <w:t>项目任务</w:t>
      </w:r>
    </w:p>
    <w:p w14:paraId="6324F83B">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任务：完成</w:t>
      </w:r>
      <w:r>
        <w:rPr>
          <w:rFonts w:hint="eastAsia" w:ascii="宋体" w:hAnsi="宋体" w:cs="宋体"/>
          <w:sz w:val="24"/>
          <w:szCs w:val="24"/>
          <w:lang w:val="en-US" w:eastAsia="zh-CN"/>
        </w:rPr>
        <w:t>全区农产品质量安全风险监测种植业产品、畜禽产品、水产品共422批次样品</w:t>
      </w:r>
      <w:r>
        <w:rPr>
          <w:rFonts w:hint="eastAsia" w:ascii="宋体" w:hAnsi="宋体" w:cs="宋体"/>
          <w:sz w:val="24"/>
          <w:szCs w:val="24"/>
        </w:rPr>
        <w:t>。</w:t>
      </w:r>
    </w:p>
    <w:p w14:paraId="6C29E726">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价格：合同总价为</w:t>
      </w:r>
      <w:r>
        <w:rPr>
          <w:rFonts w:hint="eastAsia" w:ascii="宋体" w:hAnsi="宋体" w:cs="宋体"/>
          <w:sz w:val="24"/>
          <w:szCs w:val="24"/>
          <w:u w:val="single"/>
          <w:lang w:val="en-US" w:eastAsia="zh-CN"/>
        </w:rPr>
        <w:t xml:space="preserve">        </w:t>
      </w:r>
      <w:r>
        <w:rPr>
          <w:rFonts w:hint="eastAsia" w:ascii="宋体" w:hAnsi="宋体" w:cs="宋体"/>
          <w:sz w:val="24"/>
          <w:szCs w:val="24"/>
        </w:rPr>
        <w:t>元人民币。</w:t>
      </w:r>
    </w:p>
    <w:p w14:paraId="0FFE84AB">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工期：</w:t>
      </w:r>
      <w:r>
        <w:rPr>
          <w:rFonts w:hint="eastAsia" w:ascii="宋体" w:hAnsi="宋体"/>
          <w:sz w:val="24"/>
          <w:szCs w:val="24"/>
        </w:rPr>
        <w:t>本次农产品</w:t>
      </w:r>
      <w:r>
        <w:rPr>
          <w:rFonts w:hint="eastAsia" w:ascii="宋体" w:hAnsi="宋体" w:cs="宋体"/>
          <w:sz w:val="24"/>
          <w:szCs w:val="24"/>
          <w:lang w:val="en-US" w:eastAsia="zh-CN"/>
        </w:rPr>
        <w:t>质量安全风险监测</w:t>
      </w:r>
      <w:r>
        <w:rPr>
          <w:rFonts w:hint="eastAsia" w:ascii="宋体" w:hAnsi="宋体"/>
          <w:sz w:val="24"/>
          <w:szCs w:val="24"/>
        </w:rPr>
        <w:t>样品检测工作</w:t>
      </w:r>
      <w:r>
        <w:rPr>
          <w:rFonts w:hint="eastAsia" w:ascii="宋体" w:hAnsi="宋体" w:cs="宋体"/>
          <w:sz w:val="24"/>
          <w:szCs w:val="24"/>
        </w:rPr>
        <w:t>自合同签订之日起至</w:t>
      </w:r>
      <w:r>
        <w:rPr>
          <w:rFonts w:hint="eastAsia" w:ascii="宋体" w:hAnsi="宋体" w:cs="宋体"/>
          <w:sz w:val="24"/>
          <w:szCs w:val="24"/>
          <w:u w:val="single"/>
        </w:rPr>
        <w:t>202</w:t>
      </w:r>
      <w:r>
        <w:rPr>
          <w:rFonts w:hint="eastAsia" w:ascii="宋体" w:hAnsi="宋体" w:cs="宋体"/>
          <w:sz w:val="24"/>
          <w:szCs w:val="24"/>
          <w:u w:val="single"/>
          <w:lang w:val="en-US" w:eastAsia="zh-CN"/>
        </w:rPr>
        <w:t>6</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31</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sz w:val="24"/>
          <w:szCs w:val="24"/>
        </w:rPr>
        <w:t>，乙方签收样品当日起</w:t>
      </w:r>
      <w:r>
        <w:rPr>
          <w:rFonts w:hint="eastAsia" w:ascii="宋体" w:hAnsi="宋体"/>
          <w:sz w:val="24"/>
          <w:szCs w:val="24"/>
          <w:u w:val="single"/>
        </w:rPr>
        <w:t xml:space="preserve"> 20 </w:t>
      </w:r>
      <w:r>
        <w:rPr>
          <w:rFonts w:hint="eastAsia" w:ascii="宋体" w:hAnsi="宋体"/>
          <w:sz w:val="24"/>
          <w:szCs w:val="24"/>
        </w:rPr>
        <w:t>个工作日内，</w:t>
      </w:r>
      <w:r>
        <w:rPr>
          <w:rFonts w:hint="eastAsia" w:ascii="宋体" w:hAnsi="宋体" w:cs="宋体"/>
          <w:sz w:val="24"/>
          <w:szCs w:val="24"/>
        </w:rPr>
        <w:t>须向甲方提交该批次样品电子版及纸质版检测报告（一式三份）、检测汇总表（</w:t>
      </w:r>
      <w:r>
        <w:rPr>
          <w:rFonts w:hint="eastAsia" w:ascii="宋体" w:hAnsi="宋体" w:cs="宋体"/>
          <w:sz w:val="24"/>
          <w:szCs w:val="24"/>
          <w:lang w:val="en-US" w:eastAsia="zh-CN"/>
        </w:rPr>
        <w:t>三</w:t>
      </w:r>
      <w:r>
        <w:rPr>
          <w:rFonts w:hint="eastAsia" w:ascii="宋体" w:hAnsi="宋体" w:cs="宋体"/>
          <w:sz w:val="24"/>
          <w:szCs w:val="24"/>
        </w:rPr>
        <w:t>份）、检测情况分析报告（</w:t>
      </w:r>
      <w:r>
        <w:rPr>
          <w:rFonts w:hint="eastAsia" w:ascii="宋体" w:hAnsi="宋体" w:cs="宋体"/>
          <w:sz w:val="24"/>
          <w:szCs w:val="24"/>
          <w:lang w:val="en-US" w:eastAsia="zh-CN"/>
        </w:rPr>
        <w:t>三</w:t>
      </w:r>
      <w:r>
        <w:rPr>
          <w:rFonts w:hint="eastAsia" w:ascii="宋体" w:hAnsi="宋体" w:cs="宋体"/>
          <w:sz w:val="24"/>
          <w:szCs w:val="24"/>
        </w:rPr>
        <w:t>份），在后期甲方需要本次检测的相关资料时，乙方也需要及时给予提供。如遇不可抗拒的自然因素，须及时告知甲方，并协商顺延工期事宜。</w:t>
      </w:r>
    </w:p>
    <w:p w14:paraId="2EC348FA">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w:t>
      </w:r>
      <w:r>
        <w:rPr>
          <w:rFonts w:hint="eastAsia" w:ascii="宋体" w:hAnsi="宋体" w:cs="宋体"/>
          <w:sz w:val="24"/>
          <w:szCs w:val="24"/>
        </w:rPr>
        <w:t>甲方在送样时还应与乙方签署确认《委托检测协议书》作为下单依据。该《委托检测协议书》构成本协议附件，是本协议的组成部分，传真件或电子邮件等形式下单有效。</w:t>
      </w:r>
    </w:p>
    <w:p w14:paraId="7CA4879B">
      <w:pPr>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jc w:val="both"/>
        <w:textAlignment w:val="auto"/>
        <w:rPr>
          <w:rFonts w:hint="eastAsia" w:ascii="宋体" w:hAnsi="宋体" w:cs="宋体"/>
          <w:b/>
          <w:sz w:val="24"/>
          <w:szCs w:val="24"/>
        </w:rPr>
      </w:pPr>
      <w:r>
        <w:rPr>
          <w:rFonts w:hint="eastAsia" w:ascii="宋体" w:hAnsi="宋体" w:cs="宋体"/>
          <w:b/>
          <w:sz w:val="24"/>
          <w:szCs w:val="24"/>
        </w:rPr>
        <w:t>第二条</w:t>
      </w:r>
      <w:r>
        <w:rPr>
          <w:rFonts w:ascii="宋体" w:hAnsi="宋体" w:cs="宋体"/>
          <w:b/>
          <w:sz w:val="24"/>
          <w:szCs w:val="24"/>
        </w:rPr>
        <w:t xml:space="preserve">  </w:t>
      </w:r>
      <w:r>
        <w:rPr>
          <w:rFonts w:hint="eastAsia" w:ascii="宋体" w:hAnsi="宋体" w:cs="宋体"/>
          <w:b/>
          <w:sz w:val="24"/>
          <w:szCs w:val="24"/>
        </w:rPr>
        <w:t>质量技术要求</w:t>
      </w:r>
    </w:p>
    <w:p w14:paraId="7D537A90">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cs="宋体"/>
          <w:sz w:val="24"/>
          <w:szCs w:val="24"/>
        </w:rPr>
      </w:pPr>
      <w:r>
        <w:rPr>
          <w:rFonts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乙方严格按照相关国家标准要求进行检测，并实施必要的质量控制措施，保证检测结果准确、可靠、及时。</w:t>
      </w:r>
    </w:p>
    <w:p w14:paraId="04383D63">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cs="宋体"/>
          <w:sz w:val="24"/>
          <w:szCs w:val="24"/>
        </w:rPr>
      </w:pPr>
      <w:r>
        <w:rPr>
          <w:rFonts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在检测过程中，若甲方对乙方检验人员或工作程序等有疑议，可向乙方提出申诉。</w:t>
      </w:r>
    </w:p>
    <w:p w14:paraId="2EE52244">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cs="宋体"/>
          <w:sz w:val="24"/>
          <w:szCs w:val="24"/>
        </w:rPr>
      </w:pPr>
      <w:r>
        <w:rPr>
          <w:rFonts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成果要求：乙方完成检测任务后，检测结果只允许向甲方即</w:t>
      </w:r>
      <w:r>
        <w:rPr>
          <w:rFonts w:hint="eastAsia" w:ascii="宋体" w:hAnsi="宋体" w:cs="宋体"/>
          <w:sz w:val="24"/>
          <w:szCs w:val="24"/>
          <w:u w:val="single"/>
          <w:lang w:eastAsia="zh-CN"/>
        </w:rPr>
        <w:t>汉滨区农产品检验检测中心</w:t>
      </w:r>
      <w:r>
        <w:rPr>
          <w:rFonts w:hint="eastAsia" w:ascii="宋体" w:hAnsi="宋体" w:cs="宋体"/>
          <w:sz w:val="24"/>
          <w:szCs w:val="24"/>
        </w:rPr>
        <w:t>汇报，未经甲方同意不得私自向被检单位以及其他任何第三方透漏。</w:t>
      </w:r>
    </w:p>
    <w:p w14:paraId="7224EC23">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cs="宋体"/>
          <w:sz w:val="24"/>
          <w:szCs w:val="24"/>
        </w:rPr>
      </w:pPr>
      <w:r>
        <w:rPr>
          <w:rFonts w:ascii="宋体" w:hAnsi="宋体" w:cs="宋体"/>
          <w:sz w:val="24"/>
          <w:szCs w:val="24"/>
        </w:rPr>
        <w:t>4</w:t>
      </w:r>
      <w:r>
        <w:rPr>
          <w:rFonts w:hint="eastAsia" w:ascii="宋体" w:hAnsi="宋体" w:cs="宋体"/>
          <w:sz w:val="24"/>
          <w:szCs w:val="24"/>
          <w:lang w:val="en-US" w:eastAsia="zh-CN"/>
        </w:rPr>
        <w:t>.</w:t>
      </w:r>
      <w:r>
        <w:rPr>
          <w:rFonts w:hint="eastAsia" w:ascii="宋体" w:hAnsi="宋体" w:cs="宋体"/>
          <w:sz w:val="24"/>
          <w:szCs w:val="24"/>
        </w:rPr>
        <w:t>检测</w:t>
      </w:r>
      <w:r>
        <w:rPr>
          <w:rFonts w:hint="eastAsia" w:ascii="宋体" w:hAnsi="宋体" w:cs="宋体"/>
          <w:sz w:val="24"/>
          <w:szCs w:val="24"/>
          <w:lang w:eastAsia="zh-CN"/>
        </w:rPr>
        <w:t>项目</w:t>
      </w:r>
      <w:r>
        <w:rPr>
          <w:rFonts w:hint="eastAsia" w:ascii="宋体" w:hAnsi="宋体" w:cs="宋体"/>
          <w:sz w:val="24"/>
          <w:szCs w:val="24"/>
        </w:rPr>
        <w:t>依据</w:t>
      </w:r>
      <w:r>
        <w:rPr>
          <w:rFonts w:hint="eastAsia" w:ascii="宋体" w:hAnsi="宋体" w:cs="宋体"/>
          <w:sz w:val="24"/>
          <w:szCs w:val="24"/>
          <w:lang w:eastAsia="zh-CN"/>
        </w:rPr>
        <w:t>：</w:t>
      </w:r>
      <w:r>
        <w:rPr>
          <w:rFonts w:hint="eastAsia" w:ascii="宋体" w:hAnsi="宋体" w:cs="宋体"/>
          <w:sz w:val="24"/>
          <w:szCs w:val="24"/>
        </w:rPr>
        <w:t>乙方需</w:t>
      </w:r>
      <w:r>
        <w:rPr>
          <w:rFonts w:hint="eastAsia" w:ascii="宋体" w:hAnsi="宋体" w:cs="宋体"/>
          <w:sz w:val="24"/>
          <w:szCs w:val="24"/>
          <w:lang w:eastAsia="zh-CN"/>
        </w:rPr>
        <w:t>按</w:t>
      </w:r>
      <w:r>
        <w:rPr>
          <w:rFonts w:hint="eastAsia" w:ascii="宋体" w:cs="宋体"/>
          <w:sz w:val="24"/>
          <w:szCs w:val="24"/>
        </w:rPr>
        <w:t>《</w:t>
      </w:r>
      <w:r>
        <w:rPr>
          <w:rFonts w:hint="eastAsia" w:ascii="宋体" w:hAnsi="宋体" w:cs="宋体"/>
          <w:sz w:val="24"/>
          <w:szCs w:val="24"/>
        </w:rPr>
        <w:t>农产品质量安全</w:t>
      </w:r>
      <w:r>
        <w:rPr>
          <w:rFonts w:hint="eastAsia" w:ascii="宋体" w:hAnsi="宋体" w:cs="宋体"/>
          <w:sz w:val="24"/>
          <w:szCs w:val="24"/>
          <w:lang w:val="en-US" w:eastAsia="zh-CN"/>
        </w:rPr>
        <w:t>风险监测</w:t>
      </w:r>
      <w:r>
        <w:rPr>
          <w:rFonts w:hint="eastAsia" w:ascii="宋体" w:hAnsi="宋体" w:cs="宋体"/>
          <w:sz w:val="24"/>
          <w:szCs w:val="24"/>
        </w:rPr>
        <w:t>方案》</w:t>
      </w:r>
      <w:r>
        <w:rPr>
          <w:rFonts w:hint="eastAsia" w:ascii="宋体" w:hAnsi="宋体" w:cs="宋体"/>
          <w:sz w:val="24"/>
          <w:szCs w:val="24"/>
          <w:lang w:val="en-US" w:eastAsia="zh-CN"/>
        </w:rPr>
        <w:t>执行</w:t>
      </w:r>
      <w:r>
        <w:rPr>
          <w:rFonts w:hint="eastAsia" w:ascii="宋体" w:hAnsi="宋体" w:cs="宋体"/>
          <w:sz w:val="24"/>
          <w:szCs w:val="24"/>
        </w:rPr>
        <w:t>。</w:t>
      </w:r>
    </w:p>
    <w:p w14:paraId="5F1F9216">
      <w:pPr>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jc w:val="both"/>
        <w:textAlignment w:val="auto"/>
        <w:rPr>
          <w:rFonts w:hint="eastAsia" w:ascii="宋体" w:hAnsi="宋体" w:cs="宋体"/>
          <w:b/>
          <w:sz w:val="24"/>
          <w:szCs w:val="24"/>
        </w:rPr>
      </w:pPr>
      <w:r>
        <w:rPr>
          <w:rFonts w:hint="eastAsia" w:ascii="宋体" w:hAnsi="宋体" w:cs="宋体"/>
          <w:b/>
          <w:sz w:val="24"/>
          <w:szCs w:val="24"/>
        </w:rPr>
        <w:t>第三条</w:t>
      </w:r>
      <w:r>
        <w:rPr>
          <w:rFonts w:ascii="宋体" w:hAnsi="宋体" w:cs="宋体"/>
          <w:b/>
          <w:sz w:val="24"/>
          <w:szCs w:val="24"/>
        </w:rPr>
        <w:t xml:space="preserve">  </w:t>
      </w:r>
      <w:r>
        <w:rPr>
          <w:rFonts w:hint="eastAsia" w:ascii="宋体" w:hAnsi="宋体" w:cs="宋体"/>
          <w:b/>
          <w:sz w:val="24"/>
          <w:szCs w:val="24"/>
        </w:rPr>
        <w:t>合同价格及付款方式</w:t>
      </w:r>
    </w:p>
    <w:p w14:paraId="7A76CE80">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cs="宋体"/>
          <w:sz w:val="24"/>
          <w:szCs w:val="24"/>
          <w:lang w:val="en-US" w:eastAsia="zh-CN"/>
        </w:rPr>
      </w:pPr>
      <w:r>
        <w:rPr>
          <w:rFonts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检验项目及费用：</w:t>
      </w:r>
      <w:r>
        <w:rPr>
          <w:rFonts w:hint="eastAsia" w:ascii="宋体" w:hAnsi="宋体" w:cs="宋体"/>
          <w:sz w:val="24"/>
          <w:szCs w:val="24"/>
          <w:lang w:val="en-US" w:eastAsia="zh-CN"/>
        </w:rPr>
        <w:t>检测种植业产品、畜禽产品、水产品共422批次样品，</w:t>
      </w:r>
      <w:r>
        <w:rPr>
          <w:rFonts w:hint="eastAsia" w:ascii="宋体" w:hAnsi="宋体" w:cs="宋体"/>
          <w:sz w:val="24"/>
          <w:szCs w:val="24"/>
        </w:rPr>
        <w:t>检测费用：按每个样品</w:t>
      </w:r>
      <w:r>
        <w:rPr>
          <w:rFonts w:hint="eastAsia" w:ascii="宋体" w:hAnsi="宋体" w:cs="宋体"/>
          <w:sz w:val="24"/>
          <w:szCs w:val="24"/>
          <w:u w:val="single"/>
          <w:lang w:val="en-US" w:eastAsia="zh-CN"/>
        </w:rPr>
        <w:t xml:space="preserve">    </w:t>
      </w:r>
      <w:r>
        <w:rPr>
          <w:rFonts w:hint="eastAsia" w:ascii="宋体" w:hAnsi="宋体" w:cs="宋体"/>
          <w:sz w:val="24"/>
          <w:szCs w:val="24"/>
        </w:rPr>
        <w:t>元结算</w:t>
      </w:r>
      <w:r>
        <w:rPr>
          <w:rFonts w:hint="eastAsia" w:ascii="宋体" w:hAnsi="宋体" w:cs="宋体"/>
          <w:sz w:val="24"/>
          <w:szCs w:val="24"/>
          <w:lang w:eastAsia="zh-CN"/>
        </w:rPr>
        <w:t>，</w:t>
      </w:r>
      <w:r>
        <w:rPr>
          <w:rFonts w:hint="eastAsia" w:ascii="宋体" w:hAnsi="宋体" w:cs="宋体"/>
          <w:sz w:val="24"/>
          <w:szCs w:val="24"/>
          <w:lang w:val="en-US" w:eastAsia="zh-CN"/>
        </w:rPr>
        <w:t>总价</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元。</w:t>
      </w:r>
    </w:p>
    <w:p w14:paraId="755995D9">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cs="宋体"/>
          <w:sz w:val="24"/>
          <w:szCs w:val="24"/>
        </w:rPr>
      </w:pPr>
      <w:r>
        <w:rPr>
          <w:rFonts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付款方式：</w:t>
      </w:r>
    </w:p>
    <w:p w14:paraId="085B405F">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sz w:val="24"/>
          <w:szCs w:val="24"/>
        </w:rPr>
      </w:pPr>
      <w:r>
        <w:rPr>
          <w:rFonts w:hint="eastAsia" w:ascii="宋体" w:hAnsi="宋体"/>
          <w:sz w:val="24"/>
          <w:szCs w:val="24"/>
        </w:rPr>
        <w:t>a、</w:t>
      </w:r>
      <w:r>
        <w:rPr>
          <w:rFonts w:hint="eastAsia" w:ascii="宋体" w:hAnsi="宋体"/>
          <w:sz w:val="24"/>
          <w:szCs w:val="24"/>
          <w:lang w:eastAsia="zh-CN"/>
        </w:rPr>
        <w:t>检测费结算按季度结算，乙方检测报告及检测情况分析报告按季度出具后10个工作日内，甲方根据本季度检测任务完成情况支付本季度检测费用</w:t>
      </w:r>
      <w:r>
        <w:rPr>
          <w:rFonts w:hint="eastAsia" w:ascii="宋体" w:hAnsi="宋体"/>
          <w:sz w:val="24"/>
          <w:szCs w:val="24"/>
        </w:rPr>
        <w:t xml:space="preserve">。 </w:t>
      </w:r>
    </w:p>
    <w:p w14:paraId="0A6F5BDA">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sz w:val="24"/>
          <w:szCs w:val="24"/>
        </w:rPr>
      </w:pPr>
      <w:r>
        <w:rPr>
          <w:rFonts w:hint="eastAsia" w:ascii="宋体" w:hAnsi="宋体"/>
          <w:sz w:val="24"/>
          <w:szCs w:val="24"/>
        </w:rPr>
        <w:t>b、检测费以</w:t>
      </w:r>
      <w:r>
        <w:rPr>
          <w:rFonts w:hint="eastAsia" w:ascii="宋体" w:hAnsi="宋体"/>
          <w:sz w:val="24"/>
          <w:szCs w:val="24"/>
          <w:u w:val="single"/>
        </w:rPr>
        <w:t xml:space="preserve"> 银行转账 </w:t>
      </w:r>
      <w:r>
        <w:rPr>
          <w:rFonts w:hint="eastAsia" w:ascii="宋体" w:hAnsi="宋体"/>
          <w:sz w:val="24"/>
          <w:szCs w:val="24"/>
        </w:rPr>
        <w:t>方式支付，乙方向甲方开具正规发票。</w:t>
      </w:r>
    </w:p>
    <w:p w14:paraId="29DD5369">
      <w:pPr>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jc w:val="both"/>
        <w:textAlignment w:val="auto"/>
        <w:rPr>
          <w:rFonts w:hint="eastAsia" w:ascii="宋体" w:hAnsi="宋体"/>
          <w:b/>
          <w:bCs/>
          <w:sz w:val="24"/>
          <w:szCs w:val="24"/>
        </w:rPr>
      </w:pPr>
      <w:r>
        <w:rPr>
          <w:rFonts w:hint="eastAsia" w:ascii="宋体" w:hAnsi="宋体" w:cs="宋体"/>
          <w:b/>
          <w:sz w:val="24"/>
          <w:szCs w:val="24"/>
        </w:rPr>
        <w:t>第</w:t>
      </w:r>
      <w:r>
        <w:rPr>
          <w:rFonts w:hint="eastAsia" w:ascii="宋体" w:hAnsi="宋体" w:cs="宋体"/>
          <w:b/>
          <w:sz w:val="24"/>
          <w:szCs w:val="24"/>
          <w:lang w:val="en-US" w:eastAsia="zh-CN"/>
        </w:rPr>
        <w:t>四</w:t>
      </w:r>
      <w:r>
        <w:rPr>
          <w:rFonts w:hint="eastAsia" w:ascii="宋体" w:hAnsi="宋体" w:cs="宋体"/>
          <w:b/>
          <w:sz w:val="24"/>
          <w:szCs w:val="24"/>
        </w:rPr>
        <w:t>条</w:t>
      </w:r>
      <w:r>
        <w:rPr>
          <w:rFonts w:hint="eastAsia" w:ascii="宋体" w:hAnsi="宋体" w:cs="宋体"/>
          <w:b/>
          <w:sz w:val="24"/>
          <w:szCs w:val="24"/>
          <w:lang w:val="en-US" w:eastAsia="zh-CN"/>
        </w:rPr>
        <w:t xml:space="preserve"> </w:t>
      </w:r>
      <w:r>
        <w:rPr>
          <w:rFonts w:hint="eastAsia" w:ascii="宋体" w:hAnsi="宋体"/>
          <w:b/>
          <w:bCs/>
          <w:sz w:val="24"/>
          <w:szCs w:val="24"/>
        </w:rPr>
        <w:t xml:space="preserve"> 双方责任</w:t>
      </w:r>
    </w:p>
    <w:p w14:paraId="0A9C2364">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乙方协助甲方完成其辖区内的被检样品的抽取，乙方可直接到甲方收取样品或者甲方负责将样品送至或快递至乙方指定地址，所产生的快递费用由乙方支付。且抽样数量和样品状态应符合相关检测要求等国家标准，如因样品异常而导致乙方无法正常出具检验报告，甲方不承担责任。</w:t>
      </w:r>
    </w:p>
    <w:p w14:paraId="4A2AD821">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乙方应符合前述质量技术要求，按合同要求及时、准确的向甲方递交检测报告及检测情况分析报告。</w:t>
      </w:r>
    </w:p>
    <w:p w14:paraId="214557A5">
      <w:pPr>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jc w:val="both"/>
        <w:textAlignment w:val="auto"/>
        <w:rPr>
          <w:rFonts w:hint="eastAsia" w:ascii="宋体" w:hAnsi="宋体" w:cs="宋体"/>
          <w:b/>
          <w:sz w:val="24"/>
          <w:szCs w:val="24"/>
        </w:rPr>
      </w:pPr>
      <w:r>
        <w:rPr>
          <w:rFonts w:hint="eastAsia" w:ascii="宋体" w:hAnsi="宋体" w:cs="宋体"/>
          <w:b/>
          <w:sz w:val="24"/>
          <w:szCs w:val="24"/>
        </w:rPr>
        <w:t>第</w:t>
      </w:r>
      <w:r>
        <w:rPr>
          <w:rFonts w:hint="eastAsia" w:ascii="宋体" w:hAnsi="宋体" w:cs="宋体"/>
          <w:b/>
          <w:sz w:val="24"/>
          <w:szCs w:val="24"/>
          <w:lang w:val="en-US" w:eastAsia="zh-CN"/>
        </w:rPr>
        <w:t>五</w:t>
      </w:r>
      <w:r>
        <w:rPr>
          <w:rFonts w:hint="eastAsia" w:ascii="宋体" w:hAnsi="宋体" w:cs="宋体"/>
          <w:b/>
          <w:sz w:val="24"/>
          <w:szCs w:val="24"/>
        </w:rPr>
        <w:t>条</w:t>
      </w:r>
      <w:r>
        <w:rPr>
          <w:rFonts w:ascii="宋体" w:hAnsi="宋体" w:cs="宋体"/>
          <w:b/>
          <w:sz w:val="24"/>
          <w:szCs w:val="24"/>
        </w:rPr>
        <w:t xml:space="preserve">  </w:t>
      </w:r>
      <w:r>
        <w:rPr>
          <w:rFonts w:hint="eastAsia" w:ascii="宋体" w:hAnsi="宋体" w:cs="宋体"/>
          <w:b/>
          <w:sz w:val="24"/>
          <w:szCs w:val="24"/>
        </w:rPr>
        <w:t>违约责任</w:t>
      </w:r>
    </w:p>
    <w:p w14:paraId="7BE12924">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合同生效后，由于项目下马或因甲方原因而终止合同，甲方应向乙方支付已完成工作量的费用。</w:t>
      </w:r>
    </w:p>
    <w:p w14:paraId="4AE117ED">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由于乙方未按约定的时限完成检测或检测报告的质量不合要求，乙方应主动采取有效措施，积极、主动地弥补过失，保证工作质量能够满足甲方要求，并该批次样品不予收费。</w:t>
      </w:r>
    </w:p>
    <w:p w14:paraId="27AD92BD">
      <w:pPr>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jc w:val="both"/>
        <w:textAlignment w:val="auto"/>
        <w:rPr>
          <w:rFonts w:hint="eastAsia" w:ascii="宋体" w:hAnsi="宋体"/>
          <w:b/>
          <w:sz w:val="24"/>
          <w:szCs w:val="24"/>
        </w:rPr>
      </w:pPr>
      <w:r>
        <w:rPr>
          <w:rFonts w:hint="eastAsia" w:ascii="宋体" w:hAnsi="宋体"/>
          <w:b/>
          <w:sz w:val="24"/>
          <w:szCs w:val="24"/>
        </w:rPr>
        <w:t>第六条  不可抗力因素下的合同履行</w:t>
      </w:r>
    </w:p>
    <w:p w14:paraId="790750A2">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sz w:val="24"/>
          <w:szCs w:val="24"/>
        </w:rPr>
      </w:pPr>
      <w:r>
        <w:rPr>
          <w:rFonts w:hint="eastAsia" w:ascii="宋体" w:hAnsi="宋体"/>
          <w:sz w:val="24"/>
          <w:szCs w:val="24"/>
        </w:rPr>
        <w:t>若因不可抗力因素影响，致使本合同不能正常履行时，本合同应自动顺延履行，且双方不被视为违约，但双方应尽一切努力终止或减少上述因素的影响。上述因素一旦消失，双方应立即采取措施继续履行本合同，否则作违约论。</w:t>
      </w:r>
    </w:p>
    <w:p w14:paraId="62A10057">
      <w:pPr>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jc w:val="both"/>
        <w:textAlignment w:val="auto"/>
        <w:rPr>
          <w:rFonts w:hint="eastAsia" w:ascii="宋体" w:hAnsi="宋体"/>
          <w:b/>
          <w:sz w:val="24"/>
          <w:szCs w:val="24"/>
        </w:rPr>
      </w:pPr>
      <w:r>
        <w:rPr>
          <w:rFonts w:hint="eastAsia" w:ascii="宋体" w:hAnsi="宋体"/>
          <w:b/>
          <w:sz w:val="24"/>
          <w:szCs w:val="24"/>
        </w:rPr>
        <w:t>第七条  未尽事宜与争议</w:t>
      </w:r>
    </w:p>
    <w:p w14:paraId="25A0DA1E">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对本合同未尽事宜，本着以项目利益为重的原则，友好协商解决，由双方当事人及时协商签订补充协议。</w:t>
      </w:r>
    </w:p>
    <w:p w14:paraId="6E7EDBA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本合同执行过程中若发生分歧或争议，按合同约定及《中华人民共和国</w:t>
      </w:r>
      <w:r>
        <w:rPr>
          <w:rFonts w:hint="eastAsia" w:ascii="宋体" w:hAnsi="宋体"/>
          <w:sz w:val="24"/>
          <w:szCs w:val="24"/>
          <w:lang w:val="en-US" w:eastAsia="zh-CN"/>
        </w:rPr>
        <w:t>民法典</w:t>
      </w:r>
      <w:r>
        <w:rPr>
          <w:rFonts w:hint="eastAsia" w:ascii="宋体" w:hAnsi="宋体"/>
          <w:sz w:val="24"/>
          <w:szCs w:val="24"/>
        </w:rPr>
        <w:t>》有关规定通过协商及时解决；如果协商不成时，报仲裁部门或通过法律途径解决。</w:t>
      </w:r>
    </w:p>
    <w:p w14:paraId="1DCF5B14">
      <w:pPr>
        <w:keepNext w:val="0"/>
        <w:keepLines w:val="0"/>
        <w:pageBreakBefore w:val="0"/>
        <w:kinsoku/>
        <w:wordWrap/>
        <w:overflowPunct/>
        <w:topLinePunct w:val="0"/>
        <w:bidi w:val="0"/>
        <w:adjustRightInd w:val="0"/>
        <w:snapToGrid w:val="0"/>
        <w:spacing w:line="360" w:lineRule="auto"/>
        <w:ind w:left="0" w:hanging="5040" w:hangingChars="2100"/>
        <w:textAlignment w:val="auto"/>
        <w:rPr>
          <w:rFonts w:hint="eastAsia" w:ascii="宋体" w:hAnsi="宋体" w:eastAsia="宋体" w:cs="宋体"/>
          <w:sz w:val="24"/>
          <w:szCs w:val="24"/>
        </w:rPr>
      </w:pPr>
    </w:p>
    <w:p w14:paraId="222EEE4D">
      <w:pPr>
        <w:keepNext w:val="0"/>
        <w:keepLines w:val="0"/>
        <w:pageBreakBefore w:val="0"/>
        <w:kinsoku/>
        <w:wordWrap/>
        <w:overflowPunct/>
        <w:topLinePunct w:val="0"/>
        <w:bidi w:val="0"/>
        <w:adjustRightInd w:val="0"/>
        <w:snapToGrid w:val="0"/>
        <w:spacing w:line="360" w:lineRule="auto"/>
        <w:ind w:left="0" w:hanging="5040" w:hangingChars="2100"/>
        <w:textAlignment w:val="auto"/>
        <w:rPr>
          <w:rFonts w:hint="eastAsia" w:ascii="宋体" w:hAnsi="宋体" w:eastAsia="宋体" w:cs="宋体"/>
          <w:sz w:val="24"/>
          <w:szCs w:val="24"/>
        </w:rPr>
      </w:pPr>
    </w:p>
    <w:p w14:paraId="190F229D">
      <w:pPr>
        <w:keepNext w:val="0"/>
        <w:keepLines w:val="0"/>
        <w:pageBreakBefore w:val="0"/>
        <w:kinsoku/>
        <w:wordWrap/>
        <w:overflowPunct/>
        <w:topLinePunct w:val="0"/>
        <w:bidi w:val="0"/>
        <w:adjustRightInd w:val="0"/>
        <w:snapToGrid w:val="0"/>
        <w:spacing w:line="360" w:lineRule="auto"/>
        <w:ind w:left="0" w:hanging="5040" w:hangingChars="2100"/>
        <w:textAlignment w:val="auto"/>
        <w:rPr>
          <w:rFonts w:hint="eastAsia" w:ascii="宋体" w:hAnsi="宋体" w:eastAsia="宋体" w:cs="宋体"/>
          <w:sz w:val="24"/>
          <w:szCs w:val="24"/>
        </w:rPr>
      </w:pPr>
    </w:p>
    <w:p w14:paraId="5F2AECD4">
      <w:pPr>
        <w:keepNext w:val="0"/>
        <w:keepLines w:val="0"/>
        <w:pageBreakBefore w:val="0"/>
        <w:kinsoku/>
        <w:wordWrap/>
        <w:overflowPunct/>
        <w:topLinePunct w:val="0"/>
        <w:bidi w:val="0"/>
        <w:adjustRightInd w:val="0"/>
        <w:snapToGrid w:val="0"/>
        <w:spacing w:line="360" w:lineRule="auto"/>
        <w:ind w:left="0" w:hanging="5040" w:hangingChars="2100"/>
        <w:textAlignment w:val="auto"/>
        <w:rPr>
          <w:rFonts w:hint="eastAsia" w:asciiTheme="minorEastAsia" w:hAnsiTheme="minorEastAsia" w:eastAsiaTheme="minorEastAsia"/>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r>
        <w:rPr>
          <w:rFonts w:hint="eastAsia" w:asciiTheme="minorEastAsia" w:hAnsiTheme="minorEastAsia" w:eastAsiaTheme="minorEastAsia"/>
          <w:sz w:val="24"/>
          <w:szCs w:val="24"/>
          <w:u w:val="single"/>
          <w:lang w:val="en-US" w:eastAsia="zh-CN"/>
        </w:rPr>
        <w:t>汉滨区农业农村局</w:t>
      </w:r>
    </w:p>
    <w:p w14:paraId="04E74210">
      <w:pPr>
        <w:keepNext w:val="0"/>
        <w:keepLines w:val="0"/>
        <w:pageBreakBefore w:val="0"/>
        <w:kinsoku/>
        <w:wordWrap/>
        <w:overflowPunct/>
        <w:topLinePunct w:val="0"/>
        <w:bidi w:val="0"/>
        <w:adjustRightInd w:val="0"/>
        <w:snapToGrid w:val="0"/>
        <w:spacing w:line="360" w:lineRule="auto"/>
        <w:ind w:left="0" w:hanging="5040" w:hangingChars="2100"/>
        <w:textAlignment w:val="auto"/>
        <w:rPr>
          <w:rFonts w:hint="eastAsia" w:ascii="宋体" w:hAnsi="宋体" w:eastAsia="宋体" w:cs="宋体"/>
          <w:sz w:val="24"/>
          <w:szCs w:val="24"/>
          <w:lang w:val="en-US" w:eastAsia="zh-CN"/>
        </w:rPr>
      </w:pPr>
      <w:r>
        <w:rPr>
          <w:rFonts w:hint="eastAsia" w:asciiTheme="minorEastAsia" w:hAnsiTheme="minorEastAsia" w:eastAsiaTheme="minorEastAsia"/>
          <w:sz w:val="24"/>
          <w:szCs w:val="24"/>
          <w:u w:val="single"/>
          <w:lang w:val="en-US" w:eastAsia="zh-CN"/>
        </w:rPr>
        <w:t>（汉滨区农产品检验检测中心）</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w:t>
      </w:r>
      <w:r>
        <w:rPr>
          <w:rFonts w:hint="eastAsia" w:ascii="宋体" w:hAnsi="宋体" w:eastAsia="宋体" w:cs="宋体"/>
          <w:sz w:val="24"/>
          <w:szCs w:val="24"/>
        </w:rPr>
        <w:t xml:space="preserve">       </w:t>
      </w:r>
      <w:r>
        <w:rPr>
          <w:rFonts w:hint="eastAsia" w:ascii="宋体" w:hAnsi="宋体" w:eastAsia="宋体" w:cs="宋体"/>
          <w:sz w:val="24"/>
          <w:szCs w:val="24"/>
          <w:lang w:eastAsia="zh-CN"/>
        </w:rPr>
        <w:t>　</w:t>
      </w:r>
      <w:r>
        <w:rPr>
          <w:rFonts w:hint="eastAsia" w:ascii="宋体" w:hAnsi="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09A5507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sz w:val="24"/>
          <w:szCs w:val="24"/>
        </w:rPr>
        <w:t>地址：</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地址：</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highlight w:val="none"/>
          <w:u w:val="none"/>
          <w:lang w:val="en-US" w:eastAsia="zh-CN"/>
        </w:rPr>
        <w:t>　　　　　　　　　　　　　</w:t>
      </w:r>
    </w:p>
    <w:p w14:paraId="6517768B">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highlight w:val="none"/>
          <w:u w:val="single"/>
          <w:lang w:val="en-US" w:eastAsia="zh-CN"/>
        </w:rPr>
        <w:t>725000</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lang w:val="en-US" w:eastAsia="zh-CN"/>
        </w:rPr>
        <w:t xml:space="preserve">                   </w:t>
      </w:r>
    </w:p>
    <w:p w14:paraId="7588C58E">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法定代表人或其授权                 </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法定代表人或其授权</w:t>
      </w:r>
    </w:p>
    <w:p w14:paraId="0AFB2755">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z w:val="24"/>
          <w:szCs w:val="24"/>
          <w:u w:val="single"/>
          <w:lang w:eastAsia="zh-CN"/>
        </w:rPr>
        <w:t>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的代理人：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2BA4106">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开户银行：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highlight w:val="none"/>
          <w:u w:val="none"/>
          <w:lang w:val="en-US" w:eastAsia="zh-CN"/>
        </w:rPr>
        <w:t>　　　　　　　　　　　　　　　　　　　　　　</w:t>
      </w:r>
    </w:p>
    <w:p w14:paraId="6DC1A214">
      <w:pPr>
        <w:keepNext w:val="0"/>
        <w:keepLines w:val="0"/>
        <w:pageBreakBefore w:val="0"/>
        <w:kinsoku/>
        <w:wordWrap/>
        <w:overflowPunct/>
        <w:topLinePunct w:val="0"/>
        <w:bidi w:val="0"/>
        <w:adjustRightInd w:val="0"/>
        <w:snapToGrid w:val="0"/>
        <w:spacing w:line="360" w:lineRule="auto"/>
        <w:ind w:left="0"/>
        <w:textAlignment w:val="auto"/>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账号：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626E0D53">
      <w:pPr>
        <w:rPr>
          <w:rFonts w:hint="eastAsia" w:ascii="宋体" w:hAnsi="宋体" w:cs="宋体"/>
          <w:color w:val="000000" w:themeColor="text1"/>
          <w14:textFill>
            <w14:solidFill>
              <w14:schemeClr w14:val="tx1"/>
            </w14:solidFill>
          </w14:textFill>
        </w:rPr>
        <w:sectPr>
          <w:headerReference r:id="rId14" w:type="first"/>
          <w:footerReference r:id="rId16" w:type="first"/>
          <w:headerReference r:id="rId13" w:type="default"/>
          <w:footerReference r:id="rId15" w:type="default"/>
          <w:pgSz w:w="11906" w:h="16838"/>
          <w:pgMar w:top="1417" w:right="1417" w:bottom="1417" w:left="1417" w:header="1134" w:footer="720" w:gutter="0"/>
          <w:pgNumType w:fmt="decimal"/>
          <w:cols w:space="0" w:num="1"/>
          <w:rtlGutter w:val="0"/>
          <w:docGrid w:linePitch="326" w:charSpace="0"/>
        </w:sect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38C69957">
      <w:pPr>
        <w:rPr>
          <w:rFonts w:hint="eastAsia" w:ascii="宋体" w:hAnsi="宋体" w:cs="宋体"/>
          <w:color w:val="000000" w:themeColor="text1"/>
          <w14:textFill>
            <w14:solidFill>
              <w14:schemeClr w14:val="tx1"/>
            </w14:solidFill>
          </w14:textFill>
        </w:rPr>
      </w:pPr>
    </w:p>
    <w:p w14:paraId="464A7BFC">
      <w:pPr>
        <w:pStyle w:val="2"/>
        <w:ind w:firstLine="2570" w:firstLineChars="800"/>
        <w:jc w:val="both"/>
        <w:rPr>
          <w:rFonts w:hint="eastAsia" w:ascii="宋体" w:hAnsi="宋体" w:cs="宋体"/>
          <w:color w:val="000000" w:themeColor="text1"/>
          <w14:textFill>
            <w14:solidFill>
              <w14:schemeClr w14:val="tx1"/>
            </w14:solidFill>
          </w14:textFill>
        </w:rPr>
      </w:pPr>
      <w:bookmarkStart w:id="152" w:name="_Toc1004"/>
      <w:r>
        <w:rPr>
          <w:rFonts w:hint="eastAsia" w:ascii="宋体" w:hAnsi="宋体" w:cs="宋体"/>
          <w:color w:val="000000" w:themeColor="text1"/>
          <w14:textFill>
            <w14:solidFill>
              <w14:schemeClr w14:val="tx1"/>
            </w14:solidFill>
          </w14:textFill>
        </w:rPr>
        <w:t>第七部分  响应文件格式</w:t>
      </w:r>
      <w:bookmarkEnd w:id="152"/>
    </w:p>
    <w:p w14:paraId="6D50F4B4">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p>
    <w:p w14:paraId="0B192956">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2D815F56">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rPr>
        <w:t>项目编号</w:t>
      </w:r>
      <w:r>
        <w:rPr>
          <w:rFonts w:hint="eastAsia" w:ascii="宋体" w:hAnsi="宋体" w:cs="宋体"/>
          <w:b/>
          <w:bCs/>
          <w:kern w:val="44"/>
          <w:sz w:val="32"/>
          <w:szCs w:val="32"/>
          <w:lang w:eastAsia="zh-CN"/>
        </w:rPr>
        <w:t>：</w:t>
      </w:r>
      <w:r>
        <w:rPr>
          <w:rFonts w:hint="eastAsia" w:cs="仿宋" w:asciiTheme="minorEastAsia" w:hAnsiTheme="minorEastAsia" w:eastAsiaTheme="minorEastAsia"/>
          <w:bCs/>
          <w:sz w:val="32"/>
          <w:szCs w:val="32"/>
        </w:rPr>
        <w:t xml:space="preserve"> </w:t>
      </w:r>
    </w:p>
    <w:p w14:paraId="33EF5BBF">
      <w:pPr>
        <w:widowControl/>
        <w:spacing w:line="600" w:lineRule="exact"/>
        <w:rPr>
          <w:rFonts w:cs="仿宋" w:asciiTheme="minorEastAsia" w:hAnsiTheme="minorEastAsia" w:eastAsiaTheme="minorEastAsia"/>
          <w:bCs/>
          <w:spacing w:val="20"/>
          <w:kern w:val="0"/>
          <w:sz w:val="84"/>
          <w:szCs w:val="84"/>
        </w:rPr>
      </w:pPr>
    </w:p>
    <w:p w14:paraId="4352803E">
      <w:pPr>
        <w:pStyle w:val="5"/>
      </w:pPr>
    </w:p>
    <w:p w14:paraId="34BEE215"/>
    <w:p w14:paraId="3C175897">
      <w:pPr>
        <w:pStyle w:val="5"/>
      </w:pPr>
    </w:p>
    <w:p w14:paraId="164203E1"/>
    <w:p w14:paraId="70E5FEB6">
      <w:pPr>
        <w:pStyle w:val="22"/>
        <w:jc w:val="center"/>
        <w:rPr>
          <w:rFonts w:ascii="宋体" w:hAnsi="宋体" w:cs="宋体"/>
          <w:b/>
          <w:bCs/>
          <w:sz w:val="56"/>
          <w:szCs w:val="56"/>
        </w:rPr>
      </w:pPr>
      <w:r>
        <w:rPr>
          <w:rFonts w:hint="eastAsia" w:ascii="宋体" w:hAnsi="宋体" w:cs="宋体"/>
          <w:b/>
          <w:bCs/>
          <w:sz w:val="56"/>
          <w:szCs w:val="56"/>
          <w:u w:val="single"/>
          <w:lang w:val="en-US" w:eastAsia="zh-CN"/>
        </w:rPr>
        <w:t xml:space="preserve">          </w:t>
      </w:r>
      <w:r>
        <w:rPr>
          <w:rFonts w:hint="eastAsia" w:ascii="宋体" w:hAnsi="宋体" w:cs="宋体"/>
          <w:b/>
          <w:bCs/>
          <w:sz w:val="56"/>
          <w:szCs w:val="56"/>
        </w:rPr>
        <w:t>项目</w:t>
      </w:r>
    </w:p>
    <w:p w14:paraId="35604A91">
      <w:pPr>
        <w:pStyle w:val="22"/>
        <w:jc w:val="center"/>
        <w:rPr>
          <w:rFonts w:ascii="宋体" w:hAnsi="宋体" w:cs="宋体"/>
          <w:b/>
          <w:bCs/>
          <w:sz w:val="48"/>
          <w:szCs w:val="48"/>
        </w:rPr>
      </w:pPr>
    </w:p>
    <w:p w14:paraId="34B87CC1">
      <w:pPr>
        <w:pStyle w:val="22"/>
      </w:pPr>
    </w:p>
    <w:p w14:paraId="6D983E4D">
      <w:pPr>
        <w:pStyle w:val="22"/>
      </w:pPr>
    </w:p>
    <w:p w14:paraId="614C94B1">
      <w:pPr>
        <w:pStyle w:val="22"/>
      </w:pPr>
    </w:p>
    <w:p w14:paraId="4CB20AAA">
      <w:pPr>
        <w:pStyle w:val="22"/>
      </w:pPr>
    </w:p>
    <w:p w14:paraId="030B9FF2">
      <w:pPr>
        <w:widowControl/>
        <w:spacing w:beforeLines="50" w:line="800" w:lineRule="exact"/>
        <w:jc w:val="center"/>
        <w:rPr>
          <w:rFonts w:cs="仿宋" w:asciiTheme="minorEastAsia" w:hAnsiTheme="minorEastAsia" w:eastAsiaTheme="minorEastAsia"/>
          <w:b/>
          <w:spacing w:val="20"/>
          <w:kern w:val="0"/>
          <w:sz w:val="84"/>
          <w:szCs w:val="84"/>
        </w:rPr>
      </w:pPr>
      <w:r>
        <w:rPr>
          <w:rFonts w:hint="eastAsia" w:cs="仿宋" w:asciiTheme="minorEastAsia" w:hAnsiTheme="minorEastAsia" w:eastAsiaTheme="minorEastAsia"/>
          <w:b/>
          <w:spacing w:val="20"/>
          <w:kern w:val="0"/>
          <w:sz w:val="84"/>
          <w:szCs w:val="84"/>
        </w:rPr>
        <w:t>响应文件</w:t>
      </w:r>
    </w:p>
    <w:p w14:paraId="1A13D6DF">
      <w:pPr>
        <w:pStyle w:val="22"/>
      </w:pPr>
    </w:p>
    <w:p w14:paraId="337D15F7">
      <w:pPr>
        <w:widowControl/>
        <w:spacing w:line="480" w:lineRule="exact"/>
        <w:rPr>
          <w:rFonts w:cs="仿宋" w:asciiTheme="minorEastAsia" w:hAnsiTheme="minorEastAsia" w:eastAsiaTheme="minorEastAsia"/>
          <w:bCs/>
          <w:sz w:val="44"/>
          <w:szCs w:val="44"/>
        </w:rPr>
      </w:pPr>
      <w:r>
        <w:rPr>
          <w:rFonts w:hint="eastAsia" w:cs="仿宋" w:asciiTheme="minorEastAsia" w:hAnsiTheme="minorEastAsia" w:eastAsiaTheme="minorEastAsia"/>
          <w:bCs/>
          <w:sz w:val="32"/>
          <w:szCs w:val="28"/>
        </w:rPr>
        <w:t xml:space="preserve">                     </w:t>
      </w:r>
      <w:r>
        <w:rPr>
          <w:rFonts w:hint="eastAsia" w:cs="仿宋" w:asciiTheme="minorEastAsia" w:hAnsiTheme="minorEastAsia" w:eastAsiaTheme="minorEastAsia"/>
          <w:bCs/>
          <w:sz w:val="44"/>
          <w:szCs w:val="44"/>
        </w:rPr>
        <w:t>（正/副本）</w:t>
      </w:r>
    </w:p>
    <w:p w14:paraId="62CF4838">
      <w:pPr>
        <w:widowControl/>
        <w:spacing w:line="400" w:lineRule="exact"/>
        <w:rPr>
          <w:rFonts w:cs="仿宋" w:asciiTheme="minorEastAsia" w:hAnsiTheme="minorEastAsia" w:eastAsiaTheme="minorEastAsia"/>
          <w:bCs/>
          <w:sz w:val="18"/>
          <w:szCs w:val="18"/>
        </w:rPr>
      </w:pPr>
    </w:p>
    <w:p w14:paraId="2B1961A5">
      <w:pPr>
        <w:widowControl/>
        <w:spacing w:line="400" w:lineRule="exact"/>
        <w:rPr>
          <w:rFonts w:cs="仿宋" w:asciiTheme="minorEastAsia" w:hAnsiTheme="minorEastAsia" w:eastAsiaTheme="minorEastAsia"/>
          <w:bCs/>
          <w:sz w:val="18"/>
          <w:szCs w:val="18"/>
        </w:rPr>
      </w:pPr>
    </w:p>
    <w:p w14:paraId="63C0FE52">
      <w:pPr>
        <w:widowControl/>
        <w:spacing w:line="400" w:lineRule="exact"/>
        <w:rPr>
          <w:rFonts w:cs="仿宋" w:asciiTheme="minorEastAsia" w:hAnsiTheme="minorEastAsia" w:eastAsiaTheme="minorEastAsia"/>
          <w:bCs/>
          <w:sz w:val="18"/>
          <w:szCs w:val="18"/>
        </w:rPr>
      </w:pPr>
    </w:p>
    <w:p w14:paraId="270E6955">
      <w:pPr>
        <w:widowControl/>
        <w:spacing w:line="480" w:lineRule="auto"/>
        <w:rPr>
          <w:rFonts w:cs="仿宋" w:asciiTheme="minorEastAsia" w:hAnsiTheme="minorEastAsia" w:eastAsiaTheme="minorEastAsia"/>
          <w:bCs/>
          <w:sz w:val="36"/>
          <w:szCs w:val="36"/>
        </w:rPr>
      </w:pPr>
    </w:p>
    <w:p w14:paraId="311464AE">
      <w:pPr>
        <w:widowControl/>
        <w:spacing w:line="480" w:lineRule="auto"/>
        <w:rPr>
          <w:rFonts w:cs="仿宋" w:asciiTheme="minorEastAsia" w:hAnsiTheme="minorEastAsia" w:eastAsiaTheme="minorEastAsia"/>
          <w:bCs/>
          <w:sz w:val="36"/>
          <w:szCs w:val="36"/>
        </w:rPr>
      </w:pPr>
    </w:p>
    <w:p w14:paraId="05D0DC61">
      <w:pPr>
        <w:pStyle w:val="11"/>
      </w:pPr>
    </w:p>
    <w:p w14:paraId="569D9D1F">
      <w:pPr>
        <w:snapToGrid w:val="0"/>
        <w:spacing w:line="360" w:lineRule="auto"/>
        <w:ind w:firstLine="480" w:firstLineChars="200"/>
        <w:jc w:val="left"/>
        <w:rPr>
          <w:rFonts w:ascii="宋体" w:cs="Times New Roman"/>
          <w:sz w:val="24"/>
          <w:szCs w:val="24"/>
          <w:u w:val="single"/>
        </w:rPr>
      </w:pPr>
      <w:r>
        <w:rPr>
          <w:rFonts w:hint="eastAsia" w:ascii="宋体" w:hAnsi="宋体" w:cs="宋体"/>
          <w:sz w:val="24"/>
          <w:szCs w:val="24"/>
          <w:lang w:val="zh-CN"/>
        </w:rPr>
        <w:t>供应商（单位名称及公章）：</w:t>
      </w:r>
      <w:r>
        <w:rPr>
          <w:rFonts w:hint="eastAsia" w:ascii="宋体" w:hAnsi="宋体" w:cs="宋体"/>
          <w:sz w:val="24"/>
          <w:szCs w:val="24"/>
        </w:rPr>
        <w:t>____________________________</w:t>
      </w:r>
    </w:p>
    <w:p w14:paraId="77A8F388">
      <w:pPr>
        <w:snapToGrid w:val="0"/>
        <w:spacing w:line="360" w:lineRule="auto"/>
        <w:ind w:firstLine="480" w:firstLineChars="200"/>
        <w:jc w:val="left"/>
        <w:rPr>
          <w:rFonts w:cs="Times New Roman"/>
          <w:sz w:val="24"/>
          <w:szCs w:val="24"/>
        </w:rPr>
      </w:pPr>
      <w:r>
        <w:rPr>
          <w:rFonts w:hint="eastAsia" w:ascii="宋体" w:hAnsi="宋体" w:cs="宋体"/>
          <w:sz w:val="24"/>
          <w:szCs w:val="24"/>
          <w:lang w:val="zh-CN"/>
        </w:rPr>
        <w:t>法定代表人或被授权人（签字</w:t>
      </w:r>
      <w:r>
        <w:rPr>
          <w:rFonts w:hint="eastAsia" w:ascii="宋体" w:hAnsi="宋体" w:cs="宋体"/>
          <w:sz w:val="24"/>
          <w:szCs w:val="24"/>
          <w:lang w:val="en-US" w:eastAsia="zh-CN"/>
        </w:rPr>
        <w:t>或盖章</w:t>
      </w:r>
      <w:r>
        <w:rPr>
          <w:rFonts w:hint="eastAsia" w:ascii="宋体" w:hAnsi="宋体" w:cs="宋体"/>
          <w:sz w:val="24"/>
          <w:szCs w:val="24"/>
          <w:lang w:val="zh-CN"/>
        </w:rPr>
        <w:t>）：</w:t>
      </w:r>
      <w:r>
        <w:rPr>
          <w:rFonts w:hint="eastAsia" w:ascii="宋体" w:hAnsi="宋体" w:cs="宋体"/>
          <w:sz w:val="24"/>
          <w:szCs w:val="24"/>
        </w:rPr>
        <w:t>____________________________</w:t>
      </w:r>
    </w:p>
    <w:p w14:paraId="273B5E07">
      <w:pPr>
        <w:snapToGrid w:val="0"/>
        <w:spacing w:line="360" w:lineRule="auto"/>
        <w:ind w:firstLine="480" w:firstLineChars="200"/>
        <w:jc w:val="left"/>
        <w:rPr>
          <w:rFonts w:ascii="宋体" w:cs="Times New Roman"/>
          <w:sz w:val="24"/>
          <w:szCs w:val="24"/>
          <w:u w:val="single"/>
        </w:rPr>
      </w:pPr>
      <w:r>
        <w:rPr>
          <w:rFonts w:hint="eastAsia" w:ascii="宋体" w:hAnsi="宋体" w:cs="宋体"/>
          <w:sz w:val="24"/>
          <w:szCs w:val="24"/>
        </w:rPr>
        <w:t>日期</w:t>
      </w:r>
      <w:r>
        <w:rPr>
          <w:rFonts w:hint="eastAsia" w:ascii="宋体" w:hAnsi="宋体" w:cs="宋体"/>
          <w:sz w:val="24"/>
          <w:szCs w:val="24"/>
          <w:lang w:val="zh-CN"/>
        </w:rPr>
        <w:t>：</w:t>
      </w:r>
      <w:r>
        <w:rPr>
          <w:rFonts w:hint="eastAsia" w:ascii="宋体" w:hAnsi="宋体" w:cs="宋体"/>
          <w:sz w:val="24"/>
          <w:szCs w:val="24"/>
        </w:rPr>
        <w:t>________________________________________________________</w:t>
      </w:r>
    </w:p>
    <w:p w14:paraId="1136D575">
      <w:pPr>
        <w:pageBreakBefore/>
        <w:ind w:firstLine="1004" w:firstLineChars="200"/>
        <w:jc w:val="center"/>
        <w:rPr>
          <w:rFonts w:ascii="宋体" w:hAnsi="宋体" w:cs="宋体"/>
          <w:b/>
          <w:bCs/>
          <w:color w:val="auto"/>
          <w:sz w:val="50"/>
          <w:szCs w:val="50"/>
        </w:rPr>
      </w:pPr>
      <w:r>
        <w:rPr>
          <w:rFonts w:hint="eastAsia" w:ascii="宋体" w:hAnsi="宋体" w:cs="宋体"/>
          <w:b/>
          <w:bCs/>
          <w:color w:val="auto"/>
          <w:sz w:val="50"/>
          <w:szCs w:val="50"/>
        </w:rPr>
        <w:t>目录</w:t>
      </w:r>
    </w:p>
    <w:p w14:paraId="643FF5B8">
      <w:pPr>
        <w:pStyle w:val="22"/>
        <w:spacing w:line="360" w:lineRule="auto"/>
        <w:ind w:left="1155" w:leftChars="550"/>
        <w:rPr>
          <w:rFonts w:ascii="宋体" w:hAnsi="宋体"/>
          <w:color w:val="auto"/>
          <w:sz w:val="32"/>
          <w:szCs w:val="28"/>
        </w:rPr>
      </w:pPr>
      <w:r>
        <w:rPr>
          <w:rFonts w:hint="eastAsia" w:ascii="宋体" w:hAnsi="宋体"/>
          <w:color w:val="auto"/>
          <w:sz w:val="32"/>
          <w:szCs w:val="28"/>
        </w:rPr>
        <w:t xml:space="preserve">第一章 </w:t>
      </w:r>
      <w:r>
        <w:rPr>
          <w:rFonts w:ascii="宋体" w:hAnsi="宋体"/>
          <w:color w:val="auto"/>
          <w:sz w:val="32"/>
          <w:szCs w:val="28"/>
        </w:rPr>
        <w:t xml:space="preserve">  </w:t>
      </w:r>
      <w:r>
        <w:rPr>
          <w:rFonts w:hint="eastAsia" w:ascii="宋体" w:hAnsi="宋体"/>
          <w:color w:val="auto"/>
          <w:sz w:val="32"/>
          <w:szCs w:val="28"/>
        </w:rPr>
        <w:t>响应函</w:t>
      </w:r>
    </w:p>
    <w:p w14:paraId="53B4A960">
      <w:pPr>
        <w:pStyle w:val="22"/>
        <w:spacing w:line="360" w:lineRule="auto"/>
        <w:ind w:left="1155" w:leftChars="550"/>
        <w:rPr>
          <w:rFonts w:ascii="宋体" w:hAnsi="宋体"/>
          <w:color w:val="auto"/>
          <w:sz w:val="32"/>
          <w:szCs w:val="28"/>
        </w:rPr>
      </w:pPr>
      <w:r>
        <w:rPr>
          <w:rFonts w:hint="eastAsia" w:ascii="宋体" w:hAnsi="宋体"/>
          <w:color w:val="auto"/>
          <w:sz w:val="32"/>
          <w:szCs w:val="28"/>
        </w:rPr>
        <w:t xml:space="preserve">第二章 </w:t>
      </w:r>
      <w:r>
        <w:rPr>
          <w:rFonts w:ascii="宋体" w:hAnsi="宋体"/>
          <w:color w:val="auto"/>
          <w:sz w:val="32"/>
          <w:szCs w:val="28"/>
        </w:rPr>
        <w:t xml:space="preserve">  </w:t>
      </w:r>
      <w:r>
        <w:rPr>
          <w:rFonts w:hint="eastAsia" w:ascii="宋体" w:hAnsi="宋体"/>
          <w:color w:val="auto"/>
          <w:sz w:val="32"/>
          <w:szCs w:val="28"/>
        </w:rPr>
        <w:t>响应报价表</w:t>
      </w:r>
    </w:p>
    <w:p w14:paraId="0B4AAF73">
      <w:pPr>
        <w:pStyle w:val="22"/>
        <w:spacing w:line="360" w:lineRule="auto"/>
        <w:ind w:left="1155" w:leftChars="550"/>
        <w:rPr>
          <w:rFonts w:hint="eastAsia" w:ascii="宋体" w:hAnsi="宋体" w:eastAsia="宋体"/>
          <w:color w:val="auto"/>
          <w:sz w:val="32"/>
          <w:szCs w:val="28"/>
          <w:lang w:eastAsia="zh-CN"/>
        </w:rPr>
      </w:pPr>
      <w:r>
        <w:rPr>
          <w:rFonts w:hint="eastAsia" w:ascii="宋体" w:hAnsi="宋体"/>
          <w:color w:val="auto"/>
          <w:sz w:val="32"/>
          <w:szCs w:val="28"/>
        </w:rPr>
        <w:t xml:space="preserve">第三章  </w:t>
      </w:r>
      <w:r>
        <w:rPr>
          <w:rFonts w:ascii="宋体" w:hAnsi="宋体"/>
          <w:color w:val="auto"/>
          <w:sz w:val="32"/>
          <w:szCs w:val="28"/>
        </w:rPr>
        <w:t xml:space="preserve"> </w:t>
      </w:r>
      <w:r>
        <w:rPr>
          <w:rFonts w:hint="eastAsia" w:ascii="宋体" w:hAnsi="宋体"/>
          <w:color w:val="auto"/>
          <w:sz w:val="32"/>
          <w:szCs w:val="28"/>
        </w:rPr>
        <w:t>供应商</w:t>
      </w:r>
      <w:r>
        <w:rPr>
          <w:rFonts w:hint="eastAsia" w:ascii="宋体" w:hAnsi="宋体"/>
          <w:color w:val="auto"/>
          <w:sz w:val="32"/>
          <w:szCs w:val="28"/>
          <w:lang w:eastAsia="zh-CN"/>
        </w:rPr>
        <w:t>资格证明文件</w:t>
      </w:r>
    </w:p>
    <w:p w14:paraId="3D2DA87E">
      <w:pPr>
        <w:pStyle w:val="22"/>
        <w:spacing w:line="360" w:lineRule="auto"/>
        <w:ind w:left="1155" w:leftChars="550"/>
        <w:rPr>
          <w:rFonts w:ascii="宋体" w:hAnsi="宋体"/>
          <w:color w:val="auto"/>
          <w:sz w:val="32"/>
          <w:szCs w:val="28"/>
        </w:rPr>
      </w:pPr>
      <w:r>
        <w:rPr>
          <w:rFonts w:hint="eastAsia" w:ascii="宋体" w:hAnsi="宋体"/>
          <w:color w:val="auto"/>
          <w:sz w:val="32"/>
          <w:szCs w:val="28"/>
        </w:rPr>
        <w:t xml:space="preserve">第四章   </w:t>
      </w:r>
      <w:r>
        <w:rPr>
          <w:rFonts w:hint="eastAsia" w:ascii="宋体" w:hAnsi="宋体"/>
          <w:color w:val="auto"/>
          <w:sz w:val="32"/>
          <w:szCs w:val="28"/>
          <w:lang w:val="en-US" w:eastAsia="zh-CN"/>
        </w:rPr>
        <w:t>技术及商务响应</w:t>
      </w:r>
      <w:r>
        <w:rPr>
          <w:rFonts w:hint="eastAsia" w:ascii="宋体" w:hAnsi="宋体"/>
          <w:color w:val="auto"/>
          <w:sz w:val="32"/>
          <w:szCs w:val="28"/>
        </w:rPr>
        <w:t>偏离表</w:t>
      </w:r>
    </w:p>
    <w:p w14:paraId="1EE5FB4D">
      <w:pPr>
        <w:pStyle w:val="22"/>
        <w:spacing w:line="360" w:lineRule="auto"/>
        <w:ind w:left="1155" w:leftChars="550"/>
        <w:rPr>
          <w:rFonts w:ascii="宋体" w:hAnsi="宋体"/>
          <w:color w:val="auto"/>
          <w:sz w:val="32"/>
          <w:szCs w:val="28"/>
        </w:rPr>
      </w:pPr>
      <w:r>
        <w:rPr>
          <w:rFonts w:hint="eastAsia" w:ascii="宋体" w:hAnsi="宋体"/>
          <w:color w:val="auto"/>
          <w:sz w:val="32"/>
          <w:szCs w:val="28"/>
        </w:rPr>
        <w:t xml:space="preserve">第五章   </w:t>
      </w:r>
      <w:r>
        <w:rPr>
          <w:rFonts w:hint="eastAsia" w:ascii="宋体" w:hAnsi="宋体"/>
          <w:color w:val="auto"/>
          <w:sz w:val="32"/>
          <w:szCs w:val="28"/>
          <w:lang w:val="en-US" w:eastAsia="zh-CN"/>
        </w:rPr>
        <w:t>响应</w:t>
      </w:r>
      <w:r>
        <w:rPr>
          <w:rFonts w:hint="eastAsia" w:ascii="宋体" w:hAnsi="宋体"/>
          <w:color w:val="auto"/>
          <w:sz w:val="32"/>
          <w:szCs w:val="28"/>
        </w:rPr>
        <w:t>方案</w:t>
      </w:r>
    </w:p>
    <w:p w14:paraId="4C1DD9D7">
      <w:pPr>
        <w:pStyle w:val="22"/>
        <w:spacing w:line="360" w:lineRule="auto"/>
        <w:ind w:left="1155" w:leftChars="550"/>
        <w:rPr>
          <w:rFonts w:ascii="宋体" w:hAnsi="宋体"/>
          <w:color w:val="auto"/>
          <w:sz w:val="32"/>
          <w:szCs w:val="28"/>
        </w:rPr>
      </w:pPr>
      <w:r>
        <w:rPr>
          <w:rFonts w:hint="eastAsia" w:ascii="宋体" w:hAnsi="宋体"/>
          <w:color w:val="auto"/>
          <w:sz w:val="32"/>
          <w:szCs w:val="28"/>
        </w:rPr>
        <w:t>第六章   供应商承诺书</w:t>
      </w:r>
    </w:p>
    <w:p w14:paraId="65F581F1">
      <w:pPr>
        <w:pStyle w:val="22"/>
        <w:spacing w:line="360" w:lineRule="auto"/>
        <w:ind w:left="1155" w:leftChars="550"/>
        <w:rPr>
          <w:rFonts w:ascii="宋体" w:hAnsi="宋体"/>
          <w:sz w:val="32"/>
          <w:szCs w:val="28"/>
        </w:rPr>
      </w:pPr>
    </w:p>
    <w:p w14:paraId="54052CEF">
      <w:pPr>
        <w:pStyle w:val="22"/>
        <w:spacing w:line="360" w:lineRule="auto"/>
        <w:ind w:left="1155" w:leftChars="550"/>
        <w:rPr>
          <w:rFonts w:ascii="宋体" w:hAnsi="宋体"/>
          <w:sz w:val="32"/>
          <w:szCs w:val="28"/>
        </w:rPr>
      </w:pPr>
      <w:r>
        <w:rPr>
          <w:rFonts w:hint="eastAsia" w:ascii="宋体" w:hAnsi="宋体"/>
          <w:sz w:val="32"/>
          <w:szCs w:val="28"/>
        </w:rPr>
        <w:t xml:space="preserve">   </w:t>
      </w:r>
    </w:p>
    <w:p w14:paraId="1FF19BA1">
      <w:pPr>
        <w:pStyle w:val="22"/>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73E9FD5E">
      <w:pPr>
        <w:pStyle w:val="22"/>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1FEC7B7B">
      <w:pPr>
        <w:pStyle w:val="22"/>
        <w:spacing w:line="360" w:lineRule="auto"/>
        <w:ind w:left="1155" w:leftChars="550"/>
        <w:rPr>
          <w:rFonts w:ascii="宋体" w:hAnsi="宋体"/>
          <w:sz w:val="32"/>
          <w:szCs w:val="28"/>
        </w:rPr>
      </w:pPr>
      <w:r>
        <w:rPr>
          <w:rFonts w:ascii="宋体" w:hAnsi="宋体"/>
          <w:sz w:val="32"/>
          <w:szCs w:val="28"/>
        </w:rPr>
        <w:t xml:space="preserve">  </w:t>
      </w:r>
    </w:p>
    <w:p w14:paraId="1E79F531">
      <w:pPr>
        <w:pStyle w:val="22"/>
        <w:spacing w:line="360" w:lineRule="auto"/>
        <w:ind w:left="1155" w:leftChars="550"/>
        <w:rPr>
          <w:rFonts w:ascii="宋体" w:hAnsi="宋体"/>
          <w:sz w:val="32"/>
          <w:szCs w:val="28"/>
        </w:rPr>
      </w:pPr>
    </w:p>
    <w:p w14:paraId="4B6D8A32">
      <w:pPr>
        <w:pStyle w:val="22"/>
        <w:spacing w:line="480" w:lineRule="auto"/>
        <w:ind w:left="945" w:leftChars="450"/>
      </w:pPr>
      <w:r>
        <w:rPr>
          <w:rFonts w:hint="eastAsia"/>
          <w:sz w:val="30"/>
          <w:szCs w:val="30"/>
        </w:rPr>
        <w:tab/>
      </w:r>
    </w:p>
    <w:p w14:paraId="2EB847AA">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sectPr>
          <w:pgSz w:w="11906" w:h="16838"/>
          <w:pgMar w:top="1417" w:right="1417" w:bottom="1417" w:left="1417" w:header="1134" w:footer="720" w:gutter="0"/>
          <w:pgNumType w:fmt="decimal"/>
          <w:cols w:space="0" w:num="1"/>
          <w:rtlGutter w:val="0"/>
          <w:docGrid w:linePitch="326" w:charSpace="0"/>
        </w:sectPr>
      </w:pPr>
      <w:bookmarkStart w:id="153" w:name="_Toc2536"/>
      <w:bookmarkStart w:id="154" w:name="_Toc536429386"/>
      <w:bookmarkStart w:id="155" w:name="_Toc19543349"/>
      <w:bookmarkStart w:id="156" w:name="_Toc536429333"/>
      <w:bookmarkStart w:id="157" w:name="_Toc536202393"/>
      <w:bookmarkStart w:id="158" w:name="_Toc10356"/>
      <w:bookmarkStart w:id="159" w:name="_Toc536202324"/>
    </w:p>
    <w:p w14:paraId="7D628F4D">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第一</w:t>
      </w:r>
      <w:bookmarkEnd w:id="153"/>
      <w:r>
        <w:rPr>
          <w:rFonts w:hint="eastAsia" w:ascii="宋体" w:hAnsi="宋体" w:eastAsia="宋体" w:cs="宋体"/>
          <w:b/>
          <w:bCs w:val="0"/>
          <w:color w:val="auto"/>
          <w:sz w:val="36"/>
          <w:szCs w:val="36"/>
          <w:u w:val="none"/>
          <w:lang w:val="en-US" w:eastAsia="zh-CN"/>
        </w:rPr>
        <w:t>章  响应函</w:t>
      </w:r>
      <w:bookmarkEnd w:id="154"/>
      <w:bookmarkEnd w:id="155"/>
      <w:bookmarkEnd w:id="156"/>
      <w:bookmarkEnd w:id="157"/>
      <w:bookmarkEnd w:id="158"/>
      <w:bookmarkEnd w:id="159"/>
    </w:p>
    <w:p w14:paraId="52D29CF2">
      <w:pPr>
        <w:adjustRightInd w:val="0"/>
        <w:snapToGrid w:val="0"/>
        <w:spacing w:line="480" w:lineRule="exact"/>
        <w:jc w:val="left"/>
        <w:rPr>
          <w:rFonts w:ascii="宋体" w:cs="Times New Roman"/>
          <w:sz w:val="24"/>
          <w:szCs w:val="24"/>
        </w:rPr>
      </w:pPr>
      <w:r>
        <w:rPr>
          <w:rFonts w:hint="eastAsia" w:ascii="宋体" w:hAnsi="宋体" w:cs="宋体"/>
          <w:sz w:val="24"/>
          <w:szCs w:val="24"/>
        </w:rPr>
        <w:t>安康尚昊招标代理有限公司：</w:t>
      </w:r>
    </w:p>
    <w:p w14:paraId="55CDF1BD">
      <w:pPr>
        <w:adjustRightInd w:val="0"/>
        <w:snapToGrid w:val="0"/>
        <w:spacing w:line="480" w:lineRule="exact"/>
        <w:ind w:firstLine="480" w:firstLineChars="200"/>
        <w:jc w:val="left"/>
        <w:rPr>
          <w:rFonts w:ascii="宋体" w:cs="Times New Roman"/>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cs="宋体"/>
          <w:sz w:val="24"/>
          <w:szCs w:val="24"/>
        </w:rPr>
        <w:t>竞争性磋商文件，经详细研究，我公司决定参加本次磋商活动。为此，我方郑重承诺以下诸点，并负法律责任。</w:t>
      </w:r>
    </w:p>
    <w:p w14:paraId="05F5604E">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愿意按照竞争性磋商文件中的全部要求，提供合格的产品及完善的技术服务，履行合同的责任和义务。</w:t>
      </w:r>
    </w:p>
    <w:p w14:paraId="6D36FF6C">
      <w:pPr>
        <w:spacing w:line="480" w:lineRule="exact"/>
        <w:ind w:firstLine="480" w:firstLineChars="200"/>
        <w:rPr>
          <w:rFonts w:hint="eastAsia" w:ascii="宋体" w:hAnsi="宋体" w:cs="宋体"/>
          <w:sz w:val="24"/>
          <w:szCs w:val="24"/>
        </w:rPr>
      </w:pPr>
      <w:r>
        <w:rPr>
          <w:rFonts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按照竞争性磋商文件的规定，我公司的响应</w:t>
      </w:r>
      <w:r>
        <w:rPr>
          <w:rFonts w:hint="eastAsia" w:ascii="宋体" w:hAnsi="宋体" w:cs="宋体"/>
          <w:sz w:val="24"/>
          <w:szCs w:val="24"/>
          <w:lang w:eastAsia="zh-CN"/>
        </w:rPr>
        <w:t>总</w:t>
      </w:r>
      <w:r>
        <w:rPr>
          <w:rFonts w:hint="eastAsia" w:ascii="宋体" w:hAnsi="宋体" w:cs="宋体"/>
          <w:sz w:val="24"/>
          <w:szCs w:val="24"/>
        </w:rPr>
        <w:t>报价为：</w:t>
      </w:r>
    </w:p>
    <w:p w14:paraId="249D006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eastAsia="宋体"/>
          <w:lang w:val="en-US" w:eastAsia="zh-CN"/>
        </w:rPr>
      </w:pPr>
      <w:r>
        <w:rPr>
          <w:rFonts w:hint="eastAsia" w:ascii="宋体" w:hAnsi="宋体" w:cs="宋体"/>
          <w:sz w:val="24"/>
          <w:szCs w:val="24"/>
        </w:rPr>
        <w:t>人民币（大写）：______________元；（小写）￥：______元；</w:t>
      </w:r>
    </w:p>
    <w:p w14:paraId="2CB77AEC">
      <w:pPr>
        <w:adjustRightInd w:val="0"/>
        <w:snapToGrid w:val="0"/>
        <w:spacing w:line="480" w:lineRule="exact"/>
        <w:ind w:firstLine="480" w:firstLineChars="200"/>
        <w:jc w:val="left"/>
        <w:rPr>
          <w:rFonts w:ascii="宋体" w:hAnsi="宋体" w:cs="宋体"/>
          <w:sz w:val="24"/>
          <w:szCs w:val="24"/>
        </w:rPr>
      </w:pPr>
      <w:r>
        <w:rPr>
          <w:rFonts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我方提交的响应文件正本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份，电子文件</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w:t>
      </w:r>
    </w:p>
    <w:p w14:paraId="40DA650D">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4</w:t>
      </w:r>
      <w:r>
        <w:rPr>
          <w:rFonts w:hint="eastAsia" w:ascii="宋体" w:hAnsi="宋体" w:cs="宋体"/>
          <w:sz w:val="24"/>
          <w:szCs w:val="24"/>
          <w:lang w:val="en-US" w:eastAsia="zh-CN"/>
        </w:rPr>
        <w:t>.</w:t>
      </w:r>
      <w:r>
        <w:rPr>
          <w:rFonts w:hint="eastAsia" w:ascii="宋体" w:hAnsi="宋体" w:cs="宋体"/>
          <w:sz w:val="24"/>
          <w:szCs w:val="24"/>
        </w:rPr>
        <w:t>我们已详细阅读了竞争性磋商文件，完全理解并同意放弃提出含糊不清和误解问题的权力。</w:t>
      </w:r>
    </w:p>
    <w:p w14:paraId="1DD7E2ED">
      <w:pPr>
        <w:adjustRightInd w:val="0"/>
        <w:snapToGrid w:val="0"/>
        <w:spacing w:line="480" w:lineRule="exact"/>
        <w:ind w:firstLine="480" w:firstLineChars="200"/>
        <w:jc w:val="left"/>
        <w:rPr>
          <w:rFonts w:ascii="宋体" w:cs="Times New Roman"/>
          <w:color w:val="FF0000"/>
          <w:sz w:val="24"/>
          <w:szCs w:val="24"/>
        </w:rPr>
      </w:pPr>
      <w:r>
        <w:rPr>
          <w:rFonts w:ascii="宋体" w:hAnsi="宋体" w:cs="宋体"/>
          <w:sz w:val="24"/>
          <w:szCs w:val="24"/>
        </w:rPr>
        <w:t>5</w:t>
      </w:r>
      <w:r>
        <w:rPr>
          <w:rFonts w:hint="eastAsia" w:ascii="宋体" w:hAnsi="宋体" w:cs="宋体"/>
          <w:sz w:val="24"/>
          <w:szCs w:val="24"/>
          <w:lang w:val="en-US" w:eastAsia="zh-CN"/>
        </w:rPr>
        <w:t>.</w:t>
      </w:r>
      <w:r>
        <w:rPr>
          <w:rFonts w:hint="eastAsia" w:ascii="宋体" w:hAnsi="宋体" w:cs="宋体"/>
          <w:sz w:val="24"/>
          <w:szCs w:val="24"/>
        </w:rPr>
        <w:t>如果我方在磋商后到规定的响应有效期内撤回响应文件及承诺，</w:t>
      </w:r>
      <w:r>
        <w:rPr>
          <w:rFonts w:hint="eastAsia" w:ascii="宋体" w:hAnsi="宋体" w:cs="宋体"/>
          <w:color w:val="auto"/>
          <w:sz w:val="24"/>
          <w:szCs w:val="24"/>
        </w:rPr>
        <w:t>我们</w:t>
      </w:r>
      <w:r>
        <w:rPr>
          <w:rFonts w:hint="eastAsia" w:ascii="宋体" w:hAnsi="宋体" w:cs="宋体"/>
          <w:color w:val="auto"/>
          <w:sz w:val="24"/>
          <w:szCs w:val="24"/>
          <w:lang w:val="en-US" w:eastAsia="zh-CN"/>
        </w:rPr>
        <w:t>将承担相关法律责任</w:t>
      </w:r>
      <w:r>
        <w:rPr>
          <w:rFonts w:hint="eastAsia" w:ascii="宋体" w:hAnsi="宋体" w:cs="宋体"/>
          <w:color w:val="auto"/>
          <w:sz w:val="24"/>
          <w:szCs w:val="24"/>
        </w:rPr>
        <w:t>。</w:t>
      </w:r>
    </w:p>
    <w:p w14:paraId="3344A003">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6</w:t>
      </w:r>
      <w:r>
        <w:rPr>
          <w:rFonts w:hint="eastAsia" w:ascii="宋体" w:hAnsi="宋体" w:cs="宋体"/>
          <w:sz w:val="24"/>
          <w:szCs w:val="24"/>
          <w:lang w:val="en-US" w:eastAsia="zh-CN"/>
        </w:rPr>
        <w:t>.</w:t>
      </w:r>
      <w:r>
        <w:rPr>
          <w:rFonts w:hint="eastAsia" w:ascii="宋体" w:hAnsi="宋体" w:cs="宋体"/>
          <w:sz w:val="24"/>
          <w:szCs w:val="24"/>
        </w:rPr>
        <w:t>同意向贵方提供贵方可能要求的、与本次磋商有关的任何证据资料。</w:t>
      </w:r>
    </w:p>
    <w:p w14:paraId="0D7C0F52">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7</w:t>
      </w:r>
      <w:r>
        <w:rPr>
          <w:rFonts w:hint="eastAsia" w:ascii="宋体" w:hAnsi="宋体" w:cs="宋体"/>
          <w:sz w:val="24"/>
          <w:szCs w:val="24"/>
          <w:lang w:val="en-US" w:eastAsia="zh-CN"/>
        </w:rPr>
        <w:t>.</w:t>
      </w:r>
      <w:r>
        <w:rPr>
          <w:rFonts w:hint="eastAsia" w:ascii="宋体" w:hAnsi="宋体" w:cs="宋体"/>
          <w:sz w:val="24"/>
          <w:szCs w:val="24"/>
        </w:rPr>
        <w:t>我方承诺响应有效期为磋商后______日历日内有效。</w:t>
      </w:r>
    </w:p>
    <w:p w14:paraId="59B033F2">
      <w:pPr>
        <w:adjustRightInd w:val="0"/>
        <w:snapToGrid w:val="0"/>
        <w:spacing w:line="480" w:lineRule="exact"/>
        <w:ind w:firstLine="480" w:firstLineChars="200"/>
        <w:jc w:val="left"/>
        <w:rPr>
          <w:rFonts w:ascii="宋体" w:cs="Times New Roman"/>
          <w:sz w:val="24"/>
          <w:szCs w:val="24"/>
        </w:rPr>
      </w:pPr>
      <w:r>
        <w:rPr>
          <w:rFonts w:ascii="宋体" w:hAnsi="宋体" w:cs="宋体"/>
          <w:sz w:val="24"/>
          <w:szCs w:val="24"/>
        </w:rPr>
        <w:t>8</w:t>
      </w:r>
      <w:r>
        <w:rPr>
          <w:rFonts w:hint="eastAsia" w:ascii="宋体" w:hAnsi="宋体" w:cs="宋体"/>
          <w:sz w:val="24"/>
          <w:szCs w:val="24"/>
          <w:lang w:val="en-US" w:eastAsia="zh-CN"/>
        </w:rPr>
        <w:t>.</w:t>
      </w:r>
      <w:r>
        <w:rPr>
          <w:rFonts w:hint="eastAsia" w:ascii="宋体" w:hAnsi="宋体" w:cs="宋体"/>
          <w:sz w:val="24"/>
          <w:szCs w:val="24"/>
        </w:rPr>
        <w:t>所有关于本次磋商的函电，请按下列地址联系：</w:t>
      </w:r>
    </w:p>
    <w:p w14:paraId="20ECD977">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供应商（单位名称及公章）：_____________________</w:t>
      </w:r>
    </w:p>
    <w:p w14:paraId="374FD5A6">
      <w:pPr>
        <w:adjustRightInd w:val="0"/>
        <w:snapToGrid w:val="0"/>
        <w:spacing w:line="480" w:lineRule="exact"/>
        <w:ind w:firstLine="480" w:firstLineChars="200"/>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w:t>
      </w:r>
    </w:p>
    <w:p w14:paraId="24859804">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址：___________________________________</w:t>
      </w:r>
    </w:p>
    <w:p w14:paraId="692ED1D9">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开户银行：___________________________________</w:t>
      </w:r>
    </w:p>
    <w:p w14:paraId="4AD75BC4">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号：___________________________________</w:t>
      </w:r>
    </w:p>
    <w:p w14:paraId="54C303AF">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话：___________________________________</w:t>
      </w:r>
    </w:p>
    <w:p w14:paraId="4650D317">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编：___________________________________</w:t>
      </w:r>
    </w:p>
    <w:p w14:paraId="4638206C">
      <w:pPr>
        <w:adjustRightInd w:val="0"/>
        <w:snapToGrid w:val="0"/>
        <w:spacing w:line="480" w:lineRule="exact"/>
        <w:ind w:firstLine="480" w:firstLineChars="200"/>
        <w:rPr>
          <w:rFonts w:ascii="宋体" w:cs="Times New Roman"/>
          <w:sz w:val="24"/>
          <w:szCs w:val="24"/>
        </w:rPr>
        <w:sectPr>
          <w:pgSz w:w="11906" w:h="16838"/>
          <w:pgMar w:top="1417" w:right="1417" w:bottom="1417" w:left="1417" w:header="1247" w:footer="720" w:gutter="0"/>
          <w:pgNumType w:fmt="decimal"/>
          <w:cols w:space="0" w:num="1"/>
          <w:rtlGutter w:val="0"/>
          <w:docGrid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bookmarkStart w:id="160" w:name="_Toc28494"/>
    </w:p>
    <w:p w14:paraId="4DCD26B9">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61" w:name="_Toc30983"/>
      <w:bookmarkStart w:id="162" w:name="_Toc536202325"/>
      <w:bookmarkStart w:id="163" w:name="_Toc19543350"/>
      <w:bookmarkStart w:id="164" w:name="_Toc536429334"/>
      <w:bookmarkStart w:id="165" w:name="_Toc536202394"/>
      <w:bookmarkStart w:id="166" w:name="_Toc536429387"/>
      <w:r>
        <w:rPr>
          <w:rFonts w:hint="eastAsia" w:ascii="宋体" w:hAnsi="宋体" w:eastAsia="宋体" w:cs="宋体"/>
          <w:b/>
          <w:bCs w:val="0"/>
          <w:color w:val="auto"/>
          <w:sz w:val="36"/>
          <w:szCs w:val="36"/>
          <w:u w:val="none"/>
          <w:lang w:val="en-US" w:eastAsia="zh-CN"/>
        </w:rPr>
        <w:t>第二</w:t>
      </w:r>
      <w:bookmarkEnd w:id="160"/>
      <w:r>
        <w:rPr>
          <w:rFonts w:hint="eastAsia" w:ascii="宋体" w:hAnsi="宋体" w:eastAsia="宋体" w:cs="宋体"/>
          <w:b/>
          <w:bCs w:val="0"/>
          <w:color w:val="auto"/>
          <w:sz w:val="36"/>
          <w:szCs w:val="36"/>
          <w:u w:val="none"/>
          <w:lang w:val="en-US" w:eastAsia="zh-CN"/>
        </w:rPr>
        <w:t xml:space="preserve">章  </w:t>
      </w:r>
      <w:bookmarkEnd w:id="161"/>
      <w:r>
        <w:rPr>
          <w:rFonts w:hint="eastAsia" w:ascii="宋体" w:hAnsi="宋体" w:eastAsia="宋体" w:cs="宋体"/>
          <w:b/>
          <w:bCs w:val="0"/>
          <w:color w:val="auto"/>
          <w:sz w:val="36"/>
          <w:szCs w:val="36"/>
          <w:u w:val="none"/>
          <w:lang w:val="en-US" w:eastAsia="zh-CN"/>
        </w:rPr>
        <w:t>响应报价表</w:t>
      </w:r>
      <w:bookmarkEnd w:id="162"/>
      <w:bookmarkEnd w:id="163"/>
      <w:bookmarkEnd w:id="164"/>
      <w:bookmarkEnd w:id="165"/>
      <w:bookmarkEnd w:id="166"/>
    </w:p>
    <w:p w14:paraId="5244789A">
      <w:pPr>
        <w:rPr>
          <w:rFonts w:cs="Times New Roman" w:asciiTheme="minorEastAsia" w:hAnsiTheme="minorEastAsia" w:eastAsiaTheme="minorEastAsia"/>
          <w:sz w:val="28"/>
          <w:szCs w:val="28"/>
        </w:rPr>
      </w:pPr>
      <w:bookmarkStart w:id="167" w:name="_Toc536429335"/>
      <w:bookmarkStart w:id="168" w:name="_Toc536202395"/>
      <w:bookmarkStart w:id="169" w:name="_Toc536202326"/>
      <w:bookmarkStart w:id="170" w:name="_Toc536429388"/>
      <w:r>
        <w:rPr>
          <w:rFonts w:hint="eastAsia" w:cs="Times New Roman" w:asciiTheme="minorEastAsia" w:hAnsiTheme="minorEastAsia" w:eastAsiaTheme="minorEastAsia"/>
          <w:sz w:val="28"/>
          <w:szCs w:val="28"/>
        </w:rPr>
        <w:t>供应商名称：</w:t>
      </w:r>
      <w:bookmarkEnd w:id="167"/>
      <w:bookmarkEnd w:id="168"/>
      <w:bookmarkEnd w:id="169"/>
      <w:bookmarkEnd w:id="170"/>
      <w:r>
        <w:rPr>
          <w:rFonts w:hint="eastAsia" w:cs="Times New Roman" w:asciiTheme="minorEastAsia" w:hAnsiTheme="minorEastAsia" w:eastAsiaTheme="minorEastAsia"/>
          <w:sz w:val="28"/>
          <w:szCs w:val="28"/>
        </w:rPr>
        <w:t xml:space="preserve">                                        </w:t>
      </w:r>
    </w:p>
    <w:p w14:paraId="5F4856A2">
      <w:pPr>
        <w:kinsoku w:val="0"/>
        <w:spacing w:line="360" w:lineRule="auto"/>
        <w:jc w:val="left"/>
        <w:rPr>
          <w:rFonts w:ascii="宋体" w:cs="Times New Roman"/>
          <w:sz w:val="24"/>
          <w:szCs w:val="24"/>
        </w:rPr>
      </w:pPr>
      <w:r>
        <w:rPr>
          <w:rFonts w:hint="eastAsia" w:cs="Times New Roman" w:asciiTheme="minorEastAsia" w:hAnsiTheme="minorEastAsia" w:eastAsiaTheme="minorEastAsia"/>
          <w:sz w:val="28"/>
          <w:szCs w:val="28"/>
        </w:rPr>
        <w:t xml:space="preserve">项目名称：                                          </w:t>
      </w:r>
      <w:r>
        <w:rPr>
          <w:rFonts w:hint="eastAsia" w:cs="Times New Roman" w:asciiTheme="minorEastAsia" w:hAnsiTheme="minorEastAsia" w:eastAsiaTheme="minorEastAsia"/>
          <w:sz w:val="28"/>
          <w:szCs w:val="28"/>
          <w:lang w:val="en-US" w:eastAsia="zh-CN"/>
        </w:rPr>
        <w:t>单位：元</w:t>
      </w:r>
      <w:r>
        <w:rPr>
          <w:rFonts w:hint="eastAsia" w:cs="Times New Roman" w:asciiTheme="minorEastAsia" w:hAnsiTheme="minorEastAsia" w:eastAsiaTheme="minorEastAsia"/>
          <w:sz w:val="28"/>
          <w:szCs w:val="28"/>
        </w:rPr>
        <w:t xml:space="preserve">  </w:t>
      </w:r>
    </w:p>
    <w:tbl>
      <w:tblPr>
        <w:tblStyle w:val="34"/>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875"/>
        <w:gridCol w:w="2663"/>
        <w:gridCol w:w="2578"/>
      </w:tblGrid>
      <w:tr w14:paraId="56D4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2400" w:type="dxa"/>
            <w:tcBorders>
              <w:tl2br w:val="single" w:color="auto" w:sz="4" w:space="0"/>
            </w:tcBorders>
          </w:tcPr>
          <w:p w14:paraId="3DDFE242">
            <w:pPr>
              <w:keepNext w:val="0"/>
              <w:keepLines w:val="0"/>
              <w:suppressLineNumbers w:val="0"/>
              <w:kinsoku w:val="0"/>
              <w:spacing w:before="0" w:beforeAutospacing="0" w:after="0" w:afterAutospacing="0" w:line="500" w:lineRule="exact"/>
              <w:ind w:left="0" w:right="0" w:firstLine="1200" w:firstLineChars="500"/>
              <w:rPr>
                <w:rFonts w:hint="default" w:ascii="宋体" w:hAnsi="宋体" w:cs="Times New Roman"/>
                <w:sz w:val="24"/>
                <w:szCs w:val="24"/>
              </w:rPr>
            </w:pPr>
            <w:r>
              <w:rPr>
                <w:rFonts w:hint="eastAsia" w:ascii="宋体" w:hAnsi="宋体" w:cs="Times New Roman"/>
                <w:sz w:val="24"/>
                <w:szCs w:val="24"/>
              </w:rPr>
              <w:t>报价内容</w:t>
            </w:r>
          </w:p>
          <w:p w14:paraId="6F421387">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5BE75465">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57C931AD">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56223366">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sz w:val="24"/>
                <w:szCs w:val="24"/>
              </w:rPr>
              <w:t>投标内容</w:t>
            </w:r>
          </w:p>
        </w:tc>
        <w:tc>
          <w:tcPr>
            <w:tcW w:w="1875" w:type="dxa"/>
            <w:vAlign w:val="center"/>
          </w:tcPr>
          <w:p w14:paraId="4CA1FDD1">
            <w:pPr>
              <w:keepNext w:val="0"/>
              <w:keepLines w:val="0"/>
              <w:suppressLineNumbers w:val="0"/>
              <w:kinsoku w:val="0"/>
              <w:spacing w:before="0" w:beforeAutospacing="0" w:after="0" w:afterAutospacing="0" w:line="500" w:lineRule="exact"/>
              <w:ind w:left="0" w:right="0"/>
              <w:jc w:val="center"/>
              <w:rPr>
                <w:rFonts w:hint="eastAsia" w:ascii="宋体" w:hAnsi="宋体" w:cs="Times New Roman"/>
                <w:sz w:val="24"/>
                <w:szCs w:val="24"/>
                <w:lang w:eastAsia="zh-CN"/>
              </w:rPr>
            </w:pPr>
            <w:r>
              <w:rPr>
                <w:rFonts w:hint="eastAsia" w:ascii="宋体" w:hAnsi="宋体" w:cs="Times New Roman"/>
                <w:sz w:val="24"/>
                <w:szCs w:val="24"/>
                <w:lang w:val="en-US" w:eastAsia="zh-CN"/>
              </w:rPr>
              <w:t>磋商</w:t>
            </w:r>
            <w:r>
              <w:rPr>
                <w:rFonts w:hint="eastAsia" w:ascii="宋体" w:hAnsi="宋体" w:cs="Times New Roman"/>
                <w:sz w:val="24"/>
                <w:szCs w:val="24"/>
                <w:lang w:eastAsia="zh-CN"/>
              </w:rPr>
              <w:t>总报价</w:t>
            </w:r>
          </w:p>
          <w:p w14:paraId="32C98D7F">
            <w:pPr>
              <w:keepNext w:val="0"/>
              <w:keepLines w:val="0"/>
              <w:suppressLineNumbers w:val="0"/>
              <w:kinsoku w:val="0"/>
              <w:spacing w:before="0" w:beforeAutospacing="0" w:after="0" w:afterAutospacing="0" w:line="500" w:lineRule="exact"/>
              <w:ind w:left="0" w:right="0"/>
              <w:jc w:val="center"/>
              <w:rPr>
                <w:rFonts w:hint="default" w:ascii="宋体" w:hAnsi="宋体" w:eastAsia="宋体" w:cs="Times New Roman"/>
                <w:sz w:val="24"/>
                <w:szCs w:val="24"/>
                <w:lang w:val="en-US" w:eastAsia="zh-CN"/>
              </w:rPr>
            </w:pPr>
            <w:r>
              <w:rPr>
                <w:rFonts w:hint="eastAsia" w:ascii="宋体" w:hAnsi="宋体" w:cs="Times New Roman"/>
                <w:sz w:val="24"/>
                <w:szCs w:val="24"/>
                <w:lang w:eastAsia="zh-CN"/>
              </w:rPr>
              <w:t>（</w:t>
            </w:r>
            <w:r>
              <w:rPr>
                <w:rFonts w:hint="eastAsia" w:ascii="宋体" w:hAnsi="宋体" w:cs="Times New Roman"/>
                <w:sz w:val="24"/>
                <w:szCs w:val="24"/>
                <w:lang w:val="en-US" w:eastAsia="zh-CN"/>
              </w:rPr>
              <w:t>元</w:t>
            </w:r>
            <w:r>
              <w:rPr>
                <w:rFonts w:hint="eastAsia" w:ascii="宋体" w:hAnsi="宋体" w:cs="Times New Roman"/>
                <w:sz w:val="24"/>
                <w:szCs w:val="24"/>
                <w:lang w:eastAsia="zh-CN"/>
              </w:rPr>
              <w:t>）</w:t>
            </w:r>
          </w:p>
        </w:tc>
        <w:tc>
          <w:tcPr>
            <w:tcW w:w="2663" w:type="dxa"/>
            <w:vAlign w:val="center"/>
          </w:tcPr>
          <w:p w14:paraId="37BD80CC">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Times New Roman"/>
                <w:sz w:val="24"/>
                <w:szCs w:val="24"/>
                <w:lang w:eastAsia="zh-CN"/>
              </w:rPr>
            </w:pPr>
            <w:r>
              <w:rPr>
                <w:rFonts w:hint="eastAsia" w:ascii="宋体" w:hAnsi="宋体" w:cs="Times New Roman"/>
                <w:color w:val="000000" w:themeColor="text1"/>
                <w:sz w:val="24"/>
                <w:szCs w:val="24"/>
                <w:lang w:val="en-US" w:eastAsia="zh-CN"/>
                <w14:textFill>
                  <w14:solidFill>
                    <w14:schemeClr w14:val="tx1"/>
                  </w14:solidFill>
                </w14:textFill>
              </w:rPr>
              <w:t>合同履行期</w:t>
            </w:r>
          </w:p>
        </w:tc>
        <w:tc>
          <w:tcPr>
            <w:tcW w:w="2578" w:type="dxa"/>
            <w:vAlign w:val="center"/>
          </w:tcPr>
          <w:p w14:paraId="5E0CEAD6">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r>
              <w:rPr>
                <w:rFonts w:hint="eastAsia" w:ascii="宋体" w:hAnsi="宋体" w:cs="Times New Roman"/>
                <w:sz w:val="24"/>
                <w:szCs w:val="24"/>
              </w:rPr>
              <w:t>备注</w:t>
            </w:r>
          </w:p>
          <w:p w14:paraId="570867C6">
            <w:pPr>
              <w:keepNext w:val="0"/>
              <w:keepLines w:val="0"/>
              <w:suppressLineNumbers w:val="0"/>
              <w:kinsoku w:val="0"/>
              <w:spacing w:before="0" w:beforeAutospacing="0" w:after="0" w:afterAutospacing="0" w:line="500" w:lineRule="exact"/>
              <w:ind w:left="0" w:right="0"/>
              <w:jc w:val="center"/>
              <w:rPr>
                <w:rFonts w:hint="eastAsia" w:ascii="宋体" w:hAnsi="宋体" w:cs="Times New Roman"/>
                <w:sz w:val="24"/>
                <w:szCs w:val="24"/>
              </w:rPr>
            </w:pPr>
            <w:r>
              <w:rPr>
                <w:rFonts w:hint="eastAsia" w:ascii="宋体" w:hAnsi="宋体" w:cs="Times New Roman"/>
                <w:sz w:val="24"/>
                <w:szCs w:val="24"/>
              </w:rPr>
              <w:t>（小型、微型企业）</w:t>
            </w:r>
          </w:p>
        </w:tc>
      </w:tr>
      <w:tr w14:paraId="184E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2400" w:type="dxa"/>
            <w:vAlign w:val="center"/>
          </w:tcPr>
          <w:p w14:paraId="7C5ED678">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1875" w:type="dxa"/>
            <w:vAlign w:val="center"/>
          </w:tcPr>
          <w:p w14:paraId="08494979">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tc>
        <w:tc>
          <w:tcPr>
            <w:tcW w:w="2663" w:type="dxa"/>
            <w:vAlign w:val="center"/>
          </w:tcPr>
          <w:p w14:paraId="3943C112">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2578" w:type="dxa"/>
            <w:vAlign w:val="center"/>
          </w:tcPr>
          <w:p w14:paraId="7F7AC523">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r>
      <w:tr w14:paraId="70D3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516" w:type="dxa"/>
            <w:gridSpan w:val="4"/>
            <w:vAlign w:val="center"/>
          </w:tcPr>
          <w:p w14:paraId="1C9BF0BD">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sz w:val="24"/>
                <w:szCs w:val="24"/>
              </w:rPr>
              <w:t>投标</w:t>
            </w:r>
            <w:r>
              <w:rPr>
                <w:rFonts w:hint="eastAsia" w:ascii="宋体" w:hAnsi="宋体" w:cs="Times New Roman"/>
                <w:sz w:val="24"/>
                <w:szCs w:val="24"/>
                <w:lang w:eastAsia="zh-CN"/>
              </w:rPr>
              <w:t>总报价</w:t>
            </w:r>
            <w:r>
              <w:rPr>
                <w:rFonts w:hint="eastAsia" w:ascii="宋体" w:hAnsi="宋体" w:cs="Times New Roman"/>
                <w:sz w:val="24"/>
                <w:szCs w:val="24"/>
              </w:rPr>
              <w:t xml:space="preserve">：（大写）                                   </w:t>
            </w:r>
          </w:p>
        </w:tc>
      </w:tr>
      <w:tr w14:paraId="18C2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516" w:type="dxa"/>
            <w:gridSpan w:val="4"/>
            <w:vAlign w:val="center"/>
          </w:tcPr>
          <w:p w14:paraId="1523F09D">
            <w:pPr>
              <w:keepNext w:val="0"/>
              <w:keepLines w:val="0"/>
              <w:suppressLineNumbers w:val="0"/>
              <w:kinsoku w:val="0"/>
              <w:spacing w:before="0" w:beforeAutospacing="0" w:after="0" w:afterAutospacing="0" w:line="500" w:lineRule="exact"/>
              <w:ind w:left="0" w:right="0"/>
              <w:rPr>
                <w:rFonts w:hint="eastAsia" w:ascii="宋体" w:hAnsi="宋体" w:cs="Times New Roman"/>
                <w:sz w:val="24"/>
                <w:szCs w:val="24"/>
                <w:lang w:eastAsia="zh-CN"/>
              </w:rPr>
            </w:pPr>
            <w:r>
              <w:rPr>
                <w:rFonts w:hint="eastAsia" w:ascii="宋体" w:hAnsi="宋体" w:cs="Times New Roman"/>
                <w:sz w:val="24"/>
                <w:szCs w:val="24"/>
              </w:rPr>
              <w:t>备注：</w:t>
            </w:r>
            <w:r>
              <w:rPr>
                <w:rFonts w:hint="eastAsia" w:ascii="宋体" w:hAnsi="宋体" w:cs="Times New Roman"/>
                <w:sz w:val="24"/>
                <w:szCs w:val="24"/>
                <w:lang w:val="en-US" w:eastAsia="zh-CN"/>
              </w:rPr>
              <w:t>1.</w:t>
            </w:r>
            <w:r>
              <w:rPr>
                <w:rFonts w:hint="eastAsia" w:ascii="宋体" w:hAnsi="宋体" w:cs="Times New Roman"/>
                <w:sz w:val="24"/>
                <w:szCs w:val="24"/>
              </w:rPr>
              <w:t>表内</w:t>
            </w:r>
            <w:r>
              <w:rPr>
                <w:rFonts w:hint="eastAsia" w:ascii="宋体" w:hAnsi="宋体" w:cs="Times New Roman"/>
                <w:sz w:val="24"/>
                <w:szCs w:val="24"/>
                <w:lang w:eastAsia="zh-CN"/>
              </w:rPr>
              <w:t>投标</w:t>
            </w:r>
            <w:r>
              <w:rPr>
                <w:rFonts w:hint="eastAsia" w:ascii="宋体" w:hAnsi="宋体" w:cs="Times New Roman"/>
                <w:sz w:val="24"/>
                <w:szCs w:val="24"/>
              </w:rPr>
              <w:t>报价</w:t>
            </w:r>
            <w:r>
              <w:rPr>
                <w:rFonts w:hint="eastAsia" w:ascii="宋体" w:hAnsi="宋体" w:cs="Times New Roman"/>
                <w:sz w:val="24"/>
                <w:szCs w:val="24"/>
                <w:lang w:eastAsia="zh-CN"/>
              </w:rPr>
              <w:t>以元为单位，保留小数点后两位。</w:t>
            </w:r>
          </w:p>
          <w:p w14:paraId="3A3A946D">
            <w:pPr>
              <w:keepNext w:val="0"/>
              <w:keepLines w:val="0"/>
              <w:suppressLineNumbers w:val="0"/>
              <w:kinsoku w:val="0"/>
              <w:spacing w:before="0" w:beforeAutospacing="0" w:after="0" w:afterAutospacing="0" w:line="500" w:lineRule="exact"/>
              <w:ind w:left="0" w:right="0" w:firstLine="720" w:firstLineChars="300"/>
              <w:rPr>
                <w:rFonts w:hint="default" w:ascii="宋体" w:hAnsi="宋体" w:cs="Times New Roman"/>
                <w:sz w:val="24"/>
                <w:szCs w:val="24"/>
                <w:lang w:val="en-US"/>
              </w:rPr>
            </w:pPr>
            <w:r>
              <w:rPr>
                <w:rFonts w:hint="eastAsia" w:ascii="宋体" w:hAnsi="宋体" w:cs="Times New Roman"/>
                <w:sz w:val="24"/>
                <w:szCs w:val="24"/>
                <w:lang w:val="en-US" w:eastAsia="zh-CN"/>
              </w:rPr>
              <w:t>2.投标人所报的价格应考虑到可能发生的所有与完成本项目相关服务及履行合同义务有关的一切费用。</w:t>
            </w:r>
          </w:p>
        </w:tc>
      </w:tr>
    </w:tbl>
    <w:p w14:paraId="2EA7089A">
      <w:pPr>
        <w:kinsoku w:val="0"/>
        <w:spacing w:line="360" w:lineRule="auto"/>
        <w:jc w:val="left"/>
        <w:rPr>
          <w:rFonts w:ascii="宋体" w:cs="Times New Roman"/>
          <w:sz w:val="24"/>
          <w:szCs w:val="24"/>
        </w:rPr>
      </w:pPr>
    </w:p>
    <w:p w14:paraId="5F559E3B">
      <w:pPr>
        <w:pStyle w:val="5"/>
        <w:rPr>
          <w:rFonts w:ascii="宋体" w:cs="Times New Roman"/>
          <w:sz w:val="24"/>
          <w:szCs w:val="24"/>
        </w:rPr>
      </w:pPr>
    </w:p>
    <w:p w14:paraId="711EFE5C">
      <w:pPr>
        <w:rPr>
          <w:rFonts w:ascii="宋体" w:cs="Times New Roman"/>
          <w:sz w:val="24"/>
          <w:szCs w:val="24"/>
        </w:rPr>
      </w:pPr>
    </w:p>
    <w:p w14:paraId="4F33198B">
      <w:pPr>
        <w:pStyle w:val="5"/>
      </w:pPr>
    </w:p>
    <w:p w14:paraId="587E9CD0">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48FAD3B6">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63972E18">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41941484">
      <w:pPr>
        <w:kinsoku w:val="0"/>
        <w:spacing w:line="480" w:lineRule="auto"/>
        <w:jc w:val="left"/>
        <w:rPr>
          <w:rFonts w:ascii="宋体" w:cs="Times New Roman"/>
          <w:sz w:val="24"/>
          <w:szCs w:val="24"/>
        </w:rPr>
      </w:pPr>
    </w:p>
    <w:p w14:paraId="38657CBF">
      <w:pPr>
        <w:pStyle w:val="3"/>
        <w:rPr>
          <w:rFonts w:hint="eastAsia" w:ascii="宋体" w:hAnsi="宋体" w:cs="宋体"/>
        </w:rPr>
        <w:sectPr>
          <w:pgSz w:w="11906" w:h="16838"/>
          <w:pgMar w:top="1417" w:right="1417" w:bottom="1417" w:left="1417" w:header="1134" w:footer="720" w:gutter="0"/>
          <w:pgNumType w:fmt="decimal"/>
          <w:cols w:space="0" w:num="1"/>
          <w:rtlGutter w:val="0"/>
          <w:docGrid w:linePitch="326" w:charSpace="0"/>
        </w:sectPr>
      </w:pPr>
      <w:bookmarkStart w:id="171" w:name="_Toc484890088"/>
      <w:bookmarkStart w:id="172" w:name="_Toc15021755"/>
      <w:bookmarkStart w:id="173" w:name="_Toc19543351"/>
    </w:p>
    <w:p w14:paraId="4008D1D3">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 xml:space="preserve">  </w:t>
      </w:r>
      <w:bookmarkEnd w:id="171"/>
      <w:bookmarkEnd w:id="172"/>
      <w:r>
        <w:rPr>
          <w:rFonts w:hint="eastAsia" w:ascii="宋体" w:hAnsi="宋体" w:eastAsia="宋体" w:cs="宋体"/>
          <w:b/>
          <w:bCs w:val="0"/>
          <w:color w:val="auto"/>
          <w:sz w:val="28"/>
          <w:szCs w:val="28"/>
          <w:u w:val="none"/>
          <w:lang w:val="en-US" w:eastAsia="zh-CN"/>
        </w:rPr>
        <w:t>投标分项报价表</w:t>
      </w:r>
      <w:bookmarkEnd w:id="173"/>
    </w:p>
    <w:p w14:paraId="48A3ADFF">
      <w:pPr>
        <w:spacing w:line="360" w:lineRule="auto"/>
        <w:ind w:firstLine="211"/>
        <w:rPr>
          <w:rFonts w:hint="eastAsia" w:ascii="宋体" w:hAnsi="宋体" w:eastAsia="宋体" w:cs="宋体"/>
          <w:sz w:val="24"/>
          <w:szCs w:val="24"/>
        </w:rPr>
      </w:pPr>
      <w:r>
        <w:rPr>
          <w:rFonts w:hint="eastAsia" w:ascii="宋体" w:hAnsi="宋体" w:cs="宋体"/>
          <w:sz w:val="24"/>
          <w:szCs w:val="24"/>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单位：元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共   页     第   页</w:t>
      </w:r>
    </w:p>
    <w:tbl>
      <w:tblPr>
        <w:tblStyle w:val="34"/>
        <w:tblW w:w="9189" w:type="dxa"/>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7"/>
        <w:gridCol w:w="2248"/>
        <w:gridCol w:w="1758"/>
        <w:gridCol w:w="1455"/>
        <w:gridCol w:w="1425"/>
        <w:gridCol w:w="1576"/>
      </w:tblGrid>
      <w:tr w14:paraId="3EFC75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727" w:type="dxa"/>
            <w:vAlign w:val="center"/>
          </w:tcPr>
          <w:p w14:paraId="5285D206">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248" w:type="dxa"/>
            <w:vAlign w:val="center"/>
          </w:tcPr>
          <w:p w14:paraId="1D7EFC84">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服务内容</w:t>
            </w:r>
          </w:p>
        </w:tc>
        <w:tc>
          <w:tcPr>
            <w:tcW w:w="1758" w:type="dxa"/>
            <w:vAlign w:val="center"/>
          </w:tcPr>
          <w:p w14:paraId="72F06257">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455" w:type="dxa"/>
            <w:vAlign w:val="center"/>
          </w:tcPr>
          <w:p w14:paraId="04FEFE90">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单价</w:t>
            </w:r>
          </w:p>
        </w:tc>
        <w:tc>
          <w:tcPr>
            <w:tcW w:w="1425" w:type="dxa"/>
            <w:vAlign w:val="center"/>
          </w:tcPr>
          <w:p w14:paraId="1BC9FDF8">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总价</w:t>
            </w:r>
          </w:p>
        </w:tc>
        <w:tc>
          <w:tcPr>
            <w:tcW w:w="1576" w:type="dxa"/>
            <w:vAlign w:val="center"/>
          </w:tcPr>
          <w:p w14:paraId="17DFBA7B">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rPr>
            </w:pPr>
          </w:p>
          <w:p w14:paraId="1CE84246">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备注</w:t>
            </w:r>
          </w:p>
          <w:p w14:paraId="7D735355">
            <w:pPr>
              <w:keepNext w:val="0"/>
              <w:keepLines w:val="0"/>
              <w:suppressLineNumbers w:val="0"/>
              <w:snapToGrid w:val="0"/>
              <w:spacing w:before="0" w:beforeAutospacing="0" w:after="0" w:afterAutospacing="0"/>
              <w:ind w:left="0" w:right="0"/>
              <w:jc w:val="center"/>
              <w:rPr>
                <w:rFonts w:hint="eastAsia" w:ascii="宋体" w:hAnsi="宋体" w:eastAsia="宋体" w:cs="宋体"/>
                <w:sz w:val="24"/>
                <w:szCs w:val="24"/>
              </w:rPr>
            </w:pPr>
          </w:p>
        </w:tc>
      </w:tr>
      <w:tr w14:paraId="211F08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vAlign w:val="center"/>
          </w:tcPr>
          <w:p w14:paraId="16D872BD">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248" w:type="dxa"/>
            <w:vAlign w:val="center"/>
          </w:tcPr>
          <w:p w14:paraId="391925DA">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758" w:type="dxa"/>
            <w:vAlign w:val="center"/>
          </w:tcPr>
          <w:p w14:paraId="746BADA6">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55" w:type="dxa"/>
            <w:vAlign w:val="center"/>
          </w:tcPr>
          <w:p w14:paraId="665E23B7">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25" w:type="dxa"/>
            <w:vAlign w:val="center"/>
          </w:tcPr>
          <w:p w14:paraId="2A398DA2">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576" w:type="dxa"/>
            <w:vAlign w:val="center"/>
          </w:tcPr>
          <w:p w14:paraId="2D1A684C">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235CA6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vAlign w:val="center"/>
          </w:tcPr>
          <w:p w14:paraId="6226CD8F">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248" w:type="dxa"/>
            <w:vAlign w:val="center"/>
          </w:tcPr>
          <w:p w14:paraId="43028AF6">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758" w:type="dxa"/>
            <w:vAlign w:val="center"/>
          </w:tcPr>
          <w:p w14:paraId="6D66809A">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55" w:type="dxa"/>
            <w:vAlign w:val="center"/>
          </w:tcPr>
          <w:p w14:paraId="78495D7E">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25" w:type="dxa"/>
            <w:vAlign w:val="center"/>
          </w:tcPr>
          <w:p w14:paraId="6775CDD1">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576" w:type="dxa"/>
            <w:vAlign w:val="center"/>
          </w:tcPr>
          <w:p w14:paraId="70E198A5">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563090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vAlign w:val="center"/>
          </w:tcPr>
          <w:p w14:paraId="11E6CB98">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248" w:type="dxa"/>
            <w:vAlign w:val="center"/>
          </w:tcPr>
          <w:p w14:paraId="1450FBDA">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758" w:type="dxa"/>
            <w:vAlign w:val="center"/>
          </w:tcPr>
          <w:p w14:paraId="1C6BBB2D">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55" w:type="dxa"/>
            <w:vAlign w:val="center"/>
          </w:tcPr>
          <w:p w14:paraId="696EE4C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25" w:type="dxa"/>
            <w:vAlign w:val="center"/>
          </w:tcPr>
          <w:p w14:paraId="3DBA0B2B">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576" w:type="dxa"/>
            <w:vAlign w:val="center"/>
          </w:tcPr>
          <w:p w14:paraId="2B095C7B">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7A64F4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vAlign w:val="center"/>
          </w:tcPr>
          <w:p w14:paraId="005C892C">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248" w:type="dxa"/>
            <w:vAlign w:val="center"/>
          </w:tcPr>
          <w:p w14:paraId="5B55C4CA">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758" w:type="dxa"/>
            <w:vAlign w:val="center"/>
          </w:tcPr>
          <w:p w14:paraId="5730CEC7">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55" w:type="dxa"/>
            <w:vAlign w:val="center"/>
          </w:tcPr>
          <w:p w14:paraId="74A834E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25" w:type="dxa"/>
            <w:vAlign w:val="center"/>
          </w:tcPr>
          <w:p w14:paraId="2F8175E1">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576" w:type="dxa"/>
            <w:vAlign w:val="center"/>
          </w:tcPr>
          <w:p w14:paraId="7857E513">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64ABB7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vAlign w:val="center"/>
          </w:tcPr>
          <w:p w14:paraId="2BB9BA2E">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248" w:type="dxa"/>
            <w:vAlign w:val="center"/>
          </w:tcPr>
          <w:p w14:paraId="107715C7">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758" w:type="dxa"/>
            <w:vAlign w:val="center"/>
          </w:tcPr>
          <w:p w14:paraId="24BBCF0D">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55" w:type="dxa"/>
            <w:vAlign w:val="center"/>
          </w:tcPr>
          <w:p w14:paraId="1E91FBA6">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25" w:type="dxa"/>
            <w:vAlign w:val="center"/>
          </w:tcPr>
          <w:p w14:paraId="453C4ED8">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576" w:type="dxa"/>
            <w:vAlign w:val="center"/>
          </w:tcPr>
          <w:p w14:paraId="330FE019">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4E2A4D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vAlign w:val="center"/>
          </w:tcPr>
          <w:p w14:paraId="5A183B96">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248" w:type="dxa"/>
            <w:vAlign w:val="center"/>
          </w:tcPr>
          <w:p w14:paraId="02F99394">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758" w:type="dxa"/>
            <w:vAlign w:val="center"/>
          </w:tcPr>
          <w:p w14:paraId="56F2DA19">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55" w:type="dxa"/>
            <w:vAlign w:val="center"/>
          </w:tcPr>
          <w:p w14:paraId="12EA10A5">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25" w:type="dxa"/>
            <w:vAlign w:val="center"/>
          </w:tcPr>
          <w:p w14:paraId="1C5737ED">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576" w:type="dxa"/>
            <w:vAlign w:val="center"/>
          </w:tcPr>
          <w:p w14:paraId="4910518E">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7DA4A0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vAlign w:val="center"/>
          </w:tcPr>
          <w:p w14:paraId="13232739">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248" w:type="dxa"/>
            <w:vAlign w:val="center"/>
          </w:tcPr>
          <w:p w14:paraId="73A90AC2">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758" w:type="dxa"/>
            <w:vAlign w:val="center"/>
          </w:tcPr>
          <w:p w14:paraId="5A5134C1">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55" w:type="dxa"/>
            <w:vAlign w:val="center"/>
          </w:tcPr>
          <w:p w14:paraId="5AFD6A9F">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25" w:type="dxa"/>
            <w:vAlign w:val="center"/>
          </w:tcPr>
          <w:p w14:paraId="64F756E3">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576" w:type="dxa"/>
            <w:vAlign w:val="center"/>
          </w:tcPr>
          <w:p w14:paraId="386E46A8">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1AC1CC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vAlign w:val="center"/>
          </w:tcPr>
          <w:p w14:paraId="0D4C21B3">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248" w:type="dxa"/>
            <w:vAlign w:val="center"/>
          </w:tcPr>
          <w:p w14:paraId="3EACD974">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758" w:type="dxa"/>
            <w:vAlign w:val="center"/>
          </w:tcPr>
          <w:p w14:paraId="5A28650E">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55" w:type="dxa"/>
            <w:vAlign w:val="center"/>
          </w:tcPr>
          <w:p w14:paraId="53835DC8">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25" w:type="dxa"/>
            <w:vAlign w:val="center"/>
          </w:tcPr>
          <w:p w14:paraId="1A1A7431">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576" w:type="dxa"/>
            <w:vAlign w:val="center"/>
          </w:tcPr>
          <w:p w14:paraId="6BB310E5">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486673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7" w:type="dxa"/>
            <w:vAlign w:val="center"/>
          </w:tcPr>
          <w:p w14:paraId="6A8A02A4">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2248" w:type="dxa"/>
            <w:vAlign w:val="center"/>
          </w:tcPr>
          <w:p w14:paraId="54766FA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758" w:type="dxa"/>
            <w:vAlign w:val="center"/>
          </w:tcPr>
          <w:p w14:paraId="0F9A906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55" w:type="dxa"/>
            <w:vAlign w:val="center"/>
          </w:tcPr>
          <w:p w14:paraId="1C9688F7">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425" w:type="dxa"/>
            <w:vAlign w:val="center"/>
          </w:tcPr>
          <w:p w14:paraId="0FC43117">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576" w:type="dxa"/>
            <w:vAlign w:val="center"/>
          </w:tcPr>
          <w:p w14:paraId="3749C75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3B8CB6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188" w:type="dxa"/>
            <w:gridSpan w:val="4"/>
            <w:vAlign w:val="center"/>
          </w:tcPr>
          <w:p w14:paraId="5317C7FC">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总计（大写）：</w:t>
            </w:r>
          </w:p>
        </w:tc>
        <w:tc>
          <w:tcPr>
            <w:tcW w:w="3001" w:type="dxa"/>
            <w:gridSpan w:val="2"/>
            <w:vAlign w:val="center"/>
          </w:tcPr>
          <w:p w14:paraId="64887CF3">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小写：</w:t>
            </w:r>
          </w:p>
        </w:tc>
      </w:tr>
    </w:tbl>
    <w:p w14:paraId="1A5629B5">
      <w:pPr>
        <w:spacing w:line="360" w:lineRule="auto"/>
        <w:rPr>
          <w:rFonts w:hint="eastAsia" w:ascii="宋体" w:hAnsi="宋体" w:eastAsia="宋体" w:cs="宋体"/>
          <w:sz w:val="24"/>
          <w:szCs w:val="24"/>
        </w:rPr>
      </w:pPr>
    </w:p>
    <w:p w14:paraId="1192C14D">
      <w:pPr>
        <w:spacing w:line="360" w:lineRule="auto"/>
        <w:rPr>
          <w:rFonts w:hint="eastAsia" w:ascii="宋体" w:hAnsi="宋体" w:eastAsia="宋体" w:cs="宋体"/>
          <w:sz w:val="24"/>
          <w:szCs w:val="24"/>
        </w:rPr>
      </w:pPr>
      <w:r>
        <w:rPr>
          <w:rFonts w:hint="eastAsia" w:ascii="宋体" w:hAnsi="宋体" w:eastAsia="宋体" w:cs="宋体"/>
          <w:sz w:val="24"/>
          <w:szCs w:val="24"/>
        </w:rPr>
        <w:t>注：1.投标人可根据实际情况自行扩展表格细项。</w:t>
      </w:r>
    </w:p>
    <w:p w14:paraId="704E29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2.所投货币为人民币。</w:t>
      </w:r>
    </w:p>
    <w:p w14:paraId="40C9BDFD">
      <w:pPr>
        <w:pStyle w:val="22"/>
        <w:rPr>
          <w:rFonts w:hint="eastAsia" w:ascii="宋体" w:hAnsi="宋体" w:eastAsia="宋体" w:cs="宋体"/>
          <w:sz w:val="24"/>
          <w:szCs w:val="24"/>
        </w:rPr>
      </w:pPr>
    </w:p>
    <w:p w14:paraId="710D3A34">
      <w:pPr>
        <w:pStyle w:val="22"/>
        <w:rPr>
          <w:rFonts w:hint="eastAsia" w:ascii="宋体" w:hAnsi="宋体" w:eastAsia="宋体" w:cs="宋体"/>
          <w:sz w:val="24"/>
          <w:szCs w:val="24"/>
        </w:rPr>
      </w:pPr>
    </w:p>
    <w:p w14:paraId="7D1C09C3">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06DDDC41">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491DC176">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期：_______年_______月_______日</w:t>
      </w:r>
    </w:p>
    <w:p w14:paraId="6AE5E4DD">
      <w:pPr>
        <w:pStyle w:val="3"/>
        <w:pageBreakBefore/>
        <w:jc w:val="center"/>
        <w:rPr>
          <w:rFonts w:hint="eastAsia" w:ascii="Calibri Light" w:hAnsi="Calibri Light" w:cs="Times New Roman"/>
          <w:sz w:val="32"/>
          <w:szCs w:val="32"/>
        </w:rPr>
        <w:sectPr>
          <w:headerReference r:id="rId18" w:type="first"/>
          <w:footerReference r:id="rId20" w:type="first"/>
          <w:headerReference r:id="rId17" w:type="default"/>
          <w:footerReference r:id="rId19" w:type="default"/>
          <w:pgSz w:w="11906" w:h="16838"/>
          <w:pgMar w:top="1417" w:right="1417" w:bottom="1417" w:left="1417" w:header="1134" w:footer="720" w:gutter="0"/>
          <w:pgNumType w:fmt="decimal"/>
          <w:cols w:space="0" w:num="1"/>
          <w:rtlGutter w:val="0"/>
          <w:docGrid w:linePitch="326" w:charSpace="0"/>
        </w:sectPr>
      </w:pPr>
      <w:bookmarkStart w:id="174" w:name="_Toc11309"/>
    </w:p>
    <w:p w14:paraId="1F9BA3A1">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第三章 供应商</w:t>
      </w:r>
      <w:r>
        <w:rPr>
          <w:rFonts w:hint="eastAsia" w:ascii="宋体" w:hAnsi="宋体" w:cs="宋体"/>
          <w:b/>
          <w:bCs w:val="0"/>
          <w:color w:val="auto"/>
          <w:sz w:val="36"/>
          <w:szCs w:val="36"/>
          <w:u w:val="none"/>
          <w:lang w:val="en-US" w:eastAsia="zh-CN"/>
        </w:rPr>
        <w:t>资格证明文件</w:t>
      </w:r>
    </w:p>
    <w:p w14:paraId="24544CE0">
      <w:pPr>
        <w:keepNext w:val="0"/>
        <w:keepLines w:val="0"/>
        <w:pageBreakBefore w:val="0"/>
        <w:widowControl w:val="0"/>
        <w:tabs>
          <w:tab w:val="left" w:pos="567"/>
        </w:tabs>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417535E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lang w:eastAsia="zh-CN"/>
        </w:rPr>
        <w:t>2.</w:t>
      </w:r>
      <w:r>
        <w:rPr>
          <w:rFonts w:hint="eastAsia" w:ascii="宋体" w:hAnsi="宋体" w:cs="宋体"/>
          <w:color w:val="auto"/>
          <w:kern w:val="0"/>
          <w:sz w:val="24"/>
          <w:szCs w:val="24"/>
        </w:rPr>
        <w:t>法定代表人授权书及被授权人身份证（法定代表人直接投标</w:t>
      </w:r>
      <w:r>
        <w:rPr>
          <w:rFonts w:hint="eastAsia" w:ascii="宋体" w:hAnsi="宋体" w:cs="宋体"/>
          <w:color w:val="auto"/>
          <w:kern w:val="0"/>
          <w:sz w:val="24"/>
          <w:szCs w:val="24"/>
          <w:lang w:eastAsia="zh-CN"/>
        </w:rPr>
        <w:t>只需</w:t>
      </w:r>
      <w:r>
        <w:rPr>
          <w:rFonts w:hint="eastAsia" w:ascii="宋体" w:hAnsi="宋体" w:cs="宋体"/>
          <w:color w:val="auto"/>
          <w:kern w:val="0"/>
          <w:sz w:val="24"/>
          <w:szCs w:val="24"/>
        </w:rPr>
        <w:t>提交其身份证原件）</w:t>
      </w:r>
      <w:r>
        <w:rPr>
          <w:rFonts w:hint="eastAsia" w:ascii="宋体" w:hAnsi="宋体" w:cs="宋体"/>
          <w:color w:val="auto"/>
          <w:kern w:val="0"/>
          <w:sz w:val="24"/>
          <w:szCs w:val="24"/>
          <w:lang w:eastAsia="zh-CN"/>
        </w:rPr>
        <w:t>。</w:t>
      </w:r>
    </w:p>
    <w:p w14:paraId="4E61E771">
      <w:pPr>
        <w:keepNext w:val="0"/>
        <w:keepLines w:val="0"/>
        <w:pageBreakBefore w:val="0"/>
        <w:tabs>
          <w:tab w:val="center" w:pos="4153"/>
          <w:tab w:val="right" w:pos="8306"/>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查询结果为准（查询日期为从招标文件获取之日起至投标截止日前，评标现场通过网站对信用记录进行核实）。</w:t>
      </w:r>
    </w:p>
    <w:p w14:paraId="0F2BE3AF">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5C1D4E91">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5.</w:t>
      </w:r>
      <w:r>
        <w:rPr>
          <w:rFonts w:hint="eastAsia" w:ascii="宋体" w:hAnsi="宋体" w:cs="宋体"/>
          <w:color w:val="auto"/>
          <w:sz w:val="24"/>
          <w:szCs w:val="24"/>
          <w:lang w:val="en-US" w:eastAsia="zh-CN"/>
        </w:rPr>
        <w:t>财务状况报告：提供2024年度经审计的财务审计报告或投标截止时间前六个月内基本开户银行出具的资信证明（成立时间至提交响应文件截止时间不足一年的可提供成立后任意时段的资产负债表）。</w:t>
      </w:r>
    </w:p>
    <w:p w14:paraId="5E74EBF6">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提供202</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10</w:t>
      </w:r>
      <w:r>
        <w:rPr>
          <w:rFonts w:hint="eastAsia" w:ascii="宋体" w:hAnsi="宋体" w:cs="宋体"/>
          <w:color w:val="auto"/>
          <w:sz w:val="24"/>
          <w:szCs w:val="24"/>
          <w:lang w:eastAsia="zh-CN"/>
        </w:rPr>
        <w:t>月至今任意</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490FE46D">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提供2024年</w:t>
      </w:r>
      <w:r>
        <w:rPr>
          <w:rFonts w:hint="eastAsia" w:ascii="宋体" w:hAnsi="宋体" w:cs="宋体"/>
          <w:color w:val="auto"/>
          <w:sz w:val="24"/>
          <w:szCs w:val="24"/>
          <w:lang w:val="en-US" w:eastAsia="zh-CN"/>
        </w:rPr>
        <w:t>10</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（成立时间至提交响应文件截止时间不足三个月的可不提供）</w:t>
      </w:r>
      <w:r>
        <w:rPr>
          <w:rFonts w:hint="eastAsia" w:ascii="宋体" w:hAnsi="宋体" w:cs="宋体"/>
          <w:color w:val="auto"/>
          <w:sz w:val="24"/>
          <w:szCs w:val="24"/>
        </w:rPr>
        <w:t>。</w:t>
      </w:r>
    </w:p>
    <w:p w14:paraId="6EA0373A">
      <w:pPr>
        <w:keepNext w:val="0"/>
        <w:keepLines w:val="0"/>
        <w:pageBreakBefore w:val="0"/>
        <w:kinsoku/>
        <w:wordWrap/>
        <w:overflowPunct/>
        <w:topLinePunct w:val="0"/>
        <w:autoSpaceDE/>
        <w:autoSpaceDN/>
        <w:bidi w:val="0"/>
        <w:adjustRightInd/>
        <w:spacing w:line="48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8.具备合法有效的CMA检验检测机构资质认定证书、CATL农产品质量安全检测机构考核合格证书。</w:t>
      </w:r>
    </w:p>
    <w:p w14:paraId="4C57E7FD">
      <w:pPr>
        <w:keepNext w:val="0"/>
        <w:keepLines w:val="0"/>
        <w:pageBreakBefore w:val="0"/>
        <w:kinsoku/>
        <w:wordWrap/>
        <w:overflowPunct/>
        <w:topLinePunct w:val="0"/>
        <w:autoSpaceDE/>
        <w:autoSpaceDN/>
        <w:bidi w:val="0"/>
        <w:adjustRightInd/>
        <w:spacing w:line="48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9.提供具有履行合同</w:t>
      </w:r>
      <w:r>
        <w:rPr>
          <w:rFonts w:hint="eastAsia" w:ascii="宋体" w:hAnsi="宋体" w:eastAsia="宋体" w:cs="宋体"/>
          <w:color w:val="auto"/>
          <w:kern w:val="2"/>
          <w:sz w:val="24"/>
          <w:szCs w:val="24"/>
          <w:lang w:val="en-US" w:eastAsia="zh-CN" w:bidi="ar-SA"/>
        </w:rPr>
        <w:t>所必需的设备和专业技术能力的承诺书</w:t>
      </w:r>
      <w:r>
        <w:rPr>
          <w:rFonts w:hint="eastAsia" w:ascii="宋体" w:hAnsi="宋体" w:cs="宋体"/>
          <w:color w:val="auto"/>
          <w:kern w:val="2"/>
          <w:sz w:val="24"/>
          <w:szCs w:val="24"/>
          <w:lang w:val="en-US" w:eastAsia="zh-CN" w:bidi="ar-SA"/>
        </w:rPr>
        <w:t>（格式自拟）。</w:t>
      </w:r>
    </w:p>
    <w:p w14:paraId="08238245">
      <w:pPr>
        <w:keepNext w:val="0"/>
        <w:keepLines w:val="0"/>
        <w:pageBreakBefore w:val="0"/>
        <w:kinsoku/>
        <w:wordWrap/>
        <w:overflowPunct/>
        <w:topLinePunct w:val="0"/>
        <w:autoSpaceDE/>
        <w:autoSpaceDN/>
        <w:bidi w:val="0"/>
        <w:adjustRightInd/>
        <w:spacing w:line="480" w:lineRule="exact"/>
        <w:ind w:left="0" w:leftChars="0" w:firstLine="481"/>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10.</w:t>
      </w:r>
      <w:r>
        <w:rPr>
          <w:rFonts w:hint="eastAsia" w:ascii="宋体" w:hAnsi="宋体" w:eastAsia="宋体" w:cs="宋体"/>
          <w:color w:val="auto"/>
          <w:kern w:val="0"/>
          <w:sz w:val="24"/>
          <w:szCs w:val="24"/>
          <w:lang w:val="en-US" w:eastAsia="zh-CN" w:bidi="ar-SA"/>
        </w:rPr>
        <w:t>本项目专门面向中小企业采购，投标人须提供《中小企业声明函》。</w:t>
      </w:r>
    </w:p>
    <w:p w14:paraId="476CDB7A">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5BAF8412">
      <w:pPr>
        <w:pStyle w:val="44"/>
        <w:rPr>
          <w:rFonts w:hint="eastAsia" w:ascii="宋体" w:hAnsi="宋体" w:eastAsia="宋体" w:cs="宋体"/>
          <w:color w:val="000000"/>
          <w:kern w:val="0"/>
          <w:sz w:val="24"/>
          <w:szCs w:val="24"/>
        </w:rPr>
      </w:pPr>
    </w:p>
    <w:p w14:paraId="012D32C4">
      <w:pPr>
        <w:pStyle w:val="44"/>
        <w:rPr>
          <w:rFonts w:hint="eastAsia" w:ascii="宋体" w:hAnsi="宋体" w:eastAsia="宋体" w:cs="宋体"/>
          <w:color w:val="000000"/>
          <w:kern w:val="0"/>
          <w:sz w:val="24"/>
          <w:szCs w:val="24"/>
        </w:rPr>
      </w:pPr>
    </w:p>
    <w:p w14:paraId="560814CD">
      <w:pPr>
        <w:tabs>
          <w:tab w:val="left" w:pos="210"/>
        </w:tabs>
        <w:spacing w:line="420" w:lineRule="exact"/>
        <w:jc w:val="center"/>
        <w:rPr>
          <w:rFonts w:ascii="宋体" w:hAnsi="宋体" w:cs="Arial"/>
          <w:b/>
          <w:color w:val="000000"/>
          <w:kern w:val="0"/>
          <w:sz w:val="32"/>
          <w:szCs w:val="32"/>
        </w:rPr>
      </w:pPr>
      <w:r>
        <w:rPr>
          <w:rFonts w:hint="eastAsia" w:ascii="宋体" w:hAnsi="宋体" w:cs="Arial"/>
          <w:b/>
          <w:color w:val="000000"/>
          <w:kern w:val="0"/>
          <w:sz w:val="32"/>
          <w:szCs w:val="32"/>
        </w:rPr>
        <w:t>法定代表人证明书</w:t>
      </w:r>
    </w:p>
    <w:p w14:paraId="717B4DF4">
      <w:pPr>
        <w:tabs>
          <w:tab w:val="left" w:pos="210"/>
        </w:tabs>
        <w:spacing w:line="320" w:lineRule="exact"/>
        <w:jc w:val="center"/>
        <w:rPr>
          <w:rFonts w:ascii="宋体" w:hAnsi="宋体" w:cs="Arial"/>
          <w:b/>
          <w:color w:val="000000"/>
          <w:kern w:val="0"/>
          <w:sz w:val="32"/>
          <w:szCs w:val="32"/>
        </w:rPr>
      </w:pPr>
    </w:p>
    <w:tbl>
      <w:tblPr>
        <w:tblStyle w:val="34"/>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136E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6967B6E6">
            <w:pPr>
              <w:keepNext w:val="0"/>
              <w:keepLines w:val="0"/>
              <w:suppressLineNumbers w:val="0"/>
              <w:tabs>
                <w:tab w:val="left" w:pos="210"/>
              </w:tabs>
              <w:spacing w:before="0" w:beforeAutospacing="0" w:after="0" w:afterAutospacing="0" w:line="320" w:lineRule="exact"/>
              <w:ind w:left="0" w:right="0"/>
              <w:rPr>
                <w:rFonts w:hint="default" w:ascii="宋体" w:hAnsi="宋体" w:eastAsia="宋体" w:cs="Arial"/>
                <w:color w:val="000000"/>
                <w:kern w:val="0"/>
                <w:sz w:val="24"/>
                <w:szCs w:val="24"/>
                <w:lang w:val="en-US" w:eastAsia="zh-CN"/>
              </w:rPr>
            </w:pPr>
            <w:r>
              <w:rPr>
                <w:rFonts w:hint="eastAsia" w:ascii="宋体" w:hAnsi="宋体" w:cs="Arial"/>
                <w:color w:val="000000"/>
                <w:kern w:val="0"/>
                <w:sz w:val="24"/>
                <w:szCs w:val="24"/>
              </w:rPr>
              <w:t>致：</w:t>
            </w:r>
            <w:r>
              <w:rPr>
                <w:rFonts w:hint="eastAsia" w:ascii="宋体" w:hAnsi="宋体" w:cs="Arial"/>
                <w:color w:val="000000"/>
                <w:kern w:val="0"/>
                <w:sz w:val="24"/>
                <w:szCs w:val="24"/>
                <w:lang w:val="en-US" w:eastAsia="zh-CN"/>
              </w:rPr>
              <w:t>安康尚昊招标代理有限公司</w:t>
            </w:r>
          </w:p>
        </w:tc>
      </w:tr>
      <w:tr w14:paraId="26F1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2A042D7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3BE8CE5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44C4DA2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1B41E8D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61E9ACD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6F2BA9A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24A83F5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EFEA55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7FC894B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3A47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0284430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36FE41A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3A386E6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4B58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422E8B8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7581E2F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0F32030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51F6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030879B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384F3DB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21EBDF8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569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0172DC5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4F39101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1C51CA56">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4E08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4239BC7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78060B7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712B74A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BCA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13799AA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51310BA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6862CD5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6BDBAFE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7F4C4BE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1387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131388D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86730B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486063C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6E05561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2609002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845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1B265F5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6C83F0E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6A094B7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37E1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64DB23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5D42446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5783886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3E90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28FCD84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6B1FD46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4D67BFC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3545161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5BFF945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5CBEDF6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0209F07A">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79E9507B">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bookmarkStart w:id="175" w:name="_Toc19543356"/>
    </w:p>
    <w:p w14:paraId="5527056E">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法定代表人授权书</w:t>
      </w:r>
      <w:bookmarkEnd w:id="175"/>
    </w:p>
    <w:p w14:paraId="50A13C8D">
      <w:pPr>
        <w:pStyle w:val="17"/>
        <w:spacing w:line="400" w:lineRule="exact"/>
        <w:jc w:val="left"/>
        <w:rPr>
          <w:rFonts w:hAnsi="宋体" w:cs="Times New Roman"/>
          <w:sz w:val="24"/>
          <w:szCs w:val="24"/>
        </w:rPr>
      </w:pPr>
      <w:r>
        <w:rPr>
          <w:rFonts w:hint="eastAsia" w:hAnsi="宋体"/>
          <w:sz w:val="24"/>
          <w:szCs w:val="24"/>
        </w:rPr>
        <w:t>安康尚昊招标代理有限公司：</w:t>
      </w:r>
    </w:p>
    <w:p w14:paraId="422DA77B">
      <w:pPr>
        <w:tabs>
          <w:tab w:val="left" w:pos="8820"/>
        </w:tabs>
        <w:spacing w:line="400" w:lineRule="exact"/>
        <w:ind w:firstLine="570"/>
        <w:rPr>
          <w:rFonts w:ascii="宋体" w:cs="Times New Roman"/>
          <w:sz w:val="24"/>
          <w:szCs w:val="24"/>
          <w:u w:val="single"/>
        </w:rPr>
      </w:pPr>
      <w:r>
        <w:rPr>
          <w:rFonts w:hint="eastAsia" w:ascii="宋体" w:hAnsi="宋体" w:cs="宋体"/>
          <w:sz w:val="24"/>
          <w:szCs w:val="24"/>
        </w:rPr>
        <w:t>本授权委托书声明：我</w:t>
      </w:r>
      <w:r>
        <w:rPr>
          <w:rFonts w:hint="eastAsia" w:ascii="宋体" w:hAnsi="宋体" w:cs="宋体"/>
          <w:sz w:val="24"/>
          <w:szCs w:val="24"/>
          <w:u w:val="single"/>
        </w:rPr>
        <w:t>（法定代表人姓名）</w:t>
      </w:r>
      <w:r>
        <w:rPr>
          <w:rFonts w:ascii="宋体" w:hAnsi="宋体" w:cs="宋体"/>
          <w:sz w:val="24"/>
          <w:szCs w:val="24"/>
          <w:u w:val="single"/>
        </w:rPr>
        <w:t xml:space="preserve">   </w:t>
      </w:r>
      <w:r>
        <w:rPr>
          <w:rFonts w:hint="eastAsia" w:ascii="宋体" w:hAnsi="宋体" w:cs="宋体"/>
          <w:sz w:val="24"/>
          <w:szCs w:val="24"/>
        </w:rPr>
        <w:t>系注册于</w:t>
      </w:r>
      <w:r>
        <w:rPr>
          <w:rFonts w:ascii="宋体" w:hAnsi="宋体" w:cs="宋体"/>
          <w:sz w:val="24"/>
          <w:szCs w:val="24"/>
          <w:u w:val="single"/>
        </w:rPr>
        <w:t xml:space="preserve">  </w:t>
      </w:r>
      <w:r>
        <w:rPr>
          <w:rFonts w:hint="eastAsia" w:ascii="宋体" w:hAnsi="宋体" w:cs="宋体"/>
          <w:sz w:val="24"/>
          <w:szCs w:val="24"/>
          <w:u w:val="single"/>
        </w:rPr>
        <w:t>（供应商地址）</w:t>
      </w:r>
      <w:r>
        <w:rPr>
          <w:rFonts w:hint="eastAsia" w:ascii="宋体" w:hAnsi="宋体" w:cs="宋体"/>
          <w:sz w:val="24"/>
          <w:szCs w:val="24"/>
        </w:rPr>
        <w:t>的</w:t>
      </w:r>
      <w:r>
        <w:rPr>
          <w:rFonts w:hint="eastAsia" w:ascii="宋体" w:hAnsi="宋体" w:cs="宋体"/>
          <w:sz w:val="24"/>
          <w:szCs w:val="24"/>
          <w:u w:val="single"/>
        </w:rPr>
        <w:t>（供应商名称）</w:t>
      </w:r>
      <w:r>
        <w:rPr>
          <w:rFonts w:ascii="宋体" w:hAnsi="宋体" w:cs="宋体"/>
          <w:sz w:val="24"/>
          <w:szCs w:val="24"/>
          <w:u w:val="single"/>
        </w:rPr>
        <w:t xml:space="preserve">  </w:t>
      </w:r>
      <w:r>
        <w:rPr>
          <w:rFonts w:hint="eastAsia" w:ascii="宋体" w:hAnsi="宋体" w:cs="宋体"/>
          <w:sz w:val="24"/>
          <w:szCs w:val="24"/>
        </w:rPr>
        <w:t>的法定代表人，现代表公司授权下面签字的</w:t>
      </w:r>
      <w:r>
        <w:rPr>
          <w:rFonts w:hint="eastAsia" w:ascii="宋体" w:hAnsi="宋体" w:cs="宋体"/>
          <w:sz w:val="24"/>
          <w:szCs w:val="24"/>
          <w:u w:val="single"/>
        </w:rPr>
        <w:t>（被授权人的姓名、职务）</w:t>
      </w:r>
      <w:r>
        <w:rPr>
          <w:rFonts w:ascii="宋体" w:hAnsi="宋体" w:cs="宋体"/>
          <w:sz w:val="24"/>
          <w:szCs w:val="24"/>
          <w:u w:val="single"/>
        </w:rPr>
        <w:t xml:space="preserve">   </w:t>
      </w:r>
      <w:r>
        <w:rPr>
          <w:rFonts w:hint="eastAsia" w:ascii="宋体" w:hAnsi="宋体" w:cs="宋体"/>
          <w:sz w:val="24"/>
          <w:szCs w:val="24"/>
        </w:rPr>
        <w:t>为我公司合法代理人，代表本公司参加</w:t>
      </w:r>
      <w:r>
        <w:rPr>
          <w:rFonts w:ascii="宋体" w:hAnsi="宋体" w:cs="宋体"/>
          <w:sz w:val="24"/>
          <w:szCs w:val="24"/>
          <w:u w:val="single"/>
        </w:rPr>
        <w:t xml:space="preserve">  </w:t>
      </w:r>
      <w:r>
        <w:rPr>
          <w:rFonts w:hint="eastAsia" w:ascii="宋体" w:hAnsi="宋体" w:cs="宋体"/>
          <w:sz w:val="24"/>
          <w:szCs w:val="24"/>
          <w:u w:val="single"/>
        </w:rPr>
        <w:t xml:space="preserve">（项目名称）  </w:t>
      </w:r>
      <w:r>
        <w:rPr>
          <w:rFonts w:hint="eastAsia" w:ascii="宋体" w:hAnsi="宋体" w:cs="宋体"/>
          <w:sz w:val="24"/>
          <w:szCs w:val="24"/>
        </w:rPr>
        <w:t>采购项目编号为</w:t>
      </w:r>
      <w:r>
        <w:rPr>
          <w:rFonts w:hint="eastAsia" w:ascii="宋体" w:hAnsi="宋体" w:cs="宋体"/>
          <w:sz w:val="24"/>
          <w:szCs w:val="24"/>
          <w:u w:val="single"/>
          <w:lang w:val="en-US" w:eastAsia="zh-CN"/>
        </w:rPr>
        <w:t xml:space="preserve">   </w:t>
      </w:r>
      <w:r>
        <w:rPr>
          <w:rFonts w:hint="eastAsia" w:ascii="宋体" w:hAnsi="宋体" w:cs="宋体"/>
          <w:sz w:val="24"/>
          <w:szCs w:val="24"/>
        </w:rPr>
        <w:t>的采购活动。以我方名义全权处理该项目有关磋商、签订合同以及执行合同等一切事宜。</w:t>
      </w:r>
    </w:p>
    <w:p w14:paraId="7776A2B4">
      <w:pPr>
        <w:spacing w:line="400" w:lineRule="exact"/>
        <w:ind w:firstLine="480" w:firstLineChars="200"/>
        <w:rPr>
          <w:rFonts w:ascii="宋体" w:cs="Times New Roman"/>
          <w:sz w:val="24"/>
          <w:szCs w:val="24"/>
        </w:rPr>
      </w:pPr>
      <w:r>
        <w:rPr>
          <w:rFonts w:hint="eastAsia" w:ascii="宋体" w:hAnsi="宋体" w:cs="宋体"/>
          <w:sz w:val="24"/>
          <w:szCs w:val="24"/>
        </w:rPr>
        <w:t>有效期自磋商之日起</w:t>
      </w:r>
      <w:r>
        <w:rPr>
          <w:rFonts w:ascii="宋体" w:hAnsi="宋体" w:cs="宋体"/>
          <w:sz w:val="24"/>
          <w:szCs w:val="24"/>
        </w:rPr>
        <w:t>_</w:t>
      </w:r>
      <w:r>
        <w:rPr>
          <w:rFonts w:hint="eastAsia" w:ascii="宋体" w:hAnsi="宋体" w:cs="宋体"/>
          <w:sz w:val="24"/>
          <w:szCs w:val="24"/>
          <w:u w:val="single"/>
        </w:rPr>
        <w:t xml:space="preserve">    </w:t>
      </w:r>
      <w:r>
        <w:rPr>
          <w:rFonts w:ascii="宋体" w:hAnsi="宋体" w:cs="宋体"/>
          <w:sz w:val="24"/>
          <w:szCs w:val="24"/>
        </w:rPr>
        <w:t>_</w:t>
      </w:r>
      <w:r>
        <w:rPr>
          <w:rFonts w:hint="eastAsia" w:ascii="宋体" w:hAnsi="宋体" w:cs="宋体"/>
          <w:sz w:val="24"/>
          <w:szCs w:val="24"/>
        </w:rPr>
        <w:t>日历日，特此声明。</w:t>
      </w:r>
    </w:p>
    <w:p w14:paraId="375C8D4D">
      <w:pPr>
        <w:pStyle w:val="17"/>
        <w:spacing w:line="400" w:lineRule="exact"/>
        <w:ind w:firstLine="480" w:firstLineChars="200"/>
        <w:jc w:val="left"/>
        <w:rPr>
          <w:rFonts w:hAnsi="宋体"/>
          <w:sz w:val="24"/>
          <w:szCs w:val="24"/>
        </w:rPr>
      </w:pPr>
      <w:r>
        <w:rPr>
          <w:rFonts w:hint="eastAsia" w:hAnsi="宋体"/>
          <w:sz w:val="24"/>
          <w:szCs w:val="24"/>
        </w:rPr>
        <w:t>供应商（单位名称及公章）：</w:t>
      </w:r>
      <w:r>
        <w:rPr>
          <w:rFonts w:hAnsi="宋体"/>
          <w:sz w:val="24"/>
          <w:szCs w:val="24"/>
        </w:rPr>
        <w:t>________</w:t>
      </w:r>
    </w:p>
    <w:p w14:paraId="05628E05">
      <w:pPr>
        <w:pStyle w:val="17"/>
        <w:spacing w:line="400" w:lineRule="exact"/>
        <w:ind w:firstLine="480" w:firstLineChars="200"/>
        <w:jc w:val="left"/>
        <w:rPr>
          <w:rFonts w:hAnsi="宋体"/>
          <w:sz w:val="24"/>
          <w:szCs w:val="24"/>
          <w:u w:val="single"/>
        </w:rPr>
      </w:pPr>
      <w:r>
        <w:rPr>
          <w:rFonts w:hint="eastAsia" w:hAnsi="宋体"/>
          <w:sz w:val="24"/>
          <w:szCs w:val="24"/>
        </w:rPr>
        <w:t>法定代表人（签字或盖章）：</w:t>
      </w:r>
      <w:r>
        <w:rPr>
          <w:rFonts w:hAnsi="宋体"/>
          <w:sz w:val="24"/>
          <w:szCs w:val="24"/>
        </w:rPr>
        <w:t>________</w:t>
      </w:r>
    </w:p>
    <w:p w14:paraId="348A7F7A">
      <w:pPr>
        <w:pStyle w:val="17"/>
        <w:spacing w:line="400" w:lineRule="exact"/>
        <w:ind w:firstLine="480" w:firstLineChars="200"/>
        <w:jc w:val="left"/>
        <w:rPr>
          <w:rFonts w:hAnsi="宋体" w:cs="Times New Roman"/>
          <w:sz w:val="24"/>
          <w:szCs w:val="24"/>
        </w:rPr>
      </w:pPr>
      <w:r>
        <w:rPr>
          <w:rFonts w:hint="eastAsia" w:hAnsi="宋体"/>
          <w:sz w:val="24"/>
          <w:szCs w:val="24"/>
        </w:rPr>
        <w:t>被授权人（签字）：</w:t>
      </w:r>
      <w:r>
        <w:rPr>
          <w:rFonts w:hAnsi="宋体"/>
          <w:sz w:val="24"/>
          <w:szCs w:val="24"/>
        </w:rPr>
        <w:t>________</w:t>
      </w:r>
      <w:r>
        <w:rPr>
          <w:rFonts w:hint="eastAsia" w:hAnsi="宋体"/>
          <w:sz w:val="24"/>
          <w:szCs w:val="24"/>
        </w:rPr>
        <w:t>性别：</w:t>
      </w:r>
      <w:r>
        <w:rPr>
          <w:rFonts w:hAnsi="宋体"/>
          <w:sz w:val="24"/>
          <w:szCs w:val="24"/>
        </w:rPr>
        <w:t>________</w:t>
      </w:r>
    </w:p>
    <w:p w14:paraId="5918EDB1">
      <w:pPr>
        <w:pStyle w:val="17"/>
        <w:spacing w:line="400" w:lineRule="exact"/>
        <w:ind w:firstLine="480" w:firstLineChars="200"/>
        <w:jc w:val="left"/>
        <w:rPr>
          <w:rFonts w:hAnsi="宋体" w:cs="Times New Roman"/>
          <w:sz w:val="24"/>
          <w:szCs w:val="24"/>
          <w:u w:val="single"/>
        </w:rPr>
      </w:pPr>
      <w:r>
        <w:rPr>
          <w:rFonts w:hint="eastAsia" w:hAnsi="宋体"/>
          <w:sz w:val="24"/>
          <w:szCs w:val="24"/>
        </w:rPr>
        <w:t>联系地址：</w:t>
      </w:r>
      <w:r>
        <w:rPr>
          <w:rFonts w:hAnsi="宋体"/>
          <w:sz w:val="24"/>
          <w:szCs w:val="24"/>
        </w:rPr>
        <w:t>________________</w:t>
      </w:r>
    </w:p>
    <w:p w14:paraId="4C1DB44F">
      <w:pPr>
        <w:pStyle w:val="17"/>
        <w:spacing w:line="400" w:lineRule="exact"/>
        <w:ind w:firstLine="480" w:firstLineChars="200"/>
        <w:jc w:val="left"/>
        <w:rPr>
          <w:rFonts w:hAnsi="宋体" w:cs="Times New Roman"/>
          <w:sz w:val="24"/>
          <w:szCs w:val="24"/>
          <w:u w:val="single"/>
        </w:rPr>
      </w:pPr>
      <w:r>
        <w:rPr>
          <w:rFonts w:hint="eastAsia" w:hAnsi="宋体"/>
          <w:sz w:val="24"/>
          <w:szCs w:val="24"/>
        </w:rPr>
        <w:t>联系电话：</w:t>
      </w:r>
      <w:r>
        <w:rPr>
          <w:rFonts w:hAnsi="宋体"/>
          <w:sz w:val="24"/>
          <w:szCs w:val="24"/>
        </w:rPr>
        <w:t>________________</w:t>
      </w:r>
    </w:p>
    <w:p w14:paraId="181E865B">
      <w:pPr>
        <w:pStyle w:val="17"/>
        <w:spacing w:line="400" w:lineRule="exact"/>
        <w:ind w:firstLine="480" w:firstLineChars="200"/>
        <w:jc w:val="left"/>
        <w:rPr>
          <w:rFonts w:hint="default" w:hAnsi="宋体" w:eastAsia="宋体"/>
          <w:sz w:val="24"/>
          <w:szCs w:val="24"/>
          <w:lang w:val="en-US" w:eastAsia="zh-CN"/>
        </w:rPr>
      </w:pPr>
      <w:r>
        <w:rPr>
          <w:rFonts w:hint="eastAsia" w:hAnsi="宋体"/>
          <w:sz w:val="24"/>
          <w:szCs w:val="24"/>
          <w:lang w:val="en-US" w:eastAsia="zh-CN"/>
        </w:rPr>
        <w:t>签发日期：</w:t>
      </w:r>
      <w:r>
        <w:rPr>
          <w:rFonts w:hint="eastAsia" w:hAnsi="宋体"/>
          <w:sz w:val="24"/>
          <w:szCs w:val="24"/>
          <w:u w:val="single"/>
          <w:lang w:val="en-US" w:eastAsia="zh-CN"/>
        </w:rPr>
        <w:t xml:space="preserve">   </w:t>
      </w:r>
      <w:r>
        <w:rPr>
          <w:rFonts w:hint="eastAsia" w:hAnsi="宋体"/>
          <w:sz w:val="24"/>
          <w:szCs w:val="24"/>
          <w:lang w:val="en-US" w:eastAsia="zh-CN"/>
        </w:rPr>
        <w:t>年</w:t>
      </w:r>
      <w:r>
        <w:rPr>
          <w:rFonts w:hint="eastAsia" w:hAnsi="宋体"/>
          <w:sz w:val="24"/>
          <w:szCs w:val="24"/>
          <w:u w:val="single"/>
          <w:lang w:val="en-US" w:eastAsia="zh-CN"/>
        </w:rPr>
        <w:t xml:space="preserve">   </w:t>
      </w:r>
      <w:r>
        <w:rPr>
          <w:rFonts w:hint="eastAsia" w:hAnsi="宋体"/>
          <w:sz w:val="24"/>
          <w:szCs w:val="24"/>
          <w:lang w:val="en-US" w:eastAsia="zh-CN"/>
        </w:rPr>
        <w:t>月</w:t>
      </w:r>
      <w:r>
        <w:rPr>
          <w:rFonts w:hint="eastAsia" w:hAnsi="宋体"/>
          <w:sz w:val="24"/>
          <w:szCs w:val="24"/>
          <w:u w:val="single"/>
          <w:lang w:val="en-US" w:eastAsia="zh-CN"/>
        </w:rPr>
        <w:t xml:space="preserve">   </w:t>
      </w:r>
      <w:r>
        <w:rPr>
          <w:rFonts w:hint="eastAsia" w:hAnsi="宋体"/>
          <w:sz w:val="24"/>
          <w:szCs w:val="24"/>
          <w:lang w:val="en-US" w:eastAsia="zh-CN"/>
        </w:rPr>
        <w:t>日</w:t>
      </w:r>
    </w:p>
    <w:p w14:paraId="19CB29FB">
      <w:pPr>
        <w:pStyle w:val="17"/>
        <w:spacing w:line="400" w:lineRule="exact"/>
        <w:ind w:firstLine="480" w:firstLineChars="200"/>
        <w:jc w:val="left"/>
        <w:rPr>
          <w:rFonts w:hAnsi="宋体" w:cs="Times New Roman"/>
          <w:sz w:val="24"/>
          <w:szCs w:val="24"/>
        </w:rPr>
      </w:pPr>
      <w:r>
        <w:rPr>
          <w:rFonts w:hint="eastAsia" w:hAnsi="宋体"/>
          <w:sz w:val="24"/>
          <w:szCs w:val="24"/>
        </w:rPr>
        <w:t>法定代表人及被授权人身份证复印件（注：身份证复印件须加盖企业公章）</w:t>
      </w:r>
    </w:p>
    <w:tbl>
      <w:tblPr>
        <w:tblStyle w:val="3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12F0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1" w:hRule="atLeast"/>
          <w:jc w:val="center"/>
        </w:trPr>
        <w:tc>
          <w:tcPr>
            <w:tcW w:w="4542" w:type="dxa"/>
            <w:shd w:val="clear" w:color="auto" w:fill="D9D9D9"/>
            <w:vAlign w:val="center"/>
          </w:tcPr>
          <w:p w14:paraId="448C059E">
            <w:pPr>
              <w:pStyle w:val="17"/>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法定代表人身份证复印件（正面）</w:t>
            </w:r>
          </w:p>
        </w:tc>
        <w:tc>
          <w:tcPr>
            <w:tcW w:w="4531" w:type="dxa"/>
            <w:shd w:val="clear" w:color="auto" w:fill="D9D9D9"/>
            <w:vAlign w:val="center"/>
          </w:tcPr>
          <w:p w14:paraId="3DBE95E6">
            <w:pPr>
              <w:pStyle w:val="17"/>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被授权人身份证复印件（正面）</w:t>
            </w:r>
          </w:p>
        </w:tc>
      </w:tr>
      <w:tr w14:paraId="6272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79E1AB50">
            <w:pPr>
              <w:pStyle w:val="17"/>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法定代表人身份证复印件（反面）</w:t>
            </w:r>
          </w:p>
        </w:tc>
        <w:tc>
          <w:tcPr>
            <w:tcW w:w="4531" w:type="dxa"/>
            <w:shd w:val="clear" w:color="auto" w:fill="D9D9D9"/>
            <w:vAlign w:val="center"/>
          </w:tcPr>
          <w:p w14:paraId="41E4BD70">
            <w:pPr>
              <w:pStyle w:val="17"/>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被授权人身份证复印件（反面）</w:t>
            </w:r>
          </w:p>
        </w:tc>
      </w:tr>
    </w:tbl>
    <w:p w14:paraId="05A11D84">
      <w:pPr>
        <w:pStyle w:val="17"/>
        <w:spacing w:line="500" w:lineRule="exact"/>
        <w:ind w:firstLine="480" w:firstLineChars="200"/>
        <w:jc w:val="left"/>
        <w:rPr>
          <w:rFonts w:hAnsi="宋体"/>
          <w:sz w:val="24"/>
          <w:szCs w:val="24"/>
        </w:rPr>
      </w:pPr>
      <w:r>
        <w:rPr>
          <w:rFonts w:hint="eastAsia" w:hAnsi="宋体"/>
          <w:sz w:val="24"/>
          <w:szCs w:val="24"/>
        </w:rPr>
        <w:t>说明：</w:t>
      </w:r>
    </w:p>
    <w:p w14:paraId="570FA82B">
      <w:pPr>
        <w:pStyle w:val="17"/>
        <w:spacing w:line="500" w:lineRule="exact"/>
        <w:ind w:firstLine="480" w:firstLineChars="200"/>
        <w:jc w:val="left"/>
        <w:rPr>
          <w:rFonts w:hAnsi="宋体"/>
          <w:sz w:val="24"/>
          <w:szCs w:val="24"/>
        </w:rPr>
      </w:pPr>
      <w:r>
        <w:rPr>
          <w:rFonts w:hAnsi="宋体"/>
          <w:sz w:val="24"/>
          <w:szCs w:val="24"/>
        </w:rPr>
        <w:t>1</w:t>
      </w:r>
      <w:r>
        <w:rPr>
          <w:rFonts w:hint="eastAsia" w:hAnsi="宋体"/>
          <w:sz w:val="24"/>
          <w:szCs w:val="24"/>
        </w:rPr>
        <w:t>．本授权书有效期自招标大会之日计算不得少于</w:t>
      </w:r>
      <w:r>
        <w:rPr>
          <w:rFonts w:hAnsi="宋体"/>
          <w:sz w:val="24"/>
          <w:szCs w:val="24"/>
        </w:rPr>
        <w:t>90</w:t>
      </w:r>
      <w:r>
        <w:rPr>
          <w:rFonts w:hint="eastAsia" w:hAnsi="宋体"/>
          <w:sz w:val="24"/>
          <w:szCs w:val="24"/>
        </w:rPr>
        <w:t>日历日。</w:t>
      </w:r>
    </w:p>
    <w:p w14:paraId="71C4AC98">
      <w:pPr>
        <w:pStyle w:val="17"/>
        <w:spacing w:line="500" w:lineRule="exact"/>
        <w:ind w:firstLine="480" w:firstLineChars="200"/>
        <w:jc w:val="left"/>
        <w:rPr>
          <w:rFonts w:hAnsi="宋体"/>
          <w:b/>
          <w:bCs/>
          <w:sz w:val="24"/>
          <w:szCs w:val="24"/>
        </w:rPr>
      </w:pPr>
      <w:r>
        <w:rPr>
          <w:rFonts w:hAnsi="宋体"/>
          <w:sz w:val="24"/>
          <w:szCs w:val="24"/>
        </w:rPr>
        <w:t>2</w:t>
      </w:r>
      <w:r>
        <w:rPr>
          <w:rFonts w:hint="eastAsia" w:hAnsi="宋体"/>
          <w:sz w:val="24"/>
          <w:szCs w:val="24"/>
        </w:rPr>
        <w:t>．授权书内容填写要明确，文字要工整清楚，涂改无效。</w:t>
      </w:r>
      <w:r>
        <w:rPr>
          <w:rFonts w:hint="eastAsia" w:hAnsi="宋体"/>
        </w:rPr>
        <w:br w:type="page"/>
      </w:r>
    </w:p>
    <w:p w14:paraId="45012471">
      <w:pPr>
        <w:pStyle w:val="3"/>
        <w:jc w:val="center"/>
        <w:rPr>
          <w:rFonts w:hint="eastAsia" w:ascii="宋体" w:hAnsi="宋体" w:eastAsia="宋体" w:cs="宋体"/>
          <w:color w:val="auto"/>
        </w:rPr>
      </w:pPr>
      <w:bookmarkStart w:id="176" w:name="_Toc24284"/>
      <w:bookmarkStart w:id="177" w:name="_Toc536202397"/>
      <w:bookmarkStart w:id="178" w:name="_Toc19543357"/>
      <w:bookmarkStart w:id="179" w:name="_Toc536429390"/>
      <w:bookmarkStart w:id="180" w:name="_Toc536202328"/>
      <w:bookmarkStart w:id="181" w:name="_Toc536429337"/>
      <w:bookmarkStart w:id="182" w:name="_Toc7526"/>
    </w:p>
    <w:p w14:paraId="3D2D4D30">
      <w:pPr>
        <w:pStyle w:val="3"/>
        <w:jc w:val="center"/>
        <w:rPr>
          <w:rFonts w:hint="eastAsia" w:ascii="宋体" w:hAnsi="宋体" w:eastAsia="宋体" w:cs="宋体"/>
          <w:color w:val="auto"/>
        </w:rPr>
      </w:pPr>
      <w:r>
        <w:rPr>
          <w:rFonts w:hint="eastAsia" w:ascii="宋体" w:hAnsi="宋体" w:eastAsia="宋体" w:cs="宋体"/>
          <w:color w:val="auto"/>
        </w:rPr>
        <w:t>无重大违法记录声明</w:t>
      </w:r>
      <w:bookmarkEnd w:id="176"/>
    </w:p>
    <w:p w14:paraId="471A1BE7">
      <w:pPr>
        <w:snapToGrid w:val="0"/>
        <w:spacing w:line="480" w:lineRule="auto"/>
        <w:ind w:firstLine="480" w:firstLineChars="200"/>
        <w:jc w:val="left"/>
        <w:rPr>
          <w:rFonts w:hint="eastAsia" w:ascii="宋体" w:hAnsi="宋体" w:eastAsia="宋体" w:cs="宋体"/>
          <w:color w:val="auto"/>
          <w:kern w:val="0"/>
          <w:sz w:val="24"/>
          <w:szCs w:val="24"/>
        </w:rPr>
      </w:pPr>
    </w:p>
    <w:p w14:paraId="216C380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我单位参与安康尚昊招标代理有限公司组织的</w:t>
      </w:r>
      <w:r>
        <w:rPr>
          <w:rFonts w:hint="eastAsia" w:ascii="宋体" w:hAnsi="宋体" w:eastAsia="宋体" w:cs="宋体"/>
          <w:color w:val="auto"/>
          <w:sz w:val="24"/>
          <w:szCs w:val="24"/>
          <w:u w:val="single"/>
        </w:rPr>
        <w:t xml:space="preserve">     （项目名称）（项目编号）    </w:t>
      </w:r>
      <w:r>
        <w:rPr>
          <w:rFonts w:hint="eastAsia" w:ascii="宋体" w:hAnsi="宋体" w:eastAsia="宋体" w:cs="宋体"/>
          <w:color w:val="auto"/>
          <w:sz w:val="24"/>
          <w:szCs w:val="24"/>
          <w:lang w:eastAsia="zh-CN"/>
        </w:rPr>
        <w:t>竞争性</w:t>
      </w:r>
      <w:r>
        <w:rPr>
          <w:rFonts w:hint="eastAsia" w:ascii="宋体" w:hAnsi="宋体" w:cs="宋体"/>
          <w:color w:val="auto"/>
          <w:sz w:val="24"/>
          <w:szCs w:val="24"/>
          <w:lang w:val="en-US" w:eastAsia="zh-CN"/>
        </w:rPr>
        <w:t>磋商采购活动</w:t>
      </w:r>
      <w:r>
        <w:rPr>
          <w:rFonts w:hint="eastAsia" w:ascii="宋体" w:hAnsi="宋体" w:eastAsia="宋体" w:cs="宋体"/>
          <w:color w:val="auto"/>
          <w:sz w:val="24"/>
          <w:szCs w:val="24"/>
        </w:rPr>
        <w:t>，我单位郑重声明：我方参加本项目招标工作前三年内无重大违法活动记录，符合《中华人民共和国政府采购法》规定的供应商资格条件，我方对此声明负全部法律责任。</w:t>
      </w:r>
    </w:p>
    <w:p w14:paraId="6445F516">
      <w:pPr>
        <w:spacing w:line="360" w:lineRule="auto"/>
        <w:rPr>
          <w:rFonts w:hint="eastAsia" w:ascii="宋体" w:hAnsi="宋体" w:eastAsia="宋体" w:cs="宋体"/>
          <w:color w:val="auto"/>
          <w:sz w:val="24"/>
          <w:szCs w:val="24"/>
        </w:rPr>
      </w:pPr>
    </w:p>
    <w:p w14:paraId="129527D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337EB69">
      <w:pPr>
        <w:spacing w:line="360" w:lineRule="auto"/>
        <w:rPr>
          <w:rFonts w:hint="eastAsia" w:ascii="宋体" w:hAnsi="宋体" w:eastAsia="宋体" w:cs="宋体"/>
          <w:color w:val="auto"/>
          <w:sz w:val="24"/>
          <w:szCs w:val="24"/>
        </w:rPr>
      </w:pPr>
    </w:p>
    <w:p w14:paraId="6392E13C">
      <w:pPr>
        <w:spacing w:line="360" w:lineRule="auto"/>
        <w:rPr>
          <w:rFonts w:hint="eastAsia" w:ascii="宋体" w:hAnsi="宋体" w:eastAsia="宋体" w:cs="宋体"/>
          <w:color w:val="auto"/>
          <w:sz w:val="24"/>
          <w:szCs w:val="24"/>
        </w:rPr>
      </w:pPr>
    </w:p>
    <w:p w14:paraId="5EFEC173">
      <w:pPr>
        <w:spacing w:line="360" w:lineRule="auto"/>
        <w:rPr>
          <w:rFonts w:hint="eastAsia" w:ascii="宋体" w:hAnsi="宋体" w:eastAsia="宋体" w:cs="宋体"/>
          <w:color w:val="auto"/>
          <w:sz w:val="24"/>
          <w:szCs w:val="24"/>
          <w:lang w:eastAsia="zh-CN"/>
        </w:rPr>
      </w:pPr>
    </w:p>
    <w:p w14:paraId="08943A0E">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w:t>
      </w:r>
      <w:r>
        <w:rPr>
          <w:rFonts w:hint="eastAsia" w:ascii="宋体" w:hAnsi="宋体" w:cs="宋体"/>
          <w:color w:val="auto"/>
          <w:sz w:val="24"/>
          <w:szCs w:val="24"/>
          <w:u w:val="single"/>
          <w:lang w:val="en-US" w:eastAsia="zh-CN"/>
        </w:rPr>
        <w:t xml:space="preserve">                   </w:t>
      </w:r>
    </w:p>
    <w:p w14:paraId="0C4B8B6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cs="宋体"/>
          <w:color w:val="auto"/>
          <w:sz w:val="24"/>
          <w:szCs w:val="24"/>
          <w:u w:val="single"/>
          <w:lang w:val="en-US" w:eastAsia="zh-CN"/>
        </w:rPr>
        <w:t xml:space="preserve">                   </w:t>
      </w:r>
    </w:p>
    <w:p w14:paraId="695D1BB4">
      <w:pPr>
        <w:adjustRightInd w:val="0"/>
        <w:snapToGrid w:val="0"/>
        <w:spacing w:line="360" w:lineRule="auto"/>
        <w:rPr>
          <w:color w:val="auto"/>
        </w:rPr>
        <w:sectPr>
          <w:footerReference r:id="rId23" w:type="first"/>
          <w:headerReference r:id="rId21" w:type="default"/>
          <w:footerReference r:id="rId22" w:type="default"/>
          <w:pgSz w:w="11906" w:h="16838"/>
          <w:pgMar w:top="1417" w:right="1417" w:bottom="1417" w:left="1417" w:header="1134" w:footer="992" w:gutter="0"/>
          <w:pgNumType w:fmt="decimal"/>
          <w:cols w:space="0" w:num="1"/>
          <w:docGrid w:type="lines" w:linePitch="326" w:charSpace="0"/>
        </w:sectPr>
      </w:pPr>
      <w:r>
        <w:rPr>
          <w:rFonts w:hint="eastAsia" w:ascii="宋体" w:hAnsi="宋体" w:eastAsia="宋体" w:cs="宋体"/>
          <w:color w:val="auto"/>
          <w:sz w:val="24"/>
          <w:szCs w:val="24"/>
        </w:rPr>
        <w:t>日    期：</w:t>
      </w:r>
      <w:r>
        <w:rPr>
          <w:rFonts w:hint="eastAsia" w:ascii="宋体" w:hAnsi="宋体" w:cs="宋体"/>
          <w:color w:val="auto"/>
          <w:sz w:val="24"/>
          <w:szCs w:val="24"/>
          <w:u w:val="single"/>
          <w:lang w:val="en-US" w:eastAsia="zh-CN"/>
        </w:rPr>
        <w:t xml:space="preserve">                   </w:t>
      </w:r>
    </w:p>
    <w:p w14:paraId="27BF424B">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投标人非联合体投标声明</w:t>
      </w:r>
    </w:p>
    <w:p w14:paraId="6FD643CA">
      <w:pPr>
        <w:adjustRightInd w:val="0"/>
        <w:snapToGrid w:val="0"/>
        <w:spacing w:line="360" w:lineRule="auto"/>
        <w:rPr>
          <w:rFonts w:hint="eastAsia" w:ascii="仿宋" w:hAnsi="仿宋" w:eastAsia="仿宋" w:cs="黑体"/>
          <w:bCs/>
          <w:sz w:val="28"/>
          <w:szCs w:val="28"/>
        </w:rPr>
      </w:pPr>
    </w:p>
    <w:p w14:paraId="478D687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2B2987DC">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cs="宋体"/>
          <w:bCs/>
          <w:sz w:val="24"/>
          <w:szCs w:val="24"/>
          <w:lang w:eastAsia="zh-CN"/>
        </w:rPr>
        <w:t>做出</w:t>
      </w:r>
      <w:r>
        <w:rPr>
          <w:rFonts w:hint="eastAsia" w:ascii="宋体" w:hAnsi="宋体" w:eastAsia="宋体" w:cs="宋体"/>
          <w:bCs/>
          <w:sz w:val="24"/>
          <w:szCs w:val="24"/>
        </w:rPr>
        <w:t>郑重声明：</w:t>
      </w:r>
    </w:p>
    <w:p w14:paraId="71E6F4D7">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1.本公司保证在本项目投标中不与其他单位围标、串标，不出让投标资格，不向采购人、采购代理机构和评标委员会成员行贿。</w:t>
      </w:r>
    </w:p>
    <w:p w14:paraId="3C264897">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06828187">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cs="宋体"/>
          <w:bCs/>
          <w:sz w:val="24"/>
          <w:szCs w:val="24"/>
          <w:lang w:eastAsia="zh-CN"/>
        </w:rPr>
        <w:t>。</w:t>
      </w:r>
    </w:p>
    <w:p w14:paraId="610B2451">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035AE3CA">
      <w:pPr>
        <w:pStyle w:val="12"/>
        <w:ind w:firstLine="480"/>
        <w:rPr>
          <w:rFonts w:hint="eastAsia"/>
        </w:rPr>
      </w:pPr>
    </w:p>
    <w:p w14:paraId="408999AB">
      <w:pPr>
        <w:spacing w:line="360" w:lineRule="auto"/>
        <w:rPr>
          <w:rFonts w:ascii="宋体" w:hAnsi="Calibri"/>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06C4B979">
      <w:pPr>
        <w:adjustRightInd w:val="0"/>
        <w:snapToGrid w:val="0"/>
        <w:spacing w:line="360" w:lineRule="auto"/>
        <w:rPr>
          <w:rFonts w:ascii="宋体" w:hAnsi="Calibri"/>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w:t>
      </w:r>
      <w:r>
        <w:rPr>
          <w:rFonts w:ascii="宋体" w:hAnsi="宋体" w:cs="宋体"/>
          <w:sz w:val="24"/>
          <w:szCs w:val="24"/>
        </w:rPr>
        <w:t>____________________</w:t>
      </w:r>
    </w:p>
    <w:p w14:paraId="069142A7">
      <w:pPr>
        <w:adjustRightInd w:val="0"/>
        <w:snapToGrid w:val="0"/>
        <w:spacing w:line="360" w:lineRule="auto"/>
        <w:sectPr>
          <w:headerReference r:id="rId24" w:type="default"/>
          <w:pgSz w:w="11906" w:h="16838"/>
          <w:pgMar w:top="1417" w:right="1417" w:bottom="1417" w:left="1417" w:header="1134" w:footer="720" w:gutter="0"/>
          <w:pgNumType w:fmt="decimal"/>
          <w:cols w:space="0" w:num="1"/>
          <w:rtlGutter w:val="0"/>
          <w:docGrid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7197E6C2">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中小企业声明函（工程、服务）</w:t>
      </w:r>
    </w:p>
    <w:p w14:paraId="15AC5221">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E48D06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1369FE7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7CED679D">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7764715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96A939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0AF1C55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64EEDE89">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511A1352">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757EBA8">
      <w:pPr>
        <w:pStyle w:val="106"/>
        <w:rPr>
          <w:rFonts w:hint="eastAsia"/>
          <w:lang w:val="en-US" w:eastAsia="zh-CN"/>
        </w:rPr>
      </w:pPr>
    </w:p>
    <w:p w14:paraId="016CB103">
      <w:pPr>
        <w:pStyle w:val="32"/>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7A8F444C">
      <w:pPr>
        <w:pStyle w:val="11"/>
        <w:rPr>
          <w:rFonts w:hint="eastAsia" w:ascii="宋体" w:hAnsi="宋体" w:eastAsia="宋体" w:cs="宋体"/>
          <w:sz w:val="24"/>
          <w:szCs w:val="24"/>
        </w:rPr>
        <w:sectPr>
          <w:pgSz w:w="11906" w:h="16838"/>
          <w:pgMar w:top="1417" w:right="1417" w:bottom="1417" w:left="1417" w:header="1134" w:footer="720" w:gutter="0"/>
          <w:pgNumType w:fmt="decimal"/>
          <w:cols w:space="0" w:num="1"/>
          <w:rtlGutter w:val="0"/>
          <w:docGrid w:linePitch="317" w:charSpace="0"/>
        </w:sectPr>
      </w:pPr>
    </w:p>
    <w:p w14:paraId="67D8CA95">
      <w:pPr>
        <w:keepNext w:val="0"/>
        <w:keepLines w:val="0"/>
        <w:pageBreakBefore w:val="0"/>
        <w:widowControl w:val="0"/>
        <w:numPr>
          <w:ilvl w:val="0"/>
          <w:numId w:val="7"/>
        </w:numPr>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cs="宋体"/>
          <w:b/>
          <w:bCs w:val="0"/>
          <w:color w:val="auto"/>
          <w:sz w:val="36"/>
          <w:szCs w:val="36"/>
          <w:u w:val="none"/>
          <w:lang w:val="en-US" w:eastAsia="zh-CN"/>
        </w:rPr>
        <w:t>技术及商务</w:t>
      </w:r>
      <w:r>
        <w:rPr>
          <w:rFonts w:hint="eastAsia" w:ascii="宋体" w:hAnsi="宋体" w:eastAsia="宋体" w:cs="宋体"/>
          <w:b/>
          <w:bCs w:val="0"/>
          <w:color w:val="auto"/>
          <w:sz w:val="36"/>
          <w:szCs w:val="36"/>
          <w:u w:val="none"/>
          <w:lang w:val="en-US" w:eastAsia="zh-CN"/>
        </w:rPr>
        <w:t>响应偏离表</w:t>
      </w:r>
    </w:p>
    <w:p w14:paraId="2E954A7F">
      <w:pPr>
        <w:pStyle w:val="3"/>
        <w:spacing w:before="0" w:after="0"/>
        <w:ind w:firstLine="422" w:firstLineChars="150"/>
        <w:jc w:val="center"/>
        <w:rPr>
          <w:rFonts w:hint="eastAsia"/>
          <w:lang w:val="en-US" w:eastAsia="zh-CN"/>
        </w:rPr>
      </w:pPr>
      <w:r>
        <w:rPr>
          <w:rFonts w:hint="eastAsia"/>
          <w:color w:val="auto"/>
          <w:sz w:val="28"/>
          <w:szCs w:val="28"/>
        </w:rPr>
        <w:t>技术</w:t>
      </w:r>
      <w:r>
        <w:rPr>
          <w:rFonts w:hint="eastAsia"/>
          <w:color w:val="auto"/>
          <w:sz w:val="28"/>
          <w:szCs w:val="28"/>
          <w:lang w:val="en-US" w:eastAsia="zh-CN"/>
        </w:rPr>
        <w:t>响应</w:t>
      </w:r>
      <w:r>
        <w:rPr>
          <w:rFonts w:hint="eastAsia"/>
          <w:color w:val="auto"/>
          <w:sz w:val="28"/>
          <w:szCs w:val="28"/>
        </w:rPr>
        <w:t>偏离表</w:t>
      </w:r>
    </w:p>
    <w:tbl>
      <w:tblPr>
        <w:tblStyle w:val="34"/>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693"/>
        <w:gridCol w:w="2694"/>
        <w:gridCol w:w="1516"/>
        <w:gridCol w:w="1516"/>
      </w:tblGrid>
      <w:tr w14:paraId="797C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1596CD8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b/>
                <w:szCs w:val="21"/>
                <w:lang w:val="en-US" w:eastAsia="zh-CN"/>
              </w:rPr>
              <w:t>序号</w:t>
            </w:r>
          </w:p>
        </w:tc>
        <w:tc>
          <w:tcPr>
            <w:tcW w:w="2693" w:type="dxa"/>
            <w:vAlign w:val="center"/>
          </w:tcPr>
          <w:p w14:paraId="19F184A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rPr>
            </w:pPr>
            <w:r>
              <w:rPr>
                <w:rFonts w:hint="eastAsia" w:ascii="宋体" w:hAnsi="宋体" w:cs="宋体"/>
                <w:b/>
                <w:szCs w:val="21"/>
                <w:lang w:val="en-US" w:eastAsia="zh-CN"/>
              </w:rPr>
              <w:t>磋商文件</w:t>
            </w:r>
            <w:r>
              <w:rPr>
                <w:rFonts w:hint="eastAsia" w:ascii="宋体" w:hAnsi="宋体" w:eastAsia="宋体" w:cs="宋体"/>
                <w:b/>
                <w:szCs w:val="21"/>
                <w:lang w:val="en-US" w:eastAsia="zh-CN"/>
              </w:rPr>
              <w:t>技术要求</w:t>
            </w:r>
          </w:p>
        </w:tc>
        <w:tc>
          <w:tcPr>
            <w:tcW w:w="2694" w:type="dxa"/>
            <w:vAlign w:val="center"/>
          </w:tcPr>
          <w:p w14:paraId="0306898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响应文件</w:t>
            </w:r>
            <w:r>
              <w:rPr>
                <w:rFonts w:hint="eastAsia" w:ascii="宋体" w:hAnsi="宋体" w:eastAsia="宋体" w:cs="宋体"/>
                <w:b/>
                <w:bCs/>
                <w:sz w:val="24"/>
                <w:szCs w:val="24"/>
              </w:rPr>
              <w:t>技术参数</w:t>
            </w:r>
            <w:r>
              <w:rPr>
                <w:rFonts w:hint="eastAsia" w:ascii="宋体" w:hAnsi="宋体" w:eastAsia="宋体" w:cs="宋体"/>
                <w:b/>
                <w:bCs/>
                <w:sz w:val="24"/>
                <w:szCs w:val="24"/>
                <w:lang w:val="en-US" w:eastAsia="zh-CN"/>
              </w:rPr>
              <w:t>应答</w:t>
            </w:r>
          </w:p>
        </w:tc>
        <w:tc>
          <w:tcPr>
            <w:tcW w:w="1516" w:type="dxa"/>
            <w:vAlign w:val="center"/>
          </w:tcPr>
          <w:p w14:paraId="42ABA42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val="en-US" w:eastAsia="zh-CN"/>
              </w:rPr>
              <w:t>响应/</w:t>
            </w:r>
            <w:r>
              <w:rPr>
                <w:rFonts w:hint="eastAsia" w:ascii="宋体" w:hAnsi="宋体" w:eastAsia="宋体" w:cs="宋体"/>
                <w:b/>
                <w:szCs w:val="21"/>
              </w:rPr>
              <w:t>偏离</w:t>
            </w:r>
          </w:p>
        </w:tc>
        <w:tc>
          <w:tcPr>
            <w:tcW w:w="1516" w:type="dxa"/>
            <w:vAlign w:val="center"/>
          </w:tcPr>
          <w:p w14:paraId="415EB78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b/>
                <w:szCs w:val="21"/>
              </w:rPr>
            </w:pPr>
            <w:r>
              <w:rPr>
                <w:rFonts w:hint="eastAsia" w:ascii="宋体" w:hAnsi="宋体" w:eastAsia="宋体" w:cs="宋体"/>
                <w:b/>
                <w:szCs w:val="21"/>
                <w:lang w:val="en-US" w:eastAsia="zh-CN"/>
              </w:rPr>
              <w:t>偏离简述</w:t>
            </w:r>
          </w:p>
        </w:tc>
      </w:tr>
      <w:tr w14:paraId="5029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575D52D">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693" w:type="dxa"/>
            <w:vAlign w:val="center"/>
          </w:tcPr>
          <w:p w14:paraId="19DC8F1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694" w:type="dxa"/>
            <w:vAlign w:val="center"/>
          </w:tcPr>
          <w:p w14:paraId="0E6FC5E4">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4C5115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DFED6B7">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68D2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E37EFC0">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693" w:type="dxa"/>
            <w:vAlign w:val="center"/>
          </w:tcPr>
          <w:p w14:paraId="36B8E7D2">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694" w:type="dxa"/>
            <w:vAlign w:val="center"/>
          </w:tcPr>
          <w:p w14:paraId="337DEC09">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F1870B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1FD2120E">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2807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69E9222">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693" w:type="dxa"/>
            <w:vAlign w:val="center"/>
          </w:tcPr>
          <w:p w14:paraId="4F1423D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694" w:type="dxa"/>
            <w:vAlign w:val="center"/>
          </w:tcPr>
          <w:p w14:paraId="1249119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126C2F9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5444268">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69F5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C1E5E2C">
            <w:pPr>
              <w:keepNext w:val="0"/>
              <w:keepLines w:val="0"/>
              <w:suppressLineNumbers w:val="0"/>
              <w:wordWrap w:val="0"/>
              <w:spacing w:before="0" w:beforeAutospacing="0" w:after="0" w:afterAutospacing="0"/>
              <w:ind w:left="0" w:right="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693" w:type="dxa"/>
            <w:vAlign w:val="center"/>
          </w:tcPr>
          <w:p w14:paraId="33B8791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694" w:type="dxa"/>
            <w:vAlign w:val="center"/>
          </w:tcPr>
          <w:p w14:paraId="2464E0CF">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41F573B7">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37374064">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57184EC8">
      <w:pPr>
        <w:spacing w:line="360" w:lineRule="auto"/>
        <w:ind w:firstLine="480" w:firstLineChars="200"/>
        <w:rPr>
          <w:rFonts w:hint="eastAsia" w:ascii="宋体" w:hAnsi="宋体" w:cs="Times New Roman"/>
          <w:b w:val="0"/>
          <w:bCs w:val="0"/>
          <w:sz w:val="24"/>
          <w:szCs w:val="24"/>
        </w:rPr>
      </w:pPr>
    </w:p>
    <w:p w14:paraId="6F0AEC86">
      <w:pPr>
        <w:spacing w:line="440" w:lineRule="exact"/>
        <w:ind w:firstLine="480" w:firstLineChars="200"/>
        <w:rPr>
          <w:rFonts w:hint="eastAsia" w:eastAsia="宋体"/>
          <w:lang w:eastAsia="zh-CN"/>
        </w:rPr>
      </w:pPr>
      <w:r>
        <w:rPr>
          <w:rFonts w:hint="eastAsia" w:ascii="宋体" w:hAnsi="宋体" w:eastAsia="宋体" w:cs="宋体"/>
          <w:sz w:val="24"/>
          <w:szCs w:val="24"/>
        </w:rPr>
        <w:t>注：</w:t>
      </w:r>
      <w:r>
        <w:rPr>
          <w:rFonts w:hint="eastAsia" w:ascii="宋体" w:hAnsi="宋体" w:eastAsia="宋体" w:cs="仿宋"/>
          <w:sz w:val="24"/>
          <w:szCs w:val="24"/>
        </w:rPr>
        <w:t>投标人</w:t>
      </w:r>
      <w:r>
        <w:rPr>
          <w:rFonts w:hint="eastAsia" w:ascii="宋体" w:hAnsi="宋体" w:eastAsia="宋体" w:cs="仿宋"/>
          <w:sz w:val="24"/>
          <w:szCs w:val="24"/>
          <w:lang w:val="en-US" w:eastAsia="zh-CN"/>
        </w:rPr>
        <w:t>根据采购要求编写，</w:t>
      </w:r>
      <w:r>
        <w:rPr>
          <w:rFonts w:hint="eastAsia" w:ascii="宋体" w:hAnsi="宋体" w:eastAsia="宋体" w:cs="仿宋"/>
          <w:sz w:val="24"/>
          <w:szCs w:val="24"/>
        </w:rPr>
        <w:t>可根据实际情况自行扩展表格细项</w:t>
      </w:r>
      <w:r>
        <w:rPr>
          <w:rFonts w:hint="eastAsia" w:ascii="宋体" w:hAnsi="宋体" w:cs="仿宋"/>
          <w:sz w:val="24"/>
          <w:szCs w:val="24"/>
          <w:lang w:eastAsia="zh-CN"/>
        </w:rPr>
        <w:t>。</w:t>
      </w:r>
    </w:p>
    <w:p w14:paraId="263A35FE">
      <w:pPr>
        <w:rPr>
          <w:rFonts w:ascii="Times New Roman" w:hAnsi="Times New Roman" w:cs="Times New Roman"/>
          <w:sz w:val="24"/>
          <w:szCs w:val="24"/>
        </w:rPr>
      </w:pPr>
    </w:p>
    <w:p w14:paraId="592CB56C">
      <w:pPr>
        <w:pStyle w:val="22"/>
      </w:pPr>
    </w:p>
    <w:p w14:paraId="29B765BE">
      <w:pPr>
        <w:pStyle w:val="22"/>
      </w:pPr>
    </w:p>
    <w:p w14:paraId="015D4743">
      <w:pPr>
        <w:pStyle w:val="22"/>
      </w:pPr>
    </w:p>
    <w:p w14:paraId="230CC999">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76D0F4B3">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22D5625E">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6446E84E">
      <w:pPr>
        <w:widowControl/>
        <w:jc w:val="left"/>
        <w:rPr>
          <w:rFonts w:ascii="宋体" w:hAnsi="宋体" w:cs="宋体"/>
          <w:b/>
          <w:bCs/>
          <w:sz w:val="28"/>
          <w:szCs w:val="28"/>
        </w:rPr>
      </w:pPr>
    </w:p>
    <w:bookmarkEnd w:id="174"/>
    <w:bookmarkEnd w:id="177"/>
    <w:bookmarkEnd w:id="178"/>
    <w:bookmarkEnd w:id="179"/>
    <w:bookmarkEnd w:id="180"/>
    <w:bookmarkEnd w:id="181"/>
    <w:bookmarkEnd w:id="182"/>
    <w:p w14:paraId="1C99E11D">
      <w:pPr>
        <w:pStyle w:val="3"/>
        <w:ind w:firstLine="422" w:firstLineChars="150"/>
        <w:jc w:val="center"/>
        <w:rPr>
          <w:rFonts w:hint="eastAsia"/>
        </w:rPr>
      </w:pPr>
      <w:bookmarkStart w:id="183" w:name="_Toc1408"/>
    </w:p>
    <w:p w14:paraId="34658615">
      <w:pPr>
        <w:rPr>
          <w:rFonts w:hint="eastAsia"/>
        </w:rPr>
      </w:pPr>
    </w:p>
    <w:p w14:paraId="4E3671EC">
      <w:pPr>
        <w:rPr>
          <w:rFonts w:hint="eastAsia"/>
        </w:rPr>
      </w:pPr>
    </w:p>
    <w:p w14:paraId="5AAD0EDE">
      <w:pPr>
        <w:rPr>
          <w:rFonts w:hint="eastAsia"/>
        </w:rPr>
      </w:pPr>
    </w:p>
    <w:p w14:paraId="659D0C65">
      <w:pPr>
        <w:rPr>
          <w:rFonts w:hint="eastAsia"/>
        </w:rPr>
      </w:pPr>
    </w:p>
    <w:p w14:paraId="4E63081C">
      <w:pPr>
        <w:rPr>
          <w:rFonts w:hint="eastAsia"/>
        </w:rPr>
      </w:pPr>
    </w:p>
    <w:p w14:paraId="0FAF97F5">
      <w:pPr>
        <w:pStyle w:val="3"/>
        <w:ind w:firstLine="422" w:firstLineChars="150"/>
        <w:jc w:val="center"/>
        <w:rPr>
          <w:rFonts w:hint="eastAsia"/>
        </w:rPr>
      </w:pPr>
    </w:p>
    <w:p w14:paraId="10B794A7">
      <w:pPr>
        <w:rPr>
          <w:rFonts w:hint="eastAsia"/>
        </w:rPr>
      </w:pPr>
    </w:p>
    <w:p w14:paraId="473E0560">
      <w:pPr>
        <w:rPr>
          <w:rFonts w:hint="eastAsia"/>
        </w:rPr>
      </w:pPr>
    </w:p>
    <w:p w14:paraId="6950BF4A">
      <w:pPr>
        <w:rPr>
          <w:rFonts w:hint="eastAsia"/>
        </w:rPr>
      </w:pPr>
    </w:p>
    <w:p w14:paraId="348854FE">
      <w:pPr>
        <w:rPr>
          <w:rFonts w:hint="eastAsia"/>
        </w:rPr>
      </w:pPr>
    </w:p>
    <w:p w14:paraId="74B648DB">
      <w:pPr>
        <w:rPr>
          <w:rFonts w:hint="eastAsia"/>
        </w:rPr>
      </w:pPr>
    </w:p>
    <w:p w14:paraId="3B6A6BE7">
      <w:pPr>
        <w:pStyle w:val="3"/>
        <w:ind w:firstLine="422" w:firstLineChars="150"/>
        <w:jc w:val="center"/>
      </w:pPr>
      <w:r>
        <w:rPr>
          <w:rFonts w:hint="eastAsia"/>
        </w:rPr>
        <w:t>商务响应偏离表</w:t>
      </w:r>
    </w:p>
    <w:tbl>
      <w:tblPr>
        <w:tblStyle w:val="34"/>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6AE7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024272D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b/>
                <w:szCs w:val="21"/>
                <w:lang w:val="en-US" w:eastAsia="zh-CN"/>
              </w:rPr>
              <w:t>序号</w:t>
            </w:r>
          </w:p>
        </w:tc>
        <w:tc>
          <w:tcPr>
            <w:tcW w:w="2835" w:type="dxa"/>
            <w:vAlign w:val="center"/>
          </w:tcPr>
          <w:p w14:paraId="35227F2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val="en-US" w:eastAsia="zh-CN"/>
              </w:rPr>
              <w:t>磋商</w:t>
            </w:r>
            <w:r>
              <w:rPr>
                <w:rFonts w:hint="eastAsia" w:ascii="宋体" w:hAnsi="宋体" w:eastAsia="宋体" w:cs="宋体"/>
                <w:b/>
                <w:szCs w:val="21"/>
              </w:rPr>
              <w:t>文件商务要求</w:t>
            </w:r>
          </w:p>
        </w:tc>
        <w:tc>
          <w:tcPr>
            <w:tcW w:w="2552" w:type="dxa"/>
            <w:vAlign w:val="center"/>
          </w:tcPr>
          <w:p w14:paraId="0E90FCB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val="en-US" w:eastAsia="zh-CN"/>
              </w:rPr>
              <w:t>响应</w:t>
            </w:r>
            <w:r>
              <w:rPr>
                <w:rFonts w:hint="eastAsia" w:ascii="宋体" w:hAnsi="宋体" w:eastAsia="宋体" w:cs="宋体"/>
                <w:b/>
                <w:szCs w:val="21"/>
              </w:rPr>
              <w:t>文件商务应答</w:t>
            </w:r>
          </w:p>
        </w:tc>
        <w:tc>
          <w:tcPr>
            <w:tcW w:w="1516" w:type="dxa"/>
            <w:vAlign w:val="center"/>
          </w:tcPr>
          <w:p w14:paraId="1B50BDA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val="en-US" w:eastAsia="zh-CN"/>
              </w:rPr>
              <w:t>响应/</w:t>
            </w:r>
            <w:r>
              <w:rPr>
                <w:rFonts w:hint="eastAsia" w:ascii="宋体" w:hAnsi="宋体" w:eastAsia="宋体" w:cs="宋体"/>
                <w:b/>
                <w:szCs w:val="21"/>
              </w:rPr>
              <w:t>偏离</w:t>
            </w:r>
          </w:p>
        </w:tc>
        <w:tc>
          <w:tcPr>
            <w:tcW w:w="1516" w:type="dxa"/>
            <w:vAlign w:val="center"/>
          </w:tcPr>
          <w:p w14:paraId="128E119A">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偏离简述</w:t>
            </w:r>
          </w:p>
        </w:tc>
      </w:tr>
      <w:tr w14:paraId="0657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31C636C">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835" w:type="dxa"/>
            <w:vAlign w:val="center"/>
          </w:tcPr>
          <w:p w14:paraId="734211F4">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4324C14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114AAC63">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365B603B">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7140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AA928BB">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835" w:type="dxa"/>
            <w:vAlign w:val="center"/>
          </w:tcPr>
          <w:p w14:paraId="215D67A9">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191ECCB3">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1AA09B4">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399CA17A">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2EA0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4E1A4BB">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835" w:type="dxa"/>
            <w:vAlign w:val="center"/>
          </w:tcPr>
          <w:p w14:paraId="0D86866F">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542E6781">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4EFB6B3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A8D0C33">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351B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8C3BC78">
            <w:pPr>
              <w:keepNext w:val="0"/>
              <w:keepLines w:val="0"/>
              <w:suppressLineNumbers w:val="0"/>
              <w:wordWrap w:val="0"/>
              <w:spacing w:before="0" w:beforeAutospacing="0" w:after="0" w:afterAutospacing="0"/>
              <w:ind w:left="0" w:right="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835" w:type="dxa"/>
            <w:vAlign w:val="center"/>
          </w:tcPr>
          <w:p w14:paraId="19EE886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00DEEE4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198205AE">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70C0470">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274A2121">
      <w:pPr>
        <w:spacing w:line="360" w:lineRule="auto"/>
        <w:rPr>
          <w:rFonts w:hint="eastAsia" w:ascii="宋体" w:hAnsi="宋体" w:eastAsia="宋体" w:cs="仿宋"/>
          <w:sz w:val="24"/>
          <w:szCs w:val="24"/>
        </w:rPr>
      </w:pPr>
      <w:r>
        <w:rPr>
          <w:rFonts w:hint="eastAsia" w:ascii="宋体" w:hAnsi="宋体"/>
          <w:b/>
          <w:bCs/>
          <w:sz w:val="24"/>
          <w:szCs w:val="24"/>
        </w:rPr>
        <w:t>注：对</w:t>
      </w:r>
      <w:r>
        <w:rPr>
          <w:rFonts w:hint="eastAsia" w:ascii="宋体" w:hAnsi="宋体"/>
          <w:b/>
          <w:bCs/>
          <w:sz w:val="24"/>
          <w:szCs w:val="24"/>
          <w:lang w:eastAsia="zh-CN"/>
        </w:rPr>
        <w:t>磋商文件</w:t>
      </w:r>
      <w:r>
        <w:rPr>
          <w:rFonts w:hint="eastAsia" w:ascii="宋体" w:hAnsi="宋体"/>
          <w:b/>
          <w:bCs/>
          <w:sz w:val="24"/>
          <w:szCs w:val="24"/>
        </w:rPr>
        <w:t>中要求的商务条款逐条响应并详细说明。</w:t>
      </w:r>
    </w:p>
    <w:p w14:paraId="3D14070D">
      <w:pPr>
        <w:rPr>
          <w:sz w:val="24"/>
          <w:szCs w:val="24"/>
        </w:rPr>
      </w:pPr>
    </w:p>
    <w:p w14:paraId="7ECBDA36">
      <w:pPr>
        <w:spacing w:line="360" w:lineRule="auto"/>
        <w:ind w:firstLine="420" w:firstLineChars="175"/>
        <w:rPr>
          <w:rFonts w:hint="eastAsia" w:ascii="宋体" w:hAnsi="宋体" w:cs="Times New Roman"/>
          <w:b/>
          <w:bCs/>
          <w:sz w:val="24"/>
          <w:szCs w:val="24"/>
        </w:rPr>
      </w:pPr>
      <w:r>
        <w:rPr>
          <w:rFonts w:ascii="宋体" w:hAnsi="宋体"/>
          <w:sz w:val="24"/>
          <w:szCs w:val="24"/>
        </w:rPr>
        <w:t xml:space="preserve">    </w:t>
      </w:r>
      <w:r>
        <w:rPr>
          <w:rFonts w:hint="eastAsia" w:ascii="宋体" w:hAnsi="宋体"/>
          <w:sz w:val="24"/>
          <w:szCs w:val="24"/>
        </w:rPr>
        <w:t xml:space="preserve">  </w:t>
      </w:r>
    </w:p>
    <w:p w14:paraId="427A9198">
      <w:pPr>
        <w:pStyle w:val="22"/>
      </w:pPr>
    </w:p>
    <w:p w14:paraId="6F8D3F26">
      <w:pPr>
        <w:pStyle w:val="22"/>
      </w:pPr>
    </w:p>
    <w:p w14:paraId="0132AAFF">
      <w:pPr>
        <w:pStyle w:val="22"/>
      </w:pPr>
    </w:p>
    <w:p w14:paraId="71CACBD6">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6E0189FD">
      <w:pPr>
        <w:adjustRightInd w:val="0"/>
        <w:snapToGrid w:val="0"/>
        <w:spacing w:line="480" w:lineRule="auto"/>
        <w:rPr>
          <w:rFonts w:ascii="宋体" w:cs="Times New Roman"/>
          <w:sz w:val="24"/>
          <w:szCs w:val="24"/>
        </w:rPr>
      </w:pPr>
      <w:r>
        <w:rPr>
          <w:rFonts w:hint="eastAsia" w:ascii="宋体" w:hAnsi="宋体" w:cs="宋体"/>
          <w:sz w:val="24"/>
          <w:szCs w:val="24"/>
        </w:rPr>
        <w:t>法定代表人</w:t>
      </w:r>
      <w:r>
        <w:rPr>
          <w:rFonts w:hint="eastAsia" w:ascii="宋体" w:hAnsi="宋体" w:cs="宋体"/>
          <w:sz w:val="24"/>
          <w:szCs w:val="24"/>
          <w:lang w:val="en-US" w:eastAsia="zh-CN"/>
        </w:rPr>
        <w:t>或</w:t>
      </w:r>
      <w:r>
        <w:rPr>
          <w:rFonts w:hint="eastAsia" w:ascii="宋体" w:hAnsi="宋体" w:cs="宋体"/>
          <w:sz w:val="24"/>
          <w:szCs w:val="24"/>
        </w:rPr>
        <w:t>被授权人（</w:t>
      </w:r>
      <w:r>
        <w:rPr>
          <w:rFonts w:hint="eastAsia" w:ascii="宋体" w:hAnsi="宋体" w:eastAsia="宋体" w:cs="宋体"/>
          <w:spacing w:val="4"/>
          <w:sz w:val="24"/>
          <w:lang w:val="en-US" w:eastAsia="zh-CN"/>
        </w:rPr>
        <w:t>签字或盖章</w:t>
      </w:r>
      <w:r>
        <w:rPr>
          <w:rFonts w:hint="eastAsia" w:ascii="宋体" w:hAnsi="宋体" w:cs="宋体"/>
          <w:sz w:val="24"/>
          <w:szCs w:val="24"/>
        </w:rPr>
        <w:t>）：____________________________</w:t>
      </w:r>
    </w:p>
    <w:p w14:paraId="135FC6F3">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4EC78730">
      <w:pPr>
        <w:pStyle w:val="3"/>
        <w:pageBreakBefore/>
        <w:rPr>
          <w:rFonts w:ascii="宋体" w:cs="Times New Roman"/>
          <w:sz w:val="24"/>
          <w:szCs w:val="24"/>
        </w:rPr>
        <w:sectPr>
          <w:pgSz w:w="11906" w:h="16838"/>
          <w:pgMar w:top="1417" w:right="1417" w:bottom="1417" w:left="1417" w:header="1134" w:footer="720" w:gutter="0"/>
          <w:pgNumType w:fmt="decimal"/>
          <w:cols w:space="0" w:num="1"/>
          <w:rtlGutter w:val="0"/>
          <w:docGrid w:linePitch="326" w:charSpace="0"/>
        </w:sectPr>
      </w:pPr>
    </w:p>
    <w:bookmarkEnd w:id="183"/>
    <w:p w14:paraId="0350CC55">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84" w:name="_Toc9172"/>
      <w:bookmarkStart w:id="185" w:name="_Toc536429339"/>
      <w:bookmarkStart w:id="186" w:name="_Toc536429392"/>
      <w:bookmarkStart w:id="187" w:name="_Toc536202399"/>
      <w:bookmarkStart w:id="188" w:name="_Toc14937"/>
      <w:bookmarkStart w:id="189" w:name="_Toc19543359"/>
      <w:bookmarkStart w:id="190" w:name="_Toc536202330"/>
      <w:bookmarkStart w:id="191" w:name="_Toc1803"/>
      <w:r>
        <w:rPr>
          <w:rFonts w:hint="eastAsia" w:ascii="宋体" w:hAnsi="宋体" w:eastAsia="宋体" w:cs="宋体"/>
          <w:b/>
          <w:bCs w:val="0"/>
          <w:color w:val="auto"/>
          <w:sz w:val="36"/>
          <w:szCs w:val="36"/>
          <w:u w:val="none"/>
          <w:lang w:val="en-US" w:eastAsia="zh-CN"/>
        </w:rPr>
        <w:t xml:space="preserve">第五章  </w:t>
      </w:r>
      <w:bookmarkEnd w:id="184"/>
      <w:r>
        <w:rPr>
          <w:rFonts w:hint="eastAsia" w:ascii="宋体" w:hAnsi="宋体" w:cs="宋体"/>
          <w:b/>
          <w:bCs w:val="0"/>
          <w:color w:val="auto"/>
          <w:sz w:val="36"/>
          <w:szCs w:val="36"/>
          <w:u w:val="none"/>
          <w:lang w:val="en-US" w:eastAsia="zh-CN"/>
        </w:rPr>
        <w:t>响应</w:t>
      </w:r>
      <w:r>
        <w:rPr>
          <w:rFonts w:hint="eastAsia" w:ascii="宋体" w:hAnsi="宋体" w:eastAsia="宋体" w:cs="宋体"/>
          <w:b/>
          <w:bCs w:val="0"/>
          <w:color w:val="auto"/>
          <w:sz w:val="36"/>
          <w:szCs w:val="36"/>
          <w:u w:val="none"/>
          <w:lang w:val="en-US" w:eastAsia="zh-CN"/>
        </w:rPr>
        <w:t>方案</w:t>
      </w:r>
      <w:bookmarkEnd w:id="185"/>
      <w:bookmarkEnd w:id="186"/>
      <w:bookmarkEnd w:id="187"/>
      <w:bookmarkEnd w:id="188"/>
      <w:bookmarkEnd w:id="189"/>
      <w:bookmarkEnd w:id="190"/>
    </w:p>
    <w:p w14:paraId="6454BBB6">
      <w:pPr>
        <w:spacing w:line="360" w:lineRule="auto"/>
        <w:ind w:firstLine="482" w:firstLineChars="200"/>
        <w:rPr>
          <w:rFonts w:ascii="宋体" w:cs="Times New Roman"/>
          <w:b/>
          <w:bCs/>
          <w:sz w:val="28"/>
          <w:szCs w:val="24"/>
        </w:rPr>
      </w:pPr>
      <w:bookmarkStart w:id="192" w:name="_Toc528240834"/>
      <w:bookmarkStart w:id="193" w:name="_Toc484198844"/>
      <w:bookmarkStart w:id="194" w:name="_Toc26541342"/>
      <w:bookmarkStart w:id="195" w:name="_Toc23258631"/>
      <w:bookmarkStart w:id="196" w:name="_Toc19543360"/>
      <w:r>
        <w:rPr>
          <w:rFonts w:hint="eastAsia" w:ascii="宋体" w:hAnsi="宋体"/>
          <w:b/>
          <w:bCs/>
          <w:sz w:val="24"/>
          <w:szCs w:val="24"/>
        </w:rPr>
        <w:t>按照磋商文件的要求编制的</w:t>
      </w:r>
      <w:r>
        <w:rPr>
          <w:rFonts w:hint="eastAsia" w:ascii="宋体" w:hAnsi="宋体"/>
          <w:b/>
          <w:bCs/>
          <w:sz w:val="24"/>
          <w:szCs w:val="24"/>
          <w:lang w:eastAsia="zh-CN"/>
        </w:rPr>
        <w:t>响应方案</w:t>
      </w:r>
      <w:r>
        <w:rPr>
          <w:rFonts w:hint="eastAsia" w:ascii="宋体" w:hAnsi="宋体"/>
          <w:b/>
          <w:bCs/>
          <w:sz w:val="24"/>
          <w:szCs w:val="24"/>
        </w:rPr>
        <w:t>说明书，</w:t>
      </w:r>
      <w:r>
        <w:rPr>
          <w:rFonts w:hint="eastAsia" w:ascii="宋体" w:hAnsi="宋体"/>
          <w:b/>
          <w:bCs/>
          <w:sz w:val="24"/>
          <w:szCs w:val="24"/>
          <w:lang w:eastAsia="zh-CN"/>
        </w:rPr>
        <w:t>响应方案</w:t>
      </w:r>
      <w:r>
        <w:rPr>
          <w:rFonts w:hint="eastAsia" w:ascii="宋体" w:hAnsi="宋体"/>
          <w:b/>
          <w:bCs/>
          <w:sz w:val="24"/>
          <w:szCs w:val="24"/>
        </w:rPr>
        <w:t>由供应商自行编写，无具体格式，包含但不限于以下内容：</w:t>
      </w:r>
    </w:p>
    <w:p w14:paraId="3DC88FDF">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cs="Times New Roman"/>
          <w:sz w:val="24"/>
          <w:szCs w:val="24"/>
        </w:rPr>
        <w:t>（1）</w:t>
      </w:r>
      <w:r>
        <w:rPr>
          <w:rFonts w:hint="eastAsia" w:ascii="宋体" w:hAnsi="宋体" w:cs="Times New Roman"/>
          <w:sz w:val="24"/>
          <w:szCs w:val="24"/>
          <w:lang w:val="en-US" w:eastAsia="zh-CN"/>
        </w:rPr>
        <w:t>监测实施方案</w:t>
      </w:r>
      <w:r>
        <w:rPr>
          <w:rFonts w:hint="eastAsia" w:ascii="宋体" w:hAnsi="宋体"/>
          <w:sz w:val="24"/>
          <w:szCs w:val="24"/>
        </w:rPr>
        <w:t>；</w:t>
      </w:r>
    </w:p>
    <w:p w14:paraId="658DC7D8">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cs="Times New Roman"/>
          <w:sz w:val="24"/>
          <w:szCs w:val="24"/>
        </w:rPr>
        <w:t>（2）</w:t>
      </w:r>
      <w:r>
        <w:rPr>
          <w:rFonts w:hint="eastAsia" w:ascii="宋体" w:hAnsi="宋体" w:cs="Times New Roman"/>
          <w:sz w:val="24"/>
          <w:szCs w:val="24"/>
          <w:lang w:val="en-US" w:eastAsia="zh-CN"/>
        </w:rPr>
        <w:t>应急预案；</w:t>
      </w:r>
    </w:p>
    <w:p w14:paraId="0CD15C51">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（3）监测内容及成果文件；</w:t>
      </w:r>
    </w:p>
    <w:p w14:paraId="24F4E1E7">
      <w:pPr>
        <w:spacing w:line="360" w:lineRule="auto"/>
        <w:ind w:firstLine="480" w:firstLineChars="200"/>
        <w:rPr>
          <w:rFonts w:ascii="宋体" w:hAnsi="宋体" w:cs="Times New Roman"/>
          <w:sz w:val="24"/>
          <w:szCs w:val="24"/>
        </w:rPr>
      </w:pPr>
      <w:r>
        <w:rPr>
          <w:rFonts w:hint="eastAsia" w:ascii="宋体" w:hAnsi="宋体" w:cs="Times New Roman"/>
          <w:sz w:val="24"/>
          <w:szCs w:val="24"/>
          <w:lang w:eastAsia="zh-CN"/>
        </w:rPr>
        <w:t>（</w:t>
      </w:r>
      <w:r>
        <w:rPr>
          <w:rFonts w:hint="eastAsia" w:ascii="宋体" w:hAnsi="宋体" w:cs="Times New Roman"/>
          <w:sz w:val="24"/>
          <w:szCs w:val="24"/>
          <w:lang w:val="en-US" w:eastAsia="zh-CN"/>
        </w:rPr>
        <w:t>4</w:t>
      </w:r>
      <w:r>
        <w:rPr>
          <w:rFonts w:hint="eastAsia" w:ascii="宋体" w:hAnsi="宋体" w:cs="Times New Roman"/>
          <w:sz w:val="24"/>
          <w:szCs w:val="24"/>
          <w:lang w:eastAsia="zh-CN"/>
        </w:rPr>
        <w:t>）</w:t>
      </w:r>
      <w:r>
        <w:rPr>
          <w:rFonts w:hint="eastAsia" w:ascii="宋体" w:hAnsi="宋体" w:cs="Times New Roman"/>
          <w:sz w:val="24"/>
          <w:szCs w:val="24"/>
          <w:lang w:val="en-US" w:eastAsia="zh-CN"/>
        </w:rPr>
        <w:t>质控措施</w:t>
      </w:r>
      <w:r>
        <w:rPr>
          <w:rFonts w:hint="eastAsia" w:ascii="宋体" w:hAnsi="宋体" w:cs="Times New Roman"/>
          <w:sz w:val="24"/>
          <w:szCs w:val="24"/>
        </w:rPr>
        <w:t>；</w:t>
      </w:r>
    </w:p>
    <w:p w14:paraId="014D0046">
      <w:pPr>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hint="eastAsia" w:ascii="宋体" w:hAnsi="宋体" w:cs="Times New Roman"/>
          <w:sz w:val="24"/>
          <w:szCs w:val="24"/>
          <w:lang w:val="en-US" w:eastAsia="zh-CN"/>
        </w:rPr>
        <w:t>5</w:t>
      </w:r>
      <w:r>
        <w:rPr>
          <w:rFonts w:hint="eastAsia" w:ascii="宋体" w:hAnsi="宋体" w:cs="Times New Roman"/>
          <w:sz w:val="24"/>
          <w:szCs w:val="24"/>
        </w:rPr>
        <w:t>）</w:t>
      </w:r>
      <w:r>
        <w:rPr>
          <w:rFonts w:hint="eastAsia" w:ascii="宋体" w:hAnsi="宋体" w:cs="Times New Roman"/>
          <w:sz w:val="24"/>
          <w:szCs w:val="24"/>
          <w:lang w:val="en-US" w:eastAsia="zh-CN"/>
        </w:rPr>
        <w:t>进度及后期服务措施</w:t>
      </w:r>
      <w:r>
        <w:rPr>
          <w:rFonts w:hint="eastAsia" w:ascii="宋体" w:hAnsi="宋体" w:cs="Times New Roman"/>
          <w:sz w:val="24"/>
          <w:szCs w:val="24"/>
        </w:rPr>
        <w:t>；</w:t>
      </w:r>
    </w:p>
    <w:p w14:paraId="68B847B2">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cs="Times New Roman"/>
          <w:sz w:val="24"/>
          <w:szCs w:val="24"/>
        </w:rPr>
        <w:t>（</w:t>
      </w:r>
      <w:r>
        <w:rPr>
          <w:rFonts w:hint="eastAsia" w:ascii="宋体" w:hAnsi="宋体" w:cs="Times New Roman"/>
          <w:sz w:val="24"/>
          <w:szCs w:val="24"/>
          <w:lang w:val="en-US" w:eastAsia="zh-CN"/>
        </w:rPr>
        <w:t>6</w:t>
      </w:r>
      <w:r>
        <w:rPr>
          <w:rFonts w:hint="eastAsia" w:ascii="宋体" w:hAnsi="宋体" w:cs="Times New Roman"/>
          <w:sz w:val="24"/>
          <w:szCs w:val="24"/>
        </w:rPr>
        <w:t>）</w:t>
      </w:r>
      <w:r>
        <w:rPr>
          <w:rFonts w:hint="eastAsia" w:ascii="宋体" w:hAnsi="宋体" w:cs="Times New Roman"/>
          <w:sz w:val="24"/>
          <w:szCs w:val="24"/>
          <w:lang w:val="en-US" w:eastAsia="zh-CN"/>
        </w:rPr>
        <w:t>管理制度；</w:t>
      </w:r>
    </w:p>
    <w:p w14:paraId="7847DA4E">
      <w:pPr>
        <w:spacing w:line="360" w:lineRule="auto"/>
        <w:ind w:firstLine="480" w:firstLineChars="200"/>
        <w:rPr>
          <w:rFonts w:hint="default" w:ascii="宋体" w:hAnsi="宋体" w:cs="Times New Roman"/>
          <w:sz w:val="24"/>
          <w:szCs w:val="24"/>
          <w:lang w:val="en-US" w:eastAsia="zh-CN"/>
        </w:rPr>
      </w:pPr>
      <w:r>
        <w:rPr>
          <w:rFonts w:hint="eastAsia" w:ascii="宋体" w:hAnsi="宋体" w:cs="Times New Roman"/>
          <w:sz w:val="24"/>
          <w:szCs w:val="24"/>
          <w:lang w:eastAsia="zh-CN"/>
        </w:rPr>
        <w:t>（</w:t>
      </w:r>
      <w:r>
        <w:rPr>
          <w:rFonts w:hint="eastAsia" w:ascii="宋体" w:hAnsi="宋体" w:cs="Times New Roman"/>
          <w:sz w:val="24"/>
          <w:szCs w:val="24"/>
          <w:lang w:val="en-US" w:eastAsia="zh-CN"/>
        </w:rPr>
        <w:t>7</w:t>
      </w:r>
      <w:r>
        <w:rPr>
          <w:rFonts w:hint="eastAsia" w:ascii="宋体" w:hAnsi="宋体" w:cs="Times New Roman"/>
          <w:sz w:val="24"/>
          <w:szCs w:val="24"/>
          <w:lang w:eastAsia="zh-CN"/>
        </w:rPr>
        <w:t>）</w:t>
      </w:r>
      <w:r>
        <w:rPr>
          <w:rFonts w:hint="eastAsia" w:ascii="宋体" w:hAnsi="宋体" w:cs="Times New Roman"/>
          <w:sz w:val="24"/>
          <w:szCs w:val="24"/>
          <w:lang w:val="en-US" w:eastAsia="zh-CN"/>
        </w:rPr>
        <w:t>人员配置</w:t>
      </w:r>
    </w:p>
    <w:p w14:paraId="77B5B680">
      <w:pPr>
        <w:spacing w:line="360" w:lineRule="auto"/>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eastAsia="zh-CN"/>
        </w:rPr>
        <w:t>（</w:t>
      </w:r>
      <w:r>
        <w:rPr>
          <w:rFonts w:hint="eastAsia" w:ascii="宋体" w:hAnsi="宋体" w:cs="Times New Roman"/>
          <w:sz w:val="24"/>
          <w:szCs w:val="24"/>
          <w:lang w:val="en-US" w:eastAsia="zh-CN"/>
        </w:rPr>
        <w:t>8</w:t>
      </w:r>
      <w:r>
        <w:rPr>
          <w:rFonts w:hint="eastAsia" w:ascii="宋体" w:hAnsi="宋体" w:cs="Times New Roman"/>
          <w:sz w:val="24"/>
          <w:szCs w:val="24"/>
          <w:lang w:eastAsia="zh-CN"/>
        </w:rPr>
        <w:t>）</w:t>
      </w:r>
      <w:r>
        <w:rPr>
          <w:rFonts w:hint="eastAsia" w:ascii="宋体" w:hAnsi="宋体" w:cs="Times New Roman"/>
          <w:sz w:val="24"/>
          <w:szCs w:val="24"/>
          <w:lang w:val="en-US" w:eastAsia="zh-CN"/>
        </w:rPr>
        <w:t>检测设备；</w:t>
      </w:r>
    </w:p>
    <w:p w14:paraId="464AFA76">
      <w:pPr>
        <w:spacing w:line="360" w:lineRule="auto"/>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（9）检测能力；</w:t>
      </w:r>
    </w:p>
    <w:p w14:paraId="2C37FF70">
      <w:pPr>
        <w:spacing w:line="360" w:lineRule="auto"/>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（10）售后服务；</w:t>
      </w:r>
    </w:p>
    <w:p w14:paraId="560851D5">
      <w:pPr>
        <w:pStyle w:val="116"/>
        <w:rPr>
          <w:rFonts w:hint="eastAsia" w:ascii="宋体" w:hAnsi="宋体" w:cs="Times New Roman"/>
          <w:sz w:val="24"/>
          <w:szCs w:val="24"/>
          <w:lang w:val="en-US" w:eastAsia="zh-CN"/>
        </w:rPr>
      </w:pPr>
      <w:r>
        <w:rPr>
          <w:rFonts w:hint="eastAsia" w:ascii="宋体" w:hAnsi="宋体" w:cs="Times New Roman"/>
          <w:sz w:val="24"/>
          <w:szCs w:val="24"/>
          <w:lang w:val="en-US" w:eastAsia="zh-CN"/>
        </w:rPr>
        <w:t>（11）合理化建议；</w:t>
      </w:r>
    </w:p>
    <w:p w14:paraId="61E6080D">
      <w:pPr>
        <w:pStyle w:val="116"/>
        <w:rPr>
          <w:rFonts w:hint="default" w:ascii="宋体" w:hAnsi="宋体" w:cs="Times New Roman"/>
          <w:sz w:val="24"/>
          <w:szCs w:val="24"/>
          <w:lang w:val="en-US" w:eastAsia="zh-CN"/>
        </w:rPr>
      </w:pPr>
      <w:r>
        <w:rPr>
          <w:rFonts w:hint="eastAsia" w:ascii="宋体" w:hAnsi="宋体" w:cs="Times New Roman"/>
          <w:sz w:val="24"/>
          <w:szCs w:val="24"/>
          <w:lang w:val="en-US" w:eastAsia="zh-CN"/>
        </w:rPr>
        <w:t>（12）业绩；</w:t>
      </w:r>
    </w:p>
    <w:p w14:paraId="2C4A7EE9">
      <w:pPr>
        <w:spacing w:line="360" w:lineRule="auto"/>
        <w:ind w:firstLine="480" w:firstLineChars="200"/>
        <w:rPr>
          <w:rFonts w:hint="eastAsia" w:ascii="宋体" w:hAnsi="宋体" w:eastAsia="宋体" w:cs="Times New Roman"/>
          <w:sz w:val="24"/>
          <w:szCs w:val="24"/>
          <w:lang w:eastAsia="zh-CN"/>
        </w:rPr>
      </w:pPr>
      <w:r>
        <w:rPr>
          <w:rFonts w:hint="eastAsia" w:ascii="宋体" w:hAnsi="宋体" w:cs="Times New Roman"/>
          <w:sz w:val="24"/>
          <w:szCs w:val="24"/>
          <w:lang w:eastAsia="zh-CN"/>
        </w:rPr>
        <w:t>（</w:t>
      </w:r>
      <w:r>
        <w:rPr>
          <w:rFonts w:hint="eastAsia" w:ascii="宋体" w:hAnsi="宋体" w:cs="Times New Roman"/>
          <w:sz w:val="24"/>
          <w:szCs w:val="24"/>
          <w:lang w:val="en-US" w:eastAsia="zh-CN"/>
        </w:rPr>
        <w:t>13</w:t>
      </w:r>
      <w:r>
        <w:rPr>
          <w:rFonts w:hint="eastAsia" w:ascii="宋体" w:hAnsi="宋体" w:cs="Times New Roman"/>
          <w:sz w:val="24"/>
          <w:szCs w:val="24"/>
          <w:lang w:eastAsia="zh-CN"/>
        </w:rPr>
        <w:t>）</w:t>
      </w:r>
      <w:r>
        <w:rPr>
          <w:rFonts w:hint="eastAsia" w:ascii="宋体" w:hAnsi="宋体" w:cs="Times New Roman"/>
          <w:sz w:val="24"/>
          <w:szCs w:val="24"/>
        </w:rPr>
        <w:t>供应商认为</w:t>
      </w:r>
      <w:r>
        <w:rPr>
          <w:rFonts w:hint="eastAsia" w:ascii="宋体" w:hAnsi="宋体"/>
          <w:sz w:val="24"/>
          <w:szCs w:val="24"/>
        </w:rPr>
        <w:t>有必要提供的其他证明材料及情况说明</w:t>
      </w:r>
      <w:r>
        <w:rPr>
          <w:rFonts w:hint="eastAsia" w:ascii="宋体" w:hAnsi="宋体"/>
          <w:sz w:val="24"/>
          <w:szCs w:val="24"/>
          <w:lang w:eastAsia="zh-CN"/>
        </w:rPr>
        <w:t>；</w:t>
      </w:r>
    </w:p>
    <w:p w14:paraId="7CF6DA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color w:val="auto"/>
          <w:kern w:val="2"/>
          <w:sz w:val="24"/>
          <w:szCs w:val="24"/>
          <w:lang w:val="en-US" w:eastAsia="zh-CN" w:bidi="ar-SA"/>
        </w:rPr>
      </w:pPr>
      <w:r>
        <w:rPr>
          <w:rFonts w:hint="default" w:ascii="Arial" w:hAnsi="Arial" w:cs="Arial"/>
          <w:sz w:val="32"/>
          <w:szCs w:val="32"/>
        </w:rPr>
        <w:t>……</w:t>
      </w:r>
    </w:p>
    <w:p w14:paraId="4757E486">
      <w:pPr>
        <w:spacing w:line="360" w:lineRule="auto"/>
        <w:ind w:firstLine="480" w:firstLineChars="200"/>
        <w:rPr>
          <w:rFonts w:hint="eastAsia" w:ascii="宋体" w:hAnsi="宋体" w:eastAsia="宋体" w:cs="Times New Roman"/>
          <w:b w:val="0"/>
          <w:bCs w:val="0"/>
          <w:sz w:val="24"/>
          <w:szCs w:val="24"/>
        </w:rPr>
      </w:pPr>
    </w:p>
    <w:p w14:paraId="22DB4B3D">
      <w:pPr>
        <w:widowControl/>
        <w:jc w:val="left"/>
        <w:rPr>
          <w:rFonts w:ascii="宋体" w:hAnsi="宋体" w:cs="Times New Roman"/>
          <w:sz w:val="24"/>
          <w:szCs w:val="24"/>
        </w:rPr>
      </w:pPr>
      <w:r>
        <w:rPr>
          <w:rFonts w:ascii="宋体" w:hAnsi="宋体" w:cs="Times New Roman"/>
          <w:sz w:val="24"/>
          <w:szCs w:val="24"/>
        </w:rPr>
        <w:br w:type="page"/>
      </w:r>
    </w:p>
    <w:bookmarkEnd w:id="192"/>
    <w:bookmarkEnd w:id="193"/>
    <w:bookmarkEnd w:id="194"/>
    <w:bookmarkEnd w:id="195"/>
    <w:p w14:paraId="5792792A">
      <w:pPr>
        <w:overflowPunct/>
        <w:topLinePunct w:val="0"/>
        <w:autoSpaceDE w:val="0"/>
        <w:autoSpaceDN w:val="0"/>
        <w:bidi w:val="0"/>
        <w:adjustRightInd w:val="0"/>
        <w:spacing w:line="500" w:lineRule="atLeast"/>
        <w:jc w:val="center"/>
        <w:textAlignment w:val="baseline"/>
        <w:rPr>
          <w:rFonts w:hint="default" w:ascii="宋体" w:hAnsi="宋体" w:eastAsia="宋体" w:cs="宋体"/>
          <w:b/>
          <w:bCs/>
          <w:kern w:val="20"/>
          <w:sz w:val="28"/>
          <w:szCs w:val="28"/>
          <w:lang w:val="en-US" w:eastAsia="zh-CN"/>
        </w:rPr>
      </w:pPr>
      <w:bookmarkStart w:id="197" w:name="_Toc396304714"/>
      <w:bookmarkStart w:id="198" w:name="_Toc17592"/>
      <w:bookmarkStart w:id="199" w:name="_Toc2768"/>
      <w:bookmarkStart w:id="200" w:name="_Toc214"/>
      <w:bookmarkStart w:id="201" w:name="_Toc403077652"/>
      <w:bookmarkStart w:id="202" w:name="_Toc426457710"/>
      <w:bookmarkStart w:id="203" w:name="_Toc4115"/>
      <w:bookmarkStart w:id="204" w:name="_Toc14631"/>
      <w:r>
        <w:rPr>
          <w:rFonts w:hint="eastAsia" w:ascii="宋体" w:hAnsi="宋体" w:eastAsia="宋体" w:cs="宋体"/>
          <w:b/>
          <w:bCs/>
          <w:kern w:val="20"/>
          <w:sz w:val="28"/>
          <w:szCs w:val="28"/>
        </w:rPr>
        <w:t>本项目拟投入人员</w:t>
      </w:r>
      <w:bookmarkEnd w:id="197"/>
      <w:bookmarkEnd w:id="198"/>
      <w:bookmarkEnd w:id="199"/>
      <w:bookmarkEnd w:id="200"/>
      <w:bookmarkEnd w:id="201"/>
      <w:bookmarkEnd w:id="202"/>
      <w:bookmarkEnd w:id="203"/>
      <w:bookmarkEnd w:id="204"/>
      <w:r>
        <w:rPr>
          <w:rFonts w:hint="eastAsia" w:ascii="宋体" w:hAnsi="宋体" w:cs="宋体"/>
          <w:b/>
          <w:bCs/>
          <w:kern w:val="20"/>
          <w:sz w:val="28"/>
          <w:szCs w:val="28"/>
          <w:lang w:val="en-US" w:eastAsia="zh-CN"/>
        </w:rPr>
        <w:t>情况表</w:t>
      </w:r>
    </w:p>
    <w:p w14:paraId="3DA7DADE">
      <w:pPr>
        <w:overflowPunct/>
        <w:topLinePunct w:val="0"/>
        <w:autoSpaceDE w:val="0"/>
        <w:autoSpaceDN w:val="0"/>
        <w:bidi w:val="0"/>
        <w:adjustRightInd w:val="0"/>
        <w:spacing w:line="500" w:lineRule="atLeast"/>
        <w:textAlignment w:val="baseline"/>
        <w:rPr>
          <w:rFonts w:hint="eastAsia" w:ascii="宋体" w:hAnsi="宋体" w:eastAsia="宋体" w:cs="宋体"/>
          <w:b/>
          <w:bCs/>
          <w:kern w:val="20"/>
          <w:sz w:val="24"/>
          <w:szCs w:val="24"/>
        </w:rPr>
      </w:pPr>
    </w:p>
    <w:tbl>
      <w:tblPr>
        <w:tblStyle w:val="34"/>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3B3F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jc w:val="center"/>
        </w:trPr>
        <w:tc>
          <w:tcPr>
            <w:tcW w:w="791" w:type="dxa"/>
            <w:tcMar>
              <w:top w:w="15" w:type="dxa"/>
              <w:left w:w="15" w:type="dxa"/>
              <w:bottom w:w="0" w:type="dxa"/>
              <w:right w:w="15" w:type="dxa"/>
            </w:tcMar>
            <w:vAlign w:val="center"/>
          </w:tcPr>
          <w:p w14:paraId="0DB7AA93">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762" w:type="dxa"/>
            <w:tcMar>
              <w:top w:w="15" w:type="dxa"/>
              <w:left w:w="15" w:type="dxa"/>
              <w:bottom w:w="0" w:type="dxa"/>
              <w:right w:w="15" w:type="dxa"/>
            </w:tcMar>
            <w:vAlign w:val="center"/>
          </w:tcPr>
          <w:p w14:paraId="11AAD8F5">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姓  名</w:t>
            </w:r>
          </w:p>
        </w:tc>
        <w:tc>
          <w:tcPr>
            <w:tcW w:w="809" w:type="dxa"/>
            <w:tcMar>
              <w:top w:w="15" w:type="dxa"/>
              <w:left w:w="15" w:type="dxa"/>
              <w:bottom w:w="0" w:type="dxa"/>
              <w:right w:w="15" w:type="dxa"/>
            </w:tcMar>
            <w:vAlign w:val="center"/>
          </w:tcPr>
          <w:p w14:paraId="0360883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性别</w:t>
            </w:r>
          </w:p>
        </w:tc>
        <w:tc>
          <w:tcPr>
            <w:tcW w:w="809" w:type="dxa"/>
            <w:tcMar>
              <w:top w:w="15" w:type="dxa"/>
              <w:left w:w="15" w:type="dxa"/>
              <w:bottom w:w="0" w:type="dxa"/>
              <w:right w:w="15" w:type="dxa"/>
            </w:tcMar>
            <w:vAlign w:val="center"/>
          </w:tcPr>
          <w:p w14:paraId="27DB5CB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年龄</w:t>
            </w:r>
          </w:p>
        </w:tc>
        <w:tc>
          <w:tcPr>
            <w:tcW w:w="809" w:type="dxa"/>
            <w:tcMar>
              <w:top w:w="15" w:type="dxa"/>
              <w:left w:w="15" w:type="dxa"/>
              <w:bottom w:w="0" w:type="dxa"/>
              <w:right w:w="15" w:type="dxa"/>
            </w:tcMar>
            <w:vAlign w:val="center"/>
          </w:tcPr>
          <w:p w14:paraId="59662EF6">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学历</w:t>
            </w:r>
          </w:p>
        </w:tc>
        <w:tc>
          <w:tcPr>
            <w:tcW w:w="1062" w:type="dxa"/>
            <w:tcMar>
              <w:top w:w="15" w:type="dxa"/>
              <w:left w:w="15" w:type="dxa"/>
              <w:bottom w:w="0" w:type="dxa"/>
              <w:right w:w="15" w:type="dxa"/>
            </w:tcMar>
            <w:vAlign w:val="center"/>
          </w:tcPr>
          <w:p w14:paraId="4523864E">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工作</w:t>
            </w:r>
          </w:p>
          <w:p w14:paraId="43C3A14E">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年限</w:t>
            </w:r>
          </w:p>
        </w:tc>
        <w:tc>
          <w:tcPr>
            <w:tcW w:w="2667" w:type="dxa"/>
            <w:tcMar>
              <w:top w:w="15" w:type="dxa"/>
              <w:left w:w="15" w:type="dxa"/>
              <w:bottom w:w="0" w:type="dxa"/>
              <w:right w:w="15" w:type="dxa"/>
            </w:tcMar>
            <w:vAlign w:val="center"/>
          </w:tcPr>
          <w:p w14:paraId="0F8DCE2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拟担任的职务</w:t>
            </w:r>
          </w:p>
        </w:tc>
        <w:tc>
          <w:tcPr>
            <w:tcW w:w="966" w:type="dxa"/>
            <w:tcMar>
              <w:top w:w="15" w:type="dxa"/>
              <w:left w:w="15" w:type="dxa"/>
              <w:bottom w:w="0" w:type="dxa"/>
              <w:right w:w="15" w:type="dxa"/>
            </w:tcMar>
            <w:vAlign w:val="center"/>
          </w:tcPr>
          <w:p w14:paraId="2F437CC2">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岗位</w:t>
            </w:r>
          </w:p>
          <w:p w14:paraId="1AB1EC56">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情况</w:t>
            </w:r>
          </w:p>
        </w:tc>
      </w:tr>
      <w:tr w14:paraId="43ED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D3D836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688BDF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3ACCE2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5D6CD8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1FCCF0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2D239D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F4C4D4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5087830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6BC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6616210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AE6500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72113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2B0BA4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F87729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206516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2DA44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1972E7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152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73EAA7E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155F8C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A200C0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24FFAB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880E3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8D7B9E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FED32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905E96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551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3AEC7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97B5BA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0EA3BB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A8E9DF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ABF8F0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38D5B8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99632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BE0C3B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7A92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8F48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27C8670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9AE420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154535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790B19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8FB7D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45E3B99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5563E0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D7E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1B72751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6D1B20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A98CF7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438778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707DD0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4EBE2F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7BE20C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E95A4D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3EF6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57BACC0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102210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1D46FF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DC2CD9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4C08CA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4F40A6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40ADF2E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227130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B7D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479632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1C3175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02B16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F5EF9C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146D57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F09108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5AA716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FA80F9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3C49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269AD3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772249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5E4BA6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8414E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E2AD74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B3D11F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34970D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5A0C64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FE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581E08B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F52B9E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4464FE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1594ED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84BC28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DD2EA8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A6BFF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A76007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FD5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064A30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CB881E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7849EE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EB6EF2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90044E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C16594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5A0743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392758F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bl>
    <w:p w14:paraId="3B1EB12B">
      <w:pPr>
        <w:overflowPunct/>
        <w:topLinePunct w:val="0"/>
        <w:bidi w:val="0"/>
        <w:spacing w:line="500" w:lineRule="atLeast"/>
        <w:rPr>
          <w:rFonts w:hint="eastAsia" w:ascii="宋体" w:hAnsi="宋体" w:eastAsia="宋体" w:cs="宋体"/>
          <w:szCs w:val="22"/>
        </w:rPr>
      </w:pPr>
      <w:r>
        <w:rPr>
          <w:rFonts w:hint="eastAsia" w:ascii="宋体" w:hAnsi="宋体" w:cs="宋体"/>
          <w:color w:val="auto"/>
          <w:sz w:val="24"/>
          <w:szCs w:val="24"/>
          <w:lang w:val="en-US" w:eastAsia="zh-CN"/>
        </w:rPr>
        <w:t>注：表后</w:t>
      </w:r>
      <w:r>
        <w:rPr>
          <w:rFonts w:hint="eastAsia" w:ascii="宋体" w:hAnsi="宋体" w:eastAsia="宋体" w:cs="宋体"/>
          <w:color w:val="auto"/>
          <w:sz w:val="24"/>
          <w:szCs w:val="24"/>
        </w:rPr>
        <w:t>需提供人员学历证、身份证、职称证以及在本单位所缴纳的社会保险凭证证明材料复印件加盖</w:t>
      </w:r>
      <w:r>
        <w:rPr>
          <w:rFonts w:hint="eastAsia" w:ascii="宋体" w:hAnsi="宋体" w:cs="宋体"/>
          <w:color w:val="auto"/>
          <w:sz w:val="24"/>
          <w:szCs w:val="24"/>
          <w:lang w:val="en-US" w:eastAsia="zh-CN"/>
        </w:rPr>
        <w:t>响应单位</w:t>
      </w:r>
      <w:r>
        <w:rPr>
          <w:rFonts w:hint="eastAsia" w:ascii="宋体" w:hAnsi="宋体" w:eastAsia="宋体" w:cs="宋体"/>
          <w:color w:val="auto"/>
          <w:sz w:val="24"/>
          <w:szCs w:val="24"/>
        </w:rPr>
        <w:t>公章</w:t>
      </w:r>
      <w:r>
        <w:rPr>
          <w:rFonts w:hint="eastAsia" w:ascii="宋体" w:hAnsi="宋体" w:cs="宋体"/>
          <w:color w:val="auto"/>
          <w:sz w:val="24"/>
          <w:szCs w:val="24"/>
          <w:lang w:eastAsia="zh-CN"/>
        </w:rPr>
        <w:t>。</w:t>
      </w:r>
    </w:p>
    <w:p w14:paraId="3603D985">
      <w:pPr>
        <w:overflowPunct/>
        <w:topLinePunct w:val="0"/>
        <w:bidi w:val="0"/>
        <w:adjustRightInd w:val="0"/>
        <w:snapToGrid w:val="0"/>
        <w:spacing w:line="500" w:lineRule="atLeast"/>
        <w:jc w:val="left"/>
        <w:rPr>
          <w:rFonts w:hint="eastAsia" w:ascii="宋体" w:hAnsi="宋体" w:eastAsia="宋体" w:cs="宋体"/>
          <w:sz w:val="28"/>
          <w:szCs w:val="28"/>
        </w:rPr>
      </w:pPr>
    </w:p>
    <w:p w14:paraId="5E43DFEF">
      <w:pPr>
        <w:overflowPunct/>
        <w:topLinePunct w:val="0"/>
        <w:bidi w:val="0"/>
        <w:adjustRightInd w:val="0"/>
        <w:snapToGrid w:val="0"/>
        <w:spacing w:line="500" w:lineRule="atLeast"/>
        <w:jc w:val="left"/>
        <w:rPr>
          <w:rFonts w:hint="eastAsia" w:ascii="宋体" w:hAnsi="宋体" w:eastAsia="宋体" w:cs="宋体"/>
          <w:sz w:val="28"/>
          <w:szCs w:val="28"/>
        </w:rPr>
      </w:pPr>
    </w:p>
    <w:p w14:paraId="4605F889">
      <w:pPr>
        <w:overflowPunct/>
        <w:topLinePunct w:val="0"/>
        <w:bidi w:val="0"/>
        <w:adjustRightInd w:val="0"/>
        <w:snapToGrid w:val="0"/>
        <w:spacing w:line="500" w:lineRule="atLeast"/>
        <w:jc w:val="left"/>
        <w:rPr>
          <w:rFonts w:hint="eastAsia" w:ascii="宋体" w:hAnsi="宋体" w:eastAsia="宋体" w:cs="宋体"/>
          <w:sz w:val="28"/>
          <w:szCs w:val="28"/>
        </w:rPr>
      </w:pPr>
    </w:p>
    <w:p w14:paraId="54216019">
      <w:pPr>
        <w:overflowPunct/>
        <w:topLinePunct w:val="0"/>
        <w:bidi w:val="0"/>
        <w:adjustRightInd w:val="0"/>
        <w:snapToGrid w:val="0"/>
        <w:spacing w:line="500" w:lineRule="atLeast"/>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2ACB2193">
      <w:pPr>
        <w:overflowPunct/>
        <w:topLinePunct w:val="0"/>
        <w:bidi w:val="0"/>
        <w:adjustRightInd w:val="0"/>
        <w:snapToGrid w:val="0"/>
        <w:spacing w:line="500" w:lineRule="atLeas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val="en-US" w:eastAsia="zh-CN"/>
        </w:rPr>
        <w:t>或</w:t>
      </w:r>
      <w:r>
        <w:rPr>
          <w:rFonts w:hint="eastAsia" w:ascii="宋体" w:hAnsi="宋体" w:eastAsia="宋体" w:cs="宋体"/>
          <w:sz w:val="24"/>
          <w:szCs w:val="24"/>
        </w:rPr>
        <w:t>被授权人（签字或盖章）：____________________</w:t>
      </w:r>
    </w:p>
    <w:p w14:paraId="1DF87DA3">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4"/>
          <w:szCs w:val="24"/>
        </w:rPr>
        <w:t>日    期：________年________月________日</w:t>
      </w:r>
    </w:p>
    <w:p w14:paraId="559574E7">
      <w:pPr>
        <w:spacing w:line="360" w:lineRule="auto"/>
        <w:ind w:firstLine="492" w:firstLineChars="175"/>
        <w:rPr>
          <w:rFonts w:ascii="宋体" w:hAnsi="宋体" w:cs="Times New Roman"/>
          <w:sz w:val="24"/>
          <w:szCs w:val="24"/>
        </w:rPr>
      </w:pPr>
      <w:r>
        <w:rPr>
          <w:rFonts w:hint="eastAsia" w:ascii="宋体" w:hAnsi="宋体" w:eastAsia="宋体" w:cs="宋体"/>
          <w:b/>
          <w:bCs w:val="0"/>
          <w:color w:val="auto"/>
          <w:sz w:val="28"/>
          <w:szCs w:val="28"/>
          <w:u w:val="none"/>
          <w:lang w:val="en-US" w:eastAsia="zh-CN"/>
        </w:rPr>
        <w:t xml:space="preserve">    </w:t>
      </w:r>
    </w:p>
    <w:bookmarkEnd w:id="191"/>
    <w:bookmarkEnd w:id="196"/>
    <w:p w14:paraId="114EBE29">
      <w:pPr>
        <w:spacing w:line="360" w:lineRule="auto"/>
        <w:jc w:val="center"/>
        <w:rPr>
          <w:rFonts w:hint="eastAsia" w:ascii="宋体" w:hAnsi="宋体" w:eastAsia="宋体" w:cs="宋体"/>
          <w:b/>
          <w:bCs w:val="0"/>
          <w:color w:val="auto"/>
          <w:sz w:val="28"/>
          <w:szCs w:val="28"/>
          <w:u w:val="none"/>
          <w:lang w:val="en-US" w:eastAsia="zh-CN"/>
        </w:rPr>
      </w:pPr>
      <w:bookmarkStart w:id="205" w:name="_Toc536202333"/>
      <w:bookmarkStart w:id="206" w:name="_Toc10667"/>
      <w:bookmarkStart w:id="207" w:name="_Toc24683"/>
      <w:bookmarkStart w:id="208" w:name="_Toc536202402"/>
      <w:bookmarkStart w:id="209" w:name="_Toc536429342"/>
      <w:bookmarkStart w:id="210" w:name="_Toc19543363"/>
      <w:bookmarkStart w:id="211" w:name="_Toc536429395"/>
    </w:p>
    <w:p w14:paraId="420C0199">
      <w:pPr>
        <w:spacing w:line="360" w:lineRule="auto"/>
        <w:jc w:val="center"/>
        <w:rPr>
          <w:rFonts w:hint="eastAsia" w:ascii="宋体" w:hAnsi="宋体" w:eastAsia="宋体" w:cs="宋体"/>
          <w:b/>
          <w:bCs w:val="0"/>
          <w:color w:val="auto"/>
          <w:sz w:val="28"/>
          <w:szCs w:val="28"/>
          <w:u w:val="none"/>
          <w:lang w:val="en-US" w:eastAsia="zh-CN"/>
        </w:rPr>
      </w:pPr>
    </w:p>
    <w:p w14:paraId="718CF45D">
      <w:pPr>
        <w:spacing w:line="360" w:lineRule="auto"/>
        <w:jc w:val="center"/>
        <w:rPr>
          <w:rFonts w:hint="eastAsia" w:ascii="宋体" w:hAnsi="宋体" w:eastAsia="宋体" w:cs="宋体"/>
          <w:b/>
          <w:bCs w:val="0"/>
          <w:color w:val="auto"/>
          <w:sz w:val="28"/>
          <w:szCs w:val="28"/>
          <w:u w:val="none"/>
          <w:lang w:val="en-US" w:eastAsia="zh-CN"/>
        </w:rPr>
      </w:pPr>
    </w:p>
    <w:p w14:paraId="4C44BD37">
      <w:pPr>
        <w:widowControl/>
        <w:jc w:val="center"/>
        <w:rPr>
          <w:rFonts w:ascii="宋体" w:hAnsi="宋体" w:cs="宋体"/>
          <w:b/>
          <w:bCs/>
          <w:sz w:val="28"/>
          <w:szCs w:val="28"/>
        </w:rPr>
      </w:pPr>
      <w:r>
        <w:rPr>
          <w:rFonts w:hint="eastAsia" w:ascii="宋体" w:hAnsi="宋体" w:cs="宋体"/>
          <w:b/>
          <w:bCs/>
          <w:sz w:val="28"/>
          <w:szCs w:val="28"/>
        </w:rPr>
        <w:t>业绩</w:t>
      </w:r>
    </w:p>
    <w:tbl>
      <w:tblPr>
        <w:tblStyle w:val="34"/>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14B95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874856C">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序号</w:t>
            </w:r>
          </w:p>
        </w:tc>
        <w:tc>
          <w:tcPr>
            <w:tcW w:w="1414" w:type="dxa"/>
            <w:vAlign w:val="center"/>
          </w:tcPr>
          <w:p w14:paraId="7AE15C40">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项目名称</w:t>
            </w:r>
          </w:p>
        </w:tc>
        <w:tc>
          <w:tcPr>
            <w:tcW w:w="2364" w:type="dxa"/>
            <w:vAlign w:val="center"/>
          </w:tcPr>
          <w:p w14:paraId="23EA468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项目内容</w:t>
            </w:r>
          </w:p>
        </w:tc>
        <w:tc>
          <w:tcPr>
            <w:tcW w:w="2409" w:type="dxa"/>
            <w:vAlign w:val="center"/>
          </w:tcPr>
          <w:p w14:paraId="235880C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合同金额</w:t>
            </w:r>
          </w:p>
        </w:tc>
        <w:tc>
          <w:tcPr>
            <w:tcW w:w="2409" w:type="dxa"/>
            <w:vAlign w:val="center"/>
          </w:tcPr>
          <w:p w14:paraId="09C05D4A">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采购人名称</w:t>
            </w:r>
          </w:p>
        </w:tc>
      </w:tr>
      <w:tr w14:paraId="7A9ED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CCBAFA2">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1</w:t>
            </w:r>
          </w:p>
        </w:tc>
        <w:tc>
          <w:tcPr>
            <w:tcW w:w="1414" w:type="dxa"/>
            <w:vAlign w:val="center"/>
          </w:tcPr>
          <w:p w14:paraId="7EC243F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7527D1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F151F3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7CCA4A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7442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F7ED243">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2</w:t>
            </w:r>
          </w:p>
        </w:tc>
        <w:tc>
          <w:tcPr>
            <w:tcW w:w="1414" w:type="dxa"/>
            <w:vAlign w:val="center"/>
          </w:tcPr>
          <w:p w14:paraId="50DA1E7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5834BA1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276071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887EC5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C7FE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944E478">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3</w:t>
            </w:r>
          </w:p>
        </w:tc>
        <w:tc>
          <w:tcPr>
            <w:tcW w:w="1414" w:type="dxa"/>
            <w:vAlign w:val="center"/>
          </w:tcPr>
          <w:p w14:paraId="78754363">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6B69AC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23020E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ADD26D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CB8D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DEF5714">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4</w:t>
            </w:r>
          </w:p>
        </w:tc>
        <w:tc>
          <w:tcPr>
            <w:tcW w:w="1414" w:type="dxa"/>
            <w:vAlign w:val="center"/>
          </w:tcPr>
          <w:p w14:paraId="3160A48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F4E132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E64CD7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A526EC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71432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A7FC6DE">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5</w:t>
            </w:r>
          </w:p>
        </w:tc>
        <w:tc>
          <w:tcPr>
            <w:tcW w:w="1414" w:type="dxa"/>
            <w:vAlign w:val="center"/>
          </w:tcPr>
          <w:p w14:paraId="6DB0D65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5A9949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2EADE1B">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29D939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8445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7AEA03B">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w:t>
            </w:r>
          </w:p>
        </w:tc>
        <w:tc>
          <w:tcPr>
            <w:tcW w:w="1414" w:type="dxa"/>
            <w:vAlign w:val="center"/>
          </w:tcPr>
          <w:p w14:paraId="2D7E6F9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FBF662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215272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F2D7F7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0E1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7BE88C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48C0A1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069DF2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92F3EB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EB1D82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18E3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C058A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7A8253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79ABFA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565700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3993A6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08B7C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7F8EEA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5F6A6B8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FFF3FC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9F58F7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722626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3058E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F4035E2">
            <w:pPr>
              <w:keepNext w:val="0"/>
              <w:keepLines w:val="0"/>
              <w:suppressLineNumbers w:val="0"/>
              <w:spacing w:before="0" w:beforeAutospacing="0" w:after="0" w:afterAutospacing="0"/>
              <w:ind w:left="120" w:right="0"/>
              <w:jc w:val="center"/>
              <w:rPr>
                <w:rFonts w:hint="default" w:ascii="宋体" w:hAnsi="宋体" w:cs="Times New Roman"/>
                <w:sz w:val="24"/>
                <w:szCs w:val="24"/>
              </w:rPr>
            </w:pPr>
          </w:p>
        </w:tc>
        <w:tc>
          <w:tcPr>
            <w:tcW w:w="1414" w:type="dxa"/>
            <w:vAlign w:val="center"/>
          </w:tcPr>
          <w:p w14:paraId="62F956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37D056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09F769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6362B7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bl>
    <w:p w14:paraId="69BA9852">
      <w:pPr>
        <w:tabs>
          <w:tab w:val="left" w:pos="8782"/>
        </w:tabs>
        <w:snapToGrid w:val="0"/>
        <w:spacing w:line="360" w:lineRule="auto"/>
        <w:ind w:firstLine="480" w:firstLineChars="200"/>
        <w:rPr>
          <w:rFonts w:ascii="宋体" w:hAnsi="宋体" w:cs="Times New Roman"/>
          <w:sz w:val="24"/>
          <w:szCs w:val="24"/>
        </w:rPr>
      </w:pPr>
    </w:p>
    <w:p w14:paraId="48B52603">
      <w:pPr>
        <w:tabs>
          <w:tab w:val="left" w:pos="8782"/>
        </w:tabs>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注：投标人应提供双方签订的合同（合同复印件加盖公章装订在</w:t>
      </w:r>
      <w:r>
        <w:rPr>
          <w:rFonts w:hint="eastAsia" w:ascii="宋体" w:hAnsi="宋体" w:cs="Times New Roman"/>
          <w:sz w:val="24"/>
          <w:szCs w:val="24"/>
          <w:lang w:eastAsia="zh-CN"/>
        </w:rPr>
        <w:t>响应文件</w:t>
      </w:r>
      <w:r>
        <w:rPr>
          <w:rFonts w:hint="eastAsia" w:ascii="宋体" w:hAnsi="宋体" w:cs="Times New Roman"/>
          <w:sz w:val="24"/>
          <w:szCs w:val="24"/>
        </w:rPr>
        <w:t xml:space="preserve">中）。 </w:t>
      </w:r>
    </w:p>
    <w:p w14:paraId="5D921290">
      <w:pPr>
        <w:pStyle w:val="22"/>
      </w:pPr>
    </w:p>
    <w:p w14:paraId="50226294">
      <w:pPr>
        <w:pStyle w:val="22"/>
      </w:pPr>
    </w:p>
    <w:p w14:paraId="538EE712">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5412AB2E">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val="zh-CN"/>
        </w:rPr>
        <w:t>签字</w:t>
      </w:r>
      <w:r>
        <w:rPr>
          <w:rFonts w:hint="eastAsia" w:ascii="宋体" w:hAnsi="宋体" w:eastAsia="宋体" w:cs="宋体"/>
          <w:sz w:val="24"/>
          <w:szCs w:val="24"/>
        </w:rPr>
        <w:t>或盖章）：____________________</w:t>
      </w:r>
    </w:p>
    <w:p w14:paraId="5FD370FE">
      <w:pPr>
        <w:adjustRightInd w:val="0"/>
        <w:snapToGrid w:val="0"/>
        <w:spacing w:line="480" w:lineRule="auto"/>
        <w:rPr>
          <w:rFonts w:hint="eastAsia" w:ascii="宋体" w:hAnsi="宋体" w:eastAsia="宋体" w:cs="宋体"/>
        </w:rPr>
      </w:pPr>
      <w:r>
        <w:rPr>
          <w:rFonts w:hint="eastAsia" w:ascii="宋体" w:hAnsi="宋体" w:eastAsia="宋体" w:cs="宋体"/>
          <w:sz w:val="24"/>
          <w:szCs w:val="24"/>
        </w:rPr>
        <w:t>日    期：________年________月________日</w:t>
      </w:r>
    </w:p>
    <w:p w14:paraId="36A4184A">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p>
    <w:p w14:paraId="0BB4360A">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p>
    <w:bookmarkEnd w:id="205"/>
    <w:bookmarkEnd w:id="206"/>
    <w:bookmarkEnd w:id="207"/>
    <w:bookmarkEnd w:id="208"/>
    <w:bookmarkEnd w:id="209"/>
    <w:bookmarkEnd w:id="210"/>
    <w:bookmarkEnd w:id="211"/>
    <w:p w14:paraId="74044EE5">
      <w:pPr>
        <w:pStyle w:val="3"/>
        <w:keepNext/>
        <w:keepLines/>
        <w:pageBreakBefore w:val="0"/>
        <w:widowControl w:val="0"/>
        <w:kinsoku/>
        <w:wordWrap/>
        <w:overflowPunct/>
        <w:topLinePunct w:val="0"/>
        <w:autoSpaceDE/>
        <w:autoSpaceDN/>
        <w:bidi w:val="0"/>
        <w:adjustRightInd/>
        <w:snapToGrid/>
        <w:spacing w:line="413" w:lineRule="auto"/>
        <w:textAlignment w:val="auto"/>
        <w:rPr>
          <w:rFonts w:ascii="宋体" w:hAnsi="宋体" w:cs="宋体"/>
          <w:color w:val="auto"/>
          <w:sz w:val="32"/>
          <w:szCs w:val="32"/>
        </w:rPr>
      </w:pPr>
      <w:r>
        <w:rPr>
          <w:rFonts w:hint="eastAsia" w:ascii="宋体" w:hAnsi="宋体" w:cs="宋体"/>
          <w:color w:val="auto"/>
          <w:sz w:val="32"/>
          <w:szCs w:val="32"/>
        </w:rPr>
        <w:t>第</w:t>
      </w:r>
      <w:r>
        <w:rPr>
          <w:rFonts w:hint="eastAsia" w:ascii="宋体" w:hAnsi="宋体" w:cs="宋体"/>
          <w:color w:val="auto"/>
          <w:sz w:val="32"/>
          <w:szCs w:val="32"/>
          <w:lang w:val="en-US" w:eastAsia="zh-CN"/>
        </w:rPr>
        <w:t>六</w:t>
      </w:r>
      <w:r>
        <w:rPr>
          <w:rFonts w:hint="eastAsia" w:ascii="宋体" w:hAnsi="宋体" w:cs="宋体"/>
          <w:color w:val="auto"/>
          <w:sz w:val="32"/>
          <w:szCs w:val="32"/>
        </w:rPr>
        <w:t>章</w:t>
      </w:r>
      <w:r>
        <w:rPr>
          <w:rFonts w:ascii="宋体" w:hAnsi="宋体" w:cs="宋体"/>
          <w:color w:val="auto"/>
          <w:sz w:val="32"/>
          <w:szCs w:val="32"/>
        </w:rPr>
        <w:t xml:space="preserve">  </w:t>
      </w:r>
      <w:r>
        <w:rPr>
          <w:rFonts w:hint="eastAsia" w:ascii="宋体" w:hAnsi="宋体" w:cs="宋体"/>
          <w:color w:val="auto"/>
          <w:sz w:val="32"/>
          <w:szCs w:val="32"/>
        </w:rPr>
        <w:t>供应商承诺书</w:t>
      </w:r>
    </w:p>
    <w:p w14:paraId="00CD2DDF">
      <w:pPr>
        <w:widowControl/>
        <w:spacing w:line="480" w:lineRule="exact"/>
        <w:jc w:val="center"/>
        <w:rPr>
          <w:rFonts w:cs="仿宋" w:asciiTheme="minorEastAsia" w:hAnsiTheme="minorEastAsia" w:eastAsiaTheme="minorEastAsia"/>
          <w:b/>
          <w:bCs w:val="0"/>
          <w:color w:val="auto"/>
          <w:kern w:val="0"/>
          <w:sz w:val="28"/>
          <w:szCs w:val="32"/>
        </w:rPr>
      </w:pPr>
      <w:r>
        <w:rPr>
          <w:rFonts w:hint="eastAsia" w:cs="仿宋" w:asciiTheme="minorEastAsia" w:hAnsiTheme="minorEastAsia" w:eastAsiaTheme="minorEastAsia"/>
          <w:b/>
          <w:bCs w:val="0"/>
          <w:color w:val="auto"/>
          <w:kern w:val="0"/>
          <w:sz w:val="28"/>
          <w:szCs w:val="32"/>
        </w:rPr>
        <w:t>政府采购供应商拒绝政府采购领域商业贿赂承诺书</w:t>
      </w:r>
    </w:p>
    <w:p w14:paraId="37F3D8B4">
      <w:pPr>
        <w:widowControl/>
        <w:spacing w:line="240" w:lineRule="exact"/>
        <w:ind w:firstLine="420" w:firstLineChars="200"/>
        <w:jc w:val="left"/>
        <w:rPr>
          <w:rFonts w:cs="仿宋" w:asciiTheme="minorEastAsia" w:hAnsiTheme="minorEastAsia" w:eastAsiaTheme="minorEastAsia"/>
          <w:bCs/>
          <w:color w:val="auto"/>
          <w:kern w:val="0"/>
        </w:rPr>
      </w:pPr>
    </w:p>
    <w:p w14:paraId="1588FE9A">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rPr>
        <w:t xml:space="preserve">为响应党中央、国务院关于治理政府采购领域商业贿赂行为的号召，我单位在此庄严承诺： </w:t>
      </w:r>
    </w:p>
    <w:p w14:paraId="059AE5C5">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1.</w:t>
      </w:r>
      <w:r>
        <w:rPr>
          <w:rFonts w:hint="eastAsia" w:cs="仿宋" w:asciiTheme="minorEastAsia" w:hAnsiTheme="minorEastAsia" w:eastAsiaTheme="minorEastAsia"/>
          <w:bCs/>
          <w:color w:val="auto"/>
          <w:kern w:val="0"/>
          <w:sz w:val="24"/>
          <w:szCs w:val="28"/>
        </w:rPr>
        <w:t xml:space="preserve">在参与政府采购活动中遵纪守法、诚信经营、公平竞标。 </w:t>
      </w:r>
    </w:p>
    <w:p w14:paraId="7E1A1E64">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2.</w:t>
      </w:r>
      <w:r>
        <w:rPr>
          <w:rFonts w:hint="eastAsia" w:cs="仿宋" w:asciiTheme="minorEastAsia" w:hAnsiTheme="minorEastAsia" w:eastAsiaTheme="minorEastAsia"/>
          <w:bCs/>
          <w:color w:val="auto"/>
          <w:kern w:val="0"/>
          <w:sz w:val="24"/>
          <w:szCs w:val="28"/>
        </w:rPr>
        <w:t xml:space="preserve">不向采购人、招标代理机构和政府采购评审专家进行任何形式的商业贿赂以谋取交易机会。 </w:t>
      </w:r>
    </w:p>
    <w:p w14:paraId="47FF4190">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3.</w:t>
      </w:r>
      <w:r>
        <w:rPr>
          <w:rFonts w:hint="eastAsia" w:cs="仿宋" w:asciiTheme="minorEastAsia" w:hAnsiTheme="minorEastAsia" w:eastAsiaTheme="minorEastAsia"/>
          <w:bCs/>
          <w:color w:val="auto"/>
          <w:kern w:val="0"/>
          <w:sz w:val="24"/>
          <w:szCs w:val="28"/>
        </w:rPr>
        <w:t>不向政府采购招标代理机构和采购人提供虚假资</w:t>
      </w:r>
      <w:r>
        <w:rPr>
          <w:rFonts w:hint="eastAsia" w:cs="仿宋" w:asciiTheme="minorEastAsia" w:hAnsiTheme="minorEastAsia" w:eastAsiaTheme="minorEastAsia"/>
          <w:bCs/>
          <w:color w:val="auto"/>
          <w:kern w:val="0"/>
          <w:sz w:val="24"/>
          <w:szCs w:val="28"/>
          <w:lang w:val="en-US" w:eastAsia="zh-CN"/>
        </w:rPr>
        <w:t>格证明</w:t>
      </w:r>
      <w:r>
        <w:rPr>
          <w:rFonts w:hint="eastAsia" w:cs="仿宋" w:asciiTheme="minorEastAsia" w:hAnsiTheme="minorEastAsia" w:eastAsiaTheme="minorEastAsia"/>
          <w:bCs/>
          <w:color w:val="auto"/>
          <w:kern w:val="0"/>
          <w:sz w:val="24"/>
          <w:szCs w:val="28"/>
        </w:rPr>
        <w:t xml:space="preserve">文件或采用虚假应标方式参与政府采购市场竞争并谋取成交、成交。 </w:t>
      </w:r>
    </w:p>
    <w:p w14:paraId="38C7DEA2">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4.</w:t>
      </w:r>
      <w:r>
        <w:rPr>
          <w:rFonts w:hint="eastAsia" w:cs="仿宋" w:asciiTheme="minorEastAsia" w:hAnsiTheme="minorEastAsia" w:eastAsiaTheme="minorEastAsia"/>
          <w:bCs/>
          <w:color w:val="auto"/>
          <w:kern w:val="0"/>
          <w:sz w:val="24"/>
          <w:szCs w:val="28"/>
        </w:rPr>
        <w:t>不采取“围标、陪标”等商业欺诈手段获得政府采购</w:t>
      </w:r>
      <w:r>
        <w:rPr>
          <w:rFonts w:hint="eastAsia" w:cs="仿宋" w:asciiTheme="minorEastAsia" w:hAnsiTheme="minorEastAsia" w:eastAsiaTheme="minorEastAsia"/>
          <w:bCs/>
          <w:color w:val="auto"/>
          <w:kern w:val="0"/>
          <w:sz w:val="24"/>
          <w:szCs w:val="28"/>
          <w:lang w:eastAsia="zh-CN"/>
        </w:rPr>
        <w:t>订单</w:t>
      </w:r>
      <w:r>
        <w:rPr>
          <w:rFonts w:hint="eastAsia" w:cs="仿宋" w:asciiTheme="minorEastAsia" w:hAnsiTheme="minorEastAsia" w:eastAsiaTheme="minorEastAsia"/>
          <w:bCs/>
          <w:color w:val="auto"/>
          <w:kern w:val="0"/>
          <w:sz w:val="24"/>
          <w:szCs w:val="28"/>
        </w:rPr>
        <w:t xml:space="preserve">。 </w:t>
      </w:r>
    </w:p>
    <w:p w14:paraId="1AC41FFD">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5.</w:t>
      </w:r>
      <w:r>
        <w:rPr>
          <w:rFonts w:hint="eastAsia" w:cs="仿宋" w:asciiTheme="minorEastAsia" w:hAnsiTheme="minorEastAsia" w:eastAsiaTheme="minorEastAsia"/>
          <w:bCs/>
          <w:color w:val="auto"/>
          <w:kern w:val="0"/>
          <w:sz w:val="24"/>
          <w:szCs w:val="28"/>
        </w:rPr>
        <w:t>不采取不正当手段</w:t>
      </w:r>
      <w:r>
        <w:rPr>
          <w:rFonts w:hint="eastAsia" w:cs="仿宋" w:asciiTheme="minorEastAsia" w:hAnsiTheme="minorEastAsia" w:eastAsiaTheme="minorEastAsia"/>
          <w:bCs/>
          <w:color w:val="auto"/>
          <w:kern w:val="0"/>
          <w:sz w:val="24"/>
          <w:szCs w:val="28"/>
          <w:lang w:eastAsia="zh-CN"/>
        </w:rPr>
        <w:t>诋毁</w:t>
      </w:r>
      <w:r>
        <w:rPr>
          <w:rFonts w:hint="eastAsia" w:cs="仿宋" w:asciiTheme="minorEastAsia" w:hAnsiTheme="minorEastAsia" w:eastAsiaTheme="minorEastAsia"/>
          <w:bCs/>
          <w:color w:val="auto"/>
          <w:kern w:val="0"/>
          <w:sz w:val="24"/>
          <w:szCs w:val="28"/>
        </w:rPr>
        <w:t xml:space="preserve">、排挤其他供应商。 </w:t>
      </w:r>
    </w:p>
    <w:p w14:paraId="6BE93C94">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6.不再提供</w:t>
      </w:r>
      <w:r>
        <w:rPr>
          <w:rFonts w:hint="eastAsia" w:cs="仿宋" w:asciiTheme="minorEastAsia" w:hAnsiTheme="minorEastAsia" w:eastAsiaTheme="minorEastAsia"/>
          <w:bCs/>
          <w:color w:val="auto"/>
          <w:kern w:val="0"/>
          <w:sz w:val="24"/>
          <w:szCs w:val="28"/>
        </w:rPr>
        <w:t xml:space="preserve">商品和服务时“偷梁换柱、以次充好”损害采购人的合法权益。 </w:t>
      </w:r>
    </w:p>
    <w:p w14:paraId="3620EAC6">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7.</w:t>
      </w:r>
      <w:r>
        <w:rPr>
          <w:rFonts w:hint="eastAsia" w:cs="仿宋" w:asciiTheme="minorEastAsia" w:hAnsiTheme="minorEastAsia" w:eastAsiaTheme="minorEastAsia"/>
          <w:bCs/>
          <w:color w:val="auto"/>
          <w:kern w:val="0"/>
          <w:sz w:val="24"/>
          <w:szCs w:val="28"/>
        </w:rPr>
        <w:t>不与采购人、招标代理机构政府采购评审专家</w:t>
      </w:r>
      <w:r>
        <w:rPr>
          <w:rFonts w:hint="eastAsia" w:cs="仿宋" w:asciiTheme="minorEastAsia" w:hAnsiTheme="minorEastAsia" w:eastAsiaTheme="minorEastAsia"/>
          <w:bCs/>
          <w:color w:val="auto"/>
          <w:kern w:val="0"/>
          <w:sz w:val="24"/>
          <w:szCs w:val="28"/>
          <w:lang w:eastAsia="zh-CN"/>
        </w:rPr>
        <w:t>或其他</w:t>
      </w:r>
      <w:r>
        <w:rPr>
          <w:rFonts w:hint="eastAsia" w:cs="仿宋" w:asciiTheme="minorEastAsia" w:hAnsiTheme="minorEastAsia" w:eastAsiaTheme="minorEastAsia"/>
          <w:bCs/>
          <w:color w:val="auto"/>
          <w:kern w:val="0"/>
          <w:sz w:val="24"/>
          <w:szCs w:val="28"/>
        </w:rPr>
        <w:t xml:space="preserve">供应商恶意串通，进行质疑和投诉，维护政府采购市场秩序。 </w:t>
      </w:r>
    </w:p>
    <w:p w14:paraId="7ECE6DB5">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8.</w:t>
      </w:r>
      <w:r>
        <w:rPr>
          <w:rFonts w:hint="eastAsia" w:cs="仿宋" w:asciiTheme="minorEastAsia" w:hAnsiTheme="minorEastAsia" w:eastAsiaTheme="minorEastAsia"/>
          <w:bCs/>
          <w:color w:val="auto"/>
          <w:kern w:val="0"/>
          <w:sz w:val="24"/>
          <w:szCs w:val="28"/>
        </w:rPr>
        <w:t xml:space="preserve">尊重和接受政府采购监督管理部门的监督和政府招标代理机构招标要求，承担因违约行为给采购人造成的损失。 </w:t>
      </w:r>
    </w:p>
    <w:p w14:paraId="09C37753">
      <w:pPr>
        <w:widowControl/>
        <w:spacing w:line="440" w:lineRule="exact"/>
        <w:ind w:firstLine="480" w:firstLineChars="200"/>
        <w:rPr>
          <w:rFonts w:cs="仿宋" w:asciiTheme="minorEastAsia" w:hAnsiTheme="minorEastAsia" w:eastAsiaTheme="minorEastAsia"/>
          <w:bCs/>
          <w:color w:val="auto"/>
          <w:kern w:val="0"/>
          <w:sz w:val="22"/>
          <w:szCs w:val="24"/>
        </w:rPr>
      </w:pPr>
      <w:r>
        <w:rPr>
          <w:rFonts w:hint="eastAsia" w:cs="仿宋" w:asciiTheme="minorEastAsia" w:hAnsiTheme="minorEastAsia" w:eastAsiaTheme="minorEastAsia"/>
          <w:bCs/>
          <w:color w:val="auto"/>
          <w:kern w:val="0"/>
          <w:sz w:val="24"/>
          <w:szCs w:val="28"/>
          <w:lang w:eastAsia="zh-CN"/>
        </w:rPr>
        <w:t>9.</w:t>
      </w:r>
      <w:r>
        <w:rPr>
          <w:rFonts w:hint="eastAsia" w:cs="仿宋" w:asciiTheme="minorEastAsia" w:hAnsiTheme="minorEastAsia" w:eastAsiaTheme="minorEastAsia"/>
          <w:bCs/>
          <w:color w:val="auto"/>
          <w:kern w:val="0"/>
          <w:sz w:val="24"/>
          <w:szCs w:val="28"/>
        </w:rPr>
        <w:t xml:space="preserve">不发生其他有悖于政府采购公开、公平、公正和诚信原则的行为。 </w:t>
      </w:r>
    </w:p>
    <w:p w14:paraId="03857F17">
      <w:pPr>
        <w:widowControl/>
        <w:spacing w:line="440" w:lineRule="exact"/>
        <w:ind w:firstLine="960" w:firstLineChars="400"/>
        <w:rPr>
          <w:rFonts w:cs="仿宋" w:asciiTheme="minorEastAsia" w:hAnsiTheme="minorEastAsia" w:eastAsiaTheme="minorEastAsia"/>
          <w:bCs/>
          <w:color w:val="auto"/>
          <w:kern w:val="0"/>
          <w:sz w:val="24"/>
          <w:szCs w:val="28"/>
        </w:rPr>
      </w:pPr>
    </w:p>
    <w:p w14:paraId="0B296E04">
      <w:pPr>
        <w:widowControl/>
        <w:spacing w:line="440" w:lineRule="exact"/>
        <w:ind w:firstLine="960" w:firstLineChars="4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承诺单位：</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（盖章）</w:t>
      </w:r>
    </w:p>
    <w:p w14:paraId="4910565F">
      <w:pPr>
        <w:widowControl/>
        <w:spacing w:line="440" w:lineRule="exact"/>
        <w:ind w:firstLine="480" w:firstLineChars="2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全权代表：</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w:t>
      </w:r>
      <w:r>
        <w:rPr>
          <w:rFonts w:hint="eastAsia" w:ascii="宋体" w:hAnsi="宋体" w:cs="宋体"/>
          <w:color w:val="auto"/>
          <w:sz w:val="24"/>
          <w:szCs w:val="24"/>
          <w:lang w:val="zh-CN"/>
        </w:rPr>
        <w:t>签字</w:t>
      </w:r>
      <w:r>
        <w:rPr>
          <w:rFonts w:hint="eastAsia" w:ascii="宋体" w:hAnsi="宋体" w:cs="宋体"/>
          <w:color w:val="auto"/>
          <w:sz w:val="24"/>
          <w:szCs w:val="24"/>
        </w:rPr>
        <w:t>或盖章</w:t>
      </w:r>
      <w:r>
        <w:rPr>
          <w:rFonts w:hint="eastAsia" w:cs="仿宋" w:asciiTheme="minorEastAsia" w:hAnsiTheme="minorEastAsia" w:eastAsiaTheme="minorEastAsia"/>
          <w:bCs/>
          <w:color w:val="auto"/>
          <w:kern w:val="0"/>
          <w:sz w:val="24"/>
          <w:szCs w:val="28"/>
        </w:rPr>
        <w:t xml:space="preserve">） </w:t>
      </w:r>
    </w:p>
    <w:p w14:paraId="6D64F7C3">
      <w:pPr>
        <w:widowControl/>
        <w:spacing w:line="520" w:lineRule="exact"/>
        <w:ind w:firstLine="480" w:firstLineChars="200"/>
        <w:rPr>
          <w:rFonts w:cs="仿宋" w:asciiTheme="minorEastAsia" w:hAnsiTheme="minorEastAsia" w:eastAsiaTheme="minorEastAsia"/>
          <w:bCs/>
          <w:color w:val="auto"/>
          <w:kern w:val="0"/>
          <w:sz w:val="24"/>
          <w:szCs w:val="28"/>
          <w:u w:val="single"/>
        </w:rPr>
      </w:pPr>
      <w:r>
        <w:rPr>
          <w:rFonts w:hint="eastAsia" w:cs="仿宋" w:asciiTheme="minorEastAsia" w:hAnsiTheme="minorEastAsia" w:eastAsiaTheme="minorEastAsia"/>
          <w:bCs/>
          <w:color w:val="auto"/>
          <w:kern w:val="0"/>
          <w:sz w:val="24"/>
          <w:szCs w:val="28"/>
        </w:rPr>
        <w:t xml:space="preserve">    地　　址：</w:t>
      </w:r>
      <w:r>
        <w:rPr>
          <w:rFonts w:hint="eastAsia" w:cs="仿宋" w:asciiTheme="minorEastAsia" w:hAnsiTheme="minorEastAsia" w:eastAsiaTheme="minorEastAsia"/>
          <w:bCs/>
          <w:color w:val="auto"/>
          <w:kern w:val="0"/>
          <w:sz w:val="24"/>
          <w:szCs w:val="28"/>
          <w:u w:val="single"/>
        </w:rPr>
        <w:t xml:space="preserve">                              </w:t>
      </w:r>
    </w:p>
    <w:p w14:paraId="138B1006">
      <w:pPr>
        <w:widowControl/>
        <w:spacing w:line="520" w:lineRule="exact"/>
        <w:ind w:firstLine="480" w:firstLineChars="2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xml:space="preserve">    邮    编：</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   </w:t>
      </w:r>
    </w:p>
    <w:p w14:paraId="0195E3A2">
      <w:pPr>
        <w:widowControl/>
        <w:spacing w:line="520" w:lineRule="exact"/>
        <w:ind w:firstLine="720" w:firstLineChars="3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电　　话：</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 xml:space="preserve">　　 </w:t>
      </w:r>
    </w:p>
    <w:p w14:paraId="4A563F5D">
      <w:pPr>
        <w:widowControl/>
        <w:spacing w:line="340" w:lineRule="exact"/>
        <w:rPr>
          <w:rFonts w:cs="仿宋" w:asciiTheme="minorEastAsia" w:hAnsiTheme="minorEastAsia" w:eastAsiaTheme="minorEastAsia"/>
          <w:bCs/>
          <w:color w:val="auto"/>
          <w:kern w:val="0"/>
          <w:sz w:val="24"/>
          <w:szCs w:val="28"/>
        </w:rPr>
      </w:pPr>
    </w:p>
    <w:p w14:paraId="3500C9FD">
      <w:pPr>
        <w:widowControl/>
        <w:spacing w:line="340" w:lineRule="exact"/>
        <w:ind w:firstLine="4920" w:firstLineChars="2050"/>
        <w:rPr>
          <w:rFonts w:cs="仿宋" w:asciiTheme="minorEastAsia" w:hAnsiTheme="minorEastAsia" w:eastAsiaTheme="minorEastAsia"/>
          <w:bCs/>
          <w:color w:val="auto"/>
          <w:sz w:val="36"/>
          <w:szCs w:val="40"/>
        </w:rPr>
      </w:pPr>
      <w:r>
        <w:rPr>
          <w:rFonts w:hint="eastAsia" w:cs="仿宋" w:asciiTheme="minorEastAsia" w:hAnsiTheme="minorEastAsia" w:eastAsiaTheme="minorEastAsia"/>
          <w:bCs/>
          <w:color w:val="auto"/>
          <w:kern w:val="0"/>
          <w:sz w:val="24"/>
          <w:szCs w:val="28"/>
        </w:rPr>
        <w:t>年　　月　　日</w:t>
      </w:r>
    </w:p>
    <w:p w14:paraId="01A85799">
      <w:pPr>
        <w:widowControl/>
        <w:spacing w:line="340" w:lineRule="exact"/>
        <w:rPr>
          <w:rFonts w:cs="仿宋" w:asciiTheme="minorEastAsia" w:hAnsiTheme="minorEastAsia" w:eastAsiaTheme="minorEastAsia"/>
          <w:bCs/>
          <w:kern w:val="0"/>
          <w:sz w:val="24"/>
          <w:szCs w:val="28"/>
        </w:rPr>
      </w:pPr>
    </w:p>
    <w:p w14:paraId="2F9FB3BA">
      <w:pPr>
        <w:widowControl/>
        <w:spacing w:line="640" w:lineRule="exact"/>
        <w:jc w:val="center"/>
        <w:rPr>
          <w:rFonts w:cs="仿宋" w:asciiTheme="minorEastAsia" w:hAnsiTheme="minorEastAsia" w:eastAsiaTheme="minorEastAsia"/>
          <w:bCs/>
          <w:sz w:val="36"/>
          <w:szCs w:val="40"/>
        </w:rPr>
      </w:pPr>
    </w:p>
    <w:p w14:paraId="74A77065">
      <w:pPr>
        <w:widowControl/>
        <w:tabs>
          <w:tab w:val="left" w:pos="3930"/>
        </w:tabs>
        <w:spacing w:line="400" w:lineRule="exact"/>
        <w:jc w:val="left"/>
        <w:rPr>
          <w:rFonts w:cs="仿宋" w:asciiTheme="minorEastAsia" w:hAnsiTheme="minorEastAsia" w:eastAsiaTheme="minorEastAsia"/>
          <w:bCs/>
          <w:sz w:val="40"/>
          <w:szCs w:val="40"/>
        </w:rPr>
      </w:pPr>
      <w:r>
        <w:rPr>
          <w:rFonts w:hint="eastAsia" w:cs="仿宋" w:asciiTheme="minorEastAsia" w:hAnsiTheme="minorEastAsia" w:eastAsiaTheme="minorEastAsia"/>
          <w:bCs/>
          <w:sz w:val="40"/>
          <w:szCs w:val="40"/>
        </w:rPr>
        <w:tab/>
      </w:r>
    </w:p>
    <w:p w14:paraId="1CA06C35">
      <w:pPr>
        <w:widowControl/>
        <w:jc w:val="left"/>
        <w:rPr>
          <w:rFonts w:cs="仿宋" w:asciiTheme="minorEastAsia" w:hAnsiTheme="minorEastAsia" w:eastAsiaTheme="minorEastAsia"/>
          <w:bCs/>
          <w:color w:val="000000"/>
          <w:kern w:val="0"/>
          <w:sz w:val="32"/>
          <w:szCs w:val="32"/>
        </w:rPr>
      </w:pPr>
    </w:p>
    <w:p w14:paraId="7727245F">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000000"/>
          <w:kern w:val="0"/>
          <w:sz w:val="32"/>
          <w:szCs w:val="32"/>
        </w:rPr>
      </w:pPr>
    </w:p>
    <w:p w14:paraId="1594D9BD">
      <w:pPr>
        <w:keepNext w:val="0"/>
        <w:keepLines w:val="0"/>
        <w:pageBreakBefore w:val="0"/>
        <w:widowControl/>
        <w:shd w:val="clear" w:color="auto" w:fill="FFFFFF"/>
        <w:kinsoku/>
        <w:wordWrap/>
        <w:overflowPunct/>
        <w:topLinePunct w:val="0"/>
        <w:autoSpaceDE/>
        <w:autoSpaceDN/>
        <w:bidi w:val="0"/>
        <w:adjustRightInd w:val="0"/>
        <w:snapToGrid w:val="0"/>
        <w:spacing w:before="327" w:beforeLines="100" w:beforeAutospacing="0" w:afterAutospacing="0" w:line="360" w:lineRule="auto"/>
        <w:jc w:val="center"/>
        <w:textAlignment w:val="auto"/>
        <w:rPr>
          <w:rFonts w:cs="仿宋" w:asciiTheme="minorEastAsia" w:hAnsiTheme="minorEastAsia" w:eastAsiaTheme="minorEastAsia"/>
          <w:b/>
          <w:bCs w:val="0"/>
          <w:color w:val="000000"/>
          <w:kern w:val="0"/>
          <w:sz w:val="24"/>
          <w:szCs w:val="24"/>
        </w:rPr>
      </w:pPr>
      <w:r>
        <w:rPr>
          <w:rFonts w:hint="eastAsia" w:cs="仿宋" w:asciiTheme="minorEastAsia" w:hAnsiTheme="minorEastAsia" w:eastAsiaTheme="minorEastAsia"/>
          <w:b/>
          <w:bCs w:val="0"/>
          <w:color w:val="000000"/>
          <w:kern w:val="0"/>
          <w:sz w:val="32"/>
          <w:szCs w:val="32"/>
        </w:rPr>
        <w:t>承诺书Ⅱ</w:t>
      </w:r>
    </w:p>
    <w:bookmarkEnd w:id="0"/>
    <w:p w14:paraId="57B01AEE">
      <w:pPr>
        <w:widowControl/>
        <w:spacing w:line="440" w:lineRule="exact"/>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致：安康尚昊招标代理有限公司</w:t>
      </w:r>
    </w:p>
    <w:p w14:paraId="2C7394EF">
      <w:pPr>
        <w:widowControl/>
        <w:spacing w:line="440" w:lineRule="exact"/>
        <w:ind w:firstLine="472" w:firstLineChars="197"/>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为了诚实、客观、有序地参与政府采购活动，愿就以下内容作出承诺：</w:t>
      </w:r>
    </w:p>
    <w:p w14:paraId="313740F0">
      <w:pPr>
        <w:widowControl/>
        <w:spacing w:line="440" w:lineRule="exact"/>
        <w:ind w:firstLine="472" w:firstLineChars="197"/>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lang w:eastAsia="zh-CN"/>
        </w:rPr>
        <w:t>1.</w:t>
      </w:r>
      <w:r>
        <w:rPr>
          <w:rFonts w:hint="eastAsia" w:cs="Times New Roman" w:asciiTheme="minorEastAsia" w:hAnsiTheme="minorEastAsia" w:eastAsiaTheme="minorEastAsia"/>
          <w:color w:val="auto"/>
          <w:sz w:val="24"/>
          <w:szCs w:val="28"/>
        </w:rPr>
        <w:t>参加采购代理机构组织的政府采购活动时，严格按照磋商文件的规定和要求提供所需的相关材料，并对所提供的各类资料的真实性负责，不虚假应标，不虚列业绩。</w:t>
      </w:r>
    </w:p>
    <w:p w14:paraId="4908E045">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2.</w:t>
      </w:r>
      <w:r>
        <w:rPr>
          <w:rFonts w:hint="eastAsia" w:cs="仿宋" w:asciiTheme="minorEastAsia" w:hAnsiTheme="minorEastAsia" w:eastAsiaTheme="minorEastAsia"/>
          <w:bCs/>
          <w:color w:val="auto"/>
          <w:kern w:val="0"/>
          <w:sz w:val="24"/>
          <w:szCs w:val="28"/>
        </w:rPr>
        <w:t>尊重参与政府采购活动各相关方的合法行为，接受政府采购活动依法形成的意见、结果。</w:t>
      </w:r>
    </w:p>
    <w:p w14:paraId="42F98668">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3.</w:t>
      </w:r>
      <w:r>
        <w:rPr>
          <w:rFonts w:hint="eastAsia" w:cs="仿宋" w:asciiTheme="minorEastAsia" w:hAnsiTheme="minorEastAsia" w:eastAsiaTheme="minorEastAsia"/>
          <w:bCs/>
          <w:color w:val="auto"/>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次（没有填零），如有隐瞒实情，愿承担一切责任及后果。</w:t>
      </w:r>
    </w:p>
    <w:p w14:paraId="1CE661B4">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4.</w:t>
      </w:r>
      <w:r>
        <w:rPr>
          <w:rFonts w:hint="eastAsia" w:cs="仿宋" w:asciiTheme="minorEastAsia" w:hAnsiTheme="minorEastAsia" w:eastAsiaTheme="minorEastAsia"/>
          <w:bCs/>
          <w:color w:val="auto"/>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35A555C6">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5.</w:t>
      </w:r>
      <w:r>
        <w:rPr>
          <w:rFonts w:hint="eastAsia" w:cs="仿宋" w:asciiTheme="minorEastAsia" w:hAnsiTheme="minorEastAsia" w:eastAsiaTheme="minorEastAsia"/>
          <w:bCs/>
          <w:color w:val="auto"/>
          <w:kern w:val="0"/>
          <w:sz w:val="24"/>
          <w:szCs w:val="28"/>
        </w:rPr>
        <w:t>近三年受到有关行政主管部门的行政处理、不良行为记录为</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次（没有填零），如有隐瞒实情，愿承担一切责任及后果。</w:t>
      </w:r>
    </w:p>
    <w:p w14:paraId="3BC8D1F4">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6.</w:t>
      </w:r>
      <w:r>
        <w:rPr>
          <w:rFonts w:hint="eastAsia" w:cs="仿宋" w:asciiTheme="minorEastAsia" w:hAnsiTheme="minorEastAsia" w:eastAsiaTheme="minorEastAsia"/>
          <w:bCs/>
          <w:color w:val="auto"/>
          <w:kern w:val="0"/>
          <w:sz w:val="24"/>
          <w:szCs w:val="28"/>
        </w:rPr>
        <w:t>参加本次磋商提交的所有</w:t>
      </w:r>
      <w:r>
        <w:rPr>
          <w:rFonts w:hint="eastAsia" w:cs="仿宋" w:asciiTheme="minorEastAsia" w:hAnsiTheme="minorEastAsia" w:eastAsiaTheme="minorEastAsia"/>
          <w:bCs/>
          <w:color w:val="auto"/>
          <w:kern w:val="0"/>
          <w:sz w:val="24"/>
          <w:szCs w:val="28"/>
          <w:lang w:eastAsia="zh-CN"/>
        </w:rPr>
        <w:t>资格证明文件</w:t>
      </w:r>
      <w:r>
        <w:rPr>
          <w:rFonts w:hint="eastAsia" w:cs="仿宋" w:asciiTheme="minorEastAsia" w:hAnsiTheme="minorEastAsia" w:eastAsiaTheme="minorEastAsia"/>
          <w:bCs/>
          <w:color w:val="auto"/>
          <w:kern w:val="0"/>
          <w:sz w:val="24"/>
          <w:szCs w:val="28"/>
        </w:rPr>
        <w:t>及业绩证明是真实的、有效的，如有隐瞒实情，愿承担一切责任及后果。</w:t>
      </w:r>
    </w:p>
    <w:p w14:paraId="4CFC98A7">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7.</w:t>
      </w:r>
      <w:r>
        <w:rPr>
          <w:rFonts w:hint="eastAsia" w:cs="仿宋" w:asciiTheme="minorEastAsia" w:hAnsiTheme="minorEastAsia" w:eastAsiaTheme="minorEastAsia"/>
          <w:bCs/>
          <w:color w:val="auto"/>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71FF43F8">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8.</w:t>
      </w:r>
      <w:r>
        <w:rPr>
          <w:rFonts w:hint="eastAsia" w:cs="仿宋" w:asciiTheme="minorEastAsia" w:hAnsiTheme="minorEastAsia" w:eastAsiaTheme="minorEastAsia"/>
          <w:bCs/>
          <w:color w:val="auto"/>
          <w:kern w:val="0"/>
          <w:sz w:val="24"/>
          <w:szCs w:val="28"/>
        </w:rPr>
        <w:t>认真履行成交单位应承担的责任和义务，全面执行采购合同规定的各项内容，保质保量地按时提供采购物品。</w:t>
      </w:r>
    </w:p>
    <w:p w14:paraId="39AB471A">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若本企业（单位）发生有悖于上述承诺的行为，愿意接受《中华人民共和国政府采购法》和《中华人民共和国政府采购法实施条例》中对响应单位的相关处理。</w:t>
      </w:r>
    </w:p>
    <w:p w14:paraId="1DE402C5">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本承诺是采购项目响应文件的组成部分。</w:t>
      </w:r>
    </w:p>
    <w:p w14:paraId="7E916807">
      <w:pPr>
        <w:widowControl/>
        <w:shd w:val="clear" w:color="auto" w:fill="FFFFFF"/>
        <w:spacing w:line="440" w:lineRule="exact"/>
        <w:ind w:firstLine="2152" w:firstLineChars="897"/>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承诺单位：</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（盖章）</w:t>
      </w:r>
    </w:p>
    <w:p w14:paraId="4FFFA6A6">
      <w:pPr>
        <w:widowControl/>
        <w:shd w:val="clear" w:color="auto" w:fill="FFFFFF"/>
        <w:spacing w:line="440" w:lineRule="exact"/>
        <w:ind w:firstLine="2152" w:firstLineChars="897"/>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全权代表：</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w:t>
      </w:r>
      <w:r>
        <w:rPr>
          <w:rFonts w:hint="eastAsia" w:ascii="宋体" w:hAnsi="宋体" w:cs="宋体"/>
          <w:color w:val="auto"/>
          <w:sz w:val="24"/>
          <w:szCs w:val="24"/>
          <w:lang w:val="zh-CN"/>
        </w:rPr>
        <w:t>签字</w:t>
      </w:r>
      <w:r>
        <w:rPr>
          <w:rFonts w:hint="eastAsia" w:ascii="宋体" w:hAnsi="宋体" w:cs="宋体"/>
          <w:color w:val="auto"/>
          <w:sz w:val="24"/>
          <w:szCs w:val="24"/>
        </w:rPr>
        <w:t>或盖章</w:t>
      </w:r>
      <w:r>
        <w:rPr>
          <w:rFonts w:hint="eastAsia" w:cs="仿宋" w:asciiTheme="minorEastAsia" w:hAnsiTheme="minorEastAsia" w:eastAsiaTheme="minorEastAsia"/>
          <w:bCs/>
          <w:color w:val="auto"/>
          <w:kern w:val="0"/>
          <w:sz w:val="24"/>
          <w:szCs w:val="28"/>
        </w:rPr>
        <w:t>）</w:t>
      </w:r>
    </w:p>
    <w:p w14:paraId="02929F93">
      <w:pPr>
        <w:widowControl/>
        <w:shd w:val="clear" w:color="auto" w:fill="FFFFFF"/>
        <w:spacing w:line="440" w:lineRule="exact"/>
        <w:ind w:firstLine="2152" w:firstLineChars="897"/>
        <w:rPr>
          <w:rFonts w:cs="仿宋" w:asciiTheme="minorEastAsia" w:hAnsiTheme="minorEastAsia" w:eastAsiaTheme="minorEastAsia"/>
          <w:bCs/>
          <w:color w:val="auto"/>
          <w:sz w:val="24"/>
          <w:szCs w:val="28"/>
        </w:rPr>
      </w:pPr>
      <w:r>
        <w:rPr>
          <w:rFonts w:hint="eastAsia" w:cs="仿宋" w:asciiTheme="minorEastAsia" w:hAnsiTheme="minorEastAsia" w:eastAsiaTheme="minorEastAsia"/>
          <w:bCs/>
          <w:color w:val="auto"/>
          <w:kern w:val="0"/>
          <w:sz w:val="24"/>
          <w:szCs w:val="28"/>
        </w:rPr>
        <w:t>日    期：</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年</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月</w:t>
      </w:r>
      <w:r>
        <w:rPr>
          <w:rFonts w:hint="eastAsia" w:cs="仿宋" w:asciiTheme="minorEastAsia" w:hAnsiTheme="minorEastAsia" w:eastAsiaTheme="minorEastAsia"/>
          <w:bCs/>
          <w:color w:val="auto"/>
          <w:sz w:val="28"/>
          <w:szCs w:val="32"/>
          <w:u w:val="single"/>
        </w:rPr>
        <w:t xml:space="preserve">    </w:t>
      </w:r>
      <w:r>
        <w:rPr>
          <w:rFonts w:hint="eastAsia" w:cs="仿宋" w:asciiTheme="minorEastAsia" w:hAnsiTheme="minorEastAsia" w:eastAsiaTheme="minorEastAsia"/>
          <w:bCs/>
          <w:color w:val="auto"/>
          <w:sz w:val="24"/>
          <w:szCs w:val="28"/>
        </w:rPr>
        <w:t>日</w:t>
      </w:r>
    </w:p>
    <w:p w14:paraId="2C431C15">
      <w:pPr>
        <w:pStyle w:val="22"/>
        <w:rPr>
          <w:rFonts w:hint="eastAsia"/>
        </w:rPr>
      </w:pPr>
    </w:p>
    <w:p w14:paraId="6E4D03FD">
      <w:pPr>
        <w:pStyle w:val="22"/>
        <w:rPr>
          <w:rFonts w:hint="eastAsia"/>
        </w:rPr>
      </w:pPr>
    </w:p>
    <w:p w14:paraId="6D9C2F5E">
      <w:pPr>
        <w:pStyle w:val="22"/>
        <w:rPr>
          <w:rFonts w:hint="eastAsia"/>
        </w:rPr>
      </w:pPr>
    </w:p>
    <w:p w14:paraId="69D7024E">
      <w:pPr>
        <w:pStyle w:val="22"/>
        <w:rPr>
          <w:rFonts w:hint="eastAsia"/>
        </w:rPr>
      </w:pPr>
    </w:p>
    <w:p w14:paraId="3CD43573">
      <w:pPr>
        <w:pStyle w:val="22"/>
        <w:rPr>
          <w:rFonts w:hint="eastAsia"/>
        </w:rPr>
      </w:pPr>
    </w:p>
    <w:p w14:paraId="40C7D920">
      <w:pPr>
        <w:pStyle w:val="22"/>
        <w:rPr>
          <w:rFonts w:hint="eastAsia"/>
        </w:rPr>
        <w:sectPr>
          <w:footerReference r:id="rId25" w:type="default"/>
          <w:pgSz w:w="11906" w:h="16838"/>
          <w:pgMar w:top="1417" w:right="1417" w:bottom="1417" w:left="1417" w:header="1134" w:footer="720" w:gutter="0"/>
          <w:pgNumType w:fmt="decimal"/>
          <w:cols w:space="0" w:num="1"/>
          <w:rtlGutter w:val="0"/>
          <w:docGrid w:linePitch="326" w:charSpace="0"/>
        </w:sectPr>
      </w:pPr>
    </w:p>
    <w:p w14:paraId="67903619">
      <w:pPr>
        <w:pStyle w:val="11"/>
        <w:rPr>
          <w:rFonts w:hint="eastAsia"/>
        </w:rPr>
      </w:pPr>
    </w:p>
    <w:p w14:paraId="1CD5234F">
      <w:pPr>
        <w:pStyle w:val="22"/>
        <w:rPr>
          <w:rFonts w:hint="eastAsia"/>
        </w:rPr>
      </w:pPr>
    </w:p>
    <w:p w14:paraId="35D357AA">
      <w:pPr>
        <w:pStyle w:val="22"/>
        <w:rPr>
          <w:rFonts w:hint="eastAsia"/>
        </w:rPr>
      </w:pPr>
    </w:p>
    <w:p w14:paraId="76299A4B">
      <w:pPr>
        <w:pStyle w:val="22"/>
        <w:rPr>
          <w:rFonts w:hint="eastAsia"/>
        </w:rPr>
      </w:pPr>
    </w:p>
    <w:p w14:paraId="4CB6C2FB">
      <w:pPr>
        <w:pStyle w:val="22"/>
        <w:rPr>
          <w:rFonts w:hint="eastAsia"/>
        </w:rPr>
      </w:pPr>
    </w:p>
    <w:p w14:paraId="0BBA874C">
      <w:pPr>
        <w:pStyle w:val="22"/>
        <w:rPr>
          <w:rFonts w:hint="eastAsia"/>
        </w:rPr>
      </w:pPr>
    </w:p>
    <w:p w14:paraId="39D441D2">
      <w:pPr>
        <w:pStyle w:val="22"/>
        <w:rPr>
          <w:rFonts w:hint="eastAsia"/>
        </w:rPr>
      </w:pPr>
    </w:p>
    <w:p w14:paraId="4F694428">
      <w:pPr>
        <w:pStyle w:val="22"/>
        <w:rPr>
          <w:rFonts w:hint="eastAsia"/>
        </w:rPr>
      </w:pPr>
    </w:p>
    <w:p w14:paraId="7AD2C174">
      <w:pPr>
        <w:pStyle w:val="22"/>
        <w:rPr>
          <w:rFonts w:hint="eastAsia"/>
        </w:rPr>
      </w:pPr>
    </w:p>
    <w:p w14:paraId="119EBA9D">
      <w:pPr>
        <w:pStyle w:val="22"/>
        <w:rPr>
          <w:rFonts w:hint="eastAsia"/>
        </w:rPr>
      </w:pPr>
    </w:p>
    <w:p w14:paraId="48765398">
      <w:pPr>
        <w:pStyle w:val="22"/>
        <w:rPr>
          <w:rFonts w:hint="eastAsia"/>
        </w:rPr>
      </w:pPr>
    </w:p>
    <w:p w14:paraId="2B787E2E">
      <w:pPr>
        <w:pStyle w:val="22"/>
        <w:rPr>
          <w:rFonts w:hint="eastAsia"/>
        </w:rPr>
      </w:pPr>
    </w:p>
    <w:p w14:paraId="36D8496C">
      <w:pPr>
        <w:pStyle w:val="22"/>
        <w:rPr>
          <w:rFonts w:hint="eastAsia"/>
        </w:rPr>
      </w:pPr>
    </w:p>
    <w:p w14:paraId="6286ED71">
      <w:pPr>
        <w:pStyle w:val="22"/>
        <w:rPr>
          <w:rFonts w:hint="eastAsia"/>
        </w:rPr>
      </w:pPr>
    </w:p>
    <w:p w14:paraId="03A82B4C">
      <w:pPr>
        <w:pStyle w:val="22"/>
        <w:rPr>
          <w:rFonts w:hint="eastAsia"/>
        </w:rPr>
      </w:pPr>
    </w:p>
    <w:p w14:paraId="5DC88E21">
      <w:pPr>
        <w:pStyle w:val="22"/>
        <w:rPr>
          <w:rFonts w:hint="eastAsia"/>
        </w:rPr>
      </w:pPr>
    </w:p>
    <w:p w14:paraId="6AE3FC87">
      <w:pPr>
        <w:pStyle w:val="22"/>
        <w:rPr>
          <w:rFonts w:hint="eastAsia"/>
        </w:rPr>
      </w:pPr>
    </w:p>
    <w:p w14:paraId="5D388B05">
      <w:pPr>
        <w:pStyle w:val="22"/>
        <w:rPr>
          <w:rFonts w:hint="eastAsia"/>
        </w:rPr>
      </w:pPr>
    </w:p>
    <w:p w14:paraId="7A83EB15">
      <w:pPr>
        <w:pStyle w:val="22"/>
        <w:rPr>
          <w:rFonts w:hint="eastAsia"/>
        </w:rPr>
      </w:pPr>
    </w:p>
    <w:p w14:paraId="31E08055">
      <w:pPr>
        <w:pStyle w:val="22"/>
        <w:rPr>
          <w:rFonts w:hint="eastAsia"/>
        </w:rPr>
      </w:pPr>
    </w:p>
    <w:p w14:paraId="5332ED56">
      <w:pPr>
        <w:pStyle w:val="22"/>
        <w:rPr>
          <w:rFonts w:hint="eastAsia"/>
        </w:rPr>
      </w:pPr>
    </w:p>
    <w:p w14:paraId="12B3FBD6">
      <w:pPr>
        <w:pStyle w:val="22"/>
        <w:rPr>
          <w:rFonts w:hint="eastAsia"/>
        </w:rPr>
      </w:pPr>
    </w:p>
    <w:p w14:paraId="53163E66">
      <w:pPr>
        <w:pStyle w:val="22"/>
        <w:rPr>
          <w:rFonts w:hint="eastAsia"/>
        </w:rPr>
      </w:pPr>
    </w:p>
    <w:p w14:paraId="31FFAE93">
      <w:pPr>
        <w:pStyle w:val="22"/>
        <w:rPr>
          <w:rFonts w:hint="eastAsia"/>
        </w:rPr>
      </w:pPr>
    </w:p>
    <w:p w14:paraId="55DA915D">
      <w:pPr>
        <w:pStyle w:val="22"/>
        <w:rPr>
          <w:rFonts w:hint="eastAsia"/>
        </w:rPr>
      </w:pPr>
    </w:p>
    <w:p w14:paraId="600742D4">
      <w:pPr>
        <w:pStyle w:val="22"/>
        <w:rPr>
          <w:rFonts w:hint="eastAsia"/>
        </w:rPr>
      </w:pPr>
    </w:p>
    <w:p w14:paraId="1C8E6B46">
      <w:pPr>
        <w:pStyle w:val="22"/>
        <w:rPr>
          <w:rFonts w:hint="eastAsia"/>
        </w:rPr>
      </w:pPr>
    </w:p>
    <w:p w14:paraId="021A7614">
      <w:pPr>
        <w:pStyle w:val="11"/>
        <w:rPr>
          <w:rFonts w:hint="eastAsia"/>
        </w:rPr>
      </w:pPr>
    </w:p>
    <w:p w14:paraId="6087C364">
      <w:pPr>
        <w:rPr>
          <w:rFonts w:hint="eastAsia"/>
        </w:rPr>
      </w:pPr>
    </w:p>
    <w:p w14:paraId="5908B90F">
      <w:pPr>
        <w:rPr>
          <w:rFonts w:hint="eastAsia"/>
        </w:rPr>
      </w:pPr>
    </w:p>
    <w:p w14:paraId="67568639">
      <w:pPr>
        <w:rPr>
          <w:rFonts w:hint="eastAsia"/>
        </w:rPr>
      </w:pPr>
    </w:p>
    <w:p w14:paraId="115AFD60">
      <w:pPr>
        <w:pStyle w:val="22"/>
        <w:rPr>
          <w:rFonts w:hint="eastAsia"/>
        </w:rPr>
      </w:pPr>
    </w:p>
    <w:p w14:paraId="3D172E40">
      <w:pPr>
        <w:pStyle w:val="22"/>
        <w:rPr>
          <w:rFonts w:hint="eastAsia"/>
        </w:rPr>
      </w:pPr>
    </w:p>
    <w:p w14:paraId="1B186953">
      <w:pPr>
        <w:pStyle w:val="22"/>
        <w:rPr>
          <w:rFonts w:hint="eastAsia"/>
        </w:rPr>
      </w:pPr>
    </w:p>
    <w:p w14:paraId="069EFC62">
      <w:pPr>
        <w:pStyle w:val="22"/>
        <w:rPr>
          <w:rFonts w:hint="eastAsia"/>
        </w:rPr>
      </w:pPr>
    </w:p>
    <w:p w14:paraId="203D3419">
      <w:pPr>
        <w:pStyle w:val="22"/>
        <w:rPr>
          <w:rFonts w:hint="eastAsia"/>
        </w:rPr>
      </w:pPr>
    </w:p>
    <w:p w14:paraId="5A3347EA">
      <w:pPr>
        <w:pStyle w:val="22"/>
        <w:rPr>
          <w:rFonts w:hint="eastAsia"/>
        </w:rPr>
      </w:pPr>
    </w:p>
    <w:p w14:paraId="0217709E">
      <w:pPr>
        <w:pStyle w:val="11"/>
        <w:rPr>
          <w:rFonts w:hint="eastAsia"/>
        </w:rPr>
      </w:pPr>
    </w:p>
    <w:p w14:paraId="1943D4D4">
      <w:pPr>
        <w:rPr>
          <w:rFonts w:hint="eastAsia"/>
        </w:rPr>
      </w:pPr>
    </w:p>
    <w:p w14:paraId="4CD0CB51">
      <w:pPr>
        <w:pStyle w:val="22"/>
        <w:rPr>
          <w:rFonts w:hint="eastAsia"/>
        </w:rPr>
      </w:pPr>
      <w:r>
        <w:rPr>
          <w:rFonts w:hint="eastAsia"/>
        </w:rPr>
        <w:drawing>
          <wp:anchor distT="0" distB="0" distL="114300" distR="114300" simplePos="0" relativeHeight="251666432"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1" name="图片 1"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尚昊 标"/>
                    <pic:cNvPicPr>
                      <a:picLocks noChangeAspect="1"/>
                    </pic:cNvPicPr>
                  </pic:nvPicPr>
                  <pic:blipFill>
                    <a:blip r:embed="rId28"/>
                    <a:stretch>
                      <a:fillRect/>
                    </a:stretch>
                  </pic:blipFill>
                  <pic:spPr>
                    <a:xfrm>
                      <a:off x="0" y="0"/>
                      <a:ext cx="353060" cy="255905"/>
                    </a:xfrm>
                    <a:prstGeom prst="rect">
                      <a:avLst/>
                    </a:prstGeom>
                  </pic:spPr>
                </pic:pic>
              </a:graphicData>
            </a:graphic>
          </wp:anchor>
        </w:drawing>
      </w:r>
    </w:p>
    <w:p w14:paraId="316CB63B">
      <w:pPr>
        <w:spacing w:line="440" w:lineRule="exact"/>
        <w:jc w:val="both"/>
        <w:rPr>
          <w:rFonts w:hint="eastAsia" w:ascii="宋体" w:hAnsi="宋体" w:eastAsia="宋体" w:cs="宋体"/>
          <w:sz w:val="32"/>
          <w:szCs w:val="32"/>
        </w:rPr>
      </w:pPr>
      <w:r>
        <w:rPr>
          <w:rFonts w:hint="eastAsia" w:ascii="宋体" w:hAnsi="宋体" w:eastAsia="宋体" w:cs="宋体"/>
          <w:sz w:val="32"/>
          <w:szCs w:val="32"/>
        </w:rPr>
        <w:t>安康尚昊招标代理有限公司</w:t>
      </w:r>
    </w:p>
    <w:p w14:paraId="32C537AD">
      <w:pPr>
        <w:spacing w:line="440" w:lineRule="exact"/>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540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CmgXiz9QEAAOcDAAAOAAAAAAAAAAEAIAAAACIBAABkcnMvZTJvRG9jLnhtbFBLBQYA&#10;AAAABgAGAFkBAACJBQAAAAA=&#10;">
                <v:fill on="f" focussize="0,0"/>
                <v:stroke weight="1.5pt" color="#000000" joinstyle="round"/>
                <v:imagedata o:title=""/>
                <o:lock v:ext="edit" aspectratio="f"/>
              </v:line>
            </w:pict>
          </mc:Fallback>
        </mc:AlternateContent>
      </w:r>
    </w:p>
    <w:p w14:paraId="7A44B8F5">
      <w:pPr>
        <w:autoSpaceDE w:val="0"/>
        <w:autoSpaceDN w:val="0"/>
        <w:spacing w:line="440" w:lineRule="exact"/>
        <w:ind w:firstLine="131" w:firstLineChars="50"/>
        <w:rPr>
          <w:rFonts w:hint="eastAsia" w:ascii="宋体" w:hAnsi="宋体" w:eastAsia="宋体" w:cs="宋体"/>
          <w:sz w:val="28"/>
          <w:szCs w:val="28"/>
          <w:lang w:eastAsia="zh-CN"/>
        </w:rPr>
      </w:pPr>
      <w:r>
        <w:rPr>
          <w:rFonts w:hint="eastAsia" w:ascii="宋体" w:hAnsi="宋体" w:eastAsia="宋体" w:cs="宋体"/>
          <w:spacing w:val="1"/>
          <w:w w:val="93"/>
          <w:kern w:val="0"/>
          <w:sz w:val="28"/>
          <w:szCs w:val="28"/>
          <w:fitText w:val="1050" w:id="633148785"/>
        </w:rPr>
        <w:t xml:space="preserve">地    </w:t>
      </w:r>
      <w:r>
        <w:rPr>
          <w:rFonts w:hint="eastAsia" w:ascii="宋体" w:hAnsi="宋体" w:eastAsia="宋体" w:cs="宋体"/>
          <w:spacing w:val="0"/>
          <w:w w:val="93"/>
          <w:kern w:val="0"/>
          <w:sz w:val="28"/>
          <w:szCs w:val="28"/>
          <w:fitText w:val="1050" w:id="633148785"/>
        </w:rPr>
        <w:t>址</w:t>
      </w:r>
      <w:r>
        <w:rPr>
          <w:rFonts w:hint="eastAsia" w:ascii="宋体" w:hAnsi="宋体" w:eastAsia="宋体" w:cs="宋体"/>
          <w:spacing w:val="-6"/>
          <w:sz w:val="28"/>
          <w:szCs w:val="28"/>
        </w:rPr>
        <w:t>：</w:t>
      </w:r>
      <w:r>
        <w:rPr>
          <w:rFonts w:hint="eastAsia" w:ascii="宋体" w:hAnsi="宋体" w:eastAsia="宋体" w:cs="宋体"/>
          <w:spacing w:val="-6"/>
          <w:sz w:val="28"/>
          <w:szCs w:val="28"/>
          <w:lang w:eastAsia="zh-CN"/>
        </w:rPr>
        <w:t>安康市高新区高新观澜8幢2单元801室</w:t>
      </w:r>
    </w:p>
    <w:p w14:paraId="2C876E24">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2044156549"/>
        </w:rPr>
        <w:t xml:space="preserve">邮    </w:t>
      </w:r>
      <w:r>
        <w:rPr>
          <w:rFonts w:hint="eastAsia" w:ascii="宋体" w:hAnsi="宋体" w:eastAsia="宋体" w:cs="宋体"/>
          <w:spacing w:val="0"/>
          <w:w w:val="93"/>
          <w:kern w:val="0"/>
          <w:sz w:val="28"/>
          <w:szCs w:val="28"/>
          <w:fitText w:val="1050" w:id="2044156549"/>
        </w:rPr>
        <w:t>编</w:t>
      </w:r>
      <w:r>
        <w:rPr>
          <w:rFonts w:hint="eastAsia" w:ascii="宋体" w:hAnsi="宋体" w:eastAsia="宋体" w:cs="宋体"/>
          <w:sz w:val="28"/>
          <w:szCs w:val="28"/>
        </w:rPr>
        <w:t>：725000</w:t>
      </w:r>
    </w:p>
    <w:p w14:paraId="7BF41C24">
      <w:pPr>
        <w:autoSpaceDE w:val="0"/>
        <w:autoSpaceDN w:val="0"/>
        <w:spacing w:line="440" w:lineRule="exact"/>
        <w:ind w:firstLine="131" w:firstLineChars="50"/>
        <w:rPr>
          <w:rFonts w:hint="eastAsia" w:ascii="宋体" w:hAnsi="宋体" w:eastAsia="宋体" w:cs="宋体"/>
          <w:sz w:val="28"/>
          <w:szCs w:val="28"/>
          <w:lang w:val="en-US" w:eastAsia="zh-CN"/>
        </w:rPr>
      </w:pPr>
      <w:r>
        <w:rPr>
          <w:rFonts w:hint="eastAsia" w:ascii="宋体" w:hAnsi="宋体" w:eastAsia="宋体" w:cs="宋体"/>
          <w:spacing w:val="1"/>
          <w:w w:val="93"/>
          <w:kern w:val="0"/>
          <w:sz w:val="28"/>
          <w:szCs w:val="28"/>
          <w:fitText w:val="1050" w:id="1935496908"/>
        </w:rPr>
        <w:t xml:space="preserve">电    </w:t>
      </w:r>
      <w:r>
        <w:rPr>
          <w:rFonts w:hint="eastAsia" w:ascii="宋体" w:hAnsi="宋体" w:eastAsia="宋体" w:cs="宋体"/>
          <w:spacing w:val="0"/>
          <w:w w:val="93"/>
          <w:kern w:val="0"/>
          <w:sz w:val="28"/>
          <w:szCs w:val="28"/>
          <w:fitText w:val="1050" w:id="1935496908"/>
        </w:rPr>
        <w:t>话</w:t>
      </w:r>
      <w:r>
        <w:rPr>
          <w:rFonts w:hint="eastAsia" w:ascii="宋体" w:hAnsi="宋体" w:eastAsia="宋体" w:cs="宋体"/>
          <w:sz w:val="28"/>
          <w:szCs w:val="28"/>
        </w:rPr>
        <w:t>：</w:t>
      </w:r>
      <w:r>
        <w:rPr>
          <w:rFonts w:hint="eastAsia" w:ascii="宋体" w:hAnsi="宋体" w:eastAsia="宋体" w:cs="宋体"/>
          <w:sz w:val="28"/>
          <w:szCs w:val="28"/>
          <w:lang w:val="en-US" w:eastAsia="zh-CN"/>
        </w:rPr>
        <w:t>15991480332</w:t>
      </w:r>
    </w:p>
    <w:p w14:paraId="146060A3">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1186272976"/>
          <w:lang w:eastAsia="zh-CN"/>
        </w:rPr>
        <w:t>公司名称</w:t>
      </w:r>
      <w:r>
        <w:rPr>
          <w:rFonts w:hint="eastAsia" w:ascii="宋体" w:hAnsi="宋体" w:eastAsia="宋体" w:cs="宋体"/>
          <w:sz w:val="28"/>
          <w:szCs w:val="28"/>
        </w:rPr>
        <w:t>：安康尚昊招标代理有限公司</w:t>
      </w:r>
    </w:p>
    <w:p w14:paraId="59087412">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944183096"/>
        </w:rPr>
        <w:t>开户银行</w:t>
      </w:r>
      <w:r>
        <w:rPr>
          <w:rFonts w:hint="eastAsia" w:ascii="宋体" w:hAnsi="宋体" w:eastAsia="宋体" w:cs="宋体"/>
          <w:sz w:val="28"/>
          <w:szCs w:val="28"/>
        </w:rPr>
        <w:t>：中国建设银行股份有限公司安康分行营业部</w:t>
      </w:r>
    </w:p>
    <w:p w14:paraId="426C3837">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569918405"/>
        </w:rPr>
        <w:t xml:space="preserve">账    </w:t>
      </w:r>
      <w:r>
        <w:rPr>
          <w:rFonts w:hint="eastAsia" w:ascii="宋体" w:hAnsi="宋体" w:eastAsia="宋体" w:cs="宋体"/>
          <w:spacing w:val="0"/>
          <w:w w:val="93"/>
          <w:kern w:val="0"/>
          <w:sz w:val="28"/>
          <w:szCs w:val="28"/>
          <w:fitText w:val="1050" w:id="569918405"/>
        </w:rPr>
        <w:t>号</w:t>
      </w:r>
      <w:r>
        <w:rPr>
          <w:rFonts w:hint="eastAsia" w:ascii="宋体" w:hAnsi="宋体" w:eastAsia="宋体" w:cs="宋体"/>
          <w:sz w:val="28"/>
          <w:szCs w:val="28"/>
        </w:rPr>
        <w:t>：</w:t>
      </w:r>
      <w:r>
        <w:rPr>
          <w:rFonts w:hint="eastAsia" w:ascii="宋体" w:hAnsi="宋体" w:eastAsia="宋体" w:cs="宋体"/>
          <w:sz w:val="28"/>
          <w:szCs w:val="32"/>
        </w:rPr>
        <w:t>61050166371100000492</w:t>
      </w:r>
      <w:r>
        <w:rPr>
          <w:rFonts w:hint="eastAsia" w:ascii="宋体" w:hAnsi="宋体" w:eastAsia="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438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6845C494">
      <w:pPr>
        <w:pStyle w:val="22"/>
        <w:rPr>
          <w:rFonts w:hint="eastAsia"/>
        </w:rPr>
      </w:pPr>
    </w:p>
    <w:p w14:paraId="05014880">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26" w:type="default"/>
      <w:pgSz w:w="11906" w:h="16838"/>
      <w:pgMar w:top="1417" w:right="1417" w:bottom="1417" w:left="1417" w:header="1134" w:footer="720" w:gutter="0"/>
      <w:pgNumType w:fmt="decimal"/>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8794">
    <w:pPr>
      <w:pStyle w:val="22"/>
      <w:jc w:val="right"/>
      <w:rPr>
        <w:rFonts w:ascii="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0A097">
    <w:pPr>
      <w:pStyle w:val="22"/>
      <w:tabs>
        <w:tab w:val="center" w:pos="4819"/>
        <w:tab w:val="left" w:pos="7440"/>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85F16">
                          <w:pPr>
                            <w:pStyle w:val="22"/>
                          </w:pPr>
                          <w:r>
                            <w:t xml:space="preserve">第 </w:t>
                          </w:r>
                          <w:r>
                            <w:fldChar w:fldCharType="begin"/>
                          </w:r>
                          <w:r>
                            <w:instrText xml:space="preserve"> PAGE  \* MERGEFORMAT </w:instrText>
                          </w:r>
                          <w:r>
                            <w:fldChar w:fldCharType="separate"/>
                          </w:r>
                          <w:r>
                            <w:t>37</w:t>
                          </w:r>
                          <w:r>
                            <w:fldChar w:fldCharType="end"/>
                          </w:r>
                          <w:r>
                            <w:t xml:space="preserve"> 页 共 </w:t>
                          </w:r>
                          <w:r>
                            <w:rPr>
                              <w:rFonts w:hint="eastAsia"/>
                              <w:lang w:val="en-US" w:eastAsia="zh-CN"/>
                            </w:rPr>
                            <w:t>56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4C85F16">
                    <w:pPr>
                      <w:pStyle w:val="22"/>
                    </w:pPr>
                    <w:r>
                      <w:t xml:space="preserve">第 </w:t>
                    </w:r>
                    <w:r>
                      <w:fldChar w:fldCharType="begin"/>
                    </w:r>
                    <w:r>
                      <w:instrText xml:space="preserve"> PAGE  \* MERGEFORMAT </w:instrText>
                    </w:r>
                    <w:r>
                      <w:fldChar w:fldCharType="separate"/>
                    </w:r>
                    <w:r>
                      <w:t>37</w:t>
                    </w:r>
                    <w:r>
                      <w:fldChar w:fldCharType="end"/>
                    </w:r>
                    <w:r>
                      <w:t xml:space="preserve"> 页 共 </w:t>
                    </w:r>
                    <w:r>
                      <w:rPr>
                        <w:rFonts w:hint="eastAsia"/>
                        <w:lang w:val="en-US" w:eastAsia="zh-CN"/>
                      </w:rPr>
                      <w:t>56</w:t>
                    </w:r>
                    <w:r>
                      <w:t xml:space="preserve"> 页</w:t>
                    </w:r>
                  </w:p>
                </w:txbxContent>
              </v:textbox>
            </v:shape>
          </w:pict>
        </mc:Fallback>
      </mc:AlternateContent>
    </w:r>
    <w:r>
      <w:tab/>
    </w:r>
  </w:p>
  <w:p w14:paraId="5FB73041">
    <w:pPr>
      <w:pStyle w:val="22"/>
      <w:ind w:right="360"/>
      <w:jc w:val="center"/>
      <w:rPr>
        <w:rFonts w:ascii="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FB3D0">
    <w:pPr>
      <w:pStyle w:val="2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3418F">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993418F">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7B20">
    <w:pPr>
      <w:pStyle w:val="22"/>
      <w:tabs>
        <w:tab w:val="center" w:pos="4819"/>
        <w:tab w:val="left" w:pos="744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6F666">
                          <w:pPr>
                            <w:pStyle w:val="22"/>
                          </w:pPr>
                          <w:r>
                            <w:t xml:space="preserve">第 </w:t>
                          </w:r>
                          <w:r>
                            <w:fldChar w:fldCharType="begin"/>
                          </w:r>
                          <w:r>
                            <w:instrText xml:space="preserve"> PAGE  \* MERGEFORMAT </w:instrText>
                          </w:r>
                          <w:r>
                            <w:fldChar w:fldCharType="separate"/>
                          </w:r>
                          <w:r>
                            <w:t>44</w:t>
                          </w:r>
                          <w:r>
                            <w:fldChar w:fldCharType="end"/>
                          </w:r>
                          <w:r>
                            <w:t xml:space="preserve"> 页 共 </w:t>
                          </w:r>
                          <w:r>
                            <w:rPr>
                              <w:rFonts w:hint="eastAsia"/>
                              <w:lang w:val="en-US" w:eastAsia="zh-CN"/>
                            </w:rPr>
                            <w:t>56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66F666">
                    <w:pPr>
                      <w:pStyle w:val="22"/>
                    </w:pPr>
                    <w:r>
                      <w:t xml:space="preserve">第 </w:t>
                    </w:r>
                    <w:r>
                      <w:fldChar w:fldCharType="begin"/>
                    </w:r>
                    <w:r>
                      <w:instrText xml:space="preserve"> PAGE  \* MERGEFORMAT </w:instrText>
                    </w:r>
                    <w:r>
                      <w:fldChar w:fldCharType="separate"/>
                    </w:r>
                    <w:r>
                      <w:t>44</w:t>
                    </w:r>
                    <w:r>
                      <w:fldChar w:fldCharType="end"/>
                    </w:r>
                    <w:r>
                      <w:t xml:space="preserve"> 页 共 </w:t>
                    </w:r>
                    <w:r>
                      <w:rPr>
                        <w:rFonts w:hint="eastAsia"/>
                        <w:lang w:val="en-US" w:eastAsia="zh-CN"/>
                      </w:rPr>
                      <w:t>56</w:t>
                    </w:r>
                    <w:r>
                      <w:t>页</w:t>
                    </w:r>
                  </w:p>
                </w:txbxContent>
              </v:textbox>
            </v:shape>
          </w:pict>
        </mc:Fallback>
      </mc:AlternateContent>
    </w:r>
    <w:r>
      <w:tab/>
    </w:r>
  </w:p>
  <w:p w14:paraId="009F50A3">
    <w:pPr>
      <w:pStyle w:val="22"/>
      <w:ind w:right="360"/>
      <w:jc w:val="center"/>
      <w:rPr>
        <w:rFonts w:ascii="宋体"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A6E79">
    <w:pPr>
      <w:pStyle w:val="22"/>
      <w:tabs>
        <w:tab w:val="center" w:pos="4819"/>
        <w:tab w:val="left" w:pos="7440"/>
      </w:tabs>
    </w:pPr>
    <w:r>
      <w:tab/>
    </w:r>
  </w:p>
  <w:p w14:paraId="215392DD">
    <w:pPr>
      <w:pStyle w:val="22"/>
      <w:ind w:right="360"/>
      <w:jc w:val="center"/>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31F71">
    <w:pPr>
      <w:pStyle w:val="22"/>
      <w:tabs>
        <w:tab w:val="center" w:pos="4819"/>
        <w:tab w:val="left" w:pos="7440"/>
      </w:tabs>
    </w:pPr>
    <w:r>
      <w:tab/>
    </w:r>
  </w:p>
  <w:p w14:paraId="2833A8E0">
    <w:pPr>
      <w:pStyle w:val="22"/>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E152A">
    <w:pPr>
      <w:pStyle w:val="22"/>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ACA0">
    <w:pPr>
      <w:pStyle w:val="22"/>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D44B3">
                          <w:pPr>
                            <w:pStyle w:val="2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FD44B3">
                    <w:pPr>
                      <w:pStyle w:val="2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56</w:t>
                    </w:r>
                    <w:r>
                      <w:t xml:space="preserve"> 页</w:t>
                    </w:r>
                  </w:p>
                </w:txbxContent>
              </v:textbox>
            </v:shape>
          </w:pict>
        </mc:Fallback>
      </mc:AlternateContent>
    </w:r>
    <w:r>
      <w:tab/>
    </w:r>
  </w:p>
  <w:p w14:paraId="67C9112A">
    <w:pPr>
      <w:pStyle w:val="22"/>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DA139">
    <w:pPr>
      <w:pStyle w:val="22"/>
      <w:framePr w:wrap="around" w:vAnchor="text" w:hAnchor="margin" w:xAlign="center" w:y="1"/>
      <w:rPr>
        <w:rStyle w:val="38"/>
      </w:rPr>
    </w:pPr>
    <w:r>
      <w:rPr>
        <w:rStyle w:val="38"/>
      </w:rPr>
      <w:fldChar w:fldCharType="begin"/>
    </w:r>
    <w:r>
      <w:rPr>
        <w:rStyle w:val="38"/>
      </w:rPr>
      <w:instrText xml:space="preserve">PAGE  </w:instrText>
    </w:r>
    <w:r>
      <w:rPr>
        <w:rStyle w:val="38"/>
      </w:rPr>
      <w:fldChar w:fldCharType="end"/>
    </w:r>
  </w:p>
  <w:p w14:paraId="78AFFF35">
    <w:pPr>
      <w:pStyle w:val="2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A079">
    <w:pPr>
      <w:pStyle w:val="22"/>
      <w:tabs>
        <w:tab w:val="center" w:pos="4819"/>
        <w:tab w:val="left" w:pos="7440"/>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CEF65">
                          <w:pPr>
                            <w:pStyle w:val="22"/>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56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8CEF65">
                    <w:pPr>
                      <w:pStyle w:val="22"/>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56</w:t>
                    </w:r>
                    <w:r>
                      <w:t xml:space="preserve"> 页</w:t>
                    </w:r>
                  </w:p>
                </w:txbxContent>
              </v:textbox>
            </v:shape>
          </w:pict>
        </mc:Fallback>
      </mc:AlternateContent>
    </w:r>
    <w:r>
      <w:tab/>
    </w:r>
  </w:p>
  <w:p w14:paraId="7B337CCF">
    <w:pPr>
      <w:pStyle w:val="22"/>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3E9D">
    <w:pPr>
      <w:pStyle w:val="2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08D9B">
    <w:pPr>
      <w:pStyle w:val="22"/>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DC82D">
                          <w:pPr>
                            <w:pStyle w:val="22"/>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3DC82D">
                    <w:pPr>
                      <w:pStyle w:val="22"/>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56</w:t>
                    </w:r>
                    <w:r>
                      <w:t xml:space="preserve"> 页</w:t>
                    </w:r>
                  </w:p>
                </w:txbxContent>
              </v:textbox>
            </v:shape>
          </w:pict>
        </mc:Fallback>
      </mc:AlternateContent>
    </w:r>
    <w:r>
      <w:tab/>
    </w:r>
  </w:p>
  <w:p w14:paraId="4A391351">
    <w:pPr>
      <w:pStyle w:val="22"/>
      <w:ind w:right="360"/>
      <w:jc w:val="center"/>
      <w:rPr>
        <w:rFonts w:ascii="宋体"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7156">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B76EA">
    <w:pPr>
      <w:adjustRightInd w:val="0"/>
      <w:snapToGrid w:val="0"/>
      <w:spacing w:line="360" w:lineRule="auto"/>
      <w:jc w:val="left"/>
      <w:rPr>
        <w:rFonts w:ascii="宋体" w:cs="Times New Roman"/>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AB91C">
    <w:pPr>
      <w:pStyle w:val="24"/>
      <w:jc w:val="both"/>
      <w:rPr>
        <w:rFonts w:hint="eastAsia" w:eastAsia="宋体"/>
        <w:lang w:eastAsia="zh-CN"/>
      </w:rPr>
    </w:pPr>
    <w:r>
      <w:rPr>
        <w:rFonts w:hint="default"/>
        <w:lang w:val="en-US" w:eastAsia="zh-CN"/>
      </w:rPr>
      <w:t>项目名称：</w:t>
    </w:r>
    <w:r>
      <w:rPr>
        <w:rFonts w:hint="eastAsia"/>
        <w:lang w:val="en-US" w:eastAsia="zh-CN"/>
      </w:rPr>
      <w:t>汉滨区农产品质量安全检验监测和能力提升项目</w:t>
    </w:r>
    <w:r>
      <w:rPr>
        <w:rFonts w:hint="default"/>
        <w:lang w:val="en-US" w:eastAsia="zh-CN"/>
      </w:rPr>
      <w:t xml:space="preserve">            </w:t>
    </w:r>
    <w:r>
      <w:rPr>
        <w:rFonts w:hint="eastAsia"/>
        <w:lang w:val="en-US" w:eastAsia="zh-CN"/>
      </w:rPr>
      <w:t xml:space="preserve">   </w:t>
    </w:r>
    <w:r>
      <w:rPr>
        <w:rFonts w:hint="default"/>
        <w:lang w:val="en-US" w:eastAsia="zh-CN"/>
      </w:rPr>
      <w:t>项目编号：</w:t>
    </w:r>
    <w:r>
      <w:rPr>
        <w:rFonts w:hint="eastAsia"/>
        <w:lang w:val="en-US" w:eastAsia="zh-CN"/>
      </w:rPr>
      <w:t>AKSH2025-ZCS-138</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0E2A">
    <w:pPr>
      <w:pStyle w:val="24"/>
      <w:jc w:val="both"/>
      <w:rPr>
        <w:rFonts w:hint="default"/>
        <w:lang w:val="en-US" w:eastAsia="zh-CN"/>
      </w:rPr>
    </w:pPr>
    <w:r>
      <w:rPr>
        <w:rFonts w:hint="default"/>
        <w:lang w:val="en-US" w:eastAsia="zh-CN"/>
      </w:rPr>
      <w:t>项目名称</w:t>
    </w:r>
    <w:r>
      <w:rPr>
        <w:rFonts w:hint="eastAsia"/>
        <w:lang w:val="en-US" w:eastAsia="zh-CN"/>
      </w:rPr>
      <w:t xml:space="preserve">：汉滨区农产品质量安全检验监测和能力提升项目    </w:t>
    </w:r>
    <w:r>
      <w:rPr>
        <w:rFonts w:hint="default"/>
        <w:lang w:val="en-US" w:eastAsia="zh-CN"/>
      </w:rPr>
      <w:t xml:space="preserve"> </w:t>
    </w:r>
    <w:r>
      <w:rPr>
        <w:rFonts w:hint="eastAsia"/>
        <w:lang w:val="en-US" w:eastAsia="zh-CN"/>
      </w:rPr>
      <w:t xml:space="preserve">          </w:t>
    </w:r>
    <w:r>
      <w:rPr>
        <w:rFonts w:hint="default"/>
        <w:lang w:val="en-US" w:eastAsia="zh-CN"/>
      </w:rPr>
      <w:t>项目编号：</w:t>
    </w:r>
    <w:r>
      <w:rPr>
        <w:rFonts w:hint="eastAsia"/>
        <w:lang w:val="en-US" w:eastAsia="zh-CN"/>
      </w:rPr>
      <w:t>AKSH2025-ZCS-138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D4161">
    <w:pPr>
      <w:pStyle w:val="24"/>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481A1">
    <w:pPr>
      <w:pStyle w:val="24"/>
      <w:pBdr>
        <w:bottom w:val="none" w:color="auto" w:sz="0" w:space="1"/>
      </w:pBdr>
      <w:jc w:val="both"/>
      <w:rPr>
        <w:rFonts w:hint="default"/>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912B">
    <w:pPr>
      <w:pStyle w:val="24"/>
      <w:jc w:val="both"/>
      <w:rPr>
        <w:rFonts w:hint="default"/>
        <w:lang w:val="en-US" w:eastAsia="zh-CN"/>
      </w:rPr>
    </w:pPr>
    <w:r>
      <w:rPr>
        <w:rFonts w:hint="default"/>
        <w:lang w:val="en-US" w:eastAsia="zh-CN"/>
      </w:rPr>
      <w:t xml:space="preserve">项目名称： </w:t>
    </w:r>
    <w:r>
      <w:rPr>
        <w:rFonts w:hint="eastAsia"/>
        <w:lang w:val="en-US" w:eastAsia="zh-CN"/>
      </w:rPr>
      <w:t>安康市城市管理执法局关于垃圾分类信息填报系统服务采购项目</w:t>
    </w:r>
    <w:r>
      <w:rPr>
        <w:rFonts w:hint="default"/>
        <w:lang w:val="en-US" w:eastAsia="zh-CN"/>
      </w:rPr>
      <w:t xml:space="preserve">项目  </w:t>
    </w:r>
    <w:r>
      <w:rPr>
        <w:rFonts w:hint="eastAsia"/>
        <w:lang w:val="en-US" w:eastAsia="zh-CN"/>
      </w:rPr>
      <w:t xml:space="preserve">  </w:t>
    </w:r>
    <w:r>
      <w:rPr>
        <w:rFonts w:hint="default"/>
        <w:lang w:val="en-US" w:eastAsia="zh-CN"/>
      </w:rPr>
      <w:t>项目编号：</w:t>
    </w:r>
    <w:r>
      <w:rPr>
        <w:rFonts w:hint="eastAsia"/>
        <w:lang w:val="en-US" w:eastAsia="zh-CN"/>
      </w:rPr>
      <w:t>AKSH2024-ZCS-054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4F234">
    <w:pPr>
      <w:pStyle w:val="24"/>
      <w:jc w:val="both"/>
      <w:rPr>
        <w:rFonts w:hint="default"/>
        <w:lang w:val="en-US"/>
      </w:rPr>
    </w:pPr>
    <w:r>
      <w:rPr>
        <w:rFonts w:hint="default"/>
        <w:lang w:val="en-US" w:eastAsia="zh-CN"/>
      </w:rPr>
      <w:t>项目名称</w:t>
    </w:r>
    <w:r>
      <w:rPr>
        <w:rFonts w:hint="eastAsia"/>
        <w:lang w:val="en-US" w:eastAsia="zh-CN"/>
      </w:rPr>
      <w:t xml:space="preserve">：汉滨区农产品质量安全检验监测和能力提升项目    </w:t>
    </w:r>
    <w:r>
      <w:rPr>
        <w:rFonts w:hint="default"/>
        <w:lang w:val="en-US" w:eastAsia="zh-CN"/>
      </w:rPr>
      <w:t xml:space="preserve"> </w:t>
    </w:r>
    <w:r>
      <w:rPr>
        <w:rFonts w:hint="eastAsia"/>
        <w:lang w:val="en-US" w:eastAsia="zh-CN"/>
      </w:rPr>
      <w:t xml:space="preserve">                 </w:t>
    </w:r>
    <w:r>
      <w:rPr>
        <w:rFonts w:hint="default"/>
        <w:lang w:val="en-US" w:eastAsia="zh-CN"/>
      </w:rPr>
      <w:t>项目编号：</w:t>
    </w:r>
    <w:r>
      <w:rPr>
        <w:rFonts w:hint="eastAsia"/>
        <w:lang w:val="en-US" w:eastAsia="zh-CN"/>
      </w:rPr>
      <w:t>AKSH2025-ZCS-138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9BAD1">
    <w:pPr>
      <w:pStyle w:val="24"/>
      <w:jc w:val="both"/>
      <w:rPr>
        <w:rFonts w:hint="default"/>
        <w:lang w:val="en-US" w:eastAsia="zh-CN"/>
      </w:rPr>
    </w:pPr>
    <w:r>
      <w:rPr>
        <w:rFonts w:hint="default"/>
        <w:lang w:val="en-US" w:eastAsia="zh-CN"/>
      </w:rPr>
      <w:t>项目名称：</w:t>
    </w:r>
    <w:r>
      <w:rPr>
        <w:rFonts w:hint="eastAsia"/>
        <w:lang w:val="en-US" w:eastAsia="zh-CN"/>
      </w:rPr>
      <w:t>汉滨区农产品质量安全检验监测和能力提升项目</w:t>
    </w:r>
    <w:r>
      <w:rPr>
        <w:rFonts w:hint="default"/>
        <w:lang w:val="en-US" w:eastAsia="zh-CN"/>
      </w:rPr>
      <w:t xml:space="preserve">          </w:t>
    </w:r>
    <w:r>
      <w:rPr>
        <w:rFonts w:hint="eastAsia"/>
        <w:lang w:val="en-US" w:eastAsia="zh-CN"/>
      </w:rPr>
      <w:t xml:space="preserve">  </w:t>
    </w:r>
    <w:r>
      <w:rPr>
        <w:rFonts w:hint="default"/>
        <w:lang w:val="en-US" w:eastAsia="zh-CN"/>
      </w:rPr>
      <w:t xml:space="preserve">  </w:t>
    </w:r>
    <w:r>
      <w:rPr>
        <w:rFonts w:hint="eastAsia"/>
        <w:lang w:val="en-US" w:eastAsia="zh-CN"/>
      </w:rPr>
      <w:t xml:space="preserve">        </w:t>
    </w:r>
    <w:r>
      <w:rPr>
        <w:rFonts w:hint="default"/>
        <w:lang w:val="en-US" w:eastAsia="zh-CN"/>
      </w:rPr>
      <w:t>项目编号：</w:t>
    </w:r>
    <w:r>
      <w:rPr>
        <w:rFonts w:hint="eastAsia"/>
        <w:lang w:val="en-US" w:eastAsia="zh-CN"/>
      </w:rPr>
      <w:t>AKSH2025-ZCS-138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B6714">
    <w:pPr>
      <w:pStyle w:val="24"/>
      <w:jc w:val="both"/>
      <w:rPr>
        <w:rFonts w:hint="default"/>
        <w:lang w:val="en-US" w:eastAsia="zh-CN"/>
      </w:rPr>
    </w:pPr>
    <w:r>
      <w:rPr>
        <w:rFonts w:hint="default"/>
        <w:lang w:val="en-US" w:eastAsia="zh-CN"/>
      </w:rPr>
      <w:t xml:space="preserve">项目名称： </w:t>
    </w:r>
    <w:r>
      <w:rPr>
        <w:rFonts w:hint="eastAsia"/>
        <w:lang w:val="en-US" w:eastAsia="zh-CN"/>
      </w:rPr>
      <w:t>安康市城市管理执法局关于垃圾分类信息填报系统服务采购项目</w:t>
    </w:r>
    <w:r>
      <w:rPr>
        <w:rFonts w:hint="default"/>
        <w:lang w:val="en-US" w:eastAsia="zh-CN"/>
      </w:rPr>
      <w:t>项目  项目编号：</w:t>
    </w:r>
    <w:r>
      <w:rPr>
        <w:rFonts w:hint="eastAsia"/>
        <w:lang w:val="en-US" w:eastAsia="zh-CN"/>
      </w:rPr>
      <w:t>AKSH2024-ZCS-054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8F89F">
    <w:pPr>
      <w:pStyle w:val="24"/>
      <w:jc w:val="both"/>
      <w:rPr>
        <w:rFonts w:hint="default"/>
        <w:lang w:val="en-US" w:eastAsia="zh-CN"/>
      </w:rPr>
    </w:pPr>
    <w:r>
      <w:rPr>
        <w:rFonts w:hint="default"/>
        <w:lang w:val="en-US" w:eastAsia="zh-CN"/>
      </w:rPr>
      <w:t>项目名称：</w:t>
    </w:r>
    <w:r>
      <w:rPr>
        <w:rFonts w:hint="eastAsia"/>
        <w:lang w:val="en-US" w:eastAsia="zh-CN"/>
      </w:rPr>
      <w:t>汉滨区农产品质量安全检验监测和能力提升项目</w:t>
    </w:r>
    <w:r>
      <w:rPr>
        <w:rFonts w:hint="default"/>
        <w:lang w:val="en-US" w:eastAsia="zh-CN"/>
      </w:rPr>
      <w:t xml:space="preserve">     </w:t>
    </w:r>
    <w:r>
      <w:rPr>
        <w:rFonts w:hint="eastAsia"/>
        <w:lang w:val="en-US" w:eastAsia="zh-CN"/>
      </w:rPr>
      <w:t xml:space="preserve">       </w:t>
    </w:r>
    <w:r>
      <w:rPr>
        <w:rFonts w:hint="default"/>
        <w:lang w:val="en-US" w:eastAsia="zh-CN"/>
      </w:rPr>
      <w:t xml:space="preserve">   </w:t>
    </w:r>
    <w:r>
      <w:rPr>
        <w:rFonts w:hint="eastAsia"/>
        <w:lang w:val="en-US" w:eastAsia="zh-CN"/>
      </w:rPr>
      <w:t xml:space="preserve"> </w:t>
    </w:r>
    <w:r>
      <w:rPr>
        <w:rFonts w:hint="default"/>
        <w:lang w:val="en-US" w:eastAsia="zh-CN"/>
      </w:rPr>
      <w:t>项目编号：</w:t>
    </w:r>
    <w:r>
      <w:rPr>
        <w:rFonts w:hint="eastAsia"/>
        <w:lang w:val="en-US" w:eastAsia="zh-CN"/>
      </w:rPr>
      <w:t>AKSH2025-ZCS-138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6DBEE">
    <w:pPr>
      <w:pStyle w:val="24"/>
      <w:jc w:val="both"/>
      <w:rPr>
        <w:rFonts w:hint="default"/>
        <w:lang w:val="en-US" w:eastAsia="zh-CN"/>
      </w:rPr>
    </w:pPr>
    <w:r>
      <w:rPr>
        <w:rFonts w:hint="default"/>
        <w:lang w:val="en-US" w:eastAsia="zh-CN"/>
      </w:rPr>
      <w:t xml:space="preserve">项目名称： </w:t>
    </w:r>
    <w:r>
      <w:rPr>
        <w:rFonts w:hint="eastAsia"/>
        <w:lang w:val="en-US" w:eastAsia="zh-CN"/>
      </w:rPr>
      <w:t xml:space="preserve">安康市城市管理执法局关于垃圾分类信息填报系统服务采购项目  </w:t>
    </w:r>
    <w:r>
      <w:rPr>
        <w:rFonts w:hint="default"/>
        <w:lang w:val="en-US" w:eastAsia="zh-CN"/>
      </w:rPr>
      <w:t xml:space="preserve">  项目编号：</w:t>
    </w:r>
    <w:r>
      <w:rPr>
        <w:rFonts w:hint="eastAsia"/>
        <w:lang w:val="en-US" w:eastAsia="zh-CN"/>
      </w:rPr>
      <w:t>AKSH2024-ZCS-054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6ED33"/>
    <w:multiLevelType w:val="singleLevel"/>
    <w:tmpl w:val="B6C6ED33"/>
    <w:lvl w:ilvl="0" w:tentative="0">
      <w:start w:val="4"/>
      <w:numFmt w:val="chineseCounting"/>
      <w:suff w:val="space"/>
      <w:lvlText w:val="第%1部分"/>
      <w:lvlJc w:val="left"/>
      <w:rPr>
        <w:rFonts w:hint="eastAsia"/>
      </w:rPr>
    </w:lvl>
  </w:abstractNum>
  <w:abstractNum w:abstractNumId="1">
    <w:nsid w:val="0030F369"/>
    <w:multiLevelType w:val="singleLevel"/>
    <w:tmpl w:val="0030F369"/>
    <w:lvl w:ilvl="0" w:tentative="0">
      <w:start w:val="4"/>
      <w:numFmt w:val="chineseCounting"/>
      <w:suff w:val="space"/>
      <w:lvlText w:val="第%1章"/>
      <w:lvlJc w:val="left"/>
      <w:rPr>
        <w:rFonts w:hint="eastAsia"/>
      </w:rPr>
    </w:lvl>
  </w:abstractNum>
  <w:abstractNum w:abstractNumId="2">
    <w:nsid w:val="0C380015"/>
    <w:multiLevelType w:val="multilevel"/>
    <w:tmpl w:val="0C380015"/>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4474AEEA"/>
    <w:multiLevelType w:val="singleLevel"/>
    <w:tmpl w:val="4474AEEA"/>
    <w:lvl w:ilvl="0" w:tentative="0">
      <w:start w:val="1"/>
      <w:numFmt w:val="chineseCounting"/>
      <w:suff w:val="nothing"/>
      <w:lvlText w:val="（%1）"/>
      <w:lvlJc w:val="left"/>
      <w:rPr>
        <w:rFonts w:hint="eastAsia"/>
      </w:rPr>
    </w:lvl>
  </w:abstractNum>
  <w:abstractNum w:abstractNumId="4">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5">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6">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2"/>
  </w:num>
  <w:num w:numId="2">
    <w:abstractNumId w:val="4"/>
  </w:num>
  <w:num w:numId="3">
    <w:abstractNumId w:val="5"/>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NmIzODMyNmM4ZWRlMzQ2NzE2ODNmZGMxZDZjMWE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3A223F"/>
    <w:rsid w:val="01525A0A"/>
    <w:rsid w:val="016A454D"/>
    <w:rsid w:val="017D3840"/>
    <w:rsid w:val="018E640A"/>
    <w:rsid w:val="01920D21"/>
    <w:rsid w:val="01AC2FBF"/>
    <w:rsid w:val="01AD1AAE"/>
    <w:rsid w:val="01C84DE7"/>
    <w:rsid w:val="01DA363D"/>
    <w:rsid w:val="01E071AE"/>
    <w:rsid w:val="01F90F7C"/>
    <w:rsid w:val="020600F6"/>
    <w:rsid w:val="02064B47"/>
    <w:rsid w:val="022D433C"/>
    <w:rsid w:val="023C7D0C"/>
    <w:rsid w:val="02590F24"/>
    <w:rsid w:val="02854F8C"/>
    <w:rsid w:val="02BA6C1F"/>
    <w:rsid w:val="02C56FBB"/>
    <w:rsid w:val="02CB14A4"/>
    <w:rsid w:val="02D3498C"/>
    <w:rsid w:val="02E57ADC"/>
    <w:rsid w:val="02E67217"/>
    <w:rsid w:val="02E93646"/>
    <w:rsid w:val="02F61685"/>
    <w:rsid w:val="02FA17E2"/>
    <w:rsid w:val="02FD5BFC"/>
    <w:rsid w:val="02FE73C3"/>
    <w:rsid w:val="030A0C9E"/>
    <w:rsid w:val="03442ED4"/>
    <w:rsid w:val="034C725D"/>
    <w:rsid w:val="03791753"/>
    <w:rsid w:val="03A85B56"/>
    <w:rsid w:val="03C10C9F"/>
    <w:rsid w:val="03C921C1"/>
    <w:rsid w:val="03FD053E"/>
    <w:rsid w:val="040B7728"/>
    <w:rsid w:val="04140CC2"/>
    <w:rsid w:val="044C50BA"/>
    <w:rsid w:val="04536164"/>
    <w:rsid w:val="04AB0E36"/>
    <w:rsid w:val="04CB26A7"/>
    <w:rsid w:val="04CD0688"/>
    <w:rsid w:val="04D502BA"/>
    <w:rsid w:val="04DF4866"/>
    <w:rsid w:val="04F06D3D"/>
    <w:rsid w:val="050047DB"/>
    <w:rsid w:val="050438CD"/>
    <w:rsid w:val="052B0940"/>
    <w:rsid w:val="053973B5"/>
    <w:rsid w:val="05402991"/>
    <w:rsid w:val="054E1CE0"/>
    <w:rsid w:val="056C728C"/>
    <w:rsid w:val="056F155F"/>
    <w:rsid w:val="057A7F6E"/>
    <w:rsid w:val="05D137D6"/>
    <w:rsid w:val="05D71396"/>
    <w:rsid w:val="05DB4DA3"/>
    <w:rsid w:val="05FA123D"/>
    <w:rsid w:val="05FB4E02"/>
    <w:rsid w:val="05FF224E"/>
    <w:rsid w:val="060454DB"/>
    <w:rsid w:val="06110D47"/>
    <w:rsid w:val="063F6A07"/>
    <w:rsid w:val="06581AF4"/>
    <w:rsid w:val="065A46B0"/>
    <w:rsid w:val="065B3B93"/>
    <w:rsid w:val="066D1D57"/>
    <w:rsid w:val="06897EFF"/>
    <w:rsid w:val="068F7743"/>
    <w:rsid w:val="06B12629"/>
    <w:rsid w:val="06BD3616"/>
    <w:rsid w:val="06BE30D0"/>
    <w:rsid w:val="06CD112D"/>
    <w:rsid w:val="06D05B2E"/>
    <w:rsid w:val="06DC7813"/>
    <w:rsid w:val="06E56C12"/>
    <w:rsid w:val="07224610"/>
    <w:rsid w:val="073278A0"/>
    <w:rsid w:val="073E5E68"/>
    <w:rsid w:val="07621A18"/>
    <w:rsid w:val="077166EC"/>
    <w:rsid w:val="07892C9E"/>
    <w:rsid w:val="07997C89"/>
    <w:rsid w:val="07B241D3"/>
    <w:rsid w:val="07E562BD"/>
    <w:rsid w:val="07FC0B21"/>
    <w:rsid w:val="07FC0D88"/>
    <w:rsid w:val="08145F16"/>
    <w:rsid w:val="08366DA4"/>
    <w:rsid w:val="087D1536"/>
    <w:rsid w:val="089E6E52"/>
    <w:rsid w:val="08B16FB6"/>
    <w:rsid w:val="08C07E24"/>
    <w:rsid w:val="08E53CD3"/>
    <w:rsid w:val="08E74CA6"/>
    <w:rsid w:val="08E95814"/>
    <w:rsid w:val="090A42F6"/>
    <w:rsid w:val="092266DC"/>
    <w:rsid w:val="09271A18"/>
    <w:rsid w:val="09293304"/>
    <w:rsid w:val="0949327F"/>
    <w:rsid w:val="094D1E21"/>
    <w:rsid w:val="09560FD7"/>
    <w:rsid w:val="097A7578"/>
    <w:rsid w:val="098A2126"/>
    <w:rsid w:val="099106B6"/>
    <w:rsid w:val="09913C41"/>
    <w:rsid w:val="09A52E1C"/>
    <w:rsid w:val="09A9060C"/>
    <w:rsid w:val="09CF513B"/>
    <w:rsid w:val="09E25AD9"/>
    <w:rsid w:val="09EA213D"/>
    <w:rsid w:val="09F71624"/>
    <w:rsid w:val="09FC30DE"/>
    <w:rsid w:val="0A0976BB"/>
    <w:rsid w:val="0A3E3F88"/>
    <w:rsid w:val="0A672A35"/>
    <w:rsid w:val="0A706A46"/>
    <w:rsid w:val="0A891706"/>
    <w:rsid w:val="0AD1127F"/>
    <w:rsid w:val="0AEE50E0"/>
    <w:rsid w:val="0AFC5610"/>
    <w:rsid w:val="0B294AC9"/>
    <w:rsid w:val="0B564145"/>
    <w:rsid w:val="0B5D1A85"/>
    <w:rsid w:val="0B5D1E36"/>
    <w:rsid w:val="0B651A2B"/>
    <w:rsid w:val="0BB5243F"/>
    <w:rsid w:val="0BED26A5"/>
    <w:rsid w:val="0BEE4F68"/>
    <w:rsid w:val="0BF91A7F"/>
    <w:rsid w:val="0C0A394D"/>
    <w:rsid w:val="0C193A0B"/>
    <w:rsid w:val="0C4A5A7C"/>
    <w:rsid w:val="0C5F0865"/>
    <w:rsid w:val="0C7B690B"/>
    <w:rsid w:val="0CB5191B"/>
    <w:rsid w:val="0CB6728F"/>
    <w:rsid w:val="0CEA2F2D"/>
    <w:rsid w:val="0CFD25BD"/>
    <w:rsid w:val="0CFE2CC9"/>
    <w:rsid w:val="0D1F6213"/>
    <w:rsid w:val="0D452987"/>
    <w:rsid w:val="0D62596E"/>
    <w:rsid w:val="0D6C19EE"/>
    <w:rsid w:val="0D7B32BC"/>
    <w:rsid w:val="0D933F5C"/>
    <w:rsid w:val="0D9E1902"/>
    <w:rsid w:val="0DA800E4"/>
    <w:rsid w:val="0DC7526D"/>
    <w:rsid w:val="0DCB40A1"/>
    <w:rsid w:val="0DDD6D83"/>
    <w:rsid w:val="0E005C7A"/>
    <w:rsid w:val="0E0C42FA"/>
    <w:rsid w:val="0E381521"/>
    <w:rsid w:val="0E9C75AF"/>
    <w:rsid w:val="0EA91CC7"/>
    <w:rsid w:val="0EBC137B"/>
    <w:rsid w:val="0EC875FE"/>
    <w:rsid w:val="0EFD2AF6"/>
    <w:rsid w:val="0F03025E"/>
    <w:rsid w:val="0F1A17DC"/>
    <w:rsid w:val="0F1C13DE"/>
    <w:rsid w:val="0F323BCC"/>
    <w:rsid w:val="0F537409"/>
    <w:rsid w:val="0F6459AD"/>
    <w:rsid w:val="0F79260C"/>
    <w:rsid w:val="0F987E27"/>
    <w:rsid w:val="0FA47B58"/>
    <w:rsid w:val="0FBB76E3"/>
    <w:rsid w:val="0FC66DA3"/>
    <w:rsid w:val="100E0796"/>
    <w:rsid w:val="10122E9C"/>
    <w:rsid w:val="10204FBD"/>
    <w:rsid w:val="10372E26"/>
    <w:rsid w:val="103966FB"/>
    <w:rsid w:val="1061546E"/>
    <w:rsid w:val="106C132D"/>
    <w:rsid w:val="108E6DDE"/>
    <w:rsid w:val="10A6243E"/>
    <w:rsid w:val="10AB38B0"/>
    <w:rsid w:val="10DD209D"/>
    <w:rsid w:val="10FF1E8F"/>
    <w:rsid w:val="111D4066"/>
    <w:rsid w:val="112C7AF5"/>
    <w:rsid w:val="11474F0A"/>
    <w:rsid w:val="11687FB0"/>
    <w:rsid w:val="119963B1"/>
    <w:rsid w:val="11A45003"/>
    <w:rsid w:val="11A813A6"/>
    <w:rsid w:val="11B361D3"/>
    <w:rsid w:val="11BB4D58"/>
    <w:rsid w:val="11BB6630"/>
    <w:rsid w:val="11EF6F34"/>
    <w:rsid w:val="12793BBE"/>
    <w:rsid w:val="127E064D"/>
    <w:rsid w:val="128C33F4"/>
    <w:rsid w:val="12A33A33"/>
    <w:rsid w:val="12C02EFB"/>
    <w:rsid w:val="131C06AC"/>
    <w:rsid w:val="133A4EB7"/>
    <w:rsid w:val="13487675"/>
    <w:rsid w:val="137447B2"/>
    <w:rsid w:val="13830E2C"/>
    <w:rsid w:val="138D11BC"/>
    <w:rsid w:val="13992EB6"/>
    <w:rsid w:val="139D2FCC"/>
    <w:rsid w:val="13D84C83"/>
    <w:rsid w:val="13EA285B"/>
    <w:rsid w:val="13FD1F2D"/>
    <w:rsid w:val="14074063"/>
    <w:rsid w:val="142468C7"/>
    <w:rsid w:val="143C5260"/>
    <w:rsid w:val="149C20CC"/>
    <w:rsid w:val="14A12650"/>
    <w:rsid w:val="14AF4B49"/>
    <w:rsid w:val="14B41673"/>
    <w:rsid w:val="14B90B15"/>
    <w:rsid w:val="14C42628"/>
    <w:rsid w:val="14CD1555"/>
    <w:rsid w:val="14E868B9"/>
    <w:rsid w:val="14F838A9"/>
    <w:rsid w:val="15273101"/>
    <w:rsid w:val="153E2DB6"/>
    <w:rsid w:val="15543DCE"/>
    <w:rsid w:val="15550B09"/>
    <w:rsid w:val="155550C1"/>
    <w:rsid w:val="15576ACE"/>
    <w:rsid w:val="1568217F"/>
    <w:rsid w:val="156F5D50"/>
    <w:rsid w:val="15761223"/>
    <w:rsid w:val="15784E47"/>
    <w:rsid w:val="15787ABD"/>
    <w:rsid w:val="159517A5"/>
    <w:rsid w:val="15A74B21"/>
    <w:rsid w:val="15E23CA8"/>
    <w:rsid w:val="15FA6095"/>
    <w:rsid w:val="166B3507"/>
    <w:rsid w:val="166C32BB"/>
    <w:rsid w:val="16A37A9D"/>
    <w:rsid w:val="16C2284B"/>
    <w:rsid w:val="16CB423B"/>
    <w:rsid w:val="17035549"/>
    <w:rsid w:val="17062F69"/>
    <w:rsid w:val="171E4694"/>
    <w:rsid w:val="17423544"/>
    <w:rsid w:val="17450DD5"/>
    <w:rsid w:val="17575561"/>
    <w:rsid w:val="1779199A"/>
    <w:rsid w:val="17907B2D"/>
    <w:rsid w:val="179944DC"/>
    <w:rsid w:val="17A06173"/>
    <w:rsid w:val="17AF1790"/>
    <w:rsid w:val="17B56054"/>
    <w:rsid w:val="17C22E6D"/>
    <w:rsid w:val="17D908F6"/>
    <w:rsid w:val="17DF536C"/>
    <w:rsid w:val="17E41B2C"/>
    <w:rsid w:val="17EA0C48"/>
    <w:rsid w:val="17F65B05"/>
    <w:rsid w:val="18061CBA"/>
    <w:rsid w:val="18120EEB"/>
    <w:rsid w:val="182B6938"/>
    <w:rsid w:val="183D0E38"/>
    <w:rsid w:val="1841587E"/>
    <w:rsid w:val="18630E03"/>
    <w:rsid w:val="186F3E63"/>
    <w:rsid w:val="187857E7"/>
    <w:rsid w:val="187B19AA"/>
    <w:rsid w:val="18811F09"/>
    <w:rsid w:val="188321C6"/>
    <w:rsid w:val="18921717"/>
    <w:rsid w:val="18A25EE0"/>
    <w:rsid w:val="18C15C1F"/>
    <w:rsid w:val="190D3CF6"/>
    <w:rsid w:val="190E1B7D"/>
    <w:rsid w:val="192F739D"/>
    <w:rsid w:val="195C4F98"/>
    <w:rsid w:val="1981180F"/>
    <w:rsid w:val="19C27C94"/>
    <w:rsid w:val="19C57049"/>
    <w:rsid w:val="19D10924"/>
    <w:rsid w:val="19DC5DE9"/>
    <w:rsid w:val="19E42EEC"/>
    <w:rsid w:val="19FC4F49"/>
    <w:rsid w:val="1A1E247D"/>
    <w:rsid w:val="1A206E13"/>
    <w:rsid w:val="1A324F2D"/>
    <w:rsid w:val="1A462475"/>
    <w:rsid w:val="1A6C3968"/>
    <w:rsid w:val="1A754C02"/>
    <w:rsid w:val="1A937147"/>
    <w:rsid w:val="1AA30DFE"/>
    <w:rsid w:val="1AC06A39"/>
    <w:rsid w:val="1ACC4F36"/>
    <w:rsid w:val="1AF11218"/>
    <w:rsid w:val="1AF44A0B"/>
    <w:rsid w:val="1B115D3C"/>
    <w:rsid w:val="1B1E0896"/>
    <w:rsid w:val="1B274435"/>
    <w:rsid w:val="1B483F91"/>
    <w:rsid w:val="1B614048"/>
    <w:rsid w:val="1B807337"/>
    <w:rsid w:val="1BA47C58"/>
    <w:rsid w:val="1BB80F43"/>
    <w:rsid w:val="1BC170B5"/>
    <w:rsid w:val="1BC63CDD"/>
    <w:rsid w:val="1BC85289"/>
    <w:rsid w:val="1BDC02C0"/>
    <w:rsid w:val="1BEB4B83"/>
    <w:rsid w:val="1BF0529D"/>
    <w:rsid w:val="1C357674"/>
    <w:rsid w:val="1C412F26"/>
    <w:rsid w:val="1C446BE5"/>
    <w:rsid w:val="1C6D0873"/>
    <w:rsid w:val="1C915866"/>
    <w:rsid w:val="1CCD44A8"/>
    <w:rsid w:val="1CE647C1"/>
    <w:rsid w:val="1D385997"/>
    <w:rsid w:val="1D3C25C0"/>
    <w:rsid w:val="1D5E31C4"/>
    <w:rsid w:val="1D673AB8"/>
    <w:rsid w:val="1D6B0D1C"/>
    <w:rsid w:val="1D724537"/>
    <w:rsid w:val="1D8D5C15"/>
    <w:rsid w:val="1D946A32"/>
    <w:rsid w:val="1DA31A6F"/>
    <w:rsid w:val="1DB51F23"/>
    <w:rsid w:val="1DC02F49"/>
    <w:rsid w:val="1DC65199"/>
    <w:rsid w:val="1DE55082"/>
    <w:rsid w:val="1DEB7A42"/>
    <w:rsid w:val="1DF97E9A"/>
    <w:rsid w:val="1E0E15D6"/>
    <w:rsid w:val="1E2307E2"/>
    <w:rsid w:val="1E421B94"/>
    <w:rsid w:val="1E5A1C2F"/>
    <w:rsid w:val="1E5E18A6"/>
    <w:rsid w:val="1E832DAB"/>
    <w:rsid w:val="1E865B1A"/>
    <w:rsid w:val="1EAF02C7"/>
    <w:rsid w:val="1EC331FD"/>
    <w:rsid w:val="1EDE683F"/>
    <w:rsid w:val="1F1F3A24"/>
    <w:rsid w:val="1F206854"/>
    <w:rsid w:val="1F244EC9"/>
    <w:rsid w:val="1F2D6E0F"/>
    <w:rsid w:val="1F5A3842"/>
    <w:rsid w:val="1F6659C8"/>
    <w:rsid w:val="1F690A75"/>
    <w:rsid w:val="1F7977EE"/>
    <w:rsid w:val="1F895E51"/>
    <w:rsid w:val="1F9F1011"/>
    <w:rsid w:val="1FA073B6"/>
    <w:rsid w:val="1FB12B7F"/>
    <w:rsid w:val="1FD91AA0"/>
    <w:rsid w:val="1FFE1506"/>
    <w:rsid w:val="20025D99"/>
    <w:rsid w:val="200A2C27"/>
    <w:rsid w:val="203A68C1"/>
    <w:rsid w:val="2054435F"/>
    <w:rsid w:val="20670906"/>
    <w:rsid w:val="20C3636D"/>
    <w:rsid w:val="20E03EA8"/>
    <w:rsid w:val="20ED38FC"/>
    <w:rsid w:val="211D78B0"/>
    <w:rsid w:val="212E72D0"/>
    <w:rsid w:val="213575A7"/>
    <w:rsid w:val="213C19C8"/>
    <w:rsid w:val="213E32F0"/>
    <w:rsid w:val="213F2787"/>
    <w:rsid w:val="2149131F"/>
    <w:rsid w:val="2149340F"/>
    <w:rsid w:val="214E43E5"/>
    <w:rsid w:val="215C4618"/>
    <w:rsid w:val="21600B88"/>
    <w:rsid w:val="21B53414"/>
    <w:rsid w:val="21B972F2"/>
    <w:rsid w:val="21E5038E"/>
    <w:rsid w:val="21E8206B"/>
    <w:rsid w:val="21EA14F4"/>
    <w:rsid w:val="223E6CF8"/>
    <w:rsid w:val="2243364A"/>
    <w:rsid w:val="224E045E"/>
    <w:rsid w:val="226823A3"/>
    <w:rsid w:val="227C1E95"/>
    <w:rsid w:val="229226B8"/>
    <w:rsid w:val="22A73267"/>
    <w:rsid w:val="22AF5BBC"/>
    <w:rsid w:val="22C677C0"/>
    <w:rsid w:val="22C75BE0"/>
    <w:rsid w:val="22CD1033"/>
    <w:rsid w:val="22DD3C85"/>
    <w:rsid w:val="22E25187"/>
    <w:rsid w:val="2342795C"/>
    <w:rsid w:val="234845C4"/>
    <w:rsid w:val="23740A0F"/>
    <w:rsid w:val="23773046"/>
    <w:rsid w:val="238A31D0"/>
    <w:rsid w:val="23A012D9"/>
    <w:rsid w:val="23B42767"/>
    <w:rsid w:val="23C465C3"/>
    <w:rsid w:val="23E303FA"/>
    <w:rsid w:val="23EB5574"/>
    <w:rsid w:val="23F911BA"/>
    <w:rsid w:val="23FE56CB"/>
    <w:rsid w:val="242B39CD"/>
    <w:rsid w:val="242D516F"/>
    <w:rsid w:val="245247ED"/>
    <w:rsid w:val="24575A93"/>
    <w:rsid w:val="248B67FD"/>
    <w:rsid w:val="248F6CA6"/>
    <w:rsid w:val="24945F95"/>
    <w:rsid w:val="24BF3406"/>
    <w:rsid w:val="24EE1B49"/>
    <w:rsid w:val="2508212D"/>
    <w:rsid w:val="252B038C"/>
    <w:rsid w:val="252E1698"/>
    <w:rsid w:val="25543DDA"/>
    <w:rsid w:val="255F7AD2"/>
    <w:rsid w:val="2562439C"/>
    <w:rsid w:val="25643BBA"/>
    <w:rsid w:val="256D4FBD"/>
    <w:rsid w:val="256E67E6"/>
    <w:rsid w:val="257E016B"/>
    <w:rsid w:val="25873D4C"/>
    <w:rsid w:val="25AA58E4"/>
    <w:rsid w:val="25B52A47"/>
    <w:rsid w:val="25B85ECA"/>
    <w:rsid w:val="25C10491"/>
    <w:rsid w:val="25C46D47"/>
    <w:rsid w:val="25E074E7"/>
    <w:rsid w:val="25E82BA5"/>
    <w:rsid w:val="25EE4017"/>
    <w:rsid w:val="25F97290"/>
    <w:rsid w:val="26223B26"/>
    <w:rsid w:val="26241D26"/>
    <w:rsid w:val="2627224F"/>
    <w:rsid w:val="26437C73"/>
    <w:rsid w:val="265B0A5D"/>
    <w:rsid w:val="266360FF"/>
    <w:rsid w:val="266C4868"/>
    <w:rsid w:val="269229A8"/>
    <w:rsid w:val="269D762C"/>
    <w:rsid w:val="26A10A3D"/>
    <w:rsid w:val="26C976F8"/>
    <w:rsid w:val="26D61BFC"/>
    <w:rsid w:val="26D92385"/>
    <w:rsid w:val="26EF72E5"/>
    <w:rsid w:val="26FC4A2E"/>
    <w:rsid w:val="270B0E4A"/>
    <w:rsid w:val="27180E6A"/>
    <w:rsid w:val="271E393C"/>
    <w:rsid w:val="271E669F"/>
    <w:rsid w:val="27333A9E"/>
    <w:rsid w:val="273D5A6D"/>
    <w:rsid w:val="274023D4"/>
    <w:rsid w:val="274253D5"/>
    <w:rsid w:val="27663E92"/>
    <w:rsid w:val="276D74EC"/>
    <w:rsid w:val="276F6A21"/>
    <w:rsid w:val="278A534F"/>
    <w:rsid w:val="27982FF0"/>
    <w:rsid w:val="27D163B4"/>
    <w:rsid w:val="28002089"/>
    <w:rsid w:val="281C1B43"/>
    <w:rsid w:val="282B36F9"/>
    <w:rsid w:val="28375A3F"/>
    <w:rsid w:val="28520495"/>
    <w:rsid w:val="287813D0"/>
    <w:rsid w:val="289A78F2"/>
    <w:rsid w:val="28A813E1"/>
    <w:rsid w:val="28B92E20"/>
    <w:rsid w:val="28B93CEB"/>
    <w:rsid w:val="28E02A8F"/>
    <w:rsid w:val="28E1683E"/>
    <w:rsid w:val="29125D60"/>
    <w:rsid w:val="292B1C11"/>
    <w:rsid w:val="2960365F"/>
    <w:rsid w:val="29795F73"/>
    <w:rsid w:val="29D10A88"/>
    <w:rsid w:val="2A1A46E9"/>
    <w:rsid w:val="2A2A2452"/>
    <w:rsid w:val="2A3018E1"/>
    <w:rsid w:val="2A3717F0"/>
    <w:rsid w:val="2A441BE1"/>
    <w:rsid w:val="2A4836B1"/>
    <w:rsid w:val="2A4A0382"/>
    <w:rsid w:val="2A593B46"/>
    <w:rsid w:val="2A846AAC"/>
    <w:rsid w:val="2A851BD9"/>
    <w:rsid w:val="2A863893"/>
    <w:rsid w:val="2A932720"/>
    <w:rsid w:val="2AA02867"/>
    <w:rsid w:val="2AA04BF2"/>
    <w:rsid w:val="2AB357E7"/>
    <w:rsid w:val="2AC9578D"/>
    <w:rsid w:val="2ACC5C5A"/>
    <w:rsid w:val="2AF04F6E"/>
    <w:rsid w:val="2AF23A16"/>
    <w:rsid w:val="2B000827"/>
    <w:rsid w:val="2B420288"/>
    <w:rsid w:val="2B421328"/>
    <w:rsid w:val="2B5E1033"/>
    <w:rsid w:val="2B641D7F"/>
    <w:rsid w:val="2B6D3C7A"/>
    <w:rsid w:val="2B786D85"/>
    <w:rsid w:val="2B8C277F"/>
    <w:rsid w:val="2B955445"/>
    <w:rsid w:val="2B9C35DD"/>
    <w:rsid w:val="2BB23B01"/>
    <w:rsid w:val="2BB32D41"/>
    <w:rsid w:val="2BC069D0"/>
    <w:rsid w:val="2BC367B8"/>
    <w:rsid w:val="2BD63337"/>
    <w:rsid w:val="2BE960EF"/>
    <w:rsid w:val="2C071A15"/>
    <w:rsid w:val="2C0B64AA"/>
    <w:rsid w:val="2C2D3420"/>
    <w:rsid w:val="2C7B4E8C"/>
    <w:rsid w:val="2C842D34"/>
    <w:rsid w:val="2C9446A0"/>
    <w:rsid w:val="2C9F5B5B"/>
    <w:rsid w:val="2CA04D25"/>
    <w:rsid w:val="2CED77C1"/>
    <w:rsid w:val="2CF617E0"/>
    <w:rsid w:val="2D157E8F"/>
    <w:rsid w:val="2D16631A"/>
    <w:rsid w:val="2D4C5A5E"/>
    <w:rsid w:val="2D5A4743"/>
    <w:rsid w:val="2D6A2427"/>
    <w:rsid w:val="2D6C2100"/>
    <w:rsid w:val="2D762BBA"/>
    <w:rsid w:val="2D944CD1"/>
    <w:rsid w:val="2DBB723B"/>
    <w:rsid w:val="2DC37DF1"/>
    <w:rsid w:val="2DCE0619"/>
    <w:rsid w:val="2DD35AE8"/>
    <w:rsid w:val="2DD83D74"/>
    <w:rsid w:val="2DE463B0"/>
    <w:rsid w:val="2DE64BF5"/>
    <w:rsid w:val="2DE84AF7"/>
    <w:rsid w:val="2E0C4DEE"/>
    <w:rsid w:val="2E0D173F"/>
    <w:rsid w:val="2E307DB7"/>
    <w:rsid w:val="2E3D31FA"/>
    <w:rsid w:val="2E3E5270"/>
    <w:rsid w:val="2E6011D7"/>
    <w:rsid w:val="2E8E2F32"/>
    <w:rsid w:val="2E961606"/>
    <w:rsid w:val="2EBC045D"/>
    <w:rsid w:val="2EC54F0E"/>
    <w:rsid w:val="2EFE7D6E"/>
    <w:rsid w:val="2F000DF7"/>
    <w:rsid w:val="2F984ABB"/>
    <w:rsid w:val="2F996B56"/>
    <w:rsid w:val="2FF70134"/>
    <w:rsid w:val="30561692"/>
    <w:rsid w:val="30600479"/>
    <w:rsid w:val="30711E07"/>
    <w:rsid w:val="309E4373"/>
    <w:rsid w:val="30AA13BF"/>
    <w:rsid w:val="30DF6CA0"/>
    <w:rsid w:val="30ED32FC"/>
    <w:rsid w:val="31195802"/>
    <w:rsid w:val="313533BC"/>
    <w:rsid w:val="313E4759"/>
    <w:rsid w:val="314B1C9B"/>
    <w:rsid w:val="31612184"/>
    <w:rsid w:val="317D0C73"/>
    <w:rsid w:val="31926D16"/>
    <w:rsid w:val="3194218A"/>
    <w:rsid w:val="31B444D7"/>
    <w:rsid w:val="31C342A2"/>
    <w:rsid w:val="31F83438"/>
    <w:rsid w:val="31FC5556"/>
    <w:rsid w:val="32170FF5"/>
    <w:rsid w:val="32356B5E"/>
    <w:rsid w:val="324E226E"/>
    <w:rsid w:val="32C1086E"/>
    <w:rsid w:val="32D4454C"/>
    <w:rsid w:val="32F341BB"/>
    <w:rsid w:val="32F54E61"/>
    <w:rsid w:val="330001A2"/>
    <w:rsid w:val="331F55C4"/>
    <w:rsid w:val="332A6927"/>
    <w:rsid w:val="33434A04"/>
    <w:rsid w:val="334713E7"/>
    <w:rsid w:val="335C0F0C"/>
    <w:rsid w:val="3363480C"/>
    <w:rsid w:val="338257CE"/>
    <w:rsid w:val="33C6541B"/>
    <w:rsid w:val="33EA4F8B"/>
    <w:rsid w:val="34027E2D"/>
    <w:rsid w:val="341A1198"/>
    <w:rsid w:val="34256C0A"/>
    <w:rsid w:val="34480B4A"/>
    <w:rsid w:val="344A5CAF"/>
    <w:rsid w:val="34627E84"/>
    <w:rsid w:val="346907A6"/>
    <w:rsid w:val="346C4843"/>
    <w:rsid w:val="34761B3D"/>
    <w:rsid w:val="347C6980"/>
    <w:rsid w:val="34861646"/>
    <w:rsid w:val="34E2249D"/>
    <w:rsid w:val="34ED2EF3"/>
    <w:rsid w:val="34FB6280"/>
    <w:rsid w:val="35184C6D"/>
    <w:rsid w:val="351C016C"/>
    <w:rsid w:val="351F0B3B"/>
    <w:rsid w:val="35372467"/>
    <w:rsid w:val="353D1B92"/>
    <w:rsid w:val="356946DE"/>
    <w:rsid w:val="356A2C20"/>
    <w:rsid w:val="35773F4E"/>
    <w:rsid w:val="358B1967"/>
    <w:rsid w:val="35906410"/>
    <w:rsid w:val="35B23DBA"/>
    <w:rsid w:val="35BE61A8"/>
    <w:rsid w:val="35D903FF"/>
    <w:rsid w:val="35DB2555"/>
    <w:rsid w:val="35E1119D"/>
    <w:rsid w:val="35EF609A"/>
    <w:rsid w:val="360E3D96"/>
    <w:rsid w:val="36414C8A"/>
    <w:rsid w:val="36475791"/>
    <w:rsid w:val="366F28DB"/>
    <w:rsid w:val="368178C2"/>
    <w:rsid w:val="36897EB8"/>
    <w:rsid w:val="369301F2"/>
    <w:rsid w:val="36983117"/>
    <w:rsid w:val="369F5F8F"/>
    <w:rsid w:val="36A1205A"/>
    <w:rsid w:val="36A46172"/>
    <w:rsid w:val="36A92B83"/>
    <w:rsid w:val="36CD7058"/>
    <w:rsid w:val="36D22E56"/>
    <w:rsid w:val="36D90673"/>
    <w:rsid w:val="36D93CDC"/>
    <w:rsid w:val="370666E5"/>
    <w:rsid w:val="373511EA"/>
    <w:rsid w:val="373F25CC"/>
    <w:rsid w:val="37404994"/>
    <w:rsid w:val="374E3698"/>
    <w:rsid w:val="375111F8"/>
    <w:rsid w:val="37785578"/>
    <w:rsid w:val="377E35EE"/>
    <w:rsid w:val="379501B2"/>
    <w:rsid w:val="37AB75F3"/>
    <w:rsid w:val="37C37A26"/>
    <w:rsid w:val="37DD61FF"/>
    <w:rsid w:val="37E42938"/>
    <w:rsid w:val="3818637F"/>
    <w:rsid w:val="383A3644"/>
    <w:rsid w:val="384D0EC6"/>
    <w:rsid w:val="385F1A9D"/>
    <w:rsid w:val="3883540B"/>
    <w:rsid w:val="388C7258"/>
    <w:rsid w:val="38910707"/>
    <w:rsid w:val="389712F2"/>
    <w:rsid w:val="389D3D47"/>
    <w:rsid w:val="38B42B1B"/>
    <w:rsid w:val="38DD3307"/>
    <w:rsid w:val="38EC0F5C"/>
    <w:rsid w:val="390447E4"/>
    <w:rsid w:val="390F1C92"/>
    <w:rsid w:val="39293DB0"/>
    <w:rsid w:val="3932357B"/>
    <w:rsid w:val="393542AD"/>
    <w:rsid w:val="398630C2"/>
    <w:rsid w:val="39945775"/>
    <w:rsid w:val="39A03524"/>
    <w:rsid w:val="39B13AE1"/>
    <w:rsid w:val="39CC3940"/>
    <w:rsid w:val="39E901AB"/>
    <w:rsid w:val="39F36619"/>
    <w:rsid w:val="39FC2F9F"/>
    <w:rsid w:val="3A127C30"/>
    <w:rsid w:val="3A2B0CF2"/>
    <w:rsid w:val="3A5E6443"/>
    <w:rsid w:val="3A6E01EF"/>
    <w:rsid w:val="3A8D3267"/>
    <w:rsid w:val="3A9A5F88"/>
    <w:rsid w:val="3A9B3EA5"/>
    <w:rsid w:val="3A9E0B45"/>
    <w:rsid w:val="3AB86041"/>
    <w:rsid w:val="3AD30754"/>
    <w:rsid w:val="3AD31A4B"/>
    <w:rsid w:val="3AD63FAA"/>
    <w:rsid w:val="3AD82BC6"/>
    <w:rsid w:val="3AFE2C6B"/>
    <w:rsid w:val="3B0727B9"/>
    <w:rsid w:val="3B1866F7"/>
    <w:rsid w:val="3B376687"/>
    <w:rsid w:val="3B3E6939"/>
    <w:rsid w:val="3B4A1AE9"/>
    <w:rsid w:val="3B4F12B2"/>
    <w:rsid w:val="3B6343C3"/>
    <w:rsid w:val="3B730A2C"/>
    <w:rsid w:val="3BAE5839"/>
    <w:rsid w:val="3BC73BD4"/>
    <w:rsid w:val="3BDB763B"/>
    <w:rsid w:val="3BEC625F"/>
    <w:rsid w:val="3BFB5246"/>
    <w:rsid w:val="3C0A04BB"/>
    <w:rsid w:val="3C2643A8"/>
    <w:rsid w:val="3C3360EC"/>
    <w:rsid w:val="3C3643F9"/>
    <w:rsid w:val="3C452831"/>
    <w:rsid w:val="3C5D17C0"/>
    <w:rsid w:val="3C5D5748"/>
    <w:rsid w:val="3C7057AE"/>
    <w:rsid w:val="3CA53C3A"/>
    <w:rsid w:val="3CA74A0B"/>
    <w:rsid w:val="3CA97F92"/>
    <w:rsid w:val="3CAA4150"/>
    <w:rsid w:val="3CC1259B"/>
    <w:rsid w:val="3CEA1C78"/>
    <w:rsid w:val="3CF0119C"/>
    <w:rsid w:val="3D37642D"/>
    <w:rsid w:val="3D3B2FFA"/>
    <w:rsid w:val="3D4B442E"/>
    <w:rsid w:val="3D672756"/>
    <w:rsid w:val="3D6D69CE"/>
    <w:rsid w:val="3D8D5B29"/>
    <w:rsid w:val="3D945377"/>
    <w:rsid w:val="3DB13B3B"/>
    <w:rsid w:val="3DC065C6"/>
    <w:rsid w:val="3DC70F93"/>
    <w:rsid w:val="3DDC0B07"/>
    <w:rsid w:val="3E0169BD"/>
    <w:rsid w:val="3E3D3FF6"/>
    <w:rsid w:val="3E5700F6"/>
    <w:rsid w:val="3E5D317C"/>
    <w:rsid w:val="3E774506"/>
    <w:rsid w:val="3E7B17BF"/>
    <w:rsid w:val="3EB721C8"/>
    <w:rsid w:val="3EC7628C"/>
    <w:rsid w:val="3EDE4585"/>
    <w:rsid w:val="3EDE6333"/>
    <w:rsid w:val="3EE975EA"/>
    <w:rsid w:val="3EF4037B"/>
    <w:rsid w:val="3F197280"/>
    <w:rsid w:val="3F320858"/>
    <w:rsid w:val="3F4B496B"/>
    <w:rsid w:val="3F4B6BB2"/>
    <w:rsid w:val="3F91658F"/>
    <w:rsid w:val="3FA46EF8"/>
    <w:rsid w:val="3FD83C96"/>
    <w:rsid w:val="3FEC6BE3"/>
    <w:rsid w:val="402203F5"/>
    <w:rsid w:val="402657A8"/>
    <w:rsid w:val="4028158A"/>
    <w:rsid w:val="40574F8A"/>
    <w:rsid w:val="405A40DF"/>
    <w:rsid w:val="409A44DC"/>
    <w:rsid w:val="40AE5034"/>
    <w:rsid w:val="40B35057"/>
    <w:rsid w:val="40F37AE5"/>
    <w:rsid w:val="41033A8E"/>
    <w:rsid w:val="41303C39"/>
    <w:rsid w:val="41364AA2"/>
    <w:rsid w:val="414F74CB"/>
    <w:rsid w:val="415B6654"/>
    <w:rsid w:val="41636FFF"/>
    <w:rsid w:val="41662EBF"/>
    <w:rsid w:val="416745BC"/>
    <w:rsid w:val="417C2EE6"/>
    <w:rsid w:val="41C46BAD"/>
    <w:rsid w:val="41D12A32"/>
    <w:rsid w:val="41D301C3"/>
    <w:rsid w:val="41D623AF"/>
    <w:rsid w:val="41F6377C"/>
    <w:rsid w:val="420B66EE"/>
    <w:rsid w:val="421107CE"/>
    <w:rsid w:val="422F49B3"/>
    <w:rsid w:val="423767ED"/>
    <w:rsid w:val="425213C3"/>
    <w:rsid w:val="425968DE"/>
    <w:rsid w:val="426E68C9"/>
    <w:rsid w:val="42802614"/>
    <w:rsid w:val="42B01704"/>
    <w:rsid w:val="42CC4106"/>
    <w:rsid w:val="42D22B67"/>
    <w:rsid w:val="42DC0E76"/>
    <w:rsid w:val="42E92879"/>
    <w:rsid w:val="42EC69CA"/>
    <w:rsid w:val="42FB4A28"/>
    <w:rsid w:val="43027A91"/>
    <w:rsid w:val="431F1AE3"/>
    <w:rsid w:val="433858A5"/>
    <w:rsid w:val="43527105"/>
    <w:rsid w:val="436D4954"/>
    <w:rsid w:val="438753A5"/>
    <w:rsid w:val="43891048"/>
    <w:rsid w:val="43920E07"/>
    <w:rsid w:val="43951B04"/>
    <w:rsid w:val="43A24887"/>
    <w:rsid w:val="43D85F0B"/>
    <w:rsid w:val="43F715ED"/>
    <w:rsid w:val="44000E21"/>
    <w:rsid w:val="440D15A1"/>
    <w:rsid w:val="442073EE"/>
    <w:rsid w:val="444B4C5F"/>
    <w:rsid w:val="44655A6C"/>
    <w:rsid w:val="44665FAC"/>
    <w:rsid w:val="4467168F"/>
    <w:rsid w:val="44737AF8"/>
    <w:rsid w:val="44766B6D"/>
    <w:rsid w:val="44864A89"/>
    <w:rsid w:val="448F50C0"/>
    <w:rsid w:val="44983838"/>
    <w:rsid w:val="44984355"/>
    <w:rsid w:val="44A8226D"/>
    <w:rsid w:val="44AA08C6"/>
    <w:rsid w:val="44B32010"/>
    <w:rsid w:val="44C47D79"/>
    <w:rsid w:val="44EF4A70"/>
    <w:rsid w:val="45156827"/>
    <w:rsid w:val="452364C9"/>
    <w:rsid w:val="45342FB5"/>
    <w:rsid w:val="454C0370"/>
    <w:rsid w:val="4550153F"/>
    <w:rsid w:val="45631ACD"/>
    <w:rsid w:val="45660998"/>
    <w:rsid w:val="458000C7"/>
    <w:rsid w:val="4585213C"/>
    <w:rsid w:val="458B3F95"/>
    <w:rsid w:val="45967A06"/>
    <w:rsid w:val="45AA2F38"/>
    <w:rsid w:val="45C41CBE"/>
    <w:rsid w:val="45CF1BC3"/>
    <w:rsid w:val="4601483F"/>
    <w:rsid w:val="46025A85"/>
    <w:rsid w:val="461A266E"/>
    <w:rsid w:val="465530CB"/>
    <w:rsid w:val="465B470D"/>
    <w:rsid w:val="4662784A"/>
    <w:rsid w:val="46760020"/>
    <w:rsid w:val="468B310F"/>
    <w:rsid w:val="46982676"/>
    <w:rsid w:val="46A7659A"/>
    <w:rsid w:val="470173A0"/>
    <w:rsid w:val="4729480B"/>
    <w:rsid w:val="47630D4C"/>
    <w:rsid w:val="476A14DB"/>
    <w:rsid w:val="476A5FE9"/>
    <w:rsid w:val="478A52AA"/>
    <w:rsid w:val="4790205D"/>
    <w:rsid w:val="479804CC"/>
    <w:rsid w:val="47B75E90"/>
    <w:rsid w:val="47BE6D02"/>
    <w:rsid w:val="47F10601"/>
    <w:rsid w:val="48082BD4"/>
    <w:rsid w:val="483319A6"/>
    <w:rsid w:val="483413B6"/>
    <w:rsid w:val="48383932"/>
    <w:rsid w:val="48490A61"/>
    <w:rsid w:val="487657D6"/>
    <w:rsid w:val="48A944BE"/>
    <w:rsid w:val="48D664FA"/>
    <w:rsid w:val="48F36E7F"/>
    <w:rsid w:val="49001E86"/>
    <w:rsid w:val="4907292A"/>
    <w:rsid w:val="49081412"/>
    <w:rsid w:val="492A223F"/>
    <w:rsid w:val="49500C1A"/>
    <w:rsid w:val="495B1646"/>
    <w:rsid w:val="496D50BB"/>
    <w:rsid w:val="4981153F"/>
    <w:rsid w:val="498E1308"/>
    <w:rsid w:val="498E392B"/>
    <w:rsid w:val="49953FD2"/>
    <w:rsid w:val="49A67FEA"/>
    <w:rsid w:val="49B42357"/>
    <w:rsid w:val="49CC282C"/>
    <w:rsid w:val="49D14C7B"/>
    <w:rsid w:val="49EE2E55"/>
    <w:rsid w:val="49F64E88"/>
    <w:rsid w:val="4A0B5680"/>
    <w:rsid w:val="4A424464"/>
    <w:rsid w:val="4A442DE8"/>
    <w:rsid w:val="4A4C3C76"/>
    <w:rsid w:val="4A582F08"/>
    <w:rsid w:val="4A5C19ED"/>
    <w:rsid w:val="4A713EF7"/>
    <w:rsid w:val="4A71669A"/>
    <w:rsid w:val="4A990DB8"/>
    <w:rsid w:val="4A9B0448"/>
    <w:rsid w:val="4AB30EDE"/>
    <w:rsid w:val="4AB35D91"/>
    <w:rsid w:val="4AC7425E"/>
    <w:rsid w:val="4AE87797"/>
    <w:rsid w:val="4B140282"/>
    <w:rsid w:val="4B341F77"/>
    <w:rsid w:val="4B3D6AD7"/>
    <w:rsid w:val="4B536B77"/>
    <w:rsid w:val="4B7B039D"/>
    <w:rsid w:val="4B7D207A"/>
    <w:rsid w:val="4B875EB6"/>
    <w:rsid w:val="4B8D42B7"/>
    <w:rsid w:val="4BB548C0"/>
    <w:rsid w:val="4BBC3115"/>
    <w:rsid w:val="4BBC4545"/>
    <w:rsid w:val="4BD4666D"/>
    <w:rsid w:val="4C3D761E"/>
    <w:rsid w:val="4C3F21A1"/>
    <w:rsid w:val="4C5B14A5"/>
    <w:rsid w:val="4C657AAE"/>
    <w:rsid w:val="4C7D1FFD"/>
    <w:rsid w:val="4C8A275C"/>
    <w:rsid w:val="4C8C446E"/>
    <w:rsid w:val="4CF0347F"/>
    <w:rsid w:val="4CF5763E"/>
    <w:rsid w:val="4D1400D2"/>
    <w:rsid w:val="4D1E7969"/>
    <w:rsid w:val="4D2A0882"/>
    <w:rsid w:val="4D3F7CBF"/>
    <w:rsid w:val="4D5B0D0C"/>
    <w:rsid w:val="4D6D4C62"/>
    <w:rsid w:val="4DA65831"/>
    <w:rsid w:val="4DC46301"/>
    <w:rsid w:val="4DCD6596"/>
    <w:rsid w:val="4DF71CA3"/>
    <w:rsid w:val="4DF807D9"/>
    <w:rsid w:val="4DFE3CC8"/>
    <w:rsid w:val="4E1230AB"/>
    <w:rsid w:val="4E3F7ECE"/>
    <w:rsid w:val="4E404B85"/>
    <w:rsid w:val="4E4E418E"/>
    <w:rsid w:val="4E8167AD"/>
    <w:rsid w:val="4EA902EC"/>
    <w:rsid w:val="4EB819DC"/>
    <w:rsid w:val="4ECF3EC9"/>
    <w:rsid w:val="4EE058CB"/>
    <w:rsid w:val="4EFF706A"/>
    <w:rsid w:val="4F0A7123"/>
    <w:rsid w:val="4F1813ED"/>
    <w:rsid w:val="4F2A3762"/>
    <w:rsid w:val="4F2E0DB1"/>
    <w:rsid w:val="4F3619A8"/>
    <w:rsid w:val="4F365D17"/>
    <w:rsid w:val="4F7F321A"/>
    <w:rsid w:val="4F802128"/>
    <w:rsid w:val="4FD41C1D"/>
    <w:rsid w:val="4FD64C5B"/>
    <w:rsid w:val="4FE30C63"/>
    <w:rsid w:val="4FED2322"/>
    <w:rsid w:val="4FFD53C6"/>
    <w:rsid w:val="501040B3"/>
    <w:rsid w:val="501A73E7"/>
    <w:rsid w:val="501E7625"/>
    <w:rsid w:val="50321789"/>
    <w:rsid w:val="50353485"/>
    <w:rsid w:val="503D1B16"/>
    <w:rsid w:val="508E47DC"/>
    <w:rsid w:val="50AE3F83"/>
    <w:rsid w:val="50CF7A4B"/>
    <w:rsid w:val="50E92709"/>
    <w:rsid w:val="51354115"/>
    <w:rsid w:val="5137564E"/>
    <w:rsid w:val="514E0A72"/>
    <w:rsid w:val="51576FE4"/>
    <w:rsid w:val="51764AF1"/>
    <w:rsid w:val="519F488C"/>
    <w:rsid w:val="51B12099"/>
    <w:rsid w:val="51C5493F"/>
    <w:rsid w:val="520713EF"/>
    <w:rsid w:val="520923F4"/>
    <w:rsid w:val="5222282D"/>
    <w:rsid w:val="52302A27"/>
    <w:rsid w:val="52450012"/>
    <w:rsid w:val="52547F54"/>
    <w:rsid w:val="527F07B8"/>
    <w:rsid w:val="5291537E"/>
    <w:rsid w:val="529320FE"/>
    <w:rsid w:val="529A6D62"/>
    <w:rsid w:val="529D4EC7"/>
    <w:rsid w:val="529E7DC9"/>
    <w:rsid w:val="52A1157D"/>
    <w:rsid w:val="530B2D71"/>
    <w:rsid w:val="53122450"/>
    <w:rsid w:val="532452B2"/>
    <w:rsid w:val="533237C4"/>
    <w:rsid w:val="53331AF6"/>
    <w:rsid w:val="535B4CF0"/>
    <w:rsid w:val="53693CDD"/>
    <w:rsid w:val="538006C3"/>
    <w:rsid w:val="539C576C"/>
    <w:rsid w:val="53BA08AE"/>
    <w:rsid w:val="53BC278B"/>
    <w:rsid w:val="53D53162"/>
    <w:rsid w:val="53F938E0"/>
    <w:rsid w:val="5400093A"/>
    <w:rsid w:val="541A1B62"/>
    <w:rsid w:val="543B6670"/>
    <w:rsid w:val="543E150A"/>
    <w:rsid w:val="54760CFA"/>
    <w:rsid w:val="547747B8"/>
    <w:rsid w:val="547F24EC"/>
    <w:rsid w:val="54B972CF"/>
    <w:rsid w:val="54BB0C99"/>
    <w:rsid w:val="54E164AC"/>
    <w:rsid w:val="54F14BBA"/>
    <w:rsid w:val="55085A60"/>
    <w:rsid w:val="551B6B41"/>
    <w:rsid w:val="55230827"/>
    <w:rsid w:val="55411377"/>
    <w:rsid w:val="557D01FC"/>
    <w:rsid w:val="55992746"/>
    <w:rsid w:val="55A15285"/>
    <w:rsid w:val="55A96275"/>
    <w:rsid w:val="55AE7D4E"/>
    <w:rsid w:val="55C9649C"/>
    <w:rsid w:val="55DA41BD"/>
    <w:rsid w:val="56063D5E"/>
    <w:rsid w:val="5625421C"/>
    <w:rsid w:val="564306A0"/>
    <w:rsid w:val="564E3912"/>
    <w:rsid w:val="565B2641"/>
    <w:rsid w:val="566C201F"/>
    <w:rsid w:val="56815ACA"/>
    <w:rsid w:val="568A37A6"/>
    <w:rsid w:val="569B59A6"/>
    <w:rsid w:val="56B934B6"/>
    <w:rsid w:val="57132F95"/>
    <w:rsid w:val="572664EB"/>
    <w:rsid w:val="572D4E3F"/>
    <w:rsid w:val="572D56F6"/>
    <w:rsid w:val="5732287F"/>
    <w:rsid w:val="573C5E95"/>
    <w:rsid w:val="57606393"/>
    <w:rsid w:val="57733E7E"/>
    <w:rsid w:val="57894A0E"/>
    <w:rsid w:val="57C02302"/>
    <w:rsid w:val="57C63600"/>
    <w:rsid w:val="57E8417C"/>
    <w:rsid w:val="581D479D"/>
    <w:rsid w:val="58251070"/>
    <w:rsid w:val="58315DB1"/>
    <w:rsid w:val="584040BB"/>
    <w:rsid w:val="58430210"/>
    <w:rsid w:val="584E5E80"/>
    <w:rsid w:val="585838C1"/>
    <w:rsid w:val="58606A21"/>
    <w:rsid w:val="58623BE5"/>
    <w:rsid w:val="5863214C"/>
    <w:rsid w:val="58717162"/>
    <w:rsid w:val="58857496"/>
    <w:rsid w:val="589A7317"/>
    <w:rsid w:val="58B96227"/>
    <w:rsid w:val="58C062A1"/>
    <w:rsid w:val="58ED44C3"/>
    <w:rsid w:val="594A6647"/>
    <w:rsid w:val="59647B33"/>
    <w:rsid w:val="596C7E01"/>
    <w:rsid w:val="597F1615"/>
    <w:rsid w:val="59801346"/>
    <w:rsid w:val="59A47948"/>
    <w:rsid w:val="59AE29B3"/>
    <w:rsid w:val="59DC43D8"/>
    <w:rsid w:val="5A1D5365"/>
    <w:rsid w:val="5A270225"/>
    <w:rsid w:val="5A400973"/>
    <w:rsid w:val="5A4B3A12"/>
    <w:rsid w:val="5A737DB0"/>
    <w:rsid w:val="5A7747D4"/>
    <w:rsid w:val="5A7F451A"/>
    <w:rsid w:val="5AA549B2"/>
    <w:rsid w:val="5ADC7386"/>
    <w:rsid w:val="5B5104F9"/>
    <w:rsid w:val="5B555777"/>
    <w:rsid w:val="5B5D0855"/>
    <w:rsid w:val="5B654DE1"/>
    <w:rsid w:val="5B741EE3"/>
    <w:rsid w:val="5B817F90"/>
    <w:rsid w:val="5BAC4E3A"/>
    <w:rsid w:val="5BB26726"/>
    <w:rsid w:val="5BBD471D"/>
    <w:rsid w:val="5BC87CA3"/>
    <w:rsid w:val="5BED72F7"/>
    <w:rsid w:val="5C012B8C"/>
    <w:rsid w:val="5C335AB8"/>
    <w:rsid w:val="5C362AF4"/>
    <w:rsid w:val="5C3E4720"/>
    <w:rsid w:val="5C526BB4"/>
    <w:rsid w:val="5C615D0C"/>
    <w:rsid w:val="5C694A3B"/>
    <w:rsid w:val="5C9B09C7"/>
    <w:rsid w:val="5CC85BD5"/>
    <w:rsid w:val="5CDC5954"/>
    <w:rsid w:val="5CE018DD"/>
    <w:rsid w:val="5D1B01A7"/>
    <w:rsid w:val="5D5B7D4A"/>
    <w:rsid w:val="5D602734"/>
    <w:rsid w:val="5DA41CCD"/>
    <w:rsid w:val="5DB554E1"/>
    <w:rsid w:val="5DFE3EA4"/>
    <w:rsid w:val="5E074110"/>
    <w:rsid w:val="5E0854EE"/>
    <w:rsid w:val="5E214762"/>
    <w:rsid w:val="5E224037"/>
    <w:rsid w:val="5E284390"/>
    <w:rsid w:val="5E2F0501"/>
    <w:rsid w:val="5E6200F2"/>
    <w:rsid w:val="5E7832F1"/>
    <w:rsid w:val="5E8E1E7B"/>
    <w:rsid w:val="5E933865"/>
    <w:rsid w:val="5E9D308B"/>
    <w:rsid w:val="5EB1181D"/>
    <w:rsid w:val="5EBC03E1"/>
    <w:rsid w:val="5EC33BF1"/>
    <w:rsid w:val="5EC52109"/>
    <w:rsid w:val="5EDC6635"/>
    <w:rsid w:val="5EDF242A"/>
    <w:rsid w:val="5EEC4CC9"/>
    <w:rsid w:val="5EF03EB9"/>
    <w:rsid w:val="5EF85E29"/>
    <w:rsid w:val="5EFC424F"/>
    <w:rsid w:val="5F387DD8"/>
    <w:rsid w:val="5F610F9A"/>
    <w:rsid w:val="5F6601DC"/>
    <w:rsid w:val="5F712D16"/>
    <w:rsid w:val="5F881C77"/>
    <w:rsid w:val="5F925D02"/>
    <w:rsid w:val="5FA6205D"/>
    <w:rsid w:val="5FBD7E8C"/>
    <w:rsid w:val="5FC72CEE"/>
    <w:rsid w:val="5FE17054"/>
    <w:rsid w:val="5FF04AF3"/>
    <w:rsid w:val="602B5EDC"/>
    <w:rsid w:val="602C20DD"/>
    <w:rsid w:val="60442474"/>
    <w:rsid w:val="60452D1D"/>
    <w:rsid w:val="604F09E7"/>
    <w:rsid w:val="60581667"/>
    <w:rsid w:val="606B7E4D"/>
    <w:rsid w:val="609D5AF6"/>
    <w:rsid w:val="60B12374"/>
    <w:rsid w:val="60B12B22"/>
    <w:rsid w:val="60CB5CDD"/>
    <w:rsid w:val="61177267"/>
    <w:rsid w:val="611C7D9F"/>
    <w:rsid w:val="61623A9A"/>
    <w:rsid w:val="617519E8"/>
    <w:rsid w:val="618A7FBC"/>
    <w:rsid w:val="61B42655"/>
    <w:rsid w:val="61C55F03"/>
    <w:rsid w:val="61EB04E9"/>
    <w:rsid w:val="622F4266"/>
    <w:rsid w:val="62462A72"/>
    <w:rsid w:val="6259166C"/>
    <w:rsid w:val="62846CDE"/>
    <w:rsid w:val="629F40C2"/>
    <w:rsid w:val="62A42D3A"/>
    <w:rsid w:val="62B95A2A"/>
    <w:rsid w:val="62CB6485"/>
    <w:rsid w:val="62EA6460"/>
    <w:rsid w:val="63030F14"/>
    <w:rsid w:val="634C71AA"/>
    <w:rsid w:val="63607EDD"/>
    <w:rsid w:val="637C0957"/>
    <w:rsid w:val="63806113"/>
    <w:rsid w:val="638210D3"/>
    <w:rsid w:val="63942F1D"/>
    <w:rsid w:val="63D26110"/>
    <w:rsid w:val="63D57637"/>
    <w:rsid w:val="63E477B4"/>
    <w:rsid w:val="63ED6827"/>
    <w:rsid w:val="6453132F"/>
    <w:rsid w:val="6470710A"/>
    <w:rsid w:val="647B624F"/>
    <w:rsid w:val="649B6252"/>
    <w:rsid w:val="64A036C7"/>
    <w:rsid w:val="64C22BED"/>
    <w:rsid w:val="64D82908"/>
    <w:rsid w:val="64D91523"/>
    <w:rsid w:val="64DB2E27"/>
    <w:rsid w:val="64EC5F80"/>
    <w:rsid w:val="65035F67"/>
    <w:rsid w:val="654B1ECF"/>
    <w:rsid w:val="65585BAA"/>
    <w:rsid w:val="65622439"/>
    <w:rsid w:val="656E52FB"/>
    <w:rsid w:val="658D680B"/>
    <w:rsid w:val="659D4F99"/>
    <w:rsid w:val="65A12770"/>
    <w:rsid w:val="65EC0A86"/>
    <w:rsid w:val="65FF4C5D"/>
    <w:rsid w:val="66010AEF"/>
    <w:rsid w:val="66035B03"/>
    <w:rsid w:val="661462F7"/>
    <w:rsid w:val="66150AEC"/>
    <w:rsid w:val="662A132F"/>
    <w:rsid w:val="6650158D"/>
    <w:rsid w:val="665A22F4"/>
    <w:rsid w:val="668B5CC3"/>
    <w:rsid w:val="66901A75"/>
    <w:rsid w:val="66AA6977"/>
    <w:rsid w:val="66D238E8"/>
    <w:rsid w:val="66E30E48"/>
    <w:rsid w:val="66E77BCB"/>
    <w:rsid w:val="67010AE3"/>
    <w:rsid w:val="670F1CAF"/>
    <w:rsid w:val="67251571"/>
    <w:rsid w:val="67322B5A"/>
    <w:rsid w:val="6783286B"/>
    <w:rsid w:val="678A5539"/>
    <w:rsid w:val="6794124F"/>
    <w:rsid w:val="67947B03"/>
    <w:rsid w:val="67C373D8"/>
    <w:rsid w:val="67DD4F5A"/>
    <w:rsid w:val="67EE40CD"/>
    <w:rsid w:val="67F035BE"/>
    <w:rsid w:val="68002120"/>
    <w:rsid w:val="68075EEC"/>
    <w:rsid w:val="68183231"/>
    <w:rsid w:val="68347D6A"/>
    <w:rsid w:val="685E033A"/>
    <w:rsid w:val="687112E4"/>
    <w:rsid w:val="68811569"/>
    <w:rsid w:val="688D5AAB"/>
    <w:rsid w:val="689F47D3"/>
    <w:rsid w:val="68AB4C28"/>
    <w:rsid w:val="68BD7A3F"/>
    <w:rsid w:val="68D777CC"/>
    <w:rsid w:val="68E814B4"/>
    <w:rsid w:val="68F91EAB"/>
    <w:rsid w:val="69003101"/>
    <w:rsid w:val="69121E3A"/>
    <w:rsid w:val="69154D60"/>
    <w:rsid w:val="691F4D9F"/>
    <w:rsid w:val="69206401"/>
    <w:rsid w:val="694A6DBA"/>
    <w:rsid w:val="69723EB6"/>
    <w:rsid w:val="699954C4"/>
    <w:rsid w:val="699D36D6"/>
    <w:rsid w:val="69A7578F"/>
    <w:rsid w:val="69AC2A06"/>
    <w:rsid w:val="69B02560"/>
    <w:rsid w:val="69B779BF"/>
    <w:rsid w:val="69C21B11"/>
    <w:rsid w:val="69CD7FDE"/>
    <w:rsid w:val="69EC4F36"/>
    <w:rsid w:val="6A07214F"/>
    <w:rsid w:val="6A097C8B"/>
    <w:rsid w:val="6A2A31CE"/>
    <w:rsid w:val="6A2E2210"/>
    <w:rsid w:val="6A2F7723"/>
    <w:rsid w:val="6A6674DD"/>
    <w:rsid w:val="6A7E510F"/>
    <w:rsid w:val="6A9F44B9"/>
    <w:rsid w:val="6ABB21A6"/>
    <w:rsid w:val="6ACE0CEA"/>
    <w:rsid w:val="6ADB2F03"/>
    <w:rsid w:val="6AE2354A"/>
    <w:rsid w:val="6AEB5722"/>
    <w:rsid w:val="6AF8649D"/>
    <w:rsid w:val="6AFA7A77"/>
    <w:rsid w:val="6AFB24CA"/>
    <w:rsid w:val="6AFF2463"/>
    <w:rsid w:val="6B0874EA"/>
    <w:rsid w:val="6B1F10AD"/>
    <w:rsid w:val="6B22477C"/>
    <w:rsid w:val="6B320A31"/>
    <w:rsid w:val="6B3555BC"/>
    <w:rsid w:val="6B423B68"/>
    <w:rsid w:val="6B491DA4"/>
    <w:rsid w:val="6B594672"/>
    <w:rsid w:val="6B5D28FD"/>
    <w:rsid w:val="6B5E4D2E"/>
    <w:rsid w:val="6BB05F5F"/>
    <w:rsid w:val="6BE116D3"/>
    <w:rsid w:val="6C2A7865"/>
    <w:rsid w:val="6C615FC7"/>
    <w:rsid w:val="6C620EF9"/>
    <w:rsid w:val="6C6A54FD"/>
    <w:rsid w:val="6C950FE9"/>
    <w:rsid w:val="6C9B7EA2"/>
    <w:rsid w:val="6CF6746A"/>
    <w:rsid w:val="6D087A3E"/>
    <w:rsid w:val="6D127D3D"/>
    <w:rsid w:val="6D1D60F5"/>
    <w:rsid w:val="6D283CDD"/>
    <w:rsid w:val="6D2D03F9"/>
    <w:rsid w:val="6D48513C"/>
    <w:rsid w:val="6D560507"/>
    <w:rsid w:val="6D9E588E"/>
    <w:rsid w:val="6DA94262"/>
    <w:rsid w:val="6DB70CB4"/>
    <w:rsid w:val="6DE315CB"/>
    <w:rsid w:val="6DE63DAE"/>
    <w:rsid w:val="6E094352"/>
    <w:rsid w:val="6E0A2C2C"/>
    <w:rsid w:val="6E135B2D"/>
    <w:rsid w:val="6E5864AC"/>
    <w:rsid w:val="6E602011"/>
    <w:rsid w:val="6E7579F1"/>
    <w:rsid w:val="6E92195E"/>
    <w:rsid w:val="6E9D66DB"/>
    <w:rsid w:val="6EA77C40"/>
    <w:rsid w:val="6F19182E"/>
    <w:rsid w:val="6F1E7F02"/>
    <w:rsid w:val="6F3626B6"/>
    <w:rsid w:val="6F3F40AE"/>
    <w:rsid w:val="6F4D6A39"/>
    <w:rsid w:val="6F815117"/>
    <w:rsid w:val="6FAD7EFC"/>
    <w:rsid w:val="6FC413E7"/>
    <w:rsid w:val="6FD16974"/>
    <w:rsid w:val="70234308"/>
    <w:rsid w:val="702A2DF0"/>
    <w:rsid w:val="70543FC9"/>
    <w:rsid w:val="708020B9"/>
    <w:rsid w:val="708F3F4F"/>
    <w:rsid w:val="70904E30"/>
    <w:rsid w:val="709771CD"/>
    <w:rsid w:val="70B269EA"/>
    <w:rsid w:val="70C605E7"/>
    <w:rsid w:val="70D0347E"/>
    <w:rsid w:val="70D54F38"/>
    <w:rsid w:val="70DA275C"/>
    <w:rsid w:val="70DC62C7"/>
    <w:rsid w:val="70EC44C4"/>
    <w:rsid w:val="70F40DF1"/>
    <w:rsid w:val="71155E1B"/>
    <w:rsid w:val="71393588"/>
    <w:rsid w:val="713D663A"/>
    <w:rsid w:val="714D6812"/>
    <w:rsid w:val="7170308B"/>
    <w:rsid w:val="718E21F2"/>
    <w:rsid w:val="71926986"/>
    <w:rsid w:val="719E503F"/>
    <w:rsid w:val="71A14E1B"/>
    <w:rsid w:val="71A5799C"/>
    <w:rsid w:val="71AC3D91"/>
    <w:rsid w:val="71CC455D"/>
    <w:rsid w:val="71DC5935"/>
    <w:rsid w:val="71E65261"/>
    <w:rsid w:val="71FF0740"/>
    <w:rsid w:val="71FF0BB1"/>
    <w:rsid w:val="7238693B"/>
    <w:rsid w:val="723D27EE"/>
    <w:rsid w:val="72856C67"/>
    <w:rsid w:val="72896FE0"/>
    <w:rsid w:val="728E5F19"/>
    <w:rsid w:val="72A31F40"/>
    <w:rsid w:val="73013FCC"/>
    <w:rsid w:val="73094C52"/>
    <w:rsid w:val="73245D0B"/>
    <w:rsid w:val="733866F9"/>
    <w:rsid w:val="73547991"/>
    <w:rsid w:val="736938A6"/>
    <w:rsid w:val="736D75D5"/>
    <w:rsid w:val="73796EEC"/>
    <w:rsid w:val="738E6C88"/>
    <w:rsid w:val="739169F9"/>
    <w:rsid w:val="739D39C9"/>
    <w:rsid w:val="73A52AED"/>
    <w:rsid w:val="73CD33BB"/>
    <w:rsid w:val="73F44C19"/>
    <w:rsid w:val="74031DA5"/>
    <w:rsid w:val="740C6947"/>
    <w:rsid w:val="742D4234"/>
    <w:rsid w:val="74326F65"/>
    <w:rsid w:val="743F4CBA"/>
    <w:rsid w:val="748A000B"/>
    <w:rsid w:val="749330FE"/>
    <w:rsid w:val="74942EB6"/>
    <w:rsid w:val="749E119A"/>
    <w:rsid w:val="74A356E3"/>
    <w:rsid w:val="74BF5CE3"/>
    <w:rsid w:val="74D33EF6"/>
    <w:rsid w:val="74D81279"/>
    <w:rsid w:val="74DD4D68"/>
    <w:rsid w:val="75011C88"/>
    <w:rsid w:val="75175B20"/>
    <w:rsid w:val="753A11C8"/>
    <w:rsid w:val="75581C94"/>
    <w:rsid w:val="757356C1"/>
    <w:rsid w:val="7585337A"/>
    <w:rsid w:val="758C45A7"/>
    <w:rsid w:val="75A41F9F"/>
    <w:rsid w:val="75B456A9"/>
    <w:rsid w:val="75C404DC"/>
    <w:rsid w:val="75C50AA6"/>
    <w:rsid w:val="75D94171"/>
    <w:rsid w:val="75EA51DF"/>
    <w:rsid w:val="75EB4A8F"/>
    <w:rsid w:val="76051776"/>
    <w:rsid w:val="760B6FB5"/>
    <w:rsid w:val="769D4442"/>
    <w:rsid w:val="76AF515A"/>
    <w:rsid w:val="76B61F68"/>
    <w:rsid w:val="76CC1292"/>
    <w:rsid w:val="770A2EF2"/>
    <w:rsid w:val="771B11CB"/>
    <w:rsid w:val="77210231"/>
    <w:rsid w:val="773D64AD"/>
    <w:rsid w:val="77437CF9"/>
    <w:rsid w:val="77723A3F"/>
    <w:rsid w:val="777703EE"/>
    <w:rsid w:val="778356EE"/>
    <w:rsid w:val="778E136F"/>
    <w:rsid w:val="779C230C"/>
    <w:rsid w:val="77A33763"/>
    <w:rsid w:val="77B7343E"/>
    <w:rsid w:val="77B77A99"/>
    <w:rsid w:val="77D01510"/>
    <w:rsid w:val="77E2543A"/>
    <w:rsid w:val="78203AD8"/>
    <w:rsid w:val="78437924"/>
    <w:rsid w:val="78447F3E"/>
    <w:rsid w:val="78531D63"/>
    <w:rsid w:val="78615D56"/>
    <w:rsid w:val="7882568B"/>
    <w:rsid w:val="78A15077"/>
    <w:rsid w:val="78B54873"/>
    <w:rsid w:val="78C445BB"/>
    <w:rsid w:val="78C83AD2"/>
    <w:rsid w:val="790106AE"/>
    <w:rsid w:val="79306213"/>
    <w:rsid w:val="79424A2B"/>
    <w:rsid w:val="79516F63"/>
    <w:rsid w:val="79565544"/>
    <w:rsid w:val="79614697"/>
    <w:rsid w:val="796660A9"/>
    <w:rsid w:val="796946E1"/>
    <w:rsid w:val="796E1666"/>
    <w:rsid w:val="798A5C60"/>
    <w:rsid w:val="79A07515"/>
    <w:rsid w:val="79A9103A"/>
    <w:rsid w:val="79AB36F9"/>
    <w:rsid w:val="79C51CFD"/>
    <w:rsid w:val="79DD1D32"/>
    <w:rsid w:val="79EF06E6"/>
    <w:rsid w:val="79F06745"/>
    <w:rsid w:val="7A00729F"/>
    <w:rsid w:val="7A402138"/>
    <w:rsid w:val="7A4A4C3A"/>
    <w:rsid w:val="7A51551F"/>
    <w:rsid w:val="7A543372"/>
    <w:rsid w:val="7A5C78B1"/>
    <w:rsid w:val="7AAA2726"/>
    <w:rsid w:val="7AC87483"/>
    <w:rsid w:val="7ACA5466"/>
    <w:rsid w:val="7AD45C10"/>
    <w:rsid w:val="7AD522D5"/>
    <w:rsid w:val="7AE220D3"/>
    <w:rsid w:val="7AE318EE"/>
    <w:rsid w:val="7AEE43EB"/>
    <w:rsid w:val="7B07175A"/>
    <w:rsid w:val="7B0A6A9B"/>
    <w:rsid w:val="7B0D2818"/>
    <w:rsid w:val="7B373907"/>
    <w:rsid w:val="7B3D676B"/>
    <w:rsid w:val="7B5D35F7"/>
    <w:rsid w:val="7B6C548A"/>
    <w:rsid w:val="7B92467D"/>
    <w:rsid w:val="7B994E29"/>
    <w:rsid w:val="7B9D745B"/>
    <w:rsid w:val="7BA63759"/>
    <w:rsid w:val="7BAD3F83"/>
    <w:rsid w:val="7BB12C0A"/>
    <w:rsid w:val="7BC96E50"/>
    <w:rsid w:val="7BDA36FA"/>
    <w:rsid w:val="7BEC1388"/>
    <w:rsid w:val="7C005CAF"/>
    <w:rsid w:val="7C254F1C"/>
    <w:rsid w:val="7C424F97"/>
    <w:rsid w:val="7C425CF3"/>
    <w:rsid w:val="7C4C2BF6"/>
    <w:rsid w:val="7C57415F"/>
    <w:rsid w:val="7C574A54"/>
    <w:rsid w:val="7C60651C"/>
    <w:rsid w:val="7C635AEE"/>
    <w:rsid w:val="7C640CBC"/>
    <w:rsid w:val="7C71680F"/>
    <w:rsid w:val="7C796B8F"/>
    <w:rsid w:val="7C812178"/>
    <w:rsid w:val="7C9A10D1"/>
    <w:rsid w:val="7CA13F21"/>
    <w:rsid w:val="7CA51C63"/>
    <w:rsid w:val="7CA532B1"/>
    <w:rsid w:val="7CB82DCD"/>
    <w:rsid w:val="7CBC3199"/>
    <w:rsid w:val="7CD66DE6"/>
    <w:rsid w:val="7CE57657"/>
    <w:rsid w:val="7D3A42B0"/>
    <w:rsid w:val="7D6F1CD1"/>
    <w:rsid w:val="7D723F16"/>
    <w:rsid w:val="7D8E3A4A"/>
    <w:rsid w:val="7D9A2209"/>
    <w:rsid w:val="7DA9460F"/>
    <w:rsid w:val="7DC80B9A"/>
    <w:rsid w:val="7DD47EE4"/>
    <w:rsid w:val="7DE03DE0"/>
    <w:rsid w:val="7DE14F1D"/>
    <w:rsid w:val="7DE5055D"/>
    <w:rsid w:val="7DE65FBE"/>
    <w:rsid w:val="7DFF6F70"/>
    <w:rsid w:val="7E0B3D48"/>
    <w:rsid w:val="7E2461C2"/>
    <w:rsid w:val="7E252460"/>
    <w:rsid w:val="7E397349"/>
    <w:rsid w:val="7E3B2283"/>
    <w:rsid w:val="7E826950"/>
    <w:rsid w:val="7E89682B"/>
    <w:rsid w:val="7E904003"/>
    <w:rsid w:val="7E9064E4"/>
    <w:rsid w:val="7EA66AB7"/>
    <w:rsid w:val="7EB76F44"/>
    <w:rsid w:val="7EBB18A6"/>
    <w:rsid w:val="7ED90E5D"/>
    <w:rsid w:val="7EF95DA4"/>
    <w:rsid w:val="7EFF5CB3"/>
    <w:rsid w:val="7F113622"/>
    <w:rsid w:val="7F314CA2"/>
    <w:rsid w:val="7F4C1035"/>
    <w:rsid w:val="7F4D4BFE"/>
    <w:rsid w:val="7F5D5CD0"/>
    <w:rsid w:val="7F6851CA"/>
    <w:rsid w:val="7F7057E9"/>
    <w:rsid w:val="7F7405C7"/>
    <w:rsid w:val="7F7E49ED"/>
    <w:rsid w:val="7F7F75D9"/>
    <w:rsid w:val="7FAC38D9"/>
    <w:rsid w:val="7FAF6BB9"/>
    <w:rsid w:val="7FCB21B9"/>
    <w:rsid w:val="7FD91C23"/>
    <w:rsid w:val="7FDF55E5"/>
    <w:rsid w:val="7FFA2F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50"/>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51"/>
    <w:autoRedefine/>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2"/>
    <w:autoRedefine/>
    <w:semiHidden/>
    <w:unhideWhenUsed/>
    <w:qFormat/>
    <w:uiPriority w:val="0"/>
    <w:pPr>
      <w:keepNext/>
      <w:keepLines/>
      <w:spacing w:line="413" w:lineRule="auto"/>
      <w:outlineLvl w:val="2"/>
    </w:pPr>
    <w:rPr>
      <w:b/>
      <w:bCs/>
      <w:sz w:val="32"/>
      <w:szCs w:val="32"/>
    </w:rPr>
  </w:style>
  <w:style w:type="paragraph" w:styleId="5">
    <w:name w:val="heading 4"/>
    <w:basedOn w:val="1"/>
    <w:next w:val="1"/>
    <w:link w:val="53"/>
    <w:autoRedefine/>
    <w:semiHidden/>
    <w:unhideWhenUsed/>
    <w:qFormat/>
    <w:uiPriority w:val="0"/>
    <w:pPr>
      <w:keepNext/>
      <w:keepLines/>
      <w:jc w:val="left"/>
      <w:outlineLvl w:val="3"/>
    </w:pPr>
    <w:rPr>
      <w:rFonts w:ascii="Arial" w:hAnsi="Arial" w:cs="Arial"/>
      <w:b/>
      <w:bCs/>
      <w:sz w:val="32"/>
      <w:szCs w:val="32"/>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rFonts w:asciiTheme="minorHAnsi" w:hAnsiTheme="minorHAnsi"/>
      <w:sz w:val="18"/>
      <w:szCs w:val="18"/>
    </w:rPr>
  </w:style>
  <w:style w:type="paragraph" w:styleId="7">
    <w:name w:val="Normal Indent"/>
    <w:basedOn w:val="1"/>
    <w:next w:val="8"/>
    <w:autoRedefine/>
    <w:qFormat/>
    <w:uiPriority w:val="0"/>
    <w:pPr>
      <w:ind w:firstLine="420"/>
    </w:pPr>
  </w:style>
  <w:style w:type="paragraph" w:styleId="8">
    <w:name w:val="toc 4"/>
    <w:basedOn w:val="1"/>
    <w:next w:val="1"/>
    <w:autoRedefine/>
    <w:qFormat/>
    <w:uiPriority w:val="0"/>
    <w:pPr>
      <w:ind w:left="630"/>
      <w:jc w:val="left"/>
    </w:pPr>
    <w:rPr>
      <w:rFonts w:asciiTheme="minorHAnsi" w:hAnsiTheme="minorHAnsi"/>
      <w:sz w:val="18"/>
      <w:szCs w:val="18"/>
    </w:rPr>
  </w:style>
  <w:style w:type="paragraph" w:styleId="9">
    <w:name w:val="annotation text"/>
    <w:basedOn w:val="1"/>
    <w:link w:val="54"/>
    <w:autoRedefine/>
    <w:qFormat/>
    <w:uiPriority w:val="0"/>
    <w:pPr>
      <w:jc w:val="left"/>
    </w:pPr>
    <w:rPr>
      <w:rFonts w:ascii="宋体" w:cs="宋体"/>
      <w:kern w:val="0"/>
      <w:sz w:val="34"/>
      <w:szCs w:val="34"/>
    </w:rPr>
  </w:style>
  <w:style w:type="paragraph" w:styleId="10">
    <w:name w:val="Body Text 3"/>
    <w:basedOn w:val="1"/>
    <w:autoRedefine/>
    <w:unhideWhenUsed/>
    <w:qFormat/>
    <w:uiPriority w:val="99"/>
    <w:pPr>
      <w:spacing w:after="120"/>
    </w:pPr>
    <w:rPr>
      <w:sz w:val="16"/>
      <w:szCs w:val="16"/>
    </w:rPr>
  </w:style>
  <w:style w:type="paragraph" w:styleId="11">
    <w:name w:val="Body Text"/>
    <w:basedOn w:val="1"/>
    <w:next w:val="12"/>
    <w:link w:val="55"/>
    <w:autoRedefine/>
    <w:unhideWhenUsed/>
    <w:qFormat/>
    <w:uiPriority w:val="99"/>
  </w:style>
  <w:style w:type="paragraph" w:styleId="12">
    <w:name w:val="Body Text 2"/>
    <w:basedOn w:val="1"/>
    <w:link w:val="62"/>
    <w:autoRedefine/>
    <w:qFormat/>
    <w:uiPriority w:val="0"/>
    <w:pPr>
      <w:jc w:val="center"/>
    </w:pPr>
    <w:rPr>
      <w:b/>
      <w:bCs/>
      <w:spacing w:val="-20"/>
      <w:w w:val="130"/>
      <w:sz w:val="48"/>
      <w:szCs w:val="48"/>
    </w:rPr>
  </w:style>
  <w:style w:type="paragraph" w:styleId="13">
    <w:name w:val="Body Text Indent"/>
    <w:basedOn w:val="1"/>
    <w:semiHidden/>
    <w:unhideWhenUsed/>
    <w:qFormat/>
    <w:uiPriority w:val="99"/>
    <w:pPr>
      <w:spacing w:after="120"/>
      <w:ind w:left="420" w:leftChars="200"/>
    </w:pPr>
  </w:style>
  <w:style w:type="paragraph" w:styleId="14">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15">
    <w:name w:val="toc 5"/>
    <w:basedOn w:val="1"/>
    <w:next w:val="1"/>
    <w:autoRedefine/>
    <w:qFormat/>
    <w:uiPriority w:val="0"/>
    <w:pPr>
      <w:ind w:left="840"/>
      <w:jc w:val="left"/>
    </w:pPr>
    <w:rPr>
      <w:rFonts w:asciiTheme="minorHAnsi" w:hAnsiTheme="minorHAnsi"/>
      <w:sz w:val="18"/>
      <w:szCs w:val="18"/>
    </w:rPr>
  </w:style>
  <w:style w:type="paragraph" w:styleId="16">
    <w:name w:val="toc 3"/>
    <w:basedOn w:val="1"/>
    <w:next w:val="1"/>
    <w:autoRedefine/>
    <w:qFormat/>
    <w:uiPriority w:val="0"/>
    <w:pPr>
      <w:ind w:left="420"/>
      <w:jc w:val="left"/>
    </w:pPr>
    <w:rPr>
      <w:rFonts w:asciiTheme="minorHAnsi" w:hAnsiTheme="minorHAnsi"/>
      <w:i/>
      <w:iCs/>
      <w:sz w:val="20"/>
      <w:szCs w:val="20"/>
    </w:rPr>
  </w:style>
  <w:style w:type="paragraph" w:styleId="17">
    <w:name w:val="Plain Text"/>
    <w:basedOn w:val="1"/>
    <w:link w:val="57"/>
    <w:autoRedefine/>
    <w:qFormat/>
    <w:uiPriority w:val="0"/>
    <w:pPr>
      <w:spacing w:line="324" w:lineRule="auto"/>
    </w:pPr>
    <w:rPr>
      <w:rFonts w:ascii="宋体" w:hAnsi="Courier New" w:cs="宋体"/>
    </w:rPr>
  </w:style>
  <w:style w:type="paragraph" w:styleId="18">
    <w:name w:val="toc 8"/>
    <w:basedOn w:val="1"/>
    <w:next w:val="1"/>
    <w:autoRedefine/>
    <w:qFormat/>
    <w:uiPriority w:val="0"/>
    <w:pPr>
      <w:ind w:left="1470"/>
      <w:jc w:val="left"/>
    </w:pPr>
    <w:rPr>
      <w:rFonts w:asciiTheme="minorHAnsi" w:hAnsiTheme="minorHAnsi"/>
      <w:sz w:val="18"/>
      <w:szCs w:val="18"/>
    </w:rPr>
  </w:style>
  <w:style w:type="paragraph" w:styleId="19">
    <w:name w:val="Date"/>
    <w:basedOn w:val="1"/>
    <w:next w:val="1"/>
    <w:link w:val="81"/>
    <w:autoRedefine/>
    <w:qFormat/>
    <w:uiPriority w:val="0"/>
    <w:pPr>
      <w:ind w:left="100" w:leftChars="2500"/>
    </w:pPr>
  </w:style>
  <w:style w:type="paragraph" w:styleId="20">
    <w:name w:val="Body Text Indent 2"/>
    <w:basedOn w:val="1"/>
    <w:link w:val="58"/>
    <w:autoRedefine/>
    <w:qFormat/>
    <w:uiPriority w:val="0"/>
    <w:pPr>
      <w:spacing w:after="120" w:line="480" w:lineRule="auto"/>
      <w:ind w:left="420" w:leftChars="200"/>
    </w:pPr>
  </w:style>
  <w:style w:type="paragraph" w:styleId="21">
    <w:name w:val="Balloon Text"/>
    <w:basedOn w:val="1"/>
    <w:link w:val="59"/>
    <w:autoRedefine/>
    <w:qFormat/>
    <w:uiPriority w:val="0"/>
    <w:rPr>
      <w:sz w:val="18"/>
      <w:szCs w:val="18"/>
    </w:rPr>
  </w:style>
  <w:style w:type="paragraph" w:styleId="22">
    <w:name w:val="footer"/>
    <w:basedOn w:val="1"/>
    <w:link w:val="60"/>
    <w:autoRedefine/>
    <w:unhideWhenUsed/>
    <w:qFormat/>
    <w:uiPriority w:val="99"/>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cs="Arial"/>
    </w:rPr>
  </w:style>
  <w:style w:type="paragraph" w:styleId="24">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rFonts w:asciiTheme="minorHAnsi" w:hAnsiTheme="minorHAnsi"/>
      <w:b/>
      <w:bCs/>
      <w:caps/>
      <w:sz w:val="20"/>
      <w:szCs w:val="20"/>
    </w:rPr>
  </w:style>
  <w:style w:type="paragraph" w:styleId="26">
    <w:name w:val="footnote text"/>
    <w:basedOn w:val="1"/>
    <w:autoRedefine/>
    <w:qFormat/>
    <w:uiPriority w:val="0"/>
    <w:pPr>
      <w:snapToGrid w:val="0"/>
      <w:jc w:val="left"/>
    </w:pPr>
    <w:rPr>
      <w:sz w:val="18"/>
    </w:rPr>
  </w:style>
  <w:style w:type="paragraph" w:styleId="27">
    <w:name w:val="toc 6"/>
    <w:basedOn w:val="1"/>
    <w:next w:val="1"/>
    <w:autoRedefine/>
    <w:qFormat/>
    <w:uiPriority w:val="0"/>
    <w:pPr>
      <w:ind w:left="1050"/>
      <w:jc w:val="left"/>
    </w:pPr>
    <w:rPr>
      <w:rFonts w:asciiTheme="minorHAnsi" w:hAnsiTheme="minorHAnsi"/>
      <w:sz w:val="18"/>
      <w:szCs w:val="18"/>
    </w:rPr>
  </w:style>
  <w:style w:type="paragraph" w:styleId="28">
    <w:name w:val="toc 2"/>
    <w:basedOn w:val="1"/>
    <w:next w:val="1"/>
    <w:autoRedefine/>
    <w:qFormat/>
    <w:uiPriority w:val="0"/>
    <w:pPr>
      <w:ind w:left="210"/>
      <w:jc w:val="left"/>
    </w:pPr>
    <w:rPr>
      <w:rFonts w:asciiTheme="minorHAnsi" w:hAnsiTheme="minorHAnsi"/>
      <w:smallCaps/>
      <w:sz w:val="20"/>
      <w:szCs w:val="20"/>
    </w:rPr>
  </w:style>
  <w:style w:type="paragraph" w:styleId="29">
    <w:name w:val="toc 9"/>
    <w:basedOn w:val="1"/>
    <w:next w:val="1"/>
    <w:autoRedefine/>
    <w:qFormat/>
    <w:uiPriority w:val="0"/>
    <w:pPr>
      <w:ind w:left="1680"/>
      <w:jc w:val="left"/>
    </w:pPr>
    <w:rPr>
      <w:rFonts w:asciiTheme="minorHAnsi" w:hAnsiTheme="minorHAnsi"/>
      <w:sz w:val="18"/>
      <w:szCs w:val="18"/>
    </w:rPr>
  </w:style>
  <w:style w:type="paragraph" w:styleId="30">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2">
    <w:name w:val="Body Text First Indent"/>
    <w:basedOn w:val="11"/>
    <w:autoRedefine/>
    <w:qFormat/>
    <w:uiPriority w:val="0"/>
    <w:pPr>
      <w:ind w:firstLine="420" w:firstLineChars="100"/>
    </w:pPr>
    <w:rPr>
      <w:sz w:val="34"/>
    </w:rPr>
  </w:style>
  <w:style w:type="paragraph" w:styleId="33">
    <w:name w:val="Body Text First Indent 2"/>
    <w:basedOn w:val="13"/>
    <w:semiHidden/>
    <w:unhideWhenUsed/>
    <w:qFormat/>
    <w:uiPriority w:val="99"/>
    <w:pPr>
      <w:ind w:firstLine="420" w:firstLineChars="200"/>
    </w:pPr>
  </w:style>
  <w:style w:type="table" w:styleId="35">
    <w:name w:val="Table Grid"/>
    <w:basedOn w:val="3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 w:val="24"/>
      <w:szCs w:val="24"/>
    </w:rPr>
  </w:style>
  <w:style w:type="character" w:styleId="38">
    <w:name w:val="page number"/>
    <w:basedOn w:val="36"/>
    <w:autoRedefine/>
    <w:qFormat/>
    <w:uiPriority w:val="0"/>
  </w:style>
  <w:style w:type="character" w:styleId="39">
    <w:name w:val="Emphasis"/>
    <w:autoRedefine/>
    <w:qFormat/>
    <w:uiPriority w:val="0"/>
    <w:rPr>
      <w:i/>
      <w:iCs/>
    </w:rPr>
  </w:style>
  <w:style w:type="character" w:styleId="40">
    <w:name w:val="Hyperlink"/>
    <w:autoRedefine/>
    <w:qFormat/>
    <w:uiPriority w:val="99"/>
    <w:rPr>
      <w:color w:val="0000FF"/>
      <w:u w:val="single"/>
    </w:rPr>
  </w:style>
  <w:style w:type="character" w:styleId="41">
    <w:name w:val="annotation reference"/>
    <w:autoRedefine/>
    <w:qFormat/>
    <w:uiPriority w:val="0"/>
    <w:rPr>
      <w:sz w:val="21"/>
      <w:szCs w:val="21"/>
    </w:rPr>
  </w:style>
  <w:style w:type="character" w:styleId="42">
    <w:name w:val="HTML Cite"/>
    <w:autoRedefine/>
    <w:qFormat/>
    <w:uiPriority w:val="0"/>
    <w:rPr>
      <w:sz w:val="24"/>
      <w:szCs w:val="24"/>
    </w:rPr>
  </w:style>
  <w:style w:type="character" w:styleId="43">
    <w:name w:val="footnote reference"/>
    <w:basedOn w:val="36"/>
    <w:autoRedefine/>
    <w:qFormat/>
    <w:uiPriority w:val="0"/>
    <w:rPr>
      <w:vertAlign w:val="superscript"/>
    </w:rPr>
  </w:style>
  <w:style w:type="paragraph" w:customStyle="1" w:styleId="44">
    <w:name w:val="Body Text First Indent 21"/>
    <w:basedOn w:val="45"/>
    <w:qFormat/>
    <w:uiPriority w:val="0"/>
    <w:pPr>
      <w:tabs>
        <w:tab w:val="left" w:pos="4900"/>
      </w:tabs>
      <w:ind w:firstLine="420" w:firstLineChars="200"/>
    </w:pPr>
  </w:style>
  <w:style w:type="paragraph" w:customStyle="1" w:styleId="45">
    <w:name w:val="Body Text Indent1"/>
    <w:basedOn w:val="1"/>
    <w:next w:val="46"/>
    <w:qFormat/>
    <w:uiPriority w:val="0"/>
    <w:pPr>
      <w:ind w:firstLine="630"/>
    </w:pPr>
    <w:rPr>
      <w:sz w:val="32"/>
      <w:szCs w:val="20"/>
    </w:rPr>
  </w:style>
  <w:style w:type="paragraph" w:customStyle="1" w:styleId="46">
    <w:name w:val="annotation subject1"/>
    <w:basedOn w:val="9"/>
    <w:next w:val="1"/>
    <w:qFormat/>
    <w:uiPriority w:val="0"/>
    <w:rPr>
      <w:b/>
      <w:bCs/>
    </w:rPr>
  </w:style>
  <w:style w:type="paragraph" w:customStyle="1" w:styleId="47">
    <w:name w:val="列出段落1"/>
    <w:basedOn w:val="1"/>
    <w:autoRedefine/>
    <w:qFormat/>
    <w:uiPriority w:val="99"/>
    <w:pPr>
      <w:ind w:firstLine="420" w:firstLineChars="200"/>
    </w:pPr>
  </w:style>
  <w:style w:type="paragraph" w:customStyle="1" w:styleId="48">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9">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50">
    <w:name w:val="标题 1 Char"/>
    <w:link w:val="2"/>
    <w:autoRedefine/>
    <w:qFormat/>
    <w:locked/>
    <w:uiPriority w:val="99"/>
    <w:rPr>
      <w:rFonts w:ascii="Calibri" w:hAnsi="Calibri" w:cs="Calibri"/>
      <w:b/>
      <w:bCs/>
      <w:kern w:val="44"/>
      <w:sz w:val="44"/>
      <w:szCs w:val="44"/>
    </w:rPr>
  </w:style>
  <w:style w:type="character" w:customStyle="1" w:styleId="51">
    <w:name w:val="标题 2 Char"/>
    <w:link w:val="3"/>
    <w:autoRedefine/>
    <w:qFormat/>
    <w:locked/>
    <w:uiPriority w:val="99"/>
    <w:rPr>
      <w:rFonts w:ascii="Cambria" w:hAnsi="Cambria" w:eastAsia="宋体" w:cs="Cambria"/>
      <w:b/>
      <w:bCs/>
      <w:sz w:val="32"/>
      <w:szCs w:val="32"/>
    </w:rPr>
  </w:style>
  <w:style w:type="character" w:customStyle="1" w:styleId="52">
    <w:name w:val="标题 3 Char"/>
    <w:link w:val="4"/>
    <w:autoRedefine/>
    <w:semiHidden/>
    <w:qFormat/>
    <w:locked/>
    <w:uiPriority w:val="99"/>
    <w:rPr>
      <w:rFonts w:ascii="Calibri" w:hAnsi="Calibri" w:cs="Calibri"/>
      <w:b/>
      <w:bCs/>
      <w:sz w:val="32"/>
      <w:szCs w:val="32"/>
    </w:rPr>
  </w:style>
  <w:style w:type="character" w:customStyle="1" w:styleId="53">
    <w:name w:val="标题 4 Char"/>
    <w:link w:val="5"/>
    <w:autoRedefine/>
    <w:semiHidden/>
    <w:qFormat/>
    <w:uiPriority w:val="9"/>
    <w:rPr>
      <w:rFonts w:ascii="Cambria" w:hAnsi="Cambria" w:eastAsia="宋体" w:cs="Times New Roman"/>
      <w:b/>
      <w:bCs/>
      <w:sz w:val="28"/>
      <w:szCs w:val="28"/>
    </w:rPr>
  </w:style>
  <w:style w:type="character" w:customStyle="1" w:styleId="54">
    <w:name w:val="批注文字 Char"/>
    <w:link w:val="9"/>
    <w:autoRedefine/>
    <w:qFormat/>
    <w:locked/>
    <w:uiPriority w:val="99"/>
    <w:rPr>
      <w:rFonts w:ascii="宋体" w:hAnsi="Calibri" w:eastAsia="宋体" w:cs="宋体"/>
      <w:sz w:val="22"/>
      <w:szCs w:val="22"/>
    </w:rPr>
  </w:style>
  <w:style w:type="character" w:customStyle="1" w:styleId="55">
    <w:name w:val="正文文本 Char"/>
    <w:link w:val="11"/>
    <w:autoRedefine/>
    <w:semiHidden/>
    <w:qFormat/>
    <w:locked/>
    <w:uiPriority w:val="99"/>
    <w:rPr>
      <w:rFonts w:ascii="Calibri" w:hAnsi="Calibri" w:cs="Calibri"/>
    </w:rPr>
  </w:style>
  <w:style w:type="character" w:customStyle="1" w:styleId="56">
    <w:name w:val="正文文本缩进 Char"/>
    <w:autoRedefine/>
    <w:semiHidden/>
    <w:qFormat/>
    <w:uiPriority w:val="99"/>
    <w:rPr>
      <w:rFonts w:ascii="Calibri" w:hAnsi="Calibri" w:cs="Calibri"/>
      <w:szCs w:val="21"/>
    </w:rPr>
  </w:style>
  <w:style w:type="character" w:customStyle="1" w:styleId="57">
    <w:name w:val="纯文本 Char"/>
    <w:link w:val="17"/>
    <w:autoRedefine/>
    <w:qFormat/>
    <w:locked/>
    <w:uiPriority w:val="0"/>
    <w:rPr>
      <w:rFonts w:ascii="宋体" w:hAnsi="Courier New" w:cs="宋体"/>
      <w:sz w:val="21"/>
      <w:szCs w:val="21"/>
    </w:rPr>
  </w:style>
  <w:style w:type="character" w:customStyle="1" w:styleId="58">
    <w:name w:val="正文文本缩进 2 Char"/>
    <w:link w:val="20"/>
    <w:autoRedefine/>
    <w:semiHidden/>
    <w:qFormat/>
    <w:locked/>
    <w:uiPriority w:val="99"/>
    <w:rPr>
      <w:rFonts w:ascii="Calibri" w:hAnsi="Calibri" w:cs="Calibri"/>
    </w:rPr>
  </w:style>
  <w:style w:type="character" w:customStyle="1" w:styleId="59">
    <w:name w:val="批注框文本 Char"/>
    <w:link w:val="21"/>
    <w:autoRedefine/>
    <w:qFormat/>
    <w:locked/>
    <w:uiPriority w:val="99"/>
    <w:rPr>
      <w:rFonts w:ascii="Calibri" w:hAnsi="Calibri" w:eastAsia="宋体" w:cs="Calibri"/>
      <w:kern w:val="2"/>
      <w:sz w:val="18"/>
      <w:szCs w:val="18"/>
    </w:rPr>
  </w:style>
  <w:style w:type="character" w:customStyle="1" w:styleId="60">
    <w:name w:val="页脚 Char"/>
    <w:basedOn w:val="36"/>
    <w:link w:val="22"/>
    <w:autoRedefine/>
    <w:qFormat/>
    <w:locked/>
    <w:uiPriority w:val="99"/>
    <w:rPr>
      <w:rFonts w:ascii="Calibri" w:hAnsi="Calibri" w:cs="Calibri"/>
      <w:sz w:val="18"/>
      <w:szCs w:val="18"/>
    </w:rPr>
  </w:style>
  <w:style w:type="character" w:customStyle="1" w:styleId="61">
    <w:name w:val="页眉 Char"/>
    <w:basedOn w:val="36"/>
    <w:link w:val="24"/>
    <w:autoRedefine/>
    <w:qFormat/>
    <w:locked/>
    <w:uiPriority w:val="99"/>
    <w:rPr>
      <w:rFonts w:ascii="Calibri" w:hAnsi="Calibri" w:cs="Calibri"/>
      <w:sz w:val="18"/>
      <w:szCs w:val="18"/>
    </w:rPr>
  </w:style>
  <w:style w:type="character" w:customStyle="1" w:styleId="62">
    <w:name w:val="正文文本 2 Char"/>
    <w:link w:val="12"/>
    <w:autoRedefine/>
    <w:semiHidden/>
    <w:qFormat/>
    <w:locked/>
    <w:uiPriority w:val="99"/>
    <w:rPr>
      <w:rFonts w:ascii="Calibri" w:hAnsi="Calibri" w:cs="Calibri"/>
    </w:rPr>
  </w:style>
  <w:style w:type="paragraph" w:customStyle="1" w:styleId="63">
    <w:name w:val="Char2 Char Char Char"/>
    <w:basedOn w:val="1"/>
    <w:autoRedefine/>
    <w:qFormat/>
    <w:uiPriority w:val="99"/>
    <w:rPr>
      <w:rFonts w:ascii="Tahoma" w:hAnsi="Tahoma" w:cs="Tahoma"/>
      <w:sz w:val="24"/>
      <w:szCs w:val="24"/>
    </w:rPr>
  </w:style>
  <w:style w:type="character" w:customStyle="1" w:styleId="64">
    <w:name w:val="10"/>
    <w:autoRedefine/>
    <w:qFormat/>
    <w:uiPriority w:val="99"/>
    <w:rPr>
      <w:rFonts w:ascii="Calibri" w:hAnsi="Calibri" w:cs="Calibri"/>
    </w:rPr>
  </w:style>
  <w:style w:type="character" w:customStyle="1" w:styleId="65">
    <w:name w:val="15"/>
    <w:basedOn w:val="36"/>
    <w:autoRedefine/>
    <w:qFormat/>
    <w:uiPriority w:val="99"/>
    <w:rPr>
      <w:rFonts w:ascii="Calibri" w:hAnsi="Calibri" w:cs="Calibri"/>
      <w:i/>
      <w:iCs/>
    </w:rPr>
  </w:style>
  <w:style w:type="paragraph" w:customStyle="1" w:styleId="66">
    <w:name w:val="_Style 2"/>
    <w:basedOn w:val="1"/>
    <w:autoRedefine/>
    <w:qFormat/>
    <w:uiPriority w:val="99"/>
    <w:pPr>
      <w:ind w:firstLine="420" w:firstLineChars="200"/>
    </w:pPr>
  </w:style>
  <w:style w:type="character" w:customStyle="1" w:styleId="67">
    <w:name w:val="apple-style-span"/>
    <w:basedOn w:val="36"/>
    <w:autoRedefine/>
    <w:qFormat/>
    <w:uiPriority w:val="99"/>
  </w:style>
  <w:style w:type="character" w:customStyle="1" w:styleId="68">
    <w:name w:val="del"/>
    <w:basedOn w:val="36"/>
    <w:autoRedefine/>
    <w:qFormat/>
    <w:uiPriority w:val="99"/>
  </w:style>
  <w:style w:type="character" w:customStyle="1" w:styleId="69">
    <w:name w:val="del1"/>
    <w:autoRedefine/>
    <w:qFormat/>
    <w:uiPriority w:val="99"/>
    <w:rPr>
      <w:vanish/>
      <w:color w:val="auto"/>
      <w:sz w:val="18"/>
      <w:szCs w:val="18"/>
      <w:u w:val="single"/>
    </w:rPr>
  </w:style>
  <w:style w:type="character" w:customStyle="1" w:styleId="70">
    <w:name w:val="del2"/>
    <w:autoRedefine/>
    <w:qFormat/>
    <w:uiPriority w:val="99"/>
    <w:rPr>
      <w:vanish/>
    </w:rPr>
  </w:style>
  <w:style w:type="character" w:customStyle="1" w:styleId="71">
    <w:name w:val="del3"/>
    <w:autoRedefine/>
    <w:qFormat/>
    <w:uiPriority w:val="99"/>
    <w:rPr>
      <w:vanish/>
    </w:rPr>
  </w:style>
  <w:style w:type="paragraph" w:customStyle="1" w:styleId="72">
    <w:name w:val="_Style 4"/>
    <w:basedOn w:val="1"/>
    <w:autoRedefine/>
    <w:qFormat/>
    <w:uiPriority w:val="99"/>
    <w:pPr>
      <w:ind w:firstLine="420" w:firstLineChars="200"/>
    </w:pPr>
  </w:style>
  <w:style w:type="paragraph" w:customStyle="1" w:styleId="73">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4">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5">
    <w:name w:val="font101"/>
    <w:basedOn w:val="36"/>
    <w:autoRedefine/>
    <w:qFormat/>
    <w:uiPriority w:val="0"/>
    <w:rPr>
      <w:rFonts w:hint="eastAsia" w:ascii="宋体" w:hAnsi="宋体" w:eastAsia="宋体" w:cs="宋体"/>
      <w:color w:val="000000"/>
      <w:sz w:val="24"/>
      <w:szCs w:val="24"/>
      <w:u w:val="none"/>
    </w:rPr>
  </w:style>
  <w:style w:type="character" w:customStyle="1" w:styleId="76">
    <w:name w:val="font91"/>
    <w:basedOn w:val="36"/>
    <w:autoRedefine/>
    <w:qFormat/>
    <w:uiPriority w:val="0"/>
    <w:rPr>
      <w:rFonts w:hint="eastAsia" w:ascii="宋体" w:hAnsi="宋体" w:eastAsia="宋体" w:cs="宋体"/>
      <w:color w:val="000000"/>
      <w:sz w:val="24"/>
      <w:szCs w:val="24"/>
      <w:u w:val="none"/>
    </w:rPr>
  </w:style>
  <w:style w:type="character" w:customStyle="1" w:styleId="77">
    <w:name w:val="font41"/>
    <w:basedOn w:val="36"/>
    <w:autoRedefine/>
    <w:qFormat/>
    <w:uiPriority w:val="0"/>
    <w:rPr>
      <w:rFonts w:hint="eastAsia" w:ascii="宋体" w:hAnsi="宋体" w:eastAsia="宋体" w:cs="宋体"/>
      <w:color w:val="000000"/>
      <w:sz w:val="24"/>
      <w:szCs w:val="24"/>
      <w:u w:val="none"/>
    </w:rPr>
  </w:style>
  <w:style w:type="character" w:customStyle="1" w:styleId="78">
    <w:name w:val="font21"/>
    <w:basedOn w:val="36"/>
    <w:autoRedefine/>
    <w:qFormat/>
    <w:uiPriority w:val="0"/>
    <w:rPr>
      <w:rFonts w:hint="eastAsia" w:ascii="宋体" w:hAnsi="宋体" w:eastAsia="宋体" w:cs="宋体"/>
      <w:color w:val="000000"/>
      <w:sz w:val="24"/>
      <w:szCs w:val="24"/>
      <w:u w:val="none"/>
    </w:rPr>
  </w:style>
  <w:style w:type="paragraph" w:styleId="79">
    <w:name w:val="List Paragraph"/>
    <w:basedOn w:val="1"/>
    <w:autoRedefine/>
    <w:qFormat/>
    <w:uiPriority w:val="99"/>
    <w:pPr>
      <w:ind w:firstLine="420" w:firstLineChars="200"/>
    </w:pPr>
  </w:style>
  <w:style w:type="table" w:customStyle="1" w:styleId="80">
    <w:name w:val="TableGrid"/>
    <w:autoRedefine/>
    <w:qFormat/>
    <w:uiPriority w:val="0"/>
    <w:rPr>
      <w:kern w:val="2"/>
      <w:sz w:val="21"/>
      <w:szCs w:val="22"/>
    </w:rPr>
    <w:tblPr>
      <w:tblCellMar>
        <w:top w:w="0" w:type="dxa"/>
        <w:left w:w="0" w:type="dxa"/>
        <w:bottom w:w="0" w:type="dxa"/>
        <w:right w:w="0" w:type="dxa"/>
      </w:tblCellMar>
    </w:tblPr>
  </w:style>
  <w:style w:type="character" w:customStyle="1" w:styleId="81">
    <w:name w:val="日期 Char"/>
    <w:basedOn w:val="36"/>
    <w:link w:val="19"/>
    <w:autoRedefine/>
    <w:qFormat/>
    <w:uiPriority w:val="0"/>
    <w:rPr>
      <w:rFonts w:ascii="Calibri" w:hAnsi="Calibri" w:cs="Calibri"/>
      <w:kern w:val="2"/>
      <w:sz w:val="21"/>
      <w:szCs w:val="21"/>
    </w:rPr>
  </w:style>
  <w:style w:type="character" w:customStyle="1" w:styleId="82">
    <w:name w:val="List Paragraph Char1"/>
    <w:link w:val="83"/>
    <w:autoRedefine/>
    <w:qFormat/>
    <w:locked/>
    <w:uiPriority w:val="0"/>
    <w:rPr>
      <w:sz w:val="24"/>
    </w:rPr>
  </w:style>
  <w:style w:type="paragraph" w:customStyle="1" w:styleId="83">
    <w:name w:val="列出段落2"/>
    <w:basedOn w:val="1"/>
    <w:link w:val="82"/>
    <w:autoRedefine/>
    <w:qFormat/>
    <w:uiPriority w:val="0"/>
    <w:pPr>
      <w:ind w:firstLine="420" w:firstLineChars="200"/>
    </w:pPr>
    <w:rPr>
      <w:rFonts w:ascii="Times New Roman" w:hAnsi="Times New Roman" w:cs="Times New Roman"/>
      <w:kern w:val="0"/>
      <w:sz w:val="24"/>
      <w:szCs w:val="20"/>
    </w:rPr>
  </w:style>
  <w:style w:type="table" w:customStyle="1" w:styleId="84">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0">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91">
    <w:name w:val="批注主题 Char"/>
    <w:basedOn w:val="54"/>
    <w:autoRedefine/>
    <w:semiHidden/>
    <w:qFormat/>
    <w:uiPriority w:val="99"/>
    <w:rPr>
      <w:rFonts w:ascii="Calibri" w:hAnsi="Calibri" w:eastAsia="宋体" w:cs="Calibri"/>
      <w:b/>
      <w:bCs/>
      <w:kern w:val="2"/>
      <w:sz w:val="21"/>
      <w:szCs w:val="21"/>
    </w:rPr>
  </w:style>
  <w:style w:type="paragraph" w:customStyle="1" w:styleId="92">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3">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9"/>
    <w:autoRedefine/>
    <w:qFormat/>
    <w:uiPriority w:val="0"/>
    <w:rPr>
      <w:kern w:val="2"/>
      <w:sz w:val="21"/>
      <w:szCs w:val="22"/>
    </w:rPr>
    <w:tblPr>
      <w:tblCellMar>
        <w:top w:w="0" w:type="dxa"/>
        <w:left w:w="0" w:type="dxa"/>
        <w:bottom w:w="0" w:type="dxa"/>
        <w:right w:w="0" w:type="dxa"/>
      </w:tblCellMar>
    </w:tblPr>
  </w:style>
  <w:style w:type="table" w:customStyle="1" w:styleId="95">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2"/>
    <w:autoRedefine/>
    <w:qFormat/>
    <w:uiPriority w:val="0"/>
    <w:rPr>
      <w:kern w:val="2"/>
      <w:sz w:val="21"/>
      <w:szCs w:val="22"/>
    </w:rPr>
    <w:tblPr>
      <w:tblCellMar>
        <w:top w:w="0" w:type="dxa"/>
        <w:left w:w="0" w:type="dxa"/>
        <w:bottom w:w="0" w:type="dxa"/>
        <w:right w:w="0" w:type="dxa"/>
      </w:tblCellMar>
    </w:tblPr>
  </w:style>
  <w:style w:type="table" w:customStyle="1" w:styleId="98">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1">
    <w:name w:val="网格型1"/>
    <w:basedOn w:val="3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high-light-bg4"/>
    <w:basedOn w:val="36"/>
    <w:autoRedefine/>
    <w:qFormat/>
    <w:uiPriority w:val="0"/>
  </w:style>
  <w:style w:type="paragraph" w:customStyle="1" w:styleId="103">
    <w:name w:val="Default"/>
    <w:next w:val="45"/>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4">
    <w:name w:val="p16"/>
    <w:basedOn w:val="1"/>
    <w:autoRedefine/>
    <w:qFormat/>
    <w:uiPriority w:val="0"/>
    <w:pPr>
      <w:adjustRightInd/>
      <w:spacing w:after="0"/>
    </w:pPr>
    <w:rPr>
      <w:rFonts w:ascii="宋体" w:hAnsi="宋体" w:eastAsia="宋体" w:cs="宋体"/>
      <w:sz w:val="28"/>
      <w:szCs w:val="28"/>
    </w:rPr>
  </w:style>
  <w:style w:type="paragraph" w:customStyle="1" w:styleId="105">
    <w:name w:val="+正文"/>
    <w:basedOn w:val="1"/>
    <w:autoRedefine/>
    <w:qFormat/>
    <w:uiPriority w:val="99"/>
    <w:pPr>
      <w:spacing w:line="360" w:lineRule="auto"/>
      <w:ind w:firstLine="200" w:firstLineChars="200"/>
    </w:pPr>
  </w:style>
  <w:style w:type="paragraph" w:customStyle="1" w:styleId="106">
    <w:name w:val="正文格式"/>
    <w:basedOn w:val="1"/>
    <w:autoRedefine/>
    <w:qFormat/>
    <w:uiPriority w:val="0"/>
    <w:pPr>
      <w:adjustRightInd w:val="0"/>
      <w:snapToGrid w:val="0"/>
      <w:spacing w:line="400" w:lineRule="atLeast"/>
      <w:ind w:firstLine="482"/>
      <w:textAlignment w:val="baseline"/>
    </w:pPr>
  </w:style>
  <w:style w:type="paragraph" w:customStyle="1" w:styleId="107">
    <w:name w:val="1正文"/>
    <w:basedOn w:val="31"/>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08">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09">
    <w:name w:val="样式 首行缩进:  2 字符"/>
    <w:basedOn w:val="1"/>
    <w:qFormat/>
    <w:uiPriority w:val="0"/>
    <w:pPr>
      <w:spacing w:line="400" w:lineRule="exact"/>
      <w:ind w:firstLine="200" w:firstLineChars="200"/>
    </w:pPr>
    <w:rPr>
      <w:rFonts w:cs="宋体"/>
      <w:sz w:val="24"/>
    </w:rPr>
  </w:style>
  <w:style w:type="paragraph" w:customStyle="1" w:styleId="110">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11">
    <w:name w:val="正文（缩进 2 字符）"/>
    <w:basedOn w:val="1"/>
    <w:autoRedefine/>
    <w:qFormat/>
    <w:uiPriority w:val="0"/>
    <w:pPr>
      <w:widowControl/>
      <w:adjustRightInd/>
      <w:spacing w:line="400" w:lineRule="exact"/>
      <w:ind w:firstLine="200" w:firstLineChars="200"/>
      <w:textAlignment w:val="auto"/>
    </w:pPr>
    <w:rPr>
      <w:rFonts w:ascii="Calibri Light" w:hAnsi="Calibri Light" w:eastAsia="华文仿宋"/>
      <w:kern w:val="2"/>
      <w:sz w:val="28"/>
      <w:szCs w:val="28"/>
    </w:rPr>
  </w:style>
  <w:style w:type="paragraph" w:customStyle="1" w:styleId="112">
    <w:name w:val="Table Paragraph"/>
    <w:basedOn w:val="1"/>
    <w:autoRedefine/>
    <w:qFormat/>
    <w:uiPriority w:val="1"/>
    <w:pPr>
      <w:autoSpaceDE w:val="0"/>
      <w:autoSpaceDN w:val="0"/>
      <w:jc w:val="left"/>
    </w:pPr>
    <w:rPr>
      <w:rFonts w:ascii="宋体" w:hAnsi="宋体" w:cs="宋体"/>
      <w:kern w:val="0"/>
      <w:sz w:val="22"/>
      <w:lang w:val="zh-CN" w:bidi="zh-CN"/>
    </w:rPr>
  </w:style>
  <w:style w:type="paragraph" w:customStyle="1" w:styleId="113">
    <w:name w:val="Table Text"/>
    <w:basedOn w:val="1"/>
    <w:semiHidden/>
    <w:qFormat/>
    <w:uiPriority w:val="0"/>
    <w:rPr>
      <w:rFonts w:ascii="宋体" w:hAnsi="宋体" w:eastAsia="宋体" w:cs="宋体"/>
      <w:sz w:val="20"/>
      <w:szCs w:val="20"/>
      <w:lang w:val="en-US" w:eastAsia="en-US" w:bidi="ar-SA"/>
    </w:rPr>
  </w:style>
  <w:style w:type="table" w:customStyle="1" w:styleId="114">
    <w:name w:val="Table Normal"/>
    <w:basedOn w:val="34"/>
    <w:qFormat/>
    <w:uiPriority w:val="0"/>
    <w:rPr>
      <w:rFonts w:ascii="Times New Roman" w:hAnsi="Times New Roman" w:eastAsia="Times New Roman" w:cs="Times New Roman"/>
      <w:kern w:val="0"/>
      <w:sz w:val="20"/>
      <w:szCs w:val="20"/>
      <w14:ligatures w14:val="none"/>
    </w:rPr>
    <w:tblPr>
      <w:tblCellMar>
        <w:left w:w="0" w:type="dxa"/>
        <w:right w:w="0" w:type="dxa"/>
      </w:tblCellMar>
    </w:tblPr>
  </w:style>
  <w:style w:type="paragraph" w:customStyle="1" w:styleId="115">
    <w:name w:val="BodyText2"/>
    <w:basedOn w:val="1"/>
    <w:qFormat/>
    <w:uiPriority w:val="0"/>
    <w:pPr>
      <w:spacing w:before="100" w:beforeAutospacing="1" w:after="120" w:line="480" w:lineRule="auto"/>
    </w:pPr>
    <w:rPr>
      <w:rFonts w:ascii="Calibri" w:hAnsi="Calibri"/>
      <w:sz w:val="24"/>
      <w:szCs w:val="24"/>
    </w:rPr>
  </w:style>
  <w:style w:type="paragraph" w:customStyle="1" w:styleId="116">
    <w:name w:val="BodyTextIndent2"/>
    <w:basedOn w:val="1"/>
    <w:qFormat/>
    <w:uiPriority w:val="0"/>
    <w:pPr>
      <w:tabs>
        <w:tab w:val="left" w:pos="420"/>
      </w:tabs>
      <w:spacing w:line="480" w:lineRule="auto"/>
      <w:ind w:left="420" w:leftChars="200"/>
      <w:jc w:val="both"/>
    </w:pPr>
    <w:rPr>
      <w:rFonts w:ascii="Calibri" w:hAnsi="Calibri" w:eastAsia="宋体"/>
      <w:kern w:val="2"/>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180A0-0E1E-43DA-AE95-CE829FEE3260}">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59</Pages>
  <Words>417</Words>
  <Characters>481</Characters>
  <Lines>198</Lines>
  <Paragraphs>55</Paragraphs>
  <TotalTime>18</TotalTime>
  <ScaleCrop>false</ScaleCrop>
  <LinksUpToDate>false</LinksUpToDate>
  <CharactersWithSpaces>530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2020-08-06T01:08:00Z</dcterms:created>
  <dc:creator>Administrator</dc:creator>
  <cp:lastModifiedBy>WPS_1528011989</cp:lastModifiedBy>
  <cp:lastPrinted>2024-05-21T02:52:00Z</cp:lastPrinted>
  <dcterms:modified xsi:type="dcterms:W3CDTF">2025-11-03T01:38:49Z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1629CBB5673D4F9DB82FDBC97A46F7F7_13</vt:lpwstr>
  </property>
  <property fmtid="{D5CDD505-2E9C-101B-9397-08002B2CF9AE}" pid="4" name="KSOTemplateDocerSaveRecord">
    <vt:lpwstr>eyJoZGlkIjoiMDg1OGE3YTllNWRkNjgwY2M5ZDEwMmY0ODQzZDFhY2IiLCJ1c2VySWQiOiIzNzU3MTM1MjkifQ==</vt:lpwstr>
  </property>
</Properties>
</file>