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F8DA62">
      <w:pPr>
        <w:tabs>
          <w:tab w:val="left" w:pos="8640"/>
        </w:tabs>
        <w:rPr>
          <w:rFonts w:hint="eastAsia" w:ascii="仿宋" w:hAnsi="仿宋" w:eastAsia="仿宋" w:cs="仿宋"/>
          <w:color w:val="auto"/>
          <w:lang w:eastAsia="zh-CN"/>
        </w:rPr>
      </w:pPr>
      <w:r>
        <w:rPr>
          <w:rFonts w:hint="eastAsia" w:ascii="仿宋" w:hAnsi="仿宋" w:eastAsia="仿宋" w:cs="仿宋"/>
          <w:color w:val="auto"/>
        </w:rPr>
        <w:drawing>
          <wp:inline distT="0" distB="0" distL="114300" distR="114300">
            <wp:extent cx="3082925" cy="575310"/>
            <wp:effectExtent l="0" t="0" r="3175" b="152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3082925" cy="575310"/>
                    </a:xfrm>
                    <a:prstGeom prst="rect">
                      <a:avLst/>
                    </a:prstGeom>
                    <a:noFill/>
                    <a:ln>
                      <a:noFill/>
                    </a:ln>
                  </pic:spPr>
                </pic:pic>
              </a:graphicData>
            </a:graphic>
          </wp:inline>
        </w:drawing>
      </w:r>
    </w:p>
    <w:p w14:paraId="67FF5C87">
      <w:pPr>
        <w:tabs>
          <w:tab w:val="left" w:pos="8640"/>
        </w:tabs>
        <w:rPr>
          <w:rFonts w:hint="eastAsia" w:ascii="仿宋" w:hAnsi="仿宋" w:eastAsia="仿宋" w:cs="仿宋"/>
          <w:color w:val="auto"/>
          <w:lang w:eastAsia="zh-CN"/>
        </w:rPr>
      </w:pPr>
    </w:p>
    <w:p w14:paraId="200562C1">
      <w:pPr>
        <w:rPr>
          <w:rFonts w:hint="eastAsia" w:ascii="仿宋" w:hAnsi="仿宋" w:eastAsia="仿宋" w:cs="仿宋"/>
          <w:color w:val="auto"/>
          <w:sz w:val="24"/>
        </w:rPr>
      </w:pPr>
      <w:r>
        <w:rPr>
          <w:rFonts w:hint="eastAsia" w:ascii="仿宋" w:hAnsi="仿宋" w:eastAsia="仿宋" w:cs="仿宋"/>
          <w:color w:val="auto"/>
          <w:sz w:val="24"/>
        </w:rPr>
        <w:t xml:space="preserve">                           </w:t>
      </w:r>
    </w:p>
    <w:p w14:paraId="22A439D7">
      <w:pPr>
        <w:rPr>
          <w:rFonts w:hint="eastAsia" w:ascii="仿宋" w:hAnsi="仿宋" w:eastAsia="仿宋" w:cs="仿宋"/>
          <w:color w:val="auto"/>
          <w:sz w:val="24"/>
        </w:rPr>
      </w:pPr>
      <w:r>
        <w:rPr>
          <w:rFonts w:hint="eastAsia" w:ascii="仿宋" w:hAnsi="仿宋" w:eastAsia="仿宋" w:cs="仿宋"/>
          <w:color w:val="auto"/>
          <w:sz w:val="24"/>
        </w:rPr>
        <w:t xml:space="preserve">    </w:t>
      </w:r>
    </w:p>
    <w:p w14:paraId="0D6EB4BC">
      <w:pPr>
        <w:rPr>
          <w:rFonts w:hint="eastAsia" w:ascii="仿宋" w:hAnsi="仿宋" w:eastAsia="仿宋" w:cs="仿宋"/>
          <w:color w:val="auto"/>
          <w:sz w:val="24"/>
        </w:rPr>
      </w:pPr>
    </w:p>
    <w:p w14:paraId="30CB48BA">
      <w:pPr>
        <w:pStyle w:val="17"/>
        <w:rPr>
          <w:rFonts w:hint="eastAsia" w:ascii="仿宋" w:hAnsi="仿宋" w:eastAsia="仿宋" w:cs="仿宋"/>
          <w:color w:val="auto"/>
        </w:rPr>
      </w:pPr>
    </w:p>
    <w:p w14:paraId="2E63221F">
      <w:pPr>
        <w:jc w:val="center"/>
        <w:rPr>
          <w:rFonts w:hint="eastAsia" w:ascii="仿宋" w:hAnsi="仿宋" w:eastAsia="仿宋" w:cs="仿宋"/>
          <w:b/>
          <w:bCs/>
          <w:color w:val="auto"/>
          <w:sz w:val="52"/>
          <w:szCs w:val="48"/>
          <w:highlight w:val="none"/>
        </w:rPr>
      </w:pPr>
      <w:r>
        <w:rPr>
          <w:rFonts w:hint="eastAsia" w:ascii="仿宋" w:hAnsi="仿宋" w:eastAsia="仿宋" w:cs="仿宋"/>
          <w:b/>
          <w:bCs/>
          <w:color w:val="auto"/>
          <w:sz w:val="52"/>
          <w:szCs w:val="48"/>
          <w:highlight w:val="none"/>
        </w:rPr>
        <w:t>招商项目入区评审服务采购项目</w:t>
      </w:r>
    </w:p>
    <w:p w14:paraId="76143890">
      <w:pPr>
        <w:pStyle w:val="17"/>
        <w:rPr>
          <w:rFonts w:hint="eastAsia" w:ascii="仿宋" w:hAnsi="仿宋" w:eastAsia="仿宋"/>
          <w:color w:val="auto"/>
        </w:rPr>
      </w:pPr>
    </w:p>
    <w:p w14:paraId="6FFCD82C">
      <w:pPr>
        <w:rPr>
          <w:rFonts w:hint="eastAsia" w:ascii="仿宋" w:hAnsi="仿宋" w:eastAsia="仿宋"/>
          <w:color w:val="auto"/>
        </w:rPr>
      </w:pPr>
    </w:p>
    <w:p w14:paraId="292ADE9B">
      <w:pPr>
        <w:pStyle w:val="17"/>
        <w:rPr>
          <w:rFonts w:hint="eastAsia"/>
          <w:color w:val="auto"/>
        </w:rPr>
      </w:pPr>
    </w:p>
    <w:p w14:paraId="73F45283">
      <w:pPr>
        <w:pStyle w:val="17"/>
        <w:rPr>
          <w:rFonts w:hint="eastAsia" w:ascii="仿宋" w:hAnsi="仿宋" w:eastAsia="仿宋" w:cs="仿宋"/>
          <w:color w:val="auto"/>
        </w:rPr>
      </w:pPr>
    </w:p>
    <w:p w14:paraId="79CB6569">
      <w:pPr>
        <w:pStyle w:val="17"/>
        <w:rPr>
          <w:rFonts w:hint="eastAsia" w:ascii="仿宋" w:hAnsi="仿宋" w:eastAsia="仿宋" w:cs="仿宋"/>
          <w:color w:val="auto"/>
        </w:rPr>
      </w:pPr>
    </w:p>
    <w:p w14:paraId="6910CE43">
      <w:pPr>
        <w:jc w:val="center"/>
        <w:rPr>
          <w:rFonts w:hint="eastAsia" w:ascii="仿宋" w:hAnsi="仿宋" w:eastAsia="仿宋" w:cs="仿宋"/>
          <w:b/>
          <w:color w:val="auto"/>
          <w:sz w:val="84"/>
          <w:szCs w:val="84"/>
        </w:rPr>
      </w:pPr>
      <w:r>
        <w:rPr>
          <w:rFonts w:hint="eastAsia" w:ascii="仿宋" w:hAnsi="仿宋" w:eastAsia="仿宋" w:cs="仿宋"/>
          <w:b/>
          <w:color w:val="auto"/>
          <w:sz w:val="84"/>
          <w:szCs w:val="84"/>
        </w:rPr>
        <w:t>竞争性磋商文件</w:t>
      </w:r>
    </w:p>
    <w:p w14:paraId="34E420FB">
      <w:pPr>
        <w:jc w:val="center"/>
        <w:rPr>
          <w:rFonts w:hint="eastAsia" w:ascii="仿宋" w:hAnsi="仿宋" w:eastAsia="仿宋" w:cs="仿宋"/>
          <w:b/>
          <w:color w:val="auto"/>
          <w:sz w:val="32"/>
          <w:highlight w:val="none"/>
        </w:rPr>
      </w:pPr>
    </w:p>
    <w:p w14:paraId="176F72FE">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项目编号：SZT2025-SN-QC-ZC-FW-1084</w:t>
      </w:r>
    </w:p>
    <w:p w14:paraId="1B8A0E57">
      <w:pPr>
        <w:jc w:val="center"/>
        <w:rPr>
          <w:rFonts w:hint="eastAsia" w:ascii="仿宋" w:hAnsi="仿宋" w:eastAsia="仿宋" w:cs="仿宋"/>
          <w:b/>
          <w:color w:val="auto"/>
          <w:sz w:val="28"/>
          <w:szCs w:val="28"/>
          <w:highlight w:val="none"/>
          <w:lang w:val="en-US" w:eastAsia="zh-CN"/>
        </w:rPr>
      </w:pPr>
    </w:p>
    <w:p w14:paraId="5A4B24DC">
      <w:pPr>
        <w:spacing w:line="360" w:lineRule="auto"/>
        <w:rPr>
          <w:rFonts w:hint="eastAsia" w:ascii="仿宋" w:hAnsi="仿宋" w:eastAsia="仿宋" w:cs="仿宋"/>
          <w:color w:val="auto"/>
          <w:sz w:val="32"/>
        </w:rPr>
      </w:pPr>
    </w:p>
    <w:p w14:paraId="31DFA71F">
      <w:pPr>
        <w:spacing w:line="360" w:lineRule="auto"/>
        <w:rPr>
          <w:rFonts w:hint="eastAsia" w:ascii="仿宋" w:hAnsi="仿宋" w:eastAsia="仿宋" w:cs="仿宋"/>
          <w:color w:val="auto"/>
          <w:sz w:val="32"/>
        </w:rPr>
      </w:pPr>
    </w:p>
    <w:p w14:paraId="21595BBF">
      <w:pPr>
        <w:spacing w:line="360" w:lineRule="auto"/>
        <w:rPr>
          <w:rFonts w:hint="eastAsia" w:ascii="仿宋" w:hAnsi="仿宋" w:eastAsia="仿宋" w:cs="仿宋"/>
          <w:color w:val="auto"/>
          <w:sz w:val="32"/>
        </w:rPr>
      </w:pPr>
    </w:p>
    <w:p w14:paraId="5BB16CBB">
      <w:pPr>
        <w:pStyle w:val="17"/>
        <w:rPr>
          <w:rFonts w:hint="eastAsia"/>
          <w:color w:val="auto"/>
        </w:rPr>
      </w:pPr>
    </w:p>
    <w:p w14:paraId="6E8BCADE">
      <w:pPr>
        <w:tabs>
          <w:tab w:val="left" w:pos="720"/>
        </w:tabs>
        <w:spacing w:line="360" w:lineRule="auto"/>
        <w:ind w:left="2818" w:leftChars="942" w:hanging="840" w:hangingChars="279"/>
        <w:rPr>
          <w:rFonts w:hint="eastAsia" w:ascii="仿宋" w:hAnsi="仿宋" w:eastAsia="仿宋" w:cs="仿宋"/>
          <w:b/>
          <w:color w:val="auto"/>
          <w:sz w:val="30"/>
          <w:szCs w:val="30"/>
        </w:rPr>
      </w:pPr>
    </w:p>
    <w:p w14:paraId="38DE8A93">
      <w:pPr>
        <w:tabs>
          <w:tab w:val="left" w:pos="720"/>
        </w:tabs>
        <w:spacing w:line="360" w:lineRule="auto"/>
        <w:ind w:left="2818" w:leftChars="942" w:hanging="840" w:hangingChars="279"/>
        <w:rPr>
          <w:rFonts w:hint="eastAsia" w:ascii="仿宋" w:hAnsi="仿宋" w:eastAsia="仿宋" w:cs="仿宋"/>
          <w:b/>
          <w:color w:val="auto"/>
          <w:sz w:val="30"/>
          <w:szCs w:val="30"/>
        </w:rPr>
      </w:pPr>
    </w:p>
    <w:p w14:paraId="284D6906">
      <w:pPr>
        <w:tabs>
          <w:tab w:val="left" w:pos="720"/>
        </w:tabs>
        <w:spacing w:line="360" w:lineRule="auto"/>
        <w:ind w:left="2818" w:leftChars="942" w:hanging="840" w:hangingChars="279"/>
        <w:rPr>
          <w:rFonts w:hint="eastAsia" w:ascii="仿宋" w:hAnsi="仿宋" w:eastAsia="仿宋" w:cs="仿宋"/>
          <w:b/>
          <w:color w:val="auto"/>
          <w:sz w:val="30"/>
          <w:szCs w:val="30"/>
        </w:rPr>
      </w:pPr>
    </w:p>
    <w:p w14:paraId="300F8D89">
      <w:pPr>
        <w:tabs>
          <w:tab w:val="left" w:pos="720"/>
        </w:tabs>
        <w:spacing w:line="360" w:lineRule="auto"/>
        <w:ind w:left="2818" w:leftChars="942" w:hanging="840" w:hangingChars="279"/>
        <w:rPr>
          <w:rFonts w:hint="eastAsia" w:ascii="仿宋" w:hAnsi="仿宋" w:eastAsia="仿宋" w:cs="仿宋"/>
          <w:b/>
          <w:color w:val="auto"/>
          <w:sz w:val="30"/>
          <w:szCs w:val="30"/>
        </w:rPr>
      </w:pPr>
    </w:p>
    <w:p w14:paraId="144B5AE7">
      <w:pPr>
        <w:tabs>
          <w:tab w:val="left" w:pos="720"/>
        </w:tabs>
        <w:spacing w:line="360" w:lineRule="auto"/>
        <w:ind w:left="2818" w:leftChars="942" w:hanging="840" w:hangingChars="27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采购代理机构：陕西中技招标有限公司        </w:t>
      </w:r>
    </w:p>
    <w:p w14:paraId="22841C25">
      <w:pPr>
        <w:tabs>
          <w:tab w:val="left" w:pos="720"/>
        </w:tabs>
        <w:spacing w:line="360" w:lineRule="auto"/>
        <w:ind w:left="2764" w:leftChars="1316" w:firstLine="738" w:firstLineChars="245"/>
        <w:rPr>
          <w:rFonts w:hint="eastAsia" w:ascii="仿宋" w:hAnsi="仿宋" w:eastAsia="仿宋" w:cs="仿宋"/>
          <w:color w:val="auto"/>
          <w:sz w:val="32"/>
          <w:highlight w:val="none"/>
        </w:rPr>
      </w:pPr>
      <w:r>
        <w:rPr>
          <w:rFonts w:hint="eastAsia" w:ascii="仿宋" w:hAnsi="仿宋" w:eastAsia="仿宋" w:cs="仿宋"/>
          <w:b/>
          <w:color w:val="auto"/>
          <w:sz w:val="30"/>
          <w:szCs w:val="30"/>
          <w:lang w:val="en-US" w:eastAsia="zh-CN"/>
        </w:rPr>
        <w:t>2025</w:t>
      </w:r>
      <w:r>
        <w:rPr>
          <w:rFonts w:hint="eastAsia" w:ascii="仿宋" w:hAnsi="仿宋" w:eastAsia="仿宋" w:cs="仿宋"/>
          <w:b/>
          <w:color w:val="auto"/>
          <w:sz w:val="30"/>
          <w:szCs w:val="30"/>
          <w:highlight w:val="none"/>
          <w:lang w:eastAsia="zh-CN"/>
        </w:rPr>
        <w:t>年</w:t>
      </w:r>
      <w:r>
        <w:rPr>
          <w:rFonts w:hint="eastAsia" w:ascii="仿宋" w:hAnsi="仿宋" w:eastAsia="仿宋" w:cs="仿宋"/>
          <w:b/>
          <w:color w:val="auto"/>
          <w:sz w:val="30"/>
          <w:szCs w:val="30"/>
          <w:highlight w:val="none"/>
          <w:lang w:val="en-US" w:eastAsia="zh-CN"/>
        </w:rPr>
        <w:t>11</w:t>
      </w:r>
      <w:r>
        <w:rPr>
          <w:rFonts w:hint="eastAsia" w:ascii="仿宋" w:hAnsi="仿宋" w:eastAsia="仿宋" w:cs="仿宋"/>
          <w:b/>
          <w:color w:val="auto"/>
          <w:sz w:val="30"/>
          <w:szCs w:val="30"/>
          <w:highlight w:val="none"/>
        </w:rPr>
        <w:t>月</w:t>
      </w:r>
    </w:p>
    <w:p w14:paraId="45CF1B8F">
      <w:pPr>
        <w:jc w:val="center"/>
        <w:rPr>
          <w:rFonts w:hint="eastAsia" w:ascii="仿宋" w:hAnsi="仿宋" w:eastAsia="仿宋" w:cs="仿宋"/>
          <w:b/>
          <w:color w:val="auto"/>
          <w:sz w:val="36"/>
          <w:szCs w:val="36"/>
        </w:rPr>
        <w:sectPr>
          <w:headerReference r:id="rId5" w:type="first"/>
          <w:footerReference r:id="rId8" w:type="first"/>
          <w:headerReference r:id="rId3" w:type="default"/>
          <w:footerReference r:id="rId6" w:type="default"/>
          <w:headerReference r:id="rId4" w:type="even"/>
          <w:footerReference r:id="rId7" w:type="even"/>
          <w:footnotePr>
            <w:pos w:val="beneathText"/>
          </w:footnotePr>
          <w:pgSz w:w="11906" w:h="16838"/>
          <w:pgMar w:top="1440" w:right="1274" w:bottom="1219" w:left="1276" w:header="851" w:footer="992" w:gutter="0"/>
          <w:pgNumType w:fmt="decimal"/>
          <w:cols w:space="720" w:num="1"/>
          <w:titlePg/>
          <w:docGrid w:linePitch="312" w:charSpace="0"/>
        </w:sectPr>
      </w:pPr>
    </w:p>
    <w:p w14:paraId="53705CEF">
      <w:pPr>
        <w:jc w:val="center"/>
        <w:rPr>
          <w:rFonts w:hint="eastAsia" w:ascii="仿宋" w:hAnsi="仿宋" w:eastAsia="仿宋" w:cs="仿宋"/>
          <w:b/>
          <w:i w:val="0"/>
          <w:iCs w:val="0"/>
          <w:color w:val="auto"/>
          <w:sz w:val="24"/>
          <w:szCs w:val="24"/>
        </w:rPr>
      </w:pPr>
      <w:r>
        <w:rPr>
          <w:rFonts w:hint="eastAsia" w:ascii="仿宋" w:hAnsi="仿宋" w:eastAsia="仿宋" w:cs="仿宋"/>
          <w:b/>
          <w:bCs w:val="0"/>
          <w:i w:val="0"/>
          <w:iCs w:val="0"/>
          <w:color w:val="auto"/>
          <w:sz w:val="44"/>
          <w:szCs w:val="44"/>
        </w:rPr>
        <w:t>目  录</w:t>
      </w:r>
    </w:p>
    <w:p w14:paraId="5D0B3883">
      <w:pPr>
        <w:pStyle w:val="28"/>
        <w:tabs>
          <w:tab w:val="right" w:leader="dot" w:pos="8839"/>
        </w:tabs>
        <w:rPr>
          <w:rFonts w:hint="eastAsia" w:ascii="仿宋" w:hAnsi="仿宋" w:eastAsia="仿宋" w:cs="仿宋"/>
          <w:i w:val="0"/>
          <w:iCs w:val="0"/>
          <w:sz w:val="24"/>
          <w:szCs w:val="24"/>
        </w:rPr>
      </w:pPr>
      <w:r>
        <w:rPr>
          <w:rFonts w:hint="eastAsia" w:ascii="仿宋" w:hAnsi="仿宋" w:eastAsia="仿宋" w:cs="仿宋"/>
          <w:b/>
          <w:bCs/>
          <w:i w:val="0"/>
          <w:iCs w:val="0"/>
          <w:caps w:val="0"/>
          <w:smallCaps w:val="0"/>
          <w:color w:val="auto"/>
          <w:sz w:val="24"/>
          <w:szCs w:val="24"/>
        </w:rPr>
        <w:fldChar w:fldCharType="begin"/>
      </w:r>
      <w:r>
        <w:rPr>
          <w:rFonts w:hint="eastAsia" w:ascii="仿宋" w:hAnsi="仿宋" w:eastAsia="仿宋" w:cs="仿宋"/>
          <w:b/>
          <w:bCs/>
          <w:i w:val="0"/>
          <w:iCs w:val="0"/>
          <w:caps w:val="0"/>
          <w:smallCaps w:val="0"/>
          <w:color w:val="auto"/>
          <w:sz w:val="24"/>
          <w:szCs w:val="24"/>
        </w:rPr>
        <w:instrText xml:space="preserve"> TOC \o "1-3" \h \z \u </w:instrText>
      </w:r>
      <w:r>
        <w:rPr>
          <w:rFonts w:hint="eastAsia" w:ascii="仿宋" w:hAnsi="仿宋" w:eastAsia="仿宋" w:cs="仿宋"/>
          <w:b/>
          <w:bCs/>
          <w:i w:val="0"/>
          <w:iCs w:val="0"/>
          <w:caps w:val="0"/>
          <w:smallCaps w:val="0"/>
          <w:color w:val="auto"/>
          <w:sz w:val="24"/>
          <w:szCs w:val="24"/>
        </w:rPr>
        <w:fldChar w:fldCharType="separate"/>
      </w: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_Toc25769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第一部分  竞争性磋商公告</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_Toc25769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BA15E98">
      <w:pPr>
        <w:pStyle w:val="28"/>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_Toc21227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第二部分  供应商须知前附表</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_Toc21227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0883EF9D">
      <w:pPr>
        <w:pStyle w:val="28"/>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_Toc15183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第三部分  磋商须知</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_Toc15183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463B411E">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_Toc29656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A 总则</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_Toc29656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6CB0EAF5">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_Toc15658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 适用范围</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_Toc15658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707D14D">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_Toc14354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 定义</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_Toc14354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4F784CFB">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_Toc27220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 合格的供应商</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_Toc27220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1440E0C">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_Toc3089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4. 合格服务</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_Toc3089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407FBD3">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_Toc22784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5. 费用</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_Toc22784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8394B2F">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_Toc2222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B 磋商文件说明</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_Toc2222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2AEA829">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_Toc28511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6．磋商文件的构成</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_Toc28511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C42E31B">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_Toc28303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7．磋商文件的澄清</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_Toc28303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59F3889">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_Toc23019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8．磋商文件的修改</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_Toc23019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AE1F2DD">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_Toc5376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C．响应文件的编写</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_Toc5376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037330EF">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_Toc1143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9．响应文件编制的原则</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_Toc1143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FB92DB0">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_Toc19291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10．磋商语言</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_Toc19291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E8DA8C8">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_Toc4224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11．计量单位</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_Toc4224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E58A738">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_Toc9875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12．响应文件的组成</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_Toc9875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12EC3824">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_Toc23306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13．响应文件格式</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_Toc23306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659A530">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_Toc9220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14．磋商报价</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_Toc9220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F3B5E63">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_Toc30372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15．磋商货币</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_Toc30372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4601FDC8">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_Toc5128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16．证明供应商资格的证明文件</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_Toc5128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D56EC59">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_Toc25153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17．证明服务的合格性和符合磋商文件规定的文件</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_Toc25153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03F580F">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_Toc4567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18．磋商保证金</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_Toc4567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8962C3C">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_Toc19455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19．磋商有效期</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_Toc19455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9029414">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_Toc15291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20．响应文件的签署及格式</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_Toc15291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038310A">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_Toc26397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D．响应文件的递交</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_Toc26397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11202D1">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_Toc13733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21．响应文件的</w:t>
      </w:r>
      <w:r>
        <w:rPr>
          <w:rFonts w:hint="eastAsia" w:ascii="仿宋" w:hAnsi="仿宋" w:eastAsia="仿宋" w:cs="仿宋"/>
          <w:i w:val="0"/>
          <w:iCs w:val="0"/>
          <w:sz w:val="24"/>
          <w:szCs w:val="24"/>
          <w:lang w:val="en-US" w:eastAsia="zh-CN"/>
        </w:rPr>
        <w:t>递交</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_Toc13733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8C0DF0F">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_Toc22190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22．磋商截止时间</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_Toc22190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ED668A9">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_Toc4515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23．响应文件的修改与撤回</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_Toc4515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F250F37">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_Toc31430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E．磋商/评审</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_Toc31430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19</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038FF272">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_Toc21703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24．磋商</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_Toc21703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19</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0D6A522F">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_Toc7224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25．磋商小组</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_Toc7224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19</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313200E">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_Toc17530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26．响应文件的审核</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_Toc17530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20</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81EE897">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_Toc4896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27．响应文件的澄清</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_Toc4896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21</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F78B9D8">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_Toc18270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28．响应文件的比较和评价</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_Toc18270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21</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5D223F2">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_Toc9924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29．评审原则及主要方法</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_Toc9924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22</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488F781E">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_Toc15902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30．与采购人、采购代理机构和磋商小组接触</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_Toc15902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C21336F">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_Toc6558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F．授予合同</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_Toc6558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E94A0EA">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_Toc10889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31．供应商确定及合同授予</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_Toc10889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C30ECB0">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_Toc824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32．接受和拒绝任何或所有磋商的权力</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_Toc824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7A0DAB9C">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_Toc23643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lang w:val="en-US" w:eastAsia="zh-CN"/>
        </w:rPr>
        <w:t>33.</w:t>
      </w:r>
      <w:r>
        <w:rPr>
          <w:rFonts w:hint="eastAsia" w:ascii="仿宋" w:hAnsi="仿宋" w:eastAsia="仿宋" w:cs="仿宋"/>
          <w:i w:val="0"/>
          <w:iCs w:val="0"/>
          <w:sz w:val="24"/>
          <w:szCs w:val="24"/>
        </w:rPr>
        <w:t>合同的履约验收</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_Toc23643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13DB1E22">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_Toc5072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w:t>
      </w:r>
      <w:r>
        <w:rPr>
          <w:rFonts w:hint="eastAsia" w:ascii="仿宋" w:hAnsi="仿宋" w:eastAsia="仿宋" w:cs="仿宋"/>
          <w:i w:val="0"/>
          <w:iCs w:val="0"/>
          <w:sz w:val="24"/>
          <w:szCs w:val="24"/>
          <w:lang w:val="en-US" w:eastAsia="zh-CN"/>
        </w:rPr>
        <w:t>4</w:t>
      </w:r>
      <w:r>
        <w:rPr>
          <w:rFonts w:hint="eastAsia" w:ascii="仿宋" w:hAnsi="仿宋" w:eastAsia="仿宋" w:cs="仿宋"/>
          <w:i w:val="0"/>
          <w:iCs w:val="0"/>
          <w:sz w:val="24"/>
          <w:szCs w:val="24"/>
        </w:rPr>
        <w:t>．履约保证金</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_Toc5072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1C99FB05">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_Toc8069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w:t>
      </w:r>
      <w:r>
        <w:rPr>
          <w:rFonts w:hint="eastAsia" w:ascii="仿宋" w:hAnsi="仿宋" w:eastAsia="仿宋" w:cs="仿宋"/>
          <w:i w:val="0"/>
          <w:iCs w:val="0"/>
          <w:sz w:val="24"/>
          <w:szCs w:val="24"/>
          <w:lang w:val="en-US" w:eastAsia="zh-CN"/>
        </w:rPr>
        <w:t>5</w:t>
      </w:r>
      <w:r>
        <w:rPr>
          <w:rFonts w:hint="eastAsia" w:ascii="仿宋" w:hAnsi="仿宋" w:eastAsia="仿宋" w:cs="仿宋"/>
          <w:i w:val="0"/>
          <w:iCs w:val="0"/>
          <w:sz w:val="24"/>
          <w:szCs w:val="24"/>
        </w:rPr>
        <w:t>．腐败和欺诈行为</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_Toc8069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6A648915">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_Toc13851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w:t>
      </w:r>
      <w:r>
        <w:rPr>
          <w:rFonts w:hint="eastAsia" w:ascii="仿宋" w:hAnsi="仿宋" w:eastAsia="仿宋" w:cs="仿宋"/>
          <w:i w:val="0"/>
          <w:iCs w:val="0"/>
          <w:sz w:val="24"/>
          <w:szCs w:val="24"/>
          <w:lang w:val="en-US" w:eastAsia="zh-CN"/>
        </w:rPr>
        <w:t>6</w:t>
      </w:r>
      <w:r>
        <w:rPr>
          <w:rFonts w:hint="eastAsia" w:ascii="仿宋" w:hAnsi="仿宋" w:eastAsia="仿宋" w:cs="仿宋"/>
          <w:i w:val="0"/>
          <w:iCs w:val="0"/>
          <w:sz w:val="24"/>
          <w:szCs w:val="24"/>
        </w:rPr>
        <w:t>. 招标代理服务费</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_Toc13851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64E2D277">
      <w:pPr>
        <w:pStyle w:val="20"/>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_Toc5479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3</w:t>
      </w:r>
      <w:r>
        <w:rPr>
          <w:rFonts w:hint="eastAsia" w:ascii="仿宋" w:hAnsi="仿宋" w:eastAsia="仿宋" w:cs="仿宋"/>
          <w:i w:val="0"/>
          <w:iCs w:val="0"/>
          <w:sz w:val="24"/>
          <w:szCs w:val="24"/>
          <w:lang w:val="en-US" w:eastAsia="zh-CN"/>
        </w:rPr>
        <w:t>7</w:t>
      </w:r>
      <w:r>
        <w:rPr>
          <w:rFonts w:hint="eastAsia" w:ascii="仿宋" w:hAnsi="仿宋" w:eastAsia="仿宋" w:cs="仿宋"/>
          <w:i w:val="0"/>
          <w:iCs w:val="0"/>
          <w:sz w:val="24"/>
          <w:szCs w:val="24"/>
        </w:rPr>
        <w:t xml:space="preserve"> 融资担保</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_Toc5479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1BF5304F">
      <w:pPr>
        <w:pStyle w:val="28"/>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_Toc24012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第四部分  合同格式(仅供参考)</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_Toc24012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29</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51BBEBD">
      <w:pPr>
        <w:pStyle w:val="28"/>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_Toc9074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bCs/>
          <w:i w:val="0"/>
          <w:iCs w:val="0"/>
          <w:sz w:val="24"/>
          <w:szCs w:val="24"/>
        </w:rPr>
        <w:t>第五部分  附件—磋商响应文件格式</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_Toc9074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36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19AEB235">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_Toc16623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附件1  磋商响应函</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_Toc16623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38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015EBC24">
      <w:pPr>
        <w:pStyle w:val="32"/>
        <w:tabs>
          <w:tab w:val="right" w:leader="dot" w:pos="8839"/>
        </w:tabs>
        <w:rPr>
          <w:rFonts w:hint="eastAsia" w:ascii="仿宋" w:hAnsi="仿宋" w:eastAsia="仿宋" w:cs="仿宋"/>
          <w:i w:val="0"/>
          <w:iCs w:val="0"/>
          <w:sz w:val="24"/>
          <w:szCs w:val="24"/>
          <w:highlight w:val="none"/>
        </w:rPr>
      </w:pPr>
      <w:r>
        <w:rPr>
          <w:rFonts w:hint="eastAsia" w:ascii="仿宋" w:hAnsi="仿宋" w:eastAsia="仿宋" w:cs="仿宋"/>
          <w:bCs/>
          <w:i w:val="0"/>
          <w:iCs w:val="0"/>
          <w:caps w:val="0"/>
          <w:smallCaps w:val="0"/>
          <w:color w:val="auto"/>
          <w:sz w:val="24"/>
          <w:szCs w:val="24"/>
          <w:highlight w:val="none"/>
        </w:rPr>
        <w:fldChar w:fldCharType="begin"/>
      </w:r>
      <w:r>
        <w:rPr>
          <w:rFonts w:hint="eastAsia" w:ascii="仿宋" w:hAnsi="仿宋" w:eastAsia="仿宋" w:cs="仿宋"/>
          <w:bCs/>
          <w:i w:val="0"/>
          <w:iCs w:val="0"/>
          <w:caps w:val="0"/>
          <w:smallCaps w:val="0"/>
          <w:sz w:val="24"/>
          <w:szCs w:val="24"/>
          <w:highlight w:val="none"/>
        </w:rPr>
        <w:instrText xml:space="preserve"> HYPERLINK \l _Toc31838 </w:instrText>
      </w:r>
      <w:r>
        <w:rPr>
          <w:rFonts w:hint="eastAsia" w:ascii="仿宋" w:hAnsi="仿宋" w:eastAsia="仿宋" w:cs="仿宋"/>
          <w:bCs/>
          <w:i w:val="0"/>
          <w:iCs w:val="0"/>
          <w:caps w:val="0"/>
          <w:smallCaps w:val="0"/>
          <w:sz w:val="24"/>
          <w:szCs w:val="24"/>
          <w:highlight w:val="none"/>
        </w:rPr>
        <w:fldChar w:fldCharType="separate"/>
      </w:r>
      <w:r>
        <w:rPr>
          <w:rFonts w:hint="eastAsia" w:ascii="仿宋" w:hAnsi="仿宋" w:eastAsia="仿宋" w:cs="仿宋"/>
          <w:i w:val="0"/>
          <w:iCs w:val="0"/>
          <w:sz w:val="24"/>
          <w:szCs w:val="24"/>
          <w:highlight w:val="none"/>
        </w:rPr>
        <w:t>附件2  磋商报价表</w:t>
      </w:r>
      <w:r>
        <w:rPr>
          <w:rFonts w:hint="eastAsia" w:ascii="仿宋" w:hAnsi="仿宋" w:eastAsia="仿宋" w:cs="仿宋"/>
          <w:i w:val="0"/>
          <w:iCs w:val="0"/>
          <w:sz w:val="24"/>
          <w:szCs w:val="24"/>
          <w:highlight w:val="none"/>
        </w:rPr>
        <w:tab/>
      </w:r>
      <w:r>
        <w:rPr>
          <w:rFonts w:hint="eastAsia" w:ascii="仿宋" w:hAnsi="仿宋" w:eastAsia="仿宋" w:cs="仿宋"/>
          <w:i w:val="0"/>
          <w:iCs w:val="0"/>
          <w:sz w:val="24"/>
          <w:szCs w:val="24"/>
          <w:highlight w:val="none"/>
        </w:rPr>
        <w:fldChar w:fldCharType="begin"/>
      </w:r>
      <w:r>
        <w:rPr>
          <w:rFonts w:hint="eastAsia" w:ascii="仿宋" w:hAnsi="仿宋" w:eastAsia="仿宋" w:cs="仿宋"/>
          <w:i w:val="0"/>
          <w:iCs w:val="0"/>
          <w:sz w:val="24"/>
          <w:szCs w:val="24"/>
          <w:highlight w:val="none"/>
        </w:rPr>
        <w:instrText xml:space="preserve"> PAGEREF _Toc31838 \h </w:instrText>
      </w:r>
      <w:r>
        <w:rPr>
          <w:rFonts w:hint="eastAsia" w:ascii="仿宋" w:hAnsi="仿宋" w:eastAsia="仿宋" w:cs="仿宋"/>
          <w:i w:val="0"/>
          <w:iCs w:val="0"/>
          <w:sz w:val="24"/>
          <w:szCs w:val="24"/>
          <w:highlight w:val="none"/>
        </w:rPr>
        <w:fldChar w:fldCharType="separate"/>
      </w:r>
      <w:r>
        <w:rPr>
          <w:rFonts w:hint="eastAsia" w:ascii="仿宋" w:hAnsi="仿宋" w:eastAsia="仿宋" w:cs="仿宋"/>
          <w:i w:val="0"/>
          <w:iCs w:val="0"/>
          <w:sz w:val="24"/>
          <w:szCs w:val="24"/>
          <w:highlight w:val="none"/>
        </w:rPr>
        <w:t>39</w:t>
      </w:r>
      <w:r>
        <w:rPr>
          <w:rFonts w:hint="eastAsia" w:ascii="仿宋" w:hAnsi="仿宋" w:eastAsia="仿宋" w:cs="仿宋"/>
          <w:i w:val="0"/>
          <w:iCs w:val="0"/>
          <w:sz w:val="24"/>
          <w:szCs w:val="24"/>
          <w:highlight w:val="none"/>
        </w:rPr>
        <w:fldChar w:fldCharType="end"/>
      </w:r>
      <w:r>
        <w:rPr>
          <w:rFonts w:hint="eastAsia" w:ascii="仿宋" w:hAnsi="仿宋" w:eastAsia="仿宋" w:cs="仿宋"/>
          <w:bCs/>
          <w:i w:val="0"/>
          <w:iCs w:val="0"/>
          <w:caps w:val="0"/>
          <w:smallCaps w:val="0"/>
          <w:color w:val="auto"/>
          <w:sz w:val="24"/>
          <w:szCs w:val="24"/>
          <w:highlight w:val="none"/>
        </w:rPr>
        <w:fldChar w:fldCharType="end"/>
      </w:r>
    </w:p>
    <w:p w14:paraId="3281F9B2">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highlight w:val="none"/>
        </w:rPr>
        <w:fldChar w:fldCharType="begin"/>
      </w:r>
      <w:r>
        <w:rPr>
          <w:rFonts w:hint="eastAsia" w:ascii="仿宋" w:hAnsi="仿宋" w:eastAsia="仿宋" w:cs="仿宋"/>
          <w:bCs/>
          <w:i w:val="0"/>
          <w:iCs w:val="0"/>
          <w:caps w:val="0"/>
          <w:smallCaps w:val="0"/>
          <w:sz w:val="24"/>
          <w:szCs w:val="24"/>
          <w:highlight w:val="none"/>
        </w:rPr>
        <w:instrText xml:space="preserve"> HYPERLINK \l _Toc12493 </w:instrText>
      </w:r>
      <w:r>
        <w:rPr>
          <w:rFonts w:hint="eastAsia" w:ascii="仿宋" w:hAnsi="仿宋" w:eastAsia="仿宋" w:cs="仿宋"/>
          <w:bCs/>
          <w:i w:val="0"/>
          <w:iCs w:val="0"/>
          <w:caps w:val="0"/>
          <w:smallCaps w:val="0"/>
          <w:sz w:val="24"/>
          <w:szCs w:val="24"/>
          <w:highlight w:val="none"/>
        </w:rPr>
        <w:fldChar w:fldCharType="separate"/>
      </w:r>
      <w:r>
        <w:rPr>
          <w:rFonts w:hint="eastAsia" w:ascii="仿宋" w:hAnsi="仿宋" w:eastAsia="仿宋" w:cs="仿宋"/>
          <w:i w:val="0"/>
          <w:iCs w:val="0"/>
          <w:sz w:val="24"/>
          <w:szCs w:val="24"/>
          <w:highlight w:val="none"/>
        </w:rPr>
        <w:t>附件</w:t>
      </w:r>
      <w:r>
        <w:rPr>
          <w:rFonts w:hint="eastAsia" w:ascii="仿宋" w:hAnsi="仿宋" w:eastAsia="仿宋" w:cs="仿宋"/>
          <w:i w:val="0"/>
          <w:iCs w:val="0"/>
          <w:sz w:val="24"/>
          <w:szCs w:val="24"/>
          <w:highlight w:val="none"/>
          <w:lang w:val="en-US" w:eastAsia="zh-CN"/>
        </w:rPr>
        <w:t xml:space="preserve">3  </w:t>
      </w:r>
      <w:r>
        <w:rPr>
          <w:rFonts w:hint="eastAsia" w:ascii="仿宋" w:hAnsi="仿宋" w:eastAsia="仿宋" w:cs="仿宋"/>
          <w:i w:val="0"/>
          <w:iCs w:val="0"/>
          <w:sz w:val="24"/>
          <w:szCs w:val="24"/>
          <w:highlight w:val="none"/>
          <w:lang w:eastAsia="zh-CN"/>
        </w:rPr>
        <w:t>商务偏离表</w:t>
      </w:r>
      <w:r>
        <w:rPr>
          <w:rFonts w:hint="eastAsia" w:ascii="仿宋" w:hAnsi="仿宋" w:eastAsia="仿宋" w:cs="仿宋"/>
          <w:i w:val="0"/>
          <w:iCs w:val="0"/>
          <w:sz w:val="24"/>
          <w:szCs w:val="24"/>
          <w:highlight w:val="none"/>
        </w:rPr>
        <w:tab/>
      </w:r>
      <w:r>
        <w:rPr>
          <w:rFonts w:hint="eastAsia" w:ascii="仿宋" w:hAnsi="仿宋" w:eastAsia="仿宋" w:cs="仿宋"/>
          <w:i w:val="0"/>
          <w:iCs w:val="0"/>
          <w:sz w:val="24"/>
          <w:szCs w:val="24"/>
          <w:highlight w:val="none"/>
        </w:rPr>
        <w:fldChar w:fldCharType="begin"/>
      </w:r>
      <w:r>
        <w:rPr>
          <w:rFonts w:hint="eastAsia" w:ascii="仿宋" w:hAnsi="仿宋" w:eastAsia="仿宋" w:cs="仿宋"/>
          <w:i w:val="0"/>
          <w:iCs w:val="0"/>
          <w:sz w:val="24"/>
          <w:szCs w:val="24"/>
          <w:highlight w:val="none"/>
        </w:rPr>
        <w:instrText xml:space="preserve"> PAGEREF _Toc12493 \h </w:instrText>
      </w:r>
      <w:r>
        <w:rPr>
          <w:rFonts w:hint="eastAsia" w:ascii="仿宋" w:hAnsi="仿宋" w:eastAsia="仿宋" w:cs="仿宋"/>
          <w:i w:val="0"/>
          <w:iCs w:val="0"/>
          <w:sz w:val="24"/>
          <w:szCs w:val="24"/>
          <w:highlight w:val="none"/>
        </w:rPr>
        <w:fldChar w:fldCharType="separate"/>
      </w:r>
      <w:r>
        <w:rPr>
          <w:rFonts w:hint="eastAsia" w:ascii="仿宋" w:hAnsi="仿宋" w:eastAsia="仿宋" w:cs="仿宋"/>
          <w:i w:val="0"/>
          <w:iCs w:val="0"/>
          <w:sz w:val="24"/>
          <w:szCs w:val="24"/>
          <w:highlight w:val="none"/>
        </w:rPr>
        <w:t>40</w:t>
      </w:r>
      <w:r>
        <w:rPr>
          <w:rFonts w:hint="eastAsia" w:ascii="仿宋" w:hAnsi="仿宋" w:eastAsia="仿宋" w:cs="仿宋"/>
          <w:i w:val="0"/>
          <w:iCs w:val="0"/>
          <w:sz w:val="24"/>
          <w:szCs w:val="24"/>
          <w:highlight w:val="none"/>
        </w:rPr>
        <w:fldChar w:fldCharType="end"/>
      </w:r>
      <w:r>
        <w:rPr>
          <w:rFonts w:hint="eastAsia" w:ascii="仿宋" w:hAnsi="仿宋" w:eastAsia="仿宋" w:cs="仿宋"/>
          <w:bCs/>
          <w:i w:val="0"/>
          <w:iCs w:val="0"/>
          <w:caps w:val="0"/>
          <w:smallCaps w:val="0"/>
          <w:color w:val="auto"/>
          <w:sz w:val="24"/>
          <w:szCs w:val="24"/>
          <w:highlight w:val="none"/>
        </w:rPr>
        <w:fldChar w:fldCharType="end"/>
      </w:r>
    </w:p>
    <w:p w14:paraId="2A0964D0">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_Toc14326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4</w:t>
      </w:r>
      <w:r>
        <w:rPr>
          <w:rFonts w:hint="eastAsia" w:ascii="仿宋" w:hAnsi="仿宋" w:eastAsia="仿宋" w:cs="仿宋"/>
          <w:i w:val="0"/>
          <w:iCs w:val="0"/>
          <w:sz w:val="24"/>
          <w:szCs w:val="24"/>
        </w:rPr>
        <w:t xml:space="preserve">  </w:t>
      </w:r>
      <w:r>
        <w:rPr>
          <w:rFonts w:hint="eastAsia" w:ascii="仿宋" w:hAnsi="仿宋" w:eastAsia="仿宋" w:cs="仿宋"/>
          <w:bCs/>
          <w:i w:val="0"/>
          <w:iCs w:val="0"/>
          <w:sz w:val="24"/>
          <w:szCs w:val="24"/>
          <w:highlight w:val="none"/>
        </w:rPr>
        <w:t>资格证明文件</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_Toc14326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41</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2D65EE47">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_Toc12570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 xml:space="preserve">5  </w:t>
      </w:r>
      <w:r>
        <w:rPr>
          <w:rFonts w:hint="eastAsia" w:ascii="仿宋" w:hAnsi="仿宋" w:eastAsia="仿宋" w:cs="仿宋"/>
          <w:i w:val="0"/>
          <w:iCs w:val="0"/>
          <w:sz w:val="24"/>
          <w:szCs w:val="24"/>
        </w:rPr>
        <w:t>法定代表人授权委托书</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_Toc12570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4863BCC7">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_Toc23982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6  非联合体承诺</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_Toc23982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15BC4392">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_Toc14204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bCs/>
          <w:i w:val="0"/>
          <w:iCs w:val="0"/>
          <w:kern w:val="2"/>
          <w:sz w:val="24"/>
          <w:szCs w:val="24"/>
          <w:lang w:val="en-US" w:eastAsia="zh-CN" w:bidi="ar-SA"/>
        </w:rPr>
        <w:t>附件7  方案</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_Toc14204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46</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37EF5960">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_Toc9183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bCs/>
          <w:i w:val="0"/>
          <w:iCs w:val="0"/>
          <w:kern w:val="2"/>
          <w:sz w:val="24"/>
          <w:szCs w:val="24"/>
          <w:lang w:val="en-US" w:eastAsia="zh-CN" w:bidi="ar-SA"/>
        </w:rPr>
        <w:t>附件8  拟投入本项目的人员</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_Toc9183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47</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0A4EEB52">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_Toc26621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9</w:t>
      </w:r>
      <w:r>
        <w:rPr>
          <w:rFonts w:hint="eastAsia" w:ascii="仿宋" w:hAnsi="仿宋" w:eastAsia="仿宋" w:cs="仿宋"/>
          <w:i w:val="0"/>
          <w:iCs w:val="0"/>
          <w:sz w:val="24"/>
          <w:szCs w:val="24"/>
        </w:rPr>
        <w:t xml:space="preserve">  项目业绩一览表</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_Toc26621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48</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464E6B6C">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_Toc23489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10</w:t>
      </w:r>
      <w:r>
        <w:rPr>
          <w:rFonts w:hint="eastAsia" w:ascii="仿宋" w:hAnsi="仿宋" w:eastAsia="仿宋" w:cs="仿宋"/>
          <w:i w:val="0"/>
          <w:iCs w:val="0"/>
          <w:sz w:val="24"/>
          <w:szCs w:val="24"/>
        </w:rPr>
        <w:t xml:space="preserve">  中小企业声明函（工程、服务）</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_Toc23489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49</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8D3D843">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_Toc27726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11</w:t>
      </w:r>
      <w:r>
        <w:rPr>
          <w:rFonts w:hint="eastAsia" w:ascii="仿宋" w:hAnsi="仿宋" w:eastAsia="仿宋" w:cs="仿宋"/>
          <w:i w:val="0"/>
          <w:iCs w:val="0"/>
          <w:sz w:val="24"/>
          <w:szCs w:val="24"/>
        </w:rPr>
        <w:t xml:space="preserve"> 服务承诺</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_Toc27726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50</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C200AE1">
      <w:pPr>
        <w:pStyle w:val="32"/>
        <w:tabs>
          <w:tab w:val="right" w:leader="dot" w:pos="8839"/>
        </w:tabs>
        <w:rPr>
          <w:rFonts w:hint="eastAsia" w:ascii="仿宋" w:hAnsi="仿宋" w:eastAsia="仿宋" w:cs="仿宋"/>
          <w:i w:val="0"/>
          <w:iCs w:val="0"/>
          <w:sz w:val="24"/>
          <w:szCs w:val="24"/>
        </w:rPr>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_Toc18114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附件</w:t>
      </w:r>
      <w:r>
        <w:rPr>
          <w:rFonts w:hint="eastAsia" w:ascii="仿宋" w:hAnsi="仿宋" w:eastAsia="仿宋" w:cs="仿宋"/>
          <w:i w:val="0"/>
          <w:iCs w:val="0"/>
          <w:sz w:val="24"/>
          <w:szCs w:val="24"/>
          <w:lang w:val="en-US" w:eastAsia="zh-CN"/>
        </w:rPr>
        <w:t>12</w:t>
      </w:r>
      <w:r>
        <w:rPr>
          <w:rFonts w:hint="eastAsia" w:ascii="仿宋" w:hAnsi="仿宋" w:eastAsia="仿宋" w:cs="仿宋"/>
          <w:i w:val="0"/>
          <w:iCs w:val="0"/>
          <w:sz w:val="24"/>
          <w:szCs w:val="24"/>
        </w:rPr>
        <w:t xml:space="preserve"> </w:t>
      </w:r>
      <w:r>
        <w:rPr>
          <w:rFonts w:hint="eastAsia" w:ascii="仿宋" w:hAnsi="仿宋" w:eastAsia="仿宋" w:cs="仿宋"/>
          <w:i w:val="0"/>
          <w:iCs w:val="0"/>
          <w:sz w:val="24"/>
          <w:szCs w:val="24"/>
          <w:lang w:val="en-US" w:eastAsia="zh-CN"/>
        </w:rPr>
        <w:t xml:space="preserve"> 其它</w:t>
      </w:r>
      <w:r>
        <w:rPr>
          <w:rFonts w:hint="eastAsia" w:ascii="仿宋" w:hAnsi="仿宋" w:eastAsia="仿宋" w:cs="仿宋"/>
          <w:i w:val="0"/>
          <w:iCs w:val="0"/>
          <w:sz w:val="24"/>
          <w:szCs w:val="24"/>
        </w:rPr>
        <w:t>证明材料</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_Toc18114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54</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41FF67C">
      <w:pPr>
        <w:pStyle w:val="28"/>
        <w:tabs>
          <w:tab w:val="right" w:leader="dot" w:pos="8839"/>
        </w:tabs>
      </w:pPr>
      <w:r>
        <w:rPr>
          <w:rFonts w:hint="eastAsia" w:ascii="仿宋" w:hAnsi="仿宋" w:eastAsia="仿宋" w:cs="仿宋"/>
          <w:bCs/>
          <w:i w:val="0"/>
          <w:iCs w:val="0"/>
          <w:caps w:val="0"/>
          <w:smallCaps w:val="0"/>
          <w:color w:val="auto"/>
          <w:sz w:val="24"/>
          <w:szCs w:val="24"/>
        </w:rPr>
        <w:fldChar w:fldCharType="begin"/>
      </w:r>
      <w:r>
        <w:rPr>
          <w:rFonts w:hint="eastAsia" w:ascii="仿宋" w:hAnsi="仿宋" w:eastAsia="仿宋" w:cs="仿宋"/>
          <w:bCs/>
          <w:i w:val="0"/>
          <w:iCs w:val="0"/>
          <w:caps w:val="0"/>
          <w:smallCaps w:val="0"/>
          <w:sz w:val="24"/>
          <w:szCs w:val="24"/>
        </w:rPr>
        <w:instrText xml:space="preserve"> HYPERLINK \l _Toc31463 </w:instrText>
      </w:r>
      <w:r>
        <w:rPr>
          <w:rFonts w:hint="eastAsia" w:ascii="仿宋" w:hAnsi="仿宋" w:eastAsia="仿宋" w:cs="仿宋"/>
          <w:bCs/>
          <w:i w:val="0"/>
          <w:iCs w:val="0"/>
          <w:caps w:val="0"/>
          <w:smallCaps w:val="0"/>
          <w:sz w:val="24"/>
          <w:szCs w:val="24"/>
        </w:rPr>
        <w:fldChar w:fldCharType="separate"/>
      </w:r>
      <w:r>
        <w:rPr>
          <w:rFonts w:hint="eastAsia" w:ascii="仿宋" w:hAnsi="仿宋" w:eastAsia="仿宋" w:cs="仿宋"/>
          <w:i w:val="0"/>
          <w:iCs w:val="0"/>
          <w:sz w:val="24"/>
          <w:szCs w:val="24"/>
        </w:rPr>
        <w:t>第六部分 采购内容及要求</w:t>
      </w:r>
      <w:r>
        <w:rPr>
          <w:rFonts w:hint="eastAsia" w:ascii="仿宋" w:hAnsi="仿宋" w:eastAsia="仿宋" w:cs="仿宋"/>
          <w:i w:val="0"/>
          <w:iCs w:val="0"/>
          <w:sz w:val="24"/>
          <w:szCs w:val="24"/>
        </w:rPr>
        <w:tab/>
      </w:r>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 PAGEREF _Toc31463 \h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 w:val="24"/>
          <w:szCs w:val="24"/>
        </w:rPr>
        <w:t>55</w:t>
      </w:r>
      <w:r>
        <w:rPr>
          <w:rFonts w:hint="eastAsia" w:ascii="仿宋" w:hAnsi="仿宋" w:eastAsia="仿宋" w:cs="仿宋"/>
          <w:i w:val="0"/>
          <w:iCs w:val="0"/>
          <w:sz w:val="24"/>
          <w:szCs w:val="24"/>
        </w:rPr>
        <w:fldChar w:fldCharType="end"/>
      </w:r>
      <w:r>
        <w:rPr>
          <w:rFonts w:hint="eastAsia" w:ascii="仿宋" w:hAnsi="仿宋" w:eastAsia="仿宋" w:cs="仿宋"/>
          <w:bCs/>
          <w:i w:val="0"/>
          <w:iCs w:val="0"/>
          <w:caps w:val="0"/>
          <w:smallCaps w:val="0"/>
          <w:color w:val="auto"/>
          <w:sz w:val="24"/>
          <w:szCs w:val="24"/>
        </w:rPr>
        <w:fldChar w:fldCharType="end"/>
      </w:r>
    </w:p>
    <w:p w14:paraId="554630FC">
      <w:pPr>
        <w:pStyle w:val="3"/>
        <w:spacing w:line="360" w:lineRule="auto"/>
        <w:jc w:val="center"/>
        <w:rPr>
          <w:rFonts w:ascii="仿宋" w:hAnsi="仿宋" w:eastAsia="仿宋" w:cs="仿宋"/>
          <w:color w:val="auto"/>
          <w:sz w:val="24"/>
          <w:szCs w:val="24"/>
        </w:rPr>
        <w:sectPr>
          <w:headerReference r:id="rId9" w:type="default"/>
          <w:footerReference r:id="rId10" w:type="default"/>
          <w:pgSz w:w="11906" w:h="16838"/>
          <w:pgMar w:top="1440" w:right="1423" w:bottom="1219" w:left="1644" w:header="720" w:footer="720" w:gutter="0"/>
          <w:pgNumType w:fmt="decimal"/>
          <w:cols w:space="720" w:num="1"/>
          <w:docGrid w:linePitch="312" w:charSpace="0"/>
        </w:sectPr>
      </w:pPr>
      <w:r>
        <w:rPr>
          <w:rFonts w:hint="eastAsia" w:ascii="仿宋" w:hAnsi="仿宋" w:eastAsia="仿宋" w:cs="仿宋"/>
          <w:bCs/>
          <w:i w:val="0"/>
          <w:iCs w:val="0"/>
          <w:caps w:val="0"/>
          <w:smallCaps w:val="0"/>
          <w:color w:val="auto"/>
          <w:szCs w:val="24"/>
        </w:rPr>
        <w:fldChar w:fldCharType="end"/>
      </w:r>
      <w:bookmarkStart w:id="0" w:name="_Toc246928891"/>
      <w:bookmarkStart w:id="1" w:name="_Toc193702467"/>
    </w:p>
    <w:bookmarkEnd w:id="0"/>
    <w:bookmarkEnd w:id="1"/>
    <w:p w14:paraId="44A5F050">
      <w:pPr>
        <w:pStyle w:val="3"/>
        <w:spacing w:line="360" w:lineRule="auto"/>
        <w:jc w:val="center"/>
        <w:rPr>
          <w:rFonts w:hint="eastAsia" w:ascii="仿宋_GB2312" w:hAnsi="仿宋_GB2312" w:eastAsia="仿宋_GB2312" w:cs="仿宋_GB2312"/>
          <w:color w:val="auto"/>
          <w:sz w:val="36"/>
        </w:rPr>
      </w:pPr>
      <w:bookmarkStart w:id="2" w:name="_Toc25769"/>
      <w:bookmarkStart w:id="3" w:name="_Toc7845"/>
      <w:bookmarkStart w:id="4" w:name="_Toc246928893"/>
      <w:r>
        <w:rPr>
          <w:rFonts w:hint="eastAsia" w:ascii="仿宋_GB2312" w:hAnsi="仿宋_GB2312" w:eastAsia="仿宋_GB2312" w:cs="仿宋_GB2312"/>
          <w:color w:val="auto"/>
          <w:sz w:val="36"/>
        </w:rPr>
        <w:t>第一部分  竞争性磋商公告</w:t>
      </w:r>
      <w:bookmarkEnd w:id="2"/>
      <w:bookmarkEnd w:id="3"/>
    </w:p>
    <w:p w14:paraId="555997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line="360" w:lineRule="auto"/>
        <w:jc w:val="center"/>
        <w:textAlignment w:val="auto"/>
        <w:rPr>
          <w:rFonts w:hint="eastAsia" w:ascii="仿宋" w:hAnsi="仿宋" w:eastAsia="仿宋" w:cs="仿宋"/>
          <w:b/>
          <w:bCs/>
          <w:i w:val="0"/>
          <w:iCs w:val="0"/>
          <w:caps w:val="0"/>
          <w:color w:val="auto"/>
          <w:spacing w:val="0"/>
          <w:kern w:val="0"/>
          <w:sz w:val="24"/>
          <w:szCs w:val="24"/>
          <w:bdr w:val="none" w:color="auto" w:sz="0" w:space="0"/>
          <w:shd w:val="clear" w:fill="FFFFFF"/>
          <w:lang w:val="en-US" w:eastAsia="zh-CN" w:bidi="ar"/>
        </w:rPr>
      </w:pPr>
      <w:r>
        <w:rPr>
          <w:rFonts w:hint="eastAsia" w:ascii="仿宋" w:hAnsi="仿宋" w:eastAsia="仿宋" w:cs="仿宋"/>
          <w:b/>
          <w:bCs/>
          <w:i w:val="0"/>
          <w:iCs w:val="0"/>
          <w:caps w:val="0"/>
          <w:color w:val="auto"/>
          <w:spacing w:val="0"/>
          <w:kern w:val="0"/>
          <w:sz w:val="24"/>
          <w:szCs w:val="24"/>
          <w:bdr w:val="none" w:color="auto" w:sz="0" w:space="0"/>
          <w:shd w:val="clear" w:fill="FFFFFF"/>
          <w:lang w:val="en-US" w:eastAsia="zh-CN" w:bidi="ar"/>
        </w:rPr>
        <w:t>陕西省西咸新区沣东新城管理委员会招商项目入区评审服务采购项目</w:t>
      </w:r>
    </w:p>
    <w:p w14:paraId="1EA0F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line="360" w:lineRule="auto"/>
        <w:jc w:val="center"/>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bdr w:val="none" w:color="auto" w:sz="0" w:space="0"/>
          <w:shd w:val="clear" w:fill="FFFFFF"/>
          <w:lang w:val="en-US" w:eastAsia="zh-CN" w:bidi="ar"/>
        </w:rPr>
        <w:t>竞争性磋商公告</w:t>
      </w:r>
    </w:p>
    <w:p w14:paraId="60DD26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项目概况</w:t>
      </w:r>
    </w:p>
    <w:p w14:paraId="7D175B3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招商项目入区评审服务采购项目采购项目的潜在供应商应在陕西省西咸新区公共资源交易平台自行下载获取采购文件，并于 2025年11月17日 14时00分 （北京时间）前提交响应文件。</w:t>
      </w:r>
    </w:p>
    <w:p w14:paraId="017AFC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一、项目基本情况</w:t>
      </w:r>
    </w:p>
    <w:p w14:paraId="03D8AA2A">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项目编号：SZT2025-SN-QC-ZC-FW-1084</w:t>
      </w:r>
    </w:p>
    <w:p w14:paraId="69FA7FE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项目名称：招商项目入区评审服务采购项目</w:t>
      </w:r>
    </w:p>
    <w:p w14:paraId="255EDA7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采购方式：竞争性磋商</w:t>
      </w:r>
    </w:p>
    <w:p w14:paraId="57498B5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预算金额：403,200.00元</w:t>
      </w:r>
    </w:p>
    <w:p w14:paraId="6EBE03E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w:t>
      </w:r>
    </w:p>
    <w:p w14:paraId="0470B60A">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合同包1(招商项目入区评审服务采购项目):</w:t>
      </w:r>
    </w:p>
    <w:p w14:paraId="47B358A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合同包预算金额：403,200.00元</w:t>
      </w:r>
    </w:p>
    <w:p w14:paraId="7D5A3E1F">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合同包最高限价：403,200.00元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8"/>
        <w:gridCol w:w="2387"/>
        <w:gridCol w:w="2387"/>
        <w:gridCol w:w="734"/>
        <w:gridCol w:w="1559"/>
        <w:gridCol w:w="1440"/>
      </w:tblGrid>
      <w:tr w14:paraId="73D20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459B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1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9DC5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1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0A4D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EEBE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9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8FE8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6C78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r>
      <w:tr w14:paraId="2CE21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C40E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1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8D50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评审咨询服务</w:t>
            </w:r>
          </w:p>
        </w:tc>
        <w:tc>
          <w:tcPr>
            <w:tcW w:w="1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E983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招商项目入区评审服务,</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BFA7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1(项目)</w:t>
            </w:r>
          </w:p>
        </w:tc>
        <w:tc>
          <w:tcPr>
            <w:tcW w:w="9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D932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19A4E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403,200.00</w:t>
            </w:r>
          </w:p>
        </w:tc>
      </w:tr>
    </w:tbl>
    <w:p w14:paraId="6E81034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本合同包不接受联合体投标</w:t>
      </w:r>
    </w:p>
    <w:p w14:paraId="42CE1D9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合同履行期限：一年。</w:t>
      </w:r>
      <w:bookmarkStart w:id="290" w:name="_GoBack"/>
      <w:bookmarkEnd w:id="290"/>
    </w:p>
    <w:p w14:paraId="096181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14:paraId="092EE2B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14:paraId="55782E0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14:paraId="41EEC4E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合同包1(招商项目入区评审服务采购项目)落实政府采购政策需满足的资格要求如下:</w:t>
      </w:r>
    </w:p>
    <w:p w14:paraId="240EFA33">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本项目为专门面向中小企业采购：仅限符合《政府采购促进中小企业发展办法》（财库〔2020〕46 号）条件的中小企业参与，供应商应填写中小企业声明函并对真实性负责。</w:t>
      </w:r>
    </w:p>
    <w:p w14:paraId="02B5F31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14:paraId="2567960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合同包1(招商项目入区评审服务采购项目)特定资格要求如下:</w:t>
      </w:r>
    </w:p>
    <w:p w14:paraId="004E2DF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无</w:t>
      </w:r>
    </w:p>
    <w:p w14:paraId="173D1A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三、获取采购文件</w:t>
      </w:r>
    </w:p>
    <w:p w14:paraId="54B415A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2025年11月06日 至 2025年11月12日 ，每天上午 00:00:00 至 12:00:00 ，下午 12:00:00 至 23:59:59 （北京时间）</w:t>
      </w:r>
    </w:p>
    <w:p w14:paraId="605EAA0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途径：陕西省西咸新区公共资源交易平台自行下载</w:t>
      </w:r>
    </w:p>
    <w:p w14:paraId="64DB0ED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方式：在线获取</w:t>
      </w:r>
    </w:p>
    <w:p w14:paraId="3001147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 0元</w:t>
      </w:r>
    </w:p>
    <w:p w14:paraId="04EDD2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四、响应文件提交</w:t>
      </w:r>
    </w:p>
    <w:p w14:paraId="5DB7BD6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截止时间： 2025年11月17日 14时00分00秒 （北京时间）</w:t>
      </w:r>
    </w:p>
    <w:p w14:paraId="1ED7B65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地点：全国公共资源交易平台（陕西省·西咸新区）（http://xxxq.sxggzyjy.cn/）网上电子递交</w:t>
      </w:r>
    </w:p>
    <w:p w14:paraId="6C21FD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五、开启</w:t>
      </w:r>
    </w:p>
    <w:p w14:paraId="2127606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2025年11月17日 14时00分00秒 （北京时间）</w:t>
      </w:r>
    </w:p>
    <w:p w14:paraId="29F8F2D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地点：全国公共资源交易中心（陕西省.西咸新区）平台不见面开标系统</w:t>
      </w:r>
    </w:p>
    <w:p w14:paraId="5D7048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六、公告期限</w:t>
      </w:r>
    </w:p>
    <w:p w14:paraId="770373C9">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自本公告发布之日起3个工作日。</w:t>
      </w:r>
    </w:p>
    <w:p w14:paraId="2E5EC7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七、其他补充事宜</w:t>
      </w:r>
    </w:p>
    <w:p w14:paraId="46AA18FA">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bdr w:val="none" w:color="auto" w:sz="0" w:space="0"/>
          <w:shd w:val="clear" w:fill="FFFFFF"/>
          <w:lang w:val="en-US" w:eastAsia="zh-CN" w:bidi="ar"/>
        </w:rPr>
        <w:t>1.供应商可登录全国公共资源交易平台（陕西省·西咸新区），选择本项目点击“我要投标”，在采购文件获取时限内，下载获取电子采购文件。逾期下载通道将关闭，未及时下载获取电子采购文件将会影响后续开评标活动（未及时下载的后期无法制作磋商响应文件，导致无法参与）。</w:t>
      </w:r>
    </w:p>
    <w:p w14:paraId="01EC159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bdr w:val="none" w:color="auto" w:sz="0" w:space="0"/>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14:paraId="0A6920A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bdr w:val="none" w:color="auto" w:sz="0" w:space="0"/>
          <w:shd w:val="clear" w:fill="FFFFFF"/>
          <w:lang w:val="en-US" w:eastAsia="zh-CN" w:bidi="ar"/>
        </w:rPr>
        <w:t>3.办理CA认证:电子交易平台现已接入陕西CA、深圳CA、西部CA、北京CA四家数字证书公司,各供应商在交易过程中登录系统、加密/解密投标文件、文件签章等均可使用上述四家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14:paraId="03EA247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bdr w:val="none" w:color="auto" w:sz="0" w:space="0"/>
          <w:shd w:val="clear" w:fill="FFFFFF"/>
          <w:lang w:val="en-US" w:eastAsia="zh-CN" w:bidi="ar"/>
        </w:rPr>
        <w:t>4.本项目采用“不见面开标”方式。不见面开标大厅登录方式为：全国公共资源交易平台（陕西省西咸新区）→电子交易平台→西咸新区公共资源交易不见面开标系统。具体内容详见招标文件。</w:t>
      </w:r>
    </w:p>
    <w:p w14:paraId="6810219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bdr w:val="none" w:color="auto" w:sz="0" w:space="0"/>
          <w:shd w:val="clear" w:fill="FFFFFF"/>
          <w:lang w:val="en-US" w:eastAsia="zh-CN" w:bidi="ar"/>
        </w:rPr>
        <w:t>5.提交响应文件截止时间前，供应商应随时留意【陕西省政府采购网〗、【全国公共资源交易平台（陕西省·西咸新区）〗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1FC87052">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6.落实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中国残疾人联合会关于促进残疾人就业政府采购政策的通知-财库〔2017〕141号；（5）财政部 国家发展和改革委员会关于印发《节能产品政府采购实施意见》的通知-财库〔2004〕185号；（6）财政部发展改革委关于印发节能产品政府采购品目清单的通知 -财库〔2019〕19号；（7）财政部、国家环保总局联合印发《关于环境标志产品政府采购实施的意见》-财库〔2006〕90号；（8）财政部 发展改革委 生态环境部 全国市场监督管理总局关于调整优化节能产品、环境标志产品政府采购执行机制的通知-财库〔2019〕9号；（9）财政部生态环境部关于印发环境标志产品政府采购品目清单的通知-财库〔2019〕18号；（10）财政部 农业农村部 国家乡村振兴局关于运用政府采购政策支持乡村产业振兴的通知-财库〔2021〕19号；（11）财政部、农业农村部、国家乡村振兴局、中华全国供销合作总社关于印发《关于深入开展政府采购脱贫地区农副产品工作推进乡村产业振兴的实施意见》的通知-财库〔2021〕20号；（12）陕西省财政厅关于落实政府采购支持中小企业政策有关事项的通知-陕财办采函〔2022〕10号；（13）陕西省财政厅关于进一步加强政府绿色采购有关问题的通知-陕财办采〔2021〕29号；（14）陕西省财政厅关于印发《陕西省中小企业政府采购信用融资办法》-陕财办采〔2018〕23号；（15）陕西省财政厅关于加快推进我省中小企业政府采购信用融资工作的通知-陕财办采〔2020〕15号；（16）陕西省财政厅 中国人民银行西安分行关于深入推进政府采购信用融资业务的通知-陕财办采〔2023〕5号；（17）西安市财政局关于促进政府采购公平竞争优化营商环境的通知-市财函〔2021〕431号；（18）西安市财政局关于贯彻落实&lt;西安市政府采购信用担保及信用融资工作实施方案（试行）&gt;有关事宜的通知-市财发〔2015〕4号；（19）如有最新颁布的政府采购政策，按最新的文件执行。</w:t>
      </w:r>
    </w:p>
    <w:p w14:paraId="28DF02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2" w:firstLineChars="200"/>
        <w:jc w:val="left"/>
        <w:textAlignment w:val="auto"/>
        <w:rPr>
          <w:rFonts w:hint="eastAsia" w:ascii="仿宋" w:hAnsi="仿宋" w:eastAsia="仿宋" w:cs="仿宋"/>
          <w:b w:val="0"/>
          <w:bCs w:val="0"/>
          <w:color w:val="auto"/>
          <w:sz w:val="24"/>
          <w:szCs w:val="24"/>
        </w:rPr>
      </w:pPr>
      <w:r>
        <w:rPr>
          <w:rStyle w:val="43"/>
          <w:rFonts w:hint="eastAsia" w:ascii="仿宋" w:hAnsi="仿宋" w:eastAsia="仿宋" w:cs="仿宋"/>
          <w:b/>
          <w:bCs/>
          <w:i w:val="0"/>
          <w:iCs w:val="0"/>
          <w:caps w:val="0"/>
          <w:color w:val="auto"/>
          <w:spacing w:val="0"/>
          <w:sz w:val="24"/>
          <w:szCs w:val="24"/>
          <w:bdr w:val="none" w:color="auto" w:sz="0" w:space="0"/>
          <w:shd w:val="clear" w:fill="FFFFFF"/>
        </w:rPr>
        <w:t>八、对本次招标提出询问，请按以下方式联系。</w:t>
      </w:r>
    </w:p>
    <w:p w14:paraId="7992D2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14:paraId="6958146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名称：陕西省西咸新区沣东新城管理委员会</w:t>
      </w:r>
    </w:p>
    <w:p w14:paraId="6D0AF6A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地址：西安市长安区红光路沣东大道沣东城市广场</w:t>
      </w:r>
    </w:p>
    <w:p w14:paraId="19EFAF9B">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联系方式：029-89108823</w:t>
      </w:r>
    </w:p>
    <w:p w14:paraId="323074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w:t>
      </w:r>
    </w:p>
    <w:p w14:paraId="448BBAD4">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名称：陕西中技招标有限公司</w:t>
      </w:r>
    </w:p>
    <w:p w14:paraId="7763EF95">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地址：西安市高新区高新四路1号高科广场A座1001室</w:t>
      </w:r>
    </w:p>
    <w:p w14:paraId="6492B1F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联系方式：029-88364979</w:t>
      </w:r>
    </w:p>
    <w:p w14:paraId="121370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14:paraId="2DAAB68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项目联系人：杨艳、李娜、单博、史肖霞</w:t>
      </w:r>
    </w:p>
    <w:p w14:paraId="4695A3A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firstLineChars="200"/>
        <w:jc w:val="both"/>
        <w:textAlignment w:val="auto"/>
        <w:rPr>
          <w:sz w:val="21"/>
          <w:szCs w:val="21"/>
        </w:rPr>
      </w:pPr>
      <w:r>
        <w:rPr>
          <w:rFonts w:hint="eastAsia" w:ascii="仿宋" w:hAnsi="仿宋" w:eastAsia="仿宋" w:cs="仿宋"/>
          <w:i w:val="0"/>
          <w:iCs w:val="0"/>
          <w:caps w:val="0"/>
          <w:color w:val="auto"/>
          <w:spacing w:val="0"/>
          <w:sz w:val="24"/>
          <w:szCs w:val="24"/>
          <w:bdr w:val="none" w:color="auto" w:sz="0" w:space="0"/>
          <w:shd w:val="clear" w:fill="FFFFFF"/>
        </w:rPr>
        <w:t>电话：029-88364979-842</w:t>
      </w:r>
    </w:p>
    <w:p w14:paraId="57F50890">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outlineLvl w:val="9"/>
        <w:rPr>
          <w:rFonts w:hint="default" w:ascii="仿宋" w:hAnsi="仿宋" w:eastAsia="仿宋" w:cs="仿宋"/>
          <w:color w:val="auto"/>
          <w:sz w:val="24"/>
          <w:szCs w:val="24"/>
          <w:lang w:val="en-US" w:eastAsia="zh-CN"/>
        </w:rPr>
      </w:pPr>
    </w:p>
    <w:p w14:paraId="125E0965">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outlineLvl w:val="9"/>
        <w:rPr>
          <w:rFonts w:hint="default" w:ascii="仿宋" w:hAnsi="仿宋" w:eastAsia="仿宋" w:cs="仿宋"/>
          <w:color w:val="auto"/>
          <w:sz w:val="24"/>
          <w:szCs w:val="24"/>
          <w:lang w:val="en-US" w:eastAsia="zh-CN"/>
        </w:rPr>
      </w:pPr>
    </w:p>
    <w:p w14:paraId="34243515">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outlineLvl w:val="9"/>
        <w:rPr>
          <w:rFonts w:hint="default" w:ascii="仿宋" w:hAnsi="仿宋" w:eastAsia="仿宋" w:cs="仿宋"/>
          <w:color w:val="auto"/>
          <w:sz w:val="24"/>
          <w:szCs w:val="24"/>
          <w:lang w:val="en-US" w:eastAsia="zh-CN"/>
        </w:rPr>
      </w:pPr>
    </w:p>
    <w:p w14:paraId="4127545F">
      <w:pPr>
        <w:pStyle w:val="3"/>
        <w:spacing w:line="360" w:lineRule="auto"/>
        <w:jc w:val="center"/>
        <w:rPr>
          <w:rFonts w:ascii="仿宋" w:hAnsi="仿宋" w:eastAsia="仿宋" w:cs="仿宋"/>
          <w:color w:val="auto"/>
          <w:sz w:val="36"/>
        </w:rPr>
      </w:pPr>
      <w:r>
        <w:rPr>
          <w:rFonts w:ascii="仿宋" w:hAnsi="仿宋" w:eastAsia="仿宋" w:cs="仿宋"/>
          <w:color w:val="auto"/>
          <w:sz w:val="24"/>
          <w:szCs w:val="24"/>
        </w:rPr>
        <w:br w:type="page"/>
      </w:r>
      <w:bookmarkStart w:id="5" w:name="_Toc21227"/>
      <w:r>
        <w:rPr>
          <w:rFonts w:ascii="仿宋" w:hAnsi="仿宋" w:eastAsia="仿宋" w:cs="仿宋"/>
          <w:color w:val="auto"/>
          <w:sz w:val="36"/>
        </w:rPr>
        <w:t>第二部分  供应商须知前附表</w:t>
      </w:r>
      <w:bookmarkEnd w:id="4"/>
      <w:bookmarkEnd w:id="5"/>
    </w:p>
    <w:tbl>
      <w:tblPr>
        <w:tblStyle w:val="39"/>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69"/>
        <w:gridCol w:w="7642"/>
      </w:tblGrid>
      <w:tr w14:paraId="0652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F2CCE7B">
            <w:pPr>
              <w:spacing w:line="360" w:lineRule="auto"/>
              <w:jc w:val="center"/>
              <w:rPr>
                <w:rFonts w:hint="eastAsia" w:ascii="仿宋" w:hAnsi="仿宋" w:eastAsia="仿宋" w:cs="仿宋"/>
                <w:b/>
                <w:bCs/>
                <w:color w:val="auto"/>
                <w:sz w:val="24"/>
              </w:rPr>
            </w:pPr>
            <w:bookmarkStart w:id="6" w:name="_Toc423508219"/>
            <w:bookmarkStart w:id="7" w:name="_Toc246928930"/>
            <w:bookmarkStart w:id="8" w:name="_Toc497551820"/>
            <w:bookmarkStart w:id="9" w:name="_Toc497711585"/>
            <w:bookmarkStart w:id="10" w:name="_Toc497546918"/>
            <w:bookmarkStart w:id="11" w:name="_Toc93800308"/>
            <w:bookmarkStart w:id="12" w:name="_Toc492955459"/>
            <w:bookmarkStart w:id="13" w:name="_Toc497712133"/>
            <w:r>
              <w:rPr>
                <w:rFonts w:hint="eastAsia" w:ascii="仿宋" w:hAnsi="仿宋" w:eastAsia="仿宋" w:cs="仿宋"/>
                <w:b/>
                <w:bCs/>
                <w:color w:val="auto"/>
                <w:sz w:val="24"/>
              </w:rPr>
              <w:t>序号</w:t>
            </w:r>
          </w:p>
        </w:tc>
        <w:tc>
          <w:tcPr>
            <w:tcW w:w="1669" w:type="dxa"/>
            <w:noWrap w:val="0"/>
            <w:vAlign w:val="center"/>
          </w:tcPr>
          <w:p w14:paraId="2804E5DC">
            <w:pPr>
              <w:spacing w:line="360" w:lineRule="auto"/>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条款</w:t>
            </w:r>
          </w:p>
        </w:tc>
        <w:tc>
          <w:tcPr>
            <w:tcW w:w="7642" w:type="dxa"/>
            <w:noWrap w:val="0"/>
            <w:vAlign w:val="center"/>
          </w:tcPr>
          <w:p w14:paraId="3F5055A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编列内容</w:t>
            </w:r>
          </w:p>
        </w:tc>
      </w:tr>
      <w:tr w14:paraId="1294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3" w:type="dxa"/>
            <w:noWrap w:val="0"/>
            <w:vAlign w:val="center"/>
          </w:tcPr>
          <w:p w14:paraId="12CB6D84">
            <w:pPr>
              <w:numPr>
                <w:ilvl w:val="0"/>
                <w:numId w:val="1"/>
              </w:numPr>
              <w:spacing w:line="360" w:lineRule="auto"/>
              <w:jc w:val="center"/>
              <w:rPr>
                <w:rFonts w:hint="eastAsia" w:ascii="仿宋" w:hAnsi="仿宋" w:eastAsia="仿宋" w:cs="仿宋"/>
                <w:b/>
                <w:bCs/>
                <w:color w:val="auto"/>
                <w:sz w:val="24"/>
                <w:highlight w:val="none"/>
              </w:rPr>
            </w:pPr>
          </w:p>
        </w:tc>
        <w:tc>
          <w:tcPr>
            <w:tcW w:w="1669" w:type="dxa"/>
            <w:noWrap w:val="0"/>
            <w:vAlign w:val="center"/>
          </w:tcPr>
          <w:p w14:paraId="78DF3901">
            <w:pPr>
              <w:spacing w:line="360" w:lineRule="auto"/>
              <w:ind w:leftChars="-9" w:hanging="19" w:hangingChars="8"/>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7642" w:type="dxa"/>
            <w:noWrap w:val="0"/>
            <w:vAlign w:val="center"/>
          </w:tcPr>
          <w:p w14:paraId="22A4209C">
            <w:pPr>
              <w:spacing w:line="360" w:lineRule="auto"/>
              <w:ind w:leftChars="-9" w:hanging="19" w:hangingChars="8"/>
              <w:rPr>
                <w:rFonts w:hint="eastAsia" w:ascii="仿宋" w:hAnsi="仿宋" w:eastAsia="仿宋" w:cs="仿宋"/>
                <w:color w:val="auto"/>
                <w:sz w:val="24"/>
                <w:highlight w:val="none"/>
              </w:rPr>
            </w:pPr>
            <w:r>
              <w:rPr>
                <w:rFonts w:hint="eastAsia" w:ascii="仿宋" w:hAnsi="仿宋" w:eastAsia="仿宋" w:cs="仿宋"/>
                <w:color w:val="auto"/>
                <w:sz w:val="24"/>
                <w:highlight w:val="none"/>
              </w:rPr>
              <w:t>招商项目入区评审服务采购项目</w:t>
            </w:r>
          </w:p>
        </w:tc>
      </w:tr>
      <w:tr w14:paraId="348F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3" w:type="dxa"/>
            <w:noWrap w:val="0"/>
            <w:vAlign w:val="center"/>
          </w:tcPr>
          <w:p w14:paraId="0A458664">
            <w:pPr>
              <w:numPr>
                <w:ilvl w:val="0"/>
                <w:numId w:val="1"/>
              </w:numPr>
              <w:spacing w:line="360" w:lineRule="auto"/>
              <w:jc w:val="center"/>
              <w:rPr>
                <w:rFonts w:hint="eastAsia" w:ascii="仿宋" w:hAnsi="仿宋" w:eastAsia="仿宋" w:cs="仿宋"/>
                <w:b/>
                <w:bCs/>
                <w:color w:val="auto"/>
                <w:sz w:val="24"/>
                <w:highlight w:val="none"/>
              </w:rPr>
            </w:pPr>
          </w:p>
        </w:tc>
        <w:tc>
          <w:tcPr>
            <w:tcW w:w="1669" w:type="dxa"/>
            <w:noWrap w:val="0"/>
            <w:vAlign w:val="center"/>
          </w:tcPr>
          <w:p w14:paraId="7966BEC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项目编号</w:t>
            </w:r>
          </w:p>
        </w:tc>
        <w:tc>
          <w:tcPr>
            <w:tcW w:w="7642" w:type="dxa"/>
            <w:noWrap w:val="0"/>
            <w:vAlign w:val="center"/>
          </w:tcPr>
          <w:p w14:paraId="46D4355C">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SZT2025-SN-QC-ZC-FW-1084</w:t>
            </w:r>
          </w:p>
        </w:tc>
      </w:tr>
      <w:tr w14:paraId="75AF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3" w:type="dxa"/>
            <w:noWrap w:val="0"/>
            <w:vAlign w:val="center"/>
          </w:tcPr>
          <w:p w14:paraId="7012BC2E">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09B81E3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资金来源</w:t>
            </w:r>
          </w:p>
        </w:tc>
        <w:tc>
          <w:tcPr>
            <w:tcW w:w="7642" w:type="dxa"/>
            <w:noWrap w:val="0"/>
            <w:vAlign w:val="center"/>
          </w:tcPr>
          <w:p w14:paraId="18258ACA">
            <w:pPr>
              <w:spacing w:line="360" w:lineRule="auto"/>
              <w:rPr>
                <w:rFonts w:hint="eastAsia" w:ascii="仿宋" w:hAnsi="仿宋" w:eastAsia="仿宋" w:cs="仿宋"/>
                <w:color w:val="auto"/>
                <w:sz w:val="24"/>
              </w:rPr>
            </w:pPr>
            <w:r>
              <w:rPr>
                <w:rFonts w:hint="eastAsia" w:ascii="仿宋" w:hAnsi="仿宋" w:eastAsia="仿宋" w:cs="仿宋"/>
                <w:color w:val="auto"/>
                <w:sz w:val="24"/>
              </w:rPr>
              <w:t>财政拨款</w:t>
            </w:r>
          </w:p>
        </w:tc>
      </w:tr>
      <w:tr w14:paraId="4F6C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0DC479DA">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7FCC9168">
            <w:pPr>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磋商公告</w:t>
            </w:r>
          </w:p>
        </w:tc>
        <w:tc>
          <w:tcPr>
            <w:tcW w:w="7642" w:type="dxa"/>
            <w:noWrap w:val="0"/>
            <w:vAlign w:val="center"/>
          </w:tcPr>
          <w:p w14:paraId="12896839">
            <w:pPr>
              <w:spacing w:line="36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rPr>
              <w:t>采购人：陕西省西咸新区沣东新城管理委员会</w:t>
            </w:r>
          </w:p>
          <w:p w14:paraId="69B74A05">
            <w:pPr>
              <w:spacing w:line="360" w:lineRule="auto"/>
              <w:ind w:left="960" w:hanging="960" w:hangingChars="400"/>
              <w:rPr>
                <w:rFonts w:hint="eastAsia" w:ascii="仿宋" w:hAnsi="仿宋" w:eastAsia="仿宋" w:cs="仿宋"/>
                <w:color w:val="auto"/>
                <w:sz w:val="24"/>
              </w:rPr>
            </w:pPr>
            <w:r>
              <w:rPr>
                <w:rFonts w:hint="eastAsia" w:ascii="仿宋" w:hAnsi="仿宋" w:eastAsia="仿宋" w:cs="仿宋"/>
                <w:color w:val="auto"/>
                <w:sz w:val="24"/>
              </w:rPr>
              <w:t>采购代理机构：陕西中技招标有限公司</w:t>
            </w:r>
          </w:p>
        </w:tc>
      </w:tr>
      <w:tr w14:paraId="37C3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1EF593FE">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16BBFDE6">
            <w:pPr>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采购内容</w:t>
            </w:r>
          </w:p>
        </w:tc>
        <w:tc>
          <w:tcPr>
            <w:tcW w:w="7642" w:type="dxa"/>
            <w:noWrap w:val="0"/>
            <w:vAlign w:val="center"/>
          </w:tcPr>
          <w:p w14:paraId="4BFADF27">
            <w:pPr>
              <w:spacing w:line="360" w:lineRule="auto"/>
              <w:rPr>
                <w:rFonts w:hint="eastAsia" w:ascii="仿宋" w:hAnsi="仿宋" w:eastAsia="仿宋" w:cs="仿宋"/>
                <w:color w:val="auto"/>
                <w:sz w:val="24"/>
              </w:rPr>
            </w:pPr>
            <w:r>
              <w:rPr>
                <w:rFonts w:hint="eastAsia" w:ascii="仿宋" w:hAnsi="仿宋" w:eastAsia="仿宋" w:cs="仿宋"/>
                <w:color w:val="auto"/>
                <w:sz w:val="24"/>
              </w:rPr>
              <w:t>本</w:t>
            </w:r>
            <w:r>
              <w:rPr>
                <w:rFonts w:hint="eastAsia" w:ascii="仿宋" w:hAnsi="仿宋" w:eastAsia="仿宋" w:cs="仿宋"/>
                <w:color w:val="auto"/>
                <w:sz w:val="24"/>
                <w:highlight w:val="none"/>
              </w:rPr>
              <w:t>次采购</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名称、数量具体情况</w:t>
            </w:r>
            <w:r>
              <w:rPr>
                <w:rFonts w:hint="eastAsia" w:ascii="仿宋" w:hAnsi="仿宋" w:eastAsia="仿宋" w:cs="仿宋"/>
                <w:color w:val="auto"/>
                <w:sz w:val="24"/>
              </w:rPr>
              <w:t>详见</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文件第</w:t>
            </w:r>
            <w:r>
              <w:rPr>
                <w:rFonts w:hint="eastAsia" w:ascii="仿宋" w:hAnsi="仿宋" w:eastAsia="仿宋" w:cs="仿宋"/>
                <w:color w:val="auto"/>
                <w:sz w:val="24"/>
                <w:lang w:val="en-US" w:eastAsia="zh-CN"/>
              </w:rPr>
              <w:t>六</w:t>
            </w:r>
            <w:r>
              <w:rPr>
                <w:rFonts w:hint="eastAsia" w:ascii="仿宋" w:hAnsi="仿宋" w:eastAsia="仿宋" w:cs="仿宋"/>
                <w:color w:val="auto"/>
                <w:sz w:val="24"/>
              </w:rPr>
              <w:t>部分项目概况、采购内容及要求。本次采购、</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报价、评审和合同授予均以</w:t>
            </w:r>
            <w:r>
              <w:rPr>
                <w:rFonts w:hint="eastAsia" w:ascii="仿宋" w:hAnsi="仿宋" w:eastAsia="仿宋" w:cs="仿宋"/>
                <w:color w:val="auto"/>
                <w:sz w:val="24"/>
                <w:lang w:val="en-US" w:eastAsia="zh-CN"/>
              </w:rPr>
              <w:t>项目</w:t>
            </w:r>
            <w:r>
              <w:rPr>
                <w:rFonts w:hint="eastAsia" w:ascii="仿宋" w:hAnsi="仿宋" w:eastAsia="仿宋" w:cs="仿宋"/>
                <w:color w:val="auto"/>
                <w:sz w:val="24"/>
              </w:rPr>
              <w:t>为单位，供应商必须就一个完整</w:t>
            </w:r>
            <w:r>
              <w:rPr>
                <w:rFonts w:hint="eastAsia" w:ascii="仿宋" w:hAnsi="仿宋" w:eastAsia="仿宋" w:cs="仿宋"/>
                <w:color w:val="auto"/>
                <w:sz w:val="24"/>
                <w:lang w:val="en-US" w:eastAsia="zh-CN"/>
              </w:rPr>
              <w:t>项目</w:t>
            </w:r>
            <w:r>
              <w:rPr>
                <w:rFonts w:hint="eastAsia" w:ascii="仿宋" w:hAnsi="仿宋" w:eastAsia="仿宋" w:cs="仿宋"/>
                <w:color w:val="auto"/>
                <w:sz w:val="24"/>
              </w:rPr>
              <w:t>进行响应。</w:t>
            </w:r>
          </w:p>
        </w:tc>
      </w:tr>
      <w:tr w14:paraId="3A87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4676B6A2">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1FBEE61E">
            <w:pPr>
              <w:spacing w:line="360" w:lineRule="auto"/>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资格要求</w:t>
            </w:r>
          </w:p>
        </w:tc>
        <w:tc>
          <w:tcPr>
            <w:tcW w:w="7642" w:type="dxa"/>
            <w:noWrap w:val="0"/>
            <w:vAlign w:val="center"/>
          </w:tcPr>
          <w:p w14:paraId="427309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rPr>
            </w:pPr>
            <w:r>
              <w:rPr>
                <w:rFonts w:hint="eastAsia" w:ascii="仿宋" w:hAnsi="仿宋" w:eastAsia="仿宋" w:cs="仿宋"/>
                <w:b/>
                <w:bCs/>
                <w:color w:val="auto"/>
                <w:sz w:val="24"/>
              </w:rPr>
              <w:t>一、基本资格条件：满足《中华人民共和国政府采购法》第二十二条规定：</w:t>
            </w:r>
          </w:p>
          <w:p w14:paraId="4560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1.具有独立承担民事责任的能力（企业法人应提供统一社会信用代码的营业执照；事业法人应提供事业单位法人证等证明文件；其他组织应提供合法证明文件；自然人提供身份证明文件）；</w:t>
            </w:r>
          </w:p>
          <w:p w14:paraId="01BA30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2.具有良好的商业信誉和健全的财务会计制度（提供2024年度财务审计报告或银行资信证明或财政部门认可的政府采购专业担保机构出具的担保函）；</w:t>
            </w:r>
          </w:p>
          <w:p w14:paraId="49B45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3.具有履行合同所必需的设备和专业技术能力；</w:t>
            </w:r>
          </w:p>
          <w:p w14:paraId="6703C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4.具有依法缴纳税收和社会保障资金的良好记录（提供开标前12个月内任一月份的社保和缴纳税收的证明，依法不需要缴纳社会保障资金、免税或无须缴纳税款的供应商，应提供相关证明文件)；</w:t>
            </w:r>
          </w:p>
          <w:p w14:paraId="76BCC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14:paraId="636EB0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rPr>
            </w:pPr>
            <w:r>
              <w:rPr>
                <w:rFonts w:hint="eastAsia" w:ascii="仿宋" w:hAnsi="仿宋" w:eastAsia="仿宋" w:cs="仿宋"/>
                <w:b/>
                <w:bCs/>
                <w:color w:val="auto"/>
                <w:sz w:val="24"/>
              </w:rPr>
              <w:t>二、特定资格条件：</w:t>
            </w:r>
          </w:p>
          <w:p w14:paraId="2606C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本项目为专门面向中小企业采购：仅限符合《政府采购促进中小企业发展办法》（财库〔2020〕46 号）条件的中小企业参与，供应商应填写中小企业声明函并对真实性负责。</w:t>
            </w:r>
          </w:p>
          <w:p w14:paraId="05D82347">
            <w:pPr>
              <w:keepNext w:val="0"/>
              <w:keepLines w:val="0"/>
              <w:pageBreakBefore w:val="0"/>
              <w:widowControl w:val="0"/>
              <w:kinsoku/>
              <w:wordWrap/>
              <w:overflowPunct/>
              <w:topLinePunct w:val="0"/>
              <w:autoSpaceDE/>
              <w:autoSpaceDN/>
              <w:bidi w:val="0"/>
              <w:adjustRightInd/>
              <w:snapToGrid/>
              <w:spacing w:line="360" w:lineRule="auto"/>
              <w:ind w:firstLine="406" w:firstLineChars="200"/>
              <w:textAlignment w:val="auto"/>
              <w:rPr>
                <w:rFonts w:hint="eastAsia" w:ascii="仿宋" w:hAnsi="仿宋" w:eastAsia="仿宋" w:cs="仿宋"/>
                <w:color w:val="auto"/>
                <w:sz w:val="24"/>
              </w:rPr>
            </w:pPr>
            <w:r>
              <w:rPr>
                <w:rFonts w:hint="eastAsia" w:ascii="仿宋" w:hAnsi="仿宋" w:eastAsia="仿宋" w:cs="仿宋"/>
                <w:b/>
                <w:bCs/>
                <w:color w:val="auto"/>
                <w:spacing w:val="-4"/>
              </w:rPr>
              <w:t>以上为必备资格要求，缺一项或某项达不到要求，按无效磋商</w:t>
            </w:r>
            <w:r>
              <w:rPr>
                <w:rFonts w:hint="eastAsia" w:ascii="仿宋" w:hAnsi="仿宋" w:eastAsia="仿宋" w:cs="仿宋"/>
                <w:b/>
                <w:bCs/>
                <w:color w:val="auto"/>
                <w:spacing w:val="-9"/>
              </w:rPr>
              <w:t>处理。基本资格条件2</w:t>
            </w:r>
            <w:r>
              <w:rPr>
                <w:rFonts w:hint="eastAsia" w:ascii="仿宋" w:hAnsi="仿宋" w:eastAsia="仿宋" w:cs="仿宋"/>
                <w:color w:val="auto"/>
                <w:spacing w:val="-32"/>
              </w:rPr>
              <w:t xml:space="preserve"> </w:t>
            </w:r>
            <w:r>
              <w:rPr>
                <w:rFonts w:hint="eastAsia" w:ascii="仿宋" w:hAnsi="仿宋" w:eastAsia="仿宋" w:cs="仿宋"/>
                <w:b/>
                <w:bCs/>
                <w:color w:val="auto"/>
                <w:spacing w:val="-9"/>
              </w:rPr>
              <w:t>至</w:t>
            </w:r>
            <w:r>
              <w:rPr>
                <w:rFonts w:hint="eastAsia" w:ascii="仿宋" w:hAnsi="仿宋" w:eastAsia="仿宋" w:cs="仿宋"/>
                <w:color w:val="auto"/>
                <w:spacing w:val="-44"/>
                <w:lang w:val="en-US" w:eastAsia="zh-CN"/>
              </w:rPr>
              <w:t>5</w:t>
            </w:r>
            <w:r>
              <w:rPr>
                <w:rFonts w:hint="eastAsia" w:ascii="仿宋" w:hAnsi="仿宋" w:eastAsia="仿宋" w:cs="仿宋"/>
                <w:b/>
                <w:bCs/>
                <w:color w:val="auto"/>
                <w:spacing w:val="-9"/>
              </w:rPr>
              <w:t>项，可由基本资格条件承诺函代替，</w:t>
            </w:r>
            <w:r>
              <w:rPr>
                <w:rFonts w:hint="eastAsia" w:ascii="仿宋" w:hAnsi="仿宋" w:eastAsia="仿宋" w:cs="仿宋"/>
                <w:b/>
                <w:bCs/>
                <w:color w:val="auto"/>
                <w:spacing w:val="-3"/>
              </w:rPr>
              <w:t>供应商未提供基本资格条件承诺函的，以实际所附基本资格证明材料为准</w:t>
            </w:r>
            <w:r>
              <w:rPr>
                <w:rFonts w:hint="eastAsia" w:ascii="仿宋" w:hAnsi="仿宋" w:eastAsia="仿宋" w:cs="仿宋"/>
                <w:b/>
                <w:bCs/>
                <w:color w:val="auto"/>
                <w:spacing w:val="-5"/>
              </w:rPr>
              <w:t>。</w:t>
            </w:r>
          </w:p>
        </w:tc>
      </w:tr>
      <w:tr w14:paraId="6F11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3" w:type="dxa"/>
            <w:noWrap w:val="0"/>
            <w:vAlign w:val="center"/>
          </w:tcPr>
          <w:p w14:paraId="165BC980">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01B24CC5">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服务期限</w:t>
            </w:r>
          </w:p>
        </w:tc>
        <w:tc>
          <w:tcPr>
            <w:tcW w:w="7642" w:type="dxa"/>
            <w:noWrap w:val="0"/>
            <w:vAlign w:val="center"/>
          </w:tcPr>
          <w:p w14:paraId="68167F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一年</w:t>
            </w:r>
          </w:p>
        </w:tc>
      </w:tr>
      <w:tr w14:paraId="7F03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05384EBF">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27554BF6">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服务地点</w:t>
            </w:r>
          </w:p>
        </w:tc>
        <w:tc>
          <w:tcPr>
            <w:tcW w:w="7642" w:type="dxa"/>
            <w:noWrap w:val="0"/>
            <w:vAlign w:val="center"/>
          </w:tcPr>
          <w:p w14:paraId="0F29C24E">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采购人指定地点</w:t>
            </w:r>
          </w:p>
        </w:tc>
      </w:tr>
      <w:tr w14:paraId="399F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020053DC">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18D8AAD1">
            <w:pPr>
              <w:spacing w:line="360" w:lineRule="auto"/>
              <w:jc w:val="center"/>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sz w:val="24"/>
                <w:szCs w:val="22"/>
                <w:highlight w:val="none"/>
              </w:rPr>
              <w:t>付款方式</w:t>
            </w:r>
          </w:p>
        </w:tc>
        <w:tc>
          <w:tcPr>
            <w:tcW w:w="7642" w:type="dxa"/>
            <w:noWrap w:val="0"/>
            <w:vAlign w:val="center"/>
          </w:tcPr>
          <w:p w14:paraId="3B29FBA3">
            <w:pPr>
              <w:spacing w:line="360" w:lineRule="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2"/>
                <w:highlight w:val="none"/>
              </w:rPr>
              <w:t>服务期每满六个月后，根据结算规定结算</w:t>
            </w:r>
            <w:r>
              <w:rPr>
                <w:rFonts w:hint="eastAsia" w:ascii="仿宋" w:hAnsi="仿宋" w:eastAsia="仿宋" w:cs="仿宋"/>
                <w:color w:val="auto"/>
                <w:sz w:val="24"/>
                <w:szCs w:val="22"/>
                <w:highlight w:val="none"/>
                <w:lang w:eastAsia="zh-CN"/>
              </w:rPr>
              <w:t>。</w:t>
            </w:r>
          </w:p>
        </w:tc>
      </w:tr>
      <w:tr w14:paraId="0531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3" w:type="dxa"/>
            <w:noWrap w:val="0"/>
            <w:vAlign w:val="center"/>
          </w:tcPr>
          <w:p w14:paraId="547F4A3D">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48669562">
            <w:pPr>
              <w:spacing w:line="360" w:lineRule="auto"/>
              <w:jc w:val="center"/>
              <w:rPr>
                <w:rFonts w:hint="eastAsia" w:ascii="仿宋" w:hAnsi="仿宋" w:eastAsia="仿宋" w:cs="仿宋"/>
                <w:b/>
                <w:bCs/>
                <w:color w:val="auto"/>
                <w:kern w:val="2"/>
                <w:sz w:val="24"/>
                <w:highlight w:val="none"/>
                <w:lang w:val="en-US" w:eastAsia="zh-CN" w:bidi="ar-SA"/>
              </w:rPr>
            </w:pPr>
            <w:r>
              <w:rPr>
                <w:rFonts w:hint="eastAsia" w:ascii="仿宋" w:hAnsi="仿宋" w:eastAsia="仿宋" w:cs="仿宋"/>
                <w:b/>
                <w:bCs/>
                <w:color w:val="auto"/>
                <w:sz w:val="24"/>
                <w:highlight w:val="none"/>
                <w:lang w:eastAsia="zh-CN"/>
              </w:rPr>
              <w:t>质量标准</w:t>
            </w:r>
          </w:p>
        </w:tc>
        <w:tc>
          <w:tcPr>
            <w:tcW w:w="7642" w:type="dxa"/>
            <w:noWrap w:val="0"/>
            <w:vAlign w:val="center"/>
          </w:tcPr>
          <w:p w14:paraId="2D5DD1FE">
            <w:pPr>
              <w:spacing w:line="360" w:lineRule="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eastAsia="zh-CN"/>
              </w:rPr>
              <w:t>达到国家相关规范、标准及采购人要求</w:t>
            </w:r>
          </w:p>
        </w:tc>
      </w:tr>
      <w:tr w14:paraId="1788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03E35E20">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029E14EA">
            <w:pPr>
              <w:widowControl/>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磋商报价</w:t>
            </w:r>
          </w:p>
        </w:tc>
        <w:tc>
          <w:tcPr>
            <w:tcW w:w="7642" w:type="dxa"/>
            <w:noWrap w:val="0"/>
            <w:vAlign w:val="center"/>
          </w:tcPr>
          <w:p w14:paraId="6E7EA06A">
            <w:pPr>
              <w:spacing w:line="360" w:lineRule="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磋商报价是供应商为完成本项目要求的全部磋商内容最终价格的体现。供应商所报的价格应考虑到可能发生的所有与完成本项目相关服务及履行合同义务有关的一切费用。磋商报价应包含但不限与以下内容：服务的价格、材料费、评审咨询费、评审专家费、成果打印及光盘刻录费用、必要的保险费用和各项税金、售后服务的费用、招标代理服务费等，任何有选择的报价将不予接受，按无效磋商处理。</w:t>
            </w:r>
          </w:p>
        </w:tc>
      </w:tr>
      <w:tr w14:paraId="689C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587C9DBD">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6FBD6459">
            <w:pPr>
              <w:widowControl/>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采购预算</w:t>
            </w:r>
          </w:p>
        </w:tc>
        <w:tc>
          <w:tcPr>
            <w:tcW w:w="7642" w:type="dxa"/>
            <w:noWrap w:val="0"/>
            <w:vAlign w:val="top"/>
          </w:tcPr>
          <w:p w14:paraId="17772C19">
            <w:pPr>
              <w:pStyle w:val="188"/>
              <w:spacing w:before="179" w:line="221" w:lineRule="auto"/>
              <w:ind w:left="38"/>
              <w:rPr>
                <w:color w:val="auto"/>
                <w:highlight w:val="none"/>
              </w:rPr>
            </w:pPr>
            <w:r>
              <w:rPr>
                <w:b/>
                <w:bCs/>
                <w:color w:val="auto"/>
                <w:spacing w:val="-2"/>
                <w:highlight w:val="none"/>
              </w:rPr>
              <w:t>评审咨询费综合单价预算</w:t>
            </w:r>
            <w:r>
              <w:rPr>
                <w:color w:val="auto"/>
                <w:spacing w:val="-2"/>
                <w:highlight w:val="none"/>
              </w:rPr>
              <w:t>：</w:t>
            </w:r>
            <w:r>
              <w:rPr>
                <w:rFonts w:ascii="Arial" w:hAnsi="Arial" w:eastAsia="Arial" w:cs="Arial"/>
                <w:color w:val="auto"/>
                <w:spacing w:val="-2"/>
                <w:highlight w:val="none"/>
              </w:rPr>
              <w:t>¥</w:t>
            </w:r>
            <w:r>
              <w:rPr>
                <w:color w:val="auto"/>
                <w:spacing w:val="-2"/>
                <w:highlight w:val="none"/>
              </w:rPr>
              <w:t>7,200.00/次</w:t>
            </w:r>
          </w:p>
          <w:p w14:paraId="0CA49F10">
            <w:pPr>
              <w:pStyle w:val="188"/>
              <w:spacing w:before="180" w:line="360" w:lineRule="auto"/>
              <w:ind w:left="36" w:right="58" w:firstLine="1"/>
              <w:rPr>
                <w:color w:val="auto"/>
                <w:highlight w:val="none"/>
              </w:rPr>
            </w:pPr>
            <w:r>
              <w:rPr>
                <w:b/>
                <w:bCs/>
                <w:color w:val="auto"/>
                <w:spacing w:val="-4"/>
                <w:highlight w:val="none"/>
              </w:rPr>
              <w:t>评审专家费综合单价预算</w:t>
            </w:r>
            <w:r>
              <w:rPr>
                <w:color w:val="auto"/>
                <w:spacing w:val="-4"/>
                <w:highlight w:val="none"/>
              </w:rPr>
              <w:t>：</w:t>
            </w:r>
            <w:r>
              <w:rPr>
                <w:rFonts w:ascii="Arial" w:hAnsi="Arial" w:eastAsia="Arial" w:cs="Arial"/>
                <w:color w:val="auto"/>
                <w:spacing w:val="-4"/>
                <w:highlight w:val="none"/>
              </w:rPr>
              <w:t>¥</w:t>
            </w:r>
            <w:r>
              <w:rPr>
                <w:color w:val="auto"/>
                <w:spacing w:val="-4"/>
                <w:highlight w:val="none"/>
              </w:rPr>
              <w:t>800.00/人/次（每次拟邀请专家人</w:t>
            </w:r>
            <w:r>
              <w:rPr>
                <w:color w:val="auto"/>
                <w:spacing w:val="1"/>
                <w:highlight w:val="none"/>
              </w:rPr>
              <w:t>数约为3</w:t>
            </w:r>
            <w:r>
              <w:rPr>
                <w:color w:val="auto"/>
                <w:spacing w:val="-31"/>
                <w:highlight w:val="none"/>
              </w:rPr>
              <w:t xml:space="preserve"> </w:t>
            </w:r>
            <w:r>
              <w:rPr>
                <w:color w:val="auto"/>
                <w:spacing w:val="1"/>
                <w:highlight w:val="none"/>
              </w:rPr>
              <w:t>人，具体以实际为准）</w:t>
            </w:r>
          </w:p>
          <w:p w14:paraId="106E919F">
            <w:pPr>
              <w:pStyle w:val="188"/>
              <w:spacing w:before="2" w:line="311" w:lineRule="auto"/>
              <w:ind w:left="86" w:leftChars="0" w:right="58" w:rightChars="0" w:hanging="2" w:firstLineChars="0"/>
              <w:rPr>
                <w:rFonts w:hint="eastAsia" w:ascii="仿宋" w:hAnsi="仿宋" w:eastAsia="仿宋" w:cs="仿宋"/>
                <w:color w:val="auto"/>
                <w:kern w:val="2"/>
                <w:sz w:val="24"/>
                <w:szCs w:val="22"/>
                <w:highlight w:val="none"/>
                <w:lang w:val="en-US" w:eastAsia="zh-CN" w:bidi="ar-SA"/>
              </w:rPr>
            </w:pPr>
            <w:r>
              <w:rPr>
                <w:color w:val="auto"/>
                <w:spacing w:val="-1"/>
                <w:highlight w:val="none"/>
              </w:rPr>
              <w:t>磋商总报价、磋商综合单价</w:t>
            </w:r>
            <w:r>
              <w:rPr>
                <w:rFonts w:hint="eastAsia"/>
                <w:color w:val="auto"/>
                <w:spacing w:val="-1"/>
                <w:highlight w:val="none"/>
                <w:lang w:val="en-US" w:eastAsia="zh-CN"/>
              </w:rPr>
              <w:t>不得</w:t>
            </w:r>
            <w:r>
              <w:rPr>
                <w:color w:val="auto"/>
                <w:spacing w:val="-1"/>
                <w:highlight w:val="none"/>
              </w:rPr>
              <w:t>高于竞争性磋商文件公布的采购总预算或磋商综合单价</w:t>
            </w:r>
            <w:r>
              <w:rPr>
                <w:rFonts w:hint="eastAsia"/>
                <w:color w:val="auto"/>
                <w:spacing w:val="-1"/>
                <w:highlight w:val="none"/>
                <w:lang w:eastAsia="zh-CN"/>
              </w:rPr>
              <w:t>，</w:t>
            </w:r>
            <w:r>
              <w:rPr>
                <w:rFonts w:hint="eastAsia"/>
                <w:color w:val="auto"/>
                <w:spacing w:val="-1"/>
                <w:highlight w:val="none"/>
                <w:lang w:val="en-US" w:eastAsia="zh-CN"/>
              </w:rPr>
              <w:t>高于</w:t>
            </w:r>
            <w:r>
              <w:rPr>
                <w:color w:val="auto"/>
                <w:spacing w:val="-1"/>
                <w:highlight w:val="none"/>
              </w:rPr>
              <w:t>将被视为无效</w:t>
            </w:r>
            <w:r>
              <w:rPr>
                <w:rFonts w:hint="eastAsia"/>
                <w:color w:val="auto"/>
                <w:spacing w:val="-1"/>
                <w:highlight w:val="none"/>
                <w:lang w:val="en-US" w:eastAsia="zh-CN"/>
              </w:rPr>
              <w:t>响应文件</w:t>
            </w:r>
            <w:r>
              <w:rPr>
                <w:color w:val="auto"/>
                <w:spacing w:val="-1"/>
                <w:highlight w:val="none"/>
              </w:rPr>
              <w:t>。</w:t>
            </w:r>
          </w:p>
        </w:tc>
      </w:tr>
      <w:tr w14:paraId="147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0087A767">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14894D20">
            <w:pPr>
              <w:widowControl/>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评审服务次数</w:t>
            </w:r>
          </w:p>
        </w:tc>
        <w:tc>
          <w:tcPr>
            <w:tcW w:w="7642" w:type="dxa"/>
            <w:noWrap w:val="0"/>
            <w:vAlign w:val="top"/>
          </w:tcPr>
          <w:p w14:paraId="3AA0ECAB">
            <w:pPr>
              <w:pStyle w:val="188"/>
              <w:spacing w:before="129" w:line="222" w:lineRule="auto"/>
              <w:ind w:left="43" w:leftChars="0"/>
              <w:rPr>
                <w:color w:val="auto"/>
                <w:spacing w:val="-1"/>
                <w:highlight w:val="none"/>
              </w:rPr>
            </w:pPr>
            <w:r>
              <w:rPr>
                <w:color w:val="auto"/>
                <w:spacing w:val="1"/>
                <w:highlight w:val="none"/>
              </w:rPr>
              <w:t>暂定</w:t>
            </w:r>
            <w:r>
              <w:rPr>
                <w:rFonts w:hint="eastAsia"/>
                <w:color w:val="auto"/>
                <w:spacing w:val="1"/>
                <w:highlight w:val="none"/>
                <w:lang w:val="en-US" w:eastAsia="zh-CN"/>
              </w:rPr>
              <w:t>42</w:t>
            </w:r>
            <w:r>
              <w:rPr>
                <w:color w:val="auto"/>
                <w:spacing w:val="1"/>
                <w:highlight w:val="none"/>
              </w:rPr>
              <w:t>次，最终以实际评审服务次数为准</w:t>
            </w:r>
          </w:p>
        </w:tc>
      </w:tr>
      <w:tr w14:paraId="1617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1CD07F4A">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0EE5377B">
            <w:pPr>
              <w:widowControl/>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结算方式</w:t>
            </w:r>
          </w:p>
        </w:tc>
        <w:tc>
          <w:tcPr>
            <w:tcW w:w="7642" w:type="dxa"/>
            <w:noWrap w:val="0"/>
            <w:vAlign w:val="top"/>
          </w:tcPr>
          <w:p w14:paraId="6DD2E3B4">
            <w:pPr>
              <w:pStyle w:val="188"/>
              <w:spacing w:before="118" w:line="312" w:lineRule="auto"/>
              <w:ind w:left="91" w:leftChars="0" w:right="58" w:rightChars="0" w:hanging="5" w:firstLineChars="0"/>
              <w:rPr>
                <w:color w:val="auto"/>
                <w:spacing w:val="-1"/>
                <w:highlight w:val="none"/>
              </w:rPr>
            </w:pPr>
            <w:r>
              <w:rPr>
                <w:color w:val="auto"/>
                <w:spacing w:val="-1"/>
                <w:highlight w:val="none"/>
              </w:rPr>
              <w:t>评审咨询费成交综合单价×实际完成次数＋评审专家费成交综</w:t>
            </w:r>
            <w:r>
              <w:rPr>
                <w:color w:val="auto"/>
                <w:spacing w:val="-2"/>
                <w:highlight w:val="none"/>
              </w:rPr>
              <w:t>合单价×每次拟邀请专家人数×实际完成次数。</w:t>
            </w:r>
          </w:p>
        </w:tc>
      </w:tr>
      <w:tr w14:paraId="17B6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noWrap w:val="0"/>
            <w:vAlign w:val="center"/>
          </w:tcPr>
          <w:p w14:paraId="59341D08">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72F4F3EA">
            <w:pPr>
              <w:widowControl/>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磋商保证金</w:t>
            </w:r>
          </w:p>
        </w:tc>
        <w:tc>
          <w:tcPr>
            <w:tcW w:w="7642" w:type="dxa"/>
            <w:noWrap w:val="0"/>
            <w:vAlign w:val="center"/>
          </w:tcPr>
          <w:p w14:paraId="6AA98059">
            <w:pPr>
              <w:widowControl/>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本次项目无需缴纳磋商保证金。</w:t>
            </w:r>
          </w:p>
        </w:tc>
      </w:tr>
      <w:tr w14:paraId="25B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63" w:type="dxa"/>
            <w:noWrap w:val="0"/>
            <w:vAlign w:val="center"/>
          </w:tcPr>
          <w:p w14:paraId="07DD163A">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36BAECF2">
            <w:pPr>
              <w:spacing w:line="360" w:lineRule="auto"/>
              <w:jc w:val="center"/>
              <w:rPr>
                <w:rFonts w:hint="eastAsia" w:ascii="仿宋" w:hAnsi="仿宋" w:eastAsia="仿宋" w:cs="仿宋"/>
                <w:b/>
                <w:bCs/>
                <w:color w:val="auto"/>
                <w:kern w:val="2"/>
                <w:sz w:val="24"/>
                <w:lang w:val="en-US" w:eastAsia="zh-CN" w:bidi="ar-SA"/>
              </w:rPr>
            </w:pPr>
            <w:r>
              <w:rPr>
                <w:rFonts w:hint="eastAsia" w:ascii="仿宋" w:hAnsi="仿宋" w:eastAsia="仿宋" w:cs="仿宋"/>
                <w:b/>
                <w:bCs/>
                <w:color w:val="auto"/>
                <w:sz w:val="24"/>
              </w:rPr>
              <w:t>合同签订</w:t>
            </w:r>
          </w:p>
        </w:tc>
        <w:tc>
          <w:tcPr>
            <w:tcW w:w="7642" w:type="dxa"/>
            <w:noWrap w:val="0"/>
            <w:vAlign w:val="center"/>
          </w:tcPr>
          <w:p w14:paraId="083F57D1">
            <w:pPr>
              <w:spacing w:line="360" w:lineRule="auto"/>
              <w:rPr>
                <w:rFonts w:hint="eastAsia" w:ascii="仿宋" w:hAnsi="仿宋" w:eastAsia="仿宋" w:cs="仿宋"/>
                <w:color w:val="auto"/>
                <w:kern w:val="2"/>
                <w:sz w:val="24"/>
                <w:lang w:val="en-US" w:eastAsia="zh-CN" w:bidi="ar-SA"/>
              </w:rPr>
            </w:pPr>
            <w:r>
              <w:rPr>
                <w:rFonts w:hint="eastAsia" w:ascii="仿宋" w:hAnsi="仿宋" w:eastAsia="仿宋" w:cs="仿宋"/>
                <w:color w:val="auto"/>
                <w:sz w:val="24"/>
              </w:rPr>
              <w:t>成交供应商与采购人签订合同</w:t>
            </w:r>
          </w:p>
        </w:tc>
      </w:tr>
      <w:tr w14:paraId="46D8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8AFA259">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6588FD2F">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szCs w:val="24"/>
                <w:highlight w:val="none"/>
                <w:lang w:val="en-US" w:eastAsia="zh-CN"/>
              </w:rPr>
              <w:t>磋商</w:t>
            </w:r>
            <w:r>
              <w:rPr>
                <w:rFonts w:hint="eastAsia" w:ascii="仿宋" w:hAnsi="仿宋" w:eastAsia="仿宋" w:cs="仿宋"/>
                <w:b/>
                <w:bCs/>
                <w:color w:val="auto"/>
                <w:sz w:val="24"/>
              </w:rPr>
              <w:t>有效期</w:t>
            </w:r>
          </w:p>
        </w:tc>
        <w:tc>
          <w:tcPr>
            <w:tcW w:w="7642" w:type="dxa"/>
            <w:noWrap w:val="0"/>
            <w:vAlign w:val="center"/>
          </w:tcPr>
          <w:p w14:paraId="0C6D0CFA">
            <w:pPr>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文件从</w:t>
            </w:r>
            <w:r>
              <w:rPr>
                <w:rFonts w:hint="eastAsia" w:ascii="仿宋" w:hAnsi="仿宋" w:eastAsia="仿宋" w:cs="仿宋"/>
                <w:color w:val="auto"/>
                <w:sz w:val="24"/>
                <w:lang w:val="en-US" w:eastAsia="zh-CN"/>
              </w:rPr>
              <w:t>磋商</w:t>
            </w:r>
            <w:r>
              <w:rPr>
                <w:rFonts w:hint="eastAsia" w:ascii="仿宋" w:hAnsi="仿宋" w:eastAsia="仿宋" w:cs="仿宋"/>
                <w:color w:val="auto"/>
                <w:sz w:val="24"/>
              </w:rPr>
              <w:t>之日起，磋商有效期为90天。</w:t>
            </w:r>
          </w:p>
        </w:tc>
      </w:tr>
      <w:tr w14:paraId="0D44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25865EEA">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573936C9">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备选方案</w:t>
            </w:r>
          </w:p>
        </w:tc>
        <w:tc>
          <w:tcPr>
            <w:tcW w:w="7642" w:type="dxa"/>
            <w:noWrap w:val="0"/>
            <w:vAlign w:val="center"/>
          </w:tcPr>
          <w:p w14:paraId="68D11281">
            <w:pPr>
              <w:spacing w:line="360" w:lineRule="auto"/>
              <w:rPr>
                <w:rFonts w:hint="eastAsia" w:ascii="仿宋" w:hAnsi="仿宋" w:eastAsia="仿宋" w:cs="仿宋"/>
                <w:color w:val="auto"/>
                <w:sz w:val="24"/>
              </w:rPr>
            </w:pPr>
            <w:r>
              <w:rPr>
                <w:rFonts w:hint="eastAsia" w:ascii="仿宋" w:hAnsi="仿宋" w:eastAsia="仿宋" w:cs="仿宋"/>
                <w:color w:val="auto"/>
                <w:sz w:val="24"/>
              </w:rPr>
              <w:t>本项目不接受备选方案。</w:t>
            </w:r>
          </w:p>
        </w:tc>
      </w:tr>
      <w:tr w14:paraId="734A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63" w:type="dxa"/>
            <w:noWrap w:val="0"/>
            <w:vAlign w:val="center"/>
          </w:tcPr>
          <w:p w14:paraId="68195E74">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35749A26">
            <w:pPr>
              <w:spacing w:line="360" w:lineRule="auto"/>
              <w:jc w:val="center"/>
              <w:rPr>
                <w:rFonts w:hint="eastAsia" w:ascii="仿宋" w:hAnsi="仿宋" w:eastAsia="仿宋" w:cs="仿宋"/>
                <w:b/>
                <w:bCs/>
                <w:color w:val="auto"/>
                <w:sz w:val="24"/>
                <w:szCs w:val="22"/>
                <w:lang w:eastAsia="zh-CN"/>
              </w:rPr>
            </w:pPr>
            <w:r>
              <w:rPr>
                <w:rFonts w:hint="eastAsia" w:ascii="仿宋" w:hAnsi="仿宋" w:eastAsia="仿宋" w:cs="仿宋"/>
                <w:b/>
                <w:bCs/>
                <w:color w:val="auto"/>
                <w:sz w:val="24"/>
                <w:szCs w:val="22"/>
              </w:rPr>
              <w:t>转包</w:t>
            </w:r>
            <w:r>
              <w:rPr>
                <w:rFonts w:hint="eastAsia" w:ascii="仿宋" w:hAnsi="仿宋" w:eastAsia="仿宋" w:cs="仿宋"/>
                <w:b/>
                <w:bCs/>
                <w:color w:val="auto"/>
                <w:sz w:val="24"/>
                <w:szCs w:val="22"/>
                <w:lang w:eastAsia="zh-CN"/>
              </w:rPr>
              <w:t>、分包</w:t>
            </w:r>
          </w:p>
        </w:tc>
        <w:tc>
          <w:tcPr>
            <w:tcW w:w="7642" w:type="dxa"/>
            <w:noWrap w:val="0"/>
            <w:vAlign w:val="center"/>
          </w:tcPr>
          <w:p w14:paraId="13A17668">
            <w:pPr>
              <w:spacing w:line="360" w:lineRule="auto"/>
              <w:rPr>
                <w:rFonts w:hint="eastAsia" w:ascii="仿宋" w:hAnsi="仿宋" w:eastAsia="仿宋" w:cs="仿宋"/>
                <w:color w:val="auto"/>
                <w:lang w:eastAsia="zh-CN"/>
              </w:rPr>
            </w:pPr>
            <w:r>
              <w:rPr>
                <w:rFonts w:hint="eastAsia" w:ascii="仿宋" w:hAnsi="仿宋" w:eastAsia="仿宋" w:cs="仿宋"/>
                <w:color w:val="auto"/>
                <w:sz w:val="24"/>
                <w:szCs w:val="22"/>
              </w:rPr>
              <w:t>本项目不允许</w:t>
            </w:r>
            <w:r>
              <w:rPr>
                <w:rFonts w:hint="eastAsia" w:ascii="仿宋" w:hAnsi="仿宋" w:eastAsia="仿宋" w:cs="仿宋"/>
                <w:color w:val="auto"/>
                <w:sz w:val="24"/>
                <w:szCs w:val="22"/>
                <w:lang w:val="en-US" w:eastAsia="zh-CN"/>
              </w:rPr>
              <w:t>成交</w:t>
            </w:r>
            <w:r>
              <w:rPr>
                <w:rFonts w:hint="eastAsia" w:ascii="仿宋" w:hAnsi="仿宋" w:eastAsia="仿宋" w:cs="仿宋"/>
                <w:color w:val="auto"/>
                <w:sz w:val="24"/>
                <w:szCs w:val="22"/>
              </w:rPr>
              <w:t>后另行转包或者再分包。</w:t>
            </w:r>
          </w:p>
        </w:tc>
      </w:tr>
      <w:tr w14:paraId="56D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4E2DAD6">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1534D83B">
            <w:pPr>
              <w:spacing w:line="360" w:lineRule="auto"/>
              <w:jc w:val="center"/>
              <w:rPr>
                <w:rFonts w:hint="eastAsia" w:ascii="仿宋" w:hAnsi="仿宋" w:eastAsia="仿宋" w:cs="仿宋"/>
                <w:b/>
                <w:bCs/>
                <w:color w:val="auto"/>
                <w:sz w:val="24"/>
                <w:szCs w:val="24"/>
              </w:rPr>
            </w:pPr>
            <w:r>
              <w:rPr>
                <w:rFonts w:hint="eastAsia" w:ascii="仿宋" w:hAnsi="仿宋" w:eastAsia="仿宋" w:cs="仿宋"/>
                <w:color w:val="auto"/>
                <w:sz w:val="24"/>
                <w:highlight w:val="none"/>
                <w:lang w:eastAsia="zh-CN"/>
              </w:rPr>
              <w:t>质疑投诉</w:t>
            </w:r>
          </w:p>
        </w:tc>
        <w:tc>
          <w:tcPr>
            <w:tcW w:w="7642" w:type="dxa"/>
            <w:noWrap w:val="0"/>
            <w:vAlign w:val="center"/>
          </w:tcPr>
          <w:p w14:paraId="295915C9">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供应商提出质疑应符合中华人民共和国财政部令第94号《政府采购质疑和投诉办法》的规定：</w:t>
            </w:r>
          </w:p>
          <w:p w14:paraId="0621066A">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1、提出质疑的供应商应当是参与所质疑项目采购活动的供应商。</w:t>
            </w:r>
          </w:p>
          <w:p w14:paraId="24C726B3">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3DB8A305">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供应商应知其权益受到损害之日，是指：</w:t>
            </w:r>
          </w:p>
          <w:p w14:paraId="2DBC7AB5">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（1）对可以质疑的采购文件提出质疑的，为收到采购文件之日或者采购文件公告期限届满之日；</w:t>
            </w:r>
          </w:p>
          <w:p w14:paraId="7E1A8067">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（2）对采购过程提出质疑的，为各采购程序环节结束之日；</w:t>
            </w:r>
          </w:p>
          <w:p w14:paraId="3CB0BB9B">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（3）对中标或者成交结果提出质疑的，为中标或者成交结果公告期限届满之日。</w:t>
            </w:r>
          </w:p>
          <w:p w14:paraId="1F589680">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3、供应商提出质疑应当提交质疑函和必要的证明材料。质疑函应当包括：</w:t>
            </w:r>
          </w:p>
          <w:p w14:paraId="2DDE2CF2">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3.1供应商的姓名或者名称、地址、邮编、联系人及联系电话；</w:t>
            </w:r>
          </w:p>
          <w:p w14:paraId="4A4BBAB5">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3.2质疑项目的名称、编号；</w:t>
            </w:r>
          </w:p>
          <w:p w14:paraId="1724685F">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3.3具体、明确的质疑事项和与质疑事项相关的请求；</w:t>
            </w:r>
          </w:p>
          <w:p w14:paraId="26C3D9DF">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3.4事实依据；</w:t>
            </w:r>
          </w:p>
          <w:p w14:paraId="3A91851F">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3.5必要的法律依据；</w:t>
            </w:r>
          </w:p>
          <w:p w14:paraId="6A6D95AE">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3.6提出质疑的日期。</w:t>
            </w:r>
          </w:p>
          <w:p w14:paraId="7B7273AD">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质疑函应采用财政部颁布的《政府采购供应商质疑函范本》。</w:t>
            </w:r>
          </w:p>
          <w:p w14:paraId="7EC27972">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供应商为自然人的，应当由本人签字；供应商为法人或者其他组织的，应当由法定代表人、主要负责人，或者其授权代表签字或者盖章，并加盖公章。</w:t>
            </w:r>
          </w:p>
          <w:p w14:paraId="3C4B199E">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B9AEFF">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5、有下列情形之一的，属于无效质疑，采购代理机构和采购人不予受理：</w:t>
            </w:r>
          </w:p>
          <w:p w14:paraId="1FDAB1B4">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5.1质疑供应商不是参与所质疑项目采购活动的供应商；</w:t>
            </w:r>
          </w:p>
          <w:p w14:paraId="58C22A92">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5.2未在法定质疑期内发出质疑的；</w:t>
            </w:r>
          </w:p>
          <w:p w14:paraId="2F8C6BDE">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5.3质疑未以书面形式提出；</w:t>
            </w:r>
          </w:p>
          <w:p w14:paraId="35B6A95A">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5.4质疑函没有合法有效的签字、盖章或授权的；</w:t>
            </w:r>
          </w:p>
          <w:p w14:paraId="7B34909F">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5.5以非法手段取得证据、材料的；</w:t>
            </w:r>
          </w:p>
          <w:p w14:paraId="7043EF35">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5.6质疑答复后，同一质疑人就同一事项再次提出质疑的；</w:t>
            </w:r>
          </w:p>
          <w:p w14:paraId="0F8967D0">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5.7不符合法律、法规、规章和政府采购监管机构规定的其他条件的。</w:t>
            </w:r>
          </w:p>
          <w:p w14:paraId="3A1C8306">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6、质疑答复</w:t>
            </w:r>
          </w:p>
          <w:p w14:paraId="2A70F0A7">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采购人、采购代理机构在收到质疑函后七个工作日内做出答复。</w:t>
            </w:r>
          </w:p>
          <w:p w14:paraId="0D062420">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14:paraId="5CE4BB16">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接收部门：陕西中技招标有限公司</w:t>
            </w:r>
          </w:p>
          <w:p w14:paraId="04AA905A">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接 收 人：</w:t>
            </w:r>
            <w:r>
              <w:rPr>
                <w:rFonts w:hint="eastAsia" w:ascii="仿宋" w:hAnsi="仿宋" w:eastAsia="仿宋" w:cs="仿宋"/>
                <w:color w:val="auto"/>
                <w:sz w:val="24"/>
                <w:szCs w:val="22"/>
                <w:highlight w:val="none"/>
                <w:lang w:val="en-US" w:eastAsia="zh-CN"/>
              </w:rPr>
              <w:t>戴经理</w:t>
            </w:r>
          </w:p>
          <w:p w14:paraId="73FE2F05">
            <w:pPr>
              <w:spacing w:line="360" w:lineRule="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联系电话：</w:t>
            </w:r>
            <w:r>
              <w:rPr>
                <w:rFonts w:hint="eastAsia" w:ascii="仿宋" w:hAnsi="仿宋" w:eastAsia="仿宋" w:cs="仿宋"/>
                <w:color w:val="auto"/>
                <w:sz w:val="24"/>
                <w:szCs w:val="22"/>
                <w:highlight w:val="none"/>
                <w:lang w:eastAsia="zh-CN"/>
              </w:rPr>
              <w:t>029-87304326</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 xml:space="preserve">856 </w:t>
            </w:r>
          </w:p>
          <w:p w14:paraId="31D99951">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地 址：西安市高新区高新四路1号高科广场A座1001室。</w:t>
            </w:r>
          </w:p>
          <w:p w14:paraId="24356A53">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8、投诉人在全国范围12个月内三次以上投诉查无实据的，由财政部门列入不良行为记录名单。</w:t>
            </w:r>
          </w:p>
          <w:p w14:paraId="09BB48FE">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9、投诉人有下列行为之一的，属于虚假、恶意投诉，由财政部门列入不良行为记录名单，禁止其1至3年内参加政府采购活动：</w:t>
            </w:r>
          </w:p>
          <w:p w14:paraId="176ADA1D">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（一）捏造事实;</w:t>
            </w:r>
          </w:p>
          <w:p w14:paraId="40B0C10B">
            <w:pPr>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（二）提供虚假材料;</w:t>
            </w:r>
          </w:p>
          <w:p w14:paraId="2C3E92DE">
            <w:pPr>
              <w:spacing w:line="360" w:lineRule="auto"/>
              <w:rPr>
                <w:rFonts w:hint="eastAsia" w:ascii="仿宋" w:hAnsi="仿宋" w:eastAsia="仿宋" w:cs="仿宋"/>
                <w:color w:val="auto"/>
                <w:sz w:val="24"/>
              </w:rPr>
            </w:pPr>
            <w:r>
              <w:rPr>
                <w:rFonts w:hint="eastAsia" w:ascii="仿宋" w:hAnsi="仿宋" w:eastAsia="仿宋" w:cs="仿宋"/>
                <w:color w:val="auto"/>
                <w:sz w:val="24"/>
                <w:szCs w:val="22"/>
                <w:highlight w:val="none"/>
              </w:rPr>
              <w:t>（三）以非法手段取得证明材料。证据来源的合法性存在明显疑问，投诉人无法证明其取得方式合法的，视为以非法手段取得证明材料</w:t>
            </w:r>
            <w:r>
              <w:rPr>
                <w:rFonts w:hint="eastAsia" w:ascii="仿宋" w:hAnsi="仿宋" w:eastAsia="仿宋" w:cs="仿宋"/>
                <w:color w:val="auto"/>
                <w:sz w:val="24"/>
              </w:rPr>
              <w:t>。</w:t>
            </w:r>
          </w:p>
          <w:p w14:paraId="2A36AD9E">
            <w:pPr>
              <w:spacing w:line="360" w:lineRule="auto"/>
              <w:rPr>
                <w:rFonts w:hint="eastAsia" w:ascii="仿宋" w:hAnsi="仿宋" w:eastAsia="仿宋" w:cs="仿宋"/>
                <w:color w:val="auto"/>
                <w:sz w:val="24"/>
              </w:rPr>
            </w:pPr>
          </w:p>
        </w:tc>
      </w:tr>
      <w:tr w14:paraId="084B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6E9CF096">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40C76A7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信用查询</w:t>
            </w:r>
          </w:p>
        </w:tc>
        <w:tc>
          <w:tcPr>
            <w:tcW w:w="7642" w:type="dxa"/>
            <w:noWrap w:val="0"/>
            <w:vAlign w:val="center"/>
          </w:tcPr>
          <w:p w14:paraId="291D8A77">
            <w:pPr>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供应商通过“信用中国”网站(www.creditchina.gov.cn)和中国政府采购网(www.ccgp.gov.cn) 查询相关主体信用记录，采购人、采购代理机构现场对供应商信用信息进行查询。对被列入失信被执行人、政府采购严重违法失信行为记录名单及其他不符合《中华人民共和国政府采购法》第二十二条规定条件的供应商，采购代理机构将拒绝其参与政府采购活动。处罚期限届满的除外。）</w:t>
            </w:r>
          </w:p>
        </w:tc>
      </w:tr>
      <w:tr w14:paraId="49BF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619BFD5">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0D1C35F7">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供应商失信</w:t>
            </w:r>
            <w:r>
              <w:rPr>
                <w:rFonts w:hint="eastAsia" w:ascii="仿宋" w:hAnsi="仿宋" w:eastAsia="仿宋" w:cs="仿宋"/>
                <w:b/>
                <w:bCs/>
                <w:color w:val="auto"/>
                <w:sz w:val="24"/>
                <w:highlight w:val="none"/>
              </w:rPr>
              <w:t>行为</w:t>
            </w:r>
          </w:p>
        </w:tc>
        <w:tc>
          <w:tcPr>
            <w:tcW w:w="7642" w:type="dxa"/>
            <w:noWrap w:val="0"/>
            <w:vAlign w:val="center"/>
          </w:tcPr>
          <w:p w14:paraId="71883B51">
            <w:pPr>
              <w:spacing w:line="360" w:lineRule="auto"/>
              <w:rPr>
                <w:rFonts w:hint="eastAsia" w:ascii="仿宋" w:hAnsi="仿宋" w:eastAsia="仿宋" w:cs="仿宋"/>
                <w:b w:val="0"/>
                <w:bCs w:val="0"/>
                <w:color w:val="auto"/>
                <w:sz w:val="24"/>
              </w:rPr>
            </w:pPr>
            <w:r>
              <w:rPr>
                <w:rFonts w:hint="eastAsia" w:ascii="仿宋" w:hAnsi="仿宋" w:eastAsia="仿宋" w:cs="仿宋"/>
                <w:b w:val="0"/>
                <w:bCs w:val="0"/>
                <w:color w:val="auto"/>
                <w:sz w:val="24"/>
                <w:highlight w:val="none"/>
              </w:rPr>
              <w:t>供应</w:t>
            </w:r>
            <w:r>
              <w:rPr>
                <w:rFonts w:hint="eastAsia" w:ascii="仿宋" w:hAnsi="仿宋" w:eastAsia="仿宋" w:cs="仿宋"/>
                <w:b w:val="0"/>
                <w:bCs w:val="0"/>
                <w:color w:val="auto"/>
                <w:sz w:val="24"/>
              </w:rPr>
              <w:t>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553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63CF59D">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1A297BB6">
            <w:p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服务费</w:t>
            </w:r>
          </w:p>
        </w:tc>
        <w:tc>
          <w:tcPr>
            <w:tcW w:w="7642" w:type="dxa"/>
            <w:noWrap w:val="0"/>
            <w:vAlign w:val="center"/>
          </w:tcPr>
          <w:p w14:paraId="6618D06D">
            <w:pPr>
              <w:spacing w:line="360" w:lineRule="auto"/>
              <w:rPr>
                <w:rFonts w:hint="eastAsia" w:ascii="仿宋" w:hAnsi="仿宋" w:eastAsia="仿宋" w:cs="仿宋"/>
                <w:b w:val="0"/>
                <w:bCs/>
                <w:color w:val="auto"/>
                <w:sz w:val="24"/>
                <w:lang w:eastAsia="zh-CN"/>
              </w:rPr>
            </w:pPr>
            <w:r>
              <w:rPr>
                <w:rFonts w:hint="eastAsia" w:ascii="仿宋" w:hAnsi="仿宋" w:eastAsia="仿宋" w:cs="仿宋"/>
                <w:b w:val="0"/>
                <w:bCs/>
                <w:color w:val="auto"/>
                <w:sz w:val="24"/>
                <w:lang w:eastAsia="zh-CN"/>
              </w:rPr>
              <w:t>成交供应商应向招标代理机构交纳招标代理服务费。招标代理服务费的收取参照国家计委颁布的《招标代理服务收费管理暂行办法》（计价格[2002]1980号）和（发改办价格[2003]857号）中服务类标准收取，在领取成交通知书时向招标代理机构一次性交纳。</w:t>
            </w:r>
          </w:p>
          <w:p w14:paraId="11CD5992">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开户名称：陕西中技招标有限公司</w:t>
            </w:r>
          </w:p>
          <w:p w14:paraId="72310B63">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开户银行：招商银行西安分行营业部</w:t>
            </w:r>
          </w:p>
          <w:p w14:paraId="7E6A9376">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 xml:space="preserve">银行账号：129916812810001 </w:t>
            </w:r>
          </w:p>
          <w:p w14:paraId="608032B8">
            <w:pPr>
              <w:spacing w:line="360" w:lineRule="auto"/>
              <w:rPr>
                <w:rFonts w:hint="eastAsia" w:ascii="仿宋" w:hAnsi="仿宋" w:eastAsia="仿宋" w:cs="仿宋"/>
                <w:b w:val="0"/>
                <w:bCs/>
                <w:color w:val="auto"/>
                <w:sz w:val="24"/>
                <w:lang w:eastAsia="zh-CN"/>
              </w:rPr>
            </w:pPr>
            <w:r>
              <w:rPr>
                <w:rFonts w:hint="eastAsia" w:ascii="仿宋" w:hAnsi="仿宋" w:eastAsia="仿宋" w:cs="仿宋"/>
                <w:b/>
                <w:bCs/>
                <w:color w:val="auto"/>
                <w:sz w:val="24"/>
                <w:highlight w:val="none"/>
              </w:rPr>
              <w:t>转账事由：</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eastAsia="zh-CN"/>
              </w:rPr>
              <w:t>（编号后四位）</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none"/>
              </w:rPr>
              <w:t>项目</w:t>
            </w:r>
            <w:r>
              <w:rPr>
                <w:rFonts w:hint="eastAsia" w:ascii="仿宋" w:hAnsi="仿宋" w:eastAsia="仿宋" w:cs="仿宋"/>
                <w:b/>
                <w:bCs/>
                <w:color w:val="auto"/>
                <w:sz w:val="24"/>
                <w:highlight w:val="none"/>
              </w:rPr>
              <w:t>招标代理服务费</w:t>
            </w:r>
          </w:p>
        </w:tc>
      </w:tr>
      <w:tr w14:paraId="60D5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10B956B0">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51ADAA5C">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szCs w:val="22"/>
                <w:highlight w:val="none"/>
                <w:lang w:val="en-US" w:eastAsia="zh-CN"/>
              </w:rPr>
              <w:t>电子化</w:t>
            </w:r>
          </w:p>
        </w:tc>
        <w:tc>
          <w:tcPr>
            <w:tcW w:w="7642" w:type="dxa"/>
            <w:noWrap w:val="0"/>
            <w:vAlign w:val="center"/>
          </w:tcPr>
          <w:p w14:paraId="22C45E64">
            <w:pPr>
              <w:spacing w:line="36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1、本项目采用电子化方式。供应商须使用数字认证证书对电子化响应文件进行签章、加密、递交及开标时解密等相关事宜。如因供应商自身原因造成无法解密响应文件的，按无效磋商对待。</w:t>
            </w:r>
          </w:p>
          <w:p w14:paraId="1D1F14A2">
            <w:pPr>
              <w:spacing w:line="36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14:paraId="68AB5B73">
            <w:pPr>
              <w:spacing w:line="360" w:lineRule="auto"/>
              <w:rPr>
                <w:rFonts w:hint="eastAsia"/>
                <w:lang w:eastAsia="zh-CN"/>
              </w:rPr>
            </w:pPr>
            <w:r>
              <w:rPr>
                <w:rFonts w:hint="eastAsia" w:ascii="仿宋" w:hAnsi="仿宋" w:eastAsia="仿宋" w:cs="仿宋"/>
                <w:color w:val="auto"/>
                <w:sz w:val="24"/>
                <w:szCs w:val="22"/>
                <w:highlight w:val="none"/>
                <w:lang w:val="en-US" w:eastAsia="zh-CN"/>
              </w:rPr>
              <w:t>3、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供应商在开标时进行解密（或报价）时必须使用主数字认证证书，如因供应商自身原因（如电子响应文件未成功递交等）造成电子响应文件在规定的时间（60分钟）内无法解密的，按无效磋商对待。</w:t>
            </w:r>
          </w:p>
        </w:tc>
      </w:tr>
      <w:tr w14:paraId="1A06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68049D54">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36369CC5">
            <w:pPr>
              <w:spacing w:line="360" w:lineRule="auto"/>
              <w:jc w:val="center"/>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val="en-US" w:eastAsia="zh-CN"/>
              </w:rPr>
              <w:t>不见面开标</w:t>
            </w:r>
          </w:p>
        </w:tc>
        <w:tc>
          <w:tcPr>
            <w:tcW w:w="7642" w:type="dxa"/>
            <w:noWrap w:val="0"/>
            <w:vAlign w:val="center"/>
          </w:tcPr>
          <w:p w14:paraId="7B3BD90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根据陕西省西咸新区公共资源交易中心下发的《关于在西咸新区公共资源交易活动中推广使用“不见面开标系统”有关事项的通知》，供应商登录http://xxxq.sxggzyjy.cn/xwzx/002002/20200323/6d6626a9-2172-433e-a1d6-af9c0742e3e0.html，下载西咸新区公共资源交易政府采购不见面开标大厅供应商操作手册，学习不见面开标系统操作流程。</w:t>
            </w:r>
          </w:p>
          <w:p w14:paraId="035B39B1">
            <w:pPr>
              <w:spacing w:line="36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2、建议供应商在开标前 1 小时内登录不见面开标大厅，并及时签到（开标前 60 分钟开始签到），否则将无法参与不见面开标活动。</w:t>
            </w:r>
          </w:p>
          <w:p w14:paraId="064C55F5">
            <w:pPr>
              <w:spacing w:line="36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3、为顺利实现本项目开评标的远程交互，建议供应商配置的硬件设施有：高配置电脑、高速稳定的网络、电源（不间断）、CA 锁、音视频设备（话筒、耳麦、高清摄像头、音响），浏览器要求使用 IE11 浏览器，且电脑已经正确安装了陕西省公共资源 CA 驱动。</w:t>
            </w:r>
          </w:p>
          <w:p w14:paraId="79624D76">
            <w:pPr>
              <w:spacing w:line="36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4、供应商需注意 CA 锁一定要提前准备好，并确保 CA 锁为制作响应文件的 CA 锁。</w:t>
            </w:r>
          </w:p>
          <w:p w14:paraId="33E0AA97">
            <w:pPr>
              <w:spacing w:line="360" w:lineRule="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5、及时关注右侧公告及互动栏目信息，并尽快做出响应。</w:t>
            </w:r>
          </w:p>
        </w:tc>
      </w:tr>
      <w:tr w14:paraId="7201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720DF4BD">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403901BE">
            <w:pPr>
              <w:spacing w:line="360" w:lineRule="auto"/>
              <w:jc w:val="center"/>
              <w:rPr>
                <w:rFonts w:hint="eastAsia" w:ascii="仿宋" w:hAnsi="仿宋" w:eastAsia="仿宋" w:cs="仿宋"/>
                <w:b/>
                <w:bCs/>
                <w:color w:val="auto"/>
                <w:kern w:val="2"/>
                <w:sz w:val="24"/>
                <w:lang w:val="en-US" w:eastAsia="zh-CN" w:bidi="ar-SA"/>
              </w:rPr>
            </w:pPr>
            <w:r>
              <w:rPr>
                <w:rFonts w:hint="eastAsia" w:ascii="仿宋" w:hAnsi="仿宋" w:eastAsia="仿宋" w:cs="仿宋"/>
                <w:b/>
                <w:bCs/>
                <w:color w:val="auto"/>
                <w:sz w:val="24"/>
              </w:rPr>
              <w:t>纸质</w:t>
            </w:r>
            <w:r>
              <w:rPr>
                <w:rFonts w:hint="eastAsia" w:ascii="仿宋" w:hAnsi="仿宋" w:eastAsia="仿宋" w:cs="仿宋"/>
                <w:b/>
                <w:bCs/>
                <w:color w:val="auto"/>
                <w:sz w:val="24"/>
                <w:lang w:val="en-US" w:eastAsia="zh-CN"/>
              </w:rPr>
              <w:t>响应</w:t>
            </w:r>
            <w:r>
              <w:rPr>
                <w:rFonts w:hint="eastAsia" w:ascii="仿宋" w:hAnsi="仿宋" w:eastAsia="仿宋" w:cs="仿宋"/>
                <w:b/>
                <w:bCs/>
                <w:color w:val="auto"/>
                <w:sz w:val="24"/>
              </w:rPr>
              <w:t>文件</w:t>
            </w:r>
          </w:p>
        </w:tc>
        <w:tc>
          <w:tcPr>
            <w:tcW w:w="7642" w:type="dxa"/>
            <w:noWrap w:val="0"/>
            <w:vAlign w:val="center"/>
          </w:tcPr>
          <w:p w14:paraId="12767B23">
            <w:pPr>
              <w:spacing w:line="360" w:lineRule="auto"/>
              <w:rPr>
                <w:rFonts w:hint="eastAsia" w:ascii="仿宋" w:hAnsi="仿宋" w:eastAsia="仿宋" w:cs="仿宋"/>
                <w:b w:val="0"/>
                <w:bCs/>
                <w:color w:val="auto"/>
                <w:sz w:val="24"/>
              </w:rPr>
            </w:pPr>
            <w:r>
              <w:rPr>
                <w:rFonts w:hint="eastAsia" w:ascii="仿宋" w:hAnsi="仿宋" w:eastAsia="仿宋" w:cs="仿宋"/>
                <w:color w:val="auto"/>
                <w:sz w:val="24"/>
                <w:lang w:val="en-US" w:eastAsia="zh-CN"/>
              </w:rPr>
              <w:t>成交</w:t>
            </w:r>
            <w:r>
              <w:rPr>
                <w:rFonts w:hint="eastAsia" w:ascii="仿宋" w:hAnsi="仿宋" w:eastAsia="仿宋" w:cs="仿宋"/>
                <w:color w:val="auto"/>
                <w:sz w:val="24"/>
              </w:rPr>
              <w:t>供应商在领取</w:t>
            </w:r>
            <w:r>
              <w:rPr>
                <w:rFonts w:hint="eastAsia" w:ascii="仿宋" w:hAnsi="仿宋" w:eastAsia="仿宋" w:cs="仿宋"/>
                <w:color w:val="auto"/>
                <w:sz w:val="24"/>
                <w:lang w:val="en-US" w:eastAsia="zh-CN"/>
              </w:rPr>
              <w:t>成交</w:t>
            </w:r>
            <w:r>
              <w:rPr>
                <w:rFonts w:hint="eastAsia" w:ascii="仿宋" w:hAnsi="仿宋" w:eastAsia="仿宋" w:cs="仿宋"/>
                <w:color w:val="auto"/>
                <w:sz w:val="24"/>
              </w:rPr>
              <w:t>通知书时，需提供纸质版</w:t>
            </w:r>
            <w:r>
              <w:rPr>
                <w:rFonts w:hint="eastAsia" w:ascii="仿宋" w:hAnsi="仿宋" w:eastAsia="仿宋" w:cs="仿宋"/>
                <w:color w:val="auto"/>
                <w:sz w:val="24"/>
                <w:lang w:eastAsia="zh-CN"/>
              </w:rPr>
              <w:t>响应</w:t>
            </w:r>
            <w:r>
              <w:rPr>
                <w:rFonts w:hint="eastAsia" w:ascii="仿宋" w:hAnsi="仿宋" w:eastAsia="仿宋" w:cs="仿宋"/>
                <w:color w:val="auto"/>
                <w:sz w:val="24"/>
              </w:rPr>
              <w:t>文件正本一份及副本一份，该文件须与线上电子</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文件完全一致。</w:t>
            </w:r>
          </w:p>
        </w:tc>
      </w:tr>
      <w:tr w14:paraId="1C3B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71C8FB57">
            <w:pPr>
              <w:numPr>
                <w:ilvl w:val="0"/>
                <w:numId w:val="1"/>
              </w:numPr>
              <w:spacing w:line="360" w:lineRule="auto"/>
              <w:jc w:val="center"/>
              <w:rPr>
                <w:rFonts w:hint="eastAsia" w:ascii="仿宋" w:hAnsi="仿宋" w:eastAsia="仿宋" w:cs="仿宋"/>
                <w:b/>
                <w:bCs/>
                <w:color w:val="auto"/>
                <w:sz w:val="24"/>
              </w:rPr>
            </w:pPr>
          </w:p>
        </w:tc>
        <w:tc>
          <w:tcPr>
            <w:tcW w:w="1669" w:type="dxa"/>
            <w:noWrap w:val="0"/>
            <w:vAlign w:val="center"/>
          </w:tcPr>
          <w:p w14:paraId="76469CF9">
            <w:pPr>
              <w:spacing w:line="360" w:lineRule="auto"/>
              <w:jc w:val="center"/>
              <w:rPr>
                <w:rFonts w:hint="eastAsia" w:ascii="仿宋" w:hAnsi="仿宋" w:eastAsia="仿宋" w:cs="仿宋"/>
                <w:b/>
                <w:bCs/>
                <w:color w:val="auto"/>
                <w:kern w:val="2"/>
                <w:sz w:val="24"/>
                <w:lang w:val="en-US" w:eastAsia="zh-CN" w:bidi="ar-SA"/>
              </w:rPr>
            </w:pPr>
            <w:r>
              <w:rPr>
                <w:rFonts w:hint="eastAsia" w:ascii="仿宋" w:hAnsi="仿宋" w:eastAsia="仿宋" w:cs="仿宋"/>
                <w:b/>
                <w:bCs/>
                <w:color w:val="auto"/>
                <w:kern w:val="2"/>
                <w:sz w:val="24"/>
                <w:lang w:val="en-US" w:eastAsia="zh-CN" w:bidi="ar-SA"/>
              </w:rPr>
              <w:t>特殊情况</w:t>
            </w:r>
          </w:p>
          <w:p w14:paraId="49073E46">
            <w:pPr>
              <w:spacing w:line="360" w:lineRule="auto"/>
              <w:jc w:val="center"/>
              <w:rPr>
                <w:rFonts w:hint="eastAsia" w:ascii="仿宋" w:hAnsi="仿宋" w:eastAsia="仿宋" w:cs="仿宋"/>
                <w:b/>
                <w:bCs/>
                <w:color w:val="auto"/>
                <w:kern w:val="2"/>
                <w:sz w:val="24"/>
                <w:lang w:val="en-US" w:eastAsia="zh-CN" w:bidi="ar-SA"/>
              </w:rPr>
            </w:pPr>
            <w:r>
              <w:rPr>
                <w:rFonts w:hint="eastAsia" w:ascii="仿宋" w:hAnsi="仿宋" w:eastAsia="仿宋" w:cs="仿宋"/>
                <w:b/>
                <w:bCs/>
                <w:color w:val="auto"/>
                <w:kern w:val="2"/>
                <w:sz w:val="24"/>
                <w:lang w:val="en-US" w:eastAsia="zh-CN" w:bidi="ar-SA"/>
              </w:rPr>
              <w:t>处理</w:t>
            </w:r>
          </w:p>
        </w:tc>
        <w:tc>
          <w:tcPr>
            <w:tcW w:w="7642" w:type="dxa"/>
            <w:noWrap w:val="0"/>
            <w:vAlign w:val="center"/>
          </w:tcPr>
          <w:p w14:paraId="0910B4E4">
            <w:pPr>
              <w:spacing w:line="360" w:lineRule="auto"/>
              <w:rPr>
                <w:rFonts w:hint="eastAsia" w:ascii="仿宋" w:hAnsi="仿宋" w:eastAsia="仿宋" w:cs="仿宋"/>
                <w:color w:val="auto"/>
                <w:sz w:val="24"/>
              </w:rPr>
            </w:pPr>
            <w:r>
              <w:rPr>
                <w:rFonts w:hint="eastAsia" w:ascii="仿宋" w:hAnsi="仿宋" w:eastAsia="仿宋" w:cs="仿宋"/>
                <w:color w:val="auto"/>
                <w:sz w:val="24"/>
                <w:szCs w:val="24"/>
                <w:highlight w:val="none"/>
                <w:lang w:val="en-US" w:eastAsia="zh-CN"/>
              </w:rPr>
              <w:t>当供应商不足3家时，按照相关法律、法规及有关规定执行。</w:t>
            </w:r>
          </w:p>
        </w:tc>
      </w:tr>
    </w:tbl>
    <w:p w14:paraId="5E55AF8B">
      <w:pPr>
        <w:spacing w:line="360" w:lineRule="auto"/>
        <w:jc w:val="both"/>
        <w:outlineLvl w:val="9"/>
        <w:rPr>
          <w:rFonts w:hint="eastAsia" w:ascii="仿宋" w:hAnsi="仿宋" w:eastAsia="仿宋" w:cs="仿宋"/>
          <w:b/>
          <w:bCs/>
          <w:color w:val="auto"/>
          <w:sz w:val="22"/>
          <w:szCs w:val="24"/>
          <w:highlight w:val="none"/>
          <w:lang w:eastAsia="zh-CN"/>
        </w:rPr>
      </w:pPr>
      <w:r>
        <w:rPr>
          <w:rFonts w:hint="eastAsia" w:ascii="仿宋" w:hAnsi="仿宋" w:eastAsia="仿宋" w:cs="仿宋"/>
          <w:b/>
          <w:bCs/>
          <w:color w:val="auto"/>
          <w:sz w:val="22"/>
          <w:szCs w:val="24"/>
          <w:highlight w:val="none"/>
          <w:lang w:eastAsia="zh-CN"/>
        </w:rPr>
        <w:t>备注：</w:t>
      </w:r>
      <w:r>
        <w:rPr>
          <w:rFonts w:hint="eastAsia" w:ascii="仿宋" w:hAnsi="仿宋" w:eastAsia="仿宋" w:cs="仿宋"/>
          <w:b/>
          <w:bCs/>
          <w:color w:val="auto"/>
          <w:sz w:val="22"/>
          <w:szCs w:val="24"/>
          <w:highlight w:val="none"/>
          <w:lang w:val="en-US" w:eastAsia="zh-CN"/>
        </w:rPr>
        <w:t>磋商</w:t>
      </w:r>
      <w:r>
        <w:rPr>
          <w:rFonts w:hint="eastAsia" w:ascii="仿宋" w:hAnsi="仿宋" w:eastAsia="仿宋" w:cs="仿宋"/>
          <w:b/>
          <w:bCs/>
          <w:color w:val="auto"/>
          <w:sz w:val="22"/>
          <w:szCs w:val="24"/>
          <w:highlight w:val="none"/>
        </w:rPr>
        <w:t>文件其他部分内容与本须知前附表内容不一致的，以本须知前附表内容为</w:t>
      </w:r>
      <w:r>
        <w:rPr>
          <w:rFonts w:hint="eastAsia" w:ascii="仿宋" w:hAnsi="仿宋" w:eastAsia="仿宋" w:cs="仿宋"/>
          <w:b/>
          <w:bCs/>
          <w:color w:val="auto"/>
          <w:sz w:val="22"/>
          <w:szCs w:val="24"/>
          <w:highlight w:val="none"/>
          <w:lang w:eastAsia="zh-CN"/>
        </w:rPr>
        <w:t>准。</w:t>
      </w:r>
    </w:p>
    <w:p w14:paraId="29BEF650">
      <w:pPr>
        <w:outlineLvl w:val="9"/>
        <w:rPr>
          <w:color w:val="auto"/>
        </w:rPr>
        <w:sectPr>
          <w:pgSz w:w="11906" w:h="16838"/>
          <w:pgMar w:top="1440" w:right="1423" w:bottom="1219" w:left="1644" w:header="720" w:footer="720" w:gutter="0"/>
          <w:pgNumType w:fmt="decimal"/>
          <w:cols w:space="720" w:num="1"/>
          <w:docGrid w:linePitch="312" w:charSpace="0"/>
        </w:sectPr>
      </w:pPr>
    </w:p>
    <w:p w14:paraId="003224FA">
      <w:pPr>
        <w:pStyle w:val="3"/>
        <w:spacing w:line="360" w:lineRule="auto"/>
        <w:ind w:firstLine="2530" w:firstLineChars="700"/>
        <w:jc w:val="both"/>
        <w:rPr>
          <w:rFonts w:ascii="仿宋" w:hAnsi="仿宋" w:eastAsia="仿宋" w:cs="仿宋"/>
          <w:color w:val="auto"/>
          <w:sz w:val="36"/>
        </w:rPr>
      </w:pPr>
      <w:bookmarkStart w:id="14" w:name="_Toc15183"/>
      <w:r>
        <w:rPr>
          <w:rFonts w:ascii="仿宋" w:hAnsi="仿宋" w:eastAsia="仿宋" w:cs="仿宋"/>
          <w:color w:val="auto"/>
          <w:sz w:val="36"/>
        </w:rPr>
        <w:t>第三部分  磋商须知</w:t>
      </w:r>
      <w:bookmarkEnd w:id="6"/>
      <w:bookmarkEnd w:id="14"/>
    </w:p>
    <w:p w14:paraId="2F20001D">
      <w:pPr>
        <w:pStyle w:val="4"/>
        <w:spacing w:before="0" w:after="0" w:line="360" w:lineRule="auto"/>
        <w:jc w:val="center"/>
        <w:rPr>
          <w:rFonts w:hint="eastAsia" w:ascii="仿宋" w:hAnsi="仿宋" w:eastAsia="仿宋" w:cs="仿宋"/>
          <w:b w:val="0"/>
          <w:color w:val="auto"/>
          <w:sz w:val="36"/>
        </w:rPr>
      </w:pPr>
      <w:bookmarkStart w:id="15" w:name="_Toc423508220"/>
      <w:bookmarkStart w:id="16" w:name="_Toc246928895"/>
      <w:bookmarkStart w:id="17" w:name="_Toc29656"/>
      <w:r>
        <w:rPr>
          <w:rFonts w:hint="eastAsia" w:ascii="仿宋" w:hAnsi="仿宋" w:eastAsia="仿宋" w:cs="仿宋"/>
          <w:b w:val="0"/>
          <w:color w:val="auto"/>
          <w:sz w:val="36"/>
        </w:rPr>
        <w:t>A 总则</w:t>
      </w:r>
      <w:bookmarkEnd w:id="15"/>
      <w:bookmarkEnd w:id="16"/>
      <w:bookmarkEnd w:id="17"/>
    </w:p>
    <w:p w14:paraId="6005288E">
      <w:pPr>
        <w:pStyle w:val="5"/>
        <w:overflowPunct w:val="0"/>
        <w:adjustRightInd w:val="0"/>
        <w:snapToGrid w:val="0"/>
        <w:spacing w:before="0" w:after="0" w:line="360" w:lineRule="auto"/>
        <w:rPr>
          <w:rFonts w:hint="eastAsia" w:ascii="仿宋" w:hAnsi="仿宋" w:eastAsia="仿宋" w:cs="仿宋"/>
          <w:color w:val="auto"/>
          <w:sz w:val="24"/>
          <w:szCs w:val="24"/>
        </w:rPr>
      </w:pPr>
      <w:bookmarkStart w:id="18" w:name="_Toc246928896"/>
      <w:bookmarkStart w:id="19" w:name="_Toc15658"/>
      <w:bookmarkStart w:id="20" w:name="_Toc423508221"/>
      <w:r>
        <w:rPr>
          <w:rFonts w:hint="eastAsia" w:ascii="仿宋" w:hAnsi="仿宋" w:eastAsia="仿宋" w:cs="仿宋"/>
          <w:color w:val="auto"/>
          <w:sz w:val="24"/>
          <w:szCs w:val="24"/>
        </w:rPr>
        <w:t>1. 适用范围</w:t>
      </w:r>
      <w:bookmarkEnd w:id="18"/>
      <w:bookmarkEnd w:id="19"/>
      <w:bookmarkEnd w:id="20"/>
    </w:p>
    <w:p w14:paraId="5186C0C6">
      <w:pPr>
        <w:overflowPunct w:val="0"/>
        <w:adjustRightInd w:val="0"/>
        <w:snapToGrid w:val="0"/>
        <w:spacing w:line="360" w:lineRule="auto"/>
        <w:rPr>
          <w:rFonts w:hint="eastAsia" w:ascii="仿宋" w:hAnsi="仿宋" w:eastAsia="仿宋" w:cs="仿宋"/>
          <w:color w:val="auto"/>
          <w:sz w:val="24"/>
        </w:rPr>
      </w:pPr>
      <w:bookmarkStart w:id="21" w:name="_Toc246928897"/>
      <w:r>
        <w:rPr>
          <w:rFonts w:hint="eastAsia" w:ascii="仿宋" w:hAnsi="仿宋" w:eastAsia="仿宋" w:cs="仿宋"/>
          <w:color w:val="auto"/>
          <w:sz w:val="24"/>
        </w:rPr>
        <w:t>1.1 本磋商文件仅适用于本磋商公告中所叙述项目的服务采购。</w:t>
      </w:r>
    </w:p>
    <w:p w14:paraId="2EB044D0">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1.2本次采购属服务类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14:paraId="682054EA">
      <w:pPr>
        <w:overflowPunct w:val="0"/>
        <w:adjustRightInd w:val="0"/>
        <w:snapToGrid w:val="0"/>
        <w:spacing w:line="360" w:lineRule="auto"/>
        <w:rPr>
          <w:rFonts w:hint="eastAsia" w:ascii="仿宋" w:hAnsi="仿宋" w:eastAsia="仿宋"/>
          <w:color w:val="auto"/>
        </w:rPr>
      </w:pPr>
      <w:r>
        <w:rPr>
          <w:rFonts w:hint="eastAsia" w:ascii="仿宋" w:hAnsi="仿宋" w:eastAsia="仿宋" w:cs="仿宋_GB2312"/>
          <w:color w:val="auto"/>
          <w:sz w:val="24"/>
        </w:rPr>
        <w:t>1.3磋商文件解释权归采购代理机构所有。</w:t>
      </w:r>
    </w:p>
    <w:bookmarkEnd w:id="21"/>
    <w:p w14:paraId="62DBC9C5">
      <w:pPr>
        <w:pStyle w:val="5"/>
        <w:overflowPunct w:val="0"/>
        <w:adjustRightInd w:val="0"/>
        <w:snapToGrid w:val="0"/>
        <w:spacing w:before="0" w:after="0" w:line="360" w:lineRule="auto"/>
        <w:rPr>
          <w:rFonts w:hint="eastAsia" w:ascii="仿宋" w:hAnsi="仿宋" w:eastAsia="仿宋" w:cs="仿宋"/>
          <w:color w:val="auto"/>
          <w:sz w:val="24"/>
          <w:szCs w:val="24"/>
        </w:rPr>
      </w:pPr>
      <w:bookmarkStart w:id="22" w:name="_Toc423508222"/>
      <w:bookmarkStart w:id="23" w:name="_Toc14354"/>
      <w:bookmarkStart w:id="24" w:name="_Toc423508223"/>
      <w:bookmarkStart w:id="25" w:name="_Toc246928898"/>
      <w:r>
        <w:rPr>
          <w:rFonts w:hint="eastAsia" w:ascii="仿宋" w:hAnsi="仿宋" w:eastAsia="仿宋" w:cs="仿宋"/>
          <w:color w:val="auto"/>
          <w:sz w:val="24"/>
          <w:szCs w:val="24"/>
        </w:rPr>
        <w:t>2. 定义</w:t>
      </w:r>
      <w:bookmarkEnd w:id="22"/>
      <w:bookmarkEnd w:id="23"/>
      <w:r>
        <w:rPr>
          <w:rFonts w:hint="eastAsia" w:ascii="仿宋" w:hAnsi="仿宋" w:eastAsia="仿宋" w:cs="仿宋"/>
          <w:color w:val="auto"/>
          <w:sz w:val="24"/>
          <w:szCs w:val="24"/>
        </w:rPr>
        <w:t xml:space="preserve"> </w:t>
      </w:r>
    </w:p>
    <w:p w14:paraId="25E69394">
      <w:pPr>
        <w:spacing w:line="360" w:lineRule="auto"/>
        <w:rPr>
          <w:rFonts w:hint="eastAsia" w:ascii="仿宋" w:hAnsi="仿宋" w:eastAsia="仿宋" w:cs="仿宋"/>
          <w:bCs/>
          <w:color w:val="auto"/>
          <w:sz w:val="24"/>
        </w:rPr>
      </w:pPr>
      <w:r>
        <w:rPr>
          <w:rFonts w:hint="eastAsia" w:ascii="仿宋" w:hAnsi="仿宋" w:eastAsia="仿宋" w:cs="仿宋"/>
          <w:bCs/>
          <w:color w:val="auto"/>
          <w:sz w:val="24"/>
        </w:rPr>
        <w:t>2.1 “采购人”系指陕西省西咸新区沣东新城管理委员会。</w:t>
      </w:r>
    </w:p>
    <w:p w14:paraId="644F67B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“采购代理机构”系指陕西中技招标有限公司。</w:t>
      </w:r>
    </w:p>
    <w:p w14:paraId="27CF67D9">
      <w:pPr>
        <w:spacing w:line="360" w:lineRule="auto"/>
        <w:rPr>
          <w:rFonts w:hint="eastAsia" w:ascii="仿宋" w:hAnsi="仿宋" w:eastAsia="仿宋" w:cs="仿宋"/>
          <w:color w:val="auto"/>
          <w:sz w:val="24"/>
        </w:rPr>
      </w:pPr>
      <w:r>
        <w:rPr>
          <w:rFonts w:hint="eastAsia" w:ascii="仿宋" w:hAnsi="仿宋" w:eastAsia="仿宋" w:cs="仿宋"/>
          <w:color w:val="auto"/>
          <w:sz w:val="24"/>
        </w:rPr>
        <w:t>2.2 “供应商”系指响应采购人要求提交响应文件的服务机构。</w:t>
      </w:r>
    </w:p>
    <w:p w14:paraId="63462471">
      <w:pPr>
        <w:spacing w:line="360" w:lineRule="auto"/>
        <w:rPr>
          <w:rFonts w:hint="eastAsia" w:ascii="仿宋" w:hAnsi="仿宋" w:eastAsia="仿宋" w:cs="仿宋"/>
          <w:color w:val="auto"/>
          <w:sz w:val="24"/>
          <w:szCs w:val="22"/>
          <w:lang w:eastAsia="zh-CN"/>
        </w:rPr>
      </w:pPr>
      <w:r>
        <w:rPr>
          <w:rFonts w:hint="eastAsia" w:ascii="仿宋" w:hAnsi="仿宋" w:eastAsia="仿宋" w:cs="仿宋"/>
          <w:color w:val="auto"/>
          <w:sz w:val="24"/>
          <w:szCs w:val="22"/>
        </w:rPr>
        <w:t>2.3 “服务”系指磋商文件规定供应商须承担的相关</w:t>
      </w:r>
      <w:r>
        <w:rPr>
          <w:rFonts w:hint="eastAsia" w:ascii="仿宋" w:hAnsi="仿宋" w:eastAsia="仿宋" w:cs="仿宋"/>
          <w:color w:val="auto"/>
          <w:sz w:val="24"/>
          <w:szCs w:val="22"/>
          <w:lang w:val="en-US" w:eastAsia="zh-CN"/>
        </w:rPr>
        <w:t>审核、审计以及其他类似的义务</w:t>
      </w:r>
      <w:r>
        <w:rPr>
          <w:rFonts w:hint="eastAsia" w:ascii="仿宋" w:hAnsi="仿宋" w:eastAsia="仿宋" w:cs="仿宋"/>
          <w:color w:val="auto"/>
          <w:sz w:val="24"/>
          <w:szCs w:val="22"/>
          <w:lang w:eastAsia="zh-CN"/>
        </w:rPr>
        <w:t>。</w:t>
      </w:r>
    </w:p>
    <w:p w14:paraId="095955D2">
      <w:pPr>
        <w:pStyle w:val="5"/>
        <w:overflowPunct w:val="0"/>
        <w:adjustRightInd w:val="0"/>
        <w:snapToGrid w:val="0"/>
        <w:spacing w:before="0" w:after="0" w:line="360" w:lineRule="auto"/>
        <w:rPr>
          <w:rFonts w:hint="eastAsia" w:ascii="仿宋" w:hAnsi="仿宋" w:eastAsia="仿宋" w:cs="仿宋"/>
          <w:color w:val="auto"/>
          <w:sz w:val="24"/>
          <w:szCs w:val="24"/>
        </w:rPr>
      </w:pPr>
      <w:bookmarkStart w:id="26" w:name="_Toc27220"/>
      <w:r>
        <w:rPr>
          <w:rFonts w:hint="eastAsia" w:ascii="仿宋" w:hAnsi="仿宋" w:eastAsia="仿宋" w:cs="仿宋"/>
          <w:color w:val="auto"/>
          <w:sz w:val="24"/>
          <w:szCs w:val="24"/>
        </w:rPr>
        <w:t>3. 合格的供应商</w:t>
      </w:r>
      <w:bookmarkEnd w:id="24"/>
      <w:bookmarkEnd w:id="25"/>
      <w:bookmarkEnd w:id="26"/>
    </w:p>
    <w:p w14:paraId="47A64A53">
      <w:pPr>
        <w:overflowPunct w:val="0"/>
        <w:adjustRightInd w:val="0"/>
        <w:snapToGrid w:val="0"/>
        <w:spacing w:line="360" w:lineRule="auto"/>
        <w:rPr>
          <w:rFonts w:hint="eastAsia" w:ascii="仿宋" w:hAnsi="仿宋" w:eastAsia="仿宋" w:cs="仿宋"/>
          <w:color w:val="auto"/>
          <w:sz w:val="24"/>
        </w:rPr>
      </w:pPr>
      <w:bookmarkStart w:id="27" w:name="_Toc246928899"/>
      <w:r>
        <w:rPr>
          <w:rFonts w:hint="eastAsia" w:ascii="仿宋" w:hAnsi="仿宋" w:eastAsia="仿宋" w:cs="仿宋"/>
          <w:color w:val="auto"/>
          <w:sz w:val="24"/>
        </w:rPr>
        <w:t>3.1供应商应符合《中华人民共和国政府采购法》《政府采购竞争性磋商采购方式管理暂行办法》及相关条款及有关的中国法律和法规。</w:t>
      </w:r>
    </w:p>
    <w:p w14:paraId="7032E9F0">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3.2凡符合供应商资格要求且有能力提供采购货物及服务的供应商均可</w:t>
      </w:r>
      <w:r>
        <w:rPr>
          <w:rFonts w:hint="eastAsia" w:ascii="仿宋" w:hAnsi="仿宋" w:eastAsia="仿宋" w:cs="仿宋"/>
          <w:color w:val="auto"/>
          <w:sz w:val="24"/>
          <w:lang w:val="en-US" w:eastAsia="zh-CN"/>
        </w:rPr>
        <w:t>参与</w:t>
      </w:r>
      <w:r>
        <w:rPr>
          <w:rFonts w:hint="eastAsia" w:ascii="仿宋" w:hAnsi="仿宋" w:eastAsia="仿宋" w:cs="仿宋"/>
          <w:color w:val="auto"/>
          <w:sz w:val="24"/>
        </w:rPr>
        <w:t>。</w:t>
      </w:r>
    </w:p>
    <w:p w14:paraId="0915ABCE">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3.3供应商必须在磋商公告载明的地点</w:t>
      </w:r>
      <w:r>
        <w:rPr>
          <w:rFonts w:hint="eastAsia" w:ascii="仿宋" w:hAnsi="仿宋" w:eastAsia="仿宋" w:cs="仿宋"/>
          <w:color w:val="auto"/>
          <w:sz w:val="24"/>
          <w:lang w:val="en-US" w:eastAsia="zh-CN"/>
        </w:rPr>
        <w:t>下载电子采购文件</w:t>
      </w:r>
      <w:r>
        <w:rPr>
          <w:rFonts w:hint="eastAsia" w:ascii="仿宋" w:hAnsi="仿宋" w:eastAsia="仿宋" w:cs="仿宋"/>
          <w:color w:val="auto"/>
          <w:sz w:val="24"/>
        </w:rPr>
        <w:t>，否则均无资格参加本次采购活动。</w:t>
      </w:r>
    </w:p>
    <w:p w14:paraId="39BDF7F3">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3.4 只有在法律上和财务上独立，合法运作，并独立于采购代理机构和采购人的供货人才能参加磋商。</w:t>
      </w:r>
    </w:p>
    <w:p w14:paraId="7D44615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3.5 供应商之间如果存在下列情形之一的，不得同时参加本项目：</w:t>
      </w:r>
    </w:p>
    <w:p w14:paraId="7EE90DE2">
      <w:pPr>
        <w:overflowPunct w:val="0"/>
        <w:adjustRightInd w:val="0"/>
        <w:snapToGrid w:val="0"/>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.1法定代表人为同一个人的两个及两个以上法人公司；</w:t>
      </w:r>
    </w:p>
    <w:p w14:paraId="37EE5B8F">
      <w:pPr>
        <w:overflowPunct w:val="0"/>
        <w:adjustRightInd w:val="0"/>
        <w:snapToGrid w:val="0"/>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hint="eastAsia" w:ascii="仿宋" w:hAnsi="仿宋" w:eastAsia="仿宋" w:cs="仿宋"/>
          <w:color w:val="auto"/>
          <w:sz w:val="24"/>
          <w:lang w:val="en-US" w:eastAsia="zh-CN"/>
        </w:rPr>
        <w:t>单位负责人为同一人或者存在直接控股、管理关系的不同供应商</w:t>
      </w:r>
      <w:r>
        <w:rPr>
          <w:rFonts w:hint="eastAsia" w:ascii="仿宋" w:hAnsi="仿宋" w:eastAsia="仿宋" w:cs="仿宋"/>
          <w:color w:val="auto"/>
          <w:sz w:val="24"/>
        </w:rPr>
        <w:t>；</w:t>
      </w:r>
    </w:p>
    <w:p w14:paraId="2D981801">
      <w:pPr>
        <w:overflowPunct w:val="0"/>
        <w:adjustRightInd w:val="0"/>
        <w:snapToGrid w:val="0"/>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.3参加</w:t>
      </w:r>
      <w:r>
        <w:rPr>
          <w:rFonts w:hint="eastAsia" w:ascii="仿宋" w:hAnsi="仿宋" w:eastAsia="仿宋" w:cs="仿宋"/>
          <w:color w:val="auto"/>
          <w:sz w:val="24"/>
          <w:lang w:val="en-US" w:eastAsia="zh-CN"/>
        </w:rPr>
        <w:t>本项目</w:t>
      </w:r>
      <w:r>
        <w:rPr>
          <w:rFonts w:hint="eastAsia" w:ascii="仿宋" w:hAnsi="仿宋" w:eastAsia="仿宋" w:cs="仿宋"/>
          <w:color w:val="auto"/>
          <w:sz w:val="24"/>
        </w:rPr>
        <w:t>的其他组织之间存在特殊的利害关系的；</w:t>
      </w:r>
    </w:p>
    <w:p w14:paraId="2ED11CCC">
      <w:pPr>
        <w:overflowPunct w:val="0"/>
        <w:adjustRightInd w:val="0"/>
        <w:snapToGrid w:val="0"/>
        <w:spacing w:line="360" w:lineRule="auto"/>
        <w:ind w:firstLine="240" w:firstLineChars="100"/>
        <w:rPr>
          <w:rFonts w:hint="eastAsia" w:ascii="仿宋" w:hAnsi="仿宋" w:eastAsia="仿宋" w:cs="仿宋"/>
          <w:color w:val="auto"/>
          <w:sz w:val="24"/>
          <w:lang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.4法律和行政法规规定的其他情形</w:t>
      </w:r>
      <w:r>
        <w:rPr>
          <w:rFonts w:hint="eastAsia" w:ascii="仿宋" w:hAnsi="仿宋" w:eastAsia="仿宋" w:cs="仿宋"/>
          <w:color w:val="auto"/>
          <w:sz w:val="24"/>
          <w:lang w:eastAsia="zh-CN"/>
        </w:rPr>
        <w:t>。</w:t>
      </w:r>
    </w:p>
    <w:p w14:paraId="32C22FE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3.6</w:t>
      </w:r>
      <w:r>
        <w:rPr>
          <w:rFonts w:hint="eastAsia" w:ascii="仿宋" w:hAnsi="仿宋" w:eastAsia="仿宋" w:cs="仿宋"/>
          <w:color w:val="auto"/>
          <w:sz w:val="24"/>
        </w:rPr>
        <w:t>供应商在过去和现在都不应直接或间接地与采购人为采购本次的服务进行设计，编制规范和其他文件所委托的咨询公司或其附属机构有任何关联</w:t>
      </w:r>
      <w:r>
        <w:rPr>
          <w:rFonts w:hint="eastAsia" w:ascii="仿宋" w:hAnsi="仿宋" w:eastAsia="仿宋" w:cs="仿宋"/>
          <w:color w:val="auto"/>
          <w:sz w:val="24"/>
          <w:lang w:eastAsia="zh-CN"/>
        </w:rPr>
        <w:t>。</w:t>
      </w:r>
    </w:p>
    <w:bookmarkEnd w:id="27"/>
    <w:p w14:paraId="031B7B1B">
      <w:pPr>
        <w:pStyle w:val="5"/>
        <w:overflowPunct w:val="0"/>
        <w:adjustRightInd w:val="0"/>
        <w:snapToGrid w:val="0"/>
        <w:spacing w:before="0" w:after="0" w:line="360" w:lineRule="auto"/>
        <w:rPr>
          <w:rFonts w:hint="eastAsia" w:ascii="仿宋" w:hAnsi="仿宋" w:eastAsia="仿宋" w:cs="仿宋"/>
          <w:color w:val="auto"/>
          <w:sz w:val="24"/>
          <w:szCs w:val="24"/>
        </w:rPr>
      </w:pPr>
      <w:bookmarkStart w:id="28" w:name="_Toc311415574"/>
      <w:bookmarkStart w:id="29" w:name="_Toc3089"/>
      <w:bookmarkStart w:id="30" w:name="_Toc423508224"/>
      <w:bookmarkStart w:id="31" w:name="_Toc246928900"/>
      <w:r>
        <w:rPr>
          <w:rFonts w:hint="eastAsia" w:ascii="仿宋" w:hAnsi="仿宋" w:eastAsia="仿宋" w:cs="仿宋"/>
          <w:color w:val="auto"/>
          <w:sz w:val="24"/>
          <w:szCs w:val="24"/>
        </w:rPr>
        <w:t>4. 合格服务</w:t>
      </w:r>
      <w:bookmarkEnd w:id="28"/>
      <w:bookmarkEnd w:id="29"/>
      <w:bookmarkEnd w:id="30"/>
    </w:p>
    <w:p w14:paraId="14D26098">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4.1 合同中提供的所有有关的服务，均应来自国家有关政府采购规定的服务的合格来源，本合同的支付也仅限于这些服务。</w:t>
      </w:r>
    </w:p>
    <w:p w14:paraId="01B0EB01">
      <w:pPr>
        <w:pStyle w:val="5"/>
        <w:overflowPunct w:val="0"/>
        <w:adjustRightInd w:val="0"/>
        <w:snapToGrid w:val="0"/>
        <w:spacing w:before="0" w:after="0" w:line="360" w:lineRule="auto"/>
        <w:rPr>
          <w:rFonts w:hint="eastAsia" w:ascii="仿宋" w:hAnsi="仿宋" w:eastAsia="仿宋" w:cs="仿宋"/>
          <w:color w:val="auto"/>
          <w:sz w:val="24"/>
          <w:szCs w:val="24"/>
        </w:rPr>
      </w:pPr>
      <w:bookmarkStart w:id="32" w:name="_Toc423508225"/>
      <w:bookmarkStart w:id="33" w:name="_Toc22784"/>
      <w:bookmarkStart w:id="34" w:name="_Toc311415575"/>
      <w:r>
        <w:rPr>
          <w:rFonts w:hint="eastAsia" w:ascii="仿宋" w:hAnsi="仿宋" w:eastAsia="仿宋" w:cs="仿宋"/>
          <w:color w:val="auto"/>
          <w:sz w:val="24"/>
          <w:szCs w:val="24"/>
        </w:rPr>
        <w:t>5. 费用</w:t>
      </w:r>
      <w:bookmarkEnd w:id="32"/>
      <w:bookmarkEnd w:id="33"/>
      <w:bookmarkEnd w:id="34"/>
    </w:p>
    <w:p w14:paraId="6482068B">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5.1 供应商应承担所有与编写和提交响应文件有关的费用，无论磋商过程中的做法和结果如何，采购人和采购代理机构在任何情况下均无义务和责任承担这些费用。</w:t>
      </w:r>
    </w:p>
    <w:p w14:paraId="5A159E6F">
      <w:pPr>
        <w:spacing w:line="360" w:lineRule="auto"/>
        <w:rPr>
          <w:rFonts w:hint="eastAsia" w:ascii="仿宋" w:hAnsi="仿宋" w:eastAsia="仿宋" w:cs="仿宋"/>
          <w:color w:val="auto"/>
          <w:sz w:val="24"/>
        </w:rPr>
      </w:pPr>
      <w:bookmarkStart w:id="35" w:name="_Toc423508226"/>
    </w:p>
    <w:p w14:paraId="03D89712">
      <w:pPr>
        <w:pStyle w:val="4"/>
        <w:spacing w:line="360" w:lineRule="auto"/>
        <w:jc w:val="center"/>
        <w:rPr>
          <w:rFonts w:hint="eastAsia" w:ascii="仿宋" w:hAnsi="仿宋" w:eastAsia="仿宋" w:cs="仿宋"/>
          <w:b w:val="0"/>
          <w:color w:val="auto"/>
          <w:sz w:val="44"/>
        </w:rPr>
      </w:pPr>
      <w:bookmarkStart w:id="36" w:name="_Toc2222"/>
      <w:r>
        <w:rPr>
          <w:rFonts w:hint="eastAsia" w:ascii="仿宋" w:hAnsi="仿宋" w:eastAsia="仿宋" w:cs="仿宋"/>
          <w:b w:val="0"/>
          <w:color w:val="auto"/>
          <w:sz w:val="44"/>
        </w:rPr>
        <w:t>B 磋商文件说明</w:t>
      </w:r>
      <w:bookmarkEnd w:id="31"/>
      <w:bookmarkEnd w:id="35"/>
      <w:bookmarkEnd w:id="36"/>
    </w:p>
    <w:p w14:paraId="3297787E">
      <w:pPr>
        <w:pStyle w:val="5"/>
        <w:overflowPunct w:val="0"/>
        <w:adjustRightInd w:val="0"/>
        <w:snapToGrid w:val="0"/>
        <w:spacing w:before="0" w:after="0" w:line="360" w:lineRule="auto"/>
        <w:rPr>
          <w:rFonts w:hint="eastAsia" w:ascii="仿宋" w:hAnsi="仿宋" w:eastAsia="仿宋" w:cs="仿宋"/>
          <w:color w:val="auto"/>
          <w:sz w:val="24"/>
          <w:szCs w:val="24"/>
        </w:rPr>
      </w:pPr>
      <w:bookmarkStart w:id="37" w:name="_Toc28511"/>
      <w:bookmarkStart w:id="38" w:name="_Toc423508227"/>
      <w:bookmarkStart w:id="39" w:name="_Toc246928901"/>
      <w:r>
        <w:rPr>
          <w:rFonts w:hint="eastAsia" w:ascii="仿宋" w:hAnsi="仿宋" w:eastAsia="仿宋" w:cs="仿宋"/>
          <w:color w:val="auto"/>
          <w:sz w:val="24"/>
          <w:szCs w:val="24"/>
        </w:rPr>
        <w:t>6．磋商文件的构成</w:t>
      </w:r>
      <w:bookmarkEnd w:id="37"/>
      <w:bookmarkEnd w:id="38"/>
      <w:bookmarkEnd w:id="39"/>
    </w:p>
    <w:p w14:paraId="036DDEB6">
      <w:pPr>
        <w:spacing w:line="360" w:lineRule="auto"/>
        <w:rPr>
          <w:rFonts w:hint="eastAsia" w:ascii="仿宋" w:hAnsi="仿宋" w:eastAsia="仿宋" w:cs="仿宋"/>
          <w:color w:val="auto"/>
          <w:sz w:val="24"/>
        </w:rPr>
      </w:pPr>
      <w:r>
        <w:rPr>
          <w:rFonts w:hint="eastAsia" w:ascii="仿宋" w:hAnsi="仿宋" w:eastAsia="仿宋" w:cs="仿宋"/>
          <w:color w:val="auto"/>
          <w:sz w:val="24"/>
        </w:rPr>
        <w:t>6.1 磋商文件用以阐明所需提供的货物、采购、磋商程序和合同条件。磋商文件包括：</w:t>
      </w:r>
    </w:p>
    <w:p w14:paraId="73B3C887">
      <w:pPr>
        <w:spacing w:line="360" w:lineRule="auto"/>
        <w:rPr>
          <w:rFonts w:hint="eastAsia" w:ascii="仿宋" w:hAnsi="仿宋" w:eastAsia="仿宋" w:cs="仿宋"/>
          <w:color w:val="auto"/>
          <w:sz w:val="24"/>
        </w:rPr>
      </w:pPr>
      <w:r>
        <w:rPr>
          <w:rFonts w:hint="eastAsia" w:ascii="仿宋" w:hAnsi="仿宋" w:eastAsia="仿宋" w:cs="仿宋"/>
          <w:color w:val="auto"/>
          <w:sz w:val="24"/>
        </w:rPr>
        <w:t>6.1.1 竞争性磋商公告；</w:t>
      </w:r>
    </w:p>
    <w:p w14:paraId="7F2A3AD9">
      <w:pPr>
        <w:spacing w:line="360" w:lineRule="auto"/>
        <w:rPr>
          <w:rFonts w:hint="eastAsia" w:ascii="仿宋" w:hAnsi="仿宋" w:eastAsia="仿宋" w:cs="仿宋"/>
          <w:color w:val="auto"/>
          <w:sz w:val="24"/>
        </w:rPr>
      </w:pPr>
      <w:r>
        <w:rPr>
          <w:rFonts w:hint="eastAsia" w:ascii="仿宋" w:hAnsi="仿宋" w:eastAsia="仿宋" w:cs="仿宋"/>
          <w:color w:val="auto"/>
          <w:sz w:val="24"/>
        </w:rPr>
        <w:t>6.1.2 磋商须知前附表；</w:t>
      </w:r>
    </w:p>
    <w:p w14:paraId="7B54D833">
      <w:pPr>
        <w:spacing w:line="360" w:lineRule="auto"/>
        <w:rPr>
          <w:rFonts w:hint="eastAsia" w:ascii="仿宋" w:hAnsi="仿宋" w:eastAsia="仿宋" w:cs="仿宋"/>
          <w:color w:val="auto"/>
          <w:sz w:val="24"/>
        </w:rPr>
      </w:pPr>
      <w:r>
        <w:rPr>
          <w:rFonts w:hint="eastAsia" w:ascii="仿宋" w:hAnsi="仿宋" w:eastAsia="仿宋" w:cs="仿宋"/>
          <w:color w:val="auto"/>
          <w:sz w:val="24"/>
        </w:rPr>
        <w:t>6.1.3 磋商须知；</w:t>
      </w:r>
    </w:p>
    <w:p w14:paraId="1B1F0D21">
      <w:pPr>
        <w:tabs>
          <w:tab w:val="left" w:pos="2415"/>
        </w:tabs>
        <w:spacing w:line="360" w:lineRule="auto"/>
        <w:rPr>
          <w:rFonts w:hint="eastAsia" w:ascii="仿宋" w:hAnsi="仿宋" w:eastAsia="仿宋" w:cs="仿宋"/>
          <w:color w:val="auto"/>
          <w:sz w:val="24"/>
        </w:rPr>
      </w:pPr>
      <w:r>
        <w:rPr>
          <w:rFonts w:hint="eastAsia" w:ascii="仿宋" w:hAnsi="仿宋" w:eastAsia="仿宋" w:cs="仿宋"/>
          <w:color w:val="auto"/>
          <w:sz w:val="24"/>
        </w:rPr>
        <w:t>6.1.4 合同条款；</w:t>
      </w:r>
      <w:r>
        <w:rPr>
          <w:rFonts w:hint="eastAsia" w:ascii="仿宋" w:hAnsi="仿宋" w:eastAsia="仿宋" w:cs="仿宋"/>
          <w:color w:val="auto"/>
          <w:sz w:val="24"/>
        </w:rPr>
        <w:tab/>
      </w:r>
    </w:p>
    <w:p w14:paraId="52DEBD36">
      <w:pPr>
        <w:spacing w:line="360" w:lineRule="auto"/>
        <w:rPr>
          <w:rFonts w:hint="eastAsia" w:ascii="仿宋" w:hAnsi="仿宋" w:eastAsia="仿宋" w:cs="仿宋"/>
          <w:color w:val="auto"/>
          <w:sz w:val="24"/>
        </w:rPr>
      </w:pPr>
      <w:r>
        <w:rPr>
          <w:rFonts w:hint="eastAsia" w:ascii="仿宋" w:hAnsi="仿宋" w:eastAsia="仿宋" w:cs="仿宋"/>
          <w:color w:val="auto"/>
          <w:sz w:val="24"/>
        </w:rPr>
        <w:t>6.1.5 附件—磋商响应文件格式；</w:t>
      </w:r>
    </w:p>
    <w:p w14:paraId="17C68640">
      <w:pPr>
        <w:spacing w:line="360" w:lineRule="auto"/>
        <w:rPr>
          <w:rFonts w:hint="eastAsia" w:ascii="仿宋" w:hAnsi="仿宋" w:eastAsia="仿宋" w:cs="仿宋"/>
          <w:color w:val="auto"/>
          <w:sz w:val="24"/>
        </w:rPr>
      </w:pPr>
      <w:r>
        <w:rPr>
          <w:rFonts w:hint="eastAsia" w:ascii="仿宋" w:hAnsi="仿宋" w:eastAsia="仿宋" w:cs="仿宋"/>
          <w:color w:val="auto"/>
          <w:sz w:val="24"/>
        </w:rPr>
        <w:t>6.1.6 项目概况、采购内容及要求。</w:t>
      </w:r>
    </w:p>
    <w:p w14:paraId="042EA9A5">
      <w:pPr>
        <w:spacing w:line="360" w:lineRule="auto"/>
        <w:rPr>
          <w:rFonts w:hint="eastAsia" w:ascii="仿宋" w:hAnsi="仿宋" w:eastAsia="仿宋" w:cs="仿宋"/>
          <w:color w:val="auto"/>
          <w:sz w:val="24"/>
        </w:rPr>
      </w:pPr>
      <w:r>
        <w:rPr>
          <w:rFonts w:hint="eastAsia" w:ascii="仿宋" w:hAnsi="仿宋" w:eastAsia="仿宋" w:cs="仿宋"/>
          <w:color w:val="auto"/>
          <w:sz w:val="24"/>
        </w:rPr>
        <w:t>6.2供应商应认真阅读磋商文件中所有的事项、格式条款和规范要求等。供应商没有对磋商文件全面做出实质性响应是供应商的风险。</w:t>
      </w:r>
      <w:bookmarkStart w:id="40" w:name="_Toc246928902"/>
    </w:p>
    <w:p w14:paraId="7404EE05">
      <w:pPr>
        <w:pStyle w:val="5"/>
        <w:overflowPunct w:val="0"/>
        <w:adjustRightInd w:val="0"/>
        <w:snapToGrid w:val="0"/>
        <w:spacing w:before="0" w:after="0" w:line="360" w:lineRule="auto"/>
        <w:rPr>
          <w:rFonts w:hint="eastAsia" w:ascii="仿宋" w:hAnsi="仿宋" w:eastAsia="仿宋" w:cs="仿宋"/>
          <w:color w:val="auto"/>
          <w:sz w:val="24"/>
          <w:szCs w:val="24"/>
        </w:rPr>
      </w:pPr>
      <w:bookmarkStart w:id="41" w:name="_Toc28303"/>
      <w:bookmarkStart w:id="42" w:name="_Toc423508228"/>
      <w:r>
        <w:rPr>
          <w:rFonts w:hint="eastAsia" w:ascii="仿宋" w:hAnsi="仿宋" w:eastAsia="仿宋" w:cs="仿宋"/>
          <w:color w:val="auto"/>
          <w:sz w:val="24"/>
          <w:szCs w:val="24"/>
        </w:rPr>
        <w:t>7．磋商文件的澄清</w:t>
      </w:r>
      <w:bookmarkEnd w:id="40"/>
      <w:bookmarkEnd w:id="41"/>
      <w:bookmarkEnd w:id="42"/>
    </w:p>
    <w:p w14:paraId="0A3A8C08">
      <w:pPr>
        <w:overflowPunct w:val="0"/>
        <w:adjustRightInd w:val="0"/>
        <w:snapToGrid w:val="0"/>
        <w:spacing w:line="360" w:lineRule="auto"/>
        <w:rPr>
          <w:rFonts w:hint="eastAsia" w:ascii="仿宋" w:hAnsi="仿宋" w:eastAsia="仿宋" w:cs="仿宋"/>
          <w:color w:val="auto"/>
          <w:sz w:val="24"/>
        </w:rPr>
      </w:pPr>
      <w:bookmarkStart w:id="43" w:name="_Toc246928903"/>
      <w:r>
        <w:rPr>
          <w:rFonts w:hint="eastAsia" w:ascii="仿宋" w:hAnsi="仿宋" w:eastAsia="仿宋" w:cs="仿宋"/>
          <w:color w:val="auto"/>
          <w:sz w:val="24"/>
        </w:rPr>
        <w:t>7.1 任何要求对磋商文件澄清的供应商，均应在下载</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文件后规定时间内以书面形式通知采购代理机构。采购代理机构将视情况确定采用适当方式予以澄清或以书面形式予以答复，涉及变更或修正内容在政府采购发布媒体上发布更正公告，并线上通知所有</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文件收受人，且作为</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文件的组成部分。</w:t>
      </w:r>
    </w:p>
    <w:p w14:paraId="716058B9">
      <w:pPr>
        <w:pStyle w:val="5"/>
        <w:overflowPunct w:val="0"/>
        <w:adjustRightInd w:val="0"/>
        <w:snapToGrid w:val="0"/>
        <w:spacing w:before="0" w:after="0" w:line="360" w:lineRule="auto"/>
        <w:rPr>
          <w:rFonts w:hint="eastAsia" w:ascii="仿宋" w:hAnsi="仿宋" w:eastAsia="仿宋" w:cs="仿宋"/>
          <w:color w:val="auto"/>
          <w:sz w:val="24"/>
          <w:szCs w:val="24"/>
        </w:rPr>
      </w:pPr>
      <w:bookmarkStart w:id="44" w:name="_Toc23019"/>
      <w:bookmarkStart w:id="45" w:name="_Toc423508229"/>
      <w:r>
        <w:rPr>
          <w:rFonts w:hint="eastAsia" w:ascii="仿宋" w:hAnsi="仿宋" w:eastAsia="仿宋" w:cs="仿宋"/>
          <w:color w:val="auto"/>
          <w:sz w:val="24"/>
          <w:szCs w:val="24"/>
        </w:rPr>
        <w:t>8．磋商文件的修改</w:t>
      </w:r>
      <w:bookmarkEnd w:id="43"/>
      <w:bookmarkEnd w:id="44"/>
      <w:bookmarkEnd w:id="45"/>
    </w:p>
    <w:p w14:paraId="1651DF14">
      <w:pPr>
        <w:overflowPunct w:val="0"/>
        <w:adjustRightInd w:val="0"/>
        <w:snapToGrid w:val="0"/>
        <w:spacing w:line="360" w:lineRule="auto"/>
        <w:rPr>
          <w:rFonts w:hint="eastAsia" w:ascii="仿宋" w:hAnsi="仿宋" w:eastAsia="仿宋" w:cs="仿宋"/>
          <w:color w:val="auto"/>
          <w:sz w:val="24"/>
        </w:rPr>
      </w:pPr>
      <w:bookmarkStart w:id="46" w:name="_Toc283626504"/>
      <w:bookmarkStart w:id="47" w:name="_Toc311415580"/>
      <w:bookmarkStart w:id="48" w:name="_Toc332874421"/>
      <w:bookmarkStart w:id="49" w:name="_Toc409684168"/>
      <w:bookmarkStart w:id="50" w:name="_Toc283240488"/>
      <w:bookmarkStart w:id="51" w:name="_Toc385992368"/>
      <w:bookmarkStart w:id="52" w:name="_Toc246928929"/>
      <w:bookmarkStart w:id="53" w:name="_Toc389620207"/>
      <w:r>
        <w:rPr>
          <w:rFonts w:hint="eastAsia" w:ascii="仿宋" w:hAnsi="仿宋" w:eastAsia="仿宋" w:cs="仿宋"/>
          <w:color w:val="auto"/>
          <w:sz w:val="24"/>
        </w:rPr>
        <w:t>8.1 在磋商文件要求提交响应文件截止时间前，无论出于何种原因，采购人可主动地或在解答供应商要求澄清的问题时对磋商文件进行修改。</w:t>
      </w:r>
    </w:p>
    <w:p w14:paraId="39D57CA1">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8.2 澄清或者修改磋商文件可能影响响应文件编制的，在提交首次响应文件截止之日5日前，以书面形式通知所有接收磋商文件的供应商，不足5日的，顺延提交首次响应文件截止时间。</w:t>
      </w:r>
    </w:p>
    <w:p w14:paraId="272A4AC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8.3 为使供应商在准备响应文件时，有充分的时间对磋商文件的修改进行研究考虑，采购人可自行决定，酌情推迟磋商截止日期，并以线上形式通知所有已下载</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文件的供应商。</w:t>
      </w:r>
    </w:p>
    <w:p w14:paraId="1F47E92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8.4 磋商文件的修改书将构成磋商文件的一部分，对采购人和供应商都具有约束力。</w:t>
      </w:r>
    </w:p>
    <w:p w14:paraId="30DD31EC">
      <w:pPr>
        <w:pStyle w:val="4"/>
        <w:spacing w:line="360" w:lineRule="auto"/>
        <w:jc w:val="center"/>
        <w:rPr>
          <w:rFonts w:hint="eastAsia" w:ascii="仿宋" w:hAnsi="仿宋" w:eastAsia="仿宋" w:cs="仿宋"/>
          <w:b w:val="0"/>
          <w:color w:val="auto"/>
          <w:sz w:val="44"/>
        </w:rPr>
      </w:pPr>
      <w:bookmarkStart w:id="54" w:name="_Toc423508230"/>
      <w:bookmarkStart w:id="55" w:name="_Toc5376"/>
      <w:r>
        <w:rPr>
          <w:rFonts w:hint="eastAsia" w:ascii="仿宋" w:hAnsi="仿宋" w:eastAsia="仿宋" w:cs="仿宋"/>
          <w:b w:val="0"/>
          <w:color w:val="auto"/>
          <w:sz w:val="44"/>
        </w:rPr>
        <w:t>C．响应文件的编写</w:t>
      </w:r>
      <w:bookmarkEnd w:id="46"/>
      <w:bookmarkEnd w:id="47"/>
      <w:bookmarkEnd w:id="48"/>
      <w:bookmarkEnd w:id="49"/>
      <w:bookmarkEnd w:id="50"/>
      <w:bookmarkEnd w:id="54"/>
      <w:bookmarkEnd w:id="55"/>
    </w:p>
    <w:p w14:paraId="081AFEF7">
      <w:pPr>
        <w:pStyle w:val="5"/>
        <w:overflowPunct w:val="0"/>
        <w:adjustRightInd w:val="0"/>
        <w:snapToGrid w:val="0"/>
        <w:spacing w:before="0" w:after="0" w:line="360" w:lineRule="auto"/>
        <w:rPr>
          <w:rFonts w:hint="eastAsia" w:ascii="仿宋" w:hAnsi="仿宋" w:eastAsia="仿宋" w:cs="仿宋"/>
          <w:color w:val="auto"/>
          <w:sz w:val="24"/>
          <w:szCs w:val="24"/>
        </w:rPr>
      </w:pPr>
      <w:bookmarkStart w:id="56" w:name="_Toc1143"/>
      <w:bookmarkStart w:id="57" w:name="_Toc423508231"/>
      <w:bookmarkStart w:id="58" w:name="_Toc311415581"/>
      <w:r>
        <w:rPr>
          <w:rFonts w:hint="eastAsia" w:ascii="仿宋" w:hAnsi="仿宋" w:eastAsia="仿宋" w:cs="仿宋"/>
          <w:color w:val="auto"/>
          <w:sz w:val="24"/>
          <w:szCs w:val="24"/>
        </w:rPr>
        <w:t>9．响应文件编制的原则</w:t>
      </w:r>
      <w:bookmarkEnd w:id="56"/>
      <w:bookmarkEnd w:id="57"/>
      <w:bookmarkEnd w:id="58"/>
    </w:p>
    <w:p w14:paraId="7ABC9DB5">
      <w:pPr>
        <w:overflowPunct w:val="0"/>
        <w:adjustRightInd w:val="0"/>
        <w:snapToGrid w:val="0"/>
        <w:spacing w:line="360" w:lineRule="auto"/>
        <w:rPr>
          <w:rFonts w:hint="eastAsia" w:ascii="仿宋" w:hAnsi="仿宋" w:eastAsia="仿宋" w:cs="仿宋"/>
          <w:color w:val="auto"/>
          <w:sz w:val="24"/>
        </w:rPr>
      </w:pPr>
      <w:bookmarkStart w:id="59" w:name="_Toc311415582"/>
      <w:r>
        <w:rPr>
          <w:rFonts w:hint="eastAsia" w:ascii="仿宋" w:hAnsi="仿宋" w:eastAsia="仿宋" w:cs="仿宋"/>
          <w:color w:val="auto"/>
          <w:sz w:val="24"/>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将有可能被拒绝。</w:t>
      </w:r>
    </w:p>
    <w:p w14:paraId="71C6AD9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9.2 供应商必须保证响应文件所提供的全部资料真实可靠，并接受对其中任何资料进一步审查的要求。</w:t>
      </w:r>
    </w:p>
    <w:p w14:paraId="050B8FE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9.3 响应文件须对磋商文件中的内容做出实质性和完整的响应，否则其将被拒绝。</w:t>
      </w:r>
    </w:p>
    <w:p w14:paraId="5BE30938">
      <w:pPr>
        <w:pStyle w:val="5"/>
        <w:overflowPunct w:val="0"/>
        <w:adjustRightInd w:val="0"/>
        <w:snapToGrid w:val="0"/>
        <w:spacing w:before="0" w:after="0" w:line="360" w:lineRule="auto"/>
        <w:rPr>
          <w:rFonts w:hint="eastAsia" w:ascii="仿宋" w:hAnsi="仿宋" w:eastAsia="仿宋" w:cs="仿宋"/>
          <w:color w:val="auto"/>
          <w:sz w:val="24"/>
          <w:szCs w:val="24"/>
        </w:rPr>
      </w:pPr>
      <w:bookmarkStart w:id="60" w:name="_Toc19291"/>
      <w:bookmarkStart w:id="61" w:name="_Toc423508232"/>
      <w:r>
        <w:rPr>
          <w:rFonts w:hint="eastAsia" w:ascii="仿宋" w:hAnsi="仿宋" w:eastAsia="仿宋" w:cs="仿宋"/>
          <w:color w:val="auto"/>
          <w:sz w:val="24"/>
          <w:szCs w:val="24"/>
        </w:rPr>
        <w:t>10．磋商语言</w:t>
      </w:r>
      <w:bookmarkEnd w:id="59"/>
      <w:bookmarkEnd w:id="60"/>
      <w:bookmarkEnd w:id="61"/>
    </w:p>
    <w:p w14:paraId="792A4EB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10.1 由供应商编写的响应文件和往来信件应以中文书写。</w:t>
      </w:r>
    </w:p>
    <w:p w14:paraId="5C23505C">
      <w:pPr>
        <w:pStyle w:val="5"/>
        <w:overflowPunct w:val="0"/>
        <w:adjustRightInd w:val="0"/>
        <w:snapToGrid w:val="0"/>
        <w:spacing w:before="0" w:after="0" w:line="360" w:lineRule="auto"/>
        <w:rPr>
          <w:rFonts w:hint="eastAsia" w:ascii="仿宋" w:hAnsi="仿宋" w:eastAsia="仿宋" w:cs="仿宋"/>
          <w:color w:val="auto"/>
          <w:sz w:val="24"/>
          <w:szCs w:val="24"/>
        </w:rPr>
      </w:pPr>
      <w:bookmarkStart w:id="62" w:name="_Toc4224"/>
      <w:bookmarkStart w:id="63" w:name="_Toc311415583"/>
      <w:bookmarkStart w:id="64" w:name="_Toc423508233"/>
      <w:r>
        <w:rPr>
          <w:rFonts w:hint="eastAsia" w:ascii="仿宋" w:hAnsi="仿宋" w:eastAsia="仿宋" w:cs="仿宋"/>
          <w:color w:val="auto"/>
          <w:sz w:val="24"/>
          <w:szCs w:val="24"/>
        </w:rPr>
        <w:t>11．计量单位</w:t>
      </w:r>
      <w:bookmarkEnd w:id="62"/>
      <w:bookmarkEnd w:id="63"/>
      <w:bookmarkEnd w:id="64"/>
    </w:p>
    <w:p w14:paraId="4D6C2AB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11.1 除在磋商文件的技术规格中另有规定外，计量单位应使用中华人民共和国法定计量单位。</w:t>
      </w:r>
    </w:p>
    <w:p w14:paraId="15632200">
      <w:pPr>
        <w:pStyle w:val="5"/>
        <w:overflowPunct w:val="0"/>
        <w:adjustRightInd w:val="0"/>
        <w:snapToGrid w:val="0"/>
        <w:spacing w:before="0" w:after="0" w:line="360" w:lineRule="auto"/>
        <w:rPr>
          <w:rFonts w:hint="eastAsia" w:ascii="仿宋" w:hAnsi="仿宋" w:eastAsia="仿宋" w:cs="仿宋"/>
          <w:color w:val="auto"/>
          <w:sz w:val="24"/>
          <w:szCs w:val="24"/>
        </w:rPr>
      </w:pPr>
      <w:bookmarkStart w:id="65" w:name="_Toc9875"/>
      <w:bookmarkStart w:id="66" w:name="_Toc423508234"/>
      <w:bookmarkStart w:id="67" w:name="_Toc311415584"/>
      <w:r>
        <w:rPr>
          <w:rFonts w:hint="eastAsia" w:ascii="仿宋" w:hAnsi="仿宋" w:eastAsia="仿宋" w:cs="仿宋"/>
          <w:color w:val="auto"/>
          <w:sz w:val="24"/>
          <w:szCs w:val="24"/>
        </w:rPr>
        <w:t>12．响应文件的组成</w:t>
      </w:r>
      <w:bookmarkEnd w:id="65"/>
      <w:bookmarkEnd w:id="66"/>
      <w:bookmarkEnd w:id="67"/>
    </w:p>
    <w:p w14:paraId="301AF931">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12.1 所有服务方案只允许供应商有一个磋商方案，不接受任何有选择的方案和报价（包括有条件的折扣）。供应商未按要求，提供了选择方案和/或报价的，其磋商将被拒绝。</w:t>
      </w:r>
    </w:p>
    <w:p w14:paraId="76E807B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12.2供应商编写的响应文件应包括下列部分：</w:t>
      </w:r>
    </w:p>
    <w:p w14:paraId="611248D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(1) 磋商响应函、磋商报价表以及所有附件内容。</w:t>
      </w:r>
    </w:p>
    <w:p w14:paraId="006078C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(2) 按照供应商须知出具的供应商资格证明文件。</w:t>
      </w:r>
    </w:p>
    <w:p w14:paraId="7EF254A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(3) 按照供应商须知出具的报价，符合磋商文件规定的证明文件及供应商认为需加以说明的其他内容。</w:t>
      </w:r>
    </w:p>
    <w:p w14:paraId="735A677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(4) 磋商文件要求供应商提供的其他内容。</w:t>
      </w:r>
    </w:p>
    <w:p w14:paraId="2CCB4A89">
      <w:pPr>
        <w:pStyle w:val="5"/>
        <w:overflowPunct w:val="0"/>
        <w:adjustRightInd w:val="0"/>
        <w:snapToGrid w:val="0"/>
        <w:spacing w:before="0" w:after="0" w:line="360" w:lineRule="auto"/>
        <w:rPr>
          <w:rFonts w:hint="eastAsia" w:ascii="仿宋" w:hAnsi="仿宋" w:eastAsia="仿宋" w:cs="仿宋"/>
          <w:color w:val="auto"/>
          <w:sz w:val="24"/>
          <w:szCs w:val="24"/>
        </w:rPr>
      </w:pPr>
      <w:bookmarkStart w:id="68" w:name="_Toc23306"/>
      <w:bookmarkStart w:id="69" w:name="_Toc423508235"/>
      <w:bookmarkStart w:id="70" w:name="_Toc311415585"/>
      <w:r>
        <w:rPr>
          <w:rFonts w:hint="eastAsia" w:ascii="仿宋" w:hAnsi="仿宋" w:eastAsia="仿宋" w:cs="仿宋"/>
          <w:color w:val="auto"/>
          <w:sz w:val="24"/>
          <w:szCs w:val="24"/>
        </w:rPr>
        <w:t>13．响应文件格式</w:t>
      </w:r>
      <w:bookmarkEnd w:id="68"/>
      <w:bookmarkEnd w:id="69"/>
      <w:bookmarkEnd w:id="70"/>
    </w:p>
    <w:p w14:paraId="1E2A348A">
      <w:pPr>
        <w:overflowPunct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13.1 供应商按磋商文件中提供的响应文件格式填写“磋商响应函”、“磋商报价表”以及其他相关文件</w:t>
      </w:r>
      <w:r>
        <w:rPr>
          <w:rFonts w:hint="eastAsia" w:ascii="仿宋" w:hAnsi="仿宋" w:eastAsia="仿宋" w:cs="仿宋"/>
          <w:color w:val="auto"/>
          <w:sz w:val="24"/>
          <w:lang w:eastAsia="zh-CN"/>
        </w:rPr>
        <w:t>。</w:t>
      </w:r>
    </w:p>
    <w:p w14:paraId="03D9249C">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文件的编制可在</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文件提供的格式基础上扩展加页。需供应商自行编写的内容，供应商应采用简洁、清晰的文件格式。</w:t>
      </w:r>
    </w:p>
    <w:p w14:paraId="3642310F">
      <w:pPr>
        <w:pStyle w:val="5"/>
        <w:overflowPunct w:val="0"/>
        <w:adjustRightInd w:val="0"/>
        <w:snapToGrid w:val="0"/>
        <w:spacing w:before="0" w:after="0" w:line="360" w:lineRule="auto"/>
        <w:rPr>
          <w:rFonts w:hint="eastAsia" w:ascii="仿宋" w:hAnsi="仿宋" w:eastAsia="仿宋" w:cs="仿宋"/>
          <w:color w:val="auto"/>
          <w:sz w:val="24"/>
          <w:szCs w:val="24"/>
        </w:rPr>
      </w:pPr>
      <w:bookmarkStart w:id="71" w:name="_Toc423508236"/>
      <w:bookmarkStart w:id="72" w:name="_Toc9220"/>
      <w:bookmarkStart w:id="73" w:name="_Toc311415586"/>
      <w:r>
        <w:rPr>
          <w:rFonts w:hint="eastAsia" w:ascii="仿宋" w:hAnsi="仿宋" w:eastAsia="仿宋" w:cs="仿宋"/>
          <w:color w:val="auto"/>
          <w:sz w:val="24"/>
          <w:szCs w:val="24"/>
        </w:rPr>
        <w:t>14．磋商报价</w:t>
      </w:r>
      <w:bookmarkEnd w:id="71"/>
      <w:bookmarkEnd w:id="72"/>
      <w:bookmarkEnd w:id="73"/>
    </w:p>
    <w:p w14:paraId="1DDEC796">
      <w:pPr>
        <w:spacing w:line="360" w:lineRule="auto"/>
        <w:rPr>
          <w:rFonts w:hint="eastAsia" w:ascii="仿宋" w:hAnsi="仿宋" w:eastAsia="仿宋" w:cs="仿宋"/>
          <w:color w:val="auto"/>
          <w:sz w:val="24"/>
        </w:rPr>
      </w:pPr>
      <w:bookmarkStart w:id="74" w:name="_Toc311415587"/>
      <w:bookmarkStart w:id="75" w:name="_Toc423508237"/>
      <w:r>
        <w:rPr>
          <w:rFonts w:hint="eastAsia" w:ascii="仿宋" w:hAnsi="仿宋" w:eastAsia="仿宋" w:cs="仿宋"/>
          <w:color w:val="auto"/>
          <w:sz w:val="24"/>
        </w:rPr>
        <w:t>14.1  供应商应对</w:t>
      </w:r>
      <w:r>
        <w:rPr>
          <w:rFonts w:hint="eastAsia" w:ascii="仿宋" w:hAnsi="仿宋" w:eastAsia="仿宋" w:cs="仿宋"/>
          <w:color w:val="auto"/>
          <w:sz w:val="24"/>
          <w:lang w:val="en-US" w:eastAsia="zh-CN"/>
        </w:rPr>
        <w:t>项目</w:t>
      </w:r>
      <w:r>
        <w:rPr>
          <w:rFonts w:hint="eastAsia" w:ascii="仿宋" w:hAnsi="仿宋" w:eastAsia="仿宋" w:cs="仿宋"/>
          <w:color w:val="auto"/>
          <w:sz w:val="24"/>
        </w:rPr>
        <w:t>所列的所有服务需求进行响应，不得将采购内容拆开。</w:t>
      </w:r>
    </w:p>
    <w:p w14:paraId="2313503F">
      <w:pPr>
        <w:spacing w:line="360" w:lineRule="auto"/>
        <w:ind w:left="720" w:hanging="720" w:hangingChars="300"/>
        <w:rPr>
          <w:rFonts w:hint="eastAsia" w:ascii="仿宋" w:hAnsi="仿宋" w:eastAsia="仿宋" w:cs="仿宋"/>
          <w:color w:val="auto"/>
          <w:sz w:val="24"/>
        </w:rPr>
      </w:pPr>
      <w:r>
        <w:rPr>
          <w:rFonts w:hint="eastAsia" w:ascii="仿宋" w:hAnsi="仿宋" w:eastAsia="仿宋" w:cs="仿宋"/>
          <w:color w:val="auto"/>
          <w:sz w:val="24"/>
        </w:rPr>
        <w:t>14.2  供应商根据企业实际情况自主报价。</w:t>
      </w:r>
    </w:p>
    <w:p w14:paraId="2A0A7D2F">
      <w:pPr>
        <w:spacing w:line="360" w:lineRule="auto"/>
        <w:ind w:left="720" w:hanging="720" w:hangingChars="300"/>
        <w:rPr>
          <w:rFonts w:hint="eastAsia" w:ascii="仿宋" w:hAnsi="仿宋" w:eastAsia="仿宋" w:cs="仿宋"/>
          <w:color w:val="auto"/>
          <w:sz w:val="24"/>
        </w:rPr>
      </w:pPr>
      <w:r>
        <w:rPr>
          <w:rFonts w:hint="eastAsia" w:ascii="仿宋" w:hAnsi="仿宋" w:eastAsia="仿宋" w:cs="仿宋"/>
          <w:color w:val="auto"/>
          <w:sz w:val="24"/>
        </w:rPr>
        <w:t>14.3  各供应商应在响应文件中的开标一览表上标明磋商报价，总价包死。任何有选择的报价，将不予接受。</w:t>
      </w:r>
    </w:p>
    <w:p w14:paraId="1BF7737F">
      <w:pPr>
        <w:spacing w:line="360" w:lineRule="auto"/>
        <w:ind w:left="720" w:hanging="720" w:hangingChars="300"/>
        <w:rPr>
          <w:rFonts w:hint="eastAsia" w:ascii="仿宋" w:hAnsi="仿宋" w:eastAsia="仿宋" w:cs="仿宋"/>
          <w:color w:val="auto"/>
          <w:sz w:val="24"/>
        </w:rPr>
      </w:pPr>
      <w:r>
        <w:rPr>
          <w:rFonts w:hint="eastAsia" w:ascii="仿宋" w:hAnsi="仿宋" w:eastAsia="仿宋" w:cs="仿宋"/>
          <w:color w:val="auto"/>
          <w:sz w:val="24"/>
        </w:rPr>
        <w:t>14.4  供应商所报报价应是考虑了完成相关服务可能发生的一切费用。供应商报价表列明的报价，在合同执行过程中，不得以任何理由变更。</w:t>
      </w:r>
    </w:p>
    <w:p w14:paraId="7E26DB56">
      <w:pPr>
        <w:spacing w:line="360" w:lineRule="auto"/>
        <w:ind w:left="720" w:hanging="720" w:hangingChars="300"/>
        <w:rPr>
          <w:rFonts w:hint="eastAsia" w:ascii="仿宋" w:hAnsi="仿宋" w:eastAsia="仿宋" w:cs="仿宋"/>
          <w:color w:val="auto"/>
          <w:sz w:val="24"/>
        </w:rPr>
      </w:pPr>
      <w:r>
        <w:rPr>
          <w:rFonts w:hint="eastAsia" w:ascii="仿宋" w:hAnsi="仿宋" w:eastAsia="仿宋" w:cs="仿宋"/>
          <w:color w:val="auto"/>
          <w:sz w:val="24"/>
        </w:rPr>
        <w:t>14.5  凡因供应商对磋商文件阅读不深、理解不透、误解、疏漏、或因市场行情了解不清造成的后果和风险均由供应商自负。</w:t>
      </w:r>
    </w:p>
    <w:p w14:paraId="3B4FF338">
      <w:pPr>
        <w:spacing w:line="360" w:lineRule="auto"/>
        <w:rPr>
          <w:rFonts w:hint="eastAsia" w:ascii="仿宋" w:hAnsi="仿宋" w:eastAsia="仿宋" w:cs="仿宋"/>
          <w:color w:val="auto"/>
          <w:sz w:val="24"/>
        </w:rPr>
      </w:pPr>
      <w:r>
        <w:rPr>
          <w:rFonts w:hint="eastAsia" w:ascii="仿宋" w:hAnsi="仿宋" w:eastAsia="仿宋" w:cs="仿宋"/>
          <w:color w:val="auto"/>
          <w:sz w:val="24"/>
        </w:rPr>
        <w:t>14.6  采购人只接受供应商提供的唯一响应方案，不接受备选方案。</w:t>
      </w:r>
    </w:p>
    <w:p w14:paraId="74ED709D">
      <w:pPr>
        <w:pStyle w:val="5"/>
        <w:overflowPunct w:val="0"/>
        <w:adjustRightInd w:val="0"/>
        <w:snapToGrid w:val="0"/>
        <w:spacing w:before="0" w:after="0" w:line="360" w:lineRule="auto"/>
        <w:rPr>
          <w:rFonts w:hint="eastAsia" w:ascii="仿宋" w:hAnsi="仿宋" w:eastAsia="仿宋" w:cs="仿宋"/>
          <w:color w:val="auto"/>
          <w:sz w:val="24"/>
          <w:szCs w:val="24"/>
        </w:rPr>
      </w:pPr>
      <w:bookmarkStart w:id="76" w:name="_Toc30372"/>
      <w:r>
        <w:rPr>
          <w:rFonts w:hint="eastAsia" w:ascii="仿宋" w:hAnsi="仿宋" w:eastAsia="仿宋" w:cs="仿宋"/>
          <w:color w:val="auto"/>
          <w:sz w:val="24"/>
          <w:szCs w:val="24"/>
        </w:rPr>
        <w:t>15．磋商货币</w:t>
      </w:r>
      <w:bookmarkEnd w:id="74"/>
      <w:bookmarkEnd w:id="75"/>
      <w:bookmarkEnd w:id="76"/>
    </w:p>
    <w:p w14:paraId="2AB655F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15.1 采购人只接受人民币作为唯一磋商货币。</w:t>
      </w:r>
    </w:p>
    <w:p w14:paraId="67A29121">
      <w:pPr>
        <w:pStyle w:val="5"/>
        <w:overflowPunct w:val="0"/>
        <w:adjustRightInd w:val="0"/>
        <w:snapToGrid w:val="0"/>
        <w:spacing w:before="0" w:after="0" w:line="360" w:lineRule="auto"/>
        <w:rPr>
          <w:rFonts w:hint="eastAsia" w:ascii="仿宋" w:hAnsi="仿宋" w:eastAsia="仿宋" w:cs="仿宋"/>
          <w:color w:val="auto"/>
          <w:sz w:val="24"/>
          <w:szCs w:val="24"/>
        </w:rPr>
      </w:pPr>
      <w:bookmarkStart w:id="77" w:name="_Toc5128"/>
      <w:bookmarkStart w:id="78" w:name="_Toc311415588"/>
      <w:bookmarkStart w:id="79" w:name="_Toc423508238"/>
      <w:r>
        <w:rPr>
          <w:rFonts w:hint="eastAsia" w:ascii="仿宋" w:hAnsi="仿宋" w:eastAsia="仿宋" w:cs="仿宋"/>
          <w:color w:val="auto"/>
          <w:sz w:val="24"/>
          <w:szCs w:val="24"/>
        </w:rPr>
        <w:t>16．证明供应商资格的证明文件</w:t>
      </w:r>
      <w:bookmarkEnd w:id="77"/>
      <w:bookmarkEnd w:id="78"/>
      <w:bookmarkEnd w:id="79"/>
    </w:p>
    <w:p w14:paraId="438A67B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16.1 供应商必须按要求提交证明文件，以证明其有资格参加磋商和成交后有履行合同的能力，并作为其响应文件的一部分。</w:t>
      </w:r>
    </w:p>
    <w:p w14:paraId="0FFA924E">
      <w:pPr>
        <w:pStyle w:val="5"/>
        <w:overflowPunct w:val="0"/>
        <w:adjustRightInd w:val="0"/>
        <w:snapToGrid w:val="0"/>
        <w:spacing w:before="0" w:after="0" w:line="360" w:lineRule="auto"/>
        <w:rPr>
          <w:rFonts w:hint="eastAsia" w:ascii="仿宋" w:hAnsi="仿宋" w:eastAsia="仿宋" w:cs="仿宋"/>
          <w:color w:val="auto"/>
          <w:sz w:val="24"/>
          <w:szCs w:val="24"/>
        </w:rPr>
      </w:pPr>
      <w:bookmarkStart w:id="80" w:name="_Toc311415589"/>
      <w:bookmarkStart w:id="81" w:name="_Toc25153"/>
      <w:bookmarkStart w:id="82" w:name="_Toc423508239"/>
      <w:r>
        <w:rPr>
          <w:rFonts w:hint="eastAsia" w:ascii="仿宋" w:hAnsi="仿宋" w:eastAsia="仿宋" w:cs="仿宋"/>
          <w:color w:val="auto"/>
          <w:sz w:val="24"/>
          <w:szCs w:val="24"/>
        </w:rPr>
        <w:t>17．证明服务的合格性和符合磋商文件规定的文件</w:t>
      </w:r>
      <w:bookmarkEnd w:id="80"/>
      <w:bookmarkEnd w:id="81"/>
      <w:bookmarkEnd w:id="82"/>
    </w:p>
    <w:p w14:paraId="6E1B824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17.1 供应商应对磋商文件中的各项条款做出清晰准确的答复。</w:t>
      </w:r>
    </w:p>
    <w:p w14:paraId="5A276983">
      <w:pPr>
        <w:overflowPunct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17.2 证明服务质量与磋商文件的要求相一致的文件</w:t>
      </w:r>
      <w:bookmarkStart w:id="83" w:name="_Toc311415590"/>
      <w:bookmarkStart w:id="84" w:name="_Toc423508240"/>
      <w:r>
        <w:rPr>
          <w:rFonts w:hint="eastAsia" w:ascii="仿宋" w:hAnsi="仿宋" w:eastAsia="仿宋" w:cs="仿宋"/>
          <w:color w:val="auto"/>
          <w:sz w:val="24"/>
        </w:rPr>
        <w:t>。</w:t>
      </w:r>
    </w:p>
    <w:p w14:paraId="7DEB202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7.3 供应商应该保证所提供资料的真实性</w:t>
      </w:r>
      <w:r>
        <w:rPr>
          <w:rFonts w:hint="eastAsia" w:ascii="仿宋" w:hAnsi="仿宋" w:eastAsia="仿宋" w:cs="仿宋"/>
          <w:color w:val="auto"/>
          <w:sz w:val="24"/>
        </w:rPr>
        <w:t>，</w:t>
      </w:r>
      <w:r>
        <w:rPr>
          <w:rFonts w:ascii="仿宋" w:hAnsi="仿宋" w:eastAsia="仿宋" w:cs="仿宋"/>
          <w:color w:val="auto"/>
          <w:sz w:val="24"/>
        </w:rPr>
        <w:t>采购人和代理机构保留核查资料真实性的权利</w:t>
      </w:r>
      <w:r>
        <w:rPr>
          <w:rFonts w:hint="eastAsia" w:ascii="仿宋" w:hAnsi="仿宋" w:eastAsia="仿宋" w:cs="仿宋"/>
          <w:color w:val="auto"/>
          <w:sz w:val="24"/>
        </w:rPr>
        <w:t>。</w:t>
      </w:r>
    </w:p>
    <w:p w14:paraId="7E0766B1">
      <w:pPr>
        <w:pStyle w:val="5"/>
        <w:overflowPunct w:val="0"/>
        <w:adjustRightInd w:val="0"/>
        <w:snapToGrid w:val="0"/>
        <w:spacing w:before="0" w:after="0" w:line="360" w:lineRule="auto"/>
        <w:rPr>
          <w:rFonts w:hint="eastAsia" w:ascii="仿宋" w:hAnsi="仿宋" w:eastAsia="仿宋" w:cs="仿宋"/>
          <w:color w:val="auto"/>
          <w:sz w:val="24"/>
          <w:szCs w:val="24"/>
        </w:rPr>
      </w:pPr>
      <w:bookmarkStart w:id="85" w:name="_Toc4567"/>
      <w:r>
        <w:rPr>
          <w:rFonts w:hint="eastAsia" w:ascii="仿宋" w:hAnsi="仿宋" w:eastAsia="仿宋" w:cs="仿宋"/>
          <w:color w:val="auto"/>
          <w:sz w:val="24"/>
          <w:szCs w:val="24"/>
        </w:rPr>
        <w:t>18．磋商保证金</w:t>
      </w:r>
      <w:bookmarkEnd w:id="83"/>
      <w:bookmarkEnd w:id="84"/>
      <w:bookmarkEnd w:id="85"/>
    </w:p>
    <w:p w14:paraId="77ECBA3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无</w:t>
      </w:r>
    </w:p>
    <w:p w14:paraId="13DF599F">
      <w:pPr>
        <w:pStyle w:val="5"/>
        <w:overflowPunct w:val="0"/>
        <w:adjustRightInd w:val="0"/>
        <w:snapToGrid w:val="0"/>
        <w:spacing w:before="0" w:after="0" w:line="360" w:lineRule="auto"/>
        <w:rPr>
          <w:rFonts w:hint="eastAsia" w:ascii="仿宋" w:hAnsi="仿宋" w:eastAsia="仿宋" w:cs="仿宋"/>
          <w:color w:val="auto"/>
          <w:sz w:val="24"/>
          <w:szCs w:val="24"/>
        </w:rPr>
      </w:pPr>
      <w:bookmarkStart w:id="86" w:name="_Toc311415591"/>
      <w:bookmarkStart w:id="87" w:name="_Toc19455"/>
      <w:bookmarkStart w:id="88" w:name="_Toc423508241"/>
      <w:r>
        <w:rPr>
          <w:rFonts w:hint="eastAsia" w:ascii="仿宋" w:hAnsi="仿宋" w:eastAsia="仿宋" w:cs="仿宋"/>
          <w:color w:val="auto"/>
          <w:sz w:val="24"/>
          <w:szCs w:val="24"/>
        </w:rPr>
        <w:t>19．磋商有效期</w:t>
      </w:r>
      <w:bookmarkEnd w:id="86"/>
      <w:bookmarkEnd w:id="87"/>
      <w:bookmarkEnd w:id="88"/>
    </w:p>
    <w:p w14:paraId="0B8FA35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19.1 响应文件从磋商之日起，磋商有效期为90天。响应文件的有效期比本须知规定的有效期短的，将被视为非响应报价，采购人有权拒绝。</w:t>
      </w:r>
    </w:p>
    <w:p w14:paraId="4C21B87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19.2 特殊情况下，采购人可于磋商有效期满之前要求供应商同意延长有效期，要求与答复均应为书面形式。对于同意该要求的供应商，既不要求也不允许其修改响应文件。</w:t>
      </w:r>
    </w:p>
    <w:p w14:paraId="64215E25">
      <w:pPr>
        <w:pStyle w:val="5"/>
        <w:overflowPunct w:val="0"/>
        <w:adjustRightInd w:val="0"/>
        <w:snapToGrid w:val="0"/>
        <w:spacing w:before="0" w:after="0" w:line="360" w:lineRule="auto"/>
        <w:rPr>
          <w:rFonts w:hint="eastAsia" w:ascii="仿宋" w:hAnsi="仿宋" w:eastAsia="仿宋" w:cs="仿宋"/>
          <w:color w:val="auto"/>
          <w:sz w:val="24"/>
          <w:szCs w:val="24"/>
        </w:rPr>
      </w:pPr>
      <w:bookmarkStart w:id="89" w:name="_Toc311415592"/>
      <w:bookmarkStart w:id="90" w:name="_Toc423508242"/>
      <w:bookmarkStart w:id="91" w:name="_Toc15291"/>
      <w:r>
        <w:rPr>
          <w:rFonts w:hint="eastAsia" w:ascii="仿宋" w:hAnsi="仿宋" w:eastAsia="仿宋" w:cs="仿宋"/>
          <w:color w:val="auto"/>
          <w:sz w:val="24"/>
          <w:szCs w:val="24"/>
        </w:rPr>
        <w:t>20．响应文件的签署及格式</w:t>
      </w:r>
      <w:bookmarkEnd w:id="89"/>
      <w:bookmarkEnd w:id="90"/>
      <w:bookmarkEnd w:id="91"/>
    </w:p>
    <w:p w14:paraId="0E20CDF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20.1响应文件由供应商的法定代表人或其委托代理人签字加盖单位公章。委托代理人签字的，响应文件应附法定代表人签署的授权委托书。响应文件应尽量避免涂改、行间插字或删除。如果出现上述情况，改动之处应加盖单位公章或由供应商的法定代表人或其授权的代理人签字确认。字迹潦草、表达不清、未按要求填写而导致非唯一理解，造成未实质性响应磋商文件的，将会被认定为无效响应。</w:t>
      </w:r>
    </w:p>
    <w:p w14:paraId="2337CAF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20.2 除供应商对错处作必要修改外，响应文件中不许有加行、涂抹或改写。若有修改，须由签署响应文件的授权代表在修改处签字确认。</w:t>
      </w:r>
    </w:p>
    <w:p w14:paraId="77476987">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20.3以电话、传真、电子邮件形式的磋商响应将被拒绝。</w:t>
      </w:r>
    </w:p>
    <w:p w14:paraId="1ABA95C7">
      <w:pPr>
        <w:pStyle w:val="4"/>
        <w:spacing w:line="360" w:lineRule="auto"/>
        <w:jc w:val="center"/>
        <w:rPr>
          <w:rFonts w:hint="eastAsia" w:ascii="仿宋" w:hAnsi="仿宋" w:eastAsia="仿宋" w:cs="仿宋"/>
          <w:b w:val="0"/>
          <w:color w:val="auto"/>
          <w:sz w:val="44"/>
        </w:rPr>
      </w:pPr>
      <w:bookmarkStart w:id="92" w:name="_Toc26397"/>
      <w:bookmarkStart w:id="93" w:name="_Toc283626505"/>
      <w:bookmarkStart w:id="94" w:name="_Toc332874422"/>
      <w:bookmarkStart w:id="95" w:name="_Toc423508243"/>
      <w:bookmarkStart w:id="96" w:name="_Toc409684169"/>
      <w:bookmarkStart w:id="97" w:name="_Toc311415593"/>
      <w:bookmarkStart w:id="98" w:name="_Toc283240489"/>
      <w:r>
        <w:rPr>
          <w:rFonts w:hint="eastAsia" w:ascii="仿宋" w:hAnsi="仿宋" w:eastAsia="仿宋" w:cs="仿宋"/>
          <w:b w:val="0"/>
          <w:color w:val="auto"/>
          <w:sz w:val="44"/>
        </w:rPr>
        <w:t>D．响应文件的递交</w:t>
      </w:r>
      <w:bookmarkEnd w:id="92"/>
      <w:bookmarkEnd w:id="93"/>
      <w:bookmarkEnd w:id="94"/>
      <w:bookmarkEnd w:id="95"/>
      <w:bookmarkEnd w:id="96"/>
      <w:bookmarkEnd w:id="97"/>
      <w:bookmarkEnd w:id="98"/>
    </w:p>
    <w:p w14:paraId="5CA21A10">
      <w:pPr>
        <w:pStyle w:val="5"/>
        <w:overflowPunct w:val="0"/>
        <w:adjustRightInd w:val="0"/>
        <w:snapToGrid w:val="0"/>
        <w:spacing w:before="0" w:after="0" w:line="360" w:lineRule="auto"/>
        <w:rPr>
          <w:rFonts w:hint="eastAsia" w:ascii="仿宋" w:hAnsi="仿宋" w:eastAsia="仿宋" w:cs="仿宋"/>
          <w:color w:val="auto"/>
          <w:sz w:val="24"/>
          <w:szCs w:val="24"/>
          <w:lang w:val="en-US" w:eastAsia="zh-CN"/>
        </w:rPr>
      </w:pPr>
      <w:bookmarkStart w:id="99" w:name="_Toc311415594"/>
      <w:bookmarkStart w:id="100" w:name="_Toc14329"/>
      <w:bookmarkStart w:id="101" w:name="_Toc423508244"/>
      <w:bookmarkStart w:id="102" w:name="_Toc13733"/>
      <w:r>
        <w:rPr>
          <w:rFonts w:hint="eastAsia" w:ascii="仿宋" w:hAnsi="仿宋" w:eastAsia="仿宋" w:cs="仿宋"/>
          <w:color w:val="auto"/>
          <w:sz w:val="24"/>
          <w:szCs w:val="24"/>
        </w:rPr>
        <w:t>21．响应文件的</w:t>
      </w:r>
      <w:bookmarkEnd w:id="99"/>
      <w:bookmarkEnd w:id="100"/>
      <w:bookmarkEnd w:id="101"/>
      <w:r>
        <w:rPr>
          <w:rFonts w:hint="eastAsia" w:ascii="仿宋" w:hAnsi="仿宋" w:eastAsia="仿宋" w:cs="仿宋"/>
          <w:color w:val="auto"/>
          <w:sz w:val="24"/>
          <w:szCs w:val="24"/>
          <w:lang w:val="en-US" w:eastAsia="zh-CN"/>
        </w:rPr>
        <w:t>递交</w:t>
      </w:r>
      <w:bookmarkEnd w:id="102"/>
    </w:p>
    <w:p w14:paraId="19E13FC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 xml:space="preserve">.1 </w:t>
      </w:r>
      <w:r>
        <w:rPr>
          <w:rFonts w:hint="eastAsia" w:ascii="仿宋" w:hAnsi="仿宋" w:eastAsia="仿宋" w:cs="仿宋"/>
          <w:color w:val="auto"/>
          <w:sz w:val="24"/>
          <w:lang w:val="en-US" w:eastAsia="zh-CN"/>
        </w:rPr>
        <w:t>供应商</w:t>
      </w:r>
      <w:r>
        <w:rPr>
          <w:rFonts w:hint="eastAsia" w:ascii="仿宋" w:hAnsi="仿宋" w:eastAsia="仿宋" w:cs="仿宋"/>
          <w:color w:val="auto"/>
          <w:sz w:val="24"/>
          <w:highlight w:val="none"/>
        </w:rPr>
        <w:t>应</w:t>
      </w:r>
      <w:r>
        <w:rPr>
          <w:rFonts w:hint="eastAsia" w:ascii="仿宋" w:hAnsi="仿宋" w:eastAsia="仿宋" w:cs="仿宋"/>
          <w:color w:val="auto"/>
          <w:sz w:val="24"/>
          <w:highlight w:val="none"/>
          <w:lang w:val="en-US" w:eastAsia="zh-CN"/>
        </w:rPr>
        <w:t>在递交响应文件时间截止前</w:t>
      </w:r>
      <w:r>
        <w:rPr>
          <w:rFonts w:hint="eastAsia" w:ascii="仿宋" w:hAnsi="仿宋" w:eastAsia="仿宋" w:cs="仿宋"/>
          <w:color w:val="auto"/>
          <w:sz w:val="24"/>
          <w:highlight w:val="none"/>
        </w:rPr>
        <w:t>提交</w:t>
      </w:r>
      <w:r>
        <w:rPr>
          <w:rFonts w:hint="eastAsia" w:ascii="仿宋" w:hAnsi="仿宋" w:eastAsia="仿宋" w:cs="仿宋"/>
          <w:color w:val="auto"/>
          <w:sz w:val="24"/>
          <w:highlight w:val="none"/>
          <w:lang w:val="en-US" w:eastAsia="zh-CN"/>
        </w:rPr>
        <w:t>电子响应文件</w:t>
      </w:r>
      <w:r>
        <w:rPr>
          <w:rFonts w:hint="eastAsia" w:ascii="仿宋" w:hAnsi="仿宋" w:eastAsia="仿宋" w:cs="仿宋"/>
          <w:color w:val="auto"/>
          <w:sz w:val="24"/>
        </w:rPr>
        <w:t>。</w:t>
      </w:r>
      <w:r>
        <w:rPr>
          <w:rFonts w:hint="eastAsia" w:ascii="仿宋" w:hAnsi="仿宋" w:eastAsia="仿宋" w:cs="仿宋"/>
          <w:color w:val="auto"/>
          <w:sz w:val="24"/>
          <w:highlight w:val="none"/>
        </w:rPr>
        <w:t>如果未按上述规定进行</w:t>
      </w:r>
      <w:r>
        <w:rPr>
          <w:rFonts w:hint="eastAsia" w:ascii="仿宋" w:hAnsi="仿宋" w:eastAsia="仿宋" w:cs="仿宋"/>
          <w:color w:val="auto"/>
          <w:sz w:val="24"/>
          <w:highlight w:val="none"/>
          <w:lang w:val="en-US" w:eastAsia="zh-CN"/>
        </w:rPr>
        <w:t>递交响应文件</w:t>
      </w:r>
      <w:r>
        <w:rPr>
          <w:rFonts w:hint="eastAsia" w:ascii="仿宋" w:hAnsi="仿宋" w:eastAsia="仿宋" w:cs="仿宋"/>
          <w:color w:val="auto"/>
          <w:sz w:val="24"/>
          <w:highlight w:val="none"/>
        </w:rPr>
        <w:t>，供应商的</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文件有权被拒绝</w:t>
      </w:r>
    </w:p>
    <w:p w14:paraId="0640B40A">
      <w:pPr>
        <w:pStyle w:val="5"/>
        <w:overflowPunct w:val="0"/>
        <w:adjustRightInd w:val="0"/>
        <w:snapToGrid w:val="0"/>
        <w:spacing w:before="0" w:after="0" w:line="360" w:lineRule="auto"/>
        <w:rPr>
          <w:rFonts w:hint="eastAsia" w:ascii="仿宋" w:hAnsi="仿宋" w:eastAsia="仿宋" w:cs="仿宋"/>
          <w:color w:val="auto"/>
          <w:sz w:val="24"/>
          <w:szCs w:val="24"/>
        </w:rPr>
      </w:pPr>
      <w:bookmarkStart w:id="103" w:name="_Toc22190"/>
      <w:bookmarkStart w:id="104" w:name="_Toc423508245"/>
      <w:bookmarkStart w:id="105" w:name="_Toc311415595"/>
      <w:r>
        <w:rPr>
          <w:rFonts w:hint="eastAsia" w:ascii="仿宋" w:hAnsi="仿宋" w:eastAsia="仿宋" w:cs="仿宋"/>
          <w:color w:val="auto"/>
          <w:sz w:val="24"/>
          <w:szCs w:val="24"/>
        </w:rPr>
        <w:t>22．磋商截止时间</w:t>
      </w:r>
      <w:bookmarkEnd w:id="103"/>
      <w:bookmarkEnd w:id="104"/>
      <w:bookmarkEnd w:id="105"/>
    </w:p>
    <w:p w14:paraId="30B4A91E">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22.1 所有</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文件都必须按“</w:t>
      </w:r>
      <w:r>
        <w:rPr>
          <w:rFonts w:hint="eastAsia" w:ascii="仿宋" w:hAnsi="仿宋" w:eastAsia="仿宋" w:cs="仿宋"/>
          <w:color w:val="auto"/>
          <w:sz w:val="24"/>
          <w:lang w:val="en-US" w:eastAsia="zh-CN"/>
        </w:rPr>
        <w:t>磋商</w:t>
      </w:r>
      <w:r>
        <w:rPr>
          <w:rFonts w:hint="eastAsia" w:ascii="仿宋" w:hAnsi="仿宋" w:eastAsia="仿宋" w:cs="仿宋"/>
          <w:color w:val="auto"/>
          <w:sz w:val="24"/>
        </w:rPr>
        <w:t>公告”中规定的</w:t>
      </w:r>
      <w:r>
        <w:rPr>
          <w:rFonts w:hint="eastAsia" w:ascii="仿宋" w:hAnsi="仿宋" w:eastAsia="仿宋" w:cs="仿宋"/>
          <w:color w:val="auto"/>
          <w:sz w:val="24"/>
          <w:lang w:val="en-US" w:eastAsia="zh-CN"/>
        </w:rPr>
        <w:t>响应文件提交</w:t>
      </w:r>
      <w:r>
        <w:rPr>
          <w:rFonts w:hint="eastAsia" w:ascii="仿宋" w:hAnsi="仿宋" w:eastAsia="仿宋" w:cs="仿宋"/>
          <w:color w:val="auto"/>
          <w:sz w:val="24"/>
        </w:rPr>
        <w:t>截止时间之前上传至系统中。</w:t>
      </w:r>
    </w:p>
    <w:p w14:paraId="1CC1EA83">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22.2 出现第8.3款因磋商文件的修改推迟磋商截止日期时，则按采购人修改通知规定的时间递交。</w:t>
      </w:r>
    </w:p>
    <w:p w14:paraId="1FBDD80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22.3在响应文件递交截止时间之后的任何响应文件将被拒绝接收。</w:t>
      </w:r>
    </w:p>
    <w:p w14:paraId="45DA52DD">
      <w:pPr>
        <w:pStyle w:val="5"/>
        <w:overflowPunct w:val="0"/>
        <w:adjustRightInd w:val="0"/>
        <w:snapToGrid w:val="0"/>
        <w:spacing w:before="0" w:after="0" w:line="360" w:lineRule="auto"/>
        <w:rPr>
          <w:rFonts w:hint="eastAsia" w:ascii="仿宋" w:hAnsi="仿宋" w:eastAsia="仿宋" w:cs="仿宋"/>
          <w:color w:val="auto"/>
          <w:sz w:val="24"/>
          <w:szCs w:val="24"/>
        </w:rPr>
      </w:pPr>
      <w:bookmarkStart w:id="106" w:name="_Toc4515"/>
      <w:bookmarkStart w:id="107" w:name="_Toc423508246"/>
      <w:bookmarkStart w:id="108" w:name="_Toc311415596"/>
      <w:r>
        <w:rPr>
          <w:rFonts w:hint="eastAsia" w:ascii="仿宋" w:hAnsi="仿宋" w:eastAsia="仿宋" w:cs="仿宋"/>
          <w:color w:val="auto"/>
          <w:sz w:val="24"/>
          <w:szCs w:val="24"/>
        </w:rPr>
        <w:t>23．响应文件的修改与撤回</w:t>
      </w:r>
      <w:bookmarkEnd w:id="106"/>
      <w:bookmarkEnd w:id="107"/>
      <w:bookmarkEnd w:id="108"/>
    </w:p>
    <w:p w14:paraId="5663A95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23.1 供应商在递交响应文件后，在规定的截止时间之前，可以在全国公共资源交易平台（陕西省·西咸新区）撤回已提交的</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文件，并重新上传修改后的</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w:t>
      </w:r>
    </w:p>
    <w:p w14:paraId="0CD3B74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23.2 供应商对</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文件的补充修改，应按照</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文件的规定提交。其送达（上传）时间不得迟于</w:t>
      </w:r>
      <w:r>
        <w:rPr>
          <w:rFonts w:hint="eastAsia" w:ascii="仿宋" w:hAnsi="仿宋" w:eastAsia="仿宋" w:cs="仿宋"/>
          <w:color w:val="auto"/>
          <w:sz w:val="24"/>
          <w:lang w:val="en-US" w:eastAsia="zh-CN"/>
        </w:rPr>
        <w:t>响应文件提交</w:t>
      </w:r>
      <w:r>
        <w:rPr>
          <w:rFonts w:hint="eastAsia" w:ascii="仿宋" w:hAnsi="仿宋" w:eastAsia="仿宋" w:cs="仿宋"/>
          <w:color w:val="auto"/>
          <w:sz w:val="24"/>
        </w:rPr>
        <w:t>截止时间。</w:t>
      </w:r>
    </w:p>
    <w:p w14:paraId="4D4F587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23.2 供应商对响应文件的补充修改，应按照磋商文件的规定密封、标记和提交。其送达时间不得迟于磋商截止时间。</w:t>
      </w:r>
    </w:p>
    <w:p w14:paraId="5DD0077B">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23.3 在磋商响应文件递交截止时间之后，供应商不得对其磋商做任何修改。</w:t>
      </w:r>
    </w:p>
    <w:p w14:paraId="38F18573">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23.4 已提交响应文件的供应商，在提交最后报价之前，可以根据磋商情况退出磋商。</w:t>
      </w:r>
    </w:p>
    <w:p w14:paraId="1C0B6580">
      <w:pPr>
        <w:pStyle w:val="4"/>
        <w:spacing w:line="360" w:lineRule="auto"/>
        <w:jc w:val="center"/>
        <w:rPr>
          <w:rFonts w:hint="eastAsia" w:ascii="仿宋" w:hAnsi="仿宋" w:eastAsia="仿宋" w:cs="仿宋"/>
          <w:b w:val="0"/>
          <w:color w:val="auto"/>
          <w:sz w:val="44"/>
        </w:rPr>
      </w:pPr>
      <w:bookmarkStart w:id="109" w:name="_Toc409684170"/>
      <w:bookmarkStart w:id="110" w:name="_Toc283626506"/>
      <w:bookmarkStart w:id="111" w:name="_Toc283240490"/>
      <w:bookmarkStart w:id="112" w:name="_Toc423508247"/>
      <w:bookmarkStart w:id="113" w:name="_Toc311415597"/>
      <w:bookmarkStart w:id="114" w:name="_Toc332874423"/>
      <w:bookmarkStart w:id="115" w:name="_Toc31430"/>
      <w:r>
        <w:rPr>
          <w:rFonts w:hint="eastAsia" w:ascii="仿宋" w:hAnsi="仿宋" w:eastAsia="仿宋" w:cs="仿宋"/>
          <w:b w:val="0"/>
          <w:color w:val="auto"/>
          <w:sz w:val="44"/>
        </w:rPr>
        <w:t>E．磋商/评审</w:t>
      </w:r>
      <w:bookmarkEnd w:id="109"/>
      <w:bookmarkEnd w:id="110"/>
      <w:bookmarkEnd w:id="111"/>
      <w:bookmarkEnd w:id="112"/>
      <w:bookmarkEnd w:id="113"/>
      <w:bookmarkEnd w:id="114"/>
      <w:bookmarkEnd w:id="115"/>
    </w:p>
    <w:p w14:paraId="238EF91D">
      <w:pPr>
        <w:pStyle w:val="5"/>
        <w:overflowPunct w:val="0"/>
        <w:adjustRightInd w:val="0"/>
        <w:snapToGrid w:val="0"/>
        <w:spacing w:before="0" w:after="0" w:line="360" w:lineRule="auto"/>
        <w:rPr>
          <w:rFonts w:hint="eastAsia" w:ascii="仿宋" w:hAnsi="仿宋" w:eastAsia="仿宋" w:cs="仿宋"/>
          <w:color w:val="auto"/>
          <w:sz w:val="24"/>
          <w:szCs w:val="24"/>
        </w:rPr>
      </w:pPr>
      <w:bookmarkStart w:id="116" w:name="_Toc423508248"/>
      <w:bookmarkStart w:id="117" w:name="_Toc311415598"/>
      <w:bookmarkStart w:id="118" w:name="_Toc21703"/>
      <w:r>
        <w:rPr>
          <w:rFonts w:hint="eastAsia" w:ascii="仿宋" w:hAnsi="仿宋" w:eastAsia="仿宋" w:cs="仿宋"/>
          <w:color w:val="auto"/>
          <w:sz w:val="24"/>
          <w:szCs w:val="24"/>
        </w:rPr>
        <w:t>24．</w:t>
      </w:r>
      <w:bookmarkEnd w:id="116"/>
      <w:bookmarkEnd w:id="117"/>
      <w:r>
        <w:rPr>
          <w:rFonts w:hint="eastAsia" w:ascii="仿宋" w:hAnsi="仿宋" w:eastAsia="仿宋" w:cs="仿宋"/>
          <w:color w:val="auto"/>
          <w:sz w:val="24"/>
          <w:szCs w:val="24"/>
        </w:rPr>
        <w:t>磋商</w:t>
      </w:r>
      <w:bookmarkEnd w:id="118"/>
    </w:p>
    <w:p w14:paraId="6D37596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24.1 采购代理机构按</w:t>
      </w:r>
      <w:r>
        <w:rPr>
          <w:rFonts w:hint="eastAsia" w:ascii="仿宋" w:hAnsi="仿宋" w:eastAsia="仿宋" w:cs="仿宋"/>
          <w:color w:val="auto"/>
          <w:sz w:val="24"/>
          <w:lang w:val="en-US" w:eastAsia="zh-CN"/>
        </w:rPr>
        <w:t>磋商</w:t>
      </w:r>
      <w:r>
        <w:rPr>
          <w:rFonts w:hint="eastAsia" w:ascii="仿宋" w:hAnsi="仿宋" w:eastAsia="仿宋" w:cs="仿宋"/>
          <w:color w:val="auto"/>
          <w:sz w:val="24"/>
        </w:rPr>
        <w:t>公告中规定的时间接受供应商上传的</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w:t>
      </w:r>
    </w:p>
    <w:p w14:paraId="00E6F23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24.2开标时，供应商在规定的时间内完成</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文件解密工作。</w:t>
      </w:r>
    </w:p>
    <w:p w14:paraId="24EDCB5B">
      <w:pPr>
        <w:pStyle w:val="5"/>
        <w:overflowPunct w:val="0"/>
        <w:adjustRightInd w:val="0"/>
        <w:snapToGrid w:val="0"/>
        <w:spacing w:before="0" w:after="0" w:line="360" w:lineRule="auto"/>
        <w:rPr>
          <w:rFonts w:hint="eastAsia" w:ascii="仿宋" w:hAnsi="仿宋" w:eastAsia="仿宋" w:cs="仿宋"/>
          <w:color w:val="auto"/>
          <w:sz w:val="24"/>
          <w:szCs w:val="24"/>
        </w:rPr>
      </w:pPr>
      <w:bookmarkStart w:id="119" w:name="_Toc311415599"/>
      <w:bookmarkStart w:id="120" w:name="_Toc7224"/>
      <w:bookmarkStart w:id="121" w:name="_Toc423508249"/>
      <w:r>
        <w:rPr>
          <w:rFonts w:hint="eastAsia" w:ascii="仿宋" w:hAnsi="仿宋" w:eastAsia="仿宋" w:cs="仿宋"/>
          <w:color w:val="auto"/>
          <w:sz w:val="24"/>
          <w:szCs w:val="24"/>
        </w:rPr>
        <w:t>25．磋商小组</w:t>
      </w:r>
      <w:bookmarkEnd w:id="119"/>
      <w:bookmarkEnd w:id="120"/>
      <w:bookmarkEnd w:id="121"/>
      <w:r>
        <w:rPr>
          <w:rFonts w:hint="eastAsia" w:ascii="仿宋" w:hAnsi="仿宋" w:eastAsia="仿宋" w:cs="仿宋"/>
          <w:color w:val="auto"/>
          <w:sz w:val="24"/>
          <w:szCs w:val="24"/>
        </w:rPr>
        <w:t xml:space="preserve"> </w:t>
      </w:r>
    </w:p>
    <w:p w14:paraId="7A26F9A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25.1 采购人将根据本次采购项目的特点，参照《中华人民共和国政府采购法》等有关规定组建磋商小组。</w:t>
      </w:r>
    </w:p>
    <w:p w14:paraId="3B60BA1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25.2 磋商小组成员由采购人及有关技术、经济等方面的专家组成，其中技术、经济类专家人数不少于总人数的2/3。</w:t>
      </w:r>
    </w:p>
    <w:p w14:paraId="3EC5EEAE">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25.3 磋商小组成员对各供应商响应文件进行审查、质疑、评估和比较，并推荐成交候选供应商。</w:t>
      </w:r>
    </w:p>
    <w:p w14:paraId="5636B177">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25.4磋商小组与参加采购活动的供应商存在下列利害关系之一的，应当回避：</w:t>
      </w:r>
    </w:p>
    <w:p w14:paraId="61B5A82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25.4.1</w:t>
      </w:r>
      <w:r>
        <w:rPr>
          <w:rFonts w:hint="eastAsia" w:ascii="仿宋" w:hAnsi="仿宋" w:eastAsia="仿宋" w:cs="仿宋"/>
          <w:color w:val="auto"/>
          <w:sz w:val="24"/>
        </w:rPr>
        <w:t>参加采购活动前3年内，与供应商存在劳动关系，或者担任过供应商的董事、监事，或者是供应商的控股股东或实际控制人；</w:t>
      </w:r>
    </w:p>
    <w:p w14:paraId="1493553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25.4.2</w:t>
      </w:r>
      <w:r>
        <w:rPr>
          <w:rFonts w:hint="eastAsia" w:ascii="仿宋" w:hAnsi="仿宋" w:eastAsia="仿宋" w:cs="仿宋"/>
          <w:color w:val="auto"/>
          <w:sz w:val="24"/>
        </w:rPr>
        <w:t>参加采购活动前3年内与供应商发生过法律纠纷；</w:t>
      </w:r>
    </w:p>
    <w:p w14:paraId="40FBC3F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25.4.3</w:t>
      </w:r>
      <w:r>
        <w:rPr>
          <w:rFonts w:hint="eastAsia" w:ascii="仿宋" w:hAnsi="仿宋" w:eastAsia="仿宋" w:cs="仿宋"/>
          <w:color w:val="auto"/>
          <w:sz w:val="24"/>
        </w:rPr>
        <w:t>与供应商的法定代表人或者负责人有夫妻、直系血亲、三代以内旁系血亲或者近姻亲关系；</w:t>
      </w:r>
    </w:p>
    <w:p w14:paraId="1D89BD4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25.4.4</w:t>
      </w:r>
      <w:r>
        <w:rPr>
          <w:rFonts w:hint="eastAsia" w:ascii="仿宋" w:hAnsi="仿宋" w:eastAsia="仿宋" w:cs="仿宋"/>
          <w:color w:val="auto"/>
          <w:sz w:val="24"/>
        </w:rPr>
        <w:t>与供应商有其他可能影响政府采购活动公平、公正进行的关系。</w:t>
      </w:r>
    </w:p>
    <w:p w14:paraId="27B96D0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25.5磋商小组的权利与义务及监管制度：</w:t>
      </w:r>
    </w:p>
    <w:p w14:paraId="15FF006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权利：</w:t>
      </w:r>
    </w:p>
    <w:p w14:paraId="23ACAA3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25.5.1</w:t>
      </w:r>
      <w:r>
        <w:rPr>
          <w:rFonts w:hint="eastAsia" w:ascii="仿宋" w:hAnsi="仿宋" w:eastAsia="仿宋" w:cs="仿宋"/>
          <w:color w:val="auto"/>
          <w:sz w:val="24"/>
        </w:rPr>
        <w:t>对政府采购法律制度及相关情况的知情权；</w:t>
      </w:r>
    </w:p>
    <w:p w14:paraId="58AA665C">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25.5.2</w:t>
      </w:r>
      <w:r>
        <w:rPr>
          <w:rFonts w:hint="eastAsia" w:ascii="仿宋" w:hAnsi="仿宋" w:eastAsia="仿宋" w:cs="仿宋"/>
          <w:color w:val="auto"/>
          <w:sz w:val="24"/>
        </w:rPr>
        <w:t>对政府采购项目的独立评审权；</w:t>
      </w:r>
    </w:p>
    <w:p w14:paraId="31A1051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25.5.3</w:t>
      </w:r>
      <w:r>
        <w:rPr>
          <w:rFonts w:hint="eastAsia" w:ascii="仿宋" w:hAnsi="仿宋" w:eastAsia="仿宋" w:cs="仿宋"/>
          <w:color w:val="auto"/>
          <w:sz w:val="24"/>
        </w:rPr>
        <w:t>按照规定推荐成交候选供应商的权利；</w:t>
      </w:r>
    </w:p>
    <w:p w14:paraId="07D67D2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25.5.4</w:t>
      </w:r>
      <w:r>
        <w:rPr>
          <w:rFonts w:hint="eastAsia" w:ascii="仿宋" w:hAnsi="仿宋" w:eastAsia="仿宋" w:cs="仿宋"/>
          <w:color w:val="auto"/>
          <w:sz w:val="24"/>
        </w:rPr>
        <w:t>按照规定获取评审劳务报酬的权利；</w:t>
      </w:r>
    </w:p>
    <w:p w14:paraId="70F669C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25.5.5</w:t>
      </w:r>
      <w:r>
        <w:rPr>
          <w:rFonts w:hint="eastAsia" w:ascii="仿宋" w:hAnsi="仿宋" w:eastAsia="仿宋" w:cs="仿宋"/>
          <w:color w:val="auto"/>
          <w:sz w:val="24"/>
        </w:rPr>
        <w:t>法律、法规规定的其他权利。</w:t>
      </w:r>
    </w:p>
    <w:p w14:paraId="1098AA6E">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义务及监管制度：</w:t>
      </w:r>
    </w:p>
    <w:p w14:paraId="52C7992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25.5.6</w:t>
      </w:r>
      <w:r>
        <w:rPr>
          <w:rFonts w:hint="eastAsia" w:ascii="仿宋" w:hAnsi="仿宋" w:eastAsia="仿宋" w:cs="仿宋"/>
          <w:color w:val="auto"/>
          <w:sz w:val="24"/>
        </w:rPr>
        <w:t>磋商小组在评审期间应当严格遵守评审工作纪律，主动出具身份证明，将手机等通讯工具或者相关电子设备交由采购人或者采购代理机构统一保管，不得记录，复制或者带走任何评审资料；</w:t>
      </w:r>
    </w:p>
    <w:p w14:paraId="1B29F3BF">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25.5.7</w:t>
      </w:r>
      <w:r>
        <w:rPr>
          <w:rFonts w:hint="eastAsia" w:ascii="仿宋" w:hAnsi="仿宋" w:eastAsia="仿宋" w:cs="仿宋"/>
          <w:color w:val="auto"/>
          <w:sz w:val="24"/>
        </w:rPr>
        <w:t>磋商小组应当按照客观、公正、审慎的原则，根据磋商文件规定的评审程序、评审方法和评审标准进行独立评审；</w:t>
      </w:r>
    </w:p>
    <w:p w14:paraId="7F045B5B">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25.5.8</w:t>
      </w:r>
      <w:r>
        <w:rPr>
          <w:rFonts w:hint="eastAsia" w:ascii="仿宋" w:hAnsi="仿宋" w:eastAsia="仿宋" w:cs="仿宋"/>
          <w:color w:val="auto"/>
          <w:sz w:val="24"/>
        </w:rPr>
        <w:t>及时向财政部门报告评审过程中发现的采购人、采购代理机构向评审专家做倾向性、误导性的解释或者说明，以及供应商行贿、提供虚假材料或者串通等违法行为；</w:t>
      </w:r>
    </w:p>
    <w:p w14:paraId="2AF6F28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25.5.9</w:t>
      </w:r>
      <w:r>
        <w:rPr>
          <w:rFonts w:hint="eastAsia" w:ascii="仿宋" w:hAnsi="仿宋" w:eastAsia="仿宋" w:cs="仿宋"/>
          <w:color w:val="auto"/>
          <w:sz w:val="24"/>
        </w:rPr>
        <w:t>维护国家利益、社会公共利益和当事人的合法权益；</w:t>
      </w:r>
    </w:p>
    <w:p w14:paraId="41BDEB3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25.5.10</w:t>
      </w:r>
      <w:r>
        <w:rPr>
          <w:rFonts w:hint="eastAsia" w:ascii="仿宋" w:hAnsi="仿宋" w:eastAsia="仿宋" w:cs="仿宋"/>
          <w:color w:val="auto"/>
          <w:sz w:val="24"/>
        </w:rPr>
        <w:t>参加由财政部门组织的专题学习、培训；</w:t>
      </w:r>
    </w:p>
    <w:p w14:paraId="10383CF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25.5.11</w:t>
      </w:r>
      <w:r>
        <w:rPr>
          <w:rFonts w:hint="eastAsia" w:ascii="仿宋" w:hAnsi="仿宋" w:eastAsia="仿宋" w:cs="仿宋"/>
          <w:color w:val="auto"/>
          <w:sz w:val="24"/>
        </w:rPr>
        <w:t>法律、法规规定的其他义务；</w:t>
      </w:r>
    </w:p>
    <w:p w14:paraId="3176DE9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25.5.12</w:t>
      </w:r>
      <w:r>
        <w:rPr>
          <w:rFonts w:hint="eastAsia" w:ascii="仿宋" w:hAnsi="仿宋" w:eastAsia="仿宋" w:cs="仿宋"/>
          <w:color w:val="auto"/>
          <w:sz w:val="24"/>
        </w:rPr>
        <w:t>磋商小组遵从《陕西省政府采购评审专家管理实施办法》的各项监督管理制度。</w:t>
      </w:r>
    </w:p>
    <w:p w14:paraId="7A93E776">
      <w:pPr>
        <w:pStyle w:val="5"/>
        <w:overflowPunct w:val="0"/>
        <w:adjustRightInd w:val="0"/>
        <w:snapToGrid w:val="0"/>
        <w:spacing w:before="0" w:after="0" w:line="360" w:lineRule="auto"/>
        <w:rPr>
          <w:rFonts w:hint="eastAsia" w:ascii="仿宋" w:hAnsi="仿宋" w:eastAsia="仿宋" w:cs="仿宋"/>
          <w:color w:val="auto"/>
          <w:sz w:val="24"/>
          <w:szCs w:val="24"/>
        </w:rPr>
      </w:pPr>
      <w:bookmarkStart w:id="122" w:name="_Toc311415601"/>
      <w:bookmarkStart w:id="123" w:name="_Toc423508250"/>
      <w:bookmarkStart w:id="124" w:name="_Toc17530"/>
      <w:r>
        <w:rPr>
          <w:rFonts w:hint="eastAsia" w:ascii="仿宋" w:hAnsi="仿宋" w:eastAsia="仿宋" w:cs="仿宋"/>
          <w:color w:val="auto"/>
          <w:sz w:val="24"/>
          <w:szCs w:val="24"/>
        </w:rPr>
        <w:t>26．响应文件的</w:t>
      </w:r>
      <w:bookmarkEnd w:id="122"/>
      <w:bookmarkEnd w:id="123"/>
      <w:r>
        <w:rPr>
          <w:rFonts w:hint="eastAsia" w:ascii="仿宋" w:hAnsi="仿宋" w:eastAsia="仿宋" w:cs="仿宋"/>
          <w:color w:val="auto"/>
          <w:sz w:val="24"/>
          <w:szCs w:val="24"/>
        </w:rPr>
        <w:t>审核</w:t>
      </w:r>
      <w:bookmarkEnd w:id="124"/>
    </w:p>
    <w:p w14:paraId="0FD096E9">
      <w:pPr>
        <w:overflowPunct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26.1</w:t>
      </w:r>
      <w:r>
        <w:rPr>
          <w:rFonts w:hint="eastAsia" w:ascii="仿宋" w:hAnsi="仿宋" w:eastAsia="仿宋" w:cs="仿宋"/>
          <w:b/>
          <w:bCs/>
          <w:color w:val="auto"/>
          <w:sz w:val="24"/>
        </w:rPr>
        <w:t>响应文件的资格性审查</w:t>
      </w:r>
      <w:r>
        <w:rPr>
          <w:rFonts w:hint="eastAsia" w:ascii="仿宋" w:hAnsi="仿宋" w:eastAsia="仿宋" w:cs="仿宋"/>
          <w:color w:val="auto"/>
          <w:sz w:val="24"/>
        </w:rPr>
        <w:t>：采购人对响应文件中的资格证明文件进行审查，以确保供应商具备相应资格。</w:t>
      </w:r>
    </w:p>
    <w:p w14:paraId="73B11A54">
      <w:pPr>
        <w:tabs>
          <w:tab w:val="left" w:pos="1155"/>
        </w:tabs>
        <w:spacing w:line="360" w:lineRule="auto"/>
        <w:rPr>
          <w:rFonts w:hint="eastAsia" w:ascii="仿宋" w:hAnsi="仿宋" w:eastAsia="仿宋" w:cs="仿宋"/>
          <w:color w:val="auto"/>
          <w:sz w:val="24"/>
        </w:rPr>
      </w:pPr>
      <w:r>
        <w:rPr>
          <w:rFonts w:hint="eastAsia" w:ascii="仿宋" w:hAnsi="仿宋" w:eastAsia="仿宋" w:cs="仿宋"/>
          <w:color w:val="auto"/>
          <w:sz w:val="24"/>
        </w:rPr>
        <w:t>26.2</w:t>
      </w:r>
      <w:r>
        <w:rPr>
          <w:rFonts w:hint="eastAsia" w:ascii="仿宋" w:hAnsi="仿宋" w:eastAsia="仿宋" w:cs="仿宋"/>
          <w:b/>
          <w:bCs/>
          <w:color w:val="auto"/>
          <w:sz w:val="24"/>
        </w:rPr>
        <w:t>响应文件符合性审查</w:t>
      </w:r>
      <w:r>
        <w:rPr>
          <w:rFonts w:hint="eastAsia" w:ascii="仿宋" w:hAnsi="仿宋" w:eastAsia="仿宋" w:cs="仿宋"/>
          <w:color w:val="auto"/>
          <w:sz w:val="24"/>
        </w:rPr>
        <w:t>：依据磋商文件的规定，从响应文件的有效性、完整性和对磋商文件的响应程度进行审查，以确定是否对磋商文件的实质性内容作出响应。其内容包括并不局限以下部分：</w:t>
      </w:r>
    </w:p>
    <w:p w14:paraId="69F96030">
      <w:pPr>
        <w:tabs>
          <w:tab w:val="left" w:pos="1155"/>
        </w:tabs>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26.2.</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法定代表人授权代表参加</w:t>
      </w: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的，须出具法定代表人授权书及授权代表身份证（法定代表人直接参加</w:t>
      </w: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的，须出具法定代表人身份证）；</w:t>
      </w:r>
    </w:p>
    <w:p w14:paraId="50E69721">
      <w:pPr>
        <w:tabs>
          <w:tab w:val="left" w:pos="1155"/>
        </w:tabs>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26.2.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本项目</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rPr>
        <w:t>接受联合体磋商</w:t>
      </w:r>
      <w:r>
        <w:rPr>
          <w:rFonts w:hint="eastAsia" w:ascii="仿宋" w:hAnsi="仿宋" w:eastAsia="仿宋" w:cs="仿宋"/>
          <w:b/>
          <w:bCs/>
          <w:color w:val="auto"/>
          <w:sz w:val="24"/>
          <w:highlight w:val="none"/>
          <w:lang w:eastAsia="zh-CN"/>
        </w:rPr>
        <w:t>；</w:t>
      </w:r>
    </w:p>
    <w:p w14:paraId="322B55B1">
      <w:pPr>
        <w:tabs>
          <w:tab w:val="left" w:pos="1155"/>
        </w:tabs>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26.2.</w:t>
      </w:r>
      <w:r>
        <w:rPr>
          <w:rFonts w:hint="eastAsia" w:ascii="仿宋" w:hAnsi="仿宋" w:eastAsia="仿宋" w:cs="仿宋"/>
          <w:b/>
          <w:bCs/>
          <w:color w:val="auto"/>
          <w:sz w:val="24"/>
          <w:lang w:val="en-US" w:eastAsia="zh-CN"/>
        </w:rPr>
        <w:t>3服务</w:t>
      </w:r>
      <w:r>
        <w:rPr>
          <w:rFonts w:hint="eastAsia" w:ascii="仿宋" w:hAnsi="仿宋" w:eastAsia="仿宋" w:cs="仿宋"/>
          <w:b/>
          <w:bCs/>
          <w:color w:val="auto"/>
          <w:sz w:val="24"/>
        </w:rPr>
        <w:t>期限</w:t>
      </w:r>
      <w:r>
        <w:rPr>
          <w:rFonts w:hint="eastAsia" w:ascii="仿宋" w:hAnsi="仿宋" w:eastAsia="仿宋" w:cs="仿宋"/>
          <w:b/>
          <w:bCs/>
          <w:color w:val="auto"/>
          <w:sz w:val="24"/>
          <w:lang w:val="en-US" w:eastAsia="zh-CN"/>
        </w:rPr>
        <w:t>符合磋商文件要求</w:t>
      </w:r>
      <w:r>
        <w:rPr>
          <w:rFonts w:hint="eastAsia" w:ascii="仿宋" w:hAnsi="仿宋" w:eastAsia="仿宋" w:cs="仿宋"/>
          <w:b/>
          <w:bCs/>
          <w:color w:val="auto"/>
          <w:sz w:val="24"/>
        </w:rPr>
        <w:t>；</w:t>
      </w:r>
    </w:p>
    <w:p w14:paraId="300D8B74">
      <w:pPr>
        <w:tabs>
          <w:tab w:val="left" w:pos="1155"/>
        </w:tabs>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26.2.</w:t>
      </w: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付款方式</w:t>
      </w:r>
      <w:r>
        <w:rPr>
          <w:rFonts w:hint="eastAsia" w:ascii="仿宋" w:hAnsi="仿宋" w:eastAsia="仿宋" w:cs="仿宋"/>
          <w:b/>
          <w:bCs/>
          <w:color w:val="auto"/>
          <w:sz w:val="24"/>
          <w:lang w:val="en-US" w:eastAsia="zh-CN"/>
        </w:rPr>
        <w:t>符合磋商文件要求</w:t>
      </w:r>
      <w:r>
        <w:rPr>
          <w:rFonts w:hint="eastAsia" w:ascii="仿宋" w:hAnsi="仿宋" w:eastAsia="仿宋" w:cs="仿宋"/>
          <w:b/>
          <w:bCs/>
          <w:color w:val="auto"/>
          <w:sz w:val="24"/>
        </w:rPr>
        <w:t>；</w:t>
      </w:r>
    </w:p>
    <w:p w14:paraId="5062673A">
      <w:pPr>
        <w:tabs>
          <w:tab w:val="left" w:pos="1155"/>
        </w:tabs>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rPr>
        <w:t>26.2.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响应文件有效期</w:t>
      </w:r>
      <w:r>
        <w:rPr>
          <w:rFonts w:hint="eastAsia" w:ascii="仿宋" w:hAnsi="仿宋" w:eastAsia="仿宋" w:cs="仿宋"/>
          <w:b/>
          <w:bCs/>
          <w:color w:val="auto"/>
          <w:sz w:val="24"/>
          <w:lang w:val="en-US" w:eastAsia="zh-CN"/>
        </w:rPr>
        <w:t>符合磋商文件要求</w:t>
      </w:r>
      <w:r>
        <w:rPr>
          <w:rFonts w:hint="eastAsia" w:ascii="仿宋" w:hAnsi="仿宋" w:eastAsia="仿宋" w:cs="仿宋"/>
          <w:b/>
          <w:bCs/>
          <w:color w:val="auto"/>
          <w:sz w:val="24"/>
          <w:highlight w:val="none"/>
        </w:rPr>
        <w:t>；</w:t>
      </w:r>
    </w:p>
    <w:p w14:paraId="166BED35">
      <w:pPr>
        <w:tabs>
          <w:tab w:val="left" w:pos="1155"/>
        </w:tabs>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26.2.</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响应文件的签字盖章</w:t>
      </w:r>
      <w:r>
        <w:rPr>
          <w:rFonts w:hint="eastAsia" w:ascii="仿宋" w:hAnsi="仿宋" w:eastAsia="仿宋" w:cs="仿宋"/>
          <w:b/>
          <w:bCs/>
          <w:color w:val="auto"/>
          <w:sz w:val="24"/>
          <w:highlight w:val="none"/>
          <w:lang w:val="en-US" w:eastAsia="zh-CN"/>
        </w:rPr>
        <w:t>符合磋商文件要求</w:t>
      </w:r>
      <w:r>
        <w:rPr>
          <w:rFonts w:hint="eastAsia" w:ascii="仿宋" w:hAnsi="仿宋" w:eastAsia="仿宋" w:cs="仿宋"/>
          <w:b/>
          <w:bCs/>
          <w:color w:val="auto"/>
          <w:sz w:val="24"/>
          <w:highlight w:val="none"/>
        </w:rPr>
        <w:t>；</w:t>
      </w:r>
    </w:p>
    <w:p w14:paraId="6AFF9556">
      <w:pPr>
        <w:tabs>
          <w:tab w:val="left" w:pos="1155"/>
        </w:tabs>
        <w:spacing w:line="360" w:lineRule="auto"/>
        <w:rPr>
          <w:rFonts w:hint="eastAsia" w:ascii="仿宋" w:hAnsi="仿宋" w:eastAsia="仿宋" w:cs="仿宋"/>
          <w:color w:val="auto"/>
          <w:sz w:val="24"/>
        </w:rPr>
      </w:pPr>
      <w:r>
        <w:rPr>
          <w:rFonts w:hint="eastAsia" w:ascii="仿宋" w:hAnsi="仿宋" w:eastAsia="仿宋" w:cs="仿宋"/>
          <w:b/>
          <w:bCs/>
          <w:color w:val="auto"/>
          <w:sz w:val="24"/>
          <w:lang w:val="en-US" w:eastAsia="zh-CN"/>
        </w:rPr>
        <w:t>26.2.7报价唯一，且报价不得超出采购预算、评审咨询费综合单价、评审专家费综合单价。</w:t>
      </w:r>
    </w:p>
    <w:p w14:paraId="3302627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26.3经过对响应文件的评审，出现下列情况者（但不限于），按无效磋商处理。</w:t>
      </w:r>
    </w:p>
    <w:p w14:paraId="7CD6BC2C">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26.3.1供应商没有经过正常渠道</w:t>
      </w:r>
      <w:r>
        <w:rPr>
          <w:rFonts w:hint="eastAsia" w:ascii="仿宋" w:hAnsi="仿宋" w:eastAsia="仿宋" w:cs="仿宋"/>
          <w:color w:val="auto"/>
          <w:sz w:val="24"/>
          <w:lang w:val="en-US" w:eastAsia="zh-CN"/>
        </w:rPr>
        <w:t>下载</w:t>
      </w:r>
      <w:r>
        <w:rPr>
          <w:rFonts w:hint="eastAsia" w:ascii="仿宋" w:hAnsi="仿宋" w:eastAsia="仿宋" w:cs="仿宋"/>
          <w:color w:val="auto"/>
          <w:sz w:val="24"/>
        </w:rPr>
        <w:t>标书或供应商的名称与登记</w:t>
      </w:r>
      <w:r>
        <w:rPr>
          <w:rFonts w:hint="eastAsia" w:ascii="仿宋" w:hAnsi="仿宋" w:eastAsia="仿宋" w:cs="仿宋"/>
          <w:color w:val="auto"/>
          <w:sz w:val="24"/>
          <w:lang w:val="en-US" w:eastAsia="zh-CN"/>
        </w:rPr>
        <w:t>下载</w:t>
      </w:r>
      <w:r>
        <w:rPr>
          <w:rFonts w:hint="eastAsia" w:ascii="仿宋" w:hAnsi="仿宋" w:eastAsia="仿宋" w:cs="仿宋"/>
          <w:color w:val="auto"/>
          <w:sz w:val="24"/>
        </w:rPr>
        <w:t>磋商文件单位的名称不符；</w:t>
      </w:r>
    </w:p>
    <w:p w14:paraId="10361E9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26.3.2响应文件没有法定代表人授权书（法人直接参加除外）或授权书的合法性或有效性不符合磋商文件规定；</w:t>
      </w:r>
    </w:p>
    <w:p w14:paraId="222527CB">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26.3.3供应商资质的有效性或符合性不符合要求的；</w:t>
      </w:r>
    </w:p>
    <w:p w14:paraId="2AF942D8">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val="en-US" w:eastAsia="zh-CN"/>
        </w:rPr>
        <w:t>4</w:t>
      </w:r>
      <w:r>
        <w:rPr>
          <w:rFonts w:hint="eastAsia" w:ascii="仿宋" w:hAnsi="仿宋" w:eastAsia="仿宋" w:cs="仿宋"/>
          <w:color w:val="auto"/>
          <w:sz w:val="24"/>
        </w:rPr>
        <w:t>响应文件未按磋商文件规定有效签字和盖章的；</w:t>
      </w:r>
    </w:p>
    <w:p w14:paraId="2E53F028">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val="en-US" w:eastAsia="zh-CN"/>
        </w:rPr>
        <w:t>5</w:t>
      </w:r>
      <w:r>
        <w:rPr>
          <w:rFonts w:hint="eastAsia" w:ascii="仿宋" w:hAnsi="仿宋" w:eastAsia="仿宋" w:cs="仿宋"/>
          <w:color w:val="auto"/>
          <w:sz w:val="24"/>
        </w:rPr>
        <w:t>磋商有效期不足的；</w:t>
      </w:r>
    </w:p>
    <w:p w14:paraId="6A65C1C3">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val="en-US" w:eastAsia="zh-CN"/>
        </w:rPr>
        <w:t>6</w:t>
      </w:r>
      <w:r>
        <w:rPr>
          <w:rFonts w:hint="eastAsia" w:ascii="仿宋" w:hAnsi="仿宋" w:eastAsia="仿宋" w:cs="仿宋"/>
          <w:color w:val="auto"/>
          <w:sz w:val="24"/>
        </w:rPr>
        <w:t>磋商内容出现漏项或数量与要求不符，出现重大负偏差；</w:t>
      </w:r>
    </w:p>
    <w:p w14:paraId="2F134C5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val="en-US" w:eastAsia="zh-CN"/>
        </w:rPr>
        <w:t>7</w:t>
      </w:r>
      <w:r>
        <w:rPr>
          <w:rFonts w:hint="eastAsia" w:ascii="仿宋" w:hAnsi="仿宋" w:eastAsia="仿宋" w:cs="仿宋"/>
          <w:color w:val="auto"/>
          <w:sz w:val="24"/>
        </w:rPr>
        <w:t>响应文件的主要条款响应与磋商文件要求不一致，附加了采购人难以接受的条件；</w:t>
      </w:r>
    </w:p>
    <w:p w14:paraId="77B7A04C">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val="en-US" w:eastAsia="zh-CN"/>
        </w:rPr>
        <w:t>8</w:t>
      </w:r>
      <w:r>
        <w:rPr>
          <w:rFonts w:hint="eastAsia" w:ascii="仿宋" w:hAnsi="仿宋" w:eastAsia="仿宋" w:cs="仿宋"/>
          <w:color w:val="auto"/>
          <w:sz w:val="24"/>
        </w:rPr>
        <w:t>规定不接受选择方案和选择报价（包括交叉折扣）的，供应商提供了选择方案和/或选择报价（包括交叉折扣）；</w:t>
      </w:r>
    </w:p>
    <w:p w14:paraId="67E5150C">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color w:val="auto"/>
          <w:sz w:val="24"/>
          <w:lang w:val="en-US" w:eastAsia="zh-CN"/>
        </w:rPr>
        <w:t>9</w:t>
      </w:r>
      <w:r>
        <w:rPr>
          <w:rFonts w:hint="eastAsia" w:ascii="仿宋" w:hAnsi="仿宋" w:eastAsia="仿宋" w:cs="仿宋"/>
          <w:color w:val="auto"/>
          <w:sz w:val="24"/>
        </w:rPr>
        <w:t>磋商报价与市场价偏离较大，低于成本，形成不正当竞争；</w:t>
      </w:r>
    </w:p>
    <w:p w14:paraId="7D804703">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26.3.1</w:t>
      </w:r>
      <w:r>
        <w:rPr>
          <w:rFonts w:hint="eastAsia" w:ascii="仿宋" w:hAnsi="仿宋" w:eastAsia="仿宋" w:cs="仿宋"/>
          <w:color w:val="auto"/>
          <w:sz w:val="24"/>
          <w:lang w:val="en-US" w:eastAsia="zh-CN"/>
        </w:rPr>
        <w:t>0</w:t>
      </w:r>
      <w:r>
        <w:rPr>
          <w:rFonts w:hint="eastAsia" w:ascii="仿宋" w:hAnsi="仿宋" w:eastAsia="仿宋" w:cs="仿宋"/>
          <w:color w:val="auto"/>
          <w:sz w:val="24"/>
        </w:rPr>
        <w:t>磋商报价超出采购预算或最高限价的；</w:t>
      </w:r>
    </w:p>
    <w:p w14:paraId="59301471">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26.3.1</w:t>
      </w:r>
      <w:r>
        <w:rPr>
          <w:rFonts w:hint="eastAsia" w:ascii="仿宋" w:hAnsi="仿宋" w:eastAsia="仿宋" w:cs="仿宋"/>
          <w:color w:val="auto"/>
          <w:sz w:val="24"/>
          <w:lang w:val="en-US" w:eastAsia="zh-CN"/>
        </w:rPr>
        <w:t>1</w:t>
      </w:r>
      <w:r>
        <w:rPr>
          <w:rFonts w:hint="eastAsia" w:ascii="仿宋" w:hAnsi="仿宋" w:eastAsia="仿宋" w:cs="仿宋"/>
          <w:color w:val="auto"/>
          <w:sz w:val="24"/>
        </w:rPr>
        <w:t>提供虚假证明，开具虚假资质，出现虚假应答，除按无效标处理外，还进行相应的处罚；</w:t>
      </w:r>
    </w:p>
    <w:p w14:paraId="1B0B3781">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26.3.1</w:t>
      </w:r>
      <w:r>
        <w:rPr>
          <w:rFonts w:hint="eastAsia" w:ascii="仿宋" w:hAnsi="仿宋" w:eastAsia="仿宋" w:cs="仿宋"/>
          <w:color w:val="auto"/>
          <w:sz w:val="24"/>
          <w:lang w:val="en-US" w:eastAsia="zh-CN"/>
        </w:rPr>
        <w:t>2</w:t>
      </w:r>
      <w:r>
        <w:rPr>
          <w:rFonts w:hint="eastAsia" w:ascii="仿宋" w:hAnsi="仿宋" w:eastAsia="仿宋" w:cs="仿宋"/>
          <w:color w:val="auto"/>
          <w:sz w:val="24"/>
        </w:rPr>
        <w:t>其他法律法规规定的无效标情况。</w:t>
      </w:r>
    </w:p>
    <w:p w14:paraId="3531CB15">
      <w:pPr>
        <w:pStyle w:val="5"/>
        <w:overflowPunct w:val="0"/>
        <w:adjustRightInd w:val="0"/>
        <w:snapToGrid w:val="0"/>
        <w:spacing w:before="0" w:after="0" w:line="360" w:lineRule="auto"/>
        <w:rPr>
          <w:rFonts w:hint="eastAsia" w:ascii="仿宋" w:hAnsi="仿宋" w:eastAsia="仿宋" w:cs="仿宋"/>
          <w:color w:val="auto"/>
          <w:sz w:val="24"/>
          <w:szCs w:val="24"/>
        </w:rPr>
      </w:pPr>
      <w:bookmarkStart w:id="125" w:name="_Toc311415600"/>
      <w:bookmarkStart w:id="126" w:name="_Toc423508251"/>
      <w:bookmarkStart w:id="127" w:name="_Toc4896"/>
      <w:r>
        <w:rPr>
          <w:rFonts w:hint="eastAsia" w:ascii="仿宋" w:hAnsi="仿宋" w:eastAsia="仿宋" w:cs="仿宋"/>
          <w:color w:val="auto"/>
          <w:sz w:val="24"/>
          <w:szCs w:val="24"/>
        </w:rPr>
        <w:t>27．响应文件的澄清</w:t>
      </w:r>
      <w:bookmarkEnd w:id="125"/>
      <w:bookmarkEnd w:id="126"/>
      <w:bookmarkEnd w:id="127"/>
    </w:p>
    <w:p w14:paraId="71B306A1">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27.1 在评审期间, 磋商小组在对响应文件的有效性、完整性和响应程度进行审查时，可以要求供应商对响应文件中含义不明确、同类问题表述不一致或者有明显文字和计算错误的内容等作出必要的澄清、说明或者更正。</w:t>
      </w:r>
    </w:p>
    <w:p w14:paraId="711588E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27.2供应商应采用书面形式进行澄清或说明，但不得超出响应文件的范围或改变响应文件的实质性内容。供应商的澄清、说明或者更正应当由法定代表人或其授权代表签字。</w:t>
      </w:r>
    </w:p>
    <w:p w14:paraId="42AEE818">
      <w:pPr>
        <w:pStyle w:val="5"/>
        <w:overflowPunct w:val="0"/>
        <w:adjustRightInd w:val="0"/>
        <w:snapToGrid w:val="0"/>
        <w:spacing w:before="0" w:after="0" w:line="360" w:lineRule="auto"/>
        <w:rPr>
          <w:rFonts w:hint="eastAsia" w:ascii="仿宋" w:hAnsi="仿宋" w:eastAsia="仿宋" w:cs="仿宋"/>
          <w:color w:val="auto"/>
          <w:sz w:val="24"/>
          <w:szCs w:val="24"/>
        </w:rPr>
      </w:pPr>
      <w:bookmarkStart w:id="128" w:name="_Toc18270"/>
      <w:bookmarkStart w:id="129" w:name="_Toc423508252"/>
      <w:r>
        <w:rPr>
          <w:rFonts w:hint="eastAsia" w:ascii="仿宋" w:hAnsi="仿宋" w:eastAsia="仿宋" w:cs="仿宋"/>
          <w:color w:val="auto"/>
          <w:sz w:val="24"/>
          <w:szCs w:val="24"/>
        </w:rPr>
        <w:t>28．响应文件的比较和评价</w:t>
      </w:r>
      <w:bookmarkEnd w:id="128"/>
      <w:bookmarkEnd w:id="129"/>
    </w:p>
    <w:p w14:paraId="580E955D">
      <w:pPr>
        <w:spacing w:line="360" w:lineRule="auto"/>
        <w:rPr>
          <w:rFonts w:hint="eastAsia" w:ascii="仿宋" w:hAnsi="仿宋" w:eastAsia="仿宋" w:cs="仿宋"/>
          <w:color w:val="auto"/>
          <w:sz w:val="24"/>
        </w:rPr>
      </w:pPr>
      <w:r>
        <w:rPr>
          <w:rFonts w:hint="eastAsia" w:ascii="仿宋" w:hAnsi="仿宋" w:eastAsia="仿宋" w:cs="仿宋"/>
          <w:color w:val="auto"/>
          <w:sz w:val="24"/>
        </w:rPr>
        <w:t>28.1磋商小组在评审过程中，发现响应文件出现下列情况之一者，按以下原则修正：</w:t>
      </w:r>
    </w:p>
    <w:p w14:paraId="6D00F80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28.1.1磋商报价表内容与响应文件中报价内容不一致的，以磋商报价表为准；</w:t>
      </w:r>
    </w:p>
    <w:p w14:paraId="61234355">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28.1.2大写金额和小写金额不一致的，以大写金额为准；</w:t>
      </w:r>
    </w:p>
    <w:p w14:paraId="780EB65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28.1.3如果以单价计算的结果与总价不一致，则以单价为准修改总价；单价金额小数点有明显错位的，应以总价为准，并修改单价；</w:t>
      </w:r>
    </w:p>
    <w:p w14:paraId="7BC0951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28.1.4如果用文字表示的数值与用数字表示的数值不一致，以文字表示的值为准。</w:t>
      </w:r>
    </w:p>
    <w:p w14:paraId="496257C2">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28.1.5对不同文字文本响应文件的解释发生异议的，以中文文本为准；</w:t>
      </w:r>
    </w:p>
    <w:p w14:paraId="681F2413">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28.1.6正本与副本不一致的，以正本为准。</w:t>
      </w:r>
    </w:p>
    <w:p w14:paraId="6F0DD509">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28.2如果磋商实质上没有响应磋商文件的要求，其磋商将被拒绝，供应商不得通过修正或撤消不合要求的偏离或保留从而使其磋商成为实质上响应的磋商。</w:t>
      </w:r>
    </w:p>
    <w:p w14:paraId="0B9E41D0">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28.3评审程序：采取逐项分步评审方式，每一步评审不符合者，不进入下一步评审，先进行资格性审查，再进行符合性审查。</w:t>
      </w:r>
    </w:p>
    <w:p w14:paraId="1E266ED6">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28.4磋商小组所有成员对实质性响应磋商文件的单一供应商分别进行磋商，并给予参加磋商的供应商平等的磋商机会。</w:t>
      </w:r>
    </w:p>
    <w:p w14:paraId="2BD35C2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或授权代表签字或者加盖公章。</w:t>
      </w:r>
    </w:p>
    <w:p w14:paraId="59211819">
      <w:pPr>
        <w:overflowPunct w:val="0"/>
        <w:adjustRightInd w:val="0"/>
        <w:snapToGrid w:val="0"/>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rPr>
        <w:t>28.6磋商文件能够详细列明采购标的的技术、服务要求的，磋商结束后，磋商小组应当要求所有实质性响应的供应商在规定时间内提交最后报价。</w:t>
      </w:r>
      <w:r>
        <w:rPr>
          <w:rFonts w:hint="eastAsia" w:ascii="仿宋" w:hAnsi="仿宋" w:eastAsia="仿宋" w:cs="仿宋"/>
          <w:color w:val="auto"/>
          <w:sz w:val="24"/>
          <w:lang w:val="en-US" w:eastAsia="zh-CN"/>
        </w:rPr>
        <w:t>磋商过程中所有磋商所有报价现场不对供应商公开宣读。</w:t>
      </w:r>
    </w:p>
    <w:p w14:paraId="548BE225">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28.7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够提供相关材料证明其报价的合理性，其最后报价为无效报价。</w:t>
      </w:r>
    </w:p>
    <w:p w14:paraId="04DA196B">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28.8经磋商确定最终采购需求和提交最后报价的供应商后，由磋商小组采用综合评分法对提交最后报价的供应商的响应文件和最后报价进行综合评分。</w:t>
      </w:r>
    </w:p>
    <w:p w14:paraId="045AE1CA">
      <w:pPr>
        <w:pStyle w:val="5"/>
        <w:overflowPunct w:val="0"/>
        <w:adjustRightInd w:val="0"/>
        <w:snapToGrid w:val="0"/>
        <w:spacing w:before="0" w:after="0" w:line="360" w:lineRule="auto"/>
        <w:rPr>
          <w:rFonts w:hint="eastAsia" w:ascii="仿宋" w:hAnsi="仿宋" w:eastAsia="仿宋" w:cs="仿宋"/>
          <w:color w:val="auto"/>
          <w:sz w:val="24"/>
          <w:szCs w:val="24"/>
        </w:rPr>
      </w:pPr>
      <w:bookmarkStart w:id="130" w:name="_Toc423508253"/>
      <w:bookmarkStart w:id="131" w:name="_Toc311415604"/>
      <w:bookmarkStart w:id="132" w:name="_Toc9924"/>
      <w:r>
        <w:rPr>
          <w:rFonts w:hint="eastAsia" w:ascii="仿宋" w:hAnsi="仿宋" w:eastAsia="仿宋" w:cs="仿宋"/>
          <w:color w:val="auto"/>
          <w:sz w:val="24"/>
          <w:szCs w:val="24"/>
        </w:rPr>
        <w:t>29．评审原则及主要方法</w:t>
      </w:r>
      <w:bookmarkEnd w:id="130"/>
      <w:bookmarkEnd w:id="131"/>
      <w:bookmarkEnd w:id="132"/>
    </w:p>
    <w:p w14:paraId="5437E2CD">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29.1 磋商小组将遵循公平、公正和择优的原则，对所有提交最后报价的供应商的响应文件评审，都采用相同的程序和标准。</w:t>
      </w:r>
    </w:p>
    <w:p w14:paraId="65586F50">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29.2 评审过程的保密：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5EEEC93C">
      <w:pPr>
        <w:overflowPunct w:val="0"/>
        <w:adjustRightInd w:val="0"/>
        <w:snapToGrid w:val="0"/>
        <w:spacing w:line="360" w:lineRule="auto"/>
        <w:rPr>
          <w:rFonts w:hint="eastAsia" w:ascii="仿宋" w:hAnsi="仿宋" w:eastAsia="仿宋"/>
          <w:color w:val="auto"/>
        </w:rPr>
      </w:pPr>
      <w:r>
        <w:rPr>
          <w:rFonts w:hint="eastAsia" w:ascii="仿宋" w:hAnsi="仿宋" w:eastAsia="仿宋" w:cs="仿宋"/>
          <w:color w:val="auto"/>
          <w:sz w:val="24"/>
        </w:rPr>
        <w:t>29.3评审办法：综合评分法，是指响应文件满足磋商文件全部实质性要求且按评审因素的量化指标评审得分最高的供应商为成交候选供应商的评审方法，本项目磋商小组根据量化指标评审得分由高到低推荐成交候选单位。本项目磋商小组根据量化指标评审得分由高到低推荐3名成交候选单位。</w:t>
      </w:r>
    </w:p>
    <w:tbl>
      <w:tblPr>
        <w:tblStyle w:val="39"/>
        <w:tblpPr w:leftFromText="180" w:rightFromText="180" w:vertAnchor="text" w:horzAnchor="page" w:tblpX="1163" w:tblpY="458"/>
        <w:tblOverlap w:val="never"/>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750"/>
        <w:gridCol w:w="7691"/>
      </w:tblGrid>
      <w:tr w14:paraId="4D05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 w:type="dxa"/>
            <w:noWrap w:val="0"/>
            <w:vAlign w:val="center"/>
          </w:tcPr>
          <w:p w14:paraId="5D2AFDB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内容</w:t>
            </w:r>
          </w:p>
        </w:tc>
        <w:tc>
          <w:tcPr>
            <w:tcW w:w="750" w:type="dxa"/>
            <w:noWrap w:val="0"/>
            <w:vAlign w:val="center"/>
          </w:tcPr>
          <w:p w14:paraId="18D1769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分数</w:t>
            </w:r>
          </w:p>
        </w:tc>
        <w:tc>
          <w:tcPr>
            <w:tcW w:w="7691" w:type="dxa"/>
            <w:noWrap w:val="0"/>
            <w:vAlign w:val="center"/>
          </w:tcPr>
          <w:p w14:paraId="06D304D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w:t>
            </w:r>
            <w:r>
              <w:rPr>
                <w:rFonts w:hint="eastAsia" w:ascii="仿宋" w:hAnsi="仿宋" w:eastAsia="仿宋" w:cs="仿宋"/>
                <w:color w:val="auto"/>
                <w:sz w:val="24"/>
                <w:szCs w:val="24"/>
                <w:highlight w:val="none"/>
                <w:lang w:val="en-US" w:eastAsia="zh-CN"/>
              </w:rPr>
              <w:t>审</w:t>
            </w:r>
            <w:r>
              <w:rPr>
                <w:rFonts w:hint="eastAsia" w:ascii="仿宋" w:hAnsi="仿宋" w:eastAsia="仿宋" w:cs="仿宋"/>
                <w:color w:val="auto"/>
                <w:sz w:val="24"/>
                <w:szCs w:val="24"/>
                <w:highlight w:val="none"/>
              </w:rPr>
              <w:t>原则与标准</w:t>
            </w:r>
          </w:p>
        </w:tc>
      </w:tr>
      <w:tr w14:paraId="6D8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432" w:type="dxa"/>
            <w:noWrap w:val="0"/>
            <w:vAlign w:val="center"/>
          </w:tcPr>
          <w:p w14:paraId="26B543C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价格</w:t>
            </w:r>
          </w:p>
        </w:tc>
        <w:tc>
          <w:tcPr>
            <w:tcW w:w="750" w:type="dxa"/>
            <w:noWrap w:val="0"/>
            <w:vAlign w:val="center"/>
          </w:tcPr>
          <w:p w14:paraId="7DDA789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7691" w:type="dxa"/>
            <w:noWrap w:val="0"/>
            <w:vAlign w:val="center"/>
          </w:tcPr>
          <w:p w14:paraId="5DAA7945">
            <w:pPr>
              <w:keepNext w:val="0"/>
              <w:keepLines w:val="0"/>
              <w:pageBreakBefore w:val="0"/>
              <w:widowControl w:val="0"/>
              <w:tabs>
                <w:tab w:val="left" w:pos="547"/>
              </w:tabs>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实质性满足磋商文件要求且最后报价最低的磋商报价为评标基准价，其价格分为满分。</w:t>
            </w:r>
          </w:p>
          <w:p w14:paraId="28C819C1">
            <w:pPr>
              <w:keepNext w:val="0"/>
              <w:keepLines w:val="0"/>
              <w:pageBreakBefore w:val="0"/>
              <w:widowControl w:val="0"/>
              <w:tabs>
                <w:tab w:val="left" w:pos="547"/>
              </w:tabs>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4"/>
                <w:highlight w:val="none"/>
              </w:rPr>
              <w:t>其它磋商报价得分=(磋商基准价／磋商报价)*</w:t>
            </w:r>
            <w:r>
              <w:rPr>
                <w:rFonts w:hint="eastAsia" w:ascii="仿宋" w:hAnsi="仿宋" w:eastAsia="仿宋" w:cs="仿宋"/>
                <w:color w:val="auto"/>
                <w:sz w:val="24"/>
                <w:szCs w:val="24"/>
                <w:highlight w:val="none"/>
                <w:lang w:val="en-US" w:eastAsia="zh-CN"/>
              </w:rPr>
              <w:t>20</w:t>
            </w:r>
          </w:p>
        </w:tc>
      </w:tr>
      <w:tr w14:paraId="5A48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32" w:type="dxa"/>
            <w:noWrap w:val="0"/>
            <w:vAlign w:val="center"/>
          </w:tcPr>
          <w:p w14:paraId="021573D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项目背景解读与目的意义理解</w:t>
            </w:r>
          </w:p>
        </w:tc>
        <w:tc>
          <w:tcPr>
            <w:tcW w:w="750" w:type="dxa"/>
            <w:noWrap w:val="0"/>
            <w:vAlign w:val="center"/>
          </w:tcPr>
          <w:p w14:paraId="309E853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691" w:type="dxa"/>
            <w:noWrap w:val="0"/>
            <w:vAlign w:val="center"/>
          </w:tcPr>
          <w:p w14:paraId="02BD6460">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针对本项目的理解与认识，内容包含，①项目需求理解深刻</w:t>
            </w:r>
            <w:r>
              <w:rPr>
                <w:rFonts w:hint="default" w:ascii="仿宋" w:hAnsi="仿宋" w:eastAsia="仿宋" w:cs="仿宋"/>
                <w:color w:val="auto"/>
                <w:sz w:val="24"/>
                <w:szCs w:val="22"/>
                <w:highlight w:val="none"/>
              </w:rPr>
              <w:t>；</w:t>
            </w:r>
            <w:r>
              <w:rPr>
                <w:rFonts w:hint="eastAsia" w:ascii="仿宋" w:hAnsi="仿宋" w:eastAsia="仿宋" w:cs="仿宋"/>
                <w:color w:val="auto"/>
                <w:sz w:val="24"/>
                <w:szCs w:val="22"/>
                <w:highlight w:val="none"/>
              </w:rPr>
              <w:t>②服务内容梳理全面</w:t>
            </w:r>
            <w:r>
              <w:rPr>
                <w:rFonts w:hint="default" w:ascii="仿宋" w:hAnsi="仿宋" w:eastAsia="仿宋" w:cs="仿宋"/>
                <w:color w:val="auto"/>
                <w:sz w:val="24"/>
                <w:szCs w:val="22"/>
                <w:highlight w:val="none"/>
              </w:rPr>
              <w:t>；</w:t>
            </w:r>
            <w:r>
              <w:rPr>
                <w:rFonts w:hint="eastAsia" w:ascii="仿宋" w:hAnsi="仿宋" w:eastAsia="仿宋" w:cs="仿宋"/>
                <w:color w:val="auto"/>
                <w:sz w:val="24"/>
                <w:szCs w:val="22"/>
                <w:highlight w:val="none"/>
              </w:rPr>
              <w:t>③项目重点、难点认识准确。以上</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项内容每一项内容全面详细、阐述条理清晰得</w:t>
            </w: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分，满分</w:t>
            </w:r>
            <w:r>
              <w:rPr>
                <w:rFonts w:hint="eastAsia" w:ascii="仿宋" w:hAnsi="仿宋" w:eastAsia="仿宋" w:cs="仿宋"/>
                <w:color w:val="auto"/>
                <w:sz w:val="24"/>
                <w:szCs w:val="22"/>
                <w:highlight w:val="none"/>
                <w:lang w:val="en-US" w:eastAsia="zh-CN"/>
              </w:rPr>
              <w:t>12</w:t>
            </w:r>
            <w:r>
              <w:rPr>
                <w:rFonts w:hint="eastAsia" w:ascii="仿宋" w:hAnsi="仿宋" w:eastAsia="仿宋" w:cs="仿宋"/>
                <w:color w:val="auto"/>
                <w:sz w:val="24"/>
                <w:szCs w:val="22"/>
                <w:highlight w:val="none"/>
              </w:rPr>
              <w:t>分，每项存在</w:t>
            </w:r>
            <w:r>
              <w:rPr>
                <w:rFonts w:hint="eastAsia" w:ascii="仿宋" w:hAnsi="仿宋" w:eastAsia="仿宋" w:cs="仿宋"/>
                <w:color w:val="auto"/>
                <w:sz w:val="24"/>
                <w:szCs w:val="22"/>
                <w:highlight w:val="none"/>
                <w:lang w:val="en-US" w:eastAsia="zh-CN"/>
              </w:rPr>
              <w:t>以下一处</w:t>
            </w:r>
            <w:r>
              <w:rPr>
                <w:rFonts w:hint="eastAsia" w:ascii="仿宋" w:hAnsi="仿宋" w:eastAsia="仿宋" w:cs="仿宋"/>
                <w:color w:val="auto"/>
                <w:sz w:val="24"/>
                <w:szCs w:val="22"/>
                <w:highlight w:val="none"/>
              </w:rPr>
              <w:t>缺陷，扣</w:t>
            </w: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rPr>
              <w:t xml:space="preserve">分，扣完为止。 </w:t>
            </w:r>
          </w:p>
          <w:p w14:paraId="1A03B591">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备注：缺陷是指内容不合理、虽有内容但不完善、内容表述前后不一致、套用其他项目方案或与项目需求不匹配及其他不利于项目实施的等任意一种情形。</w:t>
            </w:r>
          </w:p>
        </w:tc>
      </w:tr>
      <w:tr w14:paraId="6572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32" w:type="dxa"/>
            <w:noWrap w:val="0"/>
            <w:vAlign w:val="center"/>
          </w:tcPr>
          <w:p w14:paraId="5ABA26A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专家库管理方案</w:t>
            </w:r>
          </w:p>
        </w:tc>
        <w:tc>
          <w:tcPr>
            <w:tcW w:w="750" w:type="dxa"/>
            <w:noWrap w:val="0"/>
            <w:vAlign w:val="center"/>
          </w:tcPr>
          <w:p w14:paraId="432CAE7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691" w:type="dxa"/>
            <w:noWrap w:val="0"/>
            <w:vAlign w:val="center"/>
          </w:tcPr>
          <w:p w14:paraId="69C64CB7">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提供</w:t>
            </w:r>
            <w:r>
              <w:rPr>
                <w:rFonts w:hint="eastAsia" w:ascii="仿宋" w:hAnsi="仿宋" w:eastAsia="仿宋" w:cs="仿宋"/>
                <w:color w:val="auto"/>
                <w:sz w:val="24"/>
                <w:szCs w:val="22"/>
                <w:highlight w:val="none"/>
              </w:rPr>
              <w:t>详细的</w:t>
            </w:r>
            <w:r>
              <w:rPr>
                <w:rFonts w:hint="eastAsia" w:ascii="仿宋" w:hAnsi="仿宋" w:eastAsia="仿宋" w:cs="仿宋"/>
                <w:color w:val="auto"/>
                <w:sz w:val="24"/>
                <w:szCs w:val="24"/>
                <w:highlight w:val="none"/>
                <w:lang w:val="en-US" w:eastAsia="zh-CN"/>
              </w:rPr>
              <w:t>专家库管理方案</w:t>
            </w:r>
            <w:r>
              <w:rPr>
                <w:rFonts w:hint="eastAsia" w:ascii="仿宋" w:hAnsi="仿宋" w:eastAsia="仿宋" w:cs="仿宋"/>
                <w:color w:val="auto"/>
                <w:sz w:val="24"/>
                <w:szCs w:val="22"/>
                <w:highlight w:val="none"/>
              </w:rPr>
              <w:t>，方案包含</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①</w:t>
            </w:r>
            <w:r>
              <w:rPr>
                <w:rFonts w:hint="eastAsia" w:ascii="仿宋" w:hAnsi="仿宋" w:eastAsia="仿宋" w:cs="仿宋"/>
                <w:color w:val="auto"/>
                <w:sz w:val="24"/>
                <w:szCs w:val="22"/>
                <w:highlight w:val="none"/>
                <w:lang w:val="en-US" w:eastAsia="zh-CN"/>
              </w:rPr>
              <w:t>专家库人数</w:t>
            </w:r>
            <w:r>
              <w:rPr>
                <w:rFonts w:hint="default" w:ascii="仿宋" w:hAnsi="仿宋" w:eastAsia="仿宋" w:cs="仿宋"/>
                <w:color w:val="auto"/>
                <w:sz w:val="24"/>
                <w:szCs w:val="22"/>
                <w:highlight w:val="none"/>
              </w:rPr>
              <w:t>；</w:t>
            </w:r>
            <w:r>
              <w:rPr>
                <w:rFonts w:hint="eastAsia" w:ascii="仿宋" w:hAnsi="仿宋" w:eastAsia="仿宋" w:cs="仿宋"/>
                <w:color w:val="auto"/>
                <w:sz w:val="24"/>
                <w:szCs w:val="22"/>
                <w:highlight w:val="none"/>
              </w:rPr>
              <w:t>②</w:t>
            </w:r>
            <w:r>
              <w:rPr>
                <w:rFonts w:hint="eastAsia" w:ascii="仿宋" w:hAnsi="仿宋" w:eastAsia="仿宋" w:cs="仿宋"/>
                <w:color w:val="auto"/>
                <w:sz w:val="24"/>
                <w:szCs w:val="22"/>
                <w:highlight w:val="none"/>
                <w:lang w:val="en-US" w:eastAsia="zh-CN"/>
              </w:rPr>
              <w:t>专家行业类别</w:t>
            </w:r>
            <w:r>
              <w:rPr>
                <w:rFonts w:hint="default"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③专家</w:t>
            </w:r>
            <w:r>
              <w:rPr>
                <w:rFonts w:hint="eastAsia" w:ascii="仿宋" w:hAnsi="仿宋" w:eastAsia="仿宋" w:cs="仿宋"/>
                <w:color w:val="auto"/>
                <w:sz w:val="24"/>
                <w:szCs w:val="22"/>
                <w:highlight w:val="none"/>
              </w:rPr>
              <w:t>遴选</w:t>
            </w:r>
            <w:r>
              <w:rPr>
                <w:rFonts w:hint="eastAsia" w:ascii="仿宋" w:hAnsi="仿宋" w:eastAsia="仿宋" w:cs="仿宋"/>
                <w:color w:val="auto"/>
                <w:sz w:val="24"/>
                <w:szCs w:val="22"/>
                <w:highlight w:val="none"/>
                <w:lang w:val="en-US" w:eastAsia="zh-CN"/>
              </w:rPr>
              <w:t>方案；</w:t>
            </w:r>
            <w:r>
              <w:rPr>
                <w:rFonts w:hint="eastAsia" w:ascii="仿宋" w:hAnsi="仿宋" w:eastAsia="仿宋" w:cs="仿宋"/>
                <w:color w:val="auto"/>
                <w:sz w:val="24"/>
                <w:szCs w:val="22"/>
                <w:highlight w:val="none"/>
              </w:rPr>
              <w:t>④专家</w:t>
            </w:r>
            <w:r>
              <w:rPr>
                <w:rFonts w:hint="eastAsia" w:ascii="仿宋" w:hAnsi="仿宋" w:eastAsia="仿宋" w:cs="仿宋"/>
                <w:color w:val="auto"/>
                <w:sz w:val="24"/>
                <w:szCs w:val="22"/>
                <w:highlight w:val="none"/>
                <w:lang w:val="en-US" w:eastAsia="zh-CN"/>
              </w:rPr>
              <w:t>组织；⑤</w:t>
            </w:r>
            <w:r>
              <w:rPr>
                <w:rFonts w:hint="eastAsia" w:ascii="仿宋" w:hAnsi="仿宋" w:eastAsia="仿宋" w:cs="仿宋"/>
                <w:color w:val="auto"/>
                <w:sz w:val="24"/>
                <w:szCs w:val="22"/>
                <w:highlight w:val="none"/>
              </w:rPr>
              <w:t>补抽替补专家</w:t>
            </w:r>
            <w:r>
              <w:rPr>
                <w:rFonts w:hint="eastAsia" w:ascii="仿宋" w:hAnsi="仿宋" w:eastAsia="仿宋" w:cs="仿宋"/>
                <w:color w:val="auto"/>
                <w:sz w:val="24"/>
                <w:szCs w:val="22"/>
                <w:highlight w:val="none"/>
                <w:lang w:val="en-US" w:eastAsia="zh-CN"/>
              </w:rPr>
              <w:t>及回避</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以上</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rPr>
              <w:t>项内容每一项内容全面详细、阐述条理清晰得</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分，满分</w:t>
            </w:r>
            <w:r>
              <w:rPr>
                <w:rFonts w:hint="eastAsia" w:ascii="仿宋" w:hAnsi="仿宋" w:eastAsia="仿宋" w:cs="仿宋"/>
                <w:color w:val="auto"/>
                <w:sz w:val="24"/>
                <w:szCs w:val="22"/>
                <w:highlight w:val="none"/>
                <w:lang w:val="en-US" w:eastAsia="zh-CN"/>
              </w:rPr>
              <w:t>15</w:t>
            </w:r>
            <w:r>
              <w:rPr>
                <w:rFonts w:hint="eastAsia" w:ascii="仿宋" w:hAnsi="仿宋" w:eastAsia="仿宋" w:cs="仿宋"/>
                <w:color w:val="auto"/>
                <w:sz w:val="24"/>
                <w:szCs w:val="22"/>
                <w:highlight w:val="none"/>
              </w:rPr>
              <w:t>分，每项存在</w:t>
            </w:r>
            <w:r>
              <w:rPr>
                <w:rFonts w:hint="eastAsia" w:ascii="仿宋" w:hAnsi="仿宋" w:eastAsia="仿宋" w:cs="仿宋"/>
                <w:color w:val="auto"/>
                <w:sz w:val="24"/>
                <w:szCs w:val="22"/>
                <w:highlight w:val="none"/>
                <w:lang w:val="en-US" w:eastAsia="zh-CN"/>
              </w:rPr>
              <w:t>以下一处</w:t>
            </w:r>
            <w:r>
              <w:rPr>
                <w:rFonts w:hint="eastAsia" w:ascii="仿宋" w:hAnsi="仿宋" w:eastAsia="仿宋" w:cs="仿宋"/>
                <w:color w:val="auto"/>
                <w:sz w:val="24"/>
                <w:szCs w:val="22"/>
                <w:highlight w:val="none"/>
              </w:rPr>
              <w:t>缺陷，扣</w:t>
            </w: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rPr>
              <w:t xml:space="preserve">分，扣完为止。 </w:t>
            </w:r>
          </w:p>
          <w:p w14:paraId="53829C62">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rPr>
              <w:t>备注：缺陷是指内容不合理、虽有内容但不完善、内容表述前后不一致、套用其他项目方案或与项目需求不匹配及其他不利于项目实施的等任意一种情形。</w:t>
            </w:r>
          </w:p>
        </w:tc>
      </w:tr>
      <w:tr w14:paraId="5121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32" w:type="dxa"/>
            <w:noWrap w:val="0"/>
            <w:vAlign w:val="center"/>
          </w:tcPr>
          <w:p w14:paraId="4FD9CC7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质量、进度、 安全保证措施</w:t>
            </w:r>
          </w:p>
        </w:tc>
        <w:tc>
          <w:tcPr>
            <w:tcW w:w="750" w:type="dxa"/>
            <w:noWrap w:val="0"/>
            <w:vAlign w:val="center"/>
          </w:tcPr>
          <w:p w14:paraId="2C2801A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691" w:type="dxa"/>
            <w:noWrap w:val="0"/>
            <w:vAlign w:val="center"/>
          </w:tcPr>
          <w:p w14:paraId="60E1F9FB">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提供</w:t>
            </w:r>
            <w:r>
              <w:rPr>
                <w:rFonts w:hint="eastAsia" w:ascii="仿宋" w:hAnsi="仿宋" w:eastAsia="仿宋" w:cs="仿宋"/>
                <w:color w:val="auto"/>
                <w:sz w:val="24"/>
                <w:szCs w:val="22"/>
                <w:highlight w:val="none"/>
              </w:rPr>
              <w:t>详细的质量、进度、安全保证措施，方案包含，①质量保证措施</w:t>
            </w:r>
            <w:r>
              <w:rPr>
                <w:rFonts w:hint="default" w:ascii="仿宋" w:hAnsi="仿宋" w:eastAsia="仿宋" w:cs="仿宋"/>
                <w:color w:val="auto"/>
                <w:sz w:val="24"/>
                <w:szCs w:val="22"/>
                <w:highlight w:val="none"/>
              </w:rPr>
              <w:t>；</w:t>
            </w:r>
            <w:r>
              <w:rPr>
                <w:rFonts w:hint="eastAsia" w:ascii="仿宋" w:hAnsi="仿宋" w:eastAsia="仿宋" w:cs="仿宋"/>
                <w:color w:val="auto"/>
                <w:sz w:val="24"/>
                <w:szCs w:val="22"/>
                <w:highlight w:val="none"/>
              </w:rPr>
              <w:t>②进度保证措施</w:t>
            </w:r>
            <w:r>
              <w:rPr>
                <w:rFonts w:hint="default" w:ascii="仿宋" w:hAnsi="仿宋" w:eastAsia="仿宋" w:cs="仿宋"/>
                <w:color w:val="auto"/>
                <w:sz w:val="24"/>
                <w:szCs w:val="22"/>
                <w:highlight w:val="none"/>
              </w:rPr>
              <w:t>；</w:t>
            </w:r>
            <w:r>
              <w:rPr>
                <w:rFonts w:hint="eastAsia" w:ascii="仿宋" w:hAnsi="仿宋" w:eastAsia="仿宋" w:cs="仿宋"/>
                <w:color w:val="auto"/>
                <w:sz w:val="24"/>
                <w:szCs w:val="22"/>
                <w:highlight w:val="none"/>
              </w:rPr>
              <w:t>③安全保证措施</w:t>
            </w:r>
            <w:r>
              <w:rPr>
                <w:rFonts w:hint="default" w:ascii="仿宋" w:hAnsi="仿宋" w:eastAsia="仿宋" w:cs="仿宋"/>
                <w:color w:val="auto"/>
                <w:sz w:val="24"/>
                <w:szCs w:val="22"/>
                <w:highlight w:val="none"/>
              </w:rPr>
              <w:t>。以上3项内容每一项内容全面详细、阐述条理清晰得</w:t>
            </w:r>
            <w:r>
              <w:rPr>
                <w:rFonts w:hint="eastAsia" w:ascii="仿宋" w:hAnsi="仿宋" w:eastAsia="仿宋" w:cs="仿宋"/>
                <w:color w:val="auto"/>
                <w:sz w:val="24"/>
                <w:szCs w:val="22"/>
                <w:highlight w:val="none"/>
                <w:lang w:val="en-US" w:eastAsia="zh-CN"/>
              </w:rPr>
              <w:t>4</w:t>
            </w:r>
            <w:r>
              <w:rPr>
                <w:rFonts w:hint="default" w:ascii="仿宋" w:hAnsi="仿宋" w:eastAsia="仿宋" w:cs="仿宋"/>
                <w:color w:val="auto"/>
                <w:sz w:val="24"/>
                <w:szCs w:val="22"/>
                <w:highlight w:val="none"/>
              </w:rPr>
              <w:t>分，满分</w:t>
            </w:r>
            <w:r>
              <w:rPr>
                <w:rFonts w:hint="eastAsia" w:ascii="仿宋" w:hAnsi="仿宋" w:eastAsia="仿宋" w:cs="仿宋"/>
                <w:color w:val="auto"/>
                <w:sz w:val="24"/>
                <w:szCs w:val="22"/>
                <w:highlight w:val="none"/>
                <w:lang w:val="en-US" w:eastAsia="zh-CN"/>
              </w:rPr>
              <w:t>12</w:t>
            </w:r>
            <w:r>
              <w:rPr>
                <w:rFonts w:hint="default" w:ascii="仿宋" w:hAnsi="仿宋" w:eastAsia="仿宋" w:cs="仿宋"/>
                <w:color w:val="auto"/>
                <w:sz w:val="24"/>
                <w:szCs w:val="22"/>
                <w:highlight w:val="none"/>
              </w:rPr>
              <w:t>分，</w:t>
            </w:r>
            <w:r>
              <w:rPr>
                <w:rFonts w:hint="eastAsia" w:ascii="仿宋" w:hAnsi="仿宋" w:eastAsia="仿宋" w:cs="仿宋"/>
                <w:color w:val="auto"/>
                <w:sz w:val="24"/>
                <w:szCs w:val="22"/>
                <w:highlight w:val="none"/>
              </w:rPr>
              <w:t>每项存在</w:t>
            </w:r>
            <w:r>
              <w:rPr>
                <w:rFonts w:hint="eastAsia" w:ascii="仿宋" w:hAnsi="仿宋" w:eastAsia="仿宋" w:cs="仿宋"/>
                <w:color w:val="auto"/>
                <w:sz w:val="24"/>
                <w:szCs w:val="22"/>
                <w:highlight w:val="none"/>
                <w:lang w:val="en-US" w:eastAsia="zh-CN"/>
              </w:rPr>
              <w:t>以下一处</w:t>
            </w:r>
            <w:r>
              <w:rPr>
                <w:rFonts w:hint="eastAsia" w:ascii="仿宋" w:hAnsi="仿宋" w:eastAsia="仿宋" w:cs="仿宋"/>
                <w:color w:val="auto"/>
                <w:sz w:val="24"/>
                <w:szCs w:val="22"/>
                <w:highlight w:val="none"/>
              </w:rPr>
              <w:t>缺陷</w:t>
            </w:r>
            <w:r>
              <w:rPr>
                <w:rFonts w:hint="default" w:ascii="仿宋" w:hAnsi="仿宋" w:eastAsia="仿宋" w:cs="仿宋"/>
                <w:color w:val="auto"/>
                <w:sz w:val="24"/>
                <w:szCs w:val="22"/>
                <w:highlight w:val="none"/>
              </w:rPr>
              <w:t>，扣</w:t>
            </w:r>
            <w:r>
              <w:rPr>
                <w:rFonts w:hint="eastAsia" w:ascii="仿宋" w:hAnsi="仿宋" w:eastAsia="仿宋" w:cs="仿宋"/>
                <w:color w:val="auto"/>
                <w:sz w:val="24"/>
                <w:szCs w:val="22"/>
                <w:highlight w:val="none"/>
                <w:lang w:val="en-US" w:eastAsia="zh-CN"/>
              </w:rPr>
              <w:t>2</w:t>
            </w:r>
            <w:r>
              <w:rPr>
                <w:rFonts w:hint="default" w:ascii="仿宋" w:hAnsi="仿宋" w:eastAsia="仿宋" w:cs="仿宋"/>
                <w:color w:val="auto"/>
                <w:sz w:val="24"/>
                <w:szCs w:val="22"/>
                <w:highlight w:val="none"/>
              </w:rPr>
              <w:t xml:space="preserve">分，扣完为止。 </w:t>
            </w:r>
          </w:p>
          <w:p w14:paraId="3F353627">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2"/>
                <w:highlight w:val="none"/>
              </w:rPr>
            </w:pPr>
            <w:r>
              <w:rPr>
                <w:rFonts w:hint="eastAsia" w:ascii="仿宋" w:hAnsi="仿宋" w:eastAsia="仿宋" w:cs="仿宋"/>
                <w:color w:val="auto"/>
                <w:sz w:val="24"/>
                <w:szCs w:val="22"/>
                <w:highlight w:val="none"/>
              </w:rPr>
              <w:t>备注：缺陷是指内容不合理、虽有内容但不完善、内容表述前后不一致、套用其他项目方案或与项目需求不匹配及其他不利于项目实施的等任意一种情形。</w:t>
            </w:r>
          </w:p>
        </w:tc>
      </w:tr>
      <w:tr w14:paraId="40BE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32" w:type="dxa"/>
            <w:noWrap w:val="0"/>
            <w:vAlign w:val="center"/>
          </w:tcPr>
          <w:p w14:paraId="416F3A6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人员团队</w:t>
            </w:r>
          </w:p>
        </w:tc>
        <w:tc>
          <w:tcPr>
            <w:tcW w:w="750" w:type="dxa"/>
            <w:noWrap w:val="0"/>
            <w:vAlign w:val="center"/>
          </w:tcPr>
          <w:p w14:paraId="005B0D0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691" w:type="dxa"/>
            <w:noWrap w:val="0"/>
            <w:vAlign w:val="center"/>
          </w:tcPr>
          <w:p w14:paraId="6CE61380">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供应商提供完善的人员团队，包括①组织架构</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②各成员职责</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③项目人员的相关经验、能力。</w:t>
            </w:r>
            <w:r>
              <w:rPr>
                <w:rFonts w:hint="default" w:ascii="仿宋" w:hAnsi="仿宋" w:eastAsia="仿宋" w:cs="仿宋"/>
                <w:color w:val="auto"/>
                <w:sz w:val="24"/>
                <w:szCs w:val="22"/>
                <w:highlight w:val="none"/>
              </w:rPr>
              <w:t>以上3项内容每一项内容全面详细、阐述条理清晰得</w:t>
            </w:r>
            <w:r>
              <w:rPr>
                <w:rFonts w:hint="eastAsia" w:ascii="仿宋" w:hAnsi="仿宋" w:eastAsia="仿宋" w:cs="仿宋"/>
                <w:color w:val="auto"/>
                <w:sz w:val="24"/>
                <w:szCs w:val="22"/>
                <w:highlight w:val="none"/>
                <w:lang w:val="en-US" w:eastAsia="zh-CN"/>
              </w:rPr>
              <w:t>4</w:t>
            </w:r>
            <w:r>
              <w:rPr>
                <w:rFonts w:hint="default" w:ascii="仿宋" w:hAnsi="仿宋" w:eastAsia="仿宋" w:cs="仿宋"/>
                <w:color w:val="auto"/>
                <w:sz w:val="24"/>
                <w:szCs w:val="22"/>
                <w:highlight w:val="none"/>
              </w:rPr>
              <w:t>分，满分</w:t>
            </w:r>
            <w:r>
              <w:rPr>
                <w:rFonts w:hint="eastAsia" w:ascii="仿宋" w:hAnsi="仿宋" w:eastAsia="仿宋" w:cs="仿宋"/>
                <w:color w:val="auto"/>
                <w:sz w:val="24"/>
                <w:szCs w:val="22"/>
                <w:highlight w:val="none"/>
                <w:lang w:val="en-US" w:eastAsia="zh-CN"/>
              </w:rPr>
              <w:t>12</w:t>
            </w:r>
            <w:r>
              <w:rPr>
                <w:rFonts w:hint="default" w:ascii="仿宋" w:hAnsi="仿宋" w:eastAsia="仿宋" w:cs="仿宋"/>
                <w:color w:val="auto"/>
                <w:sz w:val="24"/>
                <w:szCs w:val="22"/>
                <w:highlight w:val="none"/>
              </w:rPr>
              <w:t>分，</w:t>
            </w:r>
            <w:r>
              <w:rPr>
                <w:rFonts w:hint="eastAsia" w:ascii="仿宋" w:hAnsi="仿宋" w:eastAsia="仿宋" w:cs="仿宋"/>
                <w:color w:val="auto"/>
                <w:sz w:val="24"/>
                <w:szCs w:val="22"/>
                <w:highlight w:val="none"/>
              </w:rPr>
              <w:t>每项存在</w:t>
            </w:r>
            <w:r>
              <w:rPr>
                <w:rFonts w:hint="eastAsia" w:ascii="仿宋" w:hAnsi="仿宋" w:eastAsia="仿宋" w:cs="仿宋"/>
                <w:color w:val="auto"/>
                <w:sz w:val="24"/>
                <w:szCs w:val="22"/>
                <w:highlight w:val="none"/>
                <w:lang w:val="en-US" w:eastAsia="zh-CN"/>
              </w:rPr>
              <w:t>以下一处</w:t>
            </w:r>
            <w:r>
              <w:rPr>
                <w:rFonts w:hint="eastAsia" w:ascii="仿宋" w:hAnsi="仿宋" w:eastAsia="仿宋" w:cs="仿宋"/>
                <w:color w:val="auto"/>
                <w:sz w:val="24"/>
                <w:szCs w:val="22"/>
                <w:highlight w:val="none"/>
              </w:rPr>
              <w:t>缺陷</w:t>
            </w:r>
            <w:r>
              <w:rPr>
                <w:rFonts w:hint="default" w:ascii="仿宋" w:hAnsi="仿宋" w:eastAsia="仿宋" w:cs="仿宋"/>
                <w:color w:val="auto"/>
                <w:sz w:val="24"/>
                <w:szCs w:val="22"/>
                <w:highlight w:val="none"/>
              </w:rPr>
              <w:t>，扣</w:t>
            </w:r>
            <w:r>
              <w:rPr>
                <w:rFonts w:hint="eastAsia" w:ascii="仿宋" w:hAnsi="仿宋" w:eastAsia="仿宋" w:cs="仿宋"/>
                <w:color w:val="auto"/>
                <w:sz w:val="24"/>
                <w:szCs w:val="22"/>
                <w:highlight w:val="none"/>
                <w:lang w:val="en-US" w:eastAsia="zh-CN"/>
              </w:rPr>
              <w:t>2</w:t>
            </w:r>
            <w:r>
              <w:rPr>
                <w:rFonts w:hint="default" w:ascii="仿宋" w:hAnsi="仿宋" w:eastAsia="仿宋" w:cs="仿宋"/>
                <w:color w:val="auto"/>
                <w:sz w:val="24"/>
                <w:szCs w:val="22"/>
                <w:highlight w:val="none"/>
              </w:rPr>
              <w:t xml:space="preserve">分，扣完为止。 </w:t>
            </w:r>
          </w:p>
          <w:p w14:paraId="492C7986">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备注：缺陷是指内容不合理、虽有内容但不完善、内容表述前后不一致、套用其他项目方案或与项目需求不匹配及其他不利于项目实施的等任意一种情形。</w:t>
            </w:r>
          </w:p>
        </w:tc>
      </w:tr>
      <w:tr w14:paraId="76E5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32" w:type="dxa"/>
            <w:noWrap w:val="0"/>
            <w:vAlign w:val="center"/>
          </w:tcPr>
          <w:p w14:paraId="331DA41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应急服务</w:t>
            </w:r>
          </w:p>
        </w:tc>
        <w:tc>
          <w:tcPr>
            <w:tcW w:w="750" w:type="dxa"/>
            <w:noWrap w:val="0"/>
            <w:vAlign w:val="center"/>
          </w:tcPr>
          <w:p w14:paraId="3462C98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7691" w:type="dxa"/>
            <w:noWrap w:val="0"/>
            <w:vAlign w:val="center"/>
          </w:tcPr>
          <w:p w14:paraId="24376CCE">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2"/>
                <w:highlight w:val="none"/>
              </w:rPr>
            </w:pPr>
            <w:r>
              <w:rPr>
                <w:rFonts w:hint="eastAsia" w:ascii="仿宋" w:hAnsi="仿宋" w:eastAsia="仿宋" w:cs="仿宋"/>
                <w:color w:val="auto"/>
                <w:sz w:val="24"/>
                <w:szCs w:val="22"/>
                <w:highlight w:val="none"/>
              </w:rPr>
              <w:t>供应商提供</w:t>
            </w:r>
            <w:r>
              <w:rPr>
                <w:rFonts w:hint="eastAsia" w:ascii="仿宋" w:hAnsi="仿宋" w:eastAsia="仿宋" w:cs="仿宋"/>
                <w:color w:val="auto"/>
                <w:sz w:val="24"/>
                <w:szCs w:val="24"/>
                <w:highlight w:val="none"/>
              </w:rPr>
              <w:t>应急服务</w:t>
            </w:r>
            <w:r>
              <w:rPr>
                <w:rFonts w:hint="eastAsia" w:ascii="仿宋" w:hAnsi="仿宋" w:eastAsia="仿宋" w:cs="仿宋"/>
                <w:color w:val="auto"/>
                <w:sz w:val="24"/>
                <w:szCs w:val="24"/>
                <w:highlight w:val="none"/>
                <w:lang w:val="en-US" w:eastAsia="zh-CN"/>
              </w:rPr>
              <w:t>方案，包含</w:t>
            </w:r>
            <w:r>
              <w:rPr>
                <w:rFonts w:hint="eastAsia" w:ascii="仿宋" w:hAnsi="仿宋" w:eastAsia="仿宋" w:cs="仿宋"/>
                <w:color w:val="auto"/>
                <w:sz w:val="24"/>
                <w:szCs w:val="22"/>
                <w:highlight w:val="none"/>
              </w:rPr>
              <w:t>①应急预防方案</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②应急响应预案</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③应急恢复方案</w:t>
            </w:r>
            <w:r>
              <w:rPr>
                <w:rFonts w:hint="eastAsia" w:ascii="仿宋" w:hAnsi="仿宋" w:eastAsia="仿宋" w:cs="仿宋"/>
                <w:color w:val="auto"/>
                <w:sz w:val="24"/>
                <w:szCs w:val="22"/>
                <w:highlight w:val="none"/>
                <w:lang w:eastAsia="zh-CN"/>
              </w:rPr>
              <w:t>。</w:t>
            </w:r>
            <w:r>
              <w:rPr>
                <w:rFonts w:hint="default" w:ascii="仿宋" w:hAnsi="仿宋" w:eastAsia="仿宋" w:cs="仿宋"/>
                <w:color w:val="auto"/>
                <w:sz w:val="24"/>
                <w:szCs w:val="22"/>
                <w:highlight w:val="none"/>
              </w:rPr>
              <w:t>以上3项内容每一项内容全面详细、阐述条理清晰得3分，满分9分，</w:t>
            </w:r>
            <w:r>
              <w:rPr>
                <w:rFonts w:hint="eastAsia" w:ascii="仿宋" w:hAnsi="仿宋" w:eastAsia="仿宋" w:cs="仿宋"/>
                <w:color w:val="auto"/>
                <w:sz w:val="24"/>
                <w:szCs w:val="22"/>
                <w:highlight w:val="none"/>
              </w:rPr>
              <w:t>每项存在</w:t>
            </w:r>
            <w:r>
              <w:rPr>
                <w:rFonts w:hint="eastAsia" w:ascii="仿宋" w:hAnsi="仿宋" w:eastAsia="仿宋" w:cs="仿宋"/>
                <w:color w:val="auto"/>
                <w:sz w:val="24"/>
                <w:szCs w:val="22"/>
                <w:highlight w:val="none"/>
                <w:lang w:val="en-US" w:eastAsia="zh-CN"/>
              </w:rPr>
              <w:t>以下一处</w:t>
            </w:r>
            <w:r>
              <w:rPr>
                <w:rFonts w:hint="eastAsia" w:ascii="仿宋" w:hAnsi="仿宋" w:eastAsia="仿宋" w:cs="仿宋"/>
                <w:color w:val="auto"/>
                <w:sz w:val="24"/>
                <w:szCs w:val="22"/>
                <w:highlight w:val="none"/>
              </w:rPr>
              <w:t>缺陷</w:t>
            </w:r>
            <w:r>
              <w:rPr>
                <w:rFonts w:hint="default" w:ascii="仿宋" w:hAnsi="仿宋" w:eastAsia="仿宋" w:cs="仿宋"/>
                <w:color w:val="auto"/>
                <w:sz w:val="24"/>
                <w:szCs w:val="22"/>
                <w:highlight w:val="none"/>
              </w:rPr>
              <w:t xml:space="preserve">，扣1分，扣完为止。 </w:t>
            </w:r>
          </w:p>
          <w:p w14:paraId="4F89A87A">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备注：缺陷是指内容不合理、虽有内容但不完善、内容表述前后不一致、套用其他项目方案或与项目需求不匹配及其他不利于项目实施的等任意一种情形。</w:t>
            </w:r>
          </w:p>
        </w:tc>
      </w:tr>
      <w:tr w14:paraId="5E70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32" w:type="dxa"/>
            <w:noWrap w:val="0"/>
            <w:vAlign w:val="center"/>
          </w:tcPr>
          <w:p w14:paraId="1089289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保密措施</w:t>
            </w:r>
          </w:p>
        </w:tc>
        <w:tc>
          <w:tcPr>
            <w:tcW w:w="750" w:type="dxa"/>
            <w:noWrap w:val="0"/>
            <w:vAlign w:val="center"/>
          </w:tcPr>
          <w:p w14:paraId="2BDAEF3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691" w:type="dxa"/>
            <w:noWrap w:val="0"/>
            <w:vAlign w:val="center"/>
          </w:tcPr>
          <w:p w14:paraId="75D462BA">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rPr>
              <w:t>措施详细完善</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内容严谨</w:t>
            </w:r>
            <w:r>
              <w:rPr>
                <w:rFonts w:hint="eastAsia" w:ascii="仿宋" w:hAnsi="仿宋" w:eastAsia="仿宋" w:cs="仿宋"/>
                <w:color w:val="auto"/>
                <w:sz w:val="24"/>
                <w:szCs w:val="22"/>
                <w:highlight w:val="none"/>
              </w:rPr>
              <w:t>，具备可行性，计5分；</w:t>
            </w:r>
          </w:p>
          <w:p w14:paraId="4702B676">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rPr>
              <w:t>措施完整，具备一定的可行，计3分；</w:t>
            </w:r>
          </w:p>
          <w:p w14:paraId="6FFAF8D6">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rPr>
              <w:t>措施不全或内容简单计1分;</w:t>
            </w:r>
          </w:p>
          <w:p w14:paraId="5817DC3B">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未提供不得分。</w:t>
            </w:r>
          </w:p>
        </w:tc>
      </w:tr>
      <w:tr w14:paraId="4463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32" w:type="dxa"/>
            <w:noWrap w:val="0"/>
            <w:vAlign w:val="center"/>
          </w:tcPr>
          <w:p w14:paraId="76F0198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合理化建议</w:t>
            </w:r>
          </w:p>
        </w:tc>
        <w:tc>
          <w:tcPr>
            <w:tcW w:w="750" w:type="dxa"/>
            <w:noWrap w:val="0"/>
            <w:vAlign w:val="center"/>
          </w:tcPr>
          <w:p w14:paraId="7A86BB4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691" w:type="dxa"/>
            <w:noWrap w:val="0"/>
            <w:vAlign w:val="center"/>
          </w:tcPr>
          <w:p w14:paraId="003E7747">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对本项目的内容及特点提出合理化建议，建议全面，实施步骤清晰、合理</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能</w:t>
            </w:r>
            <w:r>
              <w:rPr>
                <w:rFonts w:hint="eastAsia" w:ascii="仿宋" w:hAnsi="仿宋" w:eastAsia="仿宋" w:cs="仿宋"/>
                <w:color w:val="auto"/>
                <w:sz w:val="24"/>
                <w:szCs w:val="22"/>
                <w:highlight w:val="none"/>
                <w:lang w:eastAsia="zh-CN"/>
              </w:rPr>
              <w:t>够紧扣项目实际情况</w:t>
            </w:r>
            <w:r>
              <w:rPr>
                <w:rFonts w:hint="eastAsia" w:ascii="仿宋" w:hAnsi="仿宋" w:eastAsia="仿宋" w:cs="仿宋"/>
                <w:color w:val="auto"/>
                <w:sz w:val="24"/>
                <w:szCs w:val="22"/>
                <w:highlight w:val="none"/>
                <w:lang w:val="en-US" w:eastAsia="zh-CN"/>
              </w:rPr>
              <w:t>得5分</w:t>
            </w:r>
            <w:r>
              <w:rPr>
                <w:rFonts w:hint="eastAsia" w:ascii="仿宋" w:hAnsi="仿宋" w:eastAsia="仿宋" w:cs="仿宋"/>
                <w:color w:val="auto"/>
                <w:sz w:val="24"/>
                <w:szCs w:val="22"/>
                <w:highlight w:val="none"/>
                <w:lang w:eastAsia="zh-CN"/>
              </w:rPr>
              <w:t>；</w:t>
            </w:r>
          </w:p>
          <w:p w14:paraId="0E1A88B1">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val="en-US" w:eastAsia="zh-CN"/>
              </w:rPr>
              <w:t>2.有</w:t>
            </w:r>
            <w:r>
              <w:rPr>
                <w:rFonts w:hint="eastAsia" w:ascii="仿宋" w:hAnsi="仿宋" w:eastAsia="仿宋" w:cs="仿宋"/>
                <w:color w:val="auto"/>
                <w:sz w:val="24"/>
                <w:szCs w:val="22"/>
                <w:highlight w:val="none"/>
              </w:rPr>
              <w:t>合理化建议，建议</w:t>
            </w:r>
            <w:r>
              <w:rPr>
                <w:rFonts w:hint="eastAsia" w:ascii="仿宋" w:hAnsi="仿宋" w:eastAsia="仿宋" w:cs="仿宋"/>
                <w:color w:val="auto"/>
                <w:sz w:val="24"/>
                <w:szCs w:val="22"/>
                <w:highlight w:val="none"/>
                <w:lang w:val="en-US" w:eastAsia="zh-CN"/>
              </w:rPr>
              <w:t>基本</w:t>
            </w:r>
            <w:r>
              <w:rPr>
                <w:rFonts w:hint="eastAsia" w:ascii="仿宋" w:hAnsi="仿宋" w:eastAsia="仿宋" w:cs="仿宋"/>
                <w:color w:val="auto"/>
                <w:sz w:val="24"/>
                <w:szCs w:val="22"/>
                <w:highlight w:val="none"/>
              </w:rPr>
              <w:t>全面，步骤</w:t>
            </w:r>
            <w:r>
              <w:rPr>
                <w:rFonts w:hint="eastAsia" w:ascii="仿宋" w:hAnsi="仿宋" w:eastAsia="仿宋" w:cs="仿宋"/>
                <w:color w:val="auto"/>
                <w:sz w:val="24"/>
                <w:szCs w:val="22"/>
                <w:highlight w:val="none"/>
                <w:lang w:val="en-US" w:eastAsia="zh-CN"/>
              </w:rPr>
              <w:t>可</w:t>
            </w:r>
            <w:r>
              <w:rPr>
                <w:rFonts w:hint="eastAsia" w:ascii="仿宋" w:hAnsi="仿宋" w:eastAsia="仿宋" w:cs="仿宋"/>
                <w:color w:val="auto"/>
                <w:sz w:val="24"/>
                <w:szCs w:val="22"/>
                <w:highlight w:val="none"/>
              </w:rPr>
              <w:t>实施</w:t>
            </w:r>
            <w:r>
              <w:rPr>
                <w:rFonts w:hint="eastAsia" w:ascii="仿宋" w:hAnsi="仿宋" w:eastAsia="仿宋" w:cs="仿宋"/>
                <w:color w:val="auto"/>
                <w:sz w:val="24"/>
                <w:szCs w:val="22"/>
                <w:highlight w:val="none"/>
                <w:lang w:val="en-US" w:eastAsia="zh-CN"/>
              </w:rPr>
              <w:t>得3分</w:t>
            </w:r>
            <w:r>
              <w:rPr>
                <w:rFonts w:hint="eastAsia" w:ascii="仿宋" w:hAnsi="仿宋" w:eastAsia="仿宋" w:cs="仿宋"/>
                <w:color w:val="auto"/>
                <w:sz w:val="24"/>
                <w:szCs w:val="22"/>
                <w:highlight w:val="none"/>
                <w:lang w:eastAsia="zh-CN"/>
              </w:rPr>
              <w:t>；</w:t>
            </w:r>
          </w:p>
          <w:p w14:paraId="67C011FE">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3.合理化建议简单，实际操作难度大，得1分；</w:t>
            </w:r>
          </w:p>
          <w:p w14:paraId="11CF3F9F">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4.未提供不得分。</w:t>
            </w:r>
          </w:p>
        </w:tc>
      </w:tr>
      <w:tr w14:paraId="1442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432" w:type="dxa"/>
            <w:noWrap w:val="0"/>
            <w:vAlign w:val="center"/>
          </w:tcPr>
          <w:p w14:paraId="4851063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750" w:type="dxa"/>
            <w:noWrap w:val="0"/>
            <w:vAlign w:val="center"/>
          </w:tcPr>
          <w:p w14:paraId="5A5F803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691" w:type="dxa"/>
            <w:noWrap w:val="0"/>
            <w:vAlign w:val="center"/>
          </w:tcPr>
          <w:p w14:paraId="2F321560">
            <w:pPr>
              <w:keepNext w:val="0"/>
              <w:keepLines w:val="0"/>
              <w:pageBreakBefore w:val="0"/>
              <w:widowControl w:val="0"/>
              <w:kinsoku/>
              <w:wordWrap/>
              <w:overflowPunct/>
              <w:topLinePunct w:val="0"/>
              <w:autoSpaceDE/>
              <w:autoSpaceDN/>
              <w:bidi w:val="0"/>
              <w:adjustRightInd/>
              <w:snapToGrid/>
              <w:spacing w:line="312" w:lineRule="auto"/>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提供</w:t>
            </w:r>
            <w:r>
              <w:rPr>
                <w:rFonts w:hint="eastAsia" w:ascii="仿宋" w:hAnsi="仿宋" w:eastAsia="仿宋" w:cs="仿宋"/>
                <w:color w:val="auto"/>
                <w:sz w:val="24"/>
                <w:szCs w:val="22"/>
                <w:highlight w:val="none"/>
                <w:lang w:val="en-US" w:eastAsia="zh-CN"/>
              </w:rPr>
              <w:t>自</w:t>
            </w:r>
            <w:r>
              <w:rPr>
                <w:rFonts w:hint="eastAsia" w:ascii="仿宋" w:hAnsi="仿宋" w:eastAsia="仿宋" w:cs="仿宋"/>
                <w:color w:val="auto"/>
                <w:sz w:val="24"/>
                <w:szCs w:val="22"/>
                <w:highlight w:val="none"/>
              </w:rPr>
              <w:t>20</w:t>
            </w:r>
            <w:r>
              <w:rPr>
                <w:rFonts w:hint="eastAsia" w:ascii="仿宋" w:hAnsi="仿宋" w:eastAsia="仿宋" w:cs="仿宋"/>
                <w:color w:val="auto"/>
                <w:sz w:val="24"/>
                <w:szCs w:val="22"/>
                <w:highlight w:val="none"/>
                <w:lang w:val="en-US" w:eastAsia="zh-CN"/>
              </w:rPr>
              <w:t>22</w:t>
            </w:r>
            <w:r>
              <w:rPr>
                <w:rFonts w:hint="eastAsia" w:ascii="仿宋" w:hAnsi="仿宋" w:eastAsia="仿宋" w:cs="仿宋"/>
                <w:color w:val="auto"/>
                <w:sz w:val="24"/>
                <w:szCs w:val="22"/>
                <w:highlight w:val="none"/>
              </w:rPr>
              <w:t>年</w:t>
            </w:r>
            <w:r>
              <w:rPr>
                <w:rFonts w:hint="eastAsia" w:ascii="仿宋" w:hAnsi="仿宋" w:eastAsia="仿宋" w:cs="仿宋"/>
                <w:color w:val="auto"/>
                <w:sz w:val="24"/>
                <w:szCs w:val="22"/>
                <w:highlight w:val="none"/>
                <w:lang w:val="en-US" w:eastAsia="zh-CN"/>
              </w:rPr>
              <w:t>10</w:t>
            </w:r>
            <w:r>
              <w:rPr>
                <w:rFonts w:hint="eastAsia" w:ascii="仿宋" w:hAnsi="仿宋" w:eastAsia="仿宋" w:cs="仿宋"/>
                <w:color w:val="auto"/>
                <w:sz w:val="24"/>
                <w:szCs w:val="22"/>
                <w:highlight w:val="none"/>
              </w:rPr>
              <w:t>月1日起</w:t>
            </w:r>
            <w:r>
              <w:rPr>
                <w:rFonts w:hint="eastAsia" w:ascii="仿宋" w:hAnsi="仿宋" w:eastAsia="仿宋" w:cs="仿宋"/>
                <w:color w:val="auto"/>
                <w:sz w:val="24"/>
                <w:szCs w:val="22"/>
                <w:highlight w:val="none"/>
                <w:lang w:val="en-US" w:eastAsia="zh-CN"/>
              </w:rPr>
              <w:t>类似项目业绩，1个有效业绩2分，满分10分。</w:t>
            </w:r>
            <w:r>
              <w:rPr>
                <w:rFonts w:hint="eastAsia" w:ascii="仿宋" w:hAnsi="仿宋" w:eastAsia="仿宋" w:cs="仿宋"/>
                <w:color w:val="auto"/>
                <w:sz w:val="24"/>
                <w:szCs w:val="22"/>
                <w:highlight w:val="none"/>
                <w:lang w:eastAsia="zh-CN"/>
              </w:rPr>
              <w:t>（提供完整的合同复印件，以合同签订日期为准）</w:t>
            </w:r>
          </w:p>
        </w:tc>
      </w:tr>
    </w:tbl>
    <w:p w14:paraId="1210F0A1">
      <w:pPr>
        <w:pStyle w:val="17"/>
        <w:rPr>
          <w:rFonts w:hint="eastAsia" w:ascii="仿宋" w:hAnsi="仿宋" w:eastAsia="仿宋"/>
          <w:color w:val="auto"/>
        </w:rPr>
      </w:pPr>
    </w:p>
    <w:p w14:paraId="3F8EBAC4">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29.4需要落实的政府采购政策（如果供应商符合相关需落实政府采购政策的，将按以下各标准执行）</w:t>
      </w:r>
    </w:p>
    <w:p w14:paraId="29D3CDFB">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根据财政部、工业和信息化部关于印发《政府采购促进中小企业发展管理办法》的通知(财库〔2020〕46号)。</w:t>
      </w:r>
    </w:p>
    <w:p w14:paraId="12F3BF8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在政府采购活动中，供应商提供的货物、工程或者服务符合下列情形的，享受本办法规定的中小企业扶持政策：</w:t>
      </w:r>
    </w:p>
    <w:p w14:paraId="2B5A847B">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（一）在货物采购项目中，货物由中小企业制造，即货物由中小企业生产且使用该中小企业商号或者注册商标；</w:t>
      </w:r>
    </w:p>
    <w:p w14:paraId="04CCF4C7">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（二）在工程采购项目中，工程由中小企业承建，即工程施工单位为中小企业；</w:t>
      </w:r>
    </w:p>
    <w:p w14:paraId="6DD5D1A0">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（三）在服务采购项目中，服务由中小企业承接，即提供服务的人员为中小企业依照《中华人民共和国劳动中华人民共和国民法典》订立劳动合同的从业人员。</w:t>
      </w:r>
    </w:p>
    <w:p w14:paraId="2ED035AE">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在货物采购项目中，供应商提供的货物既有中小企业制造货物，也有大型企业制造货物的，不享受本办法规定的中小企业扶持政策。</w:t>
      </w:r>
    </w:p>
    <w:p w14:paraId="1B12CCFC">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以联合体形式参加政府采购活动，联合体各方均为中小企业的，联合体视同中小企业。其中，联合体各方均为小微企业的，联合体视同小微企业。</w:t>
      </w:r>
    </w:p>
    <w:p w14:paraId="52C61791">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中小企业参加政府采购活动，应当出具本办法规定的《中小企业声明函》（见附件），符合本办法规定的小微企业报价给予10%的扣除，用扣除后的价格参加评审。否则不得享受相关政策。</w:t>
      </w:r>
    </w:p>
    <w:p w14:paraId="3FB035C8">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供应商出具《中小型企业声明函》，并对声明的真实性负责。否则，按照有关规定予以处理。</w:t>
      </w:r>
    </w:p>
    <w:p w14:paraId="51B236A7">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.2 监狱和戒毒企业应符合《财政部 司法部关于政府采购支持监狱企业发展有关问题的通知》--财库〔2014〕68号，并提供由省级以上监狱管理局、戒毒管理局(含新疆生产建设兵团)出具的属于监狱企业的证明和《监狱和戒毒企业声明函》。符合本办法规定的给予10%的扣除，用扣除后的价格参加评审。</w:t>
      </w:r>
    </w:p>
    <w:p w14:paraId="25AFB9BC">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.3 残疾人福利性单位应符合《三部门联合发布关于促进残疾人就业政府采购政策的通知》-财库〔2017〕141号，并提供通知规定的《残疾人福利性单位声明函》，并对声明的真实性负责。</w:t>
      </w:r>
    </w:p>
    <w:p w14:paraId="495663C0">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任何单位或者个人在政府采购活动中均不得要求残疾人福利性单位提供其他证明声明函内容的材料。符合本办法规定的给予10%的扣除，用扣除后的价格参加评审。</w:t>
      </w:r>
    </w:p>
    <w:p w14:paraId="5408D1F7">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中标、成交供应商为残疾人福利性单位的，采购人或者其委托的采购代理机构应当随中标、成交结果同时公告其《中小型企业声明函》、《监狱和戒毒企业声明函》、《残疾人福利性单位声明函》，接受社会监督。 </w:t>
      </w:r>
    </w:p>
    <w:p w14:paraId="2A8462B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供应商提供的声明函与事实不符的，依照《中华人民共和国政府采购法》第七十七条第一款的规定追究法律责任。</w:t>
      </w:r>
    </w:p>
    <w:p w14:paraId="0D669F4A">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供应商应如实提供以上证明文件，如存在虚假应标，将取消其磋商资格。</w:t>
      </w:r>
    </w:p>
    <w:p w14:paraId="77BEDA6B">
      <w:pPr>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专门面向中小企业采购</w:t>
      </w:r>
      <w:r>
        <w:rPr>
          <w:rFonts w:hint="eastAsia" w:ascii="仿宋" w:hAnsi="仿宋" w:eastAsia="仿宋" w:cs="仿宋"/>
          <w:b/>
          <w:bCs/>
          <w:color w:val="auto"/>
          <w:sz w:val="24"/>
          <w:lang w:val="en-US" w:eastAsia="zh-CN"/>
        </w:rPr>
        <w:t>的采购项目</w:t>
      </w:r>
      <w:r>
        <w:rPr>
          <w:rFonts w:hint="eastAsia" w:ascii="仿宋" w:hAnsi="仿宋" w:eastAsia="仿宋" w:cs="仿宋"/>
          <w:b/>
          <w:bCs/>
          <w:color w:val="auto"/>
          <w:sz w:val="24"/>
        </w:rPr>
        <w:t>，上述采购政策不再进行政策性扣减。</w:t>
      </w:r>
    </w:p>
    <w:p w14:paraId="26DAA004">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 磋商产品政府采购政策</w:t>
      </w:r>
    </w:p>
    <w:p w14:paraId="3D2F146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.4.1节能产品根据《国务院办公厅关于建立政府强制采购节能产品制度的通知》（国办发〔2007〕51号）的规定，以财库〔2019〕9号为准。</w:t>
      </w:r>
    </w:p>
    <w:p w14:paraId="7C39C635">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.4.2环境标志产品根据《环境标志产品政府采购实施的意见》（财库[2006]90号）的规定，以财库〔2019〕9号为准。</w:t>
      </w:r>
    </w:p>
    <w:p w14:paraId="06D5466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92363B0">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.4.4 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2D73FEF6">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.4.5对于已列入品目清单的产品类别，采购人可在采购需求中提出更高的节约资源和保护环境要求，对符合条件的获证产品给予优先待遇。</w:t>
      </w:r>
    </w:p>
    <w:p w14:paraId="30077CDE">
      <w:pPr>
        <w:adjustRightInd w:val="0"/>
        <w:snapToGrid w:val="0"/>
        <w:spacing w:line="360" w:lineRule="auto"/>
        <w:rPr>
          <w:rFonts w:hint="eastAsia" w:ascii="仿宋" w:hAnsi="仿宋"/>
          <w:color w:val="auto"/>
          <w:sz w:val="28"/>
        </w:rPr>
      </w:pPr>
      <w:r>
        <w:rPr>
          <w:rFonts w:hint="eastAsia" w:ascii="仿宋" w:hAnsi="仿宋" w:eastAsia="仿宋" w:cs="仿宋"/>
          <w:color w:val="auto"/>
          <w:sz w:val="24"/>
        </w:rPr>
        <w:t>29.</w:t>
      </w:r>
      <w:r>
        <w:rPr>
          <w:rFonts w:hint="eastAsia" w:ascii="仿宋" w:hAnsi="仿宋" w:eastAsia="仿宋" w:cs="仿宋"/>
          <w:color w:val="auto"/>
          <w:sz w:val="24"/>
          <w:lang w:val="en-US" w:eastAsia="zh-CN"/>
        </w:rPr>
        <w:t>4</w:t>
      </w:r>
      <w:r>
        <w:rPr>
          <w:rFonts w:hint="eastAsia" w:ascii="仿宋" w:hAnsi="仿宋" w:eastAsia="仿宋" w:cs="仿宋"/>
          <w:color w:val="auto"/>
          <w:sz w:val="24"/>
        </w:rPr>
        <w:t>.4.6获得上述认证的产品在磋商时应提供有效证明材料。以上所有证明文件复印件须加盖供应商公章并注明“与原件一致”，否则不予计分。</w:t>
      </w:r>
      <w:r>
        <w:rPr>
          <w:rFonts w:hint="eastAsia" w:ascii="仿宋" w:hAnsi="仿宋"/>
          <w:color w:val="auto"/>
          <w:sz w:val="28"/>
        </w:rPr>
        <w:t xml:space="preserve"> </w:t>
      </w:r>
    </w:p>
    <w:p w14:paraId="58900341">
      <w:pPr>
        <w:overflowPunct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29.5磋商小组应当根据综合评分情况，按照评审得分由高到低顺序推荐3名成交候选供应商，评审得分相同的，按照最后报价由低到高的顺序推荐。评审得分且最后报价相同的，按照技术指标优劣顺序推荐。</w:t>
      </w:r>
    </w:p>
    <w:p w14:paraId="2623CFCA">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29.6评审过程中，若出现本办法以外的特殊情况时，将暂停评审，有关情况待磋商小组确定后，再行评定。</w:t>
      </w:r>
    </w:p>
    <w:p w14:paraId="6B9F3D15">
      <w:pPr>
        <w:pStyle w:val="5"/>
        <w:adjustRightInd w:val="0"/>
        <w:snapToGrid w:val="0"/>
        <w:spacing w:before="0" w:after="0" w:line="360" w:lineRule="auto"/>
        <w:rPr>
          <w:rFonts w:hint="eastAsia" w:ascii="仿宋" w:hAnsi="仿宋" w:eastAsia="仿宋" w:cs="仿宋"/>
          <w:color w:val="auto"/>
          <w:sz w:val="24"/>
          <w:szCs w:val="24"/>
        </w:rPr>
      </w:pPr>
      <w:bookmarkStart w:id="133" w:name="_Toc15902"/>
      <w:bookmarkStart w:id="134" w:name="_Toc423508254"/>
      <w:bookmarkStart w:id="135" w:name="_Toc311415605"/>
      <w:bookmarkStart w:id="136" w:name="_Toc410389005"/>
      <w:r>
        <w:rPr>
          <w:rFonts w:hint="eastAsia" w:ascii="仿宋" w:hAnsi="仿宋" w:eastAsia="仿宋" w:cs="仿宋"/>
          <w:color w:val="auto"/>
          <w:sz w:val="24"/>
          <w:szCs w:val="24"/>
        </w:rPr>
        <w:t>30．与采购人、采购代理机构和磋商小组接触</w:t>
      </w:r>
      <w:bookmarkEnd w:id="133"/>
      <w:bookmarkEnd w:id="134"/>
      <w:bookmarkEnd w:id="135"/>
      <w:bookmarkEnd w:id="136"/>
    </w:p>
    <w:p w14:paraId="528B4208">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30.1 供应商试图对采购人和磋商小组的评审、比较或授予合同的决定进行影响，都可能导致其磋商被拒绝。</w:t>
      </w:r>
    </w:p>
    <w:p w14:paraId="31FAA171">
      <w:pPr>
        <w:pStyle w:val="4"/>
        <w:spacing w:line="360" w:lineRule="auto"/>
        <w:jc w:val="center"/>
        <w:rPr>
          <w:rFonts w:hint="eastAsia" w:ascii="仿宋" w:hAnsi="仿宋" w:eastAsia="仿宋" w:cs="仿宋"/>
          <w:b w:val="0"/>
          <w:color w:val="auto"/>
          <w:sz w:val="44"/>
        </w:rPr>
      </w:pPr>
      <w:bookmarkStart w:id="137" w:name="_Toc311415606"/>
      <w:bookmarkStart w:id="138" w:name="_Toc283626507"/>
      <w:bookmarkStart w:id="139" w:name="_Toc409684171"/>
      <w:bookmarkStart w:id="140" w:name="_Toc332874424"/>
      <w:bookmarkStart w:id="141" w:name="_Toc423508255"/>
      <w:bookmarkStart w:id="142" w:name="_Toc6558"/>
      <w:bookmarkStart w:id="143" w:name="_Toc283240491"/>
      <w:r>
        <w:rPr>
          <w:rFonts w:hint="eastAsia" w:ascii="仿宋" w:hAnsi="仿宋" w:eastAsia="仿宋" w:cs="仿宋"/>
          <w:b w:val="0"/>
          <w:color w:val="auto"/>
          <w:sz w:val="44"/>
        </w:rPr>
        <w:t>F．授予合同</w:t>
      </w:r>
      <w:bookmarkEnd w:id="137"/>
      <w:bookmarkEnd w:id="138"/>
      <w:bookmarkEnd w:id="139"/>
      <w:bookmarkEnd w:id="140"/>
      <w:bookmarkEnd w:id="141"/>
      <w:bookmarkEnd w:id="142"/>
      <w:bookmarkEnd w:id="143"/>
    </w:p>
    <w:p w14:paraId="4B28CAFD">
      <w:pPr>
        <w:pStyle w:val="5"/>
        <w:adjustRightInd w:val="0"/>
        <w:snapToGrid w:val="0"/>
        <w:spacing w:before="0" w:after="0" w:line="360" w:lineRule="auto"/>
        <w:rPr>
          <w:rFonts w:hint="eastAsia" w:ascii="仿宋" w:hAnsi="仿宋" w:eastAsia="仿宋" w:cs="仿宋"/>
          <w:color w:val="auto"/>
          <w:sz w:val="24"/>
          <w:szCs w:val="24"/>
        </w:rPr>
      </w:pPr>
      <w:bookmarkStart w:id="144" w:name="_Toc311415607"/>
      <w:bookmarkStart w:id="145" w:name="_Toc423508256"/>
      <w:bookmarkStart w:id="146" w:name="_Toc10889"/>
      <w:r>
        <w:rPr>
          <w:rFonts w:hint="eastAsia" w:ascii="仿宋" w:hAnsi="仿宋" w:eastAsia="仿宋" w:cs="仿宋"/>
          <w:color w:val="auto"/>
          <w:sz w:val="24"/>
          <w:szCs w:val="24"/>
        </w:rPr>
        <w:t>31．</w:t>
      </w:r>
      <w:bookmarkEnd w:id="144"/>
      <w:r>
        <w:rPr>
          <w:rFonts w:hint="eastAsia" w:ascii="仿宋" w:hAnsi="仿宋" w:eastAsia="仿宋" w:cs="仿宋"/>
          <w:color w:val="auto"/>
          <w:sz w:val="24"/>
          <w:szCs w:val="24"/>
        </w:rPr>
        <w:t>供应商确定及合同授予</w:t>
      </w:r>
      <w:bookmarkEnd w:id="145"/>
      <w:bookmarkEnd w:id="146"/>
    </w:p>
    <w:p w14:paraId="2619C90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31.1采购代理机构应在评审结束后</w:t>
      </w:r>
      <w:r>
        <w:rPr>
          <w:rFonts w:hint="eastAsia" w:ascii="仿宋" w:hAnsi="仿宋" w:eastAsia="仿宋" w:cs="仿宋"/>
          <w:color w:val="auto"/>
          <w:sz w:val="24"/>
          <w:lang w:val="en-US" w:eastAsia="zh-CN"/>
        </w:rPr>
        <w:t>1</w:t>
      </w:r>
      <w:r>
        <w:rPr>
          <w:rFonts w:hint="eastAsia" w:ascii="仿宋" w:hAnsi="仿宋" w:eastAsia="仿宋" w:cs="仿宋"/>
          <w:color w:val="auto"/>
          <w:sz w:val="24"/>
        </w:rPr>
        <w:t>个工作日内，将评审报告送采购人确认。</w:t>
      </w:r>
    </w:p>
    <w:p w14:paraId="1BA7044E">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31.2采购人在收到评审报告后</w:t>
      </w:r>
      <w:r>
        <w:rPr>
          <w:rFonts w:hint="eastAsia" w:ascii="仿宋" w:hAnsi="仿宋" w:eastAsia="仿宋" w:cs="仿宋"/>
          <w:color w:val="auto"/>
          <w:sz w:val="24"/>
          <w:lang w:val="en-US" w:eastAsia="zh-CN"/>
        </w:rPr>
        <w:t>4</w:t>
      </w:r>
      <w:r>
        <w:rPr>
          <w:rFonts w:hint="eastAsia" w:ascii="仿宋" w:hAnsi="仿宋" w:eastAsia="仿宋" w:cs="仿宋"/>
          <w:color w:val="auto"/>
          <w:sz w:val="24"/>
        </w:rPr>
        <w:t>个工作日内，根据评审报告对评审过程及结果进行严格审核后确定成交供应商，复函采购代理机构。</w:t>
      </w:r>
    </w:p>
    <w:p w14:paraId="77518347">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31.3采购代理机构在接到采购人的成交供应商复函后，在财政部门指定的政府采购信息发布媒体上公告，并向成交供应商发《成交通知书》。</w:t>
      </w:r>
    </w:p>
    <w:p w14:paraId="30449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31.</w:t>
      </w:r>
      <w:r>
        <w:rPr>
          <w:rFonts w:hint="eastAsia" w:ascii="仿宋" w:hAnsi="仿宋" w:eastAsia="仿宋" w:cs="仿宋"/>
          <w:color w:val="auto"/>
          <w:sz w:val="24"/>
          <w:lang w:val="en-US" w:eastAsia="zh-CN"/>
        </w:rPr>
        <w:t>4</w:t>
      </w:r>
      <w:r>
        <w:rPr>
          <w:rFonts w:hint="eastAsia" w:ascii="仿宋" w:hAnsi="仿宋" w:eastAsia="仿宋" w:cs="仿宋"/>
          <w:color w:val="auto"/>
          <w:sz w:val="24"/>
        </w:rPr>
        <w:t>《成交通知书》将作为签订合同的依据，磋商文件、成交供应商的响应文件和补充文件（如澄清、承诺等）等，均为有法律约束力的经济合同组成的一部分。</w:t>
      </w:r>
    </w:p>
    <w:p w14:paraId="7B03C2B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31.</w:t>
      </w:r>
      <w:r>
        <w:rPr>
          <w:rFonts w:hint="eastAsia" w:ascii="仿宋" w:hAnsi="仿宋" w:eastAsia="仿宋" w:cs="仿宋"/>
          <w:color w:val="auto"/>
          <w:sz w:val="24"/>
          <w:lang w:val="en-US" w:eastAsia="zh-CN"/>
        </w:rPr>
        <w:t>5</w:t>
      </w:r>
      <w:r>
        <w:rPr>
          <w:rFonts w:hint="eastAsia" w:ascii="仿宋" w:hAnsi="仿宋" w:eastAsia="仿宋" w:cs="仿宋"/>
          <w:color w:val="auto"/>
          <w:sz w:val="24"/>
        </w:rPr>
        <w:t>《成交通知书》发出</w:t>
      </w:r>
      <w:r>
        <w:rPr>
          <w:rFonts w:hint="eastAsia" w:ascii="仿宋" w:hAnsi="仿宋" w:eastAsia="仿宋" w:cs="仿宋"/>
          <w:color w:val="auto"/>
          <w:sz w:val="24"/>
          <w:lang w:val="en-US" w:eastAsia="zh-CN"/>
        </w:rPr>
        <w:t>25</w:t>
      </w:r>
      <w:r>
        <w:rPr>
          <w:rFonts w:hint="eastAsia" w:ascii="仿宋" w:hAnsi="仿宋" w:eastAsia="仿宋" w:cs="仿宋"/>
          <w:color w:val="auto"/>
          <w:sz w:val="24"/>
        </w:rPr>
        <w:t>天内，如果已成交的供应商不能按响应文件，包括补充文件（如澄清、承诺等）中承诺的条件履行签约行为，采购人有权取消其成交资格。</w:t>
      </w:r>
    </w:p>
    <w:p w14:paraId="7A235B1D">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31.</w:t>
      </w:r>
      <w:r>
        <w:rPr>
          <w:rFonts w:hint="eastAsia" w:ascii="仿宋" w:hAnsi="仿宋" w:eastAsia="仿宋" w:cs="仿宋"/>
          <w:color w:val="auto"/>
          <w:sz w:val="24"/>
          <w:lang w:val="en-US" w:eastAsia="zh-CN"/>
        </w:rPr>
        <w:t>6</w:t>
      </w:r>
      <w:r>
        <w:rPr>
          <w:rFonts w:hint="eastAsia" w:ascii="仿宋" w:hAnsi="仿宋" w:eastAsia="仿宋" w:cs="仿宋"/>
          <w:color w:val="auto"/>
          <w:sz w:val="24"/>
        </w:rPr>
        <w:t>成交供应商如果因不可抗力或自身原因不能履行采购合同，采购人可与排位在成交供应商之后第一位的成交候选供应商签订采购合同。</w:t>
      </w:r>
    </w:p>
    <w:p w14:paraId="4A50C940">
      <w:pPr>
        <w:pStyle w:val="5"/>
        <w:adjustRightInd w:val="0"/>
        <w:snapToGrid w:val="0"/>
        <w:spacing w:before="0" w:after="0" w:line="360" w:lineRule="auto"/>
        <w:rPr>
          <w:rFonts w:hint="eastAsia" w:ascii="仿宋" w:hAnsi="仿宋" w:eastAsia="仿宋" w:cs="仿宋"/>
          <w:color w:val="auto"/>
          <w:sz w:val="24"/>
          <w:szCs w:val="24"/>
        </w:rPr>
      </w:pPr>
      <w:bookmarkStart w:id="147" w:name="_Toc824"/>
      <w:bookmarkStart w:id="148" w:name="_Toc311415609"/>
      <w:bookmarkStart w:id="149" w:name="_Toc423508257"/>
      <w:r>
        <w:rPr>
          <w:rFonts w:hint="eastAsia" w:ascii="仿宋" w:hAnsi="仿宋" w:eastAsia="仿宋" w:cs="仿宋"/>
          <w:color w:val="auto"/>
          <w:sz w:val="24"/>
          <w:szCs w:val="24"/>
        </w:rPr>
        <w:t>32．接受和拒绝任何或所有磋商的权力</w:t>
      </w:r>
      <w:bookmarkEnd w:id="147"/>
      <w:bookmarkEnd w:id="148"/>
      <w:bookmarkEnd w:id="149"/>
    </w:p>
    <w:p w14:paraId="4B31F0BA">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32.1 采购代理机构和采购人保留在授标之前任何时候接受或拒绝任何磋商，以及宣布磋商程序无效或拒绝所有磋商的权力，对受影响的供应商不承担任何责任，也无义务向受影响的供应商解释采取这一行动的理由。</w:t>
      </w:r>
    </w:p>
    <w:p w14:paraId="3D197E1A">
      <w:pPr>
        <w:pStyle w:val="5"/>
        <w:adjustRightInd w:val="0"/>
        <w:snapToGrid w:val="0"/>
        <w:spacing w:before="0" w:after="0" w:line="360" w:lineRule="auto"/>
        <w:rPr>
          <w:rFonts w:hint="eastAsia" w:ascii="仿宋" w:hAnsi="仿宋" w:eastAsia="仿宋" w:cs="仿宋"/>
          <w:color w:val="auto"/>
          <w:sz w:val="24"/>
          <w:szCs w:val="24"/>
        </w:rPr>
      </w:pPr>
      <w:bookmarkStart w:id="150" w:name="_Toc23643"/>
      <w:bookmarkStart w:id="151" w:name="_Toc311415612"/>
      <w:bookmarkStart w:id="152" w:name="_Toc423508258"/>
      <w:r>
        <w:rPr>
          <w:rFonts w:hint="eastAsia" w:ascii="仿宋" w:hAnsi="仿宋" w:eastAsia="仿宋" w:cs="仿宋"/>
          <w:color w:val="auto"/>
          <w:sz w:val="24"/>
          <w:szCs w:val="24"/>
          <w:lang w:val="en-US" w:eastAsia="zh-CN"/>
        </w:rPr>
        <w:t>33.</w:t>
      </w:r>
      <w:r>
        <w:rPr>
          <w:rFonts w:hint="eastAsia" w:ascii="仿宋" w:hAnsi="仿宋" w:eastAsia="仿宋" w:cs="仿宋"/>
          <w:color w:val="auto"/>
          <w:sz w:val="24"/>
          <w:szCs w:val="24"/>
        </w:rPr>
        <w:t>合同的履约验收</w:t>
      </w:r>
      <w:bookmarkEnd w:id="150"/>
    </w:p>
    <w:p w14:paraId="78432C60">
      <w:pPr>
        <w:adjustRightInd w:val="0"/>
        <w:snapToGrid w:val="0"/>
        <w:spacing w:before="0" w:after="0" w:line="360" w:lineRule="auto"/>
        <w:outlineLvl w:val="9"/>
        <w:rPr>
          <w:rFonts w:hint="eastAsia" w:ascii="仿宋" w:hAnsi="仿宋" w:eastAsia="仿宋" w:cs="仿宋"/>
          <w:color w:val="auto"/>
          <w:sz w:val="24"/>
          <w:szCs w:val="24"/>
        </w:rPr>
      </w:pPr>
      <w:bookmarkStart w:id="153" w:name="_Toc28346"/>
      <w:bookmarkStart w:id="154" w:name="_Toc14787"/>
      <w:r>
        <w:rPr>
          <w:rFonts w:hint="eastAsia" w:ascii="仿宋" w:hAnsi="仿宋" w:eastAsia="仿宋" w:cs="仿宋"/>
          <w:b w:val="0"/>
          <w:color w:val="auto"/>
          <w:kern w:val="2"/>
          <w:sz w:val="24"/>
          <w:lang w:val="en-US" w:eastAsia="zh-CN" w:bidi="ar-SA"/>
        </w:rPr>
        <w:t>33.1采购人应按照政府采购合同约定的技术、服务、安全标准组织对供应商每一项技术、服务、安全标准的履约情况进行验收，并出具验收书。</w:t>
      </w:r>
      <w:bookmarkEnd w:id="153"/>
      <w:bookmarkEnd w:id="154"/>
      <w:r>
        <w:rPr>
          <w:rFonts w:hint="eastAsia" w:ascii="仿宋" w:hAnsi="仿宋" w:eastAsia="仿宋" w:cs="仿宋"/>
          <w:color w:val="auto"/>
          <w:sz w:val="24"/>
          <w:szCs w:val="24"/>
        </w:rPr>
        <w:t xml:space="preserve"> </w:t>
      </w:r>
    </w:p>
    <w:p w14:paraId="2838139B">
      <w:pPr>
        <w:pStyle w:val="5"/>
        <w:adjustRightInd w:val="0"/>
        <w:snapToGrid w:val="0"/>
        <w:spacing w:before="0" w:after="0" w:line="360" w:lineRule="auto"/>
        <w:rPr>
          <w:rFonts w:hint="eastAsia" w:ascii="仿宋" w:hAnsi="仿宋" w:eastAsia="仿宋" w:cs="仿宋"/>
          <w:color w:val="auto"/>
          <w:sz w:val="24"/>
          <w:szCs w:val="24"/>
        </w:rPr>
      </w:pPr>
      <w:bookmarkStart w:id="155" w:name="_Toc5072"/>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．履约保证金</w:t>
      </w:r>
      <w:bookmarkEnd w:id="151"/>
      <w:bookmarkEnd w:id="152"/>
      <w:bookmarkEnd w:id="155"/>
    </w:p>
    <w:p w14:paraId="139C4AD0">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4</w:t>
      </w:r>
      <w:r>
        <w:rPr>
          <w:rFonts w:hint="eastAsia" w:ascii="仿宋" w:hAnsi="仿宋" w:eastAsia="仿宋" w:cs="仿宋"/>
          <w:color w:val="auto"/>
          <w:sz w:val="24"/>
        </w:rPr>
        <w:t>.1本项目无履约保证金。</w:t>
      </w:r>
    </w:p>
    <w:p w14:paraId="20582C42">
      <w:pPr>
        <w:pStyle w:val="5"/>
        <w:adjustRightInd w:val="0"/>
        <w:snapToGrid w:val="0"/>
        <w:spacing w:before="0" w:after="0" w:line="440" w:lineRule="exact"/>
        <w:rPr>
          <w:rFonts w:hint="eastAsia" w:ascii="仿宋" w:hAnsi="仿宋" w:eastAsia="仿宋" w:cs="仿宋"/>
          <w:color w:val="auto"/>
          <w:sz w:val="24"/>
          <w:szCs w:val="24"/>
        </w:rPr>
      </w:pPr>
      <w:bookmarkStart w:id="156" w:name="_Toc311415613"/>
      <w:bookmarkStart w:id="157" w:name="_Toc8069"/>
      <w:bookmarkStart w:id="158" w:name="_Toc423508259"/>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．腐败和欺诈行为</w:t>
      </w:r>
      <w:bookmarkEnd w:id="156"/>
      <w:bookmarkEnd w:id="157"/>
      <w:bookmarkEnd w:id="158"/>
    </w:p>
    <w:p w14:paraId="130A0BA2">
      <w:pPr>
        <w:adjustRightInd w:val="0"/>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.1 定义</w:t>
      </w:r>
    </w:p>
    <w:p w14:paraId="4267867E">
      <w:pPr>
        <w:adjustRightInd w:val="0"/>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35.1.1</w:t>
      </w:r>
      <w:r>
        <w:rPr>
          <w:rFonts w:hint="eastAsia" w:ascii="仿宋" w:hAnsi="仿宋" w:eastAsia="仿宋" w:cs="仿宋"/>
          <w:color w:val="auto"/>
          <w:sz w:val="24"/>
        </w:rPr>
        <w:t xml:space="preserve"> “腐败行为”是指提供给予接受或索取任何有价值的东西来影响采购代理机构和/或采购人在采购过程或合同实施过程中的行为。</w:t>
      </w:r>
    </w:p>
    <w:p w14:paraId="6B2F247B">
      <w:pPr>
        <w:adjustRightInd w:val="0"/>
        <w:snapToGrid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35.1.2</w:t>
      </w:r>
      <w:r>
        <w:rPr>
          <w:rFonts w:hint="eastAsia" w:ascii="仿宋" w:hAnsi="仿宋" w:eastAsia="仿宋" w:cs="仿宋"/>
          <w:color w:val="auto"/>
          <w:sz w:val="24"/>
        </w:rPr>
        <w:t xml:space="preserve"> “欺诈行为”是指为了影响采购过程或合同实施过程而谎报事实，损害采购代理机构和/或采购人的利益，包括供应商之间相互串通（递交响应文件之前和之后），人为地使磋商丧失竞争性，剥夺采购人从自由公开竞争所能获得的权益。</w:t>
      </w:r>
    </w:p>
    <w:p w14:paraId="378C632D">
      <w:pPr>
        <w:adjustRightInd w:val="0"/>
        <w:snapToGrid w:val="0"/>
        <w:spacing w:line="440" w:lineRule="exact"/>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.2如果采购代理机构和采购人认为供应商在本项目的竞争中有腐败或欺诈行为，其磋商将被拒绝。</w:t>
      </w:r>
    </w:p>
    <w:p w14:paraId="6C14B8C4">
      <w:pPr>
        <w:adjustRightInd w:val="0"/>
        <w:snapToGrid w:val="0"/>
        <w:spacing w:line="440" w:lineRule="exact"/>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ascii="仿宋" w:hAnsi="仿宋" w:eastAsia="仿宋" w:cs="仿宋"/>
          <w:color w:val="auto"/>
          <w:sz w:val="24"/>
        </w:rPr>
        <w:t>.3供应商在</w:t>
      </w:r>
      <w:r>
        <w:rPr>
          <w:rFonts w:hint="eastAsia" w:ascii="仿宋" w:hAnsi="仿宋" w:eastAsia="仿宋" w:cs="仿宋"/>
          <w:color w:val="auto"/>
          <w:sz w:val="24"/>
        </w:rPr>
        <w:t>磋商</w:t>
      </w:r>
      <w:r>
        <w:rPr>
          <w:rFonts w:ascii="仿宋" w:hAnsi="仿宋" w:eastAsia="仿宋" w:cs="仿宋"/>
          <w:color w:val="auto"/>
          <w:sz w:val="24"/>
        </w:rPr>
        <w:t>期间存在</w:t>
      </w:r>
      <w:r>
        <w:rPr>
          <w:rFonts w:hint="eastAsia" w:ascii="仿宋" w:hAnsi="仿宋" w:eastAsia="仿宋" w:cs="仿宋"/>
          <w:color w:val="auto"/>
          <w:sz w:val="24"/>
        </w:rPr>
        <w:t>弄虚作假行为，将予以废标。</w:t>
      </w:r>
    </w:p>
    <w:p w14:paraId="7491DE50">
      <w:pPr>
        <w:adjustRightInd w:val="0"/>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ascii="仿宋" w:hAnsi="仿宋" w:eastAsia="仿宋" w:cs="仿宋"/>
          <w:color w:val="auto"/>
          <w:sz w:val="24"/>
        </w:rPr>
        <w:t>.4采购人</w:t>
      </w:r>
      <w:r>
        <w:rPr>
          <w:rFonts w:hint="eastAsia" w:ascii="仿宋" w:hAnsi="仿宋" w:eastAsia="仿宋" w:cs="仿宋"/>
          <w:color w:val="auto"/>
          <w:sz w:val="24"/>
        </w:rPr>
        <w:t>后期实施过程中发现供应商弄虚作假的，实际配备人员（资格证书注册信息）与响应文件不一致的情况，将对供应商予以扣除咨询费总额的10%的处罚。</w:t>
      </w:r>
    </w:p>
    <w:p w14:paraId="09291B39">
      <w:pPr>
        <w:pStyle w:val="5"/>
        <w:adjustRightInd w:val="0"/>
        <w:snapToGrid w:val="0"/>
        <w:spacing w:before="0" w:after="0" w:line="440" w:lineRule="exact"/>
        <w:rPr>
          <w:rFonts w:hint="eastAsia" w:ascii="仿宋" w:hAnsi="仿宋" w:eastAsia="仿宋" w:cs="仿宋"/>
          <w:color w:val="auto"/>
          <w:sz w:val="24"/>
          <w:szCs w:val="24"/>
        </w:rPr>
      </w:pPr>
      <w:bookmarkStart w:id="159" w:name="_Toc13851"/>
      <w:bookmarkStart w:id="160" w:name="_Toc423508260"/>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招标代理服务费</w:t>
      </w:r>
      <w:bookmarkEnd w:id="51"/>
      <w:bookmarkEnd w:id="52"/>
      <w:bookmarkEnd w:id="53"/>
      <w:bookmarkEnd w:id="159"/>
      <w:bookmarkEnd w:id="160"/>
      <w:r>
        <w:rPr>
          <w:rFonts w:hint="eastAsia" w:ascii="仿宋" w:hAnsi="仿宋" w:eastAsia="仿宋" w:cs="仿宋"/>
          <w:color w:val="auto"/>
          <w:sz w:val="24"/>
          <w:szCs w:val="24"/>
        </w:rPr>
        <w:t xml:space="preserve"> </w:t>
      </w:r>
    </w:p>
    <w:p w14:paraId="3D59EF68">
      <w:pPr>
        <w:spacing w:line="440" w:lineRule="exac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.1成交供应商应向采购代理机构交纳招标代理服务费。</w:t>
      </w:r>
    </w:p>
    <w:p w14:paraId="3C46248A">
      <w:pPr>
        <w:pStyle w:val="5"/>
        <w:adjustRightInd w:val="0"/>
        <w:snapToGrid w:val="0"/>
        <w:spacing w:before="0" w:after="0" w:line="440" w:lineRule="exact"/>
        <w:rPr>
          <w:rFonts w:hint="eastAsia" w:ascii="仿宋" w:hAnsi="仿宋" w:eastAsia="仿宋" w:cs="仿宋"/>
          <w:b/>
          <w:color w:val="auto"/>
          <w:sz w:val="24"/>
          <w:szCs w:val="24"/>
        </w:rPr>
      </w:pPr>
      <w:bookmarkStart w:id="161" w:name="_Toc5479"/>
      <w:bookmarkStart w:id="162" w:name="_Toc31772"/>
      <w:r>
        <w:rPr>
          <w:rFonts w:hint="eastAsia" w:ascii="仿宋" w:hAnsi="仿宋" w:eastAsia="仿宋" w:cs="仿宋"/>
          <w:b/>
          <w:color w:val="auto"/>
          <w:sz w:val="24"/>
          <w:szCs w:val="24"/>
        </w:rPr>
        <w:t>3</w:t>
      </w:r>
      <w:r>
        <w:rPr>
          <w:rFonts w:hint="eastAsia" w:ascii="仿宋" w:hAnsi="仿宋" w:eastAsia="仿宋" w:cs="仿宋"/>
          <w:b/>
          <w:color w:val="auto"/>
          <w:sz w:val="24"/>
          <w:szCs w:val="24"/>
          <w:lang w:val="en-US" w:eastAsia="zh-CN"/>
        </w:rPr>
        <w:t>7</w:t>
      </w:r>
      <w:r>
        <w:rPr>
          <w:rFonts w:hint="eastAsia" w:ascii="仿宋" w:hAnsi="仿宋" w:eastAsia="仿宋" w:cs="仿宋"/>
          <w:b/>
          <w:color w:val="auto"/>
          <w:sz w:val="24"/>
          <w:szCs w:val="24"/>
        </w:rPr>
        <w:t xml:space="preserve"> 融资担保</w:t>
      </w:r>
      <w:bookmarkEnd w:id="161"/>
      <w:bookmarkEnd w:id="162"/>
    </w:p>
    <w:p w14:paraId="18C05ACC">
      <w:pPr>
        <w:spacing w:line="360" w:lineRule="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7</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中标供应商为中小企业的可以自愿选择融资担保形式，为本采购项目进行融资</w:t>
      </w:r>
      <w:r>
        <w:rPr>
          <w:rFonts w:hint="eastAsia" w:ascii="仿宋" w:hAnsi="仿宋" w:eastAsia="仿宋" w:cs="仿宋"/>
          <w:color w:val="auto"/>
          <w:sz w:val="24"/>
        </w:rPr>
        <w:t>。</w:t>
      </w:r>
    </w:p>
    <w:p w14:paraId="6C214A03">
      <w:pPr>
        <w:rPr>
          <w:rFonts w:hint="eastAsia"/>
          <w:color w:val="auto"/>
          <w:lang w:val="en-US" w:eastAsia="zh-CN"/>
        </w:rPr>
      </w:pPr>
      <w:r>
        <w:rPr>
          <w:color w:val="auto"/>
        </w:rPr>
        <w:drawing>
          <wp:inline distT="0" distB="0" distL="114300" distR="114300">
            <wp:extent cx="5781675" cy="5807710"/>
            <wp:effectExtent l="0" t="0" r="952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781675" cy="5807710"/>
                    </a:xfrm>
                    <a:prstGeom prst="rect">
                      <a:avLst/>
                    </a:prstGeom>
                    <a:noFill/>
                    <a:ln>
                      <a:noFill/>
                    </a:ln>
                  </pic:spPr>
                </pic:pic>
              </a:graphicData>
            </a:graphic>
          </wp:inline>
        </w:drawing>
      </w:r>
    </w:p>
    <w:p w14:paraId="5B6FDB54">
      <w:pPr>
        <w:spacing w:line="440" w:lineRule="exact"/>
        <w:rPr>
          <w:rFonts w:hint="eastAsia" w:ascii="仿宋" w:hAnsi="仿宋" w:eastAsia="仿宋" w:cs="仿宋"/>
          <w:color w:val="auto"/>
          <w:sz w:val="24"/>
        </w:rPr>
      </w:pPr>
    </w:p>
    <w:p w14:paraId="5C7038FD">
      <w:pPr>
        <w:rPr>
          <w:rFonts w:hint="eastAsia" w:ascii="仿宋" w:hAnsi="仿宋" w:eastAsia="仿宋"/>
          <w:color w:val="auto"/>
        </w:rPr>
      </w:pPr>
    </w:p>
    <w:p w14:paraId="6AC0CBFC">
      <w:pPr>
        <w:rPr>
          <w:rFonts w:hint="eastAsia" w:ascii="仿宋" w:hAnsi="仿宋" w:eastAsia="仿宋"/>
          <w:color w:val="auto"/>
        </w:rPr>
      </w:pPr>
    </w:p>
    <w:p w14:paraId="3A915938">
      <w:pPr>
        <w:pStyle w:val="3"/>
        <w:spacing w:line="360" w:lineRule="auto"/>
        <w:jc w:val="center"/>
        <w:rPr>
          <w:rFonts w:ascii="仿宋" w:hAnsi="仿宋" w:eastAsia="仿宋" w:cs="仿宋"/>
          <w:color w:val="auto"/>
          <w:sz w:val="36"/>
        </w:rPr>
      </w:pPr>
      <w:r>
        <w:rPr>
          <w:rFonts w:ascii="仿宋" w:hAnsi="仿宋" w:eastAsia="仿宋" w:cs="仿宋"/>
          <w:color w:val="auto"/>
          <w:sz w:val="36"/>
        </w:rPr>
        <w:br w:type="page"/>
      </w:r>
      <w:bookmarkStart w:id="163" w:name="_Toc24012"/>
      <w:r>
        <w:rPr>
          <w:rFonts w:ascii="仿宋" w:hAnsi="仿宋" w:eastAsia="仿宋" w:cs="仿宋"/>
          <w:color w:val="auto"/>
          <w:sz w:val="36"/>
        </w:rPr>
        <w:t>第四部分</w:t>
      </w:r>
      <w:bookmarkEnd w:id="7"/>
      <w:bookmarkStart w:id="164" w:name="_Toc246928931"/>
      <w:r>
        <w:rPr>
          <w:rFonts w:ascii="仿宋" w:hAnsi="仿宋" w:eastAsia="仿宋" w:cs="仿宋"/>
          <w:color w:val="auto"/>
          <w:sz w:val="36"/>
        </w:rPr>
        <w:t xml:space="preserve">  合同</w:t>
      </w:r>
      <w:bookmarkEnd w:id="8"/>
      <w:bookmarkEnd w:id="9"/>
      <w:bookmarkEnd w:id="10"/>
      <w:bookmarkEnd w:id="11"/>
      <w:bookmarkEnd w:id="12"/>
      <w:bookmarkEnd w:id="13"/>
      <w:bookmarkEnd w:id="164"/>
      <w:r>
        <w:rPr>
          <w:rFonts w:ascii="仿宋" w:hAnsi="仿宋" w:eastAsia="仿宋" w:cs="仿宋"/>
          <w:color w:val="auto"/>
          <w:sz w:val="36"/>
        </w:rPr>
        <w:t>格式</w:t>
      </w:r>
      <w:r>
        <w:rPr>
          <w:rFonts w:hint="eastAsia" w:ascii="仿宋" w:hAnsi="仿宋" w:eastAsia="仿宋" w:cs="仿宋"/>
          <w:color w:val="auto"/>
          <w:sz w:val="36"/>
        </w:rPr>
        <w:t>(仅供参考)</w:t>
      </w:r>
      <w:bookmarkEnd w:id="163"/>
    </w:p>
    <w:p w14:paraId="32B08CE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lang w:val="en-US" w:eastAsia="zh-CN"/>
        </w:rPr>
      </w:pPr>
      <w:bookmarkStart w:id="165" w:name="_Toc5006"/>
      <w:bookmarkStart w:id="166" w:name="_Toc497551821"/>
      <w:bookmarkStart w:id="167" w:name="_Toc497546919"/>
      <w:bookmarkStart w:id="168" w:name="_Toc497711586"/>
      <w:bookmarkStart w:id="169" w:name="_Toc492955460"/>
      <w:bookmarkStart w:id="170" w:name="_Toc385992402"/>
      <w:bookmarkStart w:id="171" w:name="_Toc246928960"/>
      <w:bookmarkStart w:id="172" w:name="_Toc389620242"/>
      <w:bookmarkStart w:id="173" w:name="_Toc497712134"/>
      <w:r>
        <w:rPr>
          <w:rFonts w:hint="eastAsia" w:ascii="仿宋" w:hAnsi="仿宋" w:eastAsia="仿宋" w:cs="仿宋"/>
          <w:color w:val="auto"/>
          <w:sz w:val="32"/>
          <w:szCs w:val="32"/>
          <w:lang w:val="en-US" w:eastAsia="zh-CN"/>
        </w:rPr>
        <w:t>合同编号：</w:t>
      </w:r>
    </w:p>
    <w:p w14:paraId="0534AC01">
      <w:pPr>
        <w:spacing w:line="560" w:lineRule="exact"/>
        <w:rPr>
          <w:rFonts w:hint="eastAsia" w:ascii="仿宋" w:hAnsi="仿宋" w:eastAsia="仿宋" w:cs="仿宋"/>
          <w:color w:val="auto"/>
        </w:rPr>
      </w:pPr>
    </w:p>
    <w:p w14:paraId="2B639A2E">
      <w:pPr>
        <w:spacing w:line="560" w:lineRule="exact"/>
        <w:rPr>
          <w:rFonts w:hint="eastAsia" w:ascii="仿宋" w:hAnsi="仿宋" w:eastAsia="仿宋" w:cs="仿宋"/>
          <w:color w:val="auto"/>
        </w:rPr>
      </w:pPr>
    </w:p>
    <w:p w14:paraId="7352B8F0">
      <w:pPr>
        <w:keepNext w:val="0"/>
        <w:keepLines w:val="0"/>
        <w:pageBreakBefore w:val="0"/>
        <w:kinsoku/>
        <w:wordWrap w:val="0"/>
        <w:overflowPunct/>
        <w:topLinePunct w:val="0"/>
        <w:autoSpaceDE/>
        <w:autoSpaceDN/>
        <w:bidi w:val="0"/>
        <w:adjustRightInd/>
        <w:spacing w:line="560" w:lineRule="exact"/>
        <w:jc w:val="center"/>
        <w:textAlignment w:val="auto"/>
        <w:rPr>
          <w:rFonts w:hint="eastAsia" w:ascii="仿宋" w:hAnsi="仿宋" w:eastAsia="仿宋" w:cs="仿宋"/>
          <w:color w:val="auto"/>
          <w:sz w:val="60"/>
          <w:szCs w:val="60"/>
        </w:rPr>
      </w:pPr>
    </w:p>
    <w:p w14:paraId="7B093C19">
      <w:pPr>
        <w:keepNext w:val="0"/>
        <w:keepLines w:val="0"/>
        <w:pageBreakBefore w:val="0"/>
        <w:kinsoku/>
        <w:wordWrap w:val="0"/>
        <w:overflowPunct/>
        <w:topLinePunct w:val="0"/>
        <w:autoSpaceDE/>
        <w:autoSpaceDN/>
        <w:bidi w:val="0"/>
        <w:adjustRightInd/>
        <w:spacing w:line="560" w:lineRule="exact"/>
        <w:jc w:val="center"/>
        <w:textAlignment w:val="auto"/>
        <w:rPr>
          <w:rFonts w:hint="eastAsia" w:ascii="仿宋" w:hAnsi="仿宋" w:eastAsia="仿宋" w:cs="仿宋"/>
          <w:color w:val="auto"/>
          <w:sz w:val="60"/>
          <w:szCs w:val="60"/>
        </w:rPr>
      </w:pPr>
    </w:p>
    <w:p w14:paraId="3B958669">
      <w:pPr>
        <w:keepNext w:val="0"/>
        <w:keepLines w:val="0"/>
        <w:pageBreakBefore w:val="0"/>
        <w:kinsoku/>
        <w:wordWrap w:val="0"/>
        <w:overflowPunct/>
        <w:topLinePunct w:val="0"/>
        <w:autoSpaceDE/>
        <w:autoSpaceDN/>
        <w:bidi w:val="0"/>
        <w:adjustRightInd/>
        <w:spacing w:line="560" w:lineRule="exact"/>
        <w:jc w:val="center"/>
        <w:textAlignment w:val="auto"/>
        <w:rPr>
          <w:rFonts w:hint="eastAsia" w:ascii="仿宋" w:hAnsi="仿宋" w:eastAsia="仿宋" w:cs="仿宋"/>
          <w:color w:val="auto"/>
          <w:sz w:val="60"/>
          <w:szCs w:val="60"/>
        </w:rPr>
      </w:pPr>
    </w:p>
    <w:p w14:paraId="79A9BFCE">
      <w:pPr>
        <w:pStyle w:val="17"/>
        <w:spacing w:line="240" w:lineRule="auto"/>
        <w:jc w:val="center"/>
        <w:rPr>
          <w:rFonts w:hint="eastAsia" w:ascii="仿宋" w:hAnsi="仿宋" w:eastAsia="仿宋" w:cs="仿宋"/>
          <w:b/>
          <w:bCs/>
          <w:color w:val="auto"/>
          <w:sz w:val="60"/>
          <w:szCs w:val="60"/>
          <w:lang w:val="en-US" w:eastAsia="zh-CN"/>
        </w:rPr>
      </w:pPr>
      <w:r>
        <w:rPr>
          <w:rFonts w:hint="eastAsia" w:ascii="仿宋" w:hAnsi="仿宋" w:eastAsia="仿宋" w:cs="仿宋"/>
          <w:b/>
          <w:bCs/>
          <w:color w:val="auto"/>
          <w:sz w:val="60"/>
          <w:szCs w:val="60"/>
          <w:lang w:val="en-US" w:eastAsia="zh-CN"/>
        </w:rPr>
        <w:t>沣东新城入区项目</w:t>
      </w:r>
    </w:p>
    <w:p w14:paraId="6D8DC3BF">
      <w:pPr>
        <w:pStyle w:val="17"/>
        <w:spacing w:line="240" w:lineRule="auto"/>
        <w:jc w:val="center"/>
        <w:rPr>
          <w:rFonts w:hint="eastAsia" w:ascii="仿宋" w:hAnsi="仿宋" w:eastAsia="仿宋" w:cs="仿宋"/>
          <w:b/>
          <w:bCs/>
          <w:color w:val="auto"/>
          <w:lang w:eastAsia="zh-CN"/>
        </w:rPr>
      </w:pPr>
      <w:r>
        <w:rPr>
          <w:rFonts w:hint="eastAsia" w:ascii="仿宋" w:hAnsi="仿宋" w:eastAsia="仿宋" w:cs="仿宋"/>
          <w:b/>
          <w:bCs/>
          <w:color w:val="auto"/>
          <w:sz w:val="60"/>
          <w:szCs w:val="60"/>
          <w:lang w:val="en-US" w:eastAsia="zh-CN"/>
        </w:rPr>
        <w:t>委托评审协议书</w:t>
      </w:r>
    </w:p>
    <w:p w14:paraId="161113F4">
      <w:pPr>
        <w:spacing w:line="560" w:lineRule="exact"/>
        <w:rPr>
          <w:rFonts w:hint="eastAsia" w:ascii="仿宋" w:hAnsi="仿宋" w:eastAsia="仿宋" w:cs="仿宋"/>
          <w:color w:val="auto"/>
        </w:rPr>
      </w:pPr>
    </w:p>
    <w:p w14:paraId="11759785">
      <w:pPr>
        <w:spacing w:line="560" w:lineRule="exact"/>
        <w:rPr>
          <w:rFonts w:hint="eastAsia" w:ascii="仿宋" w:hAnsi="仿宋" w:eastAsia="仿宋" w:cs="仿宋"/>
          <w:color w:val="auto"/>
        </w:rPr>
      </w:pPr>
    </w:p>
    <w:p w14:paraId="01F09418">
      <w:pPr>
        <w:spacing w:line="560" w:lineRule="exact"/>
        <w:rPr>
          <w:rFonts w:hint="eastAsia" w:ascii="仿宋" w:hAnsi="仿宋" w:eastAsia="仿宋" w:cs="仿宋"/>
          <w:color w:val="auto"/>
        </w:rPr>
      </w:pPr>
    </w:p>
    <w:p w14:paraId="13D6E394">
      <w:pPr>
        <w:spacing w:line="560" w:lineRule="exact"/>
        <w:rPr>
          <w:rFonts w:hint="eastAsia" w:ascii="仿宋" w:hAnsi="仿宋" w:eastAsia="仿宋" w:cs="仿宋"/>
          <w:color w:val="auto"/>
        </w:rPr>
      </w:pPr>
    </w:p>
    <w:p w14:paraId="217B59E7">
      <w:pPr>
        <w:spacing w:line="560" w:lineRule="exact"/>
        <w:rPr>
          <w:rFonts w:hint="eastAsia" w:ascii="仿宋" w:hAnsi="仿宋" w:eastAsia="仿宋" w:cs="仿宋"/>
          <w:color w:val="auto"/>
        </w:rPr>
      </w:pPr>
    </w:p>
    <w:p w14:paraId="7BF1BD1E">
      <w:pPr>
        <w:keepNext w:val="0"/>
        <w:keepLines w:val="0"/>
        <w:pageBreakBefore w:val="0"/>
        <w:widowControl/>
        <w:kinsoku/>
        <w:wordWrap w:val="0"/>
        <w:overflowPunct/>
        <w:topLinePunct w:val="0"/>
        <w:autoSpaceDE w:val="0"/>
        <w:autoSpaceDN w:val="0"/>
        <w:bidi w:val="0"/>
        <w:adjustRightInd w:val="0"/>
        <w:snapToGrid w:val="0"/>
        <w:spacing w:line="560" w:lineRule="exact"/>
        <w:ind w:firstLine="1285" w:firstLineChars="400"/>
        <w:jc w:val="left"/>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甲方：</w:t>
      </w:r>
    </w:p>
    <w:p w14:paraId="352F51B6">
      <w:pPr>
        <w:kinsoku/>
        <w:wordWrap w:val="0"/>
        <w:spacing w:line="560" w:lineRule="exact"/>
        <w:ind w:firstLine="1285" w:firstLineChars="400"/>
        <w:textAlignment w:val="auto"/>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kern w:val="0"/>
          <w:sz w:val="32"/>
          <w:szCs w:val="32"/>
          <w:lang w:val="en-US" w:eastAsia="zh-CN" w:bidi="ar"/>
        </w:rPr>
        <w:t>乙方：</w:t>
      </w:r>
    </w:p>
    <w:p w14:paraId="41B32295">
      <w:pPr>
        <w:kinsoku/>
        <w:wordWrap w:val="0"/>
        <w:spacing w:line="560" w:lineRule="exact"/>
        <w:ind w:firstLine="1285" w:firstLineChars="400"/>
        <w:textAlignment w:val="auto"/>
        <w:rPr>
          <w:rFonts w:hint="eastAsia" w:ascii="仿宋" w:hAnsi="仿宋" w:eastAsia="仿宋" w:cs="仿宋"/>
          <w:b/>
          <w:bCs/>
          <w:color w:val="auto"/>
          <w:sz w:val="32"/>
          <w:szCs w:val="32"/>
          <w:lang w:val="en-US" w:eastAsia="zh-CN" w:bidi="ar"/>
        </w:rPr>
      </w:pPr>
    </w:p>
    <w:p w14:paraId="3E6CAEEE">
      <w:pPr>
        <w:kinsoku/>
        <w:wordWrap w:val="0"/>
        <w:spacing w:line="560" w:lineRule="exact"/>
        <w:ind w:firstLine="1285" w:firstLineChars="400"/>
        <w:textAlignment w:val="auto"/>
        <w:rPr>
          <w:rFonts w:hint="eastAsia" w:ascii="仿宋" w:hAnsi="仿宋" w:eastAsia="仿宋" w:cs="仿宋"/>
          <w:b/>
          <w:bCs/>
          <w:color w:val="auto"/>
          <w:sz w:val="32"/>
          <w:szCs w:val="32"/>
          <w:lang w:val="en-US" w:eastAsia="zh-CN" w:bidi="ar"/>
        </w:rPr>
      </w:pPr>
    </w:p>
    <w:p w14:paraId="67BC7292">
      <w:pPr>
        <w:kinsoku/>
        <w:wordWrap w:val="0"/>
        <w:spacing w:line="560" w:lineRule="exact"/>
        <w:ind w:firstLine="1285" w:firstLineChars="400"/>
        <w:textAlignment w:val="auto"/>
        <w:rPr>
          <w:rFonts w:hint="eastAsia" w:ascii="仿宋" w:hAnsi="仿宋" w:eastAsia="仿宋" w:cs="仿宋"/>
          <w:b/>
          <w:bCs/>
          <w:color w:val="auto"/>
          <w:sz w:val="32"/>
          <w:szCs w:val="32"/>
          <w:lang w:val="en-US" w:eastAsia="zh-CN" w:bidi="ar"/>
        </w:rPr>
      </w:pPr>
    </w:p>
    <w:p w14:paraId="337DFB66">
      <w:pPr>
        <w:kinsoku/>
        <w:wordWrap w:val="0"/>
        <w:spacing w:line="560" w:lineRule="exact"/>
        <w:jc w:val="center"/>
        <w:textAlignment w:val="auto"/>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签订时间：     年    月    日</w:t>
      </w:r>
    </w:p>
    <w:p w14:paraId="1F450E34">
      <w:pPr>
        <w:kinsoku/>
        <w:wordWrap w:val="0"/>
        <w:spacing w:line="560" w:lineRule="exact"/>
        <w:ind w:firstLine="643" w:firstLineChars="200"/>
        <w:textAlignment w:val="auto"/>
        <w:rPr>
          <w:rFonts w:hint="eastAsia" w:ascii="仿宋" w:hAnsi="仿宋" w:eastAsia="仿宋" w:cs="仿宋"/>
          <w:b/>
          <w:bCs/>
          <w:color w:val="auto"/>
          <w:sz w:val="32"/>
          <w:szCs w:val="32"/>
          <w:lang w:val="en-US" w:eastAsia="zh-CN" w:bidi="ar"/>
        </w:rPr>
      </w:pPr>
    </w:p>
    <w:p w14:paraId="68A75005">
      <w:pPr>
        <w:kinsoku/>
        <w:wordWrap w:val="0"/>
        <w:spacing w:line="560" w:lineRule="exact"/>
        <w:ind w:firstLine="643" w:firstLineChars="200"/>
        <w:textAlignment w:val="auto"/>
        <w:rPr>
          <w:rFonts w:hint="eastAsia" w:ascii="仿宋" w:hAnsi="仿宋" w:eastAsia="仿宋" w:cs="仿宋"/>
          <w:b/>
          <w:bCs/>
          <w:color w:val="auto"/>
          <w:sz w:val="32"/>
          <w:szCs w:val="32"/>
          <w:lang w:val="en-US" w:eastAsia="zh-CN" w:bidi="ar"/>
        </w:rPr>
        <w:sectPr>
          <w:pgSz w:w="11906" w:h="16839"/>
          <w:pgMar w:top="1247" w:right="1304" w:bottom="1247" w:left="1304" w:header="862" w:footer="994" w:gutter="0"/>
          <w:pgNumType w:fmt="decimal"/>
          <w:cols w:space="720" w:num="1"/>
        </w:sectPr>
      </w:pPr>
    </w:p>
    <w:p w14:paraId="6972A1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甲</w:t>
      </w:r>
      <w:r>
        <w:rPr>
          <w:rFonts w:hint="eastAsia" w:ascii="仿宋" w:hAnsi="仿宋" w:eastAsia="仿宋" w:cs="仿宋"/>
          <w:color w:val="auto"/>
          <w:sz w:val="24"/>
          <w:szCs w:val="24"/>
          <w:u w:val="none"/>
        </w:rPr>
        <w:t>方：陕西省西咸新区沣东新城管理委员会</w:t>
      </w:r>
    </w:p>
    <w:p w14:paraId="0EBEDE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社会统一信用代码：</w:t>
      </w:r>
      <w:r>
        <w:rPr>
          <w:rFonts w:hint="eastAsia" w:ascii="仿宋" w:hAnsi="仿宋" w:eastAsia="仿宋" w:cs="仿宋"/>
          <w:i w:val="0"/>
          <w:iCs w:val="0"/>
          <w:caps w:val="0"/>
          <w:color w:val="auto"/>
          <w:spacing w:val="0"/>
          <w:sz w:val="24"/>
          <w:szCs w:val="24"/>
          <w:u w:val="none"/>
          <w:shd w:val="clear" w:color="auto" w:fill="auto"/>
        </w:rPr>
        <w:t>12610100698606855F</w:t>
      </w:r>
    </w:p>
    <w:p w14:paraId="7F9B6CCB">
      <w:pPr>
        <w:keepNext w:val="0"/>
        <w:keepLines w:val="0"/>
        <w:widowControl w:val="0"/>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地址：</w:t>
      </w:r>
      <w:r>
        <w:rPr>
          <w:rFonts w:hint="eastAsia" w:ascii="仿宋" w:hAnsi="仿宋" w:eastAsia="仿宋" w:cs="仿宋"/>
          <w:b w:val="0"/>
          <w:bCs w:val="0"/>
          <w:i w:val="0"/>
          <w:iCs w:val="0"/>
          <w:caps w:val="0"/>
          <w:color w:val="auto"/>
          <w:spacing w:val="0"/>
          <w:sz w:val="24"/>
          <w:szCs w:val="24"/>
          <w:u w:val="none"/>
          <w:shd w:val="clear" w:color="auto" w:fill="auto"/>
        </w:rPr>
        <w:t>陕西省西咸新区沣东大道1号</w:t>
      </w:r>
    </w:p>
    <w:p w14:paraId="4EF8BC7B">
      <w:p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法定代表人：</w:t>
      </w:r>
      <w:r>
        <w:rPr>
          <w:rFonts w:hint="eastAsia" w:ascii="仿宋" w:hAnsi="仿宋" w:eastAsia="仿宋" w:cs="仿宋"/>
          <w:b w:val="0"/>
          <w:bCs w:val="0"/>
          <w:i w:val="0"/>
          <w:iCs w:val="0"/>
          <w:caps w:val="0"/>
          <w:color w:val="auto"/>
          <w:spacing w:val="0"/>
          <w:sz w:val="24"/>
          <w:szCs w:val="24"/>
          <w:u w:val="none"/>
          <w:shd w:val="clear" w:color="auto" w:fill="auto"/>
        </w:rPr>
        <w:fldChar w:fldCharType="begin"/>
      </w:r>
      <w:r>
        <w:rPr>
          <w:rFonts w:hint="eastAsia" w:ascii="仿宋" w:hAnsi="仿宋" w:eastAsia="仿宋" w:cs="仿宋"/>
          <w:b w:val="0"/>
          <w:bCs w:val="0"/>
          <w:i w:val="0"/>
          <w:iCs w:val="0"/>
          <w:caps w:val="0"/>
          <w:color w:val="auto"/>
          <w:spacing w:val="0"/>
          <w:sz w:val="24"/>
          <w:szCs w:val="24"/>
          <w:u w:val="none"/>
          <w:shd w:val="clear" w:color="auto" w:fill="auto"/>
        </w:rPr>
        <w:instrText xml:space="preserve"> HYPERLINK "javascript:;" </w:instrText>
      </w:r>
      <w:r>
        <w:rPr>
          <w:rFonts w:hint="eastAsia" w:ascii="仿宋" w:hAnsi="仿宋" w:eastAsia="仿宋" w:cs="仿宋"/>
          <w:b w:val="0"/>
          <w:bCs w:val="0"/>
          <w:i w:val="0"/>
          <w:iCs w:val="0"/>
          <w:caps w:val="0"/>
          <w:color w:val="auto"/>
          <w:spacing w:val="0"/>
          <w:sz w:val="24"/>
          <w:szCs w:val="24"/>
          <w:u w:val="none"/>
          <w:shd w:val="clear" w:color="auto" w:fill="auto"/>
        </w:rPr>
        <w:fldChar w:fldCharType="separate"/>
      </w:r>
      <w:r>
        <w:rPr>
          <w:rFonts w:hint="eastAsia" w:ascii="仿宋" w:hAnsi="仿宋" w:eastAsia="仿宋" w:cs="仿宋"/>
          <w:b w:val="0"/>
          <w:bCs w:val="0"/>
          <w:i w:val="0"/>
          <w:iCs w:val="0"/>
          <w:caps w:val="0"/>
          <w:color w:val="auto"/>
          <w:spacing w:val="0"/>
          <w:sz w:val="24"/>
          <w:szCs w:val="24"/>
          <w:u w:val="none"/>
          <w:shd w:val="clear" w:color="auto" w:fill="auto"/>
        </w:rPr>
        <w:t>刘宇斌</w:t>
      </w:r>
      <w:r>
        <w:rPr>
          <w:rFonts w:hint="eastAsia" w:ascii="仿宋" w:hAnsi="仿宋" w:eastAsia="仿宋" w:cs="仿宋"/>
          <w:b w:val="0"/>
          <w:bCs w:val="0"/>
          <w:i w:val="0"/>
          <w:iCs w:val="0"/>
          <w:caps w:val="0"/>
          <w:color w:val="auto"/>
          <w:spacing w:val="0"/>
          <w:sz w:val="24"/>
          <w:szCs w:val="24"/>
          <w:u w:val="none"/>
          <w:shd w:val="clear" w:color="auto" w:fill="auto"/>
        </w:rPr>
        <w:fldChar w:fldCharType="end"/>
      </w:r>
    </w:p>
    <w:p w14:paraId="161DEA8E">
      <w:p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联系方式：</w:t>
      </w:r>
    </w:p>
    <w:p w14:paraId="3F12CA7B">
      <w:pPr>
        <w:spacing w:before="65" w:line="560" w:lineRule="exact"/>
        <w:ind w:left="0" w:right="874" w:firstLine="0"/>
        <w:jc w:val="both"/>
        <w:rPr>
          <w:rFonts w:hint="eastAsia" w:ascii="仿宋" w:hAnsi="仿宋" w:eastAsia="仿宋" w:cs="仿宋"/>
          <w:color w:val="auto"/>
          <w:spacing w:val="7"/>
          <w:sz w:val="24"/>
          <w:szCs w:val="24"/>
          <w:highlight w:val="none"/>
          <w:lang w:val="en-US"/>
        </w:rPr>
      </w:pPr>
      <w:r>
        <w:rPr>
          <w:rFonts w:hint="eastAsia" w:ascii="仿宋" w:hAnsi="仿宋" w:eastAsia="仿宋" w:cs="仿宋"/>
          <w:color w:val="auto"/>
          <w:spacing w:val="7"/>
          <w:sz w:val="24"/>
          <w:szCs w:val="24"/>
          <w:highlight w:val="none"/>
          <w:lang w:val="en-US" w:eastAsia="zh-CN"/>
        </w:rPr>
        <w:t>乙</w:t>
      </w:r>
      <w:r>
        <w:rPr>
          <w:rFonts w:hint="eastAsia" w:ascii="仿宋" w:hAnsi="仿宋" w:eastAsia="仿宋" w:cs="仿宋"/>
          <w:color w:val="auto"/>
          <w:spacing w:val="7"/>
          <w:sz w:val="24"/>
          <w:szCs w:val="24"/>
          <w:highlight w:val="none"/>
        </w:rPr>
        <w:t>方：</w:t>
      </w:r>
    </w:p>
    <w:p w14:paraId="0F062D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社会统一信用代码：</w:t>
      </w:r>
    </w:p>
    <w:p w14:paraId="0258A8A6">
      <w:pPr>
        <w:keepNext w:val="0"/>
        <w:keepLines w:val="0"/>
        <w:widowControl w:val="0"/>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地址：</w:t>
      </w:r>
    </w:p>
    <w:p w14:paraId="223FA8B4">
      <w:p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法定代表人：</w:t>
      </w:r>
    </w:p>
    <w:p w14:paraId="2D4521FA">
      <w:p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联系方式：</w:t>
      </w:r>
    </w:p>
    <w:p w14:paraId="13D7B95A">
      <w:pPr>
        <w:tabs>
          <w:tab w:val="right" w:pos="8306"/>
        </w:tabs>
        <w:spacing w:line="560" w:lineRule="exact"/>
        <w:ind w:firstLine="480" w:firstLineChars="200"/>
        <w:rPr>
          <w:rFonts w:hint="eastAsia" w:ascii="仿宋_GB2312" w:hAnsi="仿宋_GB2312" w:eastAsia="仿宋_GB2312" w:cs="仿宋_GB2312"/>
          <w:color w:val="auto"/>
          <w:sz w:val="24"/>
          <w:szCs w:val="24"/>
        </w:rPr>
      </w:pPr>
    </w:p>
    <w:p w14:paraId="7D63961F">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为进一步完善沣东新城招商引资项目科学决策机制，提高招商引资项目的整体质量，确保评审工作科学规范、严谨公正、务实高效，甲乙双方</w:t>
      </w:r>
      <w:r>
        <w:rPr>
          <w:rFonts w:hint="eastAsia" w:ascii="仿宋" w:hAnsi="仿宋" w:eastAsia="仿宋" w:cs="仿宋"/>
          <w:color w:val="auto"/>
          <w:sz w:val="24"/>
          <w:szCs w:val="24"/>
        </w:rPr>
        <w:t>依照《中华人民共和国民法典》及其他有关法律、行政法规</w:t>
      </w:r>
      <w:r>
        <w:rPr>
          <w:rFonts w:hint="eastAsia" w:ascii="仿宋" w:hAnsi="仿宋" w:eastAsia="仿宋" w:cs="仿宋"/>
          <w:color w:val="auto"/>
          <w:sz w:val="24"/>
          <w:szCs w:val="24"/>
          <w:lang w:val="en-US" w:eastAsia="zh-CN"/>
        </w:rPr>
        <w:t>规定，</w:t>
      </w:r>
      <w:r>
        <w:rPr>
          <w:rFonts w:hint="eastAsia" w:ascii="仿宋_GB2312" w:hAnsi="仿宋_GB2312" w:eastAsia="仿宋_GB2312" w:cs="仿宋_GB2312"/>
          <w:color w:val="auto"/>
          <w:sz w:val="24"/>
          <w:szCs w:val="24"/>
        </w:rPr>
        <w:t>本着平等互利、诚实信用的宗旨，就双方合作事宜达成以下协议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以兹共同遵照执行。</w:t>
      </w:r>
    </w:p>
    <w:p w14:paraId="70065ACB">
      <w:pPr>
        <w:spacing w:line="56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一、工作内容</w:t>
      </w:r>
    </w:p>
    <w:p w14:paraId="669A31D5">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甲方委托乙方就下列内容开展工作：</w:t>
      </w:r>
    </w:p>
    <w:p w14:paraId="42E0B43D">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1、针对由沣东新城管委会及其下属国有企业依据沣东新城产业发展规划、城市建设规划，通过招商引资方式引进的符合沣东新城入区标准的项目；</w:t>
      </w:r>
    </w:p>
    <w:p w14:paraId="51D04194">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2、对项目进行专项调研及开展项目初步评审论证；</w:t>
      </w:r>
    </w:p>
    <w:p w14:paraId="1A4C91A1">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3、利用乙方专家库遴选行业专家，组织专家论证，并协同甲方主持召开项目入区评审会；</w:t>
      </w:r>
    </w:p>
    <w:p w14:paraId="2CBCEBB2">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4、整理并出具专家评审会意见汇总，为甲方决策提供依据。</w:t>
      </w:r>
    </w:p>
    <w:p w14:paraId="29B63E10">
      <w:pPr>
        <w:spacing w:line="560" w:lineRule="exact"/>
        <w:ind w:firstLine="480"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二、</w:t>
      </w:r>
      <w:r>
        <w:rPr>
          <w:rFonts w:hint="eastAsia" w:ascii="仿宋_GB2312" w:hAnsi="仿宋_GB2312" w:eastAsia="仿宋_GB2312" w:cs="仿宋_GB2312"/>
          <w:b/>
          <w:bCs/>
          <w:color w:val="auto"/>
          <w:sz w:val="24"/>
          <w:szCs w:val="24"/>
        </w:rPr>
        <w:t>服务成果及完成时间</w:t>
      </w:r>
    </w:p>
    <w:p w14:paraId="717A04EC">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乙方应按甲方的工作内容、工作要求、工作时间开展工作，</w:t>
      </w:r>
      <w:r>
        <w:rPr>
          <w:rFonts w:hint="eastAsia" w:ascii="仿宋_GB2312" w:hAnsi="仿宋_GB2312" w:eastAsia="仿宋_GB2312" w:cs="仿宋_GB2312"/>
          <w:color w:val="auto"/>
          <w:sz w:val="24"/>
          <w:szCs w:val="24"/>
          <w:lang w:val="en-US" w:eastAsia="zh-CN"/>
        </w:rPr>
        <w:t>并按甲方要求出具专家评审会意见汇总。</w:t>
      </w:r>
    </w:p>
    <w:p w14:paraId="1DFF80E4">
      <w:pPr>
        <w:spacing w:line="560" w:lineRule="exact"/>
        <w:ind w:firstLine="480"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服务期限为合同签订之日起一年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自</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日起至</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日止</w:t>
      </w:r>
      <w:r>
        <w:rPr>
          <w:rFonts w:hint="eastAsia" w:ascii="仿宋_GB2312" w:hAnsi="仿宋_GB2312" w:eastAsia="仿宋_GB2312" w:cs="仿宋_GB2312"/>
          <w:color w:val="auto"/>
          <w:sz w:val="24"/>
          <w:szCs w:val="24"/>
        </w:rPr>
        <w:t>。</w:t>
      </w:r>
    </w:p>
    <w:p w14:paraId="668DBD11">
      <w:pPr>
        <w:spacing w:line="560" w:lineRule="exact"/>
        <w:ind w:firstLine="482" w:firstLineChars="200"/>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三、</w:t>
      </w:r>
      <w:r>
        <w:rPr>
          <w:rFonts w:hint="eastAsia" w:ascii="仿宋_GB2312" w:hAnsi="仿宋_GB2312" w:eastAsia="仿宋_GB2312" w:cs="仿宋_GB2312"/>
          <w:b/>
          <w:bCs/>
          <w:color w:val="auto"/>
          <w:sz w:val="24"/>
          <w:szCs w:val="24"/>
          <w:lang w:val="en-US" w:eastAsia="zh-CN"/>
        </w:rPr>
        <w:t>合同价款、结算及支付</w:t>
      </w:r>
    </w:p>
    <w:p w14:paraId="0F37F44D">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本合同总价为人民币</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）（暂定合同总价，以实际产生的项目评审结算费用为准）。</w:t>
      </w:r>
    </w:p>
    <w:p w14:paraId="1EF3B0F4">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项目评审费用分为评</w:t>
      </w:r>
      <w:r>
        <w:rPr>
          <w:rFonts w:hint="eastAsia" w:ascii="仿宋_GB2312" w:hAnsi="仿宋_GB2312" w:eastAsia="仿宋_GB2312" w:cs="仿宋_GB2312"/>
          <w:color w:val="auto"/>
          <w:sz w:val="24"/>
          <w:szCs w:val="24"/>
          <w:lang w:val="en-US" w:eastAsia="zh-CN"/>
        </w:rPr>
        <w:t>审</w:t>
      </w:r>
      <w:r>
        <w:rPr>
          <w:rFonts w:hint="eastAsia" w:ascii="仿宋_GB2312" w:hAnsi="仿宋_GB2312" w:eastAsia="仿宋_GB2312" w:cs="仿宋_GB2312"/>
          <w:color w:val="auto"/>
          <w:sz w:val="24"/>
          <w:szCs w:val="24"/>
        </w:rPr>
        <w:t>咨询费和</w:t>
      </w:r>
      <w:r>
        <w:rPr>
          <w:rFonts w:hint="eastAsia" w:ascii="仿宋_GB2312" w:hAnsi="仿宋_GB2312" w:eastAsia="仿宋_GB2312" w:cs="仿宋_GB2312"/>
          <w:color w:val="auto"/>
          <w:sz w:val="24"/>
          <w:szCs w:val="24"/>
          <w:lang w:val="en-US" w:eastAsia="zh-CN"/>
        </w:rPr>
        <w:t>评审专家费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每次评审咨询费综合单价为人民币</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元/次（大写：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）；评审专家费综合单价为人民币</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元/人/次（大写：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每个项目安排3</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位评审专家，</w:t>
      </w:r>
      <w:r>
        <w:rPr>
          <w:rFonts w:hint="eastAsia" w:ascii="仿宋_GB2312" w:hAnsi="仿宋_GB2312" w:eastAsia="仿宋_GB2312" w:cs="仿宋_GB2312"/>
          <w:color w:val="auto"/>
          <w:sz w:val="24"/>
          <w:szCs w:val="24"/>
          <w:lang w:val="en-US" w:eastAsia="zh-CN"/>
        </w:rPr>
        <w:t>评审专家费</w:t>
      </w:r>
      <w:r>
        <w:rPr>
          <w:rFonts w:hint="eastAsia" w:ascii="仿宋_GB2312" w:hAnsi="仿宋_GB2312" w:eastAsia="仿宋_GB2312" w:cs="仿宋_GB2312"/>
          <w:color w:val="auto"/>
          <w:sz w:val="24"/>
          <w:szCs w:val="24"/>
        </w:rPr>
        <w:t>由乙方垫支，统一结算。</w:t>
      </w:r>
    </w:p>
    <w:p w14:paraId="07ACF410">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项目评审费用</w:t>
      </w:r>
      <w:r>
        <w:rPr>
          <w:rFonts w:hint="eastAsia" w:ascii="仿宋_GB2312" w:hAnsi="仿宋_GB2312" w:eastAsia="仿宋_GB2312" w:cs="仿宋_GB2312"/>
          <w:color w:val="auto"/>
          <w:sz w:val="24"/>
          <w:szCs w:val="24"/>
        </w:rPr>
        <w:t>包括</w:t>
      </w:r>
      <w:r>
        <w:rPr>
          <w:rFonts w:hint="eastAsia" w:ascii="仿宋_GB2312" w:hAnsi="仿宋_GB2312" w:eastAsia="仿宋_GB2312" w:cs="仿宋_GB2312"/>
          <w:color w:val="auto"/>
          <w:sz w:val="24"/>
          <w:szCs w:val="24"/>
          <w:lang w:val="en-US" w:eastAsia="zh-CN"/>
        </w:rPr>
        <w:t>乙方</w:t>
      </w:r>
      <w:r>
        <w:rPr>
          <w:rFonts w:hint="eastAsia" w:ascii="仿宋_GB2312" w:hAnsi="仿宋_GB2312" w:eastAsia="仿宋_GB2312" w:cs="仿宋_GB2312"/>
          <w:color w:val="auto"/>
          <w:sz w:val="24"/>
          <w:szCs w:val="24"/>
        </w:rPr>
        <w:t>为完成项目要求的所有费用，甲方不再另行支付</w:t>
      </w:r>
      <w:r>
        <w:rPr>
          <w:rFonts w:hint="eastAsia" w:ascii="仿宋_GB2312" w:hAnsi="仿宋_GB2312" w:eastAsia="仿宋_GB2312" w:cs="仿宋_GB2312"/>
          <w:color w:val="auto"/>
          <w:sz w:val="24"/>
          <w:szCs w:val="24"/>
          <w:lang w:val="en-US" w:eastAsia="zh-CN"/>
        </w:rPr>
        <w:t>项目评审费用</w:t>
      </w:r>
      <w:r>
        <w:rPr>
          <w:rFonts w:hint="eastAsia" w:ascii="仿宋_GB2312" w:hAnsi="仿宋_GB2312" w:eastAsia="仿宋_GB2312" w:cs="仿宋_GB2312"/>
          <w:color w:val="auto"/>
          <w:sz w:val="24"/>
          <w:szCs w:val="24"/>
        </w:rPr>
        <w:t>以外的其他任何费用。</w:t>
      </w:r>
    </w:p>
    <w:p w14:paraId="628A2977">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服务期每满六个月后，根据下述结算规定甲乙双方办理结算。</w:t>
      </w:r>
      <w:r>
        <w:rPr>
          <w:rFonts w:hint="eastAsia" w:ascii="仿宋_GB2312" w:hAnsi="仿宋_GB2312" w:eastAsia="仿宋_GB2312" w:cs="仿宋_GB2312"/>
          <w:color w:val="auto"/>
          <w:sz w:val="24"/>
          <w:szCs w:val="24"/>
        </w:rPr>
        <w:t>项目评审的完成以出具项目评审报告并经甲方验收通过为准。项目评审报告需载明邀请专家人数及实际完成次数等与该项目有关的全部内容。</w:t>
      </w:r>
    </w:p>
    <w:p w14:paraId="444E4204">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4、结算方式按照“结算费用=评审咨询费成交综合单价×实际完成次数＋评审专家费成交综合单价×每次拟邀请专家人数×实际完成次数”结算规定，据实结算。</w:t>
      </w:r>
    </w:p>
    <w:p w14:paraId="2007F2DB">
      <w:pPr>
        <w:spacing w:line="560" w:lineRule="exact"/>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5、凡因乙方报价在技术审查内容中有漏项、误报等导致的费用差异均由乙方自行承担，且必须按合同约定继续履行此部分合同内容，结算时不予调整。</w:t>
      </w:r>
    </w:p>
    <w:p w14:paraId="2FB60014">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、乙方应根据甲方要求向甲方开具陕西增值税普通发票</w:t>
      </w:r>
      <w:r>
        <w:rPr>
          <w:rFonts w:hint="eastAsia" w:ascii="仿宋_GB2312" w:hAnsi="仿宋_GB2312" w:eastAsia="仿宋_GB2312" w:cs="仿宋_GB2312"/>
          <w:color w:val="auto"/>
          <w:sz w:val="24"/>
          <w:szCs w:val="24"/>
          <w:lang w:eastAsia="zh-CN"/>
        </w:rPr>
        <w:t>，否则甲方有权拒绝付款并不承担违约责任</w:t>
      </w:r>
      <w:r>
        <w:rPr>
          <w:rFonts w:hint="eastAsia" w:ascii="仿宋_GB2312" w:hAnsi="仿宋_GB2312" w:eastAsia="仿宋_GB2312" w:cs="仿宋_GB2312"/>
          <w:color w:val="auto"/>
          <w:sz w:val="24"/>
          <w:szCs w:val="24"/>
        </w:rPr>
        <w:t>。甲方应在收到发票</w:t>
      </w:r>
      <w:r>
        <w:rPr>
          <w:rFonts w:hint="eastAsia" w:ascii="仿宋_GB2312" w:hAnsi="仿宋_GB2312" w:eastAsia="仿宋_GB2312" w:cs="仿宋_GB2312"/>
          <w:color w:val="auto"/>
          <w:sz w:val="24"/>
          <w:szCs w:val="24"/>
          <w:lang w:val="en-US" w:eastAsia="zh-CN"/>
        </w:rPr>
        <w:t>确认无误，且经甲方财政拨款后，</w:t>
      </w:r>
      <w:r>
        <w:rPr>
          <w:rFonts w:hint="eastAsia" w:ascii="仿宋_GB2312" w:hAnsi="仿宋_GB2312" w:eastAsia="仿宋_GB2312" w:cs="仿宋_GB2312"/>
          <w:color w:val="auto"/>
          <w:sz w:val="24"/>
          <w:szCs w:val="24"/>
        </w:rPr>
        <w:t>向乙方支付相关费用，乙方未向甲方开具发票的，甲方有权拒绝付款。</w:t>
      </w:r>
    </w:p>
    <w:p w14:paraId="137E7889">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、甲方以电子转账的形式将项目评审费用转入乙方指定账户，乙方</w:t>
      </w:r>
      <w:r>
        <w:rPr>
          <w:rFonts w:hint="eastAsia" w:ascii="仿宋_GB2312" w:hAnsi="仿宋_GB2312" w:eastAsia="仿宋_GB2312" w:cs="仿宋_GB2312"/>
          <w:color w:val="auto"/>
          <w:sz w:val="24"/>
          <w:szCs w:val="24"/>
          <w:lang w:val="en-US" w:eastAsia="zh-CN"/>
        </w:rPr>
        <w:t>指定收款</w:t>
      </w:r>
      <w:r>
        <w:rPr>
          <w:rFonts w:hint="eastAsia" w:ascii="仿宋_GB2312" w:hAnsi="仿宋_GB2312" w:eastAsia="仿宋_GB2312" w:cs="仿宋_GB2312"/>
          <w:color w:val="auto"/>
          <w:sz w:val="24"/>
          <w:szCs w:val="24"/>
        </w:rPr>
        <w:t>账户信息如下：</w:t>
      </w:r>
    </w:p>
    <w:p w14:paraId="4EDBA623">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户名：</w:t>
      </w:r>
    </w:p>
    <w:p w14:paraId="10D9C89D">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账号：</w:t>
      </w:r>
    </w:p>
    <w:p w14:paraId="4AEE3664">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开户行：</w:t>
      </w:r>
    </w:p>
    <w:p w14:paraId="4D619E80">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8、甲方开票信息如下：</w:t>
      </w:r>
    </w:p>
    <w:p w14:paraId="35C1A00A">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单位名称：陕西省西咸新区沣东新城管理委员会</w:t>
      </w:r>
    </w:p>
    <w:p w14:paraId="1F5DCEA8">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纳税人识别号：12610100698606855F</w:t>
      </w:r>
    </w:p>
    <w:p w14:paraId="40E353F2">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地址：西安市建章路158号</w:t>
      </w:r>
    </w:p>
    <w:p w14:paraId="70BD1CA5">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开户行：工行陕西自贸区西安沣东支行</w:t>
      </w:r>
    </w:p>
    <w:p w14:paraId="6B8E19FB">
      <w:pPr>
        <w:spacing w:line="56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账号：3700024609200428880</w:t>
      </w:r>
    </w:p>
    <w:p w14:paraId="57B29ECA">
      <w:pPr>
        <w:spacing w:before="157" w:beforeLines="50" w:after="157" w:afterLines="50" w:line="560" w:lineRule="exact"/>
        <w:ind w:firstLine="480" w:firstLineChars="200"/>
        <w:rPr>
          <w:rFonts w:hint="eastAsia" w:ascii="仿宋" w:hAnsi="仿宋" w:eastAsia="仿宋" w:cs="仿宋"/>
          <w:bCs w:val="0"/>
          <w:color w:val="auto"/>
          <w:sz w:val="24"/>
          <w:szCs w:val="24"/>
        </w:rPr>
      </w:pPr>
      <w:r>
        <w:rPr>
          <w:rFonts w:hint="eastAsia" w:ascii="仿宋" w:hAnsi="仿宋" w:eastAsia="仿宋" w:cs="仿宋"/>
          <w:bCs w:val="0"/>
          <w:color w:val="auto"/>
          <w:sz w:val="24"/>
          <w:szCs w:val="24"/>
          <w:lang w:val="en-US" w:eastAsia="zh-CN"/>
        </w:rPr>
        <w:t>9、本项目资金由甲方统一安排，付款时间如有迟延，乙方应予理解并同意待甲方财政资金到位予以保障后支付，乙方对此不做违约对待。</w:t>
      </w:r>
    </w:p>
    <w:p w14:paraId="4E5C31A9">
      <w:pPr>
        <w:spacing w:line="56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四、双方的权利及义务</w:t>
      </w:r>
    </w:p>
    <w:p w14:paraId="5A34ECD1">
      <w:pPr>
        <w:spacing w:line="56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lang w:val="en-US" w:eastAsia="zh-CN"/>
        </w:rPr>
        <w:t>一</w:t>
      </w: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rPr>
        <w:t>甲方的权利及义务</w:t>
      </w:r>
    </w:p>
    <w:p w14:paraId="66260282">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甲方应</w:t>
      </w:r>
      <w:r>
        <w:rPr>
          <w:rFonts w:hint="eastAsia" w:ascii="仿宋_GB2312" w:hAnsi="仿宋_GB2312" w:eastAsia="仿宋_GB2312" w:cs="仿宋_GB2312"/>
          <w:color w:val="auto"/>
          <w:sz w:val="24"/>
          <w:szCs w:val="24"/>
          <w:lang w:val="en-US" w:eastAsia="zh-CN"/>
        </w:rPr>
        <w:t>尽力</w:t>
      </w:r>
      <w:r>
        <w:rPr>
          <w:rFonts w:hint="eastAsia" w:ascii="仿宋_GB2312" w:hAnsi="仿宋_GB2312" w:eastAsia="仿宋_GB2312" w:cs="仿宋_GB2312"/>
          <w:color w:val="auto"/>
          <w:sz w:val="24"/>
          <w:szCs w:val="24"/>
        </w:rPr>
        <w:t>配合乙方的评估及评审工作，并督促项目单位及时向乙方提供评估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评审</w:t>
      </w:r>
      <w:r>
        <w:rPr>
          <w:rFonts w:hint="eastAsia" w:ascii="仿宋_GB2312" w:hAnsi="仿宋_GB2312" w:eastAsia="仿宋_GB2312" w:cs="仿宋_GB2312"/>
          <w:color w:val="auto"/>
          <w:sz w:val="24"/>
          <w:szCs w:val="24"/>
        </w:rPr>
        <w:t>所需的完整项目资料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并确保资料的真实性、客观性</w:t>
      </w:r>
      <w:r>
        <w:rPr>
          <w:rFonts w:hint="eastAsia" w:ascii="仿宋_GB2312" w:hAnsi="仿宋_GB2312" w:eastAsia="仿宋_GB2312" w:cs="仿宋_GB2312"/>
          <w:color w:val="auto"/>
          <w:sz w:val="24"/>
          <w:szCs w:val="24"/>
        </w:rPr>
        <w:t>；</w:t>
      </w:r>
    </w:p>
    <w:p w14:paraId="1052816C">
      <w:pPr>
        <w:spacing w:line="560" w:lineRule="exact"/>
        <w:ind w:firstLine="480" w:firstLineChars="200"/>
        <w:rPr>
          <w:rFonts w:hint="eastAsia"/>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甲方有义务按照双方约定，及时支付评</w:t>
      </w:r>
      <w:r>
        <w:rPr>
          <w:rFonts w:hint="eastAsia" w:ascii="仿宋_GB2312" w:hAnsi="仿宋_GB2312" w:eastAsia="仿宋_GB2312" w:cs="仿宋_GB2312"/>
          <w:color w:val="auto"/>
          <w:sz w:val="24"/>
          <w:szCs w:val="24"/>
          <w:lang w:val="en-US" w:eastAsia="zh-CN"/>
        </w:rPr>
        <w:t>审</w:t>
      </w:r>
      <w:r>
        <w:rPr>
          <w:rFonts w:hint="eastAsia" w:ascii="仿宋_GB2312" w:hAnsi="仿宋_GB2312" w:eastAsia="仿宋_GB2312" w:cs="仿宋_GB2312"/>
          <w:color w:val="auto"/>
          <w:sz w:val="24"/>
          <w:szCs w:val="24"/>
        </w:rPr>
        <w:t>咨询费和</w:t>
      </w:r>
      <w:r>
        <w:rPr>
          <w:rFonts w:hint="eastAsia" w:ascii="仿宋_GB2312" w:hAnsi="仿宋_GB2312" w:eastAsia="仿宋_GB2312" w:cs="仿宋_GB2312"/>
          <w:color w:val="auto"/>
          <w:sz w:val="24"/>
          <w:szCs w:val="24"/>
          <w:lang w:val="en-US" w:eastAsia="zh-CN"/>
        </w:rPr>
        <w:t>评审专家费</w:t>
      </w:r>
      <w:r>
        <w:rPr>
          <w:rFonts w:hint="eastAsia" w:ascii="仿宋_GB2312" w:hAnsi="仿宋_GB2312" w:eastAsia="仿宋_GB2312" w:cs="仿宋_GB2312"/>
          <w:color w:val="auto"/>
          <w:sz w:val="24"/>
          <w:szCs w:val="24"/>
        </w:rPr>
        <w:t>等费用。</w:t>
      </w:r>
    </w:p>
    <w:p w14:paraId="5FCBB1EF">
      <w:pPr>
        <w:spacing w:line="56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lang w:val="en-US" w:eastAsia="zh-CN"/>
        </w:rPr>
        <w:t>二</w:t>
      </w: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rPr>
        <w:t>乙方的权利及义务</w:t>
      </w:r>
    </w:p>
    <w:p w14:paraId="30A5F752">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乙方有权根据项目实际情况，与项目单位就项目详细信息进行沟通、交流；</w:t>
      </w:r>
    </w:p>
    <w:p w14:paraId="5D607650">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乙方应按照甲方项目审批进度要求，按时提供符合甲方要求、客观真实的项目评价报告或咨询意见书等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并对评审结果</w:t>
      </w:r>
      <w:r>
        <w:rPr>
          <w:rFonts w:hint="eastAsia" w:ascii="仿宋_GB2312" w:hAnsi="仿宋_GB2312" w:eastAsia="仿宋_GB2312" w:cs="仿宋_GB2312"/>
          <w:color w:val="auto"/>
          <w:sz w:val="24"/>
          <w:szCs w:val="24"/>
          <w:lang w:val="en-US" w:eastAsia="zh-CN"/>
        </w:rPr>
        <w:t>负责</w:t>
      </w:r>
      <w:r>
        <w:rPr>
          <w:rFonts w:hint="eastAsia" w:ascii="仿宋_GB2312" w:hAnsi="仿宋_GB2312" w:eastAsia="仿宋_GB2312" w:cs="仿宋_GB2312"/>
          <w:color w:val="auto"/>
          <w:sz w:val="24"/>
          <w:szCs w:val="24"/>
        </w:rPr>
        <w:t>。</w:t>
      </w:r>
      <w:r>
        <w:rPr>
          <w:rFonts w:hint="eastAsia" w:ascii="仿宋" w:hAnsi="仿宋" w:eastAsia="仿宋" w:cs="仿宋"/>
          <w:color w:val="auto"/>
          <w:sz w:val="24"/>
          <w:szCs w:val="24"/>
          <w:lang w:val="en-US" w:eastAsia="zh-CN"/>
        </w:rPr>
        <w:t>如因未能及时提供报告导致甲方产生损失的，甲方有权要求乙方承担因此造成的全部损失，包括不限于</w:t>
      </w:r>
      <w:r>
        <w:rPr>
          <w:rFonts w:hint="eastAsia" w:ascii="仿宋" w:hAnsi="仿宋" w:eastAsia="仿宋" w:cs="仿宋"/>
          <w:color w:val="auto"/>
          <w:sz w:val="24"/>
          <w:szCs w:val="24"/>
        </w:rPr>
        <w:t>甲方的实际损失、甲方为维护损失所支出的诉讼费、保全费、保全保险费、鉴定费、律师费以及向第三方支付的赔偿费用等</w:t>
      </w:r>
      <w:r>
        <w:rPr>
          <w:rFonts w:hint="eastAsia" w:ascii="仿宋" w:hAnsi="仿宋" w:eastAsia="仿宋" w:cs="仿宋"/>
          <w:color w:val="auto"/>
          <w:sz w:val="24"/>
          <w:szCs w:val="24"/>
          <w:lang w:eastAsia="zh-CN"/>
        </w:rPr>
        <w:t>。</w:t>
      </w:r>
    </w:p>
    <w:p w14:paraId="79A4E332">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乙方对有关甲方提供的相关项目的秘密（以下称有关秘密）负有保密责任，除非中国法律、法规另有规定或征得甲方的书面许可，不得将有关秘密泄露给其他任何第三方</w:t>
      </w:r>
      <w:r>
        <w:rPr>
          <w:rFonts w:hint="eastAsia" w:ascii="仿宋_GB2312" w:hAnsi="仿宋_GB2312" w:eastAsia="仿宋_GB2312" w:cs="仿宋_GB2312"/>
          <w:color w:val="auto"/>
          <w:sz w:val="24"/>
          <w:szCs w:val="24"/>
          <w:lang w:eastAsia="zh-CN"/>
        </w:rPr>
        <w:t>，</w:t>
      </w:r>
      <w:r>
        <w:rPr>
          <w:rStyle w:val="190"/>
          <w:rFonts w:hint="eastAsia" w:ascii="仿宋" w:hAnsi="仿宋" w:eastAsia="仿宋" w:cs="仿宋"/>
          <w:color w:val="auto"/>
          <w:sz w:val="24"/>
          <w:szCs w:val="24"/>
        </w:rPr>
        <w:t>否则应对甲方承担合同总价款20%的违约金</w:t>
      </w:r>
      <w:r>
        <w:rPr>
          <w:rStyle w:val="190"/>
          <w:rFonts w:hint="eastAsia" w:ascii="仿宋" w:hAnsi="仿宋" w:eastAsia="仿宋" w:cs="仿宋"/>
          <w:color w:val="auto"/>
          <w:sz w:val="24"/>
          <w:szCs w:val="24"/>
          <w:lang w:eastAsia="zh-CN"/>
        </w:rPr>
        <w:t>，</w:t>
      </w:r>
      <w:r>
        <w:rPr>
          <w:rStyle w:val="190"/>
          <w:rFonts w:hint="eastAsia" w:ascii="仿宋" w:hAnsi="仿宋" w:eastAsia="仿宋" w:cs="仿宋"/>
          <w:color w:val="auto"/>
          <w:sz w:val="24"/>
          <w:szCs w:val="24"/>
          <w:lang w:val="en-US" w:eastAsia="zh-CN"/>
        </w:rPr>
        <w:t>并承担相应全部损失，</w:t>
      </w:r>
      <w:r>
        <w:rPr>
          <w:rFonts w:hint="eastAsia" w:ascii="仿宋" w:hAnsi="仿宋" w:eastAsia="仿宋" w:cs="仿宋"/>
          <w:color w:val="auto"/>
          <w:sz w:val="24"/>
          <w:szCs w:val="24"/>
        </w:rPr>
        <w:t>包括但不限于甲方的实际损失、甲方为维护损失所支出的诉讼费、保全费、保全保险费、鉴定费、律师费以及向第三方支付的赔偿费用等</w:t>
      </w:r>
      <w:r>
        <w:rPr>
          <w:rFonts w:hint="eastAsia" w:ascii="仿宋_GB2312" w:hAnsi="仿宋_GB2312" w:eastAsia="仿宋_GB2312" w:cs="仿宋_GB2312"/>
          <w:color w:val="auto"/>
          <w:sz w:val="24"/>
          <w:szCs w:val="24"/>
        </w:rPr>
        <w:t>。保密期限自该项目受理至有关秘密成为公开信息时止。</w:t>
      </w:r>
    </w:p>
    <w:p w14:paraId="2A120C52">
      <w:pPr>
        <w:spacing w:line="560" w:lineRule="exact"/>
        <w:ind w:firstLine="480"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本条所称有关秘密系指对公司的经营活动有重大影响且未公开披露的任何信息、消息、情报等。</w:t>
      </w:r>
    </w:p>
    <w:p w14:paraId="39C3BA4D">
      <w:pPr>
        <w:spacing w:line="560" w:lineRule="exact"/>
        <w:ind w:firstLine="482" w:firstLineChars="200"/>
        <w:rPr>
          <w:rFonts w:hint="default"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五、不可抗力</w:t>
      </w:r>
    </w:p>
    <w:p w14:paraId="4BD3AFBD">
      <w:pPr>
        <w:keepNext w:val="0"/>
        <w:keepLines w:val="0"/>
        <w:pageBreakBefore w:val="0"/>
        <w:widowControl/>
        <w:kinsoku/>
        <w:wordWrap/>
        <w:overflowPunct/>
        <w:topLinePunct w:val="0"/>
        <w:autoSpaceDE/>
        <w:autoSpaceDN/>
        <w:bidi w:val="0"/>
        <w:adjustRightInd/>
        <w:snapToGrid/>
        <w:spacing w:before="181" w:beforeLines="50" w:after="181" w:afterLines="50"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因不可抗力导致不能履行或不能完全履行本协议项下有关义务时，根据不可抗力对协议履行造成的影响，双方全部或部分免除责任。但遇有不可抗力的一方或双方应于不可抗力发生后</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日内将情况告知对方，并提供有关部门的证明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由合同各方按照时间对履行合同影响的程度协商决定是否变更或解除。遭遇不可抗力的一方未履行上述义务的，不能免除其违约责任。在不可抗力影响消除后，除本协议已依法终止外，一方或双方应当继续履行本协议。不可抗力事件包括严重自然灾害、政府行为等事件。</w:t>
      </w:r>
    </w:p>
    <w:p w14:paraId="3E0963C8">
      <w:pPr>
        <w:spacing w:line="560" w:lineRule="exact"/>
        <w:ind w:firstLine="482" w:firstLineChars="200"/>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六、违约责任</w:t>
      </w:r>
    </w:p>
    <w:p w14:paraId="6DECA94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bCs/>
          <w:color w:val="auto"/>
          <w:sz w:val="24"/>
          <w:szCs w:val="24"/>
        </w:rPr>
        <w:t>本协议一经签署，双方均应全面履行本协议约定的全部</w:t>
      </w:r>
      <w:r>
        <w:rPr>
          <w:rFonts w:hint="eastAsia" w:ascii="仿宋_GB2312" w:hAnsi="仿宋_GB2312" w:eastAsia="仿宋_GB2312" w:cs="仿宋_GB2312"/>
          <w:bCs/>
          <w:color w:val="auto"/>
          <w:sz w:val="24"/>
          <w:szCs w:val="24"/>
          <w:lang w:val="en-US" w:eastAsia="zh-CN"/>
        </w:rPr>
        <w:t>内容</w:t>
      </w:r>
      <w:r>
        <w:rPr>
          <w:rFonts w:hint="eastAsia" w:ascii="仿宋_GB2312" w:hAnsi="仿宋_GB2312" w:eastAsia="仿宋_GB2312" w:cs="仿宋_GB2312"/>
          <w:bCs/>
          <w:color w:val="auto"/>
          <w:sz w:val="24"/>
          <w:szCs w:val="24"/>
        </w:rPr>
        <w:t>。任何一方未充分履行其在本协议下的义务或者违反本协议的约定，该方应被视为违约。</w:t>
      </w:r>
    </w:p>
    <w:p w14:paraId="6D3F4392">
      <w:pPr>
        <w:pStyle w:val="2"/>
        <w:ind w:firstLine="480" w:firstLineChars="200"/>
        <w:rPr>
          <w:rFonts w:hint="eastAsia" w:ascii="仿宋_GB2312" w:hAnsi="仿宋_GB2312" w:eastAsia="仿宋_GB2312" w:cs="仿宋_GB2312"/>
          <w:bCs/>
          <w:color w:val="auto"/>
          <w:sz w:val="24"/>
          <w:szCs w:val="24"/>
          <w:u w:val="none"/>
          <w:lang w:val="en-US" w:eastAsia="zh-CN"/>
        </w:rPr>
      </w:pPr>
      <w:r>
        <w:rPr>
          <w:rFonts w:hint="eastAsia" w:ascii="仿宋_GB2312" w:hAnsi="仿宋_GB2312" w:eastAsia="仿宋_GB2312" w:cs="仿宋_GB2312"/>
          <w:bCs/>
          <w:color w:val="auto"/>
          <w:sz w:val="24"/>
          <w:szCs w:val="24"/>
          <w:u w:val="none"/>
        </w:rPr>
        <w:t>2</w:t>
      </w:r>
      <w:r>
        <w:rPr>
          <w:rFonts w:hint="eastAsia" w:ascii="仿宋_GB2312" w:hAnsi="仿宋_GB2312" w:eastAsia="仿宋_GB2312" w:cs="仿宋_GB2312"/>
          <w:bCs/>
          <w:color w:val="auto"/>
          <w:sz w:val="24"/>
          <w:szCs w:val="24"/>
          <w:u w:val="none"/>
          <w:lang w:eastAsia="zh-CN"/>
        </w:rPr>
        <w:t>、</w:t>
      </w:r>
      <w:r>
        <w:rPr>
          <w:rFonts w:hint="eastAsia" w:ascii="仿宋_GB2312" w:hAnsi="仿宋_GB2312" w:eastAsia="仿宋_GB2312" w:cs="仿宋_GB2312"/>
          <w:bCs/>
          <w:color w:val="auto"/>
          <w:sz w:val="24"/>
          <w:szCs w:val="24"/>
          <w:u w:val="none"/>
          <w:lang w:val="en-US" w:eastAsia="zh-CN"/>
        </w:rPr>
        <w:t>若</w:t>
      </w:r>
      <w:r>
        <w:rPr>
          <w:rFonts w:hint="eastAsia" w:ascii="仿宋_GB2312" w:hAnsi="仿宋_GB2312" w:eastAsia="仿宋_GB2312" w:cs="仿宋_GB2312"/>
          <w:bCs/>
          <w:color w:val="auto"/>
          <w:sz w:val="24"/>
          <w:szCs w:val="24"/>
          <w:u w:val="none"/>
        </w:rPr>
        <w:t>发生违约情形，违约方</w:t>
      </w:r>
      <w:r>
        <w:rPr>
          <w:rFonts w:hint="eastAsia" w:ascii="仿宋_GB2312" w:hAnsi="仿宋_GB2312" w:eastAsia="仿宋_GB2312" w:cs="仿宋_GB2312"/>
          <w:bCs/>
          <w:color w:val="auto"/>
          <w:sz w:val="24"/>
          <w:szCs w:val="24"/>
          <w:u w:val="none"/>
          <w:lang w:val="en-US" w:eastAsia="zh-CN"/>
        </w:rPr>
        <w:t>不仅</w:t>
      </w:r>
      <w:r>
        <w:rPr>
          <w:rFonts w:hint="eastAsia" w:ascii="仿宋_GB2312" w:hAnsi="仿宋_GB2312" w:eastAsia="仿宋_GB2312" w:cs="仿宋_GB2312"/>
          <w:bCs/>
          <w:color w:val="auto"/>
          <w:sz w:val="24"/>
          <w:szCs w:val="24"/>
          <w:u w:val="none"/>
        </w:rPr>
        <w:t>应</w:t>
      </w:r>
      <w:r>
        <w:rPr>
          <w:rFonts w:hint="eastAsia" w:ascii="仿宋_GB2312" w:hAnsi="仿宋_GB2312" w:eastAsia="仿宋_GB2312" w:cs="仿宋_GB2312"/>
          <w:bCs/>
          <w:color w:val="auto"/>
          <w:sz w:val="24"/>
          <w:szCs w:val="24"/>
          <w:u w:val="none"/>
          <w:lang w:val="en-US" w:eastAsia="zh-CN"/>
        </w:rPr>
        <w:t>承担合同总价款20%的违约金，还应</w:t>
      </w:r>
      <w:r>
        <w:rPr>
          <w:rFonts w:hint="eastAsia" w:ascii="仿宋_GB2312" w:hAnsi="仿宋_GB2312" w:eastAsia="仿宋_GB2312" w:cs="仿宋_GB2312"/>
          <w:bCs/>
          <w:color w:val="auto"/>
          <w:sz w:val="24"/>
          <w:szCs w:val="24"/>
          <w:u w:val="none"/>
        </w:rPr>
        <w:t>根据</w:t>
      </w:r>
      <w:r>
        <w:rPr>
          <w:rFonts w:hint="eastAsia" w:ascii="仿宋_GB2312" w:hAnsi="仿宋_GB2312" w:eastAsia="仿宋_GB2312" w:cs="仿宋_GB2312"/>
          <w:bCs/>
          <w:color w:val="auto"/>
          <w:sz w:val="24"/>
          <w:szCs w:val="24"/>
          <w:u w:val="none"/>
          <w:lang w:val="en-US" w:eastAsia="zh-CN"/>
        </w:rPr>
        <w:t>法律规定</w:t>
      </w:r>
      <w:r>
        <w:rPr>
          <w:rFonts w:hint="eastAsia" w:ascii="仿宋_GB2312" w:hAnsi="仿宋_GB2312" w:eastAsia="仿宋_GB2312" w:cs="仿宋_GB2312"/>
          <w:bCs/>
          <w:color w:val="auto"/>
          <w:sz w:val="24"/>
          <w:szCs w:val="24"/>
          <w:u w:val="none"/>
        </w:rPr>
        <w:t>赔偿因此给守约方造成的</w:t>
      </w:r>
      <w:r>
        <w:rPr>
          <w:rFonts w:hint="eastAsia" w:ascii="仿宋_GB2312" w:hAnsi="仿宋_GB2312" w:eastAsia="仿宋_GB2312" w:cs="仿宋_GB2312"/>
          <w:bCs/>
          <w:color w:val="auto"/>
          <w:sz w:val="24"/>
          <w:szCs w:val="24"/>
          <w:u w:val="none"/>
          <w:lang w:val="en-US" w:eastAsia="zh-CN"/>
        </w:rPr>
        <w:t>全部</w:t>
      </w:r>
      <w:r>
        <w:rPr>
          <w:rFonts w:hint="eastAsia" w:ascii="仿宋_GB2312" w:hAnsi="仿宋_GB2312" w:eastAsia="仿宋_GB2312" w:cs="仿宋_GB2312"/>
          <w:bCs/>
          <w:color w:val="auto"/>
          <w:sz w:val="24"/>
          <w:szCs w:val="24"/>
          <w:u w:val="none"/>
        </w:rPr>
        <w:t>损失</w:t>
      </w:r>
      <w:r>
        <w:rPr>
          <w:rFonts w:hint="eastAsia" w:ascii="仿宋_GB2312" w:hAnsi="仿宋_GB2312" w:eastAsia="仿宋_GB2312" w:cs="仿宋_GB2312"/>
          <w:bCs/>
          <w:color w:val="auto"/>
          <w:sz w:val="24"/>
          <w:szCs w:val="24"/>
          <w:u w:val="none"/>
          <w:lang w:eastAsia="zh-CN"/>
        </w:rPr>
        <w:t>，</w:t>
      </w:r>
      <w:r>
        <w:rPr>
          <w:rFonts w:hint="eastAsia" w:ascii="仿宋_GB2312" w:hAnsi="仿宋_GB2312" w:eastAsia="仿宋_GB2312" w:cs="仿宋_GB2312"/>
          <w:bCs/>
          <w:color w:val="auto"/>
          <w:kern w:val="0"/>
          <w:sz w:val="24"/>
          <w:szCs w:val="24"/>
          <w:u w:val="none"/>
          <w:lang w:val="en-US" w:eastAsia="zh-Hans"/>
        </w:rPr>
        <w:t>包括但不限于</w:t>
      </w:r>
      <w:r>
        <w:rPr>
          <w:rFonts w:hint="eastAsia" w:ascii="仿宋_GB2312" w:hAnsi="仿宋_GB2312" w:eastAsia="仿宋_GB2312" w:cs="仿宋_GB2312"/>
          <w:bCs/>
          <w:color w:val="auto"/>
          <w:kern w:val="0"/>
          <w:sz w:val="24"/>
          <w:szCs w:val="24"/>
          <w:u w:val="none"/>
          <w:lang w:val="en-US" w:eastAsia="zh-CN"/>
        </w:rPr>
        <w:t>守约方因此产生的直接损失，以及守约方为维权所产生的</w:t>
      </w:r>
      <w:r>
        <w:rPr>
          <w:rFonts w:hint="eastAsia" w:ascii="仿宋_GB2312" w:hAnsi="仿宋_GB2312" w:eastAsia="仿宋_GB2312" w:cs="仿宋_GB2312"/>
          <w:bCs/>
          <w:color w:val="auto"/>
          <w:kern w:val="0"/>
          <w:sz w:val="24"/>
          <w:szCs w:val="24"/>
          <w:u w:val="none"/>
          <w:lang w:val="en-US" w:eastAsia="zh-Hans"/>
        </w:rPr>
        <w:t>诉讼费、律师费、保全费、</w:t>
      </w:r>
      <w:r>
        <w:rPr>
          <w:rFonts w:hint="eastAsia" w:ascii="仿宋_GB2312" w:hAnsi="仿宋_GB2312" w:eastAsia="仿宋_GB2312" w:cs="仿宋_GB2312"/>
          <w:bCs/>
          <w:color w:val="auto"/>
          <w:kern w:val="0"/>
          <w:sz w:val="24"/>
          <w:szCs w:val="24"/>
          <w:u w:val="none"/>
          <w:lang w:val="en-US" w:eastAsia="zh-CN"/>
        </w:rPr>
        <w:t>保全保险</w:t>
      </w:r>
      <w:r>
        <w:rPr>
          <w:rFonts w:hint="eastAsia" w:ascii="仿宋_GB2312" w:hAnsi="仿宋_GB2312" w:eastAsia="仿宋_GB2312" w:cs="仿宋_GB2312"/>
          <w:bCs/>
          <w:color w:val="auto"/>
          <w:kern w:val="0"/>
          <w:sz w:val="24"/>
          <w:szCs w:val="24"/>
          <w:u w:val="none"/>
          <w:lang w:val="en-US" w:eastAsia="zh-Hans"/>
        </w:rPr>
        <w:t>费、鉴定费</w:t>
      </w:r>
      <w:r>
        <w:rPr>
          <w:rFonts w:hint="eastAsia" w:ascii="仿宋_GB2312" w:hAnsi="仿宋_GB2312" w:eastAsia="仿宋_GB2312" w:cs="仿宋_GB2312"/>
          <w:bCs/>
          <w:color w:val="auto"/>
          <w:kern w:val="0"/>
          <w:sz w:val="24"/>
          <w:szCs w:val="24"/>
          <w:u w:val="none"/>
          <w:lang w:val="en-US" w:eastAsia="zh-CN"/>
        </w:rPr>
        <w:t>、公告费</w:t>
      </w:r>
      <w:r>
        <w:rPr>
          <w:rFonts w:hint="eastAsia" w:ascii="仿宋_GB2312" w:hAnsi="仿宋_GB2312" w:eastAsia="仿宋_GB2312" w:cs="仿宋_GB2312"/>
          <w:bCs/>
          <w:color w:val="auto"/>
          <w:kern w:val="0"/>
          <w:sz w:val="24"/>
          <w:szCs w:val="24"/>
          <w:u w:val="none"/>
          <w:lang w:val="en-US" w:eastAsia="zh-Hans"/>
        </w:rPr>
        <w:t>、差旅费和对第三方的补偿</w:t>
      </w:r>
      <w:r>
        <w:rPr>
          <w:rFonts w:hint="eastAsia" w:ascii="仿宋_GB2312" w:hAnsi="仿宋_GB2312" w:eastAsia="仿宋_GB2312" w:cs="仿宋_GB2312"/>
          <w:bCs/>
          <w:color w:val="auto"/>
          <w:kern w:val="0"/>
          <w:sz w:val="24"/>
          <w:szCs w:val="24"/>
          <w:u w:val="none"/>
          <w:lang w:val="zh-CN" w:eastAsia="zh-Hans"/>
        </w:rPr>
        <w:t>/</w:t>
      </w:r>
      <w:r>
        <w:rPr>
          <w:rFonts w:hint="eastAsia" w:ascii="仿宋_GB2312" w:hAnsi="仿宋_GB2312" w:eastAsia="仿宋_GB2312" w:cs="仿宋_GB2312"/>
          <w:bCs/>
          <w:color w:val="auto"/>
          <w:kern w:val="0"/>
          <w:sz w:val="24"/>
          <w:szCs w:val="24"/>
          <w:u w:val="none"/>
          <w:lang w:val="en-US" w:eastAsia="zh-Hans"/>
        </w:rPr>
        <w:t>赔偿等</w:t>
      </w:r>
      <w:r>
        <w:rPr>
          <w:rFonts w:hint="eastAsia" w:ascii="仿宋_GB2312" w:hAnsi="仿宋_GB2312" w:eastAsia="仿宋_GB2312" w:cs="仿宋_GB2312"/>
          <w:bCs/>
          <w:color w:val="auto"/>
          <w:kern w:val="0"/>
          <w:sz w:val="24"/>
          <w:szCs w:val="24"/>
          <w:u w:val="none"/>
          <w:lang w:val="en-US" w:eastAsia="zh-CN"/>
        </w:rPr>
        <w:t>。</w:t>
      </w:r>
    </w:p>
    <w:p w14:paraId="291A3036">
      <w:pPr>
        <w:spacing w:line="560" w:lineRule="exact"/>
        <w:ind w:firstLine="482" w:firstLineChars="200"/>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七</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b/>
          <w:color w:val="auto"/>
          <w:sz w:val="24"/>
          <w:szCs w:val="24"/>
          <w:lang w:val="en-US" w:eastAsia="zh-CN"/>
        </w:rPr>
        <w:t>争议解决</w:t>
      </w:r>
    </w:p>
    <w:p w14:paraId="6E105FEB">
      <w:pPr>
        <w:spacing w:before="157" w:beforeLines="50" w:after="157" w:afterLines="50" w:line="5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因本协议产生的纠纷，双方应友好协商解决；协商不成的，任意一方均可以提请甲方所在地人民法院诉讼解决</w:t>
      </w:r>
      <w:r>
        <w:rPr>
          <w:rFonts w:hint="eastAsia" w:ascii="仿宋" w:hAnsi="仿宋" w:eastAsia="仿宋" w:cs="仿宋"/>
          <w:color w:val="auto"/>
          <w:sz w:val="24"/>
          <w:szCs w:val="24"/>
          <w:lang w:eastAsia="zh-CN"/>
        </w:rPr>
        <w:t>。</w:t>
      </w:r>
    </w:p>
    <w:p w14:paraId="372F6B91">
      <w:pPr>
        <w:spacing w:before="157" w:beforeLines="50" w:after="157" w:afterLines="50" w:line="5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首页载明的联系地址、联系人等信息为本合同的有效联系方式；双方确认该联系方式真实有效，并且适用于双方往来联系、书面文件送达以及争议解决时法律文书送达，相对方不接受、拒收，则以函件退回之日为送达日期。</w:t>
      </w:r>
    </w:p>
    <w:p w14:paraId="2AFB186E">
      <w:pPr>
        <w:spacing w:before="157" w:beforeLines="50" w:after="157" w:afterLines="50" w:line="5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任何一方变更联系方式的，均应在变更前5日内以书面方式通知对方。变更一方未发出变更通知的，或另一方在实际收到变更通知前已发出通知的，如另一方系按照原联系方式发出通知的，视为已履行通知义务，由此造成的损失由变更一方承担。</w:t>
      </w:r>
    </w:p>
    <w:p w14:paraId="3420B09E">
      <w:pPr>
        <w:spacing w:before="157" w:beforeLines="50" w:after="157" w:afterLines="50" w:line="560" w:lineRule="exact"/>
        <w:ind w:firstLine="480" w:firstLineChars="200"/>
        <w:rPr>
          <w:rFonts w:hint="default"/>
          <w:color w:val="auto"/>
          <w:sz w:val="24"/>
          <w:szCs w:val="24"/>
          <w:lang w:val="en-US" w:eastAsia="zh-CN"/>
        </w:rPr>
      </w:pPr>
      <w:r>
        <w:rPr>
          <w:rFonts w:hint="eastAsia" w:ascii="仿宋" w:hAnsi="仿宋" w:eastAsia="仿宋" w:cs="仿宋"/>
          <w:color w:val="auto"/>
          <w:sz w:val="24"/>
          <w:szCs w:val="24"/>
          <w:lang w:val="en-US" w:eastAsia="zh-CN"/>
        </w:rPr>
        <w:t>本条款为独立条款，本合同的无效、变更、解除和终止均不影响本条款的效力。</w:t>
      </w:r>
    </w:p>
    <w:p w14:paraId="030CDC5F">
      <w:pPr>
        <w:spacing w:line="56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八、</w:t>
      </w:r>
      <w:r>
        <w:rPr>
          <w:rFonts w:hint="eastAsia" w:ascii="仿宋_GB2312" w:hAnsi="仿宋_GB2312" w:eastAsia="仿宋_GB2312" w:cs="仿宋_GB2312"/>
          <w:b/>
          <w:color w:val="auto"/>
          <w:sz w:val="24"/>
          <w:szCs w:val="24"/>
        </w:rPr>
        <w:t>协议生效及纠纷处理：</w:t>
      </w:r>
    </w:p>
    <w:p w14:paraId="2D8AF2D6">
      <w:pPr>
        <w:spacing w:line="560" w:lineRule="exact"/>
        <w:ind w:firstLine="480"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本协议经双方</w:t>
      </w:r>
      <w:r>
        <w:rPr>
          <w:rFonts w:hint="eastAsia" w:ascii="仿宋_GB2312" w:hAnsi="仿宋_GB2312" w:eastAsia="仿宋_GB2312" w:cs="仿宋_GB2312"/>
          <w:color w:val="auto"/>
          <w:sz w:val="24"/>
          <w:szCs w:val="24"/>
          <w:lang w:val="en-US" w:eastAsia="zh-CN"/>
        </w:rPr>
        <w:t>法定代表人</w:t>
      </w:r>
      <w:r>
        <w:rPr>
          <w:rFonts w:hint="eastAsia" w:ascii="仿宋_GB2312" w:hAnsi="仿宋_GB2312" w:eastAsia="仿宋_GB2312" w:cs="仿宋_GB2312"/>
          <w:color w:val="auto"/>
          <w:sz w:val="24"/>
          <w:szCs w:val="24"/>
        </w:rPr>
        <w:t>或授权</w:t>
      </w:r>
      <w:r>
        <w:rPr>
          <w:rFonts w:hint="eastAsia" w:ascii="仿宋_GB2312" w:hAnsi="仿宋_GB2312" w:eastAsia="仿宋_GB2312" w:cs="仿宋_GB2312"/>
          <w:color w:val="auto"/>
          <w:sz w:val="24"/>
          <w:szCs w:val="24"/>
          <w:lang w:val="en-US" w:eastAsia="zh-CN"/>
        </w:rPr>
        <w:t>委托人</w:t>
      </w:r>
      <w:r>
        <w:rPr>
          <w:rFonts w:hint="eastAsia" w:ascii="仿宋_GB2312" w:hAnsi="仿宋_GB2312" w:eastAsia="仿宋_GB2312" w:cs="仿宋_GB2312"/>
          <w:color w:val="auto"/>
          <w:sz w:val="24"/>
          <w:szCs w:val="24"/>
        </w:rPr>
        <w:t>签字并加盖各自公章后生效；</w:t>
      </w:r>
    </w:p>
    <w:p w14:paraId="729143FA">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本协议一式陆份，具有相同法律效力，甲方持伍份，乙方持壹份；</w:t>
      </w:r>
    </w:p>
    <w:p w14:paraId="5C5066DB">
      <w:pPr>
        <w:spacing w:line="560" w:lineRule="exact"/>
        <w:ind w:firstLine="480" w:firstLineChars="200"/>
        <w:rPr>
          <w:rFonts w:ascii="仿宋_GB2312" w:eastAsia="仿宋_GB2312"/>
          <w:bCs/>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本协议中未约定的事宜，</w:t>
      </w:r>
      <w:r>
        <w:rPr>
          <w:rFonts w:hint="eastAsia" w:ascii="仿宋_GB2312" w:hAnsi="仿宋_GB2312" w:eastAsia="仿宋_GB2312" w:cs="仿宋_GB2312"/>
          <w:color w:val="auto"/>
          <w:sz w:val="24"/>
          <w:szCs w:val="24"/>
          <w:lang w:val="en-US" w:eastAsia="zh-CN"/>
        </w:rPr>
        <w:t>由</w:t>
      </w:r>
      <w:r>
        <w:rPr>
          <w:rFonts w:hint="eastAsia" w:ascii="仿宋_GB2312" w:hAnsi="仿宋_GB2312" w:eastAsia="仿宋_GB2312" w:cs="仿宋_GB2312"/>
          <w:color w:val="auto"/>
          <w:sz w:val="24"/>
          <w:szCs w:val="24"/>
        </w:rPr>
        <w:t>双方</w:t>
      </w:r>
      <w:r>
        <w:rPr>
          <w:rFonts w:hint="eastAsia" w:ascii="仿宋_GB2312" w:hAnsi="仿宋_GB2312" w:eastAsia="仿宋_GB2312" w:cs="仿宋_GB2312"/>
          <w:color w:val="auto"/>
          <w:sz w:val="24"/>
          <w:szCs w:val="24"/>
          <w:lang w:val="en-US" w:eastAsia="zh-CN"/>
        </w:rPr>
        <w:t>另行</w:t>
      </w:r>
      <w:r>
        <w:rPr>
          <w:rFonts w:hint="eastAsia" w:ascii="仿宋_GB2312" w:hAnsi="仿宋_GB2312" w:eastAsia="仿宋_GB2312" w:cs="仿宋_GB2312"/>
          <w:color w:val="auto"/>
          <w:sz w:val="24"/>
          <w:szCs w:val="24"/>
        </w:rPr>
        <w:t>友好协商，并签订书面补充协议，可以对本协议进行补充或对有关条款进行修订。补充协议与本协议具有同等法律效力。补充协议与本协议不一致的，以补充协议为准。</w:t>
      </w:r>
    </w:p>
    <w:p w14:paraId="50A51D8C">
      <w:pPr>
        <w:spacing w:line="56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以下无正文</w:t>
      </w:r>
      <w:r>
        <w:rPr>
          <w:rFonts w:hint="eastAsia" w:ascii="仿宋_GB2312" w:hAnsi="仿宋_GB2312" w:eastAsia="仿宋_GB2312" w:cs="仿宋_GB2312"/>
          <w:color w:val="auto"/>
          <w:sz w:val="24"/>
          <w:szCs w:val="24"/>
          <w:lang w:eastAsia="zh-CN"/>
        </w:rPr>
        <w:t>）</w:t>
      </w:r>
    </w:p>
    <w:p w14:paraId="58F2A39D">
      <w:pPr>
        <w:pStyle w:val="18"/>
        <w:ind w:firstLine="0"/>
        <w:rPr>
          <w:rFonts w:ascii="仿宋_GB2312" w:eastAsia="仿宋_GB2312"/>
          <w:bCs/>
          <w:color w:val="auto"/>
          <w:sz w:val="24"/>
          <w:szCs w:val="24"/>
        </w:rPr>
      </w:pPr>
    </w:p>
    <w:tbl>
      <w:tblPr>
        <w:tblStyle w:val="39"/>
        <w:tblW w:w="91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04"/>
        <w:gridCol w:w="4507"/>
      </w:tblGrid>
      <w:tr w14:paraId="1EB8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3" w:hRule="atLeast"/>
        </w:trPr>
        <w:tc>
          <w:tcPr>
            <w:tcW w:w="4604" w:type="dxa"/>
            <w:noWrap w:val="0"/>
            <w:vAlign w:val="top"/>
          </w:tcPr>
          <w:p w14:paraId="38DDBAE5">
            <w:pPr>
              <w:pStyle w:val="188"/>
              <w:keepNext w:val="0"/>
              <w:keepLines w:val="0"/>
              <w:pageBreakBefore w:val="0"/>
              <w:widowControl/>
              <w:wordWrap/>
              <w:overflowPunct/>
              <w:topLinePunct w:val="0"/>
              <w:autoSpaceDE w:val="0"/>
              <w:autoSpaceDN w:val="0"/>
              <w:bidi w:val="0"/>
              <w:adjustRightInd w:val="0"/>
              <w:snapToGrid w:val="0"/>
              <w:spacing w:line="560" w:lineRule="exact"/>
              <w:ind w:left="36"/>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pacing w:val="0"/>
                <w:sz w:val="24"/>
                <w:szCs w:val="24"/>
                <w:highlight w:val="none"/>
                <w:lang w:eastAsia="zh-CN"/>
              </w:rPr>
              <w:t>甲方名称（盖章）：</w:t>
            </w:r>
          </w:p>
        </w:tc>
        <w:tc>
          <w:tcPr>
            <w:tcW w:w="4507" w:type="dxa"/>
            <w:noWrap w:val="0"/>
            <w:vAlign w:val="top"/>
          </w:tcPr>
          <w:p w14:paraId="13BC4036">
            <w:pPr>
              <w:keepNext w:val="0"/>
              <w:keepLines w:val="0"/>
              <w:pageBreakBefore w:val="0"/>
              <w:widowControl/>
              <w:numPr>
                <w:ilvl w:val="0"/>
                <w:numId w:val="0"/>
              </w:numPr>
              <w:suppressLineNumbers w:val="0"/>
              <w:kinsoku/>
              <w:wordWrap w:val="0"/>
              <w:overflowPunct/>
              <w:topLinePunct w:val="0"/>
              <w:autoSpaceDE w:val="0"/>
              <w:autoSpaceDN w:val="0"/>
              <w:bidi w:val="0"/>
              <w:adjustRightInd w:val="0"/>
              <w:snapToGrid w:val="0"/>
              <w:spacing w:line="560" w:lineRule="exact"/>
              <w:ind w:right="0" w:rightChars="0" w:firstLine="0" w:firstLineChars="0"/>
              <w:jc w:val="left"/>
              <w:textAlignment w:val="auto"/>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pacing w:val="0"/>
                <w:sz w:val="24"/>
                <w:szCs w:val="24"/>
                <w:highlight w:val="none"/>
                <w:lang w:eastAsia="zh-CN"/>
              </w:rPr>
              <w:t>乙方名称（盖章）：</w:t>
            </w:r>
          </w:p>
        </w:tc>
      </w:tr>
      <w:tr w14:paraId="2292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4604" w:type="dxa"/>
            <w:noWrap w:val="0"/>
            <w:vAlign w:val="top"/>
          </w:tcPr>
          <w:p w14:paraId="7398452A">
            <w:pPr>
              <w:pStyle w:val="188"/>
              <w:keepNext w:val="0"/>
              <w:keepLines w:val="0"/>
              <w:pageBreakBefore w:val="0"/>
              <w:widowControl/>
              <w:wordWrap/>
              <w:overflowPunct/>
              <w:topLinePunct w:val="0"/>
              <w:autoSpaceDE w:val="0"/>
              <w:autoSpaceDN w:val="0"/>
              <w:bidi w:val="0"/>
              <w:adjustRightInd w:val="0"/>
              <w:snapToGrid w:val="0"/>
              <w:spacing w:before="0" w:line="560" w:lineRule="exact"/>
              <w:ind w:left="36"/>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pacing w:val="0"/>
                <w:sz w:val="24"/>
                <w:szCs w:val="24"/>
                <w:highlight w:val="none"/>
                <w:lang w:eastAsia="zh-CN"/>
              </w:rPr>
              <w:t>地址：</w:t>
            </w:r>
          </w:p>
        </w:tc>
        <w:tc>
          <w:tcPr>
            <w:tcW w:w="4507" w:type="dxa"/>
            <w:noWrap w:val="0"/>
            <w:vAlign w:val="top"/>
          </w:tcPr>
          <w:p w14:paraId="52CDE6AB">
            <w:pPr>
              <w:keepNext w:val="0"/>
              <w:keepLines w:val="0"/>
              <w:pageBreakBefore w:val="0"/>
              <w:widowControl/>
              <w:overflowPunct/>
              <w:topLinePunct w:val="0"/>
              <w:autoSpaceDE w:val="0"/>
              <w:autoSpaceDN w:val="0"/>
              <w:bidi w:val="0"/>
              <w:adjustRightInd w:val="0"/>
              <w:snapToGrid w:val="0"/>
              <w:spacing w:line="560" w:lineRule="exact"/>
              <w:ind w:right="-154"/>
              <w:textAlignment w:val="bottom"/>
              <w:rPr>
                <w:rFonts w:hint="eastAsia" w:ascii="仿宋" w:hAnsi="仿宋" w:eastAsia="仿宋" w:cs="仿宋"/>
                <w:snapToGrid/>
                <w:color w:val="auto"/>
                <w:sz w:val="24"/>
                <w:szCs w:val="24"/>
                <w:highlight w:val="none"/>
                <w:lang w:val="en-US" w:eastAsia="zh-CN"/>
              </w:rPr>
            </w:pPr>
            <w:r>
              <w:rPr>
                <w:rFonts w:hint="eastAsia" w:ascii="仿宋" w:hAnsi="仿宋" w:eastAsia="仿宋" w:cs="仿宋"/>
                <w:color w:val="auto"/>
                <w:spacing w:val="7"/>
                <w:sz w:val="24"/>
                <w:szCs w:val="24"/>
                <w:highlight w:val="none"/>
                <w:lang w:val="en-US" w:eastAsia="zh-CN"/>
              </w:rPr>
              <w:t>地址：</w:t>
            </w:r>
          </w:p>
        </w:tc>
      </w:tr>
      <w:tr w14:paraId="356A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6" w:hRule="atLeast"/>
        </w:trPr>
        <w:tc>
          <w:tcPr>
            <w:tcW w:w="4604" w:type="dxa"/>
            <w:noWrap w:val="0"/>
            <w:vAlign w:val="top"/>
          </w:tcPr>
          <w:p w14:paraId="6842BD5A">
            <w:pPr>
              <w:pStyle w:val="188"/>
              <w:keepNext w:val="0"/>
              <w:keepLines w:val="0"/>
              <w:pageBreakBefore w:val="0"/>
              <w:widowControl/>
              <w:wordWrap/>
              <w:overflowPunct/>
              <w:topLinePunct w:val="0"/>
              <w:autoSpaceDE w:val="0"/>
              <w:autoSpaceDN w:val="0"/>
              <w:bidi w:val="0"/>
              <w:adjustRightInd w:val="0"/>
              <w:snapToGrid w:val="0"/>
              <w:spacing w:before="0" w:line="560" w:lineRule="exact"/>
              <w:ind w:left="36"/>
              <w:rPr>
                <w:rFonts w:hint="eastAsia" w:ascii="仿宋" w:hAnsi="仿宋" w:eastAsia="仿宋" w:cs="仿宋"/>
                <w:snapToGrid/>
                <w:color w:val="auto"/>
                <w:spacing w:val="0"/>
                <w:sz w:val="24"/>
                <w:szCs w:val="24"/>
                <w:highlight w:val="none"/>
                <w:lang w:eastAsia="zh-CN"/>
              </w:rPr>
            </w:pPr>
            <w:r>
              <w:rPr>
                <w:rFonts w:hint="eastAsia" w:ascii="仿宋" w:hAnsi="仿宋" w:eastAsia="仿宋" w:cs="仿宋"/>
                <w:snapToGrid/>
                <w:color w:val="auto"/>
                <w:spacing w:val="0"/>
                <w:sz w:val="24"/>
                <w:szCs w:val="24"/>
                <w:highlight w:val="none"/>
                <w:lang w:val="en-US" w:eastAsia="zh-CN"/>
              </w:rPr>
              <w:t>法定</w:t>
            </w:r>
            <w:r>
              <w:rPr>
                <w:rFonts w:hint="eastAsia" w:ascii="仿宋" w:hAnsi="仿宋" w:eastAsia="仿宋" w:cs="仿宋"/>
                <w:snapToGrid/>
                <w:color w:val="auto"/>
                <w:spacing w:val="0"/>
                <w:sz w:val="24"/>
                <w:szCs w:val="24"/>
                <w:highlight w:val="none"/>
                <w:lang w:eastAsia="zh-CN"/>
              </w:rPr>
              <w:t>代表人</w:t>
            </w:r>
            <w:r>
              <w:rPr>
                <w:rFonts w:hint="eastAsia" w:ascii="仿宋" w:hAnsi="仿宋" w:eastAsia="仿宋" w:cs="仿宋"/>
                <w:snapToGrid/>
                <w:color w:val="auto"/>
                <w:spacing w:val="0"/>
                <w:sz w:val="24"/>
                <w:szCs w:val="24"/>
                <w:highlight w:val="none"/>
                <w:lang w:val="en-US" w:eastAsia="zh-CN"/>
              </w:rPr>
              <w:t>或被授权人</w:t>
            </w:r>
            <w:r>
              <w:rPr>
                <w:rFonts w:hint="eastAsia" w:ascii="仿宋" w:hAnsi="仿宋" w:eastAsia="仿宋" w:cs="仿宋"/>
                <w:snapToGrid/>
                <w:color w:val="auto"/>
                <w:spacing w:val="0"/>
                <w:sz w:val="24"/>
                <w:szCs w:val="24"/>
                <w:highlight w:val="none"/>
                <w:lang w:eastAsia="zh-CN"/>
              </w:rPr>
              <w:t>：</w:t>
            </w:r>
          </w:p>
          <w:p w14:paraId="4E64F99B">
            <w:pPr>
              <w:pStyle w:val="188"/>
              <w:keepNext w:val="0"/>
              <w:keepLines w:val="0"/>
              <w:pageBreakBefore w:val="0"/>
              <w:widowControl/>
              <w:wordWrap/>
              <w:overflowPunct/>
              <w:topLinePunct w:val="0"/>
              <w:autoSpaceDE w:val="0"/>
              <w:autoSpaceDN w:val="0"/>
              <w:bidi w:val="0"/>
              <w:adjustRightInd w:val="0"/>
              <w:snapToGrid w:val="0"/>
              <w:spacing w:before="0" w:line="560" w:lineRule="exact"/>
              <w:ind w:left="36"/>
              <w:rPr>
                <w:rFonts w:hint="eastAsia" w:ascii="仿宋" w:hAnsi="仿宋" w:eastAsia="仿宋" w:cs="仿宋"/>
                <w:snapToGrid/>
                <w:color w:val="auto"/>
                <w:spacing w:val="0"/>
                <w:sz w:val="24"/>
                <w:szCs w:val="24"/>
                <w:highlight w:val="none"/>
                <w:lang w:eastAsia="zh-CN"/>
              </w:rPr>
            </w:pPr>
            <w:r>
              <w:rPr>
                <w:rFonts w:hint="eastAsia" w:ascii="仿宋" w:hAnsi="仿宋" w:eastAsia="仿宋" w:cs="仿宋"/>
                <w:snapToGrid/>
                <w:color w:val="auto"/>
                <w:spacing w:val="0"/>
                <w:sz w:val="24"/>
                <w:szCs w:val="24"/>
                <w:highlight w:val="none"/>
                <w:lang w:eastAsia="zh-CN"/>
              </w:rPr>
              <w:t>（签字）</w:t>
            </w:r>
          </w:p>
        </w:tc>
        <w:tc>
          <w:tcPr>
            <w:tcW w:w="4507" w:type="dxa"/>
            <w:noWrap w:val="0"/>
            <w:vAlign w:val="top"/>
          </w:tcPr>
          <w:p w14:paraId="337A8A06">
            <w:pPr>
              <w:pStyle w:val="188"/>
              <w:keepNext w:val="0"/>
              <w:keepLines w:val="0"/>
              <w:pageBreakBefore w:val="0"/>
              <w:widowControl/>
              <w:wordWrap/>
              <w:overflowPunct/>
              <w:topLinePunct w:val="0"/>
              <w:autoSpaceDE w:val="0"/>
              <w:autoSpaceDN w:val="0"/>
              <w:bidi w:val="0"/>
              <w:adjustRightInd w:val="0"/>
              <w:snapToGrid w:val="0"/>
              <w:spacing w:before="0" w:line="560" w:lineRule="exact"/>
              <w:ind w:left="36" w:firstLine="0" w:firstLineChars="0"/>
              <w:jc w:val="left"/>
              <w:rPr>
                <w:rFonts w:hint="eastAsia" w:ascii="仿宋" w:hAnsi="仿宋" w:eastAsia="仿宋" w:cs="仿宋"/>
                <w:snapToGrid/>
                <w:color w:val="auto"/>
                <w:spacing w:val="0"/>
                <w:sz w:val="24"/>
                <w:szCs w:val="24"/>
                <w:highlight w:val="none"/>
                <w:lang w:eastAsia="zh-CN"/>
              </w:rPr>
            </w:pPr>
            <w:r>
              <w:rPr>
                <w:rFonts w:hint="eastAsia" w:ascii="仿宋" w:hAnsi="仿宋" w:eastAsia="仿宋" w:cs="仿宋"/>
                <w:snapToGrid/>
                <w:color w:val="auto"/>
                <w:spacing w:val="0"/>
                <w:sz w:val="24"/>
                <w:szCs w:val="24"/>
                <w:highlight w:val="none"/>
                <w:lang w:val="en-US" w:eastAsia="zh-CN"/>
              </w:rPr>
              <w:t>法定</w:t>
            </w:r>
            <w:r>
              <w:rPr>
                <w:rFonts w:hint="eastAsia" w:ascii="仿宋" w:hAnsi="仿宋" w:eastAsia="仿宋" w:cs="仿宋"/>
                <w:snapToGrid/>
                <w:color w:val="auto"/>
                <w:spacing w:val="0"/>
                <w:sz w:val="24"/>
                <w:szCs w:val="24"/>
                <w:highlight w:val="none"/>
                <w:lang w:eastAsia="zh-CN"/>
              </w:rPr>
              <w:t>代表人</w:t>
            </w:r>
            <w:r>
              <w:rPr>
                <w:rFonts w:hint="eastAsia" w:ascii="仿宋" w:hAnsi="仿宋" w:eastAsia="仿宋" w:cs="仿宋"/>
                <w:snapToGrid/>
                <w:color w:val="auto"/>
                <w:spacing w:val="0"/>
                <w:sz w:val="24"/>
                <w:szCs w:val="24"/>
                <w:highlight w:val="none"/>
                <w:lang w:val="en-US" w:eastAsia="zh-CN"/>
              </w:rPr>
              <w:t>或被授权人</w:t>
            </w:r>
            <w:r>
              <w:rPr>
                <w:rFonts w:hint="eastAsia" w:ascii="仿宋" w:hAnsi="仿宋" w:eastAsia="仿宋" w:cs="仿宋"/>
                <w:snapToGrid/>
                <w:color w:val="auto"/>
                <w:spacing w:val="0"/>
                <w:sz w:val="24"/>
                <w:szCs w:val="24"/>
                <w:highlight w:val="none"/>
                <w:lang w:eastAsia="zh-CN"/>
              </w:rPr>
              <w:t>：</w:t>
            </w:r>
          </w:p>
          <w:p w14:paraId="43276D45">
            <w:pPr>
              <w:pStyle w:val="188"/>
              <w:keepNext w:val="0"/>
              <w:keepLines w:val="0"/>
              <w:pageBreakBefore w:val="0"/>
              <w:widowControl/>
              <w:wordWrap/>
              <w:overflowPunct/>
              <w:topLinePunct w:val="0"/>
              <w:autoSpaceDE w:val="0"/>
              <w:autoSpaceDN w:val="0"/>
              <w:bidi w:val="0"/>
              <w:adjustRightInd w:val="0"/>
              <w:snapToGrid w:val="0"/>
              <w:spacing w:before="0" w:line="560" w:lineRule="exact"/>
              <w:ind w:left="36" w:firstLine="0" w:firstLineChars="0"/>
              <w:jc w:val="left"/>
              <w:rPr>
                <w:rFonts w:hint="eastAsia" w:ascii="仿宋" w:hAnsi="仿宋" w:eastAsia="仿宋" w:cs="仿宋"/>
                <w:snapToGrid/>
                <w:color w:val="auto"/>
                <w:spacing w:val="0"/>
                <w:sz w:val="24"/>
                <w:szCs w:val="24"/>
                <w:highlight w:val="none"/>
                <w:lang w:eastAsia="zh-CN"/>
              </w:rPr>
            </w:pPr>
            <w:r>
              <w:rPr>
                <w:rFonts w:hint="eastAsia" w:ascii="仿宋" w:hAnsi="仿宋" w:eastAsia="仿宋" w:cs="仿宋"/>
                <w:snapToGrid/>
                <w:color w:val="auto"/>
                <w:spacing w:val="0"/>
                <w:sz w:val="24"/>
                <w:szCs w:val="24"/>
                <w:highlight w:val="none"/>
                <w:lang w:eastAsia="zh-CN"/>
              </w:rPr>
              <w:t>（签字）</w:t>
            </w:r>
          </w:p>
        </w:tc>
      </w:tr>
      <w:tr w14:paraId="2D6B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4604" w:type="dxa"/>
            <w:noWrap w:val="0"/>
            <w:vAlign w:val="top"/>
          </w:tcPr>
          <w:p w14:paraId="63640484">
            <w:pPr>
              <w:keepNext w:val="0"/>
              <w:keepLines w:val="0"/>
              <w:pageBreakBefore w:val="0"/>
              <w:widowControl/>
              <w:numPr>
                <w:ilvl w:val="0"/>
                <w:numId w:val="0"/>
              </w:numPr>
              <w:wordWrap w:val="0"/>
              <w:overflowPunct/>
              <w:topLinePunct w:val="0"/>
              <w:autoSpaceDE w:val="0"/>
              <w:autoSpaceDN w:val="0"/>
              <w:bidi w:val="0"/>
              <w:adjustRightInd w:val="0"/>
              <w:snapToGrid w:val="0"/>
              <w:spacing w:before="0" w:line="560" w:lineRule="exact"/>
              <w:ind w:left="36"/>
              <w:rPr>
                <w:rFonts w:hint="eastAsia" w:ascii="仿宋" w:hAnsi="仿宋" w:eastAsia="仿宋" w:cs="仿宋"/>
                <w:snapToGrid/>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签订日期：     年   月   日</w:t>
            </w:r>
          </w:p>
        </w:tc>
        <w:tc>
          <w:tcPr>
            <w:tcW w:w="4507" w:type="dxa"/>
            <w:noWrap w:val="0"/>
            <w:vAlign w:val="top"/>
          </w:tcPr>
          <w:p w14:paraId="542CFFC8">
            <w:pPr>
              <w:keepNext w:val="0"/>
              <w:keepLines w:val="0"/>
              <w:pageBreakBefore w:val="0"/>
              <w:widowControl/>
              <w:numPr>
                <w:ilvl w:val="0"/>
                <w:numId w:val="0"/>
              </w:numPr>
              <w:wordWrap w:val="0"/>
              <w:overflowPunct/>
              <w:topLinePunct w:val="0"/>
              <w:autoSpaceDE w:val="0"/>
              <w:autoSpaceDN w:val="0"/>
              <w:bidi w:val="0"/>
              <w:adjustRightInd w:val="0"/>
              <w:snapToGrid w:val="0"/>
              <w:spacing w:before="0" w:line="560" w:lineRule="exact"/>
              <w:ind w:left="36"/>
              <w:rPr>
                <w:rFonts w:hint="eastAsia" w:ascii="仿宋" w:hAnsi="仿宋" w:eastAsia="仿宋" w:cs="仿宋"/>
                <w:snapToGrid/>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签订日期：    年    月   日</w:t>
            </w:r>
          </w:p>
        </w:tc>
      </w:tr>
    </w:tbl>
    <w:p w14:paraId="417D20F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eastAsia="仿宋_GB2312"/>
          <w:color w:val="auto"/>
          <w:sz w:val="28"/>
          <w:szCs w:val="28"/>
          <w:highlight w:val="none"/>
        </w:rPr>
      </w:pPr>
    </w:p>
    <w:p w14:paraId="662F8254">
      <w:pPr>
        <w:spacing w:line="360" w:lineRule="auto"/>
        <w:jc w:val="both"/>
        <w:outlineLvl w:val="9"/>
        <w:rPr>
          <w:rFonts w:hint="eastAsia" w:ascii="仿宋" w:hAnsi="仿宋" w:eastAsia="仿宋" w:cs="仿宋"/>
          <w:b w:val="0"/>
          <w:bCs/>
          <w:color w:val="auto"/>
          <w:sz w:val="24"/>
          <w:szCs w:val="22"/>
        </w:rPr>
      </w:pPr>
    </w:p>
    <w:p w14:paraId="0F155395">
      <w:pPr>
        <w:bidi w:val="0"/>
        <w:rPr>
          <w:rFonts w:hint="eastAsia"/>
          <w:color w:val="auto"/>
        </w:rPr>
      </w:pPr>
    </w:p>
    <w:p w14:paraId="34D5757F">
      <w:pPr>
        <w:spacing w:line="360" w:lineRule="auto"/>
        <w:jc w:val="center"/>
        <w:outlineLvl w:val="0"/>
        <w:rPr>
          <w:rFonts w:hint="eastAsia" w:ascii="仿宋" w:hAnsi="仿宋" w:eastAsia="仿宋" w:cs="仿宋"/>
          <w:b/>
          <w:bCs/>
          <w:color w:val="auto"/>
          <w:sz w:val="36"/>
          <w:szCs w:val="22"/>
          <w:lang w:eastAsia="zh-CN"/>
        </w:rPr>
      </w:pPr>
      <w:r>
        <w:rPr>
          <w:rFonts w:ascii="仿宋" w:hAnsi="仿宋" w:eastAsia="仿宋" w:cs="仿宋"/>
          <w:b w:val="0"/>
          <w:bCs/>
          <w:color w:val="auto"/>
          <w:sz w:val="36"/>
          <w:szCs w:val="22"/>
        </w:rPr>
        <w:br w:type="page"/>
      </w:r>
      <w:bookmarkStart w:id="174" w:name="_Toc9074"/>
      <w:r>
        <w:rPr>
          <w:rFonts w:ascii="仿宋" w:hAnsi="仿宋" w:eastAsia="仿宋" w:cs="仿宋"/>
          <w:b/>
          <w:bCs/>
          <w:color w:val="auto"/>
          <w:sz w:val="36"/>
          <w:szCs w:val="22"/>
        </w:rPr>
        <w:t>第五部分  附件—磋商响应文件格式</w:t>
      </w:r>
      <w:bookmarkEnd w:id="174"/>
    </w:p>
    <w:bookmarkEnd w:id="165"/>
    <w:bookmarkEnd w:id="166"/>
    <w:bookmarkEnd w:id="167"/>
    <w:bookmarkEnd w:id="168"/>
    <w:bookmarkEnd w:id="169"/>
    <w:bookmarkEnd w:id="170"/>
    <w:bookmarkEnd w:id="171"/>
    <w:bookmarkEnd w:id="172"/>
    <w:bookmarkEnd w:id="173"/>
    <w:p w14:paraId="7DFDCE61">
      <w:pPr>
        <w:jc w:val="center"/>
        <w:rPr>
          <w:rFonts w:hint="eastAsia" w:ascii="仿宋" w:hAnsi="仿宋" w:eastAsia="仿宋" w:cs="仿宋"/>
          <w:b/>
          <w:color w:val="auto"/>
          <w:kern w:val="0"/>
          <w:sz w:val="36"/>
          <w:szCs w:val="36"/>
          <w:bdr w:val="single" w:color="auto" w:sz="4" w:space="0"/>
        </w:rPr>
      </w:pPr>
      <w:bookmarkStart w:id="175" w:name="_Toc30434"/>
      <w:bookmarkStart w:id="176" w:name="_Toc385992404"/>
      <w:bookmarkStart w:id="177" w:name="_Toc497712137"/>
      <w:bookmarkStart w:id="178" w:name="_Toc497711589"/>
      <w:bookmarkStart w:id="179" w:name="_Toc246928961"/>
      <w:bookmarkStart w:id="180" w:name="_Toc389620244"/>
      <w:bookmarkStart w:id="181" w:name="_Toc246928962"/>
      <w:bookmarkStart w:id="182" w:name="_Toc497551824"/>
      <w:bookmarkStart w:id="183" w:name="_Toc497546922"/>
      <w:bookmarkStart w:id="184" w:name="_Toc128557264"/>
      <w:bookmarkStart w:id="185" w:name="_Toc492955463"/>
      <w:r>
        <w:rPr>
          <w:rFonts w:hint="eastAsia" w:ascii="仿宋" w:hAnsi="仿宋" w:eastAsia="仿宋" w:cs="仿宋"/>
          <w:b/>
          <w:color w:val="auto"/>
          <w:sz w:val="52"/>
          <w:szCs w:val="52"/>
        </w:rPr>
        <w:t>（封面</w:t>
      </w:r>
      <w:bookmarkEnd w:id="175"/>
      <w:r>
        <w:rPr>
          <w:rFonts w:hint="eastAsia" w:ascii="仿宋" w:hAnsi="仿宋" w:eastAsia="仿宋" w:cs="仿宋"/>
          <w:b/>
          <w:color w:val="auto"/>
          <w:sz w:val="52"/>
          <w:szCs w:val="52"/>
        </w:rPr>
        <w:t>）</w:t>
      </w:r>
      <w:r>
        <w:rPr>
          <w:rFonts w:hint="eastAsia" w:ascii="仿宋" w:hAnsi="仿宋" w:eastAsia="仿宋" w:cs="仿宋"/>
          <w:b/>
          <w:color w:val="auto"/>
          <w:sz w:val="44"/>
          <w:szCs w:val="44"/>
        </w:rPr>
        <w:t xml:space="preserve">       </w:t>
      </w:r>
    </w:p>
    <w:p w14:paraId="5AABEE25">
      <w:pPr>
        <w:pStyle w:val="17"/>
        <w:rPr>
          <w:rFonts w:ascii="仿宋" w:hAnsi="仿宋" w:eastAsia="仿宋" w:cs="仿宋"/>
          <w:b w:val="0"/>
          <w:color w:val="auto"/>
          <w:kern w:val="0"/>
          <w:sz w:val="36"/>
          <w:szCs w:val="36"/>
          <w:bdr w:val="single" w:color="auto" w:sz="4" w:space="0"/>
        </w:rPr>
      </w:pPr>
    </w:p>
    <w:p w14:paraId="7515E32F">
      <w:pPr>
        <w:rPr>
          <w:rFonts w:ascii="仿宋" w:hAnsi="仿宋" w:eastAsia="仿宋"/>
          <w:color w:val="auto"/>
        </w:rPr>
      </w:pPr>
    </w:p>
    <w:p w14:paraId="6F1DCFF5">
      <w:pPr>
        <w:pStyle w:val="17"/>
        <w:rPr>
          <w:rFonts w:ascii="仿宋" w:hAnsi="仿宋" w:eastAsia="仿宋"/>
          <w:color w:val="auto"/>
        </w:rPr>
      </w:pPr>
    </w:p>
    <w:p w14:paraId="674A6A73">
      <w:pPr>
        <w:rPr>
          <w:rFonts w:ascii="仿宋" w:hAnsi="仿宋" w:eastAsia="仿宋"/>
          <w:color w:val="auto"/>
        </w:rPr>
      </w:pPr>
    </w:p>
    <w:p w14:paraId="543D13AD">
      <w:pPr>
        <w:pStyle w:val="17"/>
        <w:rPr>
          <w:rFonts w:hint="eastAsia" w:ascii="仿宋" w:hAnsi="仿宋" w:eastAsia="仿宋"/>
          <w:color w:val="auto"/>
        </w:rPr>
      </w:pPr>
    </w:p>
    <w:p w14:paraId="7B2D0CD8">
      <w:pPr>
        <w:pStyle w:val="17"/>
        <w:pBdr>
          <w:top w:val="none" w:color="auto" w:sz="0" w:space="0"/>
          <w:left w:val="none" w:color="auto" w:sz="0" w:space="0"/>
          <w:bottom w:val="none" w:color="auto" w:sz="0" w:space="0"/>
          <w:right w:val="none" w:color="auto" w:sz="0" w:space="0"/>
          <w:between w:val="none" w:color="auto" w:sz="0" w:space="0"/>
        </w:pBdr>
        <w:jc w:val="center"/>
        <w:rPr>
          <w:rFonts w:hint="eastAsia" w:ascii="仿宋" w:hAnsi="仿宋" w:eastAsia="仿宋" w:cs="仿宋"/>
          <w:b w:val="0"/>
          <w:color w:val="auto"/>
          <w:kern w:val="0"/>
          <w:sz w:val="52"/>
          <w:szCs w:val="52"/>
          <w:bdr w:val="single" w:color="auto" w:sz="4" w:space="0"/>
        </w:rPr>
      </w:pPr>
      <w:r>
        <w:rPr>
          <w:rFonts w:hint="eastAsia" w:ascii="仿宋" w:hAnsi="仿宋" w:eastAsia="仿宋" w:cs="仿宋"/>
          <w:b/>
          <w:bCs/>
          <w:color w:val="auto"/>
          <w:sz w:val="60"/>
          <w:szCs w:val="60"/>
          <w:shd w:val="clear" w:color="auto" w:fill="FFFFFF"/>
        </w:rPr>
        <w:t>招商项目入区评审服务采购项目</w:t>
      </w:r>
    </w:p>
    <w:p w14:paraId="6D996A0D">
      <w:pPr>
        <w:pStyle w:val="17"/>
        <w:rPr>
          <w:rFonts w:hint="eastAsia" w:ascii="仿宋" w:hAnsi="仿宋" w:eastAsia="仿宋" w:cs="微软雅黑"/>
          <w:color w:val="auto"/>
          <w:sz w:val="19"/>
          <w:szCs w:val="19"/>
          <w:shd w:val="clear" w:color="auto" w:fill="FFFFFF"/>
        </w:rPr>
      </w:pPr>
      <w:r>
        <w:rPr>
          <w:rFonts w:hint="eastAsia" w:ascii="仿宋" w:hAnsi="仿宋" w:eastAsia="仿宋" w:cs="仿宋"/>
          <w:bCs/>
          <w:color w:val="auto"/>
          <w:sz w:val="52"/>
          <w:szCs w:val="52"/>
        </w:rPr>
        <w:t xml:space="preserve"> </w:t>
      </w:r>
    </w:p>
    <w:p w14:paraId="66361E7A">
      <w:pPr>
        <w:pStyle w:val="35"/>
        <w:wordWrap w:val="0"/>
        <w:spacing w:before="0" w:beforeAutospacing="0" w:after="0" w:afterAutospacing="0" w:line="390" w:lineRule="atLeast"/>
        <w:jc w:val="center"/>
        <w:rPr>
          <w:rFonts w:hint="eastAsia" w:ascii="仿宋" w:hAnsi="仿宋" w:eastAsia="仿宋" w:cs="仿宋"/>
          <w:b/>
          <w:bCs/>
          <w:color w:val="auto"/>
          <w:sz w:val="72"/>
          <w:szCs w:val="72"/>
          <w:shd w:val="clear" w:color="auto" w:fill="FFFFFF"/>
        </w:rPr>
      </w:pPr>
    </w:p>
    <w:p w14:paraId="4D635493">
      <w:pPr>
        <w:pStyle w:val="35"/>
        <w:wordWrap w:val="0"/>
        <w:spacing w:before="0" w:beforeAutospacing="0" w:after="0" w:afterAutospacing="0" w:line="390" w:lineRule="atLeast"/>
        <w:jc w:val="center"/>
        <w:rPr>
          <w:rFonts w:hint="eastAsia" w:ascii="仿宋" w:hAnsi="仿宋" w:eastAsia="仿宋" w:cs="仿宋"/>
          <w:b/>
          <w:bCs/>
          <w:color w:val="auto"/>
          <w:sz w:val="72"/>
          <w:szCs w:val="72"/>
          <w:shd w:val="clear" w:color="auto" w:fill="FFFFFF"/>
        </w:rPr>
      </w:pPr>
    </w:p>
    <w:p w14:paraId="4AEFE824">
      <w:pPr>
        <w:pStyle w:val="35"/>
        <w:wordWrap w:val="0"/>
        <w:spacing w:before="0" w:beforeAutospacing="0" w:after="0" w:afterAutospacing="0" w:line="390" w:lineRule="atLeast"/>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shd w:val="clear" w:color="auto" w:fill="FFFFFF"/>
        </w:rPr>
        <w:t>磋商响应文件</w:t>
      </w:r>
    </w:p>
    <w:p w14:paraId="2DFF8E76">
      <w:pPr>
        <w:pStyle w:val="35"/>
        <w:wordWrap w:val="0"/>
        <w:spacing w:before="0" w:beforeAutospacing="0" w:after="0" w:afterAutospacing="0" w:line="390" w:lineRule="atLeast"/>
        <w:jc w:val="center"/>
        <w:rPr>
          <w:rFonts w:hint="eastAsia" w:ascii="仿宋" w:hAnsi="仿宋" w:eastAsia="仿宋" w:cs="仿宋"/>
          <w:b/>
          <w:bCs/>
          <w:color w:val="auto"/>
          <w:sz w:val="32"/>
          <w:szCs w:val="32"/>
          <w:shd w:val="clear" w:color="auto" w:fill="FFFFFF"/>
        </w:rPr>
      </w:pPr>
    </w:p>
    <w:p w14:paraId="1A55E716">
      <w:pPr>
        <w:pStyle w:val="35"/>
        <w:wordWrap w:val="0"/>
        <w:spacing w:before="0" w:beforeAutospacing="0" w:after="0" w:afterAutospacing="0" w:line="390" w:lineRule="atLeas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项目编号：SZT2025-SN-QC-ZC-FW-1084</w:t>
      </w:r>
    </w:p>
    <w:p w14:paraId="64C2828E">
      <w:pPr>
        <w:pStyle w:val="35"/>
        <w:wordWrap w:val="0"/>
        <w:spacing w:before="0" w:beforeAutospacing="0" w:after="0" w:afterAutospacing="0" w:line="390" w:lineRule="atLeast"/>
        <w:jc w:val="center"/>
        <w:rPr>
          <w:rFonts w:hint="eastAsia" w:ascii="仿宋" w:hAnsi="仿宋" w:eastAsia="仿宋" w:cs="仿宋"/>
          <w:b/>
          <w:bCs/>
          <w:color w:val="auto"/>
          <w:sz w:val="32"/>
          <w:szCs w:val="32"/>
          <w:shd w:val="clear" w:color="auto" w:fill="FFFFFF"/>
        </w:rPr>
      </w:pPr>
    </w:p>
    <w:p w14:paraId="41BC6546">
      <w:pPr>
        <w:pStyle w:val="35"/>
        <w:wordWrap w:val="0"/>
        <w:spacing w:before="0" w:beforeAutospacing="0" w:after="0" w:afterAutospacing="0" w:line="390" w:lineRule="atLeast"/>
        <w:rPr>
          <w:rFonts w:hint="eastAsia" w:ascii="仿宋" w:hAnsi="仿宋" w:eastAsia="仿宋" w:cs="仿宋"/>
          <w:b/>
          <w:bCs/>
          <w:color w:val="auto"/>
        </w:rPr>
      </w:pPr>
      <w:r>
        <w:rPr>
          <w:rFonts w:ascii="Calibri" w:hAnsi="Calibri" w:eastAsia="仿宋" w:cs="Calibri"/>
          <w:b/>
          <w:bCs/>
          <w:color w:val="auto"/>
          <w:sz w:val="19"/>
          <w:szCs w:val="19"/>
          <w:shd w:val="clear" w:color="auto" w:fill="FFFFFF"/>
        </w:rPr>
        <w:t> </w:t>
      </w:r>
    </w:p>
    <w:p w14:paraId="1E7A8126">
      <w:pPr>
        <w:pStyle w:val="35"/>
        <w:wordWrap w:val="0"/>
        <w:spacing w:before="0" w:beforeAutospacing="0" w:after="0" w:afterAutospacing="0" w:line="390" w:lineRule="atLeast"/>
        <w:rPr>
          <w:rFonts w:hint="eastAsia" w:ascii="仿宋" w:hAnsi="仿宋" w:eastAsia="仿宋" w:cs="仿宋"/>
          <w:b/>
          <w:bCs/>
          <w:color w:val="auto"/>
          <w:sz w:val="19"/>
          <w:szCs w:val="19"/>
          <w:shd w:val="clear" w:color="auto" w:fill="FFFFFF"/>
        </w:rPr>
      </w:pPr>
      <w:r>
        <w:rPr>
          <w:rFonts w:ascii="Calibri" w:hAnsi="Calibri" w:eastAsia="仿宋" w:cs="Calibri"/>
          <w:b/>
          <w:bCs/>
          <w:color w:val="auto"/>
          <w:sz w:val="19"/>
          <w:szCs w:val="19"/>
          <w:shd w:val="clear" w:color="auto" w:fill="FFFFFF"/>
        </w:rPr>
        <w:t> </w:t>
      </w:r>
    </w:p>
    <w:p w14:paraId="2FD6C899">
      <w:pPr>
        <w:pStyle w:val="35"/>
        <w:wordWrap w:val="0"/>
        <w:spacing w:before="0" w:beforeAutospacing="0" w:after="0" w:afterAutospacing="0" w:line="390" w:lineRule="atLeast"/>
        <w:rPr>
          <w:rFonts w:hint="eastAsia" w:ascii="仿宋" w:hAnsi="仿宋" w:eastAsia="仿宋" w:cs="仿宋"/>
          <w:b/>
          <w:bCs/>
          <w:color w:val="auto"/>
          <w:sz w:val="19"/>
          <w:szCs w:val="19"/>
          <w:shd w:val="clear" w:color="auto" w:fill="FFFFFF"/>
        </w:rPr>
      </w:pPr>
    </w:p>
    <w:p w14:paraId="270BD0DA">
      <w:pPr>
        <w:pStyle w:val="35"/>
        <w:wordWrap w:val="0"/>
        <w:spacing w:before="0" w:beforeAutospacing="0" w:after="0" w:afterAutospacing="0" w:line="390" w:lineRule="atLeast"/>
        <w:rPr>
          <w:rFonts w:hint="eastAsia" w:ascii="仿宋" w:hAnsi="仿宋" w:eastAsia="仿宋" w:cs="仿宋"/>
          <w:b/>
          <w:bCs/>
          <w:color w:val="auto"/>
          <w:sz w:val="19"/>
          <w:szCs w:val="19"/>
          <w:shd w:val="clear" w:color="auto" w:fill="FFFFFF"/>
        </w:rPr>
      </w:pPr>
    </w:p>
    <w:p w14:paraId="04E59C3B">
      <w:pPr>
        <w:pStyle w:val="35"/>
        <w:wordWrap w:val="0"/>
        <w:spacing w:before="0" w:beforeAutospacing="0" w:after="0" w:afterAutospacing="0" w:line="390" w:lineRule="atLeast"/>
        <w:rPr>
          <w:rFonts w:hint="eastAsia" w:ascii="仿宋" w:hAnsi="仿宋" w:eastAsia="仿宋" w:cs="仿宋"/>
          <w:b/>
          <w:bCs/>
          <w:color w:val="auto"/>
          <w:sz w:val="19"/>
          <w:szCs w:val="19"/>
          <w:shd w:val="clear" w:color="auto" w:fill="FFFFFF"/>
        </w:rPr>
      </w:pPr>
    </w:p>
    <w:p w14:paraId="295BD900">
      <w:pPr>
        <w:pStyle w:val="35"/>
        <w:wordWrap w:val="0"/>
        <w:spacing w:before="0" w:beforeAutospacing="0" w:after="0" w:afterAutospacing="0" w:line="390" w:lineRule="atLeast"/>
        <w:rPr>
          <w:rFonts w:hint="eastAsia" w:ascii="仿宋" w:hAnsi="仿宋" w:eastAsia="仿宋" w:cs="仿宋"/>
          <w:b/>
          <w:bCs/>
          <w:color w:val="auto"/>
          <w:sz w:val="19"/>
          <w:szCs w:val="19"/>
          <w:shd w:val="clear" w:color="auto" w:fill="FFFFFF"/>
        </w:rPr>
      </w:pPr>
    </w:p>
    <w:p w14:paraId="46A767B3">
      <w:pPr>
        <w:pStyle w:val="132"/>
        <w:wordWrap w:val="0"/>
        <w:spacing w:line="390" w:lineRule="atLeast"/>
        <w:rPr>
          <w:rFonts w:hint="eastAsia" w:ascii="仿宋" w:hAnsi="仿宋" w:eastAsia="仿宋" w:cs="仿宋"/>
          <w:b/>
          <w:bCs/>
          <w:color w:val="auto"/>
        </w:rPr>
      </w:pPr>
      <w:r>
        <w:rPr>
          <w:rFonts w:ascii="Calibri" w:hAnsi="Calibri" w:eastAsia="仿宋" w:cs="Calibri"/>
          <w:b/>
          <w:bCs/>
          <w:color w:val="auto"/>
          <w:sz w:val="19"/>
          <w:szCs w:val="19"/>
          <w:shd w:val="clear" w:color="auto" w:fill="FFFFFF"/>
        </w:rPr>
        <w:t>  </w:t>
      </w:r>
    </w:p>
    <w:p w14:paraId="22CF0359">
      <w:pPr>
        <w:spacing w:line="360" w:lineRule="auto"/>
        <w:ind w:firstLine="858" w:firstLineChars="450"/>
        <w:rPr>
          <w:rFonts w:hint="eastAsia" w:ascii="仿宋" w:hAnsi="仿宋" w:eastAsia="仿宋" w:cs="仿宋"/>
          <w:b/>
          <w:color w:val="auto"/>
          <w:sz w:val="28"/>
          <w:highlight w:val="none"/>
        </w:rPr>
      </w:pPr>
      <w:r>
        <w:rPr>
          <w:rFonts w:ascii="Calibri" w:hAnsi="Calibri" w:eastAsia="仿宋" w:cs="Calibri"/>
          <w:b/>
          <w:bCs/>
          <w:color w:val="auto"/>
          <w:sz w:val="19"/>
          <w:szCs w:val="19"/>
          <w:shd w:val="clear" w:color="auto" w:fill="FFFFFF"/>
        </w:rPr>
        <w:t> </w:t>
      </w:r>
    </w:p>
    <w:p w14:paraId="07D52102">
      <w:pPr>
        <w:spacing w:line="360" w:lineRule="auto"/>
        <w:ind w:firstLine="1265" w:firstLineChars="450"/>
        <w:rPr>
          <w:rFonts w:hint="eastAsia" w:ascii="仿宋" w:hAnsi="仿宋" w:eastAsia="仿宋" w:cs="仿宋"/>
          <w:b/>
          <w:color w:val="auto"/>
          <w:sz w:val="28"/>
          <w:highlight w:val="none"/>
        </w:rPr>
      </w:pPr>
      <w:r>
        <w:rPr>
          <w:rFonts w:hint="eastAsia" w:ascii="仿宋" w:hAnsi="仿宋" w:eastAsia="仿宋" w:cs="仿宋"/>
          <w:b/>
          <w:color w:val="auto"/>
          <w:sz w:val="28"/>
          <w:highlight w:val="none"/>
          <w:lang w:eastAsia="zh-CN"/>
        </w:rPr>
        <w:t>供应商</w:t>
      </w:r>
      <w:r>
        <w:rPr>
          <w:rFonts w:hint="eastAsia" w:ascii="仿宋" w:hAnsi="仿宋" w:eastAsia="仿宋" w:cs="仿宋"/>
          <w:b/>
          <w:color w:val="auto"/>
          <w:sz w:val="28"/>
          <w:highlight w:val="none"/>
        </w:rPr>
        <w:t>：</w:t>
      </w:r>
      <w:r>
        <w:rPr>
          <w:rFonts w:hint="eastAsia" w:ascii="仿宋" w:hAnsi="仿宋" w:eastAsia="仿宋" w:cs="仿宋"/>
          <w:b/>
          <w:color w:val="auto"/>
          <w:sz w:val="28"/>
          <w:highlight w:val="none"/>
          <w:u w:val="single"/>
        </w:rPr>
        <w:t xml:space="preserve">                              </w:t>
      </w:r>
    </w:p>
    <w:p w14:paraId="46477D6D">
      <w:pPr>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（盖章）   </w:t>
      </w:r>
    </w:p>
    <w:p w14:paraId="57E60444">
      <w:pPr>
        <w:jc w:val="center"/>
        <w:rPr>
          <w:rFonts w:hint="eastAsia" w:ascii="仿宋" w:hAnsi="仿宋" w:eastAsia="仿宋" w:cs="仿宋"/>
          <w:b/>
          <w:color w:val="auto"/>
          <w:sz w:val="28"/>
          <w:highlight w:val="none"/>
        </w:rPr>
      </w:pPr>
    </w:p>
    <w:p w14:paraId="28189A96">
      <w:pPr>
        <w:pStyle w:val="35"/>
        <w:wordWrap w:val="0"/>
        <w:spacing w:before="0" w:beforeAutospacing="0" w:after="0" w:afterAutospacing="0" w:line="360" w:lineRule="auto"/>
        <w:jc w:val="center"/>
        <w:rPr>
          <w:rFonts w:hint="eastAsia" w:ascii="仿宋" w:hAnsi="仿宋" w:eastAsia="仿宋" w:cs="仿宋"/>
          <w:b/>
          <w:bCs/>
          <w:color w:val="auto"/>
          <w:sz w:val="28"/>
          <w:u w:val="single"/>
        </w:rPr>
      </w:pPr>
      <w:r>
        <w:rPr>
          <w:rFonts w:hint="eastAsia" w:ascii="仿宋" w:hAnsi="仿宋" w:eastAsia="仿宋" w:cs="仿宋"/>
          <w:b/>
          <w:color w:val="auto"/>
          <w:sz w:val="28"/>
          <w:highlight w:val="none"/>
          <w:lang w:val="en-US" w:eastAsia="zh-CN"/>
        </w:rPr>
        <w:t xml:space="preserve">年   </w:t>
      </w:r>
      <w:r>
        <w:rPr>
          <w:rFonts w:hint="eastAsia" w:ascii="仿宋" w:hAnsi="仿宋" w:eastAsia="仿宋" w:cs="仿宋"/>
          <w:b/>
          <w:color w:val="auto"/>
          <w:sz w:val="28"/>
          <w:highlight w:val="none"/>
        </w:rPr>
        <w:t>月</w:t>
      </w:r>
    </w:p>
    <w:p w14:paraId="3A69135D">
      <w:pPr>
        <w:pStyle w:val="35"/>
        <w:wordWrap w:val="0"/>
        <w:spacing w:before="0" w:beforeAutospacing="0" w:after="0" w:afterAutospacing="0" w:line="360" w:lineRule="auto"/>
        <w:ind w:firstLine="2250"/>
        <w:rPr>
          <w:rFonts w:hint="eastAsia" w:ascii="仿宋" w:hAnsi="仿宋" w:eastAsia="仿宋" w:cs="仿宋"/>
          <w:b/>
          <w:bCs/>
          <w:color w:val="auto"/>
          <w:sz w:val="28"/>
          <w:u w:val="single"/>
        </w:rPr>
      </w:pPr>
    </w:p>
    <w:p w14:paraId="746D81E3">
      <w:pPr>
        <w:pStyle w:val="35"/>
        <w:wordWrap w:val="0"/>
        <w:spacing w:before="0" w:beforeAutospacing="0" w:after="0" w:afterAutospacing="0" w:line="360" w:lineRule="auto"/>
        <w:rPr>
          <w:rFonts w:hint="eastAsia" w:ascii="仿宋" w:hAnsi="仿宋" w:eastAsia="仿宋" w:cs="仿宋"/>
          <w:b/>
          <w:color w:val="auto"/>
          <w:sz w:val="28"/>
          <w:u w:val="single"/>
        </w:rPr>
      </w:pPr>
    </w:p>
    <w:p w14:paraId="1E82C74A">
      <w:pPr>
        <w:jc w:val="center"/>
        <w:rPr>
          <w:rFonts w:hint="eastAsia" w:ascii="仿宋" w:hAnsi="仿宋" w:eastAsia="仿宋" w:cs="仿宋"/>
          <w:color w:val="auto"/>
          <w:sz w:val="32"/>
          <w:szCs w:val="32"/>
        </w:rPr>
      </w:pPr>
      <w:r>
        <w:rPr>
          <w:rFonts w:hint="eastAsia" w:ascii="仿宋" w:hAnsi="仿宋" w:eastAsia="仿宋" w:cs="仿宋"/>
          <w:color w:val="auto"/>
          <w:sz w:val="32"/>
          <w:szCs w:val="32"/>
        </w:rPr>
        <w:t>目</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录</w:t>
      </w:r>
    </w:p>
    <w:p w14:paraId="7F5DE6BF">
      <w:pPr>
        <w:spacing w:line="360" w:lineRule="auto"/>
        <w:jc w:val="center"/>
        <w:rPr>
          <w:rFonts w:hint="eastAsia" w:ascii="仿宋" w:hAnsi="仿宋" w:eastAsia="仿宋" w:cs="仿宋"/>
          <w:b/>
          <w:color w:val="auto"/>
          <w:sz w:val="28"/>
        </w:rPr>
      </w:pPr>
    </w:p>
    <w:p w14:paraId="0B7FC939">
      <w:pPr>
        <w:spacing w:line="360" w:lineRule="auto"/>
        <w:jc w:val="center"/>
        <w:rPr>
          <w:rFonts w:hint="eastAsia" w:ascii="仿宋" w:hAnsi="仿宋" w:eastAsia="仿宋" w:cs="仿宋"/>
          <w:b/>
          <w:color w:val="auto"/>
          <w:sz w:val="28"/>
        </w:rPr>
      </w:pPr>
    </w:p>
    <w:p w14:paraId="19D62B1E">
      <w:pPr>
        <w:spacing w:line="360" w:lineRule="auto"/>
        <w:jc w:val="center"/>
        <w:rPr>
          <w:rFonts w:hint="eastAsia" w:ascii="仿宋" w:hAnsi="仿宋" w:eastAsia="仿宋" w:cs="仿宋"/>
          <w:b/>
          <w:color w:val="auto"/>
          <w:sz w:val="28"/>
        </w:rPr>
      </w:pPr>
    </w:p>
    <w:p w14:paraId="1F6433D1">
      <w:pPr>
        <w:spacing w:line="360" w:lineRule="auto"/>
        <w:jc w:val="center"/>
        <w:rPr>
          <w:rFonts w:hint="eastAsia" w:ascii="仿宋" w:hAnsi="仿宋" w:eastAsia="仿宋" w:cs="仿宋"/>
          <w:b/>
          <w:color w:val="auto"/>
          <w:sz w:val="28"/>
        </w:rPr>
      </w:pPr>
    </w:p>
    <w:p w14:paraId="46F8F6EC">
      <w:pPr>
        <w:spacing w:line="360" w:lineRule="auto"/>
        <w:jc w:val="center"/>
        <w:rPr>
          <w:rFonts w:hint="eastAsia" w:ascii="仿宋" w:hAnsi="仿宋" w:eastAsia="仿宋" w:cs="仿宋"/>
          <w:b/>
          <w:color w:val="auto"/>
          <w:sz w:val="28"/>
        </w:rPr>
      </w:pPr>
    </w:p>
    <w:p w14:paraId="7B7CCF5A">
      <w:pPr>
        <w:spacing w:line="360" w:lineRule="auto"/>
        <w:jc w:val="center"/>
        <w:rPr>
          <w:rFonts w:hint="eastAsia" w:ascii="仿宋" w:hAnsi="仿宋" w:eastAsia="仿宋" w:cs="仿宋"/>
          <w:b/>
          <w:color w:val="auto"/>
          <w:sz w:val="28"/>
        </w:rPr>
      </w:pPr>
    </w:p>
    <w:p w14:paraId="17C7D2E6">
      <w:pPr>
        <w:spacing w:line="360" w:lineRule="auto"/>
        <w:jc w:val="center"/>
        <w:rPr>
          <w:rFonts w:hint="eastAsia" w:ascii="仿宋" w:hAnsi="仿宋" w:eastAsia="仿宋" w:cs="仿宋"/>
          <w:b/>
          <w:color w:val="auto"/>
          <w:sz w:val="28"/>
        </w:rPr>
      </w:pPr>
    </w:p>
    <w:p w14:paraId="6C053179">
      <w:pPr>
        <w:spacing w:line="360" w:lineRule="auto"/>
        <w:jc w:val="center"/>
        <w:rPr>
          <w:rFonts w:hint="eastAsia" w:ascii="仿宋" w:hAnsi="仿宋" w:eastAsia="仿宋" w:cs="仿宋"/>
          <w:b/>
          <w:color w:val="auto"/>
          <w:sz w:val="28"/>
        </w:rPr>
      </w:pPr>
    </w:p>
    <w:p w14:paraId="3FABEE7A">
      <w:pPr>
        <w:spacing w:line="360" w:lineRule="auto"/>
        <w:jc w:val="center"/>
        <w:rPr>
          <w:rFonts w:hint="eastAsia" w:ascii="仿宋" w:hAnsi="仿宋" w:eastAsia="仿宋" w:cs="仿宋"/>
          <w:b/>
          <w:color w:val="auto"/>
          <w:sz w:val="28"/>
        </w:rPr>
      </w:pPr>
    </w:p>
    <w:p w14:paraId="7DEE912B">
      <w:pPr>
        <w:spacing w:line="360" w:lineRule="auto"/>
        <w:jc w:val="center"/>
        <w:rPr>
          <w:rFonts w:hint="eastAsia" w:ascii="仿宋" w:hAnsi="仿宋" w:eastAsia="仿宋" w:cs="仿宋"/>
          <w:b/>
          <w:color w:val="auto"/>
          <w:sz w:val="28"/>
        </w:rPr>
      </w:pPr>
    </w:p>
    <w:p w14:paraId="29BBB6E0">
      <w:pPr>
        <w:spacing w:line="360" w:lineRule="auto"/>
        <w:jc w:val="center"/>
        <w:rPr>
          <w:rFonts w:hint="eastAsia" w:ascii="仿宋" w:hAnsi="仿宋" w:eastAsia="仿宋" w:cs="仿宋"/>
          <w:b/>
          <w:color w:val="auto"/>
          <w:sz w:val="28"/>
        </w:rPr>
      </w:pPr>
    </w:p>
    <w:p w14:paraId="01A5859C">
      <w:pPr>
        <w:spacing w:line="360" w:lineRule="auto"/>
        <w:jc w:val="center"/>
        <w:rPr>
          <w:rFonts w:hint="eastAsia" w:ascii="仿宋" w:hAnsi="仿宋" w:eastAsia="仿宋" w:cs="仿宋"/>
          <w:b/>
          <w:color w:val="auto"/>
          <w:sz w:val="28"/>
        </w:rPr>
      </w:pPr>
    </w:p>
    <w:p w14:paraId="4F24C784">
      <w:pPr>
        <w:spacing w:line="360" w:lineRule="auto"/>
        <w:jc w:val="center"/>
        <w:rPr>
          <w:rFonts w:hint="eastAsia" w:ascii="仿宋" w:hAnsi="仿宋" w:eastAsia="仿宋" w:cs="仿宋"/>
          <w:b/>
          <w:color w:val="auto"/>
          <w:sz w:val="28"/>
        </w:rPr>
      </w:pPr>
    </w:p>
    <w:p w14:paraId="213C723F">
      <w:pPr>
        <w:spacing w:line="360" w:lineRule="auto"/>
        <w:jc w:val="center"/>
        <w:rPr>
          <w:rFonts w:hint="eastAsia" w:ascii="仿宋" w:hAnsi="仿宋" w:eastAsia="仿宋" w:cs="仿宋"/>
          <w:b/>
          <w:color w:val="auto"/>
          <w:sz w:val="28"/>
        </w:rPr>
      </w:pPr>
    </w:p>
    <w:p w14:paraId="2AEAD684">
      <w:pPr>
        <w:spacing w:line="360" w:lineRule="auto"/>
        <w:jc w:val="center"/>
        <w:rPr>
          <w:rFonts w:hint="eastAsia" w:ascii="仿宋" w:hAnsi="仿宋" w:eastAsia="仿宋" w:cs="仿宋"/>
          <w:b/>
          <w:color w:val="auto"/>
          <w:sz w:val="28"/>
        </w:rPr>
      </w:pPr>
    </w:p>
    <w:p w14:paraId="6101022A">
      <w:pPr>
        <w:spacing w:line="360" w:lineRule="auto"/>
        <w:jc w:val="center"/>
        <w:rPr>
          <w:rFonts w:hint="eastAsia" w:ascii="仿宋" w:hAnsi="仿宋" w:eastAsia="仿宋" w:cs="仿宋"/>
          <w:b/>
          <w:color w:val="auto"/>
          <w:sz w:val="28"/>
        </w:rPr>
      </w:pPr>
    </w:p>
    <w:p w14:paraId="360DE752">
      <w:pPr>
        <w:spacing w:line="360" w:lineRule="auto"/>
        <w:jc w:val="center"/>
        <w:rPr>
          <w:rFonts w:hint="eastAsia" w:ascii="仿宋" w:hAnsi="仿宋" w:eastAsia="仿宋" w:cs="仿宋"/>
          <w:b/>
          <w:color w:val="auto"/>
          <w:sz w:val="28"/>
        </w:rPr>
      </w:pPr>
    </w:p>
    <w:p w14:paraId="71A72458">
      <w:pPr>
        <w:spacing w:line="360" w:lineRule="auto"/>
        <w:jc w:val="center"/>
        <w:rPr>
          <w:rFonts w:hint="eastAsia" w:ascii="仿宋" w:hAnsi="仿宋" w:eastAsia="仿宋" w:cs="仿宋"/>
          <w:b/>
          <w:color w:val="auto"/>
          <w:sz w:val="28"/>
        </w:rPr>
      </w:pPr>
    </w:p>
    <w:p w14:paraId="2A137C7A">
      <w:pPr>
        <w:spacing w:line="360" w:lineRule="auto"/>
        <w:jc w:val="center"/>
        <w:rPr>
          <w:rFonts w:hint="eastAsia" w:ascii="仿宋" w:hAnsi="仿宋" w:eastAsia="仿宋" w:cs="仿宋"/>
          <w:b/>
          <w:color w:val="auto"/>
          <w:sz w:val="28"/>
        </w:rPr>
      </w:pPr>
    </w:p>
    <w:p w14:paraId="7EFC0076">
      <w:pPr>
        <w:spacing w:line="360" w:lineRule="auto"/>
        <w:jc w:val="center"/>
        <w:rPr>
          <w:rFonts w:hint="eastAsia" w:ascii="仿宋" w:hAnsi="仿宋" w:eastAsia="仿宋" w:cs="仿宋"/>
          <w:b/>
          <w:color w:val="auto"/>
          <w:sz w:val="28"/>
        </w:rPr>
      </w:pPr>
    </w:p>
    <w:p w14:paraId="23DB7BF1">
      <w:pPr>
        <w:pStyle w:val="186"/>
        <w:rPr>
          <w:rFonts w:hint="eastAsia" w:ascii="仿宋" w:hAnsi="仿宋" w:eastAsia="仿宋" w:cs="仿宋"/>
          <w:color w:val="auto"/>
        </w:rPr>
      </w:pPr>
    </w:p>
    <w:p w14:paraId="2DFB7B64">
      <w:pPr>
        <w:spacing w:line="360" w:lineRule="auto"/>
        <w:jc w:val="center"/>
        <w:rPr>
          <w:rFonts w:hint="eastAsia" w:ascii="仿宋" w:hAnsi="仿宋" w:eastAsia="仿宋" w:cs="仿宋"/>
          <w:b/>
          <w:color w:val="auto"/>
          <w:sz w:val="28"/>
        </w:rPr>
      </w:pPr>
    </w:p>
    <w:p w14:paraId="3FA97FFA">
      <w:pPr>
        <w:pStyle w:val="35"/>
        <w:wordWrap w:val="0"/>
        <w:spacing w:before="0" w:beforeAutospacing="0" w:after="0" w:afterAutospacing="0" w:line="360" w:lineRule="auto"/>
        <w:rPr>
          <w:rFonts w:hint="eastAsia" w:ascii="仿宋" w:hAnsi="仿宋" w:eastAsia="仿宋" w:cs="仿宋"/>
          <w:b/>
          <w:color w:val="auto"/>
          <w:sz w:val="28"/>
          <w:u w:val="single"/>
        </w:rPr>
      </w:pPr>
    </w:p>
    <w:bookmarkEnd w:id="176"/>
    <w:bookmarkEnd w:id="177"/>
    <w:bookmarkEnd w:id="178"/>
    <w:bookmarkEnd w:id="179"/>
    <w:bookmarkEnd w:id="180"/>
    <w:bookmarkEnd w:id="181"/>
    <w:bookmarkEnd w:id="182"/>
    <w:bookmarkEnd w:id="183"/>
    <w:bookmarkEnd w:id="184"/>
    <w:bookmarkEnd w:id="185"/>
    <w:p w14:paraId="504A4FD4">
      <w:pPr>
        <w:pStyle w:val="4"/>
        <w:rPr>
          <w:rFonts w:hint="eastAsia" w:ascii="仿宋" w:hAnsi="仿宋" w:eastAsia="仿宋" w:cs="仿宋"/>
          <w:color w:val="auto"/>
        </w:rPr>
      </w:pPr>
      <w:bookmarkStart w:id="186" w:name="_Toc357087380"/>
      <w:bookmarkStart w:id="187" w:name="_Toc21305"/>
      <w:bookmarkStart w:id="188" w:name="_Toc361149373"/>
      <w:bookmarkStart w:id="189" w:name="_Toc7961"/>
      <w:bookmarkStart w:id="190" w:name="_Toc375473504"/>
      <w:bookmarkStart w:id="191" w:name="_Toc416185201"/>
      <w:bookmarkStart w:id="192" w:name="_Toc17804"/>
      <w:bookmarkStart w:id="193" w:name="_Toc381"/>
      <w:bookmarkStart w:id="194" w:name="_Toc357600772"/>
      <w:bookmarkStart w:id="195" w:name="_Toc2635"/>
      <w:bookmarkStart w:id="196" w:name="_Toc246928970"/>
      <w:bookmarkStart w:id="197" w:name="_Toc492955471"/>
      <w:bookmarkStart w:id="198" w:name="_Toc167595494"/>
      <w:bookmarkStart w:id="199" w:name="_Toc25739"/>
      <w:bookmarkStart w:id="200" w:name="_Toc497546930"/>
      <w:bookmarkStart w:id="201" w:name="_Toc173809567"/>
      <w:bookmarkStart w:id="202" w:name="_Toc497551832"/>
      <w:bookmarkStart w:id="203" w:name="_Toc497711597"/>
      <w:bookmarkStart w:id="204" w:name="_Toc497712145"/>
      <w:bookmarkStart w:id="205" w:name="_Toc414876139"/>
      <w:r>
        <w:rPr>
          <w:rFonts w:hint="eastAsia" w:ascii="仿宋" w:hAnsi="仿宋" w:eastAsia="仿宋" w:cs="仿宋"/>
          <w:color w:val="auto"/>
        </w:rPr>
        <w:br w:type="page"/>
      </w:r>
      <w:bookmarkStart w:id="206" w:name="_Toc16623"/>
      <w:r>
        <w:rPr>
          <w:rFonts w:hint="eastAsia" w:ascii="仿宋" w:hAnsi="仿宋" w:eastAsia="仿宋" w:cs="仿宋"/>
          <w:color w:val="auto"/>
        </w:rPr>
        <w:t>附件</w:t>
      </w:r>
      <w:bookmarkStart w:id="207" w:name="_Hlt491765542"/>
      <w:bookmarkEnd w:id="207"/>
      <w:r>
        <w:rPr>
          <w:rFonts w:hint="eastAsia" w:ascii="仿宋" w:hAnsi="仿宋" w:eastAsia="仿宋" w:cs="仿宋"/>
          <w:color w:val="auto"/>
        </w:rPr>
        <w:t xml:space="preserve">1  </w:t>
      </w:r>
      <w:bookmarkEnd w:id="186"/>
      <w:bookmarkEnd w:id="187"/>
      <w:r>
        <w:rPr>
          <w:rFonts w:hint="eastAsia" w:ascii="仿宋" w:hAnsi="仿宋" w:eastAsia="仿宋" w:cs="仿宋"/>
          <w:color w:val="auto"/>
        </w:rPr>
        <w:t>磋商响应函</w:t>
      </w:r>
      <w:bookmarkEnd w:id="206"/>
    </w:p>
    <w:p w14:paraId="240166EF">
      <w:pPr>
        <w:spacing w:line="400" w:lineRule="atLeast"/>
        <w:rPr>
          <w:rFonts w:hint="eastAsia" w:ascii="仿宋" w:hAnsi="仿宋" w:eastAsia="仿宋" w:cs="仿宋"/>
          <w:color w:val="auto"/>
          <w:sz w:val="24"/>
        </w:rPr>
      </w:pPr>
      <w:r>
        <w:rPr>
          <w:rFonts w:hint="eastAsia" w:ascii="仿宋" w:hAnsi="仿宋" w:eastAsia="仿宋" w:cs="仿宋"/>
          <w:color w:val="auto"/>
          <w:sz w:val="24"/>
        </w:rPr>
        <w:t>致：陕西中技招标有限公司</w:t>
      </w:r>
    </w:p>
    <w:p w14:paraId="680FDCE4">
      <w:pPr>
        <w:spacing w:line="400" w:lineRule="atLeast"/>
        <w:rPr>
          <w:rFonts w:hint="eastAsia" w:ascii="仿宋" w:hAnsi="仿宋" w:eastAsia="仿宋" w:cs="仿宋"/>
          <w:color w:val="auto"/>
          <w:sz w:val="24"/>
        </w:rPr>
      </w:pPr>
    </w:p>
    <w:p w14:paraId="1A8885D6">
      <w:pPr>
        <w:spacing w:line="400" w:lineRule="atLeast"/>
        <w:ind w:firstLine="540" w:firstLineChars="225"/>
        <w:rPr>
          <w:rFonts w:hint="eastAsia" w:ascii="仿宋" w:hAnsi="仿宋" w:eastAsia="仿宋" w:cs="仿宋"/>
          <w:color w:val="auto"/>
          <w:sz w:val="24"/>
        </w:rPr>
      </w:pPr>
      <w:r>
        <w:rPr>
          <w:rFonts w:hint="eastAsia" w:ascii="仿宋" w:hAnsi="仿宋" w:eastAsia="仿宋" w:cs="仿宋"/>
          <w:color w:val="auto"/>
          <w:sz w:val="24"/>
        </w:rPr>
        <w:t>根据贵方为</w:t>
      </w:r>
      <w:r>
        <w:rPr>
          <w:rFonts w:hint="eastAsia" w:ascii="仿宋" w:hAnsi="仿宋" w:eastAsia="仿宋" w:cs="仿宋"/>
          <w:color w:val="auto"/>
          <w:sz w:val="24"/>
          <w:u w:val="single"/>
          <w:lang w:eastAsia="zh-CN"/>
        </w:rPr>
        <w:t>项目</w:t>
      </w:r>
      <w:r>
        <w:rPr>
          <w:rFonts w:hint="eastAsia" w:ascii="仿宋" w:hAnsi="仿宋" w:eastAsia="仿宋" w:cs="仿宋"/>
          <w:color w:val="auto"/>
          <w:sz w:val="24"/>
          <w:u w:val="single"/>
        </w:rPr>
        <w:t>名称、</w:t>
      </w:r>
      <w:r>
        <w:rPr>
          <w:rFonts w:hint="eastAsia" w:ascii="仿宋" w:hAnsi="仿宋" w:eastAsia="仿宋" w:cs="仿宋"/>
          <w:color w:val="auto"/>
          <w:sz w:val="24"/>
          <w:u w:val="single"/>
          <w:lang w:eastAsia="zh-CN"/>
        </w:rPr>
        <w:t>项目</w:t>
      </w:r>
      <w:r>
        <w:rPr>
          <w:rFonts w:hint="eastAsia" w:ascii="仿宋" w:hAnsi="仿宋" w:eastAsia="仿宋" w:cs="仿宋"/>
          <w:color w:val="auto"/>
          <w:sz w:val="24"/>
          <w:u w:val="single"/>
        </w:rPr>
        <w:t xml:space="preserve">编号  </w:t>
      </w:r>
      <w:r>
        <w:rPr>
          <w:rFonts w:hint="eastAsia" w:ascii="仿宋" w:hAnsi="仿宋" w:eastAsia="仿宋" w:cs="仿宋"/>
          <w:color w:val="auto"/>
          <w:sz w:val="24"/>
        </w:rPr>
        <w:t>的竞争性磋商文件，签字代表</w:t>
      </w:r>
      <w:r>
        <w:rPr>
          <w:rFonts w:hint="eastAsia" w:ascii="仿宋" w:hAnsi="仿宋" w:eastAsia="仿宋" w:cs="仿宋"/>
          <w:color w:val="auto"/>
          <w:sz w:val="24"/>
          <w:u w:val="single"/>
        </w:rPr>
        <w:t xml:space="preserve">  (全名、职务)</w:t>
      </w:r>
      <w:r>
        <w:rPr>
          <w:rFonts w:hint="eastAsia" w:ascii="仿宋" w:hAnsi="仿宋" w:eastAsia="仿宋" w:cs="仿宋"/>
          <w:color w:val="auto"/>
          <w:sz w:val="24"/>
        </w:rPr>
        <w:t>经正式授权并代表</w:t>
      </w:r>
      <w:r>
        <w:rPr>
          <w:rFonts w:hint="eastAsia" w:ascii="仿宋" w:hAnsi="仿宋" w:eastAsia="仿宋" w:cs="仿宋"/>
          <w:color w:val="auto"/>
          <w:sz w:val="24"/>
          <w:u w:val="single"/>
        </w:rPr>
        <w:t xml:space="preserve"> (供应商名称、地址）</w:t>
      </w:r>
      <w:r>
        <w:rPr>
          <w:rFonts w:hint="eastAsia" w:ascii="仿宋" w:hAnsi="仿宋" w:eastAsia="仿宋" w:cs="仿宋"/>
          <w:color w:val="auto"/>
          <w:sz w:val="24"/>
        </w:rPr>
        <w:t>提交包含下述内容的磋商响应文件。</w:t>
      </w:r>
    </w:p>
    <w:p w14:paraId="69D15470">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(1) 磋商响应函；</w:t>
      </w:r>
    </w:p>
    <w:p w14:paraId="28F067D6">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(2) 磋商报价表；</w:t>
      </w:r>
    </w:p>
    <w:p w14:paraId="404FD4E3">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(3) 按磋商须知要求提供的全部文件和磋商文件要求的响应文件；</w:t>
      </w:r>
    </w:p>
    <w:p w14:paraId="12ABAC02">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(4) 供应商资格证明文件；</w:t>
      </w:r>
    </w:p>
    <w:p w14:paraId="50CD2092">
      <w:pPr>
        <w:spacing w:line="400" w:lineRule="atLeas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据此函，签字代表宣布同意如下：</w:t>
      </w:r>
    </w:p>
    <w:p w14:paraId="670924E6">
      <w:pPr>
        <w:spacing w:line="400" w:lineRule="atLeast"/>
        <w:ind w:firstLine="420"/>
        <w:rPr>
          <w:rFonts w:hint="eastAsia" w:ascii="仿宋" w:hAnsi="仿宋" w:eastAsia="仿宋" w:cs="仿宋"/>
          <w:color w:val="auto"/>
          <w:sz w:val="24"/>
        </w:rPr>
      </w:pPr>
      <w:r>
        <w:rPr>
          <w:rFonts w:hint="eastAsia" w:ascii="仿宋" w:hAnsi="仿宋" w:eastAsia="仿宋" w:cs="仿宋"/>
          <w:color w:val="auto"/>
          <w:sz w:val="24"/>
        </w:rPr>
        <w:t>1、供应商将按磋商文件的规定履行合同责任和义务;</w:t>
      </w:r>
    </w:p>
    <w:p w14:paraId="2D9178D0">
      <w:pPr>
        <w:spacing w:line="400" w:lineRule="atLeast"/>
        <w:ind w:firstLine="420"/>
        <w:rPr>
          <w:rFonts w:hint="eastAsia" w:ascii="仿宋" w:hAnsi="仿宋" w:eastAsia="仿宋" w:cs="仿宋"/>
          <w:color w:val="auto"/>
          <w:sz w:val="24"/>
        </w:rPr>
      </w:pPr>
      <w:r>
        <w:rPr>
          <w:rFonts w:hint="eastAsia" w:ascii="仿宋" w:hAnsi="仿宋" w:eastAsia="仿宋" w:cs="仿宋"/>
          <w:color w:val="auto"/>
          <w:sz w:val="24"/>
        </w:rPr>
        <w:t>2. 供应商已详细审查全部磋商文件，包括修改文件（如有的话）以及全部参考资料和有关附件。我们完全理解并同意放弃对这方面有不明及误解的权利；</w:t>
      </w:r>
    </w:p>
    <w:p w14:paraId="3E26731C">
      <w:pPr>
        <w:spacing w:line="400" w:lineRule="atLeast"/>
        <w:ind w:firstLine="420"/>
        <w:rPr>
          <w:rFonts w:hint="eastAsia" w:ascii="仿宋" w:hAnsi="仿宋" w:eastAsia="仿宋" w:cs="仿宋"/>
          <w:color w:val="auto"/>
          <w:sz w:val="24"/>
        </w:rPr>
      </w:pPr>
      <w:r>
        <w:rPr>
          <w:rFonts w:hint="eastAsia" w:ascii="仿宋" w:hAnsi="仿宋" w:eastAsia="仿宋" w:cs="仿宋"/>
          <w:color w:val="auto"/>
          <w:sz w:val="24"/>
        </w:rPr>
        <w:t>3. 磋商报价自磋商响应文件截止之日起有效期为</w:t>
      </w:r>
      <w:r>
        <w:rPr>
          <w:rFonts w:hint="eastAsia" w:ascii="仿宋" w:hAnsi="仿宋" w:eastAsia="仿宋" w:cs="仿宋"/>
          <w:color w:val="auto"/>
          <w:sz w:val="24"/>
          <w:u w:val="single"/>
        </w:rPr>
        <w:t>90</w:t>
      </w:r>
      <w:r>
        <w:rPr>
          <w:rFonts w:hint="eastAsia" w:ascii="仿宋" w:hAnsi="仿宋" w:eastAsia="仿宋" w:cs="仿宋"/>
          <w:color w:val="auto"/>
          <w:sz w:val="24"/>
        </w:rPr>
        <w:t>个日历天；</w:t>
      </w:r>
    </w:p>
    <w:p w14:paraId="09D0EBE7">
      <w:pPr>
        <w:spacing w:line="400" w:lineRule="atLeast"/>
        <w:ind w:firstLine="420"/>
        <w:rPr>
          <w:rFonts w:hint="eastAsia" w:ascii="仿宋" w:hAnsi="仿宋" w:eastAsia="仿宋" w:cs="仿宋"/>
          <w:color w:val="auto"/>
          <w:sz w:val="24"/>
        </w:rPr>
      </w:pPr>
      <w:r>
        <w:rPr>
          <w:rFonts w:hint="eastAsia" w:ascii="仿宋" w:hAnsi="仿宋" w:eastAsia="仿宋" w:cs="仿宋"/>
          <w:color w:val="auto"/>
          <w:sz w:val="24"/>
        </w:rPr>
        <w:t>4. 供应商同意提供按照贵方可能要求的与其报价有关的一切数据或资料，完全理解贵方不一定要接受最低价的磋商报价或收到的任何磋商报价；</w:t>
      </w:r>
    </w:p>
    <w:p w14:paraId="114BB293">
      <w:pPr>
        <w:spacing w:line="400" w:lineRule="atLeast"/>
        <w:ind w:firstLine="42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5.我方承诺，若我方成交将按照磋商文件要求在领取成交通知书时向采购代理机构交纳足额的招标代理服务费；</w:t>
      </w:r>
    </w:p>
    <w:p w14:paraId="25E016C9">
      <w:pPr>
        <w:spacing w:line="400" w:lineRule="atLeast"/>
        <w:ind w:firstLine="420"/>
        <w:rPr>
          <w:rFonts w:hint="eastAsia" w:ascii="仿宋" w:hAnsi="仿宋" w:eastAsia="仿宋" w:cs="仿宋"/>
          <w:color w:val="auto"/>
          <w:sz w:val="24"/>
        </w:rPr>
      </w:pP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rPr>
        <w:t>. 与本磋商有关的一切正式往来通讯请寄</w:t>
      </w:r>
      <w:r>
        <w:rPr>
          <w:rFonts w:hint="eastAsia" w:ascii="仿宋" w:hAnsi="仿宋" w:eastAsia="仿宋" w:cs="仿宋"/>
          <w:color w:val="auto"/>
          <w:sz w:val="24"/>
        </w:rPr>
        <w:t>：</w:t>
      </w:r>
    </w:p>
    <w:p w14:paraId="77772511">
      <w:pPr>
        <w:spacing w:line="400" w:lineRule="atLeas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邮编：</w:t>
      </w:r>
      <w:r>
        <w:rPr>
          <w:rFonts w:hint="eastAsia" w:ascii="仿宋" w:hAnsi="仿宋" w:eastAsia="仿宋" w:cs="仿宋"/>
          <w:color w:val="auto"/>
          <w:sz w:val="24"/>
          <w:u w:val="single"/>
        </w:rPr>
        <w:t xml:space="preserve">                    </w:t>
      </w:r>
    </w:p>
    <w:p w14:paraId="3A308FEA">
      <w:pPr>
        <w:spacing w:line="400" w:lineRule="atLeas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14:paraId="75C761A2">
      <w:pPr>
        <w:spacing w:line="400" w:lineRule="atLeast"/>
        <w:rPr>
          <w:rFonts w:hint="eastAsia" w:ascii="仿宋" w:hAnsi="仿宋" w:eastAsia="仿宋" w:cs="仿宋"/>
          <w:color w:val="auto"/>
          <w:sz w:val="24"/>
          <w:u w:val="single"/>
          <w:lang w:eastAsia="zh-CN"/>
        </w:rPr>
      </w:pPr>
      <w:r>
        <w:rPr>
          <w:rFonts w:hint="eastAsia" w:ascii="仿宋" w:hAnsi="仿宋" w:eastAsia="仿宋" w:cs="仿宋"/>
          <w:color w:val="auto"/>
          <w:sz w:val="24"/>
        </w:rPr>
        <w:tab/>
      </w:r>
      <w:r>
        <w:rPr>
          <w:rFonts w:hint="eastAsia" w:ascii="仿宋" w:hAnsi="仿宋" w:eastAsia="仿宋" w:cs="仿宋"/>
          <w:color w:val="auto"/>
          <w:sz w:val="24"/>
        </w:rPr>
        <w:t>供应商代表姓名、职务：</w:t>
      </w:r>
      <w:r>
        <w:rPr>
          <w:rFonts w:hint="eastAsia" w:ascii="仿宋" w:hAnsi="仿宋" w:eastAsia="仿宋" w:cs="仿宋"/>
          <w:color w:val="auto"/>
          <w:sz w:val="24"/>
          <w:u w:val="single"/>
        </w:rPr>
        <w:t xml:space="preserve">                                   </w:t>
      </w:r>
    </w:p>
    <w:p w14:paraId="30062E04">
      <w:pPr>
        <w:spacing w:line="400" w:lineRule="atLeast"/>
        <w:rPr>
          <w:rFonts w:hint="eastAsia" w:ascii="仿宋" w:hAnsi="仿宋" w:eastAsia="仿宋" w:cs="仿宋"/>
          <w:color w:val="auto"/>
          <w:sz w:val="24"/>
        </w:rPr>
      </w:pPr>
      <w:r>
        <w:rPr>
          <w:rFonts w:hint="eastAsia" w:ascii="仿宋" w:hAnsi="仿宋" w:eastAsia="仿宋" w:cs="仿宋"/>
          <w:color w:val="auto"/>
          <w:sz w:val="24"/>
        </w:rPr>
        <w:tab/>
      </w:r>
    </w:p>
    <w:p w14:paraId="3C7F5C2B">
      <w:pPr>
        <w:spacing w:line="400" w:lineRule="atLeast"/>
        <w:ind w:firstLine="360" w:firstLineChars="150"/>
        <w:rPr>
          <w:rFonts w:hint="eastAsia" w:ascii="仿宋" w:hAnsi="仿宋" w:eastAsia="仿宋" w:cs="仿宋"/>
          <w:color w:val="auto"/>
          <w:sz w:val="24"/>
        </w:rPr>
      </w:pPr>
      <w:r>
        <w:rPr>
          <w:rFonts w:hint="eastAsia" w:ascii="仿宋" w:hAnsi="仿宋" w:eastAsia="仿宋" w:cs="仿宋"/>
          <w:color w:val="auto"/>
          <w:sz w:val="24"/>
        </w:rPr>
        <w:t>供应商名称：</w:t>
      </w:r>
      <w:r>
        <w:rPr>
          <w:rFonts w:hint="eastAsia" w:ascii="仿宋" w:hAnsi="仿宋" w:eastAsia="仿宋" w:cs="仿宋"/>
          <w:color w:val="auto"/>
          <w:sz w:val="24"/>
          <w:u w:val="single"/>
        </w:rPr>
        <w:t xml:space="preserve">                    （公章）</w:t>
      </w:r>
    </w:p>
    <w:p w14:paraId="713E7459">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w:t>
      </w:r>
    </w:p>
    <w:p w14:paraId="119F90ED">
      <w:pPr>
        <w:spacing w:line="400" w:lineRule="atLeast"/>
        <w:ind w:firstLine="360" w:firstLineChars="150"/>
        <w:rPr>
          <w:rFonts w:hint="eastAsia" w:ascii="仿宋" w:hAnsi="仿宋" w:eastAsia="仿宋" w:cs="仿宋"/>
          <w:color w:val="auto"/>
          <w:sz w:val="24"/>
        </w:rPr>
      </w:pPr>
      <w:r>
        <w:rPr>
          <w:rFonts w:hint="eastAsia" w:ascii="仿宋" w:hAnsi="仿宋" w:eastAsia="仿宋" w:cs="仿宋"/>
          <w:color w:val="auto"/>
          <w:sz w:val="24"/>
        </w:rPr>
        <w:t>法定代表人或被授权代表签字或盖章：</w:t>
      </w:r>
      <w:r>
        <w:rPr>
          <w:rFonts w:hint="eastAsia" w:ascii="仿宋" w:hAnsi="仿宋" w:eastAsia="仿宋" w:cs="仿宋"/>
          <w:color w:val="auto"/>
          <w:sz w:val="24"/>
          <w:u w:val="single"/>
        </w:rPr>
        <w:t xml:space="preserve">           </w:t>
      </w:r>
    </w:p>
    <w:p w14:paraId="622649AE">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w:t>
      </w:r>
    </w:p>
    <w:p w14:paraId="363CD23C">
      <w:pPr>
        <w:spacing w:line="400" w:lineRule="atLeast"/>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日期：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6A99D7E4">
      <w:pPr>
        <w:pStyle w:val="17"/>
        <w:rPr>
          <w:rFonts w:hint="eastAsia" w:ascii="仿宋" w:hAnsi="仿宋" w:eastAsia="仿宋" w:cs="仿宋"/>
          <w:color w:val="auto"/>
          <w:sz w:val="24"/>
        </w:rPr>
      </w:pPr>
    </w:p>
    <w:p w14:paraId="18546951">
      <w:pPr>
        <w:rPr>
          <w:rFonts w:hint="eastAsia"/>
          <w:color w:val="auto"/>
        </w:rPr>
      </w:pPr>
    </w:p>
    <w:p w14:paraId="4D9B36D1">
      <w:pPr>
        <w:rPr>
          <w:rFonts w:hint="eastAsia"/>
          <w:color w:val="auto"/>
        </w:rPr>
      </w:pPr>
    </w:p>
    <w:p w14:paraId="6F17CA7B">
      <w:pPr>
        <w:rPr>
          <w:rFonts w:hint="eastAsia" w:ascii="仿宋" w:hAnsi="仿宋" w:eastAsia="仿宋"/>
          <w:color w:val="auto"/>
        </w:rPr>
      </w:pPr>
    </w:p>
    <w:p w14:paraId="70B012BA">
      <w:pPr>
        <w:pStyle w:val="4"/>
        <w:adjustRightInd w:val="0"/>
        <w:spacing w:line="360" w:lineRule="auto"/>
        <w:textAlignment w:val="baseline"/>
        <w:rPr>
          <w:rFonts w:hint="eastAsia" w:ascii="仿宋" w:hAnsi="仿宋" w:eastAsia="仿宋" w:cs="仿宋"/>
          <w:color w:val="auto"/>
          <w:highlight w:val="none"/>
        </w:rPr>
      </w:pPr>
      <w:bookmarkStart w:id="208" w:name="_Toc31838"/>
      <w:r>
        <w:rPr>
          <w:rFonts w:hint="eastAsia" w:ascii="仿宋" w:hAnsi="仿宋" w:eastAsia="仿宋" w:cs="仿宋"/>
          <w:color w:val="auto"/>
          <w:highlight w:val="none"/>
        </w:rPr>
        <w:t>附件2  磋商报价表</w:t>
      </w:r>
      <w:bookmarkEnd w:id="208"/>
    </w:p>
    <w:p w14:paraId="75687CCC">
      <w:pPr>
        <w:rPr>
          <w:rFonts w:hint="eastAsia" w:ascii="仿宋" w:hAnsi="仿宋" w:eastAsia="仿宋" w:cs="仿宋"/>
          <w:color w:val="auto"/>
          <w:highlight w:val="none"/>
        </w:rPr>
      </w:pPr>
      <w:bookmarkStart w:id="209" w:name="_Hlt491766443"/>
      <w:bookmarkStart w:id="210" w:name="_Toc497711590"/>
      <w:bookmarkStart w:id="211" w:name="_Toc497546923"/>
      <w:bookmarkStart w:id="212" w:name="_Toc246928964"/>
      <w:bookmarkStart w:id="213" w:name="_Toc385992405"/>
      <w:bookmarkStart w:id="214" w:name="_Toc497551825"/>
      <w:bookmarkStart w:id="215" w:name="_Toc389620245"/>
      <w:bookmarkStart w:id="216" w:name="_Toc492955464"/>
      <w:bookmarkStart w:id="217" w:name="_Toc497712138"/>
    </w:p>
    <w:tbl>
      <w:tblPr>
        <w:tblStyle w:val="39"/>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455E3C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448" w:type="dxa"/>
            <w:tcBorders>
              <w:bottom w:val="single" w:color="auto" w:sz="4" w:space="0"/>
            </w:tcBorders>
            <w:noWrap w:val="0"/>
            <w:vAlign w:val="center"/>
          </w:tcPr>
          <w:p w14:paraId="7CAE7657">
            <w:pPr>
              <w:jc w:val="center"/>
              <w:rPr>
                <w:rFonts w:hint="eastAsia" w:ascii="仿宋" w:hAnsi="仿宋" w:eastAsia="仿宋" w:cs="仿宋"/>
                <w:caps/>
                <w:color w:val="auto"/>
                <w:sz w:val="24"/>
                <w:highlight w:val="none"/>
              </w:rPr>
            </w:pPr>
            <w:r>
              <w:rPr>
                <w:rFonts w:hint="eastAsia" w:ascii="仿宋" w:hAnsi="仿宋" w:eastAsia="仿宋" w:cs="仿宋"/>
                <w:color w:val="auto"/>
                <w:sz w:val="24"/>
                <w:highlight w:val="none"/>
              </w:rPr>
              <w:t>项目名称</w:t>
            </w:r>
          </w:p>
        </w:tc>
        <w:tc>
          <w:tcPr>
            <w:tcW w:w="6300" w:type="dxa"/>
            <w:noWrap w:val="0"/>
            <w:vAlign w:val="center"/>
          </w:tcPr>
          <w:p w14:paraId="4A8B62D1">
            <w:pPr>
              <w:jc w:val="center"/>
              <w:rPr>
                <w:rFonts w:hint="eastAsia" w:ascii="仿宋" w:hAnsi="仿宋" w:eastAsia="仿宋" w:cs="仿宋"/>
                <w:caps/>
                <w:color w:val="auto"/>
                <w:sz w:val="24"/>
                <w:highlight w:val="none"/>
              </w:rPr>
            </w:pPr>
          </w:p>
        </w:tc>
      </w:tr>
      <w:tr w14:paraId="3F22A2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2448" w:type="dxa"/>
            <w:tcBorders>
              <w:bottom w:val="single" w:color="auto" w:sz="4" w:space="0"/>
            </w:tcBorders>
            <w:noWrap w:val="0"/>
            <w:vAlign w:val="center"/>
          </w:tcPr>
          <w:p w14:paraId="6D1EBF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300" w:type="dxa"/>
            <w:tcBorders>
              <w:bottom w:val="single" w:color="auto" w:sz="4" w:space="0"/>
            </w:tcBorders>
            <w:noWrap w:val="0"/>
            <w:vAlign w:val="center"/>
          </w:tcPr>
          <w:p w14:paraId="62729D1B">
            <w:pPr>
              <w:jc w:val="center"/>
              <w:rPr>
                <w:rFonts w:hint="eastAsia" w:ascii="仿宋" w:hAnsi="仿宋" w:eastAsia="仿宋" w:cs="仿宋"/>
                <w:caps/>
                <w:color w:val="auto"/>
                <w:sz w:val="24"/>
                <w:highlight w:val="none"/>
              </w:rPr>
            </w:pPr>
          </w:p>
        </w:tc>
      </w:tr>
      <w:tr w14:paraId="69BDDC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48" w:type="dxa"/>
            <w:noWrap w:val="0"/>
            <w:vAlign w:val="center"/>
          </w:tcPr>
          <w:p w14:paraId="3204147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300" w:type="dxa"/>
            <w:noWrap w:val="0"/>
            <w:vAlign w:val="center"/>
          </w:tcPr>
          <w:p w14:paraId="1429D2FA">
            <w:pPr>
              <w:jc w:val="center"/>
              <w:rPr>
                <w:rFonts w:hint="eastAsia" w:ascii="仿宋" w:hAnsi="仿宋" w:eastAsia="仿宋" w:cs="仿宋"/>
                <w:color w:val="auto"/>
                <w:sz w:val="24"/>
                <w:highlight w:val="none"/>
              </w:rPr>
            </w:pPr>
          </w:p>
        </w:tc>
      </w:tr>
      <w:tr w14:paraId="22CCCF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48" w:type="dxa"/>
            <w:noWrap w:val="0"/>
            <w:vAlign w:val="center"/>
          </w:tcPr>
          <w:p w14:paraId="44FD77AE">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lang w:eastAsia="zh-CN"/>
              </w:rPr>
              <w:t>总</w:t>
            </w:r>
            <w:r>
              <w:rPr>
                <w:rFonts w:hint="eastAsia" w:ascii="仿宋" w:hAnsi="仿宋" w:eastAsia="仿宋" w:cs="仿宋"/>
                <w:color w:val="auto"/>
                <w:sz w:val="24"/>
                <w:highlight w:val="none"/>
              </w:rPr>
              <w:t>报价</w:t>
            </w:r>
          </w:p>
        </w:tc>
        <w:tc>
          <w:tcPr>
            <w:tcW w:w="6300" w:type="dxa"/>
            <w:noWrap w:val="0"/>
            <w:vAlign w:val="center"/>
          </w:tcPr>
          <w:p w14:paraId="1E2C80D4">
            <w:pPr>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74C41CD2">
            <w:pPr>
              <w:jc w:val="left"/>
              <w:rPr>
                <w:color w:val="auto"/>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14:paraId="40DD70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48" w:type="dxa"/>
            <w:noWrap w:val="0"/>
            <w:vAlign w:val="center"/>
          </w:tcPr>
          <w:p w14:paraId="5367EE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评审咨询费综合单价报价</w:t>
            </w:r>
          </w:p>
        </w:tc>
        <w:tc>
          <w:tcPr>
            <w:tcW w:w="6300" w:type="dxa"/>
            <w:noWrap w:val="0"/>
            <w:vAlign w:val="center"/>
          </w:tcPr>
          <w:p w14:paraId="360D1349">
            <w:pPr>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元/次</w:t>
            </w:r>
          </w:p>
          <w:p w14:paraId="3B8BA1AE">
            <w:pPr>
              <w:jc w:val="left"/>
              <w:rPr>
                <w:color w:val="auto"/>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元/次</w:t>
            </w:r>
          </w:p>
        </w:tc>
      </w:tr>
      <w:tr w14:paraId="4658D4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48" w:type="dxa"/>
            <w:noWrap w:val="0"/>
            <w:vAlign w:val="center"/>
          </w:tcPr>
          <w:p w14:paraId="09734B83">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评审专家费综合单价报价</w:t>
            </w:r>
          </w:p>
        </w:tc>
        <w:tc>
          <w:tcPr>
            <w:tcW w:w="6300" w:type="dxa"/>
            <w:noWrap w:val="0"/>
            <w:vAlign w:val="center"/>
          </w:tcPr>
          <w:p w14:paraId="58B693D3">
            <w:pPr>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元/人/次</w:t>
            </w:r>
          </w:p>
          <w:p w14:paraId="5E71F3C8">
            <w:pPr>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元/人/次</w:t>
            </w:r>
          </w:p>
        </w:tc>
      </w:tr>
      <w:tr w14:paraId="7D4243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2" w:hRule="atLeast"/>
          <w:jc w:val="center"/>
        </w:trPr>
        <w:tc>
          <w:tcPr>
            <w:tcW w:w="2448" w:type="dxa"/>
            <w:noWrap w:val="0"/>
            <w:vAlign w:val="center"/>
          </w:tcPr>
          <w:p w14:paraId="05027DC2">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服务</w:t>
            </w:r>
            <w:r>
              <w:rPr>
                <w:rFonts w:hint="eastAsia" w:ascii="仿宋" w:hAnsi="仿宋" w:eastAsia="仿宋" w:cs="仿宋"/>
                <w:bCs/>
                <w:color w:val="auto"/>
                <w:sz w:val="24"/>
                <w:highlight w:val="none"/>
              </w:rPr>
              <w:t>期限是否响应</w:t>
            </w:r>
          </w:p>
        </w:tc>
        <w:tc>
          <w:tcPr>
            <w:tcW w:w="6300" w:type="dxa"/>
            <w:noWrap w:val="0"/>
            <w:vAlign w:val="center"/>
          </w:tcPr>
          <w:p w14:paraId="1988552B">
            <w:pPr>
              <w:ind w:firstLine="600" w:firstLineChars="250"/>
              <w:rPr>
                <w:rFonts w:hint="eastAsia" w:ascii="仿宋" w:hAnsi="仿宋" w:eastAsia="仿宋" w:cs="仿宋"/>
                <w:bCs/>
                <w:color w:val="auto"/>
                <w:sz w:val="24"/>
                <w:highlight w:val="none"/>
                <w:lang w:val="en-US" w:eastAsia="zh-CN"/>
              </w:rPr>
            </w:pPr>
          </w:p>
        </w:tc>
      </w:tr>
      <w:tr w14:paraId="0A87BD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2" w:hRule="atLeast"/>
          <w:jc w:val="center"/>
        </w:trPr>
        <w:tc>
          <w:tcPr>
            <w:tcW w:w="2448" w:type="dxa"/>
            <w:noWrap w:val="0"/>
            <w:vAlign w:val="center"/>
          </w:tcPr>
          <w:p w14:paraId="0201B4EF">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付款方式是否响应</w:t>
            </w:r>
          </w:p>
        </w:tc>
        <w:tc>
          <w:tcPr>
            <w:tcW w:w="6300" w:type="dxa"/>
            <w:noWrap w:val="0"/>
            <w:vAlign w:val="center"/>
          </w:tcPr>
          <w:p w14:paraId="318D83EF">
            <w:pPr>
              <w:ind w:firstLine="600" w:firstLineChars="250"/>
              <w:rPr>
                <w:rFonts w:hint="eastAsia" w:ascii="仿宋" w:hAnsi="仿宋" w:eastAsia="仿宋" w:cs="仿宋"/>
                <w:bCs/>
                <w:color w:val="auto"/>
                <w:sz w:val="24"/>
                <w:highlight w:val="none"/>
              </w:rPr>
            </w:pPr>
          </w:p>
        </w:tc>
      </w:tr>
    </w:tbl>
    <w:p w14:paraId="7803470C">
      <w:pPr>
        <w:rPr>
          <w:rFonts w:hint="eastAsia" w:ascii="仿宋" w:hAnsi="仿宋" w:eastAsia="仿宋" w:cs="仿宋"/>
          <w:color w:val="auto"/>
          <w:sz w:val="24"/>
        </w:rPr>
      </w:pPr>
    </w:p>
    <w:p w14:paraId="2B31E294">
      <w:pPr>
        <w:spacing w:line="360" w:lineRule="auto"/>
        <w:ind w:right="480"/>
        <w:rPr>
          <w:rFonts w:hint="eastAsia" w:ascii="仿宋" w:hAnsi="仿宋" w:eastAsia="仿宋"/>
          <w:color w:val="auto"/>
          <w:sz w:val="24"/>
        </w:rPr>
      </w:pPr>
      <w:r>
        <w:rPr>
          <w:rFonts w:hint="eastAsia" w:ascii="仿宋" w:hAnsi="仿宋" w:eastAsia="仿宋"/>
          <w:color w:val="auto"/>
          <w:sz w:val="24"/>
        </w:rPr>
        <w:t>备注：</w:t>
      </w:r>
    </w:p>
    <w:p w14:paraId="71B4A563">
      <w:pPr>
        <w:spacing w:line="360" w:lineRule="auto"/>
        <w:ind w:right="480" w:firstLine="720" w:firstLineChars="300"/>
        <w:rPr>
          <w:rFonts w:hint="default" w:ascii="仿宋" w:hAnsi="仿宋" w:eastAsia="仿宋"/>
          <w:color w:val="auto"/>
          <w:sz w:val="24"/>
          <w:lang w:val="en-US" w:eastAsia="zh-CN"/>
        </w:rPr>
      </w:pPr>
      <w:r>
        <w:rPr>
          <w:rFonts w:hint="eastAsia" w:ascii="仿宋" w:hAnsi="仿宋" w:eastAsia="仿宋"/>
          <w:color w:val="auto"/>
          <w:sz w:val="24"/>
          <w:lang w:val="en-US" w:eastAsia="zh-CN"/>
        </w:rPr>
        <w:t>1、超出采购预算、评审咨询费综合单价、评审专家费综合单价的报价为无效响应文件。</w:t>
      </w:r>
    </w:p>
    <w:p w14:paraId="60BF15B6">
      <w:pPr>
        <w:spacing w:line="360" w:lineRule="auto"/>
        <w:ind w:right="480" w:firstLine="720" w:firstLineChars="300"/>
        <w:rPr>
          <w:rFonts w:hint="eastAsia" w:ascii="仿宋" w:hAnsi="仿宋" w:eastAsia="仿宋"/>
          <w:color w:val="auto"/>
          <w:sz w:val="24"/>
          <w:lang w:eastAsia="zh-CN"/>
        </w:rPr>
      </w:pPr>
      <w:r>
        <w:rPr>
          <w:rFonts w:hint="eastAsia" w:ascii="仿宋" w:hAnsi="仿宋" w:eastAsia="仿宋"/>
          <w:color w:val="auto"/>
          <w:sz w:val="24"/>
          <w:lang w:val="en-US" w:eastAsia="zh-CN"/>
        </w:rPr>
        <w:t>2、服务</w:t>
      </w:r>
      <w:r>
        <w:rPr>
          <w:rFonts w:hint="eastAsia" w:ascii="仿宋" w:hAnsi="仿宋" w:eastAsia="仿宋"/>
          <w:color w:val="auto"/>
          <w:sz w:val="24"/>
        </w:rPr>
        <w:t>期限及付款方式是否响应，请填写“是”或者“否”</w:t>
      </w:r>
      <w:r>
        <w:rPr>
          <w:rFonts w:hint="eastAsia" w:ascii="仿宋" w:hAnsi="仿宋" w:eastAsia="仿宋"/>
          <w:color w:val="auto"/>
          <w:sz w:val="24"/>
          <w:lang w:eastAsia="zh-CN"/>
        </w:rPr>
        <w:t>。</w:t>
      </w:r>
    </w:p>
    <w:p w14:paraId="1027B606">
      <w:pPr>
        <w:spacing w:line="360" w:lineRule="auto"/>
        <w:ind w:right="480" w:firstLine="720" w:firstLineChars="300"/>
        <w:rPr>
          <w:rFonts w:hint="eastAsia" w:ascii="仿宋" w:hAnsi="仿宋" w:eastAsia="仿宋" w:cs="仿宋"/>
          <w:color w:val="auto"/>
          <w:sz w:val="30"/>
          <w:lang w:eastAsia="zh-CN"/>
        </w:rPr>
      </w:pPr>
      <w:r>
        <w:rPr>
          <w:rFonts w:hint="eastAsia" w:ascii="仿宋" w:hAnsi="仿宋" w:eastAsia="仿宋"/>
          <w:color w:val="auto"/>
          <w:sz w:val="24"/>
          <w:lang w:val="en-US" w:eastAsia="zh-CN"/>
        </w:rPr>
        <w:t>3、</w:t>
      </w:r>
      <w:r>
        <w:rPr>
          <w:rFonts w:hint="eastAsia" w:ascii="仿宋" w:hAnsi="仿宋" w:eastAsia="仿宋"/>
          <w:color w:val="auto"/>
          <w:sz w:val="24"/>
        </w:rPr>
        <w:t>磋商</w:t>
      </w:r>
      <w:r>
        <w:rPr>
          <w:rFonts w:hint="eastAsia" w:ascii="仿宋" w:hAnsi="仿宋" w:eastAsia="仿宋"/>
          <w:color w:val="auto"/>
          <w:sz w:val="24"/>
          <w:lang w:eastAsia="zh-CN"/>
        </w:rPr>
        <w:t>总</w:t>
      </w:r>
      <w:r>
        <w:rPr>
          <w:rFonts w:hint="eastAsia" w:ascii="仿宋" w:hAnsi="仿宋" w:eastAsia="仿宋"/>
          <w:color w:val="auto"/>
          <w:sz w:val="24"/>
        </w:rPr>
        <w:t>报价</w:t>
      </w:r>
      <w:r>
        <w:rPr>
          <w:rFonts w:hint="eastAsia" w:ascii="仿宋" w:hAnsi="仿宋" w:eastAsia="仿宋"/>
          <w:color w:val="auto"/>
          <w:sz w:val="24"/>
          <w:lang w:eastAsia="zh-CN"/>
        </w:rPr>
        <w:t>：</w:t>
      </w:r>
      <w:r>
        <w:rPr>
          <w:rFonts w:hint="eastAsia" w:ascii="仿宋" w:hAnsi="仿宋" w:eastAsia="仿宋"/>
          <w:color w:val="auto"/>
          <w:sz w:val="24"/>
          <w:lang w:val="en-US" w:eastAsia="zh-CN"/>
        </w:rPr>
        <w:t>评审咨询费成交综合单价×42次＋评审专家费成交综合单价×3人×42次。</w:t>
      </w:r>
    </w:p>
    <w:p w14:paraId="2A9DA7F2">
      <w:pPr>
        <w:rPr>
          <w:rFonts w:hint="eastAsia" w:ascii="仿宋" w:hAnsi="仿宋" w:eastAsia="仿宋" w:cs="仿宋"/>
          <w:color w:val="auto"/>
          <w:sz w:val="30"/>
        </w:rPr>
      </w:pPr>
    </w:p>
    <w:p w14:paraId="07F1A234">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390A9F75">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159EBB21">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0B451E64">
      <w:pPr>
        <w:ind w:firstLine="2640" w:firstLineChars="1100"/>
        <w:rPr>
          <w:rFonts w:hint="eastAsia" w:ascii="仿宋" w:hAnsi="仿宋" w:eastAsia="仿宋" w:cs="仿宋"/>
          <w:color w:val="auto"/>
          <w:sz w:val="24"/>
          <w:szCs w:val="24"/>
          <w:u w:val="single"/>
        </w:rPr>
      </w:pPr>
    </w:p>
    <w:p w14:paraId="3DE9E259">
      <w:pPr>
        <w:ind w:firstLine="2640" w:firstLineChars="1100"/>
        <w:rPr>
          <w:rFonts w:ascii="仿宋" w:hAnsi="仿宋" w:eastAsia="仿宋" w:cs="仿宋"/>
          <w:color w:val="auto"/>
          <w:sz w:val="24"/>
          <w:szCs w:val="24"/>
          <w:u w:val="single"/>
        </w:rPr>
      </w:pPr>
    </w:p>
    <w:bookmarkEnd w:id="209"/>
    <w:bookmarkEnd w:id="210"/>
    <w:bookmarkEnd w:id="211"/>
    <w:bookmarkEnd w:id="212"/>
    <w:bookmarkEnd w:id="213"/>
    <w:bookmarkEnd w:id="214"/>
    <w:bookmarkEnd w:id="215"/>
    <w:bookmarkEnd w:id="216"/>
    <w:bookmarkEnd w:id="217"/>
    <w:p w14:paraId="5E80815E">
      <w:pPr>
        <w:pStyle w:val="4"/>
        <w:adjustRightInd w:val="0"/>
        <w:spacing w:line="360" w:lineRule="auto"/>
        <w:textAlignment w:val="baseline"/>
        <w:rPr>
          <w:rFonts w:hint="eastAsia" w:ascii="仿宋" w:hAnsi="仿宋" w:eastAsia="仿宋" w:cs="仿宋"/>
          <w:color w:val="auto"/>
          <w:lang w:val="en-US" w:eastAsia="zh-CN"/>
        </w:rPr>
      </w:pPr>
      <w:bookmarkStart w:id="218" w:name="_Toc22145"/>
      <w:bookmarkStart w:id="219" w:name="_Toc4713"/>
      <w:bookmarkStart w:id="220" w:name="_Toc12493"/>
      <w:r>
        <w:rPr>
          <w:rFonts w:hint="eastAsia" w:ascii="仿宋" w:hAnsi="仿宋" w:eastAsia="仿宋" w:cs="仿宋"/>
          <w:color w:val="auto"/>
        </w:rPr>
        <w:t>附件</w:t>
      </w:r>
      <w:bookmarkEnd w:id="218"/>
      <w:bookmarkEnd w:id="219"/>
      <w:r>
        <w:rPr>
          <w:rFonts w:hint="eastAsia" w:ascii="仿宋" w:hAnsi="仿宋" w:eastAsia="仿宋" w:cs="仿宋"/>
          <w:color w:val="auto"/>
          <w:lang w:val="en-US" w:eastAsia="zh-CN"/>
        </w:rPr>
        <w:t>3</w:t>
      </w:r>
      <w:bookmarkStart w:id="221" w:name="_Toc12934"/>
      <w:bookmarkStart w:id="222" w:name="_Toc22705"/>
      <w:bookmarkStart w:id="223" w:name="_Toc30667"/>
      <w:r>
        <w:rPr>
          <w:rFonts w:hint="eastAsia" w:ascii="仿宋" w:hAnsi="仿宋" w:eastAsia="仿宋" w:cs="仿宋"/>
          <w:color w:val="auto"/>
          <w:lang w:val="en-US" w:eastAsia="zh-CN"/>
        </w:rPr>
        <w:t xml:space="preserve">  </w:t>
      </w:r>
      <w:r>
        <w:rPr>
          <w:rFonts w:hint="eastAsia" w:ascii="仿宋" w:hAnsi="仿宋" w:eastAsia="仿宋" w:cs="仿宋"/>
          <w:b/>
          <w:color w:val="auto"/>
          <w:szCs w:val="22"/>
          <w:lang w:eastAsia="zh-CN"/>
        </w:rPr>
        <w:t>商务偏离表</w:t>
      </w:r>
      <w:bookmarkEnd w:id="220"/>
      <w:bookmarkEnd w:id="221"/>
      <w:bookmarkEnd w:id="222"/>
      <w:bookmarkEnd w:id="223"/>
    </w:p>
    <w:tbl>
      <w:tblPr>
        <w:tblStyle w:val="3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2"/>
        <w:gridCol w:w="1995"/>
        <w:gridCol w:w="2220"/>
        <w:gridCol w:w="2195"/>
        <w:gridCol w:w="1440"/>
      </w:tblGrid>
      <w:tr w14:paraId="5847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42" w:type="dxa"/>
            <w:noWrap w:val="0"/>
            <w:vAlign w:val="center"/>
          </w:tcPr>
          <w:p w14:paraId="52A50317">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995" w:type="dxa"/>
            <w:noWrap w:val="0"/>
            <w:vAlign w:val="center"/>
          </w:tcPr>
          <w:p w14:paraId="1C5655E7">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文件商务要求</w:t>
            </w:r>
          </w:p>
        </w:tc>
        <w:tc>
          <w:tcPr>
            <w:tcW w:w="2220" w:type="dxa"/>
            <w:noWrap w:val="0"/>
            <w:vAlign w:val="center"/>
          </w:tcPr>
          <w:p w14:paraId="6A8E187A">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响应</w:t>
            </w:r>
            <w:r>
              <w:rPr>
                <w:rFonts w:hint="eastAsia" w:ascii="仿宋" w:hAnsi="仿宋" w:eastAsia="仿宋" w:cs="仿宋"/>
                <w:b/>
                <w:bCs/>
                <w:color w:val="auto"/>
                <w:sz w:val="24"/>
              </w:rPr>
              <w:t>文件商务响应</w:t>
            </w:r>
          </w:p>
        </w:tc>
        <w:tc>
          <w:tcPr>
            <w:tcW w:w="2195" w:type="dxa"/>
            <w:noWrap w:val="0"/>
            <w:vAlign w:val="center"/>
          </w:tcPr>
          <w:p w14:paraId="1B82112A">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偏离</w:t>
            </w:r>
            <w:r>
              <w:rPr>
                <w:rFonts w:hint="eastAsia" w:ascii="仿宋" w:hAnsi="仿宋" w:eastAsia="仿宋" w:cs="仿宋"/>
                <w:b/>
                <w:bCs/>
                <w:color w:val="auto"/>
                <w:sz w:val="24"/>
                <w:lang w:eastAsia="zh-CN"/>
              </w:rPr>
              <w:t>情况</w:t>
            </w:r>
          </w:p>
        </w:tc>
        <w:tc>
          <w:tcPr>
            <w:tcW w:w="1440" w:type="dxa"/>
            <w:noWrap w:val="0"/>
            <w:vAlign w:val="center"/>
          </w:tcPr>
          <w:p w14:paraId="0D5F4849">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5375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01C6C16A">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1995" w:type="dxa"/>
            <w:noWrap w:val="0"/>
            <w:vAlign w:val="top"/>
          </w:tcPr>
          <w:p w14:paraId="6B04F3B0">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w:t>
            </w:r>
          </w:p>
        </w:tc>
        <w:tc>
          <w:tcPr>
            <w:tcW w:w="2220" w:type="dxa"/>
            <w:noWrap w:val="0"/>
            <w:vAlign w:val="top"/>
          </w:tcPr>
          <w:p w14:paraId="0EE0F299">
            <w:pPr>
              <w:spacing w:line="400" w:lineRule="atLeast"/>
              <w:jc w:val="center"/>
              <w:rPr>
                <w:rFonts w:hint="eastAsia" w:ascii="仿宋" w:hAnsi="仿宋" w:eastAsia="仿宋" w:cs="仿宋"/>
                <w:color w:val="auto"/>
                <w:sz w:val="24"/>
              </w:rPr>
            </w:pPr>
          </w:p>
        </w:tc>
        <w:tc>
          <w:tcPr>
            <w:tcW w:w="2195" w:type="dxa"/>
            <w:noWrap w:val="0"/>
            <w:vAlign w:val="top"/>
          </w:tcPr>
          <w:p w14:paraId="010C7E8B">
            <w:pPr>
              <w:spacing w:line="400" w:lineRule="atLeast"/>
              <w:jc w:val="center"/>
              <w:rPr>
                <w:rFonts w:hint="eastAsia" w:ascii="仿宋" w:hAnsi="仿宋" w:eastAsia="仿宋" w:cs="仿宋"/>
                <w:color w:val="auto"/>
                <w:sz w:val="24"/>
              </w:rPr>
            </w:pPr>
          </w:p>
        </w:tc>
        <w:tc>
          <w:tcPr>
            <w:tcW w:w="1440" w:type="dxa"/>
            <w:noWrap w:val="0"/>
            <w:vAlign w:val="top"/>
          </w:tcPr>
          <w:p w14:paraId="1D92924B">
            <w:pPr>
              <w:spacing w:line="400" w:lineRule="atLeast"/>
              <w:jc w:val="center"/>
              <w:rPr>
                <w:rFonts w:hint="eastAsia" w:ascii="仿宋" w:hAnsi="仿宋" w:eastAsia="仿宋" w:cs="仿宋"/>
                <w:color w:val="auto"/>
                <w:sz w:val="24"/>
              </w:rPr>
            </w:pPr>
          </w:p>
        </w:tc>
      </w:tr>
      <w:tr w14:paraId="55811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60C728B3">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1995" w:type="dxa"/>
            <w:noWrap w:val="0"/>
            <w:vAlign w:val="top"/>
          </w:tcPr>
          <w:p w14:paraId="207E79E5">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w:t>
            </w:r>
          </w:p>
        </w:tc>
        <w:tc>
          <w:tcPr>
            <w:tcW w:w="2220" w:type="dxa"/>
            <w:noWrap w:val="0"/>
            <w:vAlign w:val="top"/>
          </w:tcPr>
          <w:p w14:paraId="17DD3D5A">
            <w:pPr>
              <w:spacing w:line="400" w:lineRule="atLeast"/>
              <w:jc w:val="center"/>
              <w:rPr>
                <w:rFonts w:hint="eastAsia" w:ascii="仿宋" w:hAnsi="仿宋" w:eastAsia="仿宋" w:cs="仿宋"/>
                <w:color w:val="auto"/>
                <w:sz w:val="24"/>
              </w:rPr>
            </w:pPr>
          </w:p>
        </w:tc>
        <w:tc>
          <w:tcPr>
            <w:tcW w:w="2195" w:type="dxa"/>
            <w:noWrap w:val="0"/>
            <w:vAlign w:val="top"/>
          </w:tcPr>
          <w:p w14:paraId="1D0F82F6">
            <w:pPr>
              <w:spacing w:line="400" w:lineRule="atLeast"/>
              <w:jc w:val="center"/>
              <w:rPr>
                <w:rFonts w:hint="eastAsia" w:ascii="仿宋" w:hAnsi="仿宋" w:eastAsia="仿宋" w:cs="仿宋"/>
                <w:color w:val="auto"/>
                <w:sz w:val="24"/>
              </w:rPr>
            </w:pPr>
          </w:p>
        </w:tc>
        <w:tc>
          <w:tcPr>
            <w:tcW w:w="1440" w:type="dxa"/>
            <w:noWrap w:val="0"/>
            <w:vAlign w:val="top"/>
          </w:tcPr>
          <w:p w14:paraId="529790A4">
            <w:pPr>
              <w:spacing w:line="400" w:lineRule="atLeast"/>
              <w:jc w:val="center"/>
              <w:rPr>
                <w:rFonts w:hint="eastAsia" w:ascii="仿宋" w:hAnsi="仿宋" w:eastAsia="仿宋" w:cs="仿宋"/>
                <w:color w:val="auto"/>
                <w:sz w:val="24"/>
              </w:rPr>
            </w:pPr>
          </w:p>
        </w:tc>
      </w:tr>
      <w:tr w14:paraId="5551C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5C5CE34F">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1995" w:type="dxa"/>
            <w:noWrap w:val="0"/>
            <w:vAlign w:val="top"/>
          </w:tcPr>
          <w:p w14:paraId="1C8F09B3">
            <w:pPr>
              <w:spacing w:line="400" w:lineRule="atLeast"/>
              <w:jc w:val="center"/>
              <w:rPr>
                <w:rFonts w:hint="eastAsia" w:ascii="仿宋" w:hAnsi="仿宋" w:eastAsia="仿宋" w:cs="仿宋"/>
                <w:color w:val="auto"/>
                <w:sz w:val="24"/>
                <w:lang w:val="en-US" w:eastAsia="zh-CN"/>
              </w:rPr>
            </w:pPr>
          </w:p>
        </w:tc>
        <w:tc>
          <w:tcPr>
            <w:tcW w:w="2220" w:type="dxa"/>
            <w:noWrap w:val="0"/>
            <w:vAlign w:val="top"/>
          </w:tcPr>
          <w:p w14:paraId="29B309F5">
            <w:pPr>
              <w:spacing w:line="400" w:lineRule="atLeast"/>
              <w:jc w:val="center"/>
              <w:rPr>
                <w:rFonts w:hint="eastAsia" w:ascii="仿宋" w:hAnsi="仿宋" w:eastAsia="仿宋" w:cs="仿宋"/>
                <w:color w:val="auto"/>
                <w:sz w:val="24"/>
              </w:rPr>
            </w:pPr>
          </w:p>
        </w:tc>
        <w:tc>
          <w:tcPr>
            <w:tcW w:w="2195" w:type="dxa"/>
            <w:noWrap w:val="0"/>
            <w:vAlign w:val="top"/>
          </w:tcPr>
          <w:p w14:paraId="6B4D8B94">
            <w:pPr>
              <w:spacing w:line="400" w:lineRule="atLeast"/>
              <w:jc w:val="center"/>
              <w:rPr>
                <w:rFonts w:hint="eastAsia" w:ascii="仿宋" w:hAnsi="仿宋" w:eastAsia="仿宋" w:cs="仿宋"/>
                <w:color w:val="auto"/>
                <w:sz w:val="24"/>
              </w:rPr>
            </w:pPr>
          </w:p>
        </w:tc>
        <w:tc>
          <w:tcPr>
            <w:tcW w:w="1440" w:type="dxa"/>
            <w:noWrap w:val="0"/>
            <w:vAlign w:val="top"/>
          </w:tcPr>
          <w:p w14:paraId="6F22FA88">
            <w:pPr>
              <w:spacing w:line="400" w:lineRule="atLeast"/>
              <w:jc w:val="center"/>
              <w:rPr>
                <w:rFonts w:hint="eastAsia" w:ascii="仿宋" w:hAnsi="仿宋" w:eastAsia="仿宋" w:cs="仿宋"/>
                <w:color w:val="auto"/>
                <w:sz w:val="24"/>
              </w:rPr>
            </w:pPr>
          </w:p>
        </w:tc>
      </w:tr>
      <w:tr w14:paraId="22C4D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35B72F92">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1995" w:type="dxa"/>
            <w:noWrap w:val="0"/>
            <w:vAlign w:val="top"/>
          </w:tcPr>
          <w:p w14:paraId="2975CE4B">
            <w:pPr>
              <w:spacing w:line="400" w:lineRule="atLeast"/>
              <w:jc w:val="center"/>
              <w:rPr>
                <w:rFonts w:hint="eastAsia" w:ascii="仿宋" w:hAnsi="仿宋" w:eastAsia="仿宋" w:cs="仿宋"/>
                <w:color w:val="auto"/>
                <w:sz w:val="24"/>
                <w:lang w:eastAsia="zh-CN"/>
              </w:rPr>
            </w:pPr>
          </w:p>
        </w:tc>
        <w:tc>
          <w:tcPr>
            <w:tcW w:w="2220" w:type="dxa"/>
            <w:noWrap w:val="0"/>
            <w:vAlign w:val="top"/>
          </w:tcPr>
          <w:p w14:paraId="08487A37">
            <w:pPr>
              <w:spacing w:line="400" w:lineRule="atLeast"/>
              <w:jc w:val="center"/>
              <w:rPr>
                <w:rFonts w:hint="eastAsia" w:ascii="仿宋" w:hAnsi="仿宋" w:eastAsia="仿宋" w:cs="仿宋"/>
                <w:color w:val="auto"/>
                <w:sz w:val="24"/>
              </w:rPr>
            </w:pPr>
          </w:p>
        </w:tc>
        <w:tc>
          <w:tcPr>
            <w:tcW w:w="2195" w:type="dxa"/>
            <w:noWrap w:val="0"/>
            <w:vAlign w:val="top"/>
          </w:tcPr>
          <w:p w14:paraId="75C996BB">
            <w:pPr>
              <w:spacing w:line="400" w:lineRule="atLeast"/>
              <w:jc w:val="center"/>
              <w:rPr>
                <w:rFonts w:hint="eastAsia" w:ascii="仿宋" w:hAnsi="仿宋" w:eastAsia="仿宋" w:cs="仿宋"/>
                <w:color w:val="auto"/>
                <w:sz w:val="24"/>
              </w:rPr>
            </w:pPr>
          </w:p>
        </w:tc>
        <w:tc>
          <w:tcPr>
            <w:tcW w:w="1440" w:type="dxa"/>
            <w:noWrap w:val="0"/>
            <w:vAlign w:val="top"/>
          </w:tcPr>
          <w:p w14:paraId="0F8D648C">
            <w:pPr>
              <w:spacing w:line="400" w:lineRule="atLeast"/>
              <w:jc w:val="center"/>
              <w:rPr>
                <w:rFonts w:hint="eastAsia" w:ascii="仿宋" w:hAnsi="仿宋" w:eastAsia="仿宋" w:cs="仿宋"/>
                <w:color w:val="auto"/>
                <w:sz w:val="24"/>
              </w:rPr>
            </w:pPr>
          </w:p>
        </w:tc>
      </w:tr>
      <w:tr w14:paraId="6997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5DC17E9A">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1995" w:type="dxa"/>
            <w:noWrap w:val="0"/>
            <w:vAlign w:val="top"/>
          </w:tcPr>
          <w:p w14:paraId="423BDB9F">
            <w:pPr>
              <w:spacing w:line="40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w:t>
            </w:r>
          </w:p>
        </w:tc>
        <w:tc>
          <w:tcPr>
            <w:tcW w:w="2220" w:type="dxa"/>
            <w:noWrap w:val="0"/>
            <w:vAlign w:val="top"/>
          </w:tcPr>
          <w:p w14:paraId="6A97C2D6">
            <w:pPr>
              <w:spacing w:line="400" w:lineRule="atLeast"/>
              <w:jc w:val="center"/>
              <w:rPr>
                <w:rFonts w:hint="eastAsia" w:ascii="仿宋" w:hAnsi="仿宋" w:eastAsia="仿宋" w:cs="仿宋"/>
                <w:color w:val="auto"/>
                <w:sz w:val="24"/>
              </w:rPr>
            </w:pPr>
          </w:p>
        </w:tc>
        <w:tc>
          <w:tcPr>
            <w:tcW w:w="2195" w:type="dxa"/>
            <w:noWrap w:val="0"/>
            <w:vAlign w:val="top"/>
          </w:tcPr>
          <w:p w14:paraId="5D79C314">
            <w:pPr>
              <w:spacing w:line="400" w:lineRule="atLeast"/>
              <w:jc w:val="center"/>
              <w:rPr>
                <w:rFonts w:hint="eastAsia" w:ascii="仿宋" w:hAnsi="仿宋" w:eastAsia="仿宋" w:cs="仿宋"/>
                <w:color w:val="auto"/>
                <w:sz w:val="24"/>
              </w:rPr>
            </w:pPr>
          </w:p>
        </w:tc>
        <w:tc>
          <w:tcPr>
            <w:tcW w:w="1440" w:type="dxa"/>
            <w:noWrap w:val="0"/>
            <w:vAlign w:val="top"/>
          </w:tcPr>
          <w:p w14:paraId="0862B013">
            <w:pPr>
              <w:spacing w:line="400" w:lineRule="atLeast"/>
              <w:jc w:val="center"/>
              <w:rPr>
                <w:rFonts w:hint="eastAsia" w:ascii="仿宋" w:hAnsi="仿宋" w:eastAsia="仿宋" w:cs="仿宋"/>
                <w:color w:val="auto"/>
                <w:sz w:val="24"/>
              </w:rPr>
            </w:pPr>
          </w:p>
        </w:tc>
      </w:tr>
      <w:tr w14:paraId="5561C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5EC8FA3B">
            <w:pPr>
              <w:spacing w:line="400" w:lineRule="atLeast"/>
              <w:jc w:val="center"/>
              <w:rPr>
                <w:rFonts w:hint="eastAsia" w:ascii="仿宋" w:hAnsi="仿宋" w:eastAsia="仿宋" w:cs="仿宋"/>
                <w:color w:val="auto"/>
                <w:sz w:val="24"/>
              </w:rPr>
            </w:pPr>
          </w:p>
        </w:tc>
        <w:tc>
          <w:tcPr>
            <w:tcW w:w="1995" w:type="dxa"/>
            <w:noWrap w:val="0"/>
            <w:vAlign w:val="top"/>
          </w:tcPr>
          <w:p w14:paraId="61F1C19E">
            <w:pPr>
              <w:spacing w:line="400" w:lineRule="atLeast"/>
              <w:jc w:val="center"/>
              <w:rPr>
                <w:rFonts w:hint="eastAsia" w:ascii="仿宋" w:hAnsi="仿宋" w:eastAsia="仿宋" w:cs="仿宋"/>
                <w:color w:val="auto"/>
                <w:sz w:val="24"/>
              </w:rPr>
            </w:pPr>
          </w:p>
        </w:tc>
        <w:tc>
          <w:tcPr>
            <w:tcW w:w="2220" w:type="dxa"/>
            <w:noWrap w:val="0"/>
            <w:vAlign w:val="top"/>
          </w:tcPr>
          <w:p w14:paraId="0E1212B0">
            <w:pPr>
              <w:spacing w:line="400" w:lineRule="atLeast"/>
              <w:jc w:val="center"/>
              <w:rPr>
                <w:rFonts w:hint="eastAsia" w:ascii="仿宋" w:hAnsi="仿宋" w:eastAsia="仿宋" w:cs="仿宋"/>
                <w:color w:val="auto"/>
                <w:sz w:val="24"/>
              </w:rPr>
            </w:pPr>
          </w:p>
        </w:tc>
        <w:tc>
          <w:tcPr>
            <w:tcW w:w="2195" w:type="dxa"/>
            <w:noWrap w:val="0"/>
            <w:vAlign w:val="top"/>
          </w:tcPr>
          <w:p w14:paraId="65C2C3AF">
            <w:pPr>
              <w:spacing w:line="400" w:lineRule="atLeast"/>
              <w:jc w:val="center"/>
              <w:rPr>
                <w:rFonts w:hint="eastAsia" w:ascii="仿宋" w:hAnsi="仿宋" w:eastAsia="仿宋" w:cs="仿宋"/>
                <w:color w:val="auto"/>
                <w:sz w:val="24"/>
              </w:rPr>
            </w:pPr>
          </w:p>
        </w:tc>
        <w:tc>
          <w:tcPr>
            <w:tcW w:w="1440" w:type="dxa"/>
            <w:noWrap w:val="0"/>
            <w:vAlign w:val="top"/>
          </w:tcPr>
          <w:p w14:paraId="73DA5FA0">
            <w:pPr>
              <w:spacing w:line="400" w:lineRule="atLeast"/>
              <w:jc w:val="center"/>
              <w:rPr>
                <w:rFonts w:hint="eastAsia" w:ascii="仿宋" w:hAnsi="仿宋" w:eastAsia="仿宋" w:cs="仿宋"/>
                <w:color w:val="auto"/>
                <w:sz w:val="24"/>
              </w:rPr>
            </w:pPr>
          </w:p>
        </w:tc>
      </w:tr>
      <w:tr w14:paraId="5EE57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7B9B3A80">
            <w:pPr>
              <w:spacing w:line="400" w:lineRule="atLeast"/>
              <w:jc w:val="center"/>
              <w:rPr>
                <w:rFonts w:hint="eastAsia" w:ascii="仿宋" w:hAnsi="仿宋" w:eastAsia="仿宋" w:cs="仿宋"/>
                <w:color w:val="auto"/>
                <w:sz w:val="24"/>
              </w:rPr>
            </w:pPr>
          </w:p>
        </w:tc>
        <w:tc>
          <w:tcPr>
            <w:tcW w:w="1995" w:type="dxa"/>
            <w:noWrap w:val="0"/>
            <w:vAlign w:val="top"/>
          </w:tcPr>
          <w:p w14:paraId="2BA5B7C4">
            <w:pPr>
              <w:spacing w:line="400" w:lineRule="atLeast"/>
              <w:jc w:val="center"/>
              <w:rPr>
                <w:rFonts w:hint="eastAsia" w:ascii="仿宋" w:hAnsi="仿宋" w:eastAsia="仿宋" w:cs="仿宋"/>
                <w:color w:val="auto"/>
                <w:sz w:val="24"/>
              </w:rPr>
            </w:pPr>
          </w:p>
        </w:tc>
        <w:tc>
          <w:tcPr>
            <w:tcW w:w="2220" w:type="dxa"/>
            <w:noWrap w:val="0"/>
            <w:vAlign w:val="top"/>
          </w:tcPr>
          <w:p w14:paraId="345A0A19">
            <w:pPr>
              <w:spacing w:line="400" w:lineRule="atLeast"/>
              <w:jc w:val="center"/>
              <w:rPr>
                <w:rFonts w:hint="eastAsia" w:ascii="仿宋" w:hAnsi="仿宋" w:eastAsia="仿宋" w:cs="仿宋"/>
                <w:color w:val="auto"/>
                <w:sz w:val="24"/>
              </w:rPr>
            </w:pPr>
          </w:p>
        </w:tc>
        <w:tc>
          <w:tcPr>
            <w:tcW w:w="2195" w:type="dxa"/>
            <w:noWrap w:val="0"/>
            <w:vAlign w:val="top"/>
          </w:tcPr>
          <w:p w14:paraId="6B0EEADB">
            <w:pPr>
              <w:spacing w:line="400" w:lineRule="atLeast"/>
              <w:jc w:val="center"/>
              <w:rPr>
                <w:rFonts w:hint="eastAsia" w:ascii="仿宋" w:hAnsi="仿宋" w:eastAsia="仿宋" w:cs="仿宋"/>
                <w:color w:val="auto"/>
                <w:sz w:val="24"/>
              </w:rPr>
            </w:pPr>
          </w:p>
        </w:tc>
        <w:tc>
          <w:tcPr>
            <w:tcW w:w="1440" w:type="dxa"/>
            <w:noWrap w:val="0"/>
            <w:vAlign w:val="top"/>
          </w:tcPr>
          <w:p w14:paraId="30B93C78">
            <w:pPr>
              <w:spacing w:line="400" w:lineRule="atLeast"/>
              <w:jc w:val="center"/>
              <w:rPr>
                <w:rFonts w:hint="eastAsia" w:ascii="仿宋" w:hAnsi="仿宋" w:eastAsia="仿宋" w:cs="仿宋"/>
                <w:color w:val="auto"/>
                <w:sz w:val="24"/>
              </w:rPr>
            </w:pPr>
          </w:p>
        </w:tc>
      </w:tr>
      <w:tr w14:paraId="0642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4C36B14F">
            <w:pPr>
              <w:spacing w:line="400" w:lineRule="atLeast"/>
              <w:jc w:val="center"/>
              <w:rPr>
                <w:rFonts w:hint="eastAsia" w:ascii="仿宋" w:hAnsi="仿宋" w:eastAsia="仿宋" w:cs="仿宋"/>
                <w:color w:val="auto"/>
                <w:sz w:val="24"/>
              </w:rPr>
            </w:pPr>
          </w:p>
        </w:tc>
        <w:tc>
          <w:tcPr>
            <w:tcW w:w="1995" w:type="dxa"/>
            <w:noWrap w:val="0"/>
            <w:vAlign w:val="top"/>
          </w:tcPr>
          <w:p w14:paraId="3F50FDD2">
            <w:pPr>
              <w:spacing w:line="400" w:lineRule="atLeast"/>
              <w:jc w:val="center"/>
              <w:rPr>
                <w:rFonts w:hint="eastAsia" w:ascii="仿宋" w:hAnsi="仿宋" w:eastAsia="仿宋" w:cs="仿宋"/>
                <w:color w:val="auto"/>
                <w:sz w:val="24"/>
              </w:rPr>
            </w:pPr>
          </w:p>
        </w:tc>
        <w:tc>
          <w:tcPr>
            <w:tcW w:w="2220" w:type="dxa"/>
            <w:noWrap w:val="0"/>
            <w:vAlign w:val="top"/>
          </w:tcPr>
          <w:p w14:paraId="53AF663F">
            <w:pPr>
              <w:spacing w:line="400" w:lineRule="atLeast"/>
              <w:jc w:val="center"/>
              <w:rPr>
                <w:rFonts w:hint="eastAsia" w:ascii="仿宋" w:hAnsi="仿宋" w:eastAsia="仿宋" w:cs="仿宋"/>
                <w:color w:val="auto"/>
                <w:sz w:val="24"/>
              </w:rPr>
            </w:pPr>
          </w:p>
        </w:tc>
        <w:tc>
          <w:tcPr>
            <w:tcW w:w="2195" w:type="dxa"/>
            <w:noWrap w:val="0"/>
            <w:vAlign w:val="top"/>
          </w:tcPr>
          <w:p w14:paraId="29824B2A">
            <w:pPr>
              <w:spacing w:line="400" w:lineRule="atLeast"/>
              <w:jc w:val="center"/>
              <w:rPr>
                <w:rFonts w:hint="eastAsia" w:ascii="仿宋" w:hAnsi="仿宋" w:eastAsia="仿宋" w:cs="仿宋"/>
                <w:color w:val="auto"/>
                <w:sz w:val="24"/>
              </w:rPr>
            </w:pPr>
          </w:p>
        </w:tc>
        <w:tc>
          <w:tcPr>
            <w:tcW w:w="1440" w:type="dxa"/>
            <w:noWrap w:val="0"/>
            <w:vAlign w:val="top"/>
          </w:tcPr>
          <w:p w14:paraId="47D787F6">
            <w:pPr>
              <w:spacing w:line="400" w:lineRule="atLeast"/>
              <w:jc w:val="center"/>
              <w:rPr>
                <w:rFonts w:hint="eastAsia" w:ascii="仿宋" w:hAnsi="仿宋" w:eastAsia="仿宋" w:cs="仿宋"/>
                <w:color w:val="auto"/>
                <w:sz w:val="24"/>
              </w:rPr>
            </w:pPr>
          </w:p>
        </w:tc>
      </w:tr>
      <w:tr w14:paraId="7CAF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6D352103">
            <w:pPr>
              <w:spacing w:line="400" w:lineRule="atLeast"/>
              <w:jc w:val="center"/>
              <w:rPr>
                <w:rFonts w:hint="eastAsia" w:ascii="仿宋" w:hAnsi="仿宋" w:eastAsia="仿宋" w:cs="仿宋"/>
                <w:color w:val="auto"/>
                <w:sz w:val="24"/>
              </w:rPr>
            </w:pPr>
          </w:p>
        </w:tc>
        <w:tc>
          <w:tcPr>
            <w:tcW w:w="1995" w:type="dxa"/>
            <w:noWrap w:val="0"/>
            <w:vAlign w:val="top"/>
          </w:tcPr>
          <w:p w14:paraId="348F1448">
            <w:pPr>
              <w:spacing w:line="400" w:lineRule="atLeast"/>
              <w:jc w:val="center"/>
              <w:rPr>
                <w:rFonts w:hint="eastAsia" w:ascii="仿宋" w:hAnsi="仿宋" w:eastAsia="仿宋" w:cs="仿宋"/>
                <w:color w:val="auto"/>
                <w:sz w:val="24"/>
              </w:rPr>
            </w:pPr>
          </w:p>
        </w:tc>
        <w:tc>
          <w:tcPr>
            <w:tcW w:w="2220" w:type="dxa"/>
            <w:noWrap w:val="0"/>
            <w:vAlign w:val="top"/>
          </w:tcPr>
          <w:p w14:paraId="2574C90A">
            <w:pPr>
              <w:spacing w:line="400" w:lineRule="atLeast"/>
              <w:jc w:val="center"/>
              <w:rPr>
                <w:rFonts w:hint="eastAsia" w:ascii="仿宋" w:hAnsi="仿宋" w:eastAsia="仿宋" w:cs="仿宋"/>
                <w:color w:val="auto"/>
                <w:sz w:val="24"/>
              </w:rPr>
            </w:pPr>
          </w:p>
        </w:tc>
        <w:tc>
          <w:tcPr>
            <w:tcW w:w="2195" w:type="dxa"/>
            <w:noWrap w:val="0"/>
            <w:vAlign w:val="top"/>
          </w:tcPr>
          <w:p w14:paraId="02277A7C">
            <w:pPr>
              <w:spacing w:line="400" w:lineRule="atLeast"/>
              <w:jc w:val="center"/>
              <w:rPr>
                <w:rFonts w:hint="eastAsia" w:ascii="仿宋" w:hAnsi="仿宋" w:eastAsia="仿宋" w:cs="仿宋"/>
                <w:color w:val="auto"/>
                <w:sz w:val="24"/>
              </w:rPr>
            </w:pPr>
          </w:p>
        </w:tc>
        <w:tc>
          <w:tcPr>
            <w:tcW w:w="1440" w:type="dxa"/>
            <w:noWrap w:val="0"/>
            <w:vAlign w:val="top"/>
          </w:tcPr>
          <w:p w14:paraId="02BB237A">
            <w:pPr>
              <w:spacing w:line="400" w:lineRule="atLeast"/>
              <w:jc w:val="center"/>
              <w:rPr>
                <w:rFonts w:hint="eastAsia" w:ascii="仿宋" w:hAnsi="仿宋" w:eastAsia="仿宋" w:cs="仿宋"/>
                <w:color w:val="auto"/>
                <w:sz w:val="24"/>
              </w:rPr>
            </w:pPr>
          </w:p>
        </w:tc>
      </w:tr>
      <w:tr w14:paraId="0D83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7C30C1A8">
            <w:pPr>
              <w:spacing w:line="400" w:lineRule="atLeast"/>
              <w:jc w:val="center"/>
              <w:rPr>
                <w:rFonts w:hint="eastAsia" w:ascii="仿宋" w:hAnsi="仿宋" w:eastAsia="仿宋" w:cs="仿宋"/>
                <w:color w:val="auto"/>
                <w:sz w:val="24"/>
              </w:rPr>
            </w:pPr>
          </w:p>
        </w:tc>
        <w:tc>
          <w:tcPr>
            <w:tcW w:w="1995" w:type="dxa"/>
            <w:noWrap w:val="0"/>
            <w:vAlign w:val="top"/>
          </w:tcPr>
          <w:p w14:paraId="58583C88">
            <w:pPr>
              <w:spacing w:line="400" w:lineRule="atLeast"/>
              <w:jc w:val="center"/>
              <w:rPr>
                <w:rFonts w:hint="eastAsia" w:ascii="仿宋" w:hAnsi="仿宋" w:eastAsia="仿宋" w:cs="仿宋"/>
                <w:color w:val="auto"/>
                <w:sz w:val="24"/>
              </w:rPr>
            </w:pPr>
          </w:p>
        </w:tc>
        <w:tc>
          <w:tcPr>
            <w:tcW w:w="2220" w:type="dxa"/>
            <w:noWrap w:val="0"/>
            <w:vAlign w:val="top"/>
          </w:tcPr>
          <w:p w14:paraId="78BF6A84">
            <w:pPr>
              <w:spacing w:line="400" w:lineRule="atLeast"/>
              <w:jc w:val="center"/>
              <w:rPr>
                <w:rFonts w:hint="eastAsia" w:ascii="仿宋" w:hAnsi="仿宋" w:eastAsia="仿宋" w:cs="仿宋"/>
                <w:color w:val="auto"/>
                <w:sz w:val="24"/>
              </w:rPr>
            </w:pPr>
          </w:p>
        </w:tc>
        <w:tc>
          <w:tcPr>
            <w:tcW w:w="2195" w:type="dxa"/>
            <w:noWrap w:val="0"/>
            <w:vAlign w:val="top"/>
          </w:tcPr>
          <w:p w14:paraId="5442658F">
            <w:pPr>
              <w:spacing w:line="400" w:lineRule="atLeast"/>
              <w:jc w:val="center"/>
              <w:rPr>
                <w:rFonts w:hint="eastAsia" w:ascii="仿宋" w:hAnsi="仿宋" w:eastAsia="仿宋" w:cs="仿宋"/>
                <w:color w:val="auto"/>
                <w:sz w:val="24"/>
              </w:rPr>
            </w:pPr>
          </w:p>
        </w:tc>
        <w:tc>
          <w:tcPr>
            <w:tcW w:w="1440" w:type="dxa"/>
            <w:noWrap w:val="0"/>
            <w:vAlign w:val="top"/>
          </w:tcPr>
          <w:p w14:paraId="3A12BE7B">
            <w:pPr>
              <w:spacing w:line="400" w:lineRule="atLeast"/>
              <w:jc w:val="center"/>
              <w:rPr>
                <w:rFonts w:hint="eastAsia" w:ascii="仿宋" w:hAnsi="仿宋" w:eastAsia="仿宋" w:cs="仿宋"/>
                <w:color w:val="auto"/>
                <w:sz w:val="24"/>
              </w:rPr>
            </w:pPr>
          </w:p>
        </w:tc>
      </w:tr>
    </w:tbl>
    <w:p w14:paraId="634A0553">
      <w:pPr>
        <w:spacing w:line="400" w:lineRule="atLeast"/>
        <w:rPr>
          <w:rFonts w:hint="eastAsia" w:ascii="仿宋" w:hAnsi="仿宋" w:eastAsia="仿宋" w:cs="仿宋"/>
          <w:color w:val="auto"/>
          <w:sz w:val="24"/>
        </w:rPr>
      </w:pPr>
      <w:r>
        <w:rPr>
          <w:rFonts w:hint="eastAsia" w:ascii="仿宋" w:hAnsi="仿宋" w:eastAsia="仿宋" w:cs="仿宋"/>
          <w:color w:val="auto"/>
          <w:sz w:val="24"/>
        </w:rPr>
        <w:t>备注：1、除本商务偏离表中所列的偏离项目外，其它所有商务均完全响应“招标文件”中的要求。</w:t>
      </w:r>
    </w:p>
    <w:p w14:paraId="664E5FC4">
      <w:pPr>
        <w:numPr>
          <w:ilvl w:val="0"/>
          <w:numId w:val="2"/>
        </w:numPr>
        <w:spacing w:line="400" w:lineRule="atLeast"/>
        <w:rPr>
          <w:rFonts w:hint="eastAsia" w:ascii="仿宋" w:hAnsi="仿宋" w:eastAsia="仿宋" w:cs="仿宋"/>
          <w:color w:val="auto"/>
          <w:sz w:val="24"/>
        </w:rPr>
      </w:pPr>
      <w:r>
        <w:rPr>
          <w:rFonts w:hint="eastAsia" w:ascii="仿宋" w:hAnsi="仿宋" w:eastAsia="仿宋" w:cs="仿宋"/>
          <w:color w:val="auto"/>
          <w:sz w:val="24"/>
        </w:rPr>
        <w:t>如全部响应招标文件所提服务要求，在“文件商务要求”及“文件商务响应”栏中填写“全部”字样，在“偏离情况”栏填入“无偏离”字样。</w:t>
      </w:r>
    </w:p>
    <w:p w14:paraId="2F58065E">
      <w:pPr>
        <w:pStyle w:val="17"/>
        <w:rPr>
          <w:rFonts w:hint="eastAsia" w:ascii="仿宋" w:hAnsi="仿宋" w:eastAsia="仿宋" w:cs="仿宋"/>
          <w:color w:val="auto"/>
        </w:rPr>
      </w:pPr>
    </w:p>
    <w:p w14:paraId="27200DD3">
      <w:pPr>
        <w:pStyle w:val="17"/>
        <w:rPr>
          <w:rFonts w:hint="eastAsia" w:ascii="仿宋" w:hAnsi="仿宋" w:eastAsia="仿宋" w:cs="仿宋"/>
          <w:color w:val="auto"/>
        </w:rPr>
      </w:pPr>
    </w:p>
    <w:p w14:paraId="3D5E273A">
      <w:pPr>
        <w:spacing w:line="360" w:lineRule="auto"/>
        <w:ind w:firstLine="420" w:firstLineChars="200"/>
        <w:rPr>
          <w:rFonts w:hint="eastAsia" w:ascii="仿宋" w:hAnsi="仿宋" w:eastAsia="仿宋" w:cs="仿宋"/>
          <w:color w:val="auto"/>
        </w:rPr>
      </w:pPr>
    </w:p>
    <w:p w14:paraId="582E947F">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43A5A6EC">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78535025">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677A4B27">
      <w:pPr>
        <w:spacing w:line="360" w:lineRule="auto"/>
        <w:ind w:firstLine="420" w:firstLineChars="200"/>
        <w:rPr>
          <w:rFonts w:hint="eastAsia" w:ascii="仿宋" w:hAnsi="仿宋" w:eastAsia="仿宋" w:cs="仿宋"/>
          <w:color w:val="auto"/>
        </w:rPr>
      </w:pPr>
    </w:p>
    <w:p w14:paraId="1146AFB6">
      <w:pPr>
        <w:spacing w:line="360" w:lineRule="auto"/>
        <w:ind w:firstLine="420" w:firstLineChars="200"/>
        <w:rPr>
          <w:rFonts w:hint="eastAsia" w:ascii="仿宋" w:hAnsi="仿宋" w:eastAsia="仿宋" w:cs="仿宋"/>
          <w:color w:val="auto"/>
        </w:rPr>
      </w:pPr>
    </w:p>
    <w:p w14:paraId="52116F52">
      <w:pPr>
        <w:spacing w:line="360" w:lineRule="auto"/>
        <w:ind w:firstLine="420" w:firstLineChars="200"/>
        <w:rPr>
          <w:rFonts w:hint="eastAsia" w:ascii="仿宋" w:hAnsi="仿宋" w:eastAsia="仿宋" w:cs="仿宋"/>
          <w:color w:val="auto"/>
        </w:rPr>
      </w:pPr>
    </w:p>
    <w:p w14:paraId="161DBADE">
      <w:pPr>
        <w:pStyle w:val="17"/>
        <w:rPr>
          <w:rFonts w:hint="eastAsia" w:ascii="仿宋" w:hAnsi="仿宋" w:eastAsia="仿宋" w:cs="仿宋"/>
          <w:color w:val="auto"/>
        </w:rPr>
      </w:pPr>
    </w:p>
    <w:p w14:paraId="7D780CEE">
      <w:pPr>
        <w:ind w:firstLine="2640" w:firstLineChars="1100"/>
        <w:rPr>
          <w:rFonts w:hint="eastAsia" w:ascii="仿宋" w:hAnsi="仿宋" w:eastAsia="仿宋" w:cs="仿宋"/>
          <w:color w:val="auto"/>
          <w:sz w:val="24"/>
          <w:szCs w:val="24"/>
          <w:u w:val="single"/>
        </w:rPr>
      </w:pPr>
    </w:p>
    <w:p w14:paraId="176218F5">
      <w:pPr>
        <w:pStyle w:val="4"/>
        <w:tabs>
          <w:tab w:val="left" w:pos="576"/>
        </w:tabs>
        <w:adjustRightInd w:val="0"/>
        <w:spacing w:before="0" w:after="0" w:line="360" w:lineRule="auto"/>
        <w:textAlignment w:val="baseline"/>
        <w:rPr>
          <w:rFonts w:hint="eastAsia" w:ascii="仿宋" w:hAnsi="仿宋" w:eastAsia="仿宋" w:cs="仿宋"/>
          <w:iCs/>
          <w:color w:val="auto"/>
        </w:rPr>
      </w:pPr>
      <w:bookmarkStart w:id="224" w:name="_Toc14326"/>
      <w:bookmarkStart w:id="225" w:name="_Toc21270"/>
      <w:bookmarkStart w:id="226" w:name="_Toc7405"/>
      <w:bookmarkStart w:id="227" w:name="_Toc9253"/>
      <w:bookmarkStart w:id="228" w:name="_Toc357600775"/>
      <w:bookmarkStart w:id="229" w:name="_Toc2454"/>
      <w:bookmarkStart w:id="230" w:name="_Toc416185204"/>
      <w:bookmarkStart w:id="231" w:name="_Toc361149376"/>
      <w:bookmarkStart w:id="232" w:name="_Toc24907"/>
      <w:bookmarkStart w:id="233" w:name="_Toc7247"/>
      <w:bookmarkStart w:id="234" w:name="_Toc31519"/>
      <w:r>
        <w:rPr>
          <w:rFonts w:hint="eastAsia" w:ascii="仿宋" w:hAnsi="仿宋" w:eastAsia="仿宋" w:cs="仿宋"/>
          <w:iCs/>
          <w:color w:val="auto"/>
        </w:rPr>
        <w:t>附件</w:t>
      </w:r>
      <w:r>
        <w:rPr>
          <w:rFonts w:hint="eastAsia" w:ascii="仿宋" w:hAnsi="仿宋" w:eastAsia="仿宋" w:cs="仿宋"/>
          <w:iCs/>
          <w:color w:val="auto"/>
          <w:lang w:val="en-US" w:eastAsia="zh-CN"/>
        </w:rPr>
        <w:t>4</w:t>
      </w:r>
      <w:r>
        <w:rPr>
          <w:rFonts w:hint="eastAsia" w:ascii="仿宋" w:hAnsi="仿宋" w:eastAsia="仿宋" w:cs="仿宋"/>
          <w:iCs/>
          <w:color w:val="auto"/>
        </w:rPr>
        <w:t xml:space="preserve">  </w:t>
      </w:r>
      <w:bookmarkStart w:id="235" w:name="_Toc10247"/>
      <w:r>
        <w:rPr>
          <w:rFonts w:hint="eastAsia" w:ascii="仿宋" w:hAnsi="仿宋" w:eastAsia="仿宋" w:cs="仿宋"/>
          <w:bCs/>
          <w:color w:val="auto"/>
          <w:szCs w:val="32"/>
          <w:highlight w:val="none"/>
        </w:rPr>
        <w:t>资格证明文件</w:t>
      </w:r>
      <w:bookmarkEnd w:id="224"/>
      <w:bookmarkEnd w:id="235"/>
    </w:p>
    <w:p w14:paraId="47220E23">
      <w:pPr>
        <w:tabs>
          <w:tab w:val="left" w:pos="5580"/>
        </w:tabs>
        <w:spacing w:before="120" w:line="360" w:lineRule="auto"/>
        <w:outlineLvl w:val="2"/>
        <w:rPr>
          <w:rFonts w:hint="eastAsia" w:ascii="仿宋" w:hAnsi="仿宋" w:eastAsia="仿宋" w:cs="仿宋"/>
          <w:color w:val="auto"/>
          <w:sz w:val="24"/>
          <w:szCs w:val="24"/>
          <w:u w:val="single"/>
        </w:rPr>
      </w:pPr>
      <w:bookmarkStart w:id="236" w:name="_Toc25420"/>
      <w:bookmarkStart w:id="237" w:name="_Toc27406"/>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）具有独立承担民事责任的能力</w:t>
      </w:r>
      <w:bookmarkEnd w:id="236"/>
      <w:bookmarkEnd w:id="237"/>
    </w:p>
    <w:p w14:paraId="10CB8C94">
      <w:pPr>
        <w:ind w:firstLine="2640" w:firstLineChars="1100"/>
        <w:rPr>
          <w:rFonts w:hint="eastAsia" w:ascii="仿宋" w:hAnsi="仿宋" w:eastAsia="仿宋" w:cs="仿宋"/>
          <w:color w:val="auto"/>
          <w:sz w:val="24"/>
          <w:u w:val="single"/>
        </w:rPr>
      </w:pPr>
    </w:p>
    <w:p w14:paraId="4E8E7276">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p w14:paraId="4D0F24AA">
      <w:pPr>
        <w:tabs>
          <w:tab w:val="left" w:pos="5580"/>
        </w:tabs>
        <w:spacing w:before="120" w:line="360" w:lineRule="auto"/>
        <w:outlineLvl w:val="2"/>
        <w:rPr>
          <w:rFonts w:hint="eastAsia" w:ascii="仿宋" w:hAnsi="仿宋" w:eastAsia="仿宋" w:cs="仿宋"/>
          <w:b/>
          <w:color w:val="auto"/>
          <w:sz w:val="24"/>
          <w:highlight w:val="none"/>
        </w:rPr>
      </w:pPr>
      <w:bookmarkStart w:id="238" w:name="_Toc17743"/>
      <w:bookmarkStart w:id="239" w:name="_Toc10232"/>
      <w:bookmarkStart w:id="240" w:name="_Toc1340"/>
      <w:bookmarkStart w:id="241" w:name="_Toc24608"/>
      <w:bookmarkStart w:id="242" w:name="_Toc3567"/>
      <w:bookmarkStart w:id="243" w:name="_Toc5696"/>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lang w:eastAsia="zh-CN"/>
        </w:rPr>
        <w:t>）</w:t>
      </w:r>
      <w:r>
        <w:rPr>
          <w:rFonts w:hint="eastAsia" w:ascii="仿宋" w:hAnsi="仿宋" w:eastAsia="仿宋" w:cs="仿宋"/>
          <w:b/>
          <w:color w:val="auto"/>
          <w:sz w:val="24"/>
          <w:highlight w:val="none"/>
        </w:rPr>
        <w:t>基本资格条件承诺函</w:t>
      </w:r>
      <w:bookmarkEnd w:id="238"/>
      <w:bookmarkEnd w:id="239"/>
      <w:bookmarkEnd w:id="240"/>
      <w:bookmarkEnd w:id="241"/>
      <w:bookmarkEnd w:id="242"/>
      <w:bookmarkEnd w:id="243"/>
    </w:p>
    <w:p w14:paraId="677F90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基本资格条件承诺函</w:t>
      </w:r>
    </w:p>
    <w:p w14:paraId="27A77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（采购代理机构名称）</w:t>
      </w:r>
      <w:r>
        <w:rPr>
          <w:rFonts w:hint="eastAsia" w:ascii="仿宋" w:hAnsi="仿宋" w:eastAsia="仿宋" w:cs="仿宋"/>
          <w:color w:val="auto"/>
          <w:sz w:val="24"/>
          <w:szCs w:val="24"/>
          <w:lang w:val="en-US" w:eastAsia="zh-CN"/>
        </w:rPr>
        <w:t>：</w:t>
      </w:r>
    </w:p>
    <w:p w14:paraId="28A17C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（供应商名称）</w:t>
      </w:r>
      <w:r>
        <w:rPr>
          <w:rFonts w:hint="eastAsia" w:ascii="仿宋" w:hAnsi="仿宋" w:eastAsia="仿宋" w:cs="仿宋"/>
          <w:color w:val="auto"/>
          <w:sz w:val="24"/>
          <w:szCs w:val="24"/>
          <w:lang w:val="en-US" w:eastAsia="zh-CN"/>
        </w:rPr>
        <w:t>郑重承诺：</w:t>
      </w:r>
    </w:p>
    <w:p w14:paraId="34422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1.我方具有良好的商业信誉和健全的财务会计制度，具有履行合同所必须的设备和专业技术能力，具有依法缴纳税收和社会保障金的良好记录，参加本项目采购活动前三年内无重大违法活动记录。</w:t>
      </w:r>
    </w:p>
    <w:p w14:paraId="180C2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2.我方未列入在信用中国网站（www.creditchina.gov.cn）“失信被执行人”、“重大税收违法案件当事人名单”中，也未列入中国政府采购网（www.ccgp.gov.cn）“政府采购严重违法失信行为记录名单”中。</w:t>
      </w:r>
    </w:p>
    <w:p w14:paraId="341E3A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3.我方在采购项目评审（评标）环节结束后，随时接受采购人、采购代理机构的检测验证，配合提供相关证明材料，证明符合《中华人民共和国政府采购法》规定的供应商基本资格条件。</w:t>
      </w:r>
    </w:p>
    <w:p w14:paraId="57F18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我方对以上承诺负全部法律责任。</w:t>
      </w:r>
    </w:p>
    <w:p w14:paraId="13F2D178">
      <w:pPr>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zCs w:val="24"/>
          <w:lang w:val="en-US" w:eastAsia="zh-CN"/>
        </w:rPr>
        <w:t>特此承诺</w:t>
      </w:r>
      <w:r>
        <w:rPr>
          <w:rFonts w:hint="eastAsia" w:ascii="仿宋" w:hAnsi="仿宋" w:eastAsia="仿宋" w:cs="仿宋"/>
          <w:color w:val="auto"/>
          <w:sz w:val="24"/>
          <w:szCs w:val="24"/>
          <w:highlight w:val="none"/>
          <w:lang w:val="en-US" w:eastAsia="zh-CN"/>
        </w:rPr>
        <w:t>。</w:t>
      </w:r>
    </w:p>
    <w:p w14:paraId="3AC3A2EC">
      <w:pPr>
        <w:ind w:firstLine="2640" w:firstLineChars="1100"/>
        <w:rPr>
          <w:rFonts w:hint="eastAsia" w:ascii="仿宋" w:hAnsi="仿宋" w:eastAsia="仿宋"/>
          <w:color w:val="auto"/>
          <w:sz w:val="24"/>
          <w:u w:val="single"/>
        </w:rPr>
      </w:pPr>
    </w:p>
    <w:p w14:paraId="0D7F2196">
      <w:pPr>
        <w:ind w:firstLine="2640" w:firstLineChars="1100"/>
        <w:rPr>
          <w:rFonts w:hint="eastAsia" w:ascii="仿宋" w:hAnsi="仿宋" w:eastAsia="仿宋"/>
          <w:color w:val="auto"/>
          <w:sz w:val="24"/>
          <w:u w:val="single"/>
        </w:rPr>
      </w:pPr>
    </w:p>
    <w:p w14:paraId="4D942BE7">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410124B6">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6DB77C8F">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263840C8">
      <w:pPr>
        <w:rPr>
          <w:rFonts w:hint="eastAsia" w:ascii="仿宋" w:hAnsi="仿宋" w:eastAsia="仿宋"/>
          <w:color w:val="auto"/>
          <w:sz w:val="24"/>
          <w:u w:val="single"/>
        </w:rPr>
      </w:pPr>
    </w:p>
    <w:p w14:paraId="32BEA0A6">
      <w:pPr>
        <w:rPr>
          <w:rFonts w:hint="eastAsia" w:ascii="仿宋" w:hAnsi="仿宋" w:eastAsia="仿宋"/>
          <w:color w:val="auto"/>
          <w:sz w:val="24"/>
          <w:u w:val="single"/>
        </w:rPr>
      </w:pPr>
    </w:p>
    <w:p w14:paraId="18B26662">
      <w:pPr>
        <w:rPr>
          <w:rFonts w:hint="eastAsia" w:ascii="仿宋" w:hAnsi="仿宋" w:eastAsia="仿宋"/>
          <w:color w:val="auto"/>
          <w:sz w:val="24"/>
          <w:u w:val="single"/>
        </w:rPr>
      </w:pPr>
    </w:p>
    <w:p w14:paraId="1759DAAA">
      <w:pPr>
        <w:rPr>
          <w:rFonts w:hint="eastAsia" w:ascii="仿宋" w:hAnsi="仿宋" w:eastAsia="仿宋"/>
          <w:color w:val="auto"/>
          <w:sz w:val="24"/>
          <w:u w:val="single"/>
        </w:rPr>
      </w:pPr>
    </w:p>
    <w:p w14:paraId="48B6FF52">
      <w:pPr>
        <w:rPr>
          <w:rFonts w:hint="eastAsia" w:ascii="仿宋" w:hAnsi="仿宋" w:eastAsia="仿宋"/>
          <w:color w:val="auto"/>
          <w:sz w:val="24"/>
          <w:u w:val="single"/>
        </w:rPr>
      </w:pPr>
    </w:p>
    <w:p w14:paraId="55B75631">
      <w:pPr>
        <w:ind w:firstLine="2640" w:firstLineChars="1100"/>
        <w:rPr>
          <w:rFonts w:hint="eastAsia" w:ascii="仿宋" w:hAnsi="仿宋" w:eastAsia="仿宋"/>
          <w:color w:val="auto"/>
          <w:sz w:val="24"/>
          <w:u w:val="single"/>
        </w:rPr>
      </w:pPr>
    </w:p>
    <w:p w14:paraId="71C0FF5F">
      <w:pPr>
        <w:ind w:firstLine="2640" w:firstLineChars="1100"/>
        <w:rPr>
          <w:rFonts w:hint="eastAsia" w:ascii="仿宋" w:hAnsi="仿宋" w:eastAsia="仿宋"/>
          <w:color w:val="auto"/>
          <w:sz w:val="24"/>
          <w:u w:val="single"/>
        </w:rPr>
      </w:pPr>
    </w:p>
    <w:p w14:paraId="133849E2">
      <w:pPr>
        <w:ind w:firstLine="2640" w:firstLineChars="1100"/>
        <w:rPr>
          <w:rFonts w:hint="eastAsia" w:ascii="仿宋" w:hAnsi="仿宋" w:eastAsia="仿宋"/>
          <w:color w:val="auto"/>
          <w:sz w:val="24"/>
          <w:u w:val="single"/>
        </w:rPr>
      </w:pPr>
    </w:p>
    <w:p w14:paraId="69710ED7">
      <w:pPr>
        <w:ind w:firstLine="2640" w:firstLineChars="1100"/>
        <w:rPr>
          <w:rFonts w:hint="eastAsia" w:ascii="仿宋" w:hAnsi="仿宋" w:eastAsia="仿宋"/>
          <w:color w:val="auto"/>
          <w:sz w:val="24"/>
          <w:u w:val="single"/>
        </w:rPr>
      </w:pPr>
    </w:p>
    <w:p w14:paraId="6010DB6A">
      <w:pPr>
        <w:rPr>
          <w:rFonts w:hint="eastAsia" w:ascii="仿宋" w:hAnsi="仿宋" w:eastAsia="仿宋" w:cs="仿宋"/>
          <w:iCs/>
          <w:color w:val="auto"/>
        </w:rPr>
      </w:pPr>
      <w:r>
        <w:rPr>
          <w:rFonts w:hint="eastAsia" w:ascii="仿宋" w:hAnsi="仿宋" w:eastAsia="仿宋" w:cs="仿宋"/>
          <w:iCs/>
          <w:color w:val="auto"/>
        </w:rPr>
        <w:br w:type="page"/>
      </w:r>
    </w:p>
    <w:p w14:paraId="2CD95A7B">
      <w:pPr>
        <w:tabs>
          <w:tab w:val="left" w:pos="5580"/>
        </w:tabs>
        <w:spacing w:before="120" w:line="360" w:lineRule="auto"/>
        <w:outlineLvl w:val="2"/>
        <w:rPr>
          <w:rFonts w:hint="eastAsia" w:ascii="仿宋" w:hAnsi="仿宋" w:eastAsia="仿宋" w:cs="仿宋"/>
          <w:b/>
          <w:bCs/>
          <w:color w:val="auto"/>
          <w:kern w:val="0"/>
          <w:sz w:val="24"/>
          <w:highlight w:val="none"/>
          <w:lang w:eastAsia="zh-CN"/>
        </w:rPr>
      </w:pPr>
      <w:bookmarkStart w:id="244" w:name="_Toc7135"/>
      <w:bookmarkStart w:id="245" w:name="_Toc11435"/>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lang w:eastAsia="zh-CN"/>
        </w:rPr>
        <w:t>）法定代表人身份证明</w:t>
      </w:r>
      <w:bookmarkEnd w:id="244"/>
      <w:bookmarkEnd w:id="245"/>
    </w:p>
    <w:p w14:paraId="6807F736">
      <w:pPr>
        <w:spacing w:line="360" w:lineRule="auto"/>
        <w:ind w:firstLine="480" w:firstLineChars="200"/>
        <w:rPr>
          <w:rFonts w:hint="eastAsia" w:ascii="仿宋" w:hAnsi="仿宋" w:eastAsia="仿宋" w:cs="仿宋"/>
          <w:bCs/>
          <w:color w:val="auto"/>
          <w:sz w:val="24"/>
        </w:rPr>
      </w:pPr>
    </w:p>
    <w:p w14:paraId="678CFF04">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rPr>
        <w:t>供应商名称：</w:t>
      </w:r>
      <w:r>
        <w:rPr>
          <w:rFonts w:hint="eastAsia" w:ascii="仿宋" w:hAnsi="仿宋" w:eastAsia="仿宋" w:cs="仿宋"/>
          <w:bCs/>
          <w:color w:val="auto"/>
          <w:sz w:val="24"/>
          <w:u w:val="single"/>
        </w:rPr>
        <w:t xml:space="preserve">              </w:t>
      </w:r>
    </w:p>
    <w:p w14:paraId="2208718F">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rPr>
        <w:t>单位性质：</w:t>
      </w:r>
      <w:r>
        <w:rPr>
          <w:rFonts w:hint="eastAsia" w:ascii="仿宋" w:hAnsi="仿宋" w:eastAsia="仿宋" w:cs="仿宋"/>
          <w:bCs/>
          <w:color w:val="auto"/>
          <w:sz w:val="24"/>
          <w:u w:val="single"/>
        </w:rPr>
        <w:t xml:space="preserve">                </w:t>
      </w:r>
    </w:p>
    <w:p w14:paraId="784C5882">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地址：</w:t>
      </w:r>
      <w:r>
        <w:rPr>
          <w:rFonts w:hint="eastAsia" w:ascii="仿宋" w:hAnsi="仿宋" w:eastAsia="仿宋" w:cs="仿宋"/>
          <w:bCs/>
          <w:color w:val="auto"/>
          <w:sz w:val="24"/>
          <w:u w:val="single"/>
        </w:rPr>
        <w:t xml:space="preserve">                    </w:t>
      </w:r>
    </w:p>
    <w:p w14:paraId="66EBB91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成立时间：</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年</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月</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日</w:t>
      </w:r>
    </w:p>
    <w:p w14:paraId="3F5CF0E1">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rPr>
        <w:t>经营期限：</w:t>
      </w:r>
      <w:r>
        <w:rPr>
          <w:rFonts w:hint="eastAsia" w:ascii="仿宋" w:hAnsi="仿宋" w:eastAsia="仿宋" w:cs="仿宋"/>
          <w:bCs/>
          <w:color w:val="auto"/>
          <w:sz w:val="24"/>
          <w:u w:val="single"/>
        </w:rPr>
        <w:t xml:space="preserve">               </w:t>
      </w:r>
    </w:p>
    <w:p w14:paraId="048F7E8E">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姓名：</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性别：</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 xml:space="preserve"> 年龄：</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职务：</w:t>
      </w:r>
      <w:r>
        <w:rPr>
          <w:rFonts w:hint="eastAsia" w:ascii="仿宋" w:hAnsi="仿宋" w:eastAsia="仿宋" w:cs="仿宋"/>
          <w:bCs/>
          <w:color w:val="auto"/>
          <w:sz w:val="24"/>
          <w:u w:val="single"/>
        </w:rPr>
        <w:t xml:space="preserve">     </w:t>
      </w:r>
    </w:p>
    <w:p w14:paraId="5572C0F3">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 xml:space="preserve">系 </w:t>
      </w:r>
      <w:r>
        <w:rPr>
          <w:rFonts w:hint="eastAsia" w:ascii="仿宋" w:hAnsi="仿宋" w:eastAsia="仿宋" w:cs="仿宋"/>
          <w:bCs/>
          <w:color w:val="auto"/>
          <w:sz w:val="24"/>
          <w:u w:val="single"/>
        </w:rPr>
        <w:t xml:space="preserve">                    （供应商名称）</w:t>
      </w:r>
      <w:r>
        <w:rPr>
          <w:rFonts w:hint="eastAsia" w:ascii="仿宋" w:hAnsi="仿宋" w:eastAsia="仿宋" w:cs="仿宋"/>
          <w:bCs/>
          <w:color w:val="auto"/>
          <w:sz w:val="24"/>
        </w:rPr>
        <w:t>的法定代表人。</w:t>
      </w:r>
    </w:p>
    <w:p w14:paraId="2F94B7D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特此证明。</w:t>
      </w:r>
    </w:p>
    <w:p w14:paraId="196480EA">
      <w:pPr>
        <w:spacing w:line="360" w:lineRule="auto"/>
        <w:ind w:firstLine="480" w:firstLineChars="200"/>
        <w:rPr>
          <w:rFonts w:hint="eastAsia" w:ascii="仿宋" w:hAnsi="仿宋" w:eastAsia="仿宋" w:cs="仿宋"/>
          <w:bCs/>
          <w:color w:val="auto"/>
          <w:sz w:val="24"/>
        </w:rPr>
      </w:pPr>
    </w:p>
    <w:p w14:paraId="28A096E0">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附：法定代表人身份证复印件。</w:t>
      </w:r>
    </w:p>
    <w:p w14:paraId="5983ADE1">
      <w:pPr>
        <w:spacing w:line="360" w:lineRule="auto"/>
        <w:ind w:firstLine="480" w:firstLineChars="200"/>
        <w:rPr>
          <w:rFonts w:hint="eastAsia" w:ascii="仿宋" w:hAnsi="仿宋" w:eastAsia="仿宋" w:cs="仿宋"/>
          <w:bCs/>
          <w:color w:val="auto"/>
          <w:sz w:val="24"/>
        </w:rPr>
      </w:pPr>
    </w:p>
    <w:p w14:paraId="242FCFE4">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rPr>
        <w:t>供应商：</w:t>
      </w:r>
      <w:r>
        <w:rPr>
          <w:rFonts w:hint="eastAsia" w:ascii="仿宋" w:hAnsi="仿宋" w:eastAsia="仿宋" w:cs="仿宋"/>
          <w:bCs/>
          <w:color w:val="auto"/>
          <w:sz w:val="24"/>
          <w:u w:val="single"/>
        </w:rPr>
        <w:t xml:space="preserve">                 （盖单位章）</w:t>
      </w:r>
    </w:p>
    <w:p w14:paraId="0C7C9263">
      <w:pPr>
        <w:spacing w:line="360" w:lineRule="auto"/>
        <w:ind w:firstLine="480" w:firstLineChars="200"/>
        <w:rPr>
          <w:rFonts w:hint="eastAsia" w:ascii="仿宋" w:hAnsi="仿宋" w:eastAsia="仿宋" w:cs="仿宋"/>
          <w:bCs/>
          <w:color w:val="auto"/>
          <w:sz w:val="24"/>
        </w:rPr>
      </w:pPr>
    </w:p>
    <w:p w14:paraId="1152DEAB">
      <w:pPr>
        <w:ind w:firstLine="480" w:firstLineChars="200"/>
        <w:rPr>
          <w:rFonts w:hint="eastAsia" w:ascii="仿宋" w:hAnsi="仿宋" w:eastAsia="仿宋" w:cs="仿宋"/>
          <w:iCs/>
          <w:color w:val="auto"/>
        </w:rPr>
      </w:pPr>
      <w:r>
        <w:rPr>
          <w:rFonts w:hint="eastAsia" w:ascii="仿宋" w:hAnsi="仿宋" w:eastAsia="仿宋" w:cs="仿宋"/>
          <w:bCs/>
          <w:color w:val="auto"/>
          <w:sz w:val="24"/>
        </w:rPr>
        <w:t>年   月   日</w:t>
      </w:r>
      <w:r>
        <w:rPr>
          <w:rFonts w:hint="eastAsia" w:ascii="仿宋" w:hAnsi="仿宋" w:eastAsia="仿宋" w:cs="仿宋"/>
          <w:iCs/>
          <w:color w:val="auto"/>
        </w:rPr>
        <w:br w:type="page"/>
      </w:r>
    </w:p>
    <w:p w14:paraId="53763E81">
      <w:pPr>
        <w:pStyle w:val="4"/>
        <w:tabs>
          <w:tab w:val="left" w:pos="576"/>
        </w:tabs>
        <w:adjustRightInd w:val="0"/>
        <w:spacing w:before="0" w:after="0" w:line="360" w:lineRule="auto"/>
        <w:textAlignment w:val="baseline"/>
        <w:rPr>
          <w:rFonts w:hint="eastAsia" w:ascii="仿宋" w:hAnsi="仿宋" w:eastAsia="仿宋" w:cs="仿宋"/>
          <w:bCs/>
          <w:color w:val="auto"/>
          <w:szCs w:val="32"/>
          <w:highlight w:val="none"/>
        </w:rPr>
      </w:pPr>
      <w:bookmarkStart w:id="246" w:name="_Toc12570"/>
      <w:bookmarkStart w:id="247" w:name="_Toc12128"/>
      <w:r>
        <w:rPr>
          <w:rFonts w:hint="eastAsia" w:ascii="仿宋" w:hAnsi="仿宋" w:eastAsia="仿宋" w:cs="仿宋"/>
          <w:iCs/>
          <w:color w:val="auto"/>
        </w:rPr>
        <w:t>附件</w:t>
      </w:r>
      <w:r>
        <w:rPr>
          <w:rFonts w:hint="eastAsia" w:ascii="仿宋" w:hAnsi="仿宋" w:eastAsia="仿宋" w:cs="仿宋"/>
          <w:iCs/>
          <w:color w:val="auto"/>
          <w:lang w:val="en-US" w:eastAsia="zh-CN"/>
        </w:rPr>
        <w:t xml:space="preserve">5 </w:t>
      </w:r>
      <w:r>
        <w:rPr>
          <w:rFonts w:hint="eastAsia" w:ascii="仿宋" w:hAnsi="仿宋" w:eastAsia="仿宋" w:cs="仿宋"/>
          <w:iCs/>
          <w:color w:val="auto"/>
        </w:rPr>
        <w:t>法定代表人授权委托书</w:t>
      </w:r>
      <w:bookmarkEnd w:id="246"/>
      <w:bookmarkEnd w:id="247"/>
    </w:p>
    <w:p w14:paraId="0C485406">
      <w:pPr>
        <w:spacing w:line="360" w:lineRule="auto"/>
        <w:rPr>
          <w:rFonts w:hint="eastAsia" w:ascii="仿宋" w:hAnsi="仿宋" w:eastAsia="仿宋" w:cs="仿宋"/>
          <w:color w:val="auto"/>
          <w:sz w:val="24"/>
          <w:highlight w:val="none"/>
        </w:rPr>
      </w:pPr>
    </w:p>
    <w:p w14:paraId="4833C411">
      <w:pPr>
        <w:tabs>
          <w:tab w:val="left" w:pos="8820"/>
        </w:tabs>
        <w:spacing w:line="360" w:lineRule="auto"/>
        <w:ind w:firstLine="570"/>
        <w:rPr>
          <w:rFonts w:hint="eastAsia" w:ascii="仿宋" w:hAnsi="仿宋" w:eastAsia="仿宋" w:cs="仿宋"/>
          <w:bCs/>
          <w:color w:val="auto"/>
          <w:sz w:val="24"/>
          <w:u w:val="single"/>
        </w:rPr>
      </w:pPr>
      <w:r>
        <w:rPr>
          <w:rFonts w:hint="eastAsia" w:ascii="仿宋" w:hAnsi="仿宋" w:eastAsia="仿宋" w:cs="仿宋"/>
          <w:bCs/>
          <w:color w:val="auto"/>
          <w:sz w:val="24"/>
        </w:rPr>
        <w:t>本授权委托书声明：我</w:t>
      </w:r>
      <w:r>
        <w:rPr>
          <w:rFonts w:hint="eastAsia" w:ascii="仿宋" w:hAnsi="仿宋" w:eastAsia="仿宋" w:cs="仿宋"/>
          <w:bCs/>
          <w:color w:val="auto"/>
          <w:sz w:val="24"/>
          <w:u w:val="single"/>
        </w:rPr>
        <w:t>（法定代表人姓名）</w:t>
      </w:r>
      <w:r>
        <w:rPr>
          <w:rFonts w:hint="eastAsia" w:ascii="仿宋" w:hAnsi="仿宋" w:eastAsia="仿宋" w:cs="仿宋"/>
          <w:bCs/>
          <w:color w:val="auto"/>
          <w:sz w:val="24"/>
        </w:rPr>
        <w:t>系注册于</w:t>
      </w:r>
      <w:r>
        <w:rPr>
          <w:rFonts w:hint="eastAsia" w:ascii="仿宋" w:hAnsi="仿宋" w:eastAsia="仿宋" w:cs="仿宋"/>
          <w:bCs/>
          <w:color w:val="auto"/>
          <w:sz w:val="24"/>
          <w:u w:val="single"/>
        </w:rPr>
        <w:t xml:space="preserve">  （供应商地址）           </w:t>
      </w:r>
      <w:r>
        <w:rPr>
          <w:rFonts w:hint="eastAsia" w:ascii="仿宋" w:hAnsi="仿宋" w:eastAsia="仿宋" w:cs="仿宋"/>
          <w:bCs/>
          <w:color w:val="auto"/>
          <w:sz w:val="24"/>
        </w:rPr>
        <w:t>的</w:t>
      </w:r>
      <w:r>
        <w:rPr>
          <w:rFonts w:hint="eastAsia" w:ascii="仿宋" w:hAnsi="仿宋" w:eastAsia="仿宋" w:cs="仿宋"/>
          <w:bCs/>
          <w:color w:val="auto"/>
          <w:sz w:val="24"/>
          <w:u w:val="single"/>
        </w:rPr>
        <w:t xml:space="preserve">（供应商名称）  </w:t>
      </w:r>
      <w:r>
        <w:rPr>
          <w:rFonts w:hint="eastAsia" w:ascii="仿宋" w:hAnsi="仿宋" w:eastAsia="仿宋" w:cs="仿宋"/>
          <w:bCs/>
          <w:color w:val="auto"/>
          <w:sz w:val="24"/>
        </w:rPr>
        <w:t>的法定代表人，现代表公司授权下面签字的</w:t>
      </w:r>
      <w:r>
        <w:rPr>
          <w:rFonts w:hint="eastAsia" w:ascii="仿宋" w:hAnsi="仿宋" w:eastAsia="仿宋" w:cs="仿宋"/>
          <w:bCs/>
          <w:color w:val="auto"/>
          <w:sz w:val="24"/>
          <w:u w:val="single"/>
        </w:rPr>
        <w:t>（被授权人的姓名、职务）</w:t>
      </w:r>
      <w:r>
        <w:rPr>
          <w:rFonts w:hint="eastAsia" w:ascii="仿宋" w:hAnsi="仿宋" w:eastAsia="仿宋" w:cs="仿宋"/>
          <w:bCs/>
          <w:color w:val="auto"/>
          <w:sz w:val="24"/>
        </w:rPr>
        <w:t>为我公司合法代理人，代表本公司参加</w:t>
      </w:r>
      <w:r>
        <w:rPr>
          <w:rFonts w:hint="eastAsia" w:ascii="仿宋" w:hAnsi="仿宋" w:eastAsia="仿宋" w:cs="仿宋"/>
          <w:bCs/>
          <w:color w:val="auto"/>
          <w:sz w:val="24"/>
          <w:u w:val="single"/>
        </w:rPr>
        <w:t xml:space="preserve">（采购项目名称）（采购项目编号 ）    </w:t>
      </w:r>
      <w:r>
        <w:rPr>
          <w:rFonts w:hint="eastAsia" w:ascii="仿宋" w:hAnsi="仿宋" w:eastAsia="仿宋" w:cs="仿宋"/>
          <w:bCs/>
          <w:color w:val="auto"/>
          <w:sz w:val="24"/>
        </w:rPr>
        <w:t>的</w:t>
      </w:r>
      <w:r>
        <w:rPr>
          <w:rFonts w:hint="eastAsia" w:ascii="仿宋" w:hAnsi="仿宋" w:eastAsia="仿宋" w:cs="仿宋"/>
          <w:bCs/>
          <w:color w:val="auto"/>
          <w:sz w:val="24"/>
          <w:lang w:val="en-US" w:eastAsia="zh-CN"/>
        </w:rPr>
        <w:t>磋商</w:t>
      </w:r>
      <w:r>
        <w:rPr>
          <w:rFonts w:hint="eastAsia" w:ascii="仿宋" w:hAnsi="仿宋" w:eastAsia="仿宋" w:cs="仿宋"/>
          <w:bCs/>
          <w:color w:val="auto"/>
          <w:sz w:val="24"/>
        </w:rPr>
        <w:t>活动。代理人在本次磋商中所签署的一切文件和处理的一切有关事物，我公司均予承认。</w:t>
      </w:r>
    </w:p>
    <w:p w14:paraId="57096A5C">
      <w:pPr>
        <w:spacing w:line="360" w:lineRule="auto"/>
        <w:ind w:firstLine="570"/>
        <w:rPr>
          <w:rFonts w:hint="eastAsia" w:ascii="仿宋" w:hAnsi="仿宋" w:eastAsia="仿宋" w:cs="仿宋"/>
          <w:bCs/>
          <w:color w:val="auto"/>
          <w:sz w:val="24"/>
        </w:rPr>
      </w:pPr>
      <w:r>
        <w:rPr>
          <w:rFonts w:hint="eastAsia" w:ascii="仿宋" w:hAnsi="仿宋" w:eastAsia="仿宋" w:cs="仿宋"/>
          <w:bCs/>
          <w:color w:val="auto"/>
          <w:sz w:val="24"/>
        </w:rPr>
        <w:t>本授权书有效期自开标之日起</w:t>
      </w:r>
      <w:r>
        <w:rPr>
          <w:rFonts w:hint="eastAsia" w:ascii="仿宋" w:hAnsi="仿宋" w:eastAsia="仿宋" w:cs="仿宋"/>
          <w:bCs/>
          <w:color w:val="auto"/>
          <w:sz w:val="24"/>
          <w:u w:val="single"/>
        </w:rPr>
        <w:t xml:space="preserve"> 90 </w:t>
      </w:r>
      <w:r>
        <w:rPr>
          <w:rFonts w:hint="eastAsia" w:ascii="仿宋" w:hAnsi="仿宋" w:eastAsia="仿宋" w:cs="仿宋"/>
          <w:bCs/>
          <w:color w:val="auto"/>
          <w:sz w:val="24"/>
        </w:rPr>
        <w:t>天；特此声明。</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526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4501" w:type="dxa"/>
            <w:tcBorders>
              <w:bottom w:val="dashed" w:color="auto" w:sz="4" w:space="0"/>
            </w:tcBorders>
            <w:noWrap w:val="0"/>
            <w:vAlign w:val="top"/>
          </w:tcPr>
          <w:p w14:paraId="071F3E69">
            <w:pPr>
              <w:spacing w:line="360" w:lineRule="auto"/>
              <w:rPr>
                <w:rFonts w:hint="eastAsia" w:ascii="仿宋" w:hAnsi="仿宋" w:eastAsia="仿宋" w:cs="仿宋"/>
                <w:bCs/>
                <w:color w:val="auto"/>
                <w:sz w:val="24"/>
              </w:rPr>
            </w:pPr>
          </w:p>
          <w:p w14:paraId="5F83314A">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法定代表人身份证复印件</w:t>
            </w:r>
          </w:p>
          <w:p w14:paraId="6CDFF666">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（第一面）</w:t>
            </w:r>
          </w:p>
        </w:tc>
        <w:tc>
          <w:tcPr>
            <w:tcW w:w="4502" w:type="dxa"/>
            <w:tcBorders>
              <w:bottom w:val="dashed" w:color="auto" w:sz="4" w:space="0"/>
            </w:tcBorders>
            <w:noWrap w:val="0"/>
            <w:vAlign w:val="top"/>
          </w:tcPr>
          <w:p w14:paraId="271461D0">
            <w:pPr>
              <w:spacing w:line="360" w:lineRule="auto"/>
              <w:rPr>
                <w:rFonts w:hint="eastAsia" w:ascii="仿宋" w:hAnsi="仿宋" w:eastAsia="仿宋" w:cs="仿宋"/>
                <w:bCs/>
                <w:color w:val="auto"/>
                <w:sz w:val="24"/>
              </w:rPr>
            </w:pPr>
          </w:p>
          <w:p w14:paraId="44BE97A7">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授权代表身份证复印件</w:t>
            </w:r>
          </w:p>
          <w:p w14:paraId="44513827">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（第一面）</w:t>
            </w:r>
          </w:p>
          <w:p w14:paraId="0294CE2F">
            <w:pPr>
              <w:spacing w:line="360" w:lineRule="auto"/>
              <w:jc w:val="center"/>
              <w:rPr>
                <w:rFonts w:hint="eastAsia" w:ascii="仿宋" w:hAnsi="仿宋" w:eastAsia="仿宋" w:cs="仿宋"/>
                <w:bCs/>
                <w:color w:val="auto"/>
                <w:sz w:val="24"/>
              </w:rPr>
            </w:pPr>
          </w:p>
        </w:tc>
      </w:tr>
      <w:tr w14:paraId="3E62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501" w:type="dxa"/>
            <w:tcBorders>
              <w:top w:val="dashed" w:color="auto" w:sz="4" w:space="0"/>
            </w:tcBorders>
            <w:noWrap w:val="0"/>
            <w:vAlign w:val="top"/>
          </w:tcPr>
          <w:p w14:paraId="4E12BA6E">
            <w:pPr>
              <w:spacing w:line="360" w:lineRule="auto"/>
              <w:jc w:val="center"/>
              <w:rPr>
                <w:rFonts w:hint="eastAsia" w:ascii="仿宋" w:hAnsi="仿宋" w:eastAsia="仿宋" w:cs="仿宋"/>
                <w:bCs/>
                <w:color w:val="auto"/>
                <w:sz w:val="24"/>
              </w:rPr>
            </w:pPr>
          </w:p>
          <w:p w14:paraId="614FF885">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法定代表人身份证复印件</w:t>
            </w:r>
          </w:p>
          <w:p w14:paraId="545B60A2">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（第二面）</w:t>
            </w:r>
          </w:p>
          <w:p w14:paraId="2497F6F8">
            <w:pPr>
              <w:spacing w:line="360" w:lineRule="auto"/>
              <w:rPr>
                <w:rFonts w:hint="eastAsia" w:ascii="仿宋" w:hAnsi="仿宋" w:eastAsia="仿宋" w:cs="仿宋"/>
                <w:bCs/>
                <w:color w:val="auto"/>
                <w:sz w:val="24"/>
              </w:rPr>
            </w:pPr>
          </w:p>
        </w:tc>
        <w:tc>
          <w:tcPr>
            <w:tcW w:w="4502" w:type="dxa"/>
            <w:tcBorders>
              <w:top w:val="dashed" w:color="auto" w:sz="4" w:space="0"/>
            </w:tcBorders>
            <w:noWrap w:val="0"/>
            <w:vAlign w:val="top"/>
          </w:tcPr>
          <w:p w14:paraId="6D22E3AC">
            <w:pPr>
              <w:spacing w:line="360" w:lineRule="auto"/>
              <w:jc w:val="center"/>
              <w:rPr>
                <w:rFonts w:hint="eastAsia" w:ascii="仿宋" w:hAnsi="仿宋" w:eastAsia="仿宋" w:cs="仿宋"/>
                <w:bCs/>
                <w:color w:val="auto"/>
                <w:sz w:val="24"/>
              </w:rPr>
            </w:pPr>
          </w:p>
          <w:p w14:paraId="7E00C433">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授权代表身份证复印件</w:t>
            </w:r>
          </w:p>
          <w:p w14:paraId="37A63D47">
            <w:pPr>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（第二面）</w:t>
            </w:r>
          </w:p>
          <w:p w14:paraId="5657396D">
            <w:pPr>
              <w:spacing w:line="360" w:lineRule="auto"/>
              <w:jc w:val="center"/>
              <w:rPr>
                <w:rFonts w:hint="eastAsia" w:ascii="仿宋" w:hAnsi="仿宋" w:eastAsia="仿宋" w:cs="仿宋"/>
                <w:bCs/>
                <w:color w:val="auto"/>
                <w:sz w:val="24"/>
              </w:rPr>
            </w:pPr>
          </w:p>
          <w:p w14:paraId="23490CC3">
            <w:pPr>
              <w:spacing w:line="360" w:lineRule="auto"/>
              <w:rPr>
                <w:rFonts w:hint="eastAsia" w:ascii="仿宋" w:hAnsi="仿宋" w:eastAsia="仿宋" w:cs="仿宋"/>
                <w:bCs/>
                <w:color w:val="auto"/>
                <w:sz w:val="24"/>
              </w:rPr>
            </w:pPr>
          </w:p>
        </w:tc>
      </w:tr>
    </w:tbl>
    <w:p w14:paraId="51DE495D">
      <w:pPr>
        <w:spacing w:line="360" w:lineRule="auto"/>
        <w:rPr>
          <w:rFonts w:hint="eastAsia" w:ascii="仿宋" w:hAnsi="仿宋" w:eastAsia="仿宋" w:cs="仿宋"/>
          <w:bCs/>
          <w:color w:val="auto"/>
          <w:sz w:val="24"/>
        </w:rPr>
      </w:pPr>
    </w:p>
    <w:p w14:paraId="38CA5593">
      <w:pPr>
        <w:spacing w:line="500" w:lineRule="exact"/>
        <w:ind w:right="-161" w:firstLine="2640" w:firstLineChars="1100"/>
        <w:rPr>
          <w:rFonts w:hint="eastAsia" w:ascii="仿宋" w:hAnsi="仿宋" w:eastAsia="仿宋" w:cs="仿宋"/>
          <w:bCs/>
          <w:color w:val="auto"/>
          <w:sz w:val="24"/>
          <w:u w:val="single"/>
        </w:rPr>
      </w:pPr>
      <w:r>
        <w:rPr>
          <w:rFonts w:hint="eastAsia" w:ascii="仿宋" w:hAnsi="仿宋" w:eastAsia="仿宋" w:cs="仿宋"/>
          <w:bCs/>
          <w:color w:val="auto"/>
          <w:sz w:val="24"/>
        </w:rPr>
        <w:t>法定代表人（签字或盖章）：</w:t>
      </w:r>
      <w:r>
        <w:rPr>
          <w:rFonts w:hint="eastAsia" w:ascii="仿宋" w:hAnsi="仿宋" w:eastAsia="仿宋" w:cs="仿宋"/>
          <w:bCs/>
          <w:color w:val="auto"/>
          <w:sz w:val="24"/>
          <w:u w:val="single"/>
        </w:rPr>
        <w:t xml:space="preserve">               </w:t>
      </w:r>
    </w:p>
    <w:p w14:paraId="49D1DD7C">
      <w:pPr>
        <w:spacing w:line="500" w:lineRule="exact"/>
        <w:ind w:right="-161" w:firstLine="2640" w:firstLineChars="1100"/>
        <w:rPr>
          <w:rFonts w:hint="eastAsia" w:ascii="仿宋" w:hAnsi="仿宋" w:eastAsia="仿宋" w:cs="仿宋"/>
          <w:bCs/>
          <w:color w:val="auto"/>
          <w:sz w:val="24"/>
          <w:u w:val="single"/>
        </w:rPr>
      </w:pPr>
      <w:r>
        <w:rPr>
          <w:rFonts w:hint="eastAsia" w:ascii="仿宋" w:hAnsi="仿宋" w:eastAsia="仿宋" w:cs="仿宋"/>
          <w:bCs/>
          <w:color w:val="auto"/>
          <w:sz w:val="24"/>
        </w:rPr>
        <w:t>被授权人（签字）：</w:t>
      </w:r>
      <w:r>
        <w:rPr>
          <w:rFonts w:hint="eastAsia" w:ascii="仿宋" w:hAnsi="仿宋" w:eastAsia="仿宋" w:cs="仿宋"/>
          <w:bCs/>
          <w:color w:val="auto"/>
          <w:sz w:val="24"/>
          <w:u w:val="single"/>
        </w:rPr>
        <w:t xml:space="preserve">                 </w:t>
      </w:r>
    </w:p>
    <w:p w14:paraId="0AB9C0A9">
      <w:pPr>
        <w:spacing w:line="500" w:lineRule="exact"/>
        <w:ind w:right="-161" w:firstLine="2640" w:firstLineChars="1100"/>
        <w:rPr>
          <w:rFonts w:hint="eastAsia" w:ascii="仿宋" w:hAnsi="仿宋" w:eastAsia="仿宋" w:cs="仿宋"/>
          <w:bCs/>
          <w:color w:val="auto"/>
          <w:sz w:val="24"/>
          <w:u w:val="single"/>
        </w:rPr>
      </w:pPr>
      <w:r>
        <w:rPr>
          <w:rFonts w:hint="eastAsia" w:ascii="仿宋" w:hAnsi="仿宋" w:eastAsia="仿宋" w:cs="仿宋"/>
          <w:bCs/>
          <w:color w:val="auto"/>
          <w:sz w:val="24"/>
          <w:lang w:eastAsia="zh-CN"/>
        </w:rPr>
        <w:t>供应商</w:t>
      </w:r>
      <w:r>
        <w:rPr>
          <w:rFonts w:hint="eastAsia" w:ascii="仿宋" w:hAnsi="仿宋" w:eastAsia="仿宋" w:cs="仿宋"/>
          <w:bCs/>
          <w:color w:val="auto"/>
          <w:sz w:val="24"/>
        </w:rPr>
        <w:t>：</w:t>
      </w:r>
      <w:r>
        <w:rPr>
          <w:rFonts w:hint="eastAsia" w:ascii="仿宋" w:hAnsi="仿宋" w:eastAsia="仿宋" w:cs="仿宋"/>
          <w:bCs/>
          <w:color w:val="auto"/>
          <w:sz w:val="24"/>
          <w:u w:val="single"/>
        </w:rPr>
        <w:t xml:space="preserve">                         （公章）</w:t>
      </w:r>
    </w:p>
    <w:p w14:paraId="2C6173B0">
      <w:pPr>
        <w:spacing w:line="500" w:lineRule="exact"/>
        <w:ind w:right="-161" w:firstLine="2640" w:firstLineChars="1100"/>
        <w:rPr>
          <w:rFonts w:hint="eastAsia" w:ascii="仿宋" w:hAnsi="仿宋" w:eastAsia="仿宋" w:cs="仿宋"/>
          <w:iCs/>
          <w:color w:val="auto"/>
        </w:rPr>
      </w:pPr>
      <w:r>
        <w:rPr>
          <w:rFonts w:hint="eastAsia" w:ascii="仿宋" w:hAnsi="仿宋" w:eastAsia="仿宋" w:cs="仿宋"/>
          <w:bCs/>
          <w:color w:val="auto"/>
          <w:sz w:val="24"/>
        </w:rPr>
        <w:t>日       期：</w:t>
      </w:r>
      <w:r>
        <w:rPr>
          <w:rFonts w:hint="eastAsia" w:ascii="仿宋" w:hAnsi="仿宋" w:eastAsia="仿宋" w:cs="仿宋"/>
          <w:bCs/>
          <w:color w:val="auto"/>
          <w:sz w:val="24"/>
          <w:u w:val="single"/>
        </w:rPr>
        <w:t xml:space="preserve">         </w:t>
      </w:r>
      <w:r>
        <w:rPr>
          <w:rFonts w:hint="eastAsia" w:ascii="仿宋" w:hAnsi="仿宋" w:eastAsia="仿宋" w:cs="仿宋"/>
          <w:iCs/>
          <w:color w:val="auto"/>
        </w:rPr>
        <w:br w:type="page"/>
      </w:r>
    </w:p>
    <w:p w14:paraId="5F0FFA68">
      <w:pPr>
        <w:pStyle w:val="4"/>
        <w:bidi w:val="0"/>
        <w:rPr>
          <w:rFonts w:hint="eastAsia" w:ascii="仿宋" w:hAnsi="仿宋" w:eastAsia="仿宋" w:cs="仿宋"/>
          <w:color w:val="auto"/>
        </w:rPr>
      </w:pPr>
      <w:bookmarkStart w:id="248" w:name="_Toc23982"/>
      <w:r>
        <w:rPr>
          <w:rFonts w:hint="eastAsia" w:ascii="仿宋" w:hAnsi="仿宋" w:eastAsia="仿宋" w:cs="仿宋"/>
          <w:color w:val="auto"/>
        </w:rPr>
        <w:t>附件</w:t>
      </w:r>
      <w:r>
        <w:rPr>
          <w:rFonts w:hint="eastAsia" w:ascii="仿宋" w:hAnsi="仿宋" w:eastAsia="仿宋" w:cs="仿宋"/>
          <w:color w:val="auto"/>
          <w:lang w:val="en-US" w:eastAsia="zh-CN"/>
        </w:rPr>
        <w:t>6 非联合体承诺</w:t>
      </w:r>
      <w:bookmarkEnd w:id="248"/>
    </w:p>
    <w:p w14:paraId="094E23E8">
      <w:pPr>
        <w:spacing w:line="360" w:lineRule="auto"/>
        <w:jc w:val="center"/>
        <w:rPr>
          <w:rFonts w:hint="eastAsia" w:ascii="仿宋" w:hAnsi="仿宋" w:eastAsia="仿宋" w:cs="仿宋"/>
          <w:color w:val="auto"/>
          <w:sz w:val="24"/>
          <w:szCs w:val="24"/>
          <w:highlight w:val="none"/>
        </w:rPr>
      </w:pPr>
    </w:p>
    <w:p w14:paraId="2CC19F97">
      <w:pPr>
        <w:pStyle w:val="35"/>
        <w:wordWrap w:val="0"/>
        <w:spacing w:before="0" w:beforeAutospacing="0" w:after="0" w:afterAutospacing="0" w:line="360" w:lineRule="auto"/>
        <w:ind w:right="162" w:rightChars="77"/>
        <w:rPr>
          <w:rFonts w:hint="eastAsia" w:ascii="仿宋" w:hAnsi="仿宋" w:eastAsia="仿宋" w:cs="仿宋"/>
          <w:color w:val="auto"/>
          <w:sz w:val="24"/>
          <w:szCs w:val="24"/>
          <w:highlight w:val="none"/>
          <w:shd w:val="clear" w:color="auto" w:fill="FFFFFF"/>
        </w:rPr>
      </w:pPr>
    </w:p>
    <w:p w14:paraId="54E25BCF">
      <w:pPr>
        <w:pStyle w:val="35"/>
        <w:wordWrap w:val="0"/>
        <w:spacing w:before="0" w:beforeAutospacing="0" w:after="0" w:afterAutospacing="0" w:line="360" w:lineRule="auto"/>
        <w:ind w:right="162" w:rightChars="77"/>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致：</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采购人名称</w:t>
      </w:r>
      <w:r>
        <w:rPr>
          <w:rFonts w:hint="eastAsia" w:ascii="仿宋" w:hAnsi="仿宋" w:eastAsia="仿宋" w:cs="仿宋"/>
          <w:color w:val="auto"/>
          <w:sz w:val="24"/>
          <w:szCs w:val="24"/>
          <w:highlight w:val="none"/>
          <w:shd w:val="clear" w:color="auto" w:fill="FFFFFF"/>
          <w:lang w:eastAsia="zh-CN"/>
        </w:rPr>
        <w:t>）</w:t>
      </w:r>
    </w:p>
    <w:p w14:paraId="6A00EFE3">
      <w:pPr>
        <w:pStyle w:val="35"/>
        <w:wordWrap w:val="0"/>
        <w:spacing w:before="0" w:beforeAutospacing="0" w:after="0" w:afterAutospacing="0" w:line="360" w:lineRule="auto"/>
        <w:ind w:right="162" w:rightChars="77"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我方作为项目名称</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（项目编号：</w:t>
      </w:r>
      <w:r>
        <w:rPr>
          <w:rFonts w:hint="eastAsia" w:ascii="仿宋" w:hAnsi="仿宋" w:eastAsia="仿宋" w:cs="仿宋"/>
          <w:i/>
          <w:iCs/>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）的供应商，在此郑重声明： </w:t>
      </w:r>
    </w:p>
    <w:p w14:paraId="540F13FA">
      <w:pPr>
        <w:pStyle w:val="35"/>
        <w:wordWrap w:val="0"/>
        <w:spacing w:before="0" w:beforeAutospacing="0" w:after="0" w:afterAutospacing="0" w:line="360" w:lineRule="auto"/>
        <w:ind w:right="162" w:rightChars="77" w:firstLine="42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我单位参与本项目并非联合体</w:t>
      </w:r>
      <w:r>
        <w:rPr>
          <w:rFonts w:hint="eastAsia" w:ascii="仿宋" w:hAnsi="仿宋" w:eastAsia="仿宋" w:cs="仿宋"/>
          <w:bCs/>
          <w:color w:val="auto"/>
          <w:sz w:val="24"/>
          <w:lang w:val="en-US" w:eastAsia="zh-CN"/>
        </w:rPr>
        <w:t>磋商</w:t>
      </w:r>
      <w:r>
        <w:rPr>
          <w:rFonts w:hint="eastAsia" w:ascii="仿宋" w:hAnsi="仿宋" w:eastAsia="仿宋" w:cs="仿宋"/>
          <w:color w:val="auto"/>
          <w:sz w:val="24"/>
          <w:szCs w:val="24"/>
          <w:highlight w:val="none"/>
          <w:shd w:val="clear" w:color="auto" w:fill="FFFFFF"/>
        </w:rPr>
        <w:t>，本项目由本公司独立承担。</w:t>
      </w:r>
    </w:p>
    <w:p w14:paraId="11B28C97">
      <w:pPr>
        <w:pStyle w:val="35"/>
        <w:wordWrap w:val="0"/>
        <w:spacing w:before="0" w:beforeAutospacing="0" w:after="0" w:afterAutospacing="0" w:line="360" w:lineRule="auto"/>
        <w:ind w:right="162" w:rightChars="77" w:firstLine="42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 xml:space="preserve">特此声明。 </w:t>
      </w:r>
    </w:p>
    <w:p w14:paraId="089A562C">
      <w:pPr>
        <w:pStyle w:val="35"/>
        <w:wordWrap w:val="0"/>
        <w:spacing w:before="0" w:beforeAutospacing="0" w:after="0" w:afterAutospacing="0" w:line="360" w:lineRule="auto"/>
        <w:ind w:right="162" w:rightChars="77" w:firstLine="420"/>
        <w:rPr>
          <w:rFonts w:hint="eastAsia" w:ascii="仿宋" w:hAnsi="仿宋" w:eastAsia="仿宋" w:cs="仿宋"/>
          <w:color w:val="auto"/>
          <w:sz w:val="24"/>
          <w:szCs w:val="24"/>
          <w:highlight w:val="none"/>
          <w:shd w:val="clear" w:color="auto" w:fill="FFFFFF"/>
        </w:rPr>
      </w:pPr>
    </w:p>
    <w:p w14:paraId="23A22641">
      <w:pPr>
        <w:pStyle w:val="35"/>
        <w:wordWrap w:val="0"/>
        <w:spacing w:before="0" w:beforeAutospacing="0" w:after="0" w:afterAutospacing="0" w:line="360" w:lineRule="auto"/>
        <w:ind w:right="162" w:rightChars="77" w:firstLine="420"/>
        <w:rPr>
          <w:rFonts w:hint="eastAsia" w:ascii="仿宋" w:hAnsi="仿宋" w:eastAsia="仿宋" w:cs="仿宋"/>
          <w:color w:val="auto"/>
          <w:sz w:val="24"/>
          <w:szCs w:val="24"/>
          <w:highlight w:val="none"/>
          <w:shd w:val="clear" w:color="auto" w:fill="FFFFFF"/>
        </w:rPr>
      </w:pPr>
    </w:p>
    <w:p w14:paraId="7657D15A">
      <w:pPr>
        <w:pStyle w:val="35"/>
        <w:wordWrap w:val="0"/>
        <w:spacing w:before="0" w:beforeAutospacing="0" w:after="0" w:afterAutospacing="0" w:line="360" w:lineRule="auto"/>
        <w:ind w:right="162" w:rightChars="77" w:firstLine="420"/>
        <w:rPr>
          <w:rFonts w:hint="eastAsia" w:ascii="仿宋" w:hAnsi="仿宋" w:eastAsia="仿宋" w:cs="仿宋"/>
          <w:color w:val="auto"/>
          <w:sz w:val="24"/>
          <w:szCs w:val="24"/>
          <w:highlight w:val="none"/>
          <w:shd w:val="clear" w:color="auto" w:fill="FFFFFF"/>
        </w:rPr>
      </w:pPr>
    </w:p>
    <w:p w14:paraId="0B280D80">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4FAD2836">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0ECBAFA9">
      <w:pPr>
        <w:rPr>
          <w:rFonts w:hint="eastAsia" w:ascii="仿宋" w:hAnsi="仿宋" w:eastAsia="仿宋" w:cs="仿宋"/>
          <w:iCs/>
          <w:color w:val="auto"/>
        </w:rPr>
      </w:pPr>
      <w:r>
        <w:rPr>
          <w:rFonts w:hint="eastAsia" w:ascii="仿宋" w:hAnsi="仿宋" w:eastAsia="仿宋" w:cs="仿宋"/>
          <w:b/>
          <w:bCs/>
          <w:color w:val="auto"/>
          <w:sz w:val="24"/>
          <w:highlight w:val="none"/>
          <w:u w:val="none"/>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35F8DFF1">
      <w:pPr>
        <w:rPr>
          <w:rFonts w:hint="eastAsia" w:ascii="仿宋" w:hAnsi="仿宋" w:eastAsia="仿宋" w:cs="仿宋"/>
          <w:iCs/>
          <w:color w:val="auto"/>
        </w:rPr>
      </w:pPr>
      <w:r>
        <w:rPr>
          <w:rFonts w:hint="eastAsia" w:ascii="仿宋" w:hAnsi="仿宋" w:eastAsia="仿宋" w:cs="仿宋"/>
          <w:iCs/>
          <w:color w:val="auto"/>
        </w:rPr>
        <w:br w:type="page"/>
      </w:r>
    </w:p>
    <w:bookmarkEnd w:id="225"/>
    <w:bookmarkEnd w:id="226"/>
    <w:bookmarkEnd w:id="227"/>
    <w:bookmarkEnd w:id="228"/>
    <w:bookmarkEnd w:id="229"/>
    <w:bookmarkEnd w:id="230"/>
    <w:bookmarkEnd w:id="231"/>
    <w:bookmarkEnd w:id="232"/>
    <w:bookmarkEnd w:id="233"/>
    <w:bookmarkEnd w:id="234"/>
    <w:p w14:paraId="35BBF976">
      <w:pPr>
        <w:keepNext/>
        <w:keepLines/>
        <w:widowControl w:val="0"/>
        <w:adjustRightInd w:val="0"/>
        <w:spacing w:before="260" w:after="260" w:line="416" w:lineRule="atLeast"/>
        <w:ind w:left="0" w:right="0"/>
        <w:jc w:val="both"/>
        <w:textAlignment w:val="baseline"/>
        <w:outlineLvl w:val="1"/>
        <w:rPr>
          <w:rFonts w:hint="eastAsia" w:ascii="仿宋" w:hAnsi="仿宋" w:eastAsia="仿宋" w:cs="仿宋"/>
          <w:b/>
          <w:bCs/>
          <w:color w:val="auto"/>
          <w:kern w:val="2"/>
          <w:sz w:val="32"/>
          <w:lang w:val="en-US" w:eastAsia="zh-CN" w:bidi="ar-SA"/>
        </w:rPr>
      </w:pPr>
      <w:bookmarkStart w:id="249" w:name="_Toc20772"/>
      <w:bookmarkStart w:id="250" w:name="_Toc14204"/>
      <w:r>
        <w:rPr>
          <w:rFonts w:hint="eastAsia" w:ascii="仿宋" w:hAnsi="仿宋" w:eastAsia="仿宋" w:cs="仿宋"/>
          <w:b/>
          <w:bCs/>
          <w:color w:val="auto"/>
          <w:kern w:val="2"/>
          <w:sz w:val="28"/>
          <w:szCs w:val="28"/>
          <w:lang w:val="en-US" w:eastAsia="zh-CN" w:bidi="ar-SA"/>
        </w:rPr>
        <w:t xml:space="preserve">附件7  </w:t>
      </w:r>
      <w:bookmarkEnd w:id="249"/>
      <w:r>
        <w:rPr>
          <w:rFonts w:hint="eastAsia" w:ascii="仿宋" w:hAnsi="仿宋" w:eastAsia="仿宋" w:cs="仿宋"/>
          <w:b/>
          <w:bCs/>
          <w:color w:val="auto"/>
          <w:kern w:val="2"/>
          <w:sz w:val="28"/>
          <w:szCs w:val="28"/>
          <w:lang w:val="en-US" w:eastAsia="zh-CN" w:bidi="ar-SA"/>
        </w:rPr>
        <w:t>方案</w:t>
      </w:r>
      <w:bookmarkEnd w:id="250"/>
    </w:p>
    <w:p w14:paraId="58BE5DA9">
      <w:pPr>
        <w:pStyle w:val="28"/>
        <w:ind w:firstLine="482" w:firstLineChars="200"/>
        <w:rPr>
          <w:rFonts w:hint="default" w:ascii="仿宋" w:hAnsi="仿宋" w:eastAsia="仿宋"/>
          <w:color w:val="auto"/>
          <w:lang w:val="en-US" w:eastAsia="zh-CN"/>
        </w:rPr>
      </w:pPr>
      <w:r>
        <w:rPr>
          <w:rFonts w:hint="eastAsia" w:ascii="仿宋" w:hAnsi="仿宋" w:eastAsia="仿宋"/>
          <w:color w:val="auto"/>
          <w:sz w:val="24"/>
          <w:szCs w:val="24"/>
          <w:lang w:val="en-US" w:eastAsia="zh-CN"/>
        </w:rPr>
        <w:t>供应商根据评分办法顺序点进行编制，格式自拟。</w:t>
      </w:r>
    </w:p>
    <w:p w14:paraId="451E1A9D">
      <w:pPr>
        <w:ind w:firstLine="2640" w:firstLineChars="1100"/>
        <w:rPr>
          <w:rFonts w:hint="eastAsia" w:ascii="仿宋" w:hAnsi="仿宋" w:eastAsia="仿宋"/>
          <w:color w:val="auto"/>
          <w:sz w:val="24"/>
          <w:u w:val="single"/>
        </w:rPr>
      </w:pPr>
      <w:bookmarkStart w:id="251" w:name="_Toc17501"/>
      <w:bookmarkStart w:id="252" w:name="_Toc19105"/>
      <w:bookmarkStart w:id="253" w:name="_Toc27279"/>
      <w:bookmarkStart w:id="254" w:name="_Toc30897"/>
    </w:p>
    <w:bookmarkEnd w:id="188"/>
    <w:bookmarkEnd w:id="189"/>
    <w:bookmarkEnd w:id="190"/>
    <w:bookmarkEnd w:id="191"/>
    <w:bookmarkEnd w:id="192"/>
    <w:bookmarkEnd w:id="193"/>
    <w:bookmarkEnd w:id="194"/>
    <w:bookmarkEnd w:id="251"/>
    <w:bookmarkEnd w:id="252"/>
    <w:bookmarkEnd w:id="253"/>
    <w:bookmarkEnd w:id="254"/>
    <w:p w14:paraId="7ED5B465">
      <w:pPr>
        <w:rPr>
          <w:rFonts w:hint="eastAsia" w:ascii="仿宋" w:hAnsi="仿宋" w:eastAsia="仿宋" w:cs="仿宋"/>
          <w:iCs/>
          <w:color w:val="auto"/>
        </w:rPr>
      </w:pPr>
      <w:bookmarkStart w:id="255" w:name="_Toc21371"/>
      <w:bookmarkStart w:id="256" w:name="_Toc408331562"/>
      <w:bookmarkStart w:id="257" w:name="_Toc60537403"/>
      <w:bookmarkStart w:id="258" w:name="_Toc10689"/>
      <w:bookmarkStart w:id="259" w:name="_Toc392236656"/>
      <w:r>
        <w:rPr>
          <w:rFonts w:hint="eastAsia" w:ascii="仿宋" w:hAnsi="仿宋" w:eastAsia="仿宋" w:cs="仿宋"/>
          <w:iCs/>
          <w:color w:val="auto"/>
        </w:rPr>
        <w:br w:type="page"/>
      </w:r>
    </w:p>
    <w:p w14:paraId="34AD03BA">
      <w:pPr>
        <w:keepNext/>
        <w:keepLines/>
        <w:widowControl w:val="0"/>
        <w:adjustRightInd w:val="0"/>
        <w:spacing w:before="260" w:after="260" w:line="416" w:lineRule="atLeast"/>
        <w:ind w:left="0" w:right="0"/>
        <w:jc w:val="both"/>
        <w:textAlignment w:val="baseline"/>
        <w:outlineLvl w:val="1"/>
        <w:rPr>
          <w:rFonts w:hint="eastAsia" w:ascii="仿宋" w:hAnsi="仿宋" w:eastAsia="仿宋" w:cs="仿宋"/>
          <w:b/>
          <w:bCs/>
          <w:color w:val="auto"/>
          <w:kern w:val="2"/>
          <w:sz w:val="32"/>
          <w:lang w:val="en-US" w:eastAsia="zh-CN" w:bidi="ar-SA"/>
        </w:rPr>
      </w:pPr>
      <w:bookmarkStart w:id="260" w:name="_Toc9183"/>
      <w:r>
        <w:rPr>
          <w:rFonts w:hint="eastAsia" w:ascii="仿宋" w:hAnsi="仿宋" w:eastAsia="仿宋" w:cs="仿宋"/>
          <w:b/>
          <w:bCs/>
          <w:color w:val="auto"/>
          <w:kern w:val="2"/>
          <w:sz w:val="28"/>
          <w:szCs w:val="28"/>
          <w:lang w:val="en-US" w:eastAsia="zh-CN" w:bidi="ar-SA"/>
        </w:rPr>
        <w:t>附件8  拟投入本项目的人员</w:t>
      </w:r>
      <w:bookmarkEnd w:id="260"/>
    </w:p>
    <w:p w14:paraId="660AB494">
      <w:pPr>
        <w:spacing w:line="400" w:lineRule="atLeast"/>
        <w:jc w:val="left"/>
        <w:rPr>
          <w:rFonts w:hint="eastAsia" w:ascii="仿宋" w:hAnsi="仿宋" w:eastAsia="仿宋" w:cs="仿宋"/>
          <w:color w:val="auto"/>
          <w:sz w:val="24"/>
        </w:rPr>
      </w:pPr>
      <w:r>
        <w:rPr>
          <w:rFonts w:hint="eastAsia" w:ascii="仿宋" w:hAnsi="仿宋" w:eastAsia="仿宋" w:cs="仿宋"/>
          <w:b/>
          <w:bCs/>
          <w:color w:val="auto"/>
          <w:sz w:val="24"/>
        </w:rPr>
        <w:t>供应商名称：</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项目编号：</w:t>
      </w:r>
      <w:r>
        <w:rPr>
          <w:rFonts w:hint="eastAsia" w:ascii="仿宋" w:hAnsi="仿宋" w:eastAsia="仿宋" w:cs="仿宋"/>
          <w:b/>
          <w:bCs/>
          <w:color w:val="auto"/>
          <w:sz w:val="24"/>
          <w:u w:val="single"/>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78"/>
        <w:gridCol w:w="816"/>
        <w:gridCol w:w="1077"/>
        <w:gridCol w:w="1078"/>
        <w:gridCol w:w="1048"/>
        <w:gridCol w:w="1043"/>
        <w:gridCol w:w="1836"/>
      </w:tblGrid>
      <w:tr w14:paraId="281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52C823FD">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078" w:type="dxa"/>
            <w:noWrap w:val="0"/>
            <w:vAlign w:val="top"/>
          </w:tcPr>
          <w:p w14:paraId="397B9D94">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姓名</w:t>
            </w:r>
          </w:p>
        </w:tc>
        <w:tc>
          <w:tcPr>
            <w:tcW w:w="816" w:type="dxa"/>
            <w:noWrap w:val="0"/>
            <w:vAlign w:val="top"/>
          </w:tcPr>
          <w:p w14:paraId="0767488C">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性别</w:t>
            </w:r>
          </w:p>
        </w:tc>
        <w:tc>
          <w:tcPr>
            <w:tcW w:w="1077" w:type="dxa"/>
            <w:noWrap w:val="0"/>
            <w:vAlign w:val="top"/>
          </w:tcPr>
          <w:p w14:paraId="6CA68616">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年龄</w:t>
            </w:r>
          </w:p>
        </w:tc>
        <w:tc>
          <w:tcPr>
            <w:tcW w:w="1078" w:type="dxa"/>
            <w:noWrap w:val="0"/>
            <w:vAlign w:val="top"/>
          </w:tcPr>
          <w:p w14:paraId="36E978B0">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职务</w:t>
            </w:r>
          </w:p>
        </w:tc>
        <w:tc>
          <w:tcPr>
            <w:tcW w:w="1048" w:type="dxa"/>
            <w:noWrap w:val="0"/>
            <w:vAlign w:val="top"/>
          </w:tcPr>
          <w:p w14:paraId="4DA9CF61">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职称</w:t>
            </w:r>
          </w:p>
        </w:tc>
        <w:tc>
          <w:tcPr>
            <w:tcW w:w="1043" w:type="dxa"/>
            <w:noWrap w:val="0"/>
            <w:vAlign w:val="top"/>
          </w:tcPr>
          <w:p w14:paraId="0922BF0E">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学历</w:t>
            </w:r>
          </w:p>
        </w:tc>
        <w:tc>
          <w:tcPr>
            <w:tcW w:w="1836" w:type="dxa"/>
            <w:noWrap w:val="0"/>
            <w:vAlign w:val="top"/>
          </w:tcPr>
          <w:p w14:paraId="4BDAF307">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参加工作年限</w:t>
            </w:r>
          </w:p>
        </w:tc>
      </w:tr>
      <w:tr w14:paraId="51C5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291072BA">
            <w:pPr>
              <w:spacing w:line="360" w:lineRule="auto"/>
              <w:jc w:val="left"/>
              <w:rPr>
                <w:rFonts w:hint="eastAsia" w:ascii="仿宋" w:hAnsi="仿宋" w:eastAsia="仿宋" w:cs="仿宋"/>
                <w:b/>
                <w:bCs/>
                <w:color w:val="auto"/>
                <w:sz w:val="24"/>
              </w:rPr>
            </w:pPr>
          </w:p>
        </w:tc>
        <w:tc>
          <w:tcPr>
            <w:tcW w:w="1078" w:type="dxa"/>
            <w:noWrap w:val="0"/>
            <w:vAlign w:val="top"/>
          </w:tcPr>
          <w:p w14:paraId="1F1191C3">
            <w:pPr>
              <w:spacing w:line="360" w:lineRule="auto"/>
              <w:jc w:val="left"/>
              <w:rPr>
                <w:rFonts w:hint="eastAsia" w:ascii="仿宋" w:hAnsi="仿宋" w:eastAsia="仿宋" w:cs="仿宋"/>
                <w:b/>
                <w:bCs/>
                <w:color w:val="auto"/>
                <w:sz w:val="24"/>
              </w:rPr>
            </w:pPr>
          </w:p>
        </w:tc>
        <w:tc>
          <w:tcPr>
            <w:tcW w:w="816" w:type="dxa"/>
            <w:noWrap w:val="0"/>
            <w:vAlign w:val="top"/>
          </w:tcPr>
          <w:p w14:paraId="3944A69E">
            <w:pPr>
              <w:spacing w:line="360" w:lineRule="auto"/>
              <w:jc w:val="left"/>
              <w:rPr>
                <w:rFonts w:hint="eastAsia" w:ascii="仿宋" w:hAnsi="仿宋" w:eastAsia="仿宋" w:cs="仿宋"/>
                <w:b/>
                <w:bCs/>
                <w:color w:val="auto"/>
                <w:sz w:val="24"/>
              </w:rPr>
            </w:pPr>
          </w:p>
        </w:tc>
        <w:tc>
          <w:tcPr>
            <w:tcW w:w="1077" w:type="dxa"/>
            <w:noWrap w:val="0"/>
            <w:vAlign w:val="top"/>
          </w:tcPr>
          <w:p w14:paraId="5FECA1AC">
            <w:pPr>
              <w:spacing w:line="360" w:lineRule="auto"/>
              <w:jc w:val="left"/>
              <w:rPr>
                <w:rFonts w:hint="eastAsia" w:ascii="仿宋" w:hAnsi="仿宋" w:eastAsia="仿宋" w:cs="仿宋"/>
                <w:b/>
                <w:bCs/>
                <w:color w:val="auto"/>
                <w:sz w:val="24"/>
              </w:rPr>
            </w:pPr>
          </w:p>
        </w:tc>
        <w:tc>
          <w:tcPr>
            <w:tcW w:w="1078" w:type="dxa"/>
            <w:noWrap w:val="0"/>
            <w:vAlign w:val="top"/>
          </w:tcPr>
          <w:p w14:paraId="0E671E33">
            <w:pPr>
              <w:spacing w:line="360" w:lineRule="auto"/>
              <w:jc w:val="left"/>
              <w:rPr>
                <w:rFonts w:hint="eastAsia" w:ascii="仿宋" w:hAnsi="仿宋" w:eastAsia="仿宋" w:cs="仿宋"/>
                <w:b/>
                <w:bCs/>
                <w:color w:val="auto"/>
                <w:sz w:val="24"/>
              </w:rPr>
            </w:pPr>
          </w:p>
        </w:tc>
        <w:tc>
          <w:tcPr>
            <w:tcW w:w="1048" w:type="dxa"/>
            <w:noWrap w:val="0"/>
            <w:vAlign w:val="top"/>
          </w:tcPr>
          <w:p w14:paraId="3FFF0A42">
            <w:pPr>
              <w:spacing w:line="360" w:lineRule="auto"/>
              <w:jc w:val="left"/>
              <w:rPr>
                <w:rFonts w:hint="eastAsia" w:ascii="仿宋" w:hAnsi="仿宋" w:eastAsia="仿宋" w:cs="仿宋"/>
                <w:b/>
                <w:bCs/>
                <w:color w:val="auto"/>
                <w:sz w:val="24"/>
              </w:rPr>
            </w:pPr>
          </w:p>
        </w:tc>
        <w:tc>
          <w:tcPr>
            <w:tcW w:w="1043" w:type="dxa"/>
            <w:noWrap w:val="0"/>
            <w:vAlign w:val="top"/>
          </w:tcPr>
          <w:p w14:paraId="02C419D7">
            <w:pPr>
              <w:spacing w:line="360" w:lineRule="auto"/>
              <w:jc w:val="left"/>
              <w:rPr>
                <w:rFonts w:hint="eastAsia" w:ascii="仿宋" w:hAnsi="仿宋" w:eastAsia="仿宋" w:cs="仿宋"/>
                <w:b/>
                <w:bCs/>
                <w:color w:val="auto"/>
                <w:sz w:val="24"/>
              </w:rPr>
            </w:pPr>
          </w:p>
        </w:tc>
        <w:tc>
          <w:tcPr>
            <w:tcW w:w="1836" w:type="dxa"/>
            <w:noWrap w:val="0"/>
            <w:vAlign w:val="top"/>
          </w:tcPr>
          <w:p w14:paraId="40A50474">
            <w:pPr>
              <w:spacing w:line="360" w:lineRule="auto"/>
              <w:jc w:val="left"/>
              <w:rPr>
                <w:rFonts w:hint="eastAsia" w:ascii="仿宋" w:hAnsi="仿宋" w:eastAsia="仿宋" w:cs="仿宋"/>
                <w:b/>
                <w:bCs/>
                <w:color w:val="auto"/>
                <w:sz w:val="24"/>
              </w:rPr>
            </w:pPr>
          </w:p>
        </w:tc>
      </w:tr>
      <w:tr w14:paraId="6B27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34275304">
            <w:pPr>
              <w:spacing w:line="360" w:lineRule="auto"/>
              <w:jc w:val="left"/>
              <w:rPr>
                <w:rFonts w:hint="eastAsia" w:ascii="仿宋" w:hAnsi="仿宋" w:eastAsia="仿宋" w:cs="仿宋"/>
                <w:b/>
                <w:bCs/>
                <w:color w:val="auto"/>
                <w:sz w:val="24"/>
              </w:rPr>
            </w:pPr>
          </w:p>
        </w:tc>
        <w:tc>
          <w:tcPr>
            <w:tcW w:w="1078" w:type="dxa"/>
            <w:noWrap w:val="0"/>
            <w:vAlign w:val="top"/>
          </w:tcPr>
          <w:p w14:paraId="540F09A1">
            <w:pPr>
              <w:spacing w:line="360" w:lineRule="auto"/>
              <w:jc w:val="left"/>
              <w:rPr>
                <w:rFonts w:hint="eastAsia" w:ascii="仿宋" w:hAnsi="仿宋" w:eastAsia="仿宋" w:cs="仿宋"/>
                <w:b/>
                <w:bCs/>
                <w:color w:val="auto"/>
                <w:sz w:val="24"/>
              </w:rPr>
            </w:pPr>
          </w:p>
        </w:tc>
        <w:tc>
          <w:tcPr>
            <w:tcW w:w="816" w:type="dxa"/>
            <w:noWrap w:val="0"/>
            <w:vAlign w:val="top"/>
          </w:tcPr>
          <w:p w14:paraId="52808454">
            <w:pPr>
              <w:spacing w:line="360" w:lineRule="auto"/>
              <w:jc w:val="left"/>
              <w:rPr>
                <w:rFonts w:hint="eastAsia" w:ascii="仿宋" w:hAnsi="仿宋" w:eastAsia="仿宋" w:cs="仿宋"/>
                <w:b/>
                <w:bCs/>
                <w:color w:val="auto"/>
                <w:sz w:val="24"/>
              </w:rPr>
            </w:pPr>
          </w:p>
        </w:tc>
        <w:tc>
          <w:tcPr>
            <w:tcW w:w="1077" w:type="dxa"/>
            <w:noWrap w:val="0"/>
            <w:vAlign w:val="top"/>
          </w:tcPr>
          <w:p w14:paraId="5345C83A">
            <w:pPr>
              <w:spacing w:line="360" w:lineRule="auto"/>
              <w:jc w:val="left"/>
              <w:rPr>
                <w:rFonts w:hint="eastAsia" w:ascii="仿宋" w:hAnsi="仿宋" w:eastAsia="仿宋" w:cs="仿宋"/>
                <w:b/>
                <w:bCs/>
                <w:color w:val="auto"/>
                <w:sz w:val="24"/>
              </w:rPr>
            </w:pPr>
          </w:p>
        </w:tc>
        <w:tc>
          <w:tcPr>
            <w:tcW w:w="1078" w:type="dxa"/>
            <w:noWrap w:val="0"/>
            <w:vAlign w:val="top"/>
          </w:tcPr>
          <w:p w14:paraId="7C54B733">
            <w:pPr>
              <w:spacing w:line="360" w:lineRule="auto"/>
              <w:jc w:val="left"/>
              <w:rPr>
                <w:rFonts w:hint="eastAsia" w:ascii="仿宋" w:hAnsi="仿宋" w:eastAsia="仿宋" w:cs="仿宋"/>
                <w:b/>
                <w:bCs/>
                <w:color w:val="auto"/>
                <w:sz w:val="24"/>
              </w:rPr>
            </w:pPr>
          </w:p>
        </w:tc>
        <w:tc>
          <w:tcPr>
            <w:tcW w:w="1048" w:type="dxa"/>
            <w:noWrap w:val="0"/>
            <w:vAlign w:val="top"/>
          </w:tcPr>
          <w:p w14:paraId="557F45A7">
            <w:pPr>
              <w:spacing w:line="360" w:lineRule="auto"/>
              <w:jc w:val="left"/>
              <w:rPr>
                <w:rFonts w:hint="eastAsia" w:ascii="仿宋" w:hAnsi="仿宋" w:eastAsia="仿宋" w:cs="仿宋"/>
                <w:b/>
                <w:bCs/>
                <w:color w:val="auto"/>
                <w:sz w:val="24"/>
              </w:rPr>
            </w:pPr>
          </w:p>
        </w:tc>
        <w:tc>
          <w:tcPr>
            <w:tcW w:w="1043" w:type="dxa"/>
            <w:noWrap w:val="0"/>
            <w:vAlign w:val="top"/>
          </w:tcPr>
          <w:p w14:paraId="287C46A8">
            <w:pPr>
              <w:spacing w:line="360" w:lineRule="auto"/>
              <w:jc w:val="left"/>
              <w:rPr>
                <w:rFonts w:hint="eastAsia" w:ascii="仿宋" w:hAnsi="仿宋" w:eastAsia="仿宋" w:cs="仿宋"/>
                <w:b/>
                <w:bCs/>
                <w:color w:val="auto"/>
                <w:sz w:val="24"/>
              </w:rPr>
            </w:pPr>
          </w:p>
        </w:tc>
        <w:tc>
          <w:tcPr>
            <w:tcW w:w="1836" w:type="dxa"/>
            <w:noWrap w:val="0"/>
            <w:vAlign w:val="top"/>
          </w:tcPr>
          <w:p w14:paraId="19037430">
            <w:pPr>
              <w:spacing w:line="360" w:lineRule="auto"/>
              <w:jc w:val="left"/>
              <w:rPr>
                <w:rFonts w:hint="eastAsia" w:ascii="仿宋" w:hAnsi="仿宋" w:eastAsia="仿宋" w:cs="仿宋"/>
                <w:b/>
                <w:bCs/>
                <w:color w:val="auto"/>
                <w:sz w:val="24"/>
              </w:rPr>
            </w:pPr>
          </w:p>
        </w:tc>
      </w:tr>
      <w:tr w14:paraId="07FA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BD7FCDF">
            <w:pPr>
              <w:spacing w:line="360" w:lineRule="auto"/>
              <w:jc w:val="left"/>
              <w:rPr>
                <w:rFonts w:hint="eastAsia" w:ascii="仿宋" w:hAnsi="仿宋" w:eastAsia="仿宋" w:cs="仿宋"/>
                <w:b/>
                <w:bCs/>
                <w:color w:val="auto"/>
                <w:sz w:val="24"/>
              </w:rPr>
            </w:pPr>
          </w:p>
        </w:tc>
        <w:tc>
          <w:tcPr>
            <w:tcW w:w="1078" w:type="dxa"/>
            <w:noWrap w:val="0"/>
            <w:vAlign w:val="top"/>
          </w:tcPr>
          <w:p w14:paraId="47531533">
            <w:pPr>
              <w:spacing w:line="360" w:lineRule="auto"/>
              <w:jc w:val="left"/>
              <w:rPr>
                <w:rFonts w:hint="eastAsia" w:ascii="仿宋" w:hAnsi="仿宋" w:eastAsia="仿宋" w:cs="仿宋"/>
                <w:b/>
                <w:bCs/>
                <w:color w:val="auto"/>
                <w:sz w:val="24"/>
              </w:rPr>
            </w:pPr>
          </w:p>
        </w:tc>
        <w:tc>
          <w:tcPr>
            <w:tcW w:w="816" w:type="dxa"/>
            <w:noWrap w:val="0"/>
            <w:vAlign w:val="top"/>
          </w:tcPr>
          <w:p w14:paraId="4A526FAC">
            <w:pPr>
              <w:spacing w:line="360" w:lineRule="auto"/>
              <w:jc w:val="left"/>
              <w:rPr>
                <w:rFonts w:hint="eastAsia" w:ascii="仿宋" w:hAnsi="仿宋" w:eastAsia="仿宋" w:cs="仿宋"/>
                <w:b/>
                <w:bCs/>
                <w:color w:val="auto"/>
                <w:sz w:val="24"/>
              </w:rPr>
            </w:pPr>
          </w:p>
        </w:tc>
        <w:tc>
          <w:tcPr>
            <w:tcW w:w="1077" w:type="dxa"/>
            <w:noWrap w:val="0"/>
            <w:vAlign w:val="top"/>
          </w:tcPr>
          <w:p w14:paraId="6ABD8AD8">
            <w:pPr>
              <w:spacing w:line="360" w:lineRule="auto"/>
              <w:jc w:val="left"/>
              <w:rPr>
                <w:rFonts w:hint="eastAsia" w:ascii="仿宋" w:hAnsi="仿宋" w:eastAsia="仿宋" w:cs="仿宋"/>
                <w:b/>
                <w:bCs/>
                <w:color w:val="auto"/>
                <w:sz w:val="24"/>
              </w:rPr>
            </w:pPr>
          </w:p>
        </w:tc>
        <w:tc>
          <w:tcPr>
            <w:tcW w:w="1078" w:type="dxa"/>
            <w:noWrap w:val="0"/>
            <w:vAlign w:val="top"/>
          </w:tcPr>
          <w:p w14:paraId="6BD65D8A">
            <w:pPr>
              <w:spacing w:line="360" w:lineRule="auto"/>
              <w:jc w:val="left"/>
              <w:rPr>
                <w:rFonts w:hint="eastAsia" w:ascii="仿宋" w:hAnsi="仿宋" w:eastAsia="仿宋" w:cs="仿宋"/>
                <w:b/>
                <w:bCs/>
                <w:color w:val="auto"/>
                <w:sz w:val="24"/>
              </w:rPr>
            </w:pPr>
          </w:p>
        </w:tc>
        <w:tc>
          <w:tcPr>
            <w:tcW w:w="1048" w:type="dxa"/>
            <w:noWrap w:val="0"/>
            <w:vAlign w:val="top"/>
          </w:tcPr>
          <w:p w14:paraId="079A5331">
            <w:pPr>
              <w:spacing w:line="360" w:lineRule="auto"/>
              <w:jc w:val="left"/>
              <w:rPr>
                <w:rFonts w:hint="eastAsia" w:ascii="仿宋" w:hAnsi="仿宋" w:eastAsia="仿宋" w:cs="仿宋"/>
                <w:b/>
                <w:bCs/>
                <w:color w:val="auto"/>
                <w:sz w:val="24"/>
              </w:rPr>
            </w:pPr>
          </w:p>
        </w:tc>
        <w:tc>
          <w:tcPr>
            <w:tcW w:w="1043" w:type="dxa"/>
            <w:noWrap w:val="0"/>
            <w:vAlign w:val="top"/>
          </w:tcPr>
          <w:p w14:paraId="446A9875">
            <w:pPr>
              <w:spacing w:line="360" w:lineRule="auto"/>
              <w:jc w:val="left"/>
              <w:rPr>
                <w:rFonts w:hint="eastAsia" w:ascii="仿宋" w:hAnsi="仿宋" w:eastAsia="仿宋" w:cs="仿宋"/>
                <w:b/>
                <w:bCs/>
                <w:color w:val="auto"/>
                <w:sz w:val="24"/>
              </w:rPr>
            </w:pPr>
          </w:p>
        </w:tc>
        <w:tc>
          <w:tcPr>
            <w:tcW w:w="1836" w:type="dxa"/>
            <w:noWrap w:val="0"/>
            <w:vAlign w:val="top"/>
          </w:tcPr>
          <w:p w14:paraId="6610BDF5">
            <w:pPr>
              <w:spacing w:line="360" w:lineRule="auto"/>
              <w:jc w:val="left"/>
              <w:rPr>
                <w:rFonts w:hint="eastAsia" w:ascii="仿宋" w:hAnsi="仿宋" w:eastAsia="仿宋" w:cs="仿宋"/>
                <w:b/>
                <w:bCs/>
                <w:color w:val="auto"/>
                <w:sz w:val="24"/>
              </w:rPr>
            </w:pPr>
          </w:p>
        </w:tc>
      </w:tr>
      <w:tr w14:paraId="49D7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185EF3C0">
            <w:pPr>
              <w:spacing w:line="360" w:lineRule="auto"/>
              <w:jc w:val="left"/>
              <w:rPr>
                <w:rFonts w:hint="eastAsia" w:ascii="仿宋" w:hAnsi="仿宋" w:eastAsia="仿宋" w:cs="仿宋"/>
                <w:b/>
                <w:bCs/>
                <w:color w:val="auto"/>
                <w:sz w:val="24"/>
              </w:rPr>
            </w:pPr>
          </w:p>
        </w:tc>
        <w:tc>
          <w:tcPr>
            <w:tcW w:w="1078" w:type="dxa"/>
            <w:noWrap w:val="0"/>
            <w:vAlign w:val="top"/>
          </w:tcPr>
          <w:p w14:paraId="4D172B9A">
            <w:pPr>
              <w:spacing w:line="360" w:lineRule="auto"/>
              <w:jc w:val="left"/>
              <w:rPr>
                <w:rFonts w:hint="eastAsia" w:ascii="仿宋" w:hAnsi="仿宋" w:eastAsia="仿宋" w:cs="仿宋"/>
                <w:b/>
                <w:bCs/>
                <w:color w:val="auto"/>
                <w:sz w:val="24"/>
              </w:rPr>
            </w:pPr>
          </w:p>
        </w:tc>
        <w:tc>
          <w:tcPr>
            <w:tcW w:w="816" w:type="dxa"/>
            <w:noWrap w:val="0"/>
            <w:vAlign w:val="top"/>
          </w:tcPr>
          <w:p w14:paraId="1B76D166">
            <w:pPr>
              <w:spacing w:line="360" w:lineRule="auto"/>
              <w:jc w:val="left"/>
              <w:rPr>
                <w:rFonts w:hint="eastAsia" w:ascii="仿宋" w:hAnsi="仿宋" w:eastAsia="仿宋" w:cs="仿宋"/>
                <w:b/>
                <w:bCs/>
                <w:color w:val="auto"/>
                <w:sz w:val="24"/>
              </w:rPr>
            </w:pPr>
          </w:p>
        </w:tc>
        <w:tc>
          <w:tcPr>
            <w:tcW w:w="1077" w:type="dxa"/>
            <w:noWrap w:val="0"/>
            <w:vAlign w:val="top"/>
          </w:tcPr>
          <w:p w14:paraId="3282467E">
            <w:pPr>
              <w:spacing w:line="360" w:lineRule="auto"/>
              <w:jc w:val="left"/>
              <w:rPr>
                <w:rFonts w:hint="eastAsia" w:ascii="仿宋" w:hAnsi="仿宋" w:eastAsia="仿宋" w:cs="仿宋"/>
                <w:b/>
                <w:bCs/>
                <w:color w:val="auto"/>
                <w:sz w:val="24"/>
              </w:rPr>
            </w:pPr>
          </w:p>
        </w:tc>
        <w:tc>
          <w:tcPr>
            <w:tcW w:w="1078" w:type="dxa"/>
            <w:noWrap w:val="0"/>
            <w:vAlign w:val="top"/>
          </w:tcPr>
          <w:p w14:paraId="4EA262B7">
            <w:pPr>
              <w:spacing w:line="360" w:lineRule="auto"/>
              <w:jc w:val="left"/>
              <w:rPr>
                <w:rFonts w:hint="eastAsia" w:ascii="仿宋" w:hAnsi="仿宋" w:eastAsia="仿宋" w:cs="仿宋"/>
                <w:b/>
                <w:bCs/>
                <w:color w:val="auto"/>
                <w:sz w:val="24"/>
              </w:rPr>
            </w:pPr>
          </w:p>
        </w:tc>
        <w:tc>
          <w:tcPr>
            <w:tcW w:w="1048" w:type="dxa"/>
            <w:noWrap w:val="0"/>
            <w:vAlign w:val="top"/>
          </w:tcPr>
          <w:p w14:paraId="4519F967">
            <w:pPr>
              <w:spacing w:line="360" w:lineRule="auto"/>
              <w:jc w:val="left"/>
              <w:rPr>
                <w:rFonts w:hint="eastAsia" w:ascii="仿宋" w:hAnsi="仿宋" w:eastAsia="仿宋" w:cs="仿宋"/>
                <w:b/>
                <w:bCs/>
                <w:color w:val="auto"/>
                <w:sz w:val="24"/>
              </w:rPr>
            </w:pPr>
          </w:p>
        </w:tc>
        <w:tc>
          <w:tcPr>
            <w:tcW w:w="1043" w:type="dxa"/>
            <w:noWrap w:val="0"/>
            <w:vAlign w:val="top"/>
          </w:tcPr>
          <w:p w14:paraId="368E0506">
            <w:pPr>
              <w:spacing w:line="360" w:lineRule="auto"/>
              <w:jc w:val="left"/>
              <w:rPr>
                <w:rFonts w:hint="eastAsia" w:ascii="仿宋" w:hAnsi="仿宋" w:eastAsia="仿宋" w:cs="仿宋"/>
                <w:b/>
                <w:bCs/>
                <w:color w:val="auto"/>
                <w:sz w:val="24"/>
              </w:rPr>
            </w:pPr>
          </w:p>
        </w:tc>
        <w:tc>
          <w:tcPr>
            <w:tcW w:w="1836" w:type="dxa"/>
            <w:noWrap w:val="0"/>
            <w:vAlign w:val="top"/>
          </w:tcPr>
          <w:p w14:paraId="5C1C7AF4">
            <w:pPr>
              <w:spacing w:line="360" w:lineRule="auto"/>
              <w:jc w:val="left"/>
              <w:rPr>
                <w:rFonts w:hint="eastAsia" w:ascii="仿宋" w:hAnsi="仿宋" w:eastAsia="仿宋" w:cs="仿宋"/>
                <w:b/>
                <w:bCs/>
                <w:color w:val="auto"/>
                <w:sz w:val="24"/>
              </w:rPr>
            </w:pPr>
          </w:p>
        </w:tc>
      </w:tr>
      <w:tr w14:paraId="0710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39EF784E">
            <w:pPr>
              <w:spacing w:line="360" w:lineRule="auto"/>
              <w:jc w:val="left"/>
              <w:rPr>
                <w:rFonts w:hint="eastAsia" w:ascii="仿宋" w:hAnsi="仿宋" w:eastAsia="仿宋" w:cs="仿宋"/>
                <w:b/>
                <w:bCs/>
                <w:color w:val="auto"/>
                <w:sz w:val="24"/>
              </w:rPr>
            </w:pPr>
          </w:p>
        </w:tc>
        <w:tc>
          <w:tcPr>
            <w:tcW w:w="1078" w:type="dxa"/>
            <w:noWrap w:val="0"/>
            <w:vAlign w:val="top"/>
          </w:tcPr>
          <w:p w14:paraId="65C148C2">
            <w:pPr>
              <w:spacing w:line="360" w:lineRule="auto"/>
              <w:jc w:val="left"/>
              <w:rPr>
                <w:rFonts w:hint="eastAsia" w:ascii="仿宋" w:hAnsi="仿宋" w:eastAsia="仿宋" w:cs="仿宋"/>
                <w:b/>
                <w:bCs/>
                <w:color w:val="auto"/>
                <w:sz w:val="24"/>
              </w:rPr>
            </w:pPr>
          </w:p>
        </w:tc>
        <w:tc>
          <w:tcPr>
            <w:tcW w:w="816" w:type="dxa"/>
            <w:noWrap w:val="0"/>
            <w:vAlign w:val="top"/>
          </w:tcPr>
          <w:p w14:paraId="6E0FA179">
            <w:pPr>
              <w:spacing w:line="360" w:lineRule="auto"/>
              <w:jc w:val="left"/>
              <w:rPr>
                <w:rFonts w:hint="eastAsia" w:ascii="仿宋" w:hAnsi="仿宋" w:eastAsia="仿宋" w:cs="仿宋"/>
                <w:b/>
                <w:bCs/>
                <w:color w:val="auto"/>
                <w:sz w:val="24"/>
              </w:rPr>
            </w:pPr>
          </w:p>
        </w:tc>
        <w:tc>
          <w:tcPr>
            <w:tcW w:w="1077" w:type="dxa"/>
            <w:noWrap w:val="0"/>
            <w:vAlign w:val="top"/>
          </w:tcPr>
          <w:p w14:paraId="7986FFC6">
            <w:pPr>
              <w:spacing w:line="360" w:lineRule="auto"/>
              <w:jc w:val="left"/>
              <w:rPr>
                <w:rFonts w:hint="eastAsia" w:ascii="仿宋" w:hAnsi="仿宋" w:eastAsia="仿宋" w:cs="仿宋"/>
                <w:b/>
                <w:bCs/>
                <w:color w:val="auto"/>
                <w:sz w:val="24"/>
              </w:rPr>
            </w:pPr>
          </w:p>
        </w:tc>
        <w:tc>
          <w:tcPr>
            <w:tcW w:w="1078" w:type="dxa"/>
            <w:noWrap w:val="0"/>
            <w:vAlign w:val="top"/>
          </w:tcPr>
          <w:p w14:paraId="65E34BDA">
            <w:pPr>
              <w:spacing w:line="360" w:lineRule="auto"/>
              <w:jc w:val="left"/>
              <w:rPr>
                <w:rFonts w:hint="eastAsia" w:ascii="仿宋" w:hAnsi="仿宋" w:eastAsia="仿宋" w:cs="仿宋"/>
                <w:b/>
                <w:bCs/>
                <w:color w:val="auto"/>
                <w:sz w:val="24"/>
              </w:rPr>
            </w:pPr>
          </w:p>
        </w:tc>
        <w:tc>
          <w:tcPr>
            <w:tcW w:w="1048" w:type="dxa"/>
            <w:noWrap w:val="0"/>
            <w:vAlign w:val="top"/>
          </w:tcPr>
          <w:p w14:paraId="6F1CCDB6">
            <w:pPr>
              <w:spacing w:line="360" w:lineRule="auto"/>
              <w:jc w:val="left"/>
              <w:rPr>
                <w:rFonts w:hint="eastAsia" w:ascii="仿宋" w:hAnsi="仿宋" w:eastAsia="仿宋" w:cs="仿宋"/>
                <w:b/>
                <w:bCs/>
                <w:color w:val="auto"/>
                <w:sz w:val="24"/>
              </w:rPr>
            </w:pPr>
          </w:p>
        </w:tc>
        <w:tc>
          <w:tcPr>
            <w:tcW w:w="1043" w:type="dxa"/>
            <w:noWrap w:val="0"/>
            <w:vAlign w:val="top"/>
          </w:tcPr>
          <w:p w14:paraId="59241573">
            <w:pPr>
              <w:spacing w:line="360" w:lineRule="auto"/>
              <w:jc w:val="left"/>
              <w:rPr>
                <w:rFonts w:hint="eastAsia" w:ascii="仿宋" w:hAnsi="仿宋" w:eastAsia="仿宋" w:cs="仿宋"/>
                <w:b/>
                <w:bCs/>
                <w:color w:val="auto"/>
                <w:sz w:val="24"/>
              </w:rPr>
            </w:pPr>
          </w:p>
        </w:tc>
        <w:tc>
          <w:tcPr>
            <w:tcW w:w="1836" w:type="dxa"/>
            <w:noWrap w:val="0"/>
            <w:vAlign w:val="top"/>
          </w:tcPr>
          <w:p w14:paraId="6C325848">
            <w:pPr>
              <w:spacing w:line="360" w:lineRule="auto"/>
              <w:jc w:val="left"/>
              <w:rPr>
                <w:rFonts w:hint="eastAsia" w:ascii="仿宋" w:hAnsi="仿宋" w:eastAsia="仿宋" w:cs="仿宋"/>
                <w:b/>
                <w:bCs/>
                <w:color w:val="auto"/>
                <w:sz w:val="24"/>
              </w:rPr>
            </w:pPr>
          </w:p>
        </w:tc>
      </w:tr>
      <w:tr w14:paraId="2B5A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0A4DBFC">
            <w:pPr>
              <w:spacing w:line="360" w:lineRule="auto"/>
              <w:jc w:val="left"/>
              <w:rPr>
                <w:rFonts w:hint="eastAsia" w:ascii="仿宋" w:hAnsi="仿宋" w:eastAsia="仿宋" w:cs="仿宋"/>
                <w:b/>
                <w:bCs/>
                <w:color w:val="auto"/>
                <w:sz w:val="24"/>
              </w:rPr>
            </w:pPr>
          </w:p>
        </w:tc>
        <w:tc>
          <w:tcPr>
            <w:tcW w:w="1078" w:type="dxa"/>
            <w:noWrap w:val="0"/>
            <w:vAlign w:val="top"/>
          </w:tcPr>
          <w:p w14:paraId="254D7D55">
            <w:pPr>
              <w:spacing w:line="360" w:lineRule="auto"/>
              <w:jc w:val="left"/>
              <w:rPr>
                <w:rFonts w:hint="eastAsia" w:ascii="仿宋" w:hAnsi="仿宋" w:eastAsia="仿宋" w:cs="仿宋"/>
                <w:b/>
                <w:bCs/>
                <w:color w:val="auto"/>
                <w:sz w:val="24"/>
              </w:rPr>
            </w:pPr>
          </w:p>
        </w:tc>
        <w:tc>
          <w:tcPr>
            <w:tcW w:w="816" w:type="dxa"/>
            <w:noWrap w:val="0"/>
            <w:vAlign w:val="top"/>
          </w:tcPr>
          <w:p w14:paraId="33543461">
            <w:pPr>
              <w:spacing w:line="360" w:lineRule="auto"/>
              <w:jc w:val="left"/>
              <w:rPr>
                <w:rFonts w:hint="eastAsia" w:ascii="仿宋" w:hAnsi="仿宋" w:eastAsia="仿宋" w:cs="仿宋"/>
                <w:b/>
                <w:bCs/>
                <w:color w:val="auto"/>
                <w:sz w:val="24"/>
              </w:rPr>
            </w:pPr>
          </w:p>
        </w:tc>
        <w:tc>
          <w:tcPr>
            <w:tcW w:w="1077" w:type="dxa"/>
            <w:noWrap w:val="0"/>
            <w:vAlign w:val="top"/>
          </w:tcPr>
          <w:p w14:paraId="2E73E740">
            <w:pPr>
              <w:spacing w:line="360" w:lineRule="auto"/>
              <w:jc w:val="left"/>
              <w:rPr>
                <w:rFonts w:hint="eastAsia" w:ascii="仿宋" w:hAnsi="仿宋" w:eastAsia="仿宋" w:cs="仿宋"/>
                <w:b/>
                <w:bCs/>
                <w:color w:val="auto"/>
                <w:sz w:val="24"/>
              </w:rPr>
            </w:pPr>
          </w:p>
        </w:tc>
        <w:tc>
          <w:tcPr>
            <w:tcW w:w="1078" w:type="dxa"/>
            <w:noWrap w:val="0"/>
            <w:vAlign w:val="top"/>
          </w:tcPr>
          <w:p w14:paraId="505C191A">
            <w:pPr>
              <w:spacing w:line="360" w:lineRule="auto"/>
              <w:jc w:val="left"/>
              <w:rPr>
                <w:rFonts w:hint="eastAsia" w:ascii="仿宋" w:hAnsi="仿宋" w:eastAsia="仿宋" w:cs="仿宋"/>
                <w:b/>
                <w:bCs/>
                <w:color w:val="auto"/>
                <w:sz w:val="24"/>
              </w:rPr>
            </w:pPr>
          </w:p>
        </w:tc>
        <w:tc>
          <w:tcPr>
            <w:tcW w:w="1048" w:type="dxa"/>
            <w:noWrap w:val="0"/>
            <w:vAlign w:val="top"/>
          </w:tcPr>
          <w:p w14:paraId="14D47909">
            <w:pPr>
              <w:spacing w:line="360" w:lineRule="auto"/>
              <w:jc w:val="left"/>
              <w:rPr>
                <w:rFonts w:hint="eastAsia" w:ascii="仿宋" w:hAnsi="仿宋" w:eastAsia="仿宋" w:cs="仿宋"/>
                <w:b/>
                <w:bCs/>
                <w:color w:val="auto"/>
                <w:sz w:val="24"/>
              </w:rPr>
            </w:pPr>
          </w:p>
        </w:tc>
        <w:tc>
          <w:tcPr>
            <w:tcW w:w="1043" w:type="dxa"/>
            <w:noWrap w:val="0"/>
            <w:vAlign w:val="top"/>
          </w:tcPr>
          <w:p w14:paraId="120FC278">
            <w:pPr>
              <w:spacing w:line="360" w:lineRule="auto"/>
              <w:jc w:val="left"/>
              <w:rPr>
                <w:rFonts w:hint="eastAsia" w:ascii="仿宋" w:hAnsi="仿宋" w:eastAsia="仿宋" w:cs="仿宋"/>
                <w:b/>
                <w:bCs/>
                <w:color w:val="auto"/>
                <w:sz w:val="24"/>
              </w:rPr>
            </w:pPr>
          </w:p>
        </w:tc>
        <w:tc>
          <w:tcPr>
            <w:tcW w:w="1836" w:type="dxa"/>
            <w:noWrap w:val="0"/>
            <w:vAlign w:val="top"/>
          </w:tcPr>
          <w:p w14:paraId="6197497A">
            <w:pPr>
              <w:spacing w:line="360" w:lineRule="auto"/>
              <w:jc w:val="left"/>
              <w:rPr>
                <w:rFonts w:hint="eastAsia" w:ascii="仿宋" w:hAnsi="仿宋" w:eastAsia="仿宋" w:cs="仿宋"/>
                <w:b/>
                <w:bCs/>
                <w:color w:val="auto"/>
                <w:sz w:val="24"/>
              </w:rPr>
            </w:pPr>
          </w:p>
        </w:tc>
      </w:tr>
      <w:tr w14:paraId="39DF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C907C92">
            <w:pPr>
              <w:spacing w:line="360" w:lineRule="auto"/>
              <w:jc w:val="left"/>
              <w:rPr>
                <w:rFonts w:hint="eastAsia" w:ascii="仿宋" w:hAnsi="仿宋" w:eastAsia="仿宋" w:cs="仿宋"/>
                <w:b/>
                <w:bCs/>
                <w:color w:val="auto"/>
                <w:sz w:val="24"/>
              </w:rPr>
            </w:pPr>
          </w:p>
        </w:tc>
        <w:tc>
          <w:tcPr>
            <w:tcW w:w="1078" w:type="dxa"/>
            <w:noWrap w:val="0"/>
            <w:vAlign w:val="top"/>
          </w:tcPr>
          <w:p w14:paraId="17AF5672">
            <w:pPr>
              <w:spacing w:line="360" w:lineRule="auto"/>
              <w:jc w:val="left"/>
              <w:rPr>
                <w:rFonts w:hint="eastAsia" w:ascii="仿宋" w:hAnsi="仿宋" w:eastAsia="仿宋" w:cs="仿宋"/>
                <w:b/>
                <w:bCs/>
                <w:color w:val="auto"/>
                <w:sz w:val="24"/>
              </w:rPr>
            </w:pPr>
          </w:p>
        </w:tc>
        <w:tc>
          <w:tcPr>
            <w:tcW w:w="816" w:type="dxa"/>
            <w:noWrap w:val="0"/>
            <w:vAlign w:val="top"/>
          </w:tcPr>
          <w:p w14:paraId="32556B92">
            <w:pPr>
              <w:spacing w:line="360" w:lineRule="auto"/>
              <w:jc w:val="left"/>
              <w:rPr>
                <w:rFonts w:hint="eastAsia" w:ascii="仿宋" w:hAnsi="仿宋" w:eastAsia="仿宋" w:cs="仿宋"/>
                <w:b/>
                <w:bCs/>
                <w:color w:val="auto"/>
                <w:sz w:val="24"/>
              </w:rPr>
            </w:pPr>
          </w:p>
        </w:tc>
        <w:tc>
          <w:tcPr>
            <w:tcW w:w="1077" w:type="dxa"/>
            <w:noWrap w:val="0"/>
            <w:vAlign w:val="top"/>
          </w:tcPr>
          <w:p w14:paraId="770C3F95">
            <w:pPr>
              <w:spacing w:line="360" w:lineRule="auto"/>
              <w:jc w:val="left"/>
              <w:rPr>
                <w:rFonts w:hint="eastAsia" w:ascii="仿宋" w:hAnsi="仿宋" w:eastAsia="仿宋" w:cs="仿宋"/>
                <w:b/>
                <w:bCs/>
                <w:color w:val="auto"/>
                <w:sz w:val="24"/>
              </w:rPr>
            </w:pPr>
          </w:p>
        </w:tc>
        <w:tc>
          <w:tcPr>
            <w:tcW w:w="1078" w:type="dxa"/>
            <w:noWrap w:val="0"/>
            <w:vAlign w:val="top"/>
          </w:tcPr>
          <w:p w14:paraId="7AA410ED">
            <w:pPr>
              <w:spacing w:line="360" w:lineRule="auto"/>
              <w:jc w:val="left"/>
              <w:rPr>
                <w:rFonts w:hint="eastAsia" w:ascii="仿宋" w:hAnsi="仿宋" w:eastAsia="仿宋" w:cs="仿宋"/>
                <w:b/>
                <w:bCs/>
                <w:color w:val="auto"/>
                <w:sz w:val="24"/>
              </w:rPr>
            </w:pPr>
          </w:p>
        </w:tc>
        <w:tc>
          <w:tcPr>
            <w:tcW w:w="1048" w:type="dxa"/>
            <w:noWrap w:val="0"/>
            <w:vAlign w:val="top"/>
          </w:tcPr>
          <w:p w14:paraId="3ECDFF7D">
            <w:pPr>
              <w:spacing w:line="360" w:lineRule="auto"/>
              <w:jc w:val="left"/>
              <w:rPr>
                <w:rFonts w:hint="eastAsia" w:ascii="仿宋" w:hAnsi="仿宋" w:eastAsia="仿宋" w:cs="仿宋"/>
                <w:b/>
                <w:bCs/>
                <w:color w:val="auto"/>
                <w:sz w:val="24"/>
              </w:rPr>
            </w:pPr>
          </w:p>
        </w:tc>
        <w:tc>
          <w:tcPr>
            <w:tcW w:w="1043" w:type="dxa"/>
            <w:noWrap w:val="0"/>
            <w:vAlign w:val="top"/>
          </w:tcPr>
          <w:p w14:paraId="460A66E1">
            <w:pPr>
              <w:spacing w:line="360" w:lineRule="auto"/>
              <w:jc w:val="left"/>
              <w:rPr>
                <w:rFonts w:hint="eastAsia" w:ascii="仿宋" w:hAnsi="仿宋" w:eastAsia="仿宋" w:cs="仿宋"/>
                <w:b/>
                <w:bCs/>
                <w:color w:val="auto"/>
                <w:sz w:val="24"/>
              </w:rPr>
            </w:pPr>
          </w:p>
        </w:tc>
        <w:tc>
          <w:tcPr>
            <w:tcW w:w="1836" w:type="dxa"/>
            <w:noWrap w:val="0"/>
            <w:vAlign w:val="top"/>
          </w:tcPr>
          <w:p w14:paraId="744046CC">
            <w:pPr>
              <w:spacing w:line="360" w:lineRule="auto"/>
              <w:jc w:val="left"/>
              <w:rPr>
                <w:rFonts w:hint="eastAsia" w:ascii="仿宋" w:hAnsi="仿宋" w:eastAsia="仿宋" w:cs="仿宋"/>
                <w:b/>
                <w:bCs/>
                <w:color w:val="auto"/>
                <w:sz w:val="24"/>
              </w:rPr>
            </w:pPr>
          </w:p>
        </w:tc>
      </w:tr>
      <w:tr w14:paraId="1EDA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F895B02">
            <w:pPr>
              <w:spacing w:line="360" w:lineRule="auto"/>
              <w:jc w:val="left"/>
              <w:rPr>
                <w:rFonts w:hint="eastAsia" w:ascii="仿宋" w:hAnsi="仿宋" w:eastAsia="仿宋" w:cs="仿宋"/>
                <w:b/>
                <w:bCs/>
                <w:color w:val="auto"/>
                <w:sz w:val="24"/>
              </w:rPr>
            </w:pPr>
          </w:p>
        </w:tc>
        <w:tc>
          <w:tcPr>
            <w:tcW w:w="1078" w:type="dxa"/>
            <w:noWrap w:val="0"/>
            <w:vAlign w:val="top"/>
          </w:tcPr>
          <w:p w14:paraId="5A7F67A3">
            <w:pPr>
              <w:spacing w:line="360" w:lineRule="auto"/>
              <w:jc w:val="left"/>
              <w:rPr>
                <w:rFonts w:hint="eastAsia" w:ascii="仿宋" w:hAnsi="仿宋" w:eastAsia="仿宋" w:cs="仿宋"/>
                <w:b/>
                <w:bCs/>
                <w:color w:val="auto"/>
                <w:sz w:val="24"/>
              </w:rPr>
            </w:pPr>
          </w:p>
        </w:tc>
        <w:tc>
          <w:tcPr>
            <w:tcW w:w="816" w:type="dxa"/>
            <w:noWrap w:val="0"/>
            <w:vAlign w:val="top"/>
          </w:tcPr>
          <w:p w14:paraId="20E42C25">
            <w:pPr>
              <w:spacing w:line="360" w:lineRule="auto"/>
              <w:jc w:val="left"/>
              <w:rPr>
                <w:rFonts w:hint="eastAsia" w:ascii="仿宋" w:hAnsi="仿宋" w:eastAsia="仿宋" w:cs="仿宋"/>
                <w:b/>
                <w:bCs/>
                <w:color w:val="auto"/>
                <w:sz w:val="24"/>
              </w:rPr>
            </w:pPr>
          </w:p>
        </w:tc>
        <w:tc>
          <w:tcPr>
            <w:tcW w:w="1077" w:type="dxa"/>
            <w:noWrap w:val="0"/>
            <w:vAlign w:val="top"/>
          </w:tcPr>
          <w:p w14:paraId="5F810B3C">
            <w:pPr>
              <w:spacing w:line="360" w:lineRule="auto"/>
              <w:jc w:val="left"/>
              <w:rPr>
                <w:rFonts w:hint="eastAsia" w:ascii="仿宋" w:hAnsi="仿宋" w:eastAsia="仿宋" w:cs="仿宋"/>
                <w:b/>
                <w:bCs/>
                <w:color w:val="auto"/>
                <w:sz w:val="24"/>
              </w:rPr>
            </w:pPr>
          </w:p>
        </w:tc>
        <w:tc>
          <w:tcPr>
            <w:tcW w:w="1078" w:type="dxa"/>
            <w:noWrap w:val="0"/>
            <w:vAlign w:val="top"/>
          </w:tcPr>
          <w:p w14:paraId="2EA25579">
            <w:pPr>
              <w:spacing w:line="360" w:lineRule="auto"/>
              <w:jc w:val="left"/>
              <w:rPr>
                <w:rFonts w:hint="eastAsia" w:ascii="仿宋" w:hAnsi="仿宋" w:eastAsia="仿宋" w:cs="仿宋"/>
                <w:b/>
                <w:bCs/>
                <w:color w:val="auto"/>
                <w:sz w:val="24"/>
              </w:rPr>
            </w:pPr>
          </w:p>
        </w:tc>
        <w:tc>
          <w:tcPr>
            <w:tcW w:w="1048" w:type="dxa"/>
            <w:noWrap w:val="0"/>
            <w:vAlign w:val="top"/>
          </w:tcPr>
          <w:p w14:paraId="13792C06">
            <w:pPr>
              <w:spacing w:line="360" w:lineRule="auto"/>
              <w:jc w:val="left"/>
              <w:rPr>
                <w:rFonts w:hint="eastAsia" w:ascii="仿宋" w:hAnsi="仿宋" w:eastAsia="仿宋" w:cs="仿宋"/>
                <w:b/>
                <w:bCs/>
                <w:color w:val="auto"/>
                <w:sz w:val="24"/>
              </w:rPr>
            </w:pPr>
          </w:p>
        </w:tc>
        <w:tc>
          <w:tcPr>
            <w:tcW w:w="1043" w:type="dxa"/>
            <w:noWrap w:val="0"/>
            <w:vAlign w:val="top"/>
          </w:tcPr>
          <w:p w14:paraId="5209B5AA">
            <w:pPr>
              <w:spacing w:line="360" w:lineRule="auto"/>
              <w:jc w:val="left"/>
              <w:rPr>
                <w:rFonts w:hint="eastAsia" w:ascii="仿宋" w:hAnsi="仿宋" w:eastAsia="仿宋" w:cs="仿宋"/>
                <w:b/>
                <w:bCs/>
                <w:color w:val="auto"/>
                <w:sz w:val="24"/>
              </w:rPr>
            </w:pPr>
          </w:p>
        </w:tc>
        <w:tc>
          <w:tcPr>
            <w:tcW w:w="1836" w:type="dxa"/>
            <w:noWrap w:val="0"/>
            <w:vAlign w:val="top"/>
          </w:tcPr>
          <w:p w14:paraId="7EEBCDCD">
            <w:pPr>
              <w:spacing w:line="360" w:lineRule="auto"/>
              <w:jc w:val="left"/>
              <w:rPr>
                <w:rFonts w:hint="eastAsia" w:ascii="仿宋" w:hAnsi="仿宋" w:eastAsia="仿宋" w:cs="仿宋"/>
                <w:b/>
                <w:bCs/>
                <w:color w:val="auto"/>
                <w:sz w:val="24"/>
              </w:rPr>
            </w:pPr>
          </w:p>
        </w:tc>
      </w:tr>
      <w:tr w14:paraId="46D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5FE76B38">
            <w:pPr>
              <w:spacing w:line="360" w:lineRule="auto"/>
              <w:jc w:val="left"/>
              <w:rPr>
                <w:rFonts w:hint="eastAsia" w:ascii="仿宋" w:hAnsi="仿宋" w:eastAsia="仿宋" w:cs="仿宋"/>
                <w:b/>
                <w:bCs/>
                <w:color w:val="auto"/>
                <w:sz w:val="24"/>
              </w:rPr>
            </w:pPr>
          </w:p>
        </w:tc>
        <w:tc>
          <w:tcPr>
            <w:tcW w:w="1078" w:type="dxa"/>
            <w:noWrap w:val="0"/>
            <w:vAlign w:val="top"/>
          </w:tcPr>
          <w:p w14:paraId="2CCDE9E1">
            <w:pPr>
              <w:spacing w:line="360" w:lineRule="auto"/>
              <w:jc w:val="left"/>
              <w:rPr>
                <w:rFonts w:hint="eastAsia" w:ascii="仿宋" w:hAnsi="仿宋" w:eastAsia="仿宋" w:cs="仿宋"/>
                <w:b/>
                <w:bCs/>
                <w:color w:val="auto"/>
                <w:sz w:val="24"/>
              </w:rPr>
            </w:pPr>
          </w:p>
        </w:tc>
        <w:tc>
          <w:tcPr>
            <w:tcW w:w="816" w:type="dxa"/>
            <w:noWrap w:val="0"/>
            <w:vAlign w:val="top"/>
          </w:tcPr>
          <w:p w14:paraId="6B7DC6AD">
            <w:pPr>
              <w:spacing w:line="360" w:lineRule="auto"/>
              <w:jc w:val="left"/>
              <w:rPr>
                <w:rFonts w:hint="eastAsia" w:ascii="仿宋" w:hAnsi="仿宋" w:eastAsia="仿宋" w:cs="仿宋"/>
                <w:b/>
                <w:bCs/>
                <w:color w:val="auto"/>
                <w:sz w:val="24"/>
              </w:rPr>
            </w:pPr>
          </w:p>
        </w:tc>
        <w:tc>
          <w:tcPr>
            <w:tcW w:w="1077" w:type="dxa"/>
            <w:noWrap w:val="0"/>
            <w:vAlign w:val="top"/>
          </w:tcPr>
          <w:p w14:paraId="06E67A4B">
            <w:pPr>
              <w:spacing w:line="360" w:lineRule="auto"/>
              <w:jc w:val="left"/>
              <w:rPr>
                <w:rFonts w:hint="eastAsia" w:ascii="仿宋" w:hAnsi="仿宋" w:eastAsia="仿宋" w:cs="仿宋"/>
                <w:b/>
                <w:bCs/>
                <w:color w:val="auto"/>
                <w:sz w:val="24"/>
              </w:rPr>
            </w:pPr>
          </w:p>
        </w:tc>
        <w:tc>
          <w:tcPr>
            <w:tcW w:w="1078" w:type="dxa"/>
            <w:noWrap w:val="0"/>
            <w:vAlign w:val="top"/>
          </w:tcPr>
          <w:p w14:paraId="06EDCC29">
            <w:pPr>
              <w:spacing w:line="360" w:lineRule="auto"/>
              <w:jc w:val="left"/>
              <w:rPr>
                <w:rFonts w:hint="eastAsia" w:ascii="仿宋" w:hAnsi="仿宋" w:eastAsia="仿宋" w:cs="仿宋"/>
                <w:b/>
                <w:bCs/>
                <w:color w:val="auto"/>
                <w:sz w:val="24"/>
              </w:rPr>
            </w:pPr>
          </w:p>
        </w:tc>
        <w:tc>
          <w:tcPr>
            <w:tcW w:w="1048" w:type="dxa"/>
            <w:noWrap w:val="0"/>
            <w:vAlign w:val="top"/>
          </w:tcPr>
          <w:p w14:paraId="3A36A7E1">
            <w:pPr>
              <w:spacing w:line="360" w:lineRule="auto"/>
              <w:jc w:val="left"/>
              <w:rPr>
                <w:rFonts w:hint="eastAsia" w:ascii="仿宋" w:hAnsi="仿宋" w:eastAsia="仿宋" w:cs="仿宋"/>
                <w:b/>
                <w:bCs/>
                <w:color w:val="auto"/>
                <w:sz w:val="24"/>
              </w:rPr>
            </w:pPr>
          </w:p>
        </w:tc>
        <w:tc>
          <w:tcPr>
            <w:tcW w:w="1043" w:type="dxa"/>
            <w:noWrap w:val="0"/>
            <w:vAlign w:val="top"/>
          </w:tcPr>
          <w:p w14:paraId="59D58A1C">
            <w:pPr>
              <w:spacing w:line="360" w:lineRule="auto"/>
              <w:jc w:val="left"/>
              <w:rPr>
                <w:rFonts w:hint="eastAsia" w:ascii="仿宋" w:hAnsi="仿宋" w:eastAsia="仿宋" w:cs="仿宋"/>
                <w:b/>
                <w:bCs/>
                <w:color w:val="auto"/>
                <w:sz w:val="24"/>
              </w:rPr>
            </w:pPr>
          </w:p>
        </w:tc>
        <w:tc>
          <w:tcPr>
            <w:tcW w:w="1836" w:type="dxa"/>
            <w:noWrap w:val="0"/>
            <w:vAlign w:val="top"/>
          </w:tcPr>
          <w:p w14:paraId="0E5FAF05">
            <w:pPr>
              <w:spacing w:line="360" w:lineRule="auto"/>
              <w:jc w:val="left"/>
              <w:rPr>
                <w:rFonts w:hint="eastAsia" w:ascii="仿宋" w:hAnsi="仿宋" w:eastAsia="仿宋" w:cs="仿宋"/>
                <w:b/>
                <w:bCs/>
                <w:color w:val="auto"/>
                <w:sz w:val="24"/>
              </w:rPr>
            </w:pPr>
          </w:p>
        </w:tc>
      </w:tr>
      <w:tr w14:paraId="6A1A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DDD5966">
            <w:pPr>
              <w:spacing w:line="360" w:lineRule="auto"/>
              <w:jc w:val="left"/>
              <w:rPr>
                <w:rFonts w:hint="eastAsia" w:ascii="仿宋" w:hAnsi="仿宋" w:eastAsia="仿宋" w:cs="仿宋"/>
                <w:b/>
                <w:bCs/>
                <w:color w:val="auto"/>
                <w:sz w:val="24"/>
              </w:rPr>
            </w:pPr>
          </w:p>
        </w:tc>
        <w:tc>
          <w:tcPr>
            <w:tcW w:w="1078" w:type="dxa"/>
            <w:noWrap w:val="0"/>
            <w:vAlign w:val="top"/>
          </w:tcPr>
          <w:p w14:paraId="17DAA376">
            <w:pPr>
              <w:spacing w:line="360" w:lineRule="auto"/>
              <w:jc w:val="left"/>
              <w:rPr>
                <w:rFonts w:hint="eastAsia" w:ascii="仿宋" w:hAnsi="仿宋" w:eastAsia="仿宋" w:cs="仿宋"/>
                <w:b/>
                <w:bCs/>
                <w:color w:val="auto"/>
                <w:sz w:val="24"/>
              </w:rPr>
            </w:pPr>
          </w:p>
        </w:tc>
        <w:tc>
          <w:tcPr>
            <w:tcW w:w="816" w:type="dxa"/>
            <w:noWrap w:val="0"/>
            <w:vAlign w:val="top"/>
          </w:tcPr>
          <w:p w14:paraId="512B7F73">
            <w:pPr>
              <w:spacing w:line="360" w:lineRule="auto"/>
              <w:jc w:val="left"/>
              <w:rPr>
                <w:rFonts w:hint="eastAsia" w:ascii="仿宋" w:hAnsi="仿宋" w:eastAsia="仿宋" w:cs="仿宋"/>
                <w:b/>
                <w:bCs/>
                <w:color w:val="auto"/>
                <w:sz w:val="24"/>
              </w:rPr>
            </w:pPr>
          </w:p>
        </w:tc>
        <w:tc>
          <w:tcPr>
            <w:tcW w:w="1077" w:type="dxa"/>
            <w:noWrap w:val="0"/>
            <w:vAlign w:val="top"/>
          </w:tcPr>
          <w:p w14:paraId="25021000">
            <w:pPr>
              <w:spacing w:line="360" w:lineRule="auto"/>
              <w:jc w:val="left"/>
              <w:rPr>
                <w:rFonts w:hint="eastAsia" w:ascii="仿宋" w:hAnsi="仿宋" w:eastAsia="仿宋" w:cs="仿宋"/>
                <w:b/>
                <w:bCs/>
                <w:color w:val="auto"/>
                <w:sz w:val="24"/>
              </w:rPr>
            </w:pPr>
          </w:p>
        </w:tc>
        <w:tc>
          <w:tcPr>
            <w:tcW w:w="1078" w:type="dxa"/>
            <w:noWrap w:val="0"/>
            <w:vAlign w:val="top"/>
          </w:tcPr>
          <w:p w14:paraId="4267BA4E">
            <w:pPr>
              <w:spacing w:line="360" w:lineRule="auto"/>
              <w:jc w:val="left"/>
              <w:rPr>
                <w:rFonts w:hint="eastAsia" w:ascii="仿宋" w:hAnsi="仿宋" w:eastAsia="仿宋" w:cs="仿宋"/>
                <w:b/>
                <w:bCs/>
                <w:color w:val="auto"/>
                <w:sz w:val="24"/>
              </w:rPr>
            </w:pPr>
          </w:p>
        </w:tc>
        <w:tc>
          <w:tcPr>
            <w:tcW w:w="1048" w:type="dxa"/>
            <w:noWrap w:val="0"/>
            <w:vAlign w:val="top"/>
          </w:tcPr>
          <w:p w14:paraId="545D51FC">
            <w:pPr>
              <w:spacing w:line="360" w:lineRule="auto"/>
              <w:jc w:val="left"/>
              <w:rPr>
                <w:rFonts w:hint="eastAsia" w:ascii="仿宋" w:hAnsi="仿宋" w:eastAsia="仿宋" w:cs="仿宋"/>
                <w:b/>
                <w:bCs/>
                <w:color w:val="auto"/>
                <w:sz w:val="24"/>
              </w:rPr>
            </w:pPr>
          </w:p>
        </w:tc>
        <w:tc>
          <w:tcPr>
            <w:tcW w:w="1043" w:type="dxa"/>
            <w:noWrap w:val="0"/>
            <w:vAlign w:val="top"/>
          </w:tcPr>
          <w:p w14:paraId="51689195">
            <w:pPr>
              <w:spacing w:line="360" w:lineRule="auto"/>
              <w:jc w:val="left"/>
              <w:rPr>
                <w:rFonts w:hint="eastAsia" w:ascii="仿宋" w:hAnsi="仿宋" w:eastAsia="仿宋" w:cs="仿宋"/>
                <w:b/>
                <w:bCs/>
                <w:color w:val="auto"/>
                <w:sz w:val="24"/>
              </w:rPr>
            </w:pPr>
          </w:p>
        </w:tc>
        <w:tc>
          <w:tcPr>
            <w:tcW w:w="1836" w:type="dxa"/>
            <w:noWrap w:val="0"/>
            <w:vAlign w:val="top"/>
          </w:tcPr>
          <w:p w14:paraId="35ECC49C">
            <w:pPr>
              <w:spacing w:line="360" w:lineRule="auto"/>
              <w:jc w:val="left"/>
              <w:rPr>
                <w:rFonts w:hint="eastAsia" w:ascii="仿宋" w:hAnsi="仿宋" w:eastAsia="仿宋" w:cs="仿宋"/>
                <w:b/>
                <w:bCs/>
                <w:color w:val="auto"/>
                <w:sz w:val="24"/>
              </w:rPr>
            </w:pPr>
          </w:p>
        </w:tc>
      </w:tr>
      <w:tr w14:paraId="6DC8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4520AC8A">
            <w:pPr>
              <w:spacing w:line="360" w:lineRule="auto"/>
              <w:jc w:val="left"/>
              <w:rPr>
                <w:rFonts w:hint="eastAsia" w:ascii="仿宋" w:hAnsi="仿宋" w:eastAsia="仿宋" w:cs="仿宋"/>
                <w:b/>
                <w:bCs/>
                <w:color w:val="auto"/>
                <w:sz w:val="24"/>
              </w:rPr>
            </w:pPr>
          </w:p>
        </w:tc>
        <w:tc>
          <w:tcPr>
            <w:tcW w:w="1078" w:type="dxa"/>
            <w:noWrap w:val="0"/>
            <w:vAlign w:val="top"/>
          </w:tcPr>
          <w:p w14:paraId="4882DFF1">
            <w:pPr>
              <w:spacing w:line="360" w:lineRule="auto"/>
              <w:jc w:val="left"/>
              <w:rPr>
                <w:rFonts w:hint="eastAsia" w:ascii="仿宋" w:hAnsi="仿宋" w:eastAsia="仿宋" w:cs="仿宋"/>
                <w:b/>
                <w:bCs/>
                <w:color w:val="auto"/>
                <w:sz w:val="24"/>
              </w:rPr>
            </w:pPr>
          </w:p>
        </w:tc>
        <w:tc>
          <w:tcPr>
            <w:tcW w:w="816" w:type="dxa"/>
            <w:noWrap w:val="0"/>
            <w:vAlign w:val="top"/>
          </w:tcPr>
          <w:p w14:paraId="4F6EB08A">
            <w:pPr>
              <w:spacing w:line="360" w:lineRule="auto"/>
              <w:jc w:val="left"/>
              <w:rPr>
                <w:rFonts w:hint="eastAsia" w:ascii="仿宋" w:hAnsi="仿宋" w:eastAsia="仿宋" w:cs="仿宋"/>
                <w:b/>
                <w:bCs/>
                <w:color w:val="auto"/>
                <w:sz w:val="24"/>
              </w:rPr>
            </w:pPr>
          </w:p>
        </w:tc>
        <w:tc>
          <w:tcPr>
            <w:tcW w:w="1077" w:type="dxa"/>
            <w:noWrap w:val="0"/>
            <w:vAlign w:val="top"/>
          </w:tcPr>
          <w:p w14:paraId="6FCA069F">
            <w:pPr>
              <w:spacing w:line="360" w:lineRule="auto"/>
              <w:jc w:val="left"/>
              <w:rPr>
                <w:rFonts w:hint="eastAsia" w:ascii="仿宋" w:hAnsi="仿宋" w:eastAsia="仿宋" w:cs="仿宋"/>
                <w:b/>
                <w:bCs/>
                <w:color w:val="auto"/>
                <w:sz w:val="24"/>
              </w:rPr>
            </w:pPr>
          </w:p>
        </w:tc>
        <w:tc>
          <w:tcPr>
            <w:tcW w:w="1078" w:type="dxa"/>
            <w:noWrap w:val="0"/>
            <w:vAlign w:val="top"/>
          </w:tcPr>
          <w:p w14:paraId="5C1937FA">
            <w:pPr>
              <w:spacing w:line="360" w:lineRule="auto"/>
              <w:jc w:val="left"/>
              <w:rPr>
                <w:rFonts w:hint="eastAsia" w:ascii="仿宋" w:hAnsi="仿宋" w:eastAsia="仿宋" w:cs="仿宋"/>
                <w:b/>
                <w:bCs/>
                <w:color w:val="auto"/>
                <w:sz w:val="24"/>
              </w:rPr>
            </w:pPr>
          </w:p>
        </w:tc>
        <w:tc>
          <w:tcPr>
            <w:tcW w:w="1048" w:type="dxa"/>
            <w:noWrap w:val="0"/>
            <w:vAlign w:val="top"/>
          </w:tcPr>
          <w:p w14:paraId="067EB104">
            <w:pPr>
              <w:spacing w:line="360" w:lineRule="auto"/>
              <w:jc w:val="left"/>
              <w:rPr>
                <w:rFonts w:hint="eastAsia" w:ascii="仿宋" w:hAnsi="仿宋" w:eastAsia="仿宋" w:cs="仿宋"/>
                <w:b/>
                <w:bCs/>
                <w:color w:val="auto"/>
                <w:sz w:val="24"/>
              </w:rPr>
            </w:pPr>
          </w:p>
        </w:tc>
        <w:tc>
          <w:tcPr>
            <w:tcW w:w="1043" w:type="dxa"/>
            <w:noWrap w:val="0"/>
            <w:vAlign w:val="top"/>
          </w:tcPr>
          <w:p w14:paraId="6D33ABA0">
            <w:pPr>
              <w:spacing w:line="360" w:lineRule="auto"/>
              <w:jc w:val="left"/>
              <w:rPr>
                <w:rFonts w:hint="eastAsia" w:ascii="仿宋" w:hAnsi="仿宋" w:eastAsia="仿宋" w:cs="仿宋"/>
                <w:b/>
                <w:bCs/>
                <w:color w:val="auto"/>
                <w:sz w:val="24"/>
              </w:rPr>
            </w:pPr>
          </w:p>
        </w:tc>
        <w:tc>
          <w:tcPr>
            <w:tcW w:w="1836" w:type="dxa"/>
            <w:noWrap w:val="0"/>
            <w:vAlign w:val="top"/>
          </w:tcPr>
          <w:p w14:paraId="7E08DAEC">
            <w:pPr>
              <w:spacing w:line="360" w:lineRule="auto"/>
              <w:jc w:val="left"/>
              <w:rPr>
                <w:rFonts w:hint="eastAsia" w:ascii="仿宋" w:hAnsi="仿宋" w:eastAsia="仿宋" w:cs="仿宋"/>
                <w:b/>
                <w:bCs/>
                <w:color w:val="auto"/>
                <w:sz w:val="24"/>
              </w:rPr>
            </w:pPr>
          </w:p>
        </w:tc>
      </w:tr>
      <w:tr w14:paraId="3B5F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7786FE55">
            <w:pPr>
              <w:spacing w:line="360" w:lineRule="auto"/>
              <w:jc w:val="left"/>
              <w:rPr>
                <w:rFonts w:hint="eastAsia" w:ascii="仿宋" w:hAnsi="仿宋" w:eastAsia="仿宋" w:cs="仿宋"/>
                <w:b/>
                <w:bCs/>
                <w:color w:val="auto"/>
                <w:sz w:val="24"/>
              </w:rPr>
            </w:pPr>
          </w:p>
        </w:tc>
        <w:tc>
          <w:tcPr>
            <w:tcW w:w="1078" w:type="dxa"/>
            <w:noWrap w:val="0"/>
            <w:vAlign w:val="top"/>
          </w:tcPr>
          <w:p w14:paraId="787BCE80">
            <w:pPr>
              <w:spacing w:line="360" w:lineRule="auto"/>
              <w:jc w:val="left"/>
              <w:rPr>
                <w:rFonts w:hint="eastAsia" w:ascii="仿宋" w:hAnsi="仿宋" w:eastAsia="仿宋" w:cs="仿宋"/>
                <w:b/>
                <w:bCs/>
                <w:color w:val="auto"/>
                <w:sz w:val="24"/>
              </w:rPr>
            </w:pPr>
          </w:p>
        </w:tc>
        <w:tc>
          <w:tcPr>
            <w:tcW w:w="816" w:type="dxa"/>
            <w:noWrap w:val="0"/>
            <w:vAlign w:val="top"/>
          </w:tcPr>
          <w:p w14:paraId="5F5A48FB">
            <w:pPr>
              <w:spacing w:line="360" w:lineRule="auto"/>
              <w:jc w:val="left"/>
              <w:rPr>
                <w:rFonts w:hint="eastAsia" w:ascii="仿宋" w:hAnsi="仿宋" w:eastAsia="仿宋" w:cs="仿宋"/>
                <w:b/>
                <w:bCs/>
                <w:color w:val="auto"/>
                <w:sz w:val="24"/>
              </w:rPr>
            </w:pPr>
          </w:p>
        </w:tc>
        <w:tc>
          <w:tcPr>
            <w:tcW w:w="1077" w:type="dxa"/>
            <w:noWrap w:val="0"/>
            <w:vAlign w:val="top"/>
          </w:tcPr>
          <w:p w14:paraId="0DA4F541">
            <w:pPr>
              <w:spacing w:line="360" w:lineRule="auto"/>
              <w:jc w:val="left"/>
              <w:rPr>
                <w:rFonts w:hint="eastAsia" w:ascii="仿宋" w:hAnsi="仿宋" w:eastAsia="仿宋" w:cs="仿宋"/>
                <w:b/>
                <w:bCs/>
                <w:color w:val="auto"/>
                <w:sz w:val="24"/>
              </w:rPr>
            </w:pPr>
          </w:p>
        </w:tc>
        <w:tc>
          <w:tcPr>
            <w:tcW w:w="1078" w:type="dxa"/>
            <w:noWrap w:val="0"/>
            <w:vAlign w:val="top"/>
          </w:tcPr>
          <w:p w14:paraId="4F4F5C9B">
            <w:pPr>
              <w:spacing w:line="360" w:lineRule="auto"/>
              <w:jc w:val="left"/>
              <w:rPr>
                <w:rFonts w:hint="eastAsia" w:ascii="仿宋" w:hAnsi="仿宋" w:eastAsia="仿宋" w:cs="仿宋"/>
                <w:b/>
                <w:bCs/>
                <w:color w:val="auto"/>
                <w:sz w:val="24"/>
              </w:rPr>
            </w:pPr>
          </w:p>
        </w:tc>
        <w:tc>
          <w:tcPr>
            <w:tcW w:w="1048" w:type="dxa"/>
            <w:noWrap w:val="0"/>
            <w:vAlign w:val="top"/>
          </w:tcPr>
          <w:p w14:paraId="2DFF21B9">
            <w:pPr>
              <w:spacing w:line="360" w:lineRule="auto"/>
              <w:jc w:val="left"/>
              <w:rPr>
                <w:rFonts w:hint="eastAsia" w:ascii="仿宋" w:hAnsi="仿宋" w:eastAsia="仿宋" w:cs="仿宋"/>
                <w:b/>
                <w:bCs/>
                <w:color w:val="auto"/>
                <w:sz w:val="24"/>
              </w:rPr>
            </w:pPr>
          </w:p>
        </w:tc>
        <w:tc>
          <w:tcPr>
            <w:tcW w:w="1043" w:type="dxa"/>
            <w:noWrap w:val="0"/>
            <w:vAlign w:val="top"/>
          </w:tcPr>
          <w:p w14:paraId="407981E2">
            <w:pPr>
              <w:spacing w:line="360" w:lineRule="auto"/>
              <w:jc w:val="left"/>
              <w:rPr>
                <w:rFonts w:hint="eastAsia" w:ascii="仿宋" w:hAnsi="仿宋" w:eastAsia="仿宋" w:cs="仿宋"/>
                <w:b/>
                <w:bCs/>
                <w:color w:val="auto"/>
                <w:sz w:val="24"/>
              </w:rPr>
            </w:pPr>
          </w:p>
        </w:tc>
        <w:tc>
          <w:tcPr>
            <w:tcW w:w="1836" w:type="dxa"/>
            <w:noWrap w:val="0"/>
            <w:vAlign w:val="top"/>
          </w:tcPr>
          <w:p w14:paraId="4E1943B5">
            <w:pPr>
              <w:spacing w:line="360" w:lineRule="auto"/>
              <w:jc w:val="left"/>
              <w:rPr>
                <w:rFonts w:hint="eastAsia" w:ascii="仿宋" w:hAnsi="仿宋" w:eastAsia="仿宋" w:cs="仿宋"/>
                <w:b/>
                <w:bCs/>
                <w:color w:val="auto"/>
                <w:sz w:val="24"/>
              </w:rPr>
            </w:pPr>
          </w:p>
        </w:tc>
      </w:tr>
      <w:tr w14:paraId="61FD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7343BE6B">
            <w:pPr>
              <w:spacing w:line="360" w:lineRule="auto"/>
              <w:jc w:val="left"/>
              <w:rPr>
                <w:rFonts w:hint="eastAsia" w:ascii="仿宋" w:hAnsi="仿宋" w:eastAsia="仿宋" w:cs="仿宋"/>
                <w:b/>
                <w:bCs/>
                <w:color w:val="auto"/>
                <w:sz w:val="24"/>
              </w:rPr>
            </w:pPr>
          </w:p>
        </w:tc>
        <w:tc>
          <w:tcPr>
            <w:tcW w:w="1078" w:type="dxa"/>
            <w:noWrap w:val="0"/>
            <w:vAlign w:val="top"/>
          </w:tcPr>
          <w:p w14:paraId="0482E65B">
            <w:pPr>
              <w:spacing w:line="360" w:lineRule="auto"/>
              <w:jc w:val="left"/>
              <w:rPr>
                <w:rFonts w:hint="eastAsia" w:ascii="仿宋" w:hAnsi="仿宋" w:eastAsia="仿宋" w:cs="仿宋"/>
                <w:b/>
                <w:bCs/>
                <w:color w:val="auto"/>
                <w:sz w:val="24"/>
              </w:rPr>
            </w:pPr>
          </w:p>
        </w:tc>
        <w:tc>
          <w:tcPr>
            <w:tcW w:w="816" w:type="dxa"/>
            <w:noWrap w:val="0"/>
            <w:vAlign w:val="top"/>
          </w:tcPr>
          <w:p w14:paraId="0212ACB4">
            <w:pPr>
              <w:spacing w:line="360" w:lineRule="auto"/>
              <w:jc w:val="left"/>
              <w:rPr>
                <w:rFonts w:hint="eastAsia" w:ascii="仿宋" w:hAnsi="仿宋" w:eastAsia="仿宋" w:cs="仿宋"/>
                <w:b/>
                <w:bCs/>
                <w:color w:val="auto"/>
                <w:sz w:val="24"/>
              </w:rPr>
            </w:pPr>
          </w:p>
        </w:tc>
        <w:tc>
          <w:tcPr>
            <w:tcW w:w="1077" w:type="dxa"/>
            <w:noWrap w:val="0"/>
            <w:vAlign w:val="top"/>
          </w:tcPr>
          <w:p w14:paraId="39FC1E33">
            <w:pPr>
              <w:spacing w:line="360" w:lineRule="auto"/>
              <w:jc w:val="left"/>
              <w:rPr>
                <w:rFonts w:hint="eastAsia" w:ascii="仿宋" w:hAnsi="仿宋" w:eastAsia="仿宋" w:cs="仿宋"/>
                <w:b/>
                <w:bCs/>
                <w:color w:val="auto"/>
                <w:sz w:val="24"/>
              </w:rPr>
            </w:pPr>
          </w:p>
        </w:tc>
        <w:tc>
          <w:tcPr>
            <w:tcW w:w="1078" w:type="dxa"/>
            <w:noWrap w:val="0"/>
            <w:vAlign w:val="top"/>
          </w:tcPr>
          <w:p w14:paraId="4ACA3958">
            <w:pPr>
              <w:spacing w:line="360" w:lineRule="auto"/>
              <w:jc w:val="left"/>
              <w:rPr>
                <w:rFonts w:hint="eastAsia" w:ascii="仿宋" w:hAnsi="仿宋" w:eastAsia="仿宋" w:cs="仿宋"/>
                <w:b/>
                <w:bCs/>
                <w:color w:val="auto"/>
                <w:sz w:val="24"/>
              </w:rPr>
            </w:pPr>
          </w:p>
        </w:tc>
        <w:tc>
          <w:tcPr>
            <w:tcW w:w="1048" w:type="dxa"/>
            <w:noWrap w:val="0"/>
            <w:vAlign w:val="top"/>
          </w:tcPr>
          <w:p w14:paraId="505948DC">
            <w:pPr>
              <w:spacing w:line="360" w:lineRule="auto"/>
              <w:jc w:val="left"/>
              <w:rPr>
                <w:rFonts w:hint="eastAsia" w:ascii="仿宋" w:hAnsi="仿宋" w:eastAsia="仿宋" w:cs="仿宋"/>
                <w:b/>
                <w:bCs/>
                <w:color w:val="auto"/>
                <w:sz w:val="24"/>
              </w:rPr>
            </w:pPr>
          </w:p>
        </w:tc>
        <w:tc>
          <w:tcPr>
            <w:tcW w:w="1043" w:type="dxa"/>
            <w:noWrap w:val="0"/>
            <w:vAlign w:val="top"/>
          </w:tcPr>
          <w:p w14:paraId="3230F8C7">
            <w:pPr>
              <w:spacing w:line="360" w:lineRule="auto"/>
              <w:jc w:val="left"/>
              <w:rPr>
                <w:rFonts w:hint="eastAsia" w:ascii="仿宋" w:hAnsi="仿宋" w:eastAsia="仿宋" w:cs="仿宋"/>
                <w:b/>
                <w:bCs/>
                <w:color w:val="auto"/>
                <w:sz w:val="24"/>
              </w:rPr>
            </w:pPr>
          </w:p>
        </w:tc>
        <w:tc>
          <w:tcPr>
            <w:tcW w:w="1836" w:type="dxa"/>
            <w:noWrap w:val="0"/>
            <w:vAlign w:val="top"/>
          </w:tcPr>
          <w:p w14:paraId="08B337A1">
            <w:pPr>
              <w:spacing w:line="360" w:lineRule="auto"/>
              <w:jc w:val="left"/>
              <w:rPr>
                <w:rFonts w:hint="eastAsia" w:ascii="仿宋" w:hAnsi="仿宋" w:eastAsia="仿宋" w:cs="仿宋"/>
                <w:b/>
                <w:bCs/>
                <w:color w:val="auto"/>
                <w:sz w:val="24"/>
              </w:rPr>
            </w:pPr>
          </w:p>
        </w:tc>
      </w:tr>
      <w:tr w14:paraId="3BCE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6374399B">
            <w:pPr>
              <w:spacing w:line="360" w:lineRule="auto"/>
              <w:jc w:val="left"/>
              <w:rPr>
                <w:rFonts w:hint="eastAsia" w:ascii="仿宋" w:hAnsi="仿宋" w:eastAsia="仿宋" w:cs="仿宋"/>
                <w:b/>
                <w:bCs/>
                <w:color w:val="auto"/>
                <w:sz w:val="24"/>
              </w:rPr>
            </w:pPr>
          </w:p>
        </w:tc>
        <w:tc>
          <w:tcPr>
            <w:tcW w:w="1078" w:type="dxa"/>
            <w:noWrap w:val="0"/>
            <w:vAlign w:val="top"/>
          </w:tcPr>
          <w:p w14:paraId="6D25F602">
            <w:pPr>
              <w:spacing w:line="360" w:lineRule="auto"/>
              <w:jc w:val="left"/>
              <w:rPr>
                <w:rFonts w:hint="eastAsia" w:ascii="仿宋" w:hAnsi="仿宋" w:eastAsia="仿宋" w:cs="仿宋"/>
                <w:b/>
                <w:bCs/>
                <w:color w:val="auto"/>
                <w:sz w:val="24"/>
              </w:rPr>
            </w:pPr>
          </w:p>
        </w:tc>
        <w:tc>
          <w:tcPr>
            <w:tcW w:w="816" w:type="dxa"/>
            <w:noWrap w:val="0"/>
            <w:vAlign w:val="top"/>
          </w:tcPr>
          <w:p w14:paraId="1F4ACC37">
            <w:pPr>
              <w:spacing w:line="360" w:lineRule="auto"/>
              <w:jc w:val="left"/>
              <w:rPr>
                <w:rFonts w:hint="eastAsia" w:ascii="仿宋" w:hAnsi="仿宋" w:eastAsia="仿宋" w:cs="仿宋"/>
                <w:b/>
                <w:bCs/>
                <w:color w:val="auto"/>
                <w:sz w:val="24"/>
              </w:rPr>
            </w:pPr>
          </w:p>
        </w:tc>
        <w:tc>
          <w:tcPr>
            <w:tcW w:w="1077" w:type="dxa"/>
            <w:noWrap w:val="0"/>
            <w:vAlign w:val="top"/>
          </w:tcPr>
          <w:p w14:paraId="12E9A25B">
            <w:pPr>
              <w:spacing w:line="360" w:lineRule="auto"/>
              <w:jc w:val="left"/>
              <w:rPr>
                <w:rFonts w:hint="eastAsia" w:ascii="仿宋" w:hAnsi="仿宋" w:eastAsia="仿宋" w:cs="仿宋"/>
                <w:b/>
                <w:bCs/>
                <w:color w:val="auto"/>
                <w:sz w:val="24"/>
              </w:rPr>
            </w:pPr>
          </w:p>
        </w:tc>
        <w:tc>
          <w:tcPr>
            <w:tcW w:w="1078" w:type="dxa"/>
            <w:noWrap w:val="0"/>
            <w:vAlign w:val="top"/>
          </w:tcPr>
          <w:p w14:paraId="0AAFEC7B">
            <w:pPr>
              <w:spacing w:line="360" w:lineRule="auto"/>
              <w:jc w:val="left"/>
              <w:rPr>
                <w:rFonts w:hint="eastAsia" w:ascii="仿宋" w:hAnsi="仿宋" w:eastAsia="仿宋" w:cs="仿宋"/>
                <w:b/>
                <w:bCs/>
                <w:color w:val="auto"/>
                <w:sz w:val="24"/>
              </w:rPr>
            </w:pPr>
          </w:p>
        </w:tc>
        <w:tc>
          <w:tcPr>
            <w:tcW w:w="1048" w:type="dxa"/>
            <w:noWrap w:val="0"/>
            <w:vAlign w:val="top"/>
          </w:tcPr>
          <w:p w14:paraId="2A140890">
            <w:pPr>
              <w:spacing w:line="360" w:lineRule="auto"/>
              <w:jc w:val="left"/>
              <w:rPr>
                <w:rFonts w:hint="eastAsia" w:ascii="仿宋" w:hAnsi="仿宋" w:eastAsia="仿宋" w:cs="仿宋"/>
                <w:b/>
                <w:bCs/>
                <w:color w:val="auto"/>
                <w:sz w:val="24"/>
              </w:rPr>
            </w:pPr>
          </w:p>
        </w:tc>
        <w:tc>
          <w:tcPr>
            <w:tcW w:w="1043" w:type="dxa"/>
            <w:noWrap w:val="0"/>
            <w:vAlign w:val="top"/>
          </w:tcPr>
          <w:p w14:paraId="1C6A202C">
            <w:pPr>
              <w:spacing w:line="360" w:lineRule="auto"/>
              <w:jc w:val="left"/>
              <w:rPr>
                <w:rFonts w:hint="eastAsia" w:ascii="仿宋" w:hAnsi="仿宋" w:eastAsia="仿宋" w:cs="仿宋"/>
                <w:b/>
                <w:bCs/>
                <w:color w:val="auto"/>
                <w:sz w:val="24"/>
              </w:rPr>
            </w:pPr>
          </w:p>
        </w:tc>
        <w:tc>
          <w:tcPr>
            <w:tcW w:w="1836" w:type="dxa"/>
            <w:noWrap w:val="0"/>
            <w:vAlign w:val="top"/>
          </w:tcPr>
          <w:p w14:paraId="6AD552C2">
            <w:pPr>
              <w:spacing w:line="360" w:lineRule="auto"/>
              <w:jc w:val="left"/>
              <w:rPr>
                <w:rFonts w:hint="eastAsia" w:ascii="仿宋" w:hAnsi="仿宋" w:eastAsia="仿宋" w:cs="仿宋"/>
                <w:b/>
                <w:bCs/>
                <w:color w:val="auto"/>
                <w:sz w:val="24"/>
              </w:rPr>
            </w:pPr>
          </w:p>
        </w:tc>
      </w:tr>
      <w:tr w14:paraId="52BA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3F6DEFD9">
            <w:pPr>
              <w:spacing w:line="360" w:lineRule="auto"/>
              <w:jc w:val="left"/>
              <w:rPr>
                <w:rFonts w:hint="eastAsia" w:ascii="仿宋" w:hAnsi="仿宋" w:eastAsia="仿宋" w:cs="仿宋"/>
                <w:b/>
                <w:bCs/>
                <w:color w:val="auto"/>
                <w:sz w:val="24"/>
              </w:rPr>
            </w:pPr>
          </w:p>
        </w:tc>
        <w:tc>
          <w:tcPr>
            <w:tcW w:w="1078" w:type="dxa"/>
            <w:noWrap w:val="0"/>
            <w:vAlign w:val="top"/>
          </w:tcPr>
          <w:p w14:paraId="18873CF8">
            <w:pPr>
              <w:spacing w:line="360" w:lineRule="auto"/>
              <w:jc w:val="left"/>
              <w:rPr>
                <w:rFonts w:hint="eastAsia" w:ascii="仿宋" w:hAnsi="仿宋" w:eastAsia="仿宋" w:cs="仿宋"/>
                <w:b/>
                <w:bCs/>
                <w:color w:val="auto"/>
                <w:sz w:val="24"/>
              </w:rPr>
            </w:pPr>
          </w:p>
        </w:tc>
        <w:tc>
          <w:tcPr>
            <w:tcW w:w="816" w:type="dxa"/>
            <w:noWrap w:val="0"/>
            <w:vAlign w:val="top"/>
          </w:tcPr>
          <w:p w14:paraId="173FB371">
            <w:pPr>
              <w:spacing w:line="360" w:lineRule="auto"/>
              <w:jc w:val="left"/>
              <w:rPr>
                <w:rFonts w:hint="eastAsia" w:ascii="仿宋" w:hAnsi="仿宋" w:eastAsia="仿宋" w:cs="仿宋"/>
                <w:b/>
                <w:bCs/>
                <w:color w:val="auto"/>
                <w:sz w:val="24"/>
              </w:rPr>
            </w:pPr>
          </w:p>
        </w:tc>
        <w:tc>
          <w:tcPr>
            <w:tcW w:w="1077" w:type="dxa"/>
            <w:noWrap w:val="0"/>
            <w:vAlign w:val="top"/>
          </w:tcPr>
          <w:p w14:paraId="63E021DB">
            <w:pPr>
              <w:spacing w:line="360" w:lineRule="auto"/>
              <w:jc w:val="left"/>
              <w:rPr>
                <w:rFonts w:hint="eastAsia" w:ascii="仿宋" w:hAnsi="仿宋" w:eastAsia="仿宋" w:cs="仿宋"/>
                <w:b/>
                <w:bCs/>
                <w:color w:val="auto"/>
                <w:sz w:val="24"/>
              </w:rPr>
            </w:pPr>
          </w:p>
        </w:tc>
        <w:tc>
          <w:tcPr>
            <w:tcW w:w="1078" w:type="dxa"/>
            <w:noWrap w:val="0"/>
            <w:vAlign w:val="top"/>
          </w:tcPr>
          <w:p w14:paraId="2DFF8E7C">
            <w:pPr>
              <w:spacing w:line="360" w:lineRule="auto"/>
              <w:jc w:val="left"/>
              <w:rPr>
                <w:rFonts w:hint="eastAsia" w:ascii="仿宋" w:hAnsi="仿宋" w:eastAsia="仿宋" w:cs="仿宋"/>
                <w:b/>
                <w:bCs/>
                <w:color w:val="auto"/>
                <w:sz w:val="24"/>
              </w:rPr>
            </w:pPr>
          </w:p>
        </w:tc>
        <w:tc>
          <w:tcPr>
            <w:tcW w:w="1048" w:type="dxa"/>
            <w:noWrap w:val="0"/>
            <w:vAlign w:val="top"/>
          </w:tcPr>
          <w:p w14:paraId="7B6E1D9C">
            <w:pPr>
              <w:spacing w:line="360" w:lineRule="auto"/>
              <w:jc w:val="left"/>
              <w:rPr>
                <w:rFonts w:hint="eastAsia" w:ascii="仿宋" w:hAnsi="仿宋" w:eastAsia="仿宋" w:cs="仿宋"/>
                <w:b/>
                <w:bCs/>
                <w:color w:val="auto"/>
                <w:sz w:val="24"/>
              </w:rPr>
            </w:pPr>
          </w:p>
        </w:tc>
        <w:tc>
          <w:tcPr>
            <w:tcW w:w="1043" w:type="dxa"/>
            <w:noWrap w:val="0"/>
            <w:vAlign w:val="top"/>
          </w:tcPr>
          <w:p w14:paraId="19298160">
            <w:pPr>
              <w:spacing w:line="360" w:lineRule="auto"/>
              <w:jc w:val="left"/>
              <w:rPr>
                <w:rFonts w:hint="eastAsia" w:ascii="仿宋" w:hAnsi="仿宋" w:eastAsia="仿宋" w:cs="仿宋"/>
                <w:b/>
                <w:bCs/>
                <w:color w:val="auto"/>
                <w:sz w:val="24"/>
              </w:rPr>
            </w:pPr>
          </w:p>
        </w:tc>
        <w:tc>
          <w:tcPr>
            <w:tcW w:w="1836" w:type="dxa"/>
            <w:noWrap w:val="0"/>
            <w:vAlign w:val="top"/>
          </w:tcPr>
          <w:p w14:paraId="219BF35F">
            <w:pPr>
              <w:spacing w:line="360" w:lineRule="auto"/>
              <w:jc w:val="left"/>
              <w:rPr>
                <w:rFonts w:hint="eastAsia" w:ascii="仿宋" w:hAnsi="仿宋" w:eastAsia="仿宋" w:cs="仿宋"/>
                <w:b/>
                <w:bCs/>
                <w:color w:val="auto"/>
                <w:sz w:val="24"/>
              </w:rPr>
            </w:pPr>
          </w:p>
        </w:tc>
      </w:tr>
      <w:tr w14:paraId="153E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711762AB">
            <w:pPr>
              <w:spacing w:line="360" w:lineRule="auto"/>
              <w:jc w:val="left"/>
              <w:rPr>
                <w:rFonts w:hint="eastAsia" w:ascii="仿宋" w:hAnsi="仿宋" w:eastAsia="仿宋" w:cs="仿宋"/>
                <w:b/>
                <w:bCs/>
                <w:color w:val="auto"/>
                <w:sz w:val="24"/>
              </w:rPr>
            </w:pPr>
          </w:p>
        </w:tc>
        <w:tc>
          <w:tcPr>
            <w:tcW w:w="1078" w:type="dxa"/>
            <w:noWrap w:val="0"/>
            <w:vAlign w:val="top"/>
          </w:tcPr>
          <w:p w14:paraId="564FDAAA">
            <w:pPr>
              <w:spacing w:line="360" w:lineRule="auto"/>
              <w:jc w:val="left"/>
              <w:rPr>
                <w:rFonts w:hint="eastAsia" w:ascii="仿宋" w:hAnsi="仿宋" w:eastAsia="仿宋" w:cs="仿宋"/>
                <w:b/>
                <w:bCs/>
                <w:color w:val="auto"/>
                <w:sz w:val="24"/>
              </w:rPr>
            </w:pPr>
          </w:p>
        </w:tc>
        <w:tc>
          <w:tcPr>
            <w:tcW w:w="816" w:type="dxa"/>
            <w:noWrap w:val="0"/>
            <w:vAlign w:val="top"/>
          </w:tcPr>
          <w:p w14:paraId="45C8817A">
            <w:pPr>
              <w:spacing w:line="360" w:lineRule="auto"/>
              <w:jc w:val="left"/>
              <w:rPr>
                <w:rFonts w:hint="eastAsia" w:ascii="仿宋" w:hAnsi="仿宋" w:eastAsia="仿宋" w:cs="仿宋"/>
                <w:b/>
                <w:bCs/>
                <w:color w:val="auto"/>
                <w:sz w:val="24"/>
              </w:rPr>
            </w:pPr>
          </w:p>
        </w:tc>
        <w:tc>
          <w:tcPr>
            <w:tcW w:w="1077" w:type="dxa"/>
            <w:noWrap w:val="0"/>
            <w:vAlign w:val="top"/>
          </w:tcPr>
          <w:p w14:paraId="29052B4B">
            <w:pPr>
              <w:spacing w:line="360" w:lineRule="auto"/>
              <w:jc w:val="left"/>
              <w:rPr>
                <w:rFonts w:hint="eastAsia" w:ascii="仿宋" w:hAnsi="仿宋" w:eastAsia="仿宋" w:cs="仿宋"/>
                <w:b/>
                <w:bCs/>
                <w:color w:val="auto"/>
                <w:sz w:val="24"/>
              </w:rPr>
            </w:pPr>
          </w:p>
        </w:tc>
        <w:tc>
          <w:tcPr>
            <w:tcW w:w="1078" w:type="dxa"/>
            <w:noWrap w:val="0"/>
            <w:vAlign w:val="top"/>
          </w:tcPr>
          <w:p w14:paraId="17174E01">
            <w:pPr>
              <w:spacing w:line="360" w:lineRule="auto"/>
              <w:jc w:val="left"/>
              <w:rPr>
                <w:rFonts w:hint="eastAsia" w:ascii="仿宋" w:hAnsi="仿宋" w:eastAsia="仿宋" w:cs="仿宋"/>
                <w:b/>
                <w:bCs/>
                <w:color w:val="auto"/>
                <w:sz w:val="24"/>
              </w:rPr>
            </w:pPr>
          </w:p>
        </w:tc>
        <w:tc>
          <w:tcPr>
            <w:tcW w:w="1048" w:type="dxa"/>
            <w:noWrap w:val="0"/>
            <w:vAlign w:val="top"/>
          </w:tcPr>
          <w:p w14:paraId="6C0B8319">
            <w:pPr>
              <w:spacing w:line="360" w:lineRule="auto"/>
              <w:jc w:val="left"/>
              <w:rPr>
                <w:rFonts w:hint="eastAsia" w:ascii="仿宋" w:hAnsi="仿宋" w:eastAsia="仿宋" w:cs="仿宋"/>
                <w:b/>
                <w:bCs/>
                <w:color w:val="auto"/>
                <w:sz w:val="24"/>
              </w:rPr>
            </w:pPr>
          </w:p>
        </w:tc>
        <w:tc>
          <w:tcPr>
            <w:tcW w:w="1043" w:type="dxa"/>
            <w:noWrap w:val="0"/>
            <w:vAlign w:val="top"/>
          </w:tcPr>
          <w:p w14:paraId="6CDA4F8E">
            <w:pPr>
              <w:spacing w:line="360" w:lineRule="auto"/>
              <w:jc w:val="left"/>
              <w:rPr>
                <w:rFonts w:hint="eastAsia" w:ascii="仿宋" w:hAnsi="仿宋" w:eastAsia="仿宋" w:cs="仿宋"/>
                <w:b/>
                <w:bCs/>
                <w:color w:val="auto"/>
                <w:sz w:val="24"/>
              </w:rPr>
            </w:pPr>
          </w:p>
        </w:tc>
        <w:tc>
          <w:tcPr>
            <w:tcW w:w="1836" w:type="dxa"/>
            <w:noWrap w:val="0"/>
            <w:vAlign w:val="top"/>
          </w:tcPr>
          <w:p w14:paraId="20B7021B">
            <w:pPr>
              <w:spacing w:line="360" w:lineRule="auto"/>
              <w:jc w:val="left"/>
              <w:rPr>
                <w:rFonts w:hint="eastAsia" w:ascii="仿宋" w:hAnsi="仿宋" w:eastAsia="仿宋" w:cs="仿宋"/>
                <w:b/>
                <w:bCs/>
                <w:color w:val="auto"/>
                <w:sz w:val="24"/>
              </w:rPr>
            </w:pPr>
          </w:p>
        </w:tc>
      </w:tr>
      <w:tr w14:paraId="35E2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44C4012E">
            <w:pPr>
              <w:spacing w:line="360" w:lineRule="auto"/>
              <w:jc w:val="left"/>
              <w:rPr>
                <w:rFonts w:hint="eastAsia" w:ascii="仿宋" w:hAnsi="仿宋" w:eastAsia="仿宋" w:cs="仿宋"/>
                <w:b/>
                <w:bCs/>
                <w:color w:val="auto"/>
                <w:sz w:val="24"/>
              </w:rPr>
            </w:pPr>
          </w:p>
        </w:tc>
        <w:tc>
          <w:tcPr>
            <w:tcW w:w="1078" w:type="dxa"/>
            <w:noWrap w:val="0"/>
            <w:vAlign w:val="top"/>
          </w:tcPr>
          <w:p w14:paraId="5D91122A">
            <w:pPr>
              <w:spacing w:line="360" w:lineRule="auto"/>
              <w:jc w:val="left"/>
              <w:rPr>
                <w:rFonts w:hint="eastAsia" w:ascii="仿宋" w:hAnsi="仿宋" w:eastAsia="仿宋" w:cs="仿宋"/>
                <w:b/>
                <w:bCs/>
                <w:color w:val="auto"/>
                <w:sz w:val="24"/>
              </w:rPr>
            </w:pPr>
          </w:p>
        </w:tc>
        <w:tc>
          <w:tcPr>
            <w:tcW w:w="816" w:type="dxa"/>
            <w:noWrap w:val="0"/>
            <w:vAlign w:val="top"/>
          </w:tcPr>
          <w:p w14:paraId="0BF3950E">
            <w:pPr>
              <w:spacing w:line="360" w:lineRule="auto"/>
              <w:jc w:val="left"/>
              <w:rPr>
                <w:rFonts w:hint="eastAsia" w:ascii="仿宋" w:hAnsi="仿宋" w:eastAsia="仿宋" w:cs="仿宋"/>
                <w:b/>
                <w:bCs/>
                <w:color w:val="auto"/>
                <w:sz w:val="24"/>
              </w:rPr>
            </w:pPr>
          </w:p>
        </w:tc>
        <w:tc>
          <w:tcPr>
            <w:tcW w:w="1077" w:type="dxa"/>
            <w:noWrap w:val="0"/>
            <w:vAlign w:val="top"/>
          </w:tcPr>
          <w:p w14:paraId="1551F1D1">
            <w:pPr>
              <w:spacing w:line="360" w:lineRule="auto"/>
              <w:jc w:val="left"/>
              <w:rPr>
                <w:rFonts w:hint="eastAsia" w:ascii="仿宋" w:hAnsi="仿宋" w:eastAsia="仿宋" w:cs="仿宋"/>
                <w:b/>
                <w:bCs/>
                <w:color w:val="auto"/>
                <w:sz w:val="24"/>
              </w:rPr>
            </w:pPr>
          </w:p>
        </w:tc>
        <w:tc>
          <w:tcPr>
            <w:tcW w:w="1078" w:type="dxa"/>
            <w:noWrap w:val="0"/>
            <w:vAlign w:val="top"/>
          </w:tcPr>
          <w:p w14:paraId="0DCB9459">
            <w:pPr>
              <w:spacing w:line="360" w:lineRule="auto"/>
              <w:jc w:val="left"/>
              <w:rPr>
                <w:rFonts w:hint="eastAsia" w:ascii="仿宋" w:hAnsi="仿宋" w:eastAsia="仿宋" w:cs="仿宋"/>
                <w:b/>
                <w:bCs/>
                <w:color w:val="auto"/>
                <w:sz w:val="24"/>
              </w:rPr>
            </w:pPr>
          </w:p>
        </w:tc>
        <w:tc>
          <w:tcPr>
            <w:tcW w:w="1048" w:type="dxa"/>
            <w:noWrap w:val="0"/>
            <w:vAlign w:val="top"/>
          </w:tcPr>
          <w:p w14:paraId="7C6E5070">
            <w:pPr>
              <w:spacing w:line="360" w:lineRule="auto"/>
              <w:jc w:val="left"/>
              <w:rPr>
                <w:rFonts w:hint="eastAsia" w:ascii="仿宋" w:hAnsi="仿宋" w:eastAsia="仿宋" w:cs="仿宋"/>
                <w:b/>
                <w:bCs/>
                <w:color w:val="auto"/>
                <w:sz w:val="24"/>
              </w:rPr>
            </w:pPr>
          </w:p>
        </w:tc>
        <w:tc>
          <w:tcPr>
            <w:tcW w:w="1043" w:type="dxa"/>
            <w:noWrap w:val="0"/>
            <w:vAlign w:val="top"/>
          </w:tcPr>
          <w:p w14:paraId="432EABC0">
            <w:pPr>
              <w:spacing w:line="360" w:lineRule="auto"/>
              <w:jc w:val="left"/>
              <w:rPr>
                <w:rFonts w:hint="eastAsia" w:ascii="仿宋" w:hAnsi="仿宋" w:eastAsia="仿宋" w:cs="仿宋"/>
                <w:b/>
                <w:bCs/>
                <w:color w:val="auto"/>
                <w:sz w:val="24"/>
              </w:rPr>
            </w:pPr>
          </w:p>
        </w:tc>
        <w:tc>
          <w:tcPr>
            <w:tcW w:w="1836" w:type="dxa"/>
            <w:noWrap w:val="0"/>
            <w:vAlign w:val="top"/>
          </w:tcPr>
          <w:p w14:paraId="1F404788">
            <w:pPr>
              <w:spacing w:line="360" w:lineRule="auto"/>
              <w:jc w:val="left"/>
              <w:rPr>
                <w:rFonts w:hint="eastAsia" w:ascii="仿宋" w:hAnsi="仿宋" w:eastAsia="仿宋" w:cs="仿宋"/>
                <w:b/>
                <w:bCs/>
                <w:color w:val="auto"/>
                <w:sz w:val="24"/>
              </w:rPr>
            </w:pPr>
          </w:p>
        </w:tc>
      </w:tr>
      <w:tr w14:paraId="1D9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51B7655C">
            <w:pPr>
              <w:spacing w:line="360" w:lineRule="auto"/>
              <w:jc w:val="left"/>
              <w:rPr>
                <w:rFonts w:hint="eastAsia" w:ascii="仿宋" w:hAnsi="仿宋" w:eastAsia="仿宋" w:cs="仿宋"/>
                <w:b/>
                <w:bCs/>
                <w:color w:val="auto"/>
                <w:sz w:val="24"/>
              </w:rPr>
            </w:pPr>
          </w:p>
        </w:tc>
        <w:tc>
          <w:tcPr>
            <w:tcW w:w="1078" w:type="dxa"/>
            <w:noWrap w:val="0"/>
            <w:vAlign w:val="top"/>
          </w:tcPr>
          <w:p w14:paraId="41310F3A">
            <w:pPr>
              <w:spacing w:line="360" w:lineRule="auto"/>
              <w:jc w:val="left"/>
              <w:rPr>
                <w:rFonts w:hint="eastAsia" w:ascii="仿宋" w:hAnsi="仿宋" w:eastAsia="仿宋" w:cs="仿宋"/>
                <w:b/>
                <w:bCs/>
                <w:color w:val="auto"/>
                <w:sz w:val="24"/>
              </w:rPr>
            </w:pPr>
          </w:p>
        </w:tc>
        <w:tc>
          <w:tcPr>
            <w:tcW w:w="816" w:type="dxa"/>
            <w:noWrap w:val="0"/>
            <w:vAlign w:val="top"/>
          </w:tcPr>
          <w:p w14:paraId="23F8CE53">
            <w:pPr>
              <w:spacing w:line="360" w:lineRule="auto"/>
              <w:jc w:val="left"/>
              <w:rPr>
                <w:rFonts w:hint="eastAsia" w:ascii="仿宋" w:hAnsi="仿宋" w:eastAsia="仿宋" w:cs="仿宋"/>
                <w:b/>
                <w:bCs/>
                <w:color w:val="auto"/>
                <w:sz w:val="24"/>
              </w:rPr>
            </w:pPr>
          </w:p>
        </w:tc>
        <w:tc>
          <w:tcPr>
            <w:tcW w:w="1077" w:type="dxa"/>
            <w:noWrap w:val="0"/>
            <w:vAlign w:val="top"/>
          </w:tcPr>
          <w:p w14:paraId="126815B8">
            <w:pPr>
              <w:spacing w:line="360" w:lineRule="auto"/>
              <w:jc w:val="left"/>
              <w:rPr>
                <w:rFonts w:hint="eastAsia" w:ascii="仿宋" w:hAnsi="仿宋" w:eastAsia="仿宋" w:cs="仿宋"/>
                <w:b/>
                <w:bCs/>
                <w:color w:val="auto"/>
                <w:sz w:val="24"/>
              </w:rPr>
            </w:pPr>
          </w:p>
        </w:tc>
        <w:tc>
          <w:tcPr>
            <w:tcW w:w="1078" w:type="dxa"/>
            <w:noWrap w:val="0"/>
            <w:vAlign w:val="top"/>
          </w:tcPr>
          <w:p w14:paraId="231B2BED">
            <w:pPr>
              <w:spacing w:line="360" w:lineRule="auto"/>
              <w:jc w:val="left"/>
              <w:rPr>
                <w:rFonts w:hint="eastAsia" w:ascii="仿宋" w:hAnsi="仿宋" w:eastAsia="仿宋" w:cs="仿宋"/>
                <w:b/>
                <w:bCs/>
                <w:color w:val="auto"/>
                <w:sz w:val="24"/>
              </w:rPr>
            </w:pPr>
          </w:p>
        </w:tc>
        <w:tc>
          <w:tcPr>
            <w:tcW w:w="1048" w:type="dxa"/>
            <w:noWrap w:val="0"/>
            <w:vAlign w:val="top"/>
          </w:tcPr>
          <w:p w14:paraId="4E612B52">
            <w:pPr>
              <w:spacing w:line="360" w:lineRule="auto"/>
              <w:jc w:val="left"/>
              <w:rPr>
                <w:rFonts w:hint="eastAsia" w:ascii="仿宋" w:hAnsi="仿宋" w:eastAsia="仿宋" w:cs="仿宋"/>
                <w:b/>
                <w:bCs/>
                <w:color w:val="auto"/>
                <w:sz w:val="24"/>
              </w:rPr>
            </w:pPr>
          </w:p>
        </w:tc>
        <w:tc>
          <w:tcPr>
            <w:tcW w:w="1043" w:type="dxa"/>
            <w:noWrap w:val="0"/>
            <w:vAlign w:val="top"/>
          </w:tcPr>
          <w:p w14:paraId="763874AE">
            <w:pPr>
              <w:spacing w:line="360" w:lineRule="auto"/>
              <w:jc w:val="left"/>
              <w:rPr>
                <w:rFonts w:hint="eastAsia" w:ascii="仿宋" w:hAnsi="仿宋" w:eastAsia="仿宋" w:cs="仿宋"/>
                <w:b/>
                <w:bCs/>
                <w:color w:val="auto"/>
                <w:sz w:val="24"/>
              </w:rPr>
            </w:pPr>
          </w:p>
        </w:tc>
        <w:tc>
          <w:tcPr>
            <w:tcW w:w="1836" w:type="dxa"/>
            <w:noWrap w:val="0"/>
            <w:vAlign w:val="top"/>
          </w:tcPr>
          <w:p w14:paraId="1893FF83">
            <w:pPr>
              <w:spacing w:line="360" w:lineRule="auto"/>
              <w:jc w:val="left"/>
              <w:rPr>
                <w:rFonts w:hint="eastAsia" w:ascii="仿宋" w:hAnsi="仿宋" w:eastAsia="仿宋" w:cs="仿宋"/>
                <w:b/>
                <w:bCs/>
                <w:color w:val="auto"/>
                <w:sz w:val="24"/>
              </w:rPr>
            </w:pPr>
          </w:p>
        </w:tc>
      </w:tr>
      <w:tr w14:paraId="2A3D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top"/>
          </w:tcPr>
          <w:p w14:paraId="1BD3D26F">
            <w:pPr>
              <w:spacing w:line="360" w:lineRule="auto"/>
              <w:jc w:val="left"/>
              <w:rPr>
                <w:rFonts w:hint="eastAsia" w:ascii="仿宋" w:hAnsi="仿宋" w:eastAsia="仿宋" w:cs="仿宋"/>
                <w:b/>
                <w:bCs/>
                <w:color w:val="auto"/>
                <w:sz w:val="24"/>
              </w:rPr>
            </w:pPr>
          </w:p>
        </w:tc>
        <w:tc>
          <w:tcPr>
            <w:tcW w:w="1078" w:type="dxa"/>
            <w:noWrap w:val="0"/>
            <w:vAlign w:val="top"/>
          </w:tcPr>
          <w:p w14:paraId="2BDF408A">
            <w:pPr>
              <w:spacing w:line="360" w:lineRule="auto"/>
              <w:jc w:val="left"/>
              <w:rPr>
                <w:rFonts w:hint="eastAsia" w:ascii="仿宋" w:hAnsi="仿宋" w:eastAsia="仿宋" w:cs="仿宋"/>
                <w:b/>
                <w:bCs/>
                <w:color w:val="auto"/>
                <w:sz w:val="24"/>
              </w:rPr>
            </w:pPr>
          </w:p>
        </w:tc>
        <w:tc>
          <w:tcPr>
            <w:tcW w:w="816" w:type="dxa"/>
            <w:noWrap w:val="0"/>
            <w:vAlign w:val="top"/>
          </w:tcPr>
          <w:p w14:paraId="157E8FDE">
            <w:pPr>
              <w:spacing w:line="360" w:lineRule="auto"/>
              <w:jc w:val="left"/>
              <w:rPr>
                <w:rFonts w:hint="eastAsia" w:ascii="仿宋" w:hAnsi="仿宋" w:eastAsia="仿宋" w:cs="仿宋"/>
                <w:b/>
                <w:bCs/>
                <w:color w:val="auto"/>
                <w:sz w:val="24"/>
              </w:rPr>
            </w:pPr>
          </w:p>
        </w:tc>
        <w:tc>
          <w:tcPr>
            <w:tcW w:w="1077" w:type="dxa"/>
            <w:noWrap w:val="0"/>
            <w:vAlign w:val="top"/>
          </w:tcPr>
          <w:p w14:paraId="031B515E">
            <w:pPr>
              <w:spacing w:line="360" w:lineRule="auto"/>
              <w:jc w:val="left"/>
              <w:rPr>
                <w:rFonts w:hint="eastAsia" w:ascii="仿宋" w:hAnsi="仿宋" w:eastAsia="仿宋" w:cs="仿宋"/>
                <w:b/>
                <w:bCs/>
                <w:color w:val="auto"/>
                <w:sz w:val="24"/>
              </w:rPr>
            </w:pPr>
          </w:p>
        </w:tc>
        <w:tc>
          <w:tcPr>
            <w:tcW w:w="1078" w:type="dxa"/>
            <w:noWrap w:val="0"/>
            <w:vAlign w:val="top"/>
          </w:tcPr>
          <w:p w14:paraId="245A50C3">
            <w:pPr>
              <w:spacing w:line="360" w:lineRule="auto"/>
              <w:jc w:val="left"/>
              <w:rPr>
                <w:rFonts w:hint="eastAsia" w:ascii="仿宋" w:hAnsi="仿宋" w:eastAsia="仿宋" w:cs="仿宋"/>
                <w:b/>
                <w:bCs/>
                <w:color w:val="auto"/>
                <w:sz w:val="24"/>
              </w:rPr>
            </w:pPr>
          </w:p>
        </w:tc>
        <w:tc>
          <w:tcPr>
            <w:tcW w:w="1048" w:type="dxa"/>
            <w:noWrap w:val="0"/>
            <w:vAlign w:val="top"/>
          </w:tcPr>
          <w:p w14:paraId="766AE7E1">
            <w:pPr>
              <w:spacing w:line="360" w:lineRule="auto"/>
              <w:jc w:val="left"/>
              <w:rPr>
                <w:rFonts w:hint="eastAsia" w:ascii="仿宋" w:hAnsi="仿宋" w:eastAsia="仿宋" w:cs="仿宋"/>
                <w:b/>
                <w:bCs/>
                <w:color w:val="auto"/>
                <w:sz w:val="24"/>
              </w:rPr>
            </w:pPr>
          </w:p>
        </w:tc>
        <w:tc>
          <w:tcPr>
            <w:tcW w:w="1043" w:type="dxa"/>
            <w:noWrap w:val="0"/>
            <w:vAlign w:val="top"/>
          </w:tcPr>
          <w:p w14:paraId="54FCEC98">
            <w:pPr>
              <w:spacing w:line="360" w:lineRule="auto"/>
              <w:jc w:val="left"/>
              <w:rPr>
                <w:rFonts w:hint="eastAsia" w:ascii="仿宋" w:hAnsi="仿宋" w:eastAsia="仿宋" w:cs="仿宋"/>
                <w:b/>
                <w:bCs/>
                <w:color w:val="auto"/>
                <w:sz w:val="24"/>
              </w:rPr>
            </w:pPr>
          </w:p>
        </w:tc>
        <w:tc>
          <w:tcPr>
            <w:tcW w:w="1836" w:type="dxa"/>
            <w:noWrap w:val="0"/>
            <w:vAlign w:val="top"/>
          </w:tcPr>
          <w:p w14:paraId="0BB0C2D1">
            <w:pPr>
              <w:spacing w:line="360" w:lineRule="auto"/>
              <w:jc w:val="left"/>
              <w:rPr>
                <w:rFonts w:hint="eastAsia" w:ascii="仿宋" w:hAnsi="仿宋" w:eastAsia="仿宋" w:cs="仿宋"/>
                <w:b/>
                <w:bCs/>
                <w:color w:val="auto"/>
                <w:sz w:val="24"/>
              </w:rPr>
            </w:pPr>
          </w:p>
        </w:tc>
      </w:tr>
    </w:tbl>
    <w:p w14:paraId="047FCF85">
      <w:pPr>
        <w:spacing w:line="360" w:lineRule="auto"/>
        <w:jc w:val="left"/>
        <w:rPr>
          <w:rFonts w:hint="eastAsia" w:ascii="仿宋" w:hAnsi="仿宋" w:eastAsia="仿宋" w:cs="仿宋"/>
          <w:b/>
          <w:bCs/>
          <w:color w:val="auto"/>
          <w:sz w:val="24"/>
        </w:rPr>
      </w:pPr>
      <w:r>
        <w:rPr>
          <w:rFonts w:hint="eastAsia" w:ascii="仿宋" w:hAnsi="仿宋" w:eastAsia="仿宋" w:cs="仿宋"/>
          <w:color w:val="auto"/>
          <w:sz w:val="24"/>
        </w:rPr>
        <w:t>注：应附相关证明资料</w:t>
      </w:r>
    </w:p>
    <w:p w14:paraId="5A14C7AE">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73232CAD">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44FF65A5">
      <w:pPr>
        <w:rPr>
          <w:rFonts w:hint="eastAsia" w:ascii="仿宋" w:hAnsi="仿宋" w:eastAsia="仿宋" w:cs="仿宋"/>
          <w:iCs/>
          <w:color w:val="auto"/>
        </w:rPr>
      </w:pPr>
      <w:r>
        <w:rPr>
          <w:rFonts w:hint="eastAsia" w:ascii="仿宋" w:hAnsi="仿宋" w:eastAsia="仿宋" w:cs="仿宋"/>
          <w:b/>
          <w:bCs/>
          <w:color w:val="auto"/>
          <w:sz w:val="24"/>
          <w:highlight w:val="none"/>
          <w:u w:val="none"/>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4E727B64">
      <w:pPr>
        <w:rPr>
          <w:rFonts w:hint="eastAsia" w:ascii="仿宋" w:hAnsi="仿宋" w:eastAsia="仿宋" w:cs="仿宋"/>
          <w:iCs/>
          <w:color w:val="auto"/>
        </w:rPr>
      </w:pPr>
    </w:p>
    <w:p w14:paraId="682BCBB4">
      <w:pPr>
        <w:rPr>
          <w:rFonts w:hint="eastAsia" w:ascii="仿宋" w:hAnsi="仿宋" w:eastAsia="仿宋" w:cs="仿宋"/>
          <w:iCs/>
          <w:color w:val="auto"/>
        </w:rPr>
      </w:pPr>
      <w:r>
        <w:rPr>
          <w:rFonts w:hint="eastAsia" w:ascii="仿宋" w:hAnsi="仿宋" w:eastAsia="仿宋" w:cs="仿宋"/>
          <w:iCs/>
          <w:color w:val="auto"/>
        </w:rPr>
        <w:br w:type="page"/>
      </w:r>
    </w:p>
    <w:p w14:paraId="150728EC">
      <w:pPr>
        <w:pStyle w:val="4"/>
        <w:tabs>
          <w:tab w:val="left" w:pos="576"/>
        </w:tabs>
        <w:adjustRightInd w:val="0"/>
        <w:spacing w:before="0" w:after="0" w:line="416" w:lineRule="atLeast"/>
        <w:textAlignment w:val="baseline"/>
        <w:rPr>
          <w:rFonts w:ascii="仿宋" w:hAnsi="仿宋" w:eastAsia="仿宋" w:cs="仿宋"/>
          <w:iCs/>
          <w:color w:val="auto"/>
        </w:rPr>
      </w:pPr>
      <w:bookmarkStart w:id="261" w:name="_Toc26621"/>
      <w:r>
        <w:rPr>
          <w:rFonts w:hint="eastAsia" w:ascii="仿宋" w:hAnsi="仿宋" w:eastAsia="仿宋" w:cs="仿宋"/>
          <w:iCs/>
          <w:color w:val="auto"/>
        </w:rPr>
        <w:t>附件</w:t>
      </w:r>
      <w:r>
        <w:rPr>
          <w:rFonts w:hint="eastAsia" w:ascii="仿宋" w:hAnsi="仿宋" w:eastAsia="仿宋" w:cs="仿宋"/>
          <w:iCs/>
          <w:color w:val="auto"/>
          <w:lang w:val="en-US" w:eastAsia="zh-CN"/>
        </w:rPr>
        <w:t>9</w:t>
      </w:r>
      <w:r>
        <w:rPr>
          <w:rFonts w:hint="eastAsia" w:ascii="仿宋" w:hAnsi="仿宋" w:eastAsia="仿宋" w:cs="仿宋"/>
          <w:iCs/>
          <w:color w:val="auto"/>
        </w:rPr>
        <w:t xml:space="preserve">  项目业绩一览表</w:t>
      </w:r>
      <w:bookmarkEnd w:id="255"/>
      <w:bookmarkEnd w:id="261"/>
    </w:p>
    <w:p w14:paraId="499A0CDB">
      <w:pPr>
        <w:rPr>
          <w:rFonts w:hint="eastAsia"/>
          <w:color w:val="auto"/>
        </w:rPr>
      </w:pPr>
    </w:p>
    <w:p w14:paraId="4CC691DC">
      <w:pPr>
        <w:rPr>
          <w:rFonts w:hint="eastAsia" w:ascii="仿宋" w:hAnsi="仿宋" w:eastAsia="仿宋" w:cs="仿宋"/>
          <w:color w:val="auto"/>
          <w:sz w:val="24"/>
        </w:rPr>
      </w:pPr>
    </w:p>
    <w:tbl>
      <w:tblPr>
        <w:tblStyle w:val="3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5"/>
        <w:gridCol w:w="2964"/>
        <w:gridCol w:w="2864"/>
        <w:gridCol w:w="2165"/>
      </w:tblGrid>
      <w:tr w14:paraId="53BBF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41CD6C2D">
            <w:pPr>
              <w:spacing w:line="360" w:lineRule="auto"/>
              <w:jc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rPr>
              <w:t>序号</w:t>
            </w:r>
          </w:p>
        </w:tc>
        <w:tc>
          <w:tcPr>
            <w:tcW w:w="2964" w:type="dxa"/>
            <w:noWrap w:val="0"/>
            <w:vAlign w:val="center"/>
          </w:tcPr>
          <w:p w14:paraId="3E2E7CF7">
            <w:pPr>
              <w:spacing w:line="360" w:lineRule="auto"/>
              <w:jc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eastAsia="zh-CN"/>
              </w:rPr>
              <w:t>项目</w:t>
            </w:r>
            <w:r>
              <w:rPr>
                <w:rFonts w:hint="eastAsia" w:ascii="仿宋_GB2312" w:hAnsi="宋体" w:eastAsia="仿宋_GB2312" w:cs="仿宋_GB2312"/>
                <w:b/>
                <w:bCs/>
                <w:color w:val="auto"/>
                <w:sz w:val="24"/>
                <w:szCs w:val="24"/>
              </w:rPr>
              <w:t>名称</w:t>
            </w:r>
          </w:p>
        </w:tc>
        <w:tc>
          <w:tcPr>
            <w:tcW w:w="2864" w:type="dxa"/>
            <w:tcBorders>
              <w:left w:val="single" w:color="auto" w:sz="4" w:space="0"/>
              <w:right w:val="single" w:color="auto" w:sz="4" w:space="0"/>
            </w:tcBorders>
            <w:noWrap w:val="0"/>
            <w:vAlign w:val="center"/>
          </w:tcPr>
          <w:p w14:paraId="12DD0628">
            <w:pPr>
              <w:spacing w:line="360" w:lineRule="auto"/>
              <w:jc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rPr>
              <w:t>合同金额（万元）</w:t>
            </w:r>
          </w:p>
        </w:tc>
        <w:tc>
          <w:tcPr>
            <w:tcW w:w="2165" w:type="dxa"/>
            <w:noWrap w:val="0"/>
            <w:vAlign w:val="center"/>
          </w:tcPr>
          <w:p w14:paraId="1640428C">
            <w:pPr>
              <w:spacing w:line="360" w:lineRule="auto"/>
              <w:jc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eastAsia="zh-CN"/>
              </w:rPr>
              <w:t>签订</w:t>
            </w:r>
            <w:r>
              <w:rPr>
                <w:rFonts w:hint="eastAsia" w:ascii="仿宋_GB2312" w:hAnsi="宋体" w:eastAsia="仿宋_GB2312" w:cs="仿宋_GB2312"/>
                <w:b/>
                <w:bCs/>
                <w:color w:val="auto"/>
                <w:sz w:val="24"/>
                <w:szCs w:val="24"/>
              </w:rPr>
              <w:t>日期</w:t>
            </w:r>
          </w:p>
        </w:tc>
      </w:tr>
      <w:tr w14:paraId="17B26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51534B83">
            <w:pPr>
              <w:spacing w:line="360" w:lineRule="auto"/>
              <w:ind w:left="1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964" w:type="dxa"/>
            <w:noWrap w:val="0"/>
            <w:vAlign w:val="center"/>
          </w:tcPr>
          <w:p w14:paraId="5D06690E">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392F2A6E">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505B98FC">
            <w:pPr>
              <w:spacing w:line="360" w:lineRule="auto"/>
              <w:jc w:val="center"/>
              <w:rPr>
                <w:rFonts w:ascii="仿宋_GB2312" w:hAnsi="仿宋_GB2312" w:eastAsia="仿宋_GB2312" w:cs="仿宋_GB2312"/>
                <w:color w:val="auto"/>
                <w:sz w:val="24"/>
                <w:szCs w:val="24"/>
              </w:rPr>
            </w:pPr>
          </w:p>
        </w:tc>
      </w:tr>
      <w:tr w14:paraId="13586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674DEF3D">
            <w:pPr>
              <w:spacing w:line="360" w:lineRule="auto"/>
              <w:ind w:left="1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964" w:type="dxa"/>
            <w:noWrap w:val="0"/>
            <w:vAlign w:val="center"/>
          </w:tcPr>
          <w:p w14:paraId="221C9699">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2BCA7F8D">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6EFA8074">
            <w:pPr>
              <w:spacing w:line="360" w:lineRule="auto"/>
              <w:jc w:val="center"/>
              <w:rPr>
                <w:rFonts w:ascii="仿宋_GB2312" w:hAnsi="仿宋_GB2312" w:eastAsia="仿宋_GB2312" w:cs="仿宋_GB2312"/>
                <w:color w:val="auto"/>
                <w:sz w:val="24"/>
                <w:szCs w:val="24"/>
              </w:rPr>
            </w:pPr>
          </w:p>
        </w:tc>
      </w:tr>
      <w:tr w14:paraId="43242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108FF169">
            <w:pPr>
              <w:spacing w:line="360" w:lineRule="auto"/>
              <w:ind w:left="1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2964" w:type="dxa"/>
            <w:noWrap w:val="0"/>
            <w:vAlign w:val="center"/>
          </w:tcPr>
          <w:p w14:paraId="436F169F">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24914159">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3E89A7C0">
            <w:pPr>
              <w:spacing w:line="360" w:lineRule="auto"/>
              <w:jc w:val="center"/>
              <w:rPr>
                <w:rFonts w:ascii="仿宋_GB2312" w:hAnsi="仿宋_GB2312" w:eastAsia="仿宋_GB2312" w:cs="仿宋_GB2312"/>
                <w:color w:val="auto"/>
                <w:sz w:val="24"/>
                <w:szCs w:val="24"/>
              </w:rPr>
            </w:pPr>
          </w:p>
        </w:tc>
      </w:tr>
      <w:tr w14:paraId="72A75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4CBC5934">
            <w:pPr>
              <w:spacing w:line="360" w:lineRule="auto"/>
              <w:ind w:left="1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2964" w:type="dxa"/>
            <w:noWrap w:val="0"/>
            <w:vAlign w:val="center"/>
          </w:tcPr>
          <w:p w14:paraId="647F019E">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3CA900CD">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096BD5F5">
            <w:pPr>
              <w:spacing w:line="360" w:lineRule="auto"/>
              <w:jc w:val="center"/>
              <w:rPr>
                <w:rFonts w:ascii="仿宋_GB2312" w:hAnsi="仿宋_GB2312" w:eastAsia="仿宋_GB2312" w:cs="仿宋_GB2312"/>
                <w:color w:val="auto"/>
                <w:sz w:val="24"/>
                <w:szCs w:val="24"/>
              </w:rPr>
            </w:pPr>
          </w:p>
        </w:tc>
      </w:tr>
      <w:tr w14:paraId="453D7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3CF09CAA">
            <w:pPr>
              <w:spacing w:line="360" w:lineRule="auto"/>
              <w:ind w:left="1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2964" w:type="dxa"/>
            <w:noWrap w:val="0"/>
            <w:vAlign w:val="center"/>
          </w:tcPr>
          <w:p w14:paraId="10EDF1A5">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33AE8966">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7F235172">
            <w:pPr>
              <w:spacing w:line="360" w:lineRule="auto"/>
              <w:jc w:val="center"/>
              <w:rPr>
                <w:rFonts w:ascii="仿宋_GB2312" w:hAnsi="仿宋_GB2312" w:eastAsia="仿宋_GB2312" w:cs="仿宋_GB2312"/>
                <w:color w:val="auto"/>
                <w:sz w:val="24"/>
                <w:szCs w:val="24"/>
              </w:rPr>
            </w:pPr>
          </w:p>
        </w:tc>
      </w:tr>
      <w:tr w14:paraId="15B64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6C3BC974">
            <w:pPr>
              <w:spacing w:line="360" w:lineRule="auto"/>
              <w:ind w:left="1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2964" w:type="dxa"/>
            <w:noWrap w:val="0"/>
            <w:vAlign w:val="center"/>
          </w:tcPr>
          <w:p w14:paraId="0FBF2AAE">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7A9C1B56">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3CFDE333">
            <w:pPr>
              <w:spacing w:line="360" w:lineRule="auto"/>
              <w:jc w:val="center"/>
              <w:rPr>
                <w:rFonts w:ascii="仿宋_GB2312" w:hAnsi="仿宋_GB2312" w:eastAsia="仿宋_GB2312" w:cs="仿宋_GB2312"/>
                <w:color w:val="auto"/>
                <w:sz w:val="24"/>
                <w:szCs w:val="24"/>
              </w:rPr>
            </w:pPr>
          </w:p>
        </w:tc>
      </w:tr>
      <w:tr w14:paraId="3D9A8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65F0F2F7">
            <w:pPr>
              <w:spacing w:line="360" w:lineRule="auto"/>
              <w:ind w:left="1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2964" w:type="dxa"/>
            <w:noWrap w:val="0"/>
            <w:vAlign w:val="center"/>
          </w:tcPr>
          <w:p w14:paraId="3BCEFB81">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04C038B6">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46F1C4E8">
            <w:pPr>
              <w:spacing w:line="360" w:lineRule="auto"/>
              <w:jc w:val="center"/>
              <w:rPr>
                <w:rFonts w:ascii="仿宋_GB2312" w:hAnsi="仿宋_GB2312" w:eastAsia="仿宋_GB2312" w:cs="仿宋_GB2312"/>
                <w:color w:val="auto"/>
                <w:sz w:val="24"/>
                <w:szCs w:val="24"/>
              </w:rPr>
            </w:pPr>
          </w:p>
        </w:tc>
      </w:tr>
      <w:tr w14:paraId="7C19E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0C612D27">
            <w:pPr>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2964" w:type="dxa"/>
            <w:noWrap w:val="0"/>
            <w:vAlign w:val="center"/>
          </w:tcPr>
          <w:p w14:paraId="4CC19E69">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6FC1BDD1">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47AD373E">
            <w:pPr>
              <w:spacing w:line="360" w:lineRule="auto"/>
              <w:jc w:val="center"/>
              <w:rPr>
                <w:rFonts w:ascii="仿宋_GB2312" w:hAnsi="仿宋_GB2312" w:eastAsia="仿宋_GB2312" w:cs="仿宋_GB2312"/>
                <w:color w:val="auto"/>
                <w:sz w:val="24"/>
                <w:szCs w:val="24"/>
              </w:rPr>
            </w:pPr>
          </w:p>
        </w:tc>
      </w:tr>
      <w:tr w14:paraId="6A07F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6A4EC1BD">
            <w:pPr>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2964" w:type="dxa"/>
            <w:noWrap w:val="0"/>
            <w:vAlign w:val="center"/>
          </w:tcPr>
          <w:p w14:paraId="623E53FD">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047BE1C7">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3E311B9B">
            <w:pPr>
              <w:spacing w:line="360" w:lineRule="auto"/>
              <w:jc w:val="center"/>
              <w:rPr>
                <w:rFonts w:ascii="仿宋_GB2312" w:hAnsi="仿宋_GB2312" w:eastAsia="仿宋_GB2312" w:cs="仿宋_GB2312"/>
                <w:color w:val="auto"/>
                <w:sz w:val="24"/>
                <w:szCs w:val="24"/>
              </w:rPr>
            </w:pPr>
          </w:p>
        </w:tc>
      </w:tr>
      <w:tr w14:paraId="14D8B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336C2DC0">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2964" w:type="dxa"/>
            <w:noWrap w:val="0"/>
            <w:vAlign w:val="center"/>
          </w:tcPr>
          <w:p w14:paraId="13AF6944">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72D0FE15">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58F66BD0">
            <w:pPr>
              <w:spacing w:line="360" w:lineRule="auto"/>
              <w:jc w:val="center"/>
              <w:rPr>
                <w:rFonts w:ascii="仿宋_GB2312" w:hAnsi="仿宋_GB2312" w:eastAsia="仿宋_GB2312" w:cs="仿宋_GB2312"/>
                <w:color w:val="auto"/>
                <w:sz w:val="24"/>
                <w:szCs w:val="24"/>
              </w:rPr>
            </w:pPr>
          </w:p>
        </w:tc>
      </w:tr>
      <w:tr w14:paraId="3221A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835" w:type="dxa"/>
            <w:noWrap w:val="0"/>
            <w:vAlign w:val="center"/>
          </w:tcPr>
          <w:p w14:paraId="41C31278">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p>
        </w:tc>
        <w:tc>
          <w:tcPr>
            <w:tcW w:w="2964" w:type="dxa"/>
            <w:noWrap w:val="0"/>
            <w:vAlign w:val="center"/>
          </w:tcPr>
          <w:p w14:paraId="24BC5288">
            <w:pPr>
              <w:spacing w:line="360" w:lineRule="auto"/>
              <w:jc w:val="center"/>
              <w:rPr>
                <w:rFonts w:ascii="仿宋_GB2312" w:hAnsi="仿宋_GB2312" w:eastAsia="仿宋_GB2312" w:cs="仿宋_GB2312"/>
                <w:color w:val="auto"/>
                <w:sz w:val="24"/>
                <w:szCs w:val="24"/>
              </w:rPr>
            </w:pPr>
          </w:p>
        </w:tc>
        <w:tc>
          <w:tcPr>
            <w:tcW w:w="2864" w:type="dxa"/>
            <w:tcBorders>
              <w:left w:val="single" w:color="auto" w:sz="4" w:space="0"/>
              <w:right w:val="single" w:color="auto" w:sz="4" w:space="0"/>
            </w:tcBorders>
            <w:noWrap w:val="0"/>
            <w:vAlign w:val="center"/>
          </w:tcPr>
          <w:p w14:paraId="7CDD325F">
            <w:pPr>
              <w:spacing w:line="360" w:lineRule="auto"/>
              <w:jc w:val="center"/>
              <w:rPr>
                <w:rFonts w:ascii="仿宋_GB2312" w:hAnsi="仿宋_GB2312" w:eastAsia="仿宋_GB2312" w:cs="仿宋_GB2312"/>
                <w:color w:val="auto"/>
                <w:sz w:val="24"/>
                <w:szCs w:val="24"/>
              </w:rPr>
            </w:pPr>
          </w:p>
        </w:tc>
        <w:tc>
          <w:tcPr>
            <w:tcW w:w="2165" w:type="dxa"/>
            <w:noWrap w:val="0"/>
            <w:vAlign w:val="center"/>
          </w:tcPr>
          <w:p w14:paraId="411C19F7">
            <w:pPr>
              <w:spacing w:line="360" w:lineRule="auto"/>
              <w:jc w:val="center"/>
              <w:rPr>
                <w:rFonts w:ascii="仿宋_GB2312" w:hAnsi="仿宋_GB2312" w:eastAsia="仿宋_GB2312" w:cs="仿宋_GB2312"/>
                <w:color w:val="auto"/>
                <w:sz w:val="24"/>
                <w:szCs w:val="24"/>
              </w:rPr>
            </w:pPr>
          </w:p>
        </w:tc>
      </w:tr>
    </w:tbl>
    <w:p w14:paraId="0A94E60D">
      <w:pPr>
        <w:snapToGrid w:val="0"/>
        <w:ind w:left="349" w:hanging="348" w:hangingChars="166"/>
        <w:rPr>
          <w:rFonts w:hint="eastAsia" w:ascii="仿宋" w:hAnsi="仿宋" w:eastAsia="仿宋" w:cs="仿宋"/>
          <w:color w:val="auto"/>
        </w:rPr>
      </w:pPr>
    </w:p>
    <w:p w14:paraId="7A764ACC">
      <w:pPr>
        <w:spacing w:line="360" w:lineRule="auto"/>
        <w:rPr>
          <w:rFonts w:hint="eastAsia" w:ascii="仿宋" w:hAnsi="仿宋" w:eastAsia="仿宋" w:cs="宋体"/>
          <w:color w:val="auto"/>
          <w:sz w:val="24"/>
          <w:szCs w:val="24"/>
        </w:rPr>
      </w:pPr>
      <w:r>
        <w:rPr>
          <w:rFonts w:hint="eastAsia" w:ascii="仿宋" w:hAnsi="仿宋" w:eastAsia="仿宋" w:cs="宋体"/>
          <w:color w:val="auto"/>
          <w:sz w:val="24"/>
          <w:szCs w:val="24"/>
        </w:rPr>
        <w:t>注：1. 供应商应如实列出以上情况，如有隐瞒，一经查实将导致其</w:t>
      </w:r>
      <w:r>
        <w:rPr>
          <w:rFonts w:hint="eastAsia" w:ascii="仿宋" w:hAnsi="仿宋" w:eastAsia="仿宋" w:cs="仿宋"/>
          <w:bCs/>
          <w:color w:val="auto"/>
          <w:sz w:val="24"/>
          <w:lang w:val="en-US" w:eastAsia="zh-CN"/>
        </w:rPr>
        <w:t>磋商</w:t>
      </w:r>
      <w:r>
        <w:rPr>
          <w:rFonts w:hint="eastAsia" w:ascii="仿宋" w:hAnsi="仿宋" w:eastAsia="仿宋" w:cs="宋体"/>
          <w:color w:val="auto"/>
          <w:sz w:val="24"/>
          <w:szCs w:val="24"/>
        </w:rPr>
        <w:t>被拒绝。</w:t>
      </w:r>
    </w:p>
    <w:p w14:paraId="0A889E5C">
      <w:pPr>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2.后附合同复印件，否则不做为评审依据。</w:t>
      </w:r>
    </w:p>
    <w:p w14:paraId="6A8469B0">
      <w:pPr>
        <w:snapToGrid w:val="0"/>
        <w:spacing w:line="500" w:lineRule="exact"/>
        <w:ind w:firstLine="105" w:firstLineChars="50"/>
        <w:rPr>
          <w:rFonts w:hint="eastAsia" w:ascii="仿宋" w:hAnsi="仿宋" w:eastAsia="仿宋" w:cs="仿宋"/>
          <w:color w:val="auto"/>
          <w:sz w:val="24"/>
          <w:szCs w:val="24"/>
          <w:u w:val="single"/>
        </w:rPr>
      </w:pPr>
      <w:r>
        <w:rPr>
          <w:rFonts w:hint="eastAsia" w:ascii="仿宋" w:hAnsi="仿宋" w:eastAsia="仿宋" w:cs="仿宋"/>
          <w:color w:val="auto"/>
        </w:rPr>
        <w:t xml:space="preserve">  </w:t>
      </w:r>
      <w:r>
        <w:rPr>
          <w:rFonts w:ascii="仿宋" w:hAnsi="仿宋" w:eastAsia="仿宋" w:cs="仿宋"/>
          <w:color w:val="auto"/>
        </w:rPr>
        <w:t xml:space="preserve">                      </w:t>
      </w: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65F1955A">
      <w:pPr>
        <w:spacing w:line="500" w:lineRule="exact"/>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76E37263">
      <w:pPr>
        <w:spacing w:line="500" w:lineRule="exact"/>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bookmarkEnd w:id="195"/>
    <w:bookmarkEnd w:id="196"/>
    <w:bookmarkEnd w:id="197"/>
    <w:bookmarkEnd w:id="198"/>
    <w:bookmarkEnd w:id="199"/>
    <w:bookmarkEnd w:id="200"/>
    <w:bookmarkEnd w:id="201"/>
    <w:bookmarkEnd w:id="202"/>
    <w:bookmarkEnd w:id="203"/>
    <w:bookmarkEnd w:id="204"/>
    <w:bookmarkEnd w:id="205"/>
    <w:bookmarkEnd w:id="256"/>
    <w:bookmarkEnd w:id="257"/>
    <w:bookmarkEnd w:id="258"/>
    <w:bookmarkEnd w:id="259"/>
    <w:p w14:paraId="728ABF8D">
      <w:pPr>
        <w:spacing w:line="360" w:lineRule="auto"/>
        <w:rPr>
          <w:rFonts w:hint="eastAsia" w:ascii="仿宋" w:hAnsi="仿宋" w:eastAsia="仿宋" w:cs="仿宋"/>
          <w:bCs/>
          <w:color w:val="auto"/>
          <w:sz w:val="24"/>
        </w:rPr>
      </w:pPr>
      <w:bookmarkStart w:id="262" w:name="_Toc23430765"/>
    </w:p>
    <w:p w14:paraId="6E541DD8">
      <w:pPr>
        <w:rPr>
          <w:rFonts w:hint="eastAsia" w:ascii="仿宋" w:hAnsi="仿宋" w:eastAsia="仿宋" w:cs="仿宋"/>
          <w:iCs/>
          <w:color w:val="auto"/>
        </w:rPr>
      </w:pPr>
      <w:bookmarkStart w:id="263" w:name="_Toc30098"/>
      <w:bookmarkStart w:id="264" w:name="_Toc9227"/>
      <w:bookmarkStart w:id="265" w:name="_Toc1827"/>
      <w:r>
        <w:rPr>
          <w:rFonts w:hint="eastAsia" w:ascii="仿宋" w:hAnsi="仿宋" w:eastAsia="仿宋" w:cs="仿宋"/>
          <w:iCs/>
          <w:color w:val="auto"/>
        </w:rPr>
        <w:br w:type="page"/>
      </w:r>
    </w:p>
    <w:p w14:paraId="0650CE82">
      <w:pPr>
        <w:pStyle w:val="4"/>
        <w:tabs>
          <w:tab w:val="left" w:pos="576"/>
        </w:tabs>
        <w:adjustRightInd w:val="0"/>
        <w:spacing w:before="0" w:after="0" w:line="416" w:lineRule="atLeast"/>
        <w:textAlignment w:val="baseline"/>
        <w:rPr>
          <w:rFonts w:hint="eastAsia" w:ascii="仿宋" w:hAnsi="仿宋" w:eastAsia="仿宋" w:cs="仿宋"/>
          <w:iCs/>
          <w:color w:val="auto"/>
        </w:rPr>
      </w:pPr>
      <w:bookmarkStart w:id="266" w:name="_Toc23489"/>
      <w:r>
        <w:rPr>
          <w:rFonts w:hint="eastAsia" w:ascii="仿宋" w:hAnsi="仿宋" w:eastAsia="仿宋" w:cs="仿宋"/>
          <w:iCs/>
          <w:color w:val="auto"/>
        </w:rPr>
        <w:t>附件</w:t>
      </w:r>
      <w:r>
        <w:rPr>
          <w:rFonts w:hint="eastAsia" w:ascii="仿宋" w:hAnsi="仿宋" w:eastAsia="仿宋" w:cs="仿宋"/>
          <w:iCs/>
          <w:color w:val="auto"/>
          <w:lang w:val="en-US" w:eastAsia="zh-CN"/>
        </w:rPr>
        <w:t>10</w:t>
      </w:r>
      <w:r>
        <w:rPr>
          <w:rFonts w:hint="eastAsia" w:ascii="仿宋" w:hAnsi="仿宋" w:eastAsia="仿宋" w:cs="仿宋"/>
          <w:iCs/>
          <w:color w:val="auto"/>
        </w:rPr>
        <w:t xml:space="preserve">  中小企业声明函（工程、服务）</w:t>
      </w:r>
      <w:bookmarkEnd w:id="263"/>
      <w:bookmarkEnd w:id="264"/>
      <w:bookmarkEnd w:id="265"/>
      <w:bookmarkEnd w:id="266"/>
    </w:p>
    <w:p w14:paraId="42D4E2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4"/>
          <w:lang w:val="en-US" w:eastAsia="zh-CN" w:bidi="ar"/>
        </w:rPr>
      </w:pPr>
    </w:p>
    <w:p w14:paraId="57C507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4"/>
          <w:lang w:val="en-US" w:eastAsia="zh-CN" w:bidi="ar"/>
        </w:rPr>
      </w:pPr>
    </w:p>
    <w:p w14:paraId="01A948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本公司 郑重声明，根据《政府采购促进中小企业发展管理办法》（财库﹝2020﹞46 号）的规定，本公司 参加</w:t>
      </w:r>
      <w:r>
        <w:rPr>
          <w:rFonts w:hint="eastAsia" w:ascii="仿宋" w:hAnsi="仿宋" w:eastAsia="仿宋" w:cs="仿宋"/>
          <w:i w:val="0"/>
          <w:iCs w:val="0"/>
          <w:color w:val="auto"/>
          <w:kern w:val="0"/>
          <w:sz w:val="24"/>
          <w:szCs w:val="24"/>
          <w:u w:val="single"/>
          <w:lang w:val="en-US" w:eastAsia="zh-CN" w:bidi="ar"/>
        </w:rPr>
        <w:t>（单位名称）</w:t>
      </w:r>
      <w:r>
        <w:rPr>
          <w:rFonts w:hint="eastAsia" w:ascii="仿宋" w:hAnsi="仿宋" w:eastAsia="仿宋" w:cs="仿宋"/>
          <w:i w:val="0"/>
          <w:iCs w:val="0"/>
          <w:color w:val="auto"/>
          <w:kern w:val="0"/>
          <w:sz w:val="24"/>
          <w:szCs w:val="24"/>
          <w:lang w:val="en-US" w:eastAsia="zh-CN" w:bidi="ar"/>
        </w:rPr>
        <w:t>的</w:t>
      </w:r>
      <w:r>
        <w:rPr>
          <w:rFonts w:hint="eastAsia" w:ascii="仿宋" w:hAnsi="仿宋" w:eastAsia="仿宋" w:cs="仿宋"/>
          <w:i w:val="0"/>
          <w:iCs w:val="0"/>
          <w:color w:val="auto"/>
          <w:kern w:val="0"/>
          <w:sz w:val="24"/>
          <w:szCs w:val="24"/>
          <w:u w:val="single"/>
          <w:lang w:val="en-US" w:eastAsia="zh-CN" w:bidi="ar"/>
        </w:rPr>
        <w:t>（项目名称）</w:t>
      </w:r>
      <w:r>
        <w:rPr>
          <w:rFonts w:hint="eastAsia" w:ascii="仿宋" w:hAnsi="仿宋" w:eastAsia="仿宋" w:cs="仿宋"/>
          <w:i w:val="0"/>
          <w:iCs w:val="0"/>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00F523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1. </w:t>
      </w:r>
      <w:r>
        <w:rPr>
          <w:rFonts w:hint="eastAsia" w:ascii="仿宋" w:hAnsi="仿宋" w:eastAsia="仿宋" w:cs="仿宋"/>
          <w:i/>
          <w:iCs/>
          <w:color w:val="auto"/>
          <w:kern w:val="0"/>
          <w:sz w:val="24"/>
          <w:szCs w:val="24"/>
          <w:u w:val="single"/>
          <w:lang w:val="en-US" w:eastAsia="zh-CN" w:bidi="ar"/>
        </w:rPr>
        <w:t xml:space="preserve">（标的名称） </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iCs/>
          <w:color w:val="auto"/>
          <w:kern w:val="0"/>
          <w:sz w:val="24"/>
          <w:szCs w:val="24"/>
          <w:u w:val="single"/>
          <w:lang w:val="en-US" w:eastAsia="zh-CN" w:bidi="ar"/>
        </w:rPr>
        <w:t>（ 其他未列明行业）</w:t>
      </w:r>
      <w:r>
        <w:rPr>
          <w:rFonts w:hint="eastAsia" w:ascii="仿宋" w:hAnsi="仿宋" w:eastAsia="仿宋" w:cs="仿宋"/>
          <w:i w:val="0"/>
          <w:iCs w:val="0"/>
          <w:color w:val="auto"/>
          <w:kern w:val="0"/>
          <w:sz w:val="24"/>
          <w:szCs w:val="24"/>
          <w:lang w:val="en-US" w:eastAsia="zh-CN" w:bidi="ar"/>
        </w:rPr>
        <w:t>；承建（承接）企业为</w:t>
      </w:r>
      <w:r>
        <w:rPr>
          <w:rFonts w:hint="eastAsia" w:ascii="仿宋" w:hAnsi="仿宋" w:eastAsia="仿宋" w:cs="仿宋"/>
          <w:i/>
          <w:iCs/>
          <w:color w:val="auto"/>
          <w:kern w:val="0"/>
          <w:sz w:val="24"/>
          <w:szCs w:val="24"/>
          <w:u w:val="single"/>
          <w:lang w:val="en-US" w:eastAsia="zh-CN" w:bidi="ar"/>
        </w:rPr>
        <w:t>（企业名称）</w:t>
      </w:r>
      <w:r>
        <w:rPr>
          <w:rFonts w:hint="eastAsia" w:ascii="仿宋" w:hAnsi="仿宋" w:eastAsia="仿宋" w:cs="仿宋"/>
          <w:i w:val="0"/>
          <w:iCs w:val="0"/>
          <w:color w:val="auto"/>
          <w:kern w:val="0"/>
          <w:sz w:val="24"/>
          <w:szCs w:val="24"/>
          <w:lang w:val="en-US" w:eastAsia="zh-CN" w:bidi="ar"/>
        </w:rPr>
        <w:t>，从业人员</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人，营业收入为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万元，资产总额为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万元，属于</w:t>
      </w:r>
      <w:r>
        <w:rPr>
          <w:rFonts w:hint="eastAsia" w:ascii="仿宋" w:hAnsi="仿宋" w:eastAsia="仿宋" w:cs="仿宋"/>
          <w:i/>
          <w:iCs/>
          <w:color w:val="auto"/>
          <w:kern w:val="0"/>
          <w:sz w:val="24"/>
          <w:szCs w:val="24"/>
          <w:u w:val="single"/>
          <w:lang w:val="en-US" w:eastAsia="zh-CN" w:bidi="ar"/>
        </w:rPr>
        <w:t>（中型企业、小型企业、微型企业）</w:t>
      </w:r>
      <w:r>
        <w:rPr>
          <w:rFonts w:hint="eastAsia" w:ascii="仿宋" w:hAnsi="仿宋" w:eastAsia="仿宋" w:cs="仿宋"/>
          <w:i w:val="0"/>
          <w:iCs w:val="0"/>
          <w:color w:val="auto"/>
          <w:kern w:val="0"/>
          <w:sz w:val="24"/>
          <w:szCs w:val="24"/>
          <w:lang w:val="en-US" w:eastAsia="zh-CN" w:bidi="ar"/>
        </w:rPr>
        <w:t xml:space="preserve">； </w:t>
      </w:r>
    </w:p>
    <w:p w14:paraId="590DE3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以上企业，不属于大企业的分支机构，不存在控股股东为大企业的情形，也不存在与大企业的负责人为同一人的情形。</w:t>
      </w:r>
    </w:p>
    <w:p w14:paraId="069886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本企业对上述声明内容的真实性负责。如有虚假，将依 法承担相应责任。 </w:t>
      </w:r>
    </w:p>
    <w:p w14:paraId="3916E5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lang w:val="en-US" w:eastAsia="zh-CN" w:bidi="ar"/>
        </w:rPr>
        <w:t xml:space="preserve">                 </w:t>
      </w:r>
    </w:p>
    <w:p w14:paraId="6C9255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kern w:val="0"/>
          <w:sz w:val="24"/>
          <w:szCs w:val="24"/>
          <w:lang w:val="en-US" w:eastAsia="zh-CN" w:bidi="ar"/>
        </w:rPr>
      </w:pPr>
    </w:p>
    <w:p w14:paraId="41AD26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                        企业名称（盖章）：</w:t>
      </w:r>
    </w:p>
    <w:p w14:paraId="367A8D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                              日 期：</w:t>
      </w:r>
    </w:p>
    <w:p w14:paraId="1D916DBD">
      <w:pPr>
        <w:spacing w:line="360" w:lineRule="auto"/>
        <w:outlineLvl w:val="9"/>
        <w:rPr>
          <w:rFonts w:hint="eastAsia" w:ascii="仿宋" w:hAnsi="仿宋" w:eastAsia="仿宋" w:cs="仿宋"/>
          <w:i w:val="0"/>
          <w:iCs w:val="0"/>
          <w:color w:val="auto"/>
          <w:kern w:val="0"/>
          <w:sz w:val="21"/>
          <w:szCs w:val="21"/>
          <w:highlight w:val="none"/>
          <w:lang w:val="en-US" w:eastAsia="zh-CN" w:bidi="ar"/>
        </w:rPr>
      </w:pPr>
    </w:p>
    <w:p w14:paraId="70301890">
      <w:pPr>
        <w:spacing w:line="360" w:lineRule="auto"/>
        <w:outlineLvl w:val="9"/>
        <w:rPr>
          <w:rFonts w:hint="eastAsia" w:ascii="仿宋" w:hAnsi="仿宋" w:eastAsia="仿宋" w:cs="仿宋"/>
          <w:i w:val="0"/>
          <w:iCs w:val="0"/>
          <w:color w:val="auto"/>
          <w:kern w:val="0"/>
          <w:sz w:val="21"/>
          <w:szCs w:val="21"/>
          <w:highlight w:val="none"/>
          <w:lang w:val="en-US" w:eastAsia="zh-CN" w:bidi="ar"/>
        </w:rPr>
      </w:pPr>
    </w:p>
    <w:p w14:paraId="2B253F2A">
      <w:pPr>
        <w:spacing w:line="360" w:lineRule="auto"/>
        <w:outlineLvl w:val="9"/>
        <w:rPr>
          <w:rFonts w:hint="eastAsia" w:ascii="仿宋" w:hAnsi="仿宋" w:eastAsia="仿宋" w:cs="仿宋"/>
          <w:i w:val="0"/>
          <w:iCs w:val="0"/>
          <w:color w:val="auto"/>
          <w:kern w:val="0"/>
          <w:sz w:val="21"/>
          <w:szCs w:val="21"/>
          <w:highlight w:val="none"/>
          <w:lang w:val="en-US" w:eastAsia="zh-CN" w:bidi="ar"/>
        </w:rPr>
      </w:pPr>
    </w:p>
    <w:p w14:paraId="0531C841">
      <w:pPr>
        <w:spacing w:line="360" w:lineRule="auto"/>
        <w:outlineLvl w:val="9"/>
        <w:rPr>
          <w:rFonts w:hint="eastAsia" w:ascii="仿宋" w:hAnsi="仿宋" w:eastAsia="仿宋" w:cs="仿宋"/>
          <w:i w:val="0"/>
          <w:iCs w:val="0"/>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bidi="ar"/>
        </w:rPr>
        <w:t>从业人员、营业收入、资产总额填报上一年度数据，无上一年度数据的新成立企业可不填报。</w:t>
      </w:r>
    </w:p>
    <w:p w14:paraId="57109C2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kern w:val="0"/>
          <w:sz w:val="21"/>
          <w:szCs w:val="21"/>
          <w:highlight w:val="none"/>
          <w:lang w:val="en-US" w:eastAsia="zh-CN" w:bidi="ar"/>
        </w:rPr>
        <w:t>根据《中小企业划型标准规定》其他未列明行业。</w:t>
      </w:r>
      <w:r>
        <w:rPr>
          <w:rFonts w:hint="eastAsia" w:ascii="仿宋" w:hAnsi="仿宋" w:eastAsia="仿宋" w:cs="仿宋"/>
          <w:b w:val="0"/>
          <w:bCs w:val="0"/>
          <w:i w:val="0"/>
          <w:iCs w:val="0"/>
          <w:color w:val="auto"/>
          <w:kern w:val="0"/>
          <w:sz w:val="21"/>
          <w:szCs w:val="21"/>
          <w:highlight w:val="none"/>
          <w:lang w:val="en-US" w:eastAsia="zh-CN" w:bidi="ar"/>
        </w:rPr>
        <w:t>从业人员300人以下的为中小微型企业。其中，从业 人员100人及以上的为中型企业；从业人员10人及以上的为小型企业；从业人员10人 以下的为微型企业。</w:t>
      </w:r>
    </w:p>
    <w:p w14:paraId="3ED16158">
      <w:pPr>
        <w:bidi w:val="0"/>
        <w:rPr>
          <w:rFonts w:hint="eastAsia" w:ascii="仿宋" w:hAnsi="仿宋" w:eastAsia="仿宋" w:cs="仿宋"/>
          <w:color w:val="auto"/>
        </w:rPr>
      </w:pPr>
    </w:p>
    <w:p w14:paraId="0EE5DDC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60335519">
      <w:pPr>
        <w:bidi w:val="0"/>
        <w:rPr>
          <w:rFonts w:hint="eastAsia" w:ascii="仿宋" w:hAnsi="仿宋" w:eastAsia="仿宋" w:cs="仿宋"/>
          <w:color w:val="auto"/>
        </w:rPr>
      </w:pPr>
    </w:p>
    <w:p w14:paraId="67055375">
      <w:pPr>
        <w:bidi w:val="0"/>
        <w:rPr>
          <w:rFonts w:hint="eastAsia" w:ascii="仿宋" w:hAnsi="仿宋" w:eastAsia="仿宋" w:cs="仿宋"/>
          <w:color w:val="auto"/>
        </w:rPr>
      </w:pPr>
    </w:p>
    <w:p w14:paraId="1F51483E">
      <w:pPr>
        <w:pStyle w:val="4"/>
        <w:spacing w:line="360" w:lineRule="auto"/>
        <w:rPr>
          <w:rFonts w:hint="eastAsia" w:ascii="仿宋" w:hAnsi="仿宋" w:eastAsia="仿宋" w:cs="仿宋"/>
          <w:b/>
          <w:iCs/>
          <w:color w:val="auto"/>
        </w:rPr>
      </w:pPr>
      <w:r>
        <w:rPr>
          <w:rFonts w:hint="eastAsia" w:ascii="仿宋" w:hAnsi="仿宋" w:eastAsia="仿宋" w:cs="仿宋"/>
          <w:color w:val="auto"/>
          <w:sz w:val="24"/>
          <w:highlight w:val="none"/>
        </w:rPr>
        <w:br w:type="page"/>
      </w:r>
      <w:bookmarkEnd w:id="262"/>
      <w:bookmarkStart w:id="267" w:name="_Toc4711"/>
      <w:bookmarkStart w:id="268" w:name="_Toc24750"/>
      <w:bookmarkStart w:id="269" w:name="_Toc17459"/>
      <w:bookmarkStart w:id="270" w:name="_Toc27726"/>
      <w:r>
        <w:rPr>
          <w:rFonts w:hint="eastAsia" w:ascii="仿宋" w:hAnsi="仿宋" w:eastAsia="仿宋" w:cs="仿宋"/>
          <w:b/>
          <w:iCs/>
          <w:color w:val="auto"/>
        </w:rPr>
        <w:t>附件</w:t>
      </w:r>
      <w:r>
        <w:rPr>
          <w:rFonts w:hint="eastAsia" w:ascii="仿宋" w:hAnsi="仿宋" w:eastAsia="仿宋" w:cs="仿宋"/>
          <w:b/>
          <w:iCs/>
          <w:color w:val="auto"/>
          <w:lang w:val="en-US" w:eastAsia="zh-CN"/>
        </w:rPr>
        <w:t>11</w:t>
      </w:r>
      <w:r>
        <w:rPr>
          <w:rFonts w:hint="eastAsia" w:ascii="仿宋" w:hAnsi="仿宋" w:eastAsia="仿宋" w:cs="仿宋"/>
          <w:b/>
          <w:iCs/>
          <w:color w:val="auto"/>
        </w:rPr>
        <w:t xml:space="preserve"> 服务承诺</w:t>
      </w:r>
      <w:bookmarkEnd w:id="267"/>
      <w:bookmarkEnd w:id="268"/>
      <w:bookmarkEnd w:id="269"/>
      <w:bookmarkEnd w:id="270"/>
    </w:p>
    <w:p w14:paraId="1619C965">
      <w:pPr>
        <w:spacing w:line="360" w:lineRule="auto"/>
        <w:rPr>
          <w:rFonts w:hint="eastAsia" w:ascii="仿宋" w:hAnsi="仿宋" w:eastAsia="仿宋" w:cs="仿宋"/>
          <w:color w:val="auto"/>
          <w:u w:val="single"/>
        </w:rPr>
      </w:pPr>
    </w:p>
    <w:p w14:paraId="07FB26A9">
      <w:pPr>
        <w:numPr>
          <w:ilvl w:val="1"/>
          <w:numId w:val="0"/>
        </w:numPr>
        <w:adjustRightInd w:val="0"/>
        <w:spacing w:line="416" w:lineRule="atLeast"/>
        <w:jc w:val="center"/>
        <w:textAlignment w:val="baseline"/>
        <w:outlineLvl w:val="2"/>
        <w:rPr>
          <w:rFonts w:hint="eastAsia" w:ascii="仿宋" w:hAnsi="仿宋" w:eastAsia="仿宋" w:cs="仿宋"/>
          <w:color w:val="auto"/>
          <w:sz w:val="40"/>
          <w:szCs w:val="36"/>
          <w:highlight w:val="none"/>
        </w:rPr>
      </w:pPr>
      <w:bookmarkStart w:id="271" w:name="_Toc12941"/>
      <w:bookmarkStart w:id="272" w:name="_Toc27473"/>
      <w:bookmarkStart w:id="273" w:name="_Toc15274"/>
      <w:bookmarkStart w:id="274" w:name="_Toc3760"/>
      <w:bookmarkStart w:id="275" w:name="_Toc536535268"/>
      <w:bookmarkStart w:id="276" w:name="_Toc16539"/>
      <w:bookmarkStart w:id="277" w:name="_Toc6394"/>
      <w:bookmarkStart w:id="278" w:name="_Toc25840"/>
      <w:bookmarkStart w:id="279" w:name="_Toc26907"/>
      <w:r>
        <w:rPr>
          <w:rFonts w:hint="eastAsia" w:ascii="仿宋" w:hAnsi="仿宋" w:eastAsia="仿宋" w:cs="仿宋"/>
          <w:b/>
          <w:bCs/>
          <w:color w:val="auto"/>
          <w:sz w:val="32"/>
          <w:szCs w:val="32"/>
          <w:highlight w:val="none"/>
        </w:rPr>
        <w:t>承诺书</w:t>
      </w:r>
      <w:bookmarkEnd w:id="271"/>
      <w:bookmarkEnd w:id="272"/>
      <w:bookmarkEnd w:id="273"/>
    </w:p>
    <w:p w14:paraId="60C9CB18">
      <w:pPr>
        <w:spacing w:line="400" w:lineRule="atLeast"/>
        <w:ind w:firstLine="480" w:firstLineChars="200"/>
        <w:rPr>
          <w:rFonts w:hint="eastAsia" w:ascii="仿宋" w:hAnsi="仿宋" w:eastAsia="仿宋" w:cs="仿宋"/>
          <w:color w:val="auto"/>
          <w:sz w:val="24"/>
          <w:szCs w:val="22"/>
          <w:highlight w:val="none"/>
        </w:rPr>
      </w:pPr>
    </w:p>
    <w:p w14:paraId="24D511B6">
      <w:pPr>
        <w:spacing w:line="400" w:lineRule="atLeas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采购人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p>
    <w:p w14:paraId="6EEC438C">
      <w:pPr>
        <w:rPr>
          <w:rFonts w:hint="eastAsia" w:ascii="仿宋" w:hAnsi="仿宋" w:eastAsia="仿宋" w:cs="仿宋"/>
          <w:color w:val="auto"/>
          <w:sz w:val="24"/>
          <w:szCs w:val="24"/>
          <w:highlight w:val="none"/>
          <w:u w:val="single"/>
        </w:rPr>
      </w:pPr>
    </w:p>
    <w:p w14:paraId="4332E830">
      <w:pPr>
        <w:rPr>
          <w:rFonts w:hint="eastAsia" w:ascii="仿宋" w:hAnsi="仿宋" w:eastAsia="仿宋" w:cs="仿宋"/>
          <w:color w:val="auto"/>
          <w:sz w:val="24"/>
          <w:highlight w:val="none"/>
        </w:rPr>
      </w:pPr>
    </w:p>
    <w:p w14:paraId="220C6381">
      <w:pPr>
        <w:spacing w:line="40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我公司对参加此次“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项目名称: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”所提供的服务做如下承诺：</w:t>
      </w:r>
    </w:p>
    <w:p w14:paraId="5EA58407">
      <w:pPr>
        <w:spacing w:line="400" w:lineRule="atLeast"/>
        <w:rPr>
          <w:rFonts w:hint="eastAsia" w:ascii="仿宋" w:hAnsi="仿宋" w:eastAsia="仿宋" w:cs="仿宋"/>
          <w:color w:val="auto"/>
          <w:sz w:val="24"/>
          <w:highlight w:val="none"/>
        </w:rPr>
      </w:pPr>
    </w:p>
    <w:p w14:paraId="19E3B6E5">
      <w:pPr>
        <w:spacing w:line="400" w:lineRule="atLeast"/>
        <w:ind w:firstLine="240" w:firstLineChars="100"/>
        <w:rPr>
          <w:rFonts w:hint="eastAsia" w:ascii="仿宋" w:hAnsi="仿宋" w:eastAsia="仿宋" w:cs="仿宋"/>
          <w:color w:val="auto"/>
          <w:highlight w:val="none"/>
        </w:rPr>
      </w:pPr>
      <w:r>
        <w:rPr>
          <w:rFonts w:hint="eastAsia" w:ascii="仿宋" w:hAnsi="仿宋" w:eastAsia="仿宋" w:cs="仿宋"/>
          <w:color w:val="auto"/>
          <w:sz w:val="24"/>
          <w:highlight w:val="none"/>
        </w:rPr>
        <w:t>（承诺内容）</w:t>
      </w:r>
    </w:p>
    <w:p w14:paraId="1DAA8368">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78F6223">
      <w:pPr>
        <w:rPr>
          <w:rFonts w:hint="eastAsia" w:ascii="仿宋" w:hAnsi="仿宋" w:eastAsia="仿宋" w:cs="仿宋"/>
          <w:color w:val="auto"/>
          <w:highlight w:val="none"/>
        </w:rPr>
      </w:pPr>
    </w:p>
    <w:p w14:paraId="58D96739">
      <w:pPr>
        <w:rPr>
          <w:rFonts w:hint="eastAsia" w:ascii="仿宋" w:hAnsi="仿宋" w:eastAsia="仿宋" w:cs="仿宋"/>
          <w:color w:val="auto"/>
          <w:highlight w:val="none"/>
        </w:rPr>
      </w:pPr>
    </w:p>
    <w:p w14:paraId="238E146B">
      <w:pPr>
        <w:rPr>
          <w:rFonts w:hint="eastAsia" w:ascii="仿宋" w:hAnsi="仿宋" w:eastAsia="仿宋" w:cs="仿宋"/>
          <w:color w:val="auto"/>
          <w:highlight w:val="none"/>
        </w:rPr>
      </w:pPr>
    </w:p>
    <w:p w14:paraId="71C90618">
      <w:pPr>
        <w:rPr>
          <w:rFonts w:hint="eastAsia" w:ascii="仿宋" w:hAnsi="仿宋" w:eastAsia="仿宋" w:cs="仿宋"/>
          <w:color w:val="auto"/>
          <w:highlight w:val="none"/>
        </w:rPr>
      </w:pPr>
    </w:p>
    <w:p w14:paraId="1FFCD367">
      <w:pPr>
        <w:rPr>
          <w:rFonts w:hint="eastAsia" w:ascii="仿宋" w:hAnsi="仿宋" w:eastAsia="仿宋" w:cs="仿宋"/>
          <w:color w:val="auto"/>
          <w:highlight w:val="none"/>
        </w:rPr>
      </w:pPr>
    </w:p>
    <w:p w14:paraId="129BBEA7">
      <w:pPr>
        <w:pStyle w:val="18"/>
        <w:bidi w:val="0"/>
        <w:rPr>
          <w:rFonts w:hint="eastAsia"/>
          <w:color w:val="auto"/>
          <w:highlight w:val="none"/>
        </w:rPr>
      </w:pPr>
    </w:p>
    <w:p w14:paraId="424C0B62">
      <w:pPr>
        <w:pStyle w:val="18"/>
        <w:bidi w:val="0"/>
        <w:rPr>
          <w:rFonts w:hint="eastAsia"/>
          <w:color w:val="auto"/>
          <w:highlight w:val="none"/>
        </w:rPr>
      </w:pPr>
    </w:p>
    <w:p w14:paraId="7FB65B40">
      <w:pPr>
        <w:pStyle w:val="18"/>
        <w:bidi w:val="0"/>
        <w:rPr>
          <w:rFonts w:hint="eastAsia"/>
          <w:color w:val="auto"/>
          <w:highlight w:val="none"/>
        </w:rPr>
      </w:pPr>
    </w:p>
    <w:p w14:paraId="109F2B9A">
      <w:pPr>
        <w:ind w:firstLine="2640" w:firstLineChars="1100"/>
        <w:rPr>
          <w:rFonts w:hint="eastAsia" w:ascii="仿宋" w:hAnsi="仿宋" w:eastAsia="仿宋"/>
          <w:color w:val="auto"/>
          <w:sz w:val="24"/>
          <w:u w:val="single"/>
        </w:rPr>
      </w:pPr>
    </w:p>
    <w:p w14:paraId="5095F967">
      <w:pPr>
        <w:ind w:firstLine="2640" w:firstLineChars="1100"/>
        <w:rPr>
          <w:rFonts w:hint="eastAsia" w:ascii="仿宋" w:hAnsi="仿宋" w:eastAsia="仿宋"/>
          <w:color w:val="auto"/>
          <w:sz w:val="24"/>
          <w:u w:val="single"/>
        </w:rPr>
      </w:pPr>
    </w:p>
    <w:p w14:paraId="4CFC7C33">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10689C6B">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1E15B818">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6F607ADE">
      <w:pPr>
        <w:rPr>
          <w:rFonts w:hint="eastAsia" w:ascii="仿宋" w:hAnsi="仿宋" w:eastAsia="仿宋"/>
          <w:color w:val="auto"/>
          <w:sz w:val="24"/>
          <w:u w:val="single"/>
        </w:rPr>
      </w:pPr>
    </w:p>
    <w:p w14:paraId="18D9CE9F">
      <w:pPr>
        <w:rPr>
          <w:rFonts w:hint="eastAsia" w:ascii="仿宋" w:hAnsi="仿宋" w:eastAsia="仿宋"/>
          <w:color w:val="auto"/>
          <w:sz w:val="24"/>
          <w:u w:val="single"/>
        </w:rPr>
      </w:pPr>
    </w:p>
    <w:p w14:paraId="1A3351A8">
      <w:pPr>
        <w:rPr>
          <w:rFonts w:hint="eastAsia" w:ascii="仿宋" w:hAnsi="仿宋" w:eastAsia="仿宋"/>
          <w:color w:val="auto"/>
          <w:sz w:val="24"/>
          <w:u w:val="single"/>
        </w:rPr>
      </w:pPr>
    </w:p>
    <w:p w14:paraId="2532B0DD">
      <w:pPr>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br w:type="page"/>
      </w:r>
    </w:p>
    <w:p w14:paraId="4AD3423C">
      <w:pPr>
        <w:numPr>
          <w:ilvl w:val="1"/>
          <w:numId w:val="0"/>
        </w:numPr>
        <w:adjustRightInd w:val="0"/>
        <w:spacing w:line="416" w:lineRule="atLeast"/>
        <w:jc w:val="center"/>
        <w:textAlignment w:val="baseline"/>
        <w:outlineLvl w:val="2"/>
        <w:rPr>
          <w:rFonts w:hint="eastAsia" w:ascii="仿宋" w:hAnsi="仿宋" w:eastAsia="仿宋" w:cs="仿宋"/>
          <w:color w:val="auto"/>
          <w:highlight w:val="none"/>
        </w:rPr>
      </w:pPr>
      <w:bookmarkStart w:id="280" w:name="_Toc1482"/>
      <w:bookmarkStart w:id="281" w:name="_Toc2843"/>
      <w:r>
        <w:rPr>
          <w:rFonts w:hint="eastAsia" w:ascii="仿宋" w:hAnsi="仿宋" w:eastAsia="仿宋" w:cs="仿宋"/>
          <w:b/>
          <w:bCs/>
          <w:color w:val="auto"/>
          <w:sz w:val="32"/>
          <w:szCs w:val="32"/>
          <w:highlight w:val="none"/>
        </w:rPr>
        <w:t>供应商参加政府采购活动承诺书</w:t>
      </w:r>
      <w:bookmarkEnd w:id="274"/>
      <w:bookmarkEnd w:id="280"/>
      <w:bookmarkEnd w:id="281"/>
    </w:p>
    <w:p w14:paraId="09310A0B">
      <w:pPr>
        <w:autoSpaceDE w:val="0"/>
        <w:autoSpaceDN w:val="0"/>
        <w:adjustRightInd w:val="0"/>
        <w:spacing w:line="400" w:lineRule="exact"/>
        <w:jc w:val="center"/>
        <w:rPr>
          <w:rFonts w:hint="eastAsia" w:ascii="仿宋" w:hAnsi="仿宋" w:eastAsia="仿宋" w:cs="仿宋"/>
          <w:b/>
          <w:bCs/>
          <w:color w:val="auto"/>
          <w:sz w:val="24"/>
          <w:szCs w:val="22"/>
          <w:highlight w:val="none"/>
        </w:rPr>
      </w:pPr>
    </w:p>
    <w:p w14:paraId="7762AE95">
      <w:pPr>
        <w:autoSpaceDE w:val="0"/>
        <w:autoSpaceDN w:val="0"/>
        <w:adjustRightInd w:val="0"/>
        <w:spacing w:line="400" w:lineRule="exact"/>
        <w:jc w:val="center"/>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sz w:val="24"/>
          <w:szCs w:val="22"/>
          <w:highlight w:val="none"/>
        </w:rPr>
        <w:t>（供应商诚信承诺书）</w:t>
      </w:r>
    </w:p>
    <w:p w14:paraId="568FAD33">
      <w:pPr>
        <w:autoSpaceDE w:val="0"/>
        <w:autoSpaceDN w:val="0"/>
        <w:adjustRightInd w:val="0"/>
        <w:spacing w:line="400" w:lineRule="exact"/>
        <w:rPr>
          <w:rFonts w:hint="default" w:ascii="仿宋" w:hAnsi="仿宋" w:eastAsia="仿宋" w:cs="仿宋"/>
          <w:bCs/>
          <w:color w:val="auto"/>
          <w:kern w:val="0"/>
          <w:sz w:val="24"/>
          <w:szCs w:val="24"/>
          <w:highlight w:val="none"/>
          <w:u w:val="single"/>
          <w:lang w:val="en-US" w:eastAsia="zh-CN"/>
        </w:rPr>
      </w:pPr>
      <w:r>
        <w:rPr>
          <w:rFonts w:hint="eastAsia" w:ascii="仿宋" w:hAnsi="仿宋" w:eastAsia="仿宋" w:cs="仿宋"/>
          <w:bCs/>
          <w:color w:val="auto"/>
          <w:kern w:val="0"/>
          <w:sz w:val="24"/>
          <w:szCs w:val="24"/>
          <w:highlight w:val="none"/>
          <w:u w:val="single"/>
          <w:lang w:val="zh-CN"/>
        </w:rPr>
        <w:t>致：（</w:t>
      </w:r>
      <w:r>
        <w:rPr>
          <w:rFonts w:hint="eastAsia" w:ascii="仿宋" w:hAnsi="仿宋" w:eastAsia="仿宋" w:cs="仿宋"/>
          <w:bCs/>
          <w:color w:val="auto"/>
          <w:kern w:val="0"/>
          <w:sz w:val="24"/>
          <w:szCs w:val="24"/>
          <w:highlight w:val="none"/>
          <w:u w:val="single"/>
          <w:lang w:val="en-US" w:eastAsia="zh-CN"/>
        </w:rPr>
        <w:t>采购人名称</w:t>
      </w:r>
      <w:r>
        <w:rPr>
          <w:rFonts w:hint="eastAsia" w:ascii="仿宋" w:hAnsi="仿宋" w:eastAsia="仿宋" w:cs="仿宋"/>
          <w:bCs/>
          <w:color w:val="auto"/>
          <w:kern w:val="0"/>
          <w:sz w:val="24"/>
          <w:szCs w:val="24"/>
          <w:highlight w:val="none"/>
          <w:u w:val="single"/>
          <w:lang w:val="zh-CN"/>
        </w:rPr>
        <w:t>）</w:t>
      </w:r>
    </w:p>
    <w:p w14:paraId="7CA4B72F">
      <w:pPr>
        <w:autoSpaceDE w:val="0"/>
        <w:autoSpaceDN w:val="0"/>
        <w:adjustRightInd w:val="0"/>
        <w:spacing w:line="400" w:lineRule="exact"/>
        <w:rPr>
          <w:rFonts w:hint="eastAsia" w:ascii="仿宋" w:hAnsi="仿宋" w:eastAsia="仿宋" w:cs="仿宋"/>
          <w:color w:val="auto"/>
          <w:kern w:val="0"/>
          <w:sz w:val="24"/>
          <w:highlight w:val="none"/>
          <w:lang w:val="zh-CN"/>
        </w:rPr>
      </w:pPr>
    </w:p>
    <w:p w14:paraId="2C8C28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为了诚实、客观、有序地参与陕西省政府采购活动，愿就以下内容作出承诺：</w:t>
      </w:r>
    </w:p>
    <w:p w14:paraId="0B5E89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一、自觉遵守各项法律、法规、规章、制度以及社会公德，维护廉洁环境，与同场竞争的供应商平等参加政府采购活动。</w:t>
      </w:r>
    </w:p>
    <w:p w14:paraId="1C5701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二、参加采购代理机构组织的政府采购活动时，严格按照招标文件的规定和要求提供所需的相关材料，并对所提供的各类资料的真实性负责，不虚假应标，不虚列业绩。</w:t>
      </w:r>
    </w:p>
    <w:p w14:paraId="36AADE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三、尊重参与政府采购活动各相关方的合法行为，接受政府采购活动依法形成的意见、结果。</w:t>
      </w:r>
    </w:p>
    <w:p w14:paraId="27A843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四、依法参加政府采购活动，不围标、串标，维护市场秩序，不提供“三无”产品、以次充好。</w:t>
      </w:r>
    </w:p>
    <w:p w14:paraId="6B0DB0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69DE06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六、认真履行中标人应承担的责任和义务，全面执行采购合同规定的各项内容，保质保量地按时提供采购物品。</w:t>
      </w:r>
    </w:p>
    <w:p w14:paraId="47369F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若本企业（单位）发生有悖于上述承诺的行为，愿意接受《中华人民共和国政府采购法》和《中华人民共和国政府采购法实施条例》中对供应商的相关处理。</w:t>
      </w:r>
    </w:p>
    <w:p w14:paraId="321BA5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本承诺是采购项目</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文件的组成部分。</w:t>
      </w:r>
    </w:p>
    <w:p w14:paraId="48238C00">
      <w:pPr>
        <w:rPr>
          <w:rFonts w:hint="eastAsia" w:ascii="仿宋" w:hAnsi="仿宋" w:eastAsia="仿宋" w:cs="仿宋"/>
          <w:color w:val="auto"/>
          <w:highlight w:val="none"/>
        </w:rPr>
      </w:pPr>
    </w:p>
    <w:p w14:paraId="7E0F0265">
      <w:pPr>
        <w:ind w:firstLine="2640" w:firstLineChars="1100"/>
        <w:rPr>
          <w:rFonts w:hint="eastAsia" w:ascii="仿宋" w:hAnsi="仿宋" w:eastAsia="仿宋"/>
          <w:color w:val="auto"/>
          <w:sz w:val="24"/>
          <w:u w:val="single"/>
        </w:rPr>
      </w:pPr>
    </w:p>
    <w:p w14:paraId="464CBE7E">
      <w:pPr>
        <w:ind w:firstLine="2640" w:firstLineChars="1100"/>
        <w:rPr>
          <w:rFonts w:hint="eastAsia" w:ascii="仿宋" w:hAnsi="仿宋" w:eastAsia="仿宋"/>
          <w:color w:val="auto"/>
          <w:sz w:val="24"/>
          <w:u w:val="single"/>
        </w:rPr>
      </w:pPr>
    </w:p>
    <w:p w14:paraId="099B6395">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4E7777BC">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23D640B5">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2EB47FFA">
      <w:pPr>
        <w:rPr>
          <w:rFonts w:hint="eastAsia" w:ascii="仿宋" w:hAnsi="仿宋" w:eastAsia="仿宋"/>
          <w:color w:val="auto"/>
          <w:sz w:val="24"/>
          <w:u w:val="single"/>
        </w:rPr>
      </w:pPr>
    </w:p>
    <w:p w14:paraId="36BEB6BB">
      <w:pPr>
        <w:rPr>
          <w:rFonts w:hint="eastAsia" w:ascii="仿宋" w:hAnsi="仿宋" w:eastAsia="仿宋"/>
          <w:color w:val="auto"/>
          <w:sz w:val="24"/>
          <w:u w:val="single"/>
        </w:rPr>
      </w:pPr>
    </w:p>
    <w:p w14:paraId="00AAAB47">
      <w:pPr>
        <w:bidi w:val="0"/>
        <w:ind w:firstLine="2650" w:firstLineChars="1100"/>
        <w:rPr>
          <w:rFonts w:hint="eastAsia" w:ascii="仿宋" w:hAnsi="仿宋" w:eastAsia="仿宋" w:cs="仿宋"/>
          <w:b/>
          <w:bCs/>
          <w:color w:val="auto"/>
          <w:sz w:val="24"/>
          <w:highlight w:val="none"/>
          <w:u w:val="single"/>
        </w:rPr>
      </w:pPr>
    </w:p>
    <w:p w14:paraId="565126EE">
      <w:pPr>
        <w:numPr>
          <w:ilvl w:val="1"/>
          <w:numId w:val="0"/>
        </w:numPr>
        <w:adjustRightInd w:val="0"/>
        <w:spacing w:line="416" w:lineRule="atLeast"/>
        <w:jc w:val="center"/>
        <w:textAlignment w:val="baseline"/>
        <w:outlineLvl w:val="2"/>
        <w:rPr>
          <w:rFonts w:hint="eastAsia" w:ascii="仿宋" w:hAnsi="仿宋" w:eastAsia="仿宋" w:cs="仿宋"/>
          <w:b/>
          <w:color w:val="auto"/>
          <w:szCs w:val="22"/>
          <w:highlight w:val="none"/>
        </w:rPr>
      </w:pPr>
      <w:r>
        <w:rPr>
          <w:rFonts w:hint="eastAsia" w:ascii="仿宋" w:hAnsi="仿宋" w:eastAsia="仿宋" w:cs="仿宋"/>
          <w:b/>
          <w:bCs/>
          <w:color w:val="auto"/>
          <w:sz w:val="24"/>
          <w:highlight w:val="none"/>
          <w:u w:val="single"/>
        </w:rPr>
        <w:br w:type="page"/>
      </w:r>
      <w:bookmarkStart w:id="282" w:name="_Toc12569"/>
      <w:bookmarkStart w:id="283" w:name="_Toc11129"/>
      <w:bookmarkStart w:id="284" w:name="_Toc12668"/>
      <w:r>
        <w:rPr>
          <w:rFonts w:hint="eastAsia" w:ascii="仿宋" w:hAnsi="仿宋" w:eastAsia="仿宋" w:cs="仿宋"/>
          <w:b/>
          <w:bCs/>
          <w:color w:val="auto"/>
          <w:sz w:val="32"/>
          <w:szCs w:val="32"/>
          <w:highlight w:val="none"/>
          <w:lang w:val="en-US" w:eastAsia="zh-CN"/>
        </w:rPr>
        <w:t>拒绝商业贿赂承诺书</w:t>
      </w:r>
      <w:bookmarkEnd w:id="282"/>
      <w:bookmarkEnd w:id="283"/>
      <w:bookmarkEnd w:id="284"/>
    </w:p>
    <w:p w14:paraId="39C73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为防止政府采购领域商业贿赂行为的发生，进一步规范政府采购工作，维护政府采购当事人的合法权益，加强政府采购监管工作，推动政府采购领域的廉政建设。根据陕西省财政厅下发的《关于在政府采购活动中签订拒绝商业贿赂承诺书的通知》（陕财办采管[2006]21号）的要求，签订拒绝商业贿赂承诺书。</w:t>
      </w:r>
    </w:p>
    <w:p w14:paraId="649C5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在此，我们郑重向社会承诺：</w:t>
      </w:r>
    </w:p>
    <w:p w14:paraId="62220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认真学习并自觉遵守党纪政纪和政府采购法律法规，不断提高法律意识和法制观念；</w:t>
      </w:r>
    </w:p>
    <w:p w14:paraId="6A212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rPr>
        <w:t>严格执行政府采购的各项规章制度、操作规程和办事程序，主动接受相关部门和社会群众对政府采购工作人员依法、有效、持续的监督；</w:t>
      </w:r>
    </w:p>
    <w:p w14:paraId="71CE6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不接受可能影响采购公正的单位和个人的宴请、休闲和旅游活动及礼品馈赠、不利用工作之便谋取不正当利益；</w:t>
      </w:r>
    </w:p>
    <w:p w14:paraId="5DDB3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不与招标代理机构和</w:t>
      </w:r>
      <w:r>
        <w:rPr>
          <w:rFonts w:hint="eastAsia" w:ascii="仿宋" w:hAnsi="仿宋" w:eastAsia="仿宋" w:cs="仿宋"/>
          <w:color w:val="auto"/>
          <w:sz w:val="24"/>
          <w:szCs w:val="22"/>
          <w:highlight w:val="none"/>
          <w:lang w:eastAsia="zh-CN"/>
        </w:rPr>
        <w:t>供应商</w:t>
      </w:r>
      <w:r>
        <w:rPr>
          <w:rFonts w:hint="eastAsia" w:ascii="仿宋" w:hAnsi="仿宋" w:eastAsia="仿宋" w:cs="仿宋"/>
          <w:color w:val="auto"/>
          <w:sz w:val="24"/>
          <w:szCs w:val="22"/>
          <w:highlight w:val="none"/>
        </w:rPr>
        <w:t>发生不正当的经济往来、采购活动期间不在非办公场所与供应商私自单独接触；</w:t>
      </w:r>
    </w:p>
    <w:p w14:paraId="4D14B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rPr>
        <w:t>文明办公，热情服务，不断提高办事效率和服务水平，自觉维护政府采购从业人员的良好形象。</w:t>
      </w:r>
    </w:p>
    <w:p w14:paraId="741AE3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本承诺是采购项目</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文件的组成部分。</w:t>
      </w:r>
    </w:p>
    <w:p w14:paraId="40B018ED">
      <w:pPr>
        <w:pStyle w:val="26"/>
        <w:rPr>
          <w:rFonts w:hint="eastAsia" w:ascii="仿宋" w:hAnsi="仿宋" w:eastAsia="仿宋" w:cs="仿宋"/>
          <w:color w:val="auto"/>
          <w:highlight w:val="none"/>
        </w:rPr>
      </w:pPr>
    </w:p>
    <w:p w14:paraId="761C2B62">
      <w:pPr>
        <w:pStyle w:val="26"/>
        <w:rPr>
          <w:rFonts w:hint="eastAsia" w:ascii="仿宋" w:hAnsi="仿宋" w:eastAsia="仿宋" w:cs="仿宋"/>
          <w:color w:val="auto"/>
          <w:highlight w:val="none"/>
        </w:rPr>
      </w:pPr>
    </w:p>
    <w:p w14:paraId="508BADC4">
      <w:pPr>
        <w:pStyle w:val="26"/>
        <w:rPr>
          <w:rFonts w:hint="eastAsia" w:ascii="仿宋" w:hAnsi="仿宋" w:eastAsia="仿宋" w:cs="仿宋"/>
          <w:color w:val="auto"/>
          <w:highlight w:val="none"/>
        </w:rPr>
      </w:pPr>
    </w:p>
    <w:p w14:paraId="1834EE60">
      <w:pPr>
        <w:pStyle w:val="26"/>
        <w:rPr>
          <w:rFonts w:hint="eastAsia" w:ascii="仿宋" w:hAnsi="仿宋" w:eastAsia="仿宋" w:cs="仿宋"/>
          <w:color w:val="auto"/>
          <w:highlight w:val="none"/>
        </w:rPr>
      </w:pPr>
    </w:p>
    <w:p w14:paraId="3FE2B491">
      <w:pPr>
        <w:pStyle w:val="26"/>
        <w:rPr>
          <w:rFonts w:hint="eastAsia" w:ascii="仿宋" w:hAnsi="仿宋" w:eastAsia="仿宋" w:cs="仿宋"/>
          <w:color w:val="auto"/>
          <w:highlight w:val="none"/>
        </w:rPr>
      </w:pPr>
    </w:p>
    <w:p w14:paraId="7499F3C1">
      <w:pPr>
        <w:ind w:firstLine="2640" w:firstLineChars="1100"/>
        <w:rPr>
          <w:rFonts w:hint="eastAsia" w:ascii="仿宋" w:hAnsi="仿宋" w:eastAsia="仿宋"/>
          <w:color w:val="auto"/>
          <w:sz w:val="24"/>
          <w:u w:val="single"/>
        </w:rPr>
      </w:pPr>
    </w:p>
    <w:p w14:paraId="5425DC2B">
      <w:pPr>
        <w:ind w:firstLine="2640" w:firstLineChars="1100"/>
        <w:rPr>
          <w:rFonts w:hint="eastAsia" w:ascii="仿宋" w:hAnsi="仿宋" w:eastAsia="仿宋"/>
          <w:color w:val="auto"/>
          <w:sz w:val="24"/>
          <w:u w:val="single"/>
        </w:rPr>
      </w:pPr>
    </w:p>
    <w:p w14:paraId="4A49C44A">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1BF341BC">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57420022">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458E41D2">
      <w:pPr>
        <w:rPr>
          <w:rFonts w:hint="eastAsia" w:ascii="仿宋" w:hAnsi="仿宋" w:eastAsia="仿宋"/>
          <w:color w:val="auto"/>
          <w:sz w:val="24"/>
          <w:u w:val="single"/>
        </w:rPr>
      </w:pPr>
    </w:p>
    <w:p w14:paraId="5CA5D506">
      <w:pPr>
        <w:rPr>
          <w:rFonts w:hint="eastAsia" w:ascii="仿宋" w:hAnsi="仿宋" w:eastAsia="仿宋"/>
          <w:color w:val="auto"/>
          <w:sz w:val="24"/>
          <w:u w:val="single"/>
        </w:rPr>
      </w:pPr>
    </w:p>
    <w:p w14:paraId="5790C79E">
      <w:pPr>
        <w:rPr>
          <w:rFonts w:hint="eastAsia" w:ascii="仿宋" w:hAnsi="仿宋" w:eastAsia="仿宋"/>
          <w:color w:val="auto"/>
          <w:sz w:val="24"/>
          <w:u w:val="single"/>
        </w:rPr>
      </w:pPr>
    </w:p>
    <w:p w14:paraId="2EAE34CE">
      <w:pPr>
        <w:spacing w:line="460" w:lineRule="exact"/>
        <w:ind w:firstLine="2650" w:firstLineChars="1100"/>
        <w:rPr>
          <w:rFonts w:hint="eastAsia" w:ascii="仿宋" w:hAnsi="仿宋" w:eastAsia="仿宋" w:cs="仿宋"/>
          <w:b/>
          <w:bCs/>
          <w:color w:val="auto"/>
          <w:sz w:val="24"/>
          <w:highlight w:val="none"/>
          <w:u w:val="single"/>
        </w:rPr>
      </w:pPr>
    </w:p>
    <w:p w14:paraId="1E02433C">
      <w:pPr>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br w:type="page"/>
      </w:r>
    </w:p>
    <w:p w14:paraId="5CD36F8A">
      <w:pPr>
        <w:numPr>
          <w:ilvl w:val="1"/>
          <w:numId w:val="0"/>
        </w:numPr>
        <w:adjustRightInd w:val="0"/>
        <w:spacing w:line="416" w:lineRule="atLeast"/>
        <w:jc w:val="center"/>
        <w:textAlignment w:val="baseline"/>
        <w:outlineLvl w:val="2"/>
        <w:rPr>
          <w:rFonts w:hint="eastAsia" w:ascii="仿宋" w:hAnsi="仿宋" w:eastAsia="仿宋" w:cs="仿宋"/>
          <w:b/>
          <w:color w:val="auto"/>
          <w:sz w:val="32"/>
          <w:szCs w:val="32"/>
          <w:highlight w:val="none"/>
        </w:rPr>
      </w:pPr>
      <w:bookmarkStart w:id="285" w:name="_Toc15179"/>
      <w:bookmarkStart w:id="286" w:name="_Toc16073"/>
      <w:bookmarkStart w:id="287" w:name="_Toc27537"/>
      <w:r>
        <w:rPr>
          <w:rFonts w:hint="eastAsia" w:ascii="仿宋" w:hAnsi="仿宋" w:eastAsia="仿宋" w:cs="仿宋"/>
          <w:b/>
          <w:color w:val="auto"/>
          <w:sz w:val="32"/>
          <w:szCs w:val="32"/>
          <w:highlight w:val="none"/>
          <w:lang w:val="en-US" w:eastAsia="zh-CN"/>
        </w:rPr>
        <w:t>拒绝围标串标承诺书</w:t>
      </w:r>
      <w:bookmarkEnd w:id="285"/>
      <w:bookmarkEnd w:id="286"/>
      <w:bookmarkEnd w:id="287"/>
    </w:p>
    <w:p w14:paraId="7CBD17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为规范政府采购活动，建立公正、公平的交易环境，保护政府采购活动当事人的合法权益，维护国家利益和社会公共利益，作为本次项目的供应商、采购人、采购代理机构及其工作人员我在此郑重承诺：拒绝围标、串标行为，如有违反接受相应处罚。</w:t>
      </w:r>
    </w:p>
    <w:p w14:paraId="7A593E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根据《中华人民共和国政府采购法实施条例》（国务院第658号令）第七十四条，有下列情形之一的，属于恶意串通： </w:t>
      </w:r>
    </w:p>
    <w:p w14:paraId="4D625A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（一）供应商直接或者间接从采购人或者采购代理机构处获得其他供应商的相关情况并修改其</w:t>
      </w:r>
      <w:r>
        <w:rPr>
          <w:rFonts w:hint="eastAsia" w:ascii="仿宋" w:hAnsi="仿宋" w:eastAsia="仿宋" w:cs="仿宋"/>
          <w:color w:val="auto"/>
          <w:sz w:val="24"/>
          <w:szCs w:val="22"/>
          <w:highlight w:val="none"/>
          <w:lang w:eastAsia="zh-CN"/>
        </w:rPr>
        <w:t>响应文件</w:t>
      </w:r>
      <w:r>
        <w:rPr>
          <w:rFonts w:hint="eastAsia" w:ascii="仿宋" w:hAnsi="仿宋" w:eastAsia="仿宋" w:cs="仿宋"/>
          <w:color w:val="auto"/>
          <w:sz w:val="24"/>
          <w:szCs w:val="22"/>
          <w:highlight w:val="none"/>
        </w:rPr>
        <w:t>或者响应文件；</w:t>
      </w:r>
    </w:p>
    <w:p w14:paraId="39B37AE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（二）供应商按照采购人或者采购代理机构的授意撤换、修改</w:t>
      </w:r>
      <w:r>
        <w:rPr>
          <w:rFonts w:hint="eastAsia" w:ascii="仿宋" w:hAnsi="仿宋" w:eastAsia="仿宋" w:cs="仿宋"/>
          <w:color w:val="auto"/>
          <w:sz w:val="24"/>
          <w:szCs w:val="22"/>
          <w:highlight w:val="none"/>
          <w:lang w:eastAsia="zh-CN"/>
        </w:rPr>
        <w:t>响应文件</w:t>
      </w:r>
      <w:r>
        <w:rPr>
          <w:rFonts w:hint="eastAsia" w:ascii="仿宋" w:hAnsi="仿宋" w:eastAsia="仿宋" w:cs="仿宋"/>
          <w:color w:val="auto"/>
          <w:sz w:val="24"/>
          <w:szCs w:val="22"/>
          <w:highlight w:val="none"/>
        </w:rPr>
        <w:t>或者响应文件；</w:t>
      </w:r>
    </w:p>
    <w:p w14:paraId="547CB5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（三）供应商之间协商报价、技术方案等</w:t>
      </w:r>
      <w:r>
        <w:rPr>
          <w:rFonts w:hint="eastAsia" w:ascii="仿宋" w:hAnsi="仿宋" w:eastAsia="仿宋" w:cs="仿宋"/>
          <w:color w:val="auto"/>
          <w:sz w:val="24"/>
          <w:szCs w:val="22"/>
          <w:highlight w:val="none"/>
          <w:lang w:eastAsia="zh-CN"/>
        </w:rPr>
        <w:t>响应文件</w:t>
      </w:r>
      <w:r>
        <w:rPr>
          <w:rFonts w:hint="eastAsia" w:ascii="仿宋" w:hAnsi="仿宋" w:eastAsia="仿宋" w:cs="仿宋"/>
          <w:color w:val="auto"/>
          <w:sz w:val="24"/>
          <w:szCs w:val="22"/>
          <w:highlight w:val="none"/>
        </w:rPr>
        <w:t>或者响应文件的实质性内容；</w:t>
      </w:r>
    </w:p>
    <w:p w14:paraId="229CED4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（四）属于同一集团、协会、商会等组织成员的供应商按照该组织要求协同参加政府采购活动；</w:t>
      </w:r>
    </w:p>
    <w:p w14:paraId="00FF912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（五）供应商之间事先约定由某一特定供应商中标、成交；</w:t>
      </w:r>
    </w:p>
    <w:p w14:paraId="0B5997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（六）供应商之间商定部分供应商放弃参加政府采购活动或者放弃中标、成交；</w:t>
      </w:r>
    </w:p>
    <w:p w14:paraId="44CBC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（七）供应商与采购人或者采购代理机构之间、供应商相互之间，为谋求特定供应商中标、成交或者排斥其他供应商的其他串通行为。</w:t>
      </w:r>
    </w:p>
    <w:p w14:paraId="12492A9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有上述情形之一，对供应商依照《中华人民共和国政府采购法》第七十七条的规定追究法律责任：中标、成交无效，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对采购人、采购代理机构及其工作人员依照《中华人民共和国政府采购法》第七十二条的规定追究法律责任：构成犯罪的，依法追究刑事责任；尚不构成犯罪的，处以罚款，有违法所得的，并处没收违法所得，属于国家机关工作人员的，依法给予行政处分。</w:t>
      </w:r>
    </w:p>
    <w:p w14:paraId="3A2B3293">
      <w:pPr>
        <w:ind w:firstLine="2640" w:firstLineChars="1100"/>
        <w:rPr>
          <w:rFonts w:hint="eastAsia" w:ascii="仿宋" w:hAnsi="仿宋" w:eastAsia="仿宋"/>
          <w:color w:val="auto"/>
          <w:sz w:val="24"/>
          <w:u w:val="single"/>
        </w:rPr>
      </w:pPr>
    </w:p>
    <w:p w14:paraId="73D1AF85">
      <w:pPr>
        <w:spacing w:line="480" w:lineRule="auto"/>
        <w:ind w:right="-161"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法定代表人或被授权代表</w:t>
      </w:r>
      <w:r>
        <w:rPr>
          <w:rFonts w:hint="eastAsia" w:ascii="仿宋" w:hAnsi="仿宋" w:eastAsia="仿宋" w:cs="仿宋"/>
          <w:color w:val="auto"/>
          <w:sz w:val="24"/>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09AAB3DA">
      <w:pPr>
        <w:spacing w:line="480" w:lineRule="auto"/>
        <w:ind w:right="-161"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u w:val="single"/>
        </w:rPr>
        <w:t>（公章）</w:t>
      </w:r>
    </w:p>
    <w:p w14:paraId="1802FB20">
      <w:pPr>
        <w:ind w:firstLine="2640" w:firstLineChars="11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p>
    <w:p w14:paraId="18F36A79">
      <w:pPr>
        <w:rPr>
          <w:rFonts w:hint="eastAsia" w:ascii="仿宋" w:hAnsi="仿宋" w:eastAsia="仿宋"/>
          <w:color w:val="auto"/>
          <w:sz w:val="24"/>
          <w:u w:val="single"/>
        </w:rPr>
      </w:pPr>
    </w:p>
    <w:p w14:paraId="62121063">
      <w:pPr>
        <w:spacing w:line="360" w:lineRule="auto"/>
        <w:ind w:firstLine="2640" w:firstLineChars="1100"/>
        <w:jc w:val="both"/>
        <w:rPr>
          <w:rFonts w:hint="eastAsia" w:ascii="仿宋" w:hAnsi="仿宋" w:eastAsia="仿宋" w:cs="仿宋"/>
          <w:color w:val="auto"/>
          <w:sz w:val="24"/>
        </w:rPr>
      </w:pPr>
    </w:p>
    <w:p w14:paraId="3E1D8220">
      <w:pPr>
        <w:rPr>
          <w:rFonts w:hint="eastAsia" w:ascii="仿宋" w:hAnsi="仿宋" w:eastAsia="仿宋" w:cs="仿宋"/>
          <w:color w:val="auto"/>
        </w:rPr>
      </w:pPr>
    </w:p>
    <w:p w14:paraId="73060F0F">
      <w:pPr>
        <w:pStyle w:val="17"/>
        <w:rPr>
          <w:rFonts w:hint="eastAsia" w:ascii="仿宋" w:hAnsi="仿宋" w:eastAsia="仿宋" w:cs="仿宋"/>
          <w:color w:val="auto"/>
        </w:rPr>
      </w:pPr>
    </w:p>
    <w:bookmarkEnd w:id="275"/>
    <w:bookmarkEnd w:id="276"/>
    <w:p w14:paraId="4B5DEA10">
      <w:pPr>
        <w:pStyle w:val="4"/>
        <w:tabs>
          <w:tab w:val="left" w:pos="576"/>
        </w:tabs>
        <w:adjustRightInd w:val="0"/>
        <w:spacing w:line="416" w:lineRule="atLeast"/>
        <w:jc w:val="left"/>
        <w:textAlignment w:val="baseline"/>
        <w:rPr>
          <w:rFonts w:hint="eastAsia" w:ascii="仿宋" w:hAnsi="仿宋" w:eastAsia="仿宋" w:cs="仿宋"/>
          <w:iCs/>
          <w:color w:val="auto"/>
        </w:rPr>
      </w:pPr>
      <w:r>
        <w:rPr>
          <w:rFonts w:hint="eastAsia" w:ascii="仿宋" w:hAnsi="仿宋" w:eastAsia="仿宋" w:cs="仿宋"/>
          <w:b/>
          <w:iCs/>
          <w:color w:val="auto"/>
        </w:rPr>
        <w:br w:type="page"/>
      </w:r>
      <w:bookmarkEnd w:id="277"/>
      <w:bookmarkEnd w:id="278"/>
      <w:bookmarkEnd w:id="279"/>
      <w:bookmarkStart w:id="288" w:name="_Toc18114"/>
      <w:r>
        <w:rPr>
          <w:rFonts w:hint="eastAsia" w:ascii="仿宋" w:hAnsi="仿宋" w:eastAsia="仿宋" w:cs="仿宋"/>
          <w:iCs/>
          <w:color w:val="auto"/>
        </w:rPr>
        <w:t>附件</w:t>
      </w:r>
      <w:r>
        <w:rPr>
          <w:rFonts w:hint="eastAsia" w:ascii="仿宋" w:hAnsi="仿宋" w:eastAsia="仿宋" w:cs="仿宋"/>
          <w:iCs/>
          <w:color w:val="auto"/>
          <w:lang w:val="en-US" w:eastAsia="zh-CN"/>
        </w:rPr>
        <w:t>12</w:t>
      </w:r>
      <w:r>
        <w:rPr>
          <w:rFonts w:ascii="仿宋" w:hAnsi="仿宋" w:eastAsia="仿宋" w:cs="仿宋"/>
          <w:iCs/>
          <w:color w:val="auto"/>
        </w:rPr>
        <w:t xml:space="preserve"> </w:t>
      </w:r>
      <w:r>
        <w:rPr>
          <w:rFonts w:hint="eastAsia" w:ascii="仿宋" w:hAnsi="仿宋" w:eastAsia="仿宋" w:cs="仿宋"/>
          <w:iCs/>
          <w:color w:val="auto"/>
          <w:lang w:val="en-US" w:eastAsia="zh-CN"/>
        </w:rPr>
        <w:t xml:space="preserve"> 其它</w:t>
      </w:r>
      <w:r>
        <w:rPr>
          <w:rFonts w:hint="eastAsia" w:ascii="仿宋" w:hAnsi="仿宋" w:eastAsia="仿宋" w:cs="仿宋"/>
          <w:iCs/>
          <w:color w:val="auto"/>
        </w:rPr>
        <w:t>证明材料</w:t>
      </w:r>
      <w:bookmarkEnd w:id="288"/>
    </w:p>
    <w:p w14:paraId="2F9D4A2F">
      <w:pPr>
        <w:rPr>
          <w:rFonts w:hint="eastAsia" w:ascii="仿宋" w:hAnsi="仿宋" w:eastAsia="仿宋" w:cs="仿宋"/>
          <w:color w:val="auto"/>
          <w:sz w:val="24"/>
          <w:szCs w:val="24"/>
        </w:rPr>
      </w:pPr>
      <w:r>
        <w:rPr>
          <w:rFonts w:hint="eastAsia" w:ascii="仿宋" w:hAnsi="仿宋" w:eastAsia="仿宋" w:cs="仿宋"/>
          <w:color w:val="auto"/>
          <w:kern w:val="0"/>
          <w:sz w:val="24"/>
          <w:szCs w:val="24"/>
        </w:rPr>
        <w:t>　　</w:t>
      </w:r>
    </w:p>
    <w:p w14:paraId="6EF48424">
      <w:pPr>
        <w:rPr>
          <w:rFonts w:ascii="仿宋" w:hAnsi="仿宋" w:eastAsia="仿宋" w:cs="仿宋"/>
          <w:color w:val="auto"/>
          <w:sz w:val="24"/>
          <w:szCs w:val="24"/>
        </w:rPr>
      </w:pPr>
    </w:p>
    <w:p w14:paraId="5A0AA338">
      <w:pPr>
        <w:rPr>
          <w:rFonts w:ascii="仿宋" w:hAnsi="仿宋" w:eastAsia="仿宋"/>
          <w:color w:val="auto"/>
          <w:sz w:val="24"/>
          <w:szCs w:val="24"/>
        </w:rPr>
      </w:pPr>
      <w:r>
        <w:rPr>
          <w:rFonts w:hint="eastAsia" w:ascii="仿宋" w:hAnsi="仿宋" w:eastAsia="仿宋"/>
          <w:b/>
          <w:bCs/>
          <w:color w:val="auto"/>
          <w:sz w:val="24"/>
          <w:szCs w:val="24"/>
          <w:lang w:eastAsia="zh-CN"/>
        </w:rPr>
        <w:t>供应商认为对其磋商有利的其它证明</w:t>
      </w:r>
    </w:p>
    <w:p w14:paraId="0F2DC6E4">
      <w:pPr>
        <w:pStyle w:val="17"/>
        <w:rPr>
          <w:rFonts w:ascii="仿宋" w:hAnsi="仿宋" w:eastAsia="仿宋"/>
          <w:color w:val="auto"/>
        </w:rPr>
      </w:pPr>
    </w:p>
    <w:p w14:paraId="4A096BA0">
      <w:pPr>
        <w:rPr>
          <w:rFonts w:ascii="仿宋" w:hAnsi="仿宋" w:eastAsia="仿宋"/>
          <w:color w:val="auto"/>
        </w:rPr>
      </w:pPr>
    </w:p>
    <w:p w14:paraId="34D920E6">
      <w:pPr>
        <w:pStyle w:val="17"/>
        <w:rPr>
          <w:rFonts w:ascii="仿宋" w:hAnsi="仿宋" w:eastAsia="仿宋"/>
          <w:color w:val="auto"/>
        </w:rPr>
      </w:pPr>
    </w:p>
    <w:p w14:paraId="654D3BCC">
      <w:pPr>
        <w:rPr>
          <w:rFonts w:ascii="仿宋" w:hAnsi="仿宋" w:eastAsia="仿宋"/>
          <w:color w:val="auto"/>
        </w:rPr>
      </w:pPr>
    </w:p>
    <w:p w14:paraId="59542E49">
      <w:pPr>
        <w:pStyle w:val="17"/>
        <w:rPr>
          <w:rFonts w:ascii="仿宋" w:hAnsi="仿宋" w:eastAsia="仿宋"/>
          <w:color w:val="auto"/>
        </w:rPr>
      </w:pPr>
    </w:p>
    <w:p w14:paraId="18764984">
      <w:pPr>
        <w:rPr>
          <w:rFonts w:ascii="仿宋" w:hAnsi="仿宋" w:eastAsia="仿宋"/>
          <w:color w:val="auto"/>
        </w:rPr>
      </w:pPr>
    </w:p>
    <w:p w14:paraId="2D1B3219">
      <w:pPr>
        <w:pStyle w:val="17"/>
        <w:rPr>
          <w:rFonts w:ascii="仿宋" w:hAnsi="仿宋" w:eastAsia="仿宋"/>
          <w:color w:val="auto"/>
        </w:rPr>
      </w:pPr>
    </w:p>
    <w:p w14:paraId="3C58A9DA">
      <w:pPr>
        <w:rPr>
          <w:rFonts w:ascii="仿宋" w:hAnsi="仿宋" w:eastAsia="仿宋"/>
          <w:color w:val="auto"/>
        </w:rPr>
      </w:pPr>
    </w:p>
    <w:p w14:paraId="16CD45C0">
      <w:pPr>
        <w:pStyle w:val="17"/>
        <w:rPr>
          <w:rFonts w:ascii="仿宋" w:hAnsi="仿宋" w:eastAsia="仿宋"/>
          <w:color w:val="auto"/>
        </w:rPr>
      </w:pPr>
    </w:p>
    <w:p w14:paraId="2776BCB4">
      <w:pPr>
        <w:rPr>
          <w:rFonts w:ascii="仿宋" w:hAnsi="仿宋" w:eastAsia="仿宋"/>
          <w:color w:val="auto"/>
        </w:rPr>
      </w:pPr>
    </w:p>
    <w:p w14:paraId="1CCD05F8">
      <w:pPr>
        <w:pStyle w:val="17"/>
        <w:rPr>
          <w:rFonts w:ascii="仿宋" w:hAnsi="仿宋" w:eastAsia="仿宋"/>
          <w:color w:val="auto"/>
        </w:rPr>
      </w:pPr>
    </w:p>
    <w:p w14:paraId="08A2D677">
      <w:pPr>
        <w:rPr>
          <w:rFonts w:ascii="仿宋" w:hAnsi="仿宋" w:eastAsia="仿宋"/>
          <w:color w:val="auto"/>
        </w:rPr>
      </w:pPr>
    </w:p>
    <w:p w14:paraId="50D472D2">
      <w:pPr>
        <w:pStyle w:val="17"/>
        <w:rPr>
          <w:rFonts w:ascii="仿宋" w:hAnsi="仿宋" w:eastAsia="仿宋"/>
          <w:color w:val="auto"/>
        </w:rPr>
      </w:pPr>
    </w:p>
    <w:p w14:paraId="54B94CC5">
      <w:pPr>
        <w:rPr>
          <w:rFonts w:ascii="仿宋" w:hAnsi="仿宋" w:eastAsia="仿宋"/>
          <w:color w:val="auto"/>
        </w:rPr>
      </w:pPr>
    </w:p>
    <w:p w14:paraId="3418EE46">
      <w:pPr>
        <w:pStyle w:val="17"/>
        <w:rPr>
          <w:color w:val="auto"/>
        </w:rPr>
      </w:pPr>
    </w:p>
    <w:p w14:paraId="0CAEAC2E">
      <w:pPr>
        <w:rPr>
          <w:color w:val="auto"/>
        </w:rPr>
      </w:pPr>
    </w:p>
    <w:p w14:paraId="47D48D94">
      <w:pPr>
        <w:pStyle w:val="17"/>
        <w:rPr>
          <w:rFonts w:hint="eastAsia"/>
          <w:color w:val="auto"/>
        </w:rPr>
      </w:pPr>
    </w:p>
    <w:p w14:paraId="7111CCA9">
      <w:pPr>
        <w:pStyle w:val="17"/>
        <w:rPr>
          <w:rFonts w:ascii="仿宋" w:hAnsi="仿宋" w:eastAsia="仿宋"/>
          <w:color w:val="auto"/>
        </w:rPr>
      </w:pPr>
    </w:p>
    <w:p w14:paraId="6CA07B41">
      <w:pPr>
        <w:rPr>
          <w:rFonts w:ascii="仿宋" w:hAnsi="仿宋" w:eastAsia="仿宋"/>
          <w:color w:val="auto"/>
        </w:rPr>
      </w:pPr>
    </w:p>
    <w:p w14:paraId="78293967">
      <w:pPr>
        <w:pStyle w:val="17"/>
        <w:rPr>
          <w:rFonts w:ascii="仿宋" w:hAnsi="仿宋" w:eastAsia="仿宋"/>
          <w:color w:val="auto"/>
        </w:rPr>
      </w:pPr>
    </w:p>
    <w:p w14:paraId="7784D5F5">
      <w:pPr>
        <w:rPr>
          <w:rFonts w:ascii="仿宋" w:hAnsi="仿宋" w:eastAsia="仿宋"/>
          <w:color w:val="auto"/>
        </w:rPr>
      </w:pPr>
    </w:p>
    <w:p w14:paraId="361A3E82">
      <w:pPr>
        <w:pStyle w:val="17"/>
        <w:rPr>
          <w:rFonts w:ascii="仿宋" w:hAnsi="仿宋" w:eastAsia="仿宋"/>
          <w:color w:val="auto"/>
        </w:rPr>
      </w:pPr>
    </w:p>
    <w:p w14:paraId="6E7E0B4A">
      <w:pPr>
        <w:rPr>
          <w:rFonts w:ascii="仿宋" w:hAnsi="仿宋" w:eastAsia="仿宋"/>
          <w:color w:val="auto"/>
        </w:rPr>
      </w:pPr>
    </w:p>
    <w:p w14:paraId="29B19ACF">
      <w:pPr>
        <w:pStyle w:val="17"/>
        <w:rPr>
          <w:rFonts w:ascii="仿宋" w:hAnsi="仿宋" w:eastAsia="仿宋"/>
          <w:color w:val="auto"/>
        </w:rPr>
      </w:pPr>
    </w:p>
    <w:p w14:paraId="486620C6">
      <w:pPr>
        <w:rPr>
          <w:rFonts w:ascii="仿宋" w:hAnsi="仿宋" w:eastAsia="仿宋"/>
          <w:color w:val="auto"/>
        </w:rPr>
      </w:pPr>
    </w:p>
    <w:p w14:paraId="73F8C9B3">
      <w:pPr>
        <w:pStyle w:val="17"/>
        <w:rPr>
          <w:rFonts w:ascii="仿宋" w:hAnsi="仿宋" w:eastAsia="仿宋"/>
          <w:color w:val="auto"/>
        </w:rPr>
      </w:pPr>
    </w:p>
    <w:p w14:paraId="52618757">
      <w:pPr>
        <w:rPr>
          <w:rFonts w:ascii="仿宋" w:hAnsi="仿宋" w:eastAsia="仿宋"/>
          <w:color w:val="auto"/>
        </w:rPr>
      </w:pPr>
    </w:p>
    <w:p w14:paraId="432E444E">
      <w:pPr>
        <w:pStyle w:val="17"/>
        <w:rPr>
          <w:rFonts w:ascii="仿宋" w:hAnsi="仿宋" w:eastAsia="仿宋"/>
          <w:color w:val="auto"/>
        </w:rPr>
      </w:pPr>
    </w:p>
    <w:p w14:paraId="738ECACF">
      <w:pPr>
        <w:rPr>
          <w:rFonts w:ascii="仿宋" w:hAnsi="仿宋" w:eastAsia="仿宋"/>
          <w:color w:val="auto"/>
        </w:rPr>
      </w:pPr>
    </w:p>
    <w:p w14:paraId="50BCB73A">
      <w:pPr>
        <w:pStyle w:val="17"/>
        <w:rPr>
          <w:rFonts w:ascii="仿宋" w:hAnsi="仿宋" w:eastAsia="仿宋"/>
          <w:color w:val="auto"/>
        </w:rPr>
      </w:pPr>
    </w:p>
    <w:p w14:paraId="6A5C5145">
      <w:pPr>
        <w:rPr>
          <w:rFonts w:ascii="仿宋" w:hAnsi="仿宋" w:eastAsia="仿宋"/>
          <w:color w:val="auto"/>
        </w:rPr>
      </w:pPr>
    </w:p>
    <w:p w14:paraId="602821BE">
      <w:pPr>
        <w:pStyle w:val="17"/>
        <w:rPr>
          <w:rFonts w:ascii="仿宋" w:hAnsi="仿宋" w:eastAsia="仿宋"/>
          <w:color w:val="auto"/>
        </w:rPr>
      </w:pPr>
    </w:p>
    <w:p w14:paraId="3217EE40">
      <w:pPr>
        <w:rPr>
          <w:rFonts w:ascii="仿宋" w:hAnsi="仿宋" w:eastAsia="仿宋"/>
          <w:color w:val="auto"/>
        </w:rPr>
      </w:pPr>
    </w:p>
    <w:p w14:paraId="77DDDC70">
      <w:pPr>
        <w:pStyle w:val="17"/>
        <w:rPr>
          <w:rFonts w:ascii="仿宋" w:hAnsi="仿宋" w:eastAsia="仿宋"/>
          <w:color w:val="auto"/>
        </w:rPr>
      </w:pPr>
    </w:p>
    <w:p w14:paraId="27C3748E">
      <w:pPr>
        <w:rPr>
          <w:color w:val="auto"/>
        </w:rPr>
      </w:pPr>
    </w:p>
    <w:p w14:paraId="55BA2791">
      <w:pPr>
        <w:rPr>
          <w:color w:val="auto"/>
        </w:rPr>
      </w:pPr>
    </w:p>
    <w:p w14:paraId="27603EE9">
      <w:pPr>
        <w:pStyle w:val="17"/>
        <w:rPr>
          <w:rFonts w:ascii="仿宋" w:hAnsi="仿宋" w:eastAsia="仿宋"/>
          <w:color w:val="auto"/>
        </w:rPr>
      </w:pPr>
    </w:p>
    <w:p w14:paraId="616A46EF">
      <w:pPr>
        <w:rPr>
          <w:color w:val="auto"/>
        </w:rPr>
      </w:pPr>
    </w:p>
    <w:p w14:paraId="5AFF98EF">
      <w:pPr>
        <w:pStyle w:val="3"/>
        <w:numPr>
          <w:ilvl w:val="0"/>
          <w:numId w:val="3"/>
        </w:numPr>
        <w:spacing w:line="360" w:lineRule="auto"/>
        <w:jc w:val="center"/>
        <w:rPr>
          <w:rFonts w:ascii="仿宋" w:hAnsi="仿宋" w:eastAsia="仿宋" w:cs="仿宋"/>
          <w:color w:val="auto"/>
          <w:sz w:val="36"/>
        </w:rPr>
      </w:pPr>
      <w:bookmarkStart w:id="289" w:name="_Toc31463"/>
      <w:r>
        <w:rPr>
          <w:rFonts w:hint="eastAsia" w:ascii="仿宋" w:hAnsi="仿宋" w:eastAsia="仿宋" w:cs="仿宋"/>
          <w:color w:val="auto"/>
          <w:sz w:val="36"/>
        </w:rPr>
        <w:t>采购内容及要</w:t>
      </w:r>
      <w:r>
        <w:rPr>
          <w:rFonts w:ascii="仿宋" w:hAnsi="仿宋" w:eastAsia="仿宋" w:cs="仿宋"/>
          <w:color w:val="auto"/>
          <w:sz w:val="36"/>
        </w:rPr>
        <w:t>求</w:t>
      </w:r>
      <w:bookmarkEnd w:id="289"/>
    </w:p>
    <w:p w14:paraId="57B428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u w:val="none"/>
        </w:rPr>
      </w:pPr>
      <w:r>
        <w:rPr>
          <w:rFonts w:hint="eastAsia" w:ascii="仿宋" w:hAnsi="仿宋" w:eastAsia="仿宋" w:cs="仿宋"/>
          <w:b/>
          <w:bCs/>
          <w:color w:val="auto"/>
          <w:sz w:val="24"/>
          <w:szCs w:val="24"/>
          <w:u w:val="none"/>
        </w:rPr>
        <w:t>一、工作内容</w:t>
      </w:r>
    </w:p>
    <w:p w14:paraId="16CAB4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1、针对由沣东新城管委会及其下属国有企业依据沣东新城产业发展规划、城市建设规划，通过招商引资方式引进的符合沣东新城入区标准的项目；</w:t>
      </w:r>
    </w:p>
    <w:p w14:paraId="186D13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2、对项目进行专项调研及开展项目初步评审论证;</w:t>
      </w:r>
    </w:p>
    <w:p w14:paraId="68859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3、利用乙方专家库遴选行业专家，组织专家论证，并协同甲方主持召开项目入区评审会;</w:t>
      </w:r>
    </w:p>
    <w:p w14:paraId="4617A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4、整理并出具专家评审会意见汇总，为甲方决策提供依据。</w:t>
      </w:r>
    </w:p>
    <w:p w14:paraId="7FBAC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二、</w:t>
      </w:r>
      <w:r>
        <w:rPr>
          <w:rFonts w:hint="eastAsia" w:ascii="仿宋" w:hAnsi="仿宋" w:eastAsia="仿宋" w:cs="仿宋"/>
          <w:b/>
          <w:bCs/>
          <w:color w:val="auto"/>
          <w:sz w:val="24"/>
          <w:szCs w:val="24"/>
          <w:u w:val="none"/>
        </w:rPr>
        <w:t>服务成果及完成时间</w:t>
      </w:r>
    </w:p>
    <w:p w14:paraId="26CE43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rPr>
        <w:t>乙方应按甲方的工作内容、工作要求、工作时间开展工作，</w:t>
      </w:r>
      <w:r>
        <w:rPr>
          <w:rFonts w:hint="eastAsia" w:ascii="仿宋" w:hAnsi="仿宋" w:eastAsia="仿宋" w:cs="仿宋"/>
          <w:color w:val="auto"/>
          <w:sz w:val="24"/>
          <w:szCs w:val="24"/>
          <w:u w:val="none"/>
          <w:lang w:val="en-US" w:eastAsia="zh-CN"/>
        </w:rPr>
        <w:t>并按甲方要求出具专家评审会意见汇总。</w:t>
      </w:r>
    </w:p>
    <w:p w14:paraId="21B55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服务期限为合同签订之日起一年。</w:t>
      </w:r>
    </w:p>
    <w:p w14:paraId="233096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rPr>
        <w:t>三、</w:t>
      </w:r>
      <w:r>
        <w:rPr>
          <w:rFonts w:hint="eastAsia" w:ascii="仿宋" w:hAnsi="仿宋" w:eastAsia="仿宋" w:cs="仿宋"/>
          <w:b/>
          <w:bCs/>
          <w:color w:val="auto"/>
          <w:sz w:val="24"/>
          <w:szCs w:val="24"/>
          <w:u w:val="none"/>
          <w:lang w:val="en-US" w:eastAsia="zh-CN"/>
        </w:rPr>
        <w:t>合同价款、结算及支付</w:t>
      </w:r>
    </w:p>
    <w:p w14:paraId="5EE66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1、项目评审费用分为评</w:t>
      </w:r>
      <w:r>
        <w:rPr>
          <w:rFonts w:hint="eastAsia" w:ascii="仿宋" w:hAnsi="仿宋" w:eastAsia="仿宋" w:cs="仿宋"/>
          <w:color w:val="auto"/>
          <w:sz w:val="24"/>
          <w:szCs w:val="24"/>
          <w:u w:val="none"/>
          <w:lang w:val="en-US" w:eastAsia="zh-CN"/>
        </w:rPr>
        <w:t>审</w:t>
      </w:r>
      <w:r>
        <w:rPr>
          <w:rFonts w:hint="eastAsia" w:ascii="仿宋" w:hAnsi="仿宋" w:eastAsia="仿宋" w:cs="仿宋"/>
          <w:color w:val="auto"/>
          <w:sz w:val="24"/>
          <w:szCs w:val="24"/>
          <w:u w:val="none"/>
        </w:rPr>
        <w:t>咨询费和</w:t>
      </w:r>
      <w:r>
        <w:rPr>
          <w:rFonts w:hint="eastAsia" w:ascii="仿宋" w:hAnsi="仿宋" w:eastAsia="仿宋" w:cs="仿宋"/>
          <w:color w:val="auto"/>
          <w:sz w:val="24"/>
          <w:szCs w:val="24"/>
          <w:u w:val="none"/>
          <w:lang w:val="en-US" w:eastAsia="zh-CN"/>
        </w:rPr>
        <w:t>评审专家费</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rPr>
        <w:t>每个项目安排3</w:t>
      </w:r>
      <w:r>
        <w:rPr>
          <w:rFonts w:hint="eastAsia" w:ascii="仿宋" w:hAnsi="仿宋" w:eastAsia="仿宋" w:cs="仿宋"/>
          <w:color w:val="auto"/>
          <w:sz w:val="24"/>
          <w:szCs w:val="24"/>
          <w:u w:val="none"/>
          <w:lang w:val="en-US" w:eastAsia="zh-CN"/>
        </w:rPr>
        <w:t>-4</w:t>
      </w:r>
      <w:r>
        <w:rPr>
          <w:rFonts w:hint="eastAsia" w:ascii="仿宋" w:hAnsi="仿宋" w:eastAsia="仿宋" w:cs="仿宋"/>
          <w:color w:val="auto"/>
          <w:sz w:val="24"/>
          <w:szCs w:val="24"/>
          <w:u w:val="none"/>
        </w:rPr>
        <w:t>位评审专家，</w:t>
      </w:r>
      <w:r>
        <w:rPr>
          <w:rFonts w:hint="eastAsia" w:ascii="仿宋" w:hAnsi="仿宋" w:eastAsia="仿宋" w:cs="仿宋"/>
          <w:color w:val="auto"/>
          <w:sz w:val="24"/>
          <w:szCs w:val="24"/>
          <w:u w:val="none"/>
          <w:lang w:val="en-US" w:eastAsia="zh-CN"/>
        </w:rPr>
        <w:t>评审专家费</w:t>
      </w:r>
      <w:r>
        <w:rPr>
          <w:rFonts w:hint="eastAsia" w:ascii="仿宋" w:hAnsi="仿宋" w:eastAsia="仿宋" w:cs="仿宋"/>
          <w:color w:val="auto"/>
          <w:sz w:val="24"/>
          <w:szCs w:val="24"/>
          <w:u w:val="none"/>
        </w:rPr>
        <w:t>由乙方垫支，统一结算。</w:t>
      </w:r>
    </w:p>
    <w:p w14:paraId="29D2F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项目评审费用</w:t>
      </w:r>
      <w:r>
        <w:rPr>
          <w:rFonts w:hint="eastAsia" w:ascii="仿宋" w:hAnsi="仿宋" w:eastAsia="仿宋" w:cs="仿宋"/>
          <w:color w:val="auto"/>
          <w:sz w:val="24"/>
          <w:szCs w:val="24"/>
          <w:u w:val="none"/>
        </w:rPr>
        <w:t>包括</w:t>
      </w:r>
      <w:r>
        <w:rPr>
          <w:rFonts w:hint="eastAsia" w:ascii="仿宋" w:hAnsi="仿宋" w:eastAsia="仿宋" w:cs="仿宋"/>
          <w:color w:val="auto"/>
          <w:sz w:val="24"/>
          <w:szCs w:val="24"/>
          <w:u w:val="none"/>
          <w:lang w:val="en-US" w:eastAsia="zh-CN"/>
        </w:rPr>
        <w:t>乙方</w:t>
      </w:r>
      <w:r>
        <w:rPr>
          <w:rFonts w:hint="eastAsia" w:ascii="仿宋" w:hAnsi="仿宋" w:eastAsia="仿宋" w:cs="仿宋"/>
          <w:color w:val="auto"/>
          <w:sz w:val="24"/>
          <w:szCs w:val="24"/>
          <w:u w:val="none"/>
        </w:rPr>
        <w:t>为完成项目要求的所有费用，甲方不再另行支付</w:t>
      </w:r>
      <w:r>
        <w:rPr>
          <w:rFonts w:hint="eastAsia" w:ascii="仿宋" w:hAnsi="仿宋" w:eastAsia="仿宋" w:cs="仿宋"/>
          <w:color w:val="auto"/>
          <w:sz w:val="24"/>
          <w:szCs w:val="24"/>
          <w:u w:val="none"/>
          <w:lang w:val="en-US" w:eastAsia="zh-CN"/>
        </w:rPr>
        <w:t>项目评审费用</w:t>
      </w:r>
      <w:r>
        <w:rPr>
          <w:rFonts w:hint="eastAsia" w:ascii="仿宋" w:hAnsi="仿宋" w:eastAsia="仿宋" w:cs="仿宋"/>
          <w:color w:val="auto"/>
          <w:sz w:val="24"/>
          <w:szCs w:val="24"/>
          <w:u w:val="none"/>
        </w:rPr>
        <w:t>以外的其他任何费用。</w:t>
      </w:r>
    </w:p>
    <w:p w14:paraId="610FEF3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服务期每满六个月后，根</w:t>
      </w:r>
      <w:r>
        <w:rPr>
          <w:rFonts w:hint="eastAsia" w:ascii="仿宋" w:hAnsi="仿宋" w:eastAsia="仿宋" w:cs="仿宋"/>
          <w:color w:val="auto"/>
          <w:sz w:val="24"/>
          <w:szCs w:val="24"/>
          <w:highlight w:val="none"/>
          <w:u w:val="none"/>
          <w:lang w:val="en-US" w:eastAsia="zh-CN"/>
        </w:rPr>
        <w:t>据结算规定甲乙双方</w:t>
      </w:r>
      <w:r>
        <w:rPr>
          <w:rFonts w:hint="eastAsia" w:ascii="仿宋" w:hAnsi="仿宋" w:eastAsia="仿宋" w:cs="仿宋"/>
          <w:color w:val="auto"/>
          <w:sz w:val="24"/>
          <w:szCs w:val="24"/>
          <w:u w:val="none"/>
          <w:lang w:val="en-US" w:eastAsia="zh-CN"/>
        </w:rPr>
        <w:t>办理结算。</w:t>
      </w:r>
      <w:r>
        <w:rPr>
          <w:rFonts w:hint="eastAsia" w:ascii="仿宋" w:hAnsi="仿宋" w:eastAsia="仿宋" w:cs="仿宋"/>
          <w:color w:val="auto"/>
          <w:sz w:val="24"/>
          <w:szCs w:val="24"/>
          <w:u w:val="none"/>
        </w:rPr>
        <w:t>项目评审的完成以出具项目评审报告并经甲方验收通过为准。项目评审报告需载明邀请专家人数及实际完成次数等与该项目有关的全部内容。</w:t>
      </w:r>
    </w:p>
    <w:sectPr>
      <w:footerReference r:id="rId11" w:type="default"/>
      <w:pgSz w:w="11906" w:h="16838"/>
      <w:pgMar w:top="1440" w:right="1423" w:bottom="1219" w:left="1644"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汉仪中黑简">
    <w:altName w:val="宋体"/>
    <w:panose1 w:val="02010609000101010101"/>
    <w:charset w:val="86"/>
    <w:family w:val="modern"/>
    <w:pitch w:val="default"/>
    <w:sig w:usb0="00000000" w:usb1="00000000" w:usb2="00000012"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楷体简">
    <w:altName w:val="宋体"/>
    <w:panose1 w:val="02010609000101010101"/>
    <w:charset w:val="86"/>
    <w:family w:val="modern"/>
    <w:pitch w:val="default"/>
    <w:sig w:usb0="00000000" w:usb1="00000000" w:usb2="00000012" w:usb3="00000000" w:csb0="00040000" w:csb1="00000000"/>
  </w:font>
  <w:font w:name="Tahoma">
    <w:panose1 w:val="020B0604030504040204"/>
    <w:charset w:val="00"/>
    <w:family w:val="swiss"/>
    <w:pitch w:val="default"/>
    <w:sig w:usb0="E1002EFF" w:usb1="C000605B" w:usb2="00000029" w:usb3="00000000" w:csb0="200101FF" w:csb1="20280000"/>
  </w:font>
  <w:font w:name="汉仪魏碑简">
    <w:altName w:val="宋体"/>
    <w:panose1 w:val="02010609000101010101"/>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8AB6">
    <w:pPr>
      <w:pStyle w:val="26"/>
      <w:pBdr>
        <w:bottom w:val="single" w:color="auto" w:sz="6" w:space="1"/>
      </w:pBdr>
      <w:rPr>
        <w:rFonts w:hint="eastAsia" w:ascii="仿宋_GB2312" w:eastAsia="仿宋_GB2312"/>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404314">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14:paraId="77404314">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v:textbox>
            </v:shape>
          </w:pict>
        </mc:Fallback>
      </mc:AlternateContent>
    </w:r>
  </w:p>
  <w:p w14:paraId="2E20C609">
    <w:pPr>
      <w:pStyle w:val="26"/>
      <w:rPr>
        <w:rFonts w:hint="eastAsia" w:ascii="仿宋_GB2312" w:eastAsia="仿宋_GB2312"/>
      </w:rPr>
    </w:pPr>
    <w:r>
      <w:rPr>
        <w:rFonts w:hint="eastAsia" w:ascii="仿宋_GB2312" w:eastAsia="仿宋_GB2312"/>
      </w:rPr>
      <w:t>陕西中技招标有限公司（</w:t>
    </w:r>
    <w:r>
      <w:rPr>
        <w:rFonts w:ascii="仿宋_GB2312" w:eastAsia="仿宋_GB2312"/>
      </w:rPr>
      <w:fldChar w:fldCharType="begin"/>
    </w:r>
    <w:r>
      <w:rPr>
        <w:rFonts w:ascii="仿宋_GB2312" w:eastAsia="仿宋_GB2312"/>
      </w:rPr>
      <w:instrText xml:space="preserve"> HYPERLINK "http://www.sxzjtc.com</w:instrText>
    </w:r>
    <w:r>
      <w:rPr>
        <w:rFonts w:hint="eastAsia" w:ascii="仿宋_GB2312" w:eastAsia="仿宋_GB2312"/>
      </w:rPr>
      <w:instrText xml:space="preserve">）</w:instrText>
    </w:r>
    <w:r>
      <w:rPr>
        <w:rFonts w:ascii="仿宋_GB2312" w:eastAsia="仿宋_GB2312"/>
      </w:rPr>
      <w:instrText xml:space="preserve">" </w:instrText>
    </w:r>
    <w:r>
      <w:rPr>
        <w:rFonts w:ascii="仿宋_GB2312" w:eastAsia="仿宋_GB2312"/>
      </w:rPr>
      <w:fldChar w:fldCharType="separate"/>
    </w:r>
    <w:r>
      <w:rPr>
        <w:rStyle w:val="51"/>
        <w:rFonts w:hint="default" w:ascii="仿宋_GB2312" w:eastAsia="仿宋_GB2312"/>
      </w:rPr>
      <w:t>http://www.sxzjtc.com）</w:t>
    </w:r>
    <w:r>
      <w:rPr>
        <w:rFonts w:ascii="仿宋_GB2312" w:eastAsia="仿宋_GB2312"/>
      </w:rPr>
      <w:fldChar w:fldCharType="end"/>
    </w:r>
    <w:r>
      <w:rPr>
        <w:rFonts w:hint="eastAsia" w:ascii="仿宋_GB2312" w:eastAsia="仿宋_GB2312"/>
      </w:rPr>
      <w:t xml:space="preserve">      地址：西安高新区高新四路1号高科广场A座1001室</w:t>
    </w:r>
  </w:p>
  <w:p w14:paraId="05031574">
    <w:pPr>
      <w:pStyle w:val="2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625F">
    <w:pPr>
      <w:pStyle w:val="26"/>
      <w:framePr w:wrap="around" w:vAnchor="text" w:hAnchor="margin" w:xAlign="center" w:y="1"/>
      <w:rPr>
        <w:rStyle w:val="44"/>
      </w:rPr>
    </w:pPr>
    <w:r>
      <w:fldChar w:fldCharType="begin"/>
    </w:r>
    <w:r>
      <w:rPr>
        <w:rStyle w:val="44"/>
      </w:rPr>
      <w:instrText xml:space="preserve">PAGE  </w:instrText>
    </w:r>
    <w:r>
      <w:fldChar w:fldCharType="separate"/>
    </w:r>
    <w:r>
      <w:fldChar w:fldCharType="end"/>
    </w:r>
  </w:p>
  <w:p w14:paraId="74D0BD2F">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424D">
    <w:pPr>
      <w:pStyle w:val="26"/>
      <w:pBdr>
        <w:top w:val="single" w:color="auto" w:sz="4" w:space="1"/>
      </w:pBdr>
      <w:ind w:right="360"/>
      <w:rPr>
        <w:rFonts w:hint="eastAsia" w:eastAsia="仿宋_GB2312"/>
        <w:b/>
        <w:szCs w:val="18"/>
        <w:u w:val="single"/>
      </w:rPr>
    </w:pPr>
    <w:r>
      <w:rPr>
        <w:rFonts w:hint="eastAsia" w:eastAsia="仿宋_GB2312"/>
        <w:b/>
        <w:szCs w:val="18"/>
      </w:rPr>
      <w:t>陕西中技招标有限公司（</w:t>
    </w:r>
    <w:r>
      <w:rPr>
        <w:rFonts w:eastAsia="仿宋_GB2312"/>
        <w:b/>
        <w:szCs w:val="18"/>
      </w:rPr>
      <w:fldChar w:fldCharType="begin"/>
    </w:r>
    <w:r>
      <w:rPr>
        <w:rFonts w:eastAsia="仿宋_GB2312"/>
        <w:b/>
        <w:szCs w:val="18"/>
      </w:rPr>
      <w:instrText xml:space="preserve"> HYPERLINK "http://www.sxzjtc.com/" </w:instrText>
    </w:r>
    <w:r>
      <w:rPr>
        <w:rFonts w:eastAsia="仿宋_GB2312"/>
        <w:b/>
        <w:szCs w:val="18"/>
      </w:rPr>
      <w:fldChar w:fldCharType="separate"/>
    </w:r>
    <w:r>
      <w:rPr>
        <w:rStyle w:val="51"/>
        <w:rFonts w:hint="default" w:eastAsia="仿宋_GB2312"/>
        <w:b/>
      </w:rPr>
      <w:t>http://www.sxzjtc.com/</w:t>
    </w:r>
    <w:r>
      <w:rPr>
        <w:rFonts w:eastAsia="仿宋_GB2312"/>
        <w:b/>
        <w:szCs w:val="18"/>
      </w:rPr>
      <w:fldChar w:fldCharType="end"/>
    </w:r>
    <w:r>
      <w:rPr>
        <w:rFonts w:hint="eastAsia" w:eastAsia="仿宋_GB2312"/>
        <w:b/>
        <w:szCs w:val="18"/>
      </w:rPr>
      <w:t>）  地址：西安市高新区高新四路1号高科广场A1001室</w:t>
    </w:r>
  </w:p>
  <w:p w14:paraId="083B9C59">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F5F859">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U3UDV5gEA&#10;AMgDAAAOAAAAAAAAAAEAIAAAACIBAABkcnMvZTJvRG9jLnhtbFBLBQYAAAAABgAGAFkBAAB6BQAA&#10;AAA=&#10;">
              <v:fill on="f" focussize="0,0"/>
              <v:stroke on="f" weight="1.25pt"/>
              <v:imagedata o:title=""/>
              <o:lock v:ext="edit" aspectratio="f"/>
              <v:textbox inset="0mm,0mm,0mm,0mm" style="mso-fit-shape-to-text:t;">
                <w:txbxContent>
                  <w:p w14:paraId="65F5F859">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C1B70">
    <w:pPr>
      <w:pStyle w:val="26"/>
      <w:pBdr>
        <w:top w:val="single" w:color="auto" w:sz="4" w:space="1"/>
      </w:pBdr>
      <w:ind w:right="360"/>
      <w:rPr>
        <w:rFonts w:hint="eastAsia" w:eastAsia="仿宋_GB2312"/>
        <w:b/>
        <w:szCs w:val="18"/>
        <w:u w:val="single"/>
      </w:rPr>
    </w:pPr>
    <w:r>
      <w:rPr>
        <w:rFonts w:hint="eastAsia" w:eastAsia="仿宋_GB2312"/>
        <w:b/>
        <w:szCs w:val="18"/>
      </w:rPr>
      <w:t>陕西中技招标有限公司（</w:t>
    </w:r>
    <w:r>
      <w:rPr>
        <w:rFonts w:eastAsia="仿宋_GB2312"/>
        <w:b/>
        <w:szCs w:val="18"/>
      </w:rPr>
      <w:fldChar w:fldCharType="begin"/>
    </w:r>
    <w:r>
      <w:rPr>
        <w:rFonts w:eastAsia="仿宋_GB2312"/>
        <w:b/>
        <w:szCs w:val="18"/>
      </w:rPr>
      <w:instrText xml:space="preserve"> HYPERLINK "http://www.sxzjtc.com/" </w:instrText>
    </w:r>
    <w:r>
      <w:rPr>
        <w:rFonts w:eastAsia="仿宋_GB2312"/>
        <w:b/>
        <w:szCs w:val="18"/>
      </w:rPr>
      <w:fldChar w:fldCharType="separate"/>
    </w:r>
    <w:r>
      <w:rPr>
        <w:rStyle w:val="51"/>
        <w:rFonts w:hint="default" w:eastAsia="仿宋_GB2312"/>
        <w:b/>
      </w:rPr>
      <w:t>http://ww.sxzjtc.com/</w:t>
    </w:r>
    <w:r>
      <w:rPr>
        <w:rFonts w:eastAsia="仿宋_GB2312"/>
        <w:b/>
        <w:szCs w:val="18"/>
      </w:rPr>
      <w:fldChar w:fldCharType="end"/>
    </w:r>
    <w:r>
      <w:rPr>
        <w:rFonts w:hint="eastAsia" w:eastAsia="仿宋_GB2312"/>
        <w:b/>
        <w:szCs w:val="18"/>
      </w:rPr>
      <w:t>）  地址：西安市高新区高新四路1号高科广场A1001室</w:t>
    </w:r>
  </w:p>
  <w:p w14:paraId="547B8910">
    <w:pPr>
      <w:pStyle w:val="26"/>
      <w:ind w:right="360"/>
      <w:rPr>
        <w:rFonts w:hint="eastAsia"/>
        <w:sz w:val="16"/>
        <w:szCs w:val="21"/>
      </w:rPr>
    </w:pPr>
    <w:r>
      <w:rPr>
        <w:sz w:val="18"/>
      </w:rPr>
      <mc:AlternateContent>
        <mc:Choice Requires="wps">
          <w:drawing>
            <wp:anchor distT="0" distB="0" distL="114300" distR="114300" simplePos="0" relativeHeight="251661312" behindDoc="0" locked="0" layoutInCell="1" allowOverlap="1">
              <wp:simplePos x="0" y="0"/>
              <wp:positionH relativeFrom="margin">
                <wp:posOffset>2305050</wp:posOffset>
              </wp:positionH>
              <wp:positionV relativeFrom="paragraph">
                <wp:posOffset>64770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E402EC">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181.5pt;margin-top:5.1pt;height:144pt;width:144pt;mso-position-horizontal-relative:margin;mso-wrap-style:none;z-index:251661312;mso-width-relative:page;mso-height-relative:page;" filled="f" stroked="f" coordsize="21600,21600" o:gfxdata="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O3m&#10;dtoAAAAKAQAADwAAAAAAAAABACAAAAAiAAAAZHJzL2Rvd25yZXYueG1sUEsBAhQAFAAAAAgAh07i&#10;QEhJ1jXnAQAAyAMAAA4AAAAAAAAAAQAgAAAAKQEAAGRycy9lMm9Eb2MueG1sUEsFBgAAAAAGAAYA&#10;WQEAAIIFAAAAAA==&#10;">
              <v:fill on="f" focussize="0,0"/>
              <v:stroke on="f" weight="1.25pt"/>
              <v:imagedata o:title=""/>
              <o:lock v:ext="edit" aspectratio="f"/>
              <v:textbox inset="0mm,0mm,0mm,0mm" style="mso-fit-shape-to-text:t;">
                <w:txbxContent>
                  <w:p w14:paraId="78E402EC">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v:textbox>
            </v:shape>
          </w:pict>
        </mc:Fallback>
      </mc:AlternateContent>
    </w:r>
  </w:p>
  <w:p w14:paraId="4696BDFF">
    <w:pPr>
      <w:pStyle w:val="26"/>
      <w:ind w:right="360"/>
      <w:rPr>
        <w:rFonts w:hint="eastAsia" w:ascii="仿宋_GB2312" w:hAnsi="仿宋_GB2312" w:eastAsia="仿宋_GB2312" w:cs="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D629">
    <w:pPr>
      <w:pStyle w:val="26"/>
      <w:pBdr>
        <w:top w:val="single" w:color="auto" w:sz="4" w:space="1"/>
      </w:pBdr>
      <w:ind w:right="360"/>
      <w:rPr>
        <w:rFonts w:hint="eastAsia" w:eastAsia="仿宋_GB2312"/>
        <w:b/>
        <w:szCs w:val="18"/>
        <w:u w:val="single"/>
      </w:rPr>
    </w:pPr>
    <w:r>
      <w:rPr>
        <w:rFonts w:hint="eastAsia" w:eastAsia="仿宋_GB2312"/>
        <w:b/>
        <w:szCs w:val="18"/>
      </w:rPr>
      <w:t>陕西中技招标有限公司（</w:t>
    </w:r>
    <w:r>
      <w:rPr>
        <w:rFonts w:eastAsia="仿宋_GB2312"/>
        <w:b/>
        <w:szCs w:val="18"/>
      </w:rPr>
      <w:fldChar w:fldCharType="begin"/>
    </w:r>
    <w:r>
      <w:rPr>
        <w:rFonts w:eastAsia="仿宋_GB2312"/>
        <w:b/>
        <w:szCs w:val="18"/>
      </w:rPr>
      <w:instrText xml:space="preserve"> HYPERLINK "http://www.sxzjtc.com/" </w:instrText>
    </w:r>
    <w:r>
      <w:rPr>
        <w:rFonts w:eastAsia="仿宋_GB2312"/>
        <w:b/>
        <w:szCs w:val="18"/>
      </w:rPr>
      <w:fldChar w:fldCharType="separate"/>
    </w:r>
    <w:r>
      <w:rPr>
        <w:rStyle w:val="51"/>
        <w:rFonts w:hint="default" w:eastAsia="仿宋_GB2312"/>
        <w:b/>
      </w:rPr>
      <w:t>http://www.sxzjtc.com/</w:t>
    </w:r>
    <w:r>
      <w:rPr>
        <w:rFonts w:eastAsia="仿宋_GB2312"/>
        <w:b/>
        <w:szCs w:val="18"/>
      </w:rPr>
      <w:fldChar w:fldCharType="end"/>
    </w:r>
    <w:r>
      <w:rPr>
        <w:rFonts w:hint="eastAsia" w:eastAsia="仿宋_GB2312"/>
        <w:b/>
        <w:szCs w:val="18"/>
      </w:rPr>
      <w:t>）  地址：西安市高新区高新四路1号高科广场A1001室</w:t>
    </w:r>
  </w:p>
  <w:p w14:paraId="101D3C61">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2906B3">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SGCf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NzGrsTlgZ+/vH9/PP3&#10;+dc39jzJ0weoKOouUBwOr/1ASzPfA10m1kMbbfoTH0Z+Evd0EVcNyGRKWi1Xq5JcknzzgfCL+/QQ&#10;Ad8qb1kyah5pellUcXwPOIbOIama87famDxB41hPqNerl9c54+IidOOoSGIxdpssHHbDRG3nmxMx&#10;owdBFTsfv3LW0zrU3NH2c2beOVI7bc5sxNnYzYZwkhJrjpyN5hscN+wQot53eedSvxBeHZB6zlRS&#10;G2PtqTsacBZjWsa0QX+fc9T9A9z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GEhgn5gEA&#10;AMgDAAAOAAAAAAAAAAEAIAAAACIBAABkcnMvZTJvRG9jLnhtbFBLBQYAAAAABgAGAFkBAAB6BQAA&#10;AAA=&#10;">
              <v:fill on="f" focussize="0,0"/>
              <v:stroke on="f" weight="1.25pt"/>
              <v:imagedata o:title=""/>
              <o:lock v:ext="edit" aspectratio="f"/>
              <v:textbox inset="0mm,0mm,0mm,0mm" style="mso-fit-shape-to-text:t;">
                <w:txbxContent>
                  <w:p w14:paraId="1E2906B3">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EFC7">
    <w:pPr>
      <w:pStyle w:val="27"/>
      <w:jc w:val="both"/>
      <w:rPr>
        <w:rFonts w:hint="eastAsia" w:ascii="仿宋_GB2312" w:hAnsi="宋体" w:eastAsia="仿宋_GB2312"/>
        <w:szCs w:val="18"/>
      </w:rPr>
    </w:pPr>
    <w:r>
      <w:rPr>
        <w:rFonts w:hint="eastAsia" w:ascii="仿宋_GB2312" w:hAnsi="宋体" w:eastAsia="仿宋_GB2312"/>
        <w:szCs w:val="18"/>
      </w:rPr>
      <w:t>采购项目名称：陕西能源职业技术学院咸阳校区车库改造实训楼监理      采购项目编号：SZT2018-SN-SC-FW-0110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0B25">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9045">
    <w:pPr>
      <w:spacing w:line="360" w:lineRule="auto"/>
      <w:rPr>
        <w:rFonts w:hint="default" w:eastAsia="仿宋"/>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E52A0">
    <w:pPr>
      <w:spacing w:line="360" w:lineRule="auto"/>
      <w:rPr>
        <w:rFonts w:hint="default" w:eastAsia="仿宋"/>
        <w:highlight w:val="none"/>
        <w:lang w:val="en-US" w:eastAsia="zh-CN"/>
      </w:rPr>
    </w:pPr>
    <w:r>
      <w:rPr>
        <w:rFonts w:hint="eastAsia" w:ascii="仿宋" w:hAnsi="仿宋" w:eastAsia="仿宋" w:cs="仿宋"/>
        <w:u w:val="single"/>
        <w:lang w:val="en-US" w:eastAsia="zh-CN"/>
      </w:rPr>
      <w:t>项目名称：招商项目入区评审服务采购项目</w:t>
    </w:r>
    <w:r>
      <w:rPr>
        <w:rFonts w:hint="eastAsia" w:ascii="仿宋" w:hAnsi="仿宋" w:eastAsia="仿宋" w:cs="仿宋"/>
        <w:highlight w:val="none"/>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27868"/>
    <w:multiLevelType w:val="multilevel"/>
    <w:tmpl w:val="1F82786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03DF96"/>
    <w:multiLevelType w:val="singleLevel"/>
    <w:tmpl w:val="5B03DF96"/>
    <w:lvl w:ilvl="0" w:tentative="0">
      <w:start w:val="2"/>
      <w:numFmt w:val="decimal"/>
      <w:suff w:val="nothing"/>
      <w:lvlText w:val="%1、"/>
      <w:lvlJc w:val="left"/>
    </w:lvl>
  </w:abstractNum>
  <w:abstractNum w:abstractNumId="2">
    <w:nsid w:val="5D069A80"/>
    <w:multiLevelType w:val="singleLevel"/>
    <w:tmpl w:val="5D069A80"/>
    <w:lvl w:ilvl="0" w:tentative="0">
      <w:start w:val="6"/>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GVhMzNhOGJlY2JhYTlmNTJiOTEwZjc2ZWExZGUifQ=="/>
  </w:docVars>
  <w:rsids>
    <w:rsidRoot w:val="00F83C48"/>
    <w:rsid w:val="000047B9"/>
    <w:rsid w:val="00007393"/>
    <w:rsid w:val="00014208"/>
    <w:rsid w:val="000256C3"/>
    <w:rsid w:val="00031705"/>
    <w:rsid w:val="00051FB6"/>
    <w:rsid w:val="00052873"/>
    <w:rsid w:val="00060B7A"/>
    <w:rsid w:val="000669F5"/>
    <w:rsid w:val="000733A1"/>
    <w:rsid w:val="00073B69"/>
    <w:rsid w:val="0008358E"/>
    <w:rsid w:val="00084A87"/>
    <w:rsid w:val="00087F61"/>
    <w:rsid w:val="000906B3"/>
    <w:rsid w:val="00092DB7"/>
    <w:rsid w:val="000A0232"/>
    <w:rsid w:val="000A1FFA"/>
    <w:rsid w:val="000B083B"/>
    <w:rsid w:val="000B3BB7"/>
    <w:rsid w:val="000B6512"/>
    <w:rsid w:val="000C0081"/>
    <w:rsid w:val="000C05AD"/>
    <w:rsid w:val="000C216F"/>
    <w:rsid w:val="000C5AB7"/>
    <w:rsid w:val="000D21E3"/>
    <w:rsid w:val="000D6586"/>
    <w:rsid w:val="000E4DD0"/>
    <w:rsid w:val="000F2353"/>
    <w:rsid w:val="000F28EB"/>
    <w:rsid w:val="000F2FD6"/>
    <w:rsid w:val="000F3AE2"/>
    <w:rsid w:val="001011D4"/>
    <w:rsid w:val="001025FC"/>
    <w:rsid w:val="00110591"/>
    <w:rsid w:val="001159AB"/>
    <w:rsid w:val="00130747"/>
    <w:rsid w:val="00131BC2"/>
    <w:rsid w:val="0013462E"/>
    <w:rsid w:val="00135705"/>
    <w:rsid w:val="00136873"/>
    <w:rsid w:val="0013763A"/>
    <w:rsid w:val="0014147A"/>
    <w:rsid w:val="001431C2"/>
    <w:rsid w:val="001438C7"/>
    <w:rsid w:val="00152E39"/>
    <w:rsid w:val="001627F6"/>
    <w:rsid w:val="00165130"/>
    <w:rsid w:val="00165A23"/>
    <w:rsid w:val="00175F71"/>
    <w:rsid w:val="00176181"/>
    <w:rsid w:val="001806B2"/>
    <w:rsid w:val="00182FE9"/>
    <w:rsid w:val="001A0410"/>
    <w:rsid w:val="001A2D52"/>
    <w:rsid w:val="001B4CEB"/>
    <w:rsid w:val="001C06C0"/>
    <w:rsid w:val="001C3BA8"/>
    <w:rsid w:val="001C4C04"/>
    <w:rsid w:val="001D1A51"/>
    <w:rsid w:val="001D2A25"/>
    <w:rsid w:val="001D46D6"/>
    <w:rsid w:val="001E2F71"/>
    <w:rsid w:val="001E43D1"/>
    <w:rsid w:val="001E43F7"/>
    <w:rsid w:val="001E54AD"/>
    <w:rsid w:val="001E7A95"/>
    <w:rsid w:val="001F27EB"/>
    <w:rsid w:val="001F3D91"/>
    <w:rsid w:val="001F79FD"/>
    <w:rsid w:val="00202402"/>
    <w:rsid w:val="002031FF"/>
    <w:rsid w:val="00205D52"/>
    <w:rsid w:val="00207BC4"/>
    <w:rsid w:val="0021194B"/>
    <w:rsid w:val="00213439"/>
    <w:rsid w:val="00215494"/>
    <w:rsid w:val="00215793"/>
    <w:rsid w:val="00216114"/>
    <w:rsid w:val="00222780"/>
    <w:rsid w:val="00227A09"/>
    <w:rsid w:val="00236D18"/>
    <w:rsid w:val="0023774B"/>
    <w:rsid w:val="00240572"/>
    <w:rsid w:val="00242261"/>
    <w:rsid w:val="00244526"/>
    <w:rsid w:val="00250C2B"/>
    <w:rsid w:val="00253669"/>
    <w:rsid w:val="002574A8"/>
    <w:rsid w:val="00262C92"/>
    <w:rsid w:val="00262F8D"/>
    <w:rsid w:val="00267995"/>
    <w:rsid w:val="00282582"/>
    <w:rsid w:val="002833C1"/>
    <w:rsid w:val="00283A5D"/>
    <w:rsid w:val="00297F67"/>
    <w:rsid w:val="002A112E"/>
    <w:rsid w:val="002A1A97"/>
    <w:rsid w:val="002B08F3"/>
    <w:rsid w:val="002B3E82"/>
    <w:rsid w:val="002C0C2C"/>
    <w:rsid w:val="002C0E17"/>
    <w:rsid w:val="002C29EF"/>
    <w:rsid w:val="002C3964"/>
    <w:rsid w:val="002C3D7B"/>
    <w:rsid w:val="002D0789"/>
    <w:rsid w:val="002D2EB9"/>
    <w:rsid w:val="002D6D52"/>
    <w:rsid w:val="002D7F60"/>
    <w:rsid w:val="002E07B7"/>
    <w:rsid w:val="002E7CDA"/>
    <w:rsid w:val="002F1DB4"/>
    <w:rsid w:val="002F7D71"/>
    <w:rsid w:val="00304A27"/>
    <w:rsid w:val="00304F69"/>
    <w:rsid w:val="00311A2A"/>
    <w:rsid w:val="003153C2"/>
    <w:rsid w:val="00324002"/>
    <w:rsid w:val="00324AF1"/>
    <w:rsid w:val="003255FF"/>
    <w:rsid w:val="00336ADB"/>
    <w:rsid w:val="00340F3A"/>
    <w:rsid w:val="0034787A"/>
    <w:rsid w:val="003504B7"/>
    <w:rsid w:val="003550A7"/>
    <w:rsid w:val="003662BC"/>
    <w:rsid w:val="00374D69"/>
    <w:rsid w:val="00377FCB"/>
    <w:rsid w:val="00380980"/>
    <w:rsid w:val="0038130A"/>
    <w:rsid w:val="00382CBE"/>
    <w:rsid w:val="0038512F"/>
    <w:rsid w:val="003962DD"/>
    <w:rsid w:val="003A1152"/>
    <w:rsid w:val="003A232F"/>
    <w:rsid w:val="003A60AD"/>
    <w:rsid w:val="003A6D6F"/>
    <w:rsid w:val="003B397A"/>
    <w:rsid w:val="003C2263"/>
    <w:rsid w:val="003C4F75"/>
    <w:rsid w:val="003C6817"/>
    <w:rsid w:val="003D2946"/>
    <w:rsid w:val="003D5B0B"/>
    <w:rsid w:val="003E0268"/>
    <w:rsid w:val="003E0C8F"/>
    <w:rsid w:val="003E6A13"/>
    <w:rsid w:val="003E72E3"/>
    <w:rsid w:val="003E799A"/>
    <w:rsid w:val="003F3A78"/>
    <w:rsid w:val="003F3DBF"/>
    <w:rsid w:val="003F537E"/>
    <w:rsid w:val="0040263A"/>
    <w:rsid w:val="00404A42"/>
    <w:rsid w:val="00404FF0"/>
    <w:rsid w:val="0040767C"/>
    <w:rsid w:val="00411719"/>
    <w:rsid w:val="00421D3C"/>
    <w:rsid w:val="00421FC6"/>
    <w:rsid w:val="00424F45"/>
    <w:rsid w:val="004304FB"/>
    <w:rsid w:val="004319A7"/>
    <w:rsid w:val="004348CB"/>
    <w:rsid w:val="004353A6"/>
    <w:rsid w:val="00437723"/>
    <w:rsid w:val="004441F5"/>
    <w:rsid w:val="00444379"/>
    <w:rsid w:val="00450AD2"/>
    <w:rsid w:val="00456EF6"/>
    <w:rsid w:val="00457C41"/>
    <w:rsid w:val="004600BF"/>
    <w:rsid w:val="004601AF"/>
    <w:rsid w:val="004676AF"/>
    <w:rsid w:val="00474B53"/>
    <w:rsid w:val="004753B1"/>
    <w:rsid w:val="00483636"/>
    <w:rsid w:val="00484DA0"/>
    <w:rsid w:val="00485DB8"/>
    <w:rsid w:val="004900E8"/>
    <w:rsid w:val="00491C02"/>
    <w:rsid w:val="00492AA6"/>
    <w:rsid w:val="004A1295"/>
    <w:rsid w:val="004A13BB"/>
    <w:rsid w:val="004A5210"/>
    <w:rsid w:val="004A55C4"/>
    <w:rsid w:val="004A60D1"/>
    <w:rsid w:val="004A622F"/>
    <w:rsid w:val="004A682E"/>
    <w:rsid w:val="004B14FE"/>
    <w:rsid w:val="004B54FD"/>
    <w:rsid w:val="004C2480"/>
    <w:rsid w:val="004C3181"/>
    <w:rsid w:val="004D500C"/>
    <w:rsid w:val="004E0B5F"/>
    <w:rsid w:val="004E0D01"/>
    <w:rsid w:val="004E2CCC"/>
    <w:rsid w:val="004E3613"/>
    <w:rsid w:val="004E3675"/>
    <w:rsid w:val="004E4BD5"/>
    <w:rsid w:val="00503972"/>
    <w:rsid w:val="005048FB"/>
    <w:rsid w:val="005071D8"/>
    <w:rsid w:val="005104CB"/>
    <w:rsid w:val="00511B56"/>
    <w:rsid w:val="00515B79"/>
    <w:rsid w:val="00515BC3"/>
    <w:rsid w:val="005214F8"/>
    <w:rsid w:val="005215DD"/>
    <w:rsid w:val="00522C3B"/>
    <w:rsid w:val="005237F2"/>
    <w:rsid w:val="00524B92"/>
    <w:rsid w:val="00525730"/>
    <w:rsid w:val="00534876"/>
    <w:rsid w:val="00535BDB"/>
    <w:rsid w:val="00535BEF"/>
    <w:rsid w:val="0054419C"/>
    <w:rsid w:val="00545937"/>
    <w:rsid w:val="00560F74"/>
    <w:rsid w:val="00563C0F"/>
    <w:rsid w:val="00567FE9"/>
    <w:rsid w:val="00572485"/>
    <w:rsid w:val="00574634"/>
    <w:rsid w:val="00575764"/>
    <w:rsid w:val="005812C0"/>
    <w:rsid w:val="00581FDD"/>
    <w:rsid w:val="00594CFC"/>
    <w:rsid w:val="005A1199"/>
    <w:rsid w:val="005A4E41"/>
    <w:rsid w:val="005A558B"/>
    <w:rsid w:val="005B507E"/>
    <w:rsid w:val="005C3E28"/>
    <w:rsid w:val="005C53E5"/>
    <w:rsid w:val="005D6BDD"/>
    <w:rsid w:val="005E2D2A"/>
    <w:rsid w:val="005E4AFD"/>
    <w:rsid w:val="005F01D6"/>
    <w:rsid w:val="005F4831"/>
    <w:rsid w:val="005F7012"/>
    <w:rsid w:val="005F7B09"/>
    <w:rsid w:val="00600816"/>
    <w:rsid w:val="00626E53"/>
    <w:rsid w:val="00635439"/>
    <w:rsid w:val="00643161"/>
    <w:rsid w:val="00650599"/>
    <w:rsid w:val="00650675"/>
    <w:rsid w:val="00650717"/>
    <w:rsid w:val="006533F7"/>
    <w:rsid w:val="00654418"/>
    <w:rsid w:val="006551C7"/>
    <w:rsid w:val="0065642A"/>
    <w:rsid w:val="00657730"/>
    <w:rsid w:val="00665134"/>
    <w:rsid w:val="006660D6"/>
    <w:rsid w:val="00671AF7"/>
    <w:rsid w:val="00671E96"/>
    <w:rsid w:val="00672123"/>
    <w:rsid w:val="00680074"/>
    <w:rsid w:val="00694494"/>
    <w:rsid w:val="00694784"/>
    <w:rsid w:val="00696BF3"/>
    <w:rsid w:val="006A59DE"/>
    <w:rsid w:val="006B39A2"/>
    <w:rsid w:val="006B4F48"/>
    <w:rsid w:val="006C3B3C"/>
    <w:rsid w:val="006C425F"/>
    <w:rsid w:val="006D42FE"/>
    <w:rsid w:val="006E3F1C"/>
    <w:rsid w:val="006F10FF"/>
    <w:rsid w:val="006F376D"/>
    <w:rsid w:val="006F6FA9"/>
    <w:rsid w:val="007004CC"/>
    <w:rsid w:val="00701978"/>
    <w:rsid w:val="007031B9"/>
    <w:rsid w:val="00703AE8"/>
    <w:rsid w:val="00704490"/>
    <w:rsid w:val="00711444"/>
    <w:rsid w:val="007139A1"/>
    <w:rsid w:val="00722173"/>
    <w:rsid w:val="0072274B"/>
    <w:rsid w:val="00723F27"/>
    <w:rsid w:val="007323FB"/>
    <w:rsid w:val="00733233"/>
    <w:rsid w:val="00733E33"/>
    <w:rsid w:val="00741101"/>
    <w:rsid w:val="0074299C"/>
    <w:rsid w:val="00743576"/>
    <w:rsid w:val="0074799C"/>
    <w:rsid w:val="00762254"/>
    <w:rsid w:val="007722E8"/>
    <w:rsid w:val="0077298B"/>
    <w:rsid w:val="007747E9"/>
    <w:rsid w:val="00776244"/>
    <w:rsid w:val="00777A51"/>
    <w:rsid w:val="007A2954"/>
    <w:rsid w:val="007A4C51"/>
    <w:rsid w:val="007A5A71"/>
    <w:rsid w:val="007A7CF6"/>
    <w:rsid w:val="007B275E"/>
    <w:rsid w:val="007B682A"/>
    <w:rsid w:val="007C1CC7"/>
    <w:rsid w:val="007C3FA1"/>
    <w:rsid w:val="007C72F8"/>
    <w:rsid w:val="007D0A5D"/>
    <w:rsid w:val="007D2886"/>
    <w:rsid w:val="007D30BA"/>
    <w:rsid w:val="007D63DA"/>
    <w:rsid w:val="007D7F9E"/>
    <w:rsid w:val="007E3155"/>
    <w:rsid w:val="007E489B"/>
    <w:rsid w:val="007E4E29"/>
    <w:rsid w:val="007F43A2"/>
    <w:rsid w:val="007F61FB"/>
    <w:rsid w:val="008002B8"/>
    <w:rsid w:val="00800A1E"/>
    <w:rsid w:val="008019F4"/>
    <w:rsid w:val="00812E19"/>
    <w:rsid w:val="00830E68"/>
    <w:rsid w:val="008372DB"/>
    <w:rsid w:val="0084036F"/>
    <w:rsid w:val="00842AD2"/>
    <w:rsid w:val="00843673"/>
    <w:rsid w:val="00843919"/>
    <w:rsid w:val="008528CF"/>
    <w:rsid w:val="00854A02"/>
    <w:rsid w:val="00855017"/>
    <w:rsid w:val="00855F55"/>
    <w:rsid w:val="00863C20"/>
    <w:rsid w:val="00864808"/>
    <w:rsid w:val="00871A76"/>
    <w:rsid w:val="00880178"/>
    <w:rsid w:val="00880BF5"/>
    <w:rsid w:val="00886374"/>
    <w:rsid w:val="0089446E"/>
    <w:rsid w:val="00896D37"/>
    <w:rsid w:val="008A191C"/>
    <w:rsid w:val="008A24FB"/>
    <w:rsid w:val="008B312A"/>
    <w:rsid w:val="008B3D16"/>
    <w:rsid w:val="008B571E"/>
    <w:rsid w:val="008B5D7D"/>
    <w:rsid w:val="008B799B"/>
    <w:rsid w:val="008C1A9D"/>
    <w:rsid w:val="008C52F7"/>
    <w:rsid w:val="008D023B"/>
    <w:rsid w:val="008D6CB7"/>
    <w:rsid w:val="008E51EE"/>
    <w:rsid w:val="008E6D9E"/>
    <w:rsid w:val="008F123B"/>
    <w:rsid w:val="008F15D7"/>
    <w:rsid w:val="008F38EF"/>
    <w:rsid w:val="008F5DF4"/>
    <w:rsid w:val="009028F2"/>
    <w:rsid w:val="00911DFA"/>
    <w:rsid w:val="0091324C"/>
    <w:rsid w:val="00913256"/>
    <w:rsid w:val="00914DDC"/>
    <w:rsid w:val="00916A4C"/>
    <w:rsid w:val="009363E3"/>
    <w:rsid w:val="00944523"/>
    <w:rsid w:val="00946DD1"/>
    <w:rsid w:val="009515F8"/>
    <w:rsid w:val="00951736"/>
    <w:rsid w:val="009568D9"/>
    <w:rsid w:val="009717A4"/>
    <w:rsid w:val="00971AF7"/>
    <w:rsid w:val="009738E1"/>
    <w:rsid w:val="00984E61"/>
    <w:rsid w:val="00994DA0"/>
    <w:rsid w:val="00995688"/>
    <w:rsid w:val="009A27A9"/>
    <w:rsid w:val="009C64C0"/>
    <w:rsid w:val="009C67E1"/>
    <w:rsid w:val="009D42CB"/>
    <w:rsid w:val="009D449A"/>
    <w:rsid w:val="009E740C"/>
    <w:rsid w:val="009F19EB"/>
    <w:rsid w:val="009F5E5A"/>
    <w:rsid w:val="00A00046"/>
    <w:rsid w:val="00A0020D"/>
    <w:rsid w:val="00A0246B"/>
    <w:rsid w:val="00A0264A"/>
    <w:rsid w:val="00A03385"/>
    <w:rsid w:val="00A0614F"/>
    <w:rsid w:val="00A07383"/>
    <w:rsid w:val="00A07FA4"/>
    <w:rsid w:val="00A12B90"/>
    <w:rsid w:val="00A13C67"/>
    <w:rsid w:val="00A1477D"/>
    <w:rsid w:val="00A16893"/>
    <w:rsid w:val="00A2571D"/>
    <w:rsid w:val="00A2588B"/>
    <w:rsid w:val="00A33B75"/>
    <w:rsid w:val="00A34005"/>
    <w:rsid w:val="00A43863"/>
    <w:rsid w:val="00A53AA6"/>
    <w:rsid w:val="00A5742F"/>
    <w:rsid w:val="00A60E13"/>
    <w:rsid w:val="00A63359"/>
    <w:rsid w:val="00A660E8"/>
    <w:rsid w:val="00A701AD"/>
    <w:rsid w:val="00A72585"/>
    <w:rsid w:val="00A76470"/>
    <w:rsid w:val="00A7794B"/>
    <w:rsid w:val="00A82139"/>
    <w:rsid w:val="00A83F66"/>
    <w:rsid w:val="00A84A9B"/>
    <w:rsid w:val="00A84F67"/>
    <w:rsid w:val="00A87C1F"/>
    <w:rsid w:val="00A93D0C"/>
    <w:rsid w:val="00AA1FDC"/>
    <w:rsid w:val="00AA3BED"/>
    <w:rsid w:val="00AA405F"/>
    <w:rsid w:val="00AA4611"/>
    <w:rsid w:val="00AA608B"/>
    <w:rsid w:val="00AA6CA9"/>
    <w:rsid w:val="00AB0B62"/>
    <w:rsid w:val="00AB7123"/>
    <w:rsid w:val="00AD4FF3"/>
    <w:rsid w:val="00AE13EF"/>
    <w:rsid w:val="00AF1E1F"/>
    <w:rsid w:val="00AF3A46"/>
    <w:rsid w:val="00AF63BB"/>
    <w:rsid w:val="00B01F34"/>
    <w:rsid w:val="00B02175"/>
    <w:rsid w:val="00B078BA"/>
    <w:rsid w:val="00B12196"/>
    <w:rsid w:val="00B21B67"/>
    <w:rsid w:val="00B27B39"/>
    <w:rsid w:val="00B372D4"/>
    <w:rsid w:val="00B431FD"/>
    <w:rsid w:val="00B5455E"/>
    <w:rsid w:val="00B5507B"/>
    <w:rsid w:val="00B6353E"/>
    <w:rsid w:val="00B647D4"/>
    <w:rsid w:val="00B650C1"/>
    <w:rsid w:val="00B6653F"/>
    <w:rsid w:val="00B74FBB"/>
    <w:rsid w:val="00B80669"/>
    <w:rsid w:val="00B82571"/>
    <w:rsid w:val="00B83AAC"/>
    <w:rsid w:val="00B8760F"/>
    <w:rsid w:val="00B87CFB"/>
    <w:rsid w:val="00B90D74"/>
    <w:rsid w:val="00B950CE"/>
    <w:rsid w:val="00B97855"/>
    <w:rsid w:val="00BA6E33"/>
    <w:rsid w:val="00BB6F0D"/>
    <w:rsid w:val="00BC053A"/>
    <w:rsid w:val="00BC0A21"/>
    <w:rsid w:val="00BC0DC6"/>
    <w:rsid w:val="00BC1B28"/>
    <w:rsid w:val="00BC3E24"/>
    <w:rsid w:val="00BD0304"/>
    <w:rsid w:val="00BD658F"/>
    <w:rsid w:val="00BD7DCA"/>
    <w:rsid w:val="00BE30FA"/>
    <w:rsid w:val="00BF13E3"/>
    <w:rsid w:val="00BF25EF"/>
    <w:rsid w:val="00BF45FA"/>
    <w:rsid w:val="00BF6CD6"/>
    <w:rsid w:val="00BF718D"/>
    <w:rsid w:val="00C02F70"/>
    <w:rsid w:val="00C0735F"/>
    <w:rsid w:val="00C1109A"/>
    <w:rsid w:val="00C14C00"/>
    <w:rsid w:val="00C20082"/>
    <w:rsid w:val="00C23A3A"/>
    <w:rsid w:val="00C2524C"/>
    <w:rsid w:val="00C31AF9"/>
    <w:rsid w:val="00C3372C"/>
    <w:rsid w:val="00C40A09"/>
    <w:rsid w:val="00C41B1B"/>
    <w:rsid w:val="00C45728"/>
    <w:rsid w:val="00C457DF"/>
    <w:rsid w:val="00C52A90"/>
    <w:rsid w:val="00C54672"/>
    <w:rsid w:val="00C55095"/>
    <w:rsid w:val="00C571C3"/>
    <w:rsid w:val="00C62466"/>
    <w:rsid w:val="00C62AD8"/>
    <w:rsid w:val="00C8430C"/>
    <w:rsid w:val="00C91540"/>
    <w:rsid w:val="00CA7FA2"/>
    <w:rsid w:val="00CB59C5"/>
    <w:rsid w:val="00CB5DDE"/>
    <w:rsid w:val="00CB69F2"/>
    <w:rsid w:val="00CC0695"/>
    <w:rsid w:val="00CC2C2F"/>
    <w:rsid w:val="00CC2FF4"/>
    <w:rsid w:val="00CC37C4"/>
    <w:rsid w:val="00CD3047"/>
    <w:rsid w:val="00CD4FBE"/>
    <w:rsid w:val="00CD7FA2"/>
    <w:rsid w:val="00CE1BB6"/>
    <w:rsid w:val="00CE6674"/>
    <w:rsid w:val="00CF33A7"/>
    <w:rsid w:val="00CF57BF"/>
    <w:rsid w:val="00CF6622"/>
    <w:rsid w:val="00CF726C"/>
    <w:rsid w:val="00D02E92"/>
    <w:rsid w:val="00D032AA"/>
    <w:rsid w:val="00D1079D"/>
    <w:rsid w:val="00D17079"/>
    <w:rsid w:val="00D21BE0"/>
    <w:rsid w:val="00D23D9E"/>
    <w:rsid w:val="00D249F0"/>
    <w:rsid w:val="00D2774D"/>
    <w:rsid w:val="00D3682B"/>
    <w:rsid w:val="00D429A4"/>
    <w:rsid w:val="00D43A82"/>
    <w:rsid w:val="00D4445F"/>
    <w:rsid w:val="00D472F7"/>
    <w:rsid w:val="00D47764"/>
    <w:rsid w:val="00D533CA"/>
    <w:rsid w:val="00D72F5C"/>
    <w:rsid w:val="00D747E8"/>
    <w:rsid w:val="00D7599C"/>
    <w:rsid w:val="00D95F24"/>
    <w:rsid w:val="00D9745A"/>
    <w:rsid w:val="00DA5E11"/>
    <w:rsid w:val="00DA72E1"/>
    <w:rsid w:val="00DB05B6"/>
    <w:rsid w:val="00DB3AAF"/>
    <w:rsid w:val="00DB400A"/>
    <w:rsid w:val="00DB6605"/>
    <w:rsid w:val="00DC3D4B"/>
    <w:rsid w:val="00DD3BF3"/>
    <w:rsid w:val="00DD7CD5"/>
    <w:rsid w:val="00DD7D21"/>
    <w:rsid w:val="00DE77E3"/>
    <w:rsid w:val="00DF0A7B"/>
    <w:rsid w:val="00DF21F7"/>
    <w:rsid w:val="00DF3BAA"/>
    <w:rsid w:val="00DF470B"/>
    <w:rsid w:val="00DF79DA"/>
    <w:rsid w:val="00E00029"/>
    <w:rsid w:val="00E02DC2"/>
    <w:rsid w:val="00E041E8"/>
    <w:rsid w:val="00E04BBB"/>
    <w:rsid w:val="00E11316"/>
    <w:rsid w:val="00E13BBC"/>
    <w:rsid w:val="00E15B16"/>
    <w:rsid w:val="00E16E9F"/>
    <w:rsid w:val="00E1734B"/>
    <w:rsid w:val="00E2402B"/>
    <w:rsid w:val="00E2749B"/>
    <w:rsid w:val="00E30D6D"/>
    <w:rsid w:val="00E42911"/>
    <w:rsid w:val="00E43E21"/>
    <w:rsid w:val="00E468DD"/>
    <w:rsid w:val="00E47156"/>
    <w:rsid w:val="00E5174A"/>
    <w:rsid w:val="00E51B3F"/>
    <w:rsid w:val="00E54DEA"/>
    <w:rsid w:val="00E552B1"/>
    <w:rsid w:val="00E567E2"/>
    <w:rsid w:val="00E574F1"/>
    <w:rsid w:val="00E64A94"/>
    <w:rsid w:val="00E66058"/>
    <w:rsid w:val="00E67520"/>
    <w:rsid w:val="00E67BD2"/>
    <w:rsid w:val="00E745C2"/>
    <w:rsid w:val="00E85223"/>
    <w:rsid w:val="00E867D7"/>
    <w:rsid w:val="00E874D6"/>
    <w:rsid w:val="00E87A79"/>
    <w:rsid w:val="00E90034"/>
    <w:rsid w:val="00E90F19"/>
    <w:rsid w:val="00E918FA"/>
    <w:rsid w:val="00E937BB"/>
    <w:rsid w:val="00EA2299"/>
    <w:rsid w:val="00EA606D"/>
    <w:rsid w:val="00EA6E0F"/>
    <w:rsid w:val="00EB0C34"/>
    <w:rsid w:val="00EB586C"/>
    <w:rsid w:val="00EC02BB"/>
    <w:rsid w:val="00EC1093"/>
    <w:rsid w:val="00EC702B"/>
    <w:rsid w:val="00ED3258"/>
    <w:rsid w:val="00ED565C"/>
    <w:rsid w:val="00ED7733"/>
    <w:rsid w:val="00EE41EE"/>
    <w:rsid w:val="00EE5DDC"/>
    <w:rsid w:val="00EE5F9B"/>
    <w:rsid w:val="00EE661F"/>
    <w:rsid w:val="00EF5FBC"/>
    <w:rsid w:val="00F06259"/>
    <w:rsid w:val="00F2127A"/>
    <w:rsid w:val="00F22A83"/>
    <w:rsid w:val="00F23B6D"/>
    <w:rsid w:val="00F400F2"/>
    <w:rsid w:val="00F453A7"/>
    <w:rsid w:val="00F472FC"/>
    <w:rsid w:val="00F501BC"/>
    <w:rsid w:val="00F53A86"/>
    <w:rsid w:val="00F56070"/>
    <w:rsid w:val="00F61915"/>
    <w:rsid w:val="00F66DF3"/>
    <w:rsid w:val="00F677D6"/>
    <w:rsid w:val="00F75D50"/>
    <w:rsid w:val="00F764E1"/>
    <w:rsid w:val="00F76943"/>
    <w:rsid w:val="00F80F80"/>
    <w:rsid w:val="00F83B36"/>
    <w:rsid w:val="00F83C48"/>
    <w:rsid w:val="00F923F4"/>
    <w:rsid w:val="00F94AA5"/>
    <w:rsid w:val="00F95EAF"/>
    <w:rsid w:val="00FA0FFF"/>
    <w:rsid w:val="00FA32CC"/>
    <w:rsid w:val="00FA564B"/>
    <w:rsid w:val="00FB1A5F"/>
    <w:rsid w:val="00FB75E6"/>
    <w:rsid w:val="00FD67D7"/>
    <w:rsid w:val="00FD73BD"/>
    <w:rsid w:val="00FE6B98"/>
    <w:rsid w:val="00FF05A2"/>
    <w:rsid w:val="011A21AB"/>
    <w:rsid w:val="01487C08"/>
    <w:rsid w:val="01607E43"/>
    <w:rsid w:val="0181779B"/>
    <w:rsid w:val="01E25372"/>
    <w:rsid w:val="01FA1688"/>
    <w:rsid w:val="023D4D2B"/>
    <w:rsid w:val="0288197B"/>
    <w:rsid w:val="02A751AE"/>
    <w:rsid w:val="02E1151B"/>
    <w:rsid w:val="02F12899"/>
    <w:rsid w:val="02F81E9F"/>
    <w:rsid w:val="03392F22"/>
    <w:rsid w:val="035B2434"/>
    <w:rsid w:val="0373753A"/>
    <w:rsid w:val="03956A01"/>
    <w:rsid w:val="04895CAB"/>
    <w:rsid w:val="048A2807"/>
    <w:rsid w:val="04B05A1F"/>
    <w:rsid w:val="04D26FEF"/>
    <w:rsid w:val="04F51914"/>
    <w:rsid w:val="04FF4369"/>
    <w:rsid w:val="05046896"/>
    <w:rsid w:val="05200323"/>
    <w:rsid w:val="054060D4"/>
    <w:rsid w:val="05502466"/>
    <w:rsid w:val="056E6ACD"/>
    <w:rsid w:val="05A372FF"/>
    <w:rsid w:val="05C90027"/>
    <w:rsid w:val="05DD2EF4"/>
    <w:rsid w:val="05FB5818"/>
    <w:rsid w:val="062C043B"/>
    <w:rsid w:val="065E53DE"/>
    <w:rsid w:val="0678598C"/>
    <w:rsid w:val="07030D3F"/>
    <w:rsid w:val="073F2505"/>
    <w:rsid w:val="075745CD"/>
    <w:rsid w:val="07C471D0"/>
    <w:rsid w:val="07CF3295"/>
    <w:rsid w:val="07D7120D"/>
    <w:rsid w:val="08273D5C"/>
    <w:rsid w:val="084A6F5B"/>
    <w:rsid w:val="08536A02"/>
    <w:rsid w:val="08A574B1"/>
    <w:rsid w:val="08AC76A3"/>
    <w:rsid w:val="08B14E73"/>
    <w:rsid w:val="08B47F49"/>
    <w:rsid w:val="08DE098D"/>
    <w:rsid w:val="08FE4059"/>
    <w:rsid w:val="08FE6F40"/>
    <w:rsid w:val="09235DD3"/>
    <w:rsid w:val="095C1AD6"/>
    <w:rsid w:val="09DB3626"/>
    <w:rsid w:val="09DD2D38"/>
    <w:rsid w:val="0A4367D5"/>
    <w:rsid w:val="0A714CF1"/>
    <w:rsid w:val="0A9144C5"/>
    <w:rsid w:val="0A9E1C7D"/>
    <w:rsid w:val="0AA957E8"/>
    <w:rsid w:val="0AAD045A"/>
    <w:rsid w:val="0AF7459D"/>
    <w:rsid w:val="0B1603EB"/>
    <w:rsid w:val="0B1931F7"/>
    <w:rsid w:val="0B19664C"/>
    <w:rsid w:val="0B60692F"/>
    <w:rsid w:val="0B916247"/>
    <w:rsid w:val="0B9D615F"/>
    <w:rsid w:val="0BE32B63"/>
    <w:rsid w:val="0C3B0CDF"/>
    <w:rsid w:val="0C9D1203"/>
    <w:rsid w:val="0CAB1F12"/>
    <w:rsid w:val="0CB23EC4"/>
    <w:rsid w:val="0CFD4988"/>
    <w:rsid w:val="0D0E3D76"/>
    <w:rsid w:val="0D0F72E2"/>
    <w:rsid w:val="0D201355"/>
    <w:rsid w:val="0D4C1D73"/>
    <w:rsid w:val="0D5C28F8"/>
    <w:rsid w:val="0DC7571F"/>
    <w:rsid w:val="0DC76D2A"/>
    <w:rsid w:val="0DEB6640"/>
    <w:rsid w:val="0DEF5CEF"/>
    <w:rsid w:val="0E1C7001"/>
    <w:rsid w:val="0E5A1345"/>
    <w:rsid w:val="0E904A5E"/>
    <w:rsid w:val="0F043DF1"/>
    <w:rsid w:val="0FD9715C"/>
    <w:rsid w:val="0FDD0448"/>
    <w:rsid w:val="102131D2"/>
    <w:rsid w:val="106A177D"/>
    <w:rsid w:val="1099042B"/>
    <w:rsid w:val="10E65016"/>
    <w:rsid w:val="1131352A"/>
    <w:rsid w:val="11343552"/>
    <w:rsid w:val="114455C8"/>
    <w:rsid w:val="114C0770"/>
    <w:rsid w:val="118E47B8"/>
    <w:rsid w:val="11B60C50"/>
    <w:rsid w:val="11C96F32"/>
    <w:rsid w:val="11DB0CBD"/>
    <w:rsid w:val="12182532"/>
    <w:rsid w:val="125040B4"/>
    <w:rsid w:val="126F4B9E"/>
    <w:rsid w:val="129A3C7E"/>
    <w:rsid w:val="12AA3CBF"/>
    <w:rsid w:val="12CD5261"/>
    <w:rsid w:val="12F52CCC"/>
    <w:rsid w:val="131121C9"/>
    <w:rsid w:val="132A2E00"/>
    <w:rsid w:val="13313DF9"/>
    <w:rsid w:val="13805095"/>
    <w:rsid w:val="138B0A45"/>
    <w:rsid w:val="139B5F77"/>
    <w:rsid w:val="13C04FE3"/>
    <w:rsid w:val="13CA3FC3"/>
    <w:rsid w:val="1418248D"/>
    <w:rsid w:val="141A7D85"/>
    <w:rsid w:val="1427457F"/>
    <w:rsid w:val="142E20E6"/>
    <w:rsid w:val="14431BC6"/>
    <w:rsid w:val="146D6C00"/>
    <w:rsid w:val="148E72EB"/>
    <w:rsid w:val="14A46CBB"/>
    <w:rsid w:val="14B0298B"/>
    <w:rsid w:val="14B24AC5"/>
    <w:rsid w:val="14C07708"/>
    <w:rsid w:val="14D22C8C"/>
    <w:rsid w:val="15091800"/>
    <w:rsid w:val="1531561A"/>
    <w:rsid w:val="15541878"/>
    <w:rsid w:val="15545B09"/>
    <w:rsid w:val="158B21A3"/>
    <w:rsid w:val="15BC35D3"/>
    <w:rsid w:val="15EB29B7"/>
    <w:rsid w:val="15FE45C9"/>
    <w:rsid w:val="16150944"/>
    <w:rsid w:val="16651B85"/>
    <w:rsid w:val="16753FFC"/>
    <w:rsid w:val="168C4F6E"/>
    <w:rsid w:val="169F07F9"/>
    <w:rsid w:val="16B5535A"/>
    <w:rsid w:val="16DE2A05"/>
    <w:rsid w:val="171132C9"/>
    <w:rsid w:val="173F3400"/>
    <w:rsid w:val="17766833"/>
    <w:rsid w:val="1791130A"/>
    <w:rsid w:val="17A4475C"/>
    <w:rsid w:val="17A7658D"/>
    <w:rsid w:val="17CE07A0"/>
    <w:rsid w:val="18047D2E"/>
    <w:rsid w:val="18710A1C"/>
    <w:rsid w:val="1877200E"/>
    <w:rsid w:val="18BE4963"/>
    <w:rsid w:val="19764BC7"/>
    <w:rsid w:val="198C06F3"/>
    <w:rsid w:val="19BF4929"/>
    <w:rsid w:val="19C005C0"/>
    <w:rsid w:val="19F12272"/>
    <w:rsid w:val="1A291B05"/>
    <w:rsid w:val="1A4D6E79"/>
    <w:rsid w:val="1A877D00"/>
    <w:rsid w:val="1A9E4410"/>
    <w:rsid w:val="1AC96E5A"/>
    <w:rsid w:val="1AE96FA9"/>
    <w:rsid w:val="1B170D6A"/>
    <w:rsid w:val="1B6605F1"/>
    <w:rsid w:val="1B9F4484"/>
    <w:rsid w:val="1BA86B8C"/>
    <w:rsid w:val="1BBA2566"/>
    <w:rsid w:val="1C2C3D03"/>
    <w:rsid w:val="1C5C31F7"/>
    <w:rsid w:val="1C625F93"/>
    <w:rsid w:val="1CAA37F0"/>
    <w:rsid w:val="1CB21E3A"/>
    <w:rsid w:val="1CD33919"/>
    <w:rsid w:val="1CD369C7"/>
    <w:rsid w:val="1CE5071A"/>
    <w:rsid w:val="1CFA5E87"/>
    <w:rsid w:val="1D17297E"/>
    <w:rsid w:val="1D492A0F"/>
    <w:rsid w:val="1D5D54CF"/>
    <w:rsid w:val="1D6A2A9A"/>
    <w:rsid w:val="1D727224"/>
    <w:rsid w:val="1DDF5983"/>
    <w:rsid w:val="1DE55F0B"/>
    <w:rsid w:val="1E0F5D51"/>
    <w:rsid w:val="1E323441"/>
    <w:rsid w:val="1E9D1B64"/>
    <w:rsid w:val="1EB673B7"/>
    <w:rsid w:val="1EE23C5D"/>
    <w:rsid w:val="1EEC73AA"/>
    <w:rsid w:val="1F606991"/>
    <w:rsid w:val="1F833F8D"/>
    <w:rsid w:val="1F921F80"/>
    <w:rsid w:val="1FB00DB7"/>
    <w:rsid w:val="205F6F75"/>
    <w:rsid w:val="209B5963"/>
    <w:rsid w:val="20E01D7B"/>
    <w:rsid w:val="20EF1F89"/>
    <w:rsid w:val="21117073"/>
    <w:rsid w:val="21313216"/>
    <w:rsid w:val="21854AEA"/>
    <w:rsid w:val="21881871"/>
    <w:rsid w:val="21E109EA"/>
    <w:rsid w:val="221D05AF"/>
    <w:rsid w:val="229C5663"/>
    <w:rsid w:val="22E95A9B"/>
    <w:rsid w:val="234C0485"/>
    <w:rsid w:val="2368042F"/>
    <w:rsid w:val="23A951B7"/>
    <w:rsid w:val="2427795E"/>
    <w:rsid w:val="242A3FDA"/>
    <w:rsid w:val="243B668E"/>
    <w:rsid w:val="2469455D"/>
    <w:rsid w:val="24761CC3"/>
    <w:rsid w:val="24A160D3"/>
    <w:rsid w:val="24D4325A"/>
    <w:rsid w:val="24FA6F08"/>
    <w:rsid w:val="25233E72"/>
    <w:rsid w:val="258A642F"/>
    <w:rsid w:val="25B54DEE"/>
    <w:rsid w:val="25B63A11"/>
    <w:rsid w:val="25F36927"/>
    <w:rsid w:val="26046751"/>
    <w:rsid w:val="260810F7"/>
    <w:rsid w:val="26680AD2"/>
    <w:rsid w:val="268602D4"/>
    <w:rsid w:val="26A27619"/>
    <w:rsid w:val="26FD76DD"/>
    <w:rsid w:val="271951C4"/>
    <w:rsid w:val="271A49B5"/>
    <w:rsid w:val="27292D3A"/>
    <w:rsid w:val="27545AF9"/>
    <w:rsid w:val="276C3506"/>
    <w:rsid w:val="27C03C80"/>
    <w:rsid w:val="27C572EB"/>
    <w:rsid w:val="27EE5ACA"/>
    <w:rsid w:val="2816613C"/>
    <w:rsid w:val="282A0847"/>
    <w:rsid w:val="28360F4A"/>
    <w:rsid w:val="289B264E"/>
    <w:rsid w:val="28A76D85"/>
    <w:rsid w:val="28F27F0B"/>
    <w:rsid w:val="28F3187C"/>
    <w:rsid w:val="28F461C2"/>
    <w:rsid w:val="28FB7CC7"/>
    <w:rsid w:val="291B1EE4"/>
    <w:rsid w:val="292D26E1"/>
    <w:rsid w:val="29590B2E"/>
    <w:rsid w:val="29715063"/>
    <w:rsid w:val="29AA3E2C"/>
    <w:rsid w:val="29CB47C2"/>
    <w:rsid w:val="2A0161D0"/>
    <w:rsid w:val="2A051B88"/>
    <w:rsid w:val="2A1B1CD6"/>
    <w:rsid w:val="2A4175EF"/>
    <w:rsid w:val="2A6C5564"/>
    <w:rsid w:val="2A702CA0"/>
    <w:rsid w:val="2A9030AF"/>
    <w:rsid w:val="2AB915C7"/>
    <w:rsid w:val="2ACE5783"/>
    <w:rsid w:val="2ACE5C9E"/>
    <w:rsid w:val="2AF04D25"/>
    <w:rsid w:val="2AF53D19"/>
    <w:rsid w:val="2B054D9B"/>
    <w:rsid w:val="2B422123"/>
    <w:rsid w:val="2B4E4367"/>
    <w:rsid w:val="2B5B0BF9"/>
    <w:rsid w:val="2B5C568C"/>
    <w:rsid w:val="2B8639A9"/>
    <w:rsid w:val="2B9D29E4"/>
    <w:rsid w:val="2BB22C4D"/>
    <w:rsid w:val="2BCD53CD"/>
    <w:rsid w:val="2BF66F49"/>
    <w:rsid w:val="2BFE0D1A"/>
    <w:rsid w:val="2C1E5106"/>
    <w:rsid w:val="2C21054D"/>
    <w:rsid w:val="2C2C266F"/>
    <w:rsid w:val="2C2E3A04"/>
    <w:rsid w:val="2C4529EF"/>
    <w:rsid w:val="2C615FAF"/>
    <w:rsid w:val="2C631249"/>
    <w:rsid w:val="2C844FD4"/>
    <w:rsid w:val="2C8A78EE"/>
    <w:rsid w:val="2C990BF0"/>
    <w:rsid w:val="2CCA5F52"/>
    <w:rsid w:val="2CE243DE"/>
    <w:rsid w:val="2D255771"/>
    <w:rsid w:val="2D4F1FE5"/>
    <w:rsid w:val="2D6353D6"/>
    <w:rsid w:val="2D63605F"/>
    <w:rsid w:val="2D647380"/>
    <w:rsid w:val="2D811C79"/>
    <w:rsid w:val="2DC91D70"/>
    <w:rsid w:val="2E6F0036"/>
    <w:rsid w:val="2E82328D"/>
    <w:rsid w:val="2E903F01"/>
    <w:rsid w:val="2EC27DEE"/>
    <w:rsid w:val="2EC46EF3"/>
    <w:rsid w:val="2F6F2537"/>
    <w:rsid w:val="2F73442C"/>
    <w:rsid w:val="2FA06EBC"/>
    <w:rsid w:val="30134DE9"/>
    <w:rsid w:val="301C2C4B"/>
    <w:rsid w:val="30421E67"/>
    <w:rsid w:val="309F019C"/>
    <w:rsid w:val="30B36EE6"/>
    <w:rsid w:val="30B94AFB"/>
    <w:rsid w:val="30E87845"/>
    <w:rsid w:val="311B3605"/>
    <w:rsid w:val="31526592"/>
    <w:rsid w:val="318D5F0C"/>
    <w:rsid w:val="31EC05FE"/>
    <w:rsid w:val="32230C08"/>
    <w:rsid w:val="3239017C"/>
    <w:rsid w:val="323E519A"/>
    <w:rsid w:val="3242129F"/>
    <w:rsid w:val="326571C3"/>
    <w:rsid w:val="327E4A9A"/>
    <w:rsid w:val="32AF30B6"/>
    <w:rsid w:val="32D07505"/>
    <w:rsid w:val="32D67034"/>
    <w:rsid w:val="32DA6D6A"/>
    <w:rsid w:val="33077E59"/>
    <w:rsid w:val="3331461B"/>
    <w:rsid w:val="33382BA1"/>
    <w:rsid w:val="33615A3F"/>
    <w:rsid w:val="3394158B"/>
    <w:rsid w:val="33D61AE2"/>
    <w:rsid w:val="33D83D8B"/>
    <w:rsid w:val="33DE1112"/>
    <w:rsid w:val="34165276"/>
    <w:rsid w:val="341C2C8D"/>
    <w:rsid w:val="34253CBA"/>
    <w:rsid w:val="343F3DDB"/>
    <w:rsid w:val="344149DD"/>
    <w:rsid w:val="3451577F"/>
    <w:rsid w:val="345B73FB"/>
    <w:rsid w:val="34C3483E"/>
    <w:rsid w:val="34EC60D6"/>
    <w:rsid w:val="34EF7D8B"/>
    <w:rsid w:val="3540156C"/>
    <w:rsid w:val="3553404D"/>
    <w:rsid w:val="35936138"/>
    <w:rsid w:val="35D56801"/>
    <w:rsid w:val="35F5516D"/>
    <w:rsid w:val="35FA7C22"/>
    <w:rsid w:val="361E5A97"/>
    <w:rsid w:val="36506D0E"/>
    <w:rsid w:val="36A62A67"/>
    <w:rsid w:val="36B877BE"/>
    <w:rsid w:val="36DC7B95"/>
    <w:rsid w:val="3707345A"/>
    <w:rsid w:val="37227438"/>
    <w:rsid w:val="37422D18"/>
    <w:rsid w:val="37741ACE"/>
    <w:rsid w:val="378754E9"/>
    <w:rsid w:val="378A7BB9"/>
    <w:rsid w:val="378B1A83"/>
    <w:rsid w:val="37E61DB3"/>
    <w:rsid w:val="381A3301"/>
    <w:rsid w:val="38683642"/>
    <w:rsid w:val="38874B82"/>
    <w:rsid w:val="38E31CB7"/>
    <w:rsid w:val="38EE3E2B"/>
    <w:rsid w:val="38FE4ACB"/>
    <w:rsid w:val="390D0D5F"/>
    <w:rsid w:val="39116BAB"/>
    <w:rsid w:val="397B6BD1"/>
    <w:rsid w:val="39803C81"/>
    <w:rsid w:val="39940276"/>
    <w:rsid w:val="39E75C4F"/>
    <w:rsid w:val="39FA6AFB"/>
    <w:rsid w:val="3A2534E4"/>
    <w:rsid w:val="3A6726CA"/>
    <w:rsid w:val="3A7A6F5C"/>
    <w:rsid w:val="3A882266"/>
    <w:rsid w:val="3A8826CE"/>
    <w:rsid w:val="3A950D6A"/>
    <w:rsid w:val="3A995BC7"/>
    <w:rsid w:val="3AA3112C"/>
    <w:rsid w:val="3AE9376B"/>
    <w:rsid w:val="3AEE1DFC"/>
    <w:rsid w:val="3AFB474A"/>
    <w:rsid w:val="3B27503F"/>
    <w:rsid w:val="3B5B27DB"/>
    <w:rsid w:val="3B6D41C6"/>
    <w:rsid w:val="3BCD0EB3"/>
    <w:rsid w:val="3BD67E12"/>
    <w:rsid w:val="3BDF0329"/>
    <w:rsid w:val="3BE423C6"/>
    <w:rsid w:val="3C0435A9"/>
    <w:rsid w:val="3C1509FD"/>
    <w:rsid w:val="3D27034E"/>
    <w:rsid w:val="3D2D4171"/>
    <w:rsid w:val="3D2E2B73"/>
    <w:rsid w:val="3D3376D0"/>
    <w:rsid w:val="3D38035D"/>
    <w:rsid w:val="3D471136"/>
    <w:rsid w:val="3D5B1907"/>
    <w:rsid w:val="3D681D53"/>
    <w:rsid w:val="3D74475E"/>
    <w:rsid w:val="3D771DBF"/>
    <w:rsid w:val="3D8B22AB"/>
    <w:rsid w:val="3D9A1DF3"/>
    <w:rsid w:val="3DEF233D"/>
    <w:rsid w:val="3DEF524F"/>
    <w:rsid w:val="3DF73FEB"/>
    <w:rsid w:val="3E0D342E"/>
    <w:rsid w:val="3E1F362C"/>
    <w:rsid w:val="3E223E71"/>
    <w:rsid w:val="3E78556D"/>
    <w:rsid w:val="3EA034FD"/>
    <w:rsid w:val="3EEE7806"/>
    <w:rsid w:val="3EFF7A3A"/>
    <w:rsid w:val="3F08628B"/>
    <w:rsid w:val="3F252EE8"/>
    <w:rsid w:val="3F691B37"/>
    <w:rsid w:val="3F692B5A"/>
    <w:rsid w:val="3F725EF0"/>
    <w:rsid w:val="3F84760B"/>
    <w:rsid w:val="3F8E41EC"/>
    <w:rsid w:val="3F8F41F0"/>
    <w:rsid w:val="40193DAC"/>
    <w:rsid w:val="40464DDB"/>
    <w:rsid w:val="40535DCD"/>
    <w:rsid w:val="40823EB5"/>
    <w:rsid w:val="40943452"/>
    <w:rsid w:val="40B5684A"/>
    <w:rsid w:val="40E02E1A"/>
    <w:rsid w:val="41103884"/>
    <w:rsid w:val="414906A2"/>
    <w:rsid w:val="416034EA"/>
    <w:rsid w:val="41BD6C40"/>
    <w:rsid w:val="41C03CFA"/>
    <w:rsid w:val="41D471C6"/>
    <w:rsid w:val="42036A83"/>
    <w:rsid w:val="422424B3"/>
    <w:rsid w:val="422E2A48"/>
    <w:rsid w:val="42336C9A"/>
    <w:rsid w:val="4257725E"/>
    <w:rsid w:val="426E0157"/>
    <w:rsid w:val="427E48FC"/>
    <w:rsid w:val="42C7049C"/>
    <w:rsid w:val="42CF2BD0"/>
    <w:rsid w:val="42F70390"/>
    <w:rsid w:val="43140BB0"/>
    <w:rsid w:val="43356179"/>
    <w:rsid w:val="433F1EF6"/>
    <w:rsid w:val="434E2BAC"/>
    <w:rsid w:val="435C0319"/>
    <w:rsid w:val="436A2486"/>
    <w:rsid w:val="43775D2C"/>
    <w:rsid w:val="43BC2737"/>
    <w:rsid w:val="43C54785"/>
    <w:rsid w:val="43CE59CA"/>
    <w:rsid w:val="43E7231B"/>
    <w:rsid w:val="43ED2E23"/>
    <w:rsid w:val="441C2102"/>
    <w:rsid w:val="443469F5"/>
    <w:rsid w:val="44380293"/>
    <w:rsid w:val="44601C94"/>
    <w:rsid w:val="447A1FB2"/>
    <w:rsid w:val="44A2622F"/>
    <w:rsid w:val="44AE1391"/>
    <w:rsid w:val="44E41B2F"/>
    <w:rsid w:val="44E571F4"/>
    <w:rsid w:val="44EC3791"/>
    <w:rsid w:val="44EE4DF6"/>
    <w:rsid w:val="45105B74"/>
    <w:rsid w:val="4532784D"/>
    <w:rsid w:val="4533506C"/>
    <w:rsid w:val="453464DE"/>
    <w:rsid w:val="45703E79"/>
    <w:rsid w:val="45A27ABE"/>
    <w:rsid w:val="45B77DF6"/>
    <w:rsid w:val="45C5529B"/>
    <w:rsid w:val="45D269C9"/>
    <w:rsid w:val="45D43FEC"/>
    <w:rsid w:val="45FA5CE3"/>
    <w:rsid w:val="45FB6D17"/>
    <w:rsid w:val="46081C28"/>
    <w:rsid w:val="46366B2E"/>
    <w:rsid w:val="46421139"/>
    <w:rsid w:val="46725B83"/>
    <w:rsid w:val="467E2676"/>
    <w:rsid w:val="46976E8B"/>
    <w:rsid w:val="46CE68FA"/>
    <w:rsid w:val="46E84090"/>
    <w:rsid w:val="47060610"/>
    <w:rsid w:val="471F1BDF"/>
    <w:rsid w:val="472F27A9"/>
    <w:rsid w:val="47380137"/>
    <w:rsid w:val="476F7A64"/>
    <w:rsid w:val="4772054E"/>
    <w:rsid w:val="47B42EB2"/>
    <w:rsid w:val="482A5B88"/>
    <w:rsid w:val="483B5B83"/>
    <w:rsid w:val="48497EA9"/>
    <w:rsid w:val="484F5D2B"/>
    <w:rsid w:val="485A5C8D"/>
    <w:rsid w:val="487C1710"/>
    <w:rsid w:val="48961F2E"/>
    <w:rsid w:val="49085E9E"/>
    <w:rsid w:val="496F2043"/>
    <w:rsid w:val="49936EB8"/>
    <w:rsid w:val="4A0E4168"/>
    <w:rsid w:val="4A394DF8"/>
    <w:rsid w:val="4A4779A9"/>
    <w:rsid w:val="4A6873B9"/>
    <w:rsid w:val="4A733159"/>
    <w:rsid w:val="4A8F0E29"/>
    <w:rsid w:val="4A905D8E"/>
    <w:rsid w:val="4A9C5604"/>
    <w:rsid w:val="4AC710B7"/>
    <w:rsid w:val="4AD91424"/>
    <w:rsid w:val="4AEB7978"/>
    <w:rsid w:val="4AEC7630"/>
    <w:rsid w:val="4B130AA1"/>
    <w:rsid w:val="4B346704"/>
    <w:rsid w:val="4B377D3B"/>
    <w:rsid w:val="4B3E4C9D"/>
    <w:rsid w:val="4BB940E7"/>
    <w:rsid w:val="4BBD4E91"/>
    <w:rsid w:val="4BEF643A"/>
    <w:rsid w:val="4C241A4E"/>
    <w:rsid w:val="4C630ACF"/>
    <w:rsid w:val="4C7D0E5F"/>
    <w:rsid w:val="4C8157AE"/>
    <w:rsid w:val="4C8448C5"/>
    <w:rsid w:val="4C8905B5"/>
    <w:rsid w:val="4CB91AA8"/>
    <w:rsid w:val="4CC70CC9"/>
    <w:rsid w:val="4CF41814"/>
    <w:rsid w:val="4D0E42A0"/>
    <w:rsid w:val="4D1A5AF8"/>
    <w:rsid w:val="4D273256"/>
    <w:rsid w:val="4D695B34"/>
    <w:rsid w:val="4D9C0532"/>
    <w:rsid w:val="4DA2442D"/>
    <w:rsid w:val="4DC536E9"/>
    <w:rsid w:val="4EFA1DED"/>
    <w:rsid w:val="4F642E4F"/>
    <w:rsid w:val="4F6C3456"/>
    <w:rsid w:val="4F810CB4"/>
    <w:rsid w:val="4F9C6901"/>
    <w:rsid w:val="4FA56873"/>
    <w:rsid w:val="50150554"/>
    <w:rsid w:val="50292F3E"/>
    <w:rsid w:val="506B04A3"/>
    <w:rsid w:val="50C573EB"/>
    <w:rsid w:val="50E312D8"/>
    <w:rsid w:val="50EE34D1"/>
    <w:rsid w:val="511A5C60"/>
    <w:rsid w:val="515146AA"/>
    <w:rsid w:val="51696B93"/>
    <w:rsid w:val="51697368"/>
    <w:rsid w:val="51B22198"/>
    <w:rsid w:val="51DA107F"/>
    <w:rsid w:val="522A0EDE"/>
    <w:rsid w:val="522B7015"/>
    <w:rsid w:val="522F427F"/>
    <w:rsid w:val="523B6E1D"/>
    <w:rsid w:val="5270159B"/>
    <w:rsid w:val="52C01919"/>
    <w:rsid w:val="52F443FA"/>
    <w:rsid w:val="53531218"/>
    <w:rsid w:val="53A23853"/>
    <w:rsid w:val="544C4768"/>
    <w:rsid w:val="54627C68"/>
    <w:rsid w:val="54AA19FF"/>
    <w:rsid w:val="54AE32D9"/>
    <w:rsid w:val="550A226F"/>
    <w:rsid w:val="551777D3"/>
    <w:rsid w:val="552E147F"/>
    <w:rsid w:val="554C3B05"/>
    <w:rsid w:val="556413FB"/>
    <w:rsid w:val="55A54BAE"/>
    <w:rsid w:val="55B02B1C"/>
    <w:rsid w:val="55C8168D"/>
    <w:rsid w:val="55CA53C0"/>
    <w:rsid w:val="561039DC"/>
    <w:rsid w:val="56494DAD"/>
    <w:rsid w:val="566707E9"/>
    <w:rsid w:val="56943FF9"/>
    <w:rsid w:val="56A25260"/>
    <w:rsid w:val="57105F6C"/>
    <w:rsid w:val="573F3ABB"/>
    <w:rsid w:val="57587A5E"/>
    <w:rsid w:val="579A5B73"/>
    <w:rsid w:val="579D53E9"/>
    <w:rsid w:val="579D6D5A"/>
    <w:rsid w:val="57A65A12"/>
    <w:rsid w:val="57AA2632"/>
    <w:rsid w:val="57D82D25"/>
    <w:rsid w:val="581D3B84"/>
    <w:rsid w:val="5822388A"/>
    <w:rsid w:val="58297A5A"/>
    <w:rsid w:val="58873140"/>
    <w:rsid w:val="58AB720C"/>
    <w:rsid w:val="59073FFC"/>
    <w:rsid w:val="596079AF"/>
    <w:rsid w:val="59A34BBD"/>
    <w:rsid w:val="59C806B5"/>
    <w:rsid w:val="59E61155"/>
    <w:rsid w:val="5A9A0E57"/>
    <w:rsid w:val="5AAF5757"/>
    <w:rsid w:val="5AE11B72"/>
    <w:rsid w:val="5AEB08DC"/>
    <w:rsid w:val="5B2C00D9"/>
    <w:rsid w:val="5B3D717A"/>
    <w:rsid w:val="5B4453CD"/>
    <w:rsid w:val="5BA8654C"/>
    <w:rsid w:val="5BE93D60"/>
    <w:rsid w:val="5C2E14B1"/>
    <w:rsid w:val="5C461BE2"/>
    <w:rsid w:val="5C8159EC"/>
    <w:rsid w:val="5CB3405A"/>
    <w:rsid w:val="5D283648"/>
    <w:rsid w:val="5DA41527"/>
    <w:rsid w:val="5DB21307"/>
    <w:rsid w:val="5DCD2A99"/>
    <w:rsid w:val="5DD2224E"/>
    <w:rsid w:val="5E1A45E8"/>
    <w:rsid w:val="5E1E4546"/>
    <w:rsid w:val="5E923579"/>
    <w:rsid w:val="5E9D0670"/>
    <w:rsid w:val="5EA55172"/>
    <w:rsid w:val="5F456A19"/>
    <w:rsid w:val="5F70174E"/>
    <w:rsid w:val="5F740DB4"/>
    <w:rsid w:val="5F9A0CFC"/>
    <w:rsid w:val="5FC62919"/>
    <w:rsid w:val="5FD057B6"/>
    <w:rsid w:val="5FF453DF"/>
    <w:rsid w:val="5FF7185F"/>
    <w:rsid w:val="6017796E"/>
    <w:rsid w:val="60380FBF"/>
    <w:rsid w:val="603B1711"/>
    <w:rsid w:val="60AD2B22"/>
    <w:rsid w:val="60CD3626"/>
    <w:rsid w:val="610F4D8C"/>
    <w:rsid w:val="611D28B8"/>
    <w:rsid w:val="6138312A"/>
    <w:rsid w:val="61404246"/>
    <w:rsid w:val="615F0B0C"/>
    <w:rsid w:val="618C2C96"/>
    <w:rsid w:val="61A35FAA"/>
    <w:rsid w:val="61A46D2B"/>
    <w:rsid w:val="61B47C0E"/>
    <w:rsid w:val="626E7E33"/>
    <w:rsid w:val="62722F3E"/>
    <w:rsid w:val="62A144AD"/>
    <w:rsid w:val="62B16A1D"/>
    <w:rsid w:val="62C14962"/>
    <w:rsid w:val="63117605"/>
    <w:rsid w:val="633939CF"/>
    <w:rsid w:val="633E4E82"/>
    <w:rsid w:val="63997D69"/>
    <w:rsid w:val="63B53D93"/>
    <w:rsid w:val="63D16093"/>
    <w:rsid w:val="63EF2C80"/>
    <w:rsid w:val="640D575E"/>
    <w:rsid w:val="641A408D"/>
    <w:rsid w:val="64402BF8"/>
    <w:rsid w:val="64450E67"/>
    <w:rsid w:val="645C3718"/>
    <w:rsid w:val="650461B2"/>
    <w:rsid w:val="658D1131"/>
    <w:rsid w:val="658F3546"/>
    <w:rsid w:val="65A92947"/>
    <w:rsid w:val="65CB44FD"/>
    <w:rsid w:val="66067BB8"/>
    <w:rsid w:val="660C47D7"/>
    <w:rsid w:val="661B2753"/>
    <w:rsid w:val="662A6D99"/>
    <w:rsid w:val="66455588"/>
    <w:rsid w:val="669A496C"/>
    <w:rsid w:val="66A922F2"/>
    <w:rsid w:val="66C77CFF"/>
    <w:rsid w:val="66DE286D"/>
    <w:rsid w:val="670A5D34"/>
    <w:rsid w:val="670F7122"/>
    <w:rsid w:val="67322139"/>
    <w:rsid w:val="676C3A53"/>
    <w:rsid w:val="677355A7"/>
    <w:rsid w:val="677F50D2"/>
    <w:rsid w:val="67B13DB4"/>
    <w:rsid w:val="67F77AC9"/>
    <w:rsid w:val="68172CCB"/>
    <w:rsid w:val="684667EF"/>
    <w:rsid w:val="685B7981"/>
    <w:rsid w:val="68AE4BB2"/>
    <w:rsid w:val="68AF3F8D"/>
    <w:rsid w:val="68BB5595"/>
    <w:rsid w:val="68D057FB"/>
    <w:rsid w:val="68E71AD7"/>
    <w:rsid w:val="692B054B"/>
    <w:rsid w:val="6951479C"/>
    <w:rsid w:val="695C1760"/>
    <w:rsid w:val="69A64DAC"/>
    <w:rsid w:val="69CC7B66"/>
    <w:rsid w:val="69E46B3E"/>
    <w:rsid w:val="6A1008EB"/>
    <w:rsid w:val="6A274149"/>
    <w:rsid w:val="6A3A2A51"/>
    <w:rsid w:val="6A404EC7"/>
    <w:rsid w:val="6A63772B"/>
    <w:rsid w:val="6A6A6F04"/>
    <w:rsid w:val="6A6B28B3"/>
    <w:rsid w:val="6A862ED2"/>
    <w:rsid w:val="6AB81584"/>
    <w:rsid w:val="6AC110D1"/>
    <w:rsid w:val="6AC62BD0"/>
    <w:rsid w:val="6AF9630F"/>
    <w:rsid w:val="6B007BF1"/>
    <w:rsid w:val="6B361738"/>
    <w:rsid w:val="6B364029"/>
    <w:rsid w:val="6B3C7E4E"/>
    <w:rsid w:val="6B8B058E"/>
    <w:rsid w:val="6BE50451"/>
    <w:rsid w:val="6BE85DAB"/>
    <w:rsid w:val="6BEB431C"/>
    <w:rsid w:val="6BFF4C2A"/>
    <w:rsid w:val="6C3F20A2"/>
    <w:rsid w:val="6C72537A"/>
    <w:rsid w:val="6C84153D"/>
    <w:rsid w:val="6C9265EE"/>
    <w:rsid w:val="6C9558B7"/>
    <w:rsid w:val="6CA76E79"/>
    <w:rsid w:val="6CC34E62"/>
    <w:rsid w:val="6CCA6D7E"/>
    <w:rsid w:val="6D312072"/>
    <w:rsid w:val="6D7C74B8"/>
    <w:rsid w:val="6D9D7236"/>
    <w:rsid w:val="6DA91358"/>
    <w:rsid w:val="6DBC63ED"/>
    <w:rsid w:val="6DBF1352"/>
    <w:rsid w:val="6E271C36"/>
    <w:rsid w:val="6E550284"/>
    <w:rsid w:val="6F260113"/>
    <w:rsid w:val="6F4879E1"/>
    <w:rsid w:val="6F6456E6"/>
    <w:rsid w:val="6F7438AE"/>
    <w:rsid w:val="6F924512"/>
    <w:rsid w:val="6FB80E63"/>
    <w:rsid w:val="6FBC1FB4"/>
    <w:rsid w:val="70410D3C"/>
    <w:rsid w:val="704E7D93"/>
    <w:rsid w:val="70830EDA"/>
    <w:rsid w:val="70E45BA1"/>
    <w:rsid w:val="70EC58F2"/>
    <w:rsid w:val="71281DAD"/>
    <w:rsid w:val="71594787"/>
    <w:rsid w:val="720D09AC"/>
    <w:rsid w:val="721E03A4"/>
    <w:rsid w:val="724D6CB9"/>
    <w:rsid w:val="725E2AD5"/>
    <w:rsid w:val="727B2D4C"/>
    <w:rsid w:val="72990834"/>
    <w:rsid w:val="72AA1111"/>
    <w:rsid w:val="72BA12E0"/>
    <w:rsid w:val="72BB7C87"/>
    <w:rsid w:val="72E661B9"/>
    <w:rsid w:val="73176473"/>
    <w:rsid w:val="73420145"/>
    <w:rsid w:val="739F5A17"/>
    <w:rsid w:val="73FA36A8"/>
    <w:rsid w:val="74032F9C"/>
    <w:rsid w:val="740B22CE"/>
    <w:rsid w:val="74216473"/>
    <w:rsid w:val="749A0021"/>
    <w:rsid w:val="749C4577"/>
    <w:rsid w:val="74D371A2"/>
    <w:rsid w:val="74DF7DA7"/>
    <w:rsid w:val="74FE4B06"/>
    <w:rsid w:val="75043F0E"/>
    <w:rsid w:val="751661E4"/>
    <w:rsid w:val="75244F89"/>
    <w:rsid w:val="758775FC"/>
    <w:rsid w:val="75982FAD"/>
    <w:rsid w:val="75A119C3"/>
    <w:rsid w:val="75BF6C38"/>
    <w:rsid w:val="75F47BE1"/>
    <w:rsid w:val="75FF489B"/>
    <w:rsid w:val="76093DC9"/>
    <w:rsid w:val="766F2155"/>
    <w:rsid w:val="76833427"/>
    <w:rsid w:val="76BA3522"/>
    <w:rsid w:val="76E40301"/>
    <w:rsid w:val="76F722A1"/>
    <w:rsid w:val="776B5DD8"/>
    <w:rsid w:val="777673BE"/>
    <w:rsid w:val="7785467B"/>
    <w:rsid w:val="778941A6"/>
    <w:rsid w:val="77BC26EE"/>
    <w:rsid w:val="77C75858"/>
    <w:rsid w:val="77DA208D"/>
    <w:rsid w:val="77E9736E"/>
    <w:rsid w:val="78104D46"/>
    <w:rsid w:val="781C1A90"/>
    <w:rsid w:val="78204DA7"/>
    <w:rsid w:val="7858537F"/>
    <w:rsid w:val="78812EA9"/>
    <w:rsid w:val="78A4780D"/>
    <w:rsid w:val="78A54F04"/>
    <w:rsid w:val="78BA74B0"/>
    <w:rsid w:val="79496187"/>
    <w:rsid w:val="79D148D7"/>
    <w:rsid w:val="79EE71A1"/>
    <w:rsid w:val="79F819FA"/>
    <w:rsid w:val="79F95B7C"/>
    <w:rsid w:val="7A05182D"/>
    <w:rsid w:val="7A2D1A8E"/>
    <w:rsid w:val="7A55761E"/>
    <w:rsid w:val="7A64514A"/>
    <w:rsid w:val="7A956147"/>
    <w:rsid w:val="7A9974A5"/>
    <w:rsid w:val="7AC87234"/>
    <w:rsid w:val="7AE6798A"/>
    <w:rsid w:val="7AEA5DE2"/>
    <w:rsid w:val="7AF515E8"/>
    <w:rsid w:val="7B0B6BB4"/>
    <w:rsid w:val="7B183EEF"/>
    <w:rsid w:val="7B532A06"/>
    <w:rsid w:val="7B9449AD"/>
    <w:rsid w:val="7BB15B7A"/>
    <w:rsid w:val="7BE04DB7"/>
    <w:rsid w:val="7BE60428"/>
    <w:rsid w:val="7BF5648F"/>
    <w:rsid w:val="7C18297F"/>
    <w:rsid w:val="7C2D0773"/>
    <w:rsid w:val="7C39386A"/>
    <w:rsid w:val="7C4B366E"/>
    <w:rsid w:val="7C504BA8"/>
    <w:rsid w:val="7C7F097E"/>
    <w:rsid w:val="7C977432"/>
    <w:rsid w:val="7C9D4229"/>
    <w:rsid w:val="7CC4644A"/>
    <w:rsid w:val="7CED48A9"/>
    <w:rsid w:val="7CFC7B1E"/>
    <w:rsid w:val="7D123216"/>
    <w:rsid w:val="7D5C5B27"/>
    <w:rsid w:val="7D7929D3"/>
    <w:rsid w:val="7DBB3085"/>
    <w:rsid w:val="7DE047A4"/>
    <w:rsid w:val="7DE61CAB"/>
    <w:rsid w:val="7DF0252C"/>
    <w:rsid w:val="7E001582"/>
    <w:rsid w:val="7E0504F2"/>
    <w:rsid w:val="7E0B5013"/>
    <w:rsid w:val="7E3E4CF2"/>
    <w:rsid w:val="7E86331A"/>
    <w:rsid w:val="7F0420C9"/>
    <w:rsid w:val="7F275873"/>
    <w:rsid w:val="7F2E1184"/>
    <w:rsid w:val="7F540EA4"/>
    <w:rsid w:val="7F593FF9"/>
    <w:rsid w:val="7FA30C16"/>
    <w:rsid w:val="7FA875DC"/>
    <w:rsid w:val="7FBB14C6"/>
    <w:rsid w:val="7FD278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link w:val="57"/>
    <w:qFormat/>
    <w:uiPriority w:val="0"/>
    <w:pPr>
      <w:keepNext/>
      <w:keepLines/>
      <w:spacing w:before="260" w:beforeLines="0" w:beforeAutospacing="0" w:after="260" w:afterLines="0" w:afterAutospacing="0" w:line="415" w:lineRule="auto"/>
      <w:outlineLvl w:val="1"/>
    </w:pPr>
    <w:rPr>
      <w:rFonts w:ascii="Arial" w:hAnsi="Arial" w:eastAsia="黑体"/>
      <w:b/>
      <w:sz w:val="28"/>
    </w:rPr>
  </w:style>
  <w:style w:type="paragraph" w:styleId="5">
    <w:name w:val="heading 3"/>
    <w:basedOn w:val="1"/>
    <w:next w:val="1"/>
    <w:link w:val="58"/>
    <w:qFormat/>
    <w:uiPriority w:val="0"/>
    <w:pPr>
      <w:keepNext/>
      <w:keepLines/>
      <w:spacing w:before="260" w:beforeLines="0" w:beforeAutospacing="0" w:after="260" w:afterLines="0" w:afterAutospacing="0" w:line="415" w:lineRule="auto"/>
      <w:outlineLvl w:val="2"/>
    </w:pPr>
    <w:rPr>
      <w:b/>
      <w:sz w:val="32"/>
    </w:rPr>
  </w:style>
  <w:style w:type="paragraph" w:styleId="6">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7">
    <w:name w:val="heading 5"/>
    <w:basedOn w:val="1"/>
    <w:next w:val="1"/>
    <w:qFormat/>
    <w:uiPriority w:val="0"/>
    <w:pPr>
      <w:keepNext/>
      <w:keepLines/>
      <w:adjustRightInd w:val="0"/>
      <w:spacing w:before="280" w:beforeLines="0" w:beforeAutospacing="0" w:after="290" w:afterLines="0" w:afterAutospacing="0" w:line="376" w:lineRule="atLeast"/>
      <w:outlineLvl w:val="4"/>
    </w:pPr>
    <w:rPr>
      <w:b/>
      <w:kern w:val="0"/>
      <w:sz w:val="28"/>
    </w:rPr>
  </w:style>
  <w:style w:type="paragraph" w:styleId="8">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beforeLines="0" w:beforeAutospacing="0" w:after="64" w:afterLines="0" w:afterAutospacing="0" w:line="320" w:lineRule="atLeast"/>
      <w:outlineLvl w:val="6"/>
    </w:pPr>
    <w:rPr>
      <w:b/>
      <w:kern w:val="0"/>
      <w:sz w:val="24"/>
    </w:rPr>
  </w:style>
  <w:style w:type="paragraph" w:styleId="10">
    <w:name w:val="heading 8"/>
    <w:basedOn w:val="1"/>
    <w:next w:val="1"/>
    <w:qFormat/>
    <w:uiPriority w:val="0"/>
    <w:pPr>
      <w:keepNext/>
      <w:keepLines/>
      <w:adjustRightInd w:val="0"/>
      <w:spacing w:before="240" w:beforeLines="0" w:beforeAutospacing="0" w:after="64" w:afterLines="0" w:afterAutospacing="0" w:line="320" w:lineRule="atLeast"/>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beforeLines="0" w:beforeAutospacing="0" w:after="64" w:afterLines="0" w:afterAutospacing="0" w:line="320" w:lineRule="atLeast"/>
      <w:outlineLvl w:val="8"/>
    </w:pPr>
    <w:rPr>
      <w:rFonts w:ascii="Arial" w:hAnsi="Arial" w:eastAsia="黑体"/>
      <w:kern w:val="0"/>
    </w:rPr>
  </w:style>
  <w:style w:type="character" w:default="1" w:styleId="41">
    <w:name w:val="Default Paragraph Font"/>
    <w:link w:val="42"/>
    <w:qFormat/>
    <w:uiPriority w:val="0"/>
    <w:rPr>
      <w:szCs w:val="24"/>
    </w:rPr>
  </w:style>
  <w:style w:type="table" w:default="1" w:styleId="39">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360" w:lineRule="auto"/>
    </w:pPr>
    <w:rPr>
      <w:rFonts w:ascii="幼圆" w:eastAsia="幼圆"/>
      <w:sz w:val="24"/>
      <w:u w:val="single"/>
    </w:r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0"/>
    <w:pPr>
      <w:ind w:firstLine="420"/>
    </w:pPr>
  </w:style>
  <w:style w:type="paragraph" w:styleId="14">
    <w:name w:val="Document Map"/>
    <w:basedOn w:val="1"/>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after="120" w:afterLines="0" w:afterAutospacing="0"/>
    </w:pPr>
    <w:rPr>
      <w:sz w:val="16"/>
    </w:rPr>
  </w:style>
  <w:style w:type="paragraph" w:styleId="17">
    <w:name w:val="Body Text"/>
    <w:basedOn w:val="1"/>
    <w:next w:val="1"/>
    <w:qFormat/>
    <w:uiPriority w:val="0"/>
    <w:rPr>
      <w:b/>
      <w:sz w:val="28"/>
    </w:rPr>
  </w:style>
  <w:style w:type="paragraph" w:styleId="18">
    <w:name w:val="Body Text Indent"/>
    <w:basedOn w:val="1"/>
    <w:qFormat/>
    <w:uiPriority w:val="0"/>
    <w:pPr>
      <w:ind w:left="1083" w:leftChars="30" w:hanging="1020" w:hangingChars="425"/>
    </w:pPr>
    <w:rPr>
      <w:rFonts w:ascii="宋体" w:hAnsi="宋体"/>
      <w:sz w:val="24"/>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ind w:left="420"/>
      <w:jc w:val="left"/>
    </w:pPr>
    <w:rPr>
      <w:i/>
      <w:iCs/>
      <w:sz w:val="20"/>
    </w:rPr>
  </w:style>
  <w:style w:type="paragraph" w:styleId="21">
    <w:name w:val="Plain Text"/>
    <w:basedOn w:val="1"/>
    <w:link w:val="59"/>
    <w:qFormat/>
    <w:uiPriority w:val="0"/>
    <w:rPr>
      <w:rFonts w:ascii="宋体" w:hAnsi="Courier New"/>
      <w:sz w:val="24"/>
    </w:rPr>
  </w:style>
  <w:style w:type="paragraph" w:styleId="22">
    <w:name w:val="toc 8"/>
    <w:basedOn w:val="1"/>
    <w:next w:val="1"/>
    <w:qFormat/>
    <w:uiPriority w:val="0"/>
    <w:pPr>
      <w:ind w:left="1470"/>
      <w:jc w:val="left"/>
    </w:pPr>
    <w:rPr>
      <w:sz w:val="18"/>
      <w:szCs w:val="18"/>
    </w:rPr>
  </w:style>
  <w:style w:type="paragraph" w:styleId="23">
    <w:name w:val="Date"/>
    <w:basedOn w:val="1"/>
    <w:next w:val="1"/>
    <w:qFormat/>
    <w:uiPriority w:val="0"/>
    <w:pPr>
      <w:ind w:left="100" w:leftChars="2500"/>
    </w:pPr>
    <w:rPr>
      <w:b/>
      <w:sz w:val="36"/>
    </w:rPr>
  </w:style>
  <w:style w:type="paragraph" w:styleId="24">
    <w:name w:val="Body Text Indent 2"/>
    <w:basedOn w:val="1"/>
    <w:qFormat/>
    <w:uiPriority w:val="0"/>
    <w:pPr>
      <w:spacing w:line="360" w:lineRule="auto"/>
      <w:ind w:firstLine="480" w:firstLineChars="200"/>
    </w:pPr>
    <w:rPr>
      <w:rFonts w:ascii="幼圆" w:hAnsi="宋体" w:eastAsia="幼圆"/>
      <w:color w:val="FF0000"/>
      <w:sz w:val="24"/>
    </w:rPr>
  </w:style>
  <w:style w:type="paragraph" w:styleId="25">
    <w:name w:val="Balloon Text"/>
    <w:basedOn w:val="1"/>
    <w:qFormat/>
    <w:uiPriority w:val="0"/>
    <w:rPr>
      <w:sz w:val="18"/>
    </w:rPr>
  </w:style>
  <w:style w:type="paragraph" w:styleId="26">
    <w:name w:val="footer"/>
    <w:basedOn w:val="1"/>
    <w:link w:val="60"/>
    <w:qFormat/>
    <w:uiPriority w:val="0"/>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28">
    <w:name w:val="toc 1"/>
    <w:basedOn w:val="1"/>
    <w:next w:val="1"/>
    <w:qFormat/>
    <w:uiPriority w:val="39"/>
    <w:pPr>
      <w:spacing w:before="120" w:beforeLines="0" w:after="120" w:afterLines="0"/>
      <w:jc w:val="left"/>
    </w:pPr>
    <w:rPr>
      <w:b/>
      <w:bCs/>
      <w:caps/>
      <w:sz w:val="20"/>
    </w:rPr>
  </w:style>
  <w:style w:type="paragraph" w:styleId="29">
    <w:name w:val="toc 4"/>
    <w:basedOn w:val="1"/>
    <w:next w:val="1"/>
    <w:qFormat/>
    <w:uiPriority w:val="0"/>
    <w:pPr>
      <w:ind w:left="630"/>
      <w:jc w:val="left"/>
    </w:pPr>
    <w:rPr>
      <w:sz w:val="18"/>
      <w:szCs w:val="18"/>
    </w:rPr>
  </w:style>
  <w:style w:type="paragraph" w:styleId="30">
    <w:name w:val="toc 6"/>
    <w:basedOn w:val="1"/>
    <w:next w:val="1"/>
    <w:qFormat/>
    <w:uiPriority w:val="0"/>
    <w:pPr>
      <w:ind w:left="1050"/>
      <w:jc w:val="left"/>
    </w:pPr>
    <w:rPr>
      <w:sz w:val="18"/>
      <w:szCs w:val="18"/>
    </w:rPr>
  </w:style>
  <w:style w:type="paragraph" w:styleId="31">
    <w:name w:val="Body Text Indent 3"/>
    <w:basedOn w:val="1"/>
    <w:qFormat/>
    <w:uiPriority w:val="0"/>
    <w:pPr>
      <w:spacing w:after="120" w:afterLines="0" w:afterAutospacing="0"/>
      <w:ind w:left="420" w:leftChars="200"/>
    </w:pPr>
    <w:rPr>
      <w:sz w:val="16"/>
    </w:rPr>
  </w:style>
  <w:style w:type="paragraph" w:styleId="32">
    <w:name w:val="toc 2"/>
    <w:basedOn w:val="1"/>
    <w:next w:val="1"/>
    <w:qFormat/>
    <w:uiPriority w:val="39"/>
    <w:pPr>
      <w:ind w:left="210"/>
      <w:jc w:val="left"/>
    </w:pPr>
    <w:rPr>
      <w:smallCaps/>
      <w:sz w:val="20"/>
    </w:rPr>
  </w:style>
  <w:style w:type="paragraph" w:styleId="33">
    <w:name w:val="toc 9"/>
    <w:basedOn w:val="1"/>
    <w:next w:val="1"/>
    <w:qFormat/>
    <w:uiPriority w:val="0"/>
    <w:pPr>
      <w:ind w:left="1680"/>
      <w:jc w:val="left"/>
    </w:pPr>
    <w:rPr>
      <w:sz w:val="18"/>
      <w:szCs w:val="18"/>
    </w:rPr>
  </w:style>
  <w:style w:type="paragraph" w:styleId="34">
    <w:name w:val="HTML Preformatted"/>
    <w:basedOn w:val="1"/>
    <w:qFormat/>
    <w:uiPriority w:val="0"/>
    <w:rPr>
      <w:rFonts w:ascii="Courier New" w:hAnsi="Courier New"/>
      <w:sz w:val="20"/>
    </w:rPr>
  </w:style>
  <w:style w:type="paragraph" w:styleId="3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6">
    <w:name w:val="index 1"/>
    <w:basedOn w:val="1"/>
    <w:next w:val="1"/>
    <w:qFormat/>
    <w:uiPriority w:val="0"/>
  </w:style>
  <w:style w:type="paragraph" w:styleId="37">
    <w:name w:val="annotation subject"/>
    <w:basedOn w:val="15"/>
    <w:next w:val="15"/>
    <w:semiHidden/>
    <w:qFormat/>
    <w:uiPriority w:val="0"/>
    <w:rPr>
      <w:b/>
      <w:bCs/>
    </w:rPr>
  </w:style>
  <w:style w:type="paragraph" w:styleId="38">
    <w:name w:val="Body Text First Indent"/>
    <w:basedOn w:val="17"/>
    <w:qFormat/>
    <w:uiPriority w:val="0"/>
    <w:pPr>
      <w:adjustRightInd w:val="0"/>
      <w:ind w:firstLine="420"/>
      <w:jc w:val="left"/>
      <w:textAlignment w:val="baseline"/>
    </w:pPr>
    <w:rPr>
      <w:b w:val="0"/>
      <w:kern w:val="0"/>
      <w:sz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Char Char Char Char Char Char Char Char Char Char"/>
    <w:basedOn w:val="1"/>
    <w:link w:val="41"/>
    <w:qFormat/>
    <w:uiPriority w:val="0"/>
    <w:rPr>
      <w:szCs w:val="24"/>
    </w:rPr>
  </w:style>
  <w:style w:type="character" w:styleId="43">
    <w:name w:val="Strong"/>
    <w:basedOn w:val="41"/>
    <w:qFormat/>
    <w:uiPriority w:val="22"/>
    <w:rPr>
      <w:b/>
    </w:rPr>
  </w:style>
  <w:style w:type="character" w:styleId="44">
    <w:name w:val="page number"/>
    <w:basedOn w:val="41"/>
    <w:qFormat/>
    <w:uiPriority w:val="0"/>
  </w:style>
  <w:style w:type="character" w:styleId="45">
    <w:name w:val="FollowedHyperlink"/>
    <w:qFormat/>
    <w:uiPriority w:val="0"/>
    <w:rPr>
      <w:rFonts w:hint="eastAsia" w:ascii="宋体" w:hAnsi="宋体" w:eastAsia="宋体" w:cs="宋体"/>
      <w:color w:val="000000"/>
      <w:sz w:val="18"/>
      <w:szCs w:val="18"/>
      <w:u w:val="none"/>
    </w:rPr>
  </w:style>
  <w:style w:type="character" w:styleId="46">
    <w:name w:val="Emphasis"/>
    <w:qFormat/>
    <w:uiPriority w:val="0"/>
  </w:style>
  <w:style w:type="character" w:styleId="47">
    <w:name w:val="HTML Definition"/>
    <w:qFormat/>
    <w:uiPriority w:val="0"/>
  </w:style>
  <w:style w:type="character" w:styleId="48">
    <w:name w:val="HTML Typewriter"/>
    <w:qFormat/>
    <w:uiPriority w:val="0"/>
    <w:rPr>
      <w:rFonts w:hint="default" w:ascii="monospace" w:hAnsi="monospace" w:eastAsia="monospace" w:cs="monospace"/>
      <w:sz w:val="20"/>
    </w:rPr>
  </w:style>
  <w:style w:type="character" w:styleId="49">
    <w:name w:val="HTML Acronym"/>
    <w:basedOn w:val="41"/>
    <w:qFormat/>
    <w:uiPriority w:val="0"/>
  </w:style>
  <w:style w:type="character" w:styleId="50">
    <w:name w:val="HTML Variable"/>
    <w:qFormat/>
    <w:uiPriority w:val="0"/>
  </w:style>
  <w:style w:type="character" w:styleId="51">
    <w:name w:val="Hyperlink"/>
    <w:qFormat/>
    <w:uiPriority w:val="99"/>
    <w:rPr>
      <w:rFonts w:hint="eastAsia" w:ascii="宋体" w:hAnsi="宋体" w:eastAsia="宋体" w:cs="宋体"/>
      <w:color w:val="000000"/>
      <w:sz w:val="18"/>
      <w:szCs w:val="18"/>
      <w:u w:val="none"/>
    </w:rPr>
  </w:style>
  <w:style w:type="character" w:styleId="52">
    <w:name w:val="HTML Code"/>
    <w:qFormat/>
    <w:uiPriority w:val="0"/>
    <w:rPr>
      <w:rFonts w:hint="default" w:ascii="monospace" w:hAnsi="monospace" w:eastAsia="monospace" w:cs="monospace"/>
      <w:sz w:val="20"/>
    </w:rPr>
  </w:style>
  <w:style w:type="character" w:styleId="53">
    <w:name w:val="annotation reference"/>
    <w:semiHidden/>
    <w:qFormat/>
    <w:uiPriority w:val="0"/>
    <w:rPr>
      <w:sz w:val="21"/>
      <w:szCs w:val="21"/>
    </w:rPr>
  </w:style>
  <w:style w:type="character" w:styleId="54">
    <w:name w:val="HTML Cite"/>
    <w:qFormat/>
    <w:uiPriority w:val="0"/>
  </w:style>
  <w:style w:type="character" w:styleId="55">
    <w:name w:val="HTML Keyboard"/>
    <w:qFormat/>
    <w:uiPriority w:val="0"/>
    <w:rPr>
      <w:rFonts w:hint="default" w:ascii="monospace" w:hAnsi="monospace" w:eastAsia="monospace" w:cs="monospace"/>
      <w:sz w:val="20"/>
    </w:rPr>
  </w:style>
  <w:style w:type="character" w:styleId="56">
    <w:name w:val="HTML Sample"/>
    <w:qFormat/>
    <w:uiPriority w:val="0"/>
    <w:rPr>
      <w:rFonts w:ascii="monospace" w:hAnsi="monospace" w:eastAsia="monospace" w:cs="monospace"/>
    </w:rPr>
  </w:style>
  <w:style w:type="character" w:customStyle="1" w:styleId="57">
    <w:name w:val="标题 2 Char"/>
    <w:link w:val="4"/>
    <w:qFormat/>
    <w:uiPriority w:val="0"/>
    <w:rPr>
      <w:rFonts w:ascii="Arial" w:hAnsi="Arial" w:eastAsia="黑体"/>
      <w:b/>
      <w:kern w:val="2"/>
      <w:sz w:val="28"/>
      <w:lang w:val="en-US" w:eastAsia="zh-CN" w:bidi="ar-SA"/>
    </w:rPr>
  </w:style>
  <w:style w:type="character" w:customStyle="1" w:styleId="58">
    <w:name w:val="标题 3 Char"/>
    <w:link w:val="5"/>
    <w:qFormat/>
    <w:uiPriority w:val="0"/>
    <w:rPr>
      <w:rFonts w:eastAsia="宋体"/>
      <w:b/>
      <w:kern w:val="2"/>
      <w:sz w:val="32"/>
      <w:lang w:val="en-US" w:eastAsia="zh-CN"/>
    </w:rPr>
  </w:style>
  <w:style w:type="character" w:customStyle="1" w:styleId="59">
    <w:name w:val="纯文本 Char"/>
    <w:link w:val="21"/>
    <w:qFormat/>
    <w:uiPriority w:val="0"/>
    <w:rPr>
      <w:rFonts w:ascii="宋体" w:hAnsi="Courier New" w:eastAsia="宋体"/>
      <w:kern w:val="2"/>
      <w:sz w:val="24"/>
      <w:lang w:val="en-US" w:eastAsia="zh-CN" w:bidi="ar-SA"/>
    </w:rPr>
  </w:style>
  <w:style w:type="character" w:customStyle="1" w:styleId="60">
    <w:name w:val="页脚 Char"/>
    <w:link w:val="26"/>
    <w:qFormat/>
    <w:uiPriority w:val="0"/>
    <w:rPr>
      <w:rFonts w:eastAsia="宋体"/>
      <w:kern w:val="2"/>
      <w:sz w:val="18"/>
      <w:lang w:val="en-US" w:eastAsia="zh-CN" w:bidi="ar-SA"/>
    </w:rPr>
  </w:style>
  <w:style w:type="character" w:customStyle="1" w:styleId="61">
    <w:name w:val="beforeinfotext"/>
    <w:qFormat/>
    <w:uiPriority w:val="0"/>
    <w:rPr>
      <w:color w:val="666666"/>
    </w:rPr>
  </w:style>
  <w:style w:type="character" w:customStyle="1" w:styleId="62">
    <w:name w:val="title_emph1"/>
    <w:qFormat/>
    <w:uiPriority w:val="0"/>
    <w:rPr>
      <w:rFonts w:hint="default" w:ascii="Arial" w:hAnsi="Arial"/>
      <w:b/>
      <w:sz w:val="18"/>
    </w:rPr>
  </w:style>
  <w:style w:type="character" w:customStyle="1" w:styleId="63">
    <w:name w:val="wdate1"/>
    <w:qFormat/>
    <w:uiPriority w:val="0"/>
    <w:rPr>
      <w:shd w:val="clear" w:color="auto" w:fill="F7F2B0"/>
    </w:rPr>
  </w:style>
  <w:style w:type="character" w:customStyle="1" w:styleId="64">
    <w:name w:val="表格内容"/>
    <w:qFormat/>
    <w:uiPriority w:val="0"/>
    <w:rPr>
      <w:sz w:val="24"/>
    </w:rPr>
  </w:style>
  <w:style w:type="character" w:customStyle="1" w:styleId="65">
    <w:name w:val="breakword"/>
    <w:basedOn w:val="41"/>
    <w:qFormat/>
    <w:uiPriority w:val="0"/>
  </w:style>
  <w:style w:type="character" w:customStyle="1" w:styleId="66">
    <w:name w:val="input1"/>
    <w:qFormat/>
    <w:uiPriority w:val="0"/>
    <w:rPr>
      <w:color w:val="000000"/>
      <w:sz w:val="21"/>
      <w:szCs w:val="21"/>
      <w:bdr w:val="single" w:color="000000" w:sz="2" w:space="0"/>
      <w:shd w:val="clear" w:color="auto" w:fill="F7F2B0"/>
    </w:rPr>
  </w:style>
  <w:style w:type="character" w:customStyle="1" w:styleId="67">
    <w:name w:val="apple-style-span"/>
    <w:basedOn w:val="41"/>
    <w:qFormat/>
    <w:uiPriority w:val="0"/>
  </w:style>
  <w:style w:type="character" w:customStyle="1" w:styleId="68">
    <w:name w:val="point_normal1"/>
    <w:qFormat/>
    <w:uiPriority w:val="0"/>
    <w:rPr>
      <w:rFonts w:hint="default" w:ascii="Arial" w:hAnsi="Arial"/>
      <w:sz w:val="18"/>
    </w:rPr>
  </w:style>
  <w:style w:type="character" w:customStyle="1" w:styleId="69">
    <w:name w:val="para1"/>
    <w:qFormat/>
    <w:uiPriority w:val="0"/>
    <w:rPr>
      <w:rFonts w:hint="default" w:ascii="Arial" w:hAnsi="Arial"/>
      <w:sz w:val="18"/>
    </w:rPr>
  </w:style>
  <w:style w:type="character" w:customStyle="1" w:styleId="70">
    <w:name w:val=" Char Char33"/>
    <w:qFormat/>
    <w:uiPriority w:val="0"/>
    <w:rPr>
      <w:rFonts w:ascii="Arial" w:hAnsi="Arial" w:eastAsia="黑体"/>
      <w:b/>
      <w:kern w:val="2"/>
      <w:sz w:val="32"/>
      <w:lang w:val="en-US" w:eastAsia="zh-CN" w:bidi="ar-SA"/>
    </w:rPr>
  </w:style>
  <w:style w:type="character" w:customStyle="1" w:styleId="71">
    <w:name w:val="font41"/>
    <w:qFormat/>
    <w:uiPriority w:val="0"/>
    <w:rPr>
      <w:rFonts w:hint="eastAsia" w:ascii="宋体" w:hAnsi="宋体" w:eastAsia="宋体" w:cs="宋体"/>
      <w:color w:val="000000"/>
      <w:sz w:val="20"/>
      <w:szCs w:val="20"/>
      <w:u w:val="none"/>
    </w:rPr>
  </w:style>
  <w:style w:type="character" w:customStyle="1" w:styleId="72">
    <w:name w:val=" Char Char5"/>
    <w:qFormat/>
    <w:uiPriority w:val="0"/>
    <w:rPr>
      <w:rFonts w:ascii="Arial" w:hAnsi="Arial" w:eastAsia="黑体"/>
      <w:b/>
      <w:kern w:val="2"/>
      <w:sz w:val="32"/>
      <w:lang w:val="en-US" w:eastAsia="zh-CN" w:bidi="ar-SA"/>
    </w:rPr>
  </w:style>
  <w:style w:type="character" w:customStyle="1" w:styleId="73">
    <w:name w:val="phone"/>
    <w:qFormat/>
    <w:uiPriority w:val="0"/>
    <w:rPr>
      <w:color w:val="FF8833"/>
      <w:sz w:val="18"/>
      <w:szCs w:val="18"/>
    </w:rPr>
  </w:style>
  <w:style w:type="character" w:customStyle="1" w:styleId="74">
    <w:name w:val="stclosebtn"/>
    <w:basedOn w:val="41"/>
    <w:qFormat/>
    <w:uiPriority w:val="0"/>
  </w:style>
  <w:style w:type="character" w:customStyle="1" w:styleId="75">
    <w:name w:val="dnbg2"/>
    <w:basedOn w:val="41"/>
    <w:qFormat/>
    <w:uiPriority w:val="0"/>
  </w:style>
  <w:style w:type="character" w:customStyle="1" w:styleId="76">
    <w:name w:val="proollist"/>
    <w:basedOn w:val="41"/>
    <w:qFormat/>
    <w:uiPriority w:val="0"/>
  </w:style>
  <w:style w:type="character" w:customStyle="1" w:styleId="77">
    <w:name w:val="me041"/>
    <w:qFormat/>
    <w:uiPriority w:val="0"/>
    <w:rPr>
      <w:color w:val="6F6F73"/>
      <w:sz w:val="18"/>
      <w:szCs w:val="18"/>
    </w:rPr>
  </w:style>
  <w:style w:type="character" w:customStyle="1" w:styleId="78">
    <w:name w:val="HTML Markup"/>
    <w:qFormat/>
    <w:uiPriority w:val="0"/>
    <w:rPr>
      <w:vanish/>
      <w:color w:val="FF0000"/>
    </w:rPr>
  </w:style>
  <w:style w:type="character" w:customStyle="1" w:styleId="79">
    <w:name w:val="普通(网站) Char Char"/>
    <w:link w:val="80"/>
    <w:qFormat/>
    <w:uiPriority w:val="0"/>
    <w:rPr>
      <w:rFonts w:ascii="宋体" w:hAnsi="宋体"/>
      <w:sz w:val="24"/>
      <w:lang w:bidi="ar-SA"/>
    </w:rPr>
  </w:style>
  <w:style w:type="paragraph" w:customStyle="1" w:styleId="80">
    <w:name w:val="普通(网站)1"/>
    <w:basedOn w:val="1"/>
    <w:link w:val="79"/>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character" w:customStyle="1" w:styleId="81">
    <w:name w:val="number"/>
    <w:qFormat/>
    <w:uiPriority w:val="0"/>
    <w:rPr>
      <w:color w:val="FF8833"/>
      <w:sz w:val="18"/>
      <w:szCs w:val="18"/>
    </w:rPr>
  </w:style>
  <w:style w:type="paragraph" w:customStyle="1" w:styleId="8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83">
    <w:name w:val="xl67"/>
    <w:basedOn w:val="1"/>
    <w:qFormat/>
    <w:uiPriority w:val="0"/>
    <w:pPr>
      <w:widowControl/>
      <w:spacing w:before="100" w:beforeLines="0" w:beforeAutospacing="1" w:after="100" w:afterLines="0" w:afterAutospacing="1"/>
      <w:jc w:val="left"/>
      <w:textAlignment w:val="center"/>
    </w:pPr>
    <w:rPr>
      <w:rFonts w:ascii="宋体" w:hAnsi="宋体"/>
      <w:kern w:val="0"/>
      <w:sz w:val="24"/>
    </w:rPr>
  </w:style>
  <w:style w:type="paragraph" w:customStyle="1" w:styleId="84">
    <w:name w:val="xl82"/>
    <w:basedOn w:val="1"/>
    <w:qFormat/>
    <w:uiPriority w:val="0"/>
    <w:pPr>
      <w:widowControl/>
      <w:spacing w:before="100" w:beforeLines="0" w:beforeAutospacing="1" w:after="100" w:afterLines="0" w:afterAutospacing="1"/>
      <w:jc w:val="center"/>
      <w:textAlignment w:val="center"/>
    </w:pPr>
    <w:rPr>
      <w:rFonts w:ascii="宋体" w:hAnsi="宋体"/>
      <w:b/>
      <w:kern w:val="0"/>
      <w:sz w:val="40"/>
    </w:rPr>
  </w:style>
  <w:style w:type="paragraph" w:customStyle="1" w:styleId="8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kern w:val="0"/>
      <w:sz w:val="22"/>
    </w:rPr>
  </w:style>
  <w:style w:type="paragraph" w:customStyle="1" w:styleId="86">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87">
    <w:name w:val="font12"/>
    <w:basedOn w:val="1"/>
    <w:qFormat/>
    <w:uiPriority w:val="0"/>
    <w:pPr>
      <w:widowControl/>
      <w:spacing w:before="100" w:beforeLines="0" w:beforeAutospacing="1" w:after="100" w:afterLines="0" w:afterAutospacing="1"/>
      <w:jc w:val="left"/>
    </w:pPr>
    <w:rPr>
      <w:rFonts w:ascii="Arial" w:hAnsi="Arial"/>
      <w:kern w:val="0"/>
      <w:sz w:val="22"/>
    </w:rPr>
  </w:style>
  <w:style w:type="paragraph" w:customStyle="1" w:styleId="8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rPr>
  </w:style>
  <w:style w:type="paragraph" w:customStyle="1" w:styleId="8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rPr>
  </w:style>
  <w:style w:type="paragraph" w:customStyle="1" w:styleId="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1">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92">
    <w:name w:val="List Paragraph1"/>
    <w:basedOn w:val="1"/>
    <w:qFormat/>
    <w:uiPriority w:val="0"/>
    <w:pPr>
      <w:ind w:firstLine="420" w:firstLineChars="200"/>
    </w:pPr>
    <w:rPr>
      <w:szCs w:val="24"/>
    </w:rPr>
  </w:style>
  <w:style w:type="paragraph" w:customStyle="1" w:styleId="9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94">
    <w:name w:val="title12"/>
    <w:basedOn w:val="1"/>
    <w:qFormat/>
    <w:uiPriority w:val="0"/>
    <w:pPr>
      <w:widowControl/>
      <w:spacing w:before="150" w:line="510" w:lineRule="atLeast"/>
      <w:jc w:val="left"/>
    </w:pPr>
    <w:rPr>
      <w:rFonts w:ascii="宋体" w:hAnsi="宋体" w:cs="宋体"/>
      <w:b/>
      <w:bCs/>
      <w:kern w:val="0"/>
      <w:sz w:val="23"/>
      <w:szCs w:val="23"/>
    </w:rPr>
  </w:style>
  <w:style w:type="paragraph" w:customStyle="1" w:styleId="95">
    <w:name w:val="xl68"/>
    <w:basedOn w:val="1"/>
    <w:qFormat/>
    <w:uiPriority w:val="0"/>
    <w:pPr>
      <w:widowControl/>
      <w:spacing w:before="100" w:beforeLines="0" w:beforeAutospacing="1" w:after="100" w:afterLines="0" w:afterAutospacing="1"/>
      <w:jc w:val="left"/>
      <w:textAlignment w:val="center"/>
    </w:pPr>
    <w:rPr>
      <w:rFonts w:ascii="Arial" w:hAnsi="Arial"/>
      <w:kern w:val="0"/>
      <w:sz w:val="20"/>
    </w:rPr>
  </w:style>
  <w:style w:type="paragraph" w:customStyle="1" w:styleId="96">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97">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8">
    <w:name w:val="xl81"/>
    <w:basedOn w:val="1"/>
    <w:qFormat/>
    <w:uiPriority w:val="0"/>
    <w:pPr>
      <w:widowControl/>
      <w:spacing w:before="100" w:beforeLines="0" w:beforeAutospacing="1" w:after="100" w:afterLines="0" w:afterAutospacing="1"/>
      <w:jc w:val="center"/>
      <w:textAlignment w:val="center"/>
    </w:pPr>
    <w:rPr>
      <w:rFonts w:ascii="宋体" w:hAnsi="宋体"/>
      <w:b/>
      <w:kern w:val="0"/>
      <w:sz w:val="44"/>
    </w:rPr>
  </w:style>
  <w:style w:type="paragraph" w:customStyle="1" w:styleId="9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00">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01">
    <w:name w:val="xl27"/>
    <w:basedOn w:val="1"/>
    <w:qFormat/>
    <w:uiPriority w:val="0"/>
    <w:pPr>
      <w:widowControl/>
      <w:spacing w:before="100" w:beforeLines="0" w:beforeAutospacing="1" w:after="100" w:afterLines="0" w:afterAutospacing="1"/>
      <w:jc w:val="center"/>
      <w:textAlignment w:val="center"/>
    </w:pPr>
    <w:rPr>
      <w:rFonts w:ascii="宋体" w:hAnsi="宋体"/>
      <w:kern w:val="0"/>
      <w:sz w:val="24"/>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0"/>
    </w:rPr>
  </w:style>
  <w:style w:type="paragraph" w:customStyle="1" w:styleId="103">
    <w:name w:val="xl83"/>
    <w:basedOn w:val="1"/>
    <w:qFormat/>
    <w:uiPriority w:val="0"/>
    <w:pPr>
      <w:widowControl/>
      <w:pBdr>
        <w:bottom w:val="single" w:color="auto" w:sz="4" w:space="0"/>
      </w:pBdr>
      <w:spacing w:before="100" w:beforeLines="0" w:beforeAutospacing="1" w:after="100" w:afterLines="0" w:afterAutospacing="1"/>
      <w:jc w:val="center"/>
      <w:textAlignment w:val="center"/>
    </w:pPr>
    <w:rPr>
      <w:rFonts w:ascii="宋体" w:hAnsi="宋体"/>
      <w:b/>
      <w:kern w:val="0"/>
      <w:sz w:val="32"/>
    </w:rPr>
  </w:style>
  <w:style w:type="paragraph" w:customStyle="1" w:styleId="104">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105">
    <w:name w:val="xl71"/>
    <w:basedOn w:val="1"/>
    <w:qFormat/>
    <w:uiPriority w:val="0"/>
    <w:pPr>
      <w:widowControl/>
      <w:spacing w:before="100" w:beforeLines="0" w:beforeAutospacing="1" w:after="100" w:afterLines="0" w:afterAutospacing="1"/>
      <w:jc w:val="left"/>
      <w:textAlignment w:val="center"/>
    </w:pPr>
    <w:rPr>
      <w:rFonts w:ascii="Arial" w:hAnsi="Arial"/>
      <w:kern w:val="0"/>
      <w:sz w:val="24"/>
    </w:rPr>
  </w:style>
  <w:style w:type="paragraph" w:customStyle="1" w:styleId="106">
    <w:name w:val="TableTextLeft"/>
    <w:qFormat/>
    <w:uiPriority w:val="0"/>
    <w:rPr>
      <w:rFonts w:ascii="Century Gothic" w:hAnsi="Century Gothic" w:eastAsia="宋体" w:cs="Times New Roman"/>
      <w:sz w:val="18"/>
      <w:szCs w:val="18"/>
      <w:lang w:val="en-US" w:eastAsia="zh-CN" w:bidi="ar-SA"/>
    </w:rPr>
  </w:style>
  <w:style w:type="paragraph" w:customStyle="1" w:styleId="107">
    <w:name w:val="普通 (Web)"/>
    <w:basedOn w:val="1"/>
    <w:qFormat/>
    <w:uiPriority w:val="0"/>
    <w:pPr>
      <w:widowControl/>
      <w:spacing w:before="100" w:beforeLines="0" w:after="100" w:afterLines="0"/>
      <w:jc w:val="left"/>
    </w:pPr>
    <w:rPr>
      <w:rFonts w:ascii="Arial Unicode MS" w:hAnsi="Arial Unicode MS" w:eastAsia="Arial Unicode MS"/>
      <w:kern w:val="0"/>
      <w:sz w:val="24"/>
    </w:rPr>
  </w:style>
  <w:style w:type="paragraph" w:customStyle="1" w:styleId="108">
    <w:name w:val="xl36"/>
    <w:basedOn w:val="1"/>
    <w:qFormat/>
    <w:uiPriority w:val="0"/>
    <w:pPr>
      <w:widowControl/>
      <w:spacing w:before="100" w:beforeLines="0" w:beforeAutospacing="0" w:after="100" w:afterLines="0" w:afterAutospacing="0"/>
      <w:jc w:val="center"/>
    </w:pPr>
    <w:rPr>
      <w:rFonts w:hint="eastAsia" w:ascii="宋体" w:hAnsi="宋体"/>
      <w:kern w:val="0"/>
      <w:sz w:val="24"/>
    </w:rPr>
  </w:style>
  <w:style w:type="paragraph" w:customStyle="1" w:styleId="10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11">
    <w:name w:val="reader-word-layer reader-word-s10-1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2">
    <w:name w:val="xl33"/>
    <w:basedOn w:val="1"/>
    <w:qFormat/>
    <w:uiPriority w:val="0"/>
    <w:pPr>
      <w:widowControl/>
      <w:pBdr>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3">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4">
    <w:name w:val="xl7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15">
    <w:name w:val="例文标题"/>
    <w:qFormat/>
    <w:uiPriority w:val="0"/>
    <w:pPr>
      <w:widowControl w:val="0"/>
      <w:autoSpaceDE w:val="0"/>
      <w:autoSpaceDN w:val="0"/>
      <w:adjustRightInd w:val="0"/>
      <w:spacing w:line="680" w:lineRule="atLeast"/>
      <w:jc w:val="center"/>
    </w:pPr>
    <w:rPr>
      <w:rFonts w:ascii="汉仪中黑简" w:hAnsi="Times New Roman" w:eastAsia="汉仪中黑简" w:cs="汉仪中黑简"/>
      <w:sz w:val="21"/>
      <w:szCs w:val="21"/>
      <w:lang w:val="en-US" w:eastAsia="zh-CN" w:bidi="ar-SA"/>
    </w:rPr>
  </w:style>
  <w:style w:type="paragraph" w:customStyle="1" w:styleId="116">
    <w:name w:val="reader-word-layer reader-word-s10-12"/>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9">
    <w:name w:val="_Style 10"/>
    <w:basedOn w:val="1"/>
    <w:qFormat/>
    <w:uiPriority w:val="0"/>
    <w:rPr>
      <w:szCs w:val="24"/>
    </w:rPr>
  </w:style>
  <w:style w:type="paragraph" w:customStyle="1" w:styleId="120">
    <w:name w:val="font7"/>
    <w:basedOn w:val="1"/>
    <w:qFormat/>
    <w:uiPriority w:val="0"/>
    <w:pPr>
      <w:widowControl/>
      <w:spacing w:before="100" w:beforeLines="0" w:beforeAutospacing="1" w:after="100" w:afterLines="0" w:afterAutospacing="1"/>
      <w:jc w:val="left"/>
    </w:pPr>
    <w:rPr>
      <w:kern w:val="0"/>
      <w:sz w:val="24"/>
    </w:rPr>
  </w:style>
  <w:style w:type="paragraph" w:customStyle="1" w:styleId="121">
    <w:name w:val="xl63"/>
    <w:basedOn w:val="1"/>
    <w:qFormat/>
    <w:uiPriority w:val="0"/>
    <w:pPr>
      <w:widowControl/>
      <w:pBdr>
        <w:top w:val="single" w:color="auto" w:sz="4" w:space="0"/>
        <w:left w:val="double" w:color="auto" w:sz="6"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2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3">
    <w:name w:val="font9"/>
    <w:basedOn w:val="1"/>
    <w:qFormat/>
    <w:uiPriority w:val="0"/>
    <w:pPr>
      <w:widowControl/>
      <w:spacing w:before="100" w:beforeLines="0" w:beforeAutospacing="1" w:after="100" w:afterLines="0" w:afterAutospacing="1"/>
      <w:jc w:val="left"/>
    </w:pPr>
    <w:rPr>
      <w:rFonts w:hint="eastAsia" w:ascii="宋体" w:hAnsi="宋体"/>
      <w:b/>
      <w:kern w:val="0"/>
      <w:sz w:val="40"/>
    </w:rPr>
  </w:style>
  <w:style w:type="paragraph" w:customStyle="1" w:styleId="1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5">
    <w:name w:val="xl78"/>
    <w:basedOn w:val="1"/>
    <w:qFormat/>
    <w:uiPriority w:val="0"/>
    <w:pPr>
      <w:widowControl/>
      <w:pBdr>
        <w:top w:val="single" w:color="auto" w:sz="4" w:space="0"/>
        <w:left w:val="double" w:color="auto" w:sz="6"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26">
    <w:name w:val="font8"/>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28">
    <w:name w:val="xl73"/>
    <w:basedOn w:val="1"/>
    <w:qFormat/>
    <w:uiPriority w:val="0"/>
    <w:pPr>
      <w:widowControl/>
      <w:pBdr>
        <w:top w:val="single" w:color="auto" w:sz="4" w:space="0"/>
        <w:left w:val="double" w:color="auto" w:sz="6"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29">
    <w:name w:val="Date"/>
    <w:basedOn w:val="1"/>
    <w:next w:val="1"/>
    <w:qFormat/>
    <w:uiPriority w:val="0"/>
    <w:pPr>
      <w:adjustRightInd w:val="0"/>
      <w:spacing w:line="312" w:lineRule="atLeast"/>
      <w:jc w:val="right"/>
      <w:textAlignment w:val="baseline"/>
    </w:pPr>
    <w:rPr>
      <w:b/>
      <w:kern w:val="0"/>
      <w:sz w:val="36"/>
    </w:rPr>
  </w:style>
  <w:style w:type="paragraph" w:customStyle="1" w:styleId="130">
    <w:name w:val=" Char1"/>
    <w:basedOn w:val="1"/>
    <w:qFormat/>
    <w:uiPriority w:val="0"/>
    <w:rPr>
      <w:rFonts w:ascii="仿宋_GB2312" w:eastAsia="仿宋_GB2312"/>
      <w:b/>
      <w:sz w:val="32"/>
      <w:szCs w:val="32"/>
    </w:rPr>
  </w:style>
  <w:style w:type="paragraph" w:customStyle="1" w:styleId="131">
    <w:name w:val="font10"/>
    <w:basedOn w:val="1"/>
    <w:qFormat/>
    <w:uiPriority w:val="0"/>
    <w:pPr>
      <w:widowControl/>
      <w:spacing w:before="100" w:beforeLines="0" w:beforeAutospacing="1" w:after="100" w:afterLines="0" w:afterAutospacing="1"/>
      <w:jc w:val="left"/>
    </w:pPr>
    <w:rPr>
      <w:rFonts w:hint="eastAsia" w:ascii="宋体" w:hAnsi="宋体"/>
      <w:kern w:val="0"/>
      <w:sz w:val="22"/>
    </w:rPr>
  </w:style>
  <w:style w:type="paragraph" w:customStyle="1" w:styleId="132">
    <w:name w:val="hidinshow"/>
    <w:basedOn w:val="1"/>
    <w:qFormat/>
    <w:uiPriority w:val="0"/>
    <w:pPr>
      <w:widowControl/>
      <w:jc w:val="left"/>
    </w:pPr>
    <w:rPr>
      <w:rFonts w:ascii="宋体" w:hAnsi="宋体" w:eastAsia="宋体" w:cs="宋体"/>
      <w:vanish/>
      <w:kern w:val="0"/>
      <w:sz w:val="24"/>
      <w:szCs w:val="24"/>
      <w:lang w:val="en-US" w:eastAsia="zh-CN" w:bidi="ar"/>
    </w:rPr>
  </w:style>
  <w:style w:type="paragraph" w:customStyle="1" w:styleId="13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0"/>
    </w:rPr>
  </w:style>
  <w:style w:type="paragraph" w:customStyle="1" w:styleId="134">
    <w:name w:val="xl8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5">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w:hAnsi="Arial"/>
      <w:kern w:val="0"/>
      <w:sz w:val="22"/>
    </w:rPr>
  </w:style>
  <w:style w:type="paragraph" w:customStyle="1" w:styleId="137">
    <w:name w:val="我的征文"/>
    <w:basedOn w:val="1"/>
    <w:qFormat/>
    <w:uiPriority w:val="0"/>
    <w:pPr>
      <w:tabs>
        <w:tab w:val="left" w:pos="851"/>
      </w:tabs>
      <w:spacing w:before="360" w:beforeLines="0" w:beforeAutospacing="0" w:after="360" w:afterLines="0" w:afterAutospacing="0"/>
      <w:ind w:left="851" w:right="113" w:hanging="851"/>
    </w:pPr>
  </w:style>
  <w:style w:type="paragraph" w:customStyle="1" w:styleId="138">
    <w:name w:val="xl72"/>
    <w:basedOn w:val="1"/>
    <w:qFormat/>
    <w:uiPriority w:val="0"/>
    <w:pPr>
      <w:widowControl/>
      <w:spacing w:before="100" w:beforeLines="0" w:beforeAutospacing="1" w:after="100" w:afterLines="0" w:afterAutospacing="1"/>
      <w:jc w:val="left"/>
      <w:textAlignment w:val="center"/>
    </w:pPr>
    <w:rPr>
      <w:rFonts w:ascii="Arial" w:hAnsi="Arial"/>
      <w:kern w:val="0"/>
      <w:sz w:val="20"/>
    </w:rPr>
  </w:style>
  <w:style w:type="paragraph" w:customStyle="1" w:styleId="13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w:hAnsi="Arial"/>
      <w:kern w:val="0"/>
      <w:sz w:val="22"/>
    </w:rPr>
  </w:style>
  <w:style w:type="paragraph" w:customStyle="1" w:styleId="141">
    <w:name w:val=" Char Char Char Char Char Char Char"/>
    <w:basedOn w:val="1"/>
    <w:qFormat/>
    <w:uiPriority w:val="0"/>
    <w:pPr>
      <w:widowControl/>
      <w:snapToGrid w:val="0"/>
      <w:spacing w:after="160" w:afterLines="0" w:line="360" w:lineRule="auto"/>
      <w:jc w:val="left"/>
    </w:pPr>
  </w:style>
  <w:style w:type="paragraph" w:customStyle="1" w:styleId="14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43">
    <w:name w:val="xl6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44">
    <w:name w:val=" 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45">
    <w:name w:val="font11"/>
    <w:basedOn w:val="1"/>
    <w:qFormat/>
    <w:uiPriority w:val="0"/>
    <w:pPr>
      <w:widowControl/>
      <w:spacing w:before="100" w:beforeLines="0" w:beforeAutospacing="1" w:after="100" w:afterLines="0" w:afterAutospacing="1"/>
      <w:jc w:val="left"/>
    </w:pPr>
    <w:rPr>
      <w:kern w:val="0"/>
      <w:sz w:val="22"/>
    </w:rPr>
  </w:style>
  <w:style w:type="paragraph" w:customStyle="1" w:styleId="146">
    <w:name w:val="Char"/>
    <w:basedOn w:val="1"/>
    <w:qFormat/>
    <w:uiPriority w:val="0"/>
  </w:style>
  <w:style w:type="paragraph" w:customStyle="1" w:styleId="147">
    <w:name w:val="_Style 83"/>
    <w:basedOn w:val="1"/>
    <w:qFormat/>
    <w:uiPriority w:val="0"/>
  </w:style>
  <w:style w:type="paragraph" w:customStyle="1" w:styleId="148">
    <w:name w:val="xl6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宋体" w:hAnsi="宋体"/>
      <w:kern w:val="0"/>
      <w:sz w:val="22"/>
    </w:rPr>
  </w:style>
  <w:style w:type="paragraph" w:customStyle="1" w:styleId="14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50">
    <w:name w:val="样式 行距: 1.5 倍行距1"/>
    <w:basedOn w:val="1"/>
    <w:qFormat/>
    <w:uiPriority w:val="0"/>
    <w:pPr>
      <w:spacing w:line="360" w:lineRule="auto"/>
      <w:ind w:firstLine="480"/>
    </w:pPr>
    <w:rPr>
      <w:rFonts w:cs="宋体"/>
      <w:sz w:val="24"/>
      <w:szCs w:val="24"/>
    </w:rPr>
  </w:style>
  <w:style w:type="paragraph" w:customStyle="1" w:styleId="15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styleId="152">
    <w:name w:val="List Paragraph"/>
    <w:basedOn w:val="1"/>
    <w:qFormat/>
    <w:uiPriority w:val="0"/>
    <w:pPr>
      <w:ind w:firstLine="420" w:firstLineChars="200"/>
    </w:pPr>
    <w:rPr>
      <w:szCs w:val="21"/>
    </w:rPr>
  </w:style>
  <w:style w:type="paragraph" w:customStyle="1" w:styleId="153">
    <w:name w:val="_Style 43"/>
    <w:basedOn w:val="14"/>
    <w:qFormat/>
    <w:uiPriority w:val="0"/>
    <w:rPr>
      <w:rFonts w:ascii="Tahoma" w:hAnsi="Tahoma"/>
      <w:sz w:val="24"/>
      <w:szCs w:val="24"/>
    </w:rPr>
  </w:style>
  <w:style w:type="paragraph" w:customStyle="1" w:styleId="154">
    <w:name w:val=" Char"/>
    <w:basedOn w:val="1"/>
    <w:qFormat/>
    <w:uiPriority w:val="0"/>
  </w:style>
  <w:style w:type="paragraph" w:customStyle="1" w:styleId="15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5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58">
    <w:name w:val=" Char Char Char Char Char Char1 Char"/>
    <w:basedOn w:val="14"/>
    <w:qFormat/>
    <w:uiPriority w:val="0"/>
    <w:rPr>
      <w:rFonts w:ascii="Tahoma" w:hAnsi="Tahoma"/>
      <w:sz w:val="24"/>
      <w:szCs w:val="24"/>
    </w:rPr>
  </w:style>
  <w:style w:type="paragraph" w:customStyle="1" w:styleId="159">
    <w:name w:val="xl3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6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w:hAnsi="Arial"/>
      <w:kern w:val="0"/>
      <w:sz w:val="22"/>
    </w:rPr>
  </w:style>
  <w:style w:type="paragraph" w:customStyle="1" w:styleId="1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62">
    <w:name w:val="xl69"/>
    <w:basedOn w:val="1"/>
    <w:qFormat/>
    <w:uiPriority w:val="0"/>
    <w:pPr>
      <w:widowControl/>
      <w:spacing w:before="100" w:beforeLines="0" w:beforeAutospacing="1" w:after="100" w:afterLines="0" w:afterAutospacing="1"/>
      <w:jc w:val="left"/>
      <w:textAlignment w:val="center"/>
    </w:pPr>
    <w:rPr>
      <w:rFonts w:ascii="Arial" w:hAnsi="Arial"/>
      <w:kern w:val="0"/>
      <w:sz w:val="24"/>
    </w:rPr>
  </w:style>
  <w:style w:type="paragraph" w:customStyle="1" w:styleId="163">
    <w:name w:val="Char Char Char Char"/>
    <w:basedOn w:val="1"/>
    <w:qFormat/>
    <w:uiPriority w:val="0"/>
    <w:rPr>
      <w:rFonts w:ascii="Tahoma" w:hAnsi="Tahoma"/>
      <w:sz w:val="24"/>
    </w:rPr>
  </w:style>
  <w:style w:type="paragraph" w:customStyle="1" w:styleId="164">
    <w:name w:val="xl39"/>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b/>
      <w:kern w:val="0"/>
      <w:sz w:val="24"/>
    </w:rPr>
  </w:style>
  <w:style w:type="paragraph" w:customStyle="1" w:styleId="165">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rPr>
  </w:style>
  <w:style w:type="paragraph" w:customStyle="1" w:styleId="167">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kern w:val="0"/>
      <w:sz w:val="22"/>
    </w:rPr>
  </w:style>
  <w:style w:type="paragraph" w:customStyle="1" w:styleId="170">
    <w:name w:val="小标题 3"/>
    <w:qFormat/>
    <w:uiPriority w:val="0"/>
    <w:pPr>
      <w:widowControl w:val="0"/>
      <w:autoSpaceDE w:val="0"/>
      <w:autoSpaceDN w:val="0"/>
      <w:adjustRightInd w:val="0"/>
      <w:spacing w:line="340" w:lineRule="atLeast"/>
      <w:ind w:firstLine="454"/>
    </w:pPr>
    <w:rPr>
      <w:rFonts w:ascii="汉仪魏碑简" w:hAnsi="Times New Roman" w:eastAsia="汉仪魏碑简" w:cs="汉仪魏碑简"/>
      <w:color w:val="000000"/>
      <w:spacing w:val="-15"/>
      <w:sz w:val="22"/>
      <w:szCs w:val="22"/>
      <w:lang w:val="en-US" w:eastAsia="zh-CN" w:bidi="ar-SA"/>
    </w:rPr>
  </w:style>
  <w:style w:type="paragraph" w:customStyle="1" w:styleId="171">
    <w:name w:val="reader-word-layer reader-word-s10-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2">
    <w:name w:val=" Char Char1 Char"/>
    <w:basedOn w:val="1"/>
    <w:qFormat/>
    <w:uiPriority w:val="0"/>
    <w:rPr>
      <w:rFonts w:ascii="宋体" w:hAnsi="宋体"/>
      <w:sz w:val="24"/>
    </w:rPr>
  </w:style>
  <w:style w:type="paragraph" w:customStyle="1" w:styleId="17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kern w:val="0"/>
      <w:sz w:val="24"/>
    </w:rPr>
  </w:style>
  <w:style w:type="paragraph" w:customStyle="1" w:styleId="174">
    <w:name w:val="xl6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textAlignment w:val="center"/>
    </w:pPr>
    <w:rPr>
      <w:rFonts w:ascii="Arial" w:hAnsi="Arial"/>
      <w:kern w:val="0"/>
      <w:sz w:val="22"/>
    </w:rPr>
  </w:style>
  <w:style w:type="paragraph" w:customStyle="1" w:styleId="175">
    <w:name w:val="5"/>
    <w:basedOn w:val="1"/>
    <w:next w:val="21"/>
    <w:qFormat/>
    <w:uiPriority w:val="0"/>
    <w:rPr>
      <w:rFonts w:ascii="宋体" w:hAnsi="Courier New"/>
    </w:rPr>
  </w:style>
  <w:style w:type="paragraph" w:customStyle="1" w:styleId="176">
    <w:name w:val="列出段落1"/>
    <w:basedOn w:val="1"/>
    <w:qFormat/>
    <w:uiPriority w:val="34"/>
    <w:pPr>
      <w:ind w:firstLine="420" w:firstLineChars="200"/>
    </w:pPr>
    <w:rPr>
      <w:rFonts w:ascii="Calibri" w:hAnsi="Calibri"/>
      <w:szCs w:val="22"/>
    </w:rPr>
  </w:style>
  <w:style w:type="paragraph" w:customStyle="1" w:styleId="177">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78">
    <w:name w:val="xl7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textAlignment w:val="center"/>
    </w:pPr>
    <w:rPr>
      <w:rFonts w:ascii="宋体" w:hAnsi="宋体"/>
      <w:kern w:val="0"/>
      <w:sz w:val="22"/>
    </w:rPr>
  </w:style>
  <w:style w:type="paragraph" w:customStyle="1" w:styleId="179">
    <w:name w:val="reader-word-layer reader-word-s10-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80">
    <w:name w:val="正文K 标准"/>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w:hAnsi="Arial"/>
      <w:kern w:val="0"/>
      <w:sz w:val="22"/>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3">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rPr>
  </w:style>
  <w:style w:type="paragraph" w:customStyle="1" w:styleId="18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185">
    <w:name w:val="Char Char1 Char Char Char Char Char Char Char Char Char Char Char Char Char Char Char"/>
    <w:basedOn w:val="1"/>
    <w:qFormat/>
    <w:uiPriority w:val="0"/>
    <w:pPr>
      <w:widowControl/>
      <w:spacing w:after="160" w:afterLines="0" w:line="240" w:lineRule="exact"/>
      <w:jc w:val="left"/>
    </w:pPr>
    <w:rPr>
      <w:szCs w:val="24"/>
    </w:rPr>
  </w:style>
  <w:style w:type="paragraph" w:customStyle="1" w:styleId="186">
    <w:name w:val="HTML Preformatted"/>
    <w:basedOn w:val="1"/>
    <w:qFormat/>
    <w:uiPriority w:val="0"/>
    <w:rPr>
      <w:rFonts w:ascii="Courier New" w:hAnsi="Courier New"/>
      <w:sz w:val="20"/>
    </w:rPr>
  </w:style>
  <w:style w:type="table" w:customStyle="1" w:styleId="187">
    <w:name w:val="Table Normal"/>
    <w:unhideWhenUsed/>
    <w:qFormat/>
    <w:uiPriority w:val="0"/>
    <w:tblPr>
      <w:tblCellMar>
        <w:top w:w="0" w:type="dxa"/>
        <w:left w:w="0" w:type="dxa"/>
        <w:bottom w:w="0" w:type="dxa"/>
        <w:right w:w="0" w:type="dxa"/>
      </w:tblCellMar>
    </w:tblPr>
  </w:style>
  <w:style w:type="paragraph" w:customStyle="1" w:styleId="188">
    <w:name w:val="Table Text"/>
    <w:basedOn w:val="1"/>
    <w:semiHidden/>
    <w:qFormat/>
    <w:uiPriority w:val="0"/>
    <w:rPr>
      <w:rFonts w:ascii="仿宋" w:hAnsi="仿宋" w:eastAsia="仿宋" w:cs="仿宋"/>
      <w:sz w:val="24"/>
      <w:szCs w:val="24"/>
      <w:lang w:val="en-US" w:eastAsia="en-US" w:bidi="ar-SA"/>
    </w:rPr>
  </w:style>
  <w:style w:type="paragraph" w:customStyle="1" w:styleId="189">
    <w:name w:val="null3"/>
    <w:qFormat/>
    <w:uiPriority w:val="0"/>
    <w:rPr>
      <w:rFonts w:hint="eastAsia" w:ascii="Calibri" w:hAnsi="Calibri" w:eastAsia="宋体" w:cs="Times New Roman"/>
      <w:lang w:val="en-US" w:eastAsia="zh-Hans"/>
    </w:rPr>
  </w:style>
  <w:style w:type="character" w:customStyle="1" w:styleId="190">
    <w:name w:val="alpha_contract_review_append_comment_db37a8fdc123459d91d72957efc13fad"/>
    <w:basedOn w:val="4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16222</Words>
  <Characters>17764</Characters>
  <Lines>257</Lines>
  <Paragraphs>72</Paragraphs>
  <TotalTime>14</TotalTime>
  <ScaleCrop>false</ScaleCrop>
  <LinksUpToDate>false</LinksUpToDate>
  <CharactersWithSpaces>18085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2019-11-15T02:51:00Z</dcterms:created>
  <dc:creator>郭大军</dc:creator>
  <cp:lastModifiedBy>陕西中技</cp:lastModifiedBy>
  <cp:lastPrinted>2019-02-22T03:25:00Z</cp:lastPrinted>
  <dcterms:modified xsi:type="dcterms:W3CDTF">2025-11-05T07:18:33Z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8663D4FAFC5B4809B96DE16C44C109D1_13</vt:lpwstr>
  </property>
  <property fmtid="{D5CDD505-2E9C-101B-9397-08002B2CF9AE}" pid="4" name="KSOTemplateDocerSaveRecord">
    <vt:lpwstr>eyJoZGlkIjoiMTY5OGYwNzI3M2U0MDZjZTIzODUzMTIxYWQ1YmM3MmQiLCJ1c2VySWQiOiI0ODM0NjExNDgifQ==</vt:lpwstr>
  </property>
</Properties>
</file>