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5C23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采购内容及要求</w:t>
      </w:r>
    </w:p>
    <w:p w14:paraId="2BFB68B6">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一、项目总体情况</w:t>
      </w:r>
    </w:p>
    <w:p w14:paraId="6B55E25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FF0000"/>
          <w:sz w:val="24"/>
          <w:szCs w:val="24"/>
          <w:u w:val="single"/>
        </w:rPr>
      </w:pPr>
      <w:r>
        <w:rPr>
          <w:rFonts w:hint="eastAsia" w:ascii="仿宋" w:hAnsi="仿宋" w:eastAsia="仿宋" w:cs="仿宋"/>
          <w:sz w:val="24"/>
          <w:szCs w:val="24"/>
        </w:rPr>
        <w:t>（一）项目名称：</w:t>
      </w:r>
      <w:r>
        <w:rPr>
          <w:rFonts w:hint="eastAsia" w:ascii="仿宋" w:hAnsi="仿宋" w:eastAsia="仿宋" w:cs="仿宋"/>
          <w:color w:val="auto"/>
          <w:sz w:val="24"/>
          <w:szCs w:val="24"/>
          <w:u w:val="none"/>
        </w:rPr>
        <w:t>陕西省既有建筑改造关键性防火技术研究</w:t>
      </w:r>
    </w:p>
    <w:p w14:paraId="17A2B06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（二）项目所属年度： 2025年</w:t>
      </w:r>
    </w:p>
    <w:p w14:paraId="7EF9DDA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（三）项目所属分类： 服务</w:t>
      </w:r>
    </w:p>
    <w:p w14:paraId="7BB2502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（四）预算金额（元）： 164999.98元 ，大写（人民币</w:t>
      </w:r>
      <w:r>
        <w:rPr>
          <w:rFonts w:hint="eastAsia" w:ascii="仿宋" w:hAnsi="仿宋" w:eastAsia="仿宋" w:cs="仿宋"/>
          <w:sz w:val="24"/>
          <w:szCs w:val="24"/>
          <w:lang w:val="en-US" w:eastAsia="zh-CN"/>
        </w:rPr>
        <w:t>壹拾陆万肆仟玖佰玖拾玖元玖角捌分</w:t>
      </w:r>
      <w:r>
        <w:rPr>
          <w:rFonts w:hint="eastAsia" w:ascii="仿宋" w:hAnsi="仿宋" w:eastAsia="仿宋" w:cs="仿宋"/>
          <w:sz w:val="24"/>
          <w:szCs w:val="24"/>
        </w:rPr>
        <w:t>）：</w:t>
      </w:r>
    </w:p>
    <w:p w14:paraId="675A7D0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sz w:val="24"/>
          <w:szCs w:val="24"/>
        </w:rPr>
        <w:t>（五）项目概况：</w:t>
      </w:r>
      <w:bookmarkStart w:id="0" w:name="OLE_LINK19"/>
      <w:bookmarkStart w:id="1" w:name="OLE_LINK17"/>
      <w:bookmarkStart w:id="2" w:name="OLE_LINK20"/>
      <w:bookmarkStart w:id="3" w:name="OLE_LINK18"/>
      <w:r>
        <w:rPr>
          <w:rFonts w:hint="eastAsia" w:ascii="仿宋" w:hAnsi="仿宋" w:eastAsia="仿宋" w:cs="仿宋"/>
          <w:color w:val="auto"/>
          <w:sz w:val="24"/>
          <w:szCs w:val="24"/>
          <w:u w:val="none"/>
        </w:rPr>
        <w:t>为贯彻落实国家“城市更新行动”战略，适应既有建筑改造数量与类型持续增长的客观趋势，解决当前改造项目在设计、审查及验收环节面临的技术难题，特别是日益突出的防火安全问题，特设立本项目。同时，为与国家即将出台的《既有建筑改造防火技术标准》实现有效衔接，陕西省亟需开展本地化的关键技术研究，为本省地方标准的编制提供科学支撑。</w:t>
      </w:r>
    </w:p>
    <w:p w14:paraId="2A9A895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本项目应依据国家现行工程建设消防技术规范及标准为框架，以科学研究和工程适用为原则，以解决实际问题和支撑标准编制为双重导向，确保研究成果兼具科学性、前瞻性与工程适用性。研究内容包括文献综述、既有建筑消防调研、火灾风险等级评估等对既有建筑改造防火设计、审查、验收具有指导意义的相关研究工作。</w:t>
      </w:r>
    </w:p>
    <w:bookmarkEnd w:id="0"/>
    <w:bookmarkEnd w:id="1"/>
    <w:bookmarkEnd w:id="2"/>
    <w:bookmarkEnd w:id="3"/>
    <w:p w14:paraId="38C4B76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服务内容：编制《陕西省既有建筑改造关键性防火技术研究报告》</w:t>
      </w:r>
    </w:p>
    <w:p w14:paraId="7B0BB7E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（六）本项目是否有为采购项目提供整体设计、规范编制或者项目管理、监理、检测等服务的供应商：</w:t>
      </w:r>
      <w:r>
        <w:rPr>
          <w:rFonts w:hint="eastAsia" w:ascii="仿宋" w:hAnsi="仿宋" w:eastAsia="仿宋" w:cs="仿宋"/>
          <w:sz w:val="24"/>
          <w:szCs w:val="24"/>
          <w:u w:val="single"/>
        </w:rPr>
        <w:t xml:space="preserve"> 否    </w:t>
      </w:r>
      <w:r>
        <w:rPr>
          <w:rFonts w:hint="eastAsia" w:ascii="仿宋" w:hAnsi="仿宋" w:eastAsia="仿宋" w:cs="仿宋"/>
          <w:sz w:val="24"/>
          <w:szCs w:val="24"/>
        </w:rPr>
        <w:t xml:space="preserve">       </w:t>
      </w:r>
    </w:p>
    <w:p w14:paraId="2172362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二、项目需求调查情况</w:t>
      </w:r>
    </w:p>
    <w:p w14:paraId="5BAC2BD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依据《政府采购需求管理办法》的规定，本项目</w:t>
      </w:r>
      <w:r>
        <w:rPr>
          <w:rFonts w:hint="eastAsia" w:ascii="仿宋" w:hAnsi="仿宋" w:eastAsia="仿宋" w:cs="仿宋"/>
          <w:sz w:val="24"/>
          <w:szCs w:val="24"/>
          <w:u w:val="single"/>
        </w:rPr>
        <w:t xml:space="preserve"> 不需要 </w:t>
      </w:r>
      <w:r>
        <w:rPr>
          <w:rFonts w:hint="eastAsia" w:ascii="仿宋" w:hAnsi="仿宋" w:eastAsia="仿宋" w:cs="仿宋"/>
          <w:sz w:val="24"/>
          <w:szCs w:val="24"/>
        </w:rPr>
        <w:t>需求调查，具体情况如下：</w:t>
      </w:r>
    </w:p>
    <w:p w14:paraId="4B2BDAA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（一）需求调查方式</w:t>
      </w:r>
    </w:p>
    <w:p w14:paraId="0F7A8AA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（二）需求调查对象</w:t>
      </w:r>
    </w:p>
    <w:p w14:paraId="0781E80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（三）需求调查结果</w:t>
      </w:r>
    </w:p>
    <w:p w14:paraId="7E6468F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1.相关产业发展情况 </w:t>
      </w:r>
    </w:p>
    <w:p w14:paraId="77D1444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2.市场供给情况</w:t>
      </w:r>
    </w:p>
    <w:p w14:paraId="18EE8C4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3.同类采购项目历史成交信息情况</w:t>
      </w:r>
    </w:p>
    <w:p w14:paraId="5E994D9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4.可能涉及的运行维护、升级更新、备品备件、耗材等后续采购情况 5.其他相关情况</w:t>
      </w:r>
    </w:p>
    <w:p w14:paraId="1A139562">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三、项目采购实施计划</w:t>
      </w:r>
    </w:p>
    <w:p w14:paraId="27EB858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（一）采购组织形式：</w:t>
      </w:r>
      <w:r>
        <w:rPr>
          <w:rFonts w:hint="eastAsia" w:ascii="仿宋" w:hAnsi="仿宋" w:eastAsia="仿宋" w:cs="仿宋"/>
          <w:sz w:val="24"/>
          <w:szCs w:val="24"/>
          <w:u w:val="single"/>
        </w:rPr>
        <w:t xml:space="preserve">部门集中采购         </w:t>
      </w:r>
    </w:p>
    <w:p w14:paraId="081DAF0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u w:val="single"/>
          <w:lang w:eastAsia="zh-CN"/>
        </w:rPr>
      </w:pPr>
      <w:r>
        <w:rPr>
          <w:rFonts w:hint="eastAsia" w:ascii="仿宋" w:hAnsi="仿宋" w:eastAsia="仿宋" w:cs="仿宋"/>
          <w:sz w:val="24"/>
          <w:szCs w:val="24"/>
        </w:rPr>
        <w:t>（二）采购方式：</w:t>
      </w:r>
      <w:r>
        <w:rPr>
          <w:rFonts w:hint="eastAsia" w:ascii="仿宋" w:hAnsi="仿宋" w:eastAsia="仿宋" w:cs="仿宋"/>
          <w:sz w:val="24"/>
          <w:szCs w:val="24"/>
          <w:u w:val="single"/>
        </w:rPr>
        <w:t xml:space="preserve">竞争性磋商            </w:t>
      </w:r>
    </w:p>
    <w:p w14:paraId="6FFC6AE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（三）本项目是否单位自行组织采购：</w:t>
      </w:r>
      <w:r>
        <w:rPr>
          <w:rFonts w:hint="eastAsia" w:ascii="仿宋" w:hAnsi="仿宋" w:eastAsia="仿宋" w:cs="仿宋"/>
          <w:sz w:val="24"/>
          <w:szCs w:val="24"/>
          <w:u w:val="single"/>
        </w:rPr>
        <w:t xml:space="preserve">否    </w:t>
      </w:r>
    </w:p>
    <w:p w14:paraId="72FD722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（四）采购包划分：</w:t>
      </w:r>
      <w:r>
        <w:rPr>
          <w:rFonts w:hint="eastAsia" w:ascii="仿宋" w:hAnsi="仿宋" w:eastAsia="仿宋" w:cs="仿宋"/>
          <w:sz w:val="24"/>
          <w:szCs w:val="24"/>
          <w:lang w:val="en-US" w:eastAsia="zh-CN"/>
        </w:rPr>
        <w:t>本项目划分为一个标包</w:t>
      </w:r>
      <w:r>
        <w:rPr>
          <w:rFonts w:hint="eastAsia" w:ascii="仿宋" w:hAnsi="仿宋" w:eastAsia="仿宋" w:cs="仿宋"/>
          <w:sz w:val="24"/>
          <w:szCs w:val="24"/>
          <w:u w:val="single"/>
        </w:rPr>
        <w:t xml:space="preserve">     </w:t>
      </w:r>
    </w:p>
    <w:p w14:paraId="44EC24A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（五）执行政府采购促进中小企业发展的相关政策：</w:t>
      </w:r>
      <w:r>
        <w:rPr>
          <w:rFonts w:hint="eastAsia" w:ascii="仿宋" w:hAnsi="仿宋" w:eastAsia="仿宋" w:cs="仿宋"/>
          <w:sz w:val="24"/>
          <w:szCs w:val="24"/>
          <w:u w:val="single"/>
        </w:rPr>
        <w:t xml:space="preserve">  不面向  </w:t>
      </w:r>
      <w:r>
        <w:rPr>
          <w:rFonts w:hint="eastAsia" w:ascii="仿宋" w:hAnsi="仿宋" w:eastAsia="仿宋" w:cs="仿宋"/>
          <w:sz w:val="24"/>
          <w:szCs w:val="24"/>
        </w:rPr>
        <w:t>若不面向，则提供原因：按照本办法规定预留采购份额无法确保充分供应、充分竞争，或者存在可能影响政府采购目标实现的情形</w:t>
      </w:r>
    </w:p>
    <w:p w14:paraId="00A0FFC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注：监狱企业和残疾人福利单位视同小微企业。</w:t>
      </w:r>
    </w:p>
    <w:p w14:paraId="44537EE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（六）是否采购环境标识产品：</w:t>
      </w:r>
      <w:r>
        <w:rPr>
          <w:rFonts w:hint="eastAsia" w:ascii="仿宋" w:hAnsi="仿宋" w:eastAsia="仿宋" w:cs="仿宋"/>
          <w:sz w:val="24"/>
          <w:szCs w:val="24"/>
          <w:u w:val="single"/>
        </w:rPr>
        <w:t xml:space="preserve"> 否     </w:t>
      </w:r>
    </w:p>
    <w:p w14:paraId="1F7BAD9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（七）是否采购节能产品：</w:t>
      </w:r>
      <w:r>
        <w:rPr>
          <w:rFonts w:hint="eastAsia" w:ascii="仿宋" w:hAnsi="仿宋" w:eastAsia="仿宋" w:cs="仿宋"/>
          <w:sz w:val="24"/>
          <w:szCs w:val="24"/>
          <w:u w:val="single"/>
        </w:rPr>
        <w:t xml:space="preserve">否      </w:t>
      </w:r>
    </w:p>
    <w:p w14:paraId="5C2251C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（八）项目的采购标的是否包含进口产品：</w:t>
      </w:r>
      <w:r>
        <w:rPr>
          <w:rFonts w:hint="eastAsia" w:ascii="仿宋" w:hAnsi="仿宋" w:eastAsia="仿宋" w:cs="仿宋"/>
          <w:sz w:val="24"/>
          <w:szCs w:val="24"/>
          <w:u w:val="single"/>
        </w:rPr>
        <w:t xml:space="preserve">否      </w:t>
      </w:r>
    </w:p>
    <w:p w14:paraId="2779CAE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（九）采购标的是否属于政府购买服务：</w:t>
      </w:r>
      <w:r>
        <w:rPr>
          <w:rFonts w:hint="eastAsia" w:ascii="仿宋" w:hAnsi="仿宋" w:eastAsia="仿宋" w:cs="仿宋"/>
          <w:sz w:val="24"/>
          <w:szCs w:val="24"/>
          <w:u w:val="single"/>
        </w:rPr>
        <w:t xml:space="preserve"> 否     </w:t>
      </w:r>
    </w:p>
    <w:p w14:paraId="3EC0260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（十）是否属于政务信息系统项目：</w:t>
      </w:r>
      <w:r>
        <w:rPr>
          <w:rFonts w:hint="eastAsia" w:ascii="仿宋" w:hAnsi="仿宋" w:eastAsia="仿宋" w:cs="仿宋"/>
          <w:sz w:val="24"/>
          <w:szCs w:val="24"/>
          <w:u w:val="single"/>
        </w:rPr>
        <w:t xml:space="preserve">否      </w:t>
      </w:r>
    </w:p>
    <w:p w14:paraId="3C1452E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（十一）是否属于高校、科研院所的科研仪器设备采购：</w:t>
      </w:r>
      <w:r>
        <w:rPr>
          <w:rFonts w:hint="eastAsia" w:ascii="仿宋" w:hAnsi="仿宋" w:eastAsia="仿宋" w:cs="仿宋"/>
          <w:sz w:val="24"/>
          <w:szCs w:val="24"/>
          <w:u w:val="single"/>
        </w:rPr>
        <w:t xml:space="preserve"> 否    </w:t>
      </w:r>
    </w:p>
    <w:p w14:paraId="7CC518C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（十二）是否属于一签多年项目：</w:t>
      </w:r>
      <w:r>
        <w:rPr>
          <w:rFonts w:hint="eastAsia" w:ascii="仿宋" w:hAnsi="仿宋" w:eastAsia="仿宋" w:cs="仿宋"/>
          <w:sz w:val="24"/>
          <w:szCs w:val="24"/>
          <w:u w:val="single"/>
        </w:rPr>
        <w:t xml:space="preserve"> 否     </w:t>
      </w:r>
    </w:p>
    <w:p w14:paraId="2279AA1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四、项目需求及分包情况、采购标的</w:t>
      </w:r>
    </w:p>
    <w:tbl>
      <w:tblPr>
        <w:tblStyle w:val="4"/>
        <w:tblpPr w:leftFromText="180" w:rightFromText="180" w:vertAnchor="text" w:horzAnchor="page" w:tblpX="1845" w:tblpY="199"/>
        <w:tblOverlap w:val="never"/>
        <w:tblW w:w="94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947"/>
        <w:gridCol w:w="1695"/>
        <w:gridCol w:w="2445"/>
        <w:gridCol w:w="2655"/>
      </w:tblGrid>
      <w:tr w14:paraId="40451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713" w:type="dxa"/>
            <w:vMerge w:val="restart"/>
            <w:tcBorders>
              <w:bottom w:val="nil"/>
            </w:tcBorders>
          </w:tcPr>
          <w:p w14:paraId="0F4F6D66">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hint="eastAsia" w:ascii="仿宋" w:hAnsi="仿宋" w:eastAsia="仿宋" w:cs="仿宋"/>
                <w:szCs w:val="21"/>
              </w:rPr>
            </w:pPr>
          </w:p>
          <w:p w14:paraId="3ECF35BF">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hint="eastAsia" w:ascii="仿宋" w:hAnsi="仿宋" w:eastAsia="仿宋" w:cs="仿宋"/>
                <w:szCs w:val="21"/>
              </w:rPr>
            </w:pPr>
          </w:p>
          <w:p w14:paraId="183B6879">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hint="eastAsia" w:ascii="仿宋" w:hAnsi="仿宋" w:eastAsia="仿宋" w:cs="仿宋"/>
                <w:szCs w:val="21"/>
              </w:rPr>
            </w:pPr>
          </w:p>
          <w:p w14:paraId="4BD431B8">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hint="eastAsia" w:ascii="仿宋" w:hAnsi="仿宋" w:eastAsia="仿宋" w:cs="仿宋"/>
                <w:szCs w:val="21"/>
              </w:rPr>
            </w:pPr>
          </w:p>
          <w:p w14:paraId="64123DAF">
            <w:pPr>
              <w:keepNext w:val="0"/>
              <w:keepLines w:val="0"/>
              <w:pageBreakBefore w:val="0"/>
              <w:widowControl w:val="0"/>
              <w:kinsoku/>
              <w:wordWrap/>
              <w:overflowPunct/>
              <w:topLinePunct w:val="0"/>
              <w:autoSpaceDE/>
              <w:autoSpaceDN/>
              <w:bidi w:val="0"/>
              <w:adjustRightInd/>
              <w:snapToGrid/>
              <w:spacing w:line="186" w:lineRule="auto"/>
              <w:ind w:left="0" w:right="0" w:firstLine="210" w:firstLineChars="100"/>
              <w:textAlignment w:val="auto"/>
              <w:rPr>
                <w:rFonts w:hint="eastAsia" w:ascii="仿宋" w:hAnsi="仿宋" w:eastAsia="仿宋" w:cs="仿宋"/>
                <w:szCs w:val="21"/>
              </w:rPr>
            </w:pPr>
            <w:r>
              <w:rPr>
                <w:rFonts w:hint="eastAsia" w:ascii="仿宋" w:hAnsi="仿宋" w:eastAsia="仿宋" w:cs="仿宋"/>
                <w:szCs w:val="21"/>
              </w:rPr>
              <w:t>1</w:t>
            </w:r>
          </w:p>
        </w:tc>
        <w:tc>
          <w:tcPr>
            <w:tcW w:w="1947" w:type="dxa"/>
          </w:tcPr>
          <w:p w14:paraId="0662EFCF">
            <w:pPr>
              <w:pStyle w:val="5"/>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采购品目</w:t>
            </w:r>
          </w:p>
        </w:tc>
        <w:tc>
          <w:tcPr>
            <w:tcW w:w="1695" w:type="dxa"/>
          </w:tcPr>
          <w:p w14:paraId="6D0A3A71">
            <w:pPr>
              <w:pStyle w:val="5"/>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lang w:eastAsia="zh-CN"/>
              </w:rPr>
              <w:t>C99000000-其他服务</w:t>
            </w:r>
          </w:p>
        </w:tc>
        <w:tc>
          <w:tcPr>
            <w:tcW w:w="2445" w:type="dxa"/>
          </w:tcPr>
          <w:p w14:paraId="10A473F7">
            <w:pPr>
              <w:pStyle w:val="5"/>
              <w:keepNext w:val="0"/>
              <w:keepLines w:val="0"/>
              <w:pageBreakBefore w:val="0"/>
              <w:widowControl w:val="0"/>
              <w:kinsoku/>
              <w:wordWrap/>
              <w:overflowPunct/>
              <w:topLinePunct w:val="0"/>
              <w:autoSpaceDE/>
              <w:autoSpaceDN/>
              <w:bidi w:val="0"/>
              <w:adjustRightInd/>
              <w:snapToGrid/>
              <w:spacing w:line="222" w:lineRule="auto"/>
              <w:ind w:left="0" w:right="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标的名称</w:t>
            </w:r>
          </w:p>
        </w:tc>
        <w:tc>
          <w:tcPr>
            <w:tcW w:w="2655" w:type="dxa"/>
          </w:tcPr>
          <w:p w14:paraId="34B47199">
            <w:pPr>
              <w:pStyle w:val="5"/>
              <w:keepNext w:val="0"/>
              <w:keepLines w:val="0"/>
              <w:pageBreakBefore w:val="0"/>
              <w:widowControl w:val="0"/>
              <w:kinsoku/>
              <w:wordWrap/>
              <w:overflowPunct/>
              <w:topLinePunct w:val="0"/>
              <w:autoSpaceDE/>
              <w:autoSpaceDN/>
              <w:bidi w:val="0"/>
              <w:adjustRightInd/>
              <w:snapToGrid/>
              <w:spacing w:line="221" w:lineRule="auto"/>
              <w:ind w:left="0" w:right="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陕西省既有建筑改造关键性防火技术研究</w:t>
            </w:r>
          </w:p>
        </w:tc>
      </w:tr>
      <w:tr w14:paraId="0F166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713" w:type="dxa"/>
            <w:vMerge w:val="continue"/>
            <w:tcBorders>
              <w:top w:val="nil"/>
              <w:bottom w:val="nil"/>
            </w:tcBorders>
          </w:tcPr>
          <w:p w14:paraId="061B7E4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rPr>
            </w:pPr>
          </w:p>
        </w:tc>
        <w:tc>
          <w:tcPr>
            <w:tcW w:w="1947" w:type="dxa"/>
          </w:tcPr>
          <w:p w14:paraId="26879DB7">
            <w:pPr>
              <w:pStyle w:val="5"/>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数量</w:t>
            </w:r>
          </w:p>
        </w:tc>
        <w:tc>
          <w:tcPr>
            <w:tcW w:w="1695" w:type="dxa"/>
          </w:tcPr>
          <w:p w14:paraId="5CAC4191">
            <w:pPr>
              <w:keepNext w:val="0"/>
              <w:keepLines w:val="0"/>
              <w:pageBreakBefore w:val="0"/>
              <w:widowControl w:val="0"/>
              <w:kinsoku/>
              <w:wordWrap/>
              <w:overflowPunct/>
              <w:topLinePunct w:val="0"/>
              <w:autoSpaceDE/>
              <w:autoSpaceDN/>
              <w:bidi w:val="0"/>
              <w:adjustRightInd/>
              <w:snapToGrid/>
              <w:spacing w:line="187" w:lineRule="auto"/>
              <w:ind w:left="0" w:right="0"/>
              <w:jc w:val="center"/>
              <w:textAlignment w:val="auto"/>
              <w:rPr>
                <w:rFonts w:hint="eastAsia" w:ascii="仿宋" w:hAnsi="仿宋" w:eastAsia="仿宋" w:cs="仿宋"/>
                <w:szCs w:val="21"/>
              </w:rPr>
            </w:pPr>
            <w:r>
              <w:rPr>
                <w:rFonts w:hint="eastAsia" w:ascii="仿宋" w:hAnsi="仿宋" w:eastAsia="仿宋" w:cs="仿宋"/>
                <w:szCs w:val="21"/>
              </w:rPr>
              <w:t>1</w:t>
            </w:r>
          </w:p>
        </w:tc>
        <w:tc>
          <w:tcPr>
            <w:tcW w:w="2445" w:type="dxa"/>
          </w:tcPr>
          <w:p w14:paraId="487226D1">
            <w:pPr>
              <w:pStyle w:val="5"/>
              <w:keepNext w:val="0"/>
              <w:keepLines w:val="0"/>
              <w:pageBreakBefore w:val="0"/>
              <w:widowControl w:val="0"/>
              <w:kinsoku/>
              <w:wordWrap/>
              <w:overflowPunct/>
              <w:topLinePunct w:val="0"/>
              <w:autoSpaceDE/>
              <w:autoSpaceDN/>
              <w:bidi w:val="0"/>
              <w:adjustRightInd/>
              <w:snapToGrid/>
              <w:spacing w:line="222" w:lineRule="auto"/>
              <w:ind w:left="0" w:right="0"/>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单位</w:t>
            </w:r>
          </w:p>
        </w:tc>
        <w:tc>
          <w:tcPr>
            <w:tcW w:w="2655" w:type="dxa"/>
          </w:tcPr>
          <w:p w14:paraId="3532E0B4">
            <w:pPr>
              <w:pStyle w:val="5"/>
              <w:keepNext w:val="0"/>
              <w:keepLines w:val="0"/>
              <w:pageBreakBefore w:val="0"/>
              <w:widowControl w:val="0"/>
              <w:kinsoku/>
              <w:wordWrap/>
              <w:overflowPunct/>
              <w:topLinePunct w:val="0"/>
              <w:autoSpaceDE/>
              <w:autoSpaceDN/>
              <w:bidi w:val="0"/>
              <w:adjustRightInd/>
              <w:snapToGrid/>
              <w:spacing w:line="222" w:lineRule="auto"/>
              <w:ind w:left="0" w:right="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套</w:t>
            </w:r>
          </w:p>
        </w:tc>
      </w:tr>
      <w:tr w14:paraId="382B3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713" w:type="dxa"/>
            <w:vMerge w:val="continue"/>
            <w:tcBorders>
              <w:top w:val="nil"/>
              <w:bottom w:val="nil"/>
            </w:tcBorders>
          </w:tcPr>
          <w:p w14:paraId="7E8768E2">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rPr>
            </w:pPr>
          </w:p>
        </w:tc>
        <w:tc>
          <w:tcPr>
            <w:tcW w:w="1947" w:type="dxa"/>
          </w:tcPr>
          <w:p w14:paraId="4D118B8A">
            <w:pPr>
              <w:pStyle w:val="5"/>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合计金额(</w:t>
            </w:r>
            <w:r>
              <w:rPr>
                <w:rFonts w:hint="eastAsia" w:ascii="仿宋" w:hAnsi="仿宋" w:eastAsia="仿宋" w:cs="仿宋"/>
                <w:spacing w:val="-5"/>
                <w:sz w:val="21"/>
                <w:szCs w:val="21"/>
              </w:rPr>
              <w:t>元）</w:t>
            </w:r>
          </w:p>
        </w:tc>
        <w:tc>
          <w:tcPr>
            <w:tcW w:w="1695" w:type="dxa"/>
          </w:tcPr>
          <w:p w14:paraId="23BDEA9D">
            <w:pPr>
              <w:keepNext w:val="0"/>
              <w:keepLines w:val="0"/>
              <w:pageBreakBefore w:val="0"/>
              <w:widowControl w:val="0"/>
              <w:kinsoku/>
              <w:wordWrap/>
              <w:overflowPunct/>
              <w:topLinePunct w:val="0"/>
              <w:autoSpaceDE/>
              <w:autoSpaceDN/>
              <w:bidi w:val="0"/>
              <w:adjustRightInd/>
              <w:snapToGrid/>
              <w:spacing w:line="181" w:lineRule="auto"/>
              <w:ind w:left="0" w:right="0"/>
              <w:jc w:val="center"/>
              <w:textAlignment w:val="auto"/>
              <w:rPr>
                <w:rFonts w:hint="eastAsia" w:ascii="仿宋" w:hAnsi="仿宋" w:eastAsia="仿宋" w:cs="仿宋"/>
                <w:szCs w:val="21"/>
              </w:rPr>
            </w:pPr>
            <w:r>
              <w:rPr>
                <w:rFonts w:hint="eastAsia" w:ascii="仿宋" w:hAnsi="仿宋" w:eastAsia="仿宋" w:cs="仿宋"/>
                <w:szCs w:val="21"/>
              </w:rPr>
              <w:t>164999.98</w:t>
            </w:r>
          </w:p>
        </w:tc>
        <w:tc>
          <w:tcPr>
            <w:tcW w:w="2445" w:type="dxa"/>
          </w:tcPr>
          <w:p w14:paraId="0B83CB7D">
            <w:pPr>
              <w:pStyle w:val="5"/>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单价（元）</w:t>
            </w:r>
          </w:p>
        </w:tc>
        <w:tc>
          <w:tcPr>
            <w:tcW w:w="2655" w:type="dxa"/>
          </w:tcPr>
          <w:p w14:paraId="41007897">
            <w:pPr>
              <w:keepNext w:val="0"/>
              <w:keepLines w:val="0"/>
              <w:pageBreakBefore w:val="0"/>
              <w:widowControl w:val="0"/>
              <w:kinsoku/>
              <w:wordWrap/>
              <w:overflowPunct/>
              <w:topLinePunct w:val="0"/>
              <w:autoSpaceDE/>
              <w:autoSpaceDN/>
              <w:bidi w:val="0"/>
              <w:adjustRightInd/>
              <w:snapToGrid/>
              <w:spacing w:line="181" w:lineRule="auto"/>
              <w:ind w:left="0" w:right="0"/>
              <w:jc w:val="center"/>
              <w:textAlignment w:val="auto"/>
              <w:rPr>
                <w:rFonts w:hint="eastAsia" w:ascii="仿宋" w:hAnsi="仿宋" w:eastAsia="仿宋" w:cs="仿宋"/>
                <w:szCs w:val="21"/>
              </w:rPr>
            </w:pPr>
            <w:r>
              <w:rPr>
                <w:rFonts w:hint="eastAsia" w:ascii="仿宋" w:hAnsi="仿宋" w:eastAsia="仿宋" w:cs="仿宋"/>
                <w:szCs w:val="21"/>
              </w:rPr>
              <w:t>164999.98</w:t>
            </w:r>
          </w:p>
        </w:tc>
      </w:tr>
      <w:tr w14:paraId="65BAB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713" w:type="dxa"/>
            <w:vMerge w:val="continue"/>
            <w:tcBorders>
              <w:top w:val="nil"/>
              <w:bottom w:val="nil"/>
            </w:tcBorders>
          </w:tcPr>
          <w:p w14:paraId="63B9326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rPr>
            </w:pPr>
          </w:p>
        </w:tc>
        <w:tc>
          <w:tcPr>
            <w:tcW w:w="1947" w:type="dxa"/>
          </w:tcPr>
          <w:p w14:paraId="393FE473">
            <w:pPr>
              <w:pStyle w:val="5"/>
              <w:keepNext w:val="0"/>
              <w:keepLines w:val="0"/>
              <w:pageBreakBefore w:val="0"/>
              <w:widowControl w:val="0"/>
              <w:kinsoku/>
              <w:wordWrap/>
              <w:overflowPunct/>
              <w:topLinePunct w:val="0"/>
              <w:autoSpaceDE/>
              <w:autoSpaceDN/>
              <w:bidi w:val="0"/>
              <w:adjustRightInd/>
              <w:snapToGrid/>
              <w:spacing w:line="326" w:lineRule="auto"/>
              <w:ind w:left="0" w:right="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是否采购节</w:t>
            </w:r>
            <w:r>
              <w:rPr>
                <w:rFonts w:hint="eastAsia" w:ascii="仿宋" w:hAnsi="仿宋" w:eastAsia="仿宋" w:cs="仿宋"/>
                <w:spacing w:val="-4"/>
                <w:sz w:val="21"/>
                <w:szCs w:val="21"/>
              </w:rPr>
              <w:t>能产品</w:t>
            </w:r>
          </w:p>
        </w:tc>
        <w:tc>
          <w:tcPr>
            <w:tcW w:w="1695" w:type="dxa"/>
          </w:tcPr>
          <w:p w14:paraId="2ACC4488">
            <w:pPr>
              <w:pStyle w:val="5"/>
              <w:keepNext w:val="0"/>
              <w:keepLines w:val="0"/>
              <w:pageBreakBefore w:val="0"/>
              <w:widowControl w:val="0"/>
              <w:kinsoku/>
              <w:wordWrap/>
              <w:overflowPunct/>
              <w:topLinePunct w:val="0"/>
              <w:autoSpaceDE/>
              <w:autoSpaceDN/>
              <w:bidi w:val="0"/>
              <w:adjustRightInd/>
              <w:snapToGrid/>
              <w:spacing w:line="222"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lang w:eastAsia="zh-CN"/>
              </w:rPr>
              <w:t>否</w:t>
            </w:r>
          </w:p>
        </w:tc>
        <w:tc>
          <w:tcPr>
            <w:tcW w:w="2445" w:type="dxa"/>
          </w:tcPr>
          <w:p w14:paraId="36C6B58F">
            <w:pPr>
              <w:pStyle w:val="5"/>
              <w:keepNext w:val="0"/>
              <w:keepLines w:val="0"/>
              <w:pageBreakBefore w:val="0"/>
              <w:widowControl w:val="0"/>
              <w:kinsoku/>
              <w:wordWrap/>
              <w:overflowPunct/>
              <w:topLinePunct w:val="0"/>
              <w:autoSpaceDE/>
              <w:autoSpaceDN/>
              <w:bidi w:val="0"/>
              <w:adjustRightInd/>
              <w:snapToGrid/>
              <w:spacing w:line="326" w:lineRule="auto"/>
              <w:ind w:left="0" w:right="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未采购节能产品原因</w:t>
            </w:r>
          </w:p>
        </w:tc>
        <w:tc>
          <w:tcPr>
            <w:tcW w:w="2655" w:type="dxa"/>
          </w:tcPr>
          <w:p w14:paraId="00D0D754">
            <w:pPr>
              <w:pStyle w:val="5"/>
              <w:keepNext w:val="0"/>
              <w:keepLines w:val="0"/>
              <w:pageBreakBefore w:val="0"/>
              <w:widowControl w:val="0"/>
              <w:kinsoku/>
              <w:wordWrap/>
              <w:overflowPunct/>
              <w:topLinePunct w:val="0"/>
              <w:autoSpaceDE/>
              <w:autoSpaceDN/>
              <w:bidi w:val="0"/>
              <w:adjustRightInd/>
              <w:snapToGrid/>
              <w:spacing w:line="222" w:lineRule="auto"/>
              <w:ind w:left="0" w:right="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本项目不采购货物类产品</w:t>
            </w:r>
          </w:p>
        </w:tc>
      </w:tr>
      <w:tr w14:paraId="29495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13" w:type="dxa"/>
            <w:vMerge w:val="continue"/>
            <w:tcBorders>
              <w:top w:val="nil"/>
              <w:bottom w:val="nil"/>
            </w:tcBorders>
          </w:tcPr>
          <w:p w14:paraId="0AA0D83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rPr>
            </w:pPr>
          </w:p>
        </w:tc>
        <w:tc>
          <w:tcPr>
            <w:tcW w:w="1947" w:type="dxa"/>
          </w:tcPr>
          <w:p w14:paraId="6F4374ED">
            <w:pPr>
              <w:pStyle w:val="5"/>
              <w:keepNext w:val="0"/>
              <w:keepLines w:val="0"/>
              <w:pageBreakBefore w:val="0"/>
              <w:widowControl w:val="0"/>
              <w:kinsoku/>
              <w:wordWrap/>
              <w:overflowPunct/>
              <w:topLinePunct w:val="0"/>
              <w:autoSpaceDE/>
              <w:autoSpaceDN/>
              <w:bidi w:val="0"/>
              <w:adjustRightInd/>
              <w:snapToGrid/>
              <w:spacing w:line="325" w:lineRule="auto"/>
              <w:ind w:left="0" w:right="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是否采购环</w:t>
            </w:r>
            <w:r>
              <w:rPr>
                <w:rFonts w:hint="eastAsia" w:ascii="仿宋" w:hAnsi="仿宋" w:eastAsia="仿宋" w:cs="仿宋"/>
                <w:spacing w:val="-2"/>
                <w:sz w:val="21"/>
                <w:szCs w:val="21"/>
              </w:rPr>
              <w:t>保产品</w:t>
            </w:r>
          </w:p>
        </w:tc>
        <w:tc>
          <w:tcPr>
            <w:tcW w:w="1695" w:type="dxa"/>
          </w:tcPr>
          <w:p w14:paraId="353A003C">
            <w:pPr>
              <w:pStyle w:val="5"/>
              <w:keepNext w:val="0"/>
              <w:keepLines w:val="0"/>
              <w:pageBreakBefore w:val="0"/>
              <w:widowControl w:val="0"/>
              <w:kinsoku/>
              <w:wordWrap/>
              <w:overflowPunct/>
              <w:topLinePunct w:val="0"/>
              <w:autoSpaceDE/>
              <w:autoSpaceDN/>
              <w:bidi w:val="0"/>
              <w:adjustRightInd/>
              <w:snapToGrid/>
              <w:spacing w:line="222"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lang w:eastAsia="zh-CN"/>
              </w:rPr>
              <w:t>否</w:t>
            </w:r>
          </w:p>
        </w:tc>
        <w:tc>
          <w:tcPr>
            <w:tcW w:w="2445" w:type="dxa"/>
          </w:tcPr>
          <w:p w14:paraId="741BA7C1">
            <w:pPr>
              <w:pStyle w:val="5"/>
              <w:keepNext w:val="0"/>
              <w:keepLines w:val="0"/>
              <w:pageBreakBefore w:val="0"/>
              <w:widowControl w:val="0"/>
              <w:kinsoku/>
              <w:wordWrap/>
              <w:overflowPunct/>
              <w:topLinePunct w:val="0"/>
              <w:autoSpaceDE/>
              <w:autoSpaceDN/>
              <w:bidi w:val="0"/>
              <w:adjustRightInd/>
              <w:snapToGrid/>
              <w:spacing w:line="325" w:lineRule="auto"/>
              <w:ind w:left="0" w:right="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未采购环保产品原因</w:t>
            </w:r>
          </w:p>
        </w:tc>
        <w:tc>
          <w:tcPr>
            <w:tcW w:w="2655" w:type="dxa"/>
          </w:tcPr>
          <w:p w14:paraId="08673890">
            <w:pPr>
              <w:pStyle w:val="5"/>
              <w:keepNext w:val="0"/>
              <w:keepLines w:val="0"/>
              <w:pageBreakBefore w:val="0"/>
              <w:widowControl w:val="0"/>
              <w:kinsoku/>
              <w:wordWrap/>
              <w:overflowPunct/>
              <w:topLinePunct w:val="0"/>
              <w:autoSpaceDE/>
              <w:autoSpaceDN/>
              <w:bidi w:val="0"/>
              <w:adjustRightInd/>
              <w:snapToGrid/>
              <w:spacing w:line="222" w:lineRule="auto"/>
              <w:ind w:left="0" w:right="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本项目不采购货物类产品</w:t>
            </w:r>
          </w:p>
        </w:tc>
      </w:tr>
      <w:tr w14:paraId="68252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713" w:type="dxa"/>
            <w:vMerge w:val="continue"/>
            <w:tcBorders>
              <w:top w:val="nil"/>
            </w:tcBorders>
          </w:tcPr>
          <w:p w14:paraId="2492517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rPr>
            </w:pPr>
          </w:p>
        </w:tc>
        <w:tc>
          <w:tcPr>
            <w:tcW w:w="1947" w:type="dxa"/>
          </w:tcPr>
          <w:p w14:paraId="18B5B3ED">
            <w:pPr>
              <w:pStyle w:val="5"/>
              <w:keepNext w:val="0"/>
              <w:keepLines w:val="0"/>
              <w:pageBreakBefore w:val="0"/>
              <w:widowControl w:val="0"/>
              <w:kinsoku/>
              <w:wordWrap/>
              <w:overflowPunct/>
              <w:topLinePunct w:val="0"/>
              <w:autoSpaceDE/>
              <w:autoSpaceDN/>
              <w:bidi w:val="0"/>
              <w:adjustRightInd/>
              <w:snapToGrid/>
              <w:spacing w:line="327" w:lineRule="auto"/>
              <w:ind w:left="0" w:right="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是否采购进</w:t>
            </w:r>
            <w:r>
              <w:rPr>
                <w:rFonts w:hint="eastAsia" w:ascii="仿宋" w:hAnsi="仿宋" w:eastAsia="仿宋" w:cs="仿宋"/>
                <w:spacing w:val="-11"/>
                <w:sz w:val="21"/>
                <w:szCs w:val="21"/>
              </w:rPr>
              <w:t>口产品</w:t>
            </w:r>
          </w:p>
        </w:tc>
        <w:tc>
          <w:tcPr>
            <w:tcW w:w="1695" w:type="dxa"/>
          </w:tcPr>
          <w:p w14:paraId="77620133">
            <w:pPr>
              <w:pStyle w:val="5"/>
              <w:keepNext w:val="0"/>
              <w:keepLines w:val="0"/>
              <w:pageBreakBefore w:val="0"/>
              <w:widowControl w:val="0"/>
              <w:kinsoku/>
              <w:wordWrap/>
              <w:overflowPunct/>
              <w:topLinePunct w:val="0"/>
              <w:autoSpaceDE/>
              <w:autoSpaceDN/>
              <w:bidi w:val="0"/>
              <w:adjustRightInd/>
              <w:snapToGrid/>
              <w:spacing w:line="222"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lang w:eastAsia="zh-CN"/>
              </w:rPr>
              <w:t>否</w:t>
            </w:r>
          </w:p>
        </w:tc>
        <w:tc>
          <w:tcPr>
            <w:tcW w:w="2445" w:type="dxa"/>
          </w:tcPr>
          <w:p w14:paraId="22AB18DA">
            <w:pPr>
              <w:pStyle w:val="5"/>
              <w:keepNext w:val="0"/>
              <w:keepLines w:val="0"/>
              <w:pageBreakBefore w:val="0"/>
              <w:widowControl w:val="0"/>
              <w:kinsoku/>
              <w:wordWrap/>
              <w:overflowPunct/>
              <w:topLinePunct w:val="0"/>
              <w:autoSpaceDE/>
              <w:autoSpaceDN/>
              <w:bidi w:val="0"/>
              <w:adjustRightInd/>
              <w:snapToGrid/>
              <w:spacing w:line="327"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标的物所属</w:t>
            </w:r>
            <w:r>
              <w:rPr>
                <w:rFonts w:hint="eastAsia" w:ascii="仿宋" w:hAnsi="仿宋" w:eastAsia="仿宋" w:cs="仿宋"/>
                <w:spacing w:val="-4"/>
                <w:sz w:val="21"/>
                <w:szCs w:val="21"/>
              </w:rPr>
              <w:t>行业</w:t>
            </w:r>
          </w:p>
        </w:tc>
        <w:tc>
          <w:tcPr>
            <w:tcW w:w="2655" w:type="dxa"/>
          </w:tcPr>
          <w:p w14:paraId="2964FC87">
            <w:pPr>
              <w:pStyle w:val="5"/>
              <w:keepNext w:val="0"/>
              <w:keepLines w:val="0"/>
              <w:pageBreakBefore w:val="0"/>
              <w:widowControl w:val="0"/>
              <w:kinsoku/>
              <w:wordWrap/>
              <w:overflowPunct/>
              <w:topLinePunct w:val="0"/>
              <w:autoSpaceDE/>
              <w:autoSpaceDN/>
              <w:bidi w:val="0"/>
              <w:adjustRightInd/>
              <w:snapToGrid/>
              <w:spacing w:line="221" w:lineRule="auto"/>
              <w:ind w:left="0" w:right="0"/>
              <w:textAlignment w:val="auto"/>
              <w:rPr>
                <w:rFonts w:hint="eastAsia" w:ascii="仿宋" w:hAnsi="仿宋" w:eastAsia="仿宋" w:cs="仿宋"/>
                <w:sz w:val="21"/>
                <w:szCs w:val="21"/>
              </w:rPr>
            </w:pPr>
            <w:r>
              <w:rPr>
                <w:rFonts w:hint="eastAsia" w:ascii="仿宋" w:hAnsi="仿宋" w:eastAsia="仿宋" w:cs="仿宋"/>
                <w:sz w:val="21"/>
                <w:szCs w:val="21"/>
              </w:rPr>
              <w:t>其他未列明行业</w:t>
            </w:r>
          </w:p>
        </w:tc>
      </w:tr>
    </w:tbl>
    <w:p w14:paraId="7688ECEE">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sz w:val="24"/>
          <w:szCs w:val="24"/>
        </w:rPr>
      </w:pPr>
    </w:p>
    <w:p w14:paraId="6D1C888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sz w:val="24"/>
          <w:szCs w:val="24"/>
        </w:rPr>
        <w:t>标的名称：</w:t>
      </w:r>
      <w:r>
        <w:rPr>
          <w:rFonts w:hint="eastAsia" w:ascii="仿宋" w:hAnsi="仿宋" w:eastAsia="仿宋" w:cs="仿宋"/>
          <w:color w:val="auto"/>
          <w:sz w:val="24"/>
          <w:szCs w:val="24"/>
          <w:u w:val="none"/>
        </w:rPr>
        <w:t>陕西省既有建筑改造关键性防火技术研究</w:t>
      </w:r>
    </w:p>
    <w:p w14:paraId="6350F22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为贯彻落实国家“城市更新行动”战略，适应既有建筑改造数量与类型持续增长的客观趋势，解决当前改造项目在设计、审查及验收环节面临的技术合规难题，特别是日益突出的防火安全问题，特设立本项目。同时，为与国家即将出台的《既有建筑改造防火技术标准》实现有效衔接，陕西省亟需开展本地化的关键技术研究，为本省地方标准的编制提供科学支撑。</w:t>
      </w:r>
    </w:p>
    <w:p w14:paraId="3DE1BE3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本项目旨在通过系统研究，形成一套适用于陕西省地域特点的既有建筑改造防火设计技术方法。研究成果将为相关地方标准编制提供科学依据和应用路径，有效指导工程实践，缓解当前既有建筑改造防火设计中的共性技术瓶颈，提升改造工程的整体防火安全水平，保障城市更新工作的顺利推进。</w:t>
      </w:r>
    </w:p>
    <w:p w14:paraId="4DC542C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编制单位应依据国家现行工程建设消防技术规范、标准为框架，以科学研究和工程适用为原则，以解决实际问题和支撑标准编制为双重导向，确保研究成果兼具科学性、前瞻性与工程适用性。研究内容包括文献综述、既有建筑消防调研、火灾风险等级评估等对既有建筑改造防火设计、审查、验收具有指导意义的相关研究工作。</w:t>
      </w:r>
    </w:p>
    <w:p w14:paraId="4310174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研究成果为陕西省既有建筑改造关键性防火技术研究报告，报告应体系完整、论证严密、数据翔实，所提出的技术方法应具备明确的适用条件与实施流程，能够作为地方标准编制的直接技术支撑，并可用于指导设计、审查与验收等工程实践环节。</w:t>
      </w:r>
    </w:p>
    <w:p w14:paraId="68CFFD1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1、合同管理安排</w:t>
      </w:r>
    </w:p>
    <w:p w14:paraId="4C97E29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1）合同类型：技术咨询服务</w:t>
      </w:r>
    </w:p>
    <w:p w14:paraId="0A67AC9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仿宋" w:hAnsi="仿宋" w:eastAsia="仿宋" w:cs="仿宋"/>
          <w:sz w:val="24"/>
          <w:szCs w:val="32"/>
          <w:u w:val="single"/>
          <w:lang w:val="en-US" w:eastAsia="zh-CN"/>
        </w:rPr>
      </w:pPr>
      <w:r>
        <w:rPr>
          <w:rFonts w:hint="eastAsia" w:ascii="仿宋" w:hAnsi="仿宋" w:eastAsia="仿宋" w:cs="仿宋"/>
          <w:sz w:val="24"/>
          <w:szCs w:val="32"/>
        </w:rPr>
        <w:t>2）合同履行期限：</w:t>
      </w:r>
      <w:r>
        <w:rPr>
          <w:rFonts w:hint="eastAsia" w:ascii="仿宋" w:hAnsi="仿宋" w:eastAsia="仿宋" w:cs="仿宋"/>
          <w:color w:val="auto"/>
          <w:sz w:val="24"/>
          <w:szCs w:val="24"/>
          <w:highlight w:val="none"/>
        </w:rPr>
        <w:t>自合同签订之日起至</w:t>
      </w:r>
      <w:r>
        <w:rPr>
          <w:rFonts w:hint="eastAsia" w:ascii="仿宋" w:hAnsi="仿宋" w:eastAsia="仿宋" w:cs="仿宋"/>
          <w:color w:val="auto"/>
          <w:sz w:val="24"/>
          <w:szCs w:val="24"/>
          <w:highlight w:val="none"/>
          <w:lang w:eastAsia="zh-CN"/>
        </w:rPr>
        <w:t>2027年12月31日</w:t>
      </w:r>
      <w:bookmarkStart w:id="4" w:name="_GoBack"/>
      <w:bookmarkEnd w:id="4"/>
    </w:p>
    <w:p w14:paraId="2756D30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仿宋" w:hAnsi="仿宋" w:eastAsia="仿宋" w:cs="仿宋"/>
          <w:sz w:val="24"/>
          <w:szCs w:val="32"/>
          <w:u w:val="single"/>
          <w:lang w:val="en-US" w:eastAsia="zh-CN"/>
        </w:rPr>
      </w:pPr>
      <w:r>
        <w:rPr>
          <w:rFonts w:hint="eastAsia" w:ascii="仿宋" w:hAnsi="仿宋" w:eastAsia="仿宋" w:cs="仿宋"/>
          <w:sz w:val="24"/>
          <w:szCs w:val="32"/>
        </w:rPr>
        <w:t>3）合同履约地点：</w:t>
      </w:r>
      <w:r>
        <w:rPr>
          <w:rFonts w:hint="eastAsia" w:ascii="仿宋" w:hAnsi="仿宋" w:eastAsia="仿宋" w:cs="仿宋"/>
          <w:color w:val="auto"/>
          <w:sz w:val="24"/>
          <w:szCs w:val="32"/>
          <w:u w:val="none"/>
          <w:lang w:val="en-US" w:eastAsia="zh-CN"/>
        </w:rPr>
        <w:t>采购人指定地点</w:t>
      </w:r>
    </w:p>
    <w:p w14:paraId="7A8636C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FF0000"/>
          <w:sz w:val="24"/>
          <w:szCs w:val="32"/>
          <w:u w:val="single"/>
        </w:rPr>
      </w:pPr>
      <w:r>
        <w:rPr>
          <w:rFonts w:hint="eastAsia" w:ascii="仿宋" w:hAnsi="仿宋" w:eastAsia="仿宋" w:cs="仿宋"/>
          <w:sz w:val="24"/>
          <w:szCs w:val="32"/>
        </w:rPr>
        <w:t>4）支付方式：</w:t>
      </w:r>
      <w:r>
        <w:rPr>
          <w:rFonts w:hint="eastAsia" w:ascii="仿宋" w:hAnsi="仿宋" w:eastAsia="仿宋" w:cs="仿宋"/>
          <w:sz w:val="24"/>
          <w:szCs w:val="32"/>
          <w:lang w:val="en-US" w:eastAsia="zh-CN"/>
        </w:rPr>
        <w:t>公对公转账</w:t>
      </w:r>
      <w:r>
        <w:rPr>
          <w:rFonts w:hint="eastAsia" w:ascii="仿宋" w:hAnsi="仿宋" w:eastAsia="仿宋" w:cs="仿宋"/>
          <w:color w:val="FF0000"/>
          <w:sz w:val="24"/>
          <w:szCs w:val="32"/>
          <w:u w:val="single"/>
        </w:rPr>
        <w:t xml:space="preserve"> </w:t>
      </w:r>
    </w:p>
    <w:p w14:paraId="421E26F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5）履约保证金及缴纳形式：</w:t>
      </w:r>
    </w:p>
    <w:p w14:paraId="05B39EC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中标/成交供应商是否需要缴纳履约保证金：</w:t>
      </w:r>
      <w:r>
        <w:rPr>
          <w:rFonts w:hint="eastAsia" w:ascii="仿宋" w:hAnsi="仿宋" w:eastAsia="仿宋" w:cs="仿宋"/>
          <w:sz w:val="24"/>
          <w:szCs w:val="32"/>
          <w:u w:val="single"/>
        </w:rPr>
        <w:t xml:space="preserve">否     </w:t>
      </w:r>
    </w:p>
    <w:p w14:paraId="3F27B35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6）质量保证金及缴纳形式：</w:t>
      </w:r>
    </w:p>
    <w:p w14:paraId="7970B7D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中标/成交供应商是否需要缴纳质量保证金：</w:t>
      </w:r>
      <w:r>
        <w:rPr>
          <w:rFonts w:hint="eastAsia" w:ascii="仿宋" w:hAnsi="仿宋" w:eastAsia="仿宋" w:cs="仿宋"/>
          <w:sz w:val="24"/>
          <w:szCs w:val="32"/>
          <w:u w:val="single"/>
        </w:rPr>
        <w:t xml:space="preserve">否   </w:t>
      </w:r>
    </w:p>
    <w:p w14:paraId="5E90AC5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7）合同支付约定：</w:t>
      </w:r>
      <w:r>
        <w:rPr>
          <w:rFonts w:hint="eastAsia" w:ascii="仿宋" w:hAnsi="仿宋" w:eastAsia="仿宋" w:cs="仿宋"/>
          <w:bCs/>
          <w:kern w:val="2"/>
          <w:sz w:val="24"/>
          <w:szCs w:val="24"/>
          <w:lang w:val="en-US" w:eastAsia="zh-CN" w:bidi="ar-SA"/>
        </w:rPr>
        <w:t>合同签订后达到付款条件后，支付合同总金额80%；课题验收后达到付款条件后，支付合同总金额20%。</w:t>
      </w:r>
    </w:p>
    <w:p w14:paraId="376EF36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8）验收交付标准和方法：编制报告成果文件通过经发包人组织的评审</w:t>
      </w:r>
    </w:p>
    <w:p w14:paraId="0E70799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xml:space="preserve">9）质量保修范围和保修期：  /  </w:t>
      </w:r>
    </w:p>
    <w:p w14:paraId="42B2678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10）知识产权归属和处理方式：知识产权归发包人所有，著作权归编制人所有</w:t>
      </w:r>
    </w:p>
    <w:p w14:paraId="6F226DB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11）成本补偿和风险分担约定：无</w:t>
      </w:r>
    </w:p>
    <w:p w14:paraId="6280274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auto"/>
          <w:spacing w:val="30"/>
          <w:sz w:val="24"/>
          <w:szCs w:val="24"/>
          <w:u w:val="none"/>
        </w:rPr>
      </w:pPr>
      <w:r>
        <w:rPr>
          <w:rFonts w:hint="eastAsia" w:ascii="仿宋" w:hAnsi="仿宋" w:eastAsia="仿宋" w:cs="仿宋"/>
          <w:color w:val="auto"/>
          <w:sz w:val="24"/>
          <w:szCs w:val="24"/>
          <w:u w:val="none"/>
        </w:rPr>
        <w:t>12）违约责任与解决争议的方法：1.在合同履行期间，发包人要求终止或解除合同，已开始编制工作的，发包人应根据编制人已进行的实际工作量支付；2.编制人对编制报告中出现的遗漏或错误的由编制人负责修改或补充；3.因合同及合同有关事项发生的争议由双方协商解决。</w:t>
      </w:r>
    </w:p>
    <w:p w14:paraId="79027AC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13）合同其他条款：1.乙方未经甲方同意，不得擅自变更本工作在响应文件中认定的工作范围、组织实施方案和项目负责人；2.乙方的磋商响应文件和承诺以及补充意见等内容，将作为合同条款列入合同；3.若因不可抗力致使项目实际情况发生变化或其他因素造成需对原方案进行修改、完善、补充时，乙方需会同甲方协商有关事宜。因此发生的费用，由双方协商解决</w:t>
      </w:r>
    </w:p>
    <w:p w14:paraId="0BB7122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11、履约验收方案</w:t>
      </w:r>
    </w:p>
    <w:p w14:paraId="46F80EE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 xml:space="preserve">1）验收组织方式：自行验收 </w:t>
      </w:r>
    </w:p>
    <w:p w14:paraId="6D75B4B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2）是否邀请本项目的其他供应商：</w:t>
      </w:r>
      <w:r>
        <w:rPr>
          <w:rFonts w:hint="eastAsia" w:ascii="仿宋" w:hAnsi="仿宋" w:eastAsia="仿宋" w:cs="仿宋"/>
          <w:sz w:val="24"/>
          <w:szCs w:val="32"/>
          <w:u w:val="single"/>
        </w:rPr>
        <w:t xml:space="preserve">否     </w:t>
      </w:r>
    </w:p>
    <w:p w14:paraId="723DAC1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3）是否邀请专家：</w:t>
      </w:r>
      <w:r>
        <w:rPr>
          <w:rFonts w:hint="eastAsia" w:ascii="仿宋" w:hAnsi="仿宋" w:eastAsia="仿宋" w:cs="仿宋"/>
          <w:sz w:val="24"/>
          <w:szCs w:val="32"/>
          <w:u w:val="single"/>
        </w:rPr>
        <w:t xml:space="preserve">否   </w:t>
      </w:r>
    </w:p>
    <w:p w14:paraId="10A4B04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4）是否邀请服务对象：</w:t>
      </w:r>
      <w:r>
        <w:rPr>
          <w:rFonts w:hint="eastAsia" w:ascii="仿宋" w:hAnsi="仿宋" w:eastAsia="仿宋" w:cs="仿宋"/>
          <w:sz w:val="24"/>
          <w:szCs w:val="32"/>
          <w:u w:val="single"/>
        </w:rPr>
        <w:t xml:space="preserve">否   </w:t>
      </w:r>
    </w:p>
    <w:p w14:paraId="0F640BA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5）是否邀请第三方检测机构：</w:t>
      </w:r>
      <w:r>
        <w:rPr>
          <w:rFonts w:hint="eastAsia" w:ascii="仿宋" w:hAnsi="仿宋" w:eastAsia="仿宋" w:cs="仿宋"/>
          <w:sz w:val="24"/>
          <w:szCs w:val="32"/>
          <w:u w:val="single"/>
        </w:rPr>
        <w:t xml:space="preserve">否      </w:t>
      </w:r>
    </w:p>
    <w:p w14:paraId="526DE33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6）履约验收程序：一次性验收</w:t>
      </w:r>
    </w:p>
    <w:p w14:paraId="3361247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7）履约验收时间：供应商提出验收申请之日起</w:t>
      </w:r>
      <w:r>
        <w:rPr>
          <w:rFonts w:hint="eastAsia" w:ascii="仿宋" w:hAnsi="仿宋" w:eastAsia="仿宋" w:cs="仿宋"/>
          <w:color w:val="auto"/>
          <w:sz w:val="24"/>
          <w:szCs w:val="32"/>
          <w:u w:val="single"/>
        </w:rPr>
        <w:t xml:space="preserve"> 7</w:t>
      </w:r>
      <w:r>
        <w:rPr>
          <w:rFonts w:hint="eastAsia" w:ascii="仿宋" w:hAnsi="仿宋" w:eastAsia="仿宋" w:cs="仿宋"/>
          <w:sz w:val="24"/>
          <w:szCs w:val="32"/>
        </w:rPr>
        <w:t>日内组织验收</w:t>
      </w:r>
    </w:p>
    <w:p w14:paraId="0875CA6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8）验收组织的其他事项：按照合同约定</w:t>
      </w:r>
    </w:p>
    <w:p w14:paraId="24054E6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9）技术履约验收内容：按照国家有关规定以及采购文件的技术、服务要求，供应商的响应文件承诺与合同约定标准进行验收。</w:t>
      </w:r>
    </w:p>
    <w:p w14:paraId="4E21ECF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10）商务履约验收内容：按照国家有关规定以及采购文件的技术、服务要求，供应商的响应文件承诺与合同约定标准进行验收。</w:t>
      </w:r>
    </w:p>
    <w:p w14:paraId="1608679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11）履约验收标准：采购人应严格按照《财政部关于进一步加强政府采购需求和履约验收管理的指导意见》（财库【2016】205号）的要求进行验收，同时按国家有关规定、采购文件的质量要求和技术指标、供应商的磋商响应文件及承诺与合同约定进行验收。</w:t>
      </w:r>
    </w:p>
    <w:p w14:paraId="02FE897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12）履约验收其他事项：按照合同约定</w:t>
      </w:r>
    </w:p>
    <w:p w14:paraId="5424505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u w:val="single"/>
          <w:lang w:val="en-US" w:eastAsia="zh-CN"/>
        </w:rPr>
      </w:pPr>
      <w:r>
        <w:rPr>
          <w:rFonts w:hint="eastAsia" w:ascii="仿宋" w:hAnsi="仿宋" w:eastAsia="仿宋" w:cs="仿宋"/>
          <w:sz w:val="24"/>
          <w:szCs w:val="32"/>
        </w:rPr>
        <w:t>13）人员配置要求：</w:t>
      </w:r>
      <w:r>
        <w:rPr>
          <w:rFonts w:hint="eastAsia" w:ascii="仿宋" w:hAnsi="仿宋" w:eastAsia="仿宋" w:cs="仿宋"/>
          <w:sz w:val="24"/>
          <w:szCs w:val="32"/>
          <w:lang w:val="en-US" w:eastAsia="zh-CN"/>
        </w:rPr>
        <w:t>项目负责人具备高级或以上职称</w:t>
      </w:r>
    </w:p>
    <w:p w14:paraId="75230E1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u w:val="single"/>
        </w:rPr>
      </w:pPr>
      <w:r>
        <w:rPr>
          <w:rFonts w:hint="eastAsia" w:ascii="仿宋" w:hAnsi="仿宋" w:eastAsia="仿宋" w:cs="仿宋"/>
          <w:sz w:val="24"/>
          <w:szCs w:val="32"/>
        </w:rPr>
        <w:t>14）设施设备要求：</w:t>
      </w:r>
      <w:r>
        <w:rPr>
          <w:rFonts w:hint="eastAsia" w:ascii="仿宋" w:hAnsi="仿宋" w:eastAsia="仿宋" w:cs="仿宋"/>
          <w:sz w:val="24"/>
          <w:szCs w:val="32"/>
          <w:lang w:val="en-US" w:eastAsia="zh-CN"/>
        </w:rPr>
        <w:t>无</w:t>
      </w:r>
      <w:r>
        <w:rPr>
          <w:rFonts w:hint="eastAsia" w:ascii="仿宋" w:hAnsi="仿宋" w:eastAsia="仿宋" w:cs="仿宋"/>
          <w:sz w:val="24"/>
          <w:szCs w:val="32"/>
          <w:u w:val="single"/>
        </w:rPr>
        <w:t xml:space="preserve">   </w:t>
      </w:r>
    </w:p>
    <w:p w14:paraId="7AB961B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15）其他要求：</w:t>
      </w:r>
      <w:r>
        <w:rPr>
          <w:rFonts w:hint="eastAsia" w:ascii="仿宋" w:hAnsi="仿宋" w:eastAsia="仿宋" w:cs="仿宋"/>
          <w:sz w:val="24"/>
          <w:szCs w:val="32"/>
          <w:lang w:val="en-US" w:eastAsia="zh-CN"/>
        </w:rPr>
        <w:t>无</w:t>
      </w:r>
      <w:r>
        <w:rPr>
          <w:rFonts w:hint="eastAsia" w:ascii="仿宋" w:hAnsi="仿宋" w:eastAsia="仿宋" w:cs="仿宋"/>
          <w:sz w:val="24"/>
          <w:szCs w:val="32"/>
          <w:u w:val="single"/>
        </w:rPr>
        <w:t xml:space="preserve">  </w:t>
      </w:r>
    </w:p>
    <w:p w14:paraId="352EDDD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五、风险控制措施和替代方案</w:t>
      </w:r>
    </w:p>
    <w:p w14:paraId="532284C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该采购项目按照《政府采购需求管理办法》第二十五条规定，本项目是否需要组织风险判断、提出处置措施和替代方案：</w:t>
      </w:r>
      <w:r>
        <w:rPr>
          <w:rFonts w:hint="eastAsia" w:ascii="仿宋" w:hAnsi="仿宋" w:eastAsia="仿宋" w:cs="仿宋"/>
          <w:sz w:val="24"/>
          <w:szCs w:val="32"/>
          <w:u w:val="single"/>
        </w:rPr>
        <w:t>否</w:t>
      </w:r>
    </w:p>
    <w:p w14:paraId="58C431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C538B"/>
    <w:rsid w:val="2D656E56"/>
    <w:rsid w:val="35206E75"/>
    <w:rsid w:val="48FC5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2704</Words>
  <Characters>2777</Characters>
  <Lines>0</Lines>
  <Paragraphs>0</Paragraphs>
  <TotalTime>0</TotalTime>
  <ScaleCrop>false</ScaleCrop>
  <LinksUpToDate>false</LinksUpToDate>
  <CharactersWithSpaces>2914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2025-11-20T07:20:00Z</dcterms:created>
  <dc:creator>Patton</dc:creator>
  <cp:lastModifiedBy>Patton</cp:lastModifiedBy>
  <dcterms:modified xsi:type="dcterms:W3CDTF">2025-11-20T07:47:35Z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2DBAA04E63A842158105229330C77F3B_11</vt:lpwstr>
  </property>
  <property fmtid="{D5CDD505-2E9C-101B-9397-08002B2CF9AE}" pid="4" name="KSOTemplateDocerSaveRecord">
    <vt:lpwstr>eyJoZGlkIjoiNjllMjU4NjNjOWJiNDI1NjZkZDc5NDJiOTVmODQzZmQiLCJ1c2VySWQiOiIxMDYzMTcxMDUxIn0=</vt:lpwstr>
  </property>
</Properties>
</file>