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889C2">
      <w:pPr>
        <w:spacing w:line="420" w:lineRule="auto"/>
        <w:jc w:val="left"/>
        <w:rPr>
          <w:rFonts w:hint="default" w:ascii="宋体" w:hAnsi="宋体" w:eastAsia="宋体" w:cs="宋体"/>
          <w:b/>
          <w:sz w:val="28"/>
          <w:szCs w:val="28"/>
          <w:lang w:val="en-US" w:eastAsia="zh-CN"/>
        </w:rPr>
      </w:pPr>
      <w:bookmarkStart w:id="0" w:name="_Toc193702467"/>
      <w:bookmarkStart w:id="1" w:name="_Toc12011"/>
      <w:bookmarkStart w:id="2" w:name="_Toc22392"/>
      <w:bookmarkStart w:id="3" w:name="_Toc465958085"/>
      <w:bookmarkStart w:id="4" w:name="_Toc12260"/>
      <w:bookmarkStart w:id="5" w:name="_Toc6410"/>
      <w:bookmarkStart w:id="6" w:name="_Toc246928891"/>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HYDZB-2025-091</w:t>
      </w:r>
    </w:p>
    <w:p w14:paraId="7763FD33">
      <w:pPr>
        <w:pStyle w:val="4"/>
        <w:jc w:val="both"/>
        <w:rPr>
          <w:rFonts w:hint="eastAsia"/>
          <w:sz w:val="44"/>
          <w:szCs w:val="44"/>
          <w:lang w:val="en-US" w:eastAsia="zh-CN"/>
        </w:rPr>
      </w:pPr>
    </w:p>
    <w:p w14:paraId="45D57127">
      <w:pPr>
        <w:pStyle w:val="4"/>
        <w:rPr>
          <w:rFonts w:hint="eastAsia"/>
          <w:sz w:val="44"/>
          <w:szCs w:val="44"/>
          <w:lang w:val="en-US" w:eastAsia="zh-CN"/>
        </w:rPr>
      </w:pPr>
    </w:p>
    <w:p w14:paraId="25623162">
      <w:pPr>
        <w:jc w:val="center"/>
        <w:rPr>
          <w:rFonts w:hint="eastAsia" w:ascii="宋体" w:hAnsi="宋体" w:cs="宋体"/>
          <w:b/>
          <w:sz w:val="80"/>
          <w:szCs w:val="80"/>
        </w:rPr>
      </w:pPr>
      <w:bookmarkStart w:id="383" w:name="_GoBack"/>
      <w:r>
        <w:rPr>
          <w:rFonts w:hint="eastAsia"/>
          <w:b/>
          <w:bCs/>
          <w:sz w:val="48"/>
          <w:szCs w:val="48"/>
          <w:lang w:eastAsia="zh-CN"/>
        </w:rPr>
        <w:t>榆林市文化和旅游局非遗微短剧策划执行服务项目</w:t>
      </w:r>
    </w:p>
    <w:bookmarkEnd w:id="383"/>
    <w:p w14:paraId="0AA01F16">
      <w:pPr>
        <w:pStyle w:val="8"/>
        <w:rPr>
          <w:rFonts w:hint="eastAsia"/>
        </w:rPr>
      </w:pPr>
    </w:p>
    <w:p w14:paraId="523E6E39">
      <w:pPr>
        <w:jc w:val="center"/>
        <w:rPr>
          <w:rFonts w:ascii="宋体" w:hAnsi="宋体" w:cs="宋体"/>
          <w:b/>
          <w:sz w:val="80"/>
          <w:szCs w:val="80"/>
        </w:rPr>
      </w:pPr>
      <w:r>
        <w:rPr>
          <w:rFonts w:hint="eastAsia" w:ascii="宋体" w:hAnsi="宋体" w:cs="宋体"/>
          <w:b/>
          <w:sz w:val="80"/>
          <w:szCs w:val="80"/>
        </w:rPr>
        <w:t>竞争性谈判文件</w:t>
      </w:r>
    </w:p>
    <w:p w14:paraId="5EBFCE3D">
      <w:pPr>
        <w:spacing w:line="420" w:lineRule="auto"/>
        <w:rPr>
          <w:rFonts w:ascii="宋体" w:hAnsi="宋体" w:cs="宋体"/>
          <w:bCs/>
          <w:sz w:val="24"/>
          <w:szCs w:val="24"/>
        </w:rPr>
      </w:pPr>
    </w:p>
    <w:p w14:paraId="670520DA">
      <w:pPr>
        <w:snapToGrid w:val="0"/>
        <w:spacing w:line="480" w:lineRule="auto"/>
        <w:jc w:val="both"/>
        <w:rPr>
          <w:rFonts w:hint="eastAsia" w:ascii="宋体" w:hAnsi="宋体" w:cs="宋体"/>
          <w:b/>
          <w:sz w:val="32"/>
          <w:szCs w:val="32"/>
        </w:rPr>
      </w:pPr>
      <w:bookmarkStart w:id="8" w:name="OLE_LINK43"/>
    </w:p>
    <w:p w14:paraId="6D9424FB">
      <w:pPr>
        <w:snapToGrid w:val="0"/>
        <w:spacing w:line="480" w:lineRule="auto"/>
        <w:jc w:val="both"/>
        <w:rPr>
          <w:rFonts w:hint="eastAsia" w:ascii="宋体" w:hAnsi="宋体" w:cs="宋体"/>
          <w:b/>
          <w:sz w:val="32"/>
          <w:szCs w:val="32"/>
        </w:rPr>
      </w:pPr>
    </w:p>
    <w:p w14:paraId="6F0CEC8C">
      <w:pPr>
        <w:snapToGrid w:val="0"/>
        <w:spacing w:line="480" w:lineRule="auto"/>
        <w:jc w:val="both"/>
        <w:rPr>
          <w:rFonts w:hint="eastAsia" w:ascii="宋体" w:hAnsi="宋体" w:cs="宋体"/>
          <w:b/>
          <w:sz w:val="32"/>
          <w:szCs w:val="32"/>
        </w:rPr>
      </w:pPr>
    </w:p>
    <w:p w14:paraId="6EA4E15E">
      <w:pPr>
        <w:snapToGrid w:val="0"/>
        <w:spacing w:line="480" w:lineRule="auto"/>
        <w:jc w:val="both"/>
        <w:rPr>
          <w:rFonts w:hint="eastAsia" w:ascii="宋体" w:hAnsi="宋体" w:cs="宋体"/>
          <w:b/>
          <w:sz w:val="32"/>
          <w:szCs w:val="32"/>
        </w:rPr>
      </w:pPr>
    </w:p>
    <w:p w14:paraId="5180FA67">
      <w:pPr>
        <w:snapToGrid w:val="0"/>
        <w:spacing w:line="480" w:lineRule="auto"/>
        <w:ind w:firstLine="643" w:firstLineChars="200"/>
        <w:jc w:val="both"/>
        <w:rPr>
          <w:rFonts w:hint="eastAsia" w:ascii="宋体" w:hAnsi="宋体" w:cs="宋体"/>
          <w:b/>
          <w:sz w:val="32"/>
          <w:szCs w:val="32"/>
        </w:rPr>
      </w:pPr>
      <w:r>
        <w:rPr>
          <w:rFonts w:hint="eastAsia" w:ascii="宋体" w:hAnsi="宋体" w:cs="宋体"/>
          <w:b/>
          <w:sz w:val="32"/>
          <w:szCs w:val="32"/>
        </w:rPr>
        <w:t>采购人：</w:t>
      </w:r>
      <w:r>
        <w:rPr>
          <w:rFonts w:hint="eastAsia" w:ascii="宋体" w:hAnsi="宋体" w:cs="宋体"/>
          <w:b/>
          <w:sz w:val="32"/>
          <w:szCs w:val="32"/>
          <w:lang w:eastAsia="zh-CN"/>
        </w:rPr>
        <w:t>榆林市文化和旅游局</w:t>
      </w:r>
      <w:r>
        <w:rPr>
          <w:rFonts w:hint="eastAsia" w:ascii="宋体" w:hAnsi="宋体" w:cs="宋体"/>
          <w:b/>
          <w:sz w:val="32"/>
          <w:szCs w:val="32"/>
        </w:rPr>
        <w:t xml:space="preserve"> </w:t>
      </w:r>
    </w:p>
    <w:p w14:paraId="2EE2CD80">
      <w:pPr>
        <w:snapToGrid w:val="0"/>
        <w:spacing w:line="480" w:lineRule="auto"/>
        <w:jc w:val="center"/>
        <w:rPr>
          <w:rFonts w:ascii="宋体" w:hAnsi="宋体" w:cs="宋体"/>
          <w:b/>
          <w:sz w:val="32"/>
          <w:szCs w:val="32"/>
        </w:rPr>
      </w:pPr>
      <w:r>
        <w:rPr>
          <w:rFonts w:hint="eastAsia" w:ascii="宋体" w:hAnsi="宋体" w:cs="宋体"/>
          <w:b/>
          <w:sz w:val="32"/>
          <w:szCs w:val="32"/>
        </w:rPr>
        <w:t>采购代理机构：</w:t>
      </w:r>
      <w:r>
        <w:rPr>
          <w:rFonts w:hint="eastAsia" w:ascii="宋体" w:hAnsi="宋体" w:cs="宋体"/>
          <w:b/>
          <w:sz w:val="32"/>
          <w:szCs w:val="32"/>
          <w:lang w:eastAsia="zh-CN"/>
        </w:rPr>
        <w:t>榆林市恒易达工程项目管理有限公司</w:t>
      </w:r>
      <w:r>
        <w:rPr>
          <w:rFonts w:hint="eastAsia" w:ascii="宋体" w:hAnsi="宋体" w:cs="宋体"/>
          <w:b/>
          <w:sz w:val="32"/>
          <w:szCs w:val="32"/>
        </w:rPr>
        <w:t xml:space="preserve">     </w:t>
      </w:r>
    </w:p>
    <w:p w14:paraId="1168989B">
      <w:pPr>
        <w:snapToGrid w:val="0"/>
        <w:jc w:val="center"/>
        <w:rPr>
          <w:rFonts w:ascii="宋体" w:hAnsi="宋体" w:cs="宋体"/>
          <w:b/>
          <w:sz w:val="32"/>
          <w:szCs w:val="32"/>
        </w:rPr>
      </w:pPr>
    </w:p>
    <w:p w14:paraId="6B5921BE">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五</w:t>
      </w:r>
      <w:r>
        <w:rPr>
          <w:rFonts w:hint="eastAsia" w:ascii="宋体" w:hAnsi="宋体" w:cs="宋体"/>
          <w:b/>
          <w:sz w:val="32"/>
          <w:szCs w:val="32"/>
        </w:rPr>
        <w:t>年</w:t>
      </w:r>
      <w:r>
        <w:rPr>
          <w:rFonts w:hint="eastAsia" w:ascii="宋体" w:hAnsi="宋体" w:cs="宋体"/>
          <w:b/>
          <w:sz w:val="32"/>
          <w:szCs w:val="32"/>
          <w:lang w:val="en-US" w:eastAsia="zh-CN"/>
        </w:rPr>
        <w:t>十一</w:t>
      </w:r>
      <w:r>
        <w:rPr>
          <w:rFonts w:hint="eastAsia" w:ascii="宋体" w:hAnsi="宋体" w:cs="宋体"/>
          <w:b/>
          <w:sz w:val="32"/>
          <w:szCs w:val="32"/>
        </w:rPr>
        <w:t>月</w:t>
      </w:r>
    </w:p>
    <w:bookmarkEnd w:id="8"/>
    <w:p w14:paraId="361264D9">
      <w:pPr>
        <w:pStyle w:val="19"/>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14:paraId="1A5F57E4">
      <w:pPr>
        <w:pStyle w:val="18"/>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35404FBE">
      <w:pPr>
        <w:spacing w:line="600" w:lineRule="auto"/>
        <w:jc w:val="center"/>
        <w:rPr>
          <w:rFonts w:ascii="宋体" w:hAnsi="宋体"/>
          <w:sz w:val="44"/>
          <w:szCs w:val="44"/>
        </w:rPr>
      </w:pPr>
    </w:p>
    <w:p w14:paraId="636D4CD1">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14:paraId="5342AAEC">
      <w:pPr>
        <w:pStyle w:val="18"/>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14:paraId="53183327">
      <w:pPr>
        <w:pStyle w:val="18"/>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1E07E206">
      <w:pPr>
        <w:pStyle w:val="18"/>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5AEB2669">
      <w:pPr>
        <w:pStyle w:val="18"/>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32</w:t>
      </w:r>
      <w:r>
        <w:rPr>
          <w:sz w:val="28"/>
          <w:szCs w:val="28"/>
        </w:rPr>
        <w:fldChar w:fldCharType="end"/>
      </w:r>
      <w:r>
        <w:rPr>
          <w:sz w:val="28"/>
          <w:szCs w:val="28"/>
        </w:rPr>
        <w:fldChar w:fldCharType="end"/>
      </w:r>
    </w:p>
    <w:p w14:paraId="51AA3BDD">
      <w:pPr>
        <w:pStyle w:val="18"/>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32</w:t>
      </w:r>
      <w:r>
        <w:rPr>
          <w:sz w:val="28"/>
          <w:szCs w:val="28"/>
        </w:rPr>
        <w:fldChar w:fldCharType="end"/>
      </w:r>
      <w:r>
        <w:rPr>
          <w:sz w:val="28"/>
          <w:szCs w:val="28"/>
        </w:rPr>
        <w:fldChar w:fldCharType="end"/>
      </w:r>
    </w:p>
    <w:p w14:paraId="36BA9CF1">
      <w:pPr>
        <w:pStyle w:val="18"/>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35</w:t>
      </w:r>
      <w:r>
        <w:rPr>
          <w:sz w:val="28"/>
          <w:szCs w:val="28"/>
        </w:rPr>
        <w:fldChar w:fldCharType="end"/>
      </w:r>
      <w:r>
        <w:rPr>
          <w:sz w:val="28"/>
          <w:szCs w:val="28"/>
        </w:rPr>
        <w:fldChar w:fldCharType="end"/>
      </w:r>
    </w:p>
    <w:p w14:paraId="355FE50D">
      <w:pPr>
        <w:pStyle w:val="18"/>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36</w:t>
      </w:r>
      <w:r>
        <w:rPr>
          <w:sz w:val="28"/>
          <w:szCs w:val="28"/>
        </w:rPr>
        <w:fldChar w:fldCharType="end"/>
      </w:r>
      <w:r>
        <w:rPr>
          <w:sz w:val="28"/>
          <w:szCs w:val="28"/>
        </w:rPr>
        <w:fldChar w:fldCharType="end"/>
      </w:r>
    </w:p>
    <w:p w14:paraId="00904BC5">
      <w:pPr>
        <w:pStyle w:val="18"/>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47</w:t>
      </w:r>
      <w:r>
        <w:rPr>
          <w:sz w:val="28"/>
          <w:szCs w:val="28"/>
        </w:rPr>
        <w:fldChar w:fldCharType="end"/>
      </w:r>
      <w:r>
        <w:rPr>
          <w:sz w:val="28"/>
          <w:szCs w:val="28"/>
        </w:rPr>
        <w:fldChar w:fldCharType="end"/>
      </w:r>
    </w:p>
    <w:p w14:paraId="0A26B01A">
      <w:pPr>
        <w:pStyle w:val="18"/>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14:paraId="6D0FE5BC">
      <w:pPr>
        <w:tabs>
          <w:tab w:val="left" w:pos="7605"/>
        </w:tabs>
        <w:rPr>
          <w:sz w:val="24"/>
          <w:szCs w:val="24"/>
        </w:rPr>
      </w:pPr>
      <w:r>
        <w:rPr>
          <w:rFonts w:hint="eastAsia"/>
          <w:sz w:val="24"/>
          <w:szCs w:val="24"/>
        </w:rPr>
        <w:tab/>
      </w:r>
    </w:p>
    <w:p w14:paraId="1751882C">
      <w:pPr>
        <w:rPr>
          <w:sz w:val="24"/>
          <w:szCs w:val="24"/>
        </w:rPr>
      </w:pPr>
    </w:p>
    <w:p w14:paraId="6DD92246">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259646C2">
      <w:pPr>
        <w:pStyle w:val="18"/>
        <w:tabs>
          <w:tab w:val="right" w:leader="dot" w:pos="8829"/>
        </w:tabs>
        <w:spacing w:line="360" w:lineRule="auto"/>
        <w:jc w:val="center"/>
        <w:outlineLvl w:val="0"/>
        <w:rPr>
          <w:rFonts w:ascii="宋体" w:hAnsi="宋体"/>
          <w:sz w:val="24"/>
        </w:rPr>
      </w:pPr>
      <w:bookmarkStart w:id="9" w:name="_Toc4933"/>
      <w:bookmarkStart w:id="10" w:name="_Toc31446"/>
      <w:bookmarkStart w:id="11" w:name="_Toc14990"/>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OLE_LINK15"/>
      <w:bookmarkStart w:id="13" w:name="_Toc246928892"/>
      <w:bookmarkStart w:id="14" w:name="OLE_LINK6"/>
      <w:bookmarkStart w:id="15" w:name="OLE_LINK5"/>
    </w:p>
    <w:p w14:paraId="0EA06D2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项目概况</w:t>
      </w:r>
    </w:p>
    <w:p w14:paraId="766C246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非遗微短剧策划执行服务项目采购项目的潜在供应商应在CA锁自行下载获取采购文件，并于 2025年11月20日 13时30分 （北京时间）前提交响应文件。</w:t>
      </w:r>
    </w:p>
    <w:p w14:paraId="4F5776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一、项目基本情况</w:t>
      </w:r>
    </w:p>
    <w:p w14:paraId="2D8382C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项目编号：HYDZB-2025-091</w:t>
      </w:r>
    </w:p>
    <w:p w14:paraId="67FA2E3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项目名称：非遗微短剧策划执行服务项目</w:t>
      </w:r>
    </w:p>
    <w:p w14:paraId="407603C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14:paraId="076C36A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预算金额：800,000.00元</w:t>
      </w:r>
    </w:p>
    <w:p w14:paraId="554421C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2A1A0DF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合同包1(榆林市文化和旅游局非遗微短剧策划执行服务项目):</w:t>
      </w:r>
    </w:p>
    <w:p w14:paraId="373159D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合同包预算金额：800,000.00元</w:t>
      </w:r>
    </w:p>
    <w:p w14:paraId="10AB93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合同包最高限价：800,000.00元</w:t>
      </w:r>
    </w:p>
    <w:tbl>
      <w:tblPr>
        <w:tblStyle w:val="22"/>
        <w:tblW w:w="97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14"/>
        <w:gridCol w:w="1672"/>
        <w:gridCol w:w="2743"/>
        <w:gridCol w:w="1362"/>
        <w:gridCol w:w="1886"/>
        <w:gridCol w:w="1440"/>
      </w:tblGrid>
      <w:tr w14:paraId="0826E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6" w:hRule="atLeast"/>
          <w:tblHeader/>
        </w:trPr>
        <w:tc>
          <w:tcPr>
            <w:tcW w:w="6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D199F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4FE83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7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04ADD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3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7B791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8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0F4B8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274FE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r>
      <w:tr w14:paraId="0C05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81"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AFF32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0D423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音像制作服务</w:t>
            </w:r>
          </w:p>
        </w:tc>
        <w:tc>
          <w:tcPr>
            <w:tcW w:w="27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2E9E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榆林市文化和旅游局非遗微短剧策划执行服务项目</w:t>
            </w:r>
          </w:p>
        </w:tc>
        <w:tc>
          <w:tcPr>
            <w:tcW w:w="13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D9D00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8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03AB4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228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800,000.00</w:t>
            </w:r>
          </w:p>
        </w:tc>
      </w:tr>
    </w:tbl>
    <w:p w14:paraId="24EB809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73F75BA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合同履行期限：无</w:t>
      </w:r>
    </w:p>
    <w:p w14:paraId="4FE7418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二、申请人的资格要求：</w:t>
      </w:r>
    </w:p>
    <w:p w14:paraId="5535F62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75077E3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385ED5C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合同包1(榆林市文化和旅游局非遗微短剧策划执行服务项目)落实政府采购政策需满足的资格要求如下:</w:t>
      </w:r>
    </w:p>
    <w:p w14:paraId="65166D8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（9）《陕西省财政厅中国人民银行西安分行关于深人推进政府采购信用融资业务的通知》（陕财办采〔2023]5号）。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（10）其他需要落实的政府采购政策。</w:t>
      </w:r>
    </w:p>
    <w:p w14:paraId="56ACDA2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6265808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合同包1(榆林市文化和旅游局非遗微短剧策划执行服务项目)特定资格要求如下:</w:t>
      </w:r>
    </w:p>
    <w:p w14:paraId="2B48D35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  1、投标人须具备独立承担民事责任能力的法人或其他组织，提供合法有效的统一社会信用代码的营业执照；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5、参加政府采购活动前3年内在经营活动中没有重大违法记录的书面声明（格式自拟，加盖投标人公章）；</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7、投标保证金用投标信用承诺书代替（提供投标信用承诺书）；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8、本项目专门面向小微企业采购（须提供小微企业声明函）；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9、本项目不接受联合体投标，单位负责人为同一人或者存在直接控股、管理关系的不同投标人，不得参加同一合同项下的政府采购活动（须提供非联合体投标声明函）;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  10、投标人需具有广播电视制作经营许可证。</w:t>
      </w:r>
    </w:p>
    <w:p w14:paraId="2905160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三、获取采购文件</w:t>
      </w:r>
    </w:p>
    <w:p w14:paraId="378719E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2025年11月17日 至 2025年11月19日 ，每天上午 08:00:00 至 12:00:00 ，下午 12:00:00 至 18:00:00 （北京时间）</w:t>
      </w:r>
    </w:p>
    <w:p w14:paraId="19072CE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途径：CA锁自行下载</w:t>
      </w:r>
    </w:p>
    <w:p w14:paraId="76CFD4F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14:paraId="66AEC46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 0元</w:t>
      </w:r>
    </w:p>
    <w:p w14:paraId="034E72F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四、响应文件提交</w:t>
      </w:r>
    </w:p>
    <w:p w14:paraId="3BFC00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 2025年11月20日 13时30分00秒 （北京时间）</w:t>
      </w:r>
    </w:p>
    <w:p w14:paraId="37107EF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地点：网上递交</w:t>
      </w:r>
    </w:p>
    <w:p w14:paraId="1051593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五、开启</w:t>
      </w:r>
    </w:p>
    <w:p w14:paraId="4E4D5BC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2025年11月20日 13时30分00秒 （北京时间）</w:t>
      </w:r>
    </w:p>
    <w:p w14:paraId="5715137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地点：榆林市公共资源交易中心10楼开标3室</w:t>
      </w:r>
    </w:p>
    <w:p w14:paraId="2D94338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六、公告期限</w:t>
      </w:r>
    </w:p>
    <w:p w14:paraId="1B28710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14:paraId="704D9EF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七、其他补充事宜</w:t>
      </w:r>
    </w:p>
    <w:p w14:paraId="1C218D6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14:paraId="7C5EEE8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2.本项目采用电子化招投标的方式，供应商使用数字认证证书(CA锁)对投标文件进行签章、加密、递交及开标时解密等相关招投标事宜。</w:t>
      </w:r>
    </w:p>
    <w:p w14:paraId="215FCCC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3.电子投标文件制作软件技术支持热线：400-998-0000，CA锁购买：榆林市民大厦3楼E18、E19窗口,电话：0912-3452148。</w:t>
      </w:r>
    </w:p>
    <w:p w14:paraId="18937F4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35EE69A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1B5245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6.请各供应商按照陕西省财政厅《关于政府采购投标供应商注册登记有关事项的通知》要求，通过陕西省政府采购 (http://www.ccgp-shaanxi.gov.cn/) 注册登记加入陕西省政府采购投标供应商库。</w:t>
      </w:r>
    </w:p>
    <w:p w14:paraId="2E9A569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5"/>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14:paraId="59B08E1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4DCEFF4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名称：榆林市文化和旅游局</w:t>
      </w:r>
    </w:p>
    <w:p w14:paraId="0AA98C0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地址：陕西省榆林市榆阳区青山路1号</w:t>
      </w:r>
    </w:p>
    <w:p w14:paraId="6F6E6F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联系方式：0912-3525682</w:t>
      </w:r>
    </w:p>
    <w:p w14:paraId="6A1BB0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636C23D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名称：榆林市恒易达工程项目管理有限公司</w:t>
      </w:r>
    </w:p>
    <w:p w14:paraId="3E002A6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地址：榆林市高新区安居东路58号（金叶小区一楼商铺）</w:t>
      </w:r>
    </w:p>
    <w:p w14:paraId="49BA77F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联系方式：0912-3448777</w:t>
      </w:r>
    </w:p>
    <w:p w14:paraId="002FD9B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7C8796B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项目联系人：纪瑜</w:t>
      </w:r>
    </w:p>
    <w:p w14:paraId="3BBF8FC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电话：15619910006</w:t>
      </w:r>
    </w:p>
    <w:p w14:paraId="2DDB651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榆林市恒易达工程项目管理有限公司</w:t>
      </w:r>
    </w:p>
    <w:p w14:paraId="733E4A0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2025年11月16日</w:t>
      </w:r>
    </w:p>
    <w:p w14:paraId="2FD666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4A1A56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7195DD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67F17E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10E8E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529466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3DC37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092FAB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191AF5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217E83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63ABDD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14:paraId="2BA7CB1F">
      <w:pPr>
        <w:pStyle w:val="3"/>
        <w:numPr>
          <w:ilvl w:val="0"/>
          <w:numId w:val="1"/>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27563"/>
      <w:bookmarkStart w:id="17" w:name="_Toc17537"/>
      <w:bookmarkStart w:id="18" w:name="_Toc21055"/>
      <w:r>
        <w:rPr>
          <w:rFonts w:hint="eastAsia" w:ascii="宋体" w:hAnsi="宋体" w:cs="宋体"/>
          <w:sz w:val="36"/>
          <w:szCs w:val="36"/>
        </w:rPr>
        <w:t>供应商须知前附表</w:t>
      </w:r>
      <w:bookmarkEnd w:id="16"/>
      <w:bookmarkEnd w:id="17"/>
      <w:bookmarkEnd w:id="18"/>
    </w:p>
    <w:tbl>
      <w:tblPr>
        <w:tblStyle w:val="22"/>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14:paraId="3C9D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179253EE">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14:paraId="710C148F">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403D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14:paraId="1C05EA55">
            <w:pPr>
              <w:numPr>
                <w:ilvl w:val="0"/>
                <w:numId w:val="2"/>
              </w:numPr>
              <w:spacing w:line="360" w:lineRule="auto"/>
              <w:jc w:val="center"/>
              <w:rPr>
                <w:rFonts w:ascii="宋体" w:hAnsi="宋体" w:cs="宋体"/>
                <w:sz w:val="24"/>
                <w:szCs w:val="24"/>
              </w:rPr>
            </w:pPr>
          </w:p>
        </w:tc>
        <w:tc>
          <w:tcPr>
            <w:tcW w:w="9041" w:type="dxa"/>
            <w:noWrap w:val="0"/>
            <w:vAlign w:val="center"/>
          </w:tcPr>
          <w:p w14:paraId="3DA80F4B">
            <w:pPr>
              <w:adjustRightInd w:val="0"/>
              <w:snapToGrid w:val="0"/>
              <w:spacing w:line="450" w:lineRule="exact"/>
              <w:jc w:val="left"/>
              <w:rPr>
                <w:rFonts w:hint="eastAsia"/>
                <w:sz w:val="24"/>
                <w:szCs w:val="22"/>
                <w:lang w:eastAsia="zh-CN"/>
              </w:rPr>
            </w:pPr>
            <w:r>
              <w:rPr>
                <w:rFonts w:hint="eastAsia" w:ascii="宋体" w:hAnsi="宋体" w:cs="宋体"/>
                <w:sz w:val="24"/>
                <w:szCs w:val="24"/>
              </w:rPr>
              <w:t>采购项目名称：</w:t>
            </w:r>
            <w:r>
              <w:rPr>
                <w:rFonts w:hint="eastAsia"/>
                <w:sz w:val="24"/>
                <w:szCs w:val="22"/>
                <w:lang w:eastAsia="zh-CN"/>
              </w:rPr>
              <w:t>榆林市文化和旅游局非遗微短剧策划执行服务项目</w:t>
            </w:r>
          </w:p>
          <w:p w14:paraId="48F96986">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HYDZB-2025-091</w:t>
            </w:r>
          </w:p>
        </w:tc>
      </w:tr>
      <w:tr w14:paraId="5157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14:paraId="326CC579">
            <w:pPr>
              <w:numPr>
                <w:ilvl w:val="0"/>
                <w:numId w:val="2"/>
              </w:numPr>
              <w:spacing w:line="360" w:lineRule="auto"/>
              <w:jc w:val="center"/>
              <w:rPr>
                <w:rFonts w:ascii="宋体" w:hAnsi="宋体" w:cs="宋体"/>
                <w:sz w:val="24"/>
                <w:szCs w:val="24"/>
              </w:rPr>
            </w:pPr>
          </w:p>
        </w:tc>
        <w:tc>
          <w:tcPr>
            <w:tcW w:w="9041" w:type="dxa"/>
            <w:noWrap w:val="0"/>
            <w:vAlign w:val="center"/>
          </w:tcPr>
          <w:p w14:paraId="4BDEE1FE">
            <w:pPr>
              <w:spacing w:line="360" w:lineRule="auto"/>
              <w:rPr>
                <w:rFonts w:ascii="宋体" w:hAnsi="宋体" w:cs="宋体"/>
                <w:sz w:val="24"/>
                <w:szCs w:val="24"/>
              </w:rPr>
            </w:pPr>
            <w:r>
              <w:rPr>
                <w:rFonts w:hint="eastAsia" w:ascii="宋体" w:hAnsi="宋体" w:cs="宋体"/>
                <w:sz w:val="24"/>
                <w:szCs w:val="24"/>
              </w:rPr>
              <w:t>项目性质：财政拨款</w:t>
            </w:r>
          </w:p>
          <w:p w14:paraId="0616468C">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w:t>
            </w:r>
            <w:r>
              <w:rPr>
                <w:rFonts w:hint="eastAsia" w:ascii="宋体" w:hAnsi="宋体" w:eastAsia="宋体" w:cs="宋体"/>
                <w:i w:val="0"/>
                <w:iCs w:val="0"/>
                <w:caps w:val="0"/>
                <w:color w:val="333333"/>
                <w:spacing w:val="0"/>
                <w:sz w:val="24"/>
                <w:szCs w:val="24"/>
                <w:shd w:val="clear" w:fill="FFFFFF"/>
                <w:vertAlign w:val="baseline"/>
              </w:rPr>
              <w:t>800,000.00</w:t>
            </w:r>
            <w:r>
              <w:rPr>
                <w:rFonts w:hint="eastAsia" w:ascii="宋体" w:hAnsi="宋体" w:cs="宋体"/>
                <w:sz w:val="24"/>
                <w:szCs w:val="24"/>
              </w:rPr>
              <w:t>元</w:t>
            </w:r>
          </w:p>
          <w:p w14:paraId="74706147">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14:paraId="7DF8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63D3CE68">
            <w:pPr>
              <w:numPr>
                <w:ilvl w:val="0"/>
                <w:numId w:val="2"/>
              </w:numPr>
              <w:spacing w:line="360" w:lineRule="auto"/>
              <w:jc w:val="center"/>
              <w:rPr>
                <w:rFonts w:ascii="宋体" w:hAnsi="宋体" w:cs="宋体"/>
                <w:sz w:val="24"/>
                <w:szCs w:val="24"/>
              </w:rPr>
            </w:pPr>
          </w:p>
        </w:tc>
        <w:tc>
          <w:tcPr>
            <w:tcW w:w="9041" w:type="dxa"/>
            <w:noWrap w:val="0"/>
            <w:vAlign w:val="center"/>
          </w:tcPr>
          <w:p w14:paraId="0CFF04EB">
            <w:pPr>
              <w:spacing w:line="360" w:lineRule="auto"/>
              <w:ind w:left="960" w:hanging="960" w:hangingChars="400"/>
              <w:rPr>
                <w:rFonts w:hint="eastAsia" w:ascii="宋体" w:hAnsi="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榆林市文化和旅游局</w:t>
            </w:r>
          </w:p>
          <w:p w14:paraId="6F17CC3D">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榆林市恒易达工程项目管理有限公司</w:t>
            </w:r>
          </w:p>
        </w:tc>
      </w:tr>
      <w:tr w14:paraId="6825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69E44F17">
            <w:pPr>
              <w:numPr>
                <w:ilvl w:val="0"/>
                <w:numId w:val="2"/>
              </w:numPr>
              <w:spacing w:line="360" w:lineRule="auto"/>
              <w:jc w:val="center"/>
              <w:rPr>
                <w:rFonts w:ascii="宋体" w:hAnsi="宋体" w:cs="宋体"/>
                <w:sz w:val="24"/>
                <w:szCs w:val="24"/>
              </w:rPr>
            </w:pPr>
          </w:p>
        </w:tc>
        <w:tc>
          <w:tcPr>
            <w:tcW w:w="9041" w:type="dxa"/>
            <w:noWrap w:val="0"/>
            <w:vAlign w:val="center"/>
          </w:tcPr>
          <w:p w14:paraId="15C66BA4">
            <w:pPr>
              <w:spacing w:line="360" w:lineRule="auto"/>
              <w:rPr>
                <w:rFonts w:ascii="宋体" w:hAnsi="宋体" w:cs="宋体"/>
                <w:sz w:val="24"/>
                <w:szCs w:val="24"/>
              </w:rPr>
            </w:pPr>
            <w:r>
              <w:rPr>
                <w:rFonts w:hint="eastAsia" w:ascii="宋体" w:hAnsi="宋体" w:cs="宋体"/>
                <w:sz w:val="24"/>
                <w:szCs w:val="24"/>
              </w:rPr>
              <w:t>采购内容具体见竞争性谈判文件第</w:t>
            </w:r>
            <w:r>
              <w:rPr>
                <w:rFonts w:hint="eastAsia" w:ascii="宋体" w:hAnsi="宋体" w:cs="宋体"/>
                <w:sz w:val="24"/>
                <w:szCs w:val="24"/>
                <w:lang w:val="en-US" w:eastAsia="zh-CN"/>
              </w:rPr>
              <w:t>六</w:t>
            </w:r>
            <w:r>
              <w:rPr>
                <w:rFonts w:hint="eastAsia" w:ascii="宋体" w:hAnsi="宋体" w:cs="宋体"/>
                <w:sz w:val="24"/>
                <w:szCs w:val="24"/>
              </w:rPr>
              <w:t>部分采购内容及要求</w:t>
            </w:r>
          </w:p>
          <w:p w14:paraId="0ED85F1E">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7C8E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14:paraId="73E30A8E">
            <w:pPr>
              <w:numPr>
                <w:ilvl w:val="0"/>
                <w:numId w:val="2"/>
              </w:numPr>
              <w:spacing w:line="360" w:lineRule="auto"/>
              <w:jc w:val="center"/>
              <w:rPr>
                <w:rFonts w:ascii="宋体" w:hAnsi="宋体" w:cs="宋体"/>
                <w:sz w:val="24"/>
                <w:szCs w:val="24"/>
              </w:rPr>
            </w:pPr>
          </w:p>
        </w:tc>
        <w:tc>
          <w:tcPr>
            <w:tcW w:w="9041" w:type="dxa"/>
            <w:noWrap w:val="0"/>
            <w:vAlign w:val="center"/>
          </w:tcPr>
          <w:p w14:paraId="53F25421">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14:paraId="1F42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14:paraId="7CF57552">
            <w:pPr>
              <w:numPr>
                <w:ilvl w:val="0"/>
                <w:numId w:val="2"/>
              </w:numPr>
              <w:spacing w:line="360" w:lineRule="auto"/>
              <w:jc w:val="center"/>
              <w:rPr>
                <w:rFonts w:ascii="宋体" w:hAnsi="宋体" w:cs="宋体"/>
                <w:sz w:val="24"/>
                <w:szCs w:val="24"/>
              </w:rPr>
            </w:pPr>
          </w:p>
        </w:tc>
        <w:tc>
          <w:tcPr>
            <w:tcW w:w="9041" w:type="dxa"/>
            <w:noWrap w:val="0"/>
            <w:vAlign w:val="center"/>
          </w:tcPr>
          <w:p w14:paraId="307201EF">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14:paraId="28BCB889">
            <w:pPr>
              <w:spacing w:line="360" w:lineRule="auto"/>
              <w:rPr>
                <w:rFonts w:hint="eastAsia" w:ascii="宋体" w:hAnsi="宋体" w:cs="宋体"/>
                <w:sz w:val="24"/>
                <w:szCs w:val="24"/>
              </w:rPr>
            </w:pPr>
            <w:r>
              <w:rPr>
                <w:rFonts w:hint="eastAsia" w:ascii="宋体" w:hAnsi="宋体" w:cs="宋体"/>
                <w:sz w:val="24"/>
                <w:szCs w:val="24"/>
              </w:rPr>
              <w:t>竞争性谈判响应文件递交截止时间</w:t>
            </w:r>
            <w:r>
              <w:rPr>
                <w:rFonts w:hint="eastAsia" w:ascii="宋体" w:hAnsi="宋体" w:cs="宋体"/>
                <w:color w:val="auto"/>
                <w:sz w:val="24"/>
                <w:szCs w:val="24"/>
              </w:rPr>
              <w:t>：</w:t>
            </w:r>
            <w:r>
              <w:rPr>
                <w:rFonts w:hint="eastAsia" w:ascii="宋体" w:hAnsi="宋体" w:cs="宋体"/>
                <w:sz w:val="24"/>
                <w:szCs w:val="24"/>
              </w:rPr>
              <w:t xml:space="preserve"> 2025年11月20日 13时30分</w:t>
            </w:r>
          </w:p>
          <w:p w14:paraId="498E0935">
            <w:pPr>
              <w:spacing w:line="360" w:lineRule="auto"/>
              <w:rPr>
                <w:rFonts w:hint="eastAsia" w:ascii="宋体" w:hAnsi="宋体" w:cs="宋体"/>
                <w:sz w:val="24"/>
                <w:szCs w:val="24"/>
              </w:rPr>
            </w:pPr>
            <w:r>
              <w:rPr>
                <w:rFonts w:hint="eastAsia" w:ascii="宋体" w:hAnsi="宋体" w:cs="宋体"/>
                <w:sz w:val="24"/>
                <w:szCs w:val="24"/>
              </w:rPr>
              <w:t>谈判时间：2025年11月20日 13时30分</w:t>
            </w:r>
          </w:p>
          <w:p w14:paraId="277A25CC">
            <w:pPr>
              <w:spacing w:line="360" w:lineRule="auto"/>
              <w:rPr>
                <w:rFonts w:hint="eastAsia" w:ascii="宋体" w:hAnsi="宋体" w:eastAsia="宋体" w:cs="宋体"/>
                <w:sz w:val="24"/>
                <w:szCs w:val="24"/>
                <w:u w:val="single"/>
                <w:lang w:val="en-US" w:eastAsia="zh-CN"/>
              </w:rPr>
            </w:pPr>
            <w:r>
              <w:rPr>
                <w:rFonts w:hint="eastAsia" w:ascii="宋体" w:hAnsi="宋体" w:cs="宋体"/>
                <w:sz w:val="24"/>
                <w:szCs w:val="24"/>
              </w:rPr>
              <w:t>谈判地点：榆林市公共资源交易中心10楼开标3室</w:t>
            </w:r>
          </w:p>
        </w:tc>
      </w:tr>
      <w:tr w14:paraId="1406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3CA34997">
            <w:pPr>
              <w:numPr>
                <w:ilvl w:val="0"/>
                <w:numId w:val="2"/>
              </w:numPr>
              <w:spacing w:line="360" w:lineRule="auto"/>
              <w:jc w:val="center"/>
              <w:rPr>
                <w:rFonts w:ascii="宋体" w:hAnsi="宋体" w:cs="宋体"/>
                <w:sz w:val="24"/>
                <w:szCs w:val="24"/>
              </w:rPr>
            </w:pPr>
          </w:p>
        </w:tc>
        <w:tc>
          <w:tcPr>
            <w:tcW w:w="9041" w:type="dxa"/>
            <w:noWrap w:val="0"/>
            <w:vAlign w:val="center"/>
          </w:tcPr>
          <w:p w14:paraId="3D3D6CA4">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420D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44BF34AD">
            <w:pPr>
              <w:numPr>
                <w:ilvl w:val="0"/>
                <w:numId w:val="2"/>
              </w:numPr>
              <w:spacing w:line="360" w:lineRule="auto"/>
              <w:jc w:val="center"/>
              <w:rPr>
                <w:rFonts w:ascii="宋体" w:hAnsi="宋体" w:cs="宋体"/>
                <w:sz w:val="24"/>
                <w:szCs w:val="24"/>
              </w:rPr>
            </w:pPr>
          </w:p>
        </w:tc>
        <w:tc>
          <w:tcPr>
            <w:tcW w:w="9041" w:type="dxa"/>
            <w:noWrap w:val="0"/>
            <w:vAlign w:val="center"/>
          </w:tcPr>
          <w:p w14:paraId="425929F3">
            <w:pPr>
              <w:spacing w:line="360" w:lineRule="auto"/>
              <w:rPr>
                <w:rFonts w:ascii="宋体" w:hAnsi="宋体" w:cs="宋体"/>
                <w:sz w:val="24"/>
                <w:szCs w:val="24"/>
              </w:rPr>
            </w:pPr>
            <w:r>
              <w:rPr>
                <w:rFonts w:hint="eastAsia" w:ascii="宋体" w:hAnsi="宋体" w:cs="宋体"/>
                <w:sz w:val="24"/>
                <w:szCs w:val="24"/>
              </w:rPr>
              <w:t>不允许提供备选方案。</w:t>
            </w:r>
          </w:p>
        </w:tc>
      </w:tr>
      <w:tr w14:paraId="3340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14:paraId="708C25D0">
            <w:pPr>
              <w:numPr>
                <w:ilvl w:val="0"/>
                <w:numId w:val="2"/>
              </w:numPr>
              <w:spacing w:line="360" w:lineRule="auto"/>
              <w:jc w:val="center"/>
              <w:rPr>
                <w:rFonts w:ascii="宋体" w:hAnsi="宋体" w:cs="宋体"/>
                <w:sz w:val="24"/>
                <w:szCs w:val="24"/>
              </w:rPr>
            </w:pPr>
          </w:p>
        </w:tc>
        <w:tc>
          <w:tcPr>
            <w:tcW w:w="9041" w:type="dxa"/>
            <w:noWrap w:val="0"/>
            <w:vAlign w:val="center"/>
          </w:tcPr>
          <w:p w14:paraId="3948B861">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2B50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2E5668CF">
            <w:pPr>
              <w:numPr>
                <w:ilvl w:val="0"/>
                <w:numId w:val="2"/>
              </w:numPr>
              <w:spacing w:line="360" w:lineRule="auto"/>
              <w:rPr>
                <w:rFonts w:ascii="宋体" w:hAnsi="宋体" w:cs="宋体"/>
                <w:color w:val="auto"/>
                <w:sz w:val="24"/>
                <w:szCs w:val="24"/>
              </w:rPr>
            </w:pPr>
          </w:p>
        </w:tc>
        <w:tc>
          <w:tcPr>
            <w:tcW w:w="9041" w:type="dxa"/>
            <w:noWrap w:val="0"/>
            <w:vAlign w:val="center"/>
          </w:tcPr>
          <w:p w14:paraId="6C7E19E5">
            <w:pPr>
              <w:spacing w:line="360" w:lineRule="auto"/>
              <w:rPr>
                <w:rFonts w:hint="default" w:eastAsia="宋体"/>
                <w:color w:val="auto"/>
                <w:lang w:val="en-US" w:eastAsia="zh-CN"/>
              </w:rPr>
            </w:pPr>
            <w:r>
              <w:rPr>
                <w:rFonts w:hint="eastAsia" w:ascii="宋体" w:hAnsi="宋体" w:cs="宋体"/>
                <w:color w:val="auto"/>
                <w:sz w:val="24"/>
                <w:szCs w:val="24"/>
                <w:lang w:val="en-US" w:eastAsia="zh-CN"/>
              </w:rPr>
              <w:t>服务</w:t>
            </w:r>
            <w:r>
              <w:rPr>
                <w:rFonts w:hint="eastAsia" w:ascii="宋体" w:hAnsi="宋体" w:cs="宋体"/>
                <w:color w:val="auto"/>
                <w:sz w:val="24"/>
                <w:szCs w:val="24"/>
              </w:rPr>
              <w:t>期：</w:t>
            </w:r>
            <w:r>
              <w:rPr>
                <w:rFonts w:hint="eastAsia" w:ascii="宋体" w:hAnsi="宋体" w:cs="宋体"/>
                <w:color w:val="auto"/>
                <w:sz w:val="24"/>
                <w:szCs w:val="24"/>
                <w:lang w:val="en-US" w:eastAsia="zh-CN"/>
              </w:rPr>
              <w:t>一年</w:t>
            </w:r>
          </w:p>
        </w:tc>
      </w:tr>
      <w:tr w14:paraId="0F29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68810876">
            <w:pPr>
              <w:numPr>
                <w:ilvl w:val="0"/>
                <w:numId w:val="2"/>
              </w:numPr>
              <w:spacing w:line="360" w:lineRule="auto"/>
              <w:rPr>
                <w:rFonts w:ascii="宋体" w:hAnsi="宋体" w:cs="宋体"/>
                <w:sz w:val="24"/>
                <w:szCs w:val="24"/>
              </w:rPr>
            </w:pPr>
          </w:p>
        </w:tc>
        <w:tc>
          <w:tcPr>
            <w:tcW w:w="9041" w:type="dxa"/>
            <w:noWrap w:val="0"/>
            <w:vAlign w:val="center"/>
          </w:tcPr>
          <w:p w14:paraId="1FFF8755">
            <w:pPr>
              <w:spacing w:line="360" w:lineRule="auto"/>
              <w:rPr>
                <w:rFonts w:ascii="宋体" w:hAnsi="宋体" w:cs="宋体"/>
                <w:sz w:val="24"/>
                <w:szCs w:val="24"/>
              </w:rPr>
            </w:pPr>
            <w:r>
              <w:rPr>
                <w:rFonts w:hint="eastAsia" w:ascii="宋体" w:hAnsi="宋体" w:cs="宋体"/>
                <w:sz w:val="24"/>
                <w:szCs w:val="24"/>
                <w:lang w:val="en-US" w:eastAsia="zh-CN"/>
              </w:rPr>
              <w:t>服务</w:t>
            </w:r>
            <w:r>
              <w:rPr>
                <w:rFonts w:hint="eastAsia" w:ascii="宋体" w:hAnsi="宋体" w:cs="宋体"/>
                <w:sz w:val="24"/>
                <w:szCs w:val="24"/>
              </w:rPr>
              <w:t>地点：采购人</w:t>
            </w:r>
            <w:r>
              <w:rPr>
                <w:rFonts w:hint="eastAsia" w:ascii="宋体" w:hAnsi="宋体" w:cs="宋体"/>
                <w:sz w:val="24"/>
              </w:rPr>
              <w:t>指定地点</w:t>
            </w:r>
          </w:p>
        </w:tc>
      </w:tr>
      <w:tr w14:paraId="4600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52" w:type="dxa"/>
            <w:noWrap w:val="0"/>
            <w:vAlign w:val="center"/>
          </w:tcPr>
          <w:p w14:paraId="68E01EE7">
            <w:pPr>
              <w:numPr>
                <w:ilvl w:val="0"/>
                <w:numId w:val="2"/>
              </w:numPr>
              <w:spacing w:line="360" w:lineRule="auto"/>
              <w:rPr>
                <w:rFonts w:ascii="宋体" w:hAnsi="宋体" w:cs="宋体"/>
                <w:sz w:val="24"/>
                <w:szCs w:val="24"/>
              </w:rPr>
            </w:pPr>
          </w:p>
        </w:tc>
        <w:tc>
          <w:tcPr>
            <w:tcW w:w="9041" w:type="dxa"/>
            <w:noWrap w:val="0"/>
            <w:vAlign w:val="center"/>
          </w:tcPr>
          <w:p w14:paraId="3D00C456">
            <w:pPr>
              <w:adjustRightInd w:val="0"/>
              <w:snapToGrid w:val="0"/>
              <w:spacing w:line="360" w:lineRule="auto"/>
              <w:jc w:val="left"/>
              <w:rPr>
                <w:rFonts w:hint="default"/>
                <w:lang w:val="en-US"/>
              </w:rPr>
            </w:pPr>
            <w:r>
              <w:rPr>
                <w:rFonts w:hint="eastAsia"/>
                <w:sz w:val="24"/>
                <w:szCs w:val="24"/>
              </w:rPr>
              <w:t>付款方式：</w:t>
            </w:r>
            <w:r>
              <w:rPr>
                <w:rFonts w:hint="eastAsia"/>
                <w:sz w:val="24"/>
                <w:szCs w:val="24"/>
                <w:lang w:val="en-US" w:eastAsia="zh-CN"/>
              </w:rPr>
              <w:t>合同签订后预付中标金额的40%，验收合格后一次性付清。</w:t>
            </w:r>
          </w:p>
        </w:tc>
      </w:tr>
      <w:tr w14:paraId="471D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14:paraId="7A087392">
            <w:pPr>
              <w:numPr>
                <w:ilvl w:val="0"/>
                <w:numId w:val="2"/>
              </w:numPr>
              <w:spacing w:line="360" w:lineRule="auto"/>
              <w:jc w:val="center"/>
              <w:rPr>
                <w:rFonts w:ascii="宋体" w:hAnsi="宋体" w:cs="宋体"/>
                <w:sz w:val="24"/>
                <w:szCs w:val="24"/>
              </w:rPr>
            </w:pPr>
          </w:p>
        </w:tc>
        <w:tc>
          <w:tcPr>
            <w:tcW w:w="9041" w:type="dxa"/>
            <w:noWrap w:val="0"/>
            <w:vAlign w:val="center"/>
          </w:tcPr>
          <w:p w14:paraId="1210A17E">
            <w:pPr>
              <w:spacing w:line="360" w:lineRule="auto"/>
            </w:pPr>
            <w:r>
              <w:rPr>
                <w:rFonts w:hint="default"/>
                <w:sz w:val="24"/>
                <w:szCs w:val="22"/>
              </w:rPr>
              <w:t>投标保证金可用投标信用承诺书代替（提供投标信用承诺书）；</w:t>
            </w:r>
          </w:p>
        </w:tc>
      </w:tr>
      <w:tr w14:paraId="05E5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14:paraId="15CCF76D">
            <w:pPr>
              <w:numPr>
                <w:ilvl w:val="0"/>
                <w:numId w:val="2"/>
              </w:numPr>
              <w:spacing w:line="360" w:lineRule="auto"/>
              <w:jc w:val="center"/>
              <w:rPr>
                <w:rFonts w:ascii="宋体" w:hAnsi="宋体" w:cs="宋体"/>
                <w:sz w:val="24"/>
                <w:szCs w:val="24"/>
              </w:rPr>
            </w:pPr>
          </w:p>
        </w:tc>
        <w:tc>
          <w:tcPr>
            <w:tcW w:w="9041" w:type="dxa"/>
            <w:noWrap w:val="0"/>
            <w:vAlign w:val="center"/>
          </w:tcPr>
          <w:p w14:paraId="337B8B92">
            <w:pPr>
              <w:spacing w:line="360" w:lineRule="auto"/>
              <w:rPr>
                <w:rFonts w:ascii="宋体" w:hAnsi="宋体" w:cs="宋体"/>
                <w:sz w:val="24"/>
                <w:szCs w:val="24"/>
              </w:rPr>
            </w:pPr>
            <w:r>
              <w:rPr>
                <w:rFonts w:hint="eastAsia" w:ascii="宋体" w:hAnsi="宋体" w:cs="宋体"/>
                <w:sz w:val="24"/>
                <w:szCs w:val="24"/>
              </w:rPr>
              <w:t>谈判有效期：</w:t>
            </w:r>
            <w:bookmarkStart w:id="19" w:name="OLE_LINK10"/>
            <w:bookmarkStart w:id="20" w:name="OLE_LINK9"/>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14:paraId="0CF5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3E4A6094">
            <w:pPr>
              <w:numPr>
                <w:ilvl w:val="0"/>
                <w:numId w:val="2"/>
              </w:numPr>
              <w:spacing w:line="360" w:lineRule="auto"/>
              <w:jc w:val="center"/>
              <w:rPr>
                <w:rFonts w:ascii="宋体" w:hAnsi="宋体" w:cs="宋体"/>
                <w:sz w:val="24"/>
                <w:szCs w:val="24"/>
              </w:rPr>
            </w:pPr>
          </w:p>
        </w:tc>
        <w:tc>
          <w:tcPr>
            <w:tcW w:w="9041" w:type="dxa"/>
            <w:noWrap w:val="0"/>
            <w:vAlign w:val="center"/>
          </w:tcPr>
          <w:p w14:paraId="1E86175E">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14:paraId="7082F8EB">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14:paraId="393276C2">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3E3EF515">
            <w:pPr>
              <w:numPr>
                <w:ilvl w:val="0"/>
                <w:numId w:val="4"/>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65BA65F9">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2"/>
                <w:rFonts w:hint="eastAsia" w:ascii="思源宋体 CN Light" w:hAnsi="思源宋体 CN Light" w:eastAsia="思源宋体 CN Light" w:cs="思源宋体 CN Light"/>
                <w:color w:val="auto"/>
                <w:sz w:val="24"/>
                <w:szCs w:val="24"/>
              </w:rPr>
              <w:t>http://111.20.184.126:8081/BidOpeningHallCS/bidhall/default/login</w:t>
            </w:r>
            <w:r>
              <w:rPr>
                <w:rStyle w:val="3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0DD40332">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73727003">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1626C284">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07A7C1A5">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33239D78">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14:paraId="10B3E07B">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2A4375F4">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14:paraId="100D33FE">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028B88EB">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7B16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12274CC4">
            <w:pPr>
              <w:numPr>
                <w:ilvl w:val="0"/>
                <w:numId w:val="2"/>
              </w:numPr>
              <w:spacing w:line="360" w:lineRule="auto"/>
              <w:jc w:val="center"/>
              <w:rPr>
                <w:rFonts w:ascii="宋体" w:hAnsi="宋体" w:cs="宋体"/>
                <w:sz w:val="24"/>
                <w:szCs w:val="24"/>
              </w:rPr>
            </w:pPr>
          </w:p>
        </w:tc>
        <w:tc>
          <w:tcPr>
            <w:tcW w:w="9041" w:type="dxa"/>
            <w:noWrap w:val="0"/>
            <w:vAlign w:val="center"/>
          </w:tcPr>
          <w:p w14:paraId="42CC36F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14:paraId="3118C63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14:paraId="7CAD1064">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14:paraId="2632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01D2F06A">
            <w:pPr>
              <w:numPr>
                <w:ilvl w:val="0"/>
                <w:numId w:val="2"/>
              </w:numPr>
              <w:spacing w:line="360" w:lineRule="auto"/>
              <w:jc w:val="center"/>
              <w:rPr>
                <w:rFonts w:ascii="宋体" w:hAnsi="宋体" w:cs="宋体"/>
                <w:sz w:val="24"/>
                <w:szCs w:val="24"/>
              </w:rPr>
            </w:pPr>
          </w:p>
        </w:tc>
        <w:tc>
          <w:tcPr>
            <w:tcW w:w="9041" w:type="dxa"/>
            <w:noWrap w:val="0"/>
            <w:vAlign w:val="center"/>
          </w:tcPr>
          <w:p w14:paraId="1CC3F39B">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14:paraId="27ECFAA7">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14:paraId="64CC8500">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14:paraId="2113D5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合同包1特定资格要求如下:</w:t>
            </w:r>
          </w:p>
          <w:p w14:paraId="3FA400F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思源宋体 CN Light" w:hAnsi="思源宋体 CN Light" w:eastAsia="思源宋体 CN Light" w:cs="思源宋体 CN Light"/>
                <w:color w:val="auto"/>
                <w:kern w:val="2"/>
                <w:sz w:val="24"/>
                <w:szCs w:val="24"/>
                <w:lang w:val="en-US" w:eastAsia="zh-CN" w:bidi="ar-SA"/>
              </w:rPr>
            </w:pPr>
            <w:r>
              <w:rPr>
                <w:rFonts w:hint="eastAsia" w:ascii="宋体" w:hAnsi="宋体" w:cs="宋体"/>
                <w:b w:val="0"/>
                <w:bCs w:val="0"/>
                <w:color w:val="000000"/>
                <w:sz w:val="24"/>
                <w:szCs w:val="24"/>
              </w:rPr>
              <w:t> </w:t>
            </w:r>
            <w:r>
              <w:rPr>
                <w:rFonts w:hint="eastAsia" w:ascii="宋体" w:hAnsi="宋体" w:eastAsia="宋体" w:cs="宋体"/>
                <w:i w:val="0"/>
                <w:iCs w:val="0"/>
                <w:caps w:val="0"/>
                <w:color w:val="333333"/>
                <w:spacing w:val="0"/>
                <w:sz w:val="24"/>
                <w:szCs w:val="24"/>
                <w:shd w:val="clear" w:fill="FFFFFF"/>
                <w:vertAlign w:val="baseline"/>
              </w:rPr>
              <w:t> </w:t>
            </w:r>
            <w:r>
              <w:rPr>
                <w:rFonts w:hint="eastAsia" w:ascii="思源宋体 CN Light" w:hAnsi="思源宋体 CN Light" w:eastAsia="思源宋体 CN Light" w:cs="思源宋体 CN Light"/>
                <w:color w:val="auto"/>
                <w:kern w:val="2"/>
                <w:sz w:val="24"/>
                <w:szCs w:val="24"/>
                <w:lang w:val="en-US" w:eastAsia="zh-CN" w:bidi="ar-SA"/>
              </w:rPr>
              <w:t>1、投标人须具备独立承担民事责任能力的法人或其他组织，提供合法有效的统一社会信用代码的营业执照； </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5、参加政府采购活动前3年内在经营活动中没有重大违法记录的书面声明（格式自拟，加盖投标人公章）；</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7、投标保证金用投标信用承诺书代替（提供投标信用承诺书）；</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8、本项目专门面向小微企业采购（须提供小微企业声明函）；</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9、本项目不接受联合体投标，单位负责人为同一人或者存在直接控股、管理关系的不同投标人，不得参加同一合同项下的政府采购活动（须提供非联合体投标声明函）;</w:t>
            </w:r>
            <w:r>
              <w:rPr>
                <w:rFonts w:hint="eastAsia" w:ascii="思源宋体 CN Light" w:hAnsi="思源宋体 CN Light" w:eastAsia="思源宋体 CN Light" w:cs="思源宋体 CN Light"/>
                <w:color w:val="auto"/>
                <w:kern w:val="2"/>
                <w:sz w:val="24"/>
                <w:szCs w:val="24"/>
                <w:lang w:val="en-US" w:eastAsia="zh-CN" w:bidi="ar-SA"/>
              </w:rPr>
              <w:br w:type="textWrapping"/>
            </w:r>
            <w:r>
              <w:rPr>
                <w:rFonts w:hint="eastAsia" w:ascii="思源宋体 CN Light" w:hAnsi="思源宋体 CN Light" w:eastAsia="思源宋体 CN Light" w:cs="思源宋体 CN Light"/>
                <w:color w:val="auto"/>
                <w:kern w:val="2"/>
                <w:sz w:val="24"/>
                <w:szCs w:val="24"/>
                <w:lang w:val="en-US" w:eastAsia="zh-CN" w:bidi="ar-SA"/>
              </w:rPr>
              <w:t>  10、投标人需具有广播电视制作经营许可证。</w:t>
            </w:r>
          </w:p>
          <w:p w14:paraId="15B8599B">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14:paraId="316E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5D998416">
            <w:pPr>
              <w:numPr>
                <w:ilvl w:val="0"/>
                <w:numId w:val="2"/>
              </w:numPr>
              <w:spacing w:line="360" w:lineRule="auto"/>
              <w:jc w:val="center"/>
              <w:rPr>
                <w:rFonts w:ascii="宋体" w:hAnsi="宋体" w:cs="宋体"/>
                <w:sz w:val="24"/>
                <w:szCs w:val="24"/>
              </w:rPr>
            </w:pPr>
          </w:p>
        </w:tc>
        <w:tc>
          <w:tcPr>
            <w:tcW w:w="9041" w:type="dxa"/>
            <w:noWrap w:val="0"/>
            <w:vAlign w:val="center"/>
          </w:tcPr>
          <w:p w14:paraId="4E08D0F8">
            <w:pPr>
              <w:spacing w:line="360" w:lineRule="auto"/>
              <w:rPr>
                <w:rFonts w:ascii="宋体" w:hAnsi="宋体" w:cs="宋体"/>
                <w:sz w:val="24"/>
                <w:szCs w:val="24"/>
              </w:rPr>
            </w:pPr>
            <w:r>
              <w:rPr>
                <w:rFonts w:hint="eastAsia" w:ascii="宋体" w:hAnsi="宋体" w:cs="宋体"/>
                <w:sz w:val="24"/>
                <w:szCs w:val="24"/>
              </w:rPr>
              <w:t>支持中小企业发展：</w:t>
            </w:r>
          </w:p>
          <w:p w14:paraId="589DCAD1">
            <w:pPr>
              <w:adjustRightInd w:val="0"/>
              <w:snapToGrid w:val="0"/>
              <w:spacing w:line="360" w:lineRule="auto"/>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lang w:val="en-US" w:eastAsia="zh-CN"/>
              </w:rPr>
              <w:t>小微</w:t>
            </w:r>
            <w:r>
              <w:rPr>
                <w:rFonts w:hint="eastAsia" w:ascii="宋体" w:hAnsi="宋体" w:cs="宋体"/>
                <w:sz w:val="24"/>
                <w:szCs w:val="24"/>
              </w:rPr>
              <w:t>企业采购项目</w:t>
            </w:r>
          </w:p>
          <w:p w14:paraId="4F5310DE">
            <w:pPr>
              <w:adjustRightInd w:val="0"/>
              <w:snapToGrid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本项目专门面向</w:t>
            </w:r>
            <w:r>
              <w:rPr>
                <w:rFonts w:hint="eastAsia"/>
                <w:sz w:val="24"/>
                <w:szCs w:val="24"/>
                <w:lang w:val="en-US" w:eastAsia="zh-CN"/>
              </w:rPr>
              <w:t>小微</w:t>
            </w:r>
            <w:r>
              <w:rPr>
                <w:rFonts w:hint="eastAsia" w:ascii="宋体" w:hAnsi="宋体" w:cs="宋体"/>
                <w:sz w:val="24"/>
                <w:szCs w:val="24"/>
                <w:lang w:val="en-US" w:eastAsia="zh-CN"/>
              </w:rPr>
              <w:t>企业采购，故不参与价格扣除。</w:t>
            </w:r>
          </w:p>
          <w:p w14:paraId="57D4ED23">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14:paraId="6E039020">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14:paraId="25DC95D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14:paraId="22939546">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14:paraId="55BEE38B">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14:paraId="3607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A90E316">
            <w:pPr>
              <w:numPr>
                <w:ilvl w:val="0"/>
                <w:numId w:val="2"/>
              </w:numPr>
              <w:spacing w:line="360" w:lineRule="auto"/>
              <w:jc w:val="center"/>
              <w:rPr>
                <w:rFonts w:ascii="宋体" w:hAnsi="宋体" w:cs="宋体"/>
                <w:sz w:val="24"/>
                <w:szCs w:val="24"/>
              </w:rPr>
            </w:pPr>
          </w:p>
        </w:tc>
        <w:tc>
          <w:tcPr>
            <w:tcW w:w="9041" w:type="dxa"/>
            <w:noWrap w:val="0"/>
            <w:vAlign w:val="center"/>
          </w:tcPr>
          <w:p w14:paraId="26F9BF5B">
            <w:pPr>
              <w:spacing w:line="360" w:lineRule="auto"/>
              <w:rPr>
                <w:rFonts w:ascii="宋体" w:hAnsi="宋体" w:cs="宋体"/>
                <w:sz w:val="24"/>
                <w:szCs w:val="24"/>
              </w:rPr>
            </w:pPr>
            <w:r>
              <w:rPr>
                <w:rFonts w:hint="eastAsia" w:ascii="宋体" w:hAnsi="宋体" w:cs="宋体"/>
                <w:sz w:val="24"/>
                <w:szCs w:val="24"/>
              </w:rPr>
              <w:t>支持监狱企业发展：</w:t>
            </w:r>
          </w:p>
          <w:p w14:paraId="6D9E512B">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14:paraId="491EA138">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p w14:paraId="62D8A51C">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w:t>
            </w:r>
          </w:p>
        </w:tc>
      </w:tr>
      <w:tr w14:paraId="6768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647DA25">
            <w:pPr>
              <w:numPr>
                <w:ilvl w:val="0"/>
                <w:numId w:val="2"/>
              </w:numPr>
              <w:spacing w:line="360" w:lineRule="auto"/>
              <w:jc w:val="center"/>
              <w:rPr>
                <w:rFonts w:ascii="宋体" w:hAnsi="宋体" w:cs="宋体"/>
                <w:sz w:val="24"/>
                <w:szCs w:val="24"/>
              </w:rPr>
            </w:pPr>
          </w:p>
        </w:tc>
        <w:tc>
          <w:tcPr>
            <w:tcW w:w="9041" w:type="dxa"/>
            <w:noWrap w:val="0"/>
            <w:vAlign w:val="center"/>
          </w:tcPr>
          <w:p w14:paraId="18BC4F64">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14:paraId="5E06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E57BD28">
            <w:pPr>
              <w:numPr>
                <w:ilvl w:val="0"/>
                <w:numId w:val="2"/>
              </w:numPr>
              <w:spacing w:line="360" w:lineRule="auto"/>
              <w:jc w:val="center"/>
              <w:rPr>
                <w:rFonts w:ascii="宋体" w:hAnsi="宋体" w:cs="宋体"/>
                <w:sz w:val="24"/>
                <w:szCs w:val="24"/>
              </w:rPr>
            </w:pPr>
          </w:p>
        </w:tc>
        <w:tc>
          <w:tcPr>
            <w:tcW w:w="9041" w:type="dxa"/>
            <w:noWrap w:val="0"/>
            <w:vAlign w:val="center"/>
          </w:tcPr>
          <w:p w14:paraId="7C54A4AA">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476F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0631C550">
            <w:pPr>
              <w:numPr>
                <w:ilvl w:val="0"/>
                <w:numId w:val="2"/>
              </w:numPr>
              <w:spacing w:line="360" w:lineRule="auto"/>
              <w:rPr>
                <w:rFonts w:ascii="宋体" w:hAnsi="宋体" w:cs="宋体"/>
                <w:sz w:val="24"/>
                <w:szCs w:val="24"/>
              </w:rPr>
            </w:pPr>
          </w:p>
        </w:tc>
        <w:tc>
          <w:tcPr>
            <w:tcW w:w="9041" w:type="dxa"/>
            <w:noWrap w:val="0"/>
            <w:vAlign w:val="center"/>
          </w:tcPr>
          <w:p w14:paraId="428F3502">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23C7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4B2E379">
            <w:pPr>
              <w:numPr>
                <w:ilvl w:val="0"/>
                <w:numId w:val="2"/>
              </w:numPr>
              <w:spacing w:line="360" w:lineRule="auto"/>
              <w:rPr>
                <w:rFonts w:ascii="宋体" w:hAnsi="宋体" w:cs="宋体"/>
                <w:sz w:val="24"/>
                <w:szCs w:val="24"/>
              </w:rPr>
            </w:pPr>
          </w:p>
        </w:tc>
        <w:tc>
          <w:tcPr>
            <w:tcW w:w="9041" w:type="dxa"/>
            <w:noWrap w:val="0"/>
            <w:vAlign w:val="center"/>
          </w:tcPr>
          <w:p w14:paraId="15EE6D80">
            <w:pPr>
              <w:pStyle w:val="2"/>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4A87B73D">
            <w:pPr>
              <w:pStyle w:val="2"/>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30424D9E">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54192257">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注:①法定代表人直接参与谈判的无须上报和提供《投标人委托代理人员信用承诺书》</w:t>
            </w:r>
          </w:p>
          <w:p w14:paraId="16F6B045">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②)不见面开标结束后由采购代理机构通过平台进行核实查验,未在“信用中国(陕西榆林)”网站进行自主上报信用承诺或响应文件中所附内容与上报内容不符的将否决其谈判。</w:t>
            </w:r>
          </w:p>
        </w:tc>
      </w:tr>
      <w:tr w14:paraId="1E37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92189AC">
            <w:pPr>
              <w:numPr>
                <w:ilvl w:val="0"/>
                <w:numId w:val="2"/>
              </w:numPr>
              <w:spacing w:line="360" w:lineRule="auto"/>
              <w:rPr>
                <w:rFonts w:ascii="宋体" w:hAnsi="宋体" w:cs="宋体"/>
                <w:sz w:val="24"/>
                <w:szCs w:val="24"/>
              </w:rPr>
            </w:pPr>
          </w:p>
        </w:tc>
        <w:tc>
          <w:tcPr>
            <w:tcW w:w="9041" w:type="dxa"/>
            <w:noWrap w:val="0"/>
            <w:vAlign w:val="center"/>
          </w:tcPr>
          <w:p w14:paraId="7EE1D6FE">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14:paraId="3B63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14:paraId="69C64430">
            <w:pPr>
              <w:numPr>
                <w:ilvl w:val="0"/>
                <w:numId w:val="2"/>
              </w:numPr>
              <w:spacing w:line="360" w:lineRule="auto"/>
              <w:rPr>
                <w:rFonts w:ascii="宋体" w:hAnsi="宋体" w:cs="宋体"/>
                <w:sz w:val="24"/>
                <w:szCs w:val="24"/>
              </w:rPr>
            </w:pPr>
          </w:p>
        </w:tc>
        <w:tc>
          <w:tcPr>
            <w:tcW w:w="9041" w:type="dxa"/>
            <w:noWrap w:val="0"/>
            <w:vAlign w:val="center"/>
          </w:tcPr>
          <w:p w14:paraId="5CBF02C3">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19EB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14:paraId="113139DA">
            <w:pPr>
              <w:numPr>
                <w:ilvl w:val="0"/>
                <w:numId w:val="2"/>
              </w:numPr>
              <w:spacing w:line="360" w:lineRule="auto"/>
              <w:rPr>
                <w:rFonts w:ascii="宋体" w:hAnsi="宋体" w:cs="宋体"/>
                <w:sz w:val="24"/>
                <w:szCs w:val="24"/>
              </w:rPr>
            </w:pPr>
          </w:p>
        </w:tc>
        <w:tc>
          <w:tcPr>
            <w:tcW w:w="9041" w:type="dxa"/>
            <w:noWrap w:val="0"/>
            <w:vAlign w:val="center"/>
          </w:tcPr>
          <w:p w14:paraId="26B14C61">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14:paraId="53F5E209">
            <w:pPr>
              <w:pStyle w:val="15"/>
              <w:ind w:firstLine="720" w:firstLineChars="300"/>
            </w:pPr>
            <w:r>
              <w:rPr>
                <w:rFonts w:hint="eastAsia" w:ascii="宋体" w:hAnsi="宋体" w:cs="宋体"/>
                <w:sz w:val="24"/>
                <w:szCs w:val="24"/>
              </w:rPr>
              <w:t>2、当供应商不足三家时，按相关文件执行。</w:t>
            </w:r>
          </w:p>
        </w:tc>
      </w:tr>
      <w:tr w14:paraId="3F37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14:paraId="34C1B4F0">
            <w:pPr>
              <w:numPr>
                <w:ilvl w:val="0"/>
                <w:numId w:val="2"/>
              </w:numPr>
              <w:spacing w:line="360" w:lineRule="auto"/>
              <w:rPr>
                <w:rFonts w:ascii="宋体" w:hAnsi="宋体" w:cs="宋体"/>
                <w:sz w:val="24"/>
                <w:szCs w:val="24"/>
              </w:rPr>
            </w:pPr>
          </w:p>
        </w:tc>
        <w:tc>
          <w:tcPr>
            <w:tcW w:w="9041" w:type="dxa"/>
            <w:noWrap w:val="0"/>
            <w:vAlign w:val="center"/>
          </w:tcPr>
          <w:tbl>
            <w:tblPr>
              <w:tblStyle w:val="22"/>
              <w:tblpPr w:leftFromText="180" w:rightFromText="180" w:vertAnchor="page" w:horzAnchor="page" w:tblpX="-15" w:tblpY="5236"/>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07039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48F65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6C65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B4D2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744D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E564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9116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CDB7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BECE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C112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AF18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395C1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73559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E68B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C645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DB79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D6AA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EC50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F1ED8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4E387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7DF52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7B335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72922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4483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CFD27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121A0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50E9F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E5AF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E444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4F829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03AA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015F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44FF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F2F9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261C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B155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D8E1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58CF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585D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D62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1F32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B696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0523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80A2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3542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14A8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E3DB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6A11D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6C96F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6973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4310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E405C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F2A4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A1B0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FE99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0FDF6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1AA3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A0B84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503B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7E3A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D8A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E5DF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EB72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554A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7472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3585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246C2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1793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3AC6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FCF2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83C8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105C29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5AE8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0A3E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1A7B4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35B86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0681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A334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365A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2234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EBDD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FE15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7427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10100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18C0A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C257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205C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9441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BFEC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D459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051A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C71B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1E990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E341F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0507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86C3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7A10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BC54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B389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88C7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D82B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39725A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p w14:paraId="44E93FCC">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14:paraId="381B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14:paraId="3ECFB781">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14:paraId="3D9C339C">
            <w:pPr>
              <w:spacing w:line="360" w:lineRule="auto"/>
              <w:rPr>
                <w:rFonts w:ascii="宋体" w:hAnsi="宋体" w:cs="仿宋_GB2312"/>
                <w:sz w:val="24"/>
                <w:szCs w:val="24"/>
              </w:rPr>
            </w:pPr>
            <w:r>
              <w:rPr>
                <w:rFonts w:hint="eastAsia" w:ascii="宋体" w:hAnsi="宋体" w:cs="仿宋_GB2312"/>
                <w:sz w:val="24"/>
                <w:szCs w:val="24"/>
              </w:rPr>
              <w:t>招标代理服务费：</w:t>
            </w:r>
          </w:p>
          <w:p w14:paraId="2C3A80BB">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14:paraId="7CBF69DE">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榆林市恒易达工程项目管理有限公司</w:t>
            </w:r>
            <w:r>
              <w:rPr>
                <w:rFonts w:hint="eastAsia" w:ascii="宋体" w:hAnsi="宋体" w:cs="宋体"/>
                <w:sz w:val="24"/>
                <w:szCs w:val="24"/>
              </w:rPr>
              <w:t>交纳本项目采购代理服务费。</w:t>
            </w:r>
          </w:p>
          <w:p w14:paraId="4DB0655B">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22"/>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14:paraId="035B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14:paraId="3CC7D784">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14:paraId="4FC60A05">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14:paraId="1FBA5C14">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14:paraId="44582B7B">
                  <w:pPr>
                    <w:spacing w:line="360" w:lineRule="auto"/>
                    <w:rPr>
                      <w:rFonts w:ascii="宋体" w:hAnsi="宋体" w:cs="宋体"/>
                      <w:sz w:val="24"/>
                      <w:szCs w:val="24"/>
                    </w:rPr>
                  </w:pPr>
                  <w:r>
                    <w:rPr>
                      <w:rFonts w:hint="eastAsia" w:ascii="宋体" w:hAnsi="宋体" w:cs="宋体"/>
                      <w:sz w:val="24"/>
                      <w:szCs w:val="24"/>
                    </w:rPr>
                    <w:t>工程招标</w:t>
                  </w:r>
                </w:p>
              </w:tc>
            </w:tr>
            <w:tr w14:paraId="0C65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63A5305">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14:paraId="038CF06E">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14:paraId="3AA813B9">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14:paraId="0E7BE145">
                  <w:pPr>
                    <w:spacing w:line="360" w:lineRule="auto"/>
                    <w:rPr>
                      <w:rFonts w:ascii="宋体" w:hAnsi="宋体" w:cs="宋体"/>
                      <w:sz w:val="24"/>
                      <w:szCs w:val="24"/>
                    </w:rPr>
                  </w:pPr>
                  <w:r>
                    <w:rPr>
                      <w:rFonts w:hint="eastAsia" w:ascii="宋体" w:hAnsi="宋体" w:cs="宋体"/>
                      <w:sz w:val="24"/>
                      <w:szCs w:val="24"/>
                    </w:rPr>
                    <w:t>1.0%</w:t>
                  </w:r>
                </w:p>
              </w:tc>
            </w:tr>
            <w:tr w14:paraId="196C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01EECF93">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14:paraId="0B8D9A1F">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14:paraId="4D26A770">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14:paraId="43BE0D27">
                  <w:pPr>
                    <w:spacing w:line="360" w:lineRule="auto"/>
                    <w:rPr>
                      <w:rFonts w:ascii="宋体" w:hAnsi="宋体" w:cs="宋体"/>
                      <w:sz w:val="24"/>
                      <w:szCs w:val="24"/>
                    </w:rPr>
                  </w:pPr>
                  <w:r>
                    <w:rPr>
                      <w:rFonts w:hint="eastAsia" w:ascii="宋体" w:hAnsi="宋体" w:cs="宋体"/>
                      <w:sz w:val="24"/>
                      <w:szCs w:val="24"/>
                    </w:rPr>
                    <w:t>0.7%</w:t>
                  </w:r>
                </w:p>
              </w:tc>
            </w:tr>
            <w:tr w14:paraId="122D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1616F2CA">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14:paraId="3E8C7FC1">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14:paraId="04FBF885">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14:paraId="0AA44911">
                  <w:pPr>
                    <w:spacing w:line="360" w:lineRule="auto"/>
                    <w:rPr>
                      <w:rFonts w:ascii="宋体" w:hAnsi="宋体" w:cs="宋体"/>
                      <w:sz w:val="24"/>
                      <w:szCs w:val="24"/>
                    </w:rPr>
                  </w:pPr>
                  <w:r>
                    <w:rPr>
                      <w:rFonts w:hint="eastAsia" w:ascii="宋体" w:hAnsi="宋体" w:cs="宋体"/>
                      <w:sz w:val="24"/>
                      <w:szCs w:val="24"/>
                    </w:rPr>
                    <w:t>0.55%</w:t>
                  </w:r>
                </w:p>
              </w:tc>
            </w:tr>
            <w:tr w14:paraId="78E0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284C9F5">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14:paraId="65339776">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14:paraId="54063249">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14:paraId="40550422">
                  <w:pPr>
                    <w:spacing w:line="360" w:lineRule="auto"/>
                    <w:rPr>
                      <w:rFonts w:ascii="宋体" w:hAnsi="宋体" w:cs="宋体"/>
                      <w:sz w:val="24"/>
                      <w:szCs w:val="24"/>
                    </w:rPr>
                  </w:pPr>
                  <w:r>
                    <w:rPr>
                      <w:rFonts w:hint="eastAsia" w:ascii="宋体" w:hAnsi="宋体" w:cs="宋体"/>
                      <w:sz w:val="24"/>
                      <w:szCs w:val="24"/>
                    </w:rPr>
                    <w:t>0.35%</w:t>
                  </w:r>
                </w:p>
              </w:tc>
            </w:tr>
            <w:tr w14:paraId="7F9D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068EA9B6">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14:paraId="26B3CF23">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14:paraId="7050404F">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14:paraId="013D9E88">
                  <w:pPr>
                    <w:spacing w:line="360" w:lineRule="auto"/>
                    <w:rPr>
                      <w:rFonts w:ascii="宋体" w:hAnsi="宋体" w:cs="宋体"/>
                      <w:sz w:val="24"/>
                      <w:szCs w:val="24"/>
                    </w:rPr>
                  </w:pPr>
                  <w:r>
                    <w:rPr>
                      <w:rFonts w:hint="eastAsia" w:ascii="宋体" w:hAnsi="宋体" w:cs="宋体"/>
                      <w:sz w:val="24"/>
                      <w:szCs w:val="24"/>
                    </w:rPr>
                    <w:t>0.2%</w:t>
                  </w:r>
                </w:p>
              </w:tc>
            </w:tr>
            <w:tr w14:paraId="769B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37388738">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14:paraId="13B578C5">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14:paraId="4595B3D3">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14:paraId="4A499520">
                  <w:pPr>
                    <w:spacing w:line="360" w:lineRule="auto"/>
                    <w:rPr>
                      <w:rFonts w:ascii="宋体" w:hAnsi="宋体" w:cs="宋体"/>
                      <w:sz w:val="24"/>
                      <w:szCs w:val="24"/>
                    </w:rPr>
                  </w:pPr>
                  <w:r>
                    <w:rPr>
                      <w:rFonts w:hint="eastAsia" w:ascii="宋体" w:hAnsi="宋体" w:cs="宋体"/>
                      <w:sz w:val="24"/>
                      <w:szCs w:val="24"/>
                    </w:rPr>
                    <w:t>0.05%</w:t>
                  </w:r>
                </w:p>
              </w:tc>
            </w:tr>
            <w:tr w14:paraId="1E20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14:paraId="38D0D22F">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14:paraId="5C1627BD">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14:paraId="3BB6F9C8">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14:paraId="3AF002CC">
                  <w:pPr>
                    <w:spacing w:line="360" w:lineRule="auto"/>
                    <w:rPr>
                      <w:rFonts w:ascii="宋体" w:hAnsi="宋体" w:cs="宋体"/>
                      <w:sz w:val="24"/>
                      <w:szCs w:val="24"/>
                    </w:rPr>
                  </w:pPr>
                  <w:r>
                    <w:rPr>
                      <w:rFonts w:hint="eastAsia" w:ascii="宋体" w:hAnsi="宋体" w:cs="宋体"/>
                      <w:sz w:val="24"/>
                      <w:szCs w:val="24"/>
                    </w:rPr>
                    <w:t>0.01%</w:t>
                  </w:r>
                </w:p>
              </w:tc>
            </w:tr>
          </w:tbl>
          <w:p w14:paraId="5321BC8E">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14:paraId="5B080C8E">
            <w:pPr>
              <w:spacing w:line="360" w:lineRule="auto"/>
              <w:rPr>
                <w:rFonts w:ascii="宋体" w:hAnsi="宋体" w:cs="宋体"/>
                <w:sz w:val="24"/>
                <w:szCs w:val="24"/>
              </w:rPr>
            </w:pPr>
            <w:r>
              <w:rPr>
                <w:rFonts w:hint="eastAsia" w:ascii="宋体" w:hAnsi="宋体" w:cs="宋体"/>
                <w:sz w:val="24"/>
                <w:szCs w:val="24"/>
              </w:rPr>
              <w:t xml:space="preserve">100万元*1.5%=1.50万元 </w:t>
            </w:r>
          </w:p>
          <w:p w14:paraId="14136F05">
            <w:pPr>
              <w:spacing w:line="360" w:lineRule="auto"/>
              <w:rPr>
                <w:rFonts w:ascii="宋体" w:hAnsi="宋体" w:cs="宋体"/>
                <w:sz w:val="24"/>
                <w:szCs w:val="24"/>
              </w:rPr>
            </w:pPr>
            <w:r>
              <w:rPr>
                <w:rFonts w:hint="eastAsia" w:ascii="宋体" w:hAnsi="宋体" w:cs="宋体"/>
                <w:sz w:val="24"/>
                <w:szCs w:val="24"/>
              </w:rPr>
              <w:t>(500-100)*1.1%=4.40万元</w:t>
            </w:r>
          </w:p>
          <w:p w14:paraId="6B8CD893">
            <w:pPr>
              <w:spacing w:line="360" w:lineRule="auto"/>
              <w:rPr>
                <w:rFonts w:ascii="宋体" w:hAnsi="宋体" w:cs="宋体"/>
                <w:sz w:val="24"/>
                <w:szCs w:val="24"/>
              </w:rPr>
            </w:pPr>
            <w:r>
              <w:rPr>
                <w:rFonts w:hint="eastAsia" w:ascii="宋体" w:hAnsi="宋体" w:cs="宋体"/>
                <w:sz w:val="24"/>
                <w:szCs w:val="24"/>
              </w:rPr>
              <w:t>(678.2-500)*0.8%=1.4256万元</w:t>
            </w:r>
          </w:p>
          <w:p w14:paraId="7ACBFD0D">
            <w:pPr>
              <w:spacing w:line="360" w:lineRule="auto"/>
              <w:rPr>
                <w:rFonts w:ascii="宋体" w:hAnsi="宋体" w:cs="宋体"/>
                <w:sz w:val="24"/>
                <w:szCs w:val="24"/>
              </w:rPr>
            </w:pPr>
            <w:r>
              <w:rPr>
                <w:rFonts w:hint="eastAsia" w:ascii="宋体" w:hAnsi="宋体" w:cs="宋体"/>
                <w:sz w:val="24"/>
                <w:szCs w:val="24"/>
              </w:rPr>
              <w:t>服务费=1.50+4.40+1.4256=7.3256万元。</w:t>
            </w:r>
          </w:p>
          <w:p w14:paraId="2D24D9F5">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服务</w:t>
            </w:r>
            <w:r>
              <w:rPr>
                <w:rFonts w:hint="eastAsia" w:ascii="宋体" w:hAnsi="宋体" w:cs="宋体"/>
                <w:sz w:val="24"/>
                <w:szCs w:val="24"/>
              </w:rPr>
              <w:t>招标。</w:t>
            </w:r>
          </w:p>
        </w:tc>
      </w:tr>
      <w:tr w14:paraId="54DD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2" w:type="dxa"/>
            <w:noWrap w:val="0"/>
            <w:vAlign w:val="center"/>
          </w:tcPr>
          <w:p w14:paraId="5F7B90C6">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14:paraId="6AE93161">
            <w:pPr>
              <w:spacing w:line="360" w:lineRule="auto"/>
              <w:rPr>
                <w:rFonts w:hint="eastAsia" w:ascii="宋体" w:hAnsi="宋体" w:eastAsia="宋体" w:cs="宋体"/>
                <w:sz w:val="24"/>
                <w:szCs w:val="24"/>
              </w:rPr>
            </w:pPr>
            <w:r>
              <w:rPr>
                <w:rFonts w:hint="eastAsia" w:ascii="宋体" w:hAnsi="宋体" w:eastAsia="宋体" w:cs="宋体"/>
                <w:sz w:val="24"/>
                <w:szCs w:val="24"/>
              </w:rPr>
              <w:t>谈判报价轮次：</w:t>
            </w:r>
          </w:p>
          <w:p w14:paraId="08C24DA6">
            <w:pPr>
              <w:spacing w:line="360" w:lineRule="auto"/>
              <w:rPr>
                <w:rFonts w:hint="eastAsia" w:ascii="宋体" w:hAnsi="宋体" w:eastAsia="宋体" w:cs="宋体"/>
                <w:sz w:val="24"/>
                <w:szCs w:val="24"/>
              </w:rPr>
            </w:pPr>
            <w:r>
              <w:rPr>
                <w:rFonts w:hint="eastAsia" w:ascii="宋体" w:hAnsi="宋体" w:eastAsia="宋体" w:cs="宋体"/>
                <w:sz w:val="24"/>
                <w:szCs w:val="24"/>
              </w:rPr>
              <w:t>多轮（报价文件中报价为第一轮，谈判现场为第二轮）</w:t>
            </w:r>
          </w:p>
          <w:p w14:paraId="4A2922FB">
            <w:pPr>
              <w:spacing w:line="360" w:lineRule="auto"/>
              <w:rPr>
                <w:rFonts w:hint="eastAsia" w:ascii="宋体" w:hAnsi="宋体" w:eastAsia="宋体" w:cs="宋体"/>
                <w:sz w:val="24"/>
                <w:szCs w:val="24"/>
              </w:rPr>
            </w:pPr>
            <w:r>
              <w:rPr>
                <w:rFonts w:hint="eastAsia" w:ascii="宋体" w:hAnsi="宋体" w:eastAsia="宋体" w:cs="宋体"/>
                <w:sz w:val="24"/>
                <w:szCs w:val="24"/>
              </w:rPr>
              <w:t>供应商保持在线直到评审结束</w:t>
            </w:r>
          </w:p>
          <w:p w14:paraId="0C41AAE3">
            <w:pPr>
              <w:spacing w:line="360" w:lineRule="auto"/>
              <w:rPr>
                <w:rFonts w:hint="eastAsia" w:ascii="宋体" w:hAnsi="宋体" w:eastAsia="宋体" w:cs="宋体"/>
                <w:sz w:val="24"/>
                <w:szCs w:val="24"/>
              </w:rPr>
            </w:pPr>
            <w:r>
              <w:rPr>
                <w:rFonts w:hint="eastAsia" w:ascii="宋体" w:hAnsi="宋体" w:eastAsia="宋体" w:cs="宋体"/>
                <w:sz w:val="24"/>
                <w:szCs w:val="24"/>
              </w:rPr>
              <w:t>多轮（</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响应文件中报价为第一轮，</w:t>
            </w:r>
            <w:r>
              <w:rPr>
                <w:rFonts w:hint="eastAsia" w:ascii="宋体" w:hAnsi="宋体" w:eastAsia="宋体" w:cs="宋体"/>
                <w:sz w:val="24"/>
                <w:szCs w:val="24"/>
                <w:lang w:eastAsia="zh-CN"/>
              </w:rPr>
              <w:t>谈判</w:t>
            </w:r>
            <w:r>
              <w:rPr>
                <w:rFonts w:hint="eastAsia" w:ascii="宋体" w:hAnsi="宋体" w:eastAsia="宋体" w:cs="宋体"/>
                <w:sz w:val="24"/>
                <w:szCs w:val="24"/>
              </w:rPr>
              <w:t>不见面开标会议为第二轮）</w:t>
            </w:r>
          </w:p>
          <w:p w14:paraId="3F93A9B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不见面开标结束后，通过资格审查和符合性审查的供应商才有机会进入一对一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环节。依据财政部关于印发《政府采购竞争性</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采购方式管理暂行办法》第十九条规定，</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小组所有成员应当集中与单一供应商分别进行</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，并给予所有参加</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的供应商平等的</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机会。已提交响应文件的供应商，在提交最后报价之前，可以根据</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情况退出</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。具体</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流程如下:</w:t>
            </w:r>
          </w:p>
          <w:p w14:paraId="0A6E7D7F">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将通过腾讯视频会议的方式进行，供应商应</w:t>
            </w:r>
            <w:r>
              <w:rPr>
                <w:rFonts w:hint="eastAsia" w:ascii="宋体" w:hAnsi="宋体" w:eastAsia="宋体" w:cs="宋体"/>
                <w:sz w:val="24"/>
                <w:szCs w:val="24"/>
                <w:lang w:val="en-US" w:eastAsia="zh-CN"/>
              </w:rPr>
              <w:t>提前</w:t>
            </w:r>
            <w:r>
              <w:rPr>
                <w:rFonts w:hint="eastAsia" w:ascii="宋体" w:hAnsi="宋体" w:eastAsia="宋体" w:cs="宋体"/>
                <w:sz w:val="24"/>
                <w:szCs w:val="24"/>
                <w:lang w:eastAsia="zh-CN"/>
              </w:rPr>
              <w:t>在手机或电脑终端上下载“腾讯会议”软件，</w:t>
            </w:r>
            <w:r>
              <w:rPr>
                <w:rFonts w:hint="eastAsia" w:ascii="宋体" w:hAnsi="宋体" w:eastAsia="宋体" w:cs="宋体"/>
                <w:sz w:val="24"/>
                <w:szCs w:val="24"/>
                <w:lang w:val="en-US" w:eastAsia="zh-CN"/>
              </w:rPr>
              <w:t>开标现场由代理机构通知进入并告知腾讯视频会议号及会议密码。</w:t>
            </w:r>
          </w:p>
          <w:p w14:paraId="0E993816">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2.加入会议室的同时将各参与</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的人员姓名修改为“供应商简称”，</w:t>
            </w:r>
          </w:p>
          <w:p w14:paraId="71A43278">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.谈判结束后，将进行提交最终报价的环节，各供应商应及时关注全国公共资源交易平台(陕西省·榆林市)(http://y1.sxggzyjy.cn/)的网上报价情况，应当在谈判小组规定的时间内提交最终报价。</w:t>
            </w:r>
          </w:p>
          <w:p w14:paraId="5C62FC08">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注:供应商未在规定时间内提交最终报价的将视为自动退出谈判，该供应商响应无效。</w:t>
            </w:r>
          </w:p>
        </w:tc>
      </w:tr>
      <w:tr w14:paraId="1F56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14:paraId="221B4DF9">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14:paraId="3E0B9F45">
            <w:pPr>
              <w:widowControl/>
              <w:spacing w:line="360" w:lineRule="auto"/>
              <w:jc w:val="left"/>
            </w:pPr>
            <w:r>
              <w:rPr>
                <w:rFonts w:hint="eastAsia" w:ascii="宋体" w:hAnsi="宋体" w:cs="宋体"/>
                <w:b/>
                <w:bCs/>
                <w:kern w:val="0"/>
                <w:sz w:val="24"/>
                <w:szCs w:val="24"/>
              </w:rPr>
              <w:t>特别提醒：本项目采用电子化投标的方式。</w:t>
            </w:r>
          </w:p>
          <w:p w14:paraId="473EC086">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14:paraId="2508B31C">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4EB7778F">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43BFE481">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14:paraId="4D5F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14:paraId="509C8243">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14:paraId="0B45B1B3">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14:paraId="0FFFE053">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1E93033A">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2006D2F">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44C731FB">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43610E5">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0D70EBCD">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589D7F28">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677569FC">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2C9AD3">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07D8524">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319BEC2E">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2F8B03EB">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A00603A">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761416E7">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727FA647">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0241BE74">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14:paraId="4377A85E">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：商务服务业</w:t>
            </w:r>
          </w:p>
        </w:tc>
      </w:tr>
      <w:bookmarkEnd w:id="7"/>
      <w:bookmarkEnd w:id="12"/>
      <w:bookmarkEnd w:id="13"/>
      <w:bookmarkEnd w:id="14"/>
      <w:bookmarkEnd w:id="15"/>
    </w:tbl>
    <w:p w14:paraId="29CEC835">
      <w:pPr>
        <w:pStyle w:val="3"/>
        <w:spacing w:line="240" w:lineRule="auto"/>
        <w:jc w:val="center"/>
        <w:rPr>
          <w:rFonts w:ascii="宋体" w:hAnsi="宋体" w:cs="宋体"/>
          <w:sz w:val="36"/>
          <w:szCs w:val="36"/>
        </w:rPr>
      </w:pPr>
      <w:bookmarkStart w:id="21" w:name="_Toc23139"/>
      <w:bookmarkStart w:id="22" w:name="_Toc12300"/>
      <w:bookmarkStart w:id="23" w:name="_Toc8259"/>
      <w:bookmarkStart w:id="24" w:name="_Toc16531"/>
      <w:bookmarkStart w:id="25" w:name="_Toc246928894"/>
      <w:bookmarkStart w:id="26" w:name="_Toc30436"/>
      <w:bookmarkStart w:id="27" w:name="_Toc17129"/>
      <w:bookmarkStart w:id="28" w:name="_Toc465958087"/>
      <w:bookmarkStart w:id="29" w:name="_Toc4754"/>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14:paraId="5D373F80">
      <w:pPr>
        <w:pStyle w:val="4"/>
        <w:spacing w:line="240" w:lineRule="auto"/>
        <w:rPr>
          <w:rFonts w:ascii="宋体" w:hAnsi="宋体" w:eastAsia="宋体" w:cs="宋体"/>
          <w:sz w:val="36"/>
          <w:szCs w:val="24"/>
        </w:rPr>
      </w:pPr>
      <w:bookmarkStart w:id="30" w:name="_Toc32198"/>
      <w:bookmarkStart w:id="31" w:name="_Toc246928895"/>
      <w:bookmarkStart w:id="32" w:name="_Toc465958088"/>
      <w:bookmarkStart w:id="33" w:name="_Toc31058"/>
      <w:bookmarkStart w:id="34" w:name="_Toc23623"/>
      <w:bookmarkStart w:id="35" w:name="_Toc30345"/>
      <w:r>
        <w:rPr>
          <w:rFonts w:hint="eastAsia" w:ascii="宋体" w:hAnsi="宋体" w:eastAsia="宋体" w:cs="宋体"/>
          <w:sz w:val="36"/>
          <w:szCs w:val="24"/>
        </w:rPr>
        <w:t>A 总则</w:t>
      </w:r>
      <w:bookmarkEnd w:id="30"/>
      <w:bookmarkEnd w:id="31"/>
      <w:bookmarkEnd w:id="32"/>
      <w:bookmarkEnd w:id="33"/>
      <w:bookmarkEnd w:id="34"/>
      <w:bookmarkEnd w:id="35"/>
    </w:p>
    <w:p w14:paraId="5EEC6A7F">
      <w:pPr>
        <w:pStyle w:val="5"/>
        <w:spacing w:beforeLines="50" w:afterLines="50"/>
        <w:rPr>
          <w:rFonts w:ascii="宋体" w:hAnsi="宋体" w:cs="宋体"/>
          <w:szCs w:val="24"/>
        </w:rPr>
      </w:pPr>
      <w:bookmarkStart w:id="36" w:name="_Toc13194"/>
      <w:bookmarkStart w:id="37" w:name="_Toc246928896"/>
      <w:bookmarkStart w:id="38" w:name="_Toc31417"/>
      <w:bookmarkStart w:id="39" w:name="_Toc465958089"/>
      <w:bookmarkStart w:id="40" w:name="_Toc21639"/>
      <w:bookmarkStart w:id="41" w:name="_Toc4811"/>
      <w:bookmarkStart w:id="42" w:name="_Toc7587"/>
      <w:r>
        <w:rPr>
          <w:rFonts w:hint="eastAsia" w:ascii="宋体" w:hAnsi="宋体" w:cs="宋体"/>
          <w:szCs w:val="24"/>
        </w:rPr>
        <w:t>1 适用范围</w:t>
      </w:r>
      <w:bookmarkEnd w:id="36"/>
      <w:bookmarkEnd w:id="37"/>
      <w:bookmarkEnd w:id="38"/>
      <w:bookmarkEnd w:id="39"/>
      <w:bookmarkEnd w:id="40"/>
      <w:bookmarkEnd w:id="41"/>
      <w:bookmarkEnd w:id="42"/>
    </w:p>
    <w:p w14:paraId="1CAC50CB">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1EA46369">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78FF69D4">
      <w:pPr>
        <w:pStyle w:val="5"/>
        <w:spacing w:beforeLines="50" w:afterLines="50" w:line="360" w:lineRule="auto"/>
        <w:rPr>
          <w:rFonts w:ascii="宋体" w:hAnsi="宋体" w:cs="宋体"/>
          <w:szCs w:val="24"/>
        </w:rPr>
      </w:pPr>
      <w:bookmarkStart w:id="43" w:name="_Toc9614"/>
      <w:bookmarkStart w:id="44" w:name="_Toc6698"/>
      <w:bookmarkStart w:id="45" w:name="_Toc18894"/>
      <w:bookmarkStart w:id="46" w:name="_Toc28727"/>
      <w:bookmarkStart w:id="47" w:name="_Toc31636"/>
      <w:bookmarkStart w:id="48" w:name="_Toc465958090"/>
      <w:bookmarkStart w:id="49" w:name="_Toc246928897"/>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14:paraId="0692DCE3">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榆林市文化和旅游局</w:t>
      </w:r>
      <w:r>
        <w:rPr>
          <w:rFonts w:hint="eastAsia" w:ascii="宋体" w:hAnsi="宋体" w:cs="宋体"/>
          <w:sz w:val="24"/>
          <w:szCs w:val="24"/>
        </w:rPr>
        <w:t>。</w:t>
      </w:r>
    </w:p>
    <w:p w14:paraId="2ACF8ED5">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榆林市恒易达工程项目管理有限公司</w:t>
      </w:r>
      <w:r>
        <w:rPr>
          <w:rFonts w:hint="eastAsia" w:ascii="宋体" w:hAnsi="宋体" w:cs="宋体"/>
          <w:sz w:val="24"/>
          <w:szCs w:val="24"/>
        </w:rPr>
        <w:t>。</w:t>
      </w:r>
    </w:p>
    <w:p w14:paraId="199F5707">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21012BE2">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14:paraId="2BB9AC36">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14:paraId="7F01FFD7">
      <w:pPr>
        <w:pStyle w:val="5"/>
        <w:spacing w:beforeLines="50" w:afterLines="50" w:line="360" w:lineRule="auto"/>
        <w:rPr>
          <w:rFonts w:ascii="宋体" w:hAnsi="宋体" w:cs="宋体"/>
          <w:szCs w:val="24"/>
        </w:rPr>
      </w:pPr>
      <w:bookmarkStart w:id="51" w:name="_Toc20739"/>
      <w:bookmarkStart w:id="52" w:name="_Toc16727"/>
      <w:bookmarkStart w:id="53" w:name="_Toc19646"/>
      <w:bookmarkStart w:id="54" w:name="_Toc26952"/>
      <w:bookmarkStart w:id="55" w:name="_Toc27989"/>
      <w:bookmarkStart w:id="56" w:name="_Toc465958091"/>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14:paraId="6F740269">
      <w:pPr>
        <w:wordWrap w:val="0"/>
        <w:topLinePunct/>
        <w:spacing w:line="360" w:lineRule="auto"/>
        <w:jc w:val="left"/>
        <w:rPr>
          <w:rFonts w:ascii="宋体" w:hAnsi="宋体"/>
          <w:sz w:val="24"/>
        </w:rPr>
      </w:pPr>
      <w:bookmarkStart w:id="57" w:name="_Toc21286"/>
      <w:bookmarkStart w:id="58" w:name="_Toc18171"/>
      <w:bookmarkStart w:id="59" w:name="_Toc18683"/>
      <w:bookmarkStart w:id="60" w:name="_Toc465958092"/>
      <w:bookmarkStart w:id="61" w:name="_Toc246928899"/>
      <w:bookmarkStart w:id="62" w:name="_Toc9563"/>
      <w:bookmarkStart w:id="63" w:name="_Toc3389"/>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00F44149">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7904C0D9">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7DA26953">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14:paraId="0F88C752">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14:paraId="5F13A87C">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14:paraId="5747A486">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14:paraId="2236B160">
      <w:pPr>
        <w:pStyle w:val="5"/>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14:paraId="5D500236">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6323F11D">
      <w:pPr>
        <w:pStyle w:val="4"/>
        <w:rPr>
          <w:rFonts w:ascii="宋体" w:hAnsi="宋体" w:eastAsia="宋体" w:cs="宋体"/>
          <w:sz w:val="44"/>
        </w:rPr>
      </w:pPr>
      <w:bookmarkStart w:id="64" w:name="_Toc3331"/>
      <w:bookmarkStart w:id="65" w:name="_Toc246928900"/>
      <w:bookmarkStart w:id="66" w:name="_Toc465958093"/>
      <w:bookmarkStart w:id="67" w:name="_Toc1383"/>
      <w:bookmarkStart w:id="68" w:name="_Toc26140"/>
      <w:bookmarkStart w:id="69" w:name="_Toc24227"/>
      <w:r>
        <w:rPr>
          <w:rFonts w:hint="eastAsia" w:ascii="宋体" w:hAnsi="宋体" w:eastAsia="宋体" w:cs="宋体"/>
          <w:sz w:val="44"/>
        </w:rPr>
        <w:t>B 竞争性谈判文件说明</w:t>
      </w:r>
      <w:bookmarkEnd w:id="64"/>
      <w:bookmarkEnd w:id="65"/>
      <w:bookmarkEnd w:id="66"/>
      <w:bookmarkEnd w:id="67"/>
      <w:bookmarkEnd w:id="68"/>
      <w:bookmarkEnd w:id="69"/>
    </w:p>
    <w:p w14:paraId="41E1BB5A">
      <w:pPr>
        <w:pStyle w:val="5"/>
        <w:spacing w:line="360" w:lineRule="auto"/>
        <w:rPr>
          <w:rFonts w:ascii="宋体" w:hAnsi="宋体" w:cs="宋体"/>
        </w:rPr>
      </w:pPr>
      <w:bookmarkStart w:id="70" w:name="_Toc6287"/>
      <w:bookmarkStart w:id="71" w:name="_Toc16142"/>
      <w:bookmarkStart w:id="72" w:name="_Toc21132"/>
      <w:bookmarkStart w:id="73" w:name="_Toc7327"/>
      <w:bookmarkStart w:id="74" w:name="_Toc15639"/>
      <w:bookmarkStart w:id="75" w:name="_Toc246928901"/>
      <w:bookmarkStart w:id="76" w:name="_Toc465958094"/>
      <w:r>
        <w:rPr>
          <w:rFonts w:hint="eastAsia" w:ascii="宋体" w:hAnsi="宋体" w:cs="宋体"/>
        </w:rPr>
        <w:t>5 竞争性谈判文件的构成</w:t>
      </w:r>
      <w:bookmarkEnd w:id="70"/>
      <w:bookmarkEnd w:id="71"/>
      <w:bookmarkEnd w:id="72"/>
      <w:bookmarkEnd w:id="73"/>
      <w:bookmarkEnd w:id="74"/>
      <w:bookmarkEnd w:id="75"/>
      <w:bookmarkEnd w:id="76"/>
    </w:p>
    <w:p w14:paraId="42982F30">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276DD2D8">
      <w:pPr>
        <w:spacing w:line="360" w:lineRule="auto"/>
        <w:rPr>
          <w:rFonts w:ascii="宋体" w:hAnsi="宋体" w:cs="宋体"/>
          <w:sz w:val="24"/>
        </w:rPr>
      </w:pPr>
      <w:r>
        <w:rPr>
          <w:rFonts w:hint="eastAsia" w:ascii="宋体" w:hAnsi="宋体" w:cs="宋体"/>
          <w:sz w:val="24"/>
        </w:rPr>
        <w:t>5.1.1 竞争性谈判公告；</w:t>
      </w:r>
    </w:p>
    <w:p w14:paraId="0C071D1F">
      <w:pPr>
        <w:spacing w:line="360" w:lineRule="auto"/>
        <w:rPr>
          <w:rFonts w:ascii="宋体" w:hAnsi="宋体" w:cs="宋体"/>
          <w:sz w:val="24"/>
        </w:rPr>
      </w:pPr>
      <w:r>
        <w:rPr>
          <w:rFonts w:hint="eastAsia" w:ascii="宋体" w:hAnsi="宋体" w:cs="宋体"/>
          <w:sz w:val="24"/>
        </w:rPr>
        <w:t>5.1.2 供应商须知前附表；</w:t>
      </w:r>
    </w:p>
    <w:p w14:paraId="63CCC2C8">
      <w:pPr>
        <w:spacing w:line="360" w:lineRule="auto"/>
        <w:rPr>
          <w:rFonts w:ascii="宋体" w:hAnsi="宋体" w:cs="宋体"/>
          <w:sz w:val="24"/>
        </w:rPr>
      </w:pPr>
      <w:r>
        <w:rPr>
          <w:rFonts w:hint="eastAsia" w:ascii="宋体" w:hAnsi="宋体" w:cs="宋体"/>
          <w:sz w:val="24"/>
        </w:rPr>
        <w:t>5.1.3 供应商须知；</w:t>
      </w:r>
    </w:p>
    <w:p w14:paraId="24B21A8D">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5F356949">
      <w:pPr>
        <w:spacing w:line="360" w:lineRule="auto"/>
        <w:rPr>
          <w:rFonts w:ascii="宋体" w:hAnsi="宋体" w:cs="宋体"/>
          <w:sz w:val="24"/>
        </w:rPr>
      </w:pPr>
      <w:r>
        <w:rPr>
          <w:rFonts w:hint="eastAsia" w:ascii="宋体" w:hAnsi="宋体" w:cs="宋体"/>
          <w:sz w:val="24"/>
        </w:rPr>
        <w:t>5.1.5 商务要求；</w:t>
      </w:r>
    </w:p>
    <w:p w14:paraId="2578F452">
      <w:pPr>
        <w:spacing w:line="360" w:lineRule="auto"/>
        <w:rPr>
          <w:rFonts w:ascii="宋体" w:hAnsi="宋体" w:cs="宋体"/>
          <w:sz w:val="24"/>
        </w:rPr>
      </w:pPr>
      <w:r>
        <w:rPr>
          <w:rFonts w:hint="eastAsia" w:ascii="宋体" w:hAnsi="宋体" w:cs="宋体"/>
          <w:sz w:val="24"/>
        </w:rPr>
        <w:t xml:space="preserve">5.1.6 采购内容及要求； </w:t>
      </w:r>
    </w:p>
    <w:p w14:paraId="31927675">
      <w:pPr>
        <w:pStyle w:val="15"/>
        <w:spacing w:line="360" w:lineRule="auto"/>
        <w:rPr>
          <w:rFonts w:ascii="宋体" w:hAnsi="宋体" w:cs="宋体"/>
          <w:sz w:val="24"/>
        </w:rPr>
      </w:pPr>
      <w:r>
        <w:rPr>
          <w:rFonts w:hint="eastAsia" w:ascii="宋体" w:hAnsi="宋体" w:cs="宋体"/>
          <w:sz w:val="24"/>
        </w:rPr>
        <w:t>5.1.7 评审方法；</w:t>
      </w:r>
    </w:p>
    <w:p w14:paraId="6EB18051">
      <w:pPr>
        <w:pStyle w:val="15"/>
        <w:spacing w:line="360" w:lineRule="auto"/>
        <w:rPr>
          <w:rFonts w:ascii="宋体" w:hAnsi="宋体" w:cs="宋体"/>
          <w:sz w:val="24"/>
        </w:rPr>
      </w:pPr>
      <w:r>
        <w:rPr>
          <w:rFonts w:hint="eastAsia" w:ascii="宋体" w:hAnsi="宋体" w:cs="宋体"/>
          <w:sz w:val="24"/>
        </w:rPr>
        <w:t>5.1.8竞争性谈判响应文件格式</w:t>
      </w:r>
    </w:p>
    <w:p w14:paraId="14A70FFF">
      <w:pPr>
        <w:pStyle w:val="15"/>
        <w:spacing w:line="360" w:lineRule="auto"/>
        <w:rPr>
          <w:rFonts w:ascii="宋体" w:hAnsi="宋体" w:cs="宋体"/>
          <w:sz w:val="24"/>
        </w:rPr>
      </w:pPr>
      <w:r>
        <w:rPr>
          <w:rFonts w:hint="eastAsia" w:ascii="宋体" w:hAnsi="宋体" w:cs="宋体"/>
          <w:sz w:val="24"/>
        </w:rPr>
        <w:t>5.1.9封袋正面标识式样</w:t>
      </w:r>
    </w:p>
    <w:p w14:paraId="74F7C289">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7CC84825">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38C5E6DC">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3EAE7F45">
      <w:pPr>
        <w:pStyle w:val="19"/>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14:paraId="2BFC3693">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14:paraId="72CB8189">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14:paraId="38E4041A">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14:paraId="0290D6F6">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40310184">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14:paraId="115C9F67">
      <w:pPr>
        <w:pStyle w:val="10"/>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14:paraId="23044C79">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14:paraId="5383FA11">
      <w:pPr>
        <w:pStyle w:val="10"/>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14:paraId="2897C460">
      <w:pPr>
        <w:spacing w:line="360" w:lineRule="auto"/>
        <w:ind w:firstLine="480" w:firstLineChars="200"/>
        <w:rPr>
          <w:rFonts w:hint="eastAsia" w:ascii="宋体" w:hAnsi="宋体" w:eastAsia="宋体" w:cs="宋体"/>
          <w:sz w:val="24"/>
          <w:szCs w:val="24"/>
        </w:rPr>
      </w:pPr>
      <w:r>
        <w:rPr>
          <w:rFonts w:hint="eastAsia" w:ascii="宋体" w:hAnsi="宋体" w:cs="仿宋_GB2312"/>
          <w:kern w:val="0"/>
          <w:sz w:val="24"/>
          <w:szCs w:val="24"/>
        </w:rPr>
        <w:t>5.4.10</w:t>
      </w: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2"/>
        <w:tblpPr w:leftFromText="180" w:rightFromText="180" w:vertAnchor="page" w:horzAnchor="page" w:tblpX="1920" w:tblpY="4372"/>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55A7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0B90D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2479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BE2EB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74CD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E0F2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4F8A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62EE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0D00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F67B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21F7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741C3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CF492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AECF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CFB61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FB69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99B7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CBA4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FF3C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52C5D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1084C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9F4AF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E4BDE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E7DB7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B67DB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BC74F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52C58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D5D9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8B3BB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2D46A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4A9A0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1552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653D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9531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A6C0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C445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43BE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9FB8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59E8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54017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080F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91F5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1079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DB65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CD48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1E3D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E0C6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44072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185A9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DCCE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11C3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D84F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F2B8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9082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D2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3D980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5AE0E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A4A3A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42F6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6C38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2F22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41C1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2FA5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5E05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DC50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6D8A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71AD3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696D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E82F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8812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17AA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ADB3C7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4B73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4084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0A69E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38CFF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85BF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18168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0F52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8B19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7219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0755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2163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20333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47FC2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9F99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84A3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718A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5BC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B567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1C95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E16C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3C799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2C613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1D99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F5BF2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CE86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0920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1A12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94AE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036A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4B96030F">
      <w:pPr>
        <w:adjustRightInd w:val="0"/>
        <w:snapToGrid w:val="0"/>
        <w:spacing w:line="360" w:lineRule="auto"/>
        <w:rPr>
          <w:rFonts w:ascii="宋体" w:hAnsi="宋体" w:cs="宋体"/>
          <w:bCs/>
          <w:kern w:val="0"/>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p w14:paraId="5228CC11">
      <w:pPr>
        <w:pStyle w:val="5"/>
        <w:spacing w:line="360" w:lineRule="auto"/>
        <w:rPr>
          <w:rFonts w:ascii="宋体" w:hAnsi="宋体" w:cs="宋体"/>
        </w:rPr>
      </w:pPr>
      <w:bookmarkStart w:id="77" w:name="_Toc2275"/>
      <w:bookmarkStart w:id="78" w:name="_Toc246928902"/>
      <w:bookmarkStart w:id="79" w:name="_Toc9452"/>
      <w:bookmarkStart w:id="80" w:name="_Toc32248"/>
      <w:bookmarkStart w:id="81" w:name="_Toc465958095"/>
      <w:bookmarkStart w:id="82" w:name="_Toc7858"/>
      <w:bookmarkStart w:id="83" w:name="_Toc29090"/>
      <w:r>
        <w:rPr>
          <w:rFonts w:hint="eastAsia" w:ascii="宋体" w:hAnsi="宋体" w:cs="宋体"/>
        </w:rPr>
        <w:t>6 竞争性谈判文件的澄清</w:t>
      </w:r>
      <w:bookmarkEnd w:id="77"/>
      <w:bookmarkEnd w:id="78"/>
      <w:bookmarkEnd w:id="79"/>
      <w:bookmarkEnd w:id="80"/>
      <w:bookmarkEnd w:id="81"/>
      <w:bookmarkEnd w:id="82"/>
      <w:bookmarkEnd w:id="83"/>
    </w:p>
    <w:p w14:paraId="0A17B6B4">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42664368">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14:paraId="206880BB">
      <w:pPr>
        <w:spacing w:line="360" w:lineRule="auto"/>
        <w:rPr>
          <w:rFonts w:ascii="宋体" w:hAnsi="宋体" w:cs="宋体"/>
          <w:sz w:val="24"/>
        </w:rPr>
      </w:pPr>
      <w:r>
        <w:rPr>
          <w:rFonts w:hint="eastAsia" w:ascii="宋体" w:hAnsi="宋体" w:cs="宋体"/>
          <w:sz w:val="24"/>
        </w:rPr>
        <w:t>6.3 该澄清的内容为竞争性谈判文件的组成部分。</w:t>
      </w:r>
    </w:p>
    <w:p w14:paraId="1028F2E8">
      <w:pPr>
        <w:pStyle w:val="5"/>
        <w:spacing w:line="360" w:lineRule="auto"/>
        <w:rPr>
          <w:rFonts w:ascii="宋体" w:hAnsi="宋体" w:cs="宋体"/>
        </w:rPr>
      </w:pPr>
      <w:bookmarkStart w:id="84" w:name="_Toc246928903"/>
      <w:bookmarkStart w:id="85" w:name="_Toc29244"/>
      <w:bookmarkStart w:id="86" w:name="_Toc30004"/>
      <w:bookmarkStart w:id="87" w:name="_Toc11107"/>
      <w:bookmarkStart w:id="88" w:name="_Toc28323"/>
      <w:bookmarkStart w:id="89" w:name="_Toc25100"/>
      <w:bookmarkStart w:id="90" w:name="_Toc465958096"/>
      <w:r>
        <w:rPr>
          <w:rFonts w:hint="eastAsia" w:ascii="宋体" w:hAnsi="宋体" w:cs="宋体"/>
        </w:rPr>
        <w:t>7 竞争性谈判文件的修改</w:t>
      </w:r>
      <w:bookmarkEnd w:id="84"/>
      <w:bookmarkEnd w:id="85"/>
      <w:bookmarkEnd w:id="86"/>
      <w:bookmarkEnd w:id="87"/>
      <w:bookmarkEnd w:id="88"/>
      <w:bookmarkEnd w:id="89"/>
      <w:bookmarkEnd w:id="90"/>
    </w:p>
    <w:p w14:paraId="3723D592">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14:paraId="4AB50614">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14:paraId="488F495C">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7D2E630A">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14:paraId="2DE1729E">
      <w:pPr>
        <w:pStyle w:val="5"/>
        <w:rPr>
          <w:rFonts w:ascii="宋体" w:hAnsi="宋体" w:cs="宋体"/>
          <w:szCs w:val="24"/>
        </w:rPr>
      </w:pPr>
      <w:r>
        <w:rPr>
          <w:rFonts w:hint="eastAsia" w:ascii="宋体" w:hAnsi="宋体" w:cs="宋体"/>
        </w:rPr>
        <w:t>8 竞争性谈判文件的获取</w:t>
      </w:r>
    </w:p>
    <w:p w14:paraId="63D5C255">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14:paraId="6D0FC834">
      <w:pPr>
        <w:pStyle w:val="5"/>
        <w:rPr>
          <w:rFonts w:ascii="宋体" w:hAnsi="宋体" w:cs="宋体"/>
          <w:sz w:val="24"/>
          <w:szCs w:val="24"/>
        </w:rPr>
      </w:pPr>
      <w:r>
        <w:rPr>
          <w:rFonts w:hint="eastAsia" w:ascii="宋体" w:hAnsi="宋体" w:cs="宋体"/>
        </w:rPr>
        <w:t>9 解释权归属</w:t>
      </w:r>
    </w:p>
    <w:p w14:paraId="7D69F858">
      <w:pPr>
        <w:spacing w:line="360" w:lineRule="auto"/>
        <w:ind w:firstLine="566" w:firstLineChars="236"/>
      </w:pPr>
      <w:r>
        <w:rPr>
          <w:rFonts w:hint="eastAsia" w:ascii="宋体" w:hAnsi="宋体" w:cs="宋体"/>
          <w:sz w:val="24"/>
          <w:szCs w:val="24"/>
        </w:rPr>
        <w:t xml:space="preserve">本次竞争性谈判文件的解释权归采购代理机构。 </w:t>
      </w:r>
    </w:p>
    <w:p w14:paraId="13C6AF08">
      <w:pPr>
        <w:pStyle w:val="4"/>
        <w:rPr>
          <w:rFonts w:ascii="宋体" w:hAnsi="宋体" w:eastAsia="宋体" w:cs="宋体"/>
          <w:sz w:val="36"/>
        </w:rPr>
      </w:pPr>
      <w:bookmarkStart w:id="91" w:name="_Toc28020"/>
      <w:bookmarkStart w:id="92" w:name="_Toc585"/>
      <w:bookmarkStart w:id="93" w:name="_Toc19669"/>
      <w:bookmarkStart w:id="94" w:name="_Toc246928904"/>
      <w:bookmarkStart w:id="95" w:name="_Toc465958097"/>
      <w:bookmarkStart w:id="96" w:name="_Toc30520"/>
      <w:r>
        <w:rPr>
          <w:rFonts w:hint="eastAsia" w:ascii="宋体" w:hAnsi="宋体" w:eastAsia="宋体" w:cs="宋体"/>
          <w:sz w:val="36"/>
        </w:rPr>
        <w:t>C 竞争性谈判响应文件的编写</w:t>
      </w:r>
      <w:bookmarkEnd w:id="91"/>
      <w:bookmarkEnd w:id="92"/>
      <w:bookmarkEnd w:id="93"/>
      <w:bookmarkEnd w:id="94"/>
      <w:bookmarkEnd w:id="95"/>
      <w:bookmarkEnd w:id="96"/>
    </w:p>
    <w:p w14:paraId="49B2AD16">
      <w:pPr>
        <w:pStyle w:val="5"/>
        <w:spacing w:line="360" w:lineRule="auto"/>
        <w:rPr>
          <w:rFonts w:ascii="宋体" w:hAnsi="宋体" w:cs="宋体"/>
        </w:rPr>
      </w:pPr>
      <w:bookmarkStart w:id="97" w:name="_Toc20725"/>
      <w:bookmarkStart w:id="98" w:name="_Toc246928905"/>
      <w:bookmarkStart w:id="99" w:name="_Toc3361"/>
      <w:bookmarkStart w:id="100" w:name="_Toc465958098"/>
      <w:bookmarkStart w:id="101" w:name="_Toc25855"/>
      <w:bookmarkStart w:id="102" w:name="_Toc25916"/>
      <w:bookmarkStart w:id="103" w:name="_Toc32164"/>
      <w:r>
        <w:rPr>
          <w:rFonts w:hint="eastAsia" w:ascii="宋体" w:hAnsi="宋体" w:cs="宋体"/>
        </w:rPr>
        <w:t>10 谈判语言</w:t>
      </w:r>
      <w:bookmarkEnd w:id="97"/>
      <w:bookmarkEnd w:id="98"/>
      <w:bookmarkEnd w:id="99"/>
      <w:bookmarkEnd w:id="100"/>
      <w:bookmarkEnd w:id="101"/>
      <w:bookmarkEnd w:id="102"/>
      <w:bookmarkEnd w:id="103"/>
    </w:p>
    <w:p w14:paraId="28F3608F">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14:paraId="4F36E078">
      <w:pPr>
        <w:pStyle w:val="5"/>
        <w:spacing w:line="360" w:lineRule="auto"/>
        <w:rPr>
          <w:rFonts w:ascii="宋体" w:hAnsi="宋体" w:cs="宋体"/>
        </w:rPr>
      </w:pPr>
      <w:bookmarkStart w:id="104" w:name="_Toc246928906"/>
      <w:bookmarkStart w:id="105" w:name="_Toc26252"/>
      <w:bookmarkStart w:id="106" w:name="_Toc30244"/>
      <w:bookmarkStart w:id="107" w:name="_Toc12423"/>
      <w:bookmarkStart w:id="108" w:name="_Toc465958099"/>
      <w:bookmarkStart w:id="109" w:name="_Toc6421"/>
      <w:bookmarkStart w:id="110" w:name="_Toc14629"/>
      <w:r>
        <w:rPr>
          <w:rFonts w:hint="eastAsia" w:ascii="宋体" w:hAnsi="宋体" w:cs="宋体"/>
        </w:rPr>
        <w:t>11 计量单位</w:t>
      </w:r>
      <w:bookmarkEnd w:id="104"/>
      <w:bookmarkEnd w:id="105"/>
      <w:bookmarkEnd w:id="106"/>
      <w:bookmarkEnd w:id="107"/>
      <w:bookmarkEnd w:id="108"/>
      <w:bookmarkEnd w:id="109"/>
      <w:bookmarkEnd w:id="110"/>
    </w:p>
    <w:p w14:paraId="4DA425AC">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5ADA7E14">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694894F4">
      <w:pPr>
        <w:pStyle w:val="5"/>
        <w:spacing w:line="360" w:lineRule="auto"/>
        <w:rPr>
          <w:rFonts w:ascii="宋体" w:hAnsi="宋体" w:cs="宋体"/>
        </w:rPr>
      </w:pPr>
      <w:bookmarkStart w:id="111" w:name="_Toc26388"/>
      <w:bookmarkStart w:id="112" w:name="_Toc13655"/>
      <w:bookmarkStart w:id="113" w:name="_Toc3415"/>
      <w:bookmarkStart w:id="114" w:name="_Toc1098"/>
      <w:bookmarkStart w:id="115" w:name="_Toc465958100"/>
      <w:bookmarkStart w:id="116" w:name="_Toc27123"/>
      <w:bookmarkStart w:id="117" w:name="_Toc246928907"/>
      <w:r>
        <w:rPr>
          <w:rFonts w:hint="eastAsia" w:ascii="宋体" w:hAnsi="宋体" w:cs="宋体"/>
        </w:rPr>
        <w:t>12 竞争性谈判响应文件的构成</w:t>
      </w:r>
      <w:bookmarkEnd w:id="111"/>
      <w:bookmarkEnd w:id="112"/>
      <w:bookmarkEnd w:id="113"/>
      <w:bookmarkEnd w:id="114"/>
      <w:bookmarkEnd w:id="115"/>
      <w:bookmarkEnd w:id="116"/>
      <w:bookmarkEnd w:id="117"/>
    </w:p>
    <w:p w14:paraId="3A903F4E">
      <w:pPr>
        <w:spacing w:line="360" w:lineRule="auto"/>
        <w:rPr>
          <w:rFonts w:ascii="宋体" w:hAnsi="宋体" w:cs="宋体"/>
          <w:sz w:val="24"/>
        </w:rPr>
      </w:pPr>
      <w:r>
        <w:rPr>
          <w:rFonts w:hint="eastAsia" w:ascii="宋体" w:hAnsi="宋体" w:cs="宋体"/>
          <w:sz w:val="24"/>
        </w:rPr>
        <w:t>12.1 供应商编写的竞争性谈判响应文件应包括下列部分：</w:t>
      </w:r>
    </w:p>
    <w:p w14:paraId="7294FD3B">
      <w:pPr>
        <w:spacing w:line="360" w:lineRule="auto"/>
        <w:rPr>
          <w:rFonts w:ascii="宋体" w:hAnsi="宋体" w:cs="宋体"/>
          <w:sz w:val="24"/>
        </w:rPr>
      </w:pPr>
      <w:r>
        <w:rPr>
          <w:rFonts w:hint="eastAsia" w:ascii="宋体" w:hAnsi="宋体" w:cs="宋体"/>
          <w:sz w:val="24"/>
        </w:rPr>
        <w:t>12.1.1 响应函（格式）；</w:t>
      </w:r>
    </w:p>
    <w:p w14:paraId="076A9FDE">
      <w:pPr>
        <w:spacing w:line="360" w:lineRule="auto"/>
        <w:rPr>
          <w:rFonts w:ascii="宋体" w:hAnsi="宋体" w:cs="宋体"/>
          <w:sz w:val="24"/>
        </w:rPr>
      </w:pPr>
      <w:r>
        <w:rPr>
          <w:rFonts w:hint="eastAsia" w:ascii="宋体" w:hAnsi="宋体" w:cs="宋体"/>
          <w:sz w:val="24"/>
        </w:rPr>
        <w:t>12.1.2 第一次谈判报价表；</w:t>
      </w:r>
    </w:p>
    <w:p w14:paraId="35F16EF6">
      <w:pPr>
        <w:pStyle w:val="15"/>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14:paraId="2F24771C">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617DA885">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14:paraId="0B77A505">
      <w:pPr>
        <w:pStyle w:val="5"/>
        <w:spacing w:line="360" w:lineRule="auto"/>
        <w:rPr>
          <w:rFonts w:ascii="宋体" w:hAnsi="宋体" w:cs="宋体"/>
        </w:rPr>
      </w:pPr>
      <w:bookmarkStart w:id="118" w:name="_Toc27931"/>
      <w:bookmarkStart w:id="119" w:name="_Toc23839"/>
      <w:bookmarkStart w:id="120" w:name="_Toc246928909"/>
      <w:bookmarkStart w:id="121" w:name="_Toc7488"/>
      <w:bookmarkStart w:id="122" w:name="_Toc11558"/>
      <w:bookmarkStart w:id="123" w:name="_Toc465958101"/>
      <w:bookmarkStart w:id="124" w:name="_Toc285"/>
      <w:r>
        <w:rPr>
          <w:rFonts w:hint="eastAsia" w:ascii="宋体" w:hAnsi="宋体" w:cs="宋体"/>
        </w:rPr>
        <w:t>13 谈判报价</w:t>
      </w:r>
      <w:bookmarkEnd w:id="118"/>
      <w:bookmarkEnd w:id="119"/>
      <w:bookmarkEnd w:id="120"/>
      <w:bookmarkEnd w:id="121"/>
      <w:bookmarkEnd w:id="122"/>
      <w:bookmarkEnd w:id="123"/>
      <w:bookmarkEnd w:id="124"/>
    </w:p>
    <w:p w14:paraId="7DC9BFCB">
      <w:pPr>
        <w:spacing w:line="360" w:lineRule="auto"/>
        <w:rPr>
          <w:rFonts w:ascii="宋体" w:hAnsi="宋体" w:cs="宋体"/>
          <w:sz w:val="24"/>
        </w:rPr>
      </w:pPr>
      <w:r>
        <w:rPr>
          <w:rFonts w:hint="eastAsia" w:ascii="宋体" w:hAnsi="宋体" w:cs="宋体"/>
          <w:sz w:val="24"/>
        </w:rPr>
        <w:t>13.1 所有谈判均以人民币报价。</w:t>
      </w:r>
    </w:p>
    <w:p w14:paraId="2AAAED80">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079E0BDF">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14:paraId="563DCAF8">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14:paraId="03244D44">
      <w:pPr>
        <w:pStyle w:val="5"/>
        <w:spacing w:line="360" w:lineRule="auto"/>
        <w:rPr>
          <w:rFonts w:ascii="宋体" w:hAnsi="宋体" w:cs="宋体"/>
        </w:rPr>
      </w:pPr>
      <w:bookmarkStart w:id="126" w:name="_Toc10046"/>
      <w:bookmarkStart w:id="127" w:name="_Toc28059"/>
      <w:bookmarkStart w:id="128" w:name="_Toc7647"/>
      <w:bookmarkStart w:id="129" w:name="_Toc14151"/>
      <w:bookmarkStart w:id="130" w:name="_Toc30975"/>
      <w:bookmarkStart w:id="131" w:name="_Toc465958102"/>
      <w:r>
        <w:rPr>
          <w:rFonts w:hint="eastAsia" w:ascii="宋体" w:hAnsi="宋体" w:cs="宋体"/>
        </w:rPr>
        <w:t>14 证明供应商资格的证明文件</w:t>
      </w:r>
      <w:bookmarkEnd w:id="125"/>
      <w:bookmarkEnd w:id="126"/>
      <w:bookmarkEnd w:id="127"/>
      <w:bookmarkEnd w:id="128"/>
      <w:bookmarkEnd w:id="129"/>
      <w:bookmarkEnd w:id="130"/>
      <w:bookmarkEnd w:id="131"/>
    </w:p>
    <w:p w14:paraId="07F106C0">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14:paraId="46809B6A">
      <w:pPr>
        <w:spacing w:line="360" w:lineRule="auto"/>
        <w:rPr>
          <w:rFonts w:ascii="宋体" w:hAnsi="宋体" w:cs="宋体"/>
          <w:sz w:val="24"/>
        </w:rPr>
      </w:pPr>
      <w:r>
        <w:rPr>
          <w:rFonts w:hint="eastAsia" w:ascii="宋体" w:hAnsi="宋体" w:cs="宋体"/>
          <w:sz w:val="24"/>
        </w:rPr>
        <w:t>12.2供应商应具有履行合同所需的财务、技术和生产能力；</w:t>
      </w:r>
    </w:p>
    <w:p w14:paraId="2B5FE532">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14:paraId="02FF5373">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14:paraId="54FAB413">
      <w:pPr>
        <w:pStyle w:val="5"/>
        <w:spacing w:line="360" w:lineRule="auto"/>
        <w:rPr>
          <w:rFonts w:ascii="宋体" w:hAnsi="宋体" w:cs="宋体"/>
        </w:rPr>
      </w:pPr>
      <w:bookmarkStart w:id="132" w:name="_Toc23372"/>
      <w:bookmarkStart w:id="133" w:name="_Toc32534"/>
      <w:bookmarkStart w:id="134" w:name="_Toc7233"/>
      <w:bookmarkStart w:id="135" w:name="_Toc465958103"/>
      <w:bookmarkStart w:id="136" w:name="_Toc246928912"/>
      <w:bookmarkStart w:id="137" w:name="_Toc19118"/>
      <w:bookmarkStart w:id="138" w:name="_Toc28780"/>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14:paraId="52B962C0">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14:paraId="3575CDF8">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14:paraId="58397CEC">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17259C77">
      <w:pPr>
        <w:pStyle w:val="5"/>
        <w:spacing w:line="360" w:lineRule="auto"/>
        <w:rPr>
          <w:rFonts w:ascii="宋体" w:hAnsi="宋体" w:cs="宋体"/>
        </w:rPr>
      </w:pPr>
      <w:bookmarkStart w:id="139" w:name="_Toc465958104"/>
      <w:bookmarkStart w:id="140" w:name="_Toc4194"/>
      <w:bookmarkStart w:id="141" w:name="_Toc246928913"/>
      <w:bookmarkStart w:id="142" w:name="_Toc22564"/>
      <w:bookmarkStart w:id="143" w:name="_Toc6620"/>
      <w:bookmarkStart w:id="144" w:name="_Toc27673"/>
      <w:bookmarkStart w:id="145" w:name="_Toc21933"/>
      <w:r>
        <w:rPr>
          <w:rFonts w:hint="eastAsia" w:ascii="宋体" w:hAnsi="宋体" w:cs="宋体"/>
        </w:rPr>
        <w:t>16 谈判保证金</w:t>
      </w:r>
      <w:bookmarkEnd w:id="139"/>
      <w:bookmarkEnd w:id="140"/>
      <w:bookmarkEnd w:id="141"/>
      <w:bookmarkEnd w:id="142"/>
      <w:bookmarkEnd w:id="143"/>
      <w:bookmarkEnd w:id="144"/>
      <w:bookmarkEnd w:id="145"/>
    </w:p>
    <w:p w14:paraId="09B1E7DA">
      <w:pPr>
        <w:pStyle w:val="5"/>
        <w:spacing w:line="360" w:lineRule="auto"/>
        <w:rPr>
          <w:rFonts w:hint="eastAsia" w:ascii="宋体" w:hAnsi="宋体" w:cs="宋体"/>
          <w:sz w:val="24"/>
          <w:szCs w:val="28"/>
        </w:rPr>
      </w:pPr>
      <w:bookmarkStart w:id="146" w:name="_Toc20201"/>
      <w:bookmarkStart w:id="147" w:name="_Toc22789"/>
      <w:bookmarkStart w:id="148" w:name="_Toc465958105"/>
      <w:bookmarkStart w:id="149" w:name="_Toc246928914"/>
      <w:bookmarkStart w:id="150" w:name="_Toc4576"/>
      <w:bookmarkStart w:id="151" w:name="_Toc8022"/>
      <w:bookmarkStart w:id="152" w:name="_Toc4413"/>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14:paraId="667AD429">
      <w:pPr>
        <w:pStyle w:val="5"/>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14:paraId="5089AD2E">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1188F36C">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14:paraId="11869410">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14:paraId="69811ECA">
      <w:pPr>
        <w:pStyle w:val="5"/>
        <w:spacing w:before="120" w:after="120" w:line="360" w:lineRule="auto"/>
        <w:rPr>
          <w:rFonts w:ascii="宋体" w:hAnsi="宋体" w:cs="宋体"/>
        </w:rPr>
      </w:pPr>
      <w:bookmarkStart w:id="153" w:name="_Toc246928915"/>
      <w:bookmarkStart w:id="154" w:name="_Toc14012"/>
      <w:bookmarkStart w:id="155" w:name="_Toc22552"/>
      <w:bookmarkStart w:id="156" w:name="_Toc17754"/>
      <w:bookmarkStart w:id="157" w:name="_Toc15795"/>
      <w:bookmarkStart w:id="158" w:name="_Toc282"/>
      <w:bookmarkStart w:id="159" w:name="_Toc465958106"/>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14:paraId="46C2F9A3">
      <w:pPr>
        <w:spacing w:line="360" w:lineRule="auto"/>
        <w:rPr>
          <w:rFonts w:ascii="宋体" w:hAnsi="宋体" w:cs="宋体"/>
          <w:sz w:val="24"/>
        </w:rPr>
      </w:pPr>
      <w:r>
        <w:rPr>
          <w:rFonts w:hint="eastAsia" w:ascii="宋体" w:hAnsi="宋体" w:cs="宋体"/>
          <w:sz w:val="24"/>
        </w:rPr>
        <w:t>18.1 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中。谈判响应文件须按规定的顺序编排、并应编制三级及以上目录、逐页标注连续页码，每一页的正下方清楚标明页码。</w:t>
      </w:r>
    </w:p>
    <w:p w14:paraId="647B298F">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23BEC34A">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p>
    <w:p w14:paraId="16813A7A">
      <w:pPr>
        <w:pStyle w:val="10"/>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14:paraId="66819867">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14:paraId="29406F17">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14:paraId="30CCCDF2">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14:paraId="6DA382D0">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14:paraId="41FECBDD">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14:paraId="268C5CF3">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1234906F">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2D6BBFCB">
      <w:pPr>
        <w:pStyle w:val="10"/>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14:paraId="31CF28A5">
      <w:pPr>
        <w:pStyle w:val="4"/>
        <w:spacing w:before="120" w:after="120"/>
        <w:rPr>
          <w:rFonts w:ascii="宋体" w:hAnsi="宋体" w:eastAsia="宋体" w:cs="宋体"/>
          <w:sz w:val="36"/>
        </w:rPr>
      </w:pPr>
      <w:bookmarkStart w:id="160" w:name="_Toc26918"/>
      <w:bookmarkStart w:id="161" w:name="_Toc246928916"/>
      <w:bookmarkStart w:id="162" w:name="_Toc12354"/>
      <w:bookmarkStart w:id="163" w:name="_Toc465958107"/>
      <w:bookmarkStart w:id="164" w:name="_Toc12671"/>
      <w:bookmarkStart w:id="165" w:name="_Toc28593"/>
      <w:r>
        <w:rPr>
          <w:rFonts w:hint="eastAsia" w:ascii="宋体" w:hAnsi="宋体" w:eastAsia="宋体" w:cs="宋体"/>
          <w:sz w:val="36"/>
        </w:rPr>
        <w:t>D 竞争性谈判响应文件的递交</w:t>
      </w:r>
      <w:bookmarkEnd w:id="160"/>
      <w:bookmarkEnd w:id="161"/>
      <w:bookmarkEnd w:id="162"/>
      <w:bookmarkEnd w:id="163"/>
      <w:bookmarkEnd w:id="164"/>
      <w:bookmarkEnd w:id="165"/>
    </w:p>
    <w:p w14:paraId="3059210F">
      <w:pPr>
        <w:pStyle w:val="5"/>
        <w:spacing w:before="120" w:after="120" w:line="360" w:lineRule="auto"/>
        <w:rPr>
          <w:rFonts w:ascii="宋体" w:hAnsi="宋体" w:cs="宋体"/>
        </w:rPr>
      </w:pPr>
      <w:bookmarkStart w:id="166" w:name="_Toc5378"/>
      <w:bookmarkStart w:id="167" w:name="_Toc17004"/>
      <w:bookmarkStart w:id="168" w:name="_Toc246928917"/>
      <w:bookmarkStart w:id="169" w:name="_Toc14296"/>
      <w:bookmarkStart w:id="170" w:name="_Toc22531"/>
      <w:bookmarkStart w:id="171" w:name="_Toc20693"/>
      <w:bookmarkStart w:id="172" w:name="_Toc465958108"/>
      <w:r>
        <w:rPr>
          <w:rFonts w:hint="eastAsia" w:ascii="宋体" w:hAnsi="宋体" w:cs="宋体"/>
        </w:rPr>
        <w:t>19 竞争性谈判响应文件的密封和标记</w:t>
      </w:r>
      <w:bookmarkEnd w:id="166"/>
      <w:bookmarkEnd w:id="167"/>
      <w:bookmarkEnd w:id="168"/>
      <w:bookmarkEnd w:id="169"/>
      <w:bookmarkEnd w:id="170"/>
      <w:bookmarkEnd w:id="171"/>
      <w:bookmarkEnd w:id="172"/>
    </w:p>
    <w:p w14:paraId="7DEAF796">
      <w:pPr>
        <w:spacing w:line="360" w:lineRule="auto"/>
        <w:rPr>
          <w:rFonts w:ascii="宋体" w:hAnsi="宋体" w:cs="仿宋_GB2312"/>
          <w:bCs/>
          <w:sz w:val="24"/>
          <w:szCs w:val="22"/>
        </w:rPr>
      </w:pPr>
      <w:bookmarkStart w:id="173" w:name="_Toc2644"/>
      <w:bookmarkStart w:id="174" w:name="_Toc27391"/>
      <w:bookmarkStart w:id="175" w:name="_Toc246928918"/>
      <w:bookmarkStart w:id="176" w:name="_Toc465958109"/>
      <w:bookmarkStart w:id="177" w:name="_Toc4222"/>
      <w:bookmarkStart w:id="178" w:name="_Toc10052"/>
      <w:bookmarkStart w:id="179" w:name="_Toc27827"/>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14:paraId="354373FA">
      <w:pPr>
        <w:pStyle w:val="5"/>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14:paraId="2ED11593">
      <w:pPr>
        <w:pStyle w:val="15"/>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14:paraId="3EA5C64B">
      <w:pPr>
        <w:pStyle w:val="15"/>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7CFD36A1">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14:paraId="070683BC">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14:paraId="33A0623A">
      <w:pPr>
        <w:pStyle w:val="5"/>
        <w:spacing w:line="360" w:lineRule="auto"/>
        <w:rPr>
          <w:rFonts w:ascii="宋体" w:hAnsi="宋体" w:cs="宋体"/>
        </w:rPr>
      </w:pPr>
      <w:bookmarkStart w:id="180" w:name="_Toc7672"/>
      <w:bookmarkStart w:id="181" w:name="_Toc4701"/>
      <w:bookmarkStart w:id="182" w:name="_Toc29885"/>
      <w:bookmarkStart w:id="183" w:name="_Toc465958110"/>
      <w:bookmarkStart w:id="184" w:name="_Toc13225"/>
      <w:bookmarkStart w:id="185" w:name="_Toc10103"/>
      <w:r>
        <w:rPr>
          <w:rFonts w:hint="eastAsia" w:ascii="宋体" w:hAnsi="宋体" w:cs="宋体"/>
        </w:rPr>
        <w:t>21 竞争性谈判响应文件的修改与撤回</w:t>
      </w:r>
      <w:bookmarkEnd w:id="180"/>
      <w:bookmarkEnd w:id="181"/>
      <w:bookmarkEnd w:id="182"/>
      <w:bookmarkEnd w:id="183"/>
      <w:bookmarkEnd w:id="184"/>
      <w:bookmarkEnd w:id="185"/>
    </w:p>
    <w:p w14:paraId="58946A13">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57C42F49">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14:paraId="08F1DA64">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14:paraId="1535F9B3">
      <w:pPr>
        <w:pStyle w:val="4"/>
        <w:rPr>
          <w:rFonts w:ascii="宋体" w:hAnsi="宋体" w:eastAsia="宋体" w:cs="宋体"/>
          <w:sz w:val="36"/>
        </w:rPr>
      </w:pPr>
      <w:bookmarkStart w:id="186" w:name="_Toc24049"/>
      <w:bookmarkStart w:id="187" w:name="_Toc22666"/>
      <w:bookmarkStart w:id="188" w:name="_Toc21818"/>
      <w:bookmarkStart w:id="189" w:name="_Toc246928919"/>
      <w:bookmarkStart w:id="190" w:name="_Toc465958111"/>
      <w:bookmarkStart w:id="191" w:name="_Toc3199"/>
      <w:r>
        <w:rPr>
          <w:rFonts w:hint="eastAsia" w:ascii="宋体" w:hAnsi="宋体" w:eastAsia="宋体" w:cs="宋体"/>
          <w:sz w:val="36"/>
        </w:rPr>
        <w:t>E 开标与评审</w:t>
      </w:r>
      <w:bookmarkEnd w:id="186"/>
      <w:bookmarkEnd w:id="187"/>
      <w:bookmarkEnd w:id="188"/>
      <w:bookmarkEnd w:id="189"/>
      <w:bookmarkEnd w:id="190"/>
      <w:bookmarkEnd w:id="191"/>
    </w:p>
    <w:p w14:paraId="690A5DFD">
      <w:pPr>
        <w:pStyle w:val="5"/>
        <w:spacing w:line="360" w:lineRule="auto"/>
        <w:rPr>
          <w:rFonts w:ascii="宋体" w:hAnsi="宋体" w:cs="宋体"/>
        </w:rPr>
      </w:pPr>
      <w:bookmarkStart w:id="192" w:name="_Toc246928920"/>
      <w:bookmarkStart w:id="193" w:name="_Toc11145"/>
      <w:bookmarkStart w:id="194" w:name="_Toc25438"/>
      <w:bookmarkStart w:id="195" w:name="_Toc6346"/>
      <w:bookmarkStart w:id="196" w:name="_Toc465958112"/>
      <w:bookmarkStart w:id="197" w:name="_Toc28426"/>
      <w:bookmarkStart w:id="198" w:name="_Toc15292"/>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14:paraId="7F488BE8">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14:paraId="02792230">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14:paraId="4506FEF9">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14:paraId="43E5A370">
      <w:pPr>
        <w:pStyle w:val="15"/>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14:paraId="62FA8070">
      <w:pPr>
        <w:pStyle w:val="5"/>
        <w:spacing w:beforeLines="50" w:afterLines="50" w:line="360" w:lineRule="auto"/>
        <w:rPr>
          <w:rFonts w:ascii="宋体" w:hAnsi="宋体" w:cs="宋体"/>
          <w:sz w:val="30"/>
          <w:szCs w:val="30"/>
        </w:rPr>
      </w:pPr>
      <w:bookmarkStart w:id="199" w:name="_Toc246928923"/>
      <w:bookmarkStart w:id="200" w:name="_Toc32736"/>
      <w:bookmarkStart w:id="201" w:name="_Toc465958115"/>
      <w:bookmarkStart w:id="202" w:name="_Toc9869"/>
      <w:bookmarkStart w:id="203" w:name="_Toc23381"/>
      <w:bookmarkStart w:id="204" w:name="_Toc29724"/>
      <w:bookmarkStart w:id="205" w:name="_Toc30377"/>
      <w:r>
        <w:rPr>
          <w:rFonts w:hint="eastAsia" w:ascii="宋体" w:hAnsi="宋体" w:cs="宋体"/>
          <w:sz w:val="30"/>
          <w:szCs w:val="30"/>
        </w:rPr>
        <w:t>2</w:t>
      </w:r>
      <w:r>
        <w:rPr>
          <w:rFonts w:hint="eastAsia" w:ascii="宋体" w:hAnsi="宋体" w:cs="宋体"/>
          <w:sz w:val="30"/>
          <w:szCs w:val="30"/>
          <w:lang w:val="en-US" w:eastAsia="zh-CN"/>
        </w:rPr>
        <w:t>3</w:t>
      </w:r>
      <w:r>
        <w:rPr>
          <w:rFonts w:hint="eastAsia" w:ascii="宋体" w:hAnsi="宋体" w:cs="宋体"/>
          <w:sz w:val="30"/>
          <w:szCs w:val="30"/>
        </w:rPr>
        <w:t xml:space="preserve"> 谈判小组</w:t>
      </w:r>
    </w:p>
    <w:p w14:paraId="621C55C8">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025C8D4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.2 谈判小组成员由采购人代表和评审专家3人以上单数组成，评审专家人数应占总人数的2/3以上。</w:t>
      </w:r>
    </w:p>
    <w:p w14:paraId="2CE1127B">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.3 谈判小组成员对各供应商竞争性谈判响应文件进行审查、质疑、评估和比较，并推荐出成交候选供应商。</w:t>
      </w:r>
    </w:p>
    <w:p w14:paraId="1B950ACD">
      <w:pPr>
        <w:pStyle w:val="5"/>
        <w:spacing w:line="360" w:lineRule="auto"/>
        <w:rPr>
          <w:rFonts w:ascii="宋体" w:hAnsi="宋体" w:cs="宋体"/>
        </w:rPr>
      </w:pPr>
      <w:r>
        <w:rPr>
          <w:rFonts w:hint="eastAsia" w:ascii="宋体" w:hAnsi="宋体" w:cs="宋体"/>
        </w:rPr>
        <w:t>2</w:t>
      </w:r>
      <w:r>
        <w:rPr>
          <w:rFonts w:hint="eastAsia" w:ascii="宋体" w:hAnsi="宋体" w:cs="宋体"/>
          <w:lang w:val="en-US" w:eastAsia="zh-CN"/>
        </w:rPr>
        <w:t>4</w:t>
      </w:r>
      <w:r>
        <w:rPr>
          <w:rFonts w:hint="eastAsia" w:ascii="宋体" w:hAnsi="宋体" w:cs="宋体"/>
        </w:rPr>
        <w:t>评标</w:t>
      </w:r>
    </w:p>
    <w:p w14:paraId="50E84BE7">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.1谈判小组对供应商进行</w:t>
      </w:r>
      <w:r>
        <w:rPr>
          <w:rFonts w:hint="eastAsia" w:ascii="宋体" w:hAnsi="宋体" w:cs="宋体"/>
          <w:bCs/>
          <w:sz w:val="24"/>
          <w:lang w:val="en-US" w:eastAsia="zh-CN"/>
        </w:rPr>
        <w:t>资格、</w:t>
      </w:r>
      <w:r>
        <w:rPr>
          <w:rFonts w:hint="eastAsia" w:ascii="宋体" w:hAnsi="宋体" w:cs="宋体"/>
          <w:bCs/>
          <w:sz w:val="24"/>
        </w:rPr>
        <w:t>商务、技术符合性审查，审查不合格者不进入下一步评审。</w:t>
      </w:r>
    </w:p>
    <w:p w14:paraId="4E2AB5BA">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159C2B1">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.3 澄清文件将作为竞争性谈判响应文件的一部分。</w:t>
      </w:r>
    </w:p>
    <w:p w14:paraId="2D913B86">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 算术错误将按以下方法更正：</w:t>
      </w:r>
    </w:p>
    <w:p w14:paraId="3B422EA8">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.4.1 竞争性谈判响应文件的大写金额和小写金额不一致的，以大写金额为准；</w:t>
      </w:r>
    </w:p>
    <w:p w14:paraId="39E9D7D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.4.2 总价金额与按单价汇总金额不一致的，以单价金额计算结果为准；</w:t>
      </w:r>
    </w:p>
    <w:p w14:paraId="676DED82">
      <w:pPr>
        <w:spacing w:line="360" w:lineRule="auto"/>
        <w:rPr>
          <w:rFonts w:ascii="宋体" w:hAnsi="宋体" w:cs="宋体"/>
          <w:bCs/>
          <w:sz w:val="24"/>
        </w:rPr>
      </w:pPr>
      <w:r>
        <w:rPr>
          <w:rFonts w:hint="eastAsia" w:ascii="宋体" w:hAnsi="宋体" w:cs="宋体"/>
          <w:bCs/>
          <w:sz w:val="24"/>
          <w:lang w:val="en-US" w:eastAsia="zh-CN"/>
        </w:rPr>
        <w:t>24</w:t>
      </w:r>
      <w:r>
        <w:rPr>
          <w:rFonts w:hint="eastAsia" w:ascii="宋体" w:hAnsi="宋体" w:cs="宋体"/>
          <w:bCs/>
          <w:sz w:val="24"/>
        </w:rPr>
        <w:t>.4.3 单价金额小数点有明显错位的，应当以总价为准，并修改单价；</w:t>
      </w:r>
    </w:p>
    <w:p w14:paraId="30958FE6">
      <w:pPr>
        <w:spacing w:line="360" w:lineRule="auto"/>
        <w:rPr>
          <w:rFonts w:ascii="宋体" w:hAnsi="宋体" w:cs="宋体"/>
          <w:bCs/>
          <w:sz w:val="24"/>
        </w:rPr>
      </w:pPr>
      <w:r>
        <w:rPr>
          <w:rFonts w:hint="eastAsia" w:ascii="宋体" w:hAnsi="宋体" w:cs="宋体"/>
          <w:bCs/>
          <w:sz w:val="24"/>
          <w:lang w:val="en-US" w:eastAsia="zh-CN"/>
        </w:rPr>
        <w:t>24</w:t>
      </w:r>
      <w:r>
        <w:rPr>
          <w:rFonts w:hint="eastAsia" w:ascii="宋体" w:hAnsi="宋体" w:cs="宋体"/>
          <w:bCs/>
          <w:sz w:val="24"/>
        </w:rPr>
        <w:t>.4.4 对不同文字文本竞争性谈判响应文件的解释发生异议的，以中文文本为准；</w:t>
      </w:r>
    </w:p>
    <w:p w14:paraId="51C2E800">
      <w:pPr>
        <w:spacing w:line="360" w:lineRule="auto"/>
        <w:rPr>
          <w:rFonts w:ascii="宋体" w:hAnsi="宋体" w:cs="宋体"/>
          <w:sz w:val="24"/>
        </w:rPr>
      </w:pPr>
      <w:r>
        <w:rPr>
          <w:rFonts w:hint="eastAsia" w:ascii="宋体" w:hAnsi="宋体" w:cs="宋体"/>
          <w:bCs/>
          <w:sz w:val="24"/>
          <w:lang w:val="en-US" w:eastAsia="zh-CN"/>
        </w:rPr>
        <w:t>24</w:t>
      </w:r>
      <w:r>
        <w:rPr>
          <w:rFonts w:hint="eastAsia" w:ascii="宋体" w:hAnsi="宋体" w:cs="宋体"/>
          <w:bCs/>
          <w:sz w:val="24"/>
        </w:rPr>
        <w:t>.4.5 对于供应商不接受对其错误的更改，其谈判属于无效谈判情形。</w:t>
      </w:r>
    </w:p>
    <w:bookmarkEnd w:id="199"/>
    <w:bookmarkEnd w:id="200"/>
    <w:bookmarkEnd w:id="201"/>
    <w:bookmarkEnd w:id="202"/>
    <w:bookmarkEnd w:id="203"/>
    <w:bookmarkEnd w:id="204"/>
    <w:bookmarkEnd w:id="205"/>
    <w:p w14:paraId="61A47747">
      <w:pPr>
        <w:pStyle w:val="5"/>
        <w:spacing w:beforeLines="50" w:afterLines="50" w:line="360" w:lineRule="auto"/>
        <w:rPr>
          <w:rFonts w:ascii="宋体" w:hAnsi="宋体" w:cs="宋体"/>
          <w:sz w:val="30"/>
          <w:szCs w:val="30"/>
        </w:rPr>
      </w:pPr>
      <w:bookmarkStart w:id="206" w:name="_Toc6609"/>
      <w:bookmarkStart w:id="207" w:name="_Toc465958116"/>
      <w:bookmarkStart w:id="208" w:name="_Toc25350"/>
      <w:bookmarkStart w:id="209" w:name="_Toc2865"/>
      <w:bookmarkStart w:id="210" w:name="_Toc246928924"/>
      <w:bookmarkStart w:id="211" w:name="_Toc12911"/>
      <w:bookmarkStart w:id="212" w:name="_Toc8037"/>
      <w:r>
        <w:rPr>
          <w:rFonts w:hint="eastAsia" w:ascii="宋体" w:hAnsi="宋体" w:cs="宋体"/>
          <w:sz w:val="30"/>
          <w:szCs w:val="30"/>
        </w:rPr>
        <w:t>2</w:t>
      </w:r>
      <w:r>
        <w:rPr>
          <w:rFonts w:hint="eastAsia" w:ascii="宋体" w:hAnsi="宋体" w:cs="宋体"/>
          <w:sz w:val="30"/>
          <w:szCs w:val="30"/>
          <w:lang w:val="en-US" w:eastAsia="zh-CN"/>
        </w:rPr>
        <w:t>5</w:t>
      </w:r>
      <w:r>
        <w:rPr>
          <w:rFonts w:hint="eastAsia" w:ascii="宋体" w:hAnsi="宋体" w:cs="宋体"/>
          <w:sz w:val="30"/>
          <w:szCs w:val="30"/>
        </w:rPr>
        <w:t xml:space="preserve"> 竞争性谈判响应文件的评价和比较</w:t>
      </w:r>
    </w:p>
    <w:p w14:paraId="0101CF5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.1 谈判小组将对有效的竞争性谈判响应文件进行评估和比较。</w:t>
      </w:r>
    </w:p>
    <w:p w14:paraId="60308167">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 评审时除考虑谈判报价竞争有利性以外，还将考虑以下因素：</w:t>
      </w:r>
    </w:p>
    <w:p w14:paraId="6B2CB684">
      <w:pPr>
        <w:spacing w:line="360" w:lineRule="auto"/>
        <w:rPr>
          <w:rFonts w:hint="eastAsia" w:ascii="宋体" w:hAnsi="宋体" w:cs="宋体"/>
          <w:sz w:val="24"/>
          <w:szCs w:val="22"/>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bookmarkEnd w:id="206"/>
    <w:bookmarkEnd w:id="207"/>
    <w:bookmarkEnd w:id="208"/>
    <w:bookmarkEnd w:id="209"/>
    <w:bookmarkEnd w:id="210"/>
    <w:bookmarkEnd w:id="211"/>
    <w:bookmarkEnd w:id="212"/>
    <w:p w14:paraId="4B3B4D14">
      <w:pPr>
        <w:spacing w:line="460" w:lineRule="exact"/>
        <w:rPr>
          <w:rFonts w:ascii="宋体" w:hAnsi="宋体" w:cs="宋体"/>
          <w:sz w:val="24"/>
        </w:rPr>
      </w:pPr>
      <w:bookmarkStart w:id="213" w:name="_Toc465958117"/>
      <w:bookmarkStart w:id="214" w:name="_Toc20736"/>
      <w:bookmarkStart w:id="215" w:name="_Toc26106"/>
      <w:bookmarkStart w:id="216" w:name="_Toc20287"/>
      <w:bookmarkStart w:id="217" w:name="_Toc8450"/>
      <w:bookmarkStart w:id="218" w:name="_Toc11926"/>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.2.2承诺的</w:t>
      </w:r>
      <w:r>
        <w:rPr>
          <w:rFonts w:hint="eastAsia" w:ascii="宋体" w:hAnsi="宋体" w:cs="宋体"/>
          <w:sz w:val="24"/>
          <w:lang w:val="en-US" w:eastAsia="zh-CN"/>
        </w:rPr>
        <w:t>服务期</w:t>
      </w:r>
      <w:r>
        <w:rPr>
          <w:rFonts w:hint="eastAsia" w:ascii="宋体" w:hAnsi="宋体" w:cs="宋体"/>
          <w:sz w:val="24"/>
        </w:rPr>
        <w:t>及付款方式；</w:t>
      </w:r>
    </w:p>
    <w:p w14:paraId="31D4A13B">
      <w:pPr>
        <w:spacing w:line="460" w:lineRule="exact"/>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.2.3项目的</w:t>
      </w:r>
      <w:r>
        <w:rPr>
          <w:rFonts w:hint="eastAsia" w:ascii="宋体" w:hAnsi="宋体" w:cs="宋体"/>
          <w:sz w:val="24"/>
          <w:lang w:val="en-US" w:eastAsia="zh-CN"/>
        </w:rPr>
        <w:t>服务</w:t>
      </w:r>
      <w:r>
        <w:rPr>
          <w:rFonts w:hint="eastAsia" w:ascii="宋体" w:hAnsi="宋体" w:cs="宋体"/>
          <w:sz w:val="24"/>
        </w:rPr>
        <w:t>方案的完整合理性；</w:t>
      </w:r>
    </w:p>
    <w:p w14:paraId="0308B653">
      <w:pPr>
        <w:spacing w:line="460" w:lineRule="exact"/>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项目的人员配备情况的合理性；</w:t>
      </w:r>
    </w:p>
    <w:p w14:paraId="144D562D">
      <w:pPr>
        <w:spacing w:line="460" w:lineRule="exact"/>
        <w:rPr>
          <w:rFonts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76DF96D8">
      <w:pPr>
        <w:spacing w:line="460" w:lineRule="exact"/>
        <w:rPr>
          <w:rFonts w:hint="eastAsia"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6</w:t>
      </w:r>
      <w:r>
        <w:rPr>
          <w:rFonts w:hint="eastAsia" w:ascii="宋体" w:hAnsi="宋体" w:cs="宋体"/>
          <w:sz w:val="24"/>
          <w:szCs w:val="22"/>
        </w:rPr>
        <w:t>其他特殊要求因素（如安全及环保等）。</w:t>
      </w:r>
    </w:p>
    <w:p w14:paraId="01D9F06A">
      <w:pPr>
        <w:pStyle w:val="5"/>
        <w:spacing w:beforeLines="50" w:afterLines="50" w:line="360" w:lineRule="auto"/>
        <w:rPr>
          <w:rFonts w:ascii="宋体" w:hAnsi="宋体" w:cs="宋体"/>
          <w:sz w:val="30"/>
          <w:szCs w:val="30"/>
        </w:rPr>
      </w:pPr>
      <w:r>
        <w:rPr>
          <w:rFonts w:hint="eastAsia" w:ascii="宋体" w:hAnsi="宋体" w:cs="宋体"/>
          <w:sz w:val="30"/>
          <w:szCs w:val="30"/>
        </w:rPr>
        <w:t>2</w:t>
      </w:r>
      <w:r>
        <w:rPr>
          <w:rFonts w:hint="eastAsia" w:ascii="宋体" w:hAnsi="宋体" w:cs="宋体"/>
          <w:sz w:val="30"/>
          <w:szCs w:val="30"/>
          <w:lang w:val="en-US" w:eastAsia="zh-CN"/>
        </w:rPr>
        <w:t>6</w:t>
      </w:r>
      <w:r>
        <w:rPr>
          <w:rFonts w:hint="eastAsia" w:ascii="宋体" w:hAnsi="宋体" w:cs="宋体"/>
          <w:sz w:val="30"/>
          <w:szCs w:val="30"/>
        </w:rPr>
        <w:t xml:space="preserve"> 评审原则及主要方法</w:t>
      </w:r>
    </w:p>
    <w:p w14:paraId="5483EE1E">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 谈判小组将遵循公开、公平、公正和择优的原则，禁止不正当竞争。对所有供应商的竞争性谈判响应文件评审，都采用相同的程序和标准。</w:t>
      </w:r>
    </w:p>
    <w:p w14:paraId="2C904805">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4F3394FB">
      <w:pPr>
        <w:pStyle w:val="15"/>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 竞争性谈判响应文件的初步评审（含资格性检查和符合性审查）</w:t>
      </w:r>
    </w:p>
    <w:p w14:paraId="1CBD4712">
      <w:pPr>
        <w:pStyle w:val="15"/>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.3.1 谈判小组将审查竞争性谈判响应文件是否完整、采购人和代理机构审查资格证明文件是否合格，不合格均按无效投标处理。</w:t>
      </w:r>
    </w:p>
    <w:p w14:paraId="74DEE702">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14:paraId="38E0CC5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13A559AD">
      <w:pPr>
        <w:pStyle w:val="10"/>
        <w:adjustRightInd w:val="0"/>
        <w:snapToGrid w:val="0"/>
        <w:spacing w:line="360" w:lineRule="auto"/>
      </w:pPr>
      <w:r>
        <w:rPr>
          <w:rFonts w:hint="eastAsia" w:ascii="宋体" w:hAnsi="宋体" w:cs="宋体"/>
          <w:sz w:val="24"/>
          <w:szCs w:val="24"/>
          <w:lang w:val="en-US" w:eastAsia="zh-CN"/>
        </w:rPr>
        <w:t>26</w:t>
      </w:r>
      <w:r>
        <w:rPr>
          <w:rFonts w:hint="eastAsia" w:ascii="宋体" w:hAnsi="宋体" w:cs="宋体"/>
          <w:sz w:val="24"/>
          <w:szCs w:val="24"/>
        </w:rPr>
        <w:t>.5.1投标单位的投标报价超过采购预算；</w:t>
      </w:r>
    </w:p>
    <w:p w14:paraId="163D1663">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14:paraId="19E79E2C">
      <w:pPr>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14:paraId="6F8AADD2">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14:paraId="2EE9C75A">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14:paraId="599EBC1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.5.6</w:t>
      </w:r>
      <w:r>
        <w:rPr>
          <w:rFonts w:hint="eastAsia" w:ascii="宋体" w:hAnsi="宋体"/>
          <w:sz w:val="24"/>
          <w:lang w:eastAsia="zh-CN"/>
        </w:rPr>
        <w:t>谈判响应文件</w:t>
      </w:r>
      <w:r>
        <w:rPr>
          <w:rFonts w:hint="eastAsia" w:ascii="宋体" w:hAnsi="宋体"/>
          <w:sz w:val="24"/>
        </w:rPr>
        <w:t>的关键内容字迹模糊、无法辨认的；</w:t>
      </w:r>
    </w:p>
    <w:p w14:paraId="08B0ADD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14:paraId="71925A8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14:paraId="5B08ECC4">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14:paraId="6A43EA95">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.5.10投标报价大于项目预算或与市场价偏离较大，低于成本，形成不正当竞争的；</w:t>
      </w:r>
    </w:p>
    <w:p w14:paraId="491B6581">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14:paraId="1DC0242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.5.12逾期提交电子响应文件；</w:t>
      </w:r>
    </w:p>
    <w:p w14:paraId="35CB93A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.5.13提交的响应文件与本项目不相符；</w:t>
      </w:r>
    </w:p>
    <w:p w14:paraId="66205AF8">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.5.14供应商拒绝对电子响应文件进行解密；</w:t>
      </w:r>
    </w:p>
    <w:p w14:paraId="1D04D87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.5.15因供应商自身原因（如未带 CA 锁、或所带 CA 锁与制作电子响应文件使用的 CA锁不一致、或沿用旧版谈判文件编制响应文件等情形），导致在规定时间内无法解密响应文件；</w:t>
      </w:r>
    </w:p>
    <w:p w14:paraId="2B67345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.5.16上传的电子响应文件无法打开。</w:t>
      </w:r>
    </w:p>
    <w:p w14:paraId="49F9DE30">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.5.17谈判文件规定的其他要求。</w:t>
      </w:r>
    </w:p>
    <w:bookmarkEnd w:id="213"/>
    <w:bookmarkEnd w:id="214"/>
    <w:bookmarkEnd w:id="215"/>
    <w:bookmarkEnd w:id="216"/>
    <w:bookmarkEnd w:id="217"/>
    <w:bookmarkEnd w:id="218"/>
    <w:p w14:paraId="6B136AA7">
      <w:pPr>
        <w:pStyle w:val="5"/>
        <w:spacing w:beforeLines="50" w:afterLines="50" w:line="360" w:lineRule="auto"/>
        <w:rPr>
          <w:rFonts w:ascii="宋体" w:hAnsi="宋体" w:cs="宋体"/>
          <w:sz w:val="30"/>
          <w:szCs w:val="30"/>
        </w:rPr>
      </w:pPr>
      <w:bookmarkStart w:id="219" w:name="_Toc497551782"/>
      <w:bookmarkStart w:id="220" w:name="_Toc389620199"/>
      <w:bookmarkStart w:id="221" w:name="_Toc492955421"/>
      <w:bookmarkStart w:id="222" w:name="_Toc465958118"/>
      <w:bookmarkStart w:id="223" w:name="_Toc497711547"/>
      <w:bookmarkStart w:id="224" w:name="_Toc385992360"/>
      <w:bookmarkStart w:id="225" w:name="_Toc24562"/>
      <w:bookmarkStart w:id="226" w:name="_Toc497712095"/>
      <w:bookmarkStart w:id="227" w:name="_Toc497546880"/>
      <w:bookmarkStart w:id="228" w:name="_Toc25216"/>
      <w:bookmarkStart w:id="229" w:name="_Toc246928925"/>
      <w:bookmarkStart w:id="230" w:name="_Toc4915"/>
      <w:bookmarkStart w:id="231" w:name="_Toc2448"/>
      <w:r>
        <w:rPr>
          <w:rFonts w:hint="eastAsia" w:ascii="宋体" w:hAnsi="宋体" w:cs="宋体"/>
          <w:sz w:val="30"/>
          <w:szCs w:val="30"/>
        </w:rPr>
        <w:t>2</w:t>
      </w:r>
      <w:r>
        <w:rPr>
          <w:rFonts w:hint="eastAsia" w:ascii="宋体" w:hAnsi="宋体" w:cs="宋体"/>
          <w:sz w:val="30"/>
          <w:szCs w:val="30"/>
          <w:lang w:val="en-US" w:eastAsia="zh-CN"/>
        </w:rPr>
        <w:t>7</w:t>
      </w:r>
      <w:r>
        <w:rPr>
          <w:rFonts w:hint="eastAsia" w:ascii="宋体" w:hAnsi="宋体" w:cs="宋体"/>
          <w:sz w:val="30"/>
          <w:szCs w:val="30"/>
        </w:rPr>
        <w:t xml:space="preserve"> 谈判</w:t>
      </w:r>
    </w:p>
    <w:p w14:paraId="33448475">
      <w:pPr>
        <w:adjustRightInd w:val="0"/>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.1谈判过程依次为记录第一次谈判投标报价（不对供应商公布）、竞争性谈判响应文件资格性审查、符合性审查、谈判与承诺、最后报价五个阶段。</w:t>
      </w:r>
    </w:p>
    <w:p w14:paraId="77BA9270">
      <w:pPr>
        <w:adjustRightInd w:val="0"/>
        <w:spacing w:line="360" w:lineRule="auto"/>
        <w:ind w:firstLine="480" w:firstLineChars="200"/>
        <w:rPr>
          <w:rFonts w:ascii="宋体" w:hAnsi="宋体" w:cs="宋体"/>
          <w:sz w:val="24"/>
        </w:rPr>
      </w:pPr>
      <w:r>
        <w:rPr>
          <w:rFonts w:hint="eastAsia" w:ascii="宋体" w:hAnsi="宋体" w:cs="宋体"/>
          <w:sz w:val="24"/>
        </w:rPr>
        <w:t>谈判小组对于各个供应商的竞争性谈判响应文件进行</w:t>
      </w:r>
      <w:r>
        <w:rPr>
          <w:rFonts w:hint="eastAsia" w:ascii="宋体" w:hAnsi="宋体" w:cs="宋体"/>
          <w:sz w:val="24"/>
          <w:lang w:val="en-US" w:eastAsia="zh-CN"/>
        </w:rPr>
        <w:t>资格性、</w:t>
      </w:r>
      <w:r>
        <w:rPr>
          <w:rFonts w:hint="eastAsia" w:ascii="宋体" w:hAnsi="宋体" w:cs="宋体"/>
          <w:sz w:val="24"/>
        </w:rPr>
        <w:t>符合性审查，审查不合格者不进入下一步评审。</w:t>
      </w:r>
    </w:p>
    <w:p w14:paraId="38A1C455">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512B3F7A">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603AC9E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.2谈判后，供应商应按谈判小组规定的时间进行最后报价，各供应商请携带电脑现场进行最后报价，最后报价现场不对供应商公布。该谈判报价为不可更改价格，作为谈判小组推荐成交候选人的依据。</w:t>
      </w:r>
    </w:p>
    <w:p w14:paraId="2A6610F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.3特殊情况处理：按相关法律法规执行。</w:t>
      </w:r>
    </w:p>
    <w:p w14:paraId="617875E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 xml:space="preserve">.4评审方法：谈判小组从质量和服务均能满足采购文件实质性响应要求的供应商中，按照最后报价由低到高的顺序提出成交候选人。 </w:t>
      </w:r>
    </w:p>
    <w:p w14:paraId="12180836">
      <w:pPr>
        <w:pStyle w:val="4"/>
        <w:spacing w:before="120" w:after="120"/>
        <w:rPr>
          <w:rFonts w:ascii="宋体" w:hAnsi="宋体" w:eastAsia="宋体" w:cs="宋体"/>
          <w:sz w:val="36"/>
        </w:rPr>
      </w:pPr>
      <w:r>
        <w:rPr>
          <w:rFonts w:hint="eastAsia" w:ascii="宋体" w:hAnsi="宋体" w:eastAsia="宋体" w:cs="宋体"/>
          <w:sz w:val="36"/>
        </w:rPr>
        <w:t>F</w:t>
      </w:r>
      <w:bookmarkStart w:id="232" w:name="_Hlt491765714"/>
      <w:bookmarkEnd w:id="232"/>
      <w:r>
        <w:rPr>
          <w:rFonts w:hint="eastAsia" w:ascii="宋体" w:hAnsi="宋体" w:eastAsia="宋体" w:cs="宋体"/>
          <w:sz w:val="36"/>
        </w:rPr>
        <w:t xml:space="preserve"> </w:t>
      </w:r>
      <w:bookmarkStart w:id="233" w:name="_Hlt497547134"/>
      <w:bookmarkEnd w:id="233"/>
      <w:r>
        <w:rPr>
          <w:rFonts w:hint="eastAsia" w:ascii="宋体" w:hAnsi="宋体" w:eastAsia="宋体" w:cs="宋体"/>
          <w:sz w:val="36"/>
        </w:rPr>
        <w:t>授予合同</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2E547D36">
      <w:pPr>
        <w:pStyle w:val="5"/>
        <w:spacing w:beforeLines="50" w:afterLines="50" w:line="360" w:lineRule="auto"/>
        <w:rPr>
          <w:rFonts w:ascii="宋体" w:hAnsi="宋体" w:cs="宋体"/>
          <w:sz w:val="30"/>
          <w:szCs w:val="30"/>
        </w:rPr>
      </w:pPr>
      <w:bookmarkStart w:id="234" w:name="_Toc30376"/>
      <w:bookmarkStart w:id="235" w:name="_Toc246928926"/>
      <w:bookmarkStart w:id="236" w:name="_Toc264"/>
      <w:bookmarkStart w:id="237" w:name="_Toc9423"/>
      <w:bookmarkStart w:id="238" w:name="_Toc389620200"/>
      <w:bookmarkStart w:id="239" w:name="_Toc465958119"/>
      <w:bookmarkStart w:id="240" w:name="_Toc385992361"/>
      <w:bookmarkStart w:id="241" w:name="_Toc17220"/>
      <w:bookmarkStart w:id="242" w:name="_Toc21436"/>
      <w:bookmarkStart w:id="243" w:name="_Toc389620205"/>
      <w:bookmarkStart w:id="244" w:name="_Toc30811"/>
      <w:bookmarkStart w:id="245" w:name="_Toc465958121"/>
      <w:bookmarkStart w:id="246" w:name="_Toc246928928"/>
      <w:bookmarkStart w:id="247" w:name="_Toc6603"/>
      <w:bookmarkStart w:id="248" w:name="_Toc15641"/>
      <w:bookmarkStart w:id="249" w:name="_Toc5090"/>
      <w:bookmarkStart w:id="250" w:name="_Toc385992366"/>
      <w:bookmarkStart w:id="251" w:name="_Toc9330"/>
      <w:r>
        <w:rPr>
          <w:rFonts w:hint="eastAsia" w:ascii="宋体" w:hAnsi="宋体" w:cs="宋体"/>
          <w:sz w:val="30"/>
          <w:szCs w:val="30"/>
        </w:rPr>
        <w:t>2</w:t>
      </w:r>
      <w:r>
        <w:rPr>
          <w:rFonts w:hint="eastAsia" w:ascii="宋体" w:hAnsi="宋体" w:cs="宋体"/>
          <w:sz w:val="30"/>
          <w:szCs w:val="30"/>
          <w:lang w:val="en-US" w:eastAsia="zh-CN"/>
        </w:rPr>
        <w:t>8</w:t>
      </w:r>
      <w:r>
        <w:rPr>
          <w:rFonts w:hint="eastAsia" w:ascii="宋体" w:hAnsi="宋体" w:cs="宋体"/>
          <w:sz w:val="30"/>
          <w:szCs w:val="30"/>
        </w:rPr>
        <w:t xml:space="preserve"> 成交准则</w:t>
      </w:r>
      <w:bookmarkEnd w:id="234"/>
      <w:bookmarkEnd w:id="235"/>
      <w:bookmarkEnd w:id="236"/>
      <w:bookmarkEnd w:id="237"/>
      <w:bookmarkEnd w:id="238"/>
      <w:bookmarkEnd w:id="239"/>
      <w:bookmarkEnd w:id="240"/>
      <w:bookmarkEnd w:id="241"/>
      <w:bookmarkEnd w:id="242"/>
    </w:p>
    <w:p w14:paraId="0B01FD3F">
      <w:pPr>
        <w:spacing w:before="120"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.1合同将授予竞争性谈判响应文件符合竞争性谈判文件要求、并能圆满地履行合同、对采购人最为有利且价格最低的供应商。</w:t>
      </w:r>
    </w:p>
    <w:p w14:paraId="08C3DCE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.2谈判小组将根据评审方法推荐成交候选供应商名单。</w:t>
      </w:r>
      <w:bookmarkStart w:id="252" w:name="_Toc389620201"/>
      <w:bookmarkStart w:id="253" w:name="_Toc385992362"/>
    </w:p>
    <w:p w14:paraId="3B37E495">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.3采购代理机构在评审结束后将评审报告送采购人，采购人在收到评审报告后按照评审报告中推荐的成交候选供应商顺序确定成交供应商。</w:t>
      </w:r>
    </w:p>
    <w:p w14:paraId="2B9EFB2D">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.4成交供应商因不可抗力或自身原因不能履行政府采购合同的，采购人可以再排位在成交供应商之后的第一位的成交候选供应商签订政府采购合同，以此类推。</w:t>
      </w:r>
    </w:p>
    <w:bookmarkEnd w:id="252"/>
    <w:bookmarkEnd w:id="253"/>
    <w:p w14:paraId="3E7E2BB4">
      <w:pPr>
        <w:pStyle w:val="5"/>
        <w:spacing w:beforeLines="50" w:afterLines="50" w:line="360" w:lineRule="auto"/>
        <w:rPr>
          <w:rFonts w:ascii="宋体" w:hAnsi="宋体" w:cs="宋体"/>
          <w:sz w:val="30"/>
          <w:szCs w:val="30"/>
        </w:rPr>
      </w:pPr>
      <w:bookmarkStart w:id="254" w:name="_Toc246928927"/>
      <w:bookmarkStart w:id="255" w:name="_Toc19328"/>
      <w:bookmarkStart w:id="256" w:name="_Toc30974"/>
      <w:bookmarkStart w:id="257" w:name="_Toc21691"/>
      <w:bookmarkStart w:id="258" w:name="_Toc19435"/>
      <w:bookmarkStart w:id="259" w:name="_Toc465958120"/>
      <w:bookmarkStart w:id="260" w:name="_Toc12205"/>
      <w:r>
        <w:rPr>
          <w:rFonts w:hint="eastAsia" w:ascii="宋体" w:hAnsi="宋体" w:cs="宋体"/>
          <w:sz w:val="30"/>
          <w:szCs w:val="30"/>
          <w:lang w:val="en-US" w:eastAsia="zh-CN"/>
        </w:rPr>
        <w:t>29</w:t>
      </w:r>
      <w:r>
        <w:rPr>
          <w:rFonts w:hint="eastAsia" w:ascii="宋体" w:hAnsi="宋体" w:cs="宋体"/>
          <w:sz w:val="30"/>
          <w:szCs w:val="30"/>
        </w:rPr>
        <w:t>成交通知</w:t>
      </w:r>
      <w:bookmarkEnd w:id="254"/>
      <w:r>
        <w:rPr>
          <w:rFonts w:hint="eastAsia" w:ascii="宋体" w:hAnsi="宋体" w:cs="宋体"/>
          <w:sz w:val="30"/>
          <w:szCs w:val="30"/>
        </w:rPr>
        <w:t>书</w:t>
      </w:r>
      <w:bookmarkEnd w:id="255"/>
      <w:bookmarkEnd w:id="256"/>
      <w:bookmarkEnd w:id="257"/>
      <w:bookmarkEnd w:id="258"/>
      <w:bookmarkEnd w:id="259"/>
      <w:bookmarkEnd w:id="260"/>
    </w:p>
    <w:p w14:paraId="5CB19CF2">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.1 在谈判有效期内，确定成交供应商后，成交结果在财政部门指定的政府采购信息发布媒体上公告。</w:t>
      </w:r>
    </w:p>
    <w:p w14:paraId="56354CBD">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 xml:space="preserve">.2 采购代理机构向成交供应商发出成交通知书。 </w:t>
      </w:r>
    </w:p>
    <w:p w14:paraId="582E7B45">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.3 成交通知书将作为签订合同的依据。</w:t>
      </w:r>
    </w:p>
    <w:p w14:paraId="3BE2867F">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.4 对未成交者，采购人不做出解释，同时亦不退还竞争性谈判响应文件。</w:t>
      </w:r>
    </w:p>
    <w:bookmarkEnd w:id="243"/>
    <w:bookmarkEnd w:id="244"/>
    <w:bookmarkEnd w:id="245"/>
    <w:bookmarkEnd w:id="246"/>
    <w:bookmarkEnd w:id="247"/>
    <w:bookmarkEnd w:id="248"/>
    <w:bookmarkEnd w:id="249"/>
    <w:bookmarkEnd w:id="250"/>
    <w:bookmarkEnd w:id="251"/>
    <w:p w14:paraId="5FAB6C75">
      <w:pPr>
        <w:pStyle w:val="5"/>
        <w:spacing w:beforeLines="50" w:afterLines="50" w:line="360" w:lineRule="auto"/>
        <w:rPr>
          <w:rFonts w:ascii="宋体" w:hAnsi="宋体" w:cs="宋体"/>
          <w:sz w:val="30"/>
          <w:szCs w:val="30"/>
        </w:rPr>
      </w:pPr>
      <w:bookmarkStart w:id="261" w:name="_Toc385992368"/>
      <w:bookmarkStart w:id="262" w:name="_Toc389620207"/>
      <w:bookmarkStart w:id="263" w:name="_Toc23291"/>
      <w:bookmarkStart w:id="264" w:name="_Toc9873"/>
      <w:bookmarkStart w:id="265" w:name="_Toc11754"/>
      <w:bookmarkStart w:id="266" w:name="_Toc20377"/>
      <w:bookmarkStart w:id="267" w:name="_Toc246928929"/>
      <w:bookmarkStart w:id="268" w:name="_Toc465958122"/>
      <w:bookmarkStart w:id="269" w:name="_Toc23493"/>
      <w:r>
        <w:rPr>
          <w:rFonts w:hint="eastAsia" w:ascii="宋体" w:hAnsi="宋体" w:cs="宋体"/>
          <w:sz w:val="30"/>
          <w:szCs w:val="30"/>
        </w:rPr>
        <w:t>3</w:t>
      </w:r>
      <w:r>
        <w:rPr>
          <w:rFonts w:hint="eastAsia" w:ascii="宋体" w:hAnsi="宋体" w:cs="宋体"/>
          <w:sz w:val="30"/>
          <w:szCs w:val="30"/>
          <w:lang w:val="en-US" w:eastAsia="zh-CN"/>
        </w:rPr>
        <w:t>0</w:t>
      </w:r>
      <w:r>
        <w:rPr>
          <w:rFonts w:hint="eastAsia" w:ascii="宋体" w:hAnsi="宋体" w:cs="宋体"/>
          <w:sz w:val="30"/>
          <w:szCs w:val="30"/>
        </w:rPr>
        <w:t xml:space="preserve"> 签订合同</w:t>
      </w:r>
    </w:p>
    <w:p w14:paraId="7FDD19B4">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14:paraId="0BFACDFB">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.2 竞争性谈判文件、成交供应商的竞争性谈判响应文件和补充文件（如澄清、承诺等）等，均为签订合同的依据。所签订的合同不得对竞争性谈判文件和成交供应商竞争性谈判响应文件作实质性修改。</w:t>
      </w:r>
    </w:p>
    <w:bookmarkEnd w:id="261"/>
    <w:bookmarkEnd w:id="262"/>
    <w:bookmarkEnd w:id="263"/>
    <w:bookmarkEnd w:id="264"/>
    <w:bookmarkEnd w:id="265"/>
    <w:bookmarkEnd w:id="266"/>
    <w:bookmarkEnd w:id="267"/>
    <w:bookmarkEnd w:id="268"/>
    <w:bookmarkEnd w:id="269"/>
    <w:p w14:paraId="77F7BD94">
      <w:pPr>
        <w:pStyle w:val="5"/>
        <w:spacing w:beforeLines="50" w:afterLines="50" w:line="360" w:lineRule="auto"/>
        <w:rPr>
          <w:rFonts w:ascii="宋体" w:hAnsi="宋体" w:cs="宋体"/>
          <w:sz w:val="30"/>
          <w:szCs w:val="30"/>
        </w:rPr>
      </w:pPr>
      <w:r>
        <w:rPr>
          <w:rFonts w:hint="eastAsia" w:ascii="宋体" w:hAnsi="宋体" w:cs="宋体"/>
          <w:sz w:val="30"/>
          <w:szCs w:val="30"/>
        </w:rPr>
        <w:t>3</w:t>
      </w:r>
      <w:r>
        <w:rPr>
          <w:rFonts w:hint="eastAsia" w:ascii="宋体" w:hAnsi="宋体" w:cs="宋体"/>
          <w:sz w:val="30"/>
          <w:szCs w:val="30"/>
          <w:lang w:val="en-US" w:eastAsia="zh-CN"/>
        </w:rPr>
        <w:t>1</w:t>
      </w:r>
      <w:r>
        <w:rPr>
          <w:rFonts w:hint="eastAsia" w:ascii="宋体" w:hAnsi="宋体" w:cs="宋体"/>
          <w:sz w:val="30"/>
          <w:szCs w:val="30"/>
        </w:rPr>
        <w:t xml:space="preserve"> 招标代理服务费 </w:t>
      </w:r>
    </w:p>
    <w:p w14:paraId="2F3AF478">
      <w:pPr>
        <w:spacing w:line="360" w:lineRule="auto"/>
        <w:rPr>
          <w:rFonts w:ascii="宋体" w:hAnsi="宋体" w:cs="仿宋_GB2312"/>
          <w:sz w:val="24"/>
          <w:szCs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 xml:space="preserve">.1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14:paraId="4B5E5C52">
      <w:pPr>
        <w:spacing w:line="360" w:lineRule="auto"/>
        <w:rPr>
          <w:rFonts w:ascii="宋体" w:hAnsi="宋体" w:cs="宋体"/>
          <w:sz w:val="24"/>
          <w:highlight w:val="yellow"/>
        </w:rPr>
      </w:pPr>
      <w:r>
        <w:rPr>
          <w:rFonts w:hint="eastAsia" w:ascii="宋体" w:hAnsi="宋体" w:cs="仿宋_GB2312"/>
          <w:sz w:val="24"/>
          <w:szCs w:val="24"/>
          <w:lang w:val="en-US" w:eastAsia="zh-CN"/>
        </w:rPr>
        <w:t>31</w:t>
      </w:r>
      <w:r>
        <w:rPr>
          <w:rFonts w:hint="eastAsia" w:ascii="宋体" w:hAnsi="宋体" w:cs="仿宋_GB2312"/>
          <w:sz w:val="24"/>
          <w:szCs w:val="24"/>
        </w:rPr>
        <w:t>.2  成交单位在领取成交通知书前，须向采购代理机构一次性支付招标代理服务费。</w:t>
      </w:r>
    </w:p>
    <w:p w14:paraId="239F72D7">
      <w:pPr>
        <w:pStyle w:val="5"/>
        <w:spacing w:before="120" w:after="120" w:line="360" w:lineRule="auto"/>
        <w:rPr>
          <w:rFonts w:ascii="宋体" w:hAnsi="宋体" w:cs="宋体"/>
          <w:szCs w:val="22"/>
        </w:rPr>
      </w:pPr>
      <w:bookmarkStart w:id="270" w:name="_Hlt497548036"/>
      <w:bookmarkEnd w:id="270"/>
      <w:bookmarkStart w:id="271" w:name="_Toc492955459"/>
      <w:bookmarkStart w:id="272" w:name="_Toc10852"/>
      <w:bookmarkStart w:id="273" w:name="_Toc28607"/>
      <w:bookmarkStart w:id="274" w:name="_Toc347478708"/>
      <w:bookmarkStart w:id="275" w:name="_Toc497551820"/>
      <w:bookmarkStart w:id="276" w:name="_Toc497712133"/>
      <w:bookmarkStart w:id="277" w:name="_Toc9748"/>
      <w:bookmarkStart w:id="278" w:name="_Toc93800308"/>
      <w:bookmarkStart w:id="279" w:name="_Toc13928"/>
      <w:bookmarkStart w:id="280" w:name="_Toc497546918"/>
      <w:bookmarkStart w:id="281" w:name="_Toc497711585"/>
      <w:bookmarkStart w:id="282" w:name="_Toc497711586"/>
      <w:bookmarkStart w:id="283" w:name="_Toc389620242"/>
      <w:bookmarkStart w:id="284" w:name="_Toc497551821"/>
      <w:bookmarkStart w:id="285" w:name="_Toc492955460"/>
      <w:bookmarkStart w:id="286" w:name="_Toc497712134"/>
      <w:bookmarkStart w:id="287" w:name="_Toc497546919"/>
      <w:bookmarkStart w:id="288" w:name="_Toc246928960"/>
      <w:bookmarkStart w:id="289" w:name="_Toc385992402"/>
      <w:r>
        <w:rPr>
          <w:rFonts w:hint="eastAsia" w:ascii="宋体" w:hAnsi="宋体" w:cs="宋体"/>
          <w:szCs w:val="22"/>
        </w:rPr>
        <w:t>3</w:t>
      </w:r>
      <w:r>
        <w:rPr>
          <w:rFonts w:hint="eastAsia" w:ascii="宋体" w:hAnsi="宋体" w:cs="宋体"/>
          <w:szCs w:val="22"/>
          <w:lang w:val="en-US" w:eastAsia="zh-CN"/>
        </w:rPr>
        <w:t>2</w:t>
      </w:r>
      <w:r>
        <w:rPr>
          <w:rFonts w:hint="eastAsia" w:ascii="宋体" w:hAnsi="宋体" w:cs="宋体"/>
          <w:szCs w:val="22"/>
        </w:rPr>
        <w:t xml:space="preserve"> 其他</w:t>
      </w:r>
    </w:p>
    <w:p w14:paraId="78A7F82E">
      <w:pPr>
        <w:spacing w:line="360" w:lineRule="auto"/>
        <w:ind w:firstLine="480" w:firstLineChars="200"/>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2DF92B3A">
      <w:pPr>
        <w:pStyle w:val="5"/>
        <w:spacing w:before="120" w:after="120" w:line="360" w:lineRule="auto"/>
        <w:rPr>
          <w:rFonts w:ascii="宋体" w:hAnsi="宋体" w:cs="宋体"/>
          <w:szCs w:val="22"/>
        </w:rPr>
      </w:pPr>
      <w:r>
        <w:rPr>
          <w:rFonts w:hint="eastAsia" w:ascii="宋体" w:hAnsi="宋体" w:cs="宋体"/>
          <w:szCs w:val="22"/>
        </w:rPr>
        <w:t>3</w:t>
      </w:r>
      <w:r>
        <w:rPr>
          <w:rFonts w:hint="eastAsia" w:ascii="宋体" w:hAnsi="宋体" w:cs="宋体"/>
          <w:szCs w:val="22"/>
          <w:lang w:val="en-US" w:eastAsia="zh-CN"/>
        </w:rPr>
        <w:t>3</w:t>
      </w:r>
      <w:r>
        <w:rPr>
          <w:rFonts w:hint="eastAsia" w:ascii="宋体" w:hAnsi="宋体" w:cs="宋体"/>
          <w:szCs w:val="22"/>
        </w:rPr>
        <w:t xml:space="preserve"> 质疑提出与答复</w:t>
      </w:r>
    </w:p>
    <w:p w14:paraId="6D94FB62">
      <w:pPr>
        <w:pStyle w:val="19"/>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2EEBAF03">
      <w:pPr>
        <w:pStyle w:val="19"/>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6E826843">
      <w:pPr>
        <w:pStyle w:val="19"/>
        <w:adjustRightInd w:val="0"/>
        <w:snapToGrid w:val="0"/>
        <w:spacing w:before="0" w:beforeAutospacing="0" w:after="0" w:afterAutospacing="0" w:line="420" w:lineRule="exact"/>
        <w:ind w:firstLine="360" w:firstLineChars="150"/>
      </w:pPr>
      <w:r>
        <w:rPr>
          <w:rFonts w:hint="eastAsia"/>
        </w:rPr>
        <w:t>《政府采购供应商质疑函范本》链接地址：</w:t>
      </w:r>
    </w:p>
    <w:p w14:paraId="0E61AD4C">
      <w:pPr>
        <w:pStyle w:val="19"/>
        <w:adjustRightInd w:val="0"/>
        <w:snapToGrid w:val="0"/>
        <w:spacing w:before="0" w:beforeAutospacing="0" w:after="0" w:afterAutospacing="0" w:line="420" w:lineRule="exact"/>
        <w:ind w:firstLine="360" w:firstLineChars="150"/>
      </w:pPr>
      <w:r>
        <w:rPr>
          <w:rFonts w:hint="eastAsia"/>
        </w:rPr>
        <w:t>http://www.mof.gov.cn/gp/xxgkml/gks/201802/t20180201_2804587.htm</w:t>
      </w:r>
    </w:p>
    <w:p w14:paraId="46DCE7A3">
      <w:pPr>
        <w:pStyle w:val="19"/>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0BCDC1B8">
      <w:pPr>
        <w:pStyle w:val="19"/>
        <w:adjustRightInd w:val="0"/>
        <w:snapToGrid w:val="0"/>
        <w:spacing w:before="0" w:beforeAutospacing="0" w:after="0" w:afterAutospacing="0" w:line="420" w:lineRule="exact"/>
        <w:ind w:firstLine="360" w:firstLineChars="150"/>
      </w:pPr>
      <w:r>
        <w:rPr>
          <w:rFonts w:hint="eastAsia"/>
        </w:rPr>
        <w:t>2.1质疑函应当包括下列内容：</w:t>
      </w:r>
    </w:p>
    <w:p w14:paraId="717C927E">
      <w:pPr>
        <w:pStyle w:val="19"/>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48CC9681">
      <w:pPr>
        <w:pStyle w:val="19"/>
        <w:adjustRightInd w:val="0"/>
        <w:snapToGrid w:val="0"/>
        <w:spacing w:before="0" w:beforeAutospacing="0" w:after="0" w:afterAutospacing="0" w:line="420" w:lineRule="exact"/>
        <w:ind w:firstLine="360" w:firstLineChars="150"/>
      </w:pPr>
      <w:r>
        <w:rPr>
          <w:rFonts w:hint="eastAsia"/>
        </w:rPr>
        <w:t>（2）质疑项目的名称、编号；</w:t>
      </w:r>
    </w:p>
    <w:p w14:paraId="236A1642">
      <w:pPr>
        <w:pStyle w:val="19"/>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14:paraId="358ADBA1">
      <w:pPr>
        <w:pStyle w:val="19"/>
        <w:adjustRightInd w:val="0"/>
        <w:snapToGrid w:val="0"/>
        <w:spacing w:before="0" w:beforeAutospacing="0" w:after="0" w:afterAutospacing="0" w:line="420" w:lineRule="exact"/>
        <w:ind w:firstLine="360" w:firstLineChars="150"/>
      </w:pPr>
      <w:r>
        <w:rPr>
          <w:rFonts w:hint="eastAsia"/>
        </w:rPr>
        <w:t>（4）事实依据；</w:t>
      </w:r>
    </w:p>
    <w:p w14:paraId="36969206">
      <w:pPr>
        <w:pStyle w:val="19"/>
        <w:adjustRightInd w:val="0"/>
        <w:snapToGrid w:val="0"/>
        <w:spacing w:before="0" w:beforeAutospacing="0" w:after="0" w:afterAutospacing="0" w:line="420" w:lineRule="exact"/>
        <w:ind w:firstLine="360" w:firstLineChars="150"/>
      </w:pPr>
      <w:r>
        <w:rPr>
          <w:rFonts w:hint="eastAsia"/>
        </w:rPr>
        <w:t>（5）必要的法律依据；</w:t>
      </w:r>
    </w:p>
    <w:p w14:paraId="54B15216">
      <w:pPr>
        <w:pStyle w:val="19"/>
        <w:adjustRightInd w:val="0"/>
        <w:snapToGrid w:val="0"/>
        <w:spacing w:before="0" w:beforeAutospacing="0" w:after="0" w:afterAutospacing="0" w:line="420" w:lineRule="exact"/>
        <w:ind w:firstLine="360" w:firstLineChars="150"/>
      </w:pPr>
      <w:r>
        <w:rPr>
          <w:rFonts w:hint="eastAsia"/>
        </w:rPr>
        <w:t xml:space="preserve">（6）提出质疑的日期。 </w:t>
      </w:r>
    </w:p>
    <w:p w14:paraId="4B2A2983">
      <w:pPr>
        <w:pStyle w:val="19"/>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079DC479">
      <w:pPr>
        <w:pStyle w:val="19"/>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14:paraId="1B466F3F">
      <w:pPr>
        <w:pStyle w:val="19"/>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14:paraId="43DD728F">
      <w:pPr>
        <w:pStyle w:val="19"/>
        <w:adjustRightInd w:val="0"/>
        <w:snapToGrid w:val="0"/>
        <w:spacing w:before="0" w:beforeAutospacing="0" w:after="0" w:afterAutospacing="0" w:line="420" w:lineRule="exact"/>
        <w:ind w:firstLine="360" w:firstLineChars="150"/>
      </w:pPr>
      <w:r>
        <w:rPr>
          <w:rFonts w:hint="eastAsia"/>
        </w:rPr>
        <w:t>（2）质疑人与质疑事项不存在利害关系的；</w:t>
      </w:r>
    </w:p>
    <w:p w14:paraId="55FE46DF">
      <w:pPr>
        <w:pStyle w:val="19"/>
        <w:adjustRightInd w:val="0"/>
        <w:snapToGrid w:val="0"/>
        <w:spacing w:before="0" w:beforeAutospacing="0" w:after="0" w:afterAutospacing="0" w:line="420" w:lineRule="exact"/>
        <w:ind w:firstLine="360" w:firstLineChars="150"/>
      </w:pPr>
      <w:r>
        <w:rPr>
          <w:rFonts w:hint="eastAsia"/>
        </w:rPr>
        <w:t>（3）未在法定期限内提出质疑的；</w:t>
      </w:r>
    </w:p>
    <w:p w14:paraId="671BE769">
      <w:pPr>
        <w:pStyle w:val="19"/>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14:paraId="6B44BB7B">
      <w:pPr>
        <w:pStyle w:val="19"/>
        <w:adjustRightInd w:val="0"/>
        <w:snapToGrid w:val="0"/>
        <w:spacing w:before="0" w:beforeAutospacing="0" w:after="0" w:afterAutospacing="0" w:line="420" w:lineRule="exact"/>
        <w:ind w:firstLine="360" w:firstLineChars="150"/>
      </w:pPr>
      <w:r>
        <w:rPr>
          <w:rFonts w:hint="eastAsia"/>
        </w:rPr>
        <w:t>（5）质疑函没有合法有效的签字、盖章或授权的；</w:t>
      </w:r>
    </w:p>
    <w:p w14:paraId="10AC1FA8">
      <w:pPr>
        <w:pStyle w:val="19"/>
        <w:adjustRightInd w:val="0"/>
        <w:snapToGrid w:val="0"/>
        <w:spacing w:before="0" w:beforeAutospacing="0" w:after="0" w:afterAutospacing="0" w:line="420" w:lineRule="exact"/>
        <w:ind w:firstLine="360" w:firstLineChars="150"/>
      </w:pPr>
      <w:r>
        <w:rPr>
          <w:rFonts w:hint="eastAsia"/>
        </w:rPr>
        <w:t>（6）以非法手段取得证据、材料的；</w:t>
      </w:r>
    </w:p>
    <w:p w14:paraId="33B154D9">
      <w:pPr>
        <w:pStyle w:val="19"/>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14:paraId="20D1ACB6">
      <w:pPr>
        <w:pStyle w:val="19"/>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14:paraId="5D2BD00E">
      <w:pPr>
        <w:pStyle w:val="19"/>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3D801327">
      <w:pPr>
        <w:pStyle w:val="19"/>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14:paraId="09932643">
      <w:pPr>
        <w:pStyle w:val="19"/>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14:paraId="33F7C0EC">
      <w:pPr>
        <w:pStyle w:val="19"/>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588AAFE1">
      <w:pPr>
        <w:pStyle w:val="19"/>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14:paraId="0011EEBC">
      <w:pPr>
        <w:pStyle w:val="19"/>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5A1D722A">
      <w:pPr>
        <w:pStyle w:val="19"/>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3440FD53">
      <w:pPr>
        <w:pStyle w:val="19"/>
        <w:adjustRightInd w:val="0"/>
        <w:snapToGrid w:val="0"/>
        <w:spacing w:before="0" w:beforeAutospacing="0" w:after="0" w:afterAutospacing="0" w:line="420" w:lineRule="exact"/>
        <w:ind w:firstLine="360" w:firstLineChars="150"/>
      </w:pPr>
      <w:r>
        <w:rPr>
          <w:rFonts w:hint="eastAsia"/>
        </w:rPr>
        <w:t>9、质疑函递交地址：</w:t>
      </w:r>
      <w:r>
        <w:rPr>
          <w:rFonts w:hint="eastAsia" w:ascii="宋体" w:hAnsi="宋体" w:eastAsia="宋体" w:cs="宋体"/>
          <w:i w:val="0"/>
          <w:caps w:val="0"/>
          <w:color w:val="333333"/>
          <w:spacing w:val="0"/>
          <w:sz w:val="24"/>
          <w:szCs w:val="24"/>
          <w:shd w:val="clear" w:color="auto" w:fill="FFFFFF"/>
          <w:vertAlign w:val="baseline"/>
        </w:rPr>
        <w:t>榆林市高新区安居路14号金叶小区一楼商铺</w:t>
      </w:r>
    </w:p>
    <w:p w14:paraId="4B047A85">
      <w:pPr>
        <w:pStyle w:val="19"/>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14:paraId="4D9560BD">
      <w:pPr>
        <w:pStyle w:val="19"/>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联系方式：0912-3448777</w:t>
      </w:r>
    </w:p>
    <w:bookmarkEnd w:id="271"/>
    <w:bookmarkEnd w:id="272"/>
    <w:bookmarkEnd w:id="273"/>
    <w:bookmarkEnd w:id="274"/>
    <w:bookmarkEnd w:id="275"/>
    <w:bookmarkEnd w:id="276"/>
    <w:bookmarkEnd w:id="277"/>
    <w:bookmarkEnd w:id="278"/>
    <w:bookmarkEnd w:id="279"/>
    <w:bookmarkEnd w:id="280"/>
    <w:bookmarkEnd w:id="281"/>
    <w:p w14:paraId="7CA5A7D2">
      <w:pPr>
        <w:pStyle w:val="3"/>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0" w:name="_Toc24136"/>
      <w:bookmarkStart w:id="291" w:name="_Toc18524"/>
    </w:p>
    <w:p w14:paraId="045A6566">
      <w:pPr>
        <w:pStyle w:val="3"/>
        <w:spacing w:line="240" w:lineRule="auto"/>
        <w:jc w:val="center"/>
        <w:rPr>
          <w:rFonts w:ascii="宋体" w:hAnsi="宋体" w:cs="宋体"/>
          <w:sz w:val="24"/>
          <w:szCs w:val="24"/>
        </w:rPr>
      </w:pPr>
      <w:bookmarkStart w:id="292"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292"/>
      <w:bookmarkStart w:id="293" w:name="_Toc3964"/>
    </w:p>
    <w:p w14:paraId="0A30EC4D">
      <w:pPr>
        <w:spacing w:line="360" w:lineRule="auto"/>
        <w:jc w:val="center"/>
        <w:rPr>
          <w:rFonts w:hint="eastAsia" w:ascii="宋体" w:hAnsi="宋体"/>
          <w:b/>
          <w:sz w:val="24"/>
        </w:rPr>
      </w:pPr>
      <w:r>
        <w:rPr>
          <w:rFonts w:hint="eastAsia"/>
          <w:b/>
        </w:rPr>
        <w:t>（此合同只作为参考，最终签订的合同以采购人确定的合同内容为准。）</w:t>
      </w:r>
    </w:p>
    <w:p w14:paraId="1B9FE07E">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14:paraId="6468CE23">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14:paraId="38E3BFCB">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14:paraId="7ED2DBE2">
      <w:pPr>
        <w:adjustRightInd w:val="0"/>
        <w:snapToGrid w:val="0"/>
        <w:spacing w:line="520" w:lineRule="exact"/>
        <w:rPr>
          <w:rFonts w:hint="eastAsia" w:ascii="宋体" w:hAnsi="宋体"/>
          <w:b/>
          <w:sz w:val="24"/>
        </w:rPr>
      </w:pPr>
      <w:r>
        <w:rPr>
          <w:rFonts w:hint="eastAsia" w:ascii="宋体" w:hAnsi="宋体"/>
          <w:b/>
          <w:sz w:val="24"/>
        </w:rPr>
        <w:t>一、项目概况</w:t>
      </w:r>
    </w:p>
    <w:p w14:paraId="38F2958A">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14:paraId="15642188">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14:paraId="3C4E84CB">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14:paraId="53B07686">
      <w:pPr>
        <w:adjustRightInd w:val="0"/>
        <w:snapToGrid w:val="0"/>
        <w:spacing w:line="520" w:lineRule="exact"/>
        <w:rPr>
          <w:rFonts w:hint="eastAsia" w:ascii="宋体" w:hAnsi="宋体"/>
          <w:b/>
          <w:sz w:val="24"/>
        </w:rPr>
      </w:pPr>
      <w:r>
        <w:rPr>
          <w:rFonts w:hint="eastAsia" w:ascii="宋体" w:hAnsi="宋体"/>
          <w:b/>
          <w:sz w:val="24"/>
        </w:rPr>
        <w:t>二、组成本合同的文件</w:t>
      </w:r>
    </w:p>
    <w:p w14:paraId="0ED81627">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14:paraId="1ED791EA">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14:paraId="3C5BAACB">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14:paraId="35C3A990">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14:paraId="5380804F">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14:paraId="68384924">
      <w:pPr>
        <w:adjustRightInd w:val="0"/>
        <w:snapToGrid w:val="0"/>
        <w:spacing w:line="520" w:lineRule="exact"/>
        <w:rPr>
          <w:rFonts w:hint="eastAsia" w:ascii="宋体" w:hAnsi="宋体"/>
          <w:b/>
          <w:sz w:val="24"/>
        </w:rPr>
      </w:pPr>
      <w:r>
        <w:rPr>
          <w:rFonts w:hint="eastAsia" w:ascii="宋体" w:hAnsi="宋体"/>
          <w:b/>
          <w:sz w:val="24"/>
        </w:rPr>
        <w:t>三、签约金额</w:t>
      </w:r>
    </w:p>
    <w:p w14:paraId="5F6C62A7">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14:paraId="73824A18">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14:paraId="02D1C608">
      <w:pPr>
        <w:numPr>
          <w:ilvl w:val="0"/>
          <w:numId w:val="5"/>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14:paraId="191A7060">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14:paraId="0107538B">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r>
        <w:rPr>
          <w:rFonts w:hint="eastAsia" w:ascii="宋体" w:hAnsi="宋体"/>
          <w:sz w:val="24"/>
          <w:szCs w:val="24"/>
          <w:lang w:val="en-US" w:eastAsia="zh-CN"/>
        </w:rPr>
        <w:t>合同签订后预付中标金额的40%，验收合格后一次性付清。</w:t>
      </w:r>
    </w:p>
    <w:p w14:paraId="4CAF4DFB">
      <w:pPr>
        <w:adjustRightInd w:val="0"/>
        <w:snapToGrid w:val="0"/>
        <w:spacing w:line="520" w:lineRule="exact"/>
        <w:rPr>
          <w:rFonts w:hint="eastAsia" w:ascii="宋体" w:hAnsi="宋体"/>
          <w:b/>
          <w:sz w:val="24"/>
        </w:rPr>
      </w:pPr>
      <w:r>
        <w:rPr>
          <w:rFonts w:hint="eastAsia" w:ascii="宋体" w:hAnsi="宋体"/>
          <w:b/>
          <w:sz w:val="24"/>
        </w:rPr>
        <w:t>五、期限</w:t>
      </w:r>
    </w:p>
    <w:p w14:paraId="66CAA52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服务期</w:t>
      </w:r>
      <w:r>
        <w:rPr>
          <w:rFonts w:hint="eastAsia" w:ascii="宋体" w:hAnsi="宋体" w:eastAsia="宋体" w:cs="宋体"/>
          <w:color w:val="auto"/>
          <w:sz w:val="24"/>
          <w:szCs w:val="24"/>
        </w:rPr>
        <w:t>：</w:t>
      </w:r>
    </w:p>
    <w:p w14:paraId="6926FE8B">
      <w:pPr>
        <w:adjustRightInd w:val="0"/>
        <w:snapToGrid w:val="0"/>
        <w:spacing w:line="520" w:lineRule="exact"/>
        <w:rPr>
          <w:rFonts w:hint="eastAsia" w:ascii="宋体" w:hAnsi="宋体"/>
          <w:b/>
          <w:sz w:val="24"/>
        </w:rPr>
      </w:pPr>
      <w:r>
        <w:rPr>
          <w:rFonts w:hint="eastAsia" w:ascii="宋体" w:hAnsi="宋体"/>
          <w:b/>
          <w:sz w:val="24"/>
        </w:rPr>
        <w:t>六、双方承诺</w:t>
      </w:r>
    </w:p>
    <w:p w14:paraId="2B92B850">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14:paraId="11AEAA25">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14:paraId="3482CF86">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14:paraId="3197E4E4">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w:t>
      </w:r>
      <w:r>
        <w:rPr>
          <w:rFonts w:hint="eastAsia" w:ascii="宋体" w:hAnsi="宋体"/>
          <w:sz w:val="24"/>
          <w:lang w:val="en-US" w:eastAsia="zh-CN"/>
        </w:rPr>
        <w:t>交货</w:t>
      </w:r>
      <w:r>
        <w:rPr>
          <w:rFonts w:hint="eastAsia" w:ascii="宋体" w:hAnsi="宋体"/>
          <w:sz w:val="24"/>
        </w:rPr>
        <w:t>内容与竞争性谈判响应文件、成交通知书等所指明的，或者与本合同所指明的服务内容相一致。（附清单）</w:t>
      </w:r>
    </w:p>
    <w:p w14:paraId="17B0B609">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14:paraId="3DAF759F">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14:paraId="5E8F260F">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14:paraId="21BAF8FD">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14:paraId="6E159A3E">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14:paraId="1AE76E0D">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14:paraId="28DE7293">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14:paraId="57D47782">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14:paraId="3F6FCFD1">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5C0B8DED">
      <w:pPr>
        <w:adjustRightInd w:val="0"/>
        <w:snapToGrid w:val="0"/>
        <w:spacing w:line="520" w:lineRule="exact"/>
        <w:rPr>
          <w:rFonts w:hint="eastAsia" w:ascii="宋体" w:hAnsi="宋体"/>
          <w:b/>
          <w:sz w:val="24"/>
        </w:rPr>
      </w:pPr>
      <w:r>
        <w:rPr>
          <w:rFonts w:hint="eastAsia" w:ascii="宋体" w:hAnsi="宋体"/>
          <w:b/>
          <w:sz w:val="24"/>
        </w:rPr>
        <w:t>十五、验收</w:t>
      </w:r>
    </w:p>
    <w:p w14:paraId="4B9EB8C5">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1489F2FB">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14:paraId="4C04409D">
      <w:pPr>
        <w:adjustRightInd w:val="0"/>
        <w:snapToGrid w:val="0"/>
        <w:spacing w:line="520" w:lineRule="exact"/>
        <w:rPr>
          <w:rFonts w:hint="eastAsia" w:ascii="宋体" w:hAnsi="宋体"/>
          <w:b/>
          <w:sz w:val="24"/>
        </w:rPr>
      </w:pPr>
      <w:r>
        <w:rPr>
          <w:rFonts w:hint="eastAsia" w:ascii="宋体" w:hAnsi="宋体"/>
          <w:b/>
          <w:sz w:val="24"/>
        </w:rPr>
        <w:t>十七、合同订立</w:t>
      </w:r>
    </w:p>
    <w:p w14:paraId="061B5ADB">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7133A02">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14:paraId="67EE162D">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14:paraId="0F5F777D">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14:paraId="28431A8E">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14:paraId="73EDABAF">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14:paraId="608BFCD5">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14:paraId="176F262A">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14:paraId="68F68DB2">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14:paraId="0268395B">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36022AA5">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14:paraId="123A1B3A">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14:paraId="2291AFF0">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14:paraId="308291A0">
      <w:pPr>
        <w:spacing w:line="360" w:lineRule="auto"/>
        <w:jc w:val="center"/>
        <w:outlineLvl w:val="0"/>
        <w:rPr>
          <w:rFonts w:hint="eastAsia" w:ascii="宋体" w:hAnsi="宋体" w:cs="宋体"/>
          <w:b/>
          <w:kern w:val="44"/>
          <w:sz w:val="36"/>
          <w:szCs w:val="22"/>
        </w:rPr>
      </w:pPr>
    </w:p>
    <w:p w14:paraId="7CE5669C">
      <w:pPr>
        <w:spacing w:line="360" w:lineRule="auto"/>
        <w:jc w:val="center"/>
        <w:outlineLvl w:val="0"/>
        <w:rPr>
          <w:rFonts w:hint="eastAsia" w:ascii="宋体" w:hAnsi="宋体" w:cs="宋体"/>
          <w:b/>
          <w:kern w:val="44"/>
          <w:sz w:val="36"/>
          <w:szCs w:val="22"/>
        </w:rPr>
      </w:pPr>
    </w:p>
    <w:p w14:paraId="205FA1A3">
      <w:pPr>
        <w:spacing w:line="360" w:lineRule="auto"/>
        <w:jc w:val="center"/>
        <w:outlineLvl w:val="0"/>
        <w:rPr>
          <w:rFonts w:hint="eastAsia" w:ascii="宋体" w:hAnsi="宋体" w:cs="宋体"/>
          <w:b/>
          <w:kern w:val="44"/>
          <w:sz w:val="36"/>
          <w:szCs w:val="22"/>
        </w:rPr>
      </w:pPr>
    </w:p>
    <w:p w14:paraId="2848107D">
      <w:pPr>
        <w:spacing w:line="360" w:lineRule="auto"/>
        <w:jc w:val="center"/>
        <w:outlineLvl w:val="0"/>
        <w:rPr>
          <w:rFonts w:hint="eastAsia" w:ascii="宋体" w:hAnsi="宋体" w:cs="宋体"/>
          <w:b/>
          <w:kern w:val="44"/>
          <w:sz w:val="36"/>
          <w:szCs w:val="22"/>
        </w:rPr>
      </w:pPr>
    </w:p>
    <w:p w14:paraId="312AE06E">
      <w:pPr>
        <w:spacing w:line="360" w:lineRule="auto"/>
        <w:jc w:val="center"/>
        <w:outlineLvl w:val="0"/>
        <w:rPr>
          <w:rFonts w:hint="eastAsia" w:ascii="宋体" w:hAnsi="宋体" w:cs="宋体"/>
          <w:b/>
          <w:kern w:val="44"/>
          <w:sz w:val="36"/>
          <w:szCs w:val="22"/>
        </w:rPr>
      </w:pPr>
    </w:p>
    <w:p w14:paraId="641BD187">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0"/>
      <w:bookmarkEnd w:id="291"/>
      <w:bookmarkEnd w:id="293"/>
    </w:p>
    <w:bookmarkEnd w:id="282"/>
    <w:bookmarkEnd w:id="283"/>
    <w:bookmarkEnd w:id="284"/>
    <w:bookmarkEnd w:id="285"/>
    <w:bookmarkEnd w:id="286"/>
    <w:bookmarkEnd w:id="287"/>
    <w:bookmarkEnd w:id="288"/>
    <w:bookmarkEnd w:id="289"/>
    <w:p w14:paraId="740EE1A8">
      <w:pPr>
        <w:spacing w:line="360" w:lineRule="auto"/>
        <w:ind w:firstLine="448" w:firstLineChars="186"/>
        <w:rPr>
          <w:rFonts w:ascii="宋体" w:hAnsi="宋体" w:cs="宋体"/>
          <w:bCs/>
          <w:sz w:val="24"/>
        </w:rPr>
      </w:pPr>
      <w:bookmarkStart w:id="294" w:name="_Toc14458"/>
      <w:bookmarkStart w:id="295" w:name="_Toc465958129"/>
      <w:bookmarkStart w:id="296" w:name="_Toc246928961"/>
      <w:bookmarkStart w:id="297" w:name="_Toc246928962"/>
      <w:bookmarkStart w:id="298" w:name="_Toc128557264"/>
      <w:bookmarkStart w:id="299" w:name="_Toc497712137"/>
      <w:bookmarkStart w:id="300" w:name="_Toc497551824"/>
      <w:bookmarkStart w:id="301" w:name="_Toc497711589"/>
      <w:bookmarkStart w:id="302" w:name="_Toc389620244"/>
      <w:bookmarkStart w:id="303" w:name="_Toc497546922"/>
      <w:bookmarkStart w:id="304" w:name="_Toc385992404"/>
      <w:bookmarkStart w:id="305" w:name="_Toc492955463"/>
      <w:r>
        <w:rPr>
          <w:rFonts w:hint="eastAsia" w:ascii="宋体" w:hAnsi="宋体" w:cs="宋体"/>
          <w:b/>
          <w:bCs/>
          <w:sz w:val="24"/>
        </w:rPr>
        <w:t>一、</w:t>
      </w:r>
      <w:r>
        <w:rPr>
          <w:rFonts w:hint="eastAsia" w:ascii="宋体" w:hAnsi="宋体" w:cs="宋体"/>
          <w:b/>
          <w:bCs/>
          <w:sz w:val="24"/>
          <w:szCs w:val="24"/>
          <w:lang w:val="en-US" w:eastAsia="zh-CN"/>
        </w:rPr>
        <w:t>服务</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14:paraId="75A07B15">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服务</w:t>
      </w:r>
      <w:r>
        <w:rPr>
          <w:rFonts w:hint="eastAsia" w:ascii="宋体" w:hAnsi="宋体" w:cs="宋体"/>
          <w:b/>
          <w:bCs/>
          <w:sz w:val="24"/>
          <w:szCs w:val="24"/>
          <w:lang w:eastAsia="zh-CN"/>
        </w:rPr>
        <w:t>期</w:t>
      </w:r>
      <w:r>
        <w:rPr>
          <w:rFonts w:hint="eastAsia" w:ascii="宋体" w:hAnsi="宋体" w:cs="宋体"/>
          <w:sz w:val="24"/>
          <w:szCs w:val="24"/>
        </w:rPr>
        <w:t>：</w:t>
      </w:r>
      <w:r>
        <w:rPr>
          <w:rFonts w:hint="eastAsia" w:ascii="宋体" w:hAnsi="宋体" w:cs="宋体"/>
          <w:color w:val="auto"/>
          <w:sz w:val="24"/>
          <w:szCs w:val="24"/>
          <w:lang w:val="en-US" w:eastAsia="zh-CN"/>
        </w:rPr>
        <w:t>一年</w:t>
      </w:r>
      <w:r>
        <w:rPr>
          <w:rFonts w:hint="eastAsia" w:ascii="宋体" w:hAnsi="宋体" w:cs="宋体"/>
          <w:color w:val="FF0000"/>
          <w:sz w:val="24"/>
          <w:szCs w:val="24"/>
        </w:rPr>
        <w:t xml:space="preserve">  </w:t>
      </w:r>
    </w:p>
    <w:p w14:paraId="2CFA0D4D">
      <w:pPr>
        <w:spacing w:line="360" w:lineRule="auto"/>
        <w:ind w:firstLine="482" w:firstLineChars="200"/>
        <w:rPr>
          <w:rFonts w:ascii="宋体" w:hAnsi="宋体" w:cs="宋体"/>
          <w:b/>
          <w:bCs/>
          <w:sz w:val="24"/>
        </w:rPr>
      </w:pPr>
      <w:r>
        <w:rPr>
          <w:rFonts w:hint="eastAsia" w:ascii="宋体" w:hAnsi="宋体" w:cs="宋体"/>
          <w:b/>
          <w:bCs/>
          <w:sz w:val="24"/>
        </w:rPr>
        <w:t>三、合同价款</w:t>
      </w:r>
    </w:p>
    <w:p w14:paraId="42D23674">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14:paraId="7D7A5D32">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14:paraId="7C84D7F3">
      <w:pPr>
        <w:spacing w:line="360" w:lineRule="auto"/>
        <w:ind w:firstLine="482" w:firstLineChars="200"/>
        <w:rPr>
          <w:rFonts w:ascii="宋体" w:hAnsi="宋体" w:cs="宋体"/>
          <w:b/>
          <w:bCs/>
          <w:sz w:val="24"/>
        </w:rPr>
      </w:pPr>
      <w:r>
        <w:rPr>
          <w:rFonts w:hint="eastAsia" w:ascii="宋体" w:hAnsi="宋体" w:cs="宋体"/>
          <w:b/>
          <w:bCs/>
          <w:sz w:val="24"/>
        </w:rPr>
        <w:t>四、款项结算</w:t>
      </w:r>
    </w:p>
    <w:p w14:paraId="0C8FCD95">
      <w:pPr>
        <w:widowControl/>
        <w:tabs>
          <w:tab w:val="left" w:pos="1620"/>
        </w:tabs>
        <w:adjustRightInd w:val="0"/>
        <w:snapToGrid w:val="0"/>
        <w:spacing w:line="360" w:lineRule="auto"/>
        <w:ind w:firstLine="480" w:firstLineChars="200"/>
        <w:jc w:val="left"/>
        <w:rPr>
          <w:rFonts w:hint="default" w:ascii="宋体" w:hAnsi="宋体" w:cs="宋体"/>
          <w:sz w:val="24"/>
          <w:szCs w:val="24"/>
          <w:lang w:val="en-US"/>
        </w:rPr>
      </w:pPr>
      <w:r>
        <w:rPr>
          <w:rFonts w:hint="eastAsia"/>
          <w:sz w:val="24"/>
          <w:szCs w:val="24"/>
        </w:rPr>
        <w:t>1、付款方式：</w:t>
      </w:r>
      <w:r>
        <w:rPr>
          <w:rFonts w:hint="eastAsia"/>
          <w:sz w:val="24"/>
          <w:szCs w:val="24"/>
          <w:lang w:val="en-US" w:eastAsia="zh-CN"/>
        </w:rPr>
        <w:t>合同签订后预付中标金额的40%，验收合格后一次性付清。</w:t>
      </w:r>
    </w:p>
    <w:p w14:paraId="4813B081">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14:paraId="1A0DBDDC">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14:paraId="2F3FDE71">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14:paraId="79EEEC2C">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14:paraId="5E26A27E">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294"/>
    <w:p w14:paraId="46C8E99B">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4578FFD8">
      <w:pPr>
        <w:bidi w:val="0"/>
        <w:rPr>
          <w:rFonts w:hint="eastAsia"/>
        </w:rPr>
      </w:pPr>
    </w:p>
    <w:p w14:paraId="5616D2BD">
      <w:pPr>
        <w:bidi w:val="0"/>
        <w:rPr>
          <w:rFonts w:hint="eastAsia"/>
        </w:rPr>
      </w:pPr>
    </w:p>
    <w:p w14:paraId="7B7818B1">
      <w:pPr>
        <w:bidi w:val="0"/>
        <w:rPr>
          <w:rFonts w:hint="eastAsia"/>
        </w:rPr>
      </w:pPr>
    </w:p>
    <w:p w14:paraId="2EDFF6E0">
      <w:pPr>
        <w:pStyle w:val="8"/>
        <w:rPr>
          <w:rFonts w:hint="eastAsia"/>
        </w:rPr>
      </w:pPr>
    </w:p>
    <w:p w14:paraId="0643B916">
      <w:pPr>
        <w:pStyle w:val="8"/>
        <w:rPr>
          <w:rFonts w:hint="eastAsia"/>
        </w:rPr>
      </w:pPr>
    </w:p>
    <w:p w14:paraId="37CE5898">
      <w:pPr>
        <w:pStyle w:val="8"/>
        <w:rPr>
          <w:rFonts w:hint="eastAsia"/>
        </w:rPr>
      </w:pPr>
    </w:p>
    <w:p w14:paraId="72139811">
      <w:pPr>
        <w:pStyle w:val="3"/>
        <w:numPr>
          <w:ilvl w:val="0"/>
          <w:numId w:val="6"/>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14:paraId="6F73A5AA">
      <w:pPr>
        <w:bidi w:val="0"/>
        <w:jc w:val="center"/>
        <w:rPr>
          <w:rFonts w:hint="eastAsia"/>
          <w:sz w:val="28"/>
          <w:szCs w:val="36"/>
        </w:rPr>
      </w:pPr>
      <w:r>
        <w:rPr>
          <w:rFonts w:hint="eastAsia" w:ascii="宋体" w:hAnsi="宋体" w:eastAsia="宋体" w:cs="宋体"/>
          <w:b/>
          <w:bCs/>
          <w:sz w:val="36"/>
          <w:szCs w:val="52"/>
          <w:lang w:val="en-US" w:eastAsia="zh-CN"/>
        </w:rPr>
        <w:t>第六部分</w:t>
      </w:r>
      <w:r>
        <w:rPr>
          <w:rFonts w:hint="eastAsia" w:ascii="宋体" w:hAnsi="宋体" w:cs="宋体"/>
          <w:b/>
          <w:bCs/>
          <w:sz w:val="36"/>
          <w:szCs w:val="52"/>
          <w:lang w:val="en-US" w:eastAsia="zh-CN"/>
        </w:rPr>
        <w:t xml:space="preserve">  </w:t>
      </w:r>
      <w:r>
        <w:rPr>
          <w:rFonts w:hint="eastAsia" w:ascii="宋体" w:hAnsi="宋体" w:eastAsia="宋体" w:cs="宋体"/>
          <w:b/>
          <w:bCs/>
          <w:sz w:val="36"/>
          <w:szCs w:val="52"/>
          <w:lang w:val="en-US" w:eastAsia="zh-CN"/>
        </w:rPr>
        <w:t>采购内容需求</w:t>
      </w:r>
    </w:p>
    <w:p w14:paraId="23C289E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bookmarkStart w:id="306" w:name="_Toc28145"/>
      <w:r>
        <w:rPr>
          <w:rFonts w:hint="eastAsia" w:ascii="宋体" w:hAnsi="宋体" w:eastAsia="宋体" w:cs="宋体"/>
          <w:b/>
          <w:bCs/>
          <w:sz w:val="24"/>
          <w:szCs w:val="24"/>
          <w:lang w:val="en-US" w:eastAsia="zh-CN"/>
        </w:rPr>
        <w:t>非遗短剧策划执行服务内容及要求</w:t>
      </w:r>
    </w:p>
    <w:p w14:paraId="49A8BE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本项目包括前期创意策划服务、中期拍摄制作服务、后期宣传推广服务。结合榆林独特的传统文化与地方特色，以创新的形式拍摄制作一部50集非遗微短剧，凸显引导非遗传承的重要性。</w:t>
      </w:r>
    </w:p>
    <w:p w14:paraId="511197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短剧技术指标要求</w:t>
      </w:r>
    </w:p>
    <w:p w14:paraId="03D7AC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视频交付格式</w:t>
      </w:r>
    </w:p>
    <w:p w14:paraId="5FDE8F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分辨率：1080p/2160p</w:t>
      </w:r>
    </w:p>
    <w:p w14:paraId="6A5CBA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帧速率：25fps</w:t>
      </w:r>
    </w:p>
    <w:p w14:paraId="7506B7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编码方式：H264</w:t>
      </w:r>
    </w:p>
    <w:p w14:paraId="64411B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格式：mp4/mov</w:t>
      </w:r>
    </w:p>
    <w:p w14:paraId="3BD17B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码率：全片统一码率，码率不小于8000kbps</w:t>
      </w:r>
    </w:p>
    <w:p w14:paraId="3E256E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交付版本：</w:t>
      </w:r>
    </w:p>
    <w:p w14:paraId="4B9000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1.无背景音乐，有台词、音效、字幕、人名条</w:t>
      </w:r>
    </w:p>
    <w:p w14:paraId="3FACC0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2.有背景音乐正式播出版</w:t>
      </w:r>
    </w:p>
    <w:p w14:paraId="297B77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3.无字幕、水印、人名条、提示水印</w:t>
      </w:r>
    </w:p>
    <w:p w14:paraId="08CBF6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4.所有素材及工程文件</w:t>
      </w:r>
    </w:p>
    <w:p w14:paraId="3E0737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音频交付格式</w:t>
      </w:r>
    </w:p>
    <w:p w14:paraId="4BF71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音频类型：立体声</w:t>
      </w:r>
    </w:p>
    <w:p w14:paraId="1EA6A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音频格式：AAC/mp3</w:t>
      </w:r>
    </w:p>
    <w:p w14:paraId="5E518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采样速率：44100/48000</w:t>
      </w:r>
    </w:p>
    <w:p w14:paraId="5D52C0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三、成片命名格式：以剧名命名，01，02，03顺序命名</w:t>
      </w:r>
    </w:p>
    <w:p w14:paraId="56862A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四、海报格式</w:t>
      </w:r>
    </w:p>
    <w:p w14:paraId="2F2B3C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1.海报成片文件，jpg格式</w:t>
      </w:r>
    </w:p>
    <w:p w14:paraId="296BCB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2.海报工程文件，psd格式</w:t>
      </w:r>
    </w:p>
    <w:p w14:paraId="702A20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3.竖版，3:4，分辨率不低于600X800</w:t>
      </w:r>
    </w:p>
    <w:p w14:paraId="3FE584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4.横版，16:9，分辨率不低于1280X720</w:t>
      </w:r>
    </w:p>
    <w:p w14:paraId="2D24C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五、视频标准：</w:t>
      </w:r>
    </w:p>
    <w:p w14:paraId="3869AD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1.保证画⾯清晰，明亮，缩放原素材HD不要超过200%，4k素材不要超过800% </w:t>
      </w:r>
    </w:p>
    <w:p w14:paraId="76FE58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2.保证剪辑流畅，不要出现脏帧，⿊帧 </w:t>
      </w:r>
    </w:p>
    <w:p w14:paraId="558452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3.保证声画对位 </w:t>
      </w:r>
    </w:p>
    <w:p w14:paraId="35B24D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4.保证画面流畅稳定（导演特殊效果除外） </w:t>
      </w:r>
    </w:p>
    <w:p w14:paraId="78B1F2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5.不要出现漏调色的片段</w:t>
      </w:r>
    </w:p>
    <w:p w14:paraId="5B5004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六、音频标准</w:t>
      </w:r>
    </w:p>
    <w:p w14:paraId="27EFFD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1.电平平衡 （⼈声：-3〜-12db，⾳乐-6〜-15db）；优先保证⼈声清晰 </w:t>
      </w:r>
    </w:p>
    <w:p w14:paraId="38BDB5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2.如果BGM重⾳较多，⼈声不清晰，可以再压BGM电平，或者均衡降低低频 </w:t>
      </w:r>
    </w:p>
    <w:p w14:paraId="1760AD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七、字幕标准</w:t>
      </w:r>
    </w:p>
    <w:p w14:paraId="68E699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保证字幕不要出画，也不要换⾏，如果有⻓句，在合适位置切成两个字幕⽚段 </w:t>
      </w:r>
    </w:p>
    <w:p w14:paraId="7BB315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2.确保没有错别字 </w:t>
      </w:r>
    </w:p>
    <w:p w14:paraId="622CA1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3.⼈名条清晰不挡演员</w:t>
      </w:r>
    </w:p>
    <w:p w14:paraId="55E1F4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4.⼈名条除去动画效果，需要停留3秒以上，确保观众能看清</w:t>
      </w:r>
    </w:p>
    <w:p w14:paraId="4615BD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八、版权要求：剧本、主要出镜演员（含未成年演员）均提供授权文件。</w:t>
      </w:r>
    </w:p>
    <w:p w14:paraId="79C54F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九、其他要求: 中标人应保证作品的原创性，并承担剽窃、侵权等行为的法律后果。风险管控措施: 成交人须按其响应文件内响应的全部实质性内容完成本项目，并按其响应文件内响应的全部实质性内容履行本项目合同。如成交人无法正常履约或未在其响应的标的提供时间内完成本项目，影响了项目进度的，采购人有权终止本项目采购合同并追究其相关责任。</w:t>
      </w:r>
    </w:p>
    <w:p w14:paraId="7A25A21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内容及定位要求</w:t>
      </w:r>
    </w:p>
    <w:p w14:paraId="3FAAE3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1、微短剧内容轻政治、重生活，将非遗和乡村生活的巧妙结合，打造出扣动人心的剧集。</w:t>
      </w:r>
    </w:p>
    <w:p w14:paraId="60F91C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2、微短剧充分平衡“爽点”和“美”之间的张力。</w:t>
      </w:r>
    </w:p>
    <w:p w14:paraId="25CE2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3、微短剧要深度呼应“微短剧+非遗”新模式，让人们在观剧之余增加对取景地的向往。</w:t>
      </w:r>
    </w:p>
    <w:p w14:paraId="6CD260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4、通过微短剧的形式引导非遗传承的重要性。</w:t>
      </w:r>
    </w:p>
    <w:p w14:paraId="4A1B77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视频参数：拍摄语种：陕北方言/普通话；成片时长：120秒-180秒/集，50集/季；执行标准：竖屏1080/21610p，专业影视化制作标准。</w:t>
      </w:r>
    </w:p>
    <w:p w14:paraId="7C1051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宣发平台：在抖音、快手、微信视频号等主流平台利用“一剧一账号”的形式进行宣发。</w:t>
      </w:r>
    </w:p>
    <w:p w14:paraId="3E73E4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内容策划：在内容的策划上，根结合榆林文旅“清爽榆林”“陕北过大年”“全国秧歌展演”等热点话题，围绕“群众身边处处是非遗”的特点，通过轻喜剧形式展现非遗保护与乡村振兴的共生关系。</w:t>
      </w:r>
    </w:p>
    <w:p w14:paraId="4EA8D8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5、服务期：一年</w:t>
      </w:r>
    </w:p>
    <w:p w14:paraId="4051F1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6134"/>
        <w:gridCol w:w="1361"/>
      </w:tblGrid>
      <w:tr w14:paraId="7056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7" w:type="dxa"/>
            <w:vAlign w:val="center"/>
          </w:tcPr>
          <w:p w14:paraId="30F6F70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6134" w:type="dxa"/>
            <w:vAlign w:val="center"/>
          </w:tcPr>
          <w:p w14:paraId="4EBC1581">
            <w:pPr>
              <w:jc w:val="center"/>
              <w:rPr>
                <w:rFonts w:hint="eastAsia" w:ascii="宋体" w:hAnsi="宋体" w:eastAsia="宋体" w:cs="宋体"/>
                <w:sz w:val="24"/>
                <w:szCs w:val="24"/>
                <w:lang w:val="en-US" w:eastAsia="zh-CN"/>
              </w:rPr>
            </w:pPr>
          </w:p>
        </w:tc>
        <w:tc>
          <w:tcPr>
            <w:tcW w:w="1361" w:type="dxa"/>
            <w:vAlign w:val="center"/>
          </w:tcPr>
          <w:p w14:paraId="38EE846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备注及其他</w:t>
            </w:r>
          </w:p>
        </w:tc>
      </w:tr>
      <w:tr w14:paraId="0C13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3BF7945A">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6134" w:type="dxa"/>
            <w:vAlign w:val="top"/>
          </w:tcPr>
          <w:p w14:paraId="26933D5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策划</w:t>
            </w:r>
          </w:p>
        </w:tc>
        <w:tc>
          <w:tcPr>
            <w:tcW w:w="1361" w:type="dxa"/>
            <w:vAlign w:val="center"/>
          </w:tcPr>
          <w:p w14:paraId="3CFEC42E">
            <w:pPr>
              <w:jc w:val="center"/>
              <w:rPr>
                <w:rFonts w:hint="eastAsia" w:ascii="宋体" w:hAnsi="宋体" w:eastAsia="宋体" w:cs="宋体"/>
                <w:sz w:val="24"/>
                <w:szCs w:val="24"/>
                <w:lang w:val="en-US" w:eastAsia="zh-CN"/>
              </w:rPr>
            </w:pPr>
          </w:p>
        </w:tc>
      </w:tr>
      <w:tr w14:paraId="1FD4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3FDB6C2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6134" w:type="dxa"/>
            <w:vAlign w:val="top"/>
          </w:tcPr>
          <w:p w14:paraId="49A463E4">
            <w:pPr>
              <w:jc w:val="both"/>
              <w:rPr>
                <w:rFonts w:hint="eastAsia" w:ascii="宋体" w:hAnsi="宋体" w:eastAsia="宋体" w:cs="宋体"/>
                <w:sz w:val="24"/>
                <w:szCs w:val="24"/>
                <w:lang w:val="en-US" w:eastAsia="zh-CN"/>
              </w:rPr>
            </w:pPr>
            <w:r>
              <w:rPr>
                <w:rFonts w:hint="eastAsia" w:ascii="宋体" w:hAnsi="宋体" w:eastAsia="宋体" w:cs="宋体"/>
                <w:sz w:val="24"/>
                <w:szCs w:val="24"/>
              </w:rPr>
              <w:t>1.1 、策划服务</w:t>
            </w:r>
          </w:p>
        </w:tc>
        <w:tc>
          <w:tcPr>
            <w:tcW w:w="1361" w:type="dxa"/>
            <w:vAlign w:val="center"/>
          </w:tcPr>
          <w:p w14:paraId="5B7A461E">
            <w:pPr>
              <w:jc w:val="center"/>
              <w:rPr>
                <w:rFonts w:hint="eastAsia" w:ascii="宋体" w:hAnsi="宋体" w:eastAsia="宋体" w:cs="宋体"/>
                <w:sz w:val="24"/>
                <w:szCs w:val="24"/>
                <w:lang w:val="en-US" w:eastAsia="zh-CN"/>
              </w:rPr>
            </w:pPr>
          </w:p>
        </w:tc>
      </w:tr>
      <w:tr w14:paraId="09B8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62E8E58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6134" w:type="dxa"/>
            <w:vAlign w:val="top"/>
          </w:tcPr>
          <w:p w14:paraId="2D1441FF">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（1）制定具体摄制工作时间计划表1份。（需包含剧本撰写、前期拍摄执行，后期制作执行，投放时间执行等具体时间节点）</w:t>
            </w:r>
          </w:p>
          <w:p w14:paraId="5ABBD33E">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（2）结合榆林本土特色及现场踏勘，策划并撰写50集原创微短剧剧本,主要包括画面设计、呈现方式、技术运用、音乐、音效、字幕、参考效果图。(内容可根据采购需求进行调整）</w:t>
            </w:r>
          </w:p>
          <w:p w14:paraId="4D6E8FD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（3）完成50集分镜头脚本。每集包含镜号、景别、旁白、音效、字幕、演员动作、道具、参考效果等。</w:t>
            </w:r>
          </w:p>
        </w:tc>
        <w:tc>
          <w:tcPr>
            <w:tcW w:w="1361" w:type="dxa"/>
            <w:vAlign w:val="center"/>
          </w:tcPr>
          <w:p w14:paraId="3972FC62">
            <w:pPr>
              <w:jc w:val="center"/>
              <w:rPr>
                <w:rFonts w:hint="eastAsia" w:ascii="宋体" w:hAnsi="宋体" w:eastAsia="宋体" w:cs="宋体"/>
                <w:sz w:val="24"/>
                <w:szCs w:val="24"/>
                <w:lang w:val="en-US" w:eastAsia="zh-CN"/>
              </w:rPr>
            </w:pPr>
          </w:p>
        </w:tc>
      </w:tr>
      <w:tr w14:paraId="5BC6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417ACCF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6134" w:type="dxa"/>
            <w:vAlign w:val="top"/>
          </w:tcPr>
          <w:p w14:paraId="29D78EF0">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 、中期拍摄服务</w:t>
            </w:r>
          </w:p>
        </w:tc>
        <w:tc>
          <w:tcPr>
            <w:tcW w:w="1361" w:type="dxa"/>
            <w:vAlign w:val="center"/>
          </w:tcPr>
          <w:p w14:paraId="13A8F587">
            <w:pPr>
              <w:jc w:val="center"/>
              <w:rPr>
                <w:rFonts w:hint="eastAsia" w:ascii="宋体" w:hAnsi="宋体" w:eastAsia="宋体" w:cs="宋体"/>
                <w:sz w:val="24"/>
                <w:szCs w:val="24"/>
                <w:lang w:val="en-US" w:eastAsia="zh-CN"/>
              </w:rPr>
            </w:pPr>
          </w:p>
        </w:tc>
      </w:tr>
      <w:tr w14:paraId="0AA3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1F65AEA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6134" w:type="dxa"/>
            <w:vAlign w:val="top"/>
          </w:tcPr>
          <w:p w14:paraId="6622A02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1.2.1  视频要求:视频总时长不少于150分钟(包含片头以及片尾) ，每集视频不少于180秒，出场人物不少于5个，不包含双时空叙事的出场人物。</w:t>
            </w:r>
          </w:p>
        </w:tc>
        <w:tc>
          <w:tcPr>
            <w:tcW w:w="1361" w:type="dxa"/>
            <w:vAlign w:val="center"/>
          </w:tcPr>
          <w:p w14:paraId="3CC8B789">
            <w:pPr>
              <w:jc w:val="center"/>
              <w:rPr>
                <w:rFonts w:hint="eastAsia" w:ascii="宋体" w:hAnsi="宋体" w:eastAsia="宋体" w:cs="宋体"/>
                <w:sz w:val="24"/>
                <w:szCs w:val="24"/>
                <w:lang w:val="en-US" w:eastAsia="zh-CN"/>
              </w:rPr>
            </w:pPr>
          </w:p>
        </w:tc>
      </w:tr>
      <w:tr w14:paraId="35F7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5689553A">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6134" w:type="dxa"/>
            <w:vAlign w:val="top"/>
          </w:tcPr>
          <w:p w14:paraId="5D1C01F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1.2.2拍摄要求</w:t>
            </w:r>
          </w:p>
          <w:p w14:paraId="3C689C7C">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根据《中华人民共和国广播电视和网络视听行业标准GY/T    353—2021网络视听节目视频格式命名及参数规范》要求，采用 4K 超高清 HDR ，确保有效像素数为3840×2160 ，以保证后期剪辑和特效处理时的细节清晰度和画面质量。</w:t>
            </w:r>
          </w:p>
          <w:p w14:paraId="039286CE">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选派1名专职导演全程参与场景踏勘、演员挑选、拍摄调度及后期制作；</w:t>
            </w:r>
          </w:p>
          <w:p w14:paraId="7422678E">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选派不少于3名摄像对本剧进行拍摄，确保画面稳定，录制清晰，保证画面效果。</w:t>
            </w:r>
          </w:p>
          <w:p w14:paraId="0CDA48F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选派至少1名专职化妆师全程化妆。</w:t>
            </w:r>
          </w:p>
          <w:p w14:paraId="0329F34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选派至少2名场务全程辅助。</w:t>
            </w:r>
          </w:p>
        </w:tc>
        <w:tc>
          <w:tcPr>
            <w:tcW w:w="1361" w:type="dxa"/>
            <w:vAlign w:val="center"/>
          </w:tcPr>
          <w:p w14:paraId="31885E50">
            <w:pPr>
              <w:jc w:val="center"/>
              <w:rPr>
                <w:rFonts w:hint="eastAsia" w:ascii="宋体" w:hAnsi="宋体" w:eastAsia="宋体" w:cs="宋体"/>
                <w:sz w:val="24"/>
                <w:szCs w:val="24"/>
                <w:lang w:val="en-US" w:eastAsia="zh-CN"/>
              </w:rPr>
            </w:pPr>
          </w:p>
        </w:tc>
      </w:tr>
      <w:tr w14:paraId="2D0E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6AEBA091">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6134" w:type="dxa"/>
            <w:vAlign w:val="top"/>
          </w:tcPr>
          <w:p w14:paraId="30F0CA5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1.3后期制作</w:t>
            </w:r>
          </w:p>
        </w:tc>
        <w:tc>
          <w:tcPr>
            <w:tcW w:w="1361" w:type="dxa"/>
            <w:vAlign w:val="center"/>
          </w:tcPr>
          <w:p w14:paraId="00E0DA59">
            <w:pPr>
              <w:jc w:val="center"/>
              <w:rPr>
                <w:rFonts w:hint="eastAsia" w:ascii="宋体" w:hAnsi="宋体" w:eastAsia="宋体" w:cs="宋体"/>
                <w:sz w:val="24"/>
                <w:szCs w:val="24"/>
                <w:lang w:val="en-US" w:eastAsia="zh-CN"/>
              </w:rPr>
            </w:pPr>
          </w:p>
        </w:tc>
      </w:tr>
      <w:tr w14:paraId="4310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4823999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6134" w:type="dxa"/>
            <w:vAlign w:val="top"/>
          </w:tcPr>
          <w:p w14:paraId="37BD38F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 1成片要求</w:t>
            </w:r>
          </w:p>
          <w:p w14:paraId="1804D418">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（1）视频格式</w:t>
            </w:r>
          </w:p>
          <w:p w14:paraId="22BAB5C1">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分辨率：1080P（1920×1080）及以上，部分平台支持4K。</w:t>
            </w:r>
          </w:p>
          <w:p w14:paraId="09AAD46F">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编码格式：H.264，兼容主流播放平台。</w:t>
            </w:r>
          </w:p>
          <w:p w14:paraId="2D0E5183">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帧率：25fps ，动作场景可适当提高。</w:t>
            </w:r>
          </w:p>
          <w:p w14:paraId="04B2DD9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码率：建议视频码率8-15Mbps ，音频码率128kbps以上。</w:t>
            </w:r>
          </w:p>
          <w:p w14:paraId="5CC97417">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（2）音频要求</w:t>
            </w:r>
          </w:p>
          <w:p w14:paraId="579F5DF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声音清晰，人声与背景音乐比例适中，无音量忽大忽小。</w:t>
            </w:r>
          </w:p>
          <w:p w14:paraId="5A82EEF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双声道立体声，部分平台支持环绕声。</w:t>
            </w:r>
          </w:p>
          <w:p w14:paraId="02312D8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中英文双版本，需添加英文字幕。</w:t>
            </w:r>
          </w:p>
          <w:p w14:paraId="12B9249C">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（3）字幕规范</w:t>
            </w:r>
          </w:p>
          <w:p w14:paraId="1601A957">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字幕与台词同步，无错别字或语法错误。</w:t>
            </w:r>
          </w:p>
          <w:p w14:paraId="26FEADD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字体大小适中，颜色与背景对比鲜明（避免纯白字配浅色背景）。</w:t>
            </w:r>
          </w:p>
          <w:p w14:paraId="5DDAAD8D">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片头片尾需标注出品方、主创团队等信息。</w:t>
            </w:r>
          </w:p>
          <w:p w14:paraId="51A06CA7">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（4）封装</w:t>
            </w:r>
          </w:p>
          <w:p w14:paraId="00BAE4E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封装为通用格式（MP4/MOV），兼容多终端播放。</w:t>
            </w:r>
          </w:p>
        </w:tc>
        <w:tc>
          <w:tcPr>
            <w:tcW w:w="1361" w:type="dxa"/>
            <w:vAlign w:val="center"/>
          </w:tcPr>
          <w:p w14:paraId="07BD90F8">
            <w:pPr>
              <w:jc w:val="center"/>
              <w:rPr>
                <w:rFonts w:hint="eastAsia" w:ascii="宋体" w:hAnsi="宋体" w:eastAsia="宋体" w:cs="宋体"/>
                <w:sz w:val="24"/>
                <w:szCs w:val="24"/>
                <w:lang w:val="en-US" w:eastAsia="zh-CN"/>
              </w:rPr>
            </w:pPr>
          </w:p>
        </w:tc>
      </w:tr>
      <w:tr w14:paraId="3F20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3D555C4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6134" w:type="dxa"/>
            <w:vAlign w:val="top"/>
          </w:tcPr>
          <w:p w14:paraId="559A1991">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1.3.2剪辑制作</w:t>
            </w:r>
          </w:p>
          <w:p w14:paraId="25B80FD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（1）正片剪辑：根据整体剧情节奏衔接，转场效果，画面效果调整，剪辑50集正片，平均每集视频不少于180秒。</w:t>
            </w:r>
          </w:p>
          <w:p w14:paraId="48252403">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（2）预热剪辑：根据单集剧情发展，针对本剧提供竖版宣传短视频5个，时长20-30秒，内容包括但不限于拍摄花絮，精彩镜头等。（具体内容可根据采购方需求进行调整）</w:t>
            </w:r>
          </w:p>
        </w:tc>
        <w:tc>
          <w:tcPr>
            <w:tcW w:w="1361" w:type="dxa"/>
            <w:vAlign w:val="center"/>
          </w:tcPr>
          <w:p w14:paraId="66BD3C55">
            <w:pPr>
              <w:jc w:val="center"/>
              <w:rPr>
                <w:rFonts w:hint="eastAsia" w:ascii="宋体" w:hAnsi="宋体" w:eastAsia="宋体" w:cs="宋体"/>
                <w:sz w:val="24"/>
                <w:szCs w:val="24"/>
                <w:lang w:val="en-US" w:eastAsia="zh-CN"/>
              </w:rPr>
            </w:pPr>
          </w:p>
        </w:tc>
      </w:tr>
      <w:tr w14:paraId="55A6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30AAE19A">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134" w:type="dxa"/>
            <w:vAlign w:val="top"/>
          </w:tcPr>
          <w:p w14:paraId="28418BC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1.3.3音乐制作</w:t>
            </w:r>
          </w:p>
          <w:p w14:paraId="044064A8">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（1）原创音效：根据素材内容，由专业音效师运用音频混音与音效设计技术制作原创音效。</w:t>
            </w:r>
          </w:p>
          <w:p w14:paraId="2887065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（2）原创配乐： 由相关专业人员根据影片情绪基调和叙事节奏，创作专属音乐增强艺术感染力，根据粗剪版影片进行主题旋律创作及乐器编排，完成混音母带制作并同步至画面帧精度。</w:t>
            </w:r>
          </w:p>
          <w:p w14:paraId="2A79498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（3）版权音乐采购：根据影片需要，筛选音乐作品，对接音乐版权并取得合法授权。</w:t>
            </w:r>
          </w:p>
        </w:tc>
        <w:tc>
          <w:tcPr>
            <w:tcW w:w="1361" w:type="dxa"/>
            <w:vAlign w:val="center"/>
          </w:tcPr>
          <w:p w14:paraId="65E7493E">
            <w:pPr>
              <w:jc w:val="center"/>
              <w:rPr>
                <w:rFonts w:hint="eastAsia" w:ascii="宋体" w:hAnsi="宋体" w:eastAsia="宋体" w:cs="宋体"/>
                <w:sz w:val="24"/>
                <w:szCs w:val="24"/>
                <w:lang w:val="en-US" w:eastAsia="zh-CN"/>
              </w:rPr>
            </w:pPr>
          </w:p>
        </w:tc>
      </w:tr>
      <w:tr w14:paraId="2C37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6F9F91D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6134" w:type="dxa"/>
            <w:vAlign w:val="top"/>
          </w:tcPr>
          <w:p w14:paraId="79BF892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1.3.5调色制作</w:t>
            </w:r>
          </w:p>
          <w:p w14:paraId="0FB4083F">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调色师通过DaVinci Resolve等工具实现画面色彩影视风格化表达，分离特定色彩区域强化视觉焦点.</w:t>
            </w:r>
          </w:p>
        </w:tc>
        <w:tc>
          <w:tcPr>
            <w:tcW w:w="1361" w:type="dxa"/>
            <w:vAlign w:val="center"/>
          </w:tcPr>
          <w:p w14:paraId="61EEFF3B">
            <w:pPr>
              <w:jc w:val="center"/>
              <w:rPr>
                <w:rFonts w:hint="eastAsia" w:ascii="宋体" w:hAnsi="宋体" w:eastAsia="宋体" w:cs="宋体"/>
                <w:sz w:val="24"/>
                <w:szCs w:val="24"/>
                <w:lang w:val="en-US" w:eastAsia="zh-CN"/>
              </w:rPr>
            </w:pPr>
          </w:p>
        </w:tc>
      </w:tr>
      <w:tr w14:paraId="58F1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599D7533">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6134" w:type="dxa"/>
            <w:vAlign w:val="top"/>
          </w:tcPr>
          <w:p w14:paraId="62C811C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1.4宣传推广</w:t>
            </w:r>
          </w:p>
        </w:tc>
        <w:tc>
          <w:tcPr>
            <w:tcW w:w="1361" w:type="dxa"/>
            <w:vAlign w:val="center"/>
          </w:tcPr>
          <w:p w14:paraId="2568C091">
            <w:pPr>
              <w:jc w:val="center"/>
              <w:rPr>
                <w:rFonts w:hint="eastAsia" w:ascii="宋体" w:hAnsi="宋体" w:eastAsia="宋体" w:cs="宋体"/>
                <w:sz w:val="24"/>
                <w:szCs w:val="24"/>
                <w:lang w:val="en-US" w:eastAsia="zh-CN"/>
              </w:rPr>
            </w:pPr>
          </w:p>
        </w:tc>
      </w:tr>
      <w:tr w14:paraId="18C1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14418D0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6134" w:type="dxa"/>
            <w:vAlign w:val="top"/>
          </w:tcPr>
          <w:p w14:paraId="44F3DE78">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 1宣传发布运营</w:t>
            </w:r>
          </w:p>
          <w:p w14:paraId="427C8A0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制定宣传推广计划，建立监测机制，对宣传效果进行评估与总结。</w:t>
            </w:r>
          </w:p>
          <w:p w14:paraId="5161BFDD">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从项目开始执行起，开始制作宣传海报不少于5张。</w:t>
            </w:r>
          </w:p>
        </w:tc>
        <w:tc>
          <w:tcPr>
            <w:tcW w:w="1361" w:type="dxa"/>
            <w:vAlign w:val="center"/>
          </w:tcPr>
          <w:p w14:paraId="03CFB7D7">
            <w:pPr>
              <w:jc w:val="center"/>
              <w:rPr>
                <w:rFonts w:hint="eastAsia" w:ascii="宋体" w:hAnsi="宋体" w:eastAsia="宋体" w:cs="宋体"/>
                <w:sz w:val="24"/>
                <w:szCs w:val="24"/>
                <w:lang w:val="en-US" w:eastAsia="zh-CN"/>
              </w:rPr>
            </w:pPr>
          </w:p>
        </w:tc>
      </w:tr>
      <w:tr w14:paraId="1EAA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410D4A08">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6134" w:type="dxa"/>
            <w:vAlign w:val="top"/>
          </w:tcPr>
          <w:p w14:paraId="14F96AB3">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1.4.2开机仪式</w:t>
            </w:r>
          </w:p>
          <w:p w14:paraId="299D3CB3">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为更好宣传推广，在剧集取景地举办开机仪式会(，具体可根据采购方需求进行调整，要求如下:</w:t>
            </w:r>
          </w:p>
          <w:p w14:paraId="6AFBB12A">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（1）开机仪式总时长不少于20分钟。</w:t>
            </w:r>
          </w:p>
          <w:p w14:paraId="1CBF8EAC">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（2）提供发布会平面主kv及其延展设计制作。</w:t>
            </w:r>
          </w:p>
          <w:p w14:paraId="423BA9A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（3）发布会现场需包括：专业灯光音响1套，配备专业主持人1人。</w:t>
            </w:r>
          </w:p>
          <w:p w14:paraId="75F545B2">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（4）微短剧导演1人、制片人1人、主演至少2人到场。</w:t>
            </w:r>
          </w:p>
        </w:tc>
        <w:tc>
          <w:tcPr>
            <w:tcW w:w="1361" w:type="dxa"/>
            <w:vAlign w:val="center"/>
          </w:tcPr>
          <w:p w14:paraId="0AD3F5B1">
            <w:pPr>
              <w:jc w:val="center"/>
              <w:rPr>
                <w:rFonts w:hint="eastAsia" w:ascii="宋体" w:hAnsi="宋体" w:eastAsia="宋体" w:cs="宋体"/>
                <w:sz w:val="24"/>
                <w:szCs w:val="24"/>
                <w:lang w:val="en-US" w:eastAsia="zh-CN"/>
              </w:rPr>
            </w:pPr>
          </w:p>
        </w:tc>
      </w:tr>
      <w:tr w14:paraId="76D0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3C94E02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134" w:type="dxa"/>
            <w:vAlign w:val="top"/>
          </w:tcPr>
          <w:p w14:paraId="69C836D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1.4.3新媒体平台宣传推广</w:t>
            </w:r>
          </w:p>
          <w:p w14:paraId="777BABC2">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微短剧在抖音、快手、视频号等网络媒体平台发布。</w:t>
            </w:r>
          </w:p>
        </w:tc>
        <w:tc>
          <w:tcPr>
            <w:tcW w:w="1361" w:type="dxa"/>
            <w:vAlign w:val="center"/>
          </w:tcPr>
          <w:p w14:paraId="577246E8">
            <w:pPr>
              <w:jc w:val="center"/>
              <w:rPr>
                <w:rFonts w:hint="eastAsia" w:ascii="宋体" w:hAnsi="宋体" w:eastAsia="宋体" w:cs="宋体"/>
                <w:sz w:val="24"/>
                <w:szCs w:val="24"/>
                <w:lang w:val="en-US" w:eastAsia="zh-CN"/>
              </w:rPr>
            </w:pPr>
          </w:p>
        </w:tc>
      </w:tr>
      <w:tr w14:paraId="2F2C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5E1C37D3">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6134" w:type="dxa"/>
            <w:vAlign w:val="top"/>
          </w:tcPr>
          <w:p w14:paraId="2CA9C0F9">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、履行合同所需的设备</w:t>
            </w:r>
          </w:p>
          <w:p w14:paraId="7BC427D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（1）4K及以上影视级别摄影设备（如：主摄影机为包含并不低于索尼FX6级别摄影机，辅机包含并不低于索尼FX3级别等配合机型 ) 及镜头组（符合相应摄影机型号镜头组，并包括配套设备脚架、轨道、升降等移动拍摄器材），至少3套。</w:t>
            </w:r>
          </w:p>
          <w:p w14:paraId="01B0F7D4">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（2）无人机或穿越机，至少1台。</w:t>
            </w:r>
          </w:p>
          <w:p w14:paraId="29DF1607">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（3）监视器10寸以上，至少2台。</w:t>
            </w:r>
          </w:p>
          <w:p w14:paraId="4C1B3A77">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（4）无线麦，至少2个。</w:t>
            </w:r>
          </w:p>
          <w:p w14:paraId="29122F0B">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（5）灯光组，至少1套。</w:t>
            </w:r>
          </w:p>
        </w:tc>
        <w:tc>
          <w:tcPr>
            <w:tcW w:w="1361" w:type="dxa"/>
            <w:vAlign w:val="center"/>
          </w:tcPr>
          <w:p w14:paraId="3A6A0BC6">
            <w:pPr>
              <w:jc w:val="center"/>
              <w:rPr>
                <w:rFonts w:hint="eastAsia" w:ascii="宋体" w:hAnsi="宋体" w:eastAsia="宋体" w:cs="宋体"/>
                <w:sz w:val="24"/>
                <w:szCs w:val="24"/>
                <w:lang w:val="en-US" w:eastAsia="zh-CN"/>
              </w:rPr>
            </w:pPr>
          </w:p>
        </w:tc>
      </w:tr>
    </w:tbl>
    <w:p w14:paraId="125F8D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w:t>
      </w:r>
    </w:p>
    <w:p w14:paraId="61FAAD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1、导演 需提供发布过的相关作品及证明</w:t>
      </w:r>
    </w:p>
    <w:p w14:paraId="0F4A83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5E91AACD">
      <w:pPr>
        <w:rPr>
          <w:rFonts w:hint="eastAsia" w:ascii="宋体" w:hAnsi="宋体" w:cs="宋体"/>
          <w:sz w:val="36"/>
          <w:szCs w:val="22"/>
        </w:rPr>
      </w:pPr>
    </w:p>
    <w:p w14:paraId="7E500464">
      <w:pPr>
        <w:rPr>
          <w:rFonts w:hint="eastAsia" w:ascii="宋体" w:hAnsi="宋体" w:cs="宋体"/>
          <w:sz w:val="36"/>
          <w:szCs w:val="22"/>
        </w:rPr>
      </w:pPr>
    </w:p>
    <w:p w14:paraId="01B64CB1">
      <w:pPr>
        <w:rPr>
          <w:rFonts w:hint="eastAsia" w:ascii="宋体" w:hAnsi="宋体" w:cs="宋体"/>
          <w:sz w:val="36"/>
          <w:szCs w:val="22"/>
        </w:rPr>
      </w:pPr>
    </w:p>
    <w:p w14:paraId="52A41B98">
      <w:pPr>
        <w:rPr>
          <w:rFonts w:hint="eastAsia" w:ascii="宋体" w:hAnsi="宋体" w:cs="宋体"/>
          <w:sz w:val="36"/>
          <w:szCs w:val="22"/>
        </w:rPr>
      </w:pPr>
    </w:p>
    <w:p w14:paraId="3A7B6EB0">
      <w:pPr>
        <w:rPr>
          <w:rFonts w:hint="eastAsia" w:ascii="宋体" w:hAnsi="宋体" w:cs="宋体"/>
          <w:sz w:val="36"/>
          <w:szCs w:val="22"/>
        </w:rPr>
      </w:pPr>
    </w:p>
    <w:p w14:paraId="466F6E9D">
      <w:pPr>
        <w:rPr>
          <w:rFonts w:hint="eastAsia" w:ascii="宋体" w:hAnsi="宋体" w:cs="宋体"/>
          <w:sz w:val="36"/>
          <w:szCs w:val="22"/>
        </w:rPr>
      </w:pPr>
    </w:p>
    <w:p w14:paraId="77A53CA4">
      <w:pPr>
        <w:rPr>
          <w:rFonts w:hint="eastAsia" w:ascii="宋体" w:hAnsi="宋体" w:cs="宋体"/>
          <w:sz w:val="36"/>
          <w:szCs w:val="22"/>
        </w:rPr>
      </w:pPr>
    </w:p>
    <w:p w14:paraId="7987BA9B">
      <w:pPr>
        <w:rPr>
          <w:rFonts w:hint="eastAsia" w:ascii="宋体" w:hAnsi="宋体" w:cs="宋体"/>
          <w:sz w:val="36"/>
          <w:szCs w:val="22"/>
        </w:rPr>
      </w:pPr>
    </w:p>
    <w:p w14:paraId="15FC9171">
      <w:pPr>
        <w:rPr>
          <w:rFonts w:hint="eastAsia" w:ascii="宋体" w:hAnsi="宋体" w:cs="宋体"/>
          <w:sz w:val="36"/>
          <w:szCs w:val="22"/>
        </w:rPr>
      </w:pPr>
    </w:p>
    <w:p w14:paraId="7F8AA8DF">
      <w:pPr>
        <w:rPr>
          <w:rFonts w:hint="eastAsia" w:ascii="宋体" w:hAnsi="宋体" w:cs="宋体"/>
          <w:sz w:val="36"/>
          <w:szCs w:val="22"/>
        </w:rPr>
      </w:pPr>
    </w:p>
    <w:p w14:paraId="78F4C5A9">
      <w:pPr>
        <w:pStyle w:val="3"/>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06"/>
    </w:p>
    <w:p w14:paraId="0FDE133A">
      <w:pPr>
        <w:spacing w:line="360" w:lineRule="auto"/>
        <w:rPr>
          <w:rFonts w:ascii="宋体" w:hAnsi="宋体" w:cs="宋体"/>
          <w:b/>
          <w:bCs/>
          <w:sz w:val="24"/>
          <w:szCs w:val="24"/>
        </w:rPr>
      </w:pPr>
      <w:r>
        <w:rPr>
          <w:rFonts w:hint="eastAsia" w:ascii="宋体" w:hAnsi="宋体" w:cs="宋体"/>
          <w:b/>
          <w:bCs/>
          <w:sz w:val="24"/>
          <w:szCs w:val="24"/>
        </w:rPr>
        <w:t>一、评审方法</w:t>
      </w:r>
    </w:p>
    <w:p w14:paraId="746C1831">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14:paraId="29D94C32">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14:paraId="515808E0">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14:paraId="7724514A">
      <w:pPr>
        <w:spacing w:line="360" w:lineRule="auto"/>
        <w:rPr>
          <w:rFonts w:ascii="宋体" w:hAnsi="宋体" w:cs="宋体"/>
          <w:b/>
          <w:bCs/>
          <w:sz w:val="24"/>
          <w:szCs w:val="24"/>
        </w:rPr>
      </w:pPr>
      <w:r>
        <w:rPr>
          <w:rFonts w:hint="eastAsia" w:ascii="宋体" w:hAnsi="宋体" w:cs="宋体"/>
          <w:b/>
          <w:bCs/>
          <w:sz w:val="24"/>
          <w:szCs w:val="24"/>
        </w:rPr>
        <w:t>二、评审程序</w:t>
      </w:r>
    </w:p>
    <w:p w14:paraId="12822F00">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14:paraId="217674D1">
      <w:pPr>
        <w:spacing w:line="360" w:lineRule="auto"/>
        <w:rPr>
          <w:rFonts w:ascii="宋体" w:hAnsi="宋体" w:cs="宋体"/>
          <w:sz w:val="24"/>
          <w:szCs w:val="24"/>
        </w:rPr>
      </w:pPr>
      <w:r>
        <w:rPr>
          <w:rFonts w:hint="eastAsia" w:ascii="宋体" w:hAnsi="宋体" w:cs="宋体"/>
          <w:sz w:val="24"/>
          <w:szCs w:val="24"/>
        </w:rPr>
        <w:t>在上一步评审中被废标者，不进入下一步的评审。</w:t>
      </w:r>
    </w:p>
    <w:p w14:paraId="4BF0AC27">
      <w:pPr>
        <w:spacing w:line="360" w:lineRule="auto"/>
        <w:rPr>
          <w:rFonts w:ascii="宋体" w:hAnsi="宋体" w:cs="宋体"/>
          <w:sz w:val="24"/>
          <w:szCs w:val="24"/>
        </w:rPr>
      </w:pPr>
      <w:r>
        <w:rPr>
          <w:rFonts w:hint="eastAsia" w:ascii="宋体" w:hAnsi="宋体" w:cs="宋体"/>
          <w:sz w:val="24"/>
          <w:szCs w:val="24"/>
        </w:rPr>
        <w:t>1、对竞争性谈判响应文件的</w:t>
      </w:r>
      <w:r>
        <w:rPr>
          <w:rFonts w:hint="eastAsia" w:ascii="宋体" w:hAnsi="宋体" w:cs="宋体"/>
          <w:sz w:val="24"/>
          <w:szCs w:val="24"/>
          <w:lang w:val="en-US" w:eastAsia="zh-CN"/>
        </w:rPr>
        <w:t>资格</w:t>
      </w:r>
      <w:r>
        <w:rPr>
          <w:rFonts w:hint="eastAsia" w:ascii="宋体" w:hAnsi="宋体" w:cs="宋体"/>
          <w:sz w:val="24"/>
          <w:szCs w:val="24"/>
        </w:rPr>
        <w:t>性审查：</w:t>
      </w:r>
    </w:p>
    <w:p w14:paraId="39342D88">
      <w:pPr>
        <w:spacing w:line="360" w:lineRule="auto"/>
        <w:rPr>
          <w:rFonts w:ascii="宋体" w:hAnsi="宋体" w:cs="宋体"/>
          <w:sz w:val="24"/>
          <w:szCs w:val="24"/>
        </w:rPr>
      </w:pPr>
      <w:r>
        <w:rPr>
          <w:rFonts w:hint="eastAsia" w:ascii="宋体" w:hAnsi="宋体" w:cs="宋体"/>
          <w:sz w:val="24"/>
          <w:szCs w:val="24"/>
        </w:rPr>
        <w:t>按照以下内容对竞争性谈判响应文件</w:t>
      </w:r>
      <w:r>
        <w:rPr>
          <w:rFonts w:hint="eastAsia" w:ascii="宋体" w:hAnsi="宋体" w:cs="宋体"/>
          <w:sz w:val="24"/>
          <w:szCs w:val="24"/>
          <w:lang w:val="en-US" w:eastAsia="zh-CN"/>
        </w:rPr>
        <w:t>资格</w:t>
      </w:r>
      <w:r>
        <w:rPr>
          <w:rFonts w:hint="eastAsia" w:ascii="宋体" w:hAnsi="宋体" w:cs="宋体"/>
          <w:sz w:val="24"/>
          <w:szCs w:val="24"/>
        </w:rPr>
        <w:t>性审查，一项不合格其投标即为无效投标。</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441"/>
        <w:gridCol w:w="6068"/>
      </w:tblGrid>
      <w:tr w14:paraId="6586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4A68E02D">
            <w:pPr>
              <w:jc w:val="center"/>
              <w:rPr>
                <w:rFonts w:ascii="宋体" w:hAnsi="宋体" w:cs="宋体"/>
                <w:b/>
                <w:bCs/>
                <w:sz w:val="24"/>
                <w:szCs w:val="24"/>
              </w:rPr>
            </w:pPr>
            <w:r>
              <w:rPr>
                <w:rFonts w:hint="eastAsia" w:ascii="宋体" w:hAnsi="宋体" w:cs="宋体"/>
                <w:b/>
                <w:bCs/>
                <w:sz w:val="24"/>
                <w:szCs w:val="24"/>
              </w:rPr>
              <w:t>序号</w:t>
            </w:r>
          </w:p>
        </w:tc>
        <w:tc>
          <w:tcPr>
            <w:tcW w:w="2441" w:type="dxa"/>
            <w:noWrap w:val="0"/>
            <w:vAlign w:val="center"/>
          </w:tcPr>
          <w:p w14:paraId="162FD3E0">
            <w:pPr>
              <w:jc w:val="center"/>
              <w:rPr>
                <w:rFonts w:ascii="宋体" w:hAnsi="宋体" w:cs="宋体"/>
                <w:b/>
                <w:bCs/>
                <w:sz w:val="24"/>
                <w:szCs w:val="24"/>
              </w:rPr>
            </w:pPr>
            <w:r>
              <w:rPr>
                <w:rFonts w:hint="eastAsia" w:ascii="宋体" w:hAnsi="宋体" w:cs="宋体"/>
                <w:b/>
                <w:bCs/>
                <w:sz w:val="24"/>
                <w:szCs w:val="24"/>
              </w:rPr>
              <w:t>评审名称</w:t>
            </w:r>
          </w:p>
        </w:tc>
        <w:tc>
          <w:tcPr>
            <w:tcW w:w="6068" w:type="dxa"/>
            <w:noWrap w:val="0"/>
            <w:vAlign w:val="center"/>
          </w:tcPr>
          <w:p w14:paraId="595508E2">
            <w:pPr>
              <w:jc w:val="center"/>
              <w:rPr>
                <w:rFonts w:ascii="宋体" w:hAnsi="宋体" w:cs="宋体"/>
                <w:b/>
                <w:bCs/>
                <w:sz w:val="24"/>
                <w:szCs w:val="24"/>
              </w:rPr>
            </w:pPr>
            <w:r>
              <w:rPr>
                <w:rFonts w:hint="eastAsia" w:ascii="宋体" w:hAnsi="宋体" w:cs="宋体"/>
                <w:b/>
                <w:bCs/>
                <w:sz w:val="24"/>
                <w:szCs w:val="24"/>
              </w:rPr>
              <w:t>评审标准</w:t>
            </w:r>
          </w:p>
        </w:tc>
      </w:tr>
      <w:tr w14:paraId="57E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6EC335E9">
            <w:pPr>
              <w:jc w:val="center"/>
              <w:rPr>
                <w:rFonts w:ascii="宋体" w:hAnsi="宋体" w:cs="宋体"/>
                <w:sz w:val="24"/>
                <w:szCs w:val="24"/>
              </w:rPr>
            </w:pPr>
            <w:r>
              <w:rPr>
                <w:rFonts w:hint="eastAsia" w:ascii="宋体" w:hAnsi="宋体" w:cs="宋体"/>
                <w:sz w:val="24"/>
                <w:szCs w:val="24"/>
              </w:rPr>
              <w:t>1</w:t>
            </w:r>
          </w:p>
        </w:tc>
        <w:tc>
          <w:tcPr>
            <w:tcW w:w="2441" w:type="dxa"/>
            <w:noWrap w:val="0"/>
            <w:vAlign w:val="center"/>
          </w:tcPr>
          <w:p w14:paraId="51EE8694">
            <w:pPr>
              <w:jc w:val="center"/>
              <w:rPr>
                <w:rFonts w:ascii="宋体" w:hAnsi="宋体" w:cs="宋体"/>
                <w:sz w:val="24"/>
                <w:szCs w:val="24"/>
              </w:rPr>
            </w:pPr>
            <w:r>
              <w:rPr>
                <w:rFonts w:hint="eastAsia"/>
                <w:sz w:val="24"/>
                <w:szCs w:val="24"/>
              </w:rPr>
              <w:t>营业执照</w:t>
            </w:r>
          </w:p>
        </w:tc>
        <w:tc>
          <w:tcPr>
            <w:tcW w:w="6068" w:type="dxa"/>
            <w:noWrap w:val="0"/>
            <w:vAlign w:val="center"/>
          </w:tcPr>
          <w:p w14:paraId="43AB7E44">
            <w:pPr>
              <w:rPr>
                <w:rFonts w:ascii="宋体" w:hAnsi="宋体" w:cs="宋体"/>
                <w:sz w:val="24"/>
                <w:szCs w:val="24"/>
              </w:rPr>
            </w:pPr>
            <w:r>
              <w:rPr>
                <w:rFonts w:ascii="宋体" w:hAnsi="宋体" w:cs="宋体"/>
                <w:sz w:val="24"/>
                <w:szCs w:val="24"/>
              </w:rPr>
              <w:t>投标人须具备独立承担民事责任能力的法人或其他组织，提供合法有效的统一社会信用代码的营业执照； </w:t>
            </w:r>
          </w:p>
        </w:tc>
      </w:tr>
      <w:tr w14:paraId="2FAB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2F1DEA53">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2441" w:type="dxa"/>
            <w:noWrap w:val="0"/>
            <w:vAlign w:val="center"/>
          </w:tcPr>
          <w:p w14:paraId="346CE0D5">
            <w:pPr>
              <w:jc w:val="center"/>
              <w:rPr>
                <w:rFonts w:hint="eastAsia"/>
                <w:sz w:val="24"/>
                <w:szCs w:val="24"/>
              </w:rPr>
            </w:pPr>
            <w:r>
              <w:rPr>
                <w:rFonts w:hint="eastAsia"/>
                <w:sz w:val="24"/>
                <w:szCs w:val="24"/>
              </w:rPr>
              <w:t>财务状况报告</w:t>
            </w:r>
          </w:p>
        </w:tc>
        <w:tc>
          <w:tcPr>
            <w:tcW w:w="6068" w:type="dxa"/>
            <w:noWrap w:val="0"/>
            <w:vAlign w:val="center"/>
          </w:tcPr>
          <w:p w14:paraId="1B0614D6">
            <w:pPr>
              <w:rPr>
                <w:rFonts w:hint="eastAsia"/>
                <w:sz w:val="24"/>
                <w:szCs w:val="24"/>
              </w:rPr>
            </w:pPr>
            <w:r>
              <w:rPr>
                <w:rFonts w:hint="eastAsia"/>
                <w:sz w:val="24"/>
                <w:szCs w:val="24"/>
              </w:rPr>
              <w:t>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p>
        </w:tc>
      </w:tr>
      <w:tr w14:paraId="7396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007D7776">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2441" w:type="dxa"/>
            <w:noWrap w:val="0"/>
            <w:vAlign w:val="center"/>
          </w:tcPr>
          <w:p w14:paraId="4DD76763">
            <w:pPr>
              <w:jc w:val="center"/>
              <w:rPr>
                <w:rFonts w:hint="eastAsia"/>
                <w:sz w:val="24"/>
                <w:szCs w:val="24"/>
              </w:rPr>
            </w:pPr>
            <w:r>
              <w:rPr>
                <w:rFonts w:hint="eastAsia"/>
                <w:sz w:val="24"/>
                <w:szCs w:val="24"/>
              </w:rPr>
              <w:t>社会保障资金缴纳证明</w:t>
            </w:r>
          </w:p>
        </w:tc>
        <w:tc>
          <w:tcPr>
            <w:tcW w:w="6068" w:type="dxa"/>
            <w:noWrap w:val="0"/>
            <w:vAlign w:val="center"/>
          </w:tcPr>
          <w:p w14:paraId="0CE468C2">
            <w:pPr>
              <w:rPr>
                <w:rFonts w:hint="eastAsia"/>
                <w:sz w:val="24"/>
                <w:szCs w:val="24"/>
              </w:rPr>
            </w:pPr>
            <w:r>
              <w:rPr>
                <w:rFonts w:hint="eastAsia"/>
                <w:sz w:val="24"/>
                <w:szCs w:val="24"/>
              </w:rPr>
              <w:t>提供2025年1月至今已缴存的至少一个月的社会保障资金缴纳证明（社会保障资金缴存单据或社保机构开具的社会保险参保缴费情况证明），依法不需要缴纳社会保障资金的单位应提供相关证明材料；</w:t>
            </w:r>
          </w:p>
        </w:tc>
      </w:tr>
      <w:tr w14:paraId="7B1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8AB437D">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4</w:t>
            </w:r>
          </w:p>
        </w:tc>
        <w:tc>
          <w:tcPr>
            <w:tcW w:w="2441" w:type="dxa"/>
            <w:noWrap w:val="0"/>
            <w:vAlign w:val="center"/>
          </w:tcPr>
          <w:p w14:paraId="2EE8595B">
            <w:pPr>
              <w:jc w:val="center"/>
              <w:rPr>
                <w:rFonts w:ascii="宋体" w:hAnsi="宋体" w:cs="宋体"/>
                <w:sz w:val="24"/>
                <w:szCs w:val="24"/>
              </w:rPr>
            </w:pPr>
            <w:r>
              <w:rPr>
                <w:rFonts w:hint="eastAsia"/>
                <w:sz w:val="24"/>
                <w:szCs w:val="24"/>
              </w:rPr>
              <w:t>税收缴纳证明</w:t>
            </w:r>
          </w:p>
        </w:tc>
        <w:tc>
          <w:tcPr>
            <w:tcW w:w="6068" w:type="dxa"/>
            <w:noWrap w:val="0"/>
            <w:vAlign w:val="center"/>
          </w:tcPr>
          <w:p w14:paraId="59E2CD17">
            <w:pPr>
              <w:rPr>
                <w:rFonts w:ascii="宋体" w:hAnsi="宋体" w:cs="宋体"/>
                <w:sz w:val="24"/>
                <w:szCs w:val="24"/>
              </w:rPr>
            </w:pPr>
            <w:r>
              <w:rPr>
                <w:rFonts w:hint="eastAsia"/>
                <w:sz w:val="24"/>
                <w:szCs w:val="24"/>
              </w:rPr>
              <w:t>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tc>
      </w:tr>
      <w:tr w14:paraId="2E9C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78" w:type="dxa"/>
            <w:noWrap w:val="0"/>
            <w:vAlign w:val="center"/>
          </w:tcPr>
          <w:p w14:paraId="735D159C">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441" w:type="dxa"/>
            <w:noWrap w:val="0"/>
            <w:vAlign w:val="center"/>
          </w:tcPr>
          <w:p w14:paraId="43EC3562">
            <w:pPr>
              <w:jc w:val="center"/>
              <w:rPr>
                <w:rFonts w:ascii="宋体" w:hAnsi="宋体" w:cs="宋体"/>
                <w:sz w:val="24"/>
                <w:szCs w:val="24"/>
              </w:rPr>
            </w:pPr>
            <w:r>
              <w:rPr>
                <w:rFonts w:hint="eastAsia"/>
                <w:sz w:val="24"/>
                <w:szCs w:val="24"/>
              </w:rPr>
              <w:t>没有重大违法记录的书面声明</w:t>
            </w:r>
          </w:p>
        </w:tc>
        <w:tc>
          <w:tcPr>
            <w:tcW w:w="6068" w:type="dxa"/>
            <w:noWrap w:val="0"/>
            <w:vAlign w:val="center"/>
          </w:tcPr>
          <w:p w14:paraId="7E7CBB11">
            <w:pPr>
              <w:rPr>
                <w:rFonts w:ascii="宋体" w:hAnsi="宋体" w:cs="宋体"/>
                <w:sz w:val="24"/>
                <w:szCs w:val="24"/>
              </w:rPr>
            </w:pPr>
            <w:r>
              <w:rPr>
                <w:rFonts w:hint="eastAsia"/>
                <w:sz w:val="24"/>
                <w:szCs w:val="24"/>
              </w:rPr>
              <w:t>参加政府采购活动前3年内在经营活动中没有重大违法记录的书面声明（格式自拟，加盖投标人公章）；</w:t>
            </w:r>
          </w:p>
        </w:tc>
      </w:tr>
      <w:tr w14:paraId="25CC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231B1284">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441" w:type="dxa"/>
            <w:noWrap w:val="0"/>
            <w:vAlign w:val="center"/>
          </w:tcPr>
          <w:p w14:paraId="294201C0">
            <w:pPr>
              <w:jc w:val="center"/>
              <w:rPr>
                <w:rFonts w:ascii="宋体" w:hAnsi="宋体" w:cs="宋体"/>
                <w:sz w:val="24"/>
                <w:szCs w:val="24"/>
              </w:rPr>
            </w:pPr>
            <w:r>
              <w:rPr>
                <w:rFonts w:hint="eastAsia"/>
                <w:sz w:val="24"/>
                <w:szCs w:val="24"/>
              </w:rPr>
              <w:t>信用中国</w:t>
            </w:r>
          </w:p>
        </w:tc>
        <w:tc>
          <w:tcPr>
            <w:tcW w:w="6068" w:type="dxa"/>
            <w:noWrap w:val="0"/>
            <w:vAlign w:val="center"/>
          </w:tcPr>
          <w:p w14:paraId="22CC5B85">
            <w:pPr>
              <w:spacing w:line="360" w:lineRule="auto"/>
              <w:rPr>
                <w:rFonts w:hint="default" w:eastAsia="宋体"/>
                <w:lang w:val="en-US" w:eastAsia="zh-CN"/>
              </w:rPr>
            </w:pPr>
            <w:r>
              <w:rPr>
                <w:rFonts w:hint="eastAsia"/>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rPr>
              <w:t xml:space="preserve">    </w:t>
            </w:r>
          </w:p>
        </w:tc>
      </w:tr>
      <w:tr w14:paraId="2C53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42C1A027">
            <w:pPr>
              <w:jc w:val="center"/>
              <w:rPr>
                <w:rFonts w:hint="eastAsia" w:ascii="宋体" w:hAnsi="宋体" w:cs="宋体"/>
                <w:sz w:val="24"/>
                <w:szCs w:val="24"/>
                <w:lang w:val="en-US" w:eastAsia="zh-CN"/>
              </w:rPr>
            </w:pPr>
            <w:r>
              <w:rPr>
                <w:rFonts w:hint="eastAsia" w:ascii="宋体" w:hAnsi="宋体" w:cs="宋体"/>
                <w:sz w:val="24"/>
                <w:szCs w:val="24"/>
                <w:lang w:val="en-US" w:eastAsia="zh-CN"/>
              </w:rPr>
              <w:t>7</w:t>
            </w:r>
          </w:p>
        </w:tc>
        <w:tc>
          <w:tcPr>
            <w:tcW w:w="2441" w:type="dxa"/>
            <w:noWrap w:val="0"/>
            <w:vAlign w:val="center"/>
          </w:tcPr>
          <w:p w14:paraId="1A244BD2">
            <w:pPr>
              <w:jc w:val="center"/>
              <w:rPr>
                <w:rFonts w:hint="eastAsia"/>
                <w:sz w:val="24"/>
                <w:szCs w:val="24"/>
              </w:rPr>
            </w:pPr>
            <w:r>
              <w:rPr>
                <w:rFonts w:hint="eastAsia"/>
                <w:sz w:val="24"/>
                <w:szCs w:val="24"/>
                <w:lang w:val="en-US" w:eastAsia="zh-CN"/>
              </w:rPr>
              <w:t>小微</w:t>
            </w:r>
            <w:r>
              <w:rPr>
                <w:rFonts w:hint="eastAsia"/>
                <w:sz w:val="24"/>
                <w:szCs w:val="24"/>
              </w:rPr>
              <w:t>企业声明函</w:t>
            </w:r>
          </w:p>
        </w:tc>
        <w:tc>
          <w:tcPr>
            <w:tcW w:w="6068" w:type="dxa"/>
            <w:noWrap w:val="0"/>
            <w:vAlign w:val="center"/>
          </w:tcPr>
          <w:p w14:paraId="3215976F">
            <w:pPr>
              <w:rPr>
                <w:rFonts w:hint="eastAsia"/>
                <w:sz w:val="24"/>
                <w:szCs w:val="24"/>
              </w:rPr>
            </w:pPr>
            <w:r>
              <w:rPr>
                <w:rFonts w:hint="eastAsia"/>
                <w:sz w:val="24"/>
                <w:szCs w:val="24"/>
              </w:rPr>
              <w:t>本项目专门面向</w:t>
            </w:r>
            <w:r>
              <w:rPr>
                <w:rFonts w:hint="eastAsia"/>
                <w:sz w:val="24"/>
                <w:szCs w:val="24"/>
                <w:lang w:val="en-US" w:eastAsia="zh-CN"/>
              </w:rPr>
              <w:t>小微</w:t>
            </w:r>
            <w:r>
              <w:rPr>
                <w:rFonts w:hint="eastAsia"/>
                <w:sz w:val="24"/>
                <w:szCs w:val="24"/>
              </w:rPr>
              <w:t>企业采购（须提供</w:t>
            </w:r>
            <w:r>
              <w:rPr>
                <w:rFonts w:hint="eastAsia"/>
                <w:sz w:val="24"/>
                <w:szCs w:val="24"/>
                <w:lang w:val="en-US" w:eastAsia="zh-CN"/>
              </w:rPr>
              <w:t>小微</w:t>
            </w:r>
            <w:r>
              <w:rPr>
                <w:rFonts w:hint="eastAsia"/>
                <w:sz w:val="24"/>
                <w:szCs w:val="24"/>
              </w:rPr>
              <w:t>企业声明函）；</w:t>
            </w:r>
          </w:p>
        </w:tc>
      </w:tr>
      <w:tr w14:paraId="53A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A754E4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8</w:t>
            </w:r>
          </w:p>
        </w:tc>
        <w:tc>
          <w:tcPr>
            <w:tcW w:w="2441" w:type="dxa"/>
            <w:noWrap w:val="0"/>
            <w:vAlign w:val="center"/>
          </w:tcPr>
          <w:p w14:paraId="7E072AB2">
            <w:pPr>
              <w:jc w:val="center"/>
              <w:rPr>
                <w:rFonts w:hint="eastAsia" w:ascii="宋体" w:hAnsi="宋体" w:cs="宋体"/>
                <w:sz w:val="24"/>
                <w:szCs w:val="24"/>
              </w:rPr>
            </w:pPr>
            <w:r>
              <w:rPr>
                <w:rFonts w:hint="eastAsia"/>
                <w:sz w:val="24"/>
                <w:szCs w:val="24"/>
              </w:rPr>
              <w:t>投标信用承诺书</w:t>
            </w:r>
          </w:p>
        </w:tc>
        <w:tc>
          <w:tcPr>
            <w:tcW w:w="6068" w:type="dxa"/>
            <w:noWrap w:val="0"/>
            <w:vAlign w:val="center"/>
          </w:tcPr>
          <w:p w14:paraId="63D4D22E">
            <w:pPr>
              <w:rPr>
                <w:rFonts w:hint="eastAsia" w:ascii="宋体" w:hAnsi="宋体" w:cs="宋体"/>
                <w:sz w:val="24"/>
                <w:szCs w:val="24"/>
              </w:rPr>
            </w:pPr>
            <w:r>
              <w:rPr>
                <w:rFonts w:hint="eastAsia"/>
                <w:sz w:val="24"/>
                <w:szCs w:val="24"/>
              </w:rPr>
              <w:t>投标保证金用投标信用承诺书代替（提供投标信用承诺书）；</w:t>
            </w:r>
          </w:p>
        </w:tc>
      </w:tr>
      <w:tr w14:paraId="7C5A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5B1C71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441" w:type="dxa"/>
            <w:noWrap w:val="0"/>
            <w:vAlign w:val="center"/>
          </w:tcPr>
          <w:p w14:paraId="547D900D">
            <w:pPr>
              <w:jc w:val="center"/>
              <w:rPr>
                <w:rFonts w:hint="eastAsia" w:ascii="宋体" w:hAnsi="宋体" w:cs="宋体"/>
                <w:sz w:val="24"/>
                <w:szCs w:val="24"/>
              </w:rPr>
            </w:pPr>
            <w:r>
              <w:rPr>
                <w:rFonts w:hint="eastAsia"/>
                <w:sz w:val="24"/>
                <w:szCs w:val="24"/>
              </w:rPr>
              <w:t>非联合体投标声明函</w:t>
            </w:r>
          </w:p>
        </w:tc>
        <w:tc>
          <w:tcPr>
            <w:tcW w:w="6068" w:type="dxa"/>
            <w:noWrap w:val="0"/>
            <w:vAlign w:val="center"/>
          </w:tcPr>
          <w:p w14:paraId="2642865B">
            <w:pPr>
              <w:rPr>
                <w:rFonts w:hint="eastAsia" w:ascii="宋体" w:hAnsi="宋体" w:eastAsia="宋体" w:cs="宋体"/>
                <w:sz w:val="24"/>
                <w:szCs w:val="24"/>
                <w:lang w:eastAsia="zh-CN"/>
              </w:rPr>
            </w:pPr>
            <w:r>
              <w:rPr>
                <w:rFonts w:hint="eastAsia"/>
                <w:sz w:val="24"/>
                <w:szCs w:val="24"/>
              </w:rPr>
              <w:t>本项目不接受联合体投标，单位负责人为同一人或者存在直接控股、管理关系的不同投标人，不得参加同一合同项下的政府采购活动（须提供非联合体投标声明函）</w:t>
            </w:r>
            <w:r>
              <w:rPr>
                <w:rFonts w:hint="eastAsia"/>
                <w:sz w:val="24"/>
                <w:szCs w:val="24"/>
                <w:lang w:eastAsia="zh-CN"/>
              </w:rPr>
              <w:t>；</w:t>
            </w:r>
          </w:p>
        </w:tc>
      </w:tr>
      <w:tr w14:paraId="2E4D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4AAD6FA5">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441" w:type="dxa"/>
            <w:noWrap w:val="0"/>
            <w:vAlign w:val="center"/>
          </w:tcPr>
          <w:p w14:paraId="0F27E229">
            <w:pPr>
              <w:jc w:val="center"/>
              <w:rPr>
                <w:rFonts w:hint="eastAsia"/>
                <w:sz w:val="24"/>
                <w:szCs w:val="24"/>
              </w:rPr>
            </w:pPr>
            <w:r>
              <w:rPr>
                <w:rFonts w:hint="eastAsia"/>
                <w:sz w:val="24"/>
                <w:szCs w:val="24"/>
              </w:rPr>
              <w:t>广播电视制作经营许可证</w:t>
            </w:r>
          </w:p>
        </w:tc>
        <w:tc>
          <w:tcPr>
            <w:tcW w:w="6068" w:type="dxa"/>
            <w:noWrap w:val="0"/>
            <w:vAlign w:val="center"/>
          </w:tcPr>
          <w:p w14:paraId="678B6E92">
            <w:pPr>
              <w:rPr>
                <w:rFonts w:hint="eastAsia"/>
                <w:sz w:val="24"/>
                <w:szCs w:val="24"/>
              </w:rPr>
            </w:pPr>
            <w:r>
              <w:rPr>
                <w:rFonts w:hint="eastAsia"/>
                <w:sz w:val="24"/>
                <w:szCs w:val="24"/>
              </w:rPr>
              <w:t>投标人需具有广播电视制作经营许可证。</w:t>
            </w:r>
          </w:p>
        </w:tc>
      </w:tr>
    </w:tbl>
    <w:p w14:paraId="4DF35786">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对竞争性谈判响应文件的符合性审查：</w:t>
      </w:r>
    </w:p>
    <w:p w14:paraId="03567AB2">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34A0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609C877B">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1D7CF5CA">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67AAF3EB">
            <w:pPr>
              <w:jc w:val="center"/>
              <w:rPr>
                <w:rFonts w:ascii="宋体" w:hAnsi="宋体" w:cs="宋体"/>
                <w:b/>
                <w:bCs/>
                <w:sz w:val="24"/>
                <w:szCs w:val="24"/>
              </w:rPr>
            </w:pPr>
            <w:r>
              <w:rPr>
                <w:rFonts w:hint="eastAsia" w:ascii="宋体" w:hAnsi="宋体" w:cs="宋体"/>
                <w:b/>
                <w:bCs/>
                <w:sz w:val="24"/>
                <w:szCs w:val="24"/>
              </w:rPr>
              <w:t>评审标准</w:t>
            </w:r>
          </w:p>
        </w:tc>
      </w:tr>
      <w:tr w14:paraId="4C55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70C1BE73">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30B27416">
            <w:pPr>
              <w:jc w:val="center"/>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14:paraId="4C6E21E2">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14:paraId="1DE8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0947A0AA">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14:paraId="0490BDD5">
            <w:pPr>
              <w:jc w:val="center"/>
              <w:rPr>
                <w:rFonts w:ascii="宋体" w:hAnsi="宋体" w:cs="宋体"/>
                <w:sz w:val="24"/>
                <w:szCs w:val="24"/>
              </w:rPr>
            </w:pPr>
            <w:r>
              <w:rPr>
                <w:rFonts w:hint="eastAsia" w:ascii="宋体" w:hAnsi="宋体" w:cs="宋体"/>
                <w:sz w:val="24"/>
                <w:szCs w:val="24"/>
              </w:rPr>
              <w:t>投标保证金</w:t>
            </w:r>
          </w:p>
        </w:tc>
        <w:tc>
          <w:tcPr>
            <w:tcW w:w="5536" w:type="dxa"/>
            <w:noWrap w:val="0"/>
            <w:vAlign w:val="center"/>
          </w:tcPr>
          <w:p w14:paraId="52F3FD70">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14:paraId="6BD4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000F6AD9">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14:paraId="7846421A">
            <w:pPr>
              <w:jc w:val="center"/>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14:paraId="60533A77">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14:paraId="6E43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14:paraId="57F6EF43">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14:paraId="00FD3405">
            <w:pPr>
              <w:jc w:val="center"/>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14:paraId="25CF2ACF">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14:paraId="636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06C3EA23">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14:paraId="2B2697E8">
            <w:pPr>
              <w:jc w:val="center"/>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14:paraId="40C49EE7">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276E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053242EB">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14:paraId="0EB183F6">
            <w:pPr>
              <w:jc w:val="center"/>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14:paraId="60EAAD8B">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7A2D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5278719B">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14:paraId="16D798CE">
            <w:pPr>
              <w:jc w:val="center"/>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14:paraId="6F3AA421">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300B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14:paraId="74FFABAC">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14:paraId="1A0BB33B">
            <w:pPr>
              <w:jc w:val="center"/>
              <w:rPr>
                <w:rFonts w:ascii="宋体" w:hAnsi="宋体" w:cs="宋体"/>
                <w:sz w:val="24"/>
                <w:szCs w:val="24"/>
              </w:rPr>
            </w:pPr>
            <w:r>
              <w:rPr>
                <w:rFonts w:hint="eastAsia" w:ascii="宋体" w:hAnsi="宋体" w:cs="宋体"/>
                <w:sz w:val="24"/>
                <w:szCs w:val="24"/>
              </w:rPr>
              <w:t>报价</w:t>
            </w:r>
          </w:p>
        </w:tc>
        <w:tc>
          <w:tcPr>
            <w:tcW w:w="5536" w:type="dxa"/>
            <w:noWrap w:val="0"/>
            <w:vAlign w:val="center"/>
          </w:tcPr>
          <w:p w14:paraId="24BBF36B">
            <w:pPr>
              <w:rPr>
                <w:rFonts w:ascii="宋体" w:hAnsi="宋体" w:cs="宋体"/>
                <w:sz w:val="24"/>
                <w:szCs w:val="24"/>
              </w:rPr>
            </w:pPr>
            <w:r>
              <w:rPr>
                <w:rFonts w:hint="eastAsia" w:ascii="宋体" w:hAnsi="宋体" w:cs="宋体"/>
                <w:sz w:val="24"/>
                <w:szCs w:val="24"/>
              </w:rPr>
              <w:t>1）供应商在同一份谈判响应文件中，只有一个有效报价的；</w:t>
            </w:r>
          </w:p>
          <w:p w14:paraId="719306D1">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14:paraId="72B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48B4FCCB">
            <w:pPr>
              <w:jc w:val="center"/>
              <w:rPr>
                <w:rFonts w:ascii="宋体" w:hAnsi="宋体" w:cs="宋体"/>
                <w:sz w:val="24"/>
                <w:szCs w:val="24"/>
              </w:rPr>
            </w:pPr>
            <w:r>
              <w:rPr>
                <w:rFonts w:hint="eastAsia" w:ascii="宋体" w:hAnsi="宋体" w:cs="宋体"/>
                <w:sz w:val="24"/>
                <w:szCs w:val="24"/>
              </w:rPr>
              <w:t>9</w:t>
            </w:r>
          </w:p>
        </w:tc>
        <w:tc>
          <w:tcPr>
            <w:tcW w:w="2973" w:type="dxa"/>
            <w:noWrap w:val="0"/>
            <w:vAlign w:val="center"/>
          </w:tcPr>
          <w:p w14:paraId="30FFAA8C">
            <w:pPr>
              <w:jc w:val="center"/>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14:paraId="34DC53E0">
            <w:pPr>
              <w:rPr>
                <w:rFonts w:ascii="宋体" w:hAnsi="宋体" w:cs="宋体"/>
                <w:sz w:val="24"/>
                <w:szCs w:val="24"/>
              </w:rPr>
            </w:pPr>
            <w:r>
              <w:rPr>
                <w:rFonts w:hint="eastAsia" w:ascii="宋体" w:hAnsi="宋体" w:cs="宋体"/>
                <w:sz w:val="24"/>
                <w:szCs w:val="24"/>
              </w:rPr>
              <w:t>商务要求</w:t>
            </w:r>
            <w:r>
              <w:rPr>
                <w:rFonts w:hint="eastAsia" w:ascii="宋体" w:hAnsi="宋体" w:cs="宋体"/>
                <w:sz w:val="24"/>
                <w:szCs w:val="24"/>
                <w:lang w:val="en-US" w:eastAsia="zh-CN"/>
              </w:rPr>
              <w:t>逐条</w:t>
            </w:r>
            <w:r>
              <w:rPr>
                <w:rFonts w:hint="eastAsia" w:ascii="宋体" w:hAnsi="宋体" w:cs="宋体"/>
                <w:sz w:val="24"/>
                <w:szCs w:val="24"/>
              </w:rPr>
              <w:t>响应并满足竞争性谈判文件要求。</w:t>
            </w:r>
          </w:p>
        </w:tc>
      </w:tr>
      <w:tr w14:paraId="2973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47185911">
            <w:pPr>
              <w:jc w:val="center"/>
              <w:rPr>
                <w:rFonts w:ascii="宋体" w:hAnsi="宋体" w:cs="宋体"/>
                <w:sz w:val="24"/>
                <w:szCs w:val="24"/>
              </w:rPr>
            </w:pPr>
            <w:r>
              <w:rPr>
                <w:rFonts w:hint="eastAsia" w:ascii="宋体" w:hAnsi="宋体" w:cs="宋体"/>
                <w:sz w:val="24"/>
                <w:szCs w:val="24"/>
              </w:rPr>
              <w:t>10</w:t>
            </w:r>
          </w:p>
        </w:tc>
        <w:tc>
          <w:tcPr>
            <w:tcW w:w="2973" w:type="dxa"/>
            <w:noWrap w:val="0"/>
            <w:vAlign w:val="center"/>
          </w:tcPr>
          <w:p w14:paraId="0920A391">
            <w:pPr>
              <w:jc w:val="center"/>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14:paraId="3971293B">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rPr>
              <w:t>承诺的</w:t>
            </w:r>
            <w:r>
              <w:rPr>
                <w:rFonts w:hint="eastAsia" w:ascii="宋体" w:hAnsi="宋体" w:cs="宋体"/>
                <w:sz w:val="24"/>
                <w:lang w:val="en-US" w:eastAsia="zh-CN"/>
              </w:rPr>
              <w:t>服务期</w:t>
            </w:r>
            <w:r>
              <w:rPr>
                <w:rFonts w:hint="eastAsia" w:ascii="宋体" w:hAnsi="宋体" w:cs="宋体"/>
                <w:sz w:val="24"/>
              </w:rPr>
              <w:t>及付款方式；</w:t>
            </w:r>
          </w:p>
          <w:p w14:paraId="2CD0893D">
            <w:pPr>
              <w:spacing w:line="360" w:lineRule="auto"/>
              <w:rPr>
                <w:rFonts w:hint="eastAsia" w:ascii="宋体" w:hAnsi="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rPr>
              <w:t>项目的</w:t>
            </w:r>
            <w:r>
              <w:rPr>
                <w:rFonts w:hint="eastAsia" w:ascii="宋体" w:hAnsi="宋体" w:cs="宋体"/>
                <w:sz w:val="24"/>
                <w:lang w:val="en-US" w:eastAsia="zh-CN"/>
              </w:rPr>
              <w:t>服务</w:t>
            </w:r>
            <w:r>
              <w:rPr>
                <w:rFonts w:hint="eastAsia" w:ascii="宋体" w:hAnsi="宋体" w:cs="宋体"/>
                <w:sz w:val="24"/>
              </w:rPr>
              <w:t>方案的完整合理性；</w:t>
            </w:r>
          </w:p>
          <w:p w14:paraId="3787D274">
            <w:pPr>
              <w:spacing w:line="360" w:lineRule="auto"/>
              <w:rPr>
                <w:rFonts w:hint="default" w:ascii="宋体" w:hAnsi="宋体" w:eastAsia="宋体" w:cs="宋体"/>
                <w:sz w:val="24"/>
                <w:szCs w:val="24"/>
                <w:lang w:val="en-US" w:eastAsia="zh-CN"/>
              </w:rPr>
            </w:pPr>
            <w:r>
              <w:rPr>
                <w:rFonts w:hint="eastAsia" w:ascii="宋体" w:hAnsi="宋体" w:cs="宋体"/>
                <w:sz w:val="24"/>
                <w:lang w:val="en-US" w:eastAsia="zh-CN"/>
              </w:rPr>
              <w:t>3）</w:t>
            </w:r>
            <w:r>
              <w:rPr>
                <w:rFonts w:hint="eastAsia" w:ascii="宋体" w:hAnsi="宋体" w:cs="宋体"/>
                <w:sz w:val="24"/>
              </w:rPr>
              <w:t>项目的人员配备情况的合理性；</w:t>
            </w:r>
          </w:p>
          <w:p w14:paraId="6F82ACB4">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2808E48D">
            <w:pPr>
              <w:spacing w:line="360" w:lineRule="auto"/>
              <w:rPr>
                <w:rFonts w:hint="default" w:eastAsia="宋体"/>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cs="宋体"/>
                <w:sz w:val="24"/>
                <w:szCs w:val="22"/>
              </w:rPr>
              <w:t>其他特殊要求因素（如安全及环保等）。</w:t>
            </w:r>
            <w:r>
              <w:rPr>
                <w:rFonts w:hint="eastAsia" w:ascii="宋体" w:hAnsi="宋体" w:eastAsia="宋体" w:cs="宋体"/>
                <w:color w:val="auto"/>
                <w:sz w:val="24"/>
                <w:szCs w:val="24"/>
              </w:rPr>
              <w:t xml:space="preserve"> </w:t>
            </w:r>
          </w:p>
        </w:tc>
      </w:tr>
      <w:tr w14:paraId="5F44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1D754F23">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14:paraId="14F5A1A7">
            <w:pPr>
              <w:jc w:val="center"/>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14:paraId="5B83A7C5">
            <w:pPr>
              <w:rPr>
                <w:rFonts w:ascii="宋体" w:hAnsi="宋体" w:cs="宋体"/>
                <w:sz w:val="24"/>
                <w:szCs w:val="24"/>
              </w:rPr>
            </w:pPr>
            <w:r>
              <w:rPr>
                <w:rFonts w:hint="eastAsia" w:ascii="宋体" w:hAnsi="宋体" w:cs="宋体"/>
                <w:sz w:val="24"/>
                <w:szCs w:val="24"/>
              </w:rPr>
              <w:t>满足谈判文件规定的其他要求。</w:t>
            </w:r>
          </w:p>
        </w:tc>
      </w:tr>
    </w:tbl>
    <w:p w14:paraId="770804A0">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14:paraId="3BDD70C7">
      <w:pPr>
        <w:spacing w:line="360" w:lineRule="auto"/>
        <w:rPr>
          <w:rFonts w:ascii="宋体" w:hAnsi="宋体" w:cs="宋体"/>
          <w:sz w:val="24"/>
          <w:szCs w:val="24"/>
        </w:rPr>
      </w:pPr>
      <w:r>
        <w:rPr>
          <w:rFonts w:hint="eastAsia" w:ascii="宋体" w:hAnsi="宋体" w:cs="宋体"/>
          <w:sz w:val="24"/>
          <w:szCs w:val="24"/>
        </w:rPr>
        <w:t>更正：</w:t>
      </w:r>
    </w:p>
    <w:p w14:paraId="5BCC4175">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14:paraId="4987B0CF">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14:paraId="1252AE90">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14:paraId="480D7208">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14:paraId="5E8DA816">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14:paraId="54B48011">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14:paraId="44A724DA">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7F15C306">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14:paraId="4FF2B0BD">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14:paraId="3041001D">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14:paraId="4F019A4E">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14:paraId="4AACD23D">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14:paraId="6A16C980">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14:paraId="5EFF3CCF">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14:paraId="0F4B3FCA">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14:paraId="217B15F3">
      <w:pPr>
        <w:spacing w:line="360" w:lineRule="auto"/>
        <w:ind w:firstLine="480" w:firstLineChars="200"/>
        <w:rPr>
          <w:sz w:val="24"/>
          <w:szCs w:val="24"/>
        </w:rPr>
      </w:pPr>
      <w:r>
        <w:rPr>
          <w:rFonts w:hint="eastAsia"/>
          <w:sz w:val="24"/>
          <w:szCs w:val="24"/>
        </w:rPr>
        <w:t>（4）《国务院办公厅关于建立政府强制采购节能产品制度的通知》（国办发〔2007〕</w:t>
      </w:r>
    </w:p>
    <w:p w14:paraId="24055445">
      <w:pPr>
        <w:spacing w:line="360" w:lineRule="auto"/>
        <w:rPr>
          <w:sz w:val="24"/>
          <w:szCs w:val="24"/>
        </w:rPr>
      </w:pPr>
      <w:r>
        <w:rPr>
          <w:rFonts w:hint="eastAsia"/>
          <w:sz w:val="24"/>
          <w:szCs w:val="24"/>
        </w:rPr>
        <w:t>51 号）；</w:t>
      </w:r>
    </w:p>
    <w:p w14:paraId="36E18085">
      <w:pPr>
        <w:spacing w:line="360" w:lineRule="auto"/>
        <w:ind w:firstLine="480" w:firstLineChars="200"/>
        <w:rPr>
          <w:sz w:val="24"/>
          <w:szCs w:val="24"/>
        </w:rPr>
      </w:pPr>
      <w:r>
        <w:rPr>
          <w:rFonts w:hint="eastAsia"/>
          <w:sz w:val="24"/>
          <w:szCs w:val="24"/>
        </w:rPr>
        <w:t>（5）《节能产品政府采购实施意见》（财库[2004]185 号）；</w:t>
      </w:r>
    </w:p>
    <w:p w14:paraId="75FD27EF">
      <w:pPr>
        <w:spacing w:line="360" w:lineRule="auto"/>
        <w:ind w:firstLine="480" w:firstLineChars="200"/>
        <w:rPr>
          <w:sz w:val="24"/>
          <w:szCs w:val="24"/>
        </w:rPr>
      </w:pPr>
      <w:r>
        <w:rPr>
          <w:rFonts w:hint="eastAsia"/>
          <w:sz w:val="24"/>
          <w:szCs w:val="24"/>
        </w:rPr>
        <w:t>（6）《环境标志产品政府采购实施的意见》（财库[2006]90 号）；</w:t>
      </w:r>
    </w:p>
    <w:p w14:paraId="389F0006">
      <w:pPr>
        <w:spacing w:line="360" w:lineRule="auto"/>
        <w:ind w:firstLine="480" w:firstLineChars="200"/>
        <w:rPr>
          <w:sz w:val="24"/>
          <w:szCs w:val="24"/>
        </w:rPr>
      </w:pPr>
      <w:r>
        <w:rPr>
          <w:rFonts w:hint="eastAsia"/>
          <w:sz w:val="24"/>
          <w:szCs w:val="24"/>
        </w:rPr>
        <w:t>（7） 《陕西省中小企业政府采购信用融资办法》（陕财办采〔2018〕23 号）。</w:t>
      </w:r>
    </w:p>
    <w:p w14:paraId="6A2581C6">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14:paraId="4797EBAA">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14:paraId="7285A415">
      <w:pPr>
        <w:spacing w:line="360" w:lineRule="auto"/>
        <w:ind w:firstLine="480" w:firstLineChars="200"/>
        <w:rPr>
          <w:sz w:val="24"/>
          <w:szCs w:val="24"/>
        </w:rPr>
      </w:pPr>
      <w:r>
        <w:rPr>
          <w:rFonts w:hint="eastAsia"/>
          <w:sz w:val="24"/>
          <w:szCs w:val="24"/>
        </w:rPr>
        <w:t>2）在工程采购项目中，工程由中小企业承建，即工程施工单位为中小企业；</w:t>
      </w:r>
    </w:p>
    <w:p w14:paraId="198E07D9">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14:paraId="072900A1">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14:paraId="064820A4">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14:paraId="25D5CB81">
      <w:pPr>
        <w:spacing w:line="360" w:lineRule="auto"/>
        <w:rPr>
          <w:sz w:val="24"/>
          <w:szCs w:val="24"/>
        </w:rPr>
      </w:pPr>
      <w:r>
        <w:rPr>
          <w:rFonts w:hint="eastAsia"/>
          <w:sz w:val="24"/>
          <w:szCs w:val="24"/>
        </w:rPr>
        <w:t>中小企业。其中，联合体各方均为小微企业的，联合体视同小微企业。</w:t>
      </w:r>
    </w:p>
    <w:p w14:paraId="26E71113">
      <w:pPr>
        <w:spacing w:line="360" w:lineRule="auto"/>
        <w:ind w:firstLine="482" w:firstLineChars="200"/>
        <w:rPr>
          <w:b/>
          <w:bCs/>
          <w:sz w:val="24"/>
          <w:szCs w:val="24"/>
        </w:rPr>
      </w:pPr>
      <w:r>
        <w:rPr>
          <w:rFonts w:hint="eastAsia"/>
          <w:b/>
          <w:bCs/>
          <w:sz w:val="24"/>
          <w:szCs w:val="24"/>
        </w:rPr>
        <w:t>供应商为非联合体参与投标的情况：</w:t>
      </w:r>
    </w:p>
    <w:p w14:paraId="33EAE2BB">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14:paraId="497A5E91">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14:paraId="236D58C4">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14:paraId="74AB8269">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14:paraId="0DE0AC6A">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14:paraId="0BBB6462">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14:paraId="41AD96CB">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14:paraId="0AF4C5AF">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14:paraId="6DD53E29">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0DCD5491">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14:paraId="0CB7B19D">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14:paraId="5EB176B7">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14:paraId="1F9B972F">
      <w:pPr>
        <w:spacing w:line="360" w:lineRule="auto"/>
        <w:rPr>
          <w:sz w:val="24"/>
          <w:szCs w:val="24"/>
        </w:rPr>
      </w:pPr>
      <w:r>
        <w:rPr>
          <w:rFonts w:hint="eastAsia"/>
          <w:sz w:val="24"/>
          <w:szCs w:val="24"/>
        </w:rPr>
        <w:t>的通知》（财库〔2017〕，符合条件的残疾人福利性单位在参加政府采购活动时，</w:t>
      </w:r>
    </w:p>
    <w:p w14:paraId="52A92C47">
      <w:pPr>
        <w:spacing w:line="360" w:lineRule="auto"/>
        <w:rPr>
          <w:sz w:val="24"/>
          <w:szCs w:val="24"/>
        </w:rPr>
      </w:pPr>
      <w:r>
        <w:rPr>
          <w:rFonts w:hint="eastAsia"/>
          <w:sz w:val="24"/>
          <w:szCs w:val="24"/>
        </w:rPr>
        <w:t>应当提供本通知规定的《残疾人福利性单位声明函》（见附件），并对声明的真</w:t>
      </w:r>
    </w:p>
    <w:p w14:paraId="056147AD">
      <w:pPr>
        <w:spacing w:line="360" w:lineRule="auto"/>
        <w:rPr>
          <w:sz w:val="24"/>
          <w:szCs w:val="24"/>
        </w:rPr>
      </w:pPr>
      <w:r>
        <w:rPr>
          <w:rFonts w:hint="eastAsia"/>
          <w:sz w:val="24"/>
          <w:szCs w:val="24"/>
        </w:rPr>
        <w:t>实性负责。中标、成交供应商为残疾人福利性单位的，采购人或者其委托的采购</w:t>
      </w:r>
    </w:p>
    <w:p w14:paraId="53D7E97E">
      <w:pPr>
        <w:spacing w:line="360" w:lineRule="auto"/>
        <w:rPr>
          <w:sz w:val="24"/>
          <w:szCs w:val="24"/>
        </w:rPr>
      </w:pPr>
      <w:r>
        <w:rPr>
          <w:rFonts w:hint="eastAsia"/>
          <w:sz w:val="24"/>
          <w:szCs w:val="24"/>
        </w:rPr>
        <w:t>代理机构应当随中标、成交结果同时公告其《残疾人福利性单位声明函》，接受</w:t>
      </w:r>
    </w:p>
    <w:p w14:paraId="6A4CE77B">
      <w:pPr>
        <w:spacing w:line="360" w:lineRule="auto"/>
        <w:rPr>
          <w:sz w:val="24"/>
          <w:szCs w:val="24"/>
        </w:rPr>
      </w:pPr>
      <w:r>
        <w:rPr>
          <w:rFonts w:hint="eastAsia"/>
          <w:sz w:val="24"/>
          <w:szCs w:val="24"/>
        </w:rPr>
        <w:t>社会监督。投标人提供的《残疾人福利性单位声明函》与事实不符的，依照《政</w:t>
      </w:r>
    </w:p>
    <w:p w14:paraId="5C6ED810">
      <w:pPr>
        <w:spacing w:line="360" w:lineRule="auto"/>
        <w:rPr>
          <w:sz w:val="24"/>
          <w:szCs w:val="24"/>
        </w:rPr>
      </w:pPr>
      <w:r>
        <w:rPr>
          <w:rFonts w:hint="eastAsia"/>
          <w:sz w:val="24"/>
          <w:szCs w:val="24"/>
        </w:rPr>
        <w:t>府采购法》第七十七条第一款的规定追究法律责任。</w:t>
      </w:r>
    </w:p>
    <w:p w14:paraId="6C8737B4">
      <w:pPr>
        <w:rPr>
          <w:rFonts w:ascii="宋体" w:hAnsi="宋体" w:cs="宋体"/>
          <w:sz w:val="24"/>
          <w:szCs w:val="24"/>
        </w:rPr>
      </w:pPr>
      <w:r>
        <w:rPr>
          <w:rFonts w:hint="eastAsia" w:ascii="宋体" w:hAnsi="宋体" w:cs="宋体"/>
          <w:b/>
          <w:bCs/>
          <w:sz w:val="24"/>
          <w:szCs w:val="24"/>
        </w:rPr>
        <w:t>三、谈判方法</w:t>
      </w:r>
    </w:p>
    <w:p w14:paraId="63BC3ABF">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14:paraId="0D8B8EDA">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14:paraId="21CEA470">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14:paraId="0BBE9CE6">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14:paraId="5EF01D2D">
      <w:pPr>
        <w:spacing w:line="360" w:lineRule="auto"/>
        <w:ind w:firstLine="480" w:firstLineChars="200"/>
        <w:rPr>
          <w:rFonts w:ascii="宋体" w:hAnsi="宋体" w:cs="宋体"/>
          <w:sz w:val="24"/>
          <w:szCs w:val="24"/>
        </w:rPr>
      </w:pPr>
      <w:r>
        <w:rPr>
          <w:rFonts w:hint="eastAsia" w:ascii="宋体" w:hAnsi="宋体" w:cs="宋体"/>
          <w:sz w:val="24"/>
          <w:szCs w:val="24"/>
        </w:rPr>
        <w:t>2、谈判程序：分步评审，每一步评审不符合者，不进入下一步评审。谈判开始</w:t>
      </w:r>
    </w:p>
    <w:p w14:paraId="6551DDBB">
      <w:pPr>
        <w:spacing w:line="360" w:lineRule="auto"/>
        <w:rPr>
          <w:rFonts w:ascii="宋体" w:hAnsi="宋体" w:cs="宋体"/>
          <w:sz w:val="24"/>
          <w:szCs w:val="24"/>
        </w:rPr>
      </w:pPr>
      <w:r>
        <w:rPr>
          <w:rFonts w:hint="eastAsia" w:ascii="宋体" w:hAnsi="宋体" w:cs="宋体"/>
          <w:sz w:val="24"/>
          <w:szCs w:val="24"/>
        </w:rPr>
        <w:t>前将由监督人员当众检验谈判响应文件的密封情况，确认无误后方可进行拆封、谈判。由谈判小组成员集中与单一参加谈判的供应商分别进行谈判，可以进行多轮报价，直至采购方满意为止。</w:t>
      </w:r>
    </w:p>
    <w:p w14:paraId="5138E78B">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14:paraId="6FAA277B">
      <w:pPr>
        <w:spacing w:line="360" w:lineRule="auto"/>
        <w:rPr>
          <w:rFonts w:ascii="宋体" w:hAnsi="宋体" w:cs="宋体"/>
          <w:sz w:val="24"/>
          <w:szCs w:val="24"/>
        </w:rPr>
      </w:pPr>
      <w:r>
        <w:rPr>
          <w:rFonts w:hint="eastAsia" w:ascii="宋体" w:hAnsi="宋体" w:cs="宋体"/>
          <w:b/>
          <w:bCs/>
          <w:sz w:val="24"/>
          <w:szCs w:val="24"/>
        </w:rPr>
        <w:t>四、成交：</w:t>
      </w:r>
    </w:p>
    <w:p w14:paraId="1F7FAC69">
      <w:pPr>
        <w:spacing w:line="360" w:lineRule="auto"/>
        <w:rPr>
          <w:rFonts w:ascii="宋体" w:hAnsi="宋体" w:cs="宋体"/>
          <w:sz w:val="24"/>
          <w:szCs w:val="24"/>
        </w:rPr>
      </w:pPr>
      <w:r>
        <w:rPr>
          <w:rFonts w:hint="eastAsia" w:ascii="宋体" w:hAnsi="宋体" w:cs="宋体"/>
          <w:sz w:val="24"/>
          <w:szCs w:val="24"/>
        </w:rPr>
        <w:t>1、评审结果报告由全体评委签字确认。</w:t>
      </w:r>
    </w:p>
    <w:p w14:paraId="21A14E34">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14:paraId="4FDD7949">
      <w:pPr>
        <w:pStyle w:val="3"/>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14:paraId="5DA6395B">
      <w:pPr>
        <w:pStyle w:val="3"/>
        <w:spacing w:line="360" w:lineRule="auto"/>
        <w:jc w:val="center"/>
        <w:rPr>
          <w:rFonts w:ascii="宋体" w:hAnsi="宋体" w:cs="宋体"/>
          <w:b w:val="0"/>
          <w:bCs/>
          <w:sz w:val="32"/>
          <w:szCs w:val="32"/>
        </w:rPr>
      </w:pPr>
      <w:bookmarkStart w:id="307" w:name="_Toc29159"/>
      <w:r>
        <w:rPr>
          <w:rFonts w:hint="eastAsia" w:ascii="宋体" w:hAnsi="宋体" w:cs="宋体"/>
          <w:sz w:val="36"/>
          <w:szCs w:val="22"/>
        </w:rPr>
        <w:t>第八部分  竞争性谈判响应文件格式</w:t>
      </w:r>
      <w:bookmarkEnd w:id="307"/>
    </w:p>
    <w:p w14:paraId="3EB70BF4">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245F1697">
      <w:pPr>
        <w:spacing w:line="360" w:lineRule="auto"/>
        <w:jc w:val="left"/>
        <w:rPr>
          <w:rFonts w:ascii="宋体" w:hAnsi="宋体" w:cs="宋体"/>
          <w:b/>
          <w:sz w:val="28"/>
          <w:szCs w:val="28"/>
        </w:rPr>
      </w:pPr>
      <w:r>
        <w:rPr>
          <w:rFonts w:hint="eastAsia" w:ascii="宋体" w:hAnsi="宋体" w:cs="宋体"/>
          <w:b/>
          <w:sz w:val="28"/>
          <w:szCs w:val="28"/>
        </w:rPr>
        <w:t>采购项目编号：</w:t>
      </w:r>
      <w:bookmarkEnd w:id="295"/>
    </w:p>
    <w:p w14:paraId="2840D806">
      <w:pPr>
        <w:pStyle w:val="10"/>
      </w:pPr>
    </w:p>
    <w:p w14:paraId="35E7153E"/>
    <w:p w14:paraId="624587E8">
      <w:pPr>
        <w:pStyle w:val="21"/>
        <w:jc w:val="center"/>
      </w:pPr>
      <w:r>
        <w:rPr>
          <w:rFonts w:hint="eastAsia" w:cs="Times New Roman"/>
          <w:b/>
          <w:bCs/>
          <w:kern w:val="2"/>
          <w:sz w:val="44"/>
          <w:szCs w:val="40"/>
          <w:lang w:val="en-US" w:eastAsia="zh-CN" w:bidi="ar-SA"/>
        </w:rPr>
        <w:t>榆林市文化和旅游局非遗微短剧策划执行服务项目</w:t>
      </w:r>
    </w:p>
    <w:p w14:paraId="1B7CAFB6">
      <w:pPr>
        <w:pStyle w:val="20"/>
      </w:pPr>
    </w:p>
    <w:p w14:paraId="1074B86C">
      <w:pPr>
        <w:pStyle w:val="21"/>
      </w:pPr>
    </w:p>
    <w:p w14:paraId="2EC01FE6"/>
    <w:p w14:paraId="6DF8FD89">
      <w:pPr>
        <w:pStyle w:val="2"/>
      </w:pPr>
    </w:p>
    <w:p w14:paraId="31E667C0">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5B717BAC"/>
    <w:p w14:paraId="2510682A">
      <w:pPr>
        <w:pStyle w:val="8"/>
      </w:pPr>
    </w:p>
    <w:p w14:paraId="18DFF787">
      <w:pPr>
        <w:pStyle w:val="8"/>
      </w:pPr>
    </w:p>
    <w:p w14:paraId="2010620E"/>
    <w:p w14:paraId="09D19687">
      <w:pPr>
        <w:pStyle w:val="10"/>
      </w:pPr>
    </w:p>
    <w:p w14:paraId="094562CF"/>
    <w:p w14:paraId="4A7B0C74"/>
    <w:p w14:paraId="59288FD6"/>
    <w:p w14:paraId="10477545">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14:paraId="2A5B2826">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14:paraId="03B34DD1">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五</w:t>
      </w:r>
      <w:r>
        <w:rPr>
          <w:rFonts w:hint="eastAsia" w:ascii="宋体" w:hAnsi="宋体" w:cs="宋体"/>
          <w:b/>
          <w:sz w:val="28"/>
          <w:szCs w:val="22"/>
        </w:rPr>
        <w:t>年   月</w:t>
      </w:r>
    </w:p>
    <w:p w14:paraId="26374FD3">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08" w:name="_Toc357087380"/>
      <w:bookmarkStart w:id="309" w:name="_Toc21305"/>
    </w:p>
    <w:p w14:paraId="632100B9">
      <w:pPr>
        <w:tabs>
          <w:tab w:val="left" w:pos="3329"/>
        </w:tabs>
        <w:jc w:val="center"/>
        <w:rPr>
          <w:rFonts w:hint="eastAsia"/>
          <w:b/>
          <w:sz w:val="44"/>
        </w:rPr>
      </w:pPr>
      <w:bookmarkStart w:id="310" w:name="_Toc15746"/>
      <w:bookmarkStart w:id="311" w:name="_Toc30709"/>
      <w:bookmarkStart w:id="312" w:name="_Toc6250"/>
      <w:bookmarkStart w:id="313" w:name="_Toc465958130"/>
      <w:bookmarkStart w:id="314" w:name="_Toc24244"/>
      <w:bookmarkStart w:id="315" w:name="_Toc22764"/>
    </w:p>
    <w:p w14:paraId="454AFAB4">
      <w:pPr>
        <w:tabs>
          <w:tab w:val="left" w:pos="3329"/>
        </w:tabs>
        <w:jc w:val="center"/>
        <w:rPr>
          <w:rFonts w:hint="eastAsia"/>
          <w:b/>
          <w:sz w:val="44"/>
        </w:rPr>
      </w:pPr>
    </w:p>
    <w:p w14:paraId="78134A6A">
      <w:pPr>
        <w:tabs>
          <w:tab w:val="left" w:pos="3329"/>
        </w:tabs>
        <w:jc w:val="center"/>
        <w:rPr>
          <w:rFonts w:hint="eastAsia"/>
          <w:b/>
          <w:sz w:val="44"/>
        </w:rPr>
      </w:pPr>
    </w:p>
    <w:p w14:paraId="5B71B0C6">
      <w:pPr>
        <w:tabs>
          <w:tab w:val="left" w:pos="3329"/>
        </w:tabs>
        <w:jc w:val="center"/>
        <w:rPr>
          <w:rFonts w:hint="eastAsia"/>
          <w:b/>
          <w:sz w:val="44"/>
        </w:rPr>
      </w:pPr>
    </w:p>
    <w:p w14:paraId="5CB74345">
      <w:pPr>
        <w:tabs>
          <w:tab w:val="left" w:pos="3329"/>
        </w:tabs>
        <w:jc w:val="center"/>
        <w:rPr>
          <w:rFonts w:hint="eastAsia"/>
          <w:b/>
          <w:sz w:val="44"/>
        </w:rPr>
      </w:pPr>
    </w:p>
    <w:p w14:paraId="7DFF25B4">
      <w:pPr>
        <w:tabs>
          <w:tab w:val="left" w:pos="3329"/>
        </w:tabs>
        <w:jc w:val="center"/>
        <w:rPr>
          <w:b/>
          <w:sz w:val="44"/>
        </w:rPr>
      </w:pPr>
      <w:r>
        <w:rPr>
          <w:rFonts w:hint="eastAsia"/>
          <w:b/>
          <w:sz w:val="44"/>
        </w:rPr>
        <w:t>目  录</w:t>
      </w:r>
    </w:p>
    <w:p w14:paraId="5DB5B29E">
      <w:pPr>
        <w:jc w:val="center"/>
        <w:rPr>
          <w:rFonts w:hAnsi="宋体"/>
          <w:b/>
          <w:bCs/>
          <w:szCs w:val="24"/>
        </w:rPr>
      </w:pPr>
      <w:r>
        <w:rPr>
          <w:rFonts w:hint="eastAsia" w:ascii="宋体" w:hAnsi="宋体" w:cs="宋体"/>
          <w:b/>
          <w:bCs/>
          <w:kern w:val="0"/>
          <w:sz w:val="24"/>
          <w:szCs w:val="24"/>
        </w:rPr>
        <w:t>(引用三级目录）</w:t>
      </w:r>
    </w:p>
    <w:p w14:paraId="473E6A3E">
      <w:pPr>
        <w:jc w:val="center"/>
        <w:rPr>
          <w:rFonts w:hAnsi="宋体"/>
          <w:b/>
          <w:bCs/>
          <w:sz w:val="44"/>
        </w:rPr>
      </w:pPr>
    </w:p>
    <w:p w14:paraId="2B8D222D">
      <w:pPr>
        <w:pStyle w:val="4"/>
        <w:rPr>
          <w:rFonts w:ascii="宋体" w:hAnsi="宋体" w:eastAsia="宋体" w:cs="宋体"/>
          <w:szCs w:val="22"/>
        </w:rPr>
      </w:pPr>
    </w:p>
    <w:p w14:paraId="7ECD51C7">
      <w:pPr>
        <w:pStyle w:val="4"/>
        <w:rPr>
          <w:rFonts w:ascii="宋体" w:hAnsi="宋体" w:eastAsia="宋体" w:cs="宋体"/>
          <w:szCs w:val="22"/>
        </w:rPr>
      </w:pPr>
    </w:p>
    <w:p w14:paraId="270E7624">
      <w:pPr>
        <w:pStyle w:val="4"/>
        <w:rPr>
          <w:rFonts w:ascii="宋体" w:hAnsi="宋体" w:eastAsia="宋体" w:cs="宋体"/>
          <w:szCs w:val="22"/>
        </w:rPr>
      </w:pPr>
    </w:p>
    <w:p w14:paraId="126E80AD">
      <w:pPr>
        <w:pStyle w:val="4"/>
        <w:rPr>
          <w:rFonts w:ascii="宋体" w:hAnsi="宋体" w:eastAsia="宋体" w:cs="宋体"/>
          <w:szCs w:val="22"/>
        </w:rPr>
      </w:pPr>
    </w:p>
    <w:p w14:paraId="36610F1C">
      <w:pPr>
        <w:pStyle w:val="4"/>
        <w:rPr>
          <w:rFonts w:ascii="宋体" w:hAnsi="宋体" w:eastAsia="宋体" w:cs="宋体"/>
          <w:szCs w:val="22"/>
        </w:rPr>
      </w:pPr>
    </w:p>
    <w:p w14:paraId="71E511FA">
      <w:pPr>
        <w:pStyle w:val="4"/>
        <w:rPr>
          <w:rFonts w:ascii="宋体" w:hAnsi="宋体" w:eastAsia="宋体" w:cs="宋体"/>
          <w:szCs w:val="22"/>
        </w:rPr>
      </w:pPr>
    </w:p>
    <w:p w14:paraId="3AC17993">
      <w:pPr>
        <w:pStyle w:val="4"/>
        <w:rPr>
          <w:rFonts w:ascii="宋体" w:hAnsi="宋体" w:eastAsia="宋体" w:cs="宋体"/>
          <w:szCs w:val="22"/>
        </w:rPr>
      </w:pPr>
    </w:p>
    <w:p w14:paraId="4E93772D">
      <w:pPr>
        <w:pStyle w:val="4"/>
        <w:rPr>
          <w:rFonts w:ascii="宋体" w:hAnsi="宋体" w:eastAsia="宋体" w:cs="宋体"/>
          <w:szCs w:val="22"/>
        </w:rPr>
      </w:pPr>
    </w:p>
    <w:p w14:paraId="380DF91F">
      <w:pPr>
        <w:pStyle w:val="4"/>
        <w:rPr>
          <w:rFonts w:ascii="宋体" w:hAnsi="宋体" w:eastAsia="宋体" w:cs="宋体"/>
          <w:szCs w:val="22"/>
        </w:rPr>
      </w:pPr>
    </w:p>
    <w:bookmarkEnd w:id="296"/>
    <w:bookmarkEnd w:id="308"/>
    <w:bookmarkEnd w:id="309"/>
    <w:bookmarkEnd w:id="310"/>
    <w:bookmarkEnd w:id="311"/>
    <w:bookmarkEnd w:id="312"/>
    <w:bookmarkEnd w:id="313"/>
    <w:bookmarkEnd w:id="314"/>
    <w:bookmarkEnd w:id="315"/>
    <w:p w14:paraId="15A03C75">
      <w:pPr>
        <w:spacing w:line="400" w:lineRule="atLeast"/>
        <w:ind w:firstLine="540" w:firstLineChars="225"/>
        <w:rPr>
          <w:rFonts w:ascii="宋体" w:hAnsi="宋体" w:cs="宋体"/>
          <w:sz w:val="24"/>
          <w:szCs w:val="24"/>
        </w:rPr>
      </w:pPr>
    </w:p>
    <w:p w14:paraId="427EE9CF">
      <w:pPr>
        <w:spacing w:line="400" w:lineRule="atLeast"/>
        <w:ind w:firstLine="540" w:firstLineChars="225"/>
        <w:rPr>
          <w:rFonts w:ascii="宋体" w:hAnsi="宋体" w:cs="宋体"/>
          <w:sz w:val="24"/>
          <w:szCs w:val="24"/>
        </w:rPr>
      </w:pPr>
    </w:p>
    <w:p w14:paraId="459CAC8E">
      <w:pPr>
        <w:spacing w:line="360" w:lineRule="auto"/>
        <w:rPr>
          <w:rFonts w:ascii="宋体" w:hAnsi="宋体" w:cs="宋体"/>
          <w:sz w:val="24"/>
          <w:szCs w:val="24"/>
        </w:rPr>
      </w:pPr>
    </w:p>
    <w:p w14:paraId="2CE665A6">
      <w:pPr>
        <w:spacing w:line="360" w:lineRule="auto"/>
        <w:rPr>
          <w:rFonts w:ascii="宋体" w:hAnsi="宋体" w:cs="宋体"/>
          <w:sz w:val="24"/>
          <w:szCs w:val="24"/>
        </w:rPr>
      </w:pPr>
    </w:p>
    <w:p w14:paraId="22DA23C3">
      <w:pPr>
        <w:spacing w:line="360" w:lineRule="auto"/>
        <w:rPr>
          <w:rFonts w:ascii="宋体" w:hAnsi="宋体" w:cs="宋体"/>
          <w:sz w:val="24"/>
          <w:szCs w:val="24"/>
        </w:rPr>
      </w:pPr>
    </w:p>
    <w:p w14:paraId="4846F410">
      <w:pPr>
        <w:spacing w:line="360" w:lineRule="auto"/>
        <w:rPr>
          <w:rFonts w:ascii="宋体" w:hAnsi="宋体" w:cs="宋体"/>
          <w:sz w:val="24"/>
          <w:szCs w:val="24"/>
        </w:rPr>
      </w:pPr>
    </w:p>
    <w:p w14:paraId="55A857AF">
      <w:pPr>
        <w:spacing w:line="360" w:lineRule="auto"/>
        <w:rPr>
          <w:rFonts w:ascii="宋体" w:hAnsi="宋体" w:cs="宋体"/>
          <w:sz w:val="24"/>
          <w:szCs w:val="24"/>
        </w:rPr>
      </w:pPr>
    </w:p>
    <w:p w14:paraId="11EDC14E">
      <w:pPr>
        <w:spacing w:line="360" w:lineRule="auto"/>
        <w:rPr>
          <w:rFonts w:ascii="宋体" w:hAnsi="宋体" w:cs="宋体"/>
          <w:sz w:val="24"/>
          <w:szCs w:val="24"/>
        </w:rPr>
      </w:pPr>
    </w:p>
    <w:p w14:paraId="09FE1BB5">
      <w:pPr>
        <w:spacing w:line="360" w:lineRule="auto"/>
        <w:rPr>
          <w:rFonts w:ascii="宋体" w:hAnsi="宋体" w:cs="宋体"/>
          <w:sz w:val="24"/>
          <w:szCs w:val="24"/>
        </w:rPr>
      </w:pPr>
    </w:p>
    <w:p w14:paraId="1302C4F8">
      <w:pPr>
        <w:spacing w:line="360" w:lineRule="auto"/>
        <w:rPr>
          <w:rFonts w:ascii="宋体" w:hAnsi="宋体" w:cs="宋体"/>
          <w:sz w:val="24"/>
          <w:szCs w:val="24"/>
        </w:rPr>
      </w:pPr>
    </w:p>
    <w:p w14:paraId="1376C73B">
      <w:pPr>
        <w:pStyle w:val="12"/>
        <w:rPr>
          <w:rFonts w:ascii="宋体" w:hAnsi="宋体" w:cs="宋体"/>
          <w:sz w:val="24"/>
          <w:szCs w:val="24"/>
        </w:rPr>
      </w:pPr>
    </w:p>
    <w:p w14:paraId="0B8AD968">
      <w:pPr>
        <w:pStyle w:val="12"/>
        <w:rPr>
          <w:rFonts w:ascii="宋体" w:hAnsi="宋体" w:cs="宋体"/>
          <w:sz w:val="24"/>
          <w:szCs w:val="24"/>
        </w:rPr>
      </w:pPr>
    </w:p>
    <w:p w14:paraId="3B151E73">
      <w:pPr>
        <w:pStyle w:val="12"/>
        <w:rPr>
          <w:rFonts w:ascii="宋体" w:hAnsi="宋体" w:cs="宋体"/>
          <w:sz w:val="24"/>
          <w:szCs w:val="24"/>
        </w:rPr>
      </w:pPr>
    </w:p>
    <w:p w14:paraId="47E612E1">
      <w:pPr>
        <w:pStyle w:val="4"/>
        <w:rPr>
          <w:rFonts w:ascii="宋体" w:hAnsi="宋体" w:cs="宋体"/>
          <w:sz w:val="24"/>
          <w:szCs w:val="24"/>
        </w:rPr>
      </w:pPr>
      <w:r>
        <w:rPr>
          <w:rFonts w:hint="eastAsia" w:ascii="宋体" w:hAnsi="宋体" w:eastAsia="宋体" w:cs="宋体"/>
          <w:szCs w:val="22"/>
        </w:rPr>
        <w:t>一、响应函</w:t>
      </w:r>
    </w:p>
    <w:bookmarkEnd w:id="297"/>
    <w:bookmarkEnd w:id="298"/>
    <w:p w14:paraId="1368ED3C">
      <w:pPr>
        <w:spacing w:line="400" w:lineRule="atLeast"/>
        <w:ind w:firstLine="540" w:firstLineChars="225"/>
        <w:rPr>
          <w:rFonts w:hint="eastAsia" w:ascii="宋体" w:hAnsi="宋体" w:cs="宋体"/>
          <w:sz w:val="24"/>
          <w:lang w:val="en-US" w:eastAsia="zh-CN"/>
        </w:rPr>
      </w:pPr>
      <w:bookmarkStart w:id="316" w:name="_Toc465958131"/>
      <w:bookmarkStart w:id="317" w:name="_Toc190"/>
      <w:bookmarkStart w:id="318" w:name="_Toc25167"/>
      <w:bookmarkStart w:id="319" w:name="_Toc21360"/>
      <w:bookmarkStart w:id="320" w:name="_Toc698"/>
      <w:r>
        <w:rPr>
          <w:rFonts w:hint="eastAsia" w:ascii="宋体" w:hAnsi="宋体" w:cs="宋体"/>
          <w:sz w:val="24"/>
        </w:rPr>
        <w:t>致：</w:t>
      </w:r>
      <w:r>
        <w:rPr>
          <w:rFonts w:hint="eastAsia" w:ascii="宋体" w:hAnsi="宋体" w:cs="宋体"/>
          <w:sz w:val="24"/>
          <w:lang w:val="en-US" w:eastAsia="zh-CN"/>
        </w:rPr>
        <w:t>榆林市文化和旅游局</w:t>
      </w:r>
    </w:p>
    <w:p w14:paraId="45F70057">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w:t>
      </w:r>
      <w:r>
        <w:rPr>
          <w:rFonts w:hint="eastAsia" w:ascii="宋体" w:hAnsi="宋体" w:cs="宋体"/>
          <w:sz w:val="24"/>
          <w:lang w:eastAsia="zh-CN"/>
        </w:rPr>
        <w:t>。</w:t>
      </w:r>
      <w:r>
        <w:rPr>
          <w:rFonts w:hint="eastAsia" w:ascii="宋体" w:hAnsi="宋体" w:cs="宋体"/>
          <w:sz w:val="24"/>
          <w:szCs w:val="24"/>
        </w:rPr>
        <w:t>提交包含下述内容的</w:t>
      </w:r>
      <w:r>
        <w:rPr>
          <w:rFonts w:hint="eastAsia" w:ascii="宋体" w:hAnsi="宋体" w:cs="宋体"/>
          <w:sz w:val="24"/>
          <w:szCs w:val="24"/>
          <w:lang w:val="en-US" w:eastAsia="zh-CN"/>
        </w:rPr>
        <w:t>电子</w:t>
      </w:r>
      <w:r>
        <w:rPr>
          <w:rFonts w:hint="eastAsia" w:ascii="宋体" w:hAnsi="宋体" w:cs="宋体"/>
          <w:sz w:val="24"/>
          <w:szCs w:val="24"/>
        </w:rPr>
        <w:t>竞争性谈判响应文件一份</w:t>
      </w:r>
      <w:r>
        <w:rPr>
          <w:rFonts w:hint="eastAsia" w:ascii="宋体" w:hAnsi="宋体" w:cs="宋体"/>
          <w:sz w:val="24"/>
        </w:rPr>
        <w:t>。</w:t>
      </w:r>
    </w:p>
    <w:p w14:paraId="4113F59E">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14:paraId="36D4E576">
      <w:pPr>
        <w:spacing w:line="360" w:lineRule="auto"/>
        <w:rPr>
          <w:rFonts w:ascii="宋体" w:hAnsi="宋体" w:cs="宋体"/>
          <w:sz w:val="24"/>
        </w:rPr>
      </w:pPr>
      <w:r>
        <w:rPr>
          <w:rFonts w:hint="eastAsia" w:ascii="宋体" w:hAnsi="宋体" w:cs="宋体"/>
          <w:sz w:val="24"/>
        </w:rPr>
        <w:t xml:space="preserve">    (2) 报价一览表</w:t>
      </w:r>
    </w:p>
    <w:p w14:paraId="5642458F">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14:paraId="201A77CE">
      <w:pPr>
        <w:spacing w:line="360" w:lineRule="auto"/>
        <w:rPr>
          <w:rFonts w:ascii="宋体" w:hAnsi="宋体" w:cs="宋体"/>
          <w:sz w:val="24"/>
        </w:rPr>
      </w:pPr>
      <w:r>
        <w:rPr>
          <w:rFonts w:hint="eastAsia" w:ascii="宋体" w:hAnsi="宋体" w:cs="宋体"/>
          <w:sz w:val="24"/>
        </w:rPr>
        <w:t xml:space="preserve">    (4) 供应商资格证明文件。</w:t>
      </w:r>
    </w:p>
    <w:p w14:paraId="1519B8BE">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14:paraId="43E741AC">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14:paraId="1F10B668">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服务期</w:t>
      </w:r>
      <w:r>
        <w:rPr>
          <w:rFonts w:hint="eastAsia" w:ascii="宋体" w:hAnsi="宋体" w:cs="宋体"/>
          <w:sz w:val="24"/>
          <w:u w:val="single"/>
        </w:rPr>
        <w:t xml:space="preserve">         </w:t>
      </w:r>
      <w:r>
        <w:rPr>
          <w:rFonts w:hint="eastAsia" w:ascii="宋体" w:hAnsi="宋体" w:cs="宋体"/>
          <w:sz w:val="24"/>
        </w:rPr>
        <w:t>；</w:t>
      </w:r>
    </w:p>
    <w:p w14:paraId="308A5781">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14:paraId="06A40269">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14:paraId="129EF6CD">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14:paraId="1195E7E8">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14:paraId="1BFCFB2A">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14:paraId="5E31D406">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14:paraId="3788ECF1">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14:paraId="6BB9E41F">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14:paraId="5C64CD85">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14:paraId="1CFBB4C0">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14:paraId="6FF7222E">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16"/>
    <w:bookmarkEnd w:id="317"/>
    <w:bookmarkEnd w:id="318"/>
    <w:bookmarkEnd w:id="319"/>
    <w:bookmarkEnd w:id="320"/>
    <w:p w14:paraId="195B34B8">
      <w:pPr>
        <w:pStyle w:val="4"/>
        <w:keepLines w:val="0"/>
        <w:numPr>
          <w:ilvl w:val="0"/>
          <w:numId w:val="7"/>
        </w:numPr>
        <w:adjustRightInd w:val="0"/>
        <w:textAlignment w:val="baseline"/>
        <w:rPr>
          <w:rFonts w:ascii="宋体" w:hAnsi="宋体" w:eastAsia="宋体" w:cs="宋体"/>
        </w:rPr>
      </w:pPr>
      <w:r>
        <w:rPr>
          <w:rFonts w:hint="eastAsia" w:ascii="宋体" w:hAnsi="宋体" w:eastAsia="宋体" w:cs="宋体"/>
        </w:rPr>
        <w:t>第一次谈判报价表</w:t>
      </w:r>
    </w:p>
    <w:p w14:paraId="05C67CC1">
      <w:pPr>
        <w:pStyle w:val="5"/>
        <w:spacing w:line="360" w:lineRule="auto"/>
        <w:jc w:val="center"/>
      </w:pPr>
      <w:r>
        <w:rPr>
          <w:rFonts w:hint="eastAsia"/>
        </w:rPr>
        <w:t>2.1谈判报价表</w:t>
      </w:r>
    </w:p>
    <w:tbl>
      <w:tblPr>
        <w:tblStyle w:val="22"/>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14:paraId="3C5D03F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14:paraId="20D00397">
            <w:pPr>
              <w:spacing w:line="360" w:lineRule="auto"/>
              <w:jc w:val="center"/>
              <w:rPr>
                <w:rFonts w:ascii="宋体" w:hAnsi="宋体" w:cs="宋体"/>
                <w:b/>
                <w:bCs/>
                <w:sz w:val="24"/>
              </w:rPr>
            </w:pPr>
            <w:bookmarkStart w:id="321" w:name="OLE_LINK14"/>
            <w:r>
              <w:rPr>
                <w:rFonts w:hint="eastAsia" w:ascii="宋体" w:hAnsi="宋体" w:cs="宋体"/>
                <w:b/>
                <w:bCs/>
                <w:sz w:val="24"/>
              </w:rPr>
              <w:t>采购项目名称</w:t>
            </w:r>
          </w:p>
        </w:tc>
        <w:tc>
          <w:tcPr>
            <w:tcW w:w="7015" w:type="dxa"/>
            <w:noWrap w:val="0"/>
            <w:vAlign w:val="center"/>
          </w:tcPr>
          <w:p w14:paraId="24D613D3">
            <w:pPr>
              <w:pStyle w:val="3"/>
              <w:spacing w:line="360" w:lineRule="auto"/>
              <w:jc w:val="center"/>
              <w:rPr>
                <w:rFonts w:ascii="宋体" w:hAnsi="宋体" w:cs="宋体"/>
                <w:b w:val="0"/>
                <w:bCs/>
                <w:kern w:val="2"/>
                <w:sz w:val="24"/>
              </w:rPr>
            </w:pPr>
          </w:p>
        </w:tc>
      </w:tr>
      <w:tr w14:paraId="2BC23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14:paraId="69A90520">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14:paraId="6326F39F">
            <w:pPr>
              <w:spacing w:line="360" w:lineRule="auto"/>
              <w:jc w:val="center"/>
              <w:rPr>
                <w:rFonts w:ascii="宋体" w:hAnsi="宋体" w:cs="宋体"/>
                <w:bCs/>
                <w:sz w:val="24"/>
              </w:rPr>
            </w:pPr>
          </w:p>
        </w:tc>
      </w:tr>
      <w:tr w14:paraId="61B6399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14:paraId="580A8707">
            <w:pPr>
              <w:spacing w:line="360" w:lineRule="auto"/>
              <w:jc w:val="center"/>
              <w:rPr>
                <w:rFonts w:ascii="宋体" w:hAnsi="宋体" w:cs="宋体"/>
                <w:b/>
                <w:bCs/>
                <w:sz w:val="24"/>
              </w:rPr>
            </w:pPr>
            <w:r>
              <w:rPr>
                <w:rFonts w:hint="eastAsia" w:ascii="宋体" w:hAnsi="宋体" w:cs="宋体"/>
                <w:b/>
                <w:bCs/>
                <w:sz w:val="24"/>
              </w:rPr>
              <w:t>供应商名称</w:t>
            </w:r>
          </w:p>
          <w:p w14:paraId="740C461F">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14:paraId="349859C1">
            <w:pPr>
              <w:spacing w:line="360" w:lineRule="auto"/>
              <w:jc w:val="center"/>
              <w:rPr>
                <w:rFonts w:ascii="宋体" w:hAnsi="宋体" w:cs="宋体"/>
                <w:b/>
                <w:bCs/>
                <w:sz w:val="24"/>
              </w:rPr>
            </w:pPr>
          </w:p>
        </w:tc>
      </w:tr>
      <w:tr w14:paraId="7EA7184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14:paraId="1E018D13">
            <w:pPr>
              <w:spacing w:line="360" w:lineRule="auto"/>
              <w:jc w:val="center"/>
              <w:rPr>
                <w:rFonts w:ascii="宋体" w:hAnsi="宋体" w:cs="宋体"/>
                <w:b/>
                <w:bCs/>
                <w:sz w:val="24"/>
              </w:rPr>
            </w:pPr>
            <w:r>
              <w:rPr>
                <w:rFonts w:hint="eastAsia" w:ascii="宋体" w:hAnsi="宋体" w:cs="宋体"/>
                <w:b/>
                <w:bCs/>
                <w:sz w:val="24"/>
              </w:rPr>
              <w:t>谈判报价</w:t>
            </w:r>
          </w:p>
          <w:p w14:paraId="2BFA1630">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14:paraId="20A34FD2">
            <w:pPr>
              <w:spacing w:line="360" w:lineRule="auto"/>
              <w:rPr>
                <w:rFonts w:ascii="宋体" w:hAnsi="宋体" w:cs="宋体"/>
                <w:b/>
                <w:bCs/>
                <w:sz w:val="24"/>
              </w:rPr>
            </w:pPr>
          </w:p>
          <w:p w14:paraId="397CC6AF">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14:paraId="4620C2B5">
            <w:pPr>
              <w:spacing w:line="360" w:lineRule="auto"/>
              <w:rPr>
                <w:rFonts w:ascii="宋体" w:hAnsi="宋体" w:cs="宋体"/>
                <w:b/>
                <w:bCs/>
                <w:sz w:val="24"/>
              </w:rPr>
            </w:pPr>
          </w:p>
          <w:p w14:paraId="6F6EFCF5">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14:paraId="7D784545">
            <w:pPr>
              <w:spacing w:line="360" w:lineRule="auto"/>
              <w:rPr>
                <w:rFonts w:ascii="宋体" w:hAnsi="宋体" w:cs="宋体"/>
                <w:b/>
                <w:bCs/>
                <w:sz w:val="24"/>
              </w:rPr>
            </w:pPr>
            <w:r>
              <w:rPr>
                <w:rFonts w:hint="eastAsia" w:ascii="宋体" w:hAnsi="宋体" w:cs="宋体"/>
                <w:b/>
                <w:bCs/>
                <w:sz w:val="24"/>
              </w:rPr>
              <w:t xml:space="preserve"> </w:t>
            </w:r>
          </w:p>
        </w:tc>
      </w:tr>
      <w:tr w14:paraId="73B4462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14:paraId="0FA38C69">
            <w:pPr>
              <w:spacing w:line="360" w:lineRule="auto"/>
              <w:jc w:val="center"/>
              <w:rPr>
                <w:rFonts w:ascii="宋体" w:hAnsi="宋体" w:cs="宋体"/>
                <w:b/>
                <w:bCs/>
                <w:sz w:val="24"/>
              </w:rPr>
            </w:pPr>
            <w:r>
              <w:rPr>
                <w:rFonts w:hint="eastAsia" w:ascii="宋体" w:hAnsi="宋体" w:cs="宋体"/>
                <w:b/>
                <w:bCs/>
                <w:sz w:val="24"/>
                <w:lang w:val="en-US" w:eastAsia="zh-CN"/>
              </w:rPr>
              <w:t>服务期</w:t>
            </w:r>
          </w:p>
        </w:tc>
        <w:tc>
          <w:tcPr>
            <w:tcW w:w="7015" w:type="dxa"/>
            <w:noWrap w:val="0"/>
            <w:vAlign w:val="top"/>
          </w:tcPr>
          <w:p w14:paraId="5289D242">
            <w:pPr>
              <w:spacing w:line="360" w:lineRule="auto"/>
              <w:rPr>
                <w:rFonts w:ascii="宋体" w:hAnsi="宋体" w:cs="宋体"/>
                <w:b/>
                <w:bCs/>
                <w:sz w:val="24"/>
              </w:rPr>
            </w:pPr>
          </w:p>
        </w:tc>
      </w:tr>
      <w:tr w14:paraId="5D1075E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14:paraId="1D59ABEB">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14:paraId="626D8412">
            <w:pPr>
              <w:spacing w:line="360" w:lineRule="auto"/>
              <w:rPr>
                <w:rFonts w:ascii="宋体" w:hAnsi="宋体" w:cs="宋体"/>
                <w:b/>
                <w:bCs/>
                <w:sz w:val="24"/>
              </w:rPr>
            </w:pPr>
          </w:p>
        </w:tc>
      </w:tr>
      <w:bookmarkEnd w:id="321"/>
    </w:tbl>
    <w:p w14:paraId="590AB90C">
      <w:pPr>
        <w:spacing w:line="360" w:lineRule="auto"/>
        <w:ind w:right="-161"/>
        <w:rPr>
          <w:rFonts w:hint="eastAsia" w:ascii="宋体" w:hAnsi="宋体" w:eastAsia="宋体" w:cs="宋体"/>
          <w:sz w:val="24"/>
          <w:szCs w:val="24"/>
          <w:lang w:eastAsia="zh-CN"/>
        </w:rPr>
      </w:pPr>
    </w:p>
    <w:p w14:paraId="3C5A2DA9">
      <w:pPr>
        <w:pStyle w:val="12"/>
        <w:rPr>
          <w:rFonts w:hint="eastAsia" w:ascii="宋体" w:hAnsi="宋体" w:eastAsia="宋体" w:cs="宋体"/>
          <w:sz w:val="24"/>
          <w:szCs w:val="24"/>
          <w:lang w:eastAsia="zh-CN"/>
        </w:rPr>
      </w:pPr>
    </w:p>
    <w:p w14:paraId="6685E234">
      <w:pPr>
        <w:pStyle w:val="12"/>
        <w:rPr>
          <w:rFonts w:hint="eastAsia" w:ascii="宋体" w:hAnsi="宋体" w:eastAsia="宋体" w:cs="宋体"/>
          <w:sz w:val="24"/>
          <w:szCs w:val="24"/>
          <w:lang w:eastAsia="zh-CN"/>
        </w:rPr>
      </w:pPr>
    </w:p>
    <w:p w14:paraId="414C600D">
      <w:pPr>
        <w:pStyle w:val="12"/>
        <w:rPr>
          <w:rFonts w:hint="eastAsia" w:ascii="宋体" w:hAnsi="宋体" w:eastAsia="宋体" w:cs="宋体"/>
          <w:sz w:val="24"/>
          <w:szCs w:val="24"/>
          <w:lang w:eastAsia="zh-CN"/>
        </w:rPr>
      </w:pPr>
    </w:p>
    <w:p w14:paraId="045ADE48">
      <w:pPr>
        <w:spacing w:line="360" w:lineRule="auto"/>
        <w:ind w:right="-161"/>
        <w:rPr>
          <w:rFonts w:ascii="宋体" w:hAnsi="宋体" w:cs="宋体"/>
          <w:sz w:val="24"/>
          <w:szCs w:val="24"/>
        </w:rPr>
      </w:pPr>
    </w:p>
    <w:p w14:paraId="1C640BCC">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5B99920C">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14:paraId="7397C4D9">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bookmarkEnd w:id="299"/>
    <w:bookmarkEnd w:id="300"/>
    <w:bookmarkEnd w:id="301"/>
    <w:bookmarkEnd w:id="302"/>
    <w:bookmarkEnd w:id="303"/>
    <w:bookmarkEnd w:id="304"/>
    <w:bookmarkEnd w:id="305"/>
    <w:p w14:paraId="424600B1">
      <w:pPr>
        <w:bidi w:val="0"/>
        <w:rPr>
          <w:rFonts w:hint="eastAsia"/>
        </w:rPr>
      </w:pPr>
      <w:bookmarkStart w:id="322" w:name="_Toc23496"/>
      <w:bookmarkStart w:id="323" w:name="_Toc8483"/>
      <w:bookmarkStart w:id="324" w:name="_Toc9067"/>
      <w:bookmarkStart w:id="325" w:name="_Toc29567"/>
      <w:bookmarkStart w:id="326" w:name="_Toc29346"/>
      <w:bookmarkStart w:id="327" w:name="_Toc27665"/>
      <w:bookmarkStart w:id="328" w:name="_Toc30603"/>
      <w:bookmarkStart w:id="329" w:name="_Toc465958133"/>
      <w:bookmarkStart w:id="330" w:name="_Toc7129"/>
      <w:bookmarkStart w:id="331" w:name="_Toc26959"/>
      <w:bookmarkStart w:id="332" w:name="_Toc31054"/>
      <w:bookmarkStart w:id="333" w:name="_Toc25449"/>
      <w:bookmarkStart w:id="334" w:name="_Toc14320"/>
      <w:bookmarkStart w:id="335" w:name="_Toc30297"/>
    </w:p>
    <w:p w14:paraId="24348003">
      <w:pPr>
        <w:pStyle w:val="8"/>
        <w:rPr>
          <w:rFonts w:hint="eastAsia"/>
        </w:rPr>
      </w:pPr>
    </w:p>
    <w:p w14:paraId="4C4D93C3">
      <w:pPr>
        <w:pStyle w:val="8"/>
        <w:rPr>
          <w:rFonts w:hint="eastAsia"/>
        </w:rPr>
      </w:pPr>
    </w:p>
    <w:p w14:paraId="0405CD54">
      <w:pPr>
        <w:pStyle w:val="5"/>
        <w:spacing w:line="360" w:lineRule="auto"/>
        <w:jc w:val="center"/>
        <w:rPr>
          <w:rFonts w:ascii="宋体" w:hAnsi="宋体" w:cs="宋体"/>
          <w:szCs w:val="22"/>
        </w:rPr>
      </w:pPr>
      <w:r>
        <w:rPr>
          <w:rFonts w:hint="eastAsia"/>
        </w:rPr>
        <w:t>2.2分项报价表</w:t>
      </w:r>
      <w:bookmarkEnd w:id="322"/>
    </w:p>
    <w:p w14:paraId="01DF524F">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 xml:space="preserve">供应商名称：                             </w:t>
      </w:r>
      <w:r>
        <w:rPr>
          <w:rFonts w:hint="eastAsia" w:ascii="宋体" w:hAnsi="宋体" w:cs="宋体"/>
          <w:color w:val="000000"/>
          <w:sz w:val="24"/>
          <w:lang w:val="en-US" w:eastAsia="zh-CN"/>
        </w:rPr>
        <w:t xml:space="preserve">  </w:t>
      </w:r>
      <w:r>
        <w:rPr>
          <w:rFonts w:hint="eastAsia" w:ascii="宋体" w:hAnsi="宋体" w:cs="宋体"/>
          <w:color w:val="000000"/>
          <w:sz w:val="24"/>
        </w:rPr>
        <w:t>采购项目编号：</w:t>
      </w:r>
    </w:p>
    <w:p w14:paraId="3273FAA5">
      <w:pPr>
        <w:pStyle w:val="21"/>
        <w:rPr>
          <w:rFonts w:hint="eastAsia" w:ascii="宋体" w:hAnsi="宋体" w:cs="宋体"/>
          <w:sz w:val="24"/>
        </w:rPr>
      </w:pPr>
    </w:p>
    <w:p w14:paraId="68607052">
      <w:pPr>
        <w:pStyle w:val="21"/>
        <w:rPr>
          <w:rFonts w:hint="eastAsia" w:ascii="宋体" w:hAnsi="宋体" w:cs="宋体"/>
          <w:sz w:val="24"/>
        </w:rPr>
      </w:pPr>
    </w:p>
    <w:p w14:paraId="785D76ED">
      <w:pPr>
        <w:pStyle w:val="21"/>
        <w:jc w:val="center"/>
        <w:rPr>
          <w:rFonts w:hint="eastAsia" w:ascii="宋体" w:hAnsi="宋体" w:eastAsia="宋体" w:cs="宋体"/>
          <w:sz w:val="24"/>
          <w:lang w:val="en-US" w:eastAsia="zh-CN"/>
        </w:rPr>
      </w:pPr>
      <w:r>
        <w:rPr>
          <w:rFonts w:hint="eastAsia" w:ascii="宋体" w:hAnsi="宋体" w:cs="宋体"/>
          <w:sz w:val="24"/>
          <w:lang w:val="en-US" w:eastAsia="zh-CN"/>
        </w:rPr>
        <w:t>自拟</w:t>
      </w:r>
    </w:p>
    <w:p w14:paraId="3CA3A64B">
      <w:pPr>
        <w:pStyle w:val="21"/>
        <w:rPr>
          <w:rFonts w:hint="eastAsia" w:ascii="宋体" w:hAnsi="宋体" w:cs="宋体"/>
          <w:sz w:val="24"/>
        </w:rPr>
      </w:pPr>
    </w:p>
    <w:p w14:paraId="062B9056">
      <w:pPr>
        <w:pStyle w:val="21"/>
        <w:rPr>
          <w:rFonts w:hint="eastAsia" w:ascii="宋体" w:hAnsi="宋体" w:cs="宋体"/>
          <w:sz w:val="24"/>
        </w:rPr>
      </w:pPr>
    </w:p>
    <w:p w14:paraId="6085DCD0">
      <w:pPr>
        <w:pStyle w:val="21"/>
        <w:rPr>
          <w:rFonts w:hint="eastAsia" w:ascii="宋体" w:hAnsi="宋体" w:cs="宋体"/>
          <w:sz w:val="24"/>
        </w:rPr>
      </w:pPr>
    </w:p>
    <w:p w14:paraId="01BEE1B0">
      <w:pPr>
        <w:pStyle w:val="21"/>
        <w:rPr>
          <w:rFonts w:hint="eastAsia" w:ascii="宋体" w:hAnsi="宋体" w:cs="宋体"/>
          <w:sz w:val="24"/>
        </w:rPr>
      </w:pPr>
    </w:p>
    <w:p w14:paraId="651B8EC1">
      <w:pPr>
        <w:pStyle w:val="21"/>
        <w:rPr>
          <w:rFonts w:hint="eastAsia" w:ascii="宋体" w:hAnsi="宋体" w:cs="宋体"/>
          <w:sz w:val="24"/>
        </w:rPr>
      </w:pPr>
    </w:p>
    <w:p w14:paraId="0FF4FD6F">
      <w:pPr>
        <w:pStyle w:val="21"/>
        <w:rPr>
          <w:rFonts w:hint="eastAsia" w:ascii="宋体" w:hAnsi="宋体" w:cs="宋体"/>
          <w:sz w:val="24"/>
        </w:rPr>
      </w:pPr>
    </w:p>
    <w:p w14:paraId="34CEB2DD">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51BAAC8B">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4E8452A8">
      <w:pPr>
        <w:spacing w:line="360" w:lineRule="auto"/>
        <w:ind w:right="480" w:firstLine="2640" w:firstLineChars="1100"/>
        <w:rPr>
          <w:rFonts w:ascii="宋体" w:hAnsi="宋体" w:cs="宋体"/>
          <w:sz w:val="24"/>
        </w:rPr>
        <w:sectPr>
          <w:type w:val="continuous"/>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36" w:name="_Toc5391"/>
    </w:p>
    <w:bookmarkEnd w:id="336"/>
    <w:p w14:paraId="4C7B6CBF">
      <w:pPr>
        <w:spacing w:line="480" w:lineRule="auto"/>
        <w:ind w:right="-161"/>
        <w:jc w:val="center"/>
        <w:outlineLvl w:val="0"/>
        <w:rPr>
          <w:b/>
          <w:bCs/>
          <w:sz w:val="36"/>
          <w:szCs w:val="16"/>
        </w:rPr>
      </w:pPr>
    </w:p>
    <w:p w14:paraId="0CB0BC5B">
      <w:pPr>
        <w:spacing w:line="480" w:lineRule="auto"/>
        <w:ind w:right="-161"/>
        <w:jc w:val="center"/>
        <w:outlineLvl w:val="0"/>
        <w:rPr>
          <w:b/>
          <w:bCs/>
          <w:sz w:val="36"/>
          <w:szCs w:val="16"/>
        </w:rPr>
      </w:pPr>
    </w:p>
    <w:p w14:paraId="397CBC03">
      <w:pPr>
        <w:spacing w:line="480" w:lineRule="auto"/>
        <w:ind w:right="-161"/>
        <w:jc w:val="center"/>
        <w:outlineLvl w:val="0"/>
        <w:rPr>
          <w:b/>
          <w:bCs/>
          <w:sz w:val="36"/>
          <w:szCs w:val="16"/>
        </w:rPr>
      </w:pPr>
    </w:p>
    <w:p w14:paraId="4ECE244D">
      <w:pPr>
        <w:spacing w:line="480" w:lineRule="auto"/>
        <w:ind w:right="-161"/>
        <w:jc w:val="center"/>
        <w:outlineLvl w:val="0"/>
        <w:rPr>
          <w:b/>
          <w:bCs/>
          <w:sz w:val="36"/>
          <w:szCs w:val="16"/>
        </w:rPr>
      </w:pPr>
    </w:p>
    <w:p w14:paraId="22AFD061">
      <w:pPr>
        <w:spacing w:line="480" w:lineRule="auto"/>
        <w:ind w:right="-161"/>
        <w:jc w:val="center"/>
        <w:outlineLvl w:val="0"/>
        <w:rPr>
          <w:b/>
          <w:bCs/>
          <w:sz w:val="36"/>
          <w:szCs w:val="16"/>
        </w:rPr>
      </w:pPr>
    </w:p>
    <w:p w14:paraId="488A8077">
      <w:pPr>
        <w:spacing w:line="480" w:lineRule="auto"/>
        <w:ind w:right="-161"/>
        <w:jc w:val="center"/>
        <w:outlineLvl w:val="0"/>
        <w:rPr>
          <w:b/>
          <w:bCs/>
          <w:sz w:val="36"/>
          <w:szCs w:val="16"/>
        </w:rPr>
      </w:pPr>
    </w:p>
    <w:p w14:paraId="1B56460E">
      <w:pPr>
        <w:spacing w:line="480" w:lineRule="auto"/>
        <w:ind w:right="-161"/>
        <w:jc w:val="center"/>
        <w:outlineLvl w:val="0"/>
        <w:rPr>
          <w:b/>
          <w:bCs/>
          <w:sz w:val="36"/>
          <w:szCs w:val="16"/>
        </w:rPr>
      </w:pPr>
    </w:p>
    <w:p w14:paraId="3B6A6034">
      <w:pPr>
        <w:spacing w:line="480" w:lineRule="auto"/>
        <w:ind w:right="-161"/>
        <w:jc w:val="center"/>
        <w:outlineLvl w:val="0"/>
        <w:rPr>
          <w:b/>
          <w:bCs/>
          <w:sz w:val="36"/>
          <w:szCs w:val="16"/>
        </w:rPr>
      </w:pPr>
    </w:p>
    <w:p w14:paraId="1CBADA01">
      <w:pPr>
        <w:spacing w:line="480" w:lineRule="auto"/>
        <w:ind w:right="-161"/>
        <w:jc w:val="center"/>
        <w:outlineLvl w:val="0"/>
        <w:rPr>
          <w:b/>
          <w:bCs/>
          <w:sz w:val="36"/>
          <w:szCs w:val="16"/>
        </w:rPr>
      </w:pPr>
    </w:p>
    <w:p w14:paraId="236F35E1">
      <w:pPr>
        <w:spacing w:line="480" w:lineRule="auto"/>
        <w:ind w:right="-161"/>
        <w:jc w:val="center"/>
        <w:outlineLvl w:val="0"/>
        <w:rPr>
          <w:b/>
          <w:bCs/>
          <w:sz w:val="36"/>
          <w:szCs w:val="16"/>
        </w:rPr>
      </w:pPr>
    </w:p>
    <w:p w14:paraId="60A541CC">
      <w:pPr>
        <w:spacing w:line="480" w:lineRule="auto"/>
        <w:ind w:right="-161"/>
        <w:jc w:val="center"/>
        <w:outlineLvl w:val="0"/>
        <w:rPr>
          <w:b/>
          <w:bCs/>
          <w:sz w:val="36"/>
          <w:szCs w:val="16"/>
        </w:rPr>
      </w:pPr>
    </w:p>
    <w:p w14:paraId="1CC901B9">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23"/>
      <w:bookmarkEnd w:id="324"/>
      <w:bookmarkEnd w:id="325"/>
      <w:bookmarkEnd w:id="326"/>
      <w:bookmarkEnd w:id="327"/>
      <w:bookmarkEnd w:id="328"/>
    </w:p>
    <w:p w14:paraId="65D9C218">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14:paraId="046F1D06">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23242662">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14:paraId="6BFEF938">
      <w:pPr>
        <w:pStyle w:val="15"/>
      </w:pPr>
    </w:p>
    <w:p w14:paraId="46ACF920">
      <w:pPr>
        <w:pStyle w:val="4"/>
        <w:rPr>
          <w:rFonts w:ascii="宋体" w:hAnsi="宋体" w:eastAsia="宋体" w:cs="宋体"/>
          <w:szCs w:val="22"/>
        </w:rPr>
      </w:pPr>
    </w:p>
    <w:p w14:paraId="2167CEC1">
      <w:pPr>
        <w:pStyle w:val="4"/>
        <w:rPr>
          <w:rFonts w:ascii="宋体" w:hAnsi="宋体" w:eastAsia="宋体" w:cs="宋体"/>
          <w:szCs w:val="22"/>
        </w:rPr>
      </w:pPr>
    </w:p>
    <w:p w14:paraId="005FB7B0">
      <w:pPr>
        <w:pStyle w:val="4"/>
        <w:rPr>
          <w:rFonts w:ascii="宋体" w:hAnsi="宋体" w:eastAsia="宋体" w:cs="宋体"/>
          <w:szCs w:val="22"/>
        </w:rPr>
      </w:pPr>
    </w:p>
    <w:p w14:paraId="2A51F4DC">
      <w:pPr>
        <w:pStyle w:val="4"/>
        <w:rPr>
          <w:rFonts w:ascii="宋体" w:hAnsi="宋体" w:eastAsia="宋体" w:cs="宋体"/>
          <w:szCs w:val="22"/>
        </w:rPr>
      </w:pPr>
    </w:p>
    <w:p w14:paraId="72B98B61">
      <w:pPr>
        <w:rPr>
          <w:rFonts w:ascii="宋体" w:hAnsi="宋体" w:cs="宋体"/>
          <w:szCs w:val="22"/>
        </w:rPr>
      </w:pPr>
    </w:p>
    <w:p w14:paraId="78E10DB0">
      <w:pPr>
        <w:pStyle w:val="15"/>
        <w:rPr>
          <w:rFonts w:ascii="宋体" w:hAnsi="宋体" w:cs="宋体"/>
          <w:szCs w:val="22"/>
        </w:rPr>
      </w:pPr>
    </w:p>
    <w:p w14:paraId="169ED71A">
      <w:pPr>
        <w:pStyle w:val="15"/>
        <w:rPr>
          <w:rFonts w:ascii="宋体" w:hAnsi="宋体" w:cs="宋体"/>
          <w:szCs w:val="22"/>
        </w:rPr>
      </w:pPr>
    </w:p>
    <w:p w14:paraId="706A0541">
      <w:pPr>
        <w:pStyle w:val="15"/>
        <w:rPr>
          <w:rFonts w:ascii="宋体" w:hAnsi="宋体" w:cs="宋体"/>
          <w:szCs w:val="22"/>
        </w:rPr>
      </w:pPr>
    </w:p>
    <w:p w14:paraId="3D5F2041">
      <w:pPr>
        <w:pStyle w:val="15"/>
        <w:rPr>
          <w:rFonts w:ascii="宋体" w:hAnsi="宋体" w:cs="宋体"/>
          <w:szCs w:val="22"/>
        </w:rPr>
      </w:pPr>
    </w:p>
    <w:p w14:paraId="6DECEAB5">
      <w:pPr>
        <w:pStyle w:val="15"/>
        <w:rPr>
          <w:rFonts w:ascii="宋体" w:hAnsi="宋体" w:cs="宋体"/>
          <w:szCs w:val="22"/>
        </w:rPr>
      </w:pPr>
    </w:p>
    <w:p w14:paraId="60F4DE63">
      <w:pPr>
        <w:pStyle w:val="15"/>
        <w:rPr>
          <w:rFonts w:ascii="宋体" w:hAnsi="宋体" w:cs="宋体"/>
          <w:szCs w:val="22"/>
        </w:rPr>
      </w:pPr>
    </w:p>
    <w:p w14:paraId="4090ACA7">
      <w:pPr>
        <w:pStyle w:val="15"/>
        <w:rPr>
          <w:rFonts w:ascii="宋体" w:hAnsi="宋体" w:cs="宋体"/>
          <w:szCs w:val="22"/>
        </w:rPr>
      </w:pPr>
    </w:p>
    <w:p w14:paraId="1816322B">
      <w:pPr>
        <w:pStyle w:val="15"/>
        <w:rPr>
          <w:rFonts w:ascii="宋体" w:hAnsi="宋体" w:cs="宋体"/>
          <w:szCs w:val="22"/>
        </w:rPr>
      </w:pPr>
    </w:p>
    <w:p w14:paraId="5A9DB5FA">
      <w:pPr>
        <w:pStyle w:val="15"/>
        <w:rPr>
          <w:rFonts w:ascii="宋体" w:hAnsi="宋体" w:cs="宋体"/>
          <w:szCs w:val="22"/>
        </w:rPr>
      </w:pPr>
    </w:p>
    <w:p w14:paraId="576E9D92">
      <w:pPr>
        <w:pStyle w:val="15"/>
        <w:rPr>
          <w:rFonts w:ascii="宋体" w:hAnsi="宋体" w:cs="宋体"/>
          <w:szCs w:val="22"/>
        </w:rPr>
      </w:pPr>
    </w:p>
    <w:p w14:paraId="4A01373B">
      <w:pPr>
        <w:pStyle w:val="15"/>
        <w:rPr>
          <w:rFonts w:ascii="宋体" w:hAnsi="宋体" w:cs="宋体"/>
          <w:szCs w:val="22"/>
        </w:rPr>
      </w:pPr>
    </w:p>
    <w:p w14:paraId="6F6858D4">
      <w:pPr>
        <w:pStyle w:val="15"/>
        <w:rPr>
          <w:rFonts w:ascii="宋体" w:hAnsi="宋体" w:cs="宋体"/>
          <w:szCs w:val="22"/>
        </w:rPr>
      </w:pPr>
    </w:p>
    <w:p w14:paraId="59BE5BEB">
      <w:pPr>
        <w:pStyle w:val="15"/>
        <w:rPr>
          <w:rFonts w:ascii="宋体" w:hAnsi="宋体" w:cs="宋体"/>
          <w:szCs w:val="22"/>
        </w:rPr>
      </w:pPr>
    </w:p>
    <w:p w14:paraId="553BF51A">
      <w:pPr>
        <w:pStyle w:val="15"/>
        <w:rPr>
          <w:rFonts w:ascii="宋体" w:hAnsi="宋体" w:cs="宋体"/>
          <w:szCs w:val="22"/>
        </w:rPr>
      </w:pPr>
    </w:p>
    <w:p w14:paraId="2F957F9A">
      <w:pPr>
        <w:pStyle w:val="15"/>
        <w:rPr>
          <w:rFonts w:ascii="宋体" w:hAnsi="宋体" w:cs="宋体"/>
          <w:szCs w:val="22"/>
        </w:rPr>
      </w:pPr>
    </w:p>
    <w:p w14:paraId="42487118">
      <w:pPr>
        <w:pStyle w:val="15"/>
        <w:rPr>
          <w:rFonts w:ascii="宋体" w:hAnsi="宋体" w:cs="宋体"/>
          <w:szCs w:val="22"/>
        </w:rPr>
      </w:pPr>
    </w:p>
    <w:p w14:paraId="6AC47DDA">
      <w:pPr>
        <w:pStyle w:val="15"/>
        <w:rPr>
          <w:rFonts w:ascii="宋体" w:hAnsi="宋体" w:cs="宋体"/>
          <w:szCs w:val="22"/>
        </w:rPr>
      </w:pPr>
    </w:p>
    <w:p w14:paraId="032539E2">
      <w:pPr>
        <w:pStyle w:val="15"/>
        <w:rPr>
          <w:rFonts w:ascii="宋体" w:hAnsi="宋体" w:cs="宋体"/>
          <w:szCs w:val="22"/>
        </w:rPr>
      </w:pPr>
    </w:p>
    <w:p w14:paraId="21377C2D">
      <w:pPr>
        <w:pStyle w:val="15"/>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14:paraId="2166A983">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w:t>
      </w:r>
    </w:p>
    <w:p w14:paraId="5D7A2CE7">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14:paraId="6CEEF81C">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14:paraId="5A3A6887">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4FDA6550">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14:paraId="5EA7393A">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14:paraId="495FA66C">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14:paraId="6590CF3E">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77E50F4">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1261EEA">
      <w:pPr>
        <w:widowControl/>
        <w:adjustRightInd w:val="0"/>
        <w:snapToGrid w:val="0"/>
        <w:spacing w:line="540" w:lineRule="exact"/>
        <w:ind w:firstLine="480" w:firstLineChars="200"/>
        <w:jc w:val="left"/>
        <w:rPr>
          <w:rFonts w:hint="eastAsia" w:ascii="宋体" w:hAnsi="宋体" w:eastAsia="宋体" w:cs="宋体"/>
          <w:kern w:val="0"/>
          <w:sz w:val="24"/>
          <w:szCs w:val="24"/>
        </w:rPr>
      </w:pPr>
    </w:p>
    <w:p w14:paraId="7515E97E">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14:paraId="30CFD28F">
      <w:pPr>
        <w:adjustRightInd w:val="0"/>
        <w:snapToGrid w:val="0"/>
        <w:spacing w:line="500" w:lineRule="exact"/>
        <w:rPr>
          <w:rFonts w:hint="eastAsia" w:ascii="宋体" w:hAnsi="宋体" w:eastAsia="宋体" w:cs="宋体"/>
          <w:b/>
          <w:kern w:val="0"/>
          <w:sz w:val="24"/>
          <w:szCs w:val="24"/>
        </w:rPr>
      </w:pPr>
    </w:p>
    <w:p w14:paraId="07B2B4E9">
      <w:pPr>
        <w:pStyle w:val="2"/>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14:paraId="0B24B099">
      <w:pPr>
        <w:pStyle w:val="2"/>
        <w:rPr>
          <w:rFonts w:hint="eastAsia" w:ascii="宋体" w:hAnsi="宋体" w:eastAsia="宋体" w:cs="宋体"/>
          <w:kern w:val="0"/>
          <w:sz w:val="24"/>
          <w:szCs w:val="24"/>
        </w:rPr>
      </w:pPr>
    </w:p>
    <w:p w14:paraId="0F44BF0C">
      <w:pPr>
        <w:pStyle w:val="2"/>
        <w:rPr>
          <w:rFonts w:hint="eastAsia" w:ascii="宋体" w:hAnsi="宋体" w:eastAsia="宋体" w:cs="宋体"/>
          <w:kern w:val="0"/>
          <w:sz w:val="24"/>
          <w:szCs w:val="24"/>
        </w:rPr>
      </w:pPr>
    </w:p>
    <w:p w14:paraId="6093F28B">
      <w:pPr>
        <w:pStyle w:val="2"/>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14:paraId="0EA400CC">
      <w:pPr>
        <w:pStyle w:val="15"/>
        <w:jc w:val="center"/>
        <w:rPr>
          <w:rFonts w:hint="eastAsia" w:ascii="宋体" w:hAnsi="宋体" w:cs="宋体"/>
          <w:b/>
          <w:sz w:val="32"/>
          <w:szCs w:val="22"/>
        </w:rPr>
      </w:pPr>
    </w:p>
    <w:p w14:paraId="4060DD1B">
      <w:pPr>
        <w:pStyle w:val="15"/>
        <w:jc w:val="center"/>
        <w:rPr>
          <w:rFonts w:hint="eastAsia" w:ascii="宋体" w:hAnsi="宋体" w:cs="宋体"/>
          <w:b/>
          <w:sz w:val="32"/>
          <w:szCs w:val="22"/>
        </w:rPr>
      </w:pPr>
    </w:p>
    <w:p w14:paraId="6A95CB7E">
      <w:pPr>
        <w:pStyle w:val="15"/>
        <w:jc w:val="center"/>
        <w:rPr>
          <w:rFonts w:hint="eastAsia" w:ascii="宋体" w:hAnsi="宋体" w:cs="宋体"/>
          <w:b/>
          <w:sz w:val="32"/>
          <w:szCs w:val="22"/>
        </w:rPr>
      </w:pPr>
    </w:p>
    <w:p w14:paraId="7665BE4A">
      <w:pPr>
        <w:pStyle w:val="15"/>
        <w:jc w:val="center"/>
        <w:rPr>
          <w:rFonts w:hint="eastAsia" w:ascii="宋体" w:hAnsi="宋体" w:cs="宋体"/>
          <w:b/>
          <w:sz w:val="32"/>
          <w:szCs w:val="22"/>
        </w:rPr>
      </w:pPr>
    </w:p>
    <w:p w14:paraId="32240162">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2</w:t>
      </w:r>
      <w:r>
        <w:rPr>
          <w:rFonts w:hint="eastAsia" w:ascii="宋体" w:hAnsi="宋体" w:cs="宋体"/>
          <w:b w:val="0"/>
          <w:bCs/>
          <w:sz w:val="24"/>
        </w:rPr>
        <w:t>：</w:t>
      </w:r>
    </w:p>
    <w:p w14:paraId="43E12533">
      <w:pPr>
        <w:spacing w:line="200" w:lineRule="exact"/>
        <w:rPr>
          <w:rFonts w:hint="eastAsia" w:ascii="宋体" w:hAnsi="宋体" w:cs="宋体"/>
        </w:rPr>
      </w:pPr>
    </w:p>
    <w:p w14:paraId="4E5DBF1A">
      <w:pPr>
        <w:widowControl/>
        <w:spacing w:line="360" w:lineRule="auto"/>
        <w:jc w:val="center"/>
        <w:rPr>
          <w:rFonts w:hint="eastAsia" w:ascii="宋体" w:hAnsi="宋体" w:eastAsia="宋体" w:cs="宋体"/>
          <w:b/>
          <w:bCs/>
          <w:color w:val="000000"/>
          <w:kern w:val="0"/>
          <w:sz w:val="36"/>
          <w:szCs w:val="36"/>
          <w:lang w:eastAsia="zh-CN" w:bidi="ar"/>
        </w:rPr>
      </w:pPr>
      <w:r>
        <w:rPr>
          <w:rFonts w:hint="eastAsia" w:ascii="宋体" w:hAnsi="宋体" w:cs="宋体"/>
          <w:b/>
          <w:bCs/>
          <w:color w:val="000000"/>
          <w:kern w:val="0"/>
          <w:sz w:val="36"/>
          <w:szCs w:val="36"/>
          <w:lang w:val="en-US" w:eastAsia="zh-CN" w:bidi="ar"/>
        </w:rPr>
        <w:t>小微</w:t>
      </w:r>
      <w:r>
        <w:rPr>
          <w:rFonts w:hint="eastAsia" w:ascii="宋体" w:hAnsi="宋体" w:cs="宋体"/>
          <w:b/>
          <w:bCs/>
          <w:color w:val="000000"/>
          <w:kern w:val="0"/>
          <w:sz w:val="36"/>
          <w:szCs w:val="36"/>
          <w:lang w:bidi="ar"/>
        </w:rPr>
        <w:t>企业声明函</w:t>
      </w:r>
      <w:r>
        <w:rPr>
          <w:rFonts w:hint="eastAsia" w:ascii="宋体" w:hAnsi="宋体" w:cs="宋体"/>
          <w:b/>
          <w:bCs/>
          <w:color w:val="000000"/>
          <w:kern w:val="0"/>
          <w:sz w:val="36"/>
          <w:szCs w:val="36"/>
          <w:lang w:eastAsia="zh-CN" w:bidi="ar"/>
        </w:rPr>
        <w:t>（</w:t>
      </w:r>
      <w:r>
        <w:rPr>
          <w:rFonts w:hint="eastAsia" w:ascii="宋体" w:hAnsi="宋体" w:cs="宋体"/>
          <w:b/>
          <w:bCs/>
          <w:color w:val="000000"/>
          <w:kern w:val="0"/>
          <w:sz w:val="36"/>
          <w:szCs w:val="36"/>
          <w:lang w:val="en-US" w:eastAsia="zh-CN" w:bidi="ar"/>
        </w:rPr>
        <w:t>服务</w:t>
      </w:r>
      <w:r>
        <w:rPr>
          <w:rFonts w:hint="eastAsia" w:ascii="宋体" w:hAnsi="宋体" w:cs="宋体"/>
          <w:b/>
          <w:bCs/>
          <w:color w:val="000000"/>
          <w:kern w:val="0"/>
          <w:sz w:val="36"/>
          <w:szCs w:val="36"/>
          <w:lang w:eastAsia="zh-CN" w:bidi="ar"/>
        </w:rPr>
        <w:t>）</w:t>
      </w:r>
    </w:p>
    <w:p w14:paraId="7BAF052D">
      <w:pPr>
        <w:spacing w:line="360" w:lineRule="auto"/>
        <w:ind w:firstLine="480" w:firstLineChars="200"/>
        <w:rPr>
          <w:rFonts w:hint="eastAsia" w:ascii="宋体" w:hAnsi="宋体" w:cs="宋体"/>
          <w:sz w:val="24"/>
        </w:rPr>
      </w:pPr>
      <w:r>
        <w:rPr>
          <w:rFonts w:hint="eastAsia" w:ascii="宋体" w:hAnsi="宋体" w:cs="宋体"/>
          <w:sz w:val="24"/>
        </w:rPr>
        <w:t>本公司郑重声明，根据《政府采购促进中小企业发展管理办法》（财库﹝2020﹞46 号）的规定，本公司参加（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15D12A44">
      <w:pPr>
        <w:spacing w:line="360" w:lineRule="auto"/>
        <w:ind w:firstLine="480" w:firstLineChars="200"/>
        <w:rPr>
          <w:rFonts w:hint="eastAsia" w:ascii="宋体" w:hAnsi="宋体" w:cs="宋体"/>
          <w:sz w:val="24"/>
        </w:rPr>
      </w:pPr>
      <w:r>
        <w:rPr>
          <w:rFonts w:hint="eastAsia" w:ascii="宋体" w:hAnsi="宋体" w:cs="宋体"/>
          <w:sz w:val="24"/>
        </w:rPr>
        <w:t>1. （</w:t>
      </w:r>
      <w:r>
        <w:rPr>
          <w:rFonts w:hint="eastAsia" w:ascii="宋体" w:hAnsi="宋体" w:cs="宋体"/>
          <w:sz w:val="24"/>
          <w:u w:val="single"/>
        </w:rPr>
        <w:t>标的名称</w:t>
      </w:r>
      <w:r>
        <w:rPr>
          <w:rFonts w:hint="eastAsia" w:ascii="宋体" w:hAnsi="宋体" w:cs="宋体"/>
          <w:sz w:val="24"/>
        </w:rPr>
        <w:t>） ，属于（</w:t>
      </w:r>
      <w:r>
        <w:rPr>
          <w:rFonts w:hint="eastAsia" w:ascii="宋体" w:hAnsi="宋体" w:cs="宋体"/>
          <w:sz w:val="24"/>
          <w:u w:val="single"/>
        </w:rPr>
        <w:t>采购文件中明确的所属行业</w:t>
      </w:r>
      <w:r>
        <w:rPr>
          <w:rFonts w:hint="eastAsia" w:ascii="宋体" w:hAnsi="宋体" w:cs="宋体"/>
          <w:sz w:val="24"/>
        </w:rPr>
        <w:t>）；承建（承接）企业为（企业名称），从业人员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 xml:space="preserve">万元，属于（ 小型企业、微型企业）； </w:t>
      </w:r>
    </w:p>
    <w:p w14:paraId="53F50AB0">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61D72835">
      <w:pPr>
        <w:spacing w:line="360" w:lineRule="auto"/>
        <w:ind w:firstLine="480" w:firstLineChars="200"/>
        <w:rPr>
          <w:rFonts w:hint="eastAsia" w:ascii="宋体" w:hAnsi="宋体" w:cs="宋体"/>
          <w:sz w:val="24"/>
        </w:rPr>
      </w:pPr>
      <w:r>
        <w:rPr>
          <w:rFonts w:hint="eastAsia" w:ascii="宋体" w:hAnsi="宋体" w:cs="宋体"/>
          <w:sz w:val="24"/>
        </w:rPr>
        <w:t>……</w:t>
      </w:r>
    </w:p>
    <w:p w14:paraId="11F0588B">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78FE320">
      <w:pPr>
        <w:spacing w:line="360" w:lineRule="auto"/>
        <w:ind w:firstLine="480" w:firstLineChars="200"/>
        <w:rPr>
          <w:rFonts w:hint="eastAsia" w:ascii="宋体" w:hAnsi="宋体" w:cs="宋体"/>
          <w:sz w:val="24"/>
        </w:rPr>
      </w:pPr>
      <w:r>
        <w:rPr>
          <w:rFonts w:hint="eastAsia" w:ascii="宋体" w:hAnsi="宋体" w:cs="宋体"/>
          <w:sz w:val="24"/>
        </w:rPr>
        <w:t xml:space="preserve">本企业对上述声明内容的真实性负责。如有虚假，将依法承担相应责任。 </w:t>
      </w:r>
    </w:p>
    <w:p w14:paraId="4503A97D">
      <w:pPr>
        <w:spacing w:line="360" w:lineRule="auto"/>
        <w:ind w:firstLine="480" w:firstLineChars="200"/>
        <w:jc w:val="center"/>
        <w:rPr>
          <w:rFonts w:hint="eastAsia" w:ascii="宋体" w:hAnsi="宋体" w:cs="宋体"/>
          <w:sz w:val="24"/>
        </w:rPr>
      </w:pPr>
    </w:p>
    <w:p w14:paraId="6939C64C">
      <w:pPr>
        <w:spacing w:line="360" w:lineRule="auto"/>
        <w:ind w:firstLine="480" w:firstLineChars="200"/>
        <w:jc w:val="center"/>
        <w:rPr>
          <w:rFonts w:ascii="宋体" w:hAnsi="宋体" w:cs="宋体"/>
          <w:sz w:val="24"/>
          <w:u w:val="single"/>
        </w:rPr>
      </w:pPr>
      <w:r>
        <w:rPr>
          <w:rFonts w:hint="eastAsia" w:ascii="宋体" w:hAnsi="宋体" w:cs="宋体"/>
          <w:sz w:val="24"/>
        </w:rPr>
        <w:t xml:space="preserve">企业名称（盖章）： </w:t>
      </w:r>
      <w:r>
        <w:rPr>
          <w:rFonts w:hint="eastAsia" w:ascii="宋体" w:hAnsi="宋体" w:cs="宋体"/>
          <w:sz w:val="24"/>
          <w:u w:val="single"/>
        </w:rPr>
        <w:t xml:space="preserve">                  </w:t>
      </w:r>
    </w:p>
    <w:p w14:paraId="4D2EAA25">
      <w:pPr>
        <w:spacing w:line="360" w:lineRule="auto"/>
        <w:ind w:firstLine="480" w:firstLineChars="200"/>
        <w:jc w:val="center"/>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 xml:space="preserve"> </w:t>
      </w:r>
    </w:p>
    <w:p w14:paraId="666A4BBD">
      <w:pPr>
        <w:spacing w:line="360" w:lineRule="auto"/>
        <w:ind w:firstLine="480" w:firstLineChars="200"/>
        <w:rPr>
          <w:rFonts w:hint="eastAsia" w:ascii="宋体" w:hAnsi="宋体" w:cs="宋体"/>
          <w:sz w:val="24"/>
          <w:szCs w:val="24"/>
        </w:rPr>
      </w:pPr>
    </w:p>
    <w:p w14:paraId="553AB637">
      <w:pPr>
        <w:pStyle w:val="5"/>
        <w:bidi w:val="0"/>
        <w:jc w:val="center"/>
        <w:rPr>
          <w:rFonts w:hint="eastAsia"/>
          <w:sz w:val="36"/>
          <w:szCs w:val="21"/>
          <w:lang w:eastAsia="zh-CN"/>
        </w:rPr>
      </w:pPr>
      <w:r>
        <w:rPr>
          <w:rFonts w:hint="eastAsia" w:ascii="宋体" w:hAnsi="宋体" w:cs="宋体"/>
          <w:b/>
          <w:bCs/>
          <w:kern w:val="0"/>
          <w:sz w:val="24"/>
          <w:highlight w:val="none"/>
          <w:lang w:val="zh-CN"/>
        </w:rPr>
        <w:t>备注：</w:t>
      </w:r>
      <w:r>
        <w:rPr>
          <w:rFonts w:hint="eastAsia" w:ascii="宋体" w:hAnsi="宋体" w:eastAsia="宋体" w:cs="宋体"/>
          <w:b/>
          <w:bCs/>
          <w:sz w:val="24"/>
          <w:szCs w:val="24"/>
          <w:highlight w:val="none"/>
          <w:lang w:val="en-US" w:eastAsia="zh-CN"/>
        </w:rPr>
        <w:t>本项目专门面</w:t>
      </w:r>
      <w:r>
        <w:rPr>
          <w:rFonts w:hint="eastAsia" w:ascii="宋体" w:hAnsi="宋体" w:cs="宋体"/>
          <w:b/>
          <w:bCs/>
          <w:sz w:val="24"/>
          <w:szCs w:val="24"/>
          <w:highlight w:val="none"/>
          <w:lang w:val="en-US" w:eastAsia="zh-CN"/>
        </w:rPr>
        <w:t>小微</w:t>
      </w:r>
      <w:r>
        <w:rPr>
          <w:rFonts w:hint="eastAsia" w:ascii="宋体" w:hAnsi="宋体" w:eastAsia="宋体" w:cs="宋体"/>
          <w:b/>
          <w:bCs/>
          <w:sz w:val="24"/>
          <w:szCs w:val="24"/>
          <w:highlight w:val="none"/>
          <w:lang w:val="en-US" w:eastAsia="zh-CN"/>
        </w:rPr>
        <w:t>企业采购，供应商须提供《</w:t>
      </w:r>
      <w:r>
        <w:rPr>
          <w:rFonts w:hint="eastAsia" w:ascii="宋体" w:hAnsi="宋体" w:cs="宋体"/>
          <w:b/>
          <w:bCs/>
          <w:sz w:val="24"/>
          <w:szCs w:val="24"/>
          <w:highlight w:val="none"/>
          <w:lang w:val="en-US" w:eastAsia="zh-CN"/>
        </w:rPr>
        <w:t>小微</w:t>
      </w:r>
      <w:r>
        <w:rPr>
          <w:rFonts w:hint="eastAsia" w:ascii="宋体" w:hAnsi="宋体" w:eastAsia="宋体" w:cs="宋体"/>
          <w:b/>
          <w:bCs/>
          <w:sz w:val="24"/>
          <w:szCs w:val="24"/>
          <w:highlight w:val="none"/>
          <w:lang w:val="en-US" w:eastAsia="zh-CN"/>
        </w:rPr>
        <w:t>企业声明函》。</w:t>
      </w:r>
    </w:p>
    <w:p w14:paraId="0985085B">
      <w:pPr>
        <w:pStyle w:val="15"/>
        <w:jc w:val="center"/>
        <w:rPr>
          <w:rFonts w:hint="eastAsia" w:ascii="宋体" w:hAnsi="宋体" w:cs="宋体"/>
          <w:b/>
          <w:sz w:val="32"/>
          <w:szCs w:val="22"/>
        </w:rPr>
      </w:pPr>
    </w:p>
    <w:p w14:paraId="2E8A2D41">
      <w:pPr>
        <w:pStyle w:val="15"/>
        <w:jc w:val="center"/>
        <w:rPr>
          <w:rFonts w:hint="eastAsia" w:ascii="宋体" w:hAnsi="宋体" w:cs="宋体"/>
          <w:b/>
          <w:sz w:val="32"/>
          <w:szCs w:val="22"/>
        </w:rPr>
      </w:pPr>
    </w:p>
    <w:p w14:paraId="5E956F1B">
      <w:pPr>
        <w:pStyle w:val="15"/>
        <w:jc w:val="center"/>
        <w:rPr>
          <w:rFonts w:hint="eastAsia" w:ascii="宋体" w:hAnsi="宋体" w:cs="宋体"/>
          <w:b/>
          <w:sz w:val="32"/>
          <w:szCs w:val="22"/>
        </w:rPr>
      </w:pPr>
    </w:p>
    <w:p w14:paraId="58DDF37B">
      <w:pPr>
        <w:pStyle w:val="15"/>
        <w:jc w:val="center"/>
        <w:rPr>
          <w:rFonts w:hint="eastAsia" w:ascii="宋体" w:hAnsi="宋体" w:cs="宋体"/>
          <w:b/>
          <w:sz w:val="32"/>
          <w:szCs w:val="22"/>
        </w:rPr>
      </w:pPr>
    </w:p>
    <w:p w14:paraId="3572FD32">
      <w:pPr>
        <w:pStyle w:val="15"/>
        <w:jc w:val="center"/>
        <w:rPr>
          <w:rFonts w:hint="eastAsia" w:ascii="宋体" w:hAnsi="宋体" w:cs="宋体"/>
          <w:b/>
          <w:sz w:val="32"/>
          <w:szCs w:val="22"/>
        </w:rPr>
      </w:pPr>
    </w:p>
    <w:p w14:paraId="7602826A">
      <w:pPr>
        <w:pStyle w:val="15"/>
        <w:jc w:val="center"/>
        <w:rPr>
          <w:rFonts w:hint="eastAsia" w:ascii="宋体" w:hAnsi="宋体" w:cs="宋体"/>
          <w:b/>
          <w:sz w:val="32"/>
          <w:szCs w:val="22"/>
        </w:rPr>
      </w:pPr>
    </w:p>
    <w:p w14:paraId="51619112">
      <w:pPr>
        <w:rPr>
          <w:rFonts w:hint="eastAsia" w:ascii="宋体" w:hAnsi="宋体" w:cs="宋体"/>
          <w:b/>
          <w:sz w:val="32"/>
          <w:szCs w:val="22"/>
        </w:rPr>
      </w:pPr>
    </w:p>
    <w:p w14:paraId="1FC94644">
      <w:pPr>
        <w:rPr>
          <w:rFonts w:hint="eastAsia" w:ascii="宋体" w:hAnsi="宋体" w:cs="宋体"/>
          <w:b/>
          <w:sz w:val="32"/>
          <w:szCs w:val="22"/>
        </w:rPr>
      </w:pPr>
    </w:p>
    <w:p w14:paraId="1858691A">
      <w:pPr>
        <w:pStyle w:val="15"/>
        <w:jc w:val="center"/>
        <w:rPr>
          <w:rFonts w:hint="eastAsia" w:ascii="宋体" w:hAnsi="宋体" w:cs="宋体"/>
          <w:b/>
          <w:sz w:val="32"/>
          <w:szCs w:val="22"/>
        </w:rPr>
      </w:pPr>
    </w:p>
    <w:p w14:paraId="56273209">
      <w:pPr>
        <w:pStyle w:val="15"/>
        <w:jc w:val="center"/>
        <w:rPr>
          <w:rFonts w:hint="eastAsia" w:ascii="宋体" w:hAnsi="宋体" w:cs="宋体"/>
          <w:b/>
          <w:sz w:val="32"/>
          <w:szCs w:val="22"/>
        </w:rPr>
      </w:pPr>
    </w:p>
    <w:p w14:paraId="4D63E629">
      <w:pPr>
        <w:pStyle w:val="15"/>
        <w:jc w:val="center"/>
        <w:rPr>
          <w:rFonts w:hint="eastAsia" w:ascii="宋体" w:hAnsi="宋体" w:cs="宋体"/>
          <w:bCs/>
          <w:sz w:val="32"/>
          <w:szCs w:val="32"/>
          <w:lang w:val="en-US" w:eastAsia="zh-CN"/>
        </w:rPr>
      </w:pPr>
      <w:r>
        <w:rPr>
          <w:rFonts w:hint="eastAsia" w:ascii="宋体" w:hAnsi="宋体" w:cs="宋体"/>
          <w:b/>
          <w:sz w:val="32"/>
          <w:szCs w:val="22"/>
        </w:rPr>
        <w:t>四、响应方案</w:t>
      </w:r>
    </w:p>
    <w:p w14:paraId="3CCEDC3E">
      <w:pPr>
        <w:pStyle w:val="2"/>
      </w:pPr>
    </w:p>
    <w:p w14:paraId="22416AAA">
      <w:pPr>
        <w:spacing w:line="360" w:lineRule="auto"/>
        <w:ind w:right="-161" w:firstLine="480" w:firstLineChars="200"/>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val="en-US"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提供详细的供货方案及服务方案与措施</w:t>
      </w:r>
      <w:r>
        <w:rPr>
          <w:rFonts w:hint="eastAsia" w:ascii="宋体" w:hAnsi="宋体"/>
          <w:color w:val="auto"/>
          <w:sz w:val="24"/>
        </w:rPr>
        <w:t>。</w:t>
      </w:r>
    </w:p>
    <w:p w14:paraId="63276889">
      <w:pPr>
        <w:spacing w:line="360" w:lineRule="auto"/>
        <w:ind w:right="-161" w:firstLine="480" w:firstLineChars="200"/>
        <w:rPr>
          <w:rFonts w:hint="eastAsia" w:ascii="宋体" w:hAnsi="宋体"/>
          <w:color w:val="auto"/>
          <w:sz w:val="24"/>
        </w:rPr>
      </w:pPr>
    </w:p>
    <w:p w14:paraId="085DBDF2">
      <w:pPr>
        <w:spacing w:line="360" w:lineRule="auto"/>
        <w:ind w:right="-161" w:firstLine="480" w:firstLineChars="200"/>
        <w:rPr>
          <w:rFonts w:hint="eastAsia" w:ascii="宋体" w:hAnsi="宋体"/>
          <w:color w:val="auto"/>
          <w:sz w:val="24"/>
        </w:rPr>
      </w:pPr>
    </w:p>
    <w:p w14:paraId="30B8AE52">
      <w:pPr>
        <w:spacing w:line="360" w:lineRule="auto"/>
        <w:ind w:right="-161" w:firstLine="480" w:firstLineChars="200"/>
        <w:rPr>
          <w:rFonts w:hint="eastAsia" w:ascii="宋体" w:hAnsi="宋体"/>
          <w:color w:val="auto"/>
          <w:sz w:val="24"/>
        </w:rPr>
      </w:pPr>
    </w:p>
    <w:p w14:paraId="3305D87C">
      <w:pPr>
        <w:spacing w:line="360" w:lineRule="auto"/>
        <w:ind w:right="-161" w:firstLine="480" w:firstLineChars="200"/>
        <w:rPr>
          <w:rFonts w:hint="eastAsia" w:ascii="宋体" w:hAnsi="宋体"/>
          <w:color w:val="auto"/>
          <w:sz w:val="24"/>
        </w:rPr>
      </w:pPr>
    </w:p>
    <w:p w14:paraId="59D765CE">
      <w:pPr>
        <w:spacing w:line="360" w:lineRule="auto"/>
        <w:ind w:right="-161" w:firstLine="480" w:firstLineChars="200"/>
        <w:rPr>
          <w:rFonts w:hint="eastAsia" w:ascii="宋体" w:hAnsi="宋体"/>
          <w:color w:val="auto"/>
          <w:sz w:val="24"/>
        </w:rPr>
      </w:pPr>
    </w:p>
    <w:p w14:paraId="3577D1E8">
      <w:pPr>
        <w:spacing w:line="360" w:lineRule="auto"/>
        <w:ind w:right="-161" w:firstLine="2640" w:firstLineChars="1100"/>
        <w:rPr>
          <w:rFonts w:hint="eastAsia" w:ascii="宋体" w:hAnsi="宋体" w:cs="宋体"/>
          <w:sz w:val="24"/>
        </w:rPr>
      </w:pPr>
    </w:p>
    <w:p w14:paraId="680BFFCE">
      <w:pPr>
        <w:spacing w:line="360" w:lineRule="auto"/>
        <w:ind w:right="-161" w:firstLine="2640" w:firstLineChars="1100"/>
        <w:rPr>
          <w:rFonts w:hint="eastAsia" w:ascii="宋体" w:hAnsi="宋体" w:cs="宋体"/>
          <w:sz w:val="24"/>
        </w:rPr>
      </w:pPr>
    </w:p>
    <w:p w14:paraId="55E97FFB">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2A5CB9DA">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6611A77C">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p>
    <w:bookmarkEnd w:id="329"/>
    <w:bookmarkEnd w:id="330"/>
    <w:bookmarkEnd w:id="331"/>
    <w:bookmarkEnd w:id="332"/>
    <w:bookmarkEnd w:id="333"/>
    <w:bookmarkEnd w:id="334"/>
    <w:bookmarkEnd w:id="335"/>
    <w:p w14:paraId="06034775">
      <w:pPr>
        <w:pStyle w:val="10"/>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14:paraId="101494B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22"/>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14:paraId="184A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1A22F145">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14:paraId="64420FC8">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14:paraId="0379532A">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14:paraId="6E13150F">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14:paraId="08E3FC89">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14:paraId="78920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7AFD76C">
            <w:pPr>
              <w:spacing w:line="360" w:lineRule="auto"/>
              <w:jc w:val="center"/>
              <w:rPr>
                <w:rFonts w:ascii="宋体" w:hAnsi="宋体" w:cs="宋体"/>
                <w:color w:val="000000"/>
                <w:sz w:val="24"/>
              </w:rPr>
            </w:pPr>
          </w:p>
        </w:tc>
        <w:tc>
          <w:tcPr>
            <w:tcW w:w="2931" w:type="dxa"/>
            <w:noWrap w:val="0"/>
            <w:vAlign w:val="top"/>
          </w:tcPr>
          <w:p w14:paraId="04309A40">
            <w:pPr>
              <w:spacing w:line="360" w:lineRule="auto"/>
              <w:jc w:val="center"/>
              <w:rPr>
                <w:rFonts w:ascii="宋体" w:hAnsi="宋体" w:cs="宋体"/>
                <w:color w:val="000000"/>
                <w:sz w:val="24"/>
              </w:rPr>
            </w:pPr>
          </w:p>
        </w:tc>
        <w:tc>
          <w:tcPr>
            <w:tcW w:w="3231" w:type="dxa"/>
            <w:noWrap w:val="0"/>
            <w:vAlign w:val="top"/>
          </w:tcPr>
          <w:p w14:paraId="7D6C87E1">
            <w:pPr>
              <w:spacing w:line="360" w:lineRule="auto"/>
              <w:jc w:val="center"/>
              <w:rPr>
                <w:rFonts w:ascii="宋体" w:hAnsi="宋体" w:cs="宋体"/>
                <w:color w:val="000000"/>
                <w:sz w:val="24"/>
              </w:rPr>
            </w:pPr>
          </w:p>
        </w:tc>
        <w:tc>
          <w:tcPr>
            <w:tcW w:w="807" w:type="dxa"/>
            <w:noWrap w:val="0"/>
            <w:vAlign w:val="top"/>
          </w:tcPr>
          <w:p w14:paraId="4B54FD1F">
            <w:pPr>
              <w:spacing w:line="360" w:lineRule="auto"/>
              <w:jc w:val="center"/>
              <w:rPr>
                <w:rFonts w:ascii="宋体" w:hAnsi="宋体" w:cs="宋体"/>
                <w:color w:val="000000"/>
                <w:sz w:val="24"/>
              </w:rPr>
            </w:pPr>
          </w:p>
        </w:tc>
        <w:tc>
          <w:tcPr>
            <w:tcW w:w="1072" w:type="dxa"/>
            <w:noWrap w:val="0"/>
            <w:vAlign w:val="top"/>
          </w:tcPr>
          <w:p w14:paraId="58F88D37">
            <w:pPr>
              <w:spacing w:line="360" w:lineRule="auto"/>
              <w:jc w:val="center"/>
              <w:rPr>
                <w:rFonts w:ascii="宋体" w:hAnsi="宋体" w:cs="宋体"/>
                <w:color w:val="000000"/>
                <w:sz w:val="24"/>
              </w:rPr>
            </w:pPr>
          </w:p>
        </w:tc>
      </w:tr>
      <w:tr w14:paraId="3C384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96F4203">
            <w:pPr>
              <w:spacing w:line="360" w:lineRule="auto"/>
              <w:jc w:val="center"/>
              <w:rPr>
                <w:rFonts w:ascii="宋体" w:hAnsi="宋体" w:cs="宋体"/>
                <w:color w:val="000000"/>
                <w:sz w:val="24"/>
              </w:rPr>
            </w:pPr>
          </w:p>
        </w:tc>
        <w:tc>
          <w:tcPr>
            <w:tcW w:w="2931" w:type="dxa"/>
            <w:noWrap w:val="0"/>
            <w:vAlign w:val="top"/>
          </w:tcPr>
          <w:p w14:paraId="36FEFCC0">
            <w:pPr>
              <w:spacing w:line="360" w:lineRule="auto"/>
              <w:jc w:val="center"/>
              <w:rPr>
                <w:rFonts w:ascii="宋体" w:hAnsi="宋体" w:cs="宋体"/>
                <w:color w:val="000000"/>
                <w:sz w:val="24"/>
              </w:rPr>
            </w:pPr>
          </w:p>
        </w:tc>
        <w:tc>
          <w:tcPr>
            <w:tcW w:w="3231" w:type="dxa"/>
            <w:noWrap w:val="0"/>
            <w:vAlign w:val="top"/>
          </w:tcPr>
          <w:p w14:paraId="66FCC560">
            <w:pPr>
              <w:spacing w:line="360" w:lineRule="auto"/>
              <w:jc w:val="center"/>
              <w:rPr>
                <w:rFonts w:ascii="宋体" w:hAnsi="宋体" w:cs="宋体"/>
                <w:color w:val="000000"/>
                <w:sz w:val="24"/>
              </w:rPr>
            </w:pPr>
          </w:p>
        </w:tc>
        <w:tc>
          <w:tcPr>
            <w:tcW w:w="807" w:type="dxa"/>
            <w:noWrap w:val="0"/>
            <w:vAlign w:val="top"/>
          </w:tcPr>
          <w:p w14:paraId="6BE959B8">
            <w:pPr>
              <w:spacing w:line="360" w:lineRule="auto"/>
              <w:jc w:val="center"/>
              <w:rPr>
                <w:rFonts w:ascii="宋体" w:hAnsi="宋体" w:cs="宋体"/>
                <w:color w:val="000000"/>
                <w:sz w:val="24"/>
              </w:rPr>
            </w:pPr>
          </w:p>
        </w:tc>
        <w:tc>
          <w:tcPr>
            <w:tcW w:w="1072" w:type="dxa"/>
            <w:noWrap w:val="0"/>
            <w:vAlign w:val="top"/>
          </w:tcPr>
          <w:p w14:paraId="71DF53B3">
            <w:pPr>
              <w:spacing w:line="360" w:lineRule="auto"/>
              <w:jc w:val="center"/>
              <w:rPr>
                <w:rFonts w:ascii="宋体" w:hAnsi="宋体" w:cs="宋体"/>
                <w:color w:val="000000"/>
                <w:sz w:val="24"/>
              </w:rPr>
            </w:pPr>
          </w:p>
        </w:tc>
      </w:tr>
      <w:tr w14:paraId="7150F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86A66A0">
            <w:pPr>
              <w:spacing w:line="360" w:lineRule="auto"/>
              <w:jc w:val="center"/>
              <w:rPr>
                <w:rFonts w:ascii="宋体" w:hAnsi="宋体" w:cs="宋体"/>
                <w:color w:val="000000"/>
                <w:sz w:val="24"/>
              </w:rPr>
            </w:pPr>
          </w:p>
        </w:tc>
        <w:tc>
          <w:tcPr>
            <w:tcW w:w="2931" w:type="dxa"/>
            <w:noWrap w:val="0"/>
            <w:vAlign w:val="top"/>
          </w:tcPr>
          <w:p w14:paraId="3DD33777">
            <w:pPr>
              <w:spacing w:line="360" w:lineRule="auto"/>
              <w:jc w:val="center"/>
              <w:rPr>
                <w:rFonts w:ascii="宋体" w:hAnsi="宋体" w:cs="宋体"/>
                <w:color w:val="000000"/>
                <w:sz w:val="24"/>
              </w:rPr>
            </w:pPr>
          </w:p>
        </w:tc>
        <w:tc>
          <w:tcPr>
            <w:tcW w:w="3231" w:type="dxa"/>
            <w:noWrap w:val="0"/>
            <w:vAlign w:val="top"/>
          </w:tcPr>
          <w:p w14:paraId="101035CF">
            <w:pPr>
              <w:spacing w:line="360" w:lineRule="auto"/>
              <w:jc w:val="center"/>
              <w:rPr>
                <w:rFonts w:ascii="宋体" w:hAnsi="宋体" w:cs="宋体"/>
                <w:color w:val="000000"/>
                <w:sz w:val="24"/>
              </w:rPr>
            </w:pPr>
          </w:p>
        </w:tc>
        <w:tc>
          <w:tcPr>
            <w:tcW w:w="807" w:type="dxa"/>
            <w:noWrap w:val="0"/>
            <w:vAlign w:val="top"/>
          </w:tcPr>
          <w:p w14:paraId="5508E271">
            <w:pPr>
              <w:spacing w:line="360" w:lineRule="auto"/>
              <w:jc w:val="center"/>
              <w:rPr>
                <w:rFonts w:ascii="宋体" w:hAnsi="宋体" w:cs="宋体"/>
                <w:color w:val="000000"/>
                <w:sz w:val="24"/>
              </w:rPr>
            </w:pPr>
          </w:p>
        </w:tc>
        <w:tc>
          <w:tcPr>
            <w:tcW w:w="1072" w:type="dxa"/>
            <w:noWrap w:val="0"/>
            <w:vAlign w:val="top"/>
          </w:tcPr>
          <w:p w14:paraId="0B4C0601">
            <w:pPr>
              <w:spacing w:line="360" w:lineRule="auto"/>
              <w:jc w:val="center"/>
              <w:rPr>
                <w:rFonts w:ascii="宋体" w:hAnsi="宋体" w:cs="宋体"/>
                <w:color w:val="000000"/>
                <w:sz w:val="24"/>
              </w:rPr>
            </w:pPr>
          </w:p>
        </w:tc>
      </w:tr>
      <w:tr w14:paraId="59715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95BD46A">
            <w:pPr>
              <w:spacing w:line="360" w:lineRule="auto"/>
              <w:jc w:val="center"/>
              <w:rPr>
                <w:rFonts w:ascii="宋体" w:hAnsi="宋体" w:cs="宋体"/>
                <w:color w:val="000000"/>
                <w:sz w:val="24"/>
              </w:rPr>
            </w:pPr>
          </w:p>
        </w:tc>
        <w:tc>
          <w:tcPr>
            <w:tcW w:w="2931" w:type="dxa"/>
            <w:noWrap w:val="0"/>
            <w:vAlign w:val="top"/>
          </w:tcPr>
          <w:p w14:paraId="57BC9214">
            <w:pPr>
              <w:spacing w:line="360" w:lineRule="auto"/>
              <w:jc w:val="center"/>
              <w:rPr>
                <w:rFonts w:ascii="宋体" w:hAnsi="宋体" w:cs="宋体"/>
                <w:color w:val="000000"/>
                <w:sz w:val="24"/>
              </w:rPr>
            </w:pPr>
          </w:p>
        </w:tc>
        <w:tc>
          <w:tcPr>
            <w:tcW w:w="3231" w:type="dxa"/>
            <w:noWrap w:val="0"/>
            <w:vAlign w:val="top"/>
          </w:tcPr>
          <w:p w14:paraId="6A10216E">
            <w:pPr>
              <w:spacing w:line="360" w:lineRule="auto"/>
              <w:jc w:val="center"/>
              <w:rPr>
                <w:rFonts w:ascii="宋体" w:hAnsi="宋体" w:cs="宋体"/>
                <w:color w:val="000000"/>
                <w:sz w:val="24"/>
              </w:rPr>
            </w:pPr>
          </w:p>
        </w:tc>
        <w:tc>
          <w:tcPr>
            <w:tcW w:w="807" w:type="dxa"/>
            <w:noWrap w:val="0"/>
            <w:vAlign w:val="top"/>
          </w:tcPr>
          <w:p w14:paraId="1999D37F">
            <w:pPr>
              <w:spacing w:line="360" w:lineRule="auto"/>
              <w:jc w:val="center"/>
              <w:rPr>
                <w:rFonts w:ascii="宋体" w:hAnsi="宋体" w:cs="宋体"/>
                <w:color w:val="000000"/>
                <w:sz w:val="24"/>
              </w:rPr>
            </w:pPr>
          </w:p>
        </w:tc>
        <w:tc>
          <w:tcPr>
            <w:tcW w:w="1072" w:type="dxa"/>
            <w:noWrap w:val="0"/>
            <w:vAlign w:val="top"/>
          </w:tcPr>
          <w:p w14:paraId="0F811177">
            <w:pPr>
              <w:spacing w:line="360" w:lineRule="auto"/>
              <w:jc w:val="center"/>
              <w:rPr>
                <w:rFonts w:ascii="宋体" w:hAnsi="宋体" w:cs="宋体"/>
                <w:color w:val="000000"/>
                <w:sz w:val="24"/>
              </w:rPr>
            </w:pPr>
          </w:p>
        </w:tc>
      </w:tr>
      <w:tr w14:paraId="5A8A4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B42A770">
            <w:pPr>
              <w:spacing w:line="360" w:lineRule="auto"/>
              <w:jc w:val="center"/>
              <w:rPr>
                <w:rFonts w:ascii="宋体" w:hAnsi="宋体" w:cs="宋体"/>
                <w:color w:val="000000"/>
                <w:sz w:val="24"/>
              </w:rPr>
            </w:pPr>
          </w:p>
        </w:tc>
        <w:tc>
          <w:tcPr>
            <w:tcW w:w="2931" w:type="dxa"/>
            <w:noWrap w:val="0"/>
            <w:vAlign w:val="top"/>
          </w:tcPr>
          <w:p w14:paraId="6B187B04">
            <w:pPr>
              <w:spacing w:line="360" w:lineRule="auto"/>
              <w:jc w:val="center"/>
              <w:rPr>
                <w:rFonts w:ascii="宋体" w:hAnsi="宋体" w:cs="宋体"/>
                <w:color w:val="000000"/>
                <w:sz w:val="24"/>
              </w:rPr>
            </w:pPr>
          </w:p>
        </w:tc>
        <w:tc>
          <w:tcPr>
            <w:tcW w:w="3231" w:type="dxa"/>
            <w:noWrap w:val="0"/>
            <w:vAlign w:val="top"/>
          </w:tcPr>
          <w:p w14:paraId="18CD0412">
            <w:pPr>
              <w:spacing w:line="360" w:lineRule="auto"/>
              <w:jc w:val="center"/>
              <w:rPr>
                <w:rFonts w:ascii="宋体" w:hAnsi="宋体" w:cs="宋体"/>
                <w:color w:val="000000"/>
                <w:sz w:val="24"/>
              </w:rPr>
            </w:pPr>
          </w:p>
        </w:tc>
        <w:tc>
          <w:tcPr>
            <w:tcW w:w="807" w:type="dxa"/>
            <w:noWrap w:val="0"/>
            <w:vAlign w:val="top"/>
          </w:tcPr>
          <w:p w14:paraId="6C0B9BBE">
            <w:pPr>
              <w:spacing w:line="360" w:lineRule="auto"/>
              <w:jc w:val="center"/>
              <w:rPr>
                <w:rFonts w:ascii="宋体" w:hAnsi="宋体" w:cs="宋体"/>
                <w:color w:val="000000"/>
                <w:sz w:val="24"/>
              </w:rPr>
            </w:pPr>
          </w:p>
        </w:tc>
        <w:tc>
          <w:tcPr>
            <w:tcW w:w="1072" w:type="dxa"/>
            <w:noWrap w:val="0"/>
            <w:vAlign w:val="top"/>
          </w:tcPr>
          <w:p w14:paraId="77C5A5F0">
            <w:pPr>
              <w:spacing w:line="360" w:lineRule="auto"/>
              <w:jc w:val="center"/>
              <w:rPr>
                <w:rFonts w:ascii="宋体" w:hAnsi="宋体" w:cs="宋体"/>
                <w:color w:val="000000"/>
                <w:sz w:val="24"/>
              </w:rPr>
            </w:pPr>
          </w:p>
        </w:tc>
      </w:tr>
      <w:tr w14:paraId="322F0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97675EA">
            <w:pPr>
              <w:spacing w:line="360" w:lineRule="auto"/>
              <w:jc w:val="center"/>
              <w:rPr>
                <w:rFonts w:ascii="宋体" w:hAnsi="宋体" w:cs="宋体"/>
                <w:color w:val="000000"/>
                <w:sz w:val="24"/>
              </w:rPr>
            </w:pPr>
          </w:p>
        </w:tc>
        <w:tc>
          <w:tcPr>
            <w:tcW w:w="2931" w:type="dxa"/>
            <w:noWrap w:val="0"/>
            <w:vAlign w:val="top"/>
          </w:tcPr>
          <w:p w14:paraId="7C824EFC">
            <w:pPr>
              <w:spacing w:line="360" w:lineRule="auto"/>
              <w:jc w:val="center"/>
              <w:rPr>
                <w:rFonts w:ascii="宋体" w:hAnsi="宋体" w:cs="宋体"/>
                <w:color w:val="000000"/>
                <w:sz w:val="24"/>
              </w:rPr>
            </w:pPr>
          </w:p>
        </w:tc>
        <w:tc>
          <w:tcPr>
            <w:tcW w:w="3231" w:type="dxa"/>
            <w:noWrap w:val="0"/>
            <w:vAlign w:val="top"/>
          </w:tcPr>
          <w:p w14:paraId="4F7F5943">
            <w:pPr>
              <w:spacing w:line="360" w:lineRule="auto"/>
              <w:jc w:val="center"/>
              <w:rPr>
                <w:rFonts w:ascii="宋体" w:hAnsi="宋体" w:cs="宋体"/>
                <w:color w:val="000000"/>
                <w:sz w:val="24"/>
              </w:rPr>
            </w:pPr>
          </w:p>
        </w:tc>
        <w:tc>
          <w:tcPr>
            <w:tcW w:w="807" w:type="dxa"/>
            <w:noWrap w:val="0"/>
            <w:vAlign w:val="top"/>
          </w:tcPr>
          <w:p w14:paraId="14F286C8">
            <w:pPr>
              <w:spacing w:line="360" w:lineRule="auto"/>
              <w:jc w:val="center"/>
              <w:rPr>
                <w:rFonts w:ascii="宋体" w:hAnsi="宋体" w:cs="宋体"/>
                <w:color w:val="000000"/>
                <w:sz w:val="24"/>
              </w:rPr>
            </w:pPr>
          </w:p>
        </w:tc>
        <w:tc>
          <w:tcPr>
            <w:tcW w:w="1072" w:type="dxa"/>
            <w:noWrap w:val="0"/>
            <w:vAlign w:val="top"/>
          </w:tcPr>
          <w:p w14:paraId="3B4AC827">
            <w:pPr>
              <w:spacing w:line="360" w:lineRule="auto"/>
              <w:jc w:val="center"/>
              <w:rPr>
                <w:rFonts w:ascii="宋体" w:hAnsi="宋体" w:cs="宋体"/>
                <w:color w:val="000000"/>
                <w:sz w:val="24"/>
              </w:rPr>
            </w:pPr>
          </w:p>
        </w:tc>
      </w:tr>
      <w:tr w14:paraId="7641B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D362F40">
            <w:pPr>
              <w:spacing w:line="360" w:lineRule="auto"/>
              <w:jc w:val="center"/>
              <w:rPr>
                <w:rFonts w:ascii="宋体" w:hAnsi="宋体" w:cs="宋体"/>
                <w:color w:val="000000"/>
                <w:sz w:val="24"/>
              </w:rPr>
            </w:pPr>
          </w:p>
        </w:tc>
        <w:tc>
          <w:tcPr>
            <w:tcW w:w="2931" w:type="dxa"/>
            <w:noWrap w:val="0"/>
            <w:vAlign w:val="top"/>
          </w:tcPr>
          <w:p w14:paraId="6D018577">
            <w:pPr>
              <w:spacing w:line="360" w:lineRule="auto"/>
              <w:jc w:val="center"/>
              <w:rPr>
                <w:rFonts w:ascii="宋体" w:hAnsi="宋体" w:cs="宋体"/>
                <w:color w:val="000000"/>
                <w:sz w:val="24"/>
              </w:rPr>
            </w:pPr>
          </w:p>
        </w:tc>
        <w:tc>
          <w:tcPr>
            <w:tcW w:w="3231" w:type="dxa"/>
            <w:noWrap w:val="0"/>
            <w:vAlign w:val="top"/>
          </w:tcPr>
          <w:p w14:paraId="5BC95B90">
            <w:pPr>
              <w:spacing w:line="360" w:lineRule="auto"/>
              <w:jc w:val="center"/>
              <w:rPr>
                <w:rFonts w:ascii="宋体" w:hAnsi="宋体" w:cs="宋体"/>
                <w:color w:val="000000"/>
                <w:sz w:val="24"/>
              </w:rPr>
            </w:pPr>
          </w:p>
        </w:tc>
        <w:tc>
          <w:tcPr>
            <w:tcW w:w="807" w:type="dxa"/>
            <w:noWrap w:val="0"/>
            <w:vAlign w:val="top"/>
          </w:tcPr>
          <w:p w14:paraId="6F7B80A8">
            <w:pPr>
              <w:spacing w:line="360" w:lineRule="auto"/>
              <w:jc w:val="center"/>
              <w:rPr>
                <w:rFonts w:ascii="宋体" w:hAnsi="宋体" w:cs="宋体"/>
                <w:color w:val="000000"/>
                <w:sz w:val="24"/>
              </w:rPr>
            </w:pPr>
          </w:p>
        </w:tc>
        <w:tc>
          <w:tcPr>
            <w:tcW w:w="1072" w:type="dxa"/>
            <w:noWrap w:val="0"/>
            <w:vAlign w:val="top"/>
          </w:tcPr>
          <w:p w14:paraId="517B053E">
            <w:pPr>
              <w:spacing w:line="360" w:lineRule="auto"/>
              <w:jc w:val="center"/>
              <w:rPr>
                <w:rFonts w:ascii="宋体" w:hAnsi="宋体" w:cs="宋体"/>
                <w:color w:val="000000"/>
                <w:sz w:val="24"/>
              </w:rPr>
            </w:pPr>
          </w:p>
        </w:tc>
      </w:tr>
      <w:tr w14:paraId="7E380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90FB030">
            <w:pPr>
              <w:spacing w:line="360" w:lineRule="auto"/>
              <w:jc w:val="center"/>
              <w:rPr>
                <w:rFonts w:ascii="宋体" w:hAnsi="宋体" w:cs="宋体"/>
                <w:color w:val="000000"/>
                <w:sz w:val="24"/>
              </w:rPr>
            </w:pPr>
          </w:p>
        </w:tc>
        <w:tc>
          <w:tcPr>
            <w:tcW w:w="2931" w:type="dxa"/>
            <w:noWrap w:val="0"/>
            <w:vAlign w:val="top"/>
          </w:tcPr>
          <w:p w14:paraId="0D5D94E3">
            <w:pPr>
              <w:spacing w:line="360" w:lineRule="auto"/>
              <w:jc w:val="center"/>
              <w:rPr>
                <w:rFonts w:ascii="宋体" w:hAnsi="宋体" w:cs="宋体"/>
                <w:color w:val="000000"/>
                <w:sz w:val="24"/>
              </w:rPr>
            </w:pPr>
          </w:p>
        </w:tc>
        <w:tc>
          <w:tcPr>
            <w:tcW w:w="3231" w:type="dxa"/>
            <w:noWrap w:val="0"/>
            <w:vAlign w:val="top"/>
          </w:tcPr>
          <w:p w14:paraId="6A23D7AD">
            <w:pPr>
              <w:spacing w:line="360" w:lineRule="auto"/>
              <w:jc w:val="center"/>
              <w:rPr>
                <w:rFonts w:ascii="宋体" w:hAnsi="宋体" w:cs="宋体"/>
                <w:color w:val="000000"/>
                <w:sz w:val="24"/>
              </w:rPr>
            </w:pPr>
          </w:p>
        </w:tc>
        <w:tc>
          <w:tcPr>
            <w:tcW w:w="807" w:type="dxa"/>
            <w:noWrap w:val="0"/>
            <w:vAlign w:val="top"/>
          </w:tcPr>
          <w:p w14:paraId="655D58BC">
            <w:pPr>
              <w:spacing w:line="360" w:lineRule="auto"/>
              <w:jc w:val="center"/>
              <w:rPr>
                <w:rFonts w:ascii="宋体" w:hAnsi="宋体" w:cs="宋体"/>
                <w:color w:val="000000"/>
                <w:sz w:val="24"/>
              </w:rPr>
            </w:pPr>
          </w:p>
        </w:tc>
        <w:tc>
          <w:tcPr>
            <w:tcW w:w="1072" w:type="dxa"/>
            <w:noWrap w:val="0"/>
            <w:vAlign w:val="top"/>
          </w:tcPr>
          <w:p w14:paraId="583D6712">
            <w:pPr>
              <w:spacing w:line="360" w:lineRule="auto"/>
              <w:jc w:val="center"/>
              <w:rPr>
                <w:rFonts w:ascii="宋体" w:hAnsi="宋体" w:cs="宋体"/>
                <w:color w:val="000000"/>
                <w:sz w:val="24"/>
              </w:rPr>
            </w:pPr>
          </w:p>
        </w:tc>
      </w:tr>
      <w:tr w14:paraId="5E480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2DD2F88">
            <w:pPr>
              <w:spacing w:line="360" w:lineRule="auto"/>
              <w:jc w:val="center"/>
              <w:rPr>
                <w:rFonts w:ascii="宋体" w:hAnsi="宋体" w:cs="宋体"/>
                <w:color w:val="000000"/>
                <w:sz w:val="24"/>
              </w:rPr>
            </w:pPr>
          </w:p>
        </w:tc>
        <w:tc>
          <w:tcPr>
            <w:tcW w:w="2931" w:type="dxa"/>
            <w:noWrap w:val="0"/>
            <w:vAlign w:val="top"/>
          </w:tcPr>
          <w:p w14:paraId="30B41401">
            <w:pPr>
              <w:spacing w:line="360" w:lineRule="auto"/>
              <w:jc w:val="center"/>
              <w:rPr>
                <w:rFonts w:ascii="宋体" w:hAnsi="宋体" w:cs="宋体"/>
                <w:color w:val="000000"/>
                <w:sz w:val="24"/>
              </w:rPr>
            </w:pPr>
          </w:p>
        </w:tc>
        <w:tc>
          <w:tcPr>
            <w:tcW w:w="3231" w:type="dxa"/>
            <w:noWrap w:val="0"/>
            <w:vAlign w:val="top"/>
          </w:tcPr>
          <w:p w14:paraId="28BD5A51">
            <w:pPr>
              <w:spacing w:line="360" w:lineRule="auto"/>
              <w:jc w:val="center"/>
              <w:rPr>
                <w:rFonts w:ascii="宋体" w:hAnsi="宋体" w:cs="宋体"/>
                <w:color w:val="000000"/>
                <w:sz w:val="24"/>
              </w:rPr>
            </w:pPr>
          </w:p>
        </w:tc>
        <w:tc>
          <w:tcPr>
            <w:tcW w:w="807" w:type="dxa"/>
            <w:noWrap w:val="0"/>
            <w:vAlign w:val="top"/>
          </w:tcPr>
          <w:p w14:paraId="6B8D4AF4">
            <w:pPr>
              <w:spacing w:line="360" w:lineRule="auto"/>
              <w:jc w:val="center"/>
              <w:rPr>
                <w:rFonts w:ascii="宋体" w:hAnsi="宋体" w:cs="宋体"/>
                <w:color w:val="000000"/>
                <w:sz w:val="24"/>
              </w:rPr>
            </w:pPr>
          </w:p>
        </w:tc>
        <w:tc>
          <w:tcPr>
            <w:tcW w:w="1072" w:type="dxa"/>
            <w:noWrap w:val="0"/>
            <w:vAlign w:val="top"/>
          </w:tcPr>
          <w:p w14:paraId="6BC21B80">
            <w:pPr>
              <w:spacing w:line="360" w:lineRule="auto"/>
              <w:jc w:val="center"/>
              <w:rPr>
                <w:rFonts w:ascii="宋体" w:hAnsi="宋体" w:cs="宋体"/>
                <w:color w:val="000000"/>
                <w:sz w:val="24"/>
              </w:rPr>
            </w:pPr>
          </w:p>
        </w:tc>
      </w:tr>
      <w:tr w14:paraId="50A46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70FF693">
            <w:pPr>
              <w:spacing w:line="360" w:lineRule="auto"/>
              <w:jc w:val="center"/>
              <w:rPr>
                <w:rFonts w:ascii="宋体" w:hAnsi="宋体" w:cs="宋体"/>
                <w:color w:val="000000"/>
                <w:sz w:val="24"/>
              </w:rPr>
            </w:pPr>
          </w:p>
        </w:tc>
        <w:tc>
          <w:tcPr>
            <w:tcW w:w="2931" w:type="dxa"/>
            <w:noWrap w:val="0"/>
            <w:vAlign w:val="top"/>
          </w:tcPr>
          <w:p w14:paraId="6672387A">
            <w:pPr>
              <w:spacing w:line="360" w:lineRule="auto"/>
              <w:jc w:val="center"/>
              <w:rPr>
                <w:rFonts w:ascii="宋体" w:hAnsi="宋体" w:cs="宋体"/>
                <w:color w:val="000000"/>
                <w:sz w:val="24"/>
              </w:rPr>
            </w:pPr>
          </w:p>
        </w:tc>
        <w:tc>
          <w:tcPr>
            <w:tcW w:w="3231" w:type="dxa"/>
            <w:noWrap w:val="0"/>
            <w:vAlign w:val="top"/>
          </w:tcPr>
          <w:p w14:paraId="2F672988">
            <w:pPr>
              <w:spacing w:line="360" w:lineRule="auto"/>
              <w:jc w:val="center"/>
              <w:rPr>
                <w:rFonts w:ascii="宋体" w:hAnsi="宋体" w:cs="宋体"/>
                <w:color w:val="000000"/>
                <w:sz w:val="24"/>
              </w:rPr>
            </w:pPr>
          </w:p>
        </w:tc>
        <w:tc>
          <w:tcPr>
            <w:tcW w:w="807" w:type="dxa"/>
            <w:noWrap w:val="0"/>
            <w:vAlign w:val="top"/>
          </w:tcPr>
          <w:p w14:paraId="4F202021">
            <w:pPr>
              <w:spacing w:line="360" w:lineRule="auto"/>
              <w:jc w:val="center"/>
              <w:rPr>
                <w:rFonts w:ascii="宋体" w:hAnsi="宋体" w:cs="宋体"/>
                <w:color w:val="000000"/>
                <w:sz w:val="24"/>
              </w:rPr>
            </w:pPr>
          </w:p>
        </w:tc>
        <w:tc>
          <w:tcPr>
            <w:tcW w:w="1072" w:type="dxa"/>
            <w:noWrap w:val="0"/>
            <w:vAlign w:val="top"/>
          </w:tcPr>
          <w:p w14:paraId="17603EE9">
            <w:pPr>
              <w:spacing w:line="360" w:lineRule="auto"/>
              <w:jc w:val="center"/>
              <w:rPr>
                <w:rFonts w:ascii="宋体" w:hAnsi="宋体" w:cs="宋体"/>
                <w:color w:val="000000"/>
                <w:sz w:val="24"/>
              </w:rPr>
            </w:pPr>
          </w:p>
        </w:tc>
      </w:tr>
      <w:tr w14:paraId="1284F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9928F14">
            <w:pPr>
              <w:spacing w:line="360" w:lineRule="auto"/>
              <w:jc w:val="center"/>
              <w:rPr>
                <w:rFonts w:ascii="宋体" w:hAnsi="宋体" w:cs="宋体"/>
                <w:color w:val="000000"/>
                <w:sz w:val="24"/>
              </w:rPr>
            </w:pPr>
          </w:p>
        </w:tc>
        <w:tc>
          <w:tcPr>
            <w:tcW w:w="2931" w:type="dxa"/>
            <w:noWrap w:val="0"/>
            <w:vAlign w:val="top"/>
          </w:tcPr>
          <w:p w14:paraId="2B0EAB73">
            <w:pPr>
              <w:spacing w:line="360" w:lineRule="auto"/>
              <w:jc w:val="center"/>
              <w:rPr>
                <w:rFonts w:ascii="宋体" w:hAnsi="宋体" w:cs="宋体"/>
                <w:color w:val="000000"/>
                <w:sz w:val="24"/>
              </w:rPr>
            </w:pPr>
          </w:p>
        </w:tc>
        <w:tc>
          <w:tcPr>
            <w:tcW w:w="3231" w:type="dxa"/>
            <w:noWrap w:val="0"/>
            <w:vAlign w:val="top"/>
          </w:tcPr>
          <w:p w14:paraId="46957BA0">
            <w:pPr>
              <w:spacing w:line="360" w:lineRule="auto"/>
              <w:jc w:val="center"/>
              <w:rPr>
                <w:rFonts w:ascii="宋体" w:hAnsi="宋体" w:cs="宋体"/>
                <w:color w:val="000000"/>
                <w:sz w:val="24"/>
              </w:rPr>
            </w:pPr>
          </w:p>
        </w:tc>
        <w:tc>
          <w:tcPr>
            <w:tcW w:w="807" w:type="dxa"/>
            <w:noWrap w:val="0"/>
            <w:vAlign w:val="top"/>
          </w:tcPr>
          <w:p w14:paraId="521CD0BA">
            <w:pPr>
              <w:spacing w:line="360" w:lineRule="auto"/>
              <w:jc w:val="center"/>
              <w:rPr>
                <w:rFonts w:ascii="宋体" w:hAnsi="宋体" w:cs="宋体"/>
                <w:color w:val="000000"/>
                <w:sz w:val="24"/>
              </w:rPr>
            </w:pPr>
          </w:p>
        </w:tc>
        <w:tc>
          <w:tcPr>
            <w:tcW w:w="1072" w:type="dxa"/>
            <w:noWrap w:val="0"/>
            <w:vAlign w:val="top"/>
          </w:tcPr>
          <w:p w14:paraId="381D07E3">
            <w:pPr>
              <w:spacing w:line="360" w:lineRule="auto"/>
              <w:jc w:val="center"/>
              <w:rPr>
                <w:rFonts w:ascii="宋体" w:hAnsi="宋体" w:cs="宋体"/>
                <w:color w:val="000000"/>
                <w:sz w:val="24"/>
              </w:rPr>
            </w:pPr>
          </w:p>
        </w:tc>
      </w:tr>
      <w:tr w14:paraId="2FA80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51017BB">
            <w:pPr>
              <w:spacing w:line="360" w:lineRule="auto"/>
              <w:jc w:val="center"/>
              <w:rPr>
                <w:rFonts w:ascii="宋体" w:hAnsi="宋体" w:cs="宋体"/>
                <w:color w:val="000000"/>
                <w:sz w:val="24"/>
              </w:rPr>
            </w:pPr>
          </w:p>
        </w:tc>
        <w:tc>
          <w:tcPr>
            <w:tcW w:w="2931" w:type="dxa"/>
            <w:noWrap w:val="0"/>
            <w:vAlign w:val="top"/>
          </w:tcPr>
          <w:p w14:paraId="56E7D4A8">
            <w:pPr>
              <w:spacing w:line="360" w:lineRule="auto"/>
              <w:jc w:val="center"/>
              <w:rPr>
                <w:rFonts w:ascii="宋体" w:hAnsi="宋体" w:cs="宋体"/>
                <w:color w:val="000000"/>
                <w:sz w:val="24"/>
              </w:rPr>
            </w:pPr>
          </w:p>
        </w:tc>
        <w:tc>
          <w:tcPr>
            <w:tcW w:w="3231" w:type="dxa"/>
            <w:noWrap w:val="0"/>
            <w:vAlign w:val="top"/>
          </w:tcPr>
          <w:p w14:paraId="6EB5DFD1">
            <w:pPr>
              <w:spacing w:line="360" w:lineRule="auto"/>
              <w:jc w:val="center"/>
              <w:rPr>
                <w:rFonts w:ascii="宋体" w:hAnsi="宋体" w:cs="宋体"/>
                <w:color w:val="000000"/>
                <w:sz w:val="24"/>
              </w:rPr>
            </w:pPr>
          </w:p>
        </w:tc>
        <w:tc>
          <w:tcPr>
            <w:tcW w:w="807" w:type="dxa"/>
            <w:noWrap w:val="0"/>
            <w:vAlign w:val="top"/>
          </w:tcPr>
          <w:p w14:paraId="647524E3">
            <w:pPr>
              <w:spacing w:line="360" w:lineRule="auto"/>
              <w:jc w:val="center"/>
              <w:rPr>
                <w:rFonts w:ascii="宋体" w:hAnsi="宋体" w:cs="宋体"/>
                <w:color w:val="000000"/>
                <w:sz w:val="24"/>
              </w:rPr>
            </w:pPr>
          </w:p>
        </w:tc>
        <w:tc>
          <w:tcPr>
            <w:tcW w:w="1072" w:type="dxa"/>
            <w:noWrap w:val="0"/>
            <w:vAlign w:val="top"/>
          </w:tcPr>
          <w:p w14:paraId="3E6AD3CE">
            <w:pPr>
              <w:spacing w:line="360" w:lineRule="auto"/>
              <w:jc w:val="center"/>
              <w:rPr>
                <w:rFonts w:ascii="宋体" w:hAnsi="宋体" w:cs="宋体"/>
                <w:color w:val="000000"/>
                <w:sz w:val="24"/>
              </w:rPr>
            </w:pPr>
          </w:p>
        </w:tc>
      </w:tr>
    </w:tbl>
    <w:p w14:paraId="5BAB6870">
      <w:pPr>
        <w:spacing w:line="360" w:lineRule="auto"/>
        <w:ind w:right="-161"/>
        <w:rPr>
          <w:rFonts w:ascii="宋体" w:hAnsi="宋体" w:cs="宋体"/>
          <w:color w:val="000000"/>
          <w:sz w:val="24"/>
        </w:rPr>
      </w:pPr>
      <w:r>
        <w:rPr>
          <w:rFonts w:hint="eastAsia" w:ascii="宋体" w:hAnsi="宋体" w:cs="宋体"/>
          <w:color w:val="000000"/>
          <w:sz w:val="24"/>
        </w:rPr>
        <w:t>说明：</w:t>
      </w:r>
    </w:p>
    <w:p w14:paraId="5BFC1E00">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14:paraId="2CF7DE9C">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14:paraId="3E0062AD">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14:paraId="46058199">
      <w:pPr>
        <w:spacing w:line="360" w:lineRule="auto"/>
        <w:ind w:right="-161" w:firstLine="2640" w:firstLineChars="1100"/>
        <w:rPr>
          <w:rFonts w:ascii="宋体" w:hAnsi="宋体" w:cs="宋体"/>
          <w:color w:val="000000"/>
          <w:sz w:val="24"/>
          <w:szCs w:val="24"/>
        </w:rPr>
      </w:pPr>
    </w:p>
    <w:p w14:paraId="26D8067D">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14:paraId="6994F334">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14:paraId="62972B03">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37" w:name="_Toc283240500"/>
      <w:bookmarkStart w:id="338" w:name="_Toc347478750"/>
      <w:bookmarkStart w:id="339" w:name="_Toc312789407"/>
      <w:bookmarkStart w:id="340" w:name="_Toc311415661"/>
      <w:bookmarkStart w:id="341" w:name="_Toc334522295"/>
    </w:p>
    <w:bookmarkEnd w:id="337"/>
    <w:bookmarkEnd w:id="338"/>
    <w:bookmarkEnd w:id="339"/>
    <w:bookmarkEnd w:id="340"/>
    <w:bookmarkEnd w:id="341"/>
    <w:p w14:paraId="2D864211">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42" w:name="_Hlt491765868"/>
      <w:bookmarkEnd w:id="342"/>
      <w:bookmarkStart w:id="343" w:name="_Hlt491765944"/>
      <w:bookmarkEnd w:id="343"/>
      <w:bookmarkStart w:id="344" w:name="_Hlt491572882"/>
      <w:bookmarkEnd w:id="344"/>
      <w:bookmarkStart w:id="345" w:name="_Hlt491766019"/>
      <w:bookmarkEnd w:id="345"/>
      <w:bookmarkStart w:id="346" w:name="_Hlt491573425"/>
      <w:bookmarkEnd w:id="346"/>
      <w:bookmarkStart w:id="347" w:name="_Toc465958135"/>
      <w:bookmarkStart w:id="348" w:name="_Toc19031"/>
      <w:bookmarkStart w:id="349" w:name="_Toc354655332"/>
      <w:bookmarkStart w:id="350" w:name="_Toc10670"/>
      <w:bookmarkStart w:id="351" w:name="_Toc32070"/>
      <w:bookmarkStart w:id="352" w:name="_Toc12278"/>
      <w:bookmarkStart w:id="353" w:name="_Toc17542"/>
      <w:bookmarkStart w:id="354" w:name="_Toc14838"/>
      <w:bookmarkStart w:id="355" w:name="_Toc389620250"/>
      <w:bookmarkStart w:id="356" w:name="_Toc385992410"/>
    </w:p>
    <w:p w14:paraId="7F76EAA3">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六</w:t>
      </w:r>
      <w:r>
        <w:rPr>
          <w:rFonts w:hint="eastAsia" w:ascii="宋体" w:hAnsi="宋体" w:eastAsia="宋体" w:cs="宋体"/>
          <w:color w:val="000000"/>
          <w:szCs w:val="22"/>
        </w:rPr>
        <w:t>、法定代表人证明书及法定代表人授权委托书</w:t>
      </w:r>
    </w:p>
    <w:p w14:paraId="6C13DB0A">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.1法定代表人证明书</w:t>
      </w:r>
    </w:p>
    <w:tbl>
      <w:tblPr>
        <w:tblStyle w:val="22"/>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14:paraId="1CF4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540" w:type="dxa"/>
            <w:gridSpan w:val="6"/>
            <w:noWrap w:val="0"/>
            <w:vAlign w:val="center"/>
          </w:tcPr>
          <w:p w14:paraId="7ACDDBDB">
            <w:pPr>
              <w:spacing w:line="360" w:lineRule="auto"/>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宋体"/>
                <w:sz w:val="24"/>
                <w:lang w:val="en-US" w:eastAsia="zh-CN"/>
              </w:rPr>
              <w:t>榆林市文化和旅游局</w:t>
            </w:r>
          </w:p>
        </w:tc>
      </w:tr>
      <w:tr w14:paraId="1795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22F7480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5F97FE96">
            <w:pPr>
              <w:tabs>
                <w:tab w:val="left" w:pos="210"/>
              </w:tabs>
              <w:spacing w:line="320" w:lineRule="exact"/>
              <w:jc w:val="center"/>
              <w:rPr>
                <w:rFonts w:ascii="宋体" w:hAnsi="宋体" w:cs="Arial"/>
                <w:color w:val="000000"/>
                <w:kern w:val="0"/>
                <w:sz w:val="24"/>
              </w:rPr>
            </w:pPr>
          </w:p>
          <w:p w14:paraId="216A55B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4625E2EF">
            <w:pPr>
              <w:tabs>
                <w:tab w:val="left" w:pos="210"/>
              </w:tabs>
              <w:spacing w:line="320" w:lineRule="exact"/>
              <w:jc w:val="center"/>
              <w:rPr>
                <w:rFonts w:ascii="宋体" w:hAnsi="宋体" w:cs="Arial"/>
                <w:color w:val="000000"/>
                <w:kern w:val="0"/>
                <w:sz w:val="24"/>
              </w:rPr>
            </w:pPr>
          </w:p>
          <w:p w14:paraId="50B08CAC">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1DE24E98">
            <w:pPr>
              <w:tabs>
                <w:tab w:val="left" w:pos="210"/>
              </w:tabs>
              <w:spacing w:line="320" w:lineRule="exact"/>
              <w:jc w:val="center"/>
              <w:rPr>
                <w:rFonts w:ascii="宋体" w:hAnsi="宋体" w:cs="Arial"/>
                <w:color w:val="000000"/>
                <w:kern w:val="0"/>
                <w:sz w:val="24"/>
              </w:rPr>
            </w:pPr>
          </w:p>
          <w:p w14:paraId="7BD90E9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14:paraId="521E69B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14:paraId="029BEE69">
            <w:pPr>
              <w:tabs>
                <w:tab w:val="left" w:pos="210"/>
              </w:tabs>
              <w:spacing w:line="320" w:lineRule="exact"/>
              <w:jc w:val="center"/>
              <w:rPr>
                <w:rFonts w:ascii="宋体" w:hAnsi="宋体" w:cs="Arial"/>
                <w:color w:val="000000"/>
                <w:kern w:val="0"/>
                <w:sz w:val="24"/>
              </w:rPr>
            </w:pPr>
          </w:p>
        </w:tc>
      </w:tr>
      <w:tr w14:paraId="2264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2541A355">
            <w:pPr>
              <w:tabs>
                <w:tab w:val="left" w:pos="210"/>
              </w:tabs>
              <w:spacing w:line="320" w:lineRule="exact"/>
              <w:jc w:val="center"/>
              <w:rPr>
                <w:rFonts w:ascii="宋体" w:hAnsi="宋体" w:cs="Arial"/>
                <w:color w:val="000000"/>
                <w:kern w:val="0"/>
                <w:sz w:val="24"/>
              </w:rPr>
            </w:pPr>
          </w:p>
        </w:tc>
        <w:tc>
          <w:tcPr>
            <w:tcW w:w="2207" w:type="dxa"/>
            <w:noWrap w:val="0"/>
            <w:vAlign w:val="center"/>
          </w:tcPr>
          <w:p w14:paraId="7F2B9371">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14:paraId="15F3AE32">
            <w:pPr>
              <w:tabs>
                <w:tab w:val="left" w:pos="210"/>
              </w:tabs>
              <w:spacing w:line="320" w:lineRule="exact"/>
              <w:jc w:val="center"/>
              <w:rPr>
                <w:rFonts w:ascii="宋体" w:hAnsi="宋体" w:cs="Arial"/>
                <w:color w:val="000000"/>
                <w:kern w:val="0"/>
                <w:sz w:val="24"/>
              </w:rPr>
            </w:pPr>
          </w:p>
        </w:tc>
      </w:tr>
      <w:tr w14:paraId="2EE7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6D93A899">
            <w:pPr>
              <w:tabs>
                <w:tab w:val="left" w:pos="210"/>
              </w:tabs>
              <w:spacing w:line="320" w:lineRule="exact"/>
              <w:jc w:val="center"/>
              <w:rPr>
                <w:rFonts w:ascii="宋体" w:hAnsi="宋体" w:cs="Arial"/>
                <w:color w:val="000000"/>
                <w:kern w:val="0"/>
                <w:sz w:val="24"/>
              </w:rPr>
            </w:pPr>
          </w:p>
        </w:tc>
        <w:tc>
          <w:tcPr>
            <w:tcW w:w="2207" w:type="dxa"/>
            <w:noWrap w:val="0"/>
            <w:vAlign w:val="center"/>
          </w:tcPr>
          <w:p w14:paraId="5BF56D8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14:paraId="0AED32F7">
            <w:pPr>
              <w:tabs>
                <w:tab w:val="left" w:pos="210"/>
              </w:tabs>
              <w:spacing w:line="320" w:lineRule="exact"/>
              <w:jc w:val="center"/>
              <w:rPr>
                <w:rFonts w:ascii="宋体" w:hAnsi="宋体" w:cs="Arial"/>
                <w:color w:val="000000"/>
                <w:kern w:val="0"/>
                <w:sz w:val="24"/>
              </w:rPr>
            </w:pPr>
          </w:p>
        </w:tc>
      </w:tr>
      <w:tr w14:paraId="564F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1FA3C0A8">
            <w:pPr>
              <w:tabs>
                <w:tab w:val="left" w:pos="210"/>
              </w:tabs>
              <w:spacing w:line="320" w:lineRule="exact"/>
              <w:jc w:val="center"/>
              <w:rPr>
                <w:rFonts w:ascii="宋体" w:hAnsi="宋体" w:cs="Arial"/>
                <w:color w:val="000000"/>
                <w:kern w:val="0"/>
                <w:sz w:val="24"/>
              </w:rPr>
            </w:pPr>
          </w:p>
        </w:tc>
        <w:tc>
          <w:tcPr>
            <w:tcW w:w="2207" w:type="dxa"/>
            <w:noWrap w:val="0"/>
            <w:vAlign w:val="center"/>
          </w:tcPr>
          <w:p w14:paraId="0CBA781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14:paraId="328B1A2A">
            <w:pPr>
              <w:tabs>
                <w:tab w:val="left" w:pos="210"/>
              </w:tabs>
              <w:spacing w:line="320" w:lineRule="exact"/>
              <w:jc w:val="center"/>
              <w:rPr>
                <w:rFonts w:ascii="宋体" w:hAnsi="宋体" w:cs="Arial"/>
                <w:color w:val="000000"/>
                <w:kern w:val="0"/>
                <w:sz w:val="24"/>
              </w:rPr>
            </w:pPr>
          </w:p>
        </w:tc>
      </w:tr>
      <w:tr w14:paraId="0AEA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14:paraId="70A153F6">
            <w:pPr>
              <w:tabs>
                <w:tab w:val="left" w:pos="210"/>
              </w:tabs>
              <w:spacing w:line="320" w:lineRule="exact"/>
              <w:jc w:val="center"/>
              <w:rPr>
                <w:rFonts w:ascii="宋体" w:hAnsi="宋体" w:cs="Arial"/>
                <w:color w:val="000000"/>
                <w:kern w:val="0"/>
                <w:sz w:val="24"/>
              </w:rPr>
            </w:pPr>
          </w:p>
        </w:tc>
        <w:tc>
          <w:tcPr>
            <w:tcW w:w="2207" w:type="dxa"/>
            <w:noWrap w:val="0"/>
            <w:vAlign w:val="center"/>
          </w:tcPr>
          <w:p w14:paraId="1086B21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14:paraId="2708789A">
            <w:pPr>
              <w:tabs>
                <w:tab w:val="left" w:pos="210"/>
              </w:tabs>
              <w:spacing w:line="320" w:lineRule="exact"/>
              <w:jc w:val="center"/>
              <w:rPr>
                <w:rFonts w:ascii="宋体" w:hAnsi="宋体" w:cs="Arial"/>
                <w:color w:val="000000"/>
                <w:kern w:val="0"/>
                <w:sz w:val="24"/>
              </w:rPr>
            </w:pPr>
          </w:p>
        </w:tc>
      </w:tr>
      <w:tr w14:paraId="4447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3FC4F806">
            <w:pPr>
              <w:tabs>
                <w:tab w:val="left" w:pos="210"/>
              </w:tabs>
              <w:spacing w:line="320" w:lineRule="exact"/>
              <w:jc w:val="center"/>
              <w:rPr>
                <w:rFonts w:ascii="宋体" w:hAnsi="宋体" w:cs="Arial"/>
                <w:color w:val="000000"/>
                <w:kern w:val="0"/>
                <w:sz w:val="24"/>
              </w:rPr>
            </w:pPr>
          </w:p>
        </w:tc>
        <w:tc>
          <w:tcPr>
            <w:tcW w:w="2207" w:type="dxa"/>
            <w:noWrap w:val="0"/>
            <w:vAlign w:val="center"/>
          </w:tcPr>
          <w:p w14:paraId="3E764BE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14:paraId="1C08F3A4">
            <w:pPr>
              <w:tabs>
                <w:tab w:val="left" w:pos="210"/>
              </w:tabs>
              <w:spacing w:line="320" w:lineRule="exact"/>
              <w:jc w:val="center"/>
              <w:rPr>
                <w:rFonts w:ascii="宋体" w:hAnsi="宋体" w:cs="Arial"/>
                <w:color w:val="000000"/>
                <w:kern w:val="0"/>
                <w:sz w:val="24"/>
              </w:rPr>
            </w:pPr>
          </w:p>
        </w:tc>
      </w:tr>
      <w:tr w14:paraId="3C8B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3B00CC5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14:paraId="07519A5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14:paraId="7430D4BA">
            <w:pPr>
              <w:tabs>
                <w:tab w:val="left" w:pos="210"/>
              </w:tabs>
              <w:spacing w:line="320" w:lineRule="exact"/>
              <w:jc w:val="center"/>
              <w:rPr>
                <w:rFonts w:ascii="宋体" w:hAnsi="宋体" w:cs="Arial"/>
                <w:color w:val="000000"/>
                <w:kern w:val="0"/>
                <w:sz w:val="24"/>
              </w:rPr>
            </w:pPr>
          </w:p>
        </w:tc>
        <w:tc>
          <w:tcPr>
            <w:tcW w:w="2203" w:type="dxa"/>
            <w:noWrap w:val="0"/>
            <w:vAlign w:val="center"/>
          </w:tcPr>
          <w:p w14:paraId="045A7DF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14:paraId="0DDF81A9">
            <w:pPr>
              <w:tabs>
                <w:tab w:val="left" w:pos="210"/>
              </w:tabs>
              <w:spacing w:line="320" w:lineRule="exact"/>
              <w:jc w:val="center"/>
              <w:rPr>
                <w:rFonts w:ascii="宋体" w:hAnsi="宋体" w:cs="Arial"/>
                <w:color w:val="000000"/>
                <w:kern w:val="0"/>
                <w:sz w:val="24"/>
              </w:rPr>
            </w:pPr>
          </w:p>
        </w:tc>
      </w:tr>
      <w:tr w14:paraId="43D9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07E18AB3">
            <w:pPr>
              <w:tabs>
                <w:tab w:val="left" w:pos="210"/>
              </w:tabs>
              <w:spacing w:line="320" w:lineRule="exact"/>
              <w:jc w:val="center"/>
              <w:rPr>
                <w:rFonts w:ascii="宋体" w:hAnsi="宋体" w:cs="Arial"/>
                <w:color w:val="000000"/>
                <w:kern w:val="0"/>
                <w:sz w:val="24"/>
              </w:rPr>
            </w:pPr>
          </w:p>
        </w:tc>
        <w:tc>
          <w:tcPr>
            <w:tcW w:w="2207" w:type="dxa"/>
            <w:noWrap w:val="0"/>
            <w:vAlign w:val="center"/>
          </w:tcPr>
          <w:p w14:paraId="488AE5AF">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14:paraId="1AC3511E">
            <w:pPr>
              <w:tabs>
                <w:tab w:val="left" w:pos="210"/>
              </w:tabs>
              <w:spacing w:line="320" w:lineRule="exact"/>
              <w:jc w:val="center"/>
              <w:rPr>
                <w:rFonts w:ascii="宋体" w:hAnsi="宋体" w:cs="Arial"/>
                <w:color w:val="000000"/>
                <w:kern w:val="0"/>
                <w:sz w:val="24"/>
              </w:rPr>
            </w:pPr>
          </w:p>
        </w:tc>
        <w:tc>
          <w:tcPr>
            <w:tcW w:w="2203" w:type="dxa"/>
            <w:noWrap w:val="0"/>
            <w:vAlign w:val="center"/>
          </w:tcPr>
          <w:p w14:paraId="1853A24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14:paraId="55AE428B">
            <w:pPr>
              <w:tabs>
                <w:tab w:val="left" w:pos="210"/>
              </w:tabs>
              <w:spacing w:line="320" w:lineRule="exact"/>
              <w:jc w:val="center"/>
              <w:rPr>
                <w:rFonts w:ascii="宋体" w:hAnsi="宋体" w:cs="Arial"/>
                <w:color w:val="000000"/>
                <w:kern w:val="0"/>
                <w:sz w:val="24"/>
              </w:rPr>
            </w:pPr>
          </w:p>
        </w:tc>
      </w:tr>
      <w:tr w14:paraId="2D03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46DFDA75">
            <w:pPr>
              <w:tabs>
                <w:tab w:val="left" w:pos="210"/>
              </w:tabs>
              <w:spacing w:line="320" w:lineRule="exact"/>
              <w:jc w:val="center"/>
              <w:rPr>
                <w:rFonts w:ascii="宋体" w:hAnsi="宋体" w:cs="Arial"/>
                <w:color w:val="000000"/>
                <w:kern w:val="0"/>
                <w:sz w:val="24"/>
              </w:rPr>
            </w:pPr>
          </w:p>
        </w:tc>
        <w:tc>
          <w:tcPr>
            <w:tcW w:w="2207" w:type="dxa"/>
            <w:noWrap w:val="0"/>
            <w:vAlign w:val="center"/>
          </w:tcPr>
          <w:p w14:paraId="40C87CF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14:paraId="2FF160D8">
            <w:pPr>
              <w:tabs>
                <w:tab w:val="left" w:pos="210"/>
              </w:tabs>
              <w:spacing w:line="320" w:lineRule="exact"/>
              <w:jc w:val="center"/>
              <w:rPr>
                <w:rFonts w:ascii="宋体" w:hAnsi="宋体" w:cs="Arial"/>
                <w:color w:val="000000"/>
                <w:kern w:val="0"/>
                <w:sz w:val="24"/>
              </w:rPr>
            </w:pPr>
          </w:p>
        </w:tc>
      </w:tr>
      <w:tr w14:paraId="689C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14:paraId="029C350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14:paraId="64A5F328">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7851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14:paraId="3C8B686F">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14:paraId="35A0832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08B07954">
            <w:pPr>
              <w:tabs>
                <w:tab w:val="left" w:pos="210"/>
              </w:tabs>
              <w:spacing w:line="320" w:lineRule="exact"/>
              <w:jc w:val="center"/>
              <w:rPr>
                <w:rFonts w:ascii="宋体" w:hAnsi="宋体" w:cs="Arial"/>
                <w:color w:val="000000"/>
                <w:kern w:val="0"/>
                <w:sz w:val="24"/>
              </w:rPr>
            </w:pPr>
          </w:p>
          <w:p w14:paraId="562F7ABD">
            <w:pPr>
              <w:tabs>
                <w:tab w:val="left" w:pos="210"/>
              </w:tabs>
              <w:spacing w:line="320" w:lineRule="exact"/>
              <w:jc w:val="center"/>
              <w:rPr>
                <w:rFonts w:ascii="宋体" w:hAnsi="宋体" w:cs="Arial"/>
                <w:color w:val="000000"/>
                <w:kern w:val="0"/>
                <w:sz w:val="24"/>
              </w:rPr>
            </w:pPr>
          </w:p>
          <w:p w14:paraId="0562665C">
            <w:pPr>
              <w:tabs>
                <w:tab w:val="left" w:pos="210"/>
              </w:tabs>
              <w:spacing w:line="320" w:lineRule="exact"/>
              <w:jc w:val="center"/>
              <w:rPr>
                <w:rFonts w:ascii="宋体" w:hAnsi="宋体" w:cs="Arial"/>
                <w:color w:val="000000"/>
                <w:kern w:val="0"/>
                <w:sz w:val="24"/>
              </w:rPr>
            </w:pPr>
          </w:p>
          <w:p w14:paraId="615CAB73">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14:paraId="763D51FA">
      <w:pPr>
        <w:pStyle w:val="4"/>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.2法定代表人授权委托书</w:t>
      </w:r>
    </w:p>
    <w:p w14:paraId="7B2A68E4">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699626BD">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5132058E">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57" w:name="_Toc12419"/>
      <w:bookmarkStart w:id="358" w:name="_Toc17538"/>
      <w:bookmarkStart w:id="359" w:name="_Toc3685"/>
      <w:bookmarkStart w:id="360" w:name="_Toc26509"/>
      <w:r>
        <w:rPr>
          <w:rFonts w:hint="eastAsia" w:ascii="宋体" w:hAnsi="宋体" w:cs="宋体"/>
          <w:color w:val="000000"/>
          <w:sz w:val="24"/>
          <w:szCs w:val="24"/>
        </w:rPr>
        <w:t>附：法定代表人、被授权人身份证复印件。（注：如使用二代身份证需复印正、反两面）</w:t>
      </w:r>
      <w:bookmarkEnd w:id="357"/>
      <w:bookmarkEnd w:id="358"/>
      <w:bookmarkEnd w:id="359"/>
      <w:bookmarkEnd w:id="360"/>
    </w:p>
    <w:tbl>
      <w:tblPr>
        <w:tblStyle w:val="22"/>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14:paraId="2814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743FBBD1">
            <w:pPr>
              <w:spacing w:line="360" w:lineRule="auto"/>
              <w:jc w:val="center"/>
              <w:rPr>
                <w:rFonts w:ascii="宋体" w:hAnsi="宋体" w:cs="宋体"/>
                <w:color w:val="000000"/>
                <w:sz w:val="24"/>
                <w:szCs w:val="24"/>
              </w:rPr>
            </w:pPr>
          </w:p>
          <w:p w14:paraId="5156BCF6">
            <w:pPr>
              <w:spacing w:line="360" w:lineRule="auto"/>
              <w:jc w:val="center"/>
              <w:outlineLvl w:val="0"/>
              <w:rPr>
                <w:rFonts w:ascii="宋体" w:hAnsi="宋体" w:cs="宋体"/>
                <w:color w:val="000000"/>
                <w:sz w:val="24"/>
                <w:szCs w:val="24"/>
              </w:rPr>
            </w:pPr>
            <w:bookmarkStart w:id="361" w:name="_Toc12606"/>
            <w:bookmarkStart w:id="362" w:name="_Toc19741"/>
            <w:bookmarkStart w:id="363" w:name="_Toc3175"/>
            <w:bookmarkStart w:id="364" w:name="_Toc5583"/>
            <w:r>
              <w:rPr>
                <w:rFonts w:hint="eastAsia" w:ascii="宋体" w:hAnsi="宋体" w:cs="宋体"/>
                <w:color w:val="000000"/>
                <w:sz w:val="24"/>
                <w:szCs w:val="24"/>
              </w:rPr>
              <w:t>法定代表人身份证复印件</w:t>
            </w:r>
            <w:bookmarkEnd w:id="361"/>
            <w:bookmarkEnd w:id="362"/>
            <w:bookmarkEnd w:id="363"/>
            <w:bookmarkEnd w:id="364"/>
          </w:p>
          <w:p w14:paraId="648CB411">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14:paraId="587BDBD9">
            <w:pPr>
              <w:spacing w:line="360" w:lineRule="auto"/>
              <w:jc w:val="center"/>
              <w:outlineLvl w:val="0"/>
              <w:rPr>
                <w:rFonts w:ascii="宋体" w:hAnsi="宋体" w:cs="宋体"/>
                <w:color w:val="000000"/>
                <w:sz w:val="24"/>
                <w:szCs w:val="24"/>
              </w:rPr>
            </w:pPr>
            <w:bookmarkStart w:id="365" w:name="_Toc28825"/>
            <w:bookmarkStart w:id="366" w:name="_Toc2151"/>
            <w:bookmarkStart w:id="367" w:name="_Toc31188"/>
            <w:bookmarkStart w:id="368" w:name="_Toc14341"/>
            <w:r>
              <w:rPr>
                <w:rFonts w:hint="eastAsia" w:ascii="宋体" w:hAnsi="宋体" w:cs="宋体"/>
                <w:color w:val="000000"/>
                <w:sz w:val="24"/>
                <w:szCs w:val="24"/>
              </w:rPr>
              <w:t>被授权人身份证复印件</w:t>
            </w:r>
            <w:bookmarkEnd w:id="365"/>
            <w:bookmarkEnd w:id="366"/>
            <w:bookmarkEnd w:id="367"/>
            <w:bookmarkEnd w:id="368"/>
          </w:p>
          <w:p w14:paraId="0F819A89">
            <w:pPr>
              <w:spacing w:line="360" w:lineRule="auto"/>
              <w:jc w:val="center"/>
              <w:outlineLvl w:val="0"/>
              <w:rPr>
                <w:rFonts w:ascii="宋体" w:hAnsi="宋体" w:cs="宋体"/>
                <w:color w:val="000000"/>
                <w:sz w:val="24"/>
                <w:szCs w:val="24"/>
              </w:rPr>
            </w:pPr>
          </w:p>
        </w:tc>
      </w:tr>
      <w:tr w14:paraId="0F7E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2F93F21E">
            <w:pPr>
              <w:spacing w:line="360" w:lineRule="auto"/>
              <w:jc w:val="center"/>
              <w:outlineLvl w:val="0"/>
              <w:rPr>
                <w:rFonts w:ascii="宋体" w:hAnsi="宋体" w:cs="宋体"/>
                <w:color w:val="000000"/>
                <w:sz w:val="24"/>
                <w:szCs w:val="24"/>
              </w:rPr>
            </w:pPr>
            <w:bookmarkStart w:id="369" w:name="_Toc28695"/>
            <w:bookmarkStart w:id="370" w:name="_Toc14312"/>
            <w:bookmarkStart w:id="371" w:name="_Toc12477"/>
            <w:bookmarkStart w:id="372" w:name="_Toc28549"/>
            <w:r>
              <w:rPr>
                <w:rFonts w:hint="eastAsia" w:ascii="宋体" w:hAnsi="宋体" w:cs="宋体"/>
                <w:color w:val="000000"/>
                <w:sz w:val="24"/>
                <w:szCs w:val="24"/>
              </w:rPr>
              <w:t>法定代表人身份证复印件</w:t>
            </w:r>
            <w:bookmarkEnd w:id="369"/>
            <w:bookmarkEnd w:id="370"/>
            <w:bookmarkEnd w:id="371"/>
            <w:bookmarkEnd w:id="372"/>
          </w:p>
          <w:p w14:paraId="51A5C829">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14:paraId="05E823B8">
            <w:pPr>
              <w:spacing w:line="360" w:lineRule="auto"/>
              <w:jc w:val="center"/>
              <w:outlineLvl w:val="0"/>
              <w:rPr>
                <w:rFonts w:ascii="宋体" w:hAnsi="宋体" w:cs="宋体"/>
                <w:color w:val="000000"/>
                <w:sz w:val="24"/>
                <w:szCs w:val="24"/>
              </w:rPr>
            </w:pPr>
            <w:bookmarkStart w:id="373" w:name="_Toc17870"/>
            <w:bookmarkStart w:id="374" w:name="_Toc7697"/>
            <w:bookmarkStart w:id="375" w:name="_Toc5386"/>
            <w:bookmarkStart w:id="376" w:name="_Toc17968"/>
            <w:r>
              <w:rPr>
                <w:rFonts w:hint="eastAsia" w:ascii="宋体" w:hAnsi="宋体" w:cs="宋体"/>
                <w:color w:val="000000"/>
                <w:sz w:val="24"/>
                <w:szCs w:val="24"/>
              </w:rPr>
              <w:t>被授权人身份证复印件</w:t>
            </w:r>
            <w:bookmarkEnd w:id="373"/>
            <w:bookmarkEnd w:id="374"/>
            <w:bookmarkEnd w:id="375"/>
            <w:bookmarkEnd w:id="376"/>
          </w:p>
          <w:p w14:paraId="5F25C4D8">
            <w:pPr>
              <w:spacing w:line="360" w:lineRule="auto"/>
              <w:jc w:val="center"/>
              <w:outlineLvl w:val="0"/>
              <w:rPr>
                <w:rFonts w:ascii="宋体" w:hAnsi="宋体" w:cs="宋体"/>
                <w:color w:val="000000"/>
                <w:sz w:val="24"/>
                <w:szCs w:val="24"/>
              </w:rPr>
            </w:pPr>
          </w:p>
        </w:tc>
      </w:tr>
    </w:tbl>
    <w:p w14:paraId="3BD90CEE">
      <w:pPr>
        <w:spacing w:line="360" w:lineRule="auto"/>
        <w:ind w:firstLine="3360" w:firstLineChars="1400"/>
        <w:rPr>
          <w:rFonts w:hint="eastAsia" w:ascii="宋体" w:hAnsi="宋体" w:cs="宋体"/>
          <w:color w:val="000000"/>
          <w:sz w:val="24"/>
          <w:szCs w:val="24"/>
        </w:rPr>
      </w:pPr>
    </w:p>
    <w:p w14:paraId="4A7486D7">
      <w:pPr>
        <w:spacing w:line="360" w:lineRule="auto"/>
        <w:ind w:firstLine="3360" w:firstLineChars="1400"/>
        <w:rPr>
          <w:rFonts w:hint="eastAsia" w:ascii="宋体" w:hAnsi="宋体" w:cs="宋体"/>
          <w:color w:val="000000"/>
          <w:sz w:val="24"/>
          <w:szCs w:val="24"/>
        </w:rPr>
      </w:pPr>
    </w:p>
    <w:p w14:paraId="73DF01D6">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187851E7">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14:paraId="3A53B942">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47"/>
    <w:bookmarkEnd w:id="348"/>
    <w:bookmarkEnd w:id="349"/>
    <w:bookmarkEnd w:id="350"/>
    <w:bookmarkEnd w:id="351"/>
    <w:bookmarkEnd w:id="352"/>
    <w:bookmarkEnd w:id="353"/>
    <w:bookmarkEnd w:id="354"/>
    <w:p w14:paraId="78C0A249">
      <w:pPr>
        <w:pStyle w:val="12"/>
        <w:spacing w:line="360" w:lineRule="auto"/>
        <w:rPr>
          <w:rFonts w:hint="default" w:ascii="Times New Roman" w:hAnsi="Times New Roman"/>
        </w:rPr>
      </w:pPr>
      <w:bookmarkStart w:id="377" w:name="_Toc26762"/>
      <w:bookmarkStart w:id="378" w:name="_Toc465958138"/>
      <w:bookmarkStart w:id="379" w:name="_Toc246928973"/>
    </w:p>
    <w:bookmarkEnd w:id="355"/>
    <w:bookmarkEnd w:id="356"/>
    <w:bookmarkEnd w:id="377"/>
    <w:bookmarkEnd w:id="378"/>
    <w:bookmarkEnd w:id="379"/>
    <w:p w14:paraId="410F7079">
      <w:pPr>
        <w:pStyle w:val="3"/>
        <w:numPr>
          <w:ilvl w:val="0"/>
          <w:numId w:val="0"/>
        </w:numPr>
        <w:spacing w:line="240" w:lineRule="auto"/>
        <w:jc w:val="center"/>
        <w:rPr>
          <w:rFonts w:hint="eastAsia" w:ascii="宋体" w:hAnsi="宋体" w:cs="宋体"/>
          <w:bCs w:val="0"/>
          <w:sz w:val="32"/>
          <w:szCs w:val="32"/>
        </w:rPr>
      </w:pPr>
      <w:bookmarkStart w:id="380" w:name="_Toc31861"/>
      <w:bookmarkStart w:id="381" w:name="_Toc25170"/>
      <w:bookmarkStart w:id="382" w:name="_Hlk17733230"/>
      <w:r>
        <w:rPr>
          <w:rFonts w:hint="eastAsia" w:ascii="宋体" w:hAnsi="宋体" w:cs="宋体"/>
          <w:bCs w:val="0"/>
          <w:sz w:val="32"/>
          <w:szCs w:val="32"/>
          <w:lang w:val="en-US" w:eastAsia="zh-CN"/>
        </w:rPr>
        <w:t>七、</w:t>
      </w:r>
      <w:r>
        <w:rPr>
          <w:rFonts w:hint="eastAsia" w:ascii="宋体" w:hAnsi="宋体" w:cs="宋体"/>
          <w:bCs w:val="0"/>
          <w:sz w:val="32"/>
          <w:szCs w:val="32"/>
        </w:rPr>
        <w:t>信用中国陕西榆林承诺申报截图</w:t>
      </w:r>
      <w:bookmarkEnd w:id="380"/>
      <w:bookmarkEnd w:id="381"/>
    </w:p>
    <w:p w14:paraId="7A6255A8">
      <w:pPr>
        <w:widowControl w:val="0"/>
        <w:numPr>
          <w:ilvl w:val="0"/>
          <w:numId w:val="0"/>
        </w:numPr>
        <w:jc w:val="both"/>
        <w:rPr>
          <w:rFonts w:hint="eastAsia"/>
        </w:rPr>
      </w:pPr>
    </w:p>
    <w:p w14:paraId="06E20BA5">
      <w:pPr>
        <w:pStyle w:val="163"/>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82"/>
    <w:p w14:paraId="3A7BF80D">
      <w:pPr>
        <w:pStyle w:val="3"/>
        <w:jc w:val="center"/>
        <w:rPr>
          <w:rFonts w:hint="eastAsia"/>
          <w:b/>
          <w:bCs/>
          <w:sz w:val="28"/>
          <w:szCs w:val="28"/>
        </w:rPr>
      </w:pPr>
      <w:r>
        <w:rPr>
          <w:rFonts w:hint="eastAsia"/>
          <w:sz w:val="36"/>
          <w:szCs w:val="16"/>
          <w:lang w:val="en-US" w:eastAsia="zh-CN"/>
        </w:rPr>
        <w:t>八</w:t>
      </w:r>
      <w:r>
        <w:rPr>
          <w:rFonts w:hint="eastAsia"/>
          <w:sz w:val="36"/>
          <w:szCs w:val="16"/>
          <w:lang w:eastAsia="zh-CN"/>
        </w:rPr>
        <w:t>、</w:t>
      </w:r>
      <w:r>
        <w:rPr>
          <w:rFonts w:hint="eastAsia"/>
          <w:sz w:val="36"/>
          <w:szCs w:val="16"/>
        </w:rPr>
        <w:t>附件</w:t>
      </w:r>
    </w:p>
    <w:p w14:paraId="22A9B0D7">
      <w:pPr>
        <w:spacing w:line="360" w:lineRule="auto"/>
        <w:jc w:val="center"/>
        <w:rPr>
          <w:rFonts w:hint="eastAsia" w:ascii="宋体" w:hAnsi="宋体" w:cs="宋体"/>
          <w:b/>
          <w:bCs/>
          <w:color w:val="auto"/>
          <w:sz w:val="32"/>
          <w:szCs w:val="32"/>
        </w:rPr>
      </w:pPr>
      <w:r>
        <w:rPr>
          <w:rFonts w:hint="eastAsia"/>
          <w:b/>
          <w:bCs/>
          <w:sz w:val="28"/>
          <w:szCs w:val="28"/>
        </w:rPr>
        <w:t>（投标人须在开标前将附件1、附件2、附件3</w:t>
      </w:r>
      <w:r>
        <w:rPr>
          <w:rFonts w:hint="eastAsia"/>
          <w:b/>
          <w:bCs/>
          <w:sz w:val="28"/>
          <w:szCs w:val="28"/>
          <w:lang w:eastAsia="zh-CN"/>
        </w:rPr>
        <w:t>、</w:t>
      </w:r>
      <w:r>
        <w:rPr>
          <w:rFonts w:hint="eastAsia"/>
          <w:b/>
          <w:bCs/>
          <w:sz w:val="28"/>
          <w:szCs w:val="28"/>
          <w:lang w:val="en-US" w:eastAsia="zh-CN"/>
        </w:rPr>
        <w:t>附件4</w:t>
      </w:r>
      <w:r>
        <w:rPr>
          <w:rFonts w:hint="eastAsia"/>
          <w:b/>
          <w:bCs/>
          <w:sz w:val="28"/>
          <w:szCs w:val="28"/>
        </w:rPr>
        <w:t>按时上传至信用中国（陕西榆林）进行公示，并将上传后的截图附在投标文件中</w:t>
      </w:r>
      <w:r>
        <w:rPr>
          <w:rFonts w:hint="eastAsia"/>
          <w:b/>
          <w:bCs/>
          <w:sz w:val="28"/>
          <w:szCs w:val="28"/>
          <w:lang w:eastAsia="zh-CN"/>
        </w:rPr>
        <w:t>，</w:t>
      </w:r>
      <w:r>
        <w:rPr>
          <w:rFonts w:hint="eastAsia"/>
          <w:b/>
          <w:bCs/>
          <w:sz w:val="28"/>
          <w:szCs w:val="28"/>
          <w:lang w:val="en-US" w:eastAsia="zh-CN"/>
        </w:rPr>
        <w:t>且不得删除以上附件</w:t>
      </w:r>
      <w:r>
        <w:rPr>
          <w:rFonts w:hint="eastAsia"/>
          <w:b/>
          <w:bCs/>
          <w:sz w:val="28"/>
          <w:szCs w:val="28"/>
        </w:rPr>
        <w:t>）</w:t>
      </w:r>
    </w:p>
    <w:p w14:paraId="6D1F0942">
      <w:pPr>
        <w:spacing w:line="360" w:lineRule="auto"/>
        <w:jc w:val="center"/>
        <w:rPr>
          <w:rFonts w:hint="eastAsia" w:ascii="宋体" w:hAnsi="宋体" w:cs="宋体"/>
          <w:color w:val="auto"/>
          <w:sz w:val="40"/>
          <w:szCs w:val="40"/>
        </w:rPr>
      </w:pPr>
      <w:r>
        <w:rPr>
          <w:rFonts w:hint="eastAsia" w:ascii="宋体" w:hAnsi="宋体" w:cs="宋体"/>
          <w:b/>
          <w:bCs/>
          <w:color w:val="auto"/>
          <w:sz w:val="32"/>
          <w:szCs w:val="32"/>
        </w:rPr>
        <w:t>附件1 投标人信用承诺书</w:t>
      </w:r>
    </w:p>
    <w:p w14:paraId="0AB1D815">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1F36EABB">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5F0289E2">
      <w:pPr>
        <w:widowControl/>
        <w:adjustRightInd w:val="0"/>
        <w:snapToGrid w:val="0"/>
        <w:spacing w:line="480" w:lineRule="auto"/>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6E32F79C">
      <w:pPr>
        <w:widowControl/>
        <w:adjustRightInd w:val="0"/>
        <w:snapToGrid w:val="0"/>
        <w:spacing w:line="480" w:lineRule="auto"/>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项目招投标活动中，我公司（单位）郑重作出以下信用承诺：</w:t>
      </w:r>
    </w:p>
    <w:p w14:paraId="70BAD9F8">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95AAC5C">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509A0F62">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5ABC56EB">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（四）同意将此信用承诺纳入陕西省公共信用信息平台和榆林市公共信用信息共享平台，并上网公示，接受社会监督。</w:t>
      </w:r>
    </w:p>
    <w:p w14:paraId="7AA49848">
      <w:pPr>
        <w:widowControl/>
        <w:adjustRightInd w:val="0"/>
        <w:snapToGrid w:val="0"/>
        <w:spacing w:line="480" w:lineRule="auto"/>
        <w:ind w:firstLine="480"/>
        <w:jc w:val="left"/>
        <w:rPr>
          <w:rFonts w:hint="eastAsia" w:ascii="宋体" w:hAnsi="宋体" w:cs="宋体"/>
          <w:color w:val="auto"/>
          <w:kern w:val="0"/>
          <w:sz w:val="24"/>
        </w:rPr>
      </w:pPr>
      <w:r>
        <w:rPr>
          <w:rFonts w:hint="eastAsia" w:ascii="宋体" w:hAnsi="宋体" w:cs="宋体"/>
          <w:color w:val="auto"/>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71A4A2A4">
      <w:pPr>
        <w:pStyle w:val="10"/>
        <w:rPr>
          <w:color w:val="auto"/>
        </w:rPr>
      </w:pPr>
    </w:p>
    <w:p w14:paraId="766768D4">
      <w:pPr>
        <w:widowControl/>
        <w:tabs>
          <w:tab w:val="left" w:pos="4395"/>
        </w:tabs>
        <w:adjustRightInd w:val="0"/>
        <w:snapToGrid w:val="0"/>
        <w:spacing w:line="480" w:lineRule="auto"/>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479B787D">
      <w:pPr>
        <w:adjustRightInd w:val="0"/>
        <w:snapToGrid w:val="0"/>
        <w:spacing w:line="480" w:lineRule="auto"/>
        <w:jc w:val="center"/>
        <w:rPr>
          <w:rFonts w:ascii="宋体" w:cs="宋体"/>
          <w:color w:val="auto"/>
          <w:kern w:val="0"/>
          <w:sz w:val="24"/>
        </w:rPr>
      </w:pPr>
    </w:p>
    <w:p w14:paraId="76CB765A">
      <w:pPr>
        <w:adjustRightInd w:val="0"/>
        <w:snapToGrid w:val="0"/>
        <w:spacing w:line="480" w:lineRule="auto"/>
        <w:jc w:val="center"/>
        <w:rPr>
          <w:rFonts w:ascii="宋体" w:cs="宋体"/>
          <w:color w:val="auto"/>
          <w:kern w:val="0"/>
          <w:sz w:val="24"/>
        </w:rPr>
      </w:pPr>
      <w:r>
        <w:rPr>
          <w:rFonts w:hint="eastAsia" w:ascii="宋体" w:hAnsi="宋体" w:cs="宋体"/>
          <w:color w:val="auto"/>
          <w:kern w:val="0"/>
          <w:sz w:val="24"/>
        </w:rPr>
        <w:t xml:space="preserve">                             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2D574C64">
      <w:pPr>
        <w:spacing w:line="480" w:lineRule="auto"/>
        <w:ind w:right="-2"/>
        <w:jc w:val="center"/>
        <w:rPr>
          <w:rFonts w:hint="eastAsia" w:ascii="宋体" w:hAnsi="宋体" w:cs="宋体"/>
          <w:b/>
          <w:bCs/>
          <w:color w:val="auto"/>
          <w:sz w:val="32"/>
          <w:szCs w:val="32"/>
        </w:rPr>
        <w:sectPr>
          <w:footerReference r:id="rId13" w:type="default"/>
          <w:pgSz w:w="11906" w:h="16838"/>
          <w:pgMar w:top="1219" w:right="1803" w:bottom="1219" w:left="1803" w:header="850" w:footer="992" w:gutter="0"/>
          <w:pgNumType w:fmt="decimal"/>
          <w:cols w:space="720" w:num="1"/>
          <w:rtlGutter w:val="0"/>
          <w:docGrid w:type="lines" w:linePitch="313" w:charSpace="0"/>
        </w:sectPr>
      </w:pPr>
    </w:p>
    <w:p w14:paraId="14E14E06">
      <w:pPr>
        <w:spacing w:line="560" w:lineRule="exact"/>
        <w:ind w:right="-2"/>
        <w:jc w:val="center"/>
        <w:rPr>
          <w:rFonts w:hint="eastAsia" w:ascii="宋体" w:hAnsi="宋体" w:cs="宋体"/>
          <w:b/>
          <w:bCs/>
          <w:color w:val="auto"/>
          <w:sz w:val="32"/>
          <w:szCs w:val="32"/>
        </w:rPr>
      </w:pPr>
      <w:r>
        <w:rPr>
          <w:rFonts w:hint="eastAsia" w:ascii="宋体" w:hAnsi="宋体" w:cs="宋体"/>
          <w:b/>
          <w:bCs/>
          <w:color w:val="auto"/>
          <w:sz w:val="32"/>
          <w:szCs w:val="32"/>
        </w:rPr>
        <w:t>附件2 投标人委托代理人员信用承诺书</w:t>
      </w:r>
    </w:p>
    <w:p w14:paraId="2D444852">
      <w:pPr>
        <w:widowControl/>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项目招投标活动中，我个人郑重作出以下信用承诺：</w:t>
      </w:r>
    </w:p>
    <w:p w14:paraId="717F6B12">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0E79F484">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5F5EED62">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504AC76F">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（四）同意将此信用承诺纳入陕西省公共信用信息平台和榆林市公共信用信息共享平台，并接受社会监督。</w:t>
      </w:r>
    </w:p>
    <w:p w14:paraId="12A9689D">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（五）若我违背以上承诺事项，即被视为失信人，依据《关于对公共资源交易领域严重失信主体开展联合惩戒的备忘录》（发改法规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44316366">
      <w:pPr>
        <w:widowControl/>
        <w:spacing w:line="320" w:lineRule="exact"/>
        <w:ind w:firstLine="482"/>
        <w:jc w:val="left"/>
        <w:rPr>
          <w:rFonts w:ascii="宋体" w:hAnsi="宋体" w:cs="宋体"/>
          <w:color w:val="auto"/>
          <w:kern w:val="0"/>
          <w:sz w:val="24"/>
        </w:rPr>
      </w:pPr>
    </w:p>
    <w:p w14:paraId="490DDA59">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610A638C">
      <w:pPr>
        <w:widowControl/>
        <w:spacing w:line="320" w:lineRule="exact"/>
        <w:ind w:firstLine="482"/>
        <w:jc w:val="left"/>
        <w:rPr>
          <w:rFonts w:ascii="宋体" w:hAnsi="宋体" w:cs="宋体"/>
          <w:color w:val="auto"/>
          <w:kern w:val="0"/>
          <w:sz w:val="24"/>
        </w:rPr>
      </w:pPr>
    </w:p>
    <w:p w14:paraId="0348DF4A">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p>
    <w:p w14:paraId="0263D90C">
      <w:pPr>
        <w:widowControl/>
        <w:spacing w:line="320" w:lineRule="exact"/>
        <w:ind w:firstLine="482"/>
        <w:jc w:val="left"/>
        <w:rPr>
          <w:rFonts w:ascii="宋体" w:hAnsi="宋体" w:cs="宋体"/>
          <w:color w:val="auto"/>
          <w:kern w:val="0"/>
          <w:sz w:val="24"/>
        </w:rPr>
      </w:pPr>
    </w:p>
    <w:p w14:paraId="7F7D7B07">
      <w:pPr>
        <w:widowControl/>
        <w:spacing w:line="320" w:lineRule="exact"/>
        <w:ind w:firstLine="482"/>
        <w:jc w:val="left"/>
        <w:rPr>
          <w:rFonts w:ascii="宋体" w:hAnsi="宋体" w:cs="宋体"/>
          <w:color w:val="auto"/>
          <w:kern w:val="0"/>
          <w:sz w:val="24"/>
          <w:u w:val="single"/>
        </w:rPr>
      </w:pPr>
      <w:r>
        <w:rPr>
          <w:rFonts w:hint="eastAsia" w:ascii="宋体" w:hAnsi="宋体" w:cs="宋体"/>
          <w:color w:val="auto"/>
          <w:kern w:val="0"/>
          <w:sz w:val="24"/>
        </w:rPr>
        <w:t>承诺人</w:t>
      </w:r>
      <w:r>
        <w:rPr>
          <w:rFonts w:hint="eastAsia" w:ascii="宋体" w:hAnsi="宋体" w:cs="宋体"/>
          <w:color w:val="auto"/>
          <w:sz w:val="24"/>
          <w:szCs w:val="24"/>
        </w:rPr>
        <w:t>（签字或盖章）</w:t>
      </w:r>
      <w:r>
        <w:rPr>
          <w:rFonts w:hint="eastAsia" w:ascii="宋体" w:hAnsi="宋体" w:cs="宋体"/>
          <w:color w:val="auto"/>
          <w:kern w:val="0"/>
          <w:sz w:val="24"/>
        </w:rPr>
        <w:t>：</w:t>
      </w:r>
      <w:r>
        <w:rPr>
          <w:rFonts w:hint="eastAsia" w:ascii="宋体" w:hAnsi="宋体" w:cs="宋体"/>
          <w:color w:val="auto"/>
          <w:kern w:val="0"/>
          <w:sz w:val="24"/>
          <w:u w:val="single"/>
        </w:rPr>
        <w:t xml:space="preserve">                 </w:t>
      </w:r>
    </w:p>
    <w:p w14:paraId="1E2F2980">
      <w:pPr>
        <w:widowControl/>
        <w:spacing w:line="320" w:lineRule="exact"/>
        <w:ind w:firstLine="482"/>
        <w:jc w:val="left"/>
        <w:rPr>
          <w:rFonts w:ascii="宋体" w:hAnsi="宋体" w:cs="宋体"/>
          <w:color w:val="auto"/>
          <w:kern w:val="0"/>
          <w:sz w:val="24"/>
          <w:u w:val="single"/>
        </w:rPr>
      </w:pPr>
    </w:p>
    <w:p w14:paraId="66DDB7CC">
      <w:pPr>
        <w:ind w:firstLine="480" w:firstLineChars="200"/>
        <w:rPr>
          <w:color w:val="auto"/>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0DF3B7FF">
      <w:pPr>
        <w:spacing w:line="560" w:lineRule="exact"/>
        <w:ind w:right="-2"/>
        <w:jc w:val="center"/>
        <w:rPr>
          <w:rFonts w:hint="eastAsia" w:ascii="宋体" w:hAnsi="宋体" w:cs="宋体"/>
          <w:b/>
          <w:bCs/>
          <w:color w:val="auto"/>
          <w:sz w:val="32"/>
          <w:szCs w:val="32"/>
        </w:rPr>
        <w:sectPr>
          <w:pgSz w:w="11906" w:h="16838"/>
          <w:pgMar w:top="1219" w:right="1803" w:bottom="1219" w:left="1803" w:header="850" w:footer="992" w:gutter="0"/>
          <w:pgNumType w:fmt="decimal"/>
          <w:cols w:space="720" w:num="1"/>
          <w:rtlGutter w:val="0"/>
          <w:docGrid w:type="lines" w:linePitch="313" w:charSpace="0"/>
        </w:sectPr>
      </w:pPr>
    </w:p>
    <w:p w14:paraId="40202A78">
      <w:pPr>
        <w:spacing w:line="560" w:lineRule="exact"/>
        <w:ind w:right="-2"/>
        <w:jc w:val="center"/>
        <w:rPr>
          <w:rFonts w:hint="eastAsia" w:ascii="宋体" w:hAnsi="宋体" w:cs="宋体"/>
          <w:b/>
          <w:bCs/>
          <w:color w:val="auto"/>
          <w:kern w:val="0"/>
          <w:szCs w:val="16"/>
        </w:rPr>
      </w:pPr>
      <w:r>
        <w:rPr>
          <w:rFonts w:hint="eastAsia" w:ascii="宋体" w:hAnsi="宋体" w:cs="宋体"/>
          <w:b/>
          <w:bCs/>
          <w:color w:val="auto"/>
          <w:sz w:val="32"/>
          <w:szCs w:val="32"/>
        </w:rPr>
        <w:t>附件3  投标信用承诺书</w:t>
      </w:r>
    </w:p>
    <w:p w14:paraId="0A21110D">
      <w:pPr>
        <w:widowControl/>
        <w:spacing w:line="540" w:lineRule="exact"/>
        <w:jc w:val="left"/>
        <w:rPr>
          <w:rFonts w:ascii="宋体" w:cs="宋体"/>
          <w:color w:val="auto"/>
          <w:kern w:val="0"/>
          <w:sz w:val="24"/>
          <w:u w:val="single"/>
        </w:rPr>
      </w:pPr>
      <w:r>
        <w:rPr>
          <w:rFonts w:hint="eastAsia" w:ascii="宋体" w:hAnsi="宋体" w:cs="宋体"/>
          <w:color w:val="auto"/>
          <w:kern w:val="0"/>
          <w:sz w:val="24"/>
        </w:rPr>
        <w:t>项目标段：</w:t>
      </w:r>
      <w:r>
        <w:rPr>
          <w:rFonts w:ascii="宋体" w:hAnsi="宋体" w:cs="宋体"/>
          <w:color w:val="auto"/>
          <w:kern w:val="0"/>
          <w:sz w:val="24"/>
          <w:u w:val="single"/>
        </w:rPr>
        <w:t xml:space="preserve">            </w:t>
      </w:r>
      <w:r>
        <w:rPr>
          <w:rFonts w:hint="eastAsia" w:ascii="宋体" w:hAnsi="宋体" w:cs="宋体"/>
          <w:color w:val="auto"/>
          <w:kern w:val="0"/>
          <w:sz w:val="24"/>
          <w:u w:val="single"/>
        </w:rPr>
        <w:t xml:space="preserve">  </w:t>
      </w:r>
      <w:r>
        <w:rPr>
          <w:rFonts w:ascii="宋体" w:hAnsi="宋体" w:cs="宋体"/>
          <w:color w:val="auto"/>
          <w:kern w:val="0"/>
          <w:sz w:val="24"/>
          <w:u w:val="single"/>
        </w:rPr>
        <w:t xml:space="preserve">                                                    </w:t>
      </w:r>
    </w:p>
    <w:p w14:paraId="50026724">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04E10B71">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19D1BAB6">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在本项目标段招投标活动中，我公司（单位）自愿作出以下投标信用承诺：</w:t>
      </w:r>
    </w:p>
    <w:p w14:paraId="42CF8930">
      <w:pPr>
        <w:widowControl/>
        <w:adjustRightInd w:val="0"/>
        <w:snapToGrid w:val="0"/>
        <w:spacing w:line="540" w:lineRule="exact"/>
        <w:ind w:firstLine="480" w:firstLineChars="200"/>
        <w:jc w:val="left"/>
        <w:rPr>
          <w:rFonts w:ascii="宋体" w:hAnsi="宋体" w:cs="宋体"/>
          <w:color w:val="auto"/>
          <w:kern w:val="0"/>
          <w:sz w:val="24"/>
        </w:rPr>
      </w:pPr>
      <w:r>
        <w:rPr>
          <w:rFonts w:hint="eastAsia" w:ascii="宋体" w:hAnsi="宋体" w:cs="宋体"/>
          <w:color w:val="auto"/>
          <w:kern w:val="0"/>
          <w:sz w:val="24"/>
        </w:rPr>
        <w:t>（一）能严格遵守法律法规、职业道德和行业规范。</w:t>
      </w:r>
    </w:p>
    <w:p w14:paraId="3C9F426E">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31207CEF">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w:t>
      </w:r>
      <w:r>
        <w:rPr>
          <w:rFonts w:ascii="宋体" w:hAnsi="宋体" w:cs="宋体"/>
          <w:color w:val="auto"/>
          <w:kern w:val="0"/>
          <w:sz w:val="24"/>
        </w:rPr>
        <w:t>1</w:t>
      </w:r>
      <w:r>
        <w:rPr>
          <w:rFonts w:hint="eastAsia" w:ascii="宋体" w:hAnsi="宋体" w:cs="宋体"/>
          <w:color w:val="auto"/>
          <w:kern w:val="0"/>
          <w:sz w:val="24"/>
        </w:rPr>
        <w:t>至</w:t>
      </w:r>
      <w:r>
        <w:rPr>
          <w:rFonts w:ascii="宋体" w:hAnsi="宋体" w:cs="宋体"/>
          <w:color w:val="auto"/>
          <w:kern w:val="0"/>
          <w:sz w:val="24"/>
        </w:rPr>
        <w:t>3</w:t>
      </w:r>
      <w:r>
        <w:rPr>
          <w:rFonts w:hint="eastAsia" w:ascii="宋体" w:hAnsi="宋体" w:cs="宋体"/>
          <w:color w:val="auto"/>
          <w:kern w:val="0"/>
          <w:sz w:val="24"/>
        </w:rPr>
        <w:t>年内限制参与公共资源交易活动。</w:t>
      </w:r>
    </w:p>
    <w:p w14:paraId="430FA7C7">
      <w:pPr>
        <w:widowControl/>
        <w:adjustRightInd w:val="0"/>
        <w:snapToGrid w:val="0"/>
        <w:spacing w:line="540" w:lineRule="exact"/>
        <w:ind w:firstLine="480" w:firstLineChars="200"/>
        <w:jc w:val="left"/>
        <w:rPr>
          <w:rFonts w:ascii="宋体" w:hAnsi="宋体" w:cs="宋体"/>
          <w:color w:val="auto"/>
          <w:kern w:val="0"/>
          <w:sz w:val="24"/>
        </w:rPr>
      </w:pPr>
    </w:p>
    <w:p w14:paraId="2AC4DF8E">
      <w:pPr>
        <w:widowControl/>
        <w:tabs>
          <w:tab w:val="left" w:pos="4395"/>
        </w:tabs>
        <w:adjustRightInd w:val="0"/>
        <w:snapToGrid w:val="0"/>
        <w:spacing w:line="500" w:lineRule="exact"/>
        <w:ind w:firstLine="480" w:firstLineChars="200"/>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6C3A9721">
      <w:pPr>
        <w:adjustRightInd w:val="0"/>
        <w:snapToGrid w:val="0"/>
        <w:spacing w:line="500" w:lineRule="exact"/>
        <w:rPr>
          <w:rFonts w:ascii="宋体" w:hAnsi="宋体" w:cs="宋体"/>
          <w:b/>
          <w:color w:val="auto"/>
          <w:kern w:val="0"/>
          <w:sz w:val="24"/>
        </w:rPr>
      </w:pPr>
    </w:p>
    <w:p w14:paraId="5BE50222">
      <w:pPr>
        <w:adjustRightInd w:val="0"/>
        <w:snapToGrid w:val="0"/>
        <w:spacing w:line="500" w:lineRule="exact"/>
        <w:ind w:firstLine="4440" w:firstLineChars="1850"/>
        <w:rPr>
          <w:rFonts w:ascii="宋体" w:hAnsi="宋体" w:cs="宋体"/>
          <w:b/>
          <w:color w:val="auto"/>
          <w:kern w:val="0"/>
          <w:sz w:val="24"/>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15B9CC37">
      <w:pPr>
        <w:pStyle w:val="4"/>
        <w:spacing w:line="240" w:lineRule="auto"/>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p w14:paraId="4B74C286">
      <w:pPr>
        <w:pStyle w:val="4"/>
        <w:spacing w:line="240" w:lineRule="auto"/>
        <w:jc w:val="center"/>
        <w:rPr>
          <w:rFonts w:hint="eastAsia" w:ascii="宋体" w:hAnsi="宋体" w:eastAsia="宋体" w:cs="宋体"/>
          <w:color w:val="auto"/>
          <w:kern w:val="0"/>
          <w:sz w:val="24"/>
          <w:lang w:val="en-US" w:eastAsia="zh-CN"/>
        </w:rPr>
      </w:pPr>
    </w:p>
    <w:p w14:paraId="5C438595">
      <w:pPr>
        <w:pStyle w:val="4"/>
        <w:spacing w:line="240" w:lineRule="auto"/>
        <w:jc w:val="center"/>
        <w:rPr>
          <w:rFonts w:hint="eastAsia" w:ascii="宋体" w:hAnsi="宋体" w:eastAsia="宋体" w:cs="宋体"/>
          <w:b/>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说明：本承诺书效力和作用等</w:t>
      </w:r>
      <w:r>
        <w:rPr>
          <w:rFonts w:hint="eastAsia" w:ascii="宋体" w:hAnsi="宋体" w:eastAsia="宋体" w:cs="宋体"/>
          <w:b/>
          <w:color w:val="auto"/>
          <w:kern w:val="0"/>
          <w:sz w:val="24"/>
        </w:rPr>
        <w:t>同投标保证金，其有效期与投标有效期一致</w:t>
      </w:r>
      <w:r>
        <w:rPr>
          <w:rFonts w:hint="eastAsia" w:ascii="宋体" w:hAnsi="宋体" w:eastAsia="宋体" w:cs="宋体"/>
          <w:b/>
          <w:color w:val="auto"/>
          <w:kern w:val="0"/>
          <w:sz w:val="24"/>
          <w:lang w:eastAsia="zh-CN"/>
        </w:rPr>
        <w:t>。</w:t>
      </w:r>
    </w:p>
    <w:p w14:paraId="3C40EA3D"/>
    <w:p w14:paraId="557DCEB2"/>
    <w:p w14:paraId="1FCD8E1F"/>
    <w:p w14:paraId="7F914E5A">
      <w:pPr>
        <w:shd w:val="clear" w:color="auto" w:fill="auto"/>
        <w:spacing w:line="360" w:lineRule="auto"/>
        <w:jc w:val="both"/>
        <w:rPr>
          <w:rFonts w:hint="eastAsia" w:ascii="宋体" w:hAnsi="宋体" w:eastAsia="宋体" w:cs="宋体"/>
          <w:b/>
          <w:bCs/>
          <w:color w:val="auto"/>
          <w:sz w:val="24"/>
          <w:szCs w:val="22"/>
          <w:highlight w:val="none"/>
        </w:rPr>
      </w:pPr>
    </w:p>
    <w:p w14:paraId="7B56ABE9">
      <w:pPr>
        <w:pStyle w:val="2"/>
        <w:rPr>
          <w:rFonts w:hint="eastAsia" w:ascii="宋体" w:hAnsi="宋体" w:eastAsia="宋体" w:cs="宋体"/>
          <w:b/>
          <w:bCs/>
          <w:color w:val="auto"/>
          <w:sz w:val="24"/>
          <w:szCs w:val="22"/>
          <w:highlight w:val="none"/>
        </w:rPr>
      </w:pPr>
    </w:p>
    <w:p w14:paraId="3DD42BE2">
      <w:pPr>
        <w:pStyle w:val="2"/>
        <w:rPr>
          <w:rFonts w:hint="eastAsia" w:ascii="宋体" w:hAnsi="宋体" w:eastAsia="宋体" w:cs="宋体"/>
          <w:b/>
          <w:bCs/>
          <w:color w:val="auto"/>
          <w:sz w:val="24"/>
          <w:szCs w:val="22"/>
          <w:highlight w:val="none"/>
        </w:rPr>
      </w:pPr>
    </w:p>
    <w:p w14:paraId="03BF22AB">
      <w:pPr>
        <w:spacing w:line="560" w:lineRule="exact"/>
        <w:ind w:right="-2"/>
        <w:jc w:val="center"/>
        <w:rPr>
          <w:rFonts w:hint="eastAsia" w:ascii="宋体" w:hAnsi="宋体" w:eastAsia="宋体" w:cs="宋体"/>
          <w:b/>
          <w:bCs/>
          <w:sz w:val="32"/>
          <w:szCs w:val="32"/>
        </w:rPr>
      </w:pPr>
      <w:r>
        <w:rPr>
          <w:rFonts w:hint="eastAsia" w:ascii="宋体" w:hAnsi="宋体" w:eastAsia="宋体" w:cs="宋体"/>
          <w:b/>
          <w:bCs/>
          <w:sz w:val="32"/>
          <w:szCs w:val="32"/>
        </w:rPr>
        <w:t>附件4 榆林市政府采购服务类项目供应商信用承诺书</w:t>
      </w:r>
    </w:p>
    <w:p w14:paraId="086C1BE6">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p>
    <w:p w14:paraId="62FC8AE8">
      <w:pPr>
        <w:pStyle w:val="19"/>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市场主体名称：</w:t>
      </w:r>
    </w:p>
    <w:p w14:paraId="0E5A921A">
      <w:pPr>
        <w:pStyle w:val="19"/>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证件类型：统一社会信用代码</w:t>
      </w:r>
    </w:p>
    <w:p w14:paraId="45F76EE4">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证件号码：</w:t>
      </w:r>
    </w:p>
    <w:p w14:paraId="1930C888">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法人代表：</w:t>
      </w:r>
    </w:p>
    <w:p w14:paraId="4DB49F2B">
      <w:pPr>
        <w:pStyle w:val="19"/>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承诺有效期限：   年    月    日—    年    月     日（有效期一年）</w:t>
      </w:r>
    </w:p>
    <w:p w14:paraId="01287596">
      <w:pPr>
        <w:pStyle w:val="19"/>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承诺内容：</w:t>
      </w:r>
    </w:p>
    <w:p w14:paraId="21078F15">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为维护公开、公平、公正的政府采购市场秩序，树立诚实守信的政府采购供应商形象，本单位自愿做出以下承诺：</w:t>
      </w:r>
    </w:p>
    <w:p w14:paraId="07BA09C1">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一、承诺本单位严格遵守国家法律、法规和规章，全面履行应尽的责任和义务，全面做到履约守信，具备《政府采购法》第二十二条第一款规定的条件;</w:t>
      </w:r>
    </w:p>
    <w:p w14:paraId="50137715">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3C410A7">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三、承诺本单位严格依法开展生产经营活动，主动接受行业监管，自愿接受依法开展的日常检查；违法失信经营后将自愿接受约束和惩戒，并依法承担相应责任；</w:t>
      </w:r>
    </w:p>
    <w:p w14:paraId="79FE6991">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四、承诺本单位自觉接受行政管理部门、行业组织、社会公众、新闻舆论的监督；</w:t>
      </w:r>
    </w:p>
    <w:p w14:paraId="0CBDBD1C">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74702317">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六、承诺本单位提出政府采购质疑和投诉坚持依法依规、诚实信用原则，在全国范围12个月内没有三次以上查无实据的政府采购投诉；</w:t>
      </w:r>
    </w:p>
    <w:p w14:paraId="4AD4CDEA">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七、根据政府采购相关法律法规的规定需要作出的其他承诺：</w:t>
      </w:r>
      <w:r>
        <w:rPr>
          <w:rFonts w:hint="eastAsia" w:cs="宋体"/>
          <w:u w:val="single"/>
          <w:shd w:val="clear" w:color="auto" w:fill="FFFFFF"/>
        </w:rPr>
        <w:t>                                                              </w:t>
      </w:r>
    </w:p>
    <w:p w14:paraId="63AE9F73">
      <w:pPr>
        <w:pStyle w:val="19"/>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DD0504C">
      <w:pPr>
        <w:pStyle w:val="19"/>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w:t>
      </w:r>
    </w:p>
    <w:p w14:paraId="7F6F52B4">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xml:space="preserve">              承诺单位（盖章）：</w:t>
      </w:r>
    </w:p>
    <w:p w14:paraId="10B3485C">
      <w:pPr>
        <w:pStyle w:val="19"/>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法定代表人（负责人）：</w:t>
      </w:r>
    </w:p>
    <w:p w14:paraId="4E7779A8">
      <w:pPr>
        <w:pStyle w:val="19"/>
        <w:shd w:val="clear" w:color="auto" w:fill="FFFFFF"/>
        <w:adjustRightInd w:val="0"/>
        <w:snapToGrid w:val="0"/>
        <w:spacing w:before="0" w:beforeAutospacing="0" w:after="150" w:afterAutospacing="0" w:line="360" w:lineRule="auto"/>
        <w:ind w:firstLine="2400" w:firstLineChars="1000"/>
        <w:jc w:val="both"/>
        <w:rPr>
          <w:rFonts w:hint="eastAsia" w:cs="宋体"/>
          <w:shd w:val="clear" w:color="auto" w:fill="FFFFFF"/>
        </w:rPr>
      </w:pPr>
      <w:r>
        <w:rPr>
          <w:rFonts w:hint="eastAsia" w:cs="宋体"/>
          <w:shd w:val="clear" w:color="auto" w:fill="FFFFFF"/>
        </w:rPr>
        <w:t>法定代表人（负责人）身份证号：</w:t>
      </w:r>
    </w:p>
    <w:p w14:paraId="5873144F">
      <w:pPr>
        <w:pStyle w:val="19"/>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承诺日期：</w:t>
      </w:r>
    </w:p>
    <w:p w14:paraId="37582953">
      <w:pPr>
        <w:pStyle w:val="19"/>
        <w:shd w:val="clear" w:color="auto" w:fill="FFFFFF"/>
        <w:adjustRightInd w:val="0"/>
        <w:snapToGrid w:val="0"/>
        <w:spacing w:before="0" w:beforeAutospacing="0" w:after="150" w:afterAutospacing="0" w:line="360" w:lineRule="auto"/>
        <w:ind w:firstLine="480" w:firstLineChars="200"/>
        <w:jc w:val="both"/>
        <w:rPr>
          <w:rFonts w:hint="eastAsia" w:cs="宋体"/>
          <w:shd w:val="clear" w:color="auto" w:fill="FFFFFF"/>
        </w:rPr>
      </w:pPr>
      <w:r>
        <w:rPr>
          <w:rFonts w:hint="eastAsia" w:cs="宋体"/>
          <w:shd w:val="clear" w:color="auto" w:fill="FFFFFF"/>
        </w:rPr>
        <w:t>注：法定代表人或负责人、主体名称发生变更的应当重新做出承诺；承诺书标题按照工程类、货物类、服务类确定。</w:t>
      </w:r>
    </w:p>
    <w:p w14:paraId="4D6AD746">
      <w:pPr>
        <w:pStyle w:val="16"/>
        <w:rPr>
          <w:rFonts w:hint="eastAsia" w:cs="宋体"/>
          <w:shd w:val="clear" w:color="auto" w:fill="FFFFFF"/>
        </w:rPr>
      </w:pPr>
    </w:p>
    <w:p w14:paraId="09DE7CAB">
      <w:pPr>
        <w:pStyle w:val="16"/>
        <w:rPr>
          <w:rFonts w:hint="eastAsia" w:cs="宋体"/>
          <w:shd w:val="clear" w:color="auto" w:fill="FFFFFF"/>
        </w:rPr>
      </w:pPr>
    </w:p>
    <w:p w14:paraId="663BFF21">
      <w:pPr>
        <w:pStyle w:val="2"/>
        <w:rPr>
          <w:rFonts w:hint="eastAsia" w:ascii="宋体" w:hAnsi="宋体" w:eastAsia="宋体" w:cs="宋体"/>
          <w:b/>
          <w:bCs/>
          <w:color w:val="auto"/>
          <w:sz w:val="24"/>
          <w:szCs w:val="22"/>
          <w:highlight w:val="none"/>
        </w:rPr>
      </w:pPr>
    </w:p>
    <w:p w14:paraId="7AEA5A86">
      <w:pPr>
        <w:pStyle w:val="2"/>
        <w:ind w:left="0" w:leftChars="0" w:firstLine="0" w:firstLineChars="0"/>
        <w:rPr>
          <w:rFonts w:hint="eastAsia" w:ascii="宋体" w:hAnsi="宋体" w:eastAsia="宋体" w:cs="宋体"/>
          <w:b/>
          <w:bCs/>
          <w:color w:val="auto"/>
          <w:sz w:val="24"/>
          <w:szCs w:val="22"/>
          <w:highlight w:val="none"/>
        </w:rPr>
      </w:pPr>
    </w:p>
    <w:p w14:paraId="5C5A3227">
      <w:pPr>
        <w:pStyle w:val="2"/>
        <w:ind w:left="0" w:leftChars="0" w:firstLine="0" w:firstLineChars="0"/>
        <w:rPr>
          <w:rFonts w:hint="eastAsia" w:ascii="宋体" w:hAnsi="宋体" w:eastAsia="宋体" w:cs="宋体"/>
          <w:b/>
          <w:bCs/>
          <w:color w:val="auto"/>
          <w:sz w:val="24"/>
          <w:szCs w:val="22"/>
          <w:highlight w:val="none"/>
        </w:rPr>
      </w:pPr>
    </w:p>
    <w:p w14:paraId="6BEFFFD1">
      <w:pPr>
        <w:pStyle w:val="2"/>
        <w:ind w:left="0" w:leftChars="0" w:firstLine="0" w:firstLineChars="0"/>
        <w:rPr>
          <w:rFonts w:hint="eastAsia" w:ascii="宋体" w:hAnsi="宋体" w:eastAsia="宋体" w:cs="宋体"/>
          <w:b/>
          <w:bCs/>
          <w:color w:val="auto"/>
          <w:sz w:val="24"/>
          <w:szCs w:val="22"/>
          <w:highlight w:val="none"/>
        </w:rPr>
      </w:pPr>
    </w:p>
    <w:p w14:paraId="576DE1DC">
      <w:pPr>
        <w:pStyle w:val="2"/>
        <w:ind w:left="0" w:leftChars="0" w:firstLine="0" w:firstLineChars="0"/>
        <w:rPr>
          <w:rFonts w:hint="eastAsia" w:ascii="宋体" w:hAnsi="宋体" w:eastAsia="宋体" w:cs="宋体"/>
          <w:b/>
          <w:bCs/>
          <w:color w:val="auto"/>
          <w:sz w:val="24"/>
          <w:szCs w:val="22"/>
          <w:highlight w:val="none"/>
        </w:rPr>
      </w:pPr>
    </w:p>
    <w:p w14:paraId="5B071249">
      <w:pPr>
        <w:pStyle w:val="2"/>
        <w:ind w:left="0" w:leftChars="0" w:firstLine="0" w:firstLineChars="0"/>
        <w:rPr>
          <w:rFonts w:hint="eastAsia" w:ascii="宋体" w:hAnsi="宋体" w:eastAsia="宋体" w:cs="宋体"/>
          <w:b/>
          <w:bCs/>
          <w:color w:val="auto"/>
          <w:sz w:val="24"/>
          <w:szCs w:val="22"/>
          <w:highlight w:val="none"/>
        </w:rPr>
      </w:pPr>
    </w:p>
    <w:p w14:paraId="536FB6A6">
      <w:pPr>
        <w:pStyle w:val="2"/>
        <w:ind w:left="0" w:leftChars="0" w:firstLine="0" w:firstLineChars="0"/>
        <w:rPr>
          <w:rFonts w:hint="eastAsia" w:ascii="宋体" w:hAnsi="宋体" w:eastAsia="宋体" w:cs="宋体"/>
          <w:b/>
          <w:bCs/>
          <w:color w:val="auto"/>
          <w:sz w:val="24"/>
          <w:szCs w:val="22"/>
          <w:highlight w:val="none"/>
        </w:rPr>
      </w:pPr>
    </w:p>
    <w:p w14:paraId="3C6A0774">
      <w:pPr>
        <w:pStyle w:val="2"/>
        <w:ind w:left="0" w:leftChars="0" w:firstLine="0" w:firstLineChars="0"/>
        <w:rPr>
          <w:rFonts w:hint="eastAsia" w:ascii="宋体" w:hAnsi="宋体" w:eastAsia="宋体" w:cs="宋体"/>
          <w:b/>
          <w:bCs/>
          <w:color w:val="auto"/>
          <w:sz w:val="24"/>
          <w:szCs w:val="22"/>
          <w:highlight w:val="none"/>
        </w:rPr>
      </w:pPr>
    </w:p>
    <w:p w14:paraId="7C61D99D">
      <w:pPr>
        <w:pStyle w:val="2"/>
        <w:ind w:left="0" w:leftChars="0" w:firstLine="0" w:firstLineChars="0"/>
        <w:rPr>
          <w:rFonts w:hint="eastAsia" w:ascii="宋体" w:hAnsi="宋体" w:eastAsia="宋体" w:cs="宋体"/>
          <w:b/>
          <w:bCs/>
          <w:color w:val="auto"/>
          <w:sz w:val="24"/>
          <w:szCs w:val="22"/>
          <w:highlight w:val="none"/>
        </w:rPr>
      </w:pPr>
    </w:p>
    <w:p w14:paraId="0C278E85">
      <w:pPr>
        <w:pStyle w:val="2"/>
        <w:ind w:left="0" w:leftChars="0" w:firstLine="0" w:firstLineChars="0"/>
        <w:rPr>
          <w:rFonts w:hint="eastAsia" w:ascii="宋体" w:hAnsi="宋体" w:eastAsia="宋体" w:cs="宋体"/>
          <w:b/>
          <w:bCs/>
          <w:color w:val="auto"/>
          <w:sz w:val="24"/>
          <w:szCs w:val="22"/>
          <w:highlight w:val="none"/>
        </w:rPr>
      </w:pPr>
    </w:p>
    <w:p w14:paraId="56BEA702">
      <w:pPr>
        <w:pStyle w:val="2"/>
        <w:ind w:left="0" w:leftChars="0" w:firstLine="0" w:firstLineChars="0"/>
        <w:rPr>
          <w:rFonts w:hint="eastAsia" w:ascii="宋体" w:hAnsi="宋体" w:eastAsia="宋体" w:cs="宋体"/>
          <w:b/>
          <w:bCs/>
          <w:color w:val="auto"/>
          <w:sz w:val="24"/>
          <w:szCs w:val="22"/>
          <w:highlight w:val="none"/>
        </w:rPr>
      </w:pPr>
    </w:p>
    <w:p w14:paraId="0C133AB2">
      <w:pPr>
        <w:pStyle w:val="2"/>
        <w:ind w:left="0" w:leftChars="0" w:firstLine="0" w:firstLineChars="0"/>
        <w:rPr>
          <w:rFonts w:hint="eastAsia" w:ascii="宋体" w:hAnsi="宋体" w:eastAsia="宋体" w:cs="宋体"/>
          <w:b/>
          <w:bCs/>
          <w:color w:val="auto"/>
          <w:sz w:val="24"/>
          <w:szCs w:val="22"/>
          <w:highlight w:val="none"/>
        </w:rPr>
      </w:pPr>
    </w:p>
    <w:p w14:paraId="15FAE4EA">
      <w:pPr>
        <w:pStyle w:val="2"/>
        <w:ind w:left="0" w:leftChars="0" w:firstLine="0" w:firstLineChars="0"/>
        <w:rPr>
          <w:rFonts w:hint="eastAsia" w:ascii="宋体" w:hAnsi="宋体" w:eastAsia="宋体" w:cs="宋体"/>
          <w:b/>
          <w:bCs/>
          <w:color w:val="auto"/>
          <w:sz w:val="24"/>
          <w:szCs w:val="22"/>
          <w:highlight w:val="none"/>
        </w:rPr>
      </w:pPr>
    </w:p>
    <w:p w14:paraId="1124AD58">
      <w:pPr>
        <w:pStyle w:val="2"/>
        <w:ind w:left="0" w:leftChars="0" w:firstLine="0" w:firstLineChars="0"/>
        <w:rPr>
          <w:rFonts w:hint="eastAsia" w:ascii="宋体" w:hAnsi="宋体" w:eastAsia="宋体" w:cs="宋体"/>
          <w:b/>
          <w:bCs/>
          <w:color w:val="auto"/>
          <w:sz w:val="24"/>
          <w:szCs w:val="22"/>
          <w:highlight w:val="none"/>
        </w:rPr>
      </w:pPr>
    </w:p>
    <w:p w14:paraId="478CC5E0">
      <w:pPr>
        <w:pStyle w:val="2"/>
        <w:ind w:left="0" w:leftChars="0" w:firstLine="0" w:firstLineChars="0"/>
        <w:rPr>
          <w:rFonts w:hint="eastAsia" w:ascii="宋体" w:hAnsi="宋体" w:eastAsia="宋体" w:cs="宋体"/>
          <w:b/>
          <w:bCs/>
          <w:color w:val="auto"/>
          <w:sz w:val="24"/>
          <w:szCs w:val="22"/>
          <w:highlight w:val="none"/>
        </w:rPr>
      </w:pPr>
    </w:p>
    <w:p w14:paraId="17DE826F">
      <w:pPr>
        <w:pStyle w:val="2"/>
        <w:ind w:left="0" w:leftChars="0" w:firstLine="0" w:firstLineChars="0"/>
        <w:rPr>
          <w:rFonts w:hint="eastAsia" w:ascii="宋体" w:hAnsi="宋体" w:eastAsia="宋体" w:cs="宋体"/>
          <w:b/>
          <w:bCs/>
          <w:color w:val="auto"/>
          <w:sz w:val="24"/>
          <w:szCs w:val="22"/>
          <w:highlight w:val="none"/>
        </w:rPr>
      </w:pPr>
    </w:p>
    <w:p w14:paraId="23E61E8F">
      <w:pPr>
        <w:pStyle w:val="2"/>
        <w:ind w:left="0" w:leftChars="0" w:firstLine="0" w:firstLineChars="0"/>
        <w:rPr>
          <w:rFonts w:hint="eastAsia" w:ascii="宋体" w:hAnsi="宋体" w:eastAsia="宋体" w:cs="宋体"/>
          <w:b/>
          <w:bCs/>
          <w:color w:val="auto"/>
          <w:sz w:val="24"/>
          <w:szCs w:val="22"/>
          <w:highlight w:val="none"/>
        </w:rPr>
      </w:pPr>
    </w:p>
    <w:p w14:paraId="64540D66">
      <w:pPr>
        <w:pStyle w:val="2"/>
        <w:ind w:left="0" w:leftChars="0" w:firstLine="0" w:firstLineChars="0"/>
        <w:rPr>
          <w:rFonts w:hint="eastAsia" w:ascii="宋体" w:hAnsi="宋体" w:eastAsia="宋体" w:cs="宋体"/>
          <w:b/>
          <w:bCs/>
          <w:color w:val="auto"/>
          <w:sz w:val="24"/>
          <w:szCs w:val="22"/>
          <w:highlight w:val="none"/>
        </w:rPr>
      </w:pPr>
    </w:p>
    <w:p w14:paraId="35B080F5">
      <w:pPr>
        <w:pStyle w:val="2"/>
        <w:ind w:left="0" w:leftChars="0" w:firstLine="0" w:firstLineChars="0"/>
        <w:rPr>
          <w:rFonts w:hint="eastAsia" w:ascii="宋体" w:hAnsi="宋体" w:eastAsia="宋体" w:cs="宋体"/>
          <w:b/>
          <w:bCs/>
          <w:color w:val="auto"/>
          <w:sz w:val="24"/>
          <w:szCs w:val="22"/>
          <w:highlight w:val="none"/>
        </w:rPr>
      </w:pPr>
    </w:p>
    <w:p w14:paraId="0B7E19C3">
      <w:pPr>
        <w:pStyle w:val="2"/>
        <w:ind w:left="0" w:leftChars="0" w:firstLine="0" w:firstLineChars="0"/>
        <w:rPr>
          <w:rFonts w:hint="eastAsia" w:ascii="宋体" w:hAnsi="宋体" w:eastAsia="宋体" w:cs="宋体"/>
          <w:b/>
          <w:bCs/>
          <w:color w:val="auto"/>
          <w:sz w:val="24"/>
          <w:szCs w:val="22"/>
          <w:highlight w:val="none"/>
        </w:rPr>
      </w:pPr>
    </w:p>
    <w:p w14:paraId="5634C675">
      <w:pPr>
        <w:pStyle w:val="2"/>
        <w:ind w:left="0" w:leftChars="0" w:firstLine="0" w:firstLineChars="0"/>
        <w:rPr>
          <w:rFonts w:hint="eastAsia" w:ascii="宋体" w:hAnsi="宋体" w:eastAsia="宋体" w:cs="宋体"/>
          <w:b/>
          <w:bCs/>
          <w:color w:val="auto"/>
          <w:sz w:val="24"/>
          <w:szCs w:val="22"/>
          <w:highlight w:val="none"/>
        </w:rPr>
      </w:pPr>
    </w:p>
    <w:p w14:paraId="54DC36B8">
      <w:pPr>
        <w:pStyle w:val="2"/>
        <w:ind w:left="0" w:leftChars="0" w:firstLine="0" w:firstLineChars="0"/>
        <w:rPr>
          <w:rFonts w:hint="eastAsia" w:ascii="宋体" w:hAnsi="宋体" w:eastAsia="宋体" w:cs="宋体"/>
          <w:b/>
          <w:bCs/>
          <w:color w:val="auto"/>
          <w:sz w:val="24"/>
          <w:szCs w:val="22"/>
          <w:highlight w:val="none"/>
        </w:rPr>
      </w:pPr>
    </w:p>
    <w:p w14:paraId="2F60F922">
      <w:pPr>
        <w:pStyle w:val="2"/>
        <w:ind w:left="0" w:leftChars="0" w:firstLine="0" w:firstLineChars="0"/>
        <w:rPr>
          <w:rFonts w:hint="eastAsia" w:ascii="宋体" w:hAnsi="宋体" w:eastAsia="宋体" w:cs="宋体"/>
          <w:b/>
          <w:bCs/>
          <w:color w:val="auto"/>
          <w:sz w:val="24"/>
          <w:szCs w:val="22"/>
          <w:highlight w:val="none"/>
        </w:rPr>
      </w:pPr>
    </w:p>
    <w:p w14:paraId="71D5D0AB">
      <w:pPr>
        <w:shd w:val="clear" w:color="auto" w:fill="auto"/>
        <w:spacing w:line="360" w:lineRule="auto"/>
        <w:jc w:val="both"/>
        <w:rPr>
          <w:rFonts w:hint="eastAsia" w:ascii="宋体" w:hAnsi="宋体" w:eastAsia="宋体" w:cs="宋体"/>
          <w:b/>
          <w:bCs/>
          <w:color w:val="auto"/>
          <w:sz w:val="24"/>
          <w:szCs w:val="22"/>
          <w:highlight w:val="none"/>
        </w:rPr>
      </w:pPr>
    </w:p>
    <w:p w14:paraId="1D50812C">
      <w:pPr>
        <w:shd w:val="clear" w:color="auto" w:fill="auto"/>
        <w:spacing w:line="360" w:lineRule="auto"/>
        <w:jc w:val="both"/>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rPr>
        <w:t>附件</w:t>
      </w:r>
      <w:r>
        <w:rPr>
          <w:rFonts w:hint="eastAsia" w:ascii="宋体" w:hAnsi="宋体" w:cs="宋体"/>
          <w:b/>
          <w:bCs/>
          <w:color w:val="auto"/>
          <w:sz w:val="24"/>
          <w:szCs w:val="22"/>
          <w:highlight w:val="none"/>
          <w:lang w:val="en-US" w:eastAsia="zh-CN"/>
        </w:rPr>
        <w:t>5</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val="en-US" w:eastAsia="zh-CN"/>
        </w:rPr>
        <w:t>关于信用承诺网上公示的通知及操作指南</w:t>
      </w:r>
    </w:p>
    <w:p w14:paraId="5B2A8D2A">
      <w:pPr>
        <w:pStyle w:val="2"/>
        <w:rPr>
          <w:rFonts w:hint="eastAsia" w:ascii="宋体" w:hAnsi="宋体" w:eastAsia="宋体" w:cs="宋体"/>
          <w:b/>
          <w:bCs/>
          <w:color w:val="auto"/>
          <w:sz w:val="24"/>
          <w:szCs w:val="22"/>
          <w:highlight w:val="none"/>
          <w:lang w:val="en-US" w:eastAsia="zh-CN"/>
        </w:rPr>
      </w:pPr>
      <w:r>
        <w:rPr>
          <w:rFonts w:hint="eastAsia" w:ascii="宋体" w:hAnsi="宋体" w:eastAsia="宋体" w:cs="宋体"/>
          <w:color w:val="auto"/>
        </w:rPr>
        <w:drawing>
          <wp:anchor distT="0" distB="0" distL="114300" distR="114300" simplePos="0" relativeHeight="251659264" behindDoc="0" locked="0" layoutInCell="1" allowOverlap="1">
            <wp:simplePos x="0" y="0"/>
            <wp:positionH relativeFrom="column">
              <wp:posOffset>57785</wp:posOffset>
            </wp:positionH>
            <wp:positionV relativeFrom="paragraph">
              <wp:posOffset>75565</wp:posOffset>
            </wp:positionV>
            <wp:extent cx="5581015" cy="7979410"/>
            <wp:effectExtent l="0" t="0" r="635" b="254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581015" cy="7979410"/>
                    </a:xfrm>
                    <a:prstGeom prst="rect">
                      <a:avLst/>
                    </a:prstGeom>
                    <a:noFill/>
                    <a:ln>
                      <a:noFill/>
                    </a:ln>
                  </pic:spPr>
                </pic:pic>
              </a:graphicData>
            </a:graphic>
          </wp:anchor>
        </w:drawing>
      </w:r>
    </w:p>
    <w:p w14:paraId="1DF1B370">
      <w:pPr>
        <w:pStyle w:val="2"/>
        <w:rPr>
          <w:rFonts w:hint="eastAsia" w:ascii="宋体" w:hAnsi="宋体" w:eastAsia="宋体" w:cs="宋体"/>
          <w:b/>
          <w:bCs/>
          <w:color w:val="auto"/>
          <w:sz w:val="24"/>
          <w:szCs w:val="22"/>
          <w:highlight w:val="none"/>
          <w:lang w:val="en-US" w:eastAsia="zh-CN"/>
        </w:rPr>
      </w:pPr>
    </w:p>
    <w:p w14:paraId="417DE0FE">
      <w:pPr>
        <w:pStyle w:val="2"/>
        <w:rPr>
          <w:rFonts w:hint="eastAsia" w:ascii="宋体" w:hAnsi="宋体" w:eastAsia="宋体" w:cs="宋体"/>
          <w:b/>
          <w:bCs/>
          <w:color w:val="auto"/>
          <w:sz w:val="24"/>
          <w:szCs w:val="22"/>
          <w:highlight w:val="none"/>
          <w:lang w:val="en-US" w:eastAsia="zh-CN"/>
        </w:rPr>
      </w:pPr>
    </w:p>
    <w:p w14:paraId="19A4CD01">
      <w:pPr>
        <w:pStyle w:val="2"/>
        <w:rPr>
          <w:rFonts w:hint="eastAsia" w:ascii="宋体" w:hAnsi="宋体" w:eastAsia="宋体" w:cs="宋体"/>
          <w:b/>
          <w:bCs/>
          <w:color w:val="auto"/>
          <w:sz w:val="24"/>
          <w:szCs w:val="22"/>
          <w:highlight w:val="none"/>
          <w:lang w:val="en-US" w:eastAsia="zh-CN"/>
        </w:rPr>
      </w:pPr>
    </w:p>
    <w:p w14:paraId="3947EFDA">
      <w:pPr>
        <w:pStyle w:val="2"/>
        <w:rPr>
          <w:rFonts w:hint="eastAsia" w:ascii="宋体" w:hAnsi="宋体" w:eastAsia="宋体" w:cs="宋体"/>
          <w:b/>
          <w:bCs/>
          <w:color w:val="auto"/>
          <w:sz w:val="24"/>
          <w:szCs w:val="22"/>
          <w:highlight w:val="none"/>
          <w:lang w:val="en-US" w:eastAsia="zh-CN"/>
        </w:rPr>
      </w:pPr>
    </w:p>
    <w:p w14:paraId="4B364E06">
      <w:pPr>
        <w:pStyle w:val="2"/>
        <w:rPr>
          <w:rFonts w:hint="eastAsia" w:ascii="宋体" w:hAnsi="宋体" w:eastAsia="宋体" w:cs="宋体"/>
          <w:b/>
          <w:bCs/>
          <w:color w:val="auto"/>
          <w:sz w:val="24"/>
          <w:szCs w:val="22"/>
          <w:highlight w:val="none"/>
          <w:lang w:val="en-US" w:eastAsia="zh-CN"/>
        </w:rPr>
      </w:pPr>
    </w:p>
    <w:p w14:paraId="5EF33122">
      <w:pPr>
        <w:pStyle w:val="2"/>
        <w:rPr>
          <w:rFonts w:hint="eastAsia" w:ascii="宋体" w:hAnsi="宋体" w:eastAsia="宋体" w:cs="宋体"/>
          <w:b/>
          <w:bCs/>
          <w:color w:val="auto"/>
          <w:sz w:val="24"/>
          <w:szCs w:val="22"/>
          <w:highlight w:val="none"/>
          <w:lang w:val="en-US" w:eastAsia="zh-CN"/>
        </w:rPr>
      </w:pPr>
    </w:p>
    <w:p w14:paraId="21E97D80">
      <w:pPr>
        <w:pStyle w:val="2"/>
        <w:rPr>
          <w:rFonts w:hint="eastAsia" w:ascii="宋体" w:hAnsi="宋体" w:eastAsia="宋体" w:cs="宋体"/>
          <w:b/>
          <w:bCs/>
          <w:color w:val="auto"/>
          <w:sz w:val="24"/>
          <w:szCs w:val="22"/>
          <w:highlight w:val="none"/>
          <w:lang w:val="en-US" w:eastAsia="zh-CN"/>
        </w:rPr>
      </w:pPr>
    </w:p>
    <w:p w14:paraId="71EF7404">
      <w:pPr>
        <w:pStyle w:val="2"/>
        <w:rPr>
          <w:rFonts w:hint="eastAsia" w:ascii="宋体" w:hAnsi="宋体" w:eastAsia="宋体" w:cs="宋体"/>
          <w:b/>
          <w:bCs/>
          <w:color w:val="auto"/>
          <w:sz w:val="24"/>
          <w:szCs w:val="22"/>
          <w:highlight w:val="none"/>
          <w:lang w:val="en-US" w:eastAsia="zh-CN"/>
        </w:rPr>
      </w:pPr>
    </w:p>
    <w:p w14:paraId="42B671C9">
      <w:pPr>
        <w:pStyle w:val="2"/>
        <w:rPr>
          <w:rFonts w:hint="eastAsia" w:ascii="宋体" w:hAnsi="宋体" w:eastAsia="宋体" w:cs="宋体"/>
          <w:b/>
          <w:bCs/>
          <w:color w:val="auto"/>
          <w:sz w:val="24"/>
          <w:szCs w:val="22"/>
          <w:highlight w:val="none"/>
          <w:lang w:val="en-US" w:eastAsia="zh-CN"/>
        </w:rPr>
      </w:pPr>
    </w:p>
    <w:p w14:paraId="2E830E4C">
      <w:pPr>
        <w:pStyle w:val="2"/>
        <w:rPr>
          <w:rFonts w:hint="eastAsia" w:ascii="宋体" w:hAnsi="宋体" w:eastAsia="宋体" w:cs="宋体"/>
          <w:b/>
          <w:bCs/>
          <w:color w:val="auto"/>
          <w:sz w:val="24"/>
          <w:szCs w:val="22"/>
          <w:highlight w:val="none"/>
          <w:lang w:val="en-US" w:eastAsia="zh-CN"/>
        </w:rPr>
      </w:pPr>
    </w:p>
    <w:p w14:paraId="749AEF8B">
      <w:pPr>
        <w:pStyle w:val="2"/>
        <w:rPr>
          <w:rFonts w:hint="eastAsia" w:ascii="宋体" w:hAnsi="宋体" w:eastAsia="宋体" w:cs="宋体"/>
          <w:b/>
          <w:bCs/>
          <w:color w:val="auto"/>
          <w:sz w:val="24"/>
          <w:szCs w:val="22"/>
          <w:highlight w:val="none"/>
          <w:lang w:val="en-US" w:eastAsia="zh-CN"/>
        </w:rPr>
      </w:pPr>
    </w:p>
    <w:p w14:paraId="7A3B9637">
      <w:pPr>
        <w:pStyle w:val="2"/>
        <w:rPr>
          <w:rFonts w:hint="eastAsia" w:ascii="宋体" w:hAnsi="宋体" w:eastAsia="宋体" w:cs="宋体"/>
          <w:b/>
          <w:bCs/>
          <w:color w:val="auto"/>
          <w:sz w:val="24"/>
          <w:szCs w:val="22"/>
          <w:highlight w:val="none"/>
          <w:lang w:val="en-US" w:eastAsia="zh-CN"/>
        </w:rPr>
      </w:pPr>
    </w:p>
    <w:p w14:paraId="666A1077">
      <w:pPr>
        <w:pStyle w:val="2"/>
        <w:rPr>
          <w:rFonts w:hint="eastAsia" w:ascii="宋体" w:hAnsi="宋体" w:eastAsia="宋体" w:cs="宋体"/>
          <w:b/>
          <w:bCs/>
          <w:color w:val="auto"/>
          <w:sz w:val="24"/>
          <w:szCs w:val="22"/>
          <w:highlight w:val="none"/>
          <w:lang w:val="en-US" w:eastAsia="zh-CN"/>
        </w:rPr>
      </w:pPr>
    </w:p>
    <w:p w14:paraId="401FDABF">
      <w:pPr>
        <w:pStyle w:val="2"/>
        <w:rPr>
          <w:rFonts w:hint="eastAsia" w:ascii="宋体" w:hAnsi="宋体" w:eastAsia="宋体" w:cs="宋体"/>
          <w:b/>
          <w:bCs/>
          <w:color w:val="auto"/>
          <w:sz w:val="24"/>
          <w:szCs w:val="22"/>
          <w:highlight w:val="none"/>
          <w:lang w:val="en-US" w:eastAsia="zh-CN"/>
        </w:rPr>
      </w:pPr>
    </w:p>
    <w:p w14:paraId="57A053A3">
      <w:pPr>
        <w:pStyle w:val="2"/>
        <w:rPr>
          <w:rFonts w:hint="eastAsia" w:ascii="宋体" w:hAnsi="宋体" w:eastAsia="宋体" w:cs="宋体"/>
          <w:b/>
          <w:bCs/>
          <w:color w:val="auto"/>
          <w:sz w:val="24"/>
          <w:szCs w:val="22"/>
          <w:highlight w:val="none"/>
          <w:lang w:val="en-US" w:eastAsia="zh-CN"/>
        </w:rPr>
      </w:pPr>
    </w:p>
    <w:p w14:paraId="0061DF69">
      <w:pPr>
        <w:pStyle w:val="2"/>
        <w:rPr>
          <w:rFonts w:hint="eastAsia" w:ascii="宋体" w:hAnsi="宋体" w:eastAsia="宋体" w:cs="宋体"/>
          <w:b/>
          <w:bCs/>
          <w:color w:val="auto"/>
          <w:sz w:val="24"/>
          <w:szCs w:val="22"/>
          <w:highlight w:val="none"/>
          <w:lang w:val="en-US" w:eastAsia="zh-CN"/>
        </w:rPr>
      </w:pPr>
    </w:p>
    <w:p w14:paraId="2501451D">
      <w:pPr>
        <w:pStyle w:val="2"/>
        <w:rPr>
          <w:rFonts w:hint="eastAsia" w:ascii="宋体" w:hAnsi="宋体" w:eastAsia="宋体" w:cs="宋体"/>
          <w:b/>
          <w:bCs/>
          <w:color w:val="auto"/>
          <w:sz w:val="24"/>
          <w:szCs w:val="22"/>
          <w:highlight w:val="none"/>
          <w:lang w:val="en-US" w:eastAsia="zh-CN"/>
        </w:rPr>
      </w:pPr>
    </w:p>
    <w:p w14:paraId="37790FC5">
      <w:pPr>
        <w:pStyle w:val="2"/>
        <w:rPr>
          <w:rFonts w:hint="eastAsia" w:ascii="宋体" w:hAnsi="宋体" w:eastAsia="宋体" w:cs="宋体"/>
          <w:b/>
          <w:bCs/>
          <w:color w:val="auto"/>
          <w:sz w:val="24"/>
          <w:szCs w:val="22"/>
          <w:highlight w:val="none"/>
          <w:lang w:val="en-US" w:eastAsia="zh-CN"/>
        </w:rPr>
      </w:pPr>
    </w:p>
    <w:p w14:paraId="2451B79B">
      <w:pPr>
        <w:pStyle w:val="2"/>
        <w:rPr>
          <w:rFonts w:hint="eastAsia" w:ascii="宋体" w:hAnsi="宋体" w:eastAsia="宋体" w:cs="宋体"/>
          <w:b/>
          <w:bCs/>
          <w:color w:val="auto"/>
          <w:sz w:val="24"/>
          <w:szCs w:val="22"/>
          <w:highlight w:val="none"/>
          <w:lang w:val="en-US" w:eastAsia="zh-CN"/>
        </w:rPr>
      </w:pPr>
    </w:p>
    <w:p w14:paraId="30C0A4C2">
      <w:pPr>
        <w:pStyle w:val="2"/>
        <w:rPr>
          <w:rFonts w:hint="eastAsia" w:ascii="宋体" w:hAnsi="宋体" w:eastAsia="宋体" w:cs="宋体"/>
          <w:b/>
          <w:bCs/>
          <w:color w:val="auto"/>
          <w:sz w:val="24"/>
          <w:szCs w:val="22"/>
          <w:highlight w:val="none"/>
          <w:lang w:val="en-US" w:eastAsia="zh-CN"/>
        </w:rPr>
      </w:pPr>
    </w:p>
    <w:p w14:paraId="22686D67">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438775" cy="7281545"/>
            <wp:effectExtent l="0" t="0" r="952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5438775" cy="7281545"/>
                    </a:xfrm>
                    <a:prstGeom prst="rect">
                      <a:avLst/>
                    </a:prstGeom>
                    <a:noFill/>
                    <a:ln>
                      <a:noFill/>
                    </a:ln>
                  </pic:spPr>
                </pic:pic>
              </a:graphicData>
            </a:graphic>
          </wp:inline>
        </w:drawing>
      </w:r>
    </w:p>
    <w:p w14:paraId="06876CC6">
      <w:pPr>
        <w:spacing w:line="360" w:lineRule="auto"/>
        <w:jc w:val="both"/>
        <w:rPr>
          <w:rFonts w:hint="eastAsia" w:ascii="宋体" w:hAnsi="宋体" w:eastAsia="宋体" w:cs="宋体"/>
          <w:b/>
          <w:bCs/>
          <w:color w:val="auto"/>
          <w:sz w:val="24"/>
          <w:szCs w:val="22"/>
        </w:rPr>
      </w:pPr>
    </w:p>
    <w:p w14:paraId="5D1BBE3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526405" cy="3148330"/>
            <wp:effectExtent l="0" t="0" r="1714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5526405" cy="3148330"/>
                    </a:xfrm>
                    <a:prstGeom prst="rect">
                      <a:avLst/>
                    </a:prstGeom>
                    <a:noFill/>
                    <a:ln>
                      <a:noFill/>
                    </a:ln>
                  </pic:spPr>
                </pic:pic>
              </a:graphicData>
            </a:graphic>
          </wp:inline>
        </w:drawing>
      </w:r>
    </w:p>
    <w:p w14:paraId="00403C4F">
      <w:pPr>
        <w:spacing w:line="360" w:lineRule="auto"/>
        <w:jc w:val="both"/>
        <w:rPr>
          <w:rFonts w:hint="eastAsia" w:ascii="宋体" w:hAnsi="宋体" w:eastAsia="宋体" w:cs="宋体"/>
          <w:color w:val="auto"/>
        </w:rPr>
      </w:pPr>
    </w:p>
    <w:p w14:paraId="103982B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565775" cy="3109595"/>
            <wp:effectExtent l="0" t="0" r="15875" b="146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5565775" cy="310959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386705" cy="3037840"/>
            <wp:effectExtent l="0" t="0" r="4445"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386705" cy="3037840"/>
                    </a:xfrm>
                    <a:prstGeom prst="rect">
                      <a:avLst/>
                    </a:prstGeom>
                    <a:noFill/>
                    <a:ln>
                      <a:noFill/>
                    </a:ln>
                  </pic:spPr>
                </pic:pic>
              </a:graphicData>
            </a:graphic>
          </wp:inline>
        </w:drawing>
      </w:r>
    </w:p>
    <w:p w14:paraId="1B8036B6">
      <w:pPr>
        <w:spacing w:line="360" w:lineRule="auto"/>
        <w:jc w:val="both"/>
        <w:rPr>
          <w:rFonts w:hint="eastAsia" w:ascii="宋体" w:hAnsi="宋体" w:eastAsia="宋体" w:cs="宋体"/>
          <w:color w:val="auto"/>
        </w:rPr>
      </w:pPr>
    </w:p>
    <w:p w14:paraId="480F1DA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530215" cy="3134995"/>
            <wp:effectExtent l="0" t="0" r="13335"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5530215" cy="313499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532120" cy="3128010"/>
            <wp:effectExtent l="0" t="0" r="11430" b="1524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3"/>
                    <a:stretch>
                      <a:fillRect/>
                    </a:stretch>
                  </pic:blipFill>
                  <pic:spPr>
                    <a:xfrm>
                      <a:off x="0" y="0"/>
                      <a:ext cx="5532120" cy="3128010"/>
                    </a:xfrm>
                    <a:prstGeom prst="rect">
                      <a:avLst/>
                    </a:prstGeom>
                    <a:noFill/>
                    <a:ln>
                      <a:noFill/>
                    </a:ln>
                  </pic:spPr>
                </pic:pic>
              </a:graphicData>
            </a:graphic>
          </wp:inline>
        </w:drawing>
      </w:r>
    </w:p>
    <w:p w14:paraId="6B1B9259">
      <w:pPr>
        <w:spacing w:line="360" w:lineRule="auto"/>
        <w:jc w:val="both"/>
        <w:rPr>
          <w:rFonts w:hint="eastAsia" w:ascii="宋体" w:hAnsi="宋体" w:eastAsia="宋体" w:cs="宋体"/>
          <w:color w:val="auto"/>
        </w:rPr>
      </w:pPr>
    </w:p>
    <w:p w14:paraId="609B05A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394960" cy="3042285"/>
            <wp:effectExtent l="0" t="0" r="15240" b="571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4"/>
                    <a:stretch>
                      <a:fillRect/>
                    </a:stretch>
                  </pic:blipFill>
                  <pic:spPr>
                    <a:xfrm>
                      <a:off x="0" y="0"/>
                      <a:ext cx="5394960" cy="30422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496560" cy="3119120"/>
            <wp:effectExtent l="0" t="0" r="8890" b="508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5"/>
                    <a:stretch>
                      <a:fillRect/>
                    </a:stretch>
                  </pic:blipFill>
                  <pic:spPr>
                    <a:xfrm>
                      <a:off x="0" y="0"/>
                      <a:ext cx="5496560" cy="3119120"/>
                    </a:xfrm>
                    <a:prstGeom prst="rect">
                      <a:avLst/>
                    </a:prstGeom>
                    <a:noFill/>
                    <a:ln>
                      <a:noFill/>
                    </a:ln>
                  </pic:spPr>
                </pic:pic>
              </a:graphicData>
            </a:graphic>
          </wp:inline>
        </w:drawing>
      </w:r>
    </w:p>
    <w:p w14:paraId="42467E41">
      <w:pPr>
        <w:spacing w:line="360" w:lineRule="auto"/>
        <w:jc w:val="both"/>
        <w:rPr>
          <w:rFonts w:hint="eastAsia" w:ascii="宋体" w:hAnsi="宋体" w:eastAsia="宋体" w:cs="宋体"/>
          <w:color w:val="auto"/>
        </w:rPr>
      </w:pPr>
    </w:p>
    <w:p w14:paraId="5147C21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430520" cy="3082925"/>
            <wp:effectExtent l="0" t="0" r="17780" b="31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6"/>
                    <a:stretch>
                      <a:fillRect/>
                    </a:stretch>
                  </pic:blipFill>
                  <pic:spPr>
                    <a:xfrm>
                      <a:off x="0" y="0"/>
                      <a:ext cx="5430520" cy="308292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414645" cy="3046730"/>
            <wp:effectExtent l="0" t="0" r="14605" b="127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7"/>
                    <a:stretch>
                      <a:fillRect/>
                    </a:stretch>
                  </pic:blipFill>
                  <pic:spPr>
                    <a:xfrm>
                      <a:off x="0" y="0"/>
                      <a:ext cx="5414645" cy="3046730"/>
                    </a:xfrm>
                    <a:prstGeom prst="rect">
                      <a:avLst/>
                    </a:prstGeom>
                    <a:noFill/>
                    <a:ln>
                      <a:noFill/>
                    </a:ln>
                  </pic:spPr>
                </pic:pic>
              </a:graphicData>
            </a:graphic>
          </wp:inline>
        </w:drawing>
      </w:r>
    </w:p>
    <w:p w14:paraId="258FFA7E">
      <w:pPr>
        <w:spacing w:line="360" w:lineRule="auto"/>
        <w:jc w:val="both"/>
        <w:rPr>
          <w:rFonts w:hint="eastAsia" w:ascii="宋体" w:hAnsi="宋体" w:eastAsia="宋体" w:cs="宋体"/>
          <w:color w:val="auto"/>
        </w:rPr>
      </w:pPr>
    </w:p>
    <w:p w14:paraId="0711CCF6">
      <w:pPr>
        <w:pStyle w:val="2"/>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205" cy="2837180"/>
            <wp:effectExtent l="0" t="0" r="17145"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a:stretch>
                      <a:fillRect/>
                    </a:stretch>
                  </pic:blipFill>
                  <pic:spPr>
                    <a:xfrm>
                      <a:off x="0" y="0"/>
                      <a:ext cx="5069205" cy="28371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192395" cy="2929255"/>
            <wp:effectExtent l="0" t="0" r="8255"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9"/>
                    <a:stretch>
                      <a:fillRect/>
                    </a:stretch>
                  </pic:blipFill>
                  <pic:spPr>
                    <a:xfrm>
                      <a:off x="0" y="0"/>
                      <a:ext cx="5192395" cy="2929255"/>
                    </a:xfrm>
                    <a:prstGeom prst="rect">
                      <a:avLst/>
                    </a:prstGeom>
                    <a:noFill/>
                    <a:ln>
                      <a:noFill/>
                    </a:ln>
                  </pic:spPr>
                </pic:pic>
              </a:graphicData>
            </a:graphic>
          </wp:inline>
        </w:drawing>
      </w:r>
    </w:p>
    <w:p w14:paraId="0D78A3C0">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F788E0F">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EBF6D0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2CBD06C9">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32F1615D">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0BB27FE">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B947C97">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92531D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751EE43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6471FAC">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72B87F7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4E4F88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3B0A1D4">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03AF837">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28966AC8">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B17C25A">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313DBCEF">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309B30C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1E2EEF98">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6CD78881">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4361B650">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793F67D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C48E486">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07C3100C">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p>
    <w:p w14:paraId="6330474A">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新版系统操作</w:t>
      </w:r>
    </w:p>
    <w:p w14:paraId="0AB2EC0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5151755" cy="3235325"/>
            <wp:effectExtent l="0" t="0" r="10795" b="3175"/>
            <wp:docPr id="23" name="图片 23" descr="2068b17ab7a423a7fe6b5eb44d1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68b17ab7a423a7fe6b5eb44d1c156"/>
                    <pic:cNvPicPr>
                      <a:picLocks noChangeAspect="1"/>
                    </pic:cNvPicPr>
                  </pic:nvPicPr>
                  <pic:blipFill>
                    <a:blip r:embed="rId30"/>
                    <a:stretch>
                      <a:fillRect/>
                    </a:stretch>
                  </pic:blipFill>
                  <pic:spPr>
                    <a:xfrm>
                      <a:off x="0" y="0"/>
                      <a:ext cx="5151755" cy="3235325"/>
                    </a:xfrm>
                    <a:prstGeom prst="rect">
                      <a:avLst/>
                    </a:prstGeom>
                  </pic:spPr>
                </pic:pic>
              </a:graphicData>
            </a:graphic>
          </wp:inline>
        </w:drawing>
      </w:r>
    </w:p>
    <w:p w14:paraId="6BAACF8E">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5277485" cy="3923030"/>
            <wp:effectExtent l="0" t="0" r="18415" b="1270"/>
            <wp:docPr id="24" name="图片 24" descr="53444545fd2c3adbe10ac4b20d3d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3444545fd2c3adbe10ac4b20d3d363"/>
                    <pic:cNvPicPr>
                      <a:picLocks noChangeAspect="1"/>
                    </pic:cNvPicPr>
                  </pic:nvPicPr>
                  <pic:blipFill>
                    <a:blip r:embed="rId31"/>
                    <a:stretch>
                      <a:fillRect/>
                    </a:stretch>
                  </pic:blipFill>
                  <pic:spPr>
                    <a:xfrm>
                      <a:off x="0" y="0"/>
                      <a:ext cx="5277485" cy="3923030"/>
                    </a:xfrm>
                    <a:prstGeom prst="rect">
                      <a:avLst/>
                    </a:prstGeom>
                  </pic:spPr>
                </pic:pic>
              </a:graphicData>
            </a:graphic>
          </wp:inline>
        </w:drawing>
      </w:r>
    </w:p>
    <w:p w14:paraId="040BD5D0">
      <w:pPr>
        <w:keepNext w:val="0"/>
        <w:keepLines w:val="0"/>
        <w:widowControl w:val="0"/>
        <w:suppressLineNumbers w:val="0"/>
        <w:shd w:val="clear" w:color="auto" w:fill="auto"/>
        <w:spacing w:before="0" w:beforeAutospacing="0" w:after="0" w:afterAutospacing="0" w:line="300" w:lineRule="auto"/>
        <w:ind w:left="0" w:right="0" w:firstLine="420" w:firstLineChars="200"/>
        <w:jc w:val="both"/>
        <w:rPr>
          <w:rFonts w:hint="default" w:ascii="Times New Roman" w:hAnsi="Times New Roman" w:eastAsia="宋体" w:cs="Times New Roman"/>
          <w:color w:val="auto"/>
          <w:kern w:val="2"/>
          <w:sz w:val="21"/>
          <w:szCs w:val="24"/>
          <w:highlight w:val="none"/>
          <w:lang w:val="en-US" w:eastAsia="zh-CN" w:bidi="ar"/>
        </w:rPr>
      </w:pPr>
    </w:p>
    <w:p w14:paraId="6F6709D6">
      <w:pPr>
        <w:pStyle w:val="16"/>
        <w:shd w:val="clear" w:color="auto" w:fill="auto"/>
        <w:rPr>
          <w:rFonts w:hint="eastAsia" w:eastAsia="宋体" w:cs="Times New Roman"/>
          <w:b/>
          <w:bCs/>
          <w:color w:val="auto"/>
          <w:highlight w:val="none"/>
        </w:rPr>
      </w:pPr>
    </w:p>
    <w:p w14:paraId="6FE0EF25">
      <w:pPr>
        <w:pStyle w:val="4"/>
      </w:pPr>
    </w:p>
    <w:p w14:paraId="12FD34DB"/>
    <w:p w14:paraId="5986B2D2">
      <w:pPr>
        <w:pStyle w:val="4"/>
      </w:pPr>
    </w:p>
    <w:p w14:paraId="02B9A456"/>
    <w:sectPr>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ourceHanSansCN-Regular">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AGYXIQ+Frutiger-Cn">
    <w:altName w:val="宋体"/>
    <w:panose1 w:val="020B0604020202020204"/>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00"/>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51411">
    <w:pPr>
      <w:pStyle w:val="15"/>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9DC4E">
    <w:pPr>
      <w:pStyle w:val="15"/>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5039F20">
                          <w:pPr>
                            <w:pStyle w:val="15"/>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14:paraId="75039F20">
                    <w:pPr>
                      <w:pStyle w:val="15"/>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0BFB6">
    <w:pPr>
      <w:pStyle w:val="1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5C34F29">
                          <w:pPr>
                            <w:pStyle w:val="15"/>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14:paraId="55C34F29">
                    <w:pPr>
                      <w:pStyle w:val="15"/>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14863">
    <w:pPr>
      <w:pStyle w:val="15"/>
      <w:tabs>
        <w:tab w:val="left" w:pos="5022"/>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32EA4718">
                          <w:pPr>
                            <w:pStyle w:val="15"/>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2336;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14:paraId="32EA4718">
                    <w:pPr>
                      <w:pStyle w:val="15"/>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89C32">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26ADD3A">
                          <w:pPr>
                            <w:pStyle w:val="15"/>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14:paraId="026ADD3A">
                    <w:pPr>
                      <w:pStyle w:val="15"/>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E6111">
    <w:pPr>
      <w:pStyle w:val="1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1E64F1A">
                          <w:pPr>
                            <w:pStyle w:val="15"/>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14:paraId="31E64F1A">
                    <w:pPr>
                      <w:pStyle w:val="15"/>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ABE07">
    <w:pPr>
      <w:pStyle w:val="15"/>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B6B88">
                          <w:pPr>
                            <w:pStyle w:val="1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4B6B88">
                    <w:pPr>
                      <w:pStyle w:val="1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8424B">
    <w:pPr>
      <w:pStyle w:val="17"/>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C55F4">
    <w:pPr>
      <w:pStyle w:val="17"/>
      <w:jc w:val="left"/>
    </w:pPr>
    <w:r>
      <w:rPr>
        <w:rFonts w:hint="eastAsia"/>
        <w:szCs w:val="18"/>
        <w:lang w:eastAsia="zh-CN"/>
      </w:rPr>
      <w:t>榆林市恒易达工程项目管理有限公司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F31B0">
    <w:pPr>
      <w:pStyle w:val="17"/>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榆林市恒易达工程项目管理有限公司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95656">
    <w:pPr>
      <w:pStyle w:val="17"/>
      <w:jc w:val="left"/>
    </w:pPr>
    <w:r>
      <w:rPr>
        <w:rFonts w:hint="eastAsia"/>
        <w:szCs w:val="18"/>
        <w:lang w:eastAsia="zh-CN"/>
      </w:rPr>
      <w:t>榆林市恒易达工程项目管理有限公司</w:t>
    </w:r>
    <w:r>
      <w:rPr>
        <w:rFonts w:hint="eastAsia"/>
        <w:szCs w:val="18"/>
      </w:rPr>
      <w:t xml:space="preserve">                                             竞争性谈判文件</w:t>
    </w:r>
  </w:p>
  <w:p w14:paraId="0B566128">
    <w:pPr>
      <w:pStyle w:val="17"/>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0B900">
    <w:pPr>
      <w:pStyle w:val="17"/>
      <w:jc w:val="left"/>
    </w:pPr>
    <w:r>
      <w:rPr>
        <w:rFonts w:hint="eastAsia"/>
        <w:szCs w:val="18"/>
        <w:lang w:eastAsia="zh-CN"/>
      </w:rPr>
      <w:t>榆林市恒易达工程项目管理有限公司</w:t>
    </w:r>
    <w:r>
      <w:rPr>
        <w:rFonts w:hint="eastAsia"/>
        <w:szCs w:val="18"/>
      </w:rPr>
      <w:t xml:space="preserve">                                              竞争性谈判文件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648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E87660C1"/>
    <w:multiLevelType w:val="singleLevel"/>
    <w:tmpl w:val="E87660C1"/>
    <w:lvl w:ilvl="0" w:tentative="0">
      <w:start w:val="2"/>
      <w:numFmt w:val="chineseCounting"/>
      <w:suff w:val="nothing"/>
      <w:lvlText w:val="%1、"/>
      <w:lvlJc w:val="left"/>
      <w:rPr>
        <w:rFonts w:hint="eastAsia"/>
      </w:rPr>
    </w:lvl>
  </w:abstractNum>
  <w:abstractNum w:abstractNumId="3">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FB0796"/>
    <w:multiLevelType w:val="singleLevel"/>
    <w:tmpl w:val="59FB0796"/>
    <w:lvl w:ilvl="0" w:tentative="0">
      <w:start w:val="1"/>
      <w:numFmt w:val="decimal"/>
      <w:suff w:val="nothing"/>
      <w:lvlText w:val="%1、"/>
      <w:lvlJc w:val="left"/>
    </w:lvl>
  </w:abstractNum>
  <w:abstractNum w:abstractNumId="6">
    <w:nsid w:val="5A1F7005"/>
    <w:multiLevelType w:val="singleLevel"/>
    <w:tmpl w:val="5A1F7005"/>
    <w:lvl w:ilvl="0" w:tentative="0">
      <w:start w:val="2"/>
      <w:numFmt w:val="chineseCounting"/>
      <w:suff w:val="space"/>
      <w:lvlText w:val="第%1部分"/>
      <w:lvlJc w:val="left"/>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lZjFlNjQ0ZTZhM2VhY2UxMzNkZmFlODA0NmI1ZjMifQ=="/>
  </w:docVars>
  <w:rsids>
    <w:rsidRoot w:val="7AD2169E"/>
    <w:rsid w:val="0020796E"/>
    <w:rsid w:val="003776F8"/>
    <w:rsid w:val="005308D2"/>
    <w:rsid w:val="00531B7A"/>
    <w:rsid w:val="008C36D4"/>
    <w:rsid w:val="008D1106"/>
    <w:rsid w:val="00DB6DE4"/>
    <w:rsid w:val="00E41943"/>
    <w:rsid w:val="01113D6B"/>
    <w:rsid w:val="01AF5332"/>
    <w:rsid w:val="01D64C2C"/>
    <w:rsid w:val="01EB45BC"/>
    <w:rsid w:val="024F1E56"/>
    <w:rsid w:val="029702A0"/>
    <w:rsid w:val="02A44DCE"/>
    <w:rsid w:val="03345AEF"/>
    <w:rsid w:val="03401B03"/>
    <w:rsid w:val="035C6DF3"/>
    <w:rsid w:val="04BE011D"/>
    <w:rsid w:val="04CB2483"/>
    <w:rsid w:val="05D0476C"/>
    <w:rsid w:val="060847BA"/>
    <w:rsid w:val="06565574"/>
    <w:rsid w:val="06FA2BAB"/>
    <w:rsid w:val="08A27337"/>
    <w:rsid w:val="094A21A2"/>
    <w:rsid w:val="09624F6D"/>
    <w:rsid w:val="0A9652E1"/>
    <w:rsid w:val="0AB06179"/>
    <w:rsid w:val="0B0B7D58"/>
    <w:rsid w:val="0B827D72"/>
    <w:rsid w:val="0BB94EEC"/>
    <w:rsid w:val="0C1A050D"/>
    <w:rsid w:val="0C361E92"/>
    <w:rsid w:val="0C5A2E51"/>
    <w:rsid w:val="0CF34650"/>
    <w:rsid w:val="0D2C67AC"/>
    <w:rsid w:val="0D682F64"/>
    <w:rsid w:val="0E550B2A"/>
    <w:rsid w:val="0E796AAB"/>
    <w:rsid w:val="0ED14B39"/>
    <w:rsid w:val="0ED168E7"/>
    <w:rsid w:val="0EDF00E1"/>
    <w:rsid w:val="0F021C73"/>
    <w:rsid w:val="11867E5D"/>
    <w:rsid w:val="118C2F9A"/>
    <w:rsid w:val="11902A8A"/>
    <w:rsid w:val="137E6912"/>
    <w:rsid w:val="13904FC3"/>
    <w:rsid w:val="13D16BF6"/>
    <w:rsid w:val="13DF1AA7"/>
    <w:rsid w:val="14117786"/>
    <w:rsid w:val="14C4231A"/>
    <w:rsid w:val="14DC5FE6"/>
    <w:rsid w:val="151E0666"/>
    <w:rsid w:val="151E288C"/>
    <w:rsid w:val="15211C4B"/>
    <w:rsid w:val="156009C5"/>
    <w:rsid w:val="156C23C2"/>
    <w:rsid w:val="15F829AC"/>
    <w:rsid w:val="164B6110"/>
    <w:rsid w:val="17E268DE"/>
    <w:rsid w:val="18340673"/>
    <w:rsid w:val="189A5F9C"/>
    <w:rsid w:val="18AC437F"/>
    <w:rsid w:val="18E11E1D"/>
    <w:rsid w:val="191044B0"/>
    <w:rsid w:val="19EC0A79"/>
    <w:rsid w:val="1A2F2313"/>
    <w:rsid w:val="1AAC1FB7"/>
    <w:rsid w:val="1B6C00C4"/>
    <w:rsid w:val="1BB2744F"/>
    <w:rsid w:val="1DB93368"/>
    <w:rsid w:val="1DCD0BC2"/>
    <w:rsid w:val="1F2558DA"/>
    <w:rsid w:val="1FAA11BB"/>
    <w:rsid w:val="1FD177C5"/>
    <w:rsid w:val="1FE93FAC"/>
    <w:rsid w:val="20686980"/>
    <w:rsid w:val="21867A05"/>
    <w:rsid w:val="21F20BF7"/>
    <w:rsid w:val="22347461"/>
    <w:rsid w:val="2322375E"/>
    <w:rsid w:val="23797AEA"/>
    <w:rsid w:val="23A203FB"/>
    <w:rsid w:val="24741F74"/>
    <w:rsid w:val="24A106B2"/>
    <w:rsid w:val="25657932"/>
    <w:rsid w:val="25C61A2C"/>
    <w:rsid w:val="26246288"/>
    <w:rsid w:val="28FE4902"/>
    <w:rsid w:val="293D3C3C"/>
    <w:rsid w:val="2A585CB7"/>
    <w:rsid w:val="2B3E2EAF"/>
    <w:rsid w:val="2B520D22"/>
    <w:rsid w:val="2B88437A"/>
    <w:rsid w:val="2BE21CDC"/>
    <w:rsid w:val="2C864D5D"/>
    <w:rsid w:val="2CB01DDA"/>
    <w:rsid w:val="2CDD4919"/>
    <w:rsid w:val="2D016553"/>
    <w:rsid w:val="2D92328E"/>
    <w:rsid w:val="2E45132A"/>
    <w:rsid w:val="2E586286"/>
    <w:rsid w:val="2E8928E3"/>
    <w:rsid w:val="2F1F547B"/>
    <w:rsid w:val="2F353AB6"/>
    <w:rsid w:val="2F4A3E20"/>
    <w:rsid w:val="30AE4883"/>
    <w:rsid w:val="30EC0490"/>
    <w:rsid w:val="313C3C3D"/>
    <w:rsid w:val="31466AF4"/>
    <w:rsid w:val="31FF7E5D"/>
    <w:rsid w:val="3392223A"/>
    <w:rsid w:val="33E74334"/>
    <w:rsid w:val="347F27BE"/>
    <w:rsid w:val="34F4706D"/>
    <w:rsid w:val="351D1FD7"/>
    <w:rsid w:val="35E825E5"/>
    <w:rsid w:val="36214C00"/>
    <w:rsid w:val="362E7723"/>
    <w:rsid w:val="36405F7D"/>
    <w:rsid w:val="36B91742"/>
    <w:rsid w:val="375907F6"/>
    <w:rsid w:val="37BB657C"/>
    <w:rsid w:val="38BB5D8F"/>
    <w:rsid w:val="39D97A10"/>
    <w:rsid w:val="3A176FF5"/>
    <w:rsid w:val="3B016F16"/>
    <w:rsid w:val="3B1E43B3"/>
    <w:rsid w:val="3B345984"/>
    <w:rsid w:val="3B4402BD"/>
    <w:rsid w:val="3B806E1C"/>
    <w:rsid w:val="3BC22595"/>
    <w:rsid w:val="3BE03C86"/>
    <w:rsid w:val="3C6F3118"/>
    <w:rsid w:val="3C8B3CCA"/>
    <w:rsid w:val="3DD60F75"/>
    <w:rsid w:val="3E0E4BB3"/>
    <w:rsid w:val="3E234B0D"/>
    <w:rsid w:val="3E860A9B"/>
    <w:rsid w:val="3E9B60A4"/>
    <w:rsid w:val="3F2B5902"/>
    <w:rsid w:val="3FA0183A"/>
    <w:rsid w:val="3FA109E2"/>
    <w:rsid w:val="3FA96941"/>
    <w:rsid w:val="3FD00372"/>
    <w:rsid w:val="40077B0C"/>
    <w:rsid w:val="40421EA3"/>
    <w:rsid w:val="4175335E"/>
    <w:rsid w:val="41831141"/>
    <w:rsid w:val="41DF2AEE"/>
    <w:rsid w:val="42873B0C"/>
    <w:rsid w:val="42884F34"/>
    <w:rsid w:val="42E83C24"/>
    <w:rsid w:val="441C5EDA"/>
    <w:rsid w:val="44417DD6"/>
    <w:rsid w:val="44441E0B"/>
    <w:rsid w:val="44D54F56"/>
    <w:rsid w:val="44ED72D0"/>
    <w:rsid w:val="45162194"/>
    <w:rsid w:val="45344EFF"/>
    <w:rsid w:val="456330E1"/>
    <w:rsid w:val="463278E8"/>
    <w:rsid w:val="463F16FB"/>
    <w:rsid w:val="465D66D7"/>
    <w:rsid w:val="469B2D5C"/>
    <w:rsid w:val="471A45C8"/>
    <w:rsid w:val="47266AC9"/>
    <w:rsid w:val="47995741"/>
    <w:rsid w:val="48142DC6"/>
    <w:rsid w:val="482B7A3F"/>
    <w:rsid w:val="486A487A"/>
    <w:rsid w:val="48EB5812"/>
    <w:rsid w:val="48F12205"/>
    <w:rsid w:val="49426B77"/>
    <w:rsid w:val="495516A9"/>
    <w:rsid w:val="49932766"/>
    <w:rsid w:val="49A43D68"/>
    <w:rsid w:val="4AB32D6A"/>
    <w:rsid w:val="4AC2591E"/>
    <w:rsid w:val="4BB26B7D"/>
    <w:rsid w:val="4D4D14B4"/>
    <w:rsid w:val="4D64659D"/>
    <w:rsid w:val="4DA90454"/>
    <w:rsid w:val="4DE53493"/>
    <w:rsid w:val="4E1E674C"/>
    <w:rsid w:val="4E477394"/>
    <w:rsid w:val="4EE64015"/>
    <w:rsid w:val="4F22401A"/>
    <w:rsid w:val="4FE70DC0"/>
    <w:rsid w:val="5058443B"/>
    <w:rsid w:val="50865861"/>
    <w:rsid w:val="508D7BB9"/>
    <w:rsid w:val="5163251D"/>
    <w:rsid w:val="52374D6B"/>
    <w:rsid w:val="52A04F8E"/>
    <w:rsid w:val="52ED5725"/>
    <w:rsid w:val="53220A8C"/>
    <w:rsid w:val="53446C55"/>
    <w:rsid w:val="53D855EF"/>
    <w:rsid w:val="54300F87"/>
    <w:rsid w:val="55271F61"/>
    <w:rsid w:val="554C1DF1"/>
    <w:rsid w:val="55843C1A"/>
    <w:rsid w:val="55C64900"/>
    <w:rsid w:val="56B7773E"/>
    <w:rsid w:val="56BF519F"/>
    <w:rsid w:val="56FE7D56"/>
    <w:rsid w:val="57193E77"/>
    <w:rsid w:val="571B5F1F"/>
    <w:rsid w:val="57411A85"/>
    <w:rsid w:val="575B3360"/>
    <w:rsid w:val="57A001D2"/>
    <w:rsid w:val="57C15CB8"/>
    <w:rsid w:val="586B4468"/>
    <w:rsid w:val="58783B88"/>
    <w:rsid w:val="599C4537"/>
    <w:rsid w:val="5AF509F4"/>
    <w:rsid w:val="5AFB2BCB"/>
    <w:rsid w:val="5BD01963"/>
    <w:rsid w:val="5CD10E2D"/>
    <w:rsid w:val="5D41670D"/>
    <w:rsid w:val="5D6121B1"/>
    <w:rsid w:val="5D7A3273"/>
    <w:rsid w:val="5E1717A5"/>
    <w:rsid w:val="5E84084D"/>
    <w:rsid w:val="5E9D23EF"/>
    <w:rsid w:val="5F0455DC"/>
    <w:rsid w:val="5F08322C"/>
    <w:rsid w:val="5F1871E8"/>
    <w:rsid w:val="5F2931A3"/>
    <w:rsid w:val="60E50312"/>
    <w:rsid w:val="610F24CD"/>
    <w:rsid w:val="61344F63"/>
    <w:rsid w:val="61BF4336"/>
    <w:rsid w:val="61D05B58"/>
    <w:rsid w:val="6220444B"/>
    <w:rsid w:val="622814F0"/>
    <w:rsid w:val="6355699C"/>
    <w:rsid w:val="63B43AF8"/>
    <w:rsid w:val="63C11A36"/>
    <w:rsid w:val="63DE27AE"/>
    <w:rsid w:val="64631235"/>
    <w:rsid w:val="64D14887"/>
    <w:rsid w:val="64D36A0C"/>
    <w:rsid w:val="65432F68"/>
    <w:rsid w:val="655820EC"/>
    <w:rsid w:val="65FC1361"/>
    <w:rsid w:val="66315EC2"/>
    <w:rsid w:val="67E909F1"/>
    <w:rsid w:val="68297D70"/>
    <w:rsid w:val="68352BB8"/>
    <w:rsid w:val="68C93267"/>
    <w:rsid w:val="696A74A4"/>
    <w:rsid w:val="69B62C25"/>
    <w:rsid w:val="6A1F767C"/>
    <w:rsid w:val="6A381D3E"/>
    <w:rsid w:val="6A3D3FA6"/>
    <w:rsid w:val="6A415CDB"/>
    <w:rsid w:val="6A5512F0"/>
    <w:rsid w:val="6A62547B"/>
    <w:rsid w:val="6ADB7A47"/>
    <w:rsid w:val="6AED32D6"/>
    <w:rsid w:val="6BD667C4"/>
    <w:rsid w:val="6C7F463A"/>
    <w:rsid w:val="6C940135"/>
    <w:rsid w:val="6C9449A0"/>
    <w:rsid w:val="6C9E46DB"/>
    <w:rsid w:val="6CB51B62"/>
    <w:rsid w:val="6CCD7344"/>
    <w:rsid w:val="6D4164CC"/>
    <w:rsid w:val="6D543AE1"/>
    <w:rsid w:val="6D9640F9"/>
    <w:rsid w:val="6DCA78FF"/>
    <w:rsid w:val="6DEA1D4F"/>
    <w:rsid w:val="6DF25D19"/>
    <w:rsid w:val="6E0B0E56"/>
    <w:rsid w:val="6F30035B"/>
    <w:rsid w:val="6F345978"/>
    <w:rsid w:val="6F8B723F"/>
    <w:rsid w:val="70003AAC"/>
    <w:rsid w:val="703D085C"/>
    <w:rsid w:val="71265794"/>
    <w:rsid w:val="71570B74"/>
    <w:rsid w:val="717D271A"/>
    <w:rsid w:val="72367C59"/>
    <w:rsid w:val="729D3834"/>
    <w:rsid w:val="72C24A5E"/>
    <w:rsid w:val="72E94CCB"/>
    <w:rsid w:val="7345352C"/>
    <w:rsid w:val="739F538A"/>
    <w:rsid w:val="762070B4"/>
    <w:rsid w:val="764B35A7"/>
    <w:rsid w:val="769A6A08"/>
    <w:rsid w:val="76A2766B"/>
    <w:rsid w:val="77010F17"/>
    <w:rsid w:val="773C6A7A"/>
    <w:rsid w:val="78F16688"/>
    <w:rsid w:val="79FC1788"/>
    <w:rsid w:val="7A075F91"/>
    <w:rsid w:val="7A6E2D6A"/>
    <w:rsid w:val="7AD2169E"/>
    <w:rsid w:val="7B7755C5"/>
    <w:rsid w:val="7B9F23CB"/>
    <w:rsid w:val="7C0230EB"/>
    <w:rsid w:val="7C234BCD"/>
    <w:rsid w:val="7C5238E1"/>
    <w:rsid w:val="7C5D4588"/>
    <w:rsid w:val="7C9932BE"/>
    <w:rsid w:val="7D0133EC"/>
    <w:rsid w:val="7D0D7808"/>
    <w:rsid w:val="7D2D56B4"/>
    <w:rsid w:val="7D407BDD"/>
    <w:rsid w:val="7D653A0A"/>
    <w:rsid w:val="7D787377"/>
    <w:rsid w:val="7DCB56F9"/>
    <w:rsid w:val="7DCC7162"/>
    <w:rsid w:val="7E157BB7"/>
    <w:rsid w:val="7E6520B7"/>
    <w:rsid w:val="7F1E7AAB"/>
    <w:rsid w:val="7F6776A3"/>
    <w:rsid w:val="7F7C591B"/>
    <w:rsid w:val="FBFE0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9"/>
    <w:pPr>
      <w:keepNext/>
      <w:keepLines/>
      <w:spacing w:line="576" w:lineRule="auto"/>
      <w:outlineLvl w:val="0"/>
    </w:pPr>
    <w:rPr>
      <w:b/>
      <w:kern w:val="44"/>
      <w:sz w:val="44"/>
    </w:rPr>
  </w:style>
  <w:style w:type="paragraph" w:styleId="4">
    <w:name w:val="heading 2"/>
    <w:basedOn w:val="1"/>
    <w:next w:val="1"/>
    <w:autoRedefine/>
    <w:unhideWhenUsed/>
    <w:qFormat/>
    <w:uiPriority w:val="0"/>
    <w:pPr>
      <w:keepNext/>
      <w:keepLines/>
      <w:spacing w:line="360" w:lineRule="auto"/>
      <w:jc w:val="center"/>
      <w:outlineLvl w:val="1"/>
    </w:pPr>
    <w:rPr>
      <w:rFonts w:ascii="Arial" w:hAnsi="Arial" w:eastAsia="黑体"/>
      <w:b/>
      <w:bCs/>
      <w:sz w:val="32"/>
      <w:szCs w:val="32"/>
    </w:rPr>
  </w:style>
  <w:style w:type="paragraph" w:styleId="5">
    <w:name w:val="heading 3"/>
    <w:basedOn w:val="1"/>
    <w:next w:val="1"/>
    <w:link w:val="37"/>
    <w:autoRedefine/>
    <w:unhideWhenUsed/>
    <w:qFormat/>
    <w:uiPriority w:val="0"/>
    <w:pPr>
      <w:keepNext/>
      <w:keepLines/>
      <w:jc w:val="left"/>
      <w:outlineLvl w:val="2"/>
    </w:pPr>
    <w:rPr>
      <w:b/>
      <w:bCs/>
      <w:sz w:val="28"/>
      <w:szCs w:val="32"/>
    </w:rPr>
  </w:style>
  <w:style w:type="paragraph" w:styleId="6">
    <w:name w:val="heading 4"/>
    <w:basedOn w:val="1"/>
    <w:next w:val="1"/>
    <w:autoRedefine/>
    <w:unhideWhenUsed/>
    <w:qFormat/>
    <w:uiPriority w:val="0"/>
    <w:pPr>
      <w:keepNext/>
      <w:keepLines/>
      <w:spacing w:beforeLines="50" w:afterLines="50"/>
      <w:jc w:val="left"/>
      <w:outlineLvl w:val="3"/>
    </w:pPr>
    <w:rPr>
      <w:rFonts w:ascii="Calibri" w:hAnsi="Calibri"/>
      <w:b/>
      <w:bCs/>
      <w:sz w:val="24"/>
      <w:szCs w:val="28"/>
      <w:lang w:val="zh-CN"/>
    </w:rPr>
  </w:style>
  <w:style w:type="paragraph" w:styleId="7">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4">
    <w:name w:val="Default Paragraph Font"/>
    <w:autoRedefine/>
    <w:unhideWhenUsed/>
    <w:qFormat/>
    <w:uiPriority w:val="1"/>
  </w:style>
  <w:style w:type="table" w:default="1" w:styleId="22">
    <w:name w:val="Normal Table"/>
    <w:autoRedefine/>
    <w:unhideWhenUsed/>
    <w:qFormat/>
    <w:uiPriority w:val="99"/>
    <w:tblPr>
      <w:tblCellMar>
        <w:top w:w="0" w:type="dxa"/>
        <w:left w:w="108" w:type="dxa"/>
        <w:bottom w:w="0" w:type="dxa"/>
        <w:right w:w="108" w:type="dxa"/>
      </w:tblCellMar>
    </w:tblPr>
  </w:style>
  <w:style w:type="paragraph" w:customStyle="1" w:styleId="2">
    <w:name w:val="正文缩进1"/>
    <w:basedOn w:val="1"/>
    <w:autoRedefine/>
    <w:qFormat/>
    <w:uiPriority w:val="0"/>
    <w:pPr>
      <w:ind w:firstLine="420" w:firstLineChars="200"/>
    </w:pPr>
  </w:style>
  <w:style w:type="paragraph" w:styleId="8">
    <w:name w:val="Normal Indent"/>
    <w:basedOn w:val="1"/>
    <w:next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9">
    <w:name w:val="toa heading"/>
    <w:basedOn w:val="1"/>
    <w:next w:val="1"/>
    <w:autoRedefine/>
    <w:semiHidden/>
    <w:qFormat/>
    <w:uiPriority w:val="99"/>
    <w:pPr>
      <w:spacing w:before="120"/>
    </w:pPr>
    <w:rPr>
      <w:rFonts w:ascii="Arial" w:hAnsi="Arial"/>
      <w:sz w:val="24"/>
      <w:szCs w:val="20"/>
    </w:rPr>
  </w:style>
  <w:style w:type="paragraph" w:styleId="10">
    <w:name w:val="Body Text"/>
    <w:basedOn w:val="1"/>
    <w:next w:val="1"/>
    <w:autoRedefine/>
    <w:qFormat/>
    <w:uiPriority w:val="0"/>
  </w:style>
  <w:style w:type="paragraph" w:styleId="11">
    <w:name w:val="Body Text Indent"/>
    <w:basedOn w:val="1"/>
    <w:next w:val="1"/>
    <w:autoRedefine/>
    <w:qFormat/>
    <w:uiPriority w:val="0"/>
    <w:pPr>
      <w:ind w:left="1083" w:leftChars="30" w:hanging="1020" w:hangingChars="425"/>
    </w:pPr>
    <w:rPr>
      <w:rFonts w:ascii="宋体" w:hAnsi="宋体"/>
      <w:sz w:val="24"/>
    </w:rPr>
  </w:style>
  <w:style w:type="paragraph" w:styleId="12">
    <w:name w:val="Plain Text"/>
    <w:basedOn w:val="10"/>
    <w:autoRedefine/>
    <w:unhideWhenUsed/>
    <w:qFormat/>
    <w:uiPriority w:val="99"/>
    <w:rPr>
      <w:rFonts w:hint="eastAsia" w:ascii="宋体" w:hAnsi="Courier New"/>
      <w:sz w:val="24"/>
    </w:rPr>
  </w:style>
  <w:style w:type="paragraph" w:styleId="13">
    <w:name w:val="Body Text Indent 2"/>
    <w:basedOn w:val="1"/>
    <w:autoRedefine/>
    <w:qFormat/>
    <w:uiPriority w:val="99"/>
    <w:pPr>
      <w:tabs>
        <w:tab w:val="left" w:pos="5625"/>
      </w:tabs>
      <w:ind w:left="1138" w:leftChars="542"/>
    </w:pPr>
    <w:rPr>
      <w:rFonts w:ascii="Times New Roman"/>
      <w:kern w:val="2"/>
    </w:rPr>
  </w:style>
  <w:style w:type="paragraph" w:styleId="14">
    <w:name w:val="Balloon Text"/>
    <w:basedOn w:val="1"/>
    <w:link w:val="39"/>
    <w:autoRedefine/>
    <w:qFormat/>
    <w:uiPriority w:val="0"/>
    <w:rPr>
      <w:sz w:val="18"/>
      <w:szCs w:val="18"/>
    </w:rPr>
  </w:style>
  <w:style w:type="paragraph" w:styleId="15">
    <w:name w:val="footer"/>
    <w:basedOn w:val="1"/>
    <w:autoRedefine/>
    <w:unhideWhenUsed/>
    <w:qFormat/>
    <w:uiPriority w:val="99"/>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8">
    <w:name w:val="toc 1"/>
    <w:basedOn w:val="1"/>
    <w:next w:val="1"/>
    <w:autoRedefine/>
    <w:unhideWhenUsed/>
    <w:qFormat/>
    <w:uiPriority w:val="39"/>
  </w:style>
  <w:style w:type="paragraph" w:styleId="19">
    <w:name w:val="Normal (Web)"/>
    <w:basedOn w:val="1"/>
    <w:next w:val="16"/>
    <w:autoRedefine/>
    <w:unhideWhenUsed/>
    <w:qFormat/>
    <w:uiPriority w:val="99"/>
    <w:pPr>
      <w:spacing w:before="100" w:beforeAutospacing="1" w:after="100" w:afterAutospacing="1"/>
      <w:jc w:val="left"/>
    </w:pPr>
    <w:rPr>
      <w:kern w:val="0"/>
      <w:sz w:val="24"/>
    </w:rPr>
  </w:style>
  <w:style w:type="paragraph" w:styleId="20">
    <w:name w:val="Body Text First Indent"/>
    <w:basedOn w:val="1"/>
    <w:next w:val="1"/>
    <w:autoRedefine/>
    <w:unhideWhenUsed/>
    <w:qFormat/>
    <w:uiPriority w:val="99"/>
    <w:pPr>
      <w:ind w:firstLine="420" w:firstLineChars="100"/>
    </w:pPr>
  </w:style>
  <w:style w:type="paragraph" w:styleId="21">
    <w:name w:val="Body Text First Indent 2"/>
    <w:basedOn w:val="11"/>
    <w:next w:val="20"/>
    <w:autoRedefine/>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3">
    <w:name w:val="Table Grid"/>
    <w:basedOn w:val="22"/>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hint="default"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rFonts w:hint="eastAsia" w:ascii="宋体" w:hAnsi="宋体" w:eastAsia="宋体" w:cs="宋体"/>
      <w:color w:val="000000"/>
      <w:sz w:val="18"/>
      <w:szCs w:val="18"/>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character" w:customStyle="1" w:styleId="37">
    <w:name w:val="标题 3 Char"/>
    <w:link w:val="5"/>
    <w:autoRedefine/>
    <w:qFormat/>
    <w:uiPriority w:val="0"/>
    <w:rPr>
      <w:rFonts w:ascii="Times New Roman" w:hAnsi="Times New Roman" w:eastAsia="宋体" w:cs="Times New Roman"/>
      <w:b/>
      <w:bCs/>
      <w:sz w:val="28"/>
      <w:szCs w:val="32"/>
    </w:rPr>
  </w:style>
  <w:style w:type="paragraph" w:customStyle="1" w:styleId="38">
    <w:name w:val="样式1"/>
    <w:basedOn w:val="1"/>
    <w:autoRedefine/>
    <w:qFormat/>
    <w:uiPriority w:val="0"/>
    <w:rPr>
      <w:sz w:val="18"/>
    </w:rPr>
  </w:style>
  <w:style w:type="character" w:customStyle="1" w:styleId="39">
    <w:name w:val="批注框文本 Char"/>
    <w:basedOn w:val="24"/>
    <w:link w:val="14"/>
    <w:autoRedefine/>
    <w:qFormat/>
    <w:uiPriority w:val="0"/>
    <w:rPr>
      <w:kern w:val="2"/>
      <w:sz w:val="18"/>
      <w:szCs w:val="18"/>
    </w:rPr>
  </w:style>
  <w:style w:type="paragraph" w:customStyle="1" w:styleId="40">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Heading2"/>
    <w:basedOn w:val="1"/>
    <w:next w:val="1"/>
    <w:autoRedefine/>
    <w:qFormat/>
    <w:uiPriority w:val="0"/>
    <w:pPr>
      <w:keepNext/>
      <w:keepLines/>
      <w:spacing w:before="260" w:after="260"/>
      <w:jc w:val="center"/>
    </w:pPr>
    <w:rPr>
      <w:rFonts w:ascii="Arial" w:hAnsi="Arial"/>
      <w:b/>
      <w:sz w:val="30"/>
    </w:rPr>
  </w:style>
  <w:style w:type="character" w:customStyle="1" w:styleId="42">
    <w:name w:val="NormalCharacter"/>
    <w:link w:val="43"/>
    <w:autoRedefine/>
    <w:qFormat/>
    <w:uiPriority w:val="0"/>
  </w:style>
  <w:style w:type="paragraph" w:customStyle="1" w:styleId="43">
    <w:name w:val="UserStyle_34"/>
    <w:basedOn w:val="1"/>
    <w:link w:val="42"/>
    <w:autoRedefine/>
    <w:qFormat/>
    <w:uiPriority w:val="0"/>
  </w:style>
  <w:style w:type="paragraph" w:customStyle="1" w:styleId="44">
    <w:name w:val="List Paragraph"/>
    <w:basedOn w:val="1"/>
    <w:autoRedefine/>
    <w:qFormat/>
    <w:uiPriority w:val="34"/>
    <w:pPr>
      <w:ind w:firstLine="420" w:firstLineChars="200"/>
    </w:pPr>
    <w:rPr>
      <w:szCs w:val="24"/>
    </w:rPr>
  </w:style>
  <w:style w:type="character" w:customStyle="1" w:styleId="45">
    <w:name w:val="font91"/>
    <w:basedOn w:val="24"/>
    <w:autoRedefine/>
    <w:qFormat/>
    <w:uiPriority w:val="0"/>
    <w:rPr>
      <w:rFonts w:hint="eastAsia" w:ascii="宋体" w:hAnsi="宋体" w:eastAsia="宋体" w:cs="宋体"/>
      <w:color w:val="000000"/>
      <w:sz w:val="24"/>
      <w:szCs w:val="24"/>
      <w:u w:val="none"/>
    </w:rPr>
  </w:style>
  <w:style w:type="character" w:customStyle="1" w:styleId="46">
    <w:name w:val="font121"/>
    <w:basedOn w:val="24"/>
    <w:autoRedefine/>
    <w:qFormat/>
    <w:uiPriority w:val="0"/>
    <w:rPr>
      <w:rFonts w:hint="eastAsia" w:ascii="宋体" w:hAnsi="宋体" w:eastAsia="宋体" w:cs="宋体"/>
      <w:color w:val="000000"/>
      <w:sz w:val="24"/>
      <w:szCs w:val="24"/>
      <w:u w:val="none"/>
    </w:rPr>
  </w:style>
  <w:style w:type="character" w:customStyle="1" w:styleId="47">
    <w:name w:val="font141"/>
    <w:basedOn w:val="24"/>
    <w:autoRedefine/>
    <w:qFormat/>
    <w:uiPriority w:val="0"/>
    <w:rPr>
      <w:rFonts w:hint="eastAsia" w:ascii="宋体" w:hAnsi="宋体" w:eastAsia="宋体" w:cs="宋体"/>
      <w:color w:val="000000"/>
      <w:sz w:val="24"/>
      <w:szCs w:val="24"/>
      <w:u w:val="none"/>
    </w:rPr>
  </w:style>
  <w:style w:type="character" w:customStyle="1" w:styleId="48">
    <w:name w:val="font212"/>
    <w:basedOn w:val="24"/>
    <w:autoRedefine/>
    <w:qFormat/>
    <w:uiPriority w:val="0"/>
    <w:rPr>
      <w:rFonts w:hint="eastAsia" w:ascii="宋体" w:hAnsi="宋体" w:eastAsia="宋体" w:cs="宋体"/>
      <w:color w:val="000000"/>
      <w:sz w:val="24"/>
      <w:szCs w:val="24"/>
      <w:u w:val="none"/>
      <w:vertAlign w:val="superscript"/>
    </w:rPr>
  </w:style>
  <w:style w:type="character" w:customStyle="1" w:styleId="49">
    <w:name w:val="font31"/>
    <w:basedOn w:val="24"/>
    <w:autoRedefine/>
    <w:qFormat/>
    <w:uiPriority w:val="0"/>
    <w:rPr>
      <w:rFonts w:hint="eastAsia" w:ascii="宋体" w:hAnsi="宋体" w:eastAsia="宋体" w:cs="宋体"/>
      <w:color w:val="000000"/>
      <w:sz w:val="24"/>
      <w:szCs w:val="24"/>
      <w:u w:val="none"/>
    </w:rPr>
  </w:style>
  <w:style w:type="character" w:customStyle="1" w:styleId="50">
    <w:name w:val="font231"/>
    <w:basedOn w:val="24"/>
    <w:autoRedefine/>
    <w:qFormat/>
    <w:uiPriority w:val="0"/>
    <w:rPr>
      <w:rFonts w:hint="eastAsia" w:ascii="宋体" w:hAnsi="宋体" w:eastAsia="宋体" w:cs="宋体"/>
      <w:color w:val="000000"/>
      <w:sz w:val="24"/>
      <w:szCs w:val="24"/>
      <w:u w:val="none"/>
    </w:rPr>
  </w:style>
  <w:style w:type="table" w:customStyle="1" w:styleId="51">
    <w:name w:val="Table Normal"/>
    <w:autoRedefine/>
    <w:unhideWhenUsed/>
    <w:qFormat/>
    <w:uiPriority w:val="0"/>
    <w:tblPr>
      <w:tblCellMar>
        <w:top w:w="0" w:type="dxa"/>
        <w:left w:w="0" w:type="dxa"/>
        <w:bottom w:w="0" w:type="dxa"/>
        <w:right w:w="0" w:type="dxa"/>
      </w:tblCellMar>
    </w:tblPr>
  </w:style>
  <w:style w:type="character" w:customStyle="1" w:styleId="52">
    <w:name w:val="tang-pass-qrcode-list-bj"/>
    <w:basedOn w:val="24"/>
    <w:autoRedefine/>
    <w:qFormat/>
    <w:uiPriority w:val="0"/>
  </w:style>
  <w:style w:type="character" w:customStyle="1" w:styleId="53">
    <w:name w:val="pass-generalerror"/>
    <w:basedOn w:val="24"/>
    <w:autoRedefine/>
    <w:qFormat/>
    <w:uiPriority w:val="0"/>
    <w:rPr>
      <w:sz w:val="21"/>
      <w:szCs w:val="21"/>
    </w:rPr>
  </w:style>
  <w:style w:type="character" w:customStyle="1" w:styleId="54">
    <w:name w:val="pass-placeholder"/>
    <w:basedOn w:val="24"/>
    <w:autoRedefine/>
    <w:qFormat/>
    <w:uiPriority w:val="0"/>
  </w:style>
  <w:style w:type="character" w:customStyle="1" w:styleId="55">
    <w:name w:val="pass-placeholder1"/>
    <w:basedOn w:val="24"/>
    <w:autoRedefine/>
    <w:qFormat/>
    <w:uiPriority w:val="0"/>
  </w:style>
  <w:style w:type="character" w:customStyle="1" w:styleId="56">
    <w:name w:val="pass-placeholder2"/>
    <w:basedOn w:val="24"/>
    <w:autoRedefine/>
    <w:qFormat/>
    <w:uiPriority w:val="0"/>
  </w:style>
  <w:style w:type="character" w:customStyle="1" w:styleId="57">
    <w:name w:val="pass-placeholder3"/>
    <w:basedOn w:val="24"/>
    <w:autoRedefine/>
    <w:qFormat/>
    <w:uiPriority w:val="0"/>
  </w:style>
  <w:style w:type="character" w:customStyle="1" w:styleId="58">
    <w:name w:val="tang-pass-qrcode-list-aq"/>
    <w:basedOn w:val="24"/>
    <w:autoRedefine/>
    <w:qFormat/>
    <w:uiPriority w:val="0"/>
  </w:style>
  <w:style w:type="character" w:customStyle="1" w:styleId="59">
    <w:name w:val="pass-clearbtn-verifycode"/>
    <w:basedOn w:val="24"/>
    <w:autoRedefine/>
    <w:qFormat/>
    <w:uiPriority w:val="0"/>
    <w:rPr>
      <w:color w:val="CCCCCC"/>
      <w:sz w:val="21"/>
      <w:szCs w:val="21"/>
    </w:rPr>
  </w:style>
  <w:style w:type="character" w:customStyle="1" w:styleId="60">
    <w:name w:val="pass-clearbtn-smsverifycode"/>
    <w:basedOn w:val="24"/>
    <w:autoRedefine/>
    <w:qFormat/>
    <w:uiPriority w:val="0"/>
  </w:style>
  <w:style w:type="character" w:customStyle="1" w:styleId="61">
    <w:name w:val="open"/>
    <w:basedOn w:val="24"/>
    <w:autoRedefine/>
    <w:qFormat/>
    <w:uiPriority w:val="0"/>
  </w:style>
  <w:style w:type="character" w:customStyle="1" w:styleId="62">
    <w:name w:val="tang-pass-qrcode-list-gx"/>
    <w:basedOn w:val="24"/>
    <w:autoRedefine/>
    <w:qFormat/>
    <w:uiPriority w:val="0"/>
  </w:style>
  <w:style w:type="paragraph" w:customStyle="1" w:styleId="63">
    <w:name w:val="xl36"/>
    <w:basedOn w:val="1"/>
    <w:autoRedefine/>
    <w:qFormat/>
    <w:uiPriority w:val="0"/>
    <w:pPr>
      <w:widowControl/>
      <w:spacing w:before="100" w:beforeLines="0" w:beforeAutospacing="0" w:after="100" w:afterLines="0" w:afterAutospacing="0"/>
      <w:jc w:val="center"/>
    </w:pPr>
    <w:rPr>
      <w:rFonts w:hint="eastAsia" w:ascii="宋体" w:hAnsi="宋体"/>
      <w:kern w:val="0"/>
      <w:sz w:val="24"/>
    </w:rPr>
  </w:style>
  <w:style w:type="character" w:customStyle="1" w:styleId="64">
    <w:name w:val="font101"/>
    <w:basedOn w:val="24"/>
    <w:autoRedefine/>
    <w:qFormat/>
    <w:uiPriority w:val="0"/>
    <w:rPr>
      <w:rFonts w:hint="default" w:ascii="Calibri" w:hAnsi="Calibri" w:cs="Calibri"/>
      <w:color w:val="000000"/>
      <w:sz w:val="21"/>
      <w:szCs w:val="21"/>
      <w:u w:val="none"/>
    </w:rPr>
  </w:style>
  <w:style w:type="character" w:customStyle="1" w:styleId="65">
    <w:name w:val="nth-of-type(3)"/>
    <w:basedOn w:val="24"/>
    <w:autoRedefine/>
    <w:qFormat/>
    <w:uiPriority w:val="0"/>
  </w:style>
  <w:style w:type="character" w:customStyle="1" w:styleId="66">
    <w:name w:val="nth-of-type(3)1"/>
    <w:basedOn w:val="24"/>
    <w:autoRedefine/>
    <w:qFormat/>
    <w:uiPriority w:val="0"/>
  </w:style>
  <w:style w:type="character" w:customStyle="1" w:styleId="67">
    <w:name w:val="nth-of-type(3)2"/>
    <w:basedOn w:val="24"/>
    <w:autoRedefine/>
    <w:qFormat/>
    <w:uiPriority w:val="0"/>
  </w:style>
  <w:style w:type="character" w:customStyle="1" w:styleId="68">
    <w:name w:val="nth-of-type(3)3"/>
    <w:basedOn w:val="24"/>
    <w:autoRedefine/>
    <w:qFormat/>
    <w:uiPriority w:val="0"/>
  </w:style>
  <w:style w:type="character" w:customStyle="1" w:styleId="69">
    <w:name w:val="nth-of-type(3)4"/>
    <w:basedOn w:val="24"/>
    <w:autoRedefine/>
    <w:qFormat/>
    <w:uiPriority w:val="0"/>
  </w:style>
  <w:style w:type="character" w:customStyle="1" w:styleId="70">
    <w:name w:val="nth-of-type(3)5"/>
    <w:basedOn w:val="24"/>
    <w:autoRedefine/>
    <w:qFormat/>
    <w:uiPriority w:val="0"/>
  </w:style>
  <w:style w:type="character" w:customStyle="1" w:styleId="71">
    <w:name w:val="nth-of-type(3)6"/>
    <w:basedOn w:val="24"/>
    <w:autoRedefine/>
    <w:qFormat/>
    <w:uiPriority w:val="0"/>
    <w:rPr>
      <w:sz w:val="21"/>
      <w:szCs w:val="21"/>
    </w:rPr>
  </w:style>
  <w:style w:type="character" w:customStyle="1" w:styleId="72">
    <w:name w:val="nth-of-type(3)7"/>
    <w:basedOn w:val="24"/>
    <w:autoRedefine/>
    <w:qFormat/>
    <w:uiPriority w:val="0"/>
  </w:style>
  <w:style w:type="character" w:customStyle="1" w:styleId="73">
    <w:name w:val="last-child"/>
    <w:basedOn w:val="24"/>
    <w:autoRedefine/>
    <w:qFormat/>
    <w:uiPriority w:val="0"/>
  </w:style>
  <w:style w:type="character" w:customStyle="1" w:styleId="74">
    <w:name w:val="last-child1"/>
    <w:basedOn w:val="24"/>
    <w:autoRedefine/>
    <w:qFormat/>
    <w:uiPriority w:val="0"/>
    <w:rPr>
      <w:color w:val="FFFFFF"/>
    </w:rPr>
  </w:style>
  <w:style w:type="character" w:customStyle="1" w:styleId="75">
    <w:name w:val="nth-of-type(4)"/>
    <w:basedOn w:val="24"/>
    <w:autoRedefine/>
    <w:qFormat/>
    <w:uiPriority w:val="0"/>
  </w:style>
  <w:style w:type="character" w:customStyle="1" w:styleId="76">
    <w:name w:val="nth-of-type(1)"/>
    <w:basedOn w:val="24"/>
    <w:autoRedefine/>
    <w:qFormat/>
    <w:uiPriority w:val="0"/>
  </w:style>
  <w:style w:type="character" w:customStyle="1" w:styleId="77">
    <w:name w:val="nth-of-type(1)1"/>
    <w:basedOn w:val="24"/>
    <w:autoRedefine/>
    <w:qFormat/>
    <w:uiPriority w:val="0"/>
  </w:style>
  <w:style w:type="character" w:customStyle="1" w:styleId="78">
    <w:name w:val="nth-of-type(1)2"/>
    <w:basedOn w:val="24"/>
    <w:autoRedefine/>
    <w:qFormat/>
    <w:uiPriority w:val="0"/>
  </w:style>
  <w:style w:type="character" w:customStyle="1" w:styleId="79">
    <w:name w:val="nth-of-type(1)3"/>
    <w:basedOn w:val="24"/>
    <w:autoRedefine/>
    <w:qFormat/>
    <w:uiPriority w:val="0"/>
  </w:style>
  <w:style w:type="character" w:customStyle="1" w:styleId="80">
    <w:name w:val="nth-of-type(1)4"/>
    <w:basedOn w:val="24"/>
    <w:autoRedefine/>
    <w:qFormat/>
    <w:uiPriority w:val="0"/>
    <w:rPr>
      <w:rFonts w:ascii="SourceHanSansCN-Regular" w:hAnsi="SourceHanSansCN-Regular" w:eastAsia="SourceHanSansCN-Regular" w:cs="SourceHanSansCN-Regular"/>
      <w:color w:val="FB560A"/>
      <w:sz w:val="21"/>
      <w:szCs w:val="21"/>
    </w:rPr>
  </w:style>
  <w:style w:type="character" w:customStyle="1" w:styleId="81">
    <w:name w:val="nth-of-type(1)5"/>
    <w:basedOn w:val="24"/>
    <w:autoRedefine/>
    <w:qFormat/>
    <w:uiPriority w:val="0"/>
  </w:style>
  <w:style w:type="character" w:customStyle="1" w:styleId="82">
    <w:name w:val="nth-of-type(1)6"/>
    <w:basedOn w:val="24"/>
    <w:autoRedefine/>
    <w:qFormat/>
    <w:uiPriority w:val="0"/>
  </w:style>
  <w:style w:type="character" w:customStyle="1" w:styleId="83">
    <w:name w:val="nth-of-type(1)7"/>
    <w:basedOn w:val="24"/>
    <w:autoRedefine/>
    <w:qFormat/>
    <w:uiPriority w:val="0"/>
  </w:style>
  <w:style w:type="character" w:customStyle="1" w:styleId="84">
    <w:name w:val="nth-of-type(1)8"/>
    <w:basedOn w:val="24"/>
    <w:autoRedefine/>
    <w:qFormat/>
    <w:uiPriority w:val="0"/>
  </w:style>
  <w:style w:type="character" w:customStyle="1" w:styleId="85">
    <w:name w:val="nth-of-type(1)9"/>
    <w:basedOn w:val="24"/>
    <w:autoRedefine/>
    <w:qFormat/>
    <w:uiPriority w:val="0"/>
  </w:style>
  <w:style w:type="character" w:customStyle="1" w:styleId="86">
    <w:name w:val="nth-of-type(1)10"/>
    <w:basedOn w:val="24"/>
    <w:autoRedefine/>
    <w:qFormat/>
    <w:uiPriority w:val="0"/>
  </w:style>
  <w:style w:type="character" w:customStyle="1" w:styleId="87">
    <w:name w:val="nth-of-type(1)11"/>
    <w:basedOn w:val="24"/>
    <w:autoRedefine/>
    <w:qFormat/>
    <w:uiPriority w:val="0"/>
  </w:style>
  <w:style w:type="character" w:customStyle="1" w:styleId="88">
    <w:name w:val="nth-of-type(1)12"/>
    <w:basedOn w:val="24"/>
    <w:autoRedefine/>
    <w:qFormat/>
    <w:uiPriority w:val="0"/>
  </w:style>
  <w:style w:type="character" w:customStyle="1" w:styleId="89">
    <w:name w:val="nth-of-type(1)13"/>
    <w:basedOn w:val="24"/>
    <w:autoRedefine/>
    <w:qFormat/>
    <w:uiPriority w:val="0"/>
  </w:style>
  <w:style w:type="character" w:customStyle="1" w:styleId="90">
    <w:name w:val="nth-of-type(1)14"/>
    <w:basedOn w:val="24"/>
    <w:autoRedefine/>
    <w:qFormat/>
    <w:uiPriority w:val="0"/>
  </w:style>
  <w:style w:type="character" w:customStyle="1" w:styleId="91">
    <w:name w:val="nth-of-type(1)15"/>
    <w:basedOn w:val="24"/>
    <w:autoRedefine/>
    <w:qFormat/>
    <w:uiPriority w:val="0"/>
  </w:style>
  <w:style w:type="character" w:customStyle="1" w:styleId="92">
    <w:name w:val="nth-of-type(1)16"/>
    <w:basedOn w:val="24"/>
    <w:autoRedefine/>
    <w:qFormat/>
    <w:uiPriority w:val="0"/>
  </w:style>
  <w:style w:type="character" w:customStyle="1" w:styleId="93">
    <w:name w:val="nth-of-type(1)17"/>
    <w:basedOn w:val="24"/>
    <w:autoRedefine/>
    <w:qFormat/>
    <w:uiPriority w:val="0"/>
    <w:rPr>
      <w:sz w:val="21"/>
      <w:szCs w:val="21"/>
    </w:rPr>
  </w:style>
  <w:style w:type="character" w:customStyle="1" w:styleId="94">
    <w:name w:val="nth-of-type(1)18"/>
    <w:basedOn w:val="24"/>
    <w:autoRedefine/>
    <w:qFormat/>
    <w:uiPriority w:val="0"/>
  </w:style>
  <w:style w:type="character" w:customStyle="1" w:styleId="95">
    <w:name w:val="nth-of-type(9)"/>
    <w:basedOn w:val="24"/>
    <w:autoRedefine/>
    <w:qFormat/>
    <w:uiPriority w:val="0"/>
  </w:style>
  <w:style w:type="character" w:customStyle="1" w:styleId="96">
    <w:name w:val="nth-of-type(2)"/>
    <w:basedOn w:val="24"/>
    <w:autoRedefine/>
    <w:qFormat/>
    <w:uiPriority w:val="0"/>
  </w:style>
  <w:style w:type="character" w:customStyle="1" w:styleId="97">
    <w:name w:val="nth-of-type(2)1"/>
    <w:basedOn w:val="24"/>
    <w:autoRedefine/>
    <w:qFormat/>
    <w:uiPriority w:val="0"/>
  </w:style>
  <w:style w:type="character" w:customStyle="1" w:styleId="98">
    <w:name w:val="nth-of-type(2)2"/>
    <w:basedOn w:val="24"/>
    <w:autoRedefine/>
    <w:qFormat/>
    <w:uiPriority w:val="0"/>
  </w:style>
  <w:style w:type="character" w:customStyle="1" w:styleId="99">
    <w:name w:val="nth-of-type(2)3"/>
    <w:basedOn w:val="24"/>
    <w:autoRedefine/>
    <w:qFormat/>
    <w:uiPriority w:val="0"/>
  </w:style>
  <w:style w:type="character" w:customStyle="1" w:styleId="100">
    <w:name w:val="nth-of-type(2)4"/>
    <w:basedOn w:val="24"/>
    <w:autoRedefine/>
    <w:qFormat/>
    <w:uiPriority w:val="0"/>
  </w:style>
  <w:style w:type="character" w:customStyle="1" w:styleId="101">
    <w:name w:val="nth-of-type(2)5"/>
    <w:basedOn w:val="24"/>
    <w:autoRedefine/>
    <w:qFormat/>
    <w:uiPriority w:val="0"/>
  </w:style>
  <w:style w:type="character" w:customStyle="1" w:styleId="102">
    <w:name w:val="nth-of-type(2)6"/>
    <w:basedOn w:val="24"/>
    <w:autoRedefine/>
    <w:qFormat/>
    <w:uiPriority w:val="0"/>
  </w:style>
  <w:style w:type="character" w:customStyle="1" w:styleId="103">
    <w:name w:val="nth-of-type(2)7"/>
    <w:basedOn w:val="24"/>
    <w:autoRedefine/>
    <w:qFormat/>
    <w:uiPriority w:val="0"/>
  </w:style>
  <w:style w:type="character" w:customStyle="1" w:styleId="104">
    <w:name w:val="nth-of-type(2)8"/>
    <w:basedOn w:val="24"/>
    <w:autoRedefine/>
    <w:qFormat/>
    <w:uiPriority w:val="0"/>
  </w:style>
  <w:style w:type="character" w:customStyle="1" w:styleId="105">
    <w:name w:val="nth-of-type(2)9"/>
    <w:basedOn w:val="24"/>
    <w:autoRedefine/>
    <w:qFormat/>
    <w:uiPriority w:val="0"/>
  </w:style>
  <w:style w:type="character" w:customStyle="1" w:styleId="106">
    <w:name w:val="nth-of-type(2)10"/>
    <w:basedOn w:val="24"/>
    <w:autoRedefine/>
    <w:qFormat/>
    <w:uiPriority w:val="0"/>
  </w:style>
  <w:style w:type="character" w:customStyle="1" w:styleId="107">
    <w:name w:val="nth-of-type(2)11"/>
    <w:basedOn w:val="24"/>
    <w:autoRedefine/>
    <w:qFormat/>
    <w:uiPriority w:val="0"/>
  </w:style>
  <w:style w:type="character" w:customStyle="1" w:styleId="108">
    <w:name w:val="nth-of-type(2)12"/>
    <w:basedOn w:val="24"/>
    <w:autoRedefine/>
    <w:qFormat/>
    <w:uiPriority w:val="0"/>
  </w:style>
  <w:style w:type="character" w:customStyle="1" w:styleId="109">
    <w:name w:val="nth-of-type(2)13"/>
    <w:basedOn w:val="24"/>
    <w:autoRedefine/>
    <w:qFormat/>
    <w:uiPriority w:val="0"/>
    <w:rPr>
      <w:sz w:val="21"/>
      <w:szCs w:val="21"/>
    </w:rPr>
  </w:style>
  <w:style w:type="character" w:customStyle="1" w:styleId="110">
    <w:name w:val="nth-of-type(2)14"/>
    <w:basedOn w:val="24"/>
    <w:autoRedefine/>
    <w:qFormat/>
    <w:uiPriority w:val="0"/>
  </w:style>
  <w:style w:type="character" w:customStyle="1" w:styleId="111">
    <w:name w:val="layui-this4"/>
    <w:basedOn w:val="24"/>
    <w:autoRedefine/>
    <w:qFormat/>
    <w:uiPriority w:val="0"/>
    <w:rPr>
      <w:bdr w:val="single" w:color="EEEEEE" w:sz="6" w:space="0"/>
      <w:shd w:val="clear" w:color="auto" w:fill="FFFFFF"/>
    </w:rPr>
  </w:style>
  <w:style w:type="character" w:customStyle="1" w:styleId="112">
    <w:name w:val="nth-child(1)"/>
    <w:basedOn w:val="24"/>
    <w:autoRedefine/>
    <w:qFormat/>
    <w:uiPriority w:val="0"/>
  </w:style>
  <w:style w:type="character" w:customStyle="1" w:styleId="113">
    <w:name w:val="before2"/>
    <w:basedOn w:val="24"/>
    <w:autoRedefine/>
    <w:qFormat/>
    <w:uiPriority w:val="0"/>
    <w:rPr>
      <w:shd w:val="clear" w:color="auto" w:fill="C20E0C"/>
    </w:rPr>
  </w:style>
  <w:style w:type="character" w:customStyle="1" w:styleId="114">
    <w:name w:val="lineshow"/>
    <w:basedOn w:val="24"/>
    <w:autoRedefine/>
    <w:qFormat/>
    <w:uiPriority w:val="0"/>
  </w:style>
  <w:style w:type="character" w:customStyle="1" w:styleId="115">
    <w:name w:val="lineshow1"/>
    <w:basedOn w:val="24"/>
    <w:autoRedefine/>
    <w:qFormat/>
    <w:uiPriority w:val="0"/>
  </w:style>
  <w:style w:type="character" w:customStyle="1" w:styleId="116">
    <w:name w:val="first-child"/>
    <w:basedOn w:val="24"/>
    <w:autoRedefine/>
    <w:qFormat/>
    <w:uiPriority w:val="0"/>
  </w:style>
  <w:style w:type="character" w:customStyle="1" w:styleId="117">
    <w:name w:val="first-child1"/>
    <w:basedOn w:val="24"/>
    <w:autoRedefine/>
    <w:qFormat/>
    <w:uiPriority w:val="0"/>
  </w:style>
  <w:style w:type="character" w:customStyle="1" w:styleId="118">
    <w:name w:val="first-child2"/>
    <w:basedOn w:val="24"/>
    <w:autoRedefine/>
    <w:qFormat/>
    <w:uiPriority w:val="0"/>
  </w:style>
  <w:style w:type="character" w:customStyle="1" w:styleId="119">
    <w:name w:val="first-child3"/>
    <w:basedOn w:val="24"/>
    <w:autoRedefine/>
    <w:qFormat/>
    <w:uiPriority w:val="0"/>
  </w:style>
  <w:style w:type="character" w:customStyle="1" w:styleId="120">
    <w:name w:val="hover25"/>
    <w:basedOn w:val="24"/>
    <w:autoRedefine/>
    <w:qFormat/>
    <w:uiPriority w:val="0"/>
    <w:rPr>
      <w:color w:val="167AE0"/>
    </w:rPr>
  </w:style>
  <w:style w:type="character" w:customStyle="1" w:styleId="121">
    <w:name w:val="hover26"/>
    <w:basedOn w:val="24"/>
    <w:autoRedefine/>
    <w:qFormat/>
    <w:uiPriority w:val="0"/>
  </w:style>
  <w:style w:type="character" w:customStyle="1" w:styleId="122">
    <w:name w:val="nth-of-type(5)"/>
    <w:basedOn w:val="24"/>
    <w:autoRedefine/>
    <w:qFormat/>
    <w:uiPriority w:val="0"/>
  </w:style>
  <w:style w:type="character" w:customStyle="1" w:styleId="123">
    <w:name w:val="nth-of-type(5)1"/>
    <w:basedOn w:val="24"/>
    <w:autoRedefine/>
    <w:qFormat/>
    <w:uiPriority w:val="0"/>
  </w:style>
  <w:style w:type="character" w:customStyle="1" w:styleId="124">
    <w:name w:val="nth-of-type(5)2"/>
    <w:basedOn w:val="24"/>
    <w:autoRedefine/>
    <w:qFormat/>
    <w:uiPriority w:val="0"/>
  </w:style>
  <w:style w:type="character" w:customStyle="1" w:styleId="125">
    <w:name w:val="nth-of-type(5)3"/>
    <w:basedOn w:val="24"/>
    <w:autoRedefine/>
    <w:qFormat/>
    <w:uiPriority w:val="0"/>
  </w:style>
  <w:style w:type="character" w:customStyle="1" w:styleId="126">
    <w:name w:val="nth-of-type(5)4"/>
    <w:basedOn w:val="24"/>
    <w:autoRedefine/>
    <w:qFormat/>
    <w:uiPriority w:val="0"/>
  </w:style>
  <w:style w:type="character" w:customStyle="1" w:styleId="127">
    <w:name w:val="nth-of-type(5)5"/>
    <w:basedOn w:val="24"/>
    <w:autoRedefine/>
    <w:qFormat/>
    <w:uiPriority w:val="0"/>
    <w:rPr>
      <w:sz w:val="21"/>
      <w:szCs w:val="21"/>
    </w:rPr>
  </w:style>
  <w:style w:type="character" w:customStyle="1" w:styleId="128">
    <w:name w:val="nth-of-type(5)6"/>
    <w:basedOn w:val="24"/>
    <w:autoRedefine/>
    <w:qFormat/>
    <w:uiPriority w:val="0"/>
  </w:style>
  <w:style w:type="character" w:customStyle="1" w:styleId="129">
    <w:name w:val="nth-of-type(8)"/>
    <w:basedOn w:val="24"/>
    <w:autoRedefine/>
    <w:qFormat/>
    <w:uiPriority w:val="0"/>
  </w:style>
  <w:style w:type="character" w:customStyle="1" w:styleId="130">
    <w:name w:val="nth-of-type(10)"/>
    <w:basedOn w:val="24"/>
    <w:autoRedefine/>
    <w:qFormat/>
    <w:uiPriority w:val="0"/>
  </w:style>
  <w:style w:type="character" w:customStyle="1" w:styleId="131">
    <w:name w:val="nth-of-type(7)"/>
    <w:basedOn w:val="24"/>
    <w:autoRedefine/>
    <w:qFormat/>
    <w:uiPriority w:val="0"/>
  </w:style>
  <w:style w:type="character" w:customStyle="1" w:styleId="132">
    <w:name w:val="nth-of-type(7)1"/>
    <w:basedOn w:val="24"/>
    <w:autoRedefine/>
    <w:qFormat/>
    <w:uiPriority w:val="0"/>
  </w:style>
  <w:style w:type="character" w:customStyle="1" w:styleId="133">
    <w:name w:val="nth-of-type(7)2"/>
    <w:basedOn w:val="24"/>
    <w:autoRedefine/>
    <w:qFormat/>
    <w:uiPriority w:val="0"/>
  </w:style>
  <w:style w:type="character" w:customStyle="1" w:styleId="134">
    <w:name w:val="nth-of-type(6)"/>
    <w:basedOn w:val="24"/>
    <w:autoRedefine/>
    <w:qFormat/>
    <w:uiPriority w:val="0"/>
  </w:style>
  <w:style w:type="character" w:customStyle="1" w:styleId="135">
    <w:name w:val="nth-of-type(6)1"/>
    <w:basedOn w:val="24"/>
    <w:autoRedefine/>
    <w:qFormat/>
    <w:uiPriority w:val="0"/>
  </w:style>
  <w:style w:type="character" w:customStyle="1" w:styleId="136">
    <w:name w:val="nth-of-type(6)2"/>
    <w:basedOn w:val="24"/>
    <w:autoRedefine/>
    <w:qFormat/>
    <w:uiPriority w:val="0"/>
  </w:style>
  <w:style w:type="character" w:customStyle="1" w:styleId="137">
    <w:name w:val="nth-of-type(6)3"/>
    <w:basedOn w:val="24"/>
    <w:autoRedefine/>
    <w:qFormat/>
    <w:uiPriority w:val="0"/>
    <w:rPr>
      <w:color w:val="0082DF"/>
    </w:rPr>
  </w:style>
  <w:style w:type="character" w:customStyle="1" w:styleId="138">
    <w:name w:val="nth-of-type(6)4"/>
    <w:basedOn w:val="24"/>
    <w:autoRedefine/>
    <w:qFormat/>
    <w:uiPriority w:val="0"/>
  </w:style>
  <w:style w:type="character" w:customStyle="1" w:styleId="139">
    <w:name w:val="nth-of-type(6)5"/>
    <w:basedOn w:val="24"/>
    <w:autoRedefine/>
    <w:qFormat/>
    <w:uiPriority w:val="0"/>
  </w:style>
  <w:style w:type="character" w:customStyle="1" w:styleId="140">
    <w:name w:val="nth-child(2)"/>
    <w:basedOn w:val="24"/>
    <w:autoRedefine/>
    <w:qFormat/>
    <w:uiPriority w:val="0"/>
  </w:style>
  <w:style w:type="character" w:customStyle="1" w:styleId="141">
    <w:name w:val="layui-laypage-curr"/>
    <w:basedOn w:val="24"/>
    <w:autoRedefine/>
    <w:qFormat/>
    <w:uiPriority w:val="0"/>
  </w:style>
  <w:style w:type="character" w:customStyle="1" w:styleId="142">
    <w:name w:val="titleshow"/>
    <w:basedOn w:val="24"/>
    <w:autoRedefine/>
    <w:qFormat/>
    <w:uiPriority w:val="0"/>
    <w:rPr>
      <w:color w:val="3E464C"/>
    </w:rPr>
  </w:style>
  <w:style w:type="character" w:customStyle="1" w:styleId="143">
    <w:name w:val="nth-child(3)"/>
    <w:basedOn w:val="24"/>
    <w:autoRedefine/>
    <w:qFormat/>
    <w:uiPriority w:val="0"/>
  </w:style>
  <w:style w:type="character" w:customStyle="1" w:styleId="144">
    <w:name w:val="last-child2"/>
    <w:basedOn w:val="24"/>
    <w:autoRedefine/>
    <w:qFormat/>
    <w:uiPriority w:val="0"/>
    <w:rPr>
      <w:color w:val="011F4F"/>
    </w:rPr>
  </w:style>
  <w:style w:type="character" w:customStyle="1" w:styleId="145">
    <w:name w:val="hover23"/>
    <w:basedOn w:val="24"/>
    <w:autoRedefine/>
    <w:qFormat/>
    <w:uiPriority w:val="0"/>
  </w:style>
  <w:style w:type="character" w:customStyle="1" w:styleId="146">
    <w:name w:val="hover24"/>
    <w:basedOn w:val="24"/>
    <w:autoRedefine/>
    <w:qFormat/>
    <w:uiPriority w:val="0"/>
    <w:rPr>
      <w:color w:val="167AE0"/>
    </w:rPr>
  </w:style>
  <w:style w:type="character" w:customStyle="1" w:styleId="147">
    <w:name w:val="nth-of-type(4)1"/>
    <w:basedOn w:val="24"/>
    <w:autoRedefine/>
    <w:qFormat/>
    <w:uiPriority w:val="0"/>
  </w:style>
  <w:style w:type="character" w:customStyle="1" w:styleId="148">
    <w:name w:val="nth-of-type(4)2"/>
    <w:basedOn w:val="24"/>
    <w:autoRedefine/>
    <w:qFormat/>
    <w:uiPriority w:val="0"/>
  </w:style>
  <w:style w:type="character" w:customStyle="1" w:styleId="149">
    <w:name w:val="nth-of-type(4)3"/>
    <w:basedOn w:val="24"/>
    <w:autoRedefine/>
    <w:qFormat/>
    <w:uiPriority w:val="0"/>
  </w:style>
  <w:style w:type="character" w:customStyle="1" w:styleId="150">
    <w:name w:val="nth-of-type(4)4"/>
    <w:basedOn w:val="24"/>
    <w:autoRedefine/>
    <w:qFormat/>
    <w:uiPriority w:val="0"/>
  </w:style>
  <w:style w:type="character" w:customStyle="1" w:styleId="151">
    <w:name w:val="nth-of-type(4)5"/>
    <w:basedOn w:val="24"/>
    <w:autoRedefine/>
    <w:qFormat/>
    <w:uiPriority w:val="0"/>
  </w:style>
  <w:style w:type="character" w:customStyle="1" w:styleId="152">
    <w:name w:val="nth-of-type(4)6"/>
    <w:basedOn w:val="24"/>
    <w:autoRedefine/>
    <w:qFormat/>
    <w:uiPriority w:val="0"/>
  </w:style>
  <w:style w:type="character" w:customStyle="1" w:styleId="153">
    <w:name w:val="nth-of-type(4)7"/>
    <w:basedOn w:val="24"/>
    <w:autoRedefine/>
    <w:qFormat/>
    <w:uiPriority w:val="0"/>
  </w:style>
  <w:style w:type="character" w:customStyle="1" w:styleId="154">
    <w:name w:val="nth-of-type(4)8"/>
    <w:basedOn w:val="24"/>
    <w:autoRedefine/>
    <w:qFormat/>
    <w:uiPriority w:val="0"/>
  </w:style>
  <w:style w:type="character" w:customStyle="1" w:styleId="155">
    <w:name w:val="layui-this"/>
    <w:basedOn w:val="24"/>
    <w:autoRedefine/>
    <w:qFormat/>
    <w:uiPriority w:val="0"/>
    <w:rPr>
      <w:bdr w:val="single" w:color="EEEEEE" w:sz="6" w:space="0"/>
      <w:shd w:val="clear" w:color="auto" w:fill="FFFFFF"/>
    </w:rPr>
  </w:style>
  <w:style w:type="character" w:customStyle="1" w:styleId="156">
    <w:name w:val="font21"/>
    <w:basedOn w:val="24"/>
    <w:autoRedefine/>
    <w:qFormat/>
    <w:uiPriority w:val="0"/>
    <w:rPr>
      <w:rFonts w:hint="eastAsia" w:ascii="仿宋" w:hAnsi="仿宋" w:eastAsia="仿宋" w:cs="仿宋"/>
      <w:color w:val="000000"/>
      <w:sz w:val="28"/>
      <w:szCs w:val="28"/>
      <w:u w:val="none"/>
    </w:rPr>
  </w:style>
  <w:style w:type="character" w:customStyle="1" w:styleId="157">
    <w:name w:val="font11"/>
    <w:basedOn w:val="24"/>
    <w:autoRedefine/>
    <w:qFormat/>
    <w:uiPriority w:val="0"/>
    <w:rPr>
      <w:rFonts w:hint="eastAsia" w:ascii="宋体" w:hAnsi="宋体" w:eastAsia="宋体" w:cs="宋体"/>
      <w:color w:val="000000"/>
      <w:sz w:val="28"/>
      <w:szCs w:val="28"/>
      <w:u w:val="none"/>
    </w:rPr>
  </w:style>
  <w:style w:type="character" w:customStyle="1" w:styleId="158">
    <w:name w:val="font71"/>
    <w:basedOn w:val="24"/>
    <w:autoRedefine/>
    <w:qFormat/>
    <w:uiPriority w:val="0"/>
    <w:rPr>
      <w:rFonts w:hint="eastAsia" w:ascii="微软雅黑" w:hAnsi="微软雅黑" w:eastAsia="微软雅黑" w:cs="微软雅黑"/>
      <w:color w:val="000000"/>
      <w:sz w:val="20"/>
      <w:szCs w:val="20"/>
      <w:u w:val="none"/>
    </w:rPr>
  </w:style>
  <w:style w:type="character" w:customStyle="1" w:styleId="159">
    <w:name w:val="font131"/>
    <w:basedOn w:val="24"/>
    <w:autoRedefine/>
    <w:qFormat/>
    <w:uiPriority w:val="0"/>
    <w:rPr>
      <w:rFonts w:ascii="宋体" w:hAnsi="宋体" w:eastAsia="宋体" w:cs="宋体"/>
      <w:color w:val="000000"/>
      <w:sz w:val="20"/>
      <w:szCs w:val="20"/>
      <w:u w:val="none"/>
    </w:rPr>
  </w:style>
  <w:style w:type="character" w:customStyle="1" w:styleId="160">
    <w:name w:val="font81"/>
    <w:basedOn w:val="24"/>
    <w:autoRedefine/>
    <w:qFormat/>
    <w:uiPriority w:val="0"/>
    <w:rPr>
      <w:rFonts w:hint="eastAsia" w:ascii="宋体" w:hAnsi="宋体" w:eastAsia="宋体" w:cs="宋体"/>
      <w:color w:val="000000"/>
      <w:sz w:val="20"/>
      <w:szCs w:val="20"/>
      <w:u w:val="none"/>
    </w:rPr>
  </w:style>
  <w:style w:type="character" w:customStyle="1" w:styleId="161">
    <w:name w:val="font112"/>
    <w:basedOn w:val="24"/>
    <w:autoRedefine/>
    <w:qFormat/>
    <w:uiPriority w:val="0"/>
    <w:rPr>
      <w:rFonts w:hint="eastAsia" w:ascii="微软雅黑" w:hAnsi="微软雅黑" w:eastAsia="微软雅黑" w:cs="微软雅黑"/>
      <w:color w:val="000000"/>
      <w:sz w:val="20"/>
      <w:szCs w:val="20"/>
      <w:u w:val="none"/>
    </w:rPr>
  </w:style>
  <w:style w:type="character" w:customStyle="1" w:styleId="162">
    <w:name w:val="font51"/>
    <w:basedOn w:val="24"/>
    <w:autoRedefine/>
    <w:qFormat/>
    <w:uiPriority w:val="0"/>
    <w:rPr>
      <w:rFonts w:hint="eastAsia" w:ascii="仿宋" w:hAnsi="仿宋" w:eastAsia="仿宋" w:cs="仿宋"/>
      <w:color w:val="000000"/>
      <w:sz w:val="22"/>
      <w:szCs w:val="22"/>
      <w:u w:val="none"/>
    </w:rPr>
  </w:style>
  <w:style w:type="paragraph" w:customStyle="1" w:styleId="163">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165">
    <w:name w:val="hover21"/>
    <w:basedOn w:val="24"/>
    <w:qFormat/>
    <w:uiPriority w:val="0"/>
  </w:style>
  <w:style w:type="character" w:customStyle="1" w:styleId="166">
    <w:name w:val="hover22"/>
    <w:basedOn w:val="24"/>
    <w:qFormat/>
    <w:uiPriority w:val="0"/>
    <w:rPr>
      <w:color w:val="167AE0"/>
    </w:rPr>
  </w:style>
  <w:style w:type="character" w:customStyle="1" w:styleId="167">
    <w:name w:val="last-child3"/>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12126</Words>
  <Characters>14165</Characters>
  <Lines>320</Lines>
  <Paragraphs>90</Paragraphs>
  <TotalTime>0</TotalTime>
  <ScaleCrop>false</ScaleCrop>
  <LinksUpToDate>false</LinksUpToDate>
  <CharactersWithSpaces>14388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2021-10-28T17:47:00Z</dcterms:created>
  <dc:creator>、许多年以后</dc:creator>
  <cp:lastModifiedBy>向阳</cp:lastModifiedBy>
  <cp:lastPrinted>2022-06-07T17:41:00Z</cp:lastPrinted>
  <dcterms:modified xsi:type="dcterms:W3CDTF">2025-11-20T08:20:18Z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F28C6552482E40B1958D3123D5F213E3_13</vt:lpwstr>
  </property>
  <property fmtid="{D5CDD505-2E9C-101B-9397-08002B2CF9AE}" pid="4" name="KSOTemplateDocerSaveRecord">
    <vt:lpwstr>eyJoZGlkIjoiNDRmZDU4MDc1YTY3MzY3MDI5MjQwZmY0MWQ2ZDY2NTYiLCJ1c2VySWQiOiIxMTM1MTk4OTY1In0=</vt:lpwstr>
  </property>
</Properties>
</file>