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AE2D2F1">
      <w:pPr>
        <w:spacing w:line="640" w:lineRule="exact"/>
        <w:jc w:val="center"/>
        <w:rPr>
          <w:rFonts w:hint="eastAsia" w:ascii="黑体" w:hAnsi="黑体" w:eastAsia="黑体" w:cs="黑体"/>
          <w:sz w:val="36"/>
          <w:szCs w:val="36"/>
          <w:lang w:val="en-US" w:eastAsia="zh-CN"/>
        </w:rPr>
      </w:pPr>
      <w:r>
        <w:rPr>
          <w:rFonts w:hint="eastAsia" w:ascii="黑体" w:hAnsi="黑体" w:eastAsia="黑体" w:cs="黑体"/>
          <w:sz w:val="36"/>
          <w:szCs w:val="36"/>
          <w:lang w:val="en-US" w:eastAsia="zh-CN"/>
        </w:rPr>
        <w:t>公务用车购置项目</w:t>
      </w:r>
    </w:p>
    <w:p w14:paraId="64D3241F">
      <w:pPr>
        <w:spacing w:line="640" w:lineRule="exact"/>
        <w:jc w:val="center"/>
        <w:rPr>
          <w:rFonts w:hint="eastAsia" w:ascii="黑体" w:hAnsi="黑体" w:eastAsia="黑体" w:cs="黑体"/>
          <w:sz w:val="36"/>
          <w:szCs w:val="36"/>
        </w:rPr>
      </w:pPr>
      <w:r>
        <w:rPr>
          <w:rFonts w:hint="eastAsia" w:ascii="黑体" w:hAnsi="黑体" w:eastAsia="黑体" w:cs="黑体"/>
          <w:sz w:val="36"/>
          <w:szCs w:val="36"/>
        </w:rPr>
        <w:t>采购需求</w:t>
      </w:r>
    </w:p>
    <w:p w14:paraId="6A29C339">
      <w:pPr>
        <w:keepNext w:val="0"/>
        <w:keepLines w:val="0"/>
        <w:pageBreakBefore w:val="0"/>
        <w:widowControl w:val="0"/>
        <w:kinsoku/>
        <w:wordWrap/>
        <w:overflowPunct/>
        <w:topLinePunct w:val="0"/>
        <w:autoSpaceDE/>
        <w:autoSpaceDN/>
        <w:bidi w:val="0"/>
        <w:adjustRightInd/>
        <w:snapToGrid/>
        <w:spacing w:line="550" w:lineRule="atLeast"/>
        <w:ind w:firstLine="600" w:firstLineChars="200"/>
        <w:textAlignment w:val="auto"/>
        <w:rPr>
          <w:rFonts w:ascii="黑体" w:eastAsia="黑体" w:cs="宋体"/>
          <w:sz w:val="30"/>
          <w:szCs w:val="30"/>
        </w:rPr>
      </w:pPr>
      <w:r>
        <w:rPr>
          <w:rFonts w:hint="eastAsia" w:ascii="黑体" w:hAnsi="黑体" w:eastAsia="黑体" w:cs="黑体"/>
          <w:sz w:val="30"/>
          <w:szCs w:val="30"/>
        </w:rPr>
        <w:t>一、</w:t>
      </w:r>
      <w:r>
        <w:rPr>
          <w:rFonts w:hint="eastAsia" w:ascii="黑体" w:eastAsia="黑体" w:cs="宋体"/>
          <w:sz w:val="30"/>
          <w:szCs w:val="30"/>
        </w:rPr>
        <w:t>基本要求</w:t>
      </w:r>
    </w:p>
    <w:p w14:paraId="6FDEB5E5">
      <w:pPr>
        <w:keepNext w:val="0"/>
        <w:keepLines w:val="0"/>
        <w:pageBreakBefore w:val="0"/>
        <w:widowControl w:val="0"/>
        <w:kinsoku/>
        <w:wordWrap/>
        <w:overflowPunct/>
        <w:topLinePunct w:val="0"/>
        <w:autoSpaceDE/>
        <w:autoSpaceDN/>
        <w:bidi w:val="0"/>
        <w:adjustRightInd/>
        <w:snapToGrid/>
        <w:spacing w:line="550" w:lineRule="atLeast"/>
        <w:ind w:firstLine="600" w:firstLineChars="200"/>
        <w:textAlignment w:val="auto"/>
        <w:rPr>
          <w:rFonts w:hint="default" w:ascii="仿宋" w:eastAsia="仿宋" w:cs="宋体"/>
          <w:sz w:val="30"/>
          <w:szCs w:val="30"/>
          <w:lang w:val="en-US" w:eastAsia="zh-CN"/>
        </w:rPr>
      </w:pPr>
      <w:r>
        <w:rPr>
          <w:rFonts w:hint="eastAsia" w:ascii="仿宋" w:eastAsia="仿宋" w:cs="宋体"/>
          <w:sz w:val="30"/>
          <w:szCs w:val="30"/>
        </w:rPr>
        <w:t>1</w:t>
      </w:r>
      <w:r>
        <w:rPr>
          <w:rFonts w:hint="eastAsia" w:ascii="仿宋" w:eastAsia="仿宋" w:cs="宋体"/>
          <w:sz w:val="30"/>
          <w:szCs w:val="30"/>
          <w:lang w:val="en-US" w:eastAsia="zh-CN"/>
        </w:rPr>
        <w:t>.</w:t>
      </w:r>
      <w:r>
        <w:rPr>
          <w:rFonts w:hint="eastAsia" w:ascii="仿宋" w:eastAsia="仿宋" w:cs="宋体"/>
          <w:sz w:val="30"/>
          <w:szCs w:val="30"/>
        </w:rPr>
        <w:t>功能要求：</w:t>
      </w:r>
      <w:r>
        <w:rPr>
          <w:rFonts w:hint="eastAsia" w:ascii="仿宋" w:eastAsia="仿宋" w:cs="宋体"/>
          <w:sz w:val="30"/>
          <w:szCs w:val="30"/>
          <w:lang w:val="en-US" w:eastAsia="zh-CN"/>
        </w:rPr>
        <w:t>公务用车购置：小型客车1辆，皮卡车1辆</w:t>
      </w:r>
      <w:r>
        <w:rPr>
          <w:rFonts w:hint="eastAsia" w:ascii="仿宋" w:hAnsi="仿宋" w:eastAsia="仿宋" w:cs="宋体"/>
          <w:sz w:val="30"/>
          <w:szCs w:val="30"/>
        </w:rPr>
        <w:t>。</w:t>
      </w:r>
    </w:p>
    <w:p w14:paraId="494AB3B8">
      <w:pPr>
        <w:keepNext w:val="0"/>
        <w:keepLines w:val="0"/>
        <w:pageBreakBefore w:val="0"/>
        <w:widowControl w:val="0"/>
        <w:kinsoku/>
        <w:wordWrap/>
        <w:overflowPunct/>
        <w:topLinePunct w:val="0"/>
        <w:autoSpaceDE/>
        <w:autoSpaceDN/>
        <w:bidi w:val="0"/>
        <w:adjustRightInd/>
        <w:snapToGrid/>
        <w:spacing w:line="550" w:lineRule="atLeast"/>
        <w:ind w:firstLine="600" w:firstLineChars="200"/>
        <w:textAlignment w:val="auto"/>
        <w:rPr>
          <w:rFonts w:hint="eastAsia" w:ascii="仿宋" w:eastAsia="仿宋" w:cs="宋体"/>
          <w:sz w:val="30"/>
          <w:szCs w:val="30"/>
        </w:rPr>
      </w:pPr>
      <w:r>
        <w:rPr>
          <w:rFonts w:hint="eastAsia" w:ascii="仿宋" w:eastAsia="仿宋" w:cs="宋体"/>
          <w:sz w:val="30"/>
          <w:szCs w:val="30"/>
        </w:rPr>
        <w:t>2</w:t>
      </w:r>
      <w:r>
        <w:rPr>
          <w:rFonts w:hint="eastAsia" w:ascii="仿宋" w:eastAsia="仿宋" w:cs="宋体"/>
          <w:sz w:val="30"/>
          <w:szCs w:val="30"/>
          <w:lang w:val="en-US" w:eastAsia="zh-CN"/>
        </w:rPr>
        <w:t>.</w:t>
      </w:r>
      <w:r>
        <w:rPr>
          <w:rFonts w:hint="eastAsia" w:ascii="仿宋" w:eastAsia="仿宋" w:cs="宋体"/>
          <w:sz w:val="30"/>
          <w:szCs w:val="30"/>
        </w:rPr>
        <w:t>采购项目需要落实的政府采购政策：(1)《关于进一步加大政府采购支持中小企业力度的通知》（财库〔2022〕19号）；(2)关于印发《政府采购促进中小企业发展管理办法》的通知（财库〔2020〕46号）；(3)《财政部司法部关于政府采购支持监狱企业发展有关问题的通知》（财库〔2014〕68号）；(4)《国务院办公厅关于建立政府强制采购节能产品制度的通知》（国办发〔2007〕51号）； (5)《环境标志产品政府采购实施的意见》（财库[2006]90号）；(6)《节</w:t>
      </w:r>
      <w:bookmarkStart w:id="1" w:name="_GoBack"/>
      <w:bookmarkEnd w:id="1"/>
      <w:r>
        <w:rPr>
          <w:rFonts w:hint="eastAsia" w:ascii="仿宋" w:eastAsia="仿宋" w:cs="宋体"/>
          <w:sz w:val="30"/>
          <w:szCs w:val="30"/>
        </w:rPr>
        <w:t>能产品政府采购实施意见》（财库[2004]185号）；(7)《关于促进残疾人就业政府采购政策的通知》（财库〔2017〕141号）；(8)《财政部、发展改革委、生态环境部、市场监管总局关于调整优化节能产品、环境标志产品政府采购执行机制的通知》(财库〔2019〕9号文件)；(9)《陕西省中小企业政府采购信用融资办法》（陕财办采〔2018〕23号）；</w:t>
      </w:r>
    </w:p>
    <w:p w14:paraId="6A80D97D">
      <w:pPr>
        <w:keepNext w:val="0"/>
        <w:keepLines w:val="0"/>
        <w:pageBreakBefore w:val="0"/>
        <w:widowControl w:val="0"/>
        <w:kinsoku/>
        <w:wordWrap/>
        <w:overflowPunct/>
        <w:topLinePunct w:val="0"/>
        <w:autoSpaceDE/>
        <w:autoSpaceDN/>
        <w:bidi w:val="0"/>
        <w:adjustRightInd/>
        <w:snapToGrid/>
        <w:spacing w:line="550" w:lineRule="atLeast"/>
        <w:textAlignment w:val="auto"/>
        <w:rPr>
          <w:rFonts w:hint="eastAsia" w:ascii="仿宋" w:eastAsia="仿宋" w:cs="宋体"/>
          <w:sz w:val="30"/>
          <w:szCs w:val="30"/>
        </w:rPr>
      </w:pPr>
      <w:r>
        <w:rPr>
          <w:rFonts w:hint="eastAsia" w:ascii="仿宋" w:eastAsia="仿宋" w:cs="宋体"/>
          <w:sz w:val="30"/>
          <w:szCs w:val="30"/>
        </w:rPr>
        <w:t>(10)《陕西省财政厅关于加快推进我省中小企业政府采购信用融资工作的通知》（陕财办采〔2020〕15 号）</w:t>
      </w:r>
      <w:r>
        <w:rPr>
          <w:rFonts w:hint="eastAsia" w:ascii="仿宋" w:eastAsia="仿宋" w:cs="宋体"/>
          <w:sz w:val="30"/>
          <w:szCs w:val="30"/>
          <w:highlight w:val="none"/>
        </w:rPr>
        <w:t>；(11)《财政部农业农村部国家乡村振兴局关于运用政府采购政策支持乡村产业振兴的通知》</w:t>
      </w:r>
      <w:r>
        <w:rPr>
          <w:rFonts w:hint="eastAsia" w:ascii="仿宋" w:eastAsia="仿宋" w:cs="宋体"/>
          <w:sz w:val="30"/>
          <w:szCs w:val="30"/>
        </w:rPr>
        <w:t>（财库〔2021〕19 号）；</w:t>
      </w:r>
      <w:r>
        <w:rPr>
          <w:rFonts w:hint="eastAsia" w:ascii="仿宋" w:eastAsia="仿宋" w:cs="宋体"/>
          <w:sz w:val="30"/>
          <w:szCs w:val="30"/>
          <w:lang w:eastAsia="zh-CN"/>
        </w:rPr>
        <w:t>（</w:t>
      </w:r>
      <w:r>
        <w:rPr>
          <w:rFonts w:hint="eastAsia" w:ascii="仿宋" w:eastAsia="仿宋" w:cs="宋体"/>
          <w:sz w:val="30"/>
          <w:szCs w:val="30"/>
          <w:lang w:val="en-US" w:eastAsia="zh-CN"/>
        </w:rPr>
        <w:t>12</w:t>
      </w:r>
      <w:r>
        <w:rPr>
          <w:rFonts w:hint="eastAsia" w:ascii="仿宋" w:eastAsia="仿宋" w:cs="宋体"/>
          <w:sz w:val="30"/>
          <w:szCs w:val="30"/>
          <w:lang w:eastAsia="zh-CN"/>
        </w:rPr>
        <w:t>）</w:t>
      </w:r>
      <w:r>
        <w:rPr>
          <w:rFonts w:hint="eastAsia" w:ascii="仿宋" w:eastAsia="仿宋" w:cs="宋体"/>
          <w:sz w:val="30"/>
          <w:szCs w:val="30"/>
        </w:rPr>
        <w:t>其他需要落实的政府采购政策。</w:t>
      </w:r>
    </w:p>
    <w:p w14:paraId="4917A9A9">
      <w:pPr>
        <w:keepNext w:val="0"/>
        <w:keepLines w:val="0"/>
        <w:pageBreakBefore w:val="0"/>
        <w:widowControl w:val="0"/>
        <w:kinsoku/>
        <w:wordWrap/>
        <w:overflowPunct/>
        <w:topLinePunct w:val="0"/>
        <w:autoSpaceDE/>
        <w:autoSpaceDN/>
        <w:bidi w:val="0"/>
        <w:adjustRightInd/>
        <w:snapToGrid/>
        <w:spacing w:line="550" w:lineRule="atLeast"/>
        <w:ind w:firstLine="600" w:firstLineChars="200"/>
        <w:textAlignment w:val="auto"/>
        <w:rPr>
          <w:rFonts w:hint="default" w:ascii="仿宋" w:eastAsia="仿宋" w:cs="宋体"/>
          <w:sz w:val="30"/>
          <w:szCs w:val="30"/>
          <w:highlight w:val="none"/>
          <w:lang w:val="en-US" w:eastAsia="zh-CN"/>
        </w:rPr>
      </w:pPr>
      <w:r>
        <w:rPr>
          <w:rFonts w:hint="eastAsia" w:ascii="仿宋" w:eastAsia="仿宋" w:cs="宋体"/>
          <w:sz w:val="30"/>
          <w:szCs w:val="30"/>
          <w:highlight w:val="none"/>
        </w:rPr>
        <w:t>3</w:t>
      </w:r>
      <w:r>
        <w:rPr>
          <w:rFonts w:hint="eastAsia" w:ascii="仿宋" w:eastAsia="仿宋" w:cs="宋体"/>
          <w:sz w:val="30"/>
          <w:szCs w:val="30"/>
          <w:highlight w:val="none"/>
          <w:lang w:val="en-US" w:eastAsia="zh-CN"/>
        </w:rPr>
        <w:t>.交货</w:t>
      </w:r>
      <w:r>
        <w:rPr>
          <w:rFonts w:hint="eastAsia" w:ascii="仿宋" w:eastAsia="仿宋" w:cs="宋体"/>
          <w:sz w:val="30"/>
          <w:szCs w:val="30"/>
          <w:highlight w:val="none"/>
        </w:rPr>
        <w:t>期：</w:t>
      </w:r>
      <w:r>
        <w:rPr>
          <w:rFonts w:hint="eastAsia" w:ascii="仿宋" w:eastAsia="仿宋" w:cs="宋体"/>
          <w:sz w:val="30"/>
          <w:szCs w:val="30"/>
          <w:highlight w:val="none"/>
          <w:lang w:val="en-US" w:eastAsia="zh-CN"/>
        </w:rPr>
        <w:t>合同签订之日起7天。</w:t>
      </w:r>
    </w:p>
    <w:p w14:paraId="02BEB461">
      <w:pPr>
        <w:keepNext w:val="0"/>
        <w:keepLines w:val="0"/>
        <w:pageBreakBefore w:val="0"/>
        <w:widowControl w:val="0"/>
        <w:kinsoku/>
        <w:wordWrap/>
        <w:overflowPunct/>
        <w:topLinePunct w:val="0"/>
        <w:autoSpaceDE/>
        <w:autoSpaceDN/>
        <w:bidi w:val="0"/>
        <w:adjustRightInd/>
        <w:snapToGrid/>
        <w:spacing w:line="550" w:lineRule="atLeast"/>
        <w:ind w:firstLine="600" w:firstLineChars="200"/>
        <w:textAlignment w:val="auto"/>
        <w:rPr>
          <w:rFonts w:hint="eastAsia" w:ascii="仿宋" w:eastAsia="仿宋" w:cs="宋体"/>
          <w:sz w:val="30"/>
          <w:szCs w:val="30"/>
          <w:highlight w:val="none"/>
          <w:lang w:val="en-US" w:eastAsia="zh-CN"/>
        </w:rPr>
      </w:pPr>
      <w:r>
        <w:rPr>
          <w:rFonts w:hint="eastAsia" w:ascii="仿宋" w:eastAsia="仿宋" w:cs="宋体"/>
          <w:sz w:val="30"/>
          <w:szCs w:val="30"/>
          <w:highlight w:val="none"/>
        </w:rPr>
        <w:t>4</w:t>
      </w:r>
      <w:r>
        <w:rPr>
          <w:rFonts w:hint="eastAsia" w:ascii="仿宋" w:eastAsia="仿宋" w:cs="宋体"/>
          <w:sz w:val="30"/>
          <w:szCs w:val="30"/>
          <w:highlight w:val="none"/>
          <w:lang w:val="en-US" w:eastAsia="zh-CN"/>
        </w:rPr>
        <w:t>.</w:t>
      </w:r>
      <w:r>
        <w:rPr>
          <w:rFonts w:hint="eastAsia" w:ascii="仿宋" w:eastAsia="仿宋" w:cs="宋体"/>
          <w:sz w:val="30"/>
          <w:szCs w:val="30"/>
          <w:highlight w:val="none"/>
        </w:rPr>
        <w:t>交货地点：</w:t>
      </w:r>
      <w:r>
        <w:rPr>
          <w:rFonts w:hint="eastAsia" w:ascii="仿宋" w:hAnsi="Times New Roman" w:eastAsia="仿宋" w:cs="宋体"/>
          <w:sz w:val="30"/>
          <w:szCs w:val="30"/>
          <w:lang w:val="en-US" w:eastAsia="zh-CN"/>
        </w:rPr>
        <w:t>渭南市交通运输综合执法支队临渭大队</w:t>
      </w:r>
    </w:p>
    <w:p w14:paraId="13EA2920">
      <w:pPr>
        <w:keepNext w:val="0"/>
        <w:keepLines w:val="0"/>
        <w:pageBreakBefore w:val="0"/>
        <w:widowControl w:val="0"/>
        <w:kinsoku/>
        <w:wordWrap/>
        <w:overflowPunct/>
        <w:topLinePunct w:val="0"/>
        <w:autoSpaceDE/>
        <w:autoSpaceDN/>
        <w:bidi w:val="0"/>
        <w:adjustRightInd/>
        <w:snapToGrid/>
        <w:spacing w:line="550" w:lineRule="atLeast"/>
        <w:ind w:firstLine="600" w:firstLineChars="200"/>
        <w:textAlignment w:val="auto"/>
        <w:rPr>
          <w:rFonts w:hint="eastAsia" w:ascii="仿宋" w:eastAsia="仿宋" w:cs="宋体"/>
          <w:sz w:val="30"/>
          <w:szCs w:val="30"/>
          <w:highlight w:val="none"/>
          <w:lang w:val="en-US" w:eastAsia="zh-CN"/>
        </w:rPr>
      </w:pPr>
      <w:r>
        <w:rPr>
          <w:rFonts w:hint="eastAsia" w:ascii="仿宋" w:eastAsia="仿宋" w:cs="宋体"/>
          <w:sz w:val="30"/>
          <w:szCs w:val="30"/>
          <w:highlight w:val="none"/>
          <w:lang w:val="en-US" w:eastAsia="zh-CN"/>
        </w:rPr>
        <w:t>5.</w:t>
      </w:r>
      <w:r>
        <w:rPr>
          <w:rFonts w:hint="eastAsia" w:ascii="仿宋" w:eastAsia="仿宋" w:cs="宋体"/>
          <w:sz w:val="30"/>
          <w:szCs w:val="30"/>
          <w:highlight w:val="none"/>
        </w:rPr>
        <w:t>是否专门面向中小企业采购：</w:t>
      </w:r>
      <w:r>
        <w:rPr>
          <w:rFonts w:hint="eastAsia" w:ascii="仿宋" w:eastAsia="仿宋" w:cs="宋体"/>
          <w:sz w:val="30"/>
          <w:szCs w:val="30"/>
          <w:highlight w:val="none"/>
          <w:lang w:val="en-US" w:eastAsia="zh-CN"/>
        </w:rPr>
        <w:t>本项目非专门面向中小企业采购，本项目所属行业为：制造业。</w:t>
      </w:r>
    </w:p>
    <w:p w14:paraId="7975B6F4">
      <w:pPr>
        <w:keepNext w:val="0"/>
        <w:keepLines w:val="0"/>
        <w:pageBreakBefore w:val="0"/>
        <w:widowControl w:val="0"/>
        <w:kinsoku/>
        <w:wordWrap/>
        <w:overflowPunct/>
        <w:topLinePunct w:val="0"/>
        <w:autoSpaceDE/>
        <w:autoSpaceDN/>
        <w:bidi w:val="0"/>
        <w:adjustRightInd/>
        <w:snapToGrid/>
        <w:spacing w:line="550" w:lineRule="atLeast"/>
        <w:ind w:firstLine="600" w:firstLineChars="200"/>
        <w:textAlignment w:val="auto"/>
        <w:rPr>
          <w:rFonts w:hint="eastAsia" w:ascii="仿宋" w:hAnsi="Times New Roman" w:eastAsia="仿宋" w:cs="宋体"/>
          <w:sz w:val="30"/>
          <w:szCs w:val="30"/>
          <w:highlight w:val="none"/>
          <w:lang w:val="en-US" w:eastAsia="zh-CN"/>
        </w:rPr>
      </w:pPr>
      <w:r>
        <w:rPr>
          <w:rFonts w:hint="eastAsia" w:ascii="仿宋" w:eastAsia="仿宋" w:cs="宋体"/>
          <w:sz w:val="30"/>
          <w:szCs w:val="30"/>
          <w:highlight w:val="none"/>
          <w:lang w:val="en-US" w:eastAsia="zh-CN"/>
        </w:rPr>
        <w:t>6.本</w:t>
      </w:r>
      <w:r>
        <w:rPr>
          <w:rFonts w:hint="eastAsia" w:ascii="仿宋" w:eastAsia="仿宋" w:cs="宋体"/>
          <w:sz w:val="30"/>
          <w:szCs w:val="30"/>
          <w:highlight w:val="none"/>
        </w:rPr>
        <w:t>项目预算金额</w:t>
      </w:r>
      <w:r>
        <w:rPr>
          <w:rFonts w:hint="eastAsia" w:ascii="仿宋" w:eastAsia="仿宋" w:cs="宋体"/>
          <w:sz w:val="30"/>
          <w:szCs w:val="30"/>
          <w:highlight w:val="none"/>
          <w:lang w:val="en-US" w:eastAsia="zh-CN"/>
        </w:rPr>
        <w:t>23.98万</w:t>
      </w:r>
      <w:r>
        <w:rPr>
          <w:rFonts w:hint="eastAsia" w:ascii="仿宋" w:eastAsia="仿宋" w:cs="宋体"/>
          <w:sz w:val="30"/>
          <w:szCs w:val="30"/>
          <w:highlight w:val="none"/>
        </w:rPr>
        <w:t>元</w:t>
      </w:r>
      <w:r>
        <w:rPr>
          <w:rFonts w:hint="eastAsia" w:ascii="仿宋" w:hAnsi="仿宋" w:eastAsia="仿宋" w:cs="宋体"/>
          <w:sz w:val="30"/>
          <w:szCs w:val="30"/>
        </w:rPr>
        <w:t>。</w:t>
      </w:r>
    </w:p>
    <w:tbl>
      <w:tblPr>
        <w:tblStyle w:val="1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54"/>
        <w:gridCol w:w="2974"/>
        <w:gridCol w:w="2248"/>
        <w:gridCol w:w="1823"/>
      </w:tblGrid>
      <w:tr w14:paraId="4683A1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3" w:hRule="atLeast"/>
          <w:jc w:val="center"/>
        </w:trPr>
        <w:tc>
          <w:tcPr>
            <w:tcW w:w="1554" w:type="dxa"/>
            <w:vAlign w:val="center"/>
          </w:tcPr>
          <w:p w14:paraId="7594360B">
            <w:pPr>
              <w:jc w:val="center"/>
              <w:rPr>
                <w:rFonts w:hint="eastAsia" w:ascii="仿宋" w:hAnsi="仿宋" w:eastAsia="仿宋" w:cs="仿宋"/>
                <w:sz w:val="32"/>
                <w:szCs w:val="40"/>
                <w:vertAlign w:val="baseline"/>
                <w:lang w:val="en-US" w:eastAsia="zh-CN"/>
              </w:rPr>
            </w:pPr>
            <w:r>
              <w:rPr>
                <w:rFonts w:hint="eastAsia" w:ascii="仿宋" w:hAnsi="仿宋" w:eastAsia="仿宋" w:cs="仿宋"/>
                <w:sz w:val="32"/>
                <w:szCs w:val="40"/>
                <w:vertAlign w:val="baseline"/>
                <w:lang w:val="en-US" w:eastAsia="zh-CN"/>
              </w:rPr>
              <w:t>序号</w:t>
            </w:r>
          </w:p>
        </w:tc>
        <w:tc>
          <w:tcPr>
            <w:tcW w:w="2974" w:type="dxa"/>
            <w:vAlign w:val="center"/>
          </w:tcPr>
          <w:p w14:paraId="2F829108">
            <w:pPr>
              <w:jc w:val="center"/>
              <w:rPr>
                <w:rFonts w:hint="eastAsia" w:ascii="仿宋" w:hAnsi="仿宋" w:eastAsia="仿宋" w:cs="仿宋"/>
                <w:sz w:val="32"/>
                <w:szCs w:val="40"/>
                <w:vertAlign w:val="baseline"/>
                <w:lang w:val="en-US" w:eastAsia="zh-CN"/>
              </w:rPr>
            </w:pPr>
            <w:r>
              <w:rPr>
                <w:rFonts w:hint="eastAsia" w:ascii="仿宋" w:hAnsi="仿宋" w:eastAsia="仿宋" w:cs="仿宋"/>
                <w:sz w:val="32"/>
                <w:szCs w:val="40"/>
                <w:vertAlign w:val="baseline"/>
                <w:lang w:val="en-US" w:eastAsia="zh-CN"/>
              </w:rPr>
              <w:t>采购标的</w:t>
            </w:r>
          </w:p>
        </w:tc>
        <w:tc>
          <w:tcPr>
            <w:tcW w:w="2248" w:type="dxa"/>
            <w:vAlign w:val="center"/>
          </w:tcPr>
          <w:p w14:paraId="7A52DD80">
            <w:pPr>
              <w:jc w:val="center"/>
              <w:rPr>
                <w:rFonts w:hint="eastAsia" w:ascii="仿宋" w:hAnsi="仿宋" w:eastAsia="仿宋" w:cs="仿宋"/>
                <w:sz w:val="32"/>
                <w:szCs w:val="40"/>
                <w:vertAlign w:val="baseline"/>
                <w:lang w:val="en-US" w:eastAsia="zh-CN"/>
              </w:rPr>
            </w:pPr>
            <w:r>
              <w:rPr>
                <w:rFonts w:hint="eastAsia" w:ascii="仿宋" w:hAnsi="仿宋" w:eastAsia="仿宋" w:cs="仿宋"/>
                <w:sz w:val="32"/>
                <w:szCs w:val="40"/>
                <w:vertAlign w:val="baseline"/>
                <w:lang w:val="en-US" w:eastAsia="zh-CN"/>
              </w:rPr>
              <w:t>数量</w:t>
            </w:r>
          </w:p>
        </w:tc>
        <w:tc>
          <w:tcPr>
            <w:tcW w:w="1823" w:type="dxa"/>
            <w:vAlign w:val="center"/>
          </w:tcPr>
          <w:p w14:paraId="6104FA27">
            <w:pPr>
              <w:jc w:val="center"/>
              <w:rPr>
                <w:rFonts w:hint="eastAsia" w:ascii="仿宋" w:hAnsi="仿宋" w:eastAsia="仿宋" w:cs="仿宋"/>
                <w:sz w:val="32"/>
                <w:szCs w:val="40"/>
                <w:vertAlign w:val="baseline"/>
                <w:lang w:val="en-US" w:eastAsia="zh-CN"/>
              </w:rPr>
            </w:pPr>
            <w:r>
              <w:rPr>
                <w:rFonts w:hint="eastAsia" w:ascii="仿宋" w:hAnsi="仿宋" w:eastAsia="仿宋" w:cs="仿宋"/>
                <w:sz w:val="32"/>
                <w:szCs w:val="40"/>
                <w:vertAlign w:val="baseline"/>
                <w:lang w:val="en-US" w:eastAsia="zh-CN"/>
              </w:rPr>
              <w:t>单位</w:t>
            </w:r>
          </w:p>
        </w:tc>
      </w:tr>
      <w:tr w14:paraId="36A4DE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4" w:hRule="atLeast"/>
          <w:jc w:val="center"/>
        </w:trPr>
        <w:tc>
          <w:tcPr>
            <w:tcW w:w="1554" w:type="dxa"/>
            <w:vAlign w:val="center"/>
          </w:tcPr>
          <w:p w14:paraId="1EB02B42">
            <w:pPr>
              <w:jc w:val="center"/>
              <w:rPr>
                <w:rFonts w:hint="eastAsia" w:ascii="仿宋" w:hAnsi="仿宋" w:eastAsia="仿宋" w:cs="仿宋"/>
                <w:sz w:val="32"/>
                <w:szCs w:val="40"/>
                <w:vertAlign w:val="baseline"/>
                <w:lang w:val="en-US" w:eastAsia="zh-CN"/>
              </w:rPr>
            </w:pPr>
            <w:r>
              <w:rPr>
                <w:rFonts w:hint="eastAsia" w:ascii="仿宋" w:hAnsi="仿宋" w:eastAsia="仿宋" w:cs="仿宋"/>
                <w:sz w:val="32"/>
                <w:szCs w:val="40"/>
                <w:vertAlign w:val="baseline"/>
                <w:lang w:val="en-US" w:eastAsia="zh-CN"/>
              </w:rPr>
              <w:t>1</w:t>
            </w:r>
          </w:p>
        </w:tc>
        <w:tc>
          <w:tcPr>
            <w:tcW w:w="2974" w:type="dxa"/>
            <w:vAlign w:val="center"/>
          </w:tcPr>
          <w:p w14:paraId="137F1590">
            <w:pPr>
              <w:jc w:val="center"/>
              <w:rPr>
                <w:rFonts w:hint="eastAsia" w:ascii="仿宋" w:hAnsi="仿宋" w:eastAsia="仿宋" w:cs="仿宋"/>
                <w:sz w:val="32"/>
                <w:szCs w:val="40"/>
                <w:vertAlign w:val="baseline"/>
                <w:lang w:val="en-US" w:eastAsia="zh-CN"/>
              </w:rPr>
            </w:pPr>
            <w:r>
              <w:rPr>
                <w:rFonts w:hint="eastAsia" w:ascii="仿宋" w:hAnsi="仿宋" w:eastAsia="仿宋" w:cs="仿宋"/>
                <w:sz w:val="32"/>
                <w:szCs w:val="40"/>
                <w:vertAlign w:val="baseline"/>
                <w:lang w:val="en-US" w:eastAsia="zh-CN"/>
              </w:rPr>
              <w:t>小型客车</w:t>
            </w:r>
          </w:p>
        </w:tc>
        <w:tc>
          <w:tcPr>
            <w:tcW w:w="2248" w:type="dxa"/>
            <w:vAlign w:val="center"/>
          </w:tcPr>
          <w:p w14:paraId="0435F291">
            <w:pPr>
              <w:jc w:val="center"/>
              <w:rPr>
                <w:rFonts w:hint="eastAsia" w:ascii="仿宋" w:hAnsi="仿宋" w:eastAsia="仿宋" w:cs="仿宋"/>
                <w:sz w:val="32"/>
                <w:szCs w:val="40"/>
                <w:vertAlign w:val="baseline"/>
                <w:lang w:val="en-US" w:eastAsia="zh-CN"/>
              </w:rPr>
            </w:pPr>
            <w:r>
              <w:rPr>
                <w:rFonts w:hint="eastAsia" w:ascii="仿宋" w:hAnsi="仿宋" w:eastAsia="仿宋" w:cs="仿宋"/>
                <w:sz w:val="32"/>
                <w:szCs w:val="40"/>
                <w:vertAlign w:val="baseline"/>
                <w:lang w:val="en-US" w:eastAsia="zh-CN"/>
              </w:rPr>
              <w:t>1</w:t>
            </w:r>
          </w:p>
        </w:tc>
        <w:tc>
          <w:tcPr>
            <w:tcW w:w="1823" w:type="dxa"/>
            <w:vAlign w:val="center"/>
          </w:tcPr>
          <w:p w14:paraId="09DE6238">
            <w:pPr>
              <w:jc w:val="center"/>
              <w:rPr>
                <w:rFonts w:hint="eastAsia" w:ascii="仿宋" w:hAnsi="仿宋" w:eastAsia="仿宋" w:cs="仿宋"/>
                <w:sz w:val="32"/>
                <w:szCs w:val="40"/>
                <w:vertAlign w:val="baseline"/>
                <w:lang w:val="en-US" w:eastAsia="zh-CN"/>
              </w:rPr>
            </w:pPr>
            <w:r>
              <w:rPr>
                <w:rFonts w:hint="eastAsia" w:ascii="仿宋" w:hAnsi="仿宋" w:eastAsia="仿宋" w:cs="仿宋"/>
                <w:sz w:val="32"/>
                <w:szCs w:val="40"/>
                <w:vertAlign w:val="baseline"/>
                <w:lang w:val="en-US" w:eastAsia="zh-CN"/>
              </w:rPr>
              <w:t>辆</w:t>
            </w:r>
          </w:p>
        </w:tc>
      </w:tr>
      <w:tr w14:paraId="472624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9" w:hRule="atLeast"/>
          <w:jc w:val="center"/>
        </w:trPr>
        <w:tc>
          <w:tcPr>
            <w:tcW w:w="1554" w:type="dxa"/>
            <w:vAlign w:val="center"/>
          </w:tcPr>
          <w:p w14:paraId="468781E9">
            <w:pPr>
              <w:jc w:val="center"/>
              <w:rPr>
                <w:rFonts w:hint="eastAsia" w:ascii="仿宋" w:hAnsi="仿宋" w:eastAsia="仿宋" w:cs="仿宋"/>
                <w:sz w:val="32"/>
                <w:szCs w:val="40"/>
                <w:vertAlign w:val="baseline"/>
                <w:lang w:val="en-US" w:eastAsia="zh-CN"/>
              </w:rPr>
            </w:pPr>
            <w:r>
              <w:rPr>
                <w:rFonts w:hint="eastAsia" w:ascii="仿宋" w:hAnsi="仿宋" w:eastAsia="仿宋" w:cs="仿宋"/>
                <w:sz w:val="32"/>
                <w:szCs w:val="40"/>
                <w:vertAlign w:val="baseline"/>
                <w:lang w:val="en-US" w:eastAsia="zh-CN"/>
              </w:rPr>
              <w:t>2</w:t>
            </w:r>
          </w:p>
        </w:tc>
        <w:tc>
          <w:tcPr>
            <w:tcW w:w="2974" w:type="dxa"/>
            <w:vAlign w:val="center"/>
          </w:tcPr>
          <w:p w14:paraId="15377D82">
            <w:pPr>
              <w:jc w:val="center"/>
              <w:rPr>
                <w:rFonts w:hint="eastAsia" w:ascii="仿宋" w:hAnsi="仿宋" w:eastAsia="仿宋" w:cs="仿宋"/>
                <w:sz w:val="32"/>
                <w:szCs w:val="40"/>
                <w:vertAlign w:val="baseline"/>
                <w:lang w:val="en-US" w:eastAsia="zh-CN"/>
              </w:rPr>
            </w:pPr>
            <w:r>
              <w:rPr>
                <w:rFonts w:hint="eastAsia" w:ascii="仿宋" w:hAnsi="仿宋" w:eastAsia="仿宋" w:cs="仿宋"/>
                <w:sz w:val="32"/>
                <w:szCs w:val="40"/>
                <w:vertAlign w:val="baseline"/>
                <w:lang w:val="en-US" w:eastAsia="zh-CN"/>
              </w:rPr>
              <w:t>皮卡车</w:t>
            </w:r>
          </w:p>
        </w:tc>
        <w:tc>
          <w:tcPr>
            <w:tcW w:w="2248" w:type="dxa"/>
            <w:vAlign w:val="center"/>
          </w:tcPr>
          <w:p w14:paraId="2701B5F6">
            <w:pPr>
              <w:jc w:val="center"/>
              <w:rPr>
                <w:rFonts w:hint="eastAsia" w:ascii="仿宋" w:hAnsi="仿宋" w:eastAsia="仿宋" w:cs="仿宋"/>
                <w:sz w:val="32"/>
                <w:szCs w:val="40"/>
                <w:vertAlign w:val="baseline"/>
                <w:lang w:val="en-US" w:eastAsia="zh-CN"/>
              </w:rPr>
            </w:pPr>
            <w:r>
              <w:rPr>
                <w:rFonts w:hint="eastAsia" w:ascii="仿宋" w:hAnsi="仿宋" w:eastAsia="仿宋" w:cs="仿宋"/>
                <w:sz w:val="32"/>
                <w:szCs w:val="40"/>
                <w:vertAlign w:val="baseline"/>
                <w:lang w:val="en-US" w:eastAsia="zh-CN"/>
              </w:rPr>
              <w:t>1</w:t>
            </w:r>
          </w:p>
        </w:tc>
        <w:tc>
          <w:tcPr>
            <w:tcW w:w="1823" w:type="dxa"/>
            <w:vAlign w:val="center"/>
          </w:tcPr>
          <w:p w14:paraId="36FECA81">
            <w:pPr>
              <w:jc w:val="center"/>
              <w:rPr>
                <w:rFonts w:hint="eastAsia" w:ascii="仿宋" w:hAnsi="仿宋" w:eastAsia="仿宋" w:cs="仿宋"/>
                <w:sz w:val="32"/>
                <w:szCs w:val="40"/>
                <w:vertAlign w:val="baseline"/>
                <w:lang w:val="en-US" w:eastAsia="zh-CN"/>
              </w:rPr>
            </w:pPr>
            <w:r>
              <w:rPr>
                <w:rFonts w:hint="eastAsia" w:ascii="仿宋" w:hAnsi="仿宋" w:eastAsia="仿宋" w:cs="仿宋"/>
                <w:sz w:val="32"/>
                <w:szCs w:val="40"/>
                <w:vertAlign w:val="baseline"/>
                <w:lang w:val="en-US" w:eastAsia="zh-CN"/>
              </w:rPr>
              <w:t>辆</w:t>
            </w:r>
          </w:p>
        </w:tc>
      </w:tr>
    </w:tbl>
    <w:p w14:paraId="43F00E71"/>
    <w:p w14:paraId="651735F5"/>
    <w:p w14:paraId="3CCB6EC3">
      <w:pPr>
        <w:pStyle w:val="23"/>
      </w:pPr>
    </w:p>
    <w:p w14:paraId="443579B3">
      <w:pPr>
        <w:keepNext w:val="0"/>
        <w:keepLines w:val="0"/>
        <w:pageBreakBefore w:val="0"/>
        <w:widowControl w:val="0"/>
        <w:kinsoku/>
        <w:wordWrap/>
        <w:overflowPunct/>
        <w:topLinePunct w:val="0"/>
        <w:autoSpaceDE/>
        <w:autoSpaceDN/>
        <w:bidi w:val="0"/>
        <w:adjustRightInd/>
        <w:snapToGrid/>
        <w:spacing w:line="640" w:lineRule="exact"/>
        <w:ind w:firstLine="640" w:firstLineChars="200"/>
        <w:textAlignment w:val="auto"/>
        <w:rPr>
          <w:rFonts w:hint="eastAsia" w:ascii="仿宋" w:eastAsia="仿宋" w:cs="宋体"/>
          <w:sz w:val="30"/>
          <w:szCs w:val="30"/>
        </w:rPr>
      </w:pPr>
      <w:bookmarkStart w:id="0" w:name="_Hlk103548436"/>
      <w:r>
        <w:rPr>
          <w:rFonts w:hint="eastAsia" w:ascii="仿宋" w:eastAsia="仿宋" w:cs="宋体"/>
          <w:sz w:val="32"/>
          <w:szCs w:val="32"/>
          <w:lang w:val="en-US" w:eastAsia="zh-CN"/>
        </w:rPr>
        <w:t xml:space="preserve">                        </w:t>
      </w:r>
      <w:bookmarkEnd w:id="0"/>
    </w:p>
    <w:p w14:paraId="01A15E95"/>
    <w:sectPr>
      <w:footerReference r:id="rId3" w:type="default"/>
      <w:pgSz w:w="11906" w:h="16838"/>
      <w:pgMar w:top="1417" w:right="1417" w:bottom="1417" w:left="1417" w:header="851" w:footer="992" w:gutter="0"/>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0"/>
    <w:family w:val="swiss"/>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B72123">
    <w:pPr>
      <w:pStyle w:val="13"/>
      <w:jc w:val="center"/>
    </w:pPr>
    <w:r>
      <w:fldChar w:fldCharType="begin"/>
    </w:r>
    <w:r>
      <w:instrText xml:space="preserve">PAGE   \* MERGEFORMAT</w:instrText>
    </w:r>
    <w:r>
      <w:fldChar w:fldCharType="separate"/>
    </w:r>
    <w:r>
      <w:rPr>
        <w:lang w:val="zh-CN"/>
      </w:rPr>
      <w:t>10</w:t>
    </w:r>
    <w:r>
      <w:fldChar w:fldCharType="end"/>
    </w:r>
  </w:p>
  <w:p w14:paraId="41681B01">
    <w:pPr>
      <w:pStyle w:val="13"/>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4814D23"/>
    <w:multiLevelType w:val="multilevel"/>
    <w:tmpl w:val="74814D23"/>
    <w:lvl w:ilvl="0" w:tentative="0">
      <w:start w:val="1"/>
      <w:numFmt w:val="decimal"/>
      <w:suff w:val="space"/>
      <w:lvlText w:val="%1"/>
      <w:lvlJc w:val="left"/>
      <w:pPr>
        <w:ind w:left="0" w:firstLine="0"/>
      </w:pPr>
      <w:rPr>
        <w:rFonts w:hint="eastAsia"/>
      </w:rPr>
    </w:lvl>
    <w:lvl w:ilvl="1" w:tentative="0">
      <w:start w:val="1"/>
      <w:numFmt w:val="decimal"/>
      <w:suff w:val="space"/>
      <w:lvlText w:val="%1.%2"/>
      <w:lvlJc w:val="left"/>
      <w:pPr>
        <w:ind w:left="142" w:firstLine="0"/>
      </w:pPr>
      <w:rPr>
        <w:rFonts w:hint="eastAsia"/>
      </w:rPr>
    </w:lvl>
    <w:lvl w:ilvl="2" w:tentative="0">
      <w:start w:val="1"/>
      <w:numFmt w:val="decimal"/>
      <w:suff w:val="space"/>
      <w:lvlText w:val="%1.%2.%3"/>
      <w:lvlJc w:val="left"/>
      <w:pPr>
        <w:ind w:left="0" w:firstLine="0"/>
      </w:pPr>
      <w:rPr>
        <w:rFonts w:hint="eastAsia"/>
      </w:rPr>
    </w:lvl>
    <w:lvl w:ilvl="3" w:tentative="0">
      <w:start w:val="1"/>
      <w:numFmt w:val="decimal"/>
      <w:suff w:val="space"/>
      <w:lvlText w:val="%1.%2.%3.%4"/>
      <w:lvlJc w:val="left"/>
      <w:pPr>
        <w:ind w:left="0" w:firstLine="0"/>
      </w:pPr>
      <w:rPr>
        <w:rFonts w:hint="eastAsia"/>
      </w:rPr>
    </w:lvl>
    <w:lvl w:ilvl="4" w:tentative="0">
      <w:start w:val="1"/>
      <w:numFmt w:val="decimal"/>
      <w:lvlRestart w:val="1"/>
      <w:suff w:val="space"/>
      <w:lvlText w:val="图%1-%5"/>
      <w:lvlJc w:val="left"/>
      <w:pPr>
        <w:ind w:left="0" w:firstLine="0"/>
      </w:pPr>
      <w:rPr>
        <w:rFonts w:hint="eastAsia"/>
      </w:rPr>
    </w:lvl>
    <w:lvl w:ilvl="5" w:tentative="0">
      <w:start w:val="1"/>
      <w:numFmt w:val="decimal"/>
      <w:lvlRestart w:val="1"/>
      <w:pStyle w:val="6"/>
      <w:suff w:val="space"/>
      <w:lvlText w:val="表%1-%6"/>
      <w:lvlJc w:val="left"/>
      <w:pPr>
        <w:ind w:left="0" w:firstLine="0"/>
      </w:pPr>
      <w:rPr>
        <w:rFonts w:hint="eastAsia"/>
      </w:rPr>
    </w:lvl>
    <w:lvl w:ilvl="6" w:tentative="0">
      <w:start w:val="1"/>
      <w:numFmt w:val="decimal"/>
      <w:lvlText w:val="%1.%2.%3.%4.%5.%6.%7"/>
      <w:lvlJc w:val="left"/>
      <w:pPr>
        <w:ind w:left="0" w:firstLine="0"/>
      </w:pPr>
      <w:rPr>
        <w:rFonts w:hint="eastAsia"/>
      </w:rPr>
    </w:lvl>
    <w:lvl w:ilvl="7" w:tentative="0">
      <w:start w:val="1"/>
      <w:numFmt w:val="decimal"/>
      <w:lvlText w:val="%1.%2.%3.%4.%5.%6.%7.%8"/>
      <w:lvlJc w:val="left"/>
      <w:pPr>
        <w:ind w:left="0" w:firstLine="0"/>
      </w:pPr>
      <w:rPr>
        <w:rFonts w:hint="eastAsia"/>
      </w:rPr>
    </w:lvl>
    <w:lvl w:ilvl="8" w:tentative="0">
      <w:start w:val="1"/>
      <w:numFmt w:val="decimal"/>
      <w:lvlText w:val="%1.%2.%3.%4.%5.%6.%7.%8.%9"/>
      <w:lvlJc w:val="left"/>
      <w:pPr>
        <w:ind w:left="0" w:firstLine="0"/>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embedSystemFonts/>
  <w:bordersDoNotSurroundHeader w:val="0"/>
  <w:bordersDoNotSurroundFooter w:val="0"/>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zJjY2M5OTVjNGM0MTQ2YTJhMjI4NjJlOGU5NjUwNjQifQ=="/>
  </w:docVars>
  <w:rsids>
    <w:rsidRoot w:val="0076136D"/>
    <w:rsid w:val="00060D5B"/>
    <w:rsid w:val="00174DED"/>
    <w:rsid w:val="00176643"/>
    <w:rsid w:val="00191E2C"/>
    <w:rsid w:val="001A3651"/>
    <w:rsid w:val="001F7F7E"/>
    <w:rsid w:val="002305BE"/>
    <w:rsid w:val="002E3FE8"/>
    <w:rsid w:val="002F5896"/>
    <w:rsid w:val="00355E04"/>
    <w:rsid w:val="003B2F37"/>
    <w:rsid w:val="003C1CBE"/>
    <w:rsid w:val="003C3282"/>
    <w:rsid w:val="003D2B52"/>
    <w:rsid w:val="00644C74"/>
    <w:rsid w:val="00662D38"/>
    <w:rsid w:val="006968E2"/>
    <w:rsid w:val="006F203C"/>
    <w:rsid w:val="0076136D"/>
    <w:rsid w:val="00770126"/>
    <w:rsid w:val="008313E9"/>
    <w:rsid w:val="008501BD"/>
    <w:rsid w:val="008640A4"/>
    <w:rsid w:val="008C7308"/>
    <w:rsid w:val="0094467E"/>
    <w:rsid w:val="0095502E"/>
    <w:rsid w:val="0099076C"/>
    <w:rsid w:val="009E4545"/>
    <w:rsid w:val="00A036E0"/>
    <w:rsid w:val="00A5379D"/>
    <w:rsid w:val="00A65B41"/>
    <w:rsid w:val="00B16F40"/>
    <w:rsid w:val="00BA2F60"/>
    <w:rsid w:val="00BB4186"/>
    <w:rsid w:val="00BC374F"/>
    <w:rsid w:val="00C63AD5"/>
    <w:rsid w:val="00C96026"/>
    <w:rsid w:val="00D45B45"/>
    <w:rsid w:val="00DA5096"/>
    <w:rsid w:val="00DC1D7A"/>
    <w:rsid w:val="00E40F4D"/>
    <w:rsid w:val="00E4457C"/>
    <w:rsid w:val="00E455F7"/>
    <w:rsid w:val="00EA1B7F"/>
    <w:rsid w:val="00F44687"/>
    <w:rsid w:val="011A24F4"/>
    <w:rsid w:val="012F41F1"/>
    <w:rsid w:val="01487061"/>
    <w:rsid w:val="02A227A1"/>
    <w:rsid w:val="033425B7"/>
    <w:rsid w:val="03A32C74"/>
    <w:rsid w:val="045A3333"/>
    <w:rsid w:val="05C37718"/>
    <w:rsid w:val="070167C6"/>
    <w:rsid w:val="079F3753"/>
    <w:rsid w:val="07AD5E6F"/>
    <w:rsid w:val="0858402D"/>
    <w:rsid w:val="08EE07D0"/>
    <w:rsid w:val="094E6DB6"/>
    <w:rsid w:val="0978425B"/>
    <w:rsid w:val="099A1D12"/>
    <w:rsid w:val="0A682522"/>
    <w:rsid w:val="0A7F54CC"/>
    <w:rsid w:val="0A8115B2"/>
    <w:rsid w:val="0C5C32F7"/>
    <w:rsid w:val="0CAE6912"/>
    <w:rsid w:val="0CFF53BF"/>
    <w:rsid w:val="0EAC6E81"/>
    <w:rsid w:val="0F2F1860"/>
    <w:rsid w:val="0F5B493B"/>
    <w:rsid w:val="0FAF4625"/>
    <w:rsid w:val="10D4446D"/>
    <w:rsid w:val="11A9410A"/>
    <w:rsid w:val="121A3CB4"/>
    <w:rsid w:val="16361726"/>
    <w:rsid w:val="17562080"/>
    <w:rsid w:val="17A70B2D"/>
    <w:rsid w:val="19324427"/>
    <w:rsid w:val="19993454"/>
    <w:rsid w:val="1A740EF6"/>
    <w:rsid w:val="1B3C158C"/>
    <w:rsid w:val="1BA1210E"/>
    <w:rsid w:val="1C00080C"/>
    <w:rsid w:val="1D1207F7"/>
    <w:rsid w:val="1DFB20B4"/>
    <w:rsid w:val="1E206F43"/>
    <w:rsid w:val="1ECB3F8A"/>
    <w:rsid w:val="1F263743"/>
    <w:rsid w:val="1F817EB6"/>
    <w:rsid w:val="1FA070BF"/>
    <w:rsid w:val="1FBF453A"/>
    <w:rsid w:val="21303941"/>
    <w:rsid w:val="22374DC8"/>
    <w:rsid w:val="226D6883"/>
    <w:rsid w:val="22D12F02"/>
    <w:rsid w:val="23AA3E4E"/>
    <w:rsid w:val="253A2E49"/>
    <w:rsid w:val="25804C3A"/>
    <w:rsid w:val="26461511"/>
    <w:rsid w:val="267E6EFD"/>
    <w:rsid w:val="26EA7FB2"/>
    <w:rsid w:val="285F25CC"/>
    <w:rsid w:val="290A2CCA"/>
    <w:rsid w:val="29B42C36"/>
    <w:rsid w:val="2A790107"/>
    <w:rsid w:val="2A7F1496"/>
    <w:rsid w:val="2A946CEF"/>
    <w:rsid w:val="2BBD60C7"/>
    <w:rsid w:val="2C252481"/>
    <w:rsid w:val="2E224612"/>
    <w:rsid w:val="2E9A064C"/>
    <w:rsid w:val="2EF7784D"/>
    <w:rsid w:val="2F0D0E1E"/>
    <w:rsid w:val="2F633134"/>
    <w:rsid w:val="31A11CF2"/>
    <w:rsid w:val="31D73965"/>
    <w:rsid w:val="31E83DC4"/>
    <w:rsid w:val="32335040"/>
    <w:rsid w:val="323B2CA6"/>
    <w:rsid w:val="326E42CA"/>
    <w:rsid w:val="32F85F09"/>
    <w:rsid w:val="337C44CF"/>
    <w:rsid w:val="33F20F2A"/>
    <w:rsid w:val="34FD7B87"/>
    <w:rsid w:val="36AA30CF"/>
    <w:rsid w:val="36B85B13"/>
    <w:rsid w:val="36D16BD5"/>
    <w:rsid w:val="38997BC6"/>
    <w:rsid w:val="396E0937"/>
    <w:rsid w:val="39753F12"/>
    <w:rsid w:val="39D2513E"/>
    <w:rsid w:val="3B1F2605"/>
    <w:rsid w:val="3E11311E"/>
    <w:rsid w:val="3E7E3AE6"/>
    <w:rsid w:val="3EE146BD"/>
    <w:rsid w:val="3EE25A8F"/>
    <w:rsid w:val="3F253F62"/>
    <w:rsid w:val="3F420CF5"/>
    <w:rsid w:val="3F512FA9"/>
    <w:rsid w:val="400D3523"/>
    <w:rsid w:val="405E580F"/>
    <w:rsid w:val="40A84E4B"/>
    <w:rsid w:val="40A90504"/>
    <w:rsid w:val="416C40CA"/>
    <w:rsid w:val="422E6120"/>
    <w:rsid w:val="42BD2703"/>
    <w:rsid w:val="42D53EF1"/>
    <w:rsid w:val="43397FDC"/>
    <w:rsid w:val="43607C5E"/>
    <w:rsid w:val="44817E8C"/>
    <w:rsid w:val="45521829"/>
    <w:rsid w:val="45BF7797"/>
    <w:rsid w:val="45D81B2D"/>
    <w:rsid w:val="46893028"/>
    <w:rsid w:val="469B0FAE"/>
    <w:rsid w:val="477348B5"/>
    <w:rsid w:val="477517FF"/>
    <w:rsid w:val="48B87BF5"/>
    <w:rsid w:val="4B94266B"/>
    <w:rsid w:val="4BBF129A"/>
    <w:rsid w:val="4BDE1AB8"/>
    <w:rsid w:val="4C2D4456"/>
    <w:rsid w:val="4C485734"/>
    <w:rsid w:val="4C6E642C"/>
    <w:rsid w:val="4C7E73A7"/>
    <w:rsid w:val="4CC81A5D"/>
    <w:rsid w:val="4E2A3343"/>
    <w:rsid w:val="4EEA2AD2"/>
    <w:rsid w:val="4EF37BD9"/>
    <w:rsid w:val="50AA076B"/>
    <w:rsid w:val="50AC140F"/>
    <w:rsid w:val="50DB6B76"/>
    <w:rsid w:val="5127247F"/>
    <w:rsid w:val="51BD44CE"/>
    <w:rsid w:val="51E657D3"/>
    <w:rsid w:val="522634C1"/>
    <w:rsid w:val="52691F60"/>
    <w:rsid w:val="527F6920"/>
    <w:rsid w:val="52B72CCB"/>
    <w:rsid w:val="53071EA5"/>
    <w:rsid w:val="5334256E"/>
    <w:rsid w:val="53746E0E"/>
    <w:rsid w:val="53B316E5"/>
    <w:rsid w:val="54596730"/>
    <w:rsid w:val="5507618C"/>
    <w:rsid w:val="55256612"/>
    <w:rsid w:val="557D4ECC"/>
    <w:rsid w:val="561548D9"/>
    <w:rsid w:val="56B440F1"/>
    <w:rsid w:val="5900361E"/>
    <w:rsid w:val="59260BAB"/>
    <w:rsid w:val="59AF302D"/>
    <w:rsid w:val="5AA47FD9"/>
    <w:rsid w:val="5B127639"/>
    <w:rsid w:val="5B317A04"/>
    <w:rsid w:val="5C3929A3"/>
    <w:rsid w:val="5D066745"/>
    <w:rsid w:val="5D5E4DB7"/>
    <w:rsid w:val="5E993BCD"/>
    <w:rsid w:val="5F047298"/>
    <w:rsid w:val="5F4C72CA"/>
    <w:rsid w:val="5F546B92"/>
    <w:rsid w:val="61532759"/>
    <w:rsid w:val="62065A1D"/>
    <w:rsid w:val="62126170"/>
    <w:rsid w:val="639253E3"/>
    <w:rsid w:val="64446389"/>
    <w:rsid w:val="65B17A4E"/>
    <w:rsid w:val="65F53DDF"/>
    <w:rsid w:val="66501015"/>
    <w:rsid w:val="666F3B91"/>
    <w:rsid w:val="67423054"/>
    <w:rsid w:val="6760797E"/>
    <w:rsid w:val="6784541A"/>
    <w:rsid w:val="679F7ED4"/>
    <w:rsid w:val="694F7CAA"/>
    <w:rsid w:val="69FC6AE4"/>
    <w:rsid w:val="6A010FA4"/>
    <w:rsid w:val="6A771266"/>
    <w:rsid w:val="6A892603"/>
    <w:rsid w:val="6E080427"/>
    <w:rsid w:val="6E3556C0"/>
    <w:rsid w:val="6E413448"/>
    <w:rsid w:val="735F7E32"/>
    <w:rsid w:val="7479207F"/>
    <w:rsid w:val="75526B58"/>
    <w:rsid w:val="76F61765"/>
    <w:rsid w:val="77EF4B32"/>
    <w:rsid w:val="780103C1"/>
    <w:rsid w:val="78680440"/>
    <w:rsid w:val="792F71B0"/>
    <w:rsid w:val="793B3DA7"/>
    <w:rsid w:val="79CB6ED9"/>
    <w:rsid w:val="7A5B2532"/>
    <w:rsid w:val="7B0D52CF"/>
    <w:rsid w:val="7BD04C7A"/>
    <w:rsid w:val="7C2D5C29"/>
    <w:rsid w:val="7C305719"/>
    <w:rsid w:val="7C3E1BE4"/>
    <w:rsid w:val="7C55671D"/>
    <w:rsid w:val="7C765821"/>
    <w:rsid w:val="7D062E51"/>
    <w:rsid w:val="7D8626A0"/>
    <w:rsid w:val="7DA737B9"/>
    <w:rsid w:val="7E3A462D"/>
    <w:rsid w:val="7E3F39F1"/>
    <w:rsid w:val="7EEA7E01"/>
    <w:rsid w:val="7F0F1615"/>
    <w:rsid w:val="7F280929"/>
    <w:rsid w:val="7FA6722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EmbedSmartTag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9" w:name="heading 4"/>
    <w:lsdException w:qFormat="1" w:uiPriority="9" w:name="heading 5"/>
    <w:lsdException w:qFormat="1" w:unhideWhenUsed="0" w:uiPriority="9" w:semiHidden="0"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qFormat="1" w:unhideWhenUsed="0" w:uiPriority="0" w:semiHidden="0"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iPriority="99" w:semiHidden="0" w:name="Body Text First Indent"/>
    <w:lsdException w:uiPriority="99" w:name="Body Text First Indent 2"/>
    <w:lsdException w:uiPriority="99" w:name="Note Heading"/>
    <w:lsdException w:uiPriority="99" w:name="Body Text 2"/>
    <w:lsdException w:uiPriority="99" w:name="Body Text 3"/>
    <w:lsdException w:qFormat="1" w:unhideWhenUsed="0" w:uiPriority="0" w:semiHidden="0"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qFormat/>
    <w:uiPriority w:val="0"/>
    <w:pPr>
      <w:keepNext/>
      <w:keepLines/>
      <w:spacing w:before="340" w:after="330" w:line="578" w:lineRule="auto"/>
      <w:outlineLvl w:val="0"/>
    </w:pPr>
    <w:rPr>
      <w:b/>
      <w:bCs/>
      <w:kern w:val="44"/>
      <w:sz w:val="44"/>
    </w:rPr>
  </w:style>
  <w:style w:type="paragraph" w:styleId="4">
    <w:name w:val="heading 2"/>
    <w:basedOn w:val="1"/>
    <w:next w:val="1"/>
    <w:qFormat/>
    <w:uiPriority w:val="0"/>
    <w:pPr>
      <w:keepNext/>
      <w:keepLines/>
      <w:spacing w:before="260" w:after="260" w:line="415" w:lineRule="auto"/>
      <w:outlineLvl w:val="1"/>
    </w:pPr>
    <w:rPr>
      <w:rFonts w:ascii="Arial" w:hAnsi="Arial" w:eastAsia="黑体"/>
      <w:b/>
      <w:sz w:val="32"/>
    </w:rPr>
  </w:style>
  <w:style w:type="paragraph" w:styleId="5">
    <w:name w:val="heading 3"/>
    <w:basedOn w:val="1"/>
    <w:next w:val="1"/>
    <w:qFormat/>
    <w:uiPriority w:val="0"/>
    <w:pPr>
      <w:keepNext/>
      <w:keepLines/>
      <w:spacing w:before="260" w:after="260" w:line="415" w:lineRule="auto"/>
      <w:outlineLvl w:val="2"/>
    </w:pPr>
    <w:rPr>
      <w:b/>
      <w:sz w:val="32"/>
    </w:rPr>
  </w:style>
  <w:style w:type="paragraph" w:styleId="6">
    <w:name w:val="heading 6"/>
    <w:basedOn w:val="1"/>
    <w:next w:val="7"/>
    <w:qFormat/>
    <w:uiPriority w:val="9"/>
    <w:pPr>
      <w:keepNext/>
      <w:numPr>
        <w:ilvl w:val="5"/>
        <w:numId w:val="1"/>
      </w:numPr>
      <w:spacing w:before="120"/>
      <w:jc w:val="center"/>
      <w:outlineLvl w:val="5"/>
    </w:pPr>
    <w:rPr>
      <w:rFonts w:cs="Times New Roman"/>
      <w:b/>
      <w:bCs/>
      <w:sz w:val="21"/>
    </w:rPr>
  </w:style>
  <w:style w:type="character" w:default="1" w:styleId="20">
    <w:name w:val="Default Paragraph Font"/>
    <w:semiHidden/>
    <w:unhideWhenUsed/>
    <w:qFormat/>
    <w:uiPriority w:val="1"/>
  </w:style>
  <w:style w:type="table" w:default="1" w:styleId="18">
    <w:name w:val="Normal Table"/>
    <w:semiHidden/>
    <w:unhideWhenUsed/>
    <w:qFormat/>
    <w:uiPriority w:val="99"/>
    <w:tblPr>
      <w:tblCellMar>
        <w:top w:w="0" w:type="dxa"/>
        <w:left w:w="108" w:type="dxa"/>
        <w:bottom w:w="0" w:type="dxa"/>
        <w:right w:w="108" w:type="dxa"/>
      </w:tblCellMar>
    </w:tblPr>
  </w:style>
  <w:style w:type="paragraph" w:styleId="2">
    <w:name w:val="Normal Indent"/>
    <w:basedOn w:val="1"/>
    <w:qFormat/>
    <w:uiPriority w:val="0"/>
    <w:pPr>
      <w:ind w:firstLine="420" w:firstLineChars="200"/>
    </w:pPr>
  </w:style>
  <w:style w:type="paragraph" w:customStyle="1" w:styleId="7">
    <w:name w:val="正文C表格"/>
    <w:basedOn w:val="1"/>
    <w:next w:val="8"/>
    <w:qFormat/>
    <w:uiPriority w:val="0"/>
    <w:rPr>
      <w:sz w:val="21"/>
    </w:rPr>
  </w:style>
  <w:style w:type="paragraph" w:customStyle="1" w:styleId="8">
    <w:name w:val="正文A缩进"/>
    <w:basedOn w:val="1"/>
    <w:qFormat/>
    <w:locked/>
    <w:uiPriority w:val="0"/>
    <w:pPr>
      <w:spacing w:line="300" w:lineRule="auto"/>
      <w:ind w:firstLine="200" w:firstLineChars="200"/>
      <w:jc w:val="left"/>
    </w:pPr>
  </w:style>
  <w:style w:type="paragraph" w:styleId="9">
    <w:name w:val="annotation text"/>
    <w:basedOn w:val="1"/>
    <w:qFormat/>
    <w:uiPriority w:val="0"/>
    <w:pPr>
      <w:jc w:val="left"/>
    </w:pPr>
  </w:style>
  <w:style w:type="paragraph" w:styleId="10">
    <w:name w:val="Body Text"/>
    <w:basedOn w:val="1"/>
    <w:next w:val="1"/>
    <w:qFormat/>
    <w:uiPriority w:val="0"/>
    <w:pPr>
      <w:spacing w:after="120"/>
    </w:pPr>
  </w:style>
  <w:style w:type="paragraph" w:styleId="11">
    <w:name w:val="Body Text Indent 2"/>
    <w:basedOn w:val="1"/>
    <w:qFormat/>
    <w:uiPriority w:val="0"/>
    <w:pPr>
      <w:spacing w:after="120" w:afterLines="0" w:line="480" w:lineRule="auto"/>
      <w:ind w:left="420" w:leftChars="200"/>
    </w:pPr>
  </w:style>
  <w:style w:type="paragraph" w:styleId="12">
    <w:name w:val="Balloon Text"/>
    <w:basedOn w:val="1"/>
    <w:qFormat/>
    <w:uiPriority w:val="0"/>
    <w:rPr>
      <w:sz w:val="18"/>
      <w:szCs w:val="18"/>
    </w:rPr>
  </w:style>
  <w:style w:type="paragraph" w:styleId="13">
    <w:name w:val="footer"/>
    <w:basedOn w:val="1"/>
    <w:qFormat/>
    <w:uiPriority w:val="0"/>
    <w:pPr>
      <w:tabs>
        <w:tab w:val="center" w:pos="4153"/>
        <w:tab w:val="right" w:pos="8306"/>
      </w:tabs>
      <w:snapToGrid w:val="0"/>
      <w:jc w:val="left"/>
    </w:pPr>
    <w:rPr>
      <w:sz w:val="18"/>
      <w:szCs w:val="18"/>
    </w:rPr>
  </w:style>
  <w:style w:type="paragraph" w:styleId="14">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5">
    <w:name w:val="toc 4"/>
    <w:basedOn w:val="1"/>
    <w:next w:val="1"/>
    <w:qFormat/>
    <w:uiPriority w:val="0"/>
    <w:pPr>
      <w:tabs>
        <w:tab w:val="left" w:pos="1890"/>
        <w:tab w:val="right" w:leader="dot" w:pos="8296"/>
      </w:tabs>
      <w:ind w:left="630" w:leftChars="300"/>
    </w:pPr>
    <w:rPr>
      <w:rFonts w:ascii="Calibri" w:hAnsi="Calibri"/>
      <w:szCs w:val="22"/>
    </w:rPr>
  </w:style>
  <w:style w:type="paragraph" w:styleId="16">
    <w:name w:val="Normal (Web)"/>
    <w:basedOn w:val="1"/>
    <w:unhideWhenUsed/>
    <w:qFormat/>
    <w:uiPriority w:val="99"/>
    <w:pPr>
      <w:keepNext w:val="0"/>
      <w:keepLines w:val="0"/>
      <w:widowControl w:val="0"/>
      <w:suppressLineNumbers w:val="0"/>
      <w:spacing w:before="0" w:beforeAutospacing="0" w:after="0" w:afterAutospacing="0"/>
      <w:ind w:left="0" w:right="0"/>
      <w:jc w:val="both"/>
    </w:pPr>
    <w:rPr>
      <w:rFonts w:hint="default" w:ascii="Times New Roman" w:hAnsi="Times New Roman" w:eastAsia="宋体" w:cs="Times New Roman"/>
      <w:kern w:val="2"/>
      <w:sz w:val="24"/>
      <w:szCs w:val="20"/>
      <w:lang w:val="en-US" w:eastAsia="zh-CN" w:bidi="ar"/>
    </w:rPr>
  </w:style>
  <w:style w:type="paragraph" w:styleId="17">
    <w:name w:val="Body Text First Indent"/>
    <w:basedOn w:val="10"/>
    <w:unhideWhenUsed/>
    <w:qFormat/>
    <w:uiPriority w:val="99"/>
    <w:pPr>
      <w:ind w:firstLine="420" w:firstLineChars="100"/>
    </w:pPr>
  </w:style>
  <w:style w:type="table" w:styleId="19">
    <w:name w:val="Table Grid"/>
    <w:basedOn w:val="18"/>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1">
    <w:name w:val="Emphasis"/>
    <w:basedOn w:val="20"/>
    <w:qFormat/>
    <w:uiPriority w:val="20"/>
    <w:rPr>
      <w:i/>
    </w:rPr>
  </w:style>
  <w:style w:type="character" w:styleId="22">
    <w:name w:val="Hyperlink"/>
    <w:basedOn w:val="20"/>
    <w:semiHidden/>
    <w:unhideWhenUsed/>
    <w:qFormat/>
    <w:uiPriority w:val="99"/>
    <w:rPr>
      <w:color w:val="0000FF"/>
      <w:u w:val="single"/>
    </w:rPr>
  </w:style>
  <w:style w:type="paragraph" w:customStyle="1" w:styleId="23">
    <w:name w:val="表格文字"/>
    <w:basedOn w:val="24"/>
    <w:next w:val="1"/>
    <w:qFormat/>
    <w:uiPriority w:val="0"/>
    <w:pPr>
      <w:spacing w:before="25" w:after="25"/>
      <w:jc w:val="left"/>
    </w:pPr>
    <w:rPr>
      <w:bCs/>
      <w:spacing w:val="10"/>
      <w:kern w:val="0"/>
      <w:sz w:val="24"/>
      <w:szCs w:val="20"/>
    </w:rPr>
  </w:style>
  <w:style w:type="paragraph" w:customStyle="1" w:styleId="24">
    <w:name w:val="正文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5">
    <w:name w:val="Table Paragraph"/>
    <w:qFormat/>
    <w:uiPriority w:val="0"/>
    <w:pPr>
      <w:widowControl w:val="0"/>
      <w:autoSpaceDE w:val="0"/>
      <w:autoSpaceDN w:val="0"/>
      <w:spacing w:before="7"/>
      <w:ind w:left="107"/>
    </w:pPr>
    <w:rPr>
      <w:rFonts w:ascii="宋体" w:hAnsi="Times New Roman" w:eastAsia="宋体" w:cs="宋体"/>
      <w:sz w:val="22"/>
      <w:szCs w:val="22"/>
      <w:lang w:val="zh-CN" w:eastAsia="zh-CN" w:bidi="zh-CN"/>
    </w:rPr>
  </w:style>
  <w:style w:type="character" w:customStyle="1" w:styleId="26">
    <w:name w:val="font41"/>
    <w:basedOn w:val="20"/>
    <w:qFormat/>
    <w:uiPriority w:val="0"/>
    <w:rPr>
      <w:rFonts w:hint="eastAsia" w:ascii="宋体" w:hAnsi="宋体" w:eastAsia="宋体" w:cs="宋体"/>
      <w:color w:val="000000"/>
      <w:sz w:val="18"/>
      <w:szCs w:val="18"/>
      <w:u w:val="none"/>
    </w:rPr>
  </w:style>
  <w:style w:type="character" w:customStyle="1" w:styleId="27">
    <w:name w:val="font21"/>
    <w:basedOn w:val="20"/>
    <w:qFormat/>
    <w:uiPriority w:val="0"/>
    <w:rPr>
      <w:rFonts w:ascii="Calibri" w:hAnsi="Calibri" w:cs="Calibri"/>
      <w:color w:val="000000"/>
      <w:sz w:val="18"/>
      <w:szCs w:val="18"/>
      <w:u w:val="none"/>
    </w:rPr>
  </w:style>
  <w:style w:type="character" w:customStyle="1" w:styleId="28">
    <w:name w:val="font31"/>
    <w:basedOn w:val="20"/>
    <w:qFormat/>
    <w:uiPriority w:val="0"/>
    <w:rPr>
      <w:rFonts w:hint="eastAsia" w:ascii="宋体" w:hAnsi="宋体" w:eastAsia="宋体" w:cs="宋体"/>
      <w:color w:val="000000"/>
      <w:sz w:val="21"/>
      <w:szCs w:val="21"/>
      <w:u w:val="none"/>
    </w:rPr>
  </w:style>
  <w:style w:type="character" w:customStyle="1" w:styleId="29">
    <w:name w:val="font11"/>
    <w:basedOn w:val="20"/>
    <w:qFormat/>
    <w:uiPriority w:val="0"/>
    <w:rPr>
      <w:rFonts w:hint="default" w:ascii="Calibri" w:hAnsi="Calibri" w:cs="Calibri"/>
      <w:color w:val="000000"/>
      <w:sz w:val="21"/>
      <w:szCs w:val="21"/>
      <w:u w:val="none"/>
    </w:rPr>
  </w:style>
  <w:style w:type="paragraph" w:customStyle="1" w:styleId="30">
    <w:name w:val="样式 黑色 首行缩进:  0.85 厘米 行距: 固定值 20 磅"/>
    <w:basedOn w:val="1"/>
    <w:qFormat/>
    <w:uiPriority w:val="0"/>
    <w:pPr>
      <w:tabs>
        <w:tab w:val="left" w:pos="8789"/>
      </w:tabs>
      <w:adjustRightInd w:val="0"/>
      <w:snapToGrid w:val="0"/>
      <w:spacing w:line="460" w:lineRule="exact"/>
      <w:ind w:right="57"/>
      <w:jc w:val="left"/>
    </w:pPr>
    <w:rPr>
      <w:rFonts w:ascii="Arial" w:hAnsi="Arial"/>
      <w:color w:val="000000"/>
      <w:sz w:val="24"/>
      <w:szCs w:val="20"/>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China</Company>
  <Pages>2</Pages>
  <Words>619</Words>
  <Characters>706</Characters>
  <Lines>17</Lines>
  <Paragraphs>4</Paragraphs>
  <TotalTime>0</TotalTime>
  <ScaleCrop>false</ScaleCrop>
  <LinksUpToDate>false</LinksUpToDate>
  <CharactersWithSpaces>733</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2022-05-25T17:01:00Z</dcterms:created>
  <dc:creator>Windows 用户</dc:creator>
  <cp:lastModifiedBy>田晶lovelife</cp:lastModifiedBy>
  <cp:lastPrinted>2025-07-24T10:22:00Z</cp:lastPrinted>
  <dcterms:modified xsi:type="dcterms:W3CDTF">2025-11-21T08:41:34Z</dcterms:modified>
  <dc:title>采购需求书(办公家类）</dc:title>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0F2510AC79EE4087BE297EAF020F3BB0_13</vt:lpwstr>
  </property>
  <property fmtid="{D5CDD505-2E9C-101B-9397-08002B2CF9AE}" pid="4" name="KSOTemplateDocerSaveRecord">
    <vt:lpwstr>eyJoZGlkIjoiMTNkMTZmYmExZTcyMWIxYTQ5NDc4NDY0NWY1YTMwNTYiLCJ1c2VySWQiOiI0OTk3NzY1ODMifQ==</vt:lpwstr>
  </property>
</Properties>
</file>