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3"/>
        <w:gridCol w:w="1020"/>
        <w:gridCol w:w="6044"/>
      </w:tblGrid>
      <w:tr w14:paraId="14E1D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3" w:type="dxa"/>
          </w:tcPr>
          <w:p w14:paraId="4CADD51D">
            <w:pPr>
              <w:pStyle w:val="23"/>
            </w:pPr>
            <w:r>
              <w:rPr>
                <w:rFonts w:ascii="仿宋_GB2312" w:hAnsi="仿宋_GB2312" w:eastAsia="仿宋_GB2312" w:cs="仿宋_GB2312"/>
              </w:rPr>
              <w:t xml:space="preserve"> 序号</w:t>
            </w:r>
          </w:p>
        </w:tc>
        <w:tc>
          <w:tcPr>
            <w:tcW w:w="1020" w:type="dxa"/>
          </w:tcPr>
          <w:p w14:paraId="4699F257">
            <w:pPr>
              <w:pStyle w:val="23"/>
            </w:pPr>
            <w:r>
              <w:rPr>
                <w:rFonts w:ascii="仿宋_GB2312" w:hAnsi="仿宋_GB2312" w:eastAsia="仿宋_GB2312" w:cs="仿宋_GB2312"/>
              </w:rPr>
              <w:t xml:space="preserve"> 参数性质</w:t>
            </w:r>
          </w:p>
        </w:tc>
        <w:tc>
          <w:tcPr>
            <w:tcW w:w="6044" w:type="dxa"/>
          </w:tcPr>
          <w:p w14:paraId="473CBE3B">
            <w:pPr>
              <w:pStyle w:val="23"/>
            </w:pPr>
            <w:r>
              <w:rPr>
                <w:rFonts w:ascii="仿宋_GB2312" w:hAnsi="仿宋_GB2312" w:eastAsia="仿宋_GB2312" w:cs="仿宋_GB2312"/>
              </w:rPr>
              <w:t xml:space="preserve"> 技术参数与性能指标</w:t>
            </w:r>
          </w:p>
        </w:tc>
      </w:tr>
      <w:tr w14:paraId="5D066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3" w:type="dxa"/>
          </w:tcPr>
          <w:p w14:paraId="5FD572DD">
            <w:pPr>
              <w:pStyle w:val="23"/>
            </w:pPr>
            <w:r>
              <w:rPr>
                <w:rFonts w:ascii="仿宋_GB2312" w:hAnsi="仿宋_GB2312" w:eastAsia="仿宋_GB2312" w:cs="仿宋_GB2312"/>
              </w:rPr>
              <w:t>1</w:t>
            </w:r>
          </w:p>
        </w:tc>
        <w:tc>
          <w:tcPr>
            <w:tcW w:w="1020" w:type="dxa"/>
          </w:tcPr>
          <w:p w14:paraId="705B50A9"/>
        </w:tc>
        <w:tc>
          <w:tcPr>
            <w:tcW w:w="6044" w:type="dxa"/>
          </w:tcPr>
          <w:p w14:paraId="1139137C">
            <w:pPr>
              <w:pStyle w:val="23"/>
              <w:jc w:val="both"/>
            </w:pPr>
            <w:r>
              <w:rPr>
                <w:rFonts w:ascii="仿宋_GB2312" w:hAnsi="仿宋_GB2312" w:eastAsia="仿宋_GB2312" w:cs="仿宋_GB2312"/>
                <w:b/>
                <w:sz w:val="24"/>
              </w:rPr>
              <w:t>一、设备名称：波长色散X射线荧光光谱仪</w:t>
            </w:r>
          </w:p>
          <w:p w14:paraId="7CC39CA5">
            <w:pPr>
              <w:pStyle w:val="23"/>
            </w:pPr>
            <w:r>
              <w:rPr>
                <w:rFonts w:ascii="仿宋_GB2312" w:hAnsi="仿宋_GB2312" w:eastAsia="仿宋_GB2312" w:cs="仿宋_GB2312"/>
                <w:sz w:val="24"/>
              </w:rPr>
              <w:t>用途：该设备用于煤、煤灰、土壤、岩石等融片样品、粉末压片样品、块状样品、松散粉末样品以及液体样品的定性、定量及无标样定量分析。要求设备配备用于液体和粉末分析的氦气冲洗系统及液体分析用附件。</w:t>
            </w:r>
          </w:p>
        </w:tc>
      </w:tr>
      <w:tr w14:paraId="1A3E9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3" w:type="dxa"/>
          </w:tcPr>
          <w:p w14:paraId="50FD11E9">
            <w:pPr>
              <w:pStyle w:val="23"/>
            </w:pPr>
            <w:r>
              <w:rPr>
                <w:rFonts w:ascii="仿宋_GB2312" w:hAnsi="仿宋_GB2312" w:eastAsia="仿宋_GB2312" w:cs="仿宋_GB2312"/>
              </w:rPr>
              <w:t>2</w:t>
            </w:r>
          </w:p>
        </w:tc>
        <w:tc>
          <w:tcPr>
            <w:tcW w:w="1020" w:type="dxa"/>
          </w:tcPr>
          <w:p w14:paraId="76E7FAEF"/>
        </w:tc>
        <w:tc>
          <w:tcPr>
            <w:tcW w:w="6044" w:type="dxa"/>
          </w:tcPr>
          <w:p w14:paraId="30CF930C">
            <w:pPr>
              <w:pStyle w:val="23"/>
              <w:jc w:val="both"/>
            </w:pPr>
            <w:r>
              <w:rPr>
                <w:rFonts w:ascii="仿宋_GB2312" w:hAnsi="仿宋_GB2312" w:eastAsia="仿宋_GB2312" w:cs="仿宋_GB2312"/>
                <w:b/>
                <w:sz w:val="24"/>
              </w:rPr>
              <w:t>二、主要性能指标、要求：</w:t>
            </w:r>
          </w:p>
          <w:p w14:paraId="1BD36F00">
            <w:pPr>
              <w:pStyle w:val="23"/>
              <w:jc w:val="both"/>
            </w:pPr>
            <w:r>
              <w:rPr>
                <w:rFonts w:ascii="仿宋_GB2312" w:hAnsi="仿宋_GB2312" w:eastAsia="仿宋_GB2312" w:cs="仿宋_GB2312"/>
                <w:sz w:val="24"/>
              </w:rPr>
              <w:t>1、测量方式：顺序扫描式或者固定通道式。</w:t>
            </w:r>
          </w:p>
          <w:p w14:paraId="52C9103A">
            <w:pPr>
              <w:pStyle w:val="23"/>
              <w:jc w:val="both"/>
            </w:pPr>
            <w:r>
              <w:rPr>
                <w:rFonts w:ascii="仿宋_GB2312" w:hAnsi="仿宋_GB2312" w:eastAsia="仿宋_GB2312" w:cs="仿宋_GB2312"/>
                <w:sz w:val="24"/>
              </w:rPr>
              <w:t>2、分析元素范围：顺序扫描式仪器要求使用高精度测角仪分析元素范围元素周期表中8号О至95号Am元素。（固定通道式仪器要求使用固定通道分析常用F、Na、Mg、Al、Si、P、S、Cl、K、Ca、Ti、V、Cr、Mn、Fe、Co、Ni、Cu、Zn、Br、Ba、Cd、Pb及As共计24种元素,此外要求加装普通扫描道，要求在配置清单内明确24个固定道和扫描道晶体配置情况）。</w:t>
            </w:r>
          </w:p>
          <w:p w14:paraId="01013F7E">
            <w:pPr>
              <w:pStyle w:val="23"/>
              <w:jc w:val="both"/>
            </w:pPr>
            <w:r>
              <w:rPr>
                <w:rFonts w:ascii="仿宋_GB2312" w:hAnsi="仿宋_GB2312" w:eastAsia="仿宋_GB2312" w:cs="仿宋_GB2312"/>
                <w:sz w:val="24"/>
              </w:rPr>
              <w:t>3、分析含量范围：ppm到100%</w:t>
            </w:r>
            <w:r>
              <w:rPr>
                <w:rFonts w:ascii="仿宋_GB2312" w:hAnsi="仿宋_GB2312" w:eastAsia="仿宋_GB2312" w:cs="仿宋_GB2312"/>
                <w:sz w:val="21"/>
              </w:rPr>
              <w:t xml:space="preserve"> </w:t>
            </w:r>
            <w:r>
              <w:rPr>
                <w:rFonts w:ascii="仿宋_GB2312" w:hAnsi="仿宋_GB2312" w:eastAsia="仿宋_GB2312" w:cs="仿宋_GB2312"/>
                <w:sz w:val="24"/>
              </w:rPr>
              <w:t>。</w:t>
            </w:r>
          </w:p>
          <w:p w14:paraId="54F77A64">
            <w:pPr>
              <w:pStyle w:val="23"/>
              <w:jc w:val="both"/>
            </w:pPr>
            <w:r>
              <w:rPr>
                <w:rFonts w:ascii="仿宋_GB2312" w:hAnsi="仿宋_GB2312" w:eastAsia="仿宋_GB2312" w:cs="仿宋_GB2312"/>
                <w:sz w:val="24"/>
              </w:rPr>
              <w:t>★4、自动进样器：60位及以上X-Y二维全自动进样器，包括60个原装不锈钢样品杯，并配备与样品杯数量匹配的进样托盘或进样条。所有样品杯现场测试均保证满足仪器性能验收标准。配与样品杯规格相配套的准直器面罩。另配10个分析薄膜样品用的无散射样品杯。</w:t>
            </w:r>
          </w:p>
          <w:p w14:paraId="6E898664">
            <w:pPr>
              <w:pStyle w:val="23"/>
              <w:jc w:val="both"/>
            </w:pPr>
            <w:r>
              <w:rPr>
                <w:rFonts w:ascii="仿宋_GB2312" w:hAnsi="仿宋_GB2312" w:eastAsia="仿宋_GB2312" w:cs="仿宋_GB2312"/>
                <w:sz w:val="24"/>
              </w:rPr>
              <w:t>★5、X射线发生器：顺序扫描式仪器高压发生器最大功率≥4kw；最大电压≥60kv，步进≤1kV；最大电流≥170mA，步进≤1mA（固定通道式仪器最大功率≥4kw；最大电压≥50kv，步进≤5kV；最大电流≥100mA，步进≤5mA）。</w:t>
            </w:r>
          </w:p>
          <w:p w14:paraId="69A021CD">
            <w:pPr>
              <w:pStyle w:val="23"/>
              <w:jc w:val="both"/>
            </w:pPr>
            <w:r>
              <w:rPr>
                <w:rFonts w:ascii="仿宋_GB2312" w:hAnsi="仿宋_GB2312" w:eastAsia="仿宋_GB2312" w:cs="仿宋_GB2312"/>
                <w:sz w:val="24"/>
              </w:rPr>
              <w:t>6、发生器稳定性：顺序扫描式仪器外电源波动1%时，输出波动≤0.00005%。（固定通道式仪器外电源波动1%时，输出波动≤0.001%）。</w:t>
            </w:r>
          </w:p>
          <w:p w14:paraId="76D13681">
            <w:pPr>
              <w:pStyle w:val="23"/>
              <w:jc w:val="both"/>
            </w:pPr>
            <w:r>
              <w:rPr>
                <w:rFonts w:ascii="仿宋_GB2312" w:hAnsi="仿宋_GB2312" w:eastAsia="仿宋_GB2312" w:cs="仿宋_GB2312"/>
                <w:sz w:val="24"/>
              </w:rPr>
              <w:t>7、X射线光管类型：采用端窗Rh靶陶瓷光管，光管头部低温设计，保证满功率运行下温度不高于50度，无渗漏Be窗厚度≤75μm 。</w:t>
            </w:r>
          </w:p>
          <w:p w14:paraId="229CE7D7">
            <w:pPr>
              <w:pStyle w:val="23"/>
              <w:jc w:val="both"/>
            </w:pPr>
            <w:r>
              <w:rPr>
                <w:rFonts w:ascii="仿宋_GB2312" w:hAnsi="仿宋_GB2312" w:eastAsia="仿宋_GB2312" w:cs="仿宋_GB2312"/>
                <w:sz w:val="24"/>
              </w:rPr>
              <w:t>★8、X射线光管规格：顺序扫描式荧光仪X光管最大功率≥4kw；最大电压≥60kv，步进≤1kV；最大电流≥170mA，步进≤1mA。（固定通道式仪器X光管最大功率≥4kw；最大电压≥50kv，步进≤5kV；最大电流≥100mA，步进≤5mA）。</w:t>
            </w:r>
          </w:p>
          <w:p w14:paraId="652306F9">
            <w:pPr>
              <w:pStyle w:val="23"/>
              <w:jc w:val="both"/>
            </w:pPr>
            <w:r>
              <w:rPr>
                <w:rFonts w:ascii="仿宋_GB2312" w:hAnsi="仿宋_GB2312" w:eastAsia="仿宋_GB2312" w:cs="仿宋_GB2312"/>
                <w:sz w:val="24"/>
              </w:rPr>
              <w:t>▲9、初级光路过滤器：配备位于光管和样品间的10位置初级光路过滤装置，至少预安装7种滤光片；（固定通道式仪器需要配备通道所需的衰减片，并在配置单详细列出）。</w:t>
            </w:r>
          </w:p>
          <w:p w14:paraId="1CF54819">
            <w:pPr>
              <w:pStyle w:val="23"/>
              <w:jc w:val="both"/>
            </w:pPr>
            <w:r>
              <w:rPr>
                <w:rFonts w:ascii="仿宋_GB2312" w:hAnsi="仿宋_GB2312" w:eastAsia="仿宋_GB2312" w:cs="仿宋_GB2312"/>
                <w:sz w:val="24"/>
              </w:rPr>
              <w:t>▲10、测角仪：顺序扫描式仪器要求角度准确度≤0.001°，角度再现精度：≤0.0001°，最大扫描速度≥1000°/分钟，最大转角速度≥4000°/分钟；（固定通道式仪器配备普通测角仪）。</w:t>
            </w:r>
          </w:p>
          <w:p w14:paraId="2EC1A315">
            <w:pPr>
              <w:pStyle w:val="23"/>
              <w:jc w:val="both"/>
            </w:pPr>
            <w:r>
              <w:rPr>
                <w:rFonts w:ascii="仿宋_GB2312" w:hAnsi="仿宋_GB2312" w:eastAsia="仿宋_GB2312" w:cs="仿宋_GB2312"/>
                <w:sz w:val="24"/>
              </w:rPr>
              <w:t>▲11、探测器：顺序扫描式仪器要求气流正比计数器最大线性计数率≥4000kcps，闪烁计数器最大线性计数率≥3500kcps。（固定通道式仪器配备的所有探测器要求最大计数率≥1000kcps）。</w:t>
            </w:r>
          </w:p>
          <w:p w14:paraId="2DEE2A6F">
            <w:pPr>
              <w:pStyle w:val="23"/>
              <w:jc w:val="both"/>
            </w:pPr>
            <w:r>
              <w:rPr>
                <w:rFonts w:ascii="仿宋_GB2312" w:hAnsi="仿宋_GB2312" w:eastAsia="仿宋_GB2312" w:cs="仿宋_GB2312"/>
                <w:sz w:val="24"/>
              </w:rPr>
              <w:t>★12、分光晶体：顺序扫描式仪器要求必须配置能够完成O-Am之间元素定性、定量及无标样分析的所有必要晶体（固定通道式只需要配置F、Na、Mg、Al、Si、P、S、Cl、K、Ca、Ti、V、Cr、Mn、Fe、Co、Ni、Cu、Zn、Br、Ba、Cd、Pb、As以及扫描道的共计25块晶体）。</w:t>
            </w:r>
          </w:p>
          <w:p w14:paraId="4B0CE38B">
            <w:pPr>
              <w:pStyle w:val="23"/>
              <w:jc w:val="both"/>
            </w:pPr>
            <w:r>
              <w:rPr>
                <w:rFonts w:ascii="仿宋_GB2312" w:hAnsi="仿宋_GB2312" w:eastAsia="仿宋_GB2312" w:cs="仿宋_GB2312"/>
                <w:sz w:val="24"/>
              </w:rPr>
              <w:t>13、光谱室控温：温度稳定性波动≤±0.02℃。</w:t>
            </w:r>
          </w:p>
          <w:p w14:paraId="1311065A">
            <w:pPr>
              <w:pStyle w:val="23"/>
              <w:jc w:val="both"/>
            </w:pPr>
            <w:r>
              <w:rPr>
                <w:rFonts w:ascii="仿宋_GB2312" w:hAnsi="仿宋_GB2312" w:eastAsia="仿宋_GB2312" w:cs="仿宋_GB2312"/>
                <w:sz w:val="24"/>
              </w:rPr>
              <w:t>14、数据采集系统和数据处理系统各1套：</w:t>
            </w:r>
          </w:p>
          <w:p w14:paraId="62928E00">
            <w:pPr>
              <w:pStyle w:val="23"/>
              <w:jc w:val="both"/>
            </w:pPr>
            <w:r>
              <w:rPr>
                <w:rFonts w:ascii="仿宋_GB2312" w:hAnsi="仿宋_GB2312" w:eastAsia="仿宋_GB2312" w:cs="仿宋_GB2312"/>
                <w:sz w:val="24"/>
              </w:rPr>
              <w:t>14.1 Windows 10正版操作系统 (64位), ≥四核3.0GHz, ≥16G内存, ≥1T硬盘，24'LED显示器, 键盘, 鼠标,网卡；</w:t>
            </w:r>
          </w:p>
          <w:p w14:paraId="7118A6F2">
            <w:pPr>
              <w:pStyle w:val="23"/>
              <w:jc w:val="both"/>
            </w:pPr>
            <w:r>
              <w:rPr>
                <w:rFonts w:ascii="仿宋_GB2312" w:hAnsi="仿宋_GB2312" w:eastAsia="仿宋_GB2312" w:cs="仿宋_GB2312"/>
                <w:sz w:val="24"/>
              </w:rPr>
              <w:t>14.2 可进行定性、定量及无标样分析，并包含以下功能：全自动安装与校准系统；光谱仪及进样器状态的实时、动态图形显示；网络及数据传输；自诊断及远程诊断。免费升级保证；定性分析能够高分辨显示样品谱图，具有自动背景扣除与平滑功能，自动寻峰以及元素识别；定量分析具有分析曲线的自动导航；智能系统提供测量参数的最佳条件；自动校正谱线重叠干扰；具备经验系数法、固定理论Alpha系数法、变动理论Alpha系数法等基体校正功能；灵活的输入制样参数及任何可用的化学信息；分析结果超出警戒线会自动显示与报警等功能；无标样定量分析能在没有标准曲线的情况下对完全未知的各类样品进行自动定量分析，可以采用扫描模式进行无标样分析，也可以采用峰/背比测量模式。</w:t>
            </w:r>
          </w:p>
          <w:p w14:paraId="3A61A902">
            <w:pPr>
              <w:pStyle w:val="23"/>
              <w:jc w:val="both"/>
            </w:pPr>
            <w:r>
              <w:rPr>
                <w:rFonts w:ascii="仿宋_GB2312" w:hAnsi="仿宋_GB2312" w:eastAsia="仿宋_GB2312" w:cs="仿宋_GB2312"/>
                <w:sz w:val="24"/>
              </w:rPr>
              <w:t>▲15、扩展能力：可扩展加装微区分析模块，能够对最小到 0.3mm 的微小区域开展高灵敏度的元素定性、定量、无标样定量及元素分布分析。</w:t>
            </w:r>
          </w:p>
          <w:p w14:paraId="7D9230DD">
            <w:pPr>
              <w:pStyle w:val="23"/>
              <w:jc w:val="both"/>
            </w:pPr>
            <w:r>
              <w:rPr>
                <w:rFonts w:ascii="仿宋_GB2312" w:hAnsi="仿宋_GB2312" w:eastAsia="仿宋_GB2312" w:cs="仿宋_GB2312"/>
                <w:sz w:val="24"/>
              </w:rPr>
              <w:t>16、水冷机：循环分体式外部水冷机一台，最大制冷能力不小于8KW；控制温度范围5～35℃；控温精度：±2℃；循环水流量：3-25L/min，最大出口水压：0.4MPa。</w:t>
            </w:r>
          </w:p>
          <w:p w14:paraId="7830A8C8">
            <w:pPr>
              <w:pStyle w:val="23"/>
              <w:jc w:val="both"/>
            </w:pPr>
            <w:r>
              <w:rPr>
                <w:rFonts w:ascii="仿宋_GB2312" w:hAnsi="仿宋_GB2312" w:eastAsia="仿宋_GB2312" w:cs="仿宋_GB2312"/>
                <w:sz w:val="24"/>
              </w:rPr>
              <w:t>17、稳压电源：交直交稳压电源一台，输出容量15KVA；电压可调范围220V±20%，输出精度220V±2%。要求具有过载及短路保护功能。</w:t>
            </w:r>
          </w:p>
          <w:p w14:paraId="6E7BA124">
            <w:pPr>
              <w:pStyle w:val="23"/>
              <w:jc w:val="both"/>
            </w:pPr>
            <w:r>
              <w:rPr>
                <w:rFonts w:ascii="仿宋_GB2312" w:hAnsi="仿宋_GB2312" w:eastAsia="仿宋_GB2312" w:cs="仿宋_GB2312"/>
                <w:sz w:val="24"/>
              </w:rPr>
              <w:t>18、磨样机：自动磨样机一台，转速大于900转/分，进料粒度小于5mm, 磨样时间0-999秒，电源380V，3相，功率1.1KW。配100cc碳化钨磨盘1个。</w:t>
            </w:r>
          </w:p>
          <w:p w14:paraId="64AFE353">
            <w:pPr>
              <w:pStyle w:val="23"/>
              <w:jc w:val="both"/>
            </w:pPr>
            <w:r>
              <w:rPr>
                <w:rFonts w:ascii="仿宋_GB2312" w:hAnsi="仿宋_GB2312" w:eastAsia="仿宋_GB2312" w:cs="仿宋_GB2312"/>
                <w:sz w:val="24"/>
              </w:rPr>
              <w:t>19、压片机：压片机一台，包括镶边垫底模具一个，碳化钨垫片2个，最大压力40吨,最大行程100mm,柱开度220mm。</w:t>
            </w:r>
          </w:p>
          <w:p w14:paraId="14A91955">
            <w:pPr>
              <w:pStyle w:val="23"/>
              <w:jc w:val="both"/>
            </w:pPr>
            <w:r>
              <w:rPr>
                <w:rFonts w:ascii="仿宋_GB2312" w:hAnsi="仿宋_GB2312" w:eastAsia="仿宋_GB2312" w:cs="仿宋_GB2312"/>
                <w:sz w:val="24"/>
              </w:rPr>
              <w:t>20、熔样机：双埚双模高频熔样机一台，触屏15组程序控制。配备65g 黄铂金坩埚2只，35g 黄铂金模具2只。</w:t>
            </w:r>
          </w:p>
          <w:p w14:paraId="796E1435">
            <w:pPr>
              <w:pStyle w:val="23"/>
              <w:jc w:val="both"/>
            </w:pPr>
            <w:r>
              <w:rPr>
                <w:rFonts w:ascii="仿宋_GB2312" w:hAnsi="仿宋_GB2312" w:eastAsia="仿宋_GB2312" w:cs="仿宋_GB2312"/>
                <w:sz w:val="24"/>
              </w:rPr>
              <w:t>21、烟气分析模块</w:t>
            </w:r>
          </w:p>
          <w:p w14:paraId="3B92E99F">
            <w:pPr>
              <w:pStyle w:val="23"/>
              <w:jc w:val="both"/>
            </w:pPr>
            <w:r>
              <w:rPr>
                <w:rFonts w:ascii="仿宋_GB2312" w:hAnsi="仿宋_GB2312" w:eastAsia="仿宋_GB2312" w:cs="仿宋_GB2312"/>
                <w:sz w:val="24"/>
              </w:rPr>
              <w:t>21.1 传感器</w:t>
            </w:r>
          </w:p>
          <w:p w14:paraId="259CC0EC">
            <w:pPr>
              <w:pStyle w:val="23"/>
              <w:jc w:val="both"/>
            </w:pPr>
            <w:r>
              <w:rPr>
                <w:rFonts w:ascii="仿宋_GB2312" w:hAnsi="仿宋_GB2312" w:eastAsia="仿宋_GB2312" w:cs="仿宋_GB2312"/>
                <w:sz w:val="24"/>
              </w:rPr>
              <w:t>①O2传感器采用电化学原理，测量范围0-25.00%，分辨率≤0.01%，精度±0.2%；CO、CO₂、NO、NO₂、N₂O、SO₂、CH₄、CxHy传感器采用非分散红外原理，精度要求为±2% FS；</w:t>
            </w:r>
          </w:p>
          <w:p w14:paraId="61DB15F5">
            <w:pPr>
              <w:pStyle w:val="23"/>
              <w:jc w:val="both"/>
            </w:pPr>
            <w:r>
              <w:rPr>
                <w:rFonts w:ascii="仿宋_GB2312" w:hAnsi="仿宋_GB2312" w:eastAsia="仿宋_GB2312" w:cs="仿宋_GB2312"/>
                <w:sz w:val="24"/>
              </w:rPr>
              <w:t>②CO传感器类型为NDIR红外传感器，测量范围0-10000ppm，分辨率≤1ppm；</w:t>
            </w:r>
          </w:p>
          <w:p w14:paraId="0EE57A36">
            <w:pPr>
              <w:pStyle w:val="23"/>
              <w:jc w:val="both"/>
            </w:pPr>
            <w:r>
              <w:rPr>
                <w:rFonts w:ascii="仿宋_GB2312" w:hAnsi="仿宋_GB2312" w:eastAsia="仿宋_GB2312" w:cs="仿宋_GB2312"/>
                <w:sz w:val="24"/>
              </w:rPr>
              <w:t>③CO₂传感器类型为NDIR红外传感器，测量范围0-40.00 %，分辨率≤0.01%；</w:t>
            </w:r>
          </w:p>
          <w:p w14:paraId="487B9D56">
            <w:pPr>
              <w:pStyle w:val="23"/>
              <w:jc w:val="both"/>
            </w:pPr>
            <w:r>
              <w:rPr>
                <w:rFonts w:ascii="仿宋_GB2312" w:hAnsi="仿宋_GB2312" w:eastAsia="仿宋_GB2312" w:cs="仿宋_GB2312"/>
                <w:sz w:val="24"/>
              </w:rPr>
              <w:t>④SO₂传感器类型为NDIR红外传感器，测量范围0-1000ppm，分辨率≤0.01ppm；</w:t>
            </w:r>
          </w:p>
          <w:p w14:paraId="10DEB4AF">
            <w:pPr>
              <w:pStyle w:val="23"/>
              <w:jc w:val="both"/>
            </w:pPr>
            <w:r>
              <w:rPr>
                <w:rFonts w:ascii="仿宋_GB2312" w:hAnsi="仿宋_GB2312" w:eastAsia="仿宋_GB2312" w:cs="仿宋_GB2312"/>
                <w:sz w:val="24"/>
              </w:rPr>
              <w:t>⑤NO传感器类型为NDIR红外传感器，测量范围0-1000ppm，分辨率≤0.1ppm；</w:t>
            </w:r>
          </w:p>
          <w:p w14:paraId="0D10B146">
            <w:pPr>
              <w:pStyle w:val="23"/>
              <w:jc w:val="both"/>
            </w:pPr>
            <w:r>
              <w:rPr>
                <w:rFonts w:ascii="仿宋_GB2312" w:hAnsi="仿宋_GB2312" w:eastAsia="仿宋_GB2312" w:cs="仿宋_GB2312"/>
                <w:sz w:val="24"/>
              </w:rPr>
              <w:t>⑥NO₂传感器类型为NDIR红外传感器，测量范围0-500ppm，分辨率≤1ppm；</w:t>
            </w:r>
          </w:p>
          <w:p w14:paraId="7ED03D94">
            <w:pPr>
              <w:pStyle w:val="23"/>
              <w:jc w:val="both"/>
            </w:pPr>
            <w:r>
              <w:rPr>
                <w:rFonts w:ascii="仿宋_GB2312" w:hAnsi="仿宋_GB2312" w:eastAsia="仿宋_GB2312" w:cs="仿宋_GB2312"/>
                <w:sz w:val="24"/>
              </w:rPr>
              <w:t>⑦CH₄传感器类型为NDIR红外传感器，测量范围0-10000ppm，分辨率≤1ppm；</w:t>
            </w:r>
          </w:p>
          <w:p w14:paraId="45F8A82D">
            <w:pPr>
              <w:pStyle w:val="23"/>
              <w:jc w:val="both"/>
            </w:pPr>
            <w:r>
              <w:rPr>
                <w:rFonts w:ascii="仿宋_GB2312" w:hAnsi="仿宋_GB2312" w:eastAsia="仿宋_GB2312" w:cs="仿宋_GB2312"/>
                <w:sz w:val="24"/>
              </w:rPr>
              <w:t>21.2 国家环境保护标准：满足固定污染源废气二氧化硫的测定非分散红外吸收法HJ 629-2011；固定污染源排气中氮氧化物的测定非色散红外吸收法HJ 692-2014；固定污染源排气中二氧化碳的测定非色散红外吸收法HJ870-2017；固定污染源排气中一氧化碳的测定非色散红外吸收法HJ/T 44-1999；</w:t>
            </w:r>
          </w:p>
          <w:p w14:paraId="570A9673">
            <w:pPr>
              <w:pStyle w:val="23"/>
              <w:jc w:val="both"/>
            </w:pPr>
            <w:r>
              <w:rPr>
                <w:rFonts w:ascii="仿宋_GB2312" w:hAnsi="仿宋_GB2312" w:eastAsia="仿宋_GB2312" w:cs="仿宋_GB2312"/>
                <w:sz w:val="24"/>
              </w:rPr>
              <w:t>21.3具备整机加热采样分析及预处理系统，能够适合用于各种污染源的低浓度排放测量；</w:t>
            </w:r>
          </w:p>
          <w:p w14:paraId="164F102A">
            <w:pPr>
              <w:pStyle w:val="23"/>
              <w:jc w:val="both"/>
            </w:pPr>
            <w:r>
              <w:rPr>
                <w:rFonts w:ascii="仿宋_GB2312" w:hAnsi="仿宋_GB2312" w:eastAsia="仿宋_GB2312" w:cs="仿宋_GB2312"/>
                <w:sz w:val="24"/>
              </w:rPr>
              <w:t>①烟气预处理单元：带双级气体冷却器配合双排水泵，除湿干燥，精准控制样气露点温度稳定保持在 + 5℃；</w:t>
            </w:r>
          </w:p>
          <w:p w14:paraId="621D1B52">
            <w:pPr>
              <w:pStyle w:val="23"/>
              <w:jc w:val="both"/>
            </w:pPr>
            <w:r>
              <w:rPr>
                <w:rFonts w:ascii="仿宋_GB2312" w:hAnsi="仿宋_GB2312" w:eastAsia="仿宋_GB2312" w:cs="仿宋_GB2312"/>
                <w:sz w:val="24"/>
              </w:rPr>
              <w:t>②配备烟尘多级过滤器单元过滤烟尘及颗粒物；探管带前置陶瓷过滤器，手柄带玻璃纤维过滤器；</w:t>
            </w:r>
          </w:p>
          <w:p w14:paraId="4D6B3387">
            <w:pPr>
              <w:pStyle w:val="23"/>
              <w:jc w:val="both"/>
            </w:pPr>
            <w:r>
              <w:rPr>
                <w:rFonts w:ascii="仿宋_GB2312" w:hAnsi="仿宋_GB2312" w:eastAsia="仿宋_GB2312" w:cs="仿宋_GB2312"/>
                <w:sz w:val="24"/>
              </w:rPr>
              <w:t>③电子流量传感器检测采样流量，自动报警；</w:t>
            </w:r>
          </w:p>
          <w:p w14:paraId="215C6BA9">
            <w:pPr>
              <w:pStyle w:val="23"/>
              <w:jc w:val="both"/>
            </w:pPr>
            <w:r>
              <w:rPr>
                <w:rFonts w:ascii="仿宋_GB2312" w:hAnsi="仿宋_GB2312" w:eastAsia="仿宋_GB2312" w:cs="仿宋_GB2312"/>
                <w:sz w:val="24"/>
              </w:rPr>
              <w:t>④可按设定的时间间隔自动存储测量结果；</w:t>
            </w:r>
          </w:p>
          <w:p w14:paraId="571EF6AA">
            <w:pPr>
              <w:pStyle w:val="23"/>
              <w:jc w:val="both"/>
            </w:pPr>
            <w:r>
              <w:rPr>
                <w:rFonts w:ascii="仿宋_GB2312" w:hAnsi="仿宋_GB2312" w:eastAsia="仿宋_GB2312" w:cs="仿宋_GB2312"/>
                <w:sz w:val="24"/>
              </w:rPr>
              <w:t>⑤采样系统全程伴热：带≥3米加热采样管线，工业级加热手柄，快速卡接头连接，手柄带过滤功能；加热探管规格1000*18mm；3米非加热管线，带可拆卸手柄及可拆卸探管，探管长度2000mm，每节1m，可自由拆卸，耐温≥1000℃；内置K型热电偶；加热管线恒温加热可达到180℃，加热温度120-200℃可调；带前置陶瓷过滤器50套，带滤芯；</w:t>
            </w:r>
          </w:p>
          <w:p w14:paraId="7B64F4FE">
            <w:pPr>
              <w:pStyle w:val="23"/>
              <w:jc w:val="both"/>
            </w:pPr>
            <w:r>
              <w:rPr>
                <w:rFonts w:ascii="仿宋_GB2312" w:hAnsi="仿宋_GB2312" w:eastAsia="仿宋_GB2312" w:cs="仿宋_GB2312"/>
                <w:sz w:val="24"/>
              </w:rPr>
              <w:t>21.4 具备功能扩展与兼容性；内置锂离子电池组，可支持主机工作≥2小时；</w:t>
            </w:r>
          </w:p>
          <w:p w14:paraId="7CE87A30">
            <w:pPr>
              <w:pStyle w:val="23"/>
              <w:jc w:val="both"/>
            </w:pPr>
            <w:r>
              <w:rPr>
                <w:rFonts w:ascii="仿宋_GB2312" w:hAnsi="仿宋_GB2312" w:eastAsia="仿宋_GB2312" w:cs="仿宋_GB2312"/>
                <w:sz w:val="24"/>
              </w:rPr>
              <w:t>21.5 数据处理与存储：可通过搭载智能终端，实现设备远程控制与测量数据实时传输，支持检测参数远程调整、测量结果同步接收。</w:t>
            </w:r>
          </w:p>
          <w:p w14:paraId="687B4729">
            <w:pPr>
              <w:pStyle w:val="23"/>
              <w:jc w:val="both"/>
            </w:pPr>
            <w:r>
              <w:rPr>
                <w:rFonts w:ascii="仿宋_GB2312" w:hAnsi="仿宋_GB2312" w:eastAsia="仿宋_GB2312" w:cs="仿宋_GB2312"/>
                <w:sz w:val="24"/>
              </w:rPr>
              <w:t>22、电子天平2台：</w:t>
            </w:r>
          </w:p>
          <w:p w14:paraId="5ECD6A80">
            <w:pPr>
              <w:pStyle w:val="23"/>
              <w:jc w:val="both"/>
            </w:pPr>
            <w:r>
              <w:rPr>
                <w:rFonts w:ascii="仿宋_GB2312" w:hAnsi="仿宋_GB2312" w:eastAsia="仿宋_GB2312" w:cs="仿宋_GB2312"/>
                <w:sz w:val="24"/>
              </w:rPr>
              <w:t>22.1 测量范围0-220g；</w:t>
            </w:r>
          </w:p>
          <w:p w14:paraId="0A7016C1">
            <w:pPr>
              <w:pStyle w:val="23"/>
              <w:jc w:val="both"/>
            </w:pPr>
            <w:r>
              <w:rPr>
                <w:rFonts w:ascii="仿宋_GB2312" w:hAnsi="仿宋_GB2312" w:eastAsia="仿宋_GB2312" w:cs="仿宋_GB2312"/>
                <w:sz w:val="24"/>
              </w:rPr>
              <w:t>22.2 读数精度≤0.1mg；</w:t>
            </w:r>
          </w:p>
          <w:p w14:paraId="7FB4BA70">
            <w:pPr>
              <w:pStyle w:val="23"/>
              <w:jc w:val="both"/>
            </w:pPr>
            <w:r>
              <w:rPr>
                <w:rFonts w:ascii="仿宋_GB2312" w:hAnsi="仿宋_GB2312" w:eastAsia="仿宋_GB2312" w:cs="仿宋_GB2312"/>
                <w:sz w:val="24"/>
              </w:rPr>
              <w:t>22.3 秤盘尺寸≥φ90mm；</w:t>
            </w:r>
          </w:p>
          <w:p w14:paraId="376986A4">
            <w:pPr>
              <w:pStyle w:val="23"/>
              <w:jc w:val="both"/>
            </w:pPr>
            <w:r>
              <w:rPr>
                <w:rFonts w:ascii="仿宋_GB2312" w:hAnsi="仿宋_GB2312" w:eastAsia="仿宋_GB2312" w:cs="仿宋_GB2312"/>
                <w:sz w:val="24"/>
              </w:rPr>
              <w:t>23、真空干燥箱1台。</w:t>
            </w:r>
          </w:p>
          <w:p w14:paraId="06A7F5D7">
            <w:pPr>
              <w:pStyle w:val="23"/>
              <w:jc w:val="both"/>
            </w:pPr>
            <w:r>
              <w:rPr>
                <w:rFonts w:ascii="仿宋_GB2312" w:hAnsi="仿宋_GB2312" w:eastAsia="仿宋_GB2312" w:cs="仿宋_GB2312"/>
                <w:sz w:val="24"/>
              </w:rPr>
              <w:t>23.1 微电脑温度控制器，控温范围：RT+10～200℃；</w:t>
            </w:r>
          </w:p>
          <w:p w14:paraId="43F9482A">
            <w:pPr>
              <w:pStyle w:val="23"/>
              <w:jc w:val="both"/>
            </w:pPr>
            <w:r>
              <w:rPr>
                <w:rFonts w:ascii="仿宋_GB2312" w:hAnsi="仿宋_GB2312" w:eastAsia="仿宋_GB2312" w:cs="仿宋_GB2312"/>
                <w:sz w:val="24"/>
              </w:rPr>
              <w:t>23.2 温度分辨率/波动度：0.1℃/±1℃；</w:t>
            </w:r>
          </w:p>
          <w:p w14:paraId="7A70599B">
            <w:pPr>
              <w:pStyle w:val="23"/>
              <w:jc w:val="both"/>
            </w:pPr>
            <w:r>
              <w:rPr>
                <w:rFonts w:ascii="仿宋_GB2312" w:hAnsi="仿宋_GB2312" w:eastAsia="仿宋_GB2312" w:cs="仿宋_GB2312"/>
                <w:sz w:val="24"/>
              </w:rPr>
              <w:t>23.3 真空表：机械指针式；</w:t>
            </w:r>
          </w:p>
          <w:p w14:paraId="77E47EBC">
            <w:pPr>
              <w:pStyle w:val="23"/>
              <w:jc w:val="both"/>
            </w:pPr>
            <w:r>
              <w:rPr>
                <w:rFonts w:ascii="仿宋_GB2312" w:hAnsi="仿宋_GB2312" w:eastAsia="仿宋_GB2312" w:cs="仿宋_GB2312"/>
                <w:sz w:val="24"/>
              </w:rPr>
              <w:t>23.4 钢化、防弹双层玻璃门观察工作室内物体，能够向内部充入惰性气体。箱门闭合松紧可调节，整体成型的合成硅门封圈，确保箱内保持高真空度。不锈钢板材工作室，内胆尺寸W×D×H：≥415×370×345 mm；</w:t>
            </w:r>
          </w:p>
          <w:p w14:paraId="78873C8B">
            <w:pPr>
              <w:pStyle w:val="23"/>
              <w:jc w:val="both"/>
            </w:pPr>
            <w:r>
              <w:rPr>
                <w:rFonts w:ascii="仿宋_GB2312" w:hAnsi="仿宋_GB2312" w:eastAsia="仿宋_GB2312" w:cs="仿宋_GB2312"/>
                <w:sz w:val="24"/>
              </w:rPr>
              <w:t>23.5 搁板：2层；</w:t>
            </w:r>
          </w:p>
          <w:p w14:paraId="6B2108BE">
            <w:pPr>
              <w:pStyle w:val="23"/>
              <w:jc w:val="both"/>
            </w:pPr>
            <w:r>
              <w:rPr>
                <w:rFonts w:ascii="仿宋_GB2312" w:hAnsi="仿宋_GB2312" w:eastAsia="仿宋_GB2312" w:cs="仿宋_GB2312"/>
                <w:sz w:val="24"/>
              </w:rPr>
              <w:t>23.6 含真空泵。</w:t>
            </w:r>
          </w:p>
          <w:p w14:paraId="5A049D2D">
            <w:pPr>
              <w:pStyle w:val="23"/>
              <w:jc w:val="both"/>
            </w:pPr>
            <w:r>
              <w:rPr>
                <w:rFonts w:ascii="仿宋_GB2312" w:hAnsi="仿宋_GB2312" w:eastAsia="仿宋_GB2312" w:cs="仿宋_GB2312"/>
                <w:sz w:val="24"/>
              </w:rPr>
              <w:t>24、P10气体减压阀及He气体减压阀各一支；P10气体及He气体各一瓶；带报警器的双瓶气瓶柜一个。</w:t>
            </w:r>
          </w:p>
          <w:p w14:paraId="1F1A70AD">
            <w:pPr>
              <w:pStyle w:val="23"/>
              <w:jc w:val="both"/>
            </w:pPr>
            <w:r>
              <w:rPr>
                <w:rFonts w:ascii="仿宋_GB2312" w:hAnsi="仿宋_GB2312" w:eastAsia="仿宋_GB2312" w:cs="仿宋_GB2312"/>
                <w:sz w:val="24"/>
              </w:rPr>
              <w:t>▲25、备品备件：随主机配备五年使用的进口备品备件，要求种类不少于 30种，数量不少于 70 个。要求至少包括3根计数器芯线（投标商不得以免维护或自动清洗为由不提供）、1个电磁阀、1个比例电磁阀、1个插装式阀、1个带连接装置的备用水泵、1个带编码器的步进电机、1个带转轮的步进电机、1个温度传感器、1套专用工具。</w:t>
            </w:r>
          </w:p>
          <w:p w14:paraId="4861CF92">
            <w:pPr>
              <w:pStyle w:val="23"/>
              <w:jc w:val="both"/>
            </w:pPr>
            <w:r>
              <w:rPr>
                <w:rFonts w:ascii="仿宋_GB2312" w:hAnsi="仿宋_GB2312" w:eastAsia="仿宋_GB2312" w:cs="仿宋_GB2312"/>
                <w:sz w:val="24"/>
              </w:rPr>
              <w:t>26、提供1000个液体及粉末分析专用样品杯，液体及粉末分析专用麦拉膜90米，油品分析专用Prolene膜90米。</w:t>
            </w:r>
          </w:p>
          <w:p w14:paraId="56087574">
            <w:pPr>
              <w:pStyle w:val="23"/>
              <w:jc w:val="both"/>
            </w:pPr>
            <w:r>
              <w:rPr>
                <w:rFonts w:ascii="仿宋_GB2312" w:hAnsi="仿宋_GB2312" w:eastAsia="仿宋_GB2312" w:cs="仿宋_GB2312"/>
                <w:sz w:val="24"/>
              </w:rPr>
              <w:t>27、随机配备的仪器漂移校正样品。</w:t>
            </w:r>
          </w:p>
          <w:p w14:paraId="2FED0A07">
            <w:pPr>
              <w:pStyle w:val="23"/>
              <w:jc w:val="both"/>
            </w:pPr>
            <w:r>
              <w:rPr>
                <w:rFonts w:ascii="仿宋_GB2312" w:hAnsi="仿宋_GB2312" w:eastAsia="仿宋_GB2312" w:cs="仿宋_GB2312"/>
                <w:sz w:val="24"/>
              </w:rPr>
              <w:t>28、提供土壤GSS、岩石GSR和水系沉积物GSD的国家标准样品一套，要求数量不少于30个，建立的分析曲线分析元素种类不低于40个。</w:t>
            </w:r>
          </w:p>
          <w:p w14:paraId="52E13294">
            <w:pPr>
              <w:pStyle w:val="23"/>
              <w:jc w:val="both"/>
            </w:pPr>
            <w:r>
              <w:rPr>
                <w:rFonts w:ascii="仿宋_GB2312" w:hAnsi="仿宋_GB2312" w:eastAsia="仿宋_GB2312" w:cs="仿宋_GB2312"/>
                <w:sz w:val="24"/>
              </w:rPr>
              <w:t>29、其他：</w:t>
            </w:r>
          </w:p>
          <w:p w14:paraId="558EEA52">
            <w:pPr>
              <w:pStyle w:val="23"/>
              <w:jc w:val="both"/>
            </w:pPr>
            <w:r>
              <w:rPr>
                <w:rFonts w:ascii="仿宋_GB2312" w:hAnsi="仿宋_GB2312" w:eastAsia="仿宋_GB2312" w:cs="仿宋_GB2312"/>
                <w:sz w:val="24"/>
              </w:rPr>
              <w:t>29.1 钢木实验台2套（含实验凳）：尺寸不小于1500mm*750mm*700mm；</w:t>
            </w:r>
          </w:p>
          <w:p w14:paraId="3485D396">
            <w:pPr>
              <w:pStyle w:val="23"/>
              <w:jc w:val="both"/>
            </w:pPr>
            <w:r>
              <w:rPr>
                <w:rFonts w:ascii="仿宋_GB2312" w:hAnsi="仿宋_GB2312" w:eastAsia="仿宋_GB2312" w:cs="仿宋_GB2312"/>
                <w:sz w:val="24"/>
              </w:rPr>
              <w:t>29.2 3P恒温控制系统1套；</w:t>
            </w:r>
          </w:p>
          <w:p w14:paraId="30507AB1">
            <w:pPr>
              <w:pStyle w:val="23"/>
              <w:jc w:val="both"/>
            </w:pPr>
            <w:r>
              <w:rPr>
                <w:rFonts w:ascii="仿宋_GB2312" w:hAnsi="仿宋_GB2312" w:eastAsia="仿宋_GB2312" w:cs="仿宋_GB2312"/>
                <w:sz w:val="24"/>
              </w:rPr>
              <w:t>29.3 提供仪器设备安装其他必备条件等。</w:t>
            </w:r>
          </w:p>
          <w:p w14:paraId="3961461B">
            <w:pPr>
              <w:pStyle w:val="23"/>
            </w:pPr>
            <w:r>
              <w:rPr>
                <w:rFonts w:ascii="仿宋_GB2312" w:hAnsi="仿宋_GB2312" w:eastAsia="仿宋_GB2312" w:cs="仿宋_GB2312"/>
                <w:sz w:val="24"/>
              </w:rPr>
              <w:t>30、技术培训：仪器安装时进行3天的现场培训，内容包括仪器的技术原理、操作、数据处理、基本维护等；应用工程师现场培训不低于4天；免费4人次（人／周）国内培训（免培训费，食宿自理）。</w:t>
            </w:r>
          </w:p>
        </w:tc>
      </w:tr>
    </w:tbl>
    <w:p w14:paraId="3FD107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7517B"/>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2F7517B"/>
    <w:rsid w:val="23841FE2"/>
    <w:rsid w:val="2572590B"/>
    <w:rsid w:val="279D4A03"/>
    <w:rsid w:val="28273A7C"/>
    <w:rsid w:val="2A0F46C9"/>
    <w:rsid w:val="2A59588F"/>
    <w:rsid w:val="2BB30485"/>
    <w:rsid w:val="2BD074BC"/>
    <w:rsid w:val="2DD545E4"/>
    <w:rsid w:val="2F792957"/>
    <w:rsid w:val="316C37E1"/>
    <w:rsid w:val="31AC7601"/>
    <w:rsid w:val="328016EB"/>
    <w:rsid w:val="33255F19"/>
    <w:rsid w:val="33B76E22"/>
    <w:rsid w:val="34072559"/>
    <w:rsid w:val="34580245"/>
    <w:rsid w:val="359D7DF2"/>
    <w:rsid w:val="35D3262D"/>
    <w:rsid w:val="37384EA6"/>
    <w:rsid w:val="37D746BF"/>
    <w:rsid w:val="37EB63BB"/>
    <w:rsid w:val="38B83436"/>
    <w:rsid w:val="38C51523"/>
    <w:rsid w:val="38E66C78"/>
    <w:rsid w:val="3954329D"/>
    <w:rsid w:val="3A547742"/>
    <w:rsid w:val="3B5C400D"/>
    <w:rsid w:val="3BA4698B"/>
    <w:rsid w:val="3C70268B"/>
    <w:rsid w:val="3D711112"/>
    <w:rsid w:val="3F6842E5"/>
    <w:rsid w:val="3F787D27"/>
    <w:rsid w:val="42843912"/>
    <w:rsid w:val="428471F1"/>
    <w:rsid w:val="434033E5"/>
    <w:rsid w:val="43584653"/>
    <w:rsid w:val="440F052B"/>
    <w:rsid w:val="451A4083"/>
    <w:rsid w:val="464F0AA0"/>
    <w:rsid w:val="470E332D"/>
    <w:rsid w:val="486A6177"/>
    <w:rsid w:val="48F73E0E"/>
    <w:rsid w:val="4CDE6A97"/>
    <w:rsid w:val="4D2C0C77"/>
    <w:rsid w:val="503D5436"/>
    <w:rsid w:val="51BA62F1"/>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674C53"/>
    <w:rsid w:val="673C6346"/>
    <w:rsid w:val="676F425C"/>
    <w:rsid w:val="67C12E69"/>
    <w:rsid w:val="67DD6BED"/>
    <w:rsid w:val="69F91AE9"/>
    <w:rsid w:val="6C7E2CAC"/>
    <w:rsid w:val="6CEC129F"/>
    <w:rsid w:val="6DD966FB"/>
    <w:rsid w:val="6F36347B"/>
    <w:rsid w:val="6FB5018B"/>
    <w:rsid w:val="6FC935DB"/>
    <w:rsid w:val="7072622A"/>
    <w:rsid w:val="70CD1B9F"/>
    <w:rsid w:val="71EA7315"/>
    <w:rsid w:val="72AC1CC9"/>
    <w:rsid w:val="7312541D"/>
    <w:rsid w:val="741D2E7E"/>
    <w:rsid w:val="76127D2C"/>
    <w:rsid w:val="76193FBE"/>
    <w:rsid w:val="766D75CC"/>
    <w:rsid w:val="774F0B38"/>
    <w:rsid w:val="77C307FF"/>
    <w:rsid w:val="77FA5285"/>
    <w:rsid w:val="788A35B0"/>
    <w:rsid w:val="79F74C45"/>
    <w:rsid w:val="7A0D5D0B"/>
    <w:rsid w:val="7B1B065A"/>
    <w:rsid w:val="7C0F2859"/>
    <w:rsid w:val="7C4F1CC3"/>
    <w:rsid w:val="7E6E636B"/>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4"/>
    <w:autoRedefine/>
    <w:semiHidden/>
    <w:unhideWhenUsed/>
    <w:qFormat/>
    <w:uiPriority w:val="0"/>
    <w:pPr>
      <w:keepNext/>
      <w:keepLines/>
      <w:spacing w:line="240" w:lineRule="auto"/>
      <w:ind w:firstLine="0" w:firstLineChars="0"/>
      <w:jc w:val="center"/>
      <w:outlineLvl w:val="1"/>
    </w:pPr>
    <w:rPr>
      <w:rFonts w:ascii="Arial" w:hAnsi="Arial" w:eastAsia="宋体" w:cs="Times New Roman"/>
      <w:b/>
      <w:bCs/>
      <w:sz w:val="30"/>
      <w:szCs w:val="32"/>
    </w:rPr>
  </w:style>
  <w:style w:type="paragraph" w:styleId="4">
    <w:name w:val="heading 3"/>
    <w:basedOn w:val="1"/>
    <w:next w:val="1"/>
    <w:link w:val="15"/>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19"/>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1"/>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0"/>
    <w:semiHidden/>
    <w:unhideWhenUsed/>
    <w:qFormat/>
    <w:uiPriority w:val="0"/>
    <w:pPr>
      <w:keepNext/>
      <w:keepLines/>
      <w:spacing w:before="240" w:beforeLines="0" w:beforeAutospacing="0" w:after="64" w:afterLines="0" w:afterAutospacing="0" w:line="317" w:lineRule="auto"/>
      <w:outlineLvl w:val="5"/>
    </w:pPr>
    <w:rPr>
      <w:rFonts w:ascii="Arial" w:hAnsi="Arial" w:eastAsia="宋体"/>
      <w:b/>
      <w:sz w:val="24"/>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sz w:val="24"/>
      <w:szCs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9">
    <w:name w:val="Body Text"/>
    <w:basedOn w:val="1"/>
    <w:next w:val="1"/>
    <w:link w:val="17"/>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0">
    <w:name w:val="toc 1"/>
    <w:basedOn w:val="1"/>
    <w:next w:val="1"/>
    <w:qFormat/>
    <w:uiPriority w:val="0"/>
    <w:rPr>
      <w:rFonts w:asciiTheme="minorAscii" w:hAnsiTheme="minorAscii" w:eastAsiaTheme="minorEastAsia" w:cstheme="minorBidi"/>
      <w:b/>
      <w:sz w:val="28"/>
      <w:szCs w:val="24"/>
    </w:rPr>
  </w:style>
  <w:style w:type="paragraph" w:styleId="11">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4">
    <w:name w:val="标题 2 字符"/>
    <w:link w:val="3"/>
    <w:autoRedefine/>
    <w:qFormat/>
    <w:uiPriority w:val="9"/>
    <w:rPr>
      <w:rFonts w:ascii="Arial" w:hAnsi="Arial" w:eastAsia="宋体" w:cs="Times New Roman"/>
      <w:b/>
      <w:bCs/>
      <w:snapToGrid w:val="0"/>
      <w:color w:val="000000"/>
      <w:kern w:val="0"/>
      <w:sz w:val="30"/>
      <w:szCs w:val="32"/>
      <w:lang w:eastAsia="en-US"/>
    </w:rPr>
  </w:style>
  <w:style w:type="character" w:customStyle="1" w:styleId="15">
    <w:name w:val="标题 3 字符1"/>
    <w:link w:val="4"/>
    <w:autoRedefine/>
    <w:qFormat/>
    <w:uiPriority w:val="0"/>
    <w:rPr>
      <w:rFonts w:ascii="宋体" w:hAnsi="宋体" w:eastAsia="宋体" w:cs="宋体"/>
      <w:b/>
      <w:sz w:val="28"/>
      <w:szCs w:val="24"/>
    </w:rPr>
  </w:style>
  <w:style w:type="character" w:customStyle="1" w:styleId="16">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7">
    <w:name w:val="正文文本 Char"/>
    <w:link w:val="9"/>
    <w:qFormat/>
    <w:uiPriority w:val="0"/>
    <w:rPr>
      <w:rFonts w:ascii="宋体" w:hAnsi="宋体" w:eastAsia="宋体" w:cs="宋体"/>
      <w:sz w:val="24"/>
      <w:szCs w:val="28"/>
      <w:lang w:val="zh-CN" w:bidi="zh-CN"/>
    </w:rPr>
  </w:style>
  <w:style w:type="paragraph" w:customStyle="1" w:styleId="18">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19">
    <w:name w:val="标题 4 Char"/>
    <w:link w:val="5"/>
    <w:qFormat/>
    <w:uiPriority w:val="0"/>
    <w:rPr>
      <w:rFonts w:ascii="宋体" w:hAnsi="宋体" w:eastAsia="宋体" w:cs="宋体"/>
      <w:b/>
      <w:bCs/>
      <w:kern w:val="2"/>
      <w:sz w:val="28"/>
      <w:szCs w:val="28"/>
    </w:rPr>
  </w:style>
  <w:style w:type="character" w:customStyle="1" w:styleId="20">
    <w:name w:val="标题 6 Char"/>
    <w:link w:val="7"/>
    <w:qFormat/>
    <w:uiPriority w:val="0"/>
    <w:rPr>
      <w:rFonts w:ascii="Arial" w:hAnsi="Arial" w:eastAsia="宋体" w:cs="Times New Roman"/>
      <w:b/>
      <w:bCs/>
      <w:kern w:val="0"/>
      <w:sz w:val="24"/>
      <w:szCs w:val="24"/>
    </w:rPr>
  </w:style>
  <w:style w:type="character" w:customStyle="1" w:styleId="21">
    <w:name w:val="标题 5 Char"/>
    <w:link w:val="6"/>
    <w:qFormat/>
    <w:uiPriority w:val="0"/>
    <w:rPr>
      <w:rFonts w:ascii="Times New Roman" w:hAnsi="Times New Roman" w:eastAsia="宋体" w:cs="Times New Roman"/>
      <w:b/>
      <w:bCs/>
      <w:kern w:val="0"/>
      <w:sz w:val="28"/>
      <w:szCs w:val="28"/>
    </w:rPr>
  </w:style>
  <w:style w:type="paragraph" w:customStyle="1" w:styleId="22">
    <w:name w:val="居中"/>
    <w:basedOn w:val="1"/>
    <w:qFormat/>
    <w:uiPriority w:val="0"/>
    <w:pPr>
      <w:jc w:val="center"/>
    </w:pPr>
    <w:rPr>
      <w:rFonts w:ascii="Times New Roman" w:hAnsi="Times New Roman" w:eastAsia="宋体"/>
      <w:b/>
      <w:sz w:val="28"/>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2025-11-25T07:22:00Z</dcterms:created>
  <dc:creator>hh</dc:creator>
  <cp:lastModifiedBy>hh</cp:lastModifiedBy>
  <dcterms:modified xsi:type="dcterms:W3CDTF">2025-11-25T07:23:16Z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C647E2D4AAAE44009DE3C2CAD4CDAA3D_11</vt:lpwstr>
  </property>
  <property fmtid="{D5CDD505-2E9C-101B-9397-08002B2CF9AE}" pid="4" name="KSOTemplateDocerSaveRecord">
    <vt:lpwstr>eyJoZGlkIjoiMDE0MWExYzZhN2MyNGJiNTVhNDFjN2I1MzgyYTEyNWYiLCJ1c2VySWQiOiI1NTQxNTg5NzAifQ==</vt:lpwstr>
  </property>
</Properties>
</file>