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C9E3C">
      <w:pPr>
        <w:spacing w:line="360" w:lineRule="auto"/>
        <w:jc w:val="left"/>
        <w:textAlignment w:val="center"/>
        <w:rPr>
          <w:rFonts w:hint="eastAsia" w:ascii="仿宋" w:hAnsi="仿宋" w:eastAsia="仿宋" w:cs="Times New Roman"/>
          <w:b/>
          <w:bCs/>
        </w:rPr>
      </w:pPr>
      <w:r>
        <w:rPr>
          <w:rFonts w:hint="eastAsia" w:ascii="仿宋" w:hAnsi="仿宋" w:eastAsia="仿宋" w:cs="Times New Roman"/>
          <w:b/>
          <w:bCs/>
        </w:rPr>
        <w:t>采购需求：</w:t>
      </w:r>
    </w:p>
    <w:p w14:paraId="6FA82182">
      <w:pPr>
        <w:spacing w:line="360" w:lineRule="auto"/>
        <w:ind w:firstLine="560" w:firstLineChars="200"/>
        <w:jc w:val="both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1、榆林职业技术学院互联网接入服务购置清单及技术参数</w:t>
      </w:r>
    </w:p>
    <w:p w14:paraId="33374754">
      <w:pPr>
        <w:pStyle w:val="2"/>
        <w:spacing w:line="360" w:lineRule="auto"/>
        <w:jc w:val="both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（1）1年互联网接入服务，预算金额为37.2万元。</w:t>
      </w:r>
    </w:p>
    <w:p w14:paraId="7DAE7E33">
      <w:pPr>
        <w:pStyle w:val="2"/>
        <w:spacing w:line="360" w:lineRule="auto"/>
        <w:jc w:val="both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（2）服务商有专业的互联网服务提供商</w:t>
      </w:r>
      <w:r>
        <w:rPr>
          <w:rFonts w:hint="default" w:ascii="仿宋" w:hAnsi="仿宋" w:eastAsia="仿宋" w:cs="Times New Roman"/>
          <w:kern w:val="2"/>
          <w:sz w:val="28"/>
          <w:szCs w:val="28"/>
          <w:lang w:val="en-US" w:eastAsia="zh-CN" w:bidi="ar-SA"/>
        </w:rPr>
        <w:t> 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（ISP）运营资质。服务商在网络服务方面要求拥有丰富经验和雄厚的技术力量，要按期保质、保量完成此次项目的实施。</w:t>
      </w:r>
    </w:p>
    <w:p w14:paraId="15606BB3">
      <w:pPr>
        <w:pStyle w:val="2"/>
        <w:spacing w:line="360" w:lineRule="auto"/>
        <w:jc w:val="both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（3）服务商具备高度的网络安全性，符合国家网络安全的要求，具有抵抗设备故障、线路故障和环境风险等因素的能力，保障应用系统的正常运行。</w:t>
      </w:r>
    </w:p>
    <w:p w14:paraId="358252FB">
      <w:pPr>
        <w:pStyle w:val="2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（4）服务商提供该企业的榆林市互联网出口总带宽数据，使用先进成熟的技术和设备，并兼顾未来的业务需求，具备灵活性与可扩展性，对端口、设备和光缆等资源有预留。</w:t>
      </w:r>
    </w:p>
    <w:p w14:paraId="6765A543">
      <w:pPr>
        <w:pStyle w:val="2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（5）服务商为学院办公教学场所提供2条互联网主链路接入，要求是光纤双节点接入，每条链路带宽≥1GB，两条线路共计带宽≥2GB，遇到突发情况出现需至少保证1条线路正常运行。</w:t>
      </w:r>
    </w:p>
    <w:p w14:paraId="3EF4F869">
      <w:pPr>
        <w:pStyle w:val="2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（6）服务商为学院学生公寓提供1条互联网接入光纤链路带宽≥1GB，保障学生公寓宿舍WIFI上网和设备的运维。</w:t>
      </w:r>
    </w:p>
    <w:p w14:paraId="01B4B772">
      <w:pPr>
        <w:pStyle w:val="2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7）服务商需在学院举办大型学术会议、线上考试、直播大型网络讲座、重要时期网络保障等活动时应学校要求提供专项网络保障团队，服务期内服务商在学院派遣常驻网络维护工作人员1名，为学院主链路、学生公寓及学院内各楼之间、主汇聚等网络故障的维护服务。</w:t>
      </w:r>
    </w:p>
    <w:p w14:paraId="179EF3D7">
      <w:pPr>
        <w:pStyle w:val="2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（8）服务商提供不少于3个A类IP地址。</w:t>
      </w:r>
    </w:p>
    <w:p w14:paraId="5CB82248">
      <w:pPr>
        <w:pStyle w:val="2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9）互联网接入后服务商需提供1GB光纤有效带宽、丢包率和网络时延的数据，要求链路对应带宽的上下行速率配比一致，学院网络出口到典型互联网站（知网、万方等）链路带宽延时测试不高于6ms，抖动低于4ms，支持的最大并发数不低于1024*1024Kb/每应用带宽（个），链路有效带宽≥96%，丢包率低于0.5%。</w:t>
      </w:r>
    </w:p>
    <w:p w14:paraId="6BC868B5">
      <w:pPr>
        <w:pStyle w:val="2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10）服务商在服务期内，如发生线路故障，提供7*24小时免费专业技术保障，确保专线出现故障及时响应，半小时内给出支持方式，上门服务确保2小时内到达现场，4小时内解决问题。故障响应及恢复时间应在3小时内完成，线路接入服务总故障时间不超过5小时/月。</w:t>
      </w:r>
    </w:p>
    <w:p w14:paraId="1DD7E49B">
      <w:pPr>
        <w:pStyle w:val="2"/>
        <w:spacing w:line="360" w:lineRule="auto"/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（11）服务商完成施工后出具《网络测评报告》，提供达到学院互联网接入要求的数据。</w:t>
      </w:r>
    </w:p>
    <w:p w14:paraId="041486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07E0F"/>
    <w:rsid w:val="4E00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2025-11-26T02:20:00Z</dcterms:created>
  <dc:creator>我能吃十个蛋挞</dc:creator>
  <cp:lastModifiedBy>我能吃十个蛋挞</cp:lastModifiedBy>
  <dcterms:modified xsi:type="dcterms:W3CDTF">2025-11-26T02:21:04Z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BD99F746BC99495FAB43710204AC011F_11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