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4E758">
      <w:pPr>
        <w:adjustRightInd w:val="0"/>
        <w:snapToGrid w:val="0"/>
        <w:spacing w:line="340" w:lineRule="exact"/>
        <w:jc w:val="right"/>
        <w:rPr>
          <w:rFonts w:ascii="宋体" w:hAnsi="Calibri" w:eastAsia="宋体"/>
          <w:b/>
          <w:bCs/>
          <w:color w:val="auto"/>
          <w:sz w:val="30"/>
          <w:szCs w:val="30"/>
        </w:rPr>
      </w:pPr>
      <w:bookmarkStart w:id="432" w:name="_GoBack"/>
      <w:bookmarkEnd w:id="432"/>
      <w:r>
        <w:rPr>
          <w:rFonts w:cs="宋体" w:asciiTheme="minorEastAsia" w:hAnsiTheme="minorEastAsia" w:eastAsiaTheme="minorEastAsia"/>
          <w:bCs/>
          <w:color w:val="auto"/>
          <w:sz w:val="36"/>
          <w:szCs w:val="36"/>
        </w:rPr>
        <w:t xml:space="preserve"> </w:t>
      </w:r>
      <w:r>
        <w:rPr>
          <w:rFonts w:hint="eastAsia" w:cs="宋体" w:asciiTheme="minorEastAsia" w:hAnsiTheme="minorEastAsia" w:eastAsiaTheme="minorEastAsia"/>
          <w:bCs/>
          <w:color w:val="auto"/>
          <w:sz w:val="36"/>
          <w:szCs w:val="36"/>
        </w:rPr>
        <w:t xml:space="preserve">   </w:t>
      </w:r>
      <w:r>
        <w:rPr>
          <w:rFonts w:hint="eastAsia" w:ascii="宋体" w:hAnsi="宋体" w:eastAsia="宋体" w:cs="宋体"/>
          <w:b/>
          <w:bCs/>
          <w:color w:val="auto"/>
          <w:sz w:val="30"/>
          <w:szCs w:val="30"/>
        </w:rPr>
        <w:t>政府采购项目</w:t>
      </w:r>
    </w:p>
    <w:p w14:paraId="02814E3E">
      <w:pPr>
        <w:spacing w:line="440" w:lineRule="exact"/>
        <w:rPr>
          <w:rFonts w:hint="default" w:cs="宋体" w:asciiTheme="minorEastAsia" w:hAnsiTheme="minorEastAsia" w:eastAsiaTheme="minorEastAsia"/>
          <w:b/>
          <w:bCs/>
          <w:color w:val="auto"/>
          <w:sz w:val="32"/>
          <w:szCs w:val="36"/>
          <w:lang w:val="en-US" w:eastAsia="zh-CN"/>
        </w:rPr>
      </w:pPr>
      <w:r>
        <w:rPr>
          <w:rFonts w:hint="eastAsia" w:cs="宋体" w:asciiTheme="minorEastAsia" w:hAnsiTheme="minorEastAsia" w:eastAsiaTheme="minorEastAsia"/>
          <w:b/>
          <w:bCs/>
          <w:color w:val="auto"/>
          <w:sz w:val="32"/>
          <w:szCs w:val="36"/>
          <w:lang w:val="en-US" w:eastAsia="zh-CN"/>
        </w:rPr>
        <w:t>项目</w:t>
      </w:r>
      <w:r>
        <w:rPr>
          <w:rFonts w:hint="eastAsia" w:cs="宋体" w:asciiTheme="minorEastAsia" w:hAnsiTheme="minorEastAsia" w:eastAsiaTheme="minorEastAsia"/>
          <w:b/>
          <w:bCs/>
          <w:color w:val="auto"/>
          <w:sz w:val="32"/>
          <w:szCs w:val="36"/>
        </w:rPr>
        <w:t>编号</w:t>
      </w:r>
      <w:r>
        <w:rPr>
          <w:rFonts w:hint="eastAsia" w:cs="宋体" w:asciiTheme="minorEastAsia" w:hAnsiTheme="minorEastAsia" w:eastAsiaTheme="minorEastAsia"/>
          <w:b/>
          <w:bCs/>
          <w:color w:val="auto"/>
          <w:sz w:val="32"/>
          <w:szCs w:val="36"/>
          <w:lang w:eastAsia="zh-CN"/>
        </w:rPr>
        <w:t>：</w:t>
      </w:r>
      <w:r>
        <w:rPr>
          <w:rFonts w:hint="eastAsia" w:cs="宋体" w:asciiTheme="minorEastAsia" w:hAnsiTheme="minorEastAsia" w:eastAsiaTheme="minorEastAsia"/>
          <w:b/>
          <w:bCs/>
          <w:color w:val="auto"/>
          <w:sz w:val="32"/>
          <w:szCs w:val="36"/>
        </w:rPr>
        <w:t xml:space="preserve"> </w:t>
      </w:r>
      <w:r>
        <w:rPr>
          <w:rFonts w:hint="eastAsia" w:cs="宋体" w:asciiTheme="minorEastAsia" w:hAnsiTheme="minorEastAsia" w:eastAsiaTheme="minorEastAsia"/>
          <w:b/>
          <w:bCs/>
          <w:color w:val="auto"/>
          <w:sz w:val="32"/>
          <w:szCs w:val="36"/>
          <w:lang w:eastAsia="zh-CN"/>
        </w:rPr>
        <w:t>AKSH2025-ZTP-155</w:t>
      </w:r>
    </w:p>
    <w:p w14:paraId="3F0E5584">
      <w:pPr>
        <w:spacing w:before="190" w:beforeLines="50" w:line="800" w:lineRule="exact"/>
        <w:rPr>
          <w:rFonts w:asciiTheme="minorEastAsia" w:hAnsiTheme="minorEastAsia" w:eastAsiaTheme="minorEastAsia" w:cstheme="majorEastAsia"/>
          <w:b/>
          <w:color w:val="auto"/>
          <w:sz w:val="56"/>
          <w:szCs w:val="56"/>
        </w:rPr>
      </w:pPr>
    </w:p>
    <w:p w14:paraId="51A6E3DA">
      <w:pPr>
        <w:pStyle w:val="6"/>
        <w:rPr>
          <w:rFonts w:asciiTheme="minorEastAsia" w:hAnsiTheme="minorEastAsia" w:eastAsiaTheme="minorEastAsia" w:cstheme="majorEastAsia"/>
          <w:b/>
          <w:color w:val="auto"/>
          <w:sz w:val="56"/>
          <w:szCs w:val="56"/>
        </w:rPr>
      </w:pPr>
    </w:p>
    <w:p w14:paraId="14E12702">
      <w:pPr>
        <w:rPr>
          <w:color w:val="auto"/>
        </w:rPr>
      </w:pPr>
    </w:p>
    <w:p w14:paraId="111A2995">
      <w:pPr>
        <w:spacing w:before="190" w:beforeLines="50" w:line="800" w:lineRule="exact"/>
        <w:jc w:val="center"/>
        <w:rPr>
          <w:rFonts w:hint="eastAsia" w:ascii="宋体" w:hAnsi="宋体" w:eastAsia="宋体" w:cs="宋体"/>
          <w:b/>
          <w:color w:val="auto"/>
          <w:spacing w:val="20"/>
          <w:kern w:val="0"/>
          <w:sz w:val="52"/>
          <w:szCs w:val="52"/>
          <w:lang w:val="en-US" w:eastAsia="zh-CN"/>
        </w:rPr>
      </w:pPr>
      <w:r>
        <w:rPr>
          <w:rFonts w:hint="eastAsia" w:ascii="宋体" w:hAnsi="宋体" w:eastAsia="宋体" w:cs="宋体"/>
          <w:b/>
          <w:color w:val="auto"/>
          <w:spacing w:val="20"/>
          <w:kern w:val="0"/>
          <w:sz w:val="52"/>
          <w:szCs w:val="52"/>
          <w:lang w:val="en-US" w:eastAsia="zh-CN"/>
        </w:rPr>
        <w:t>安康市公安局资金分析系统采购项目</w:t>
      </w:r>
    </w:p>
    <w:p w14:paraId="137E827D">
      <w:pPr>
        <w:pStyle w:val="6"/>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ajorEastAsia"/>
          <w:b/>
          <w:bCs w:val="0"/>
          <w:color w:val="auto"/>
          <w:spacing w:val="20"/>
          <w:kern w:val="0"/>
          <w:sz w:val="56"/>
          <w:szCs w:val="56"/>
          <w:lang w:val="en-US" w:eastAsia="zh-CN" w:bidi="ar-SA"/>
        </w:rPr>
      </w:pPr>
    </w:p>
    <w:p w14:paraId="4B1C9515">
      <w:pPr>
        <w:rPr>
          <w:rFonts w:hint="eastAsia"/>
          <w:color w:val="auto"/>
          <w:lang w:val="en-US" w:eastAsia="zh-CN"/>
        </w:rPr>
      </w:pPr>
    </w:p>
    <w:p w14:paraId="665C9776">
      <w:pPr>
        <w:rPr>
          <w:color w:val="auto"/>
        </w:rPr>
      </w:pPr>
    </w:p>
    <w:p w14:paraId="4D91C7A3">
      <w:pPr>
        <w:spacing w:before="190" w:beforeLines="50" w:line="800" w:lineRule="exact"/>
        <w:jc w:val="center"/>
        <w:rPr>
          <w:rFonts w:asciiTheme="minorEastAsia" w:hAnsiTheme="minorEastAsia" w:eastAsiaTheme="minorEastAsia" w:cstheme="majorEastAsia"/>
          <w:b/>
          <w:color w:val="auto"/>
          <w:spacing w:val="20"/>
          <w:kern w:val="0"/>
          <w:sz w:val="56"/>
          <w:szCs w:val="56"/>
        </w:rPr>
      </w:pPr>
      <w:r>
        <w:rPr>
          <w:rFonts w:hint="eastAsia"/>
          <w:color w:val="auto"/>
        </w:rPr>
        <w:drawing>
          <wp:anchor distT="0" distB="0" distL="114300" distR="114300" simplePos="0" relativeHeight="251660288" behindDoc="0" locked="0" layoutInCell="1" allowOverlap="1">
            <wp:simplePos x="0" y="0"/>
            <wp:positionH relativeFrom="column">
              <wp:posOffset>2086610</wp:posOffset>
            </wp:positionH>
            <wp:positionV relativeFrom="paragraph">
              <wp:posOffset>107315</wp:posOffset>
            </wp:positionV>
            <wp:extent cx="1876425" cy="14287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4"/>
                    <a:stretch>
                      <a:fillRect/>
                    </a:stretch>
                  </pic:blipFill>
                  <pic:spPr>
                    <a:xfrm>
                      <a:off x="0" y="0"/>
                      <a:ext cx="1876425" cy="1428750"/>
                    </a:xfrm>
                    <a:prstGeom prst="rect">
                      <a:avLst/>
                    </a:prstGeom>
                  </pic:spPr>
                </pic:pic>
              </a:graphicData>
            </a:graphic>
          </wp:anchor>
        </w:drawing>
      </w:r>
    </w:p>
    <w:p w14:paraId="2EB0CF9B">
      <w:pPr>
        <w:spacing w:before="190" w:beforeLines="50" w:line="800" w:lineRule="exact"/>
        <w:jc w:val="both"/>
        <w:rPr>
          <w:rFonts w:asciiTheme="minorEastAsia" w:hAnsiTheme="minorEastAsia" w:eastAsiaTheme="minorEastAsia" w:cstheme="majorEastAsia"/>
          <w:b/>
          <w:color w:val="auto"/>
          <w:spacing w:val="20"/>
          <w:kern w:val="0"/>
          <w:sz w:val="56"/>
          <w:szCs w:val="56"/>
        </w:rPr>
      </w:pPr>
    </w:p>
    <w:p w14:paraId="6C397498">
      <w:pPr>
        <w:pStyle w:val="29"/>
        <w:rPr>
          <w:color w:val="auto"/>
        </w:rPr>
      </w:pPr>
    </w:p>
    <w:p w14:paraId="527C2B48">
      <w:pPr>
        <w:spacing w:before="190" w:beforeLines="50" w:line="800" w:lineRule="exact"/>
        <w:jc w:val="center"/>
        <w:rPr>
          <w:rFonts w:asciiTheme="minorEastAsia" w:hAnsiTheme="minorEastAsia" w:eastAsiaTheme="minorEastAsia" w:cstheme="majorEastAsia"/>
          <w:b/>
          <w:color w:val="auto"/>
          <w:sz w:val="56"/>
          <w:szCs w:val="56"/>
        </w:rPr>
      </w:pPr>
      <w:r>
        <w:rPr>
          <w:rFonts w:hint="eastAsia" w:asciiTheme="minorEastAsia" w:hAnsiTheme="minorEastAsia" w:eastAsiaTheme="minorEastAsia" w:cstheme="majorEastAsia"/>
          <w:b/>
          <w:color w:val="auto"/>
          <w:spacing w:val="20"/>
          <w:kern w:val="0"/>
          <w:sz w:val="56"/>
          <w:szCs w:val="56"/>
        </w:rPr>
        <w:t>竞争性谈判文件</w:t>
      </w:r>
    </w:p>
    <w:p w14:paraId="121F0679">
      <w:pPr>
        <w:rPr>
          <w:rFonts w:cs="宋体" w:asciiTheme="minorEastAsia" w:hAnsiTheme="minorEastAsia" w:eastAsiaTheme="minorEastAsia"/>
          <w:bCs/>
          <w:color w:val="auto"/>
          <w:sz w:val="36"/>
          <w:szCs w:val="32"/>
        </w:rPr>
      </w:pPr>
    </w:p>
    <w:p w14:paraId="1A124E43">
      <w:pPr>
        <w:rPr>
          <w:rFonts w:cs="宋体" w:asciiTheme="minorEastAsia" w:hAnsiTheme="minorEastAsia" w:eastAsiaTheme="minorEastAsia"/>
          <w:bCs/>
          <w:color w:val="auto"/>
          <w:sz w:val="72"/>
          <w:szCs w:val="72"/>
        </w:rPr>
      </w:pPr>
    </w:p>
    <w:p w14:paraId="66528C5C">
      <w:pPr>
        <w:rPr>
          <w:rFonts w:cs="宋体" w:asciiTheme="minorEastAsia" w:hAnsiTheme="minorEastAsia" w:eastAsiaTheme="minorEastAsia"/>
          <w:bCs/>
          <w:color w:val="auto"/>
          <w:sz w:val="18"/>
          <w:szCs w:val="18"/>
        </w:rPr>
      </w:pPr>
    </w:p>
    <w:p w14:paraId="1402B8C2">
      <w:pPr>
        <w:pStyle w:val="29"/>
        <w:rPr>
          <w:rFonts w:cs="宋体" w:asciiTheme="minorEastAsia" w:hAnsiTheme="minorEastAsia" w:eastAsiaTheme="minorEastAsia"/>
          <w:bCs/>
          <w:color w:val="auto"/>
          <w:sz w:val="18"/>
          <w:szCs w:val="18"/>
        </w:rPr>
      </w:pPr>
    </w:p>
    <w:p w14:paraId="48746FF6">
      <w:pPr>
        <w:pStyle w:val="29"/>
        <w:rPr>
          <w:rFonts w:cs="宋体" w:asciiTheme="minorEastAsia" w:hAnsiTheme="minorEastAsia" w:eastAsiaTheme="minorEastAsia"/>
          <w:bCs/>
          <w:color w:val="auto"/>
          <w:sz w:val="18"/>
          <w:szCs w:val="18"/>
        </w:rPr>
      </w:pPr>
    </w:p>
    <w:p w14:paraId="4F2856F8">
      <w:pPr>
        <w:pStyle w:val="29"/>
        <w:rPr>
          <w:rFonts w:cs="宋体" w:asciiTheme="minorEastAsia" w:hAnsiTheme="minorEastAsia" w:eastAsiaTheme="minorEastAsia"/>
          <w:bCs/>
          <w:color w:val="auto"/>
          <w:sz w:val="18"/>
          <w:szCs w:val="18"/>
        </w:rPr>
      </w:pPr>
    </w:p>
    <w:p w14:paraId="1971FC71">
      <w:pPr>
        <w:keepNext w:val="0"/>
        <w:keepLines w:val="0"/>
        <w:pageBreakBefore w:val="0"/>
        <w:widowControl w:val="0"/>
        <w:kinsoku/>
        <w:wordWrap/>
        <w:overflowPunct/>
        <w:topLinePunct w:val="0"/>
        <w:autoSpaceDE/>
        <w:autoSpaceDN/>
        <w:bidi w:val="0"/>
        <w:adjustRightInd w:val="0"/>
        <w:snapToGrid w:val="0"/>
        <w:spacing w:line="480" w:lineRule="auto"/>
        <w:ind w:firstLine="2108" w:firstLineChars="700"/>
        <w:textAlignment w:val="auto"/>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rPr>
        <w:t>采</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购</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人：</w:t>
      </w:r>
      <w:r>
        <w:rPr>
          <w:rFonts w:hint="eastAsia" w:ascii="宋体" w:hAnsi="宋体" w:eastAsia="宋体" w:cs="宋体"/>
          <w:b/>
          <w:bCs/>
          <w:color w:val="auto"/>
          <w:sz w:val="30"/>
          <w:szCs w:val="30"/>
          <w:lang w:eastAsia="zh-CN"/>
        </w:rPr>
        <w:t>安康市</w:t>
      </w:r>
      <w:r>
        <w:rPr>
          <w:rFonts w:hint="eastAsia" w:ascii="宋体" w:hAnsi="宋体" w:eastAsia="宋体" w:cs="宋体"/>
          <w:b/>
          <w:bCs/>
          <w:color w:val="auto"/>
          <w:sz w:val="30"/>
          <w:szCs w:val="30"/>
          <w:lang w:val="en-US" w:eastAsia="zh-CN"/>
        </w:rPr>
        <w:t>公安局</w:t>
      </w:r>
    </w:p>
    <w:p w14:paraId="2BF0C081">
      <w:pPr>
        <w:keepNext w:val="0"/>
        <w:keepLines w:val="0"/>
        <w:pageBreakBefore w:val="0"/>
        <w:widowControl w:val="0"/>
        <w:kinsoku/>
        <w:wordWrap/>
        <w:overflowPunct/>
        <w:topLinePunct w:val="0"/>
        <w:autoSpaceDE/>
        <w:autoSpaceDN/>
        <w:bidi w:val="0"/>
        <w:adjustRightInd w:val="0"/>
        <w:snapToGrid w:val="0"/>
        <w:spacing w:line="480" w:lineRule="auto"/>
        <w:ind w:firstLine="2108" w:firstLineChars="700"/>
        <w:textAlignment w:val="auto"/>
        <w:rPr>
          <w:rFonts w:ascii="宋体" w:hAnsi="宋体" w:eastAsia="宋体" w:cs="宋体"/>
          <w:color w:val="auto"/>
          <w:lang w:val="en-US" w:eastAsia="zh-CN" w:bidi="ar-SA"/>
        </w:rPr>
      </w:pPr>
      <w:r>
        <w:rPr>
          <w:rFonts w:hint="eastAsia" w:ascii="宋体" w:hAnsi="宋体" w:eastAsia="宋体" w:cs="宋体"/>
          <w:b/>
          <w:bCs/>
          <w:color w:val="auto"/>
          <w:sz w:val="30"/>
          <w:szCs w:val="30"/>
        </w:rPr>
        <w:t>代理机构：安康尚昊招标代理有限公司</w:t>
      </w:r>
    </w:p>
    <w:p w14:paraId="411EF442">
      <w:pPr>
        <w:keepNext w:val="0"/>
        <w:keepLines w:val="0"/>
        <w:pageBreakBefore w:val="0"/>
        <w:widowControl w:val="0"/>
        <w:kinsoku/>
        <w:wordWrap/>
        <w:overflowPunct/>
        <w:topLinePunct w:val="0"/>
        <w:autoSpaceDE/>
        <w:autoSpaceDN/>
        <w:bidi w:val="0"/>
        <w:adjustRightInd w:val="0"/>
        <w:snapToGrid w:val="0"/>
        <w:spacing w:line="480" w:lineRule="auto"/>
        <w:ind w:firstLine="2108" w:firstLineChars="700"/>
        <w:textAlignment w:val="auto"/>
        <w:rPr>
          <w:rFonts w:hint="default" w:ascii="宋体" w:hAnsi="宋体" w:eastAsia="宋体" w:cs="宋体"/>
          <w:b/>
          <w:bCs/>
          <w:color w:val="auto"/>
          <w:sz w:val="30"/>
          <w:szCs w:val="30"/>
          <w:lang w:val="en-US" w:eastAsia="zh-CN"/>
        </w:rPr>
        <w:sectPr>
          <w:headerReference r:id="rId6" w:type="first"/>
          <w:footerReference r:id="rId8" w:type="first"/>
          <w:headerReference r:id="rId5" w:type="default"/>
          <w:footerReference r:id="rId7" w:type="default"/>
          <w:pgSz w:w="11906" w:h="16838"/>
          <w:pgMar w:top="1247" w:right="1134" w:bottom="1020" w:left="1134" w:header="851" w:footer="992" w:gutter="0"/>
          <w:pgNumType w:start="0"/>
          <w:cols w:space="0" w:num="1"/>
          <w:rtlGutter w:val="0"/>
          <w:docGrid w:type="lines" w:linePitch="381" w:charSpace="0"/>
        </w:sectPr>
      </w:pPr>
      <w:r>
        <w:rPr>
          <w:rFonts w:hint="eastAsia" w:ascii="宋体" w:hAnsi="宋体" w:eastAsia="宋体" w:cs="宋体"/>
          <w:b/>
          <w:bCs/>
          <w:color w:val="auto"/>
          <w:sz w:val="30"/>
          <w:szCs w:val="30"/>
          <w:lang w:val="en-US" w:eastAsia="zh-CN"/>
        </w:rPr>
        <w:t>日    期：二〇二五年十一月</w:t>
      </w:r>
    </w:p>
    <w:p w14:paraId="72832660">
      <w:pPr>
        <w:pStyle w:val="6"/>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52"/>
          <w:szCs w:val="40"/>
          <w:lang w:val="en-US" w:eastAsia="zh-CN" w:bidi="ar-SA"/>
        </w:rPr>
      </w:pPr>
      <w:r>
        <w:rPr>
          <w:rFonts w:hint="eastAsia" w:ascii="宋体" w:hAnsi="宋体" w:eastAsia="宋体" w:cs="宋体"/>
          <w:b/>
          <w:bCs/>
          <w:color w:val="auto"/>
          <w:sz w:val="52"/>
          <w:szCs w:val="40"/>
          <w:lang w:val="en-US" w:eastAsia="zh-CN" w:bidi="ar-SA"/>
        </w:rPr>
        <w:t>目   录</w:t>
      </w:r>
    </w:p>
    <w:p w14:paraId="7576D7B1">
      <w:pPr>
        <w:pStyle w:val="24"/>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b w:val="0"/>
          <w:bCs w:val="0"/>
          <w:sz w:val="28"/>
          <w:szCs w:val="28"/>
        </w:rPr>
      </w:pPr>
      <w:r>
        <w:rPr>
          <w:rFonts w:hint="eastAsia" w:ascii="宋体" w:hAnsi="宋体" w:eastAsia="宋体" w:cs="宋体"/>
          <w:color w:val="auto"/>
          <w:sz w:val="40"/>
          <w:szCs w:val="40"/>
        </w:rPr>
        <w:fldChar w:fldCharType="begin"/>
      </w:r>
      <w:r>
        <w:rPr>
          <w:rFonts w:hint="eastAsia" w:ascii="宋体" w:hAnsi="宋体" w:eastAsia="宋体" w:cs="宋体"/>
          <w:color w:val="auto"/>
          <w:sz w:val="40"/>
          <w:szCs w:val="40"/>
        </w:rPr>
        <w:instrText xml:space="preserve"> TOC \o "1-2" \h \z \u </w:instrText>
      </w:r>
      <w:r>
        <w:rPr>
          <w:rFonts w:hint="eastAsia" w:ascii="宋体" w:hAnsi="宋体" w:eastAsia="宋体" w:cs="宋体"/>
          <w:color w:val="auto"/>
          <w:sz w:val="40"/>
          <w:szCs w:val="40"/>
        </w:rPr>
        <w:fldChar w:fldCharType="separate"/>
      </w:r>
      <w:r>
        <w:rPr>
          <w:rFonts w:hint="eastAsia" w:ascii="宋体" w:hAnsi="宋体" w:eastAsia="宋体" w:cs="宋体"/>
          <w:b w:val="0"/>
          <w:bCs w:val="0"/>
          <w:color w:val="auto"/>
          <w:sz w:val="28"/>
          <w:szCs w:val="48"/>
        </w:rPr>
        <w:fldChar w:fldCharType="begin"/>
      </w:r>
      <w:r>
        <w:rPr>
          <w:rFonts w:hint="eastAsia" w:ascii="宋体" w:hAnsi="宋体" w:eastAsia="宋体" w:cs="宋体"/>
          <w:b w:val="0"/>
          <w:bCs w:val="0"/>
          <w:sz w:val="28"/>
          <w:szCs w:val="48"/>
        </w:rPr>
        <w:instrText xml:space="preserve"> HYPERLINK \l _Toc19670 </w:instrText>
      </w:r>
      <w:r>
        <w:rPr>
          <w:rFonts w:hint="eastAsia" w:ascii="宋体" w:hAnsi="宋体" w:eastAsia="宋体" w:cs="宋体"/>
          <w:b w:val="0"/>
          <w:bCs w:val="0"/>
          <w:sz w:val="28"/>
          <w:szCs w:val="48"/>
        </w:rPr>
        <w:fldChar w:fldCharType="separate"/>
      </w:r>
      <w:r>
        <w:rPr>
          <w:rFonts w:hint="eastAsia" w:ascii="宋体" w:hAnsi="宋体" w:eastAsia="宋体" w:cs="宋体"/>
          <w:b w:val="0"/>
          <w:bCs w:val="0"/>
          <w:sz w:val="28"/>
          <w:szCs w:val="28"/>
        </w:rPr>
        <w:t>第一章  谈判</w:t>
      </w:r>
      <w:r>
        <w:rPr>
          <w:rFonts w:hint="eastAsia" w:ascii="宋体" w:hAnsi="宋体" w:eastAsia="宋体" w:cs="宋体"/>
          <w:b w:val="0"/>
          <w:bCs w:val="0"/>
          <w:sz w:val="28"/>
          <w:szCs w:val="28"/>
          <w:lang w:val="en-US" w:eastAsia="zh-CN"/>
        </w:rPr>
        <w:t>公告</w:t>
      </w:r>
      <w:r>
        <w:rPr>
          <w:b w:val="0"/>
          <w:bCs w:val="0"/>
          <w:sz w:val="28"/>
          <w:szCs w:val="28"/>
        </w:rPr>
        <w:tab/>
      </w:r>
      <w:r>
        <w:rPr>
          <w:b w:val="0"/>
          <w:bCs w:val="0"/>
          <w:sz w:val="28"/>
          <w:szCs w:val="28"/>
        </w:rPr>
        <w:fldChar w:fldCharType="begin"/>
      </w:r>
      <w:r>
        <w:rPr>
          <w:b w:val="0"/>
          <w:bCs w:val="0"/>
          <w:sz w:val="28"/>
          <w:szCs w:val="28"/>
        </w:rPr>
        <w:instrText xml:space="preserve"> PAGEREF _Toc19670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eastAsia="宋体" w:cs="宋体"/>
          <w:b w:val="0"/>
          <w:bCs w:val="0"/>
          <w:color w:val="auto"/>
          <w:sz w:val="28"/>
          <w:szCs w:val="48"/>
        </w:rPr>
        <w:fldChar w:fldCharType="end"/>
      </w:r>
    </w:p>
    <w:p w14:paraId="756F66F0">
      <w:pPr>
        <w:pStyle w:val="24"/>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b w:val="0"/>
          <w:bCs w:val="0"/>
          <w:sz w:val="28"/>
          <w:szCs w:val="28"/>
        </w:rPr>
      </w:pPr>
      <w:r>
        <w:rPr>
          <w:rFonts w:hint="eastAsia" w:ascii="宋体" w:hAnsi="宋体" w:eastAsia="宋体" w:cs="宋体"/>
          <w:b w:val="0"/>
          <w:bCs w:val="0"/>
          <w:color w:val="auto"/>
          <w:sz w:val="28"/>
          <w:szCs w:val="48"/>
          <w:lang w:val="en-US" w:eastAsia="zh-CN" w:bidi="ar-SA"/>
        </w:rPr>
        <w:fldChar w:fldCharType="begin"/>
      </w:r>
      <w:r>
        <w:rPr>
          <w:rFonts w:hint="eastAsia" w:ascii="宋体" w:hAnsi="宋体" w:eastAsia="宋体" w:cs="宋体"/>
          <w:b w:val="0"/>
          <w:bCs w:val="0"/>
          <w:sz w:val="28"/>
          <w:szCs w:val="48"/>
          <w:lang w:val="en-US" w:eastAsia="zh-CN" w:bidi="ar-SA"/>
        </w:rPr>
        <w:instrText xml:space="preserve"> HYPERLINK \l _Toc13154 </w:instrText>
      </w:r>
      <w:r>
        <w:rPr>
          <w:rFonts w:hint="eastAsia" w:ascii="宋体" w:hAnsi="宋体" w:eastAsia="宋体" w:cs="宋体"/>
          <w:b w:val="0"/>
          <w:bCs w:val="0"/>
          <w:sz w:val="28"/>
          <w:szCs w:val="48"/>
          <w:lang w:val="en-US" w:eastAsia="zh-CN" w:bidi="ar-SA"/>
        </w:rPr>
        <w:fldChar w:fldCharType="separate"/>
      </w:r>
      <w:r>
        <w:rPr>
          <w:rFonts w:hint="eastAsia" w:ascii="宋体" w:hAnsi="宋体" w:eastAsia="宋体" w:cs="宋体"/>
          <w:b w:val="0"/>
          <w:bCs w:val="0"/>
          <w:sz w:val="28"/>
          <w:szCs w:val="28"/>
        </w:rPr>
        <w:t>第二章  供应商须知前附表</w:t>
      </w:r>
      <w:r>
        <w:rPr>
          <w:b w:val="0"/>
          <w:bCs w:val="0"/>
          <w:sz w:val="28"/>
          <w:szCs w:val="28"/>
        </w:rPr>
        <w:tab/>
      </w:r>
      <w:r>
        <w:rPr>
          <w:b w:val="0"/>
          <w:bCs w:val="0"/>
          <w:sz w:val="28"/>
          <w:szCs w:val="28"/>
        </w:rPr>
        <w:fldChar w:fldCharType="begin"/>
      </w:r>
      <w:r>
        <w:rPr>
          <w:b w:val="0"/>
          <w:bCs w:val="0"/>
          <w:sz w:val="28"/>
          <w:szCs w:val="28"/>
        </w:rPr>
        <w:instrText xml:space="preserve"> PAGEREF _Toc13154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eastAsia="宋体" w:cs="宋体"/>
          <w:b w:val="0"/>
          <w:bCs w:val="0"/>
          <w:color w:val="auto"/>
          <w:sz w:val="28"/>
          <w:szCs w:val="48"/>
          <w:lang w:val="en-US" w:eastAsia="zh-CN" w:bidi="ar-SA"/>
        </w:rPr>
        <w:fldChar w:fldCharType="end"/>
      </w:r>
    </w:p>
    <w:p w14:paraId="579A3890">
      <w:pPr>
        <w:pStyle w:val="24"/>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b w:val="0"/>
          <w:bCs w:val="0"/>
          <w:sz w:val="28"/>
          <w:szCs w:val="28"/>
        </w:rPr>
      </w:pPr>
      <w:r>
        <w:rPr>
          <w:rFonts w:hint="eastAsia" w:ascii="宋体" w:hAnsi="宋体" w:eastAsia="宋体" w:cs="宋体"/>
          <w:b w:val="0"/>
          <w:bCs w:val="0"/>
          <w:color w:val="auto"/>
          <w:sz w:val="28"/>
          <w:szCs w:val="48"/>
          <w:lang w:val="en-US" w:eastAsia="zh-CN" w:bidi="ar-SA"/>
        </w:rPr>
        <w:fldChar w:fldCharType="begin"/>
      </w:r>
      <w:r>
        <w:rPr>
          <w:rFonts w:hint="eastAsia" w:ascii="宋体" w:hAnsi="宋体" w:eastAsia="宋体" w:cs="宋体"/>
          <w:b w:val="0"/>
          <w:bCs w:val="0"/>
          <w:sz w:val="28"/>
          <w:szCs w:val="48"/>
          <w:lang w:val="en-US" w:eastAsia="zh-CN" w:bidi="ar-SA"/>
        </w:rPr>
        <w:instrText xml:space="preserve"> HYPERLINK \l _Toc17449 </w:instrText>
      </w:r>
      <w:r>
        <w:rPr>
          <w:rFonts w:hint="eastAsia" w:ascii="宋体" w:hAnsi="宋体" w:eastAsia="宋体" w:cs="宋体"/>
          <w:b w:val="0"/>
          <w:bCs w:val="0"/>
          <w:sz w:val="28"/>
          <w:szCs w:val="48"/>
          <w:lang w:val="en-US" w:eastAsia="zh-CN" w:bidi="ar-SA"/>
        </w:rPr>
        <w:fldChar w:fldCharType="separate"/>
      </w:r>
      <w:r>
        <w:rPr>
          <w:rFonts w:hint="eastAsia" w:ascii="宋体" w:hAnsi="宋体" w:eastAsia="宋体"/>
          <w:b w:val="0"/>
          <w:bCs w:val="0"/>
          <w:sz w:val="28"/>
          <w:szCs w:val="52"/>
        </w:rPr>
        <w:t xml:space="preserve">第三章 </w:t>
      </w:r>
      <w:r>
        <w:rPr>
          <w:rFonts w:hint="eastAsia" w:ascii="宋体" w:hAnsi="宋体" w:eastAsia="宋体"/>
          <w:b w:val="0"/>
          <w:bCs w:val="0"/>
          <w:sz w:val="28"/>
          <w:szCs w:val="52"/>
          <w:lang w:val="en-US" w:eastAsia="zh-CN"/>
        </w:rPr>
        <w:t xml:space="preserve"> </w:t>
      </w:r>
      <w:r>
        <w:rPr>
          <w:rFonts w:hint="eastAsia" w:ascii="宋体" w:hAnsi="宋体" w:eastAsia="宋体" w:cs="宋体"/>
          <w:b w:val="0"/>
          <w:bCs w:val="0"/>
          <w:sz w:val="28"/>
          <w:szCs w:val="52"/>
          <w:lang w:val="en-US" w:eastAsia="zh-CN"/>
        </w:rPr>
        <w:t>谈判内容及技术要求</w:t>
      </w:r>
      <w:r>
        <w:rPr>
          <w:b w:val="0"/>
          <w:bCs w:val="0"/>
          <w:sz w:val="28"/>
          <w:szCs w:val="28"/>
        </w:rPr>
        <w:tab/>
      </w:r>
      <w:r>
        <w:rPr>
          <w:b w:val="0"/>
          <w:bCs w:val="0"/>
          <w:sz w:val="28"/>
          <w:szCs w:val="28"/>
        </w:rPr>
        <w:fldChar w:fldCharType="begin"/>
      </w:r>
      <w:r>
        <w:rPr>
          <w:b w:val="0"/>
          <w:bCs w:val="0"/>
          <w:sz w:val="28"/>
          <w:szCs w:val="28"/>
        </w:rPr>
        <w:instrText xml:space="preserve"> PAGEREF _Toc17449 \h </w:instrText>
      </w:r>
      <w:r>
        <w:rPr>
          <w:b w:val="0"/>
          <w:bCs w:val="0"/>
          <w:sz w:val="28"/>
          <w:szCs w:val="28"/>
        </w:rPr>
        <w:fldChar w:fldCharType="separate"/>
      </w:r>
      <w:r>
        <w:rPr>
          <w:b w:val="0"/>
          <w:bCs w:val="0"/>
          <w:sz w:val="28"/>
          <w:szCs w:val="28"/>
        </w:rPr>
        <w:t>25</w:t>
      </w:r>
      <w:r>
        <w:rPr>
          <w:b w:val="0"/>
          <w:bCs w:val="0"/>
          <w:sz w:val="28"/>
          <w:szCs w:val="28"/>
        </w:rPr>
        <w:fldChar w:fldCharType="end"/>
      </w:r>
      <w:r>
        <w:rPr>
          <w:rFonts w:hint="eastAsia" w:ascii="宋体" w:hAnsi="宋体" w:eastAsia="宋体" w:cs="宋体"/>
          <w:b w:val="0"/>
          <w:bCs w:val="0"/>
          <w:color w:val="auto"/>
          <w:sz w:val="28"/>
          <w:szCs w:val="48"/>
          <w:lang w:val="en-US" w:eastAsia="zh-CN" w:bidi="ar-SA"/>
        </w:rPr>
        <w:fldChar w:fldCharType="end"/>
      </w:r>
    </w:p>
    <w:p w14:paraId="1ADCB050">
      <w:pPr>
        <w:pStyle w:val="24"/>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b w:val="0"/>
          <w:bCs w:val="0"/>
          <w:sz w:val="28"/>
          <w:szCs w:val="28"/>
        </w:rPr>
      </w:pPr>
      <w:r>
        <w:rPr>
          <w:rFonts w:hint="eastAsia" w:ascii="宋体" w:hAnsi="宋体" w:eastAsia="宋体" w:cs="宋体"/>
          <w:b w:val="0"/>
          <w:bCs w:val="0"/>
          <w:color w:val="auto"/>
          <w:sz w:val="28"/>
          <w:szCs w:val="48"/>
          <w:lang w:val="en-US" w:eastAsia="zh-CN" w:bidi="ar-SA"/>
        </w:rPr>
        <w:fldChar w:fldCharType="begin"/>
      </w:r>
      <w:r>
        <w:rPr>
          <w:rFonts w:hint="eastAsia" w:ascii="宋体" w:hAnsi="宋体" w:eastAsia="宋体" w:cs="宋体"/>
          <w:b w:val="0"/>
          <w:bCs w:val="0"/>
          <w:sz w:val="28"/>
          <w:szCs w:val="48"/>
          <w:lang w:val="en-US" w:eastAsia="zh-CN" w:bidi="ar-SA"/>
        </w:rPr>
        <w:instrText xml:space="preserve"> HYPERLINK \l _Toc12009 </w:instrText>
      </w:r>
      <w:r>
        <w:rPr>
          <w:rFonts w:hint="eastAsia" w:ascii="宋体" w:hAnsi="宋体" w:eastAsia="宋体" w:cs="宋体"/>
          <w:b w:val="0"/>
          <w:bCs w:val="0"/>
          <w:sz w:val="28"/>
          <w:szCs w:val="48"/>
          <w:lang w:val="en-US" w:eastAsia="zh-CN" w:bidi="ar-SA"/>
        </w:rPr>
        <w:fldChar w:fldCharType="separate"/>
      </w:r>
      <w:r>
        <w:rPr>
          <w:rFonts w:hint="eastAsia" w:ascii="Times New Roman" w:hAnsi="Times New Roman" w:eastAsia="宋体"/>
          <w:b w:val="0"/>
          <w:bCs w:val="0"/>
          <w:sz w:val="28"/>
          <w:szCs w:val="52"/>
        </w:rPr>
        <w:t xml:space="preserve">第四章 </w:t>
      </w:r>
      <w:r>
        <w:rPr>
          <w:rFonts w:hint="eastAsia" w:ascii="Times New Roman" w:hAnsi="Times New Roman" w:eastAsia="宋体"/>
          <w:b w:val="0"/>
          <w:bCs w:val="0"/>
          <w:sz w:val="28"/>
          <w:szCs w:val="52"/>
          <w:lang w:val="en-US" w:eastAsia="zh-CN"/>
        </w:rPr>
        <w:t xml:space="preserve"> </w:t>
      </w:r>
      <w:r>
        <w:rPr>
          <w:rFonts w:hint="eastAsia" w:ascii="宋体" w:hAnsi="宋体" w:eastAsia="宋体" w:cs="宋体"/>
          <w:b w:val="0"/>
          <w:bCs w:val="0"/>
          <w:sz w:val="28"/>
          <w:szCs w:val="52"/>
        </w:rPr>
        <w:t>合同主要条款</w:t>
      </w:r>
      <w:r>
        <w:rPr>
          <w:b w:val="0"/>
          <w:bCs w:val="0"/>
          <w:sz w:val="28"/>
          <w:szCs w:val="28"/>
        </w:rPr>
        <w:tab/>
      </w:r>
      <w:r>
        <w:rPr>
          <w:b w:val="0"/>
          <w:bCs w:val="0"/>
          <w:sz w:val="28"/>
          <w:szCs w:val="28"/>
        </w:rPr>
        <w:fldChar w:fldCharType="begin"/>
      </w:r>
      <w:r>
        <w:rPr>
          <w:b w:val="0"/>
          <w:bCs w:val="0"/>
          <w:sz w:val="28"/>
          <w:szCs w:val="28"/>
        </w:rPr>
        <w:instrText xml:space="preserve"> PAGEREF _Toc12009 \h </w:instrText>
      </w:r>
      <w:r>
        <w:rPr>
          <w:b w:val="0"/>
          <w:bCs w:val="0"/>
          <w:sz w:val="28"/>
          <w:szCs w:val="28"/>
        </w:rPr>
        <w:fldChar w:fldCharType="separate"/>
      </w:r>
      <w:r>
        <w:rPr>
          <w:b w:val="0"/>
          <w:bCs w:val="0"/>
          <w:sz w:val="28"/>
          <w:szCs w:val="28"/>
        </w:rPr>
        <w:t>41</w:t>
      </w:r>
      <w:r>
        <w:rPr>
          <w:b w:val="0"/>
          <w:bCs w:val="0"/>
          <w:sz w:val="28"/>
          <w:szCs w:val="28"/>
        </w:rPr>
        <w:fldChar w:fldCharType="end"/>
      </w:r>
      <w:r>
        <w:rPr>
          <w:rFonts w:hint="eastAsia" w:ascii="宋体" w:hAnsi="宋体" w:eastAsia="宋体" w:cs="宋体"/>
          <w:b w:val="0"/>
          <w:bCs w:val="0"/>
          <w:color w:val="auto"/>
          <w:sz w:val="28"/>
          <w:szCs w:val="48"/>
          <w:lang w:val="en-US" w:eastAsia="zh-CN" w:bidi="ar-SA"/>
        </w:rPr>
        <w:fldChar w:fldCharType="end"/>
      </w:r>
    </w:p>
    <w:p w14:paraId="55E57F08">
      <w:pPr>
        <w:pStyle w:val="24"/>
        <w:keepNext w:val="0"/>
        <w:keepLines w:val="0"/>
        <w:pageBreakBefore w:val="0"/>
        <w:widowControl/>
        <w:tabs>
          <w:tab w:val="right" w:leader="dot" w:pos="9072"/>
        </w:tabs>
        <w:kinsoku/>
        <w:wordWrap/>
        <w:overflowPunct/>
        <w:topLinePunct w:val="0"/>
        <w:autoSpaceDE/>
        <w:autoSpaceDN/>
        <w:bidi w:val="0"/>
        <w:adjustRightInd/>
        <w:snapToGrid/>
        <w:spacing w:line="800" w:lineRule="exact"/>
        <w:textAlignment w:val="auto"/>
        <w:rPr>
          <w:sz w:val="22"/>
          <w:szCs w:val="22"/>
        </w:rPr>
      </w:pPr>
      <w:r>
        <w:rPr>
          <w:rFonts w:hint="eastAsia" w:ascii="宋体" w:hAnsi="宋体" w:eastAsia="宋体" w:cs="宋体"/>
          <w:b w:val="0"/>
          <w:bCs w:val="0"/>
          <w:color w:val="auto"/>
          <w:sz w:val="28"/>
          <w:szCs w:val="48"/>
          <w:lang w:val="en-US" w:eastAsia="zh-CN" w:bidi="ar-SA"/>
        </w:rPr>
        <w:fldChar w:fldCharType="begin"/>
      </w:r>
      <w:r>
        <w:rPr>
          <w:rFonts w:hint="eastAsia" w:ascii="宋体" w:hAnsi="宋体" w:eastAsia="宋体" w:cs="宋体"/>
          <w:b w:val="0"/>
          <w:bCs w:val="0"/>
          <w:sz w:val="28"/>
          <w:szCs w:val="48"/>
          <w:lang w:val="en-US" w:eastAsia="zh-CN" w:bidi="ar-SA"/>
        </w:rPr>
        <w:instrText xml:space="preserve"> HYPERLINK \l _Toc7538 </w:instrText>
      </w:r>
      <w:r>
        <w:rPr>
          <w:rFonts w:hint="eastAsia" w:ascii="宋体" w:hAnsi="宋体" w:eastAsia="宋体" w:cs="宋体"/>
          <w:b w:val="0"/>
          <w:bCs w:val="0"/>
          <w:sz w:val="28"/>
          <w:szCs w:val="48"/>
          <w:lang w:val="en-US" w:eastAsia="zh-CN" w:bidi="ar-SA"/>
        </w:rPr>
        <w:fldChar w:fldCharType="separate"/>
      </w:r>
      <w:r>
        <w:rPr>
          <w:rFonts w:hint="eastAsia" w:ascii="宋体" w:hAnsi="宋体" w:eastAsia="宋体" w:cs="Times New Roman"/>
          <w:b w:val="0"/>
          <w:bCs w:val="0"/>
          <w:sz w:val="28"/>
          <w:szCs w:val="28"/>
        </w:rPr>
        <w:t xml:space="preserve">第五章 </w:t>
      </w:r>
      <w:r>
        <w:rPr>
          <w:rFonts w:hint="eastAsia" w:ascii="宋体" w:hAnsi="宋体" w:eastAsia="宋体" w:cs="Times New Roman"/>
          <w:b w:val="0"/>
          <w:bCs w:val="0"/>
          <w:sz w:val="28"/>
          <w:szCs w:val="28"/>
          <w:lang w:val="en-US" w:eastAsia="zh-CN"/>
        </w:rPr>
        <w:t xml:space="preserve"> </w:t>
      </w:r>
      <w:r>
        <w:rPr>
          <w:rFonts w:hint="eastAsia" w:ascii="宋体" w:hAnsi="宋体" w:eastAsia="宋体" w:cs="Times New Roman"/>
          <w:b w:val="0"/>
          <w:bCs w:val="0"/>
          <w:sz w:val="28"/>
          <w:szCs w:val="28"/>
        </w:rPr>
        <w:t>响应文件格式</w:t>
      </w:r>
      <w:r>
        <w:rPr>
          <w:b w:val="0"/>
          <w:bCs w:val="0"/>
          <w:sz w:val="28"/>
          <w:szCs w:val="28"/>
        </w:rPr>
        <w:tab/>
      </w:r>
      <w:r>
        <w:rPr>
          <w:b w:val="0"/>
          <w:bCs w:val="0"/>
          <w:sz w:val="28"/>
          <w:szCs w:val="28"/>
        </w:rPr>
        <w:fldChar w:fldCharType="begin"/>
      </w:r>
      <w:r>
        <w:rPr>
          <w:b w:val="0"/>
          <w:bCs w:val="0"/>
          <w:sz w:val="28"/>
          <w:szCs w:val="28"/>
        </w:rPr>
        <w:instrText xml:space="preserve"> PAGEREF _Toc7538 \h </w:instrText>
      </w:r>
      <w:r>
        <w:rPr>
          <w:b w:val="0"/>
          <w:bCs w:val="0"/>
          <w:sz w:val="28"/>
          <w:szCs w:val="28"/>
        </w:rPr>
        <w:fldChar w:fldCharType="separate"/>
      </w:r>
      <w:r>
        <w:rPr>
          <w:b w:val="0"/>
          <w:bCs w:val="0"/>
          <w:sz w:val="28"/>
          <w:szCs w:val="28"/>
        </w:rPr>
        <w:t>47</w:t>
      </w:r>
      <w:r>
        <w:rPr>
          <w:b w:val="0"/>
          <w:bCs w:val="0"/>
          <w:sz w:val="28"/>
          <w:szCs w:val="28"/>
        </w:rPr>
        <w:fldChar w:fldCharType="end"/>
      </w:r>
      <w:r>
        <w:rPr>
          <w:rFonts w:hint="eastAsia" w:ascii="宋体" w:hAnsi="宋体" w:eastAsia="宋体" w:cs="宋体"/>
          <w:b w:val="0"/>
          <w:bCs w:val="0"/>
          <w:color w:val="auto"/>
          <w:sz w:val="28"/>
          <w:szCs w:val="48"/>
          <w:lang w:val="en-US" w:eastAsia="zh-CN" w:bidi="ar-SA"/>
        </w:rPr>
        <w:fldChar w:fldCharType="end"/>
      </w:r>
    </w:p>
    <w:p w14:paraId="7B174435">
      <w:pPr>
        <w:pStyle w:val="27"/>
        <w:tabs>
          <w:tab w:val="right" w:leader="dot" w:pos="9072"/>
        </w:tabs>
        <w:rPr>
          <w:sz w:val="22"/>
          <w:szCs w:val="22"/>
        </w:rPr>
      </w:pPr>
    </w:p>
    <w:p w14:paraId="6154397D">
      <w:pPr>
        <w:pStyle w:val="6"/>
        <w:keepNext w:val="0"/>
        <w:keepLines w:val="0"/>
        <w:pageBreakBefore w:val="0"/>
        <w:widowControl/>
        <w:kinsoku/>
        <w:wordWrap/>
        <w:overflowPunct/>
        <w:topLinePunct w:val="0"/>
        <w:autoSpaceDE/>
        <w:autoSpaceDN/>
        <w:bidi w:val="0"/>
        <w:adjustRightInd/>
        <w:snapToGrid/>
        <w:spacing w:line="360" w:lineRule="auto"/>
        <w:ind w:left="0"/>
        <w:textAlignment w:val="auto"/>
        <w:rPr>
          <w:color w:val="auto"/>
          <w:sz w:val="44"/>
          <w:szCs w:val="44"/>
          <w:lang w:val="en-US" w:eastAsia="zh-CN" w:bidi="ar-SA"/>
        </w:rPr>
      </w:pPr>
      <w:r>
        <w:rPr>
          <w:rFonts w:hint="eastAsia" w:ascii="宋体" w:hAnsi="宋体" w:eastAsia="宋体" w:cs="宋体"/>
          <w:color w:val="auto"/>
          <w:sz w:val="36"/>
          <w:szCs w:val="40"/>
          <w:lang w:val="en-US" w:eastAsia="zh-CN" w:bidi="ar-SA"/>
        </w:rPr>
        <w:fldChar w:fldCharType="end"/>
      </w:r>
    </w:p>
    <w:p w14:paraId="6D339546">
      <w:pPr>
        <w:tabs>
          <w:tab w:val="left" w:pos="2643"/>
        </w:tabs>
        <w:rPr>
          <w:rFonts w:hint="default" w:eastAsia="华文仿宋"/>
          <w:color w:val="auto"/>
          <w:lang w:val="en-US" w:eastAsia="zh-CN"/>
        </w:rPr>
        <w:sectPr>
          <w:headerReference r:id="rId9" w:type="default"/>
          <w:footerReference r:id="rId10" w:type="default"/>
          <w:pgSz w:w="11906" w:h="16838"/>
          <w:pgMar w:top="1417" w:right="1417" w:bottom="1417" w:left="1417" w:header="851" w:footer="992" w:gutter="0"/>
          <w:pgNumType w:fmt="decimal" w:start="1"/>
          <w:cols w:space="0" w:num="1"/>
          <w:rtlGutter w:val="0"/>
          <w:docGrid w:type="lines" w:linePitch="381" w:charSpace="0"/>
        </w:sectPr>
      </w:pPr>
      <w:r>
        <w:rPr>
          <w:color w:val="auto"/>
        </w:rPr>
        <w:tab/>
      </w:r>
      <w:r>
        <w:rPr>
          <w:rFonts w:hint="eastAsia"/>
          <w:color w:val="auto"/>
          <w:lang w:val="en-US" w:eastAsia="zh-CN"/>
        </w:rPr>
        <w:t xml:space="preserve">            </w:t>
      </w:r>
    </w:p>
    <w:p w14:paraId="617C788F">
      <w:pPr>
        <w:pStyle w:val="2"/>
        <w:keepNext/>
        <w:keepLines/>
        <w:pageBreakBefore w:val="0"/>
        <w:widowControl/>
        <w:tabs>
          <w:tab w:val="center" w:pos="4433"/>
          <w:tab w:val="left" w:pos="7415"/>
        </w:tabs>
        <w:kinsoku/>
        <w:wordWrap/>
        <w:overflowPunct/>
        <w:topLinePunct w:val="0"/>
        <w:autoSpaceDE/>
        <w:autoSpaceDN/>
        <w:bidi w:val="0"/>
        <w:adjustRightInd/>
        <w:snapToGrid/>
        <w:spacing w:before="192" w:beforeLines="50" w:after="192" w:afterLines="50" w:line="460" w:lineRule="exact"/>
        <w:textAlignment w:val="auto"/>
        <w:rPr>
          <w:rFonts w:hint="default" w:ascii="宋体" w:hAnsi="宋体" w:eastAsia="宋体" w:cs="宋体"/>
          <w:color w:val="auto"/>
          <w:lang w:val="en-US" w:eastAsia="zh-CN"/>
        </w:rPr>
      </w:pPr>
      <w:bookmarkStart w:id="0" w:name="_Toc27856"/>
      <w:bookmarkStart w:id="1" w:name="_Toc14189263"/>
      <w:bookmarkStart w:id="2" w:name="_Toc19670"/>
      <w:bookmarkStart w:id="3" w:name="_Toc23316513"/>
      <w:bookmarkStart w:id="4" w:name="_Toc23316675"/>
      <w:bookmarkStart w:id="5" w:name="_Toc23315653"/>
      <w:bookmarkStart w:id="6" w:name="_Toc14189400"/>
      <w:bookmarkStart w:id="7" w:name="_Toc18412192"/>
      <w:bookmarkStart w:id="8" w:name="_Toc23316577"/>
      <w:bookmarkStart w:id="9" w:name="OLE_LINK1"/>
      <w:r>
        <w:rPr>
          <w:rFonts w:hint="eastAsia" w:ascii="宋体" w:hAnsi="宋体" w:eastAsia="宋体" w:cs="宋体"/>
          <w:color w:val="auto"/>
        </w:rPr>
        <w:t xml:space="preserve">第一章 </w:t>
      </w:r>
      <w:bookmarkStart w:id="10" w:name="OLE_LINK7"/>
      <w:r>
        <w:rPr>
          <w:rFonts w:hint="eastAsia" w:ascii="宋体" w:hAnsi="宋体" w:eastAsia="宋体" w:cs="宋体"/>
          <w:color w:val="auto"/>
        </w:rPr>
        <w:t xml:space="preserve"> </w:t>
      </w:r>
      <w:bookmarkEnd w:id="0"/>
      <w:bookmarkEnd w:id="1"/>
      <w:bookmarkEnd w:id="2"/>
      <w:bookmarkEnd w:id="3"/>
      <w:bookmarkEnd w:id="4"/>
      <w:bookmarkEnd w:id="5"/>
      <w:bookmarkEnd w:id="6"/>
      <w:bookmarkEnd w:id="7"/>
      <w:bookmarkEnd w:id="8"/>
      <w:bookmarkStart w:id="11" w:name="OLE_LINK2"/>
      <w:bookmarkStart w:id="12" w:name="OLE_LINK3"/>
      <w:bookmarkStart w:id="13" w:name="OLE_LINK8"/>
      <w:bookmarkStart w:id="14" w:name="OLE_LINK4"/>
      <w:bookmarkStart w:id="15" w:name="OLE_LINK5"/>
      <w:bookmarkStart w:id="16" w:name="OLE_LINK6"/>
      <w:r>
        <w:rPr>
          <w:rFonts w:hint="eastAsia" w:ascii="宋体" w:hAnsi="宋体" w:eastAsia="宋体" w:cs="宋体"/>
          <w:color w:val="auto"/>
          <w:lang w:val="en-US" w:eastAsia="zh-CN"/>
        </w:rPr>
        <w:t>竞争性谈判公告</w:t>
      </w:r>
    </w:p>
    <w:bookmarkEnd w:id="9"/>
    <w:bookmarkEnd w:id="10"/>
    <w:bookmarkEnd w:id="11"/>
    <w:bookmarkEnd w:id="12"/>
    <w:bookmarkEnd w:id="13"/>
    <w:bookmarkEnd w:id="14"/>
    <w:bookmarkEnd w:id="15"/>
    <w:bookmarkEnd w:id="16"/>
    <w:p w14:paraId="4855AC1E">
      <w:pPr>
        <w:keepNext w:val="0"/>
        <w:keepLines w:val="0"/>
        <w:pageBreakBefore w:val="0"/>
        <w:widowControl/>
        <w:kinsoku/>
        <w:wordWrap/>
        <w:overflowPunct/>
        <w:topLinePunct w:val="0"/>
        <w:autoSpaceDE/>
        <w:autoSpaceDN/>
        <w:bidi w:val="0"/>
        <w:adjustRightInd/>
        <w:snapToGrid w:val="0"/>
        <w:spacing w:line="440" w:lineRule="exact"/>
        <w:ind w:right="0" w:rightChars="0"/>
        <w:jc w:val="left"/>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bookmarkStart w:id="17" w:name="_Toc18412193"/>
      <w:bookmarkStart w:id="18" w:name="_Toc23316514"/>
      <w:bookmarkStart w:id="19" w:name="_Toc23316676"/>
      <w:bookmarkStart w:id="20" w:name="_Toc23315654"/>
      <w:bookmarkStart w:id="21" w:name="_Toc14189401"/>
      <w:bookmarkStart w:id="22" w:name="_Toc14189264"/>
      <w:bookmarkStart w:id="23" w:name="_Toc23316578"/>
      <w:bookmarkStart w:id="24" w:name="_Toc10418"/>
      <w:r>
        <w:rPr>
          <w:rFonts w:hint="eastAsia" w:ascii="宋体" w:hAnsi="宋体" w:eastAsia="宋体" w:cs="宋体"/>
          <w:b/>
          <w:bCs/>
          <w:color w:val="000000" w:themeColor="text1"/>
          <w:kern w:val="0"/>
          <w:sz w:val="24"/>
          <w:szCs w:val="24"/>
          <w:lang w:val="en-US" w:eastAsia="zh-CN"/>
          <w14:textFill>
            <w14:solidFill>
              <w14:schemeClr w14:val="tx1"/>
            </w14:solidFill>
          </w14:textFill>
        </w:rPr>
        <w:t>项目概况</w:t>
      </w:r>
    </w:p>
    <w:p w14:paraId="5BB5D29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安康市公安局资金分析系统采购项目的潜在供应商应在安康市高新区高新观澜8栋2单元801室获取采购文件，并于</w:t>
      </w:r>
      <w:r>
        <w:rPr>
          <w:rFonts w:hint="eastAsia" w:ascii="宋体" w:hAnsi="宋体" w:eastAsia="宋体" w:cs="宋体"/>
          <w:color w:val="auto"/>
          <w:kern w:val="0"/>
          <w:sz w:val="24"/>
          <w:szCs w:val="24"/>
          <w:lang w:val="en-US" w:eastAsia="zh-CN"/>
        </w:rPr>
        <w:t>2025年</w:t>
      </w: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auto"/>
          <w:kern w:val="0"/>
          <w:sz w:val="24"/>
          <w:szCs w:val="24"/>
          <w:lang w:val="en-US" w:eastAsia="zh-CN"/>
        </w:rPr>
        <w:t>1月26日09:00时</w:t>
      </w:r>
      <w:r>
        <w:rPr>
          <w:rFonts w:hint="eastAsia" w:ascii="宋体" w:hAnsi="宋体" w:eastAsia="宋体" w:cs="宋体"/>
          <w:color w:val="000000" w:themeColor="text1"/>
          <w:kern w:val="0"/>
          <w:sz w:val="24"/>
          <w:szCs w:val="24"/>
          <w14:textFill>
            <w14:solidFill>
              <w14:schemeClr w14:val="tx1"/>
            </w14:solidFill>
          </w14:textFill>
        </w:rPr>
        <w:t>（北京时间）前提交响应文件。</w:t>
      </w:r>
    </w:p>
    <w:p w14:paraId="4D6B4409">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right="0" w:rightChars="0" w:firstLine="482" w:firstLineChars="200"/>
        <w:jc w:val="left"/>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一、</w:t>
      </w:r>
      <w:r>
        <w:rPr>
          <w:rFonts w:hint="eastAsia" w:ascii="宋体" w:hAnsi="宋体" w:eastAsia="宋体" w:cs="宋体"/>
          <w:b/>
          <w:bCs/>
          <w:color w:val="000000" w:themeColor="text1"/>
          <w:kern w:val="0"/>
          <w:sz w:val="24"/>
          <w:szCs w:val="24"/>
          <w14:textFill>
            <w14:solidFill>
              <w14:schemeClr w14:val="tx1"/>
            </w14:solidFill>
          </w14:textFill>
        </w:rPr>
        <w:t>项目基本情况</w:t>
      </w:r>
    </w:p>
    <w:p w14:paraId="5483168A">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项目编号：AKSH2025-ZTP-155</w:t>
      </w:r>
    </w:p>
    <w:p w14:paraId="5F2981DC">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安康市公安局资金分析系统采购项目</w:t>
      </w:r>
    </w:p>
    <w:p w14:paraId="68A3DA4B">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采购方式：竞争性</w:t>
      </w:r>
      <w:r>
        <w:rPr>
          <w:rFonts w:hint="eastAsia" w:ascii="宋体" w:hAnsi="宋体" w:eastAsia="宋体" w:cs="宋体"/>
          <w:color w:val="000000" w:themeColor="text1"/>
          <w:kern w:val="0"/>
          <w:sz w:val="24"/>
          <w:szCs w:val="24"/>
          <w:lang w:val="en-US" w:eastAsia="zh-CN"/>
          <w14:textFill>
            <w14:solidFill>
              <w14:schemeClr w14:val="tx1"/>
            </w14:solidFill>
          </w14:textFill>
        </w:rPr>
        <w:t>谈判</w:t>
      </w:r>
    </w:p>
    <w:p w14:paraId="3780DD7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预算金额：</w:t>
      </w:r>
      <w:r>
        <w:rPr>
          <w:rFonts w:hint="eastAsia" w:ascii="宋体" w:hAnsi="宋体" w:eastAsia="宋体" w:cs="宋体"/>
          <w:color w:val="auto"/>
          <w:kern w:val="0"/>
          <w:sz w:val="24"/>
          <w:szCs w:val="24"/>
          <w:lang w:val="en-US" w:eastAsia="zh-CN" w:bidi="ar-SA"/>
        </w:rPr>
        <w:t>200000.00元</w:t>
      </w:r>
    </w:p>
    <w:p w14:paraId="03AF82E1">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采购需求：</w:t>
      </w:r>
    </w:p>
    <w:p w14:paraId="50EE4B49">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合同包1(</w:t>
      </w:r>
      <w:r>
        <w:rPr>
          <w:rFonts w:hint="eastAsia" w:ascii="宋体" w:hAnsi="宋体" w:eastAsia="宋体" w:cs="宋体"/>
          <w:color w:val="000000" w:themeColor="text1"/>
          <w:kern w:val="0"/>
          <w:sz w:val="24"/>
          <w:szCs w:val="24"/>
          <w:lang w:val="en-US" w:eastAsia="zh-CN"/>
          <w14:textFill>
            <w14:solidFill>
              <w14:schemeClr w14:val="tx1"/>
            </w14:solidFill>
          </w14:textFill>
        </w:rPr>
        <w:t>安康市公安局资金分析系统采购项目</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5F7CBE14">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合同包预算金额：</w:t>
      </w:r>
      <w:r>
        <w:rPr>
          <w:rFonts w:hint="eastAsia" w:ascii="宋体" w:hAnsi="宋体" w:eastAsia="宋体" w:cs="宋体"/>
          <w:color w:val="auto"/>
          <w:kern w:val="0"/>
          <w:sz w:val="24"/>
          <w:szCs w:val="24"/>
          <w:lang w:val="en-US" w:eastAsia="zh-CN" w:bidi="ar-SA"/>
        </w:rPr>
        <w:t>200000.00元</w:t>
      </w:r>
    </w:p>
    <w:p w14:paraId="5B83BEAF">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tbl>
      <w:tblPr>
        <w:tblStyle w:val="34"/>
        <w:tblW w:w="994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7"/>
        <w:gridCol w:w="1974"/>
        <w:gridCol w:w="2038"/>
        <w:gridCol w:w="1631"/>
        <w:gridCol w:w="1906"/>
        <w:gridCol w:w="1440"/>
      </w:tblGrid>
      <w:tr w14:paraId="58C54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3" w:hRule="atLeast"/>
          <w:tblHeader/>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4E2AC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7AC9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186F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FF0000"/>
                <w:sz w:val="24"/>
                <w:szCs w:val="24"/>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B5CC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E6D50A">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9A85E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458C6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2" w:hRule="atLeast"/>
          <w:jc w:val="center"/>
        </w:trPr>
        <w:tc>
          <w:tcPr>
            <w:tcW w:w="9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51C64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4BE7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应用软件</w:t>
            </w:r>
          </w:p>
        </w:tc>
        <w:tc>
          <w:tcPr>
            <w:tcW w:w="20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23A68">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FF0000"/>
                <w:sz w:val="24"/>
                <w:szCs w:val="24"/>
                <w:lang w:val="en-US"/>
              </w:rPr>
            </w:pPr>
            <w:r>
              <w:rPr>
                <w:rFonts w:hint="eastAsia" w:ascii="宋体" w:hAnsi="宋体" w:eastAsia="宋体" w:cs="宋体"/>
                <w:color w:val="auto"/>
                <w:sz w:val="24"/>
                <w:szCs w:val="24"/>
                <w:lang w:val="en-US"/>
              </w:rPr>
              <w:t>资金分析系统软件及配套设备</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615AC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925AB">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329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righ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200000.00</w:t>
            </w:r>
          </w:p>
        </w:tc>
      </w:tr>
    </w:tbl>
    <w:p w14:paraId="182EB0E8">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本合同包不接受联合体投标</w:t>
      </w:r>
    </w:p>
    <w:p w14:paraId="7E67A623">
      <w:pPr>
        <w:keepNext w:val="0"/>
        <w:keepLines w:val="0"/>
        <w:pageBreakBefore w:val="0"/>
        <w:widowControl/>
        <w:tabs>
          <w:tab w:val="left" w:pos="702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合同履行期限：</w:t>
      </w:r>
      <w:r>
        <w:rPr>
          <w:rFonts w:hint="eastAsia" w:ascii="宋体" w:hAnsi="宋体" w:eastAsia="宋体" w:cs="宋体"/>
          <w:color w:val="auto"/>
          <w:kern w:val="0"/>
          <w:sz w:val="24"/>
          <w:szCs w:val="24"/>
          <w:lang w:val="en-US" w:eastAsia="zh-CN"/>
        </w:rPr>
        <w:t>合同签订后30日历天内完成供货、安装调试</w:t>
      </w:r>
      <w:r>
        <w:rPr>
          <w:rFonts w:hint="eastAsia" w:ascii="宋体" w:hAnsi="宋体" w:eastAsia="宋体" w:cs="宋体"/>
          <w:color w:val="auto"/>
          <w:kern w:val="0"/>
          <w:sz w:val="24"/>
          <w:szCs w:val="24"/>
          <w:lang w:eastAsia="zh-CN"/>
        </w:rPr>
        <w:t>。</w:t>
      </w:r>
    </w:p>
    <w:p w14:paraId="137F32B0">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4B87A54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p>
    <w:p w14:paraId="221D658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落实政府采购政策需满足的资格要求：</w:t>
      </w:r>
    </w:p>
    <w:p w14:paraId="2630291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安康市公安局资金分析系统采购项目</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392609E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依据《中华人民共和国政府采购法》和《中华人民共和国政府采购法实施条例》的有关规定，落实政府采购“优先购买节能环保产品、扶持小微企业、监狱企业、福利企业”等相关政策：</w:t>
      </w:r>
    </w:p>
    <w:p w14:paraId="1264038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（1）《政府采购促进中小企业发展管理办法》（财库〔2020〕46号）；</w:t>
      </w:r>
    </w:p>
    <w:p w14:paraId="78A89EE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（2）《财政部司法部关于政府采购支持监狱企业发展有关问题的通知》（财库〔2014〕68号）；</w:t>
      </w:r>
    </w:p>
    <w:p w14:paraId="2A437BB6">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（3）《财政部发展改革委生态环境部市场监管总局关于调整优化节能产品、环境标志产品政府采购执行机制的通知》（财库〔2019〕9号）；</w:t>
      </w:r>
    </w:p>
    <w:p w14:paraId="6586C3D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（4）《财政部民政部中国残疾人联合会关于促进残疾人就业政府采购政策的通知》（财库〔2017〕141号）；</w:t>
      </w:r>
    </w:p>
    <w:p w14:paraId="4202770D">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（5）《财政部农业农村部国家乡村振兴局关于运用政府采购政策支持乡村产业振兴的通知》财库〔2021〕19号；</w:t>
      </w:r>
    </w:p>
    <w:p w14:paraId="0D320D0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41F1808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（7）其他需要落实的政府采购政策。</w:t>
      </w:r>
    </w:p>
    <w:p w14:paraId="6C9D7C2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本项目的特定资格要求：</w:t>
      </w:r>
    </w:p>
    <w:p w14:paraId="43B2BE4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color w:val="000000" w:themeColor="text1"/>
          <w:kern w:val="0"/>
          <w:sz w:val="24"/>
          <w:szCs w:val="24"/>
          <w:lang w:val="en-US" w:eastAsia="zh-CN"/>
          <w14:textFill>
            <w14:solidFill>
              <w14:schemeClr w14:val="tx1"/>
            </w14:solidFill>
          </w14:textFill>
        </w:rPr>
        <w:t>安康市公安局资金分析系统采购项目</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76700F4B">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7E3191B7">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17D3DBFF">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kern w:val="2"/>
          <w:sz w:val="24"/>
          <w:szCs w:val="24"/>
          <w:lang w:val="en-US" w:eastAsia="zh-CN" w:bidi="ar"/>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查询结果为准（响应文件中提供查询结果网页截图并加盖投标人公章，查询日期为从谈判文件获取之日起至投标截止日前，评标现场通过网站对信用记录进行核实）。</w:t>
      </w:r>
    </w:p>
    <w:p w14:paraId="71BE0BC7">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书面声明：投标人必须提供参加政府采购活动前3年内在经营活动中没有重大违法记录的书面声明。 </w:t>
      </w:r>
    </w:p>
    <w:p w14:paraId="363409C8">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（5）财务状况报告：提供2024年度的财务审计报告或者谈判截止时间六个月内基本开户银行出具的资信证明（成立时间至提交响应文件截止时间不足一年的可提供成立后任意时段的资产负债表）。</w:t>
      </w:r>
    </w:p>
    <w:p w14:paraId="5597418F">
      <w:pPr>
        <w:pStyle w:val="4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w:t>
      </w:r>
      <w:r>
        <w:rPr>
          <w:rFonts w:hint="eastAsia" w:ascii="宋体" w:hAnsi="宋体" w:cs="宋体"/>
          <w:color w:val="auto"/>
          <w:kern w:val="0"/>
          <w:sz w:val="24"/>
          <w:szCs w:val="24"/>
          <w:lang w:val="en-US" w:eastAsia="zh-CN"/>
        </w:rPr>
        <w:t>提供2024年11月至今任意一个月缴纳的纳税证明或完税证明</w:t>
      </w:r>
      <w:r>
        <w:rPr>
          <w:rFonts w:hint="eastAsia" w:ascii="宋体" w:hAnsi="宋体" w:eastAsia="宋体" w:cs="宋体"/>
          <w:color w:val="auto"/>
          <w:kern w:val="0"/>
          <w:sz w:val="24"/>
          <w:szCs w:val="24"/>
          <w:lang w:val="en-US" w:eastAsia="zh-CN"/>
        </w:rPr>
        <w:t>，依法免税或缓缴的单位应提供相关证明材料，纳税证明或完税证明上应有代收机构或税务机关的公章或业务专用章（成立时间至提交响应文件截止时间不足三个月的可不提供）。</w:t>
      </w:r>
    </w:p>
    <w:p w14:paraId="18AA2D2E">
      <w:pPr>
        <w:pStyle w:val="4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2024年11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63C180D">
      <w:pPr>
        <w:keepNext w:val="0"/>
        <w:keepLines w:val="0"/>
        <w:pageBreakBefore w:val="0"/>
        <w:tabs>
          <w:tab w:val="left" w:pos="567"/>
        </w:tabs>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（8）提供具有履行合同所必需的设备和专业技术能力的承诺书（格式自拟）。</w:t>
      </w:r>
    </w:p>
    <w:p w14:paraId="4CC6CF13">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（9）本项目不接受联合体投标。</w:t>
      </w:r>
    </w:p>
    <w:p w14:paraId="35944A66">
      <w:pPr>
        <w:keepNext w:val="0"/>
        <w:keepLines w:val="0"/>
        <w:pageBreakBefore w:val="0"/>
        <w:kinsoku/>
        <w:wordWrap/>
        <w:overflowPunct/>
        <w:topLinePunct w:val="0"/>
        <w:autoSpaceDE/>
        <w:autoSpaceDN/>
        <w:bidi w:val="0"/>
        <w:adjustRightInd/>
        <w:snapToGrid w:val="0"/>
        <w:spacing w:line="50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谈判</w:t>
      </w:r>
      <w:r>
        <w:rPr>
          <w:rFonts w:hint="eastAsia" w:ascii="宋体" w:hAnsi="宋体" w:eastAsia="宋体" w:cs="宋体"/>
          <w:b/>
          <w:bCs/>
          <w:sz w:val="24"/>
          <w:szCs w:val="24"/>
        </w:rPr>
        <w:t xml:space="preserve">文件获取 </w:t>
      </w:r>
    </w:p>
    <w:p w14:paraId="16969B3B">
      <w:pPr>
        <w:keepNext w:val="0"/>
        <w:keepLines w:val="0"/>
        <w:pageBreakBefore w:val="0"/>
        <w:kinsoku/>
        <w:wordWrap/>
        <w:overflowPunct/>
        <w:topLinePunct w:val="0"/>
        <w:autoSpaceDE/>
        <w:autoSpaceDN/>
        <w:bidi w:val="0"/>
        <w:adjustRightInd/>
        <w:spacing w:line="50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时间：</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21</w:t>
      </w:r>
      <w:r>
        <w:rPr>
          <w:rFonts w:hint="eastAsia" w:ascii="宋体" w:hAnsi="宋体" w:eastAsia="宋体" w:cs="宋体"/>
          <w:color w:val="auto"/>
          <w:kern w:val="0"/>
          <w:sz w:val="24"/>
          <w:szCs w:val="24"/>
        </w:rPr>
        <w:t>日至2025年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25</w:t>
      </w:r>
      <w:r>
        <w:rPr>
          <w:rFonts w:hint="eastAsia" w:ascii="宋体" w:hAnsi="宋体" w:eastAsia="宋体" w:cs="宋体"/>
          <w:color w:val="auto"/>
          <w:kern w:val="0"/>
          <w:sz w:val="24"/>
          <w:szCs w:val="24"/>
        </w:rPr>
        <w:t>日，每天上午</w:t>
      </w:r>
      <w:r>
        <w:rPr>
          <w:rFonts w:hint="eastAsia" w:ascii="宋体" w:hAnsi="宋体" w:eastAsia="宋体" w:cs="宋体"/>
          <w:kern w:val="0"/>
          <w:sz w:val="24"/>
          <w:szCs w:val="24"/>
          <w:lang w:val="en-US" w:eastAsia="zh-CN"/>
        </w:rPr>
        <w:t>09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00至12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00，下午14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00至1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 （北京时间）</w:t>
      </w:r>
    </w:p>
    <w:p w14:paraId="6AF9DA8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途径：</w:t>
      </w:r>
      <w:r>
        <w:rPr>
          <w:rFonts w:hint="eastAsia" w:ascii="宋体" w:hAnsi="宋体" w:eastAsia="宋体" w:cs="宋体"/>
          <w:color w:val="000000" w:themeColor="text1"/>
          <w:kern w:val="0"/>
          <w:sz w:val="24"/>
          <w:szCs w:val="24"/>
          <w:lang w:val="en-US" w:eastAsia="zh-CN"/>
          <w14:textFill>
            <w14:solidFill>
              <w14:schemeClr w14:val="tx1"/>
            </w14:solidFill>
          </w14:textFill>
        </w:rPr>
        <w:t>安康市高新区高新观澜8栋2单元801室</w:t>
      </w:r>
    </w:p>
    <w:p w14:paraId="7B15286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方式：</w:t>
      </w:r>
      <w:r>
        <w:rPr>
          <w:rFonts w:hint="eastAsia" w:ascii="宋体" w:hAnsi="宋体" w:eastAsia="宋体" w:cs="宋体"/>
          <w:kern w:val="0"/>
          <w:sz w:val="24"/>
          <w:szCs w:val="24"/>
          <w:lang w:val="en-US" w:eastAsia="zh-CN"/>
        </w:rPr>
        <w:t>现场</w:t>
      </w:r>
      <w:r>
        <w:rPr>
          <w:rFonts w:hint="eastAsia" w:ascii="宋体" w:hAnsi="宋体" w:eastAsia="宋体" w:cs="宋体"/>
          <w:kern w:val="0"/>
          <w:sz w:val="24"/>
          <w:szCs w:val="24"/>
        </w:rPr>
        <w:t>获取</w:t>
      </w:r>
    </w:p>
    <w:p w14:paraId="3A86765F">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售价：0元</w:t>
      </w:r>
    </w:p>
    <w:p w14:paraId="65054A5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bCs/>
          <w:color w:val="auto"/>
          <w:kern w:val="0"/>
          <w:sz w:val="24"/>
          <w:szCs w:val="24"/>
        </w:rPr>
      </w:pPr>
      <w:r>
        <w:rPr>
          <w:rFonts w:hint="eastAsia" w:ascii="宋体" w:hAnsi="宋体" w:eastAsia="宋体" w:cs="宋体"/>
          <w:kern w:val="0"/>
          <w:sz w:val="24"/>
          <w:szCs w:val="24"/>
        </w:rPr>
        <w:t xml:space="preserve"> </w:t>
      </w:r>
      <w:r>
        <w:rPr>
          <w:rFonts w:hint="eastAsia" w:ascii="宋体" w:hAnsi="宋体" w:eastAsia="宋体" w:cs="宋体"/>
          <w:b/>
          <w:bCs/>
          <w:color w:val="auto"/>
          <w:sz w:val="24"/>
          <w:szCs w:val="24"/>
        </w:rPr>
        <w:t>四、</w:t>
      </w:r>
      <w:r>
        <w:rPr>
          <w:rFonts w:hint="eastAsia" w:ascii="宋体" w:hAnsi="宋体" w:eastAsia="宋体" w:cs="宋体"/>
          <w:b/>
          <w:bCs/>
          <w:color w:val="auto"/>
          <w:kern w:val="0"/>
          <w:sz w:val="24"/>
          <w:szCs w:val="24"/>
        </w:rPr>
        <w:t>响应文件递交</w:t>
      </w:r>
    </w:p>
    <w:p w14:paraId="0A7B01E7">
      <w:pPr>
        <w:keepNext w:val="0"/>
        <w:keepLines w:val="0"/>
        <w:pageBreakBefore w:val="0"/>
        <w:widowControl/>
        <w:tabs>
          <w:tab w:val="left" w:pos="0"/>
        </w:tabs>
        <w:kinsoku/>
        <w:wordWrap/>
        <w:overflowPunct/>
        <w:topLinePunct w:val="0"/>
        <w:autoSpaceDE/>
        <w:autoSpaceDN/>
        <w:bidi w:val="0"/>
        <w:adjustRightInd/>
        <w:snapToGrid w:val="0"/>
        <w:spacing w:line="440" w:lineRule="exact"/>
        <w:ind w:left="0" w:leftChars="0" w:right="0" w:righ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w:t>
      </w:r>
      <w:r>
        <w:rPr>
          <w:rFonts w:hint="eastAsia" w:ascii="宋体" w:hAnsi="宋体" w:eastAsia="宋体" w:cs="宋体"/>
          <w:color w:val="auto"/>
          <w:kern w:val="0"/>
          <w:sz w:val="24"/>
          <w:szCs w:val="24"/>
        </w:rPr>
        <w:t>截止时间：</w:t>
      </w:r>
      <w:r>
        <w:rPr>
          <w:rFonts w:hint="eastAsia" w:ascii="宋体" w:hAnsi="宋体" w:eastAsia="宋体" w:cs="宋体"/>
          <w:b w:val="0"/>
          <w:bCs w:val="0"/>
          <w:color w:val="auto"/>
          <w:kern w:val="0"/>
          <w:sz w:val="24"/>
          <w:szCs w:val="24"/>
        </w:rPr>
        <w:t>2025年</w:t>
      </w:r>
      <w:r>
        <w:rPr>
          <w:rFonts w:hint="eastAsia" w:ascii="宋体" w:hAnsi="宋体" w:eastAsia="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26</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09</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北京时间</w:t>
      </w:r>
      <w:r>
        <w:rPr>
          <w:rFonts w:hint="eastAsia" w:ascii="宋体" w:hAnsi="宋体" w:eastAsia="宋体" w:cs="宋体"/>
          <w:b w:val="0"/>
          <w:bCs w:val="0"/>
          <w:color w:val="auto"/>
          <w:kern w:val="0"/>
          <w:sz w:val="24"/>
          <w:szCs w:val="24"/>
          <w:lang w:eastAsia="zh-CN"/>
        </w:rPr>
        <w:t>）</w:t>
      </w:r>
    </w:p>
    <w:p w14:paraId="5AA7C22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地点：</w:t>
      </w:r>
      <w:r>
        <w:rPr>
          <w:rFonts w:hint="eastAsia" w:ascii="宋体" w:hAnsi="宋体" w:eastAsia="宋体" w:cs="宋体"/>
          <w:color w:val="auto"/>
          <w:kern w:val="0"/>
          <w:sz w:val="24"/>
          <w:szCs w:val="24"/>
          <w:lang w:val="en-US" w:eastAsia="zh-CN"/>
        </w:rPr>
        <w:t>安康市高新区高新观澜8栋2单元801室</w:t>
      </w:r>
    </w:p>
    <w:p w14:paraId="1D4092DB">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五、开启</w:t>
      </w:r>
    </w:p>
    <w:p w14:paraId="230CAD9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时间：2025年</w:t>
      </w:r>
      <w:r>
        <w:rPr>
          <w:rFonts w:hint="eastAsia" w:ascii="宋体" w:hAnsi="宋体" w:eastAsia="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26</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09时00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秒（北京时间）</w:t>
      </w:r>
    </w:p>
    <w:p w14:paraId="3E1D5C5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地点：</w:t>
      </w:r>
      <w:r>
        <w:rPr>
          <w:rFonts w:hint="eastAsia" w:ascii="宋体" w:hAnsi="宋体" w:eastAsia="宋体" w:cs="宋体"/>
          <w:color w:val="000000" w:themeColor="text1"/>
          <w:kern w:val="0"/>
          <w:sz w:val="24"/>
          <w:szCs w:val="24"/>
          <w:lang w:val="en-US" w:eastAsia="zh-CN"/>
          <w14:textFill>
            <w14:solidFill>
              <w14:schemeClr w14:val="tx1"/>
            </w14:solidFill>
          </w14:textFill>
        </w:rPr>
        <w:t>安康市高新区高新观澜8栋2单元801室</w:t>
      </w:r>
    </w:p>
    <w:p w14:paraId="36D9ED24">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auto"/>
          <w:kern w:val="0"/>
          <w:sz w:val="24"/>
          <w:szCs w:val="24"/>
          <w:lang w:val="en-US" w:eastAsia="zh-CN"/>
        </w:rPr>
        <w:t>六、</w:t>
      </w:r>
      <w:r>
        <w:rPr>
          <w:rFonts w:hint="eastAsia" w:ascii="宋体" w:hAnsi="宋体" w:eastAsia="宋体" w:cs="宋体"/>
          <w:b/>
          <w:bCs/>
          <w:color w:val="auto"/>
          <w:kern w:val="0"/>
          <w:sz w:val="24"/>
          <w:szCs w:val="24"/>
        </w:rPr>
        <w:t>公告期限：</w:t>
      </w:r>
      <w:r>
        <w:rPr>
          <w:rFonts w:hint="eastAsia" w:ascii="宋体" w:hAnsi="宋体" w:eastAsia="宋体" w:cs="宋体"/>
          <w:color w:val="auto"/>
          <w:kern w:val="0"/>
          <w:sz w:val="24"/>
          <w:szCs w:val="24"/>
        </w:rPr>
        <w:t>自本公告发布之日起3个工作日</w:t>
      </w:r>
      <w:r>
        <w:rPr>
          <w:rFonts w:hint="eastAsia" w:ascii="宋体" w:hAnsi="宋体" w:eastAsia="宋体" w:cs="宋体"/>
          <w:color w:val="auto"/>
          <w:kern w:val="0"/>
          <w:sz w:val="24"/>
          <w:szCs w:val="24"/>
          <w:lang w:eastAsia="zh-CN"/>
        </w:rPr>
        <w:t>。</w:t>
      </w:r>
    </w:p>
    <w:p w14:paraId="204A9ECE">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七、其他补充事宜</w:t>
      </w:r>
    </w:p>
    <w:p w14:paraId="7ACEE2B2">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获取须知：投标供应商请在文件获取时间以内将单位介绍信(备注经办人联系电话及电子邮箱)及身份证复印件加盖公章递交至安康尚昊招标代理有限公司(安康市高新区高新观澜8栋二单元 801室，邮箱：365060958@qq.com)，确认完毕后采购代理机构将通过邮箱传送采购文件，请注意查收。</w:t>
      </w:r>
    </w:p>
    <w:p w14:paraId="35248234">
      <w:pPr>
        <w:pStyle w:val="46"/>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八</w:t>
      </w:r>
      <w:r>
        <w:rPr>
          <w:rFonts w:hint="eastAsia" w:ascii="宋体" w:hAnsi="宋体" w:eastAsia="宋体" w:cs="宋体"/>
          <w:b/>
          <w:bCs/>
          <w:color w:val="auto"/>
          <w:kern w:val="0"/>
          <w:sz w:val="24"/>
          <w:szCs w:val="24"/>
        </w:rPr>
        <w:t>、对本次</w:t>
      </w:r>
      <w:r>
        <w:rPr>
          <w:rFonts w:hint="eastAsia" w:ascii="宋体" w:hAnsi="宋体" w:eastAsia="宋体" w:cs="宋体"/>
          <w:b/>
          <w:bCs/>
          <w:color w:val="auto"/>
          <w:kern w:val="0"/>
          <w:sz w:val="24"/>
          <w:szCs w:val="24"/>
          <w:lang w:val="en-US" w:eastAsia="zh-CN"/>
        </w:rPr>
        <w:t>招标</w:t>
      </w:r>
      <w:r>
        <w:rPr>
          <w:rFonts w:hint="eastAsia" w:ascii="宋体" w:hAnsi="宋体" w:eastAsia="宋体" w:cs="宋体"/>
          <w:b/>
          <w:bCs/>
          <w:color w:val="auto"/>
          <w:kern w:val="0"/>
          <w:sz w:val="24"/>
          <w:szCs w:val="24"/>
        </w:rPr>
        <w:t>提出询问，请按以下方式联系</w:t>
      </w:r>
    </w:p>
    <w:p w14:paraId="6A0CF8AB">
      <w:pPr>
        <w:pStyle w:val="46"/>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采购人信息</w:t>
      </w:r>
    </w:p>
    <w:p w14:paraId="47BC9F4E">
      <w:pPr>
        <w:pStyle w:val="4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称：安康市公安局</w:t>
      </w:r>
    </w:p>
    <w:p w14:paraId="4528B005">
      <w:pPr>
        <w:pStyle w:val="4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w:t>
      </w:r>
      <w:r>
        <w:rPr>
          <w:rFonts w:hint="eastAsia" w:ascii="宋体" w:hAnsi="宋体" w:eastAsia="宋体" w:cs="宋体"/>
          <w:color w:val="auto"/>
          <w:kern w:val="0"/>
          <w:sz w:val="24"/>
          <w:szCs w:val="24"/>
          <w:lang w:val="en-US" w:eastAsia="zh-CN" w:bidi="ar-SA"/>
        </w:rPr>
        <w:t>安康市高新技术产业开发区安康大道中段（安康学院对面)</w:t>
      </w:r>
    </w:p>
    <w:p w14:paraId="57488436">
      <w:pPr>
        <w:pStyle w:val="46"/>
        <w:keepNext w:val="0"/>
        <w:keepLines w:val="0"/>
        <w:pageBreakBefore w:val="0"/>
        <w:numPr>
          <w:ilvl w:val="0"/>
          <w:numId w:val="0"/>
        </w:numPr>
        <w:kinsoku/>
        <w:wordWrap/>
        <w:overflowPunct/>
        <w:topLinePunct w:val="0"/>
        <w:autoSpaceDE/>
        <w:autoSpaceDN/>
        <w:bidi w:val="0"/>
        <w:adjustRightInd/>
        <w:spacing w:line="440" w:lineRule="exact"/>
        <w:ind w:right="0" w:righ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联系方式：13389153369</w:t>
      </w:r>
    </w:p>
    <w:p w14:paraId="2042ECAD">
      <w:pPr>
        <w:pStyle w:val="46"/>
        <w:keepNext w:val="0"/>
        <w:keepLines w:val="0"/>
        <w:pageBreakBefore w:val="0"/>
        <w:numPr>
          <w:ilvl w:val="0"/>
          <w:numId w:val="0"/>
        </w:numPr>
        <w:kinsoku/>
        <w:wordWrap/>
        <w:overflowPunct/>
        <w:topLinePunct w:val="0"/>
        <w:autoSpaceDE/>
        <w:autoSpaceDN/>
        <w:bidi w:val="0"/>
        <w:adjustRightInd/>
        <w:spacing w:line="440" w:lineRule="exact"/>
        <w:ind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rPr>
        <w:t>采购代理机构信息</w:t>
      </w:r>
    </w:p>
    <w:p w14:paraId="2766A9B2">
      <w:pPr>
        <w:pStyle w:val="4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    称：安康尚昊招标代理有限公司</w:t>
      </w:r>
    </w:p>
    <w:p w14:paraId="3A029A6B">
      <w:pPr>
        <w:pStyle w:val="4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w:t>
      </w:r>
      <w:r>
        <w:rPr>
          <w:rFonts w:hint="eastAsia" w:ascii="宋体" w:hAnsi="宋体" w:eastAsia="宋体" w:cs="宋体"/>
          <w:color w:val="auto"/>
          <w:kern w:val="0"/>
          <w:sz w:val="24"/>
          <w:szCs w:val="24"/>
          <w:lang w:eastAsia="zh-CN"/>
        </w:rPr>
        <w:t>安康市高新区高新观澜8栋二单元801室</w:t>
      </w:r>
    </w:p>
    <w:p w14:paraId="4886ECBB">
      <w:pPr>
        <w:pStyle w:val="46"/>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13991519725</w:t>
      </w:r>
    </w:p>
    <w:p w14:paraId="4F6B85AC">
      <w:pPr>
        <w:pStyle w:val="46"/>
        <w:keepNext w:val="0"/>
        <w:keepLines w:val="0"/>
        <w:pageBreakBefore w:val="0"/>
        <w:numPr>
          <w:ilvl w:val="0"/>
          <w:numId w:val="1"/>
        </w:numPr>
        <w:kinsoku/>
        <w:wordWrap/>
        <w:overflowPunct/>
        <w:topLinePunct w:val="0"/>
        <w:autoSpaceDE/>
        <w:autoSpaceDN/>
        <w:bidi w:val="0"/>
        <w:adjustRightInd/>
        <w:spacing w:line="440" w:lineRule="exact"/>
        <w:ind w:left="0" w:leftChars="0" w:right="0" w:righ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项目联系方式</w:t>
      </w:r>
    </w:p>
    <w:p w14:paraId="4D2F1C0F">
      <w:pPr>
        <w:pStyle w:val="46"/>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项目联系人：郑工</w:t>
      </w:r>
    </w:p>
    <w:p w14:paraId="5FE025FD">
      <w:pPr>
        <w:pStyle w:val="46"/>
        <w:keepNext w:val="0"/>
        <w:keepLines w:val="0"/>
        <w:pageBreakBefore w:val="0"/>
        <w:numPr>
          <w:ilvl w:val="0"/>
          <w:numId w:val="0"/>
        </w:numPr>
        <w:kinsoku/>
        <w:wordWrap/>
        <w:overflowPunct/>
        <w:topLinePunct w:val="0"/>
        <w:autoSpaceDE/>
        <w:autoSpaceDN/>
        <w:bidi w:val="0"/>
        <w:adjustRightInd/>
        <w:spacing w:line="440" w:lineRule="exact"/>
        <w:ind w:leftChars="200" w:right="0" w:right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电话：13991519725</w:t>
      </w:r>
    </w:p>
    <w:p w14:paraId="38EF0CA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3CB8B2C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2F09AEA0">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p>
    <w:p w14:paraId="40887DEC">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安康尚昊招标代理有限公司</w:t>
      </w:r>
    </w:p>
    <w:p w14:paraId="5D373706">
      <w:pPr>
        <w:keepNext w:val="0"/>
        <w:keepLines w:val="0"/>
        <w:pageBreakBefore w:val="0"/>
        <w:kinsoku/>
        <w:wordWrap/>
        <w:overflowPunct/>
        <w:topLinePunct w:val="0"/>
        <w:autoSpaceDE/>
        <w:autoSpaceDN/>
        <w:bidi w:val="0"/>
        <w:adjustRightInd/>
        <w:spacing w:line="460" w:lineRule="exact"/>
        <w:ind w:firstLine="480" w:firstLineChars="20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2025</w:t>
      </w:r>
      <w:r>
        <w:rPr>
          <w:rFonts w:hint="eastAsia" w:ascii="宋体" w:hAnsi="宋体" w:eastAsia="宋体" w:cs="宋体"/>
          <w:color w:val="000000" w:themeColor="text1"/>
          <w:kern w:val="0"/>
          <w:sz w:val="24"/>
          <w:szCs w:val="24"/>
          <w:lang w:val="en-US" w:eastAsia="zh-CN" w:bidi="ar-SA"/>
          <w14:textFill>
            <w14:solidFill>
              <w14:schemeClr w14:val="tx1"/>
            </w14:solidFill>
          </w14:textFill>
        </w:rPr>
        <w:t>年</w:t>
      </w:r>
      <w:r>
        <w:rPr>
          <w:rFonts w:hint="eastAsia" w:ascii="宋体" w:hAnsi="宋体" w:eastAsia="宋体" w:cs="宋体"/>
          <w:color w:val="auto"/>
          <w:kern w:val="0"/>
          <w:sz w:val="24"/>
          <w:szCs w:val="24"/>
          <w:lang w:val="en-US" w:eastAsia="zh-CN" w:bidi="ar-SA"/>
        </w:rPr>
        <w:t>11月20日</w:t>
      </w:r>
    </w:p>
    <w:p w14:paraId="68CC363E">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color w:val="auto"/>
          <w:sz w:val="24"/>
          <w:szCs w:val="24"/>
        </w:rPr>
      </w:pPr>
    </w:p>
    <w:p w14:paraId="73BEA930">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宋体" w:hAnsi="宋体" w:eastAsia="宋体" w:cs="宋体"/>
          <w:b/>
          <w:bCs/>
          <w:color w:val="auto"/>
          <w:kern w:val="44"/>
          <w:sz w:val="24"/>
          <w:szCs w:val="24"/>
        </w:rPr>
      </w:pPr>
      <w:r>
        <w:rPr>
          <w:rFonts w:hint="eastAsia" w:ascii="宋体" w:hAnsi="宋体" w:eastAsia="宋体" w:cs="宋体"/>
          <w:b/>
          <w:bCs/>
          <w:color w:val="auto"/>
          <w:kern w:val="44"/>
          <w:sz w:val="24"/>
          <w:szCs w:val="24"/>
        </w:rPr>
        <w:br w:type="page"/>
      </w:r>
    </w:p>
    <w:p w14:paraId="14DB63A9">
      <w:pPr>
        <w:pStyle w:val="2"/>
        <w:keepNext/>
        <w:keepLines/>
        <w:pageBreakBefore w:val="0"/>
        <w:widowControl/>
        <w:tabs>
          <w:tab w:val="center" w:pos="4433"/>
          <w:tab w:val="left" w:pos="7415"/>
        </w:tabs>
        <w:kinsoku/>
        <w:wordWrap/>
        <w:overflowPunct/>
        <w:topLinePunct w:val="0"/>
        <w:autoSpaceDE/>
        <w:autoSpaceDN/>
        <w:bidi w:val="0"/>
        <w:adjustRightInd/>
        <w:snapToGrid/>
        <w:spacing w:before="192" w:beforeLines="50" w:after="192" w:afterLines="50" w:line="46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 xml:space="preserve"> </w:t>
      </w:r>
      <w:bookmarkStart w:id="25" w:name="_Toc13154"/>
      <w:r>
        <w:rPr>
          <w:rFonts w:hint="eastAsia" w:ascii="宋体" w:hAnsi="宋体" w:eastAsia="宋体" w:cs="宋体"/>
          <w:color w:val="auto"/>
        </w:rPr>
        <w:t>第二章  供应商</w:t>
      </w:r>
      <w:bookmarkEnd w:id="17"/>
      <w:bookmarkEnd w:id="18"/>
      <w:bookmarkEnd w:id="19"/>
      <w:bookmarkEnd w:id="20"/>
      <w:bookmarkEnd w:id="21"/>
      <w:bookmarkEnd w:id="22"/>
      <w:bookmarkEnd w:id="23"/>
      <w:bookmarkEnd w:id="24"/>
      <w:r>
        <w:rPr>
          <w:rFonts w:hint="eastAsia" w:ascii="宋体" w:hAnsi="宋体" w:eastAsia="宋体" w:cs="宋体"/>
          <w:color w:val="auto"/>
        </w:rPr>
        <w:t>须知前附表</w:t>
      </w:r>
      <w:bookmarkEnd w:id="25"/>
    </w:p>
    <w:tbl>
      <w:tblPr>
        <w:tblStyle w:val="34"/>
        <w:tblW w:w="9598" w:type="dxa"/>
        <w:jc w:val="center"/>
        <w:tblLayout w:type="fixed"/>
        <w:tblCellMar>
          <w:top w:w="0" w:type="dxa"/>
          <w:left w:w="108" w:type="dxa"/>
          <w:bottom w:w="0" w:type="dxa"/>
          <w:right w:w="108" w:type="dxa"/>
        </w:tblCellMar>
      </w:tblPr>
      <w:tblGrid>
        <w:gridCol w:w="705"/>
        <w:gridCol w:w="1795"/>
        <w:gridCol w:w="7098"/>
      </w:tblGrid>
      <w:tr w14:paraId="20BB10E3">
        <w:tblPrEx>
          <w:tblCellMar>
            <w:top w:w="0" w:type="dxa"/>
            <w:left w:w="108" w:type="dxa"/>
            <w:bottom w:w="0" w:type="dxa"/>
            <w:right w:w="108" w:type="dxa"/>
          </w:tblCellMar>
        </w:tblPrEx>
        <w:trPr>
          <w:trHeight w:val="2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7AD1BD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795" w:type="dxa"/>
            <w:tcBorders>
              <w:top w:val="single" w:color="000000" w:sz="4" w:space="0"/>
              <w:left w:val="nil"/>
              <w:bottom w:val="single" w:color="000000" w:sz="4" w:space="0"/>
              <w:right w:val="single" w:color="auto" w:sz="4" w:space="0"/>
            </w:tcBorders>
            <w:vAlign w:val="center"/>
          </w:tcPr>
          <w:p w14:paraId="66CE38F5">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w:t>
            </w:r>
          </w:p>
        </w:tc>
        <w:tc>
          <w:tcPr>
            <w:tcW w:w="7098" w:type="dxa"/>
            <w:tcBorders>
              <w:top w:val="single" w:color="000000" w:sz="4" w:space="0"/>
              <w:left w:val="single" w:color="auto" w:sz="4" w:space="0"/>
              <w:bottom w:val="single" w:color="000000" w:sz="4" w:space="0"/>
              <w:right w:val="single" w:color="000000" w:sz="4" w:space="0"/>
            </w:tcBorders>
            <w:vAlign w:val="center"/>
          </w:tcPr>
          <w:p w14:paraId="5F09D9CB">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编列内容</w:t>
            </w:r>
          </w:p>
        </w:tc>
      </w:tr>
      <w:tr w14:paraId="0C0013BF">
        <w:tblPrEx>
          <w:tblCellMar>
            <w:top w:w="0" w:type="dxa"/>
            <w:left w:w="108" w:type="dxa"/>
            <w:bottom w:w="0" w:type="dxa"/>
            <w:right w:w="108" w:type="dxa"/>
          </w:tblCellMar>
        </w:tblPrEx>
        <w:trPr>
          <w:trHeight w:val="20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4D40EBC">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000000" w:sz="4" w:space="0"/>
              <w:right w:val="single" w:color="auto" w:sz="4" w:space="0"/>
            </w:tcBorders>
            <w:vAlign w:val="center"/>
          </w:tcPr>
          <w:p w14:paraId="40C071EB">
            <w:pPr>
              <w:keepNext w:val="0"/>
              <w:keepLines w:val="0"/>
              <w:pageBreakBefore w:val="0"/>
              <w:widowControl/>
              <w:suppressLineNumbers w:val="0"/>
              <w:kinsoku/>
              <w:wordWrap/>
              <w:topLinePunct w:val="0"/>
              <w:autoSpaceDE/>
              <w:autoSpaceDN/>
              <w:bidi w:val="0"/>
              <w:spacing w:before="0" w:beforeAutospacing="0" w:after="0" w:afterAutospacing="0" w:line="460" w:lineRule="exact"/>
              <w:ind w:left="19" w:right="0" w:hanging="19"/>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采购人</w:t>
            </w:r>
          </w:p>
        </w:tc>
        <w:tc>
          <w:tcPr>
            <w:tcW w:w="7098" w:type="dxa"/>
            <w:tcBorders>
              <w:top w:val="single" w:color="000000" w:sz="4" w:space="0"/>
              <w:left w:val="single" w:color="auto" w:sz="4" w:space="0"/>
              <w:bottom w:val="single" w:color="000000" w:sz="4" w:space="0"/>
              <w:right w:val="single" w:color="000000" w:sz="4" w:space="0"/>
            </w:tcBorders>
            <w:vAlign w:val="center"/>
          </w:tcPr>
          <w:p w14:paraId="2368565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19" w:right="0" w:hanging="19"/>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eastAsia="zh-CN"/>
              </w:rPr>
              <w:t>安康市公安局</w:t>
            </w:r>
          </w:p>
        </w:tc>
      </w:tr>
      <w:tr w14:paraId="7A3B0592">
        <w:tblPrEx>
          <w:tblCellMar>
            <w:top w:w="0" w:type="dxa"/>
            <w:left w:w="108" w:type="dxa"/>
            <w:bottom w:w="0" w:type="dxa"/>
            <w:right w:w="108" w:type="dxa"/>
          </w:tblCellMar>
        </w:tblPrEx>
        <w:trPr>
          <w:trHeight w:val="31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A77F7FD">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000000" w:sz="4" w:space="0"/>
              <w:right w:val="single" w:color="auto" w:sz="4" w:space="0"/>
            </w:tcBorders>
            <w:vAlign w:val="center"/>
          </w:tcPr>
          <w:p w14:paraId="5C99F1BB">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采购代理机构</w:t>
            </w:r>
          </w:p>
        </w:tc>
        <w:tc>
          <w:tcPr>
            <w:tcW w:w="7098" w:type="dxa"/>
            <w:tcBorders>
              <w:top w:val="single" w:color="000000" w:sz="4" w:space="0"/>
              <w:left w:val="single" w:color="auto" w:sz="4" w:space="0"/>
              <w:bottom w:val="single" w:color="000000" w:sz="4" w:space="0"/>
              <w:right w:val="single" w:color="000000" w:sz="4" w:space="0"/>
            </w:tcBorders>
            <w:vAlign w:val="center"/>
          </w:tcPr>
          <w:p w14:paraId="6E1B956C">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tc>
      </w:tr>
      <w:tr w14:paraId="1BAE442C">
        <w:tblPrEx>
          <w:tblCellMar>
            <w:top w:w="0" w:type="dxa"/>
            <w:left w:w="108" w:type="dxa"/>
            <w:bottom w:w="0" w:type="dxa"/>
            <w:right w:w="108" w:type="dxa"/>
          </w:tblCellMar>
        </w:tblPrEx>
        <w:trPr>
          <w:trHeight w:val="73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162998B0">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auto" w:sz="4" w:space="0"/>
              <w:right w:val="single" w:color="auto" w:sz="4" w:space="0"/>
            </w:tcBorders>
            <w:vAlign w:val="center"/>
          </w:tcPr>
          <w:p w14:paraId="272B486A">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red"/>
              </w:rPr>
            </w:pPr>
            <w:r>
              <w:rPr>
                <w:rFonts w:hint="eastAsia" w:ascii="宋体" w:hAnsi="宋体" w:eastAsia="宋体" w:cs="宋体"/>
                <w:color w:val="auto"/>
                <w:kern w:val="0"/>
                <w:sz w:val="24"/>
                <w:szCs w:val="24"/>
                <w:highlight w:val="none"/>
              </w:rPr>
              <w:t>项目名称</w:t>
            </w:r>
          </w:p>
        </w:tc>
        <w:tc>
          <w:tcPr>
            <w:tcW w:w="7098" w:type="dxa"/>
            <w:tcBorders>
              <w:top w:val="single" w:color="000000" w:sz="4" w:space="0"/>
              <w:left w:val="single" w:color="auto" w:sz="4" w:space="0"/>
              <w:bottom w:val="single" w:color="000000" w:sz="4" w:space="0"/>
              <w:right w:val="single" w:color="000000" w:sz="4" w:space="0"/>
            </w:tcBorders>
            <w:vAlign w:val="center"/>
          </w:tcPr>
          <w:p w14:paraId="0956E32E">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SA"/>
              </w:rPr>
              <w:t>安康市公安局资金分析系统采购项目</w:t>
            </w:r>
          </w:p>
        </w:tc>
      </w:tr>
      <w:tr w14:paraId="7E36BC6F">
        <w:tblPrEx>
          <w:tblCellMar>
            <w:top w:w="0" w:type="dxa"/>
            <w:left w:w="108" w:type="dxa"/>
            <w:bottom w:w="0" w:type="dxa"/>
            <w:right w:w="108" w:type="dxa"/>
          </w:tblCellMar>
        </w:tblPrEx>
        <w:trPr>
          <w:trHeight w:val="309" w:hRule="atLeast"/>
          <w:jc w:val="center"/>
        </w:trPr>
        <w:tc>
          <w:tcPr>
            <w:tcW w:w="705" w:type="dxa"/>
            <w:tcBorders>
              <w:top w:val="single" w:color="auto" w:sz="4" w:space="0"/>
              <w:left w:val="single" w:color="000000" w:sz="4" w:space="0"/>
              <w:right w:val="single" w:color="000000" w:sz="4" w:space="0"/>
            </w:tcBorders>
            <w:vAlign w:val="center"/>
          </w:tcPr>
          <w:p w14:paraId="77ACAF3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auto" w:sz="4" w:space="0"/>
              <w:left w:val="nil"/>
              <w:right w:val="single" w:color="auto" w:sz="4" w:space="0"/>
            </w:tcBorders>
            <w:vAlign w:val="center"/>
          </w:tcPr>
          <w:p w14:paraId="5F11FB4A">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highlight w:val="red"/>
                <w:lang w:eastAsia="zh-CN"/>
              </w:rPr>
            </w:pPr>
            <w:r>
              <w:rPr>
                <w:rFonts w:hint="eastAsia" w:ascii="宋体" w:hAnsi="宋体" w:eastAsia="宋体" w:cs="宋体"/>
                <w:color w:val="auto"/>
                <w:kern w:val="0"/>
                <w:sz w:val="24"/>
                <w:szCs w:val="24"/>
                <w:highlight w:val="none"/>
                <w:lang w:eastAsia="zh-CN"/>
              </w:rPr>
              <w:t>预算金额</w:t>
            </w:r>
          </w:p>
        </w:tc>
        <w:tc>
          <w:tcPr>
            <w:tcW w:w="7098" w:type="dxa"/>
            <w:tcBorders>
              <w:top w:val="single" w:color="000000" w:sz="4" w:space="0"/>
              <w:left w:val="single" w:color="auto" w:sz="4" w:space="0"/>
              <w:right w:val="single" w:color="000000" w:sz="4" w:space="0"/>
            </w:tcBorders>
            <w:vAlign w:val="center"/>
          </w:tcPr>
          <w:p w14:paraId="6EFDA7CD">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200000.00元</w:t>
            </w:r>
          </w:p>
        </w:tc>
      </w:tr>
      <w:tr w14:paraId="24B2F326">
        <w:tblPrEx>
          <w:tblCellMar>
            <w:top w:w="0" w:type="dxa"/>
            <w:left w:w="108" w:type="dxa"/>
            <w:bottom w:w="0" w:type="dxa"/>
            <w:right w:w="108" w:type="dxa"/>
          </w:tblCellMar>
        </w:tblPrEx>
        <w:trPr>
          <w:trHeight w:val="50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45199FAE">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000000" w:sz="4" w:space="0"/>
              <w:right w:val="single" w:color="auto" w:sz="4" w:space="0"/>
            </w:tcBorders>
            <w:vAlign w:val="center"/>
          </w:tcPr>
          <w:p w14:paraId="638CDE31">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投标报价</w:t>
            </w:r>
          </w:p>
        </w:tc>
        <w:tc>
          <w:tcPr>
            <w:tcW w:w="7098" w:type="dxa"/>
            <w:tcBorders>
              <w:top w:val="single" w:color="000000" w:sz="4" w:space="0"/>
              <w:left w:val="single" w:color="auto" w:sz="4" w:space="0"/>
              <w:bottom w:val="single" w:color="000000" w:sz="4" w:space="0"/>
              <w:right w:val="single" w:color="000000" w:sz="4" w:space="0"/>
            </w:tcBorders>
            <w:vAlign w:val="center"/>
          </w:tcPr>
          <w:p w14:paraId="388E67D0">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投标人所报的价格应考虑到可能发生的所有与完成本项目相关服务及履行合同义务有关的一切费用。</w:t>
            </w:r>
          </w:p>
          <w:p w14:paraId="3A89B665">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投标人必须对所投项目进行完整报价，不接受（将拒绝）只对部分</w:t>
            </w:r>
            <w:r>
              <w:rPr>
                <w:rFonts w:hint="eastAsia" w:ascii="宋体" w:hAnsi="宋体" w:eastAsia="宋体" w:cs="宋体"/>
                <w:color w:val="auto"/>
                <w:sz w:val="24"/>
                <w:szCs w:val="24"/>
                <w:lang w:eastAsia="zh-CN"/>
              </w:rPr>
              <w:t>产品</w:t>
            </w:r>
            <w:r>
              <w:rPr>
                <w:rFonts w:hint="eastAsia" w:ascii="宋体" w:hAnsi="宋体" w:eastAsia="宋体" w:cs="宋体"/>
                <w:color w:val="auto"/>
                <w:sz w:val="24"/>
                <w:szCs w:val="24"/>
              </w:rPr>
              <w:t>进行报价的投标。</w:t>
            </w:r>
          </w:p>
        </w:tc>
      </w:tr>
      <w:tr w14:paraId="7BA74C79">
        <w:tblPrEx>
          <w:tblCellMar>
            <w:top w:w="0" w:type="dxa"/>
            <w:left w:w="108" w:type="dxa"/>
            <w:bottom w:w="0" w:type="dxa"/>
            <w:right w:w="108" w:type="dxa"/>
          </w:tblCellMar>
        </w:tblPrEx>
        <w:trPr>
          <w:trHeight w:val="28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4F0AB0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single" w:color="auto" w:sz="4" w:space="0"/>
              <w:bottom w:val="single" w:color="auto" w:sz="4" w:space="0"/>
              <w:right w:val="single" w:color="auto" w:sz="4" w:space="0"/>
            </w:tcBorders>
            <w:vAlign w:val="center"/>
          </w:tcPr>
          <w:p w14:paraId="121BD5D1">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rPr>
              <w:t>交付期</w:t>
            </w:r>
          </w:p>
        </w:tc>
        <w:tc>
          <w:tcPr>
            <w:tcW w:w="7098" w:type="dxa"/>
            <w:tcBorders>
              <w:top w:val="single" w:color="000000" w:sz="4" w:space="0"/>
              <w:left w:val="single" w:color="auto" w:sz="4" w:space="0"/>
              <w:bottom w:val="single" w:color="auto" w:sz="4" w:space="0"/>
              <w:right w:val="single" w:color="000000" w:sz="4" w:space="0"/>
            </w:tcBorders>
            <w:vAlign w:val="center"/>
          </w:tcPr>
          <w:p w14:paraId="7D9B1EA2">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合同签订后30日历天内完成供货、安装调试</w:t>
            </w:r>
          </w:p>
        </w:tc>
      </w:tr>
      <w:tr w14:paraId="41D50FA1">
        <w:tblPrEx>
          <w:tblCellMar>
            <w:top w:w="0" w:type="dxa"/>
            <w:left w:w="108" w:type="dxa"/>
            <w:bottom w:w="0" w:type="dxa"/>
            <w:right w:w="108" w:type="dxa"/>
          </w:tblCellMar>
        </w:tblPrEx>
        <w:trPr>
          <w:trHeight w:val="358"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03A92DC7">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000000" w:sz="4" w:space="0"/>
              <w:left w:val="nil"/>
              <w:bottom w:val="single" w:color="000000" w:sz="4" w:space="0"/>
              <w:right w:val="single" w:color="auto" w:sz="4" w:space="0"/>
            </w:tcBorders>
            <w:vAlign w:val="center"/>
          </w:tcPr>
          <w:p w14:paraId="0730BB2F">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098" w:type="dxa"/>
            <w:tcBorders>
              <w:top w:val="single" w:color="000000" w:sz="4" w:space="0"/>
              <w:left w:val="single" w:color="auto" w:sz="4" w:space="0"/>
              <w:bottom w:val="single" w:color="000000" w:sz="4" w:space="0"/>
              <w:right w:val="single" w:color="000000" w:sz="4" w:space="0"/>
            </w:tcBorders>
            <w:vAlign w:val="center"/>
          </w:tcPr>
          <w:p w14:paraId="2B2EC5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自验收合格之日起硬件设备提供一年原厂售后服务，资金分析研判工具提供一年免费软件升级期</w:t>
            </w:r>
          </w:p>
        </w:tc>
      </w:tr>
      <w:tr w14:paraId="4306F688">
        <w:tblPrEx>
          <w:tblCellMar>
            <w:top w:w="0" w:type="dxa"/>
            <w:left w:w="108" w:type="dxa"/>
            <w:bottom w:w="0" w:type="dxa"/>
            <w:right w:w="108" w:type="dxa"/>
          </w:tblCellMar>
        </w:tblPrEx>
        <w:trPr>
          <w:trHeight w:val="358"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41932B93">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000000" w:sz="4" w:space="0"/>
              <w:left w:val="nil"/>
              <w:bottom w:val="single" w:color="000000" w:sz="4" w:space="0"/>
              <w:right w:val="single" w:color="auto" w:sz="4" w:space="0"/>
            </w:tcBorders>
            <w:vAlign w:val="center"/>
          </w:tcPr>
          <w:p w14:paraId="65AC7F2C">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付款方式</w:t>
            </w:r>
          </w:p>
        </w:tc>
        <w:tc>
          <w:tcPr>
            <w:tcW w:w="7098" w:type="dxa"/>
            <w:tcBorders>
              <w:top w:val="single" w:color="000000" w:sz="4" w:space="0"/>
              <w:left w:val="single" w:color="auto" w:sz="4" w:space="0"/>
              <w:bottom w:val="single" w:color="000000" w:sz="4" w:space="0"/>
              <w:right w:val="single" w:color="000000" w:sz="4" w:space="0"/>
            </w:tcBorders>
            <w:vAlign w:val="center"/>
          </w:tcPr>
          <w:p w14:paraId="2183D1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合同签订后，支付合同总价款的40%，乙方须按其投标文件中响应的交货期按时交货并提供全额合规发票保证“货票同行”，到达甲方指定地点，安装、调试完毕并验收合格后付剩余的60%合同总价款</w:t>
            </w:r>
          </w:p>
        </w:tc>
      </w:tr>
      <w:tr w14:paraId="274C4285">
        <w:tblPrEx>
          <w:tblCellMar>
            <w:top w:w="0" w:type="dxa"/>
            <w:left w:w="108" w:type="dxa"/>
            <w:bottom w:w="0" w:type="dxa"/>
            <w:right w:w="108" w:type="dxa"/>
          </w:tblCellMar>
        </w:tblPrEx>
        <w:trPr>
          <w:trHeight w:val="37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D6D8507">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eastAsia="zh-CN"/>
              </w:rPr>
            </w:pPr>
          </w:p>
        </w:tc>
        <w:tc>
          <w:tcPr>
            <w:tcW w:w="1795" w:type="dxa"/>
            <w:tcBorders>
              <w:top w:val="single" w:color="000000" w:sz="4" w:space="0"/>
              <w:left w:val="nil"/>
              <w:bottom w:val="single" w:color="000000" w:sz="4" w:space="0"/>
              <w:right w:val="single" w:color="auto" w:sz="4" w:space="0"/>
            </w:tcBorders>
            <w:vAlign w:val="center"/>
          </w:tcPr>
          <w:p w14:paraId="7A9A5F6A">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投标有效期</w:t>
            </w:r>
          </w:p>
        </w:tc>
        <w:tc>
          <w:tcPr>
            <w:tcW w:w="7098" w:type="dxa"/>
            <w:tcBorders>
              <w:top w:val="single" w:color="000000" w:sz="4" w:space="0"/>
              <w:left w:val="single" w:color="auto" w:sz="4" w:space="0"/>
              <w:bottom w:val="single" w:color="000000" w:sz="4" w:space="0"/>
              <w:right w:val="single" w:color="000000" w:sz="4" w:space="0"/>
            </w:tcBorders>
            <w:vAlign w:val="center"/>
          </w:tcPr>
          <w:p w14:paraId="7E46004D">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投标文件递交截止时间起算，投标有效期为90日历天</w:t>
            </w:r>
          </w:p>
        </w:tc>
      </w:tr>
      <w:tr w14:paraId="0E9DC5BC">
        <w:tblPrEx>
          <w:tblCellMar>
            <w:top w:w="0" w:type="dxa"/>
            <w:left w:w="108" w:type="dxa"/>
            <w:bottom w:w="0" w:type="dxa"/>
            <w:right w:w="108" w:type="dxa"/>
          </w:tblCellMar>
        </w:tblPrEx>
        <w:trPr>
          <w:trHeight w:val="539" w:hRule="atLeast"/>
          <w:jc w:val="center"/>
        </w:trPr>
        <w:tc>
          <w:tcPr>
            <w:tcW w:w="705" w:type="dxa"/>
            <w:tcBorders>
              <w:top w:val="single" w:color="000000" w:sz="4" w:space="0"/>
              <w:left w:val="single" w:color="000000" w:sz="4" w:space="0"/>
              <w:right w:val="single" w:color="000000" w:sz="4" w:space="0"/>
            </w:tcBorders>
            <w:vAlign w:val="center"/>
          </w:tcPr>
          <w:p w14:paraId="54A049C0">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000000" w:sz="4" w:space="0"/>
              <w:left w:val="nil"/>
              <w:right w:val="single" w:color="auto" w:sz="4" w:space="0"/>
            </w:tcBorders>
            <w:vAlign w:val="center"/>
          </w:tcPr>
          <w:p w14:paraId="706C0E41">
            <w:pPr>
              <w:keepNext w:val="0"/>
              <w:keepLines w:val="0"/>
              <w:pageBreakBefore w:val="0"/>
              <w:widowControl w:val="0"/>
              <w:suppressLineNumbers w:val="0"/>
              <w:tabs>
                <w:tab w:val="center" w:pos="4153"/>
                <w:tab w:val="right" w:pos="8306"/>
              </w:tabs>
              <w:kinsoku/>
              <w:wordWrap/>
              <w:topLinePunct w:val="0"/>
              <w:autoSpaceDE/>
              <w:autoSpaceDN/>
              <w:bidi w:val="0"/>
              <w:snapToGrid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资格证明文件</w:t>
            </w:r>
          </w:p>
        </w:tc>
        <w:tc>
          <w:tcPr>
            <w:tcW w:w="7098" w:type="dxa"/>
            <w:tcBorders>
              <w:top w:val="single" w:color="000000" w:sz="4" w:space="0"/>
              <w:left w:val="single" w:color="auto" w:sz="4" w:space="0"/>
              <w:right w:val="single" w:color="000000" w:sz="4" w:space="0"/>
            </w:tcBorders>
            <w:vAlign w:val="center"/>
          </w:tcPr>
          <w:p w14:paraId="021FF529">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55951C77">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38F89C81">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kern w:val="2"/>
                <w:sz w:val="24"/>
                <w:szCs w:val="24"/>
                <w:lang w:val="en-US" w:eastAsia="zh-CN" w:bidi="ar"/>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查询结果为准（响应文件中提供查询结果网页截图并加盖投标人公章，查询日期为从谈判文件获取之日起至投标截止日前，评标现场通过网站对信用记录进行核实）。</w:t>
            </w:r>
          </w:p>
          <w:p w14:paraId="6FD509CC">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书面声明：投标人必须提供参加政府采购活动前3年内在经营活动中没有重大违法记录的书面声明。 </w:t>
            </w:r>
          </w:p>
          <w:p w14:paraId="549FF7B6">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500" w:lineRule="exact"/>
              <w:ind w:left="0" w:right="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（5）财务状况报告：提供2024年度的财务审计报告或者谈判截止时间六个月内基本开户银行出具的资信证明（成立时间至提交响应文件截止时间不足一年的可提供成立后任意时段的资产负债表）。</w:t>
            </w:r>
          </w:p>
          <w:p w14:paraId="7302A22E">
            <w:pPr>
              <w:pStyle w:val="4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w:t>
            </w:r>
            <w:r>
              <w:rPr>
                <w:rFonts w:hint="eastAsia" w:ascii="宋体" w:hAnsi="宋体" w:cs="宋体"/>
                <w:color w:val="auto"/>
                <w:kern w:val="0"/>
                <w:sz w:val="24"/>
                <w:szCs w:val="24"/>
                <w:lang w:val="en-US" w:eastAsia="zh-CN"/>
              </w:rPr>
              <w:t>提供2024年11月至今任意一个月缴纳的纳税证明或完税证明</w:t>
            </w:r>
            <w:r>
              <w:rPr>
                <w:rFonts w:hint="eastAsia" w:ascii="宋体" w:hAnsi="宋体" w:eastAsia="宋体" w:cs="宋体"/>
                <w:color w:val="auto"/>
                <w:kern w:val="0"/>
                <w:sz w:val="24"/>
                <w:szCs w:val="24"/>
                <w:lang w:val="en-US" w:eastAsia="zh-CN"/>
              </w:rPr>
              <w:t>，依法免税或缓缴的单位应提供相关证明材料，纳税证明或完税证明上应有代收机构或税务机关的公章或业务专用章（成立时间至提交响应文件截止时间不足三个月的可不提供）。</w:t>
            </w:r>
          </w:p>
          <w:p w14:paraId="13FB9DFA">
            <w:pPr>
              <w:pStyle w:val="4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00" w:lineRule="exact"/>
              <w:ind w:left="0" w:leftChars="0" w:right="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2024年11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2E3992E">
            <w:pPr>
              <w:keepNext w:val="0"/>
              <w:keepLines w:val="0"/>
              <w:pageBreakBefore w:val="0"/>
              <w:widowControl/>
              <w:suppressLineNumbers w:val="0"/>
              <w:tabs>
                <w:tab w:val="left" w:pos="567"/>
              </w:tabs>
              <w:kinsoku/>
              <w:wordWrap/>
              <w:overflowPunct/>
              <w:topLinePunct w:val="0"/>
              <w:autoSpaceDE/>
              <w:autoSpaceDN/>
              <w:bidi w:val="0"/>
              <w:adjustRightInd/>
              <w:spacing w:before="0" w:beforeAutospacing="0" w:after="0" w:afterAutospacing="0" w:line="420" w:lineRule="exact"/>
              <w:ind w:left="0" w:right="0"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（8）提供具有履行合同所必需的设备和专业技术能力的承诺书（格式自拟）。</w:t>
            </w:r>
          </w:p>
          <w:p w14:paraId="732070B3">
            <w:pPr>
              <w:pStyle w:val="4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leftChars="0" w:right="0"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（9）本项目不接受联合体投标。</w:t>
            </w:r>
            <w:r>
              <w:rPr>
                <w:rFonts w:hint="eastAsia" w:ascii="宋体" w:hAnsi="宋体" w:eastAsia="宋体" w:cs="宋体"/>
                <w:color w:val="auto"/>
                <w:sz w:val="24"/>
                <w:szCs w:val="24"/>
                <w:lang w:val="en-US" w:eastAsia="zh-CN"/>
              </w:rPr>
              <w:t xml:space="preserve"> </w:t>
            </w:r>
          </w:p>
          <w:p w14:paraId="5FD95CF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注：</w:t>
            </w:r>
            <w:r>
              <w:rPr>
                <w:rFonts w:hint="eastAsia" w:cs="宋体" w:asciiTheme="minorEastAsia" w:hAnsiTheme="minorEastAsia" w:eastAsiaTheme="minorEastAsia"/>
                <w:b/>
                <w:bCs/>
                <w:color w:val="auto"/>
                <w:kern w:val="0"/>
                <w:sz w:val="24"/>
                <w:szCs w:val="24"/>
              </w:rPr>
              <w:t>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ascii="宋体" w:hAnsi="宋体" w:eastAsia="宋体" w:cs="宋体"/>
                <w:b/>
                <w:bCs/>
                <w:color w:val="auto"/>
                <w:kern w:val="0"/>
                <w:sz w:val="24"/>
                <w:szCs w:val="24"/>
              </w:rPr>
              <w:t>。</w:t>
            </w:r>
          </w:p>
        </w:tc>
      </w:tr>
      <w:tr w14:paraId="5CCF13AE">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1996FE30">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auto" w:sz="4" w:space="0"/>
              <w:left w:val="nil"/>
              <w:bottom w:val="single" w:color="auto" w:sz="4" w:space="0"/>
              <w:right w:val="single" w:color="auto" w:sz="4" w:space="0"/>
            </w:tcBorders>
            <w:vAlign w:val="top"/>
          </w:tcPr>
          <w:p w14:paraId="0FD7E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是否接受联合体投标</w:t>
            </w:r>
          </w:p>
        </w:tc>
        <w:tc>
          <w:tcPr>
            <w:tcW w:w="7098" w:type="dxa"/>
            <w:tcBorders>
              <w:top w:val="single" w:color="auto" w:sz="4" w:space="0"/>
              <w:left w:val="single" w:color="auto" w:sz="4" w:space="0"/>
              <w:bottom w:val="single" w:color="auto" w:sz="4" w:space="0"/>
              <w:right w:val="single" w:color="000000" w:sz="4" w:space="0"/>
            </w:tcBorders>
            <w:vAlign w:val="center"/>
          </w:tcPr>
          <w:p w14:paraId="09678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不接受联合体</w:t>
            </w:r>
            <w:r>
              <w:rPr>
                <w:rFonts w:hint="eastAsia" w:ascii="宋体" w:hAnsi="宋体" w:eastAsia="宋体" w:cs="宋体"/>
                <w:color w:val="auto"/>
                <w:sz w:val="24"/>
                <w:szCs w:val="24"/>
                <w:lang w:val="en-US" w:eastAsia="zh-CN"/>
              </w:rPr>
              <w:t>谈判</w:t>
            </w:r>
          </w:p>
        </w:tc>
      </w:tr>
      <w:tr w14:paraId="63CF7722">
        <w:tblPrEx>
          <w:tblCellMar>
            <w:top w:w="0" w:type="dxa"/>
            <w:left w:w="108" w:type="dxa"/>
            <w:bottom w:w="0" w:type="dxa"/>
            <w:right w:w="108" w:type="dxa"/>
          </w:tblCellMar>
        </w:tblPrEx>
        <w:trPr>
          <w:trHeight w:val="415"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74B64F2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auto" w:sz="4" w:space="0"/>
              <w:left w:val="nil"/>
              <w:bottom w:val="single" w:color="auto" w:sz="4" w:space="0"/>
              <w:right w:val="single" w:color="auto" w:sz="4" w:space="0"/>
            </w:tcBorders>
            <w:vAlign w:val="center"/>
          </w:tcPr>
          <w:p w14:paraId="2E87C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现场踏勘</w:t>
            </w:r>
          </w:p>
        </w:tc>
        <w:tc>
          <w:tcPr>
            <w:tcW w:w="7098" w:type="dxa"/>
            <w:tcBorders>
              <w:top w:val="single" w:color="auto" w:sz="4" w:space="0"/>
              <w:left w:val="single" w:color="auto" w:sz="4" w:space="0"/>
              <w:bottom w:val="single" w:color="auto" w:sz="4" w:space="0"/>
              <w:right w:val="single" w:color="000000" w:sz="4" w:space="0"/>
            </w:tcBorders>
            <w:vAlign w:val="center"/>
          </w:tcPr>
          <w:p w14:paraId="18DC2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自行勘察，未勘察现场造成的一切后果由投标人自行承担（一切费用自理）</w:t>
            </w:r>
          </w:p>
        </w:tc>
      </w:tr>
      <w:tr w14:paraId="0E497390">
        <w:tblPrEx>
          <w:tblCellMar>
            <w:top w:w="0" w:type="dxa"/>
            <w:left w:w="108" w:type="dxa"/>
            <w:bottom w:w="0" w:type="dxa"/>
            <w:right w:w="108" w:type="dxa"/>
          </w:tblCellMar>
        </w:tblPrEx>
        <w:trPr>
          <w:trHeight w:val="38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92114DF">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lang w:val="en-US" w:eastAsia="zh-CN"/>
              </w:rPr>
            </w:pPr>
          </w:p>
        </w:tc>
        <w:tc>
          <w:tcPr>
            <w:tcW w:w="1795" w:type="dxa"/>
            <w:tcBorders>
              <w:top w:val="single" w:color="000000" w:sz="4" w:space="0"/>
              <w:left w:val="nil"/>
              <w:bottom w:val="single" w:color="000000" w:sz="4" w:space="0"/>
              <w:right w:val="single" w:color="auto" w:sz="4" w:space="0"/>
            </w:tcBorders>
            <w:vAlign w:val="center"/>
          </w:tcPr>
          <w:p w14:paraId="600659A4">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采购方式</w:t>
            </w:r>
          </w:p>
        </w:tc>
        <w:tc>
          <w:tcPr>
            <w:tcW w:w="7098" w:type="dxa"/>
            <w:tcBorders>
              <w:top w:val="single" w:color="000000" w:sz="4" w:space="0"/>
              <w:left w:val="single" w:color="auto" w:sz="4" w:space="0"/>
              <w:bottom w:val="single" w:color="000000" w:sz="4" w:space="0"/>
              <w:right w:val="single" w:color="000000" w:sz="4" w:space="0"/>
            </w:tcBorders>
            <w:vAlign w:val="center"/>
          </w:tcPr>
          <w:p w14:paraId="2A4ABA48">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竞争性谈判</w:t>
            </w:r>
          </w:p>
        </w:tc>
      </w:tr>
      <w:tr w14:paraId="4BA77E54">
        <w:tblPrEx>
          <w:tblCellMar>
            <w:top w:w="0" w:type="dxa"/>
            <w:left w:w="108" w:type="dxa"/>
            <w:bottom w:w="0" w:type="dxa"/>
            <w:right w:w="108" w:type="dxa"/>
          </w:tblCellMar>
        </w:tblPrEx>
        <w:trPr>
          <w:trHeight w:val="34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12DEEFB">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nil"/>
              <w:bottom w:val="single" w:color="000000" w:sz="4" w:space="0"/>
              <w:right w:val="single" w:color="auto" w:sz="4" w:space="0"/>
            </w:tcBorders>
            <w:vAlign w:val="center"/>
          </w:tcPr>
          <w:p w14:paraId="350A6463">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7098" w:type="dxa"/>
            <w:tcBorders>
              <w:top w:val="single" w:color="000000" w:sz="4" w:space="0"/>
              <w:left w:val="single" w:color="auto" w:sz="4" w:space="0"/>
              <w:bottom w:val="single" w:color="000000" w:sz="4" w:space="0"/>
              <w:right w:val="single" w:color="000000" w:sz="4" w:space="0"/>
            </w:tcBorders>
            <w:vAlign w:val="center"/>
          </w:tcPr>
          <w:p w14:paraId="1B0906CC">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比照最低评标价法</w:t>
            </w:r>
          </w:p>
        </w:tc>
      </w:tr>
      <w:tr w14:paraId="3199FB42">
        <w:tblPrEx>
          <w:tblCellMar>
            <w:top w:w="0" w:type="dxa"/>
            <w:left w:w="108" w:type="dxa"/>
            <w:bottom w:w="0" w:type="dxa"/>
            <w:right w:w="108" w:type="dxa"/>
          </w:tblCellMar>
        </w:tblPrEx>
        <w:trPr>
          <w:trHeight w:val="37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15DC886">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kern w:val="0"/>
                <w:sz w:val="24"/>
                <w:szCs w:val="24"/>
              </w:rPr>
            </w:pPr>
          </w:p>
        </w:tc>
        <w:tc>
          <w:tcPr>
            <w:tcW w:w="1795" w:type="dxa"/>
            <w:tcBorders>
              <w:top w:val="single" w:color="000000" w:sz="4" w:space="0"/>
              <w:left w:val="nil"/>
              <w:bottom w:val="single" w:color="000000" w:sz="4" w:space="0"/>
              <w:right w:val="single" w:color="auto" w:sz="4" w:space="0"/>
            </w:tcBorders>
            <w:vAlign w:val="center"/>
          </w:tcPr>
          <w:p w14:paraId="2C45F588">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特殊情况处理</w:t>
            </w:r>
          </w:p>
        </w:tc>
        <w:tc>
          <w:tcPr>
            <w:tcW w:w="7098" w:type="dxa"/>
            <w:tcBorders>
              <w:top w:val="single" w:color="000000" w:sz="4" w:space="0"/>
              <w:left w:val="single" w:color="auto" w:sz="4" w:space="0"/>
              <w:bottom w:val="single" w:color="000000" w:sz="4" w:space="0"/>
              <w:right w:val="single" w:color="000000" w:sz="4" w:space="0"/>
            </w:tcBorders>
            <w:vAlign w:val="center"/>
          </w:tcPr>
          <w:p w14:paraId="2CCA093D">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谈判失败后，除采购任务取消外，将重新组织采购</w:t>
            </w:r>
          </w:p>
        </w:tc>
      </w:tr>
      <w:tr w14:paraId="6BC2CFE9">
        <w:tblPrEx>
          <w:tblCellMar>
            <w:top w:w="0" w:type="dxa"/>
            <w:left w:w="108" w:type="dxa"/>
            <w:bottom w:w="0" w:type="dxa"/>
            <w:right w:w="108" w:type="dxa"/>
          </w:tblCellMar>
        </w:tblPrEx>
        <w:trPr>
          <w:trHeight w:val="95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E2DAB2F">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50D08866">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开标时间、地点</w:t>
            </w:r>
          </w:p>
        </w:tc>
        <w:tc>
          <w:tcPr>
            <w:tcW w:w="7098" w:type="dxa"/>
            <w:tcBorders>
              <w:top w:val="single" w:color="000000" w:sz="4" w:space="0"/>
              <w:left w:val="single" w:color="auto" w:sz="4" w:space="0"/>
              <w:bottom w:val="single" w:color="000000" w:sz="4" w:space="0"/>
              <w:right w:val="single" w:color="000000" w:sz="4" w:space="0"/>
            </w:tcBorders>
            <w:vAlign w:val="center"/>
          </w:tcPr>
          <w:p w14:paraId="2F0F44EC">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000000" w:themeColor="text1"/>
                <w:sz w:val="24"/>
                <w:szCs w:val="24"/>
                <w:highlight w:val="red"/>
                <w14:textFill>
                  <w14:solidFill>
                    <w14:schemeClr w14:val="tx1"/>
                  </w14:solidFill>
                </w14:textFill>
              </w:rPr>
            </w:pPr>
            <w:r>
              <w:rPr>
                <w:rFonts w:hint="eastAsia" w:ascii="宋体" w:hAnsi="宋体" w:eastAsia="宋体" w:cs="宋体"/>
                <w:color w:val="auto"/>
                <w:sz w:val="24"/>
                <w:szCs w:val="24"/>
              </w:rPr>
              <w:t>开标时间：</w:t>
            </w:r>
            <w:r>
              <w:rPr>
                <w:rFonts w:hint="eastAsia" w:ascii="宋体" w:hAnsi="宋体" w:eastAsia="宋体" w:cs="宋体"/>
                <w:b w:val="0"/>
                <w:bCs w:val="0"/>
                <w:color w:val="auto"/>
                <w:kern w:val="0"/>
                <w:sz w:val="24"/>
                <w:szCs w:val="24"/>
              </w:rPr>
              <w:t>2025年</w:t>
            </w:r>
            <w:r>
              <w:rPr>
                <w:rFonts w:hint="eastAsia" w:ascii="宋体" w:hAnsi="宋体" w:eastAsia="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26</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09</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秒（北京时间）</w:t>
            </w:r>
          </w:p>
          <w:p w14:paraId="2025D58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textAlignment w:val="auto"/>
              <w:outlineLvl w:val="9"/>
              <w:rPr>
                <w:rFonts w:hint="eastAsia" w:ascii="宋体" w:hAnsi="宋体" w:eastAsia="宋体" w:cs="宋体"/>
                <w:color w:val="auto"/>
                <w:sz w:val="24"/>
                <w:szCs w:val="24"/>
                <w:highlight w:val="red"/>
                <w:lang w:val="en-US" w:eastAsia="zh-CN"/>
              </w:rPr>
            </w:pPr>
            <w:r>
              <w:rPr>
                <w:rFonts w:hint="eastAsia" w:ascii="宋体" w:hAnsi="宋体" w:eastAsia="宋体" w:cs="宋体"/>
                <w:color w:val="auto"/>
                <w:sz w:val="24"/>
                <w:szCs w:val="24"/>
              </w:rPr>
              <w:t>开标地点：</w:t>
            </w:r>
            <w:r>
              <w:rPr>
                <w:rFonts w:hint="eastAsia" w:ascii="宋体" w:hAnsi="宋体" w:eastAsia="宋体" w:cs="宋体"/>
                <w:color w:val="auto"/>
                <w:kern w:val="0"/>
                <w:sz w:val="24"/>
                <w:szCs w:val="24"/>
                <w:lang w:eastAsia="zh-CN"/>
              </w:rPr>
              <w:t>安康市高新区高新观澜8栋二单元801室</w:t>
            </w:r>
          </w:p>
          <w:p w14:paraId="5692CA04">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60" w:lineRule="exact"/>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rPr>
              <w:t>（如有变动，另行通知）</w:t>
            </w:r>
            <w:r>
              <w:rPr>
                <w:rFonts w:hint="eastAsia" w:ascii="宋体" w:hAnsi="宋体" w:eastAsia="宋体" w:cs="宋体"/>
                <w:color w:val="auto"/>
                <w:sz w:val="24"/>
                <w:szCs w:val="24"/>
                <w:lang w:val="en-US" w:eastAsia="zh-CN"/>
              </w:rPr>
              <w:t xml:space="preserve"> </w:t>
            </w:r>
          </w:p>
        </w:tc>
      </w:tr>
      <w:tr w14:paraId="2C5B66A0">
        <w:tblPrEx>
          <w:tblCellMar>
            <w:top w:w="0" w:type="dxa"/>
            <w:left w:w="108" w:type="dxa"/>
            <w:bottom w:w="0" w:type="dxa"/>
            <w:right w:w="108" w:type="dxa"/>
          </w:tblCellMar>
        </w:tblPrEx>
        <w:trPr>
          <w:trHeight w:val="43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43CA242">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tcPr>
          <w:p w14:paraId="37AB1FFA">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14:paraId="5A089EC9">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递交截止时间</w:t>
            </w:r>
          </w:p>
        </w:tc>
        <w:tc>
          <w:tcPr>
            <w:tcW w:w="7098" w:type="dxa"/>
            <w:tcBorders>
              <w:top w:val="single" w:color="000000" w:sz="4" w:space="0"/>
              <w:left w:val="single" w:color="auto" w:sz="4" w:space="0"/>
              <w:bottom w:val="single" w:color="000000" w:sz="4" w:space="0"/>
              <w:right w:val="single" w:color="000000" w:sz="4" w:space="0"/>
            </w:tcBorders>
            <w:vAlign w:val="center"/>
          </w:tcPr>
          <w:p w14:paraId="0D78B9F4">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2025年</w:t>
            </w:r>
            <w:r>
              <w:rPr>
                <w:rFonts w:hint="eastAsia" w:ascii="宋体" w:hAnsi="宋体" w:eastAsia="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26</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09</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分</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秒（北京时间）</w:t>
            </w:r>
            <w:r>
              <w:rPr>
                <w:rFonts w:hint="eastAsia" w:ascii="宋体" w:hAnsi="宋体" w:eastAsia="宋体" w:cs="宋体"/>
                <w:color w:val="000000" w:themeColor="text1"/>
                <w:sz w:val="24"/>
                <w:szCs w:val="24"/>
                <w:highlight w:val="none"/>
                <w14:textFill>
                  <w14:solidFill>
                    <w14:schemeClr w14:val="tx1"/>
                  </w14:solidFill>
                </w14:textFill>
              </w:rPr>
              <w:t>止</w:t>
            </w:r>
          </w:p>
        </w:tc>
      </w:tr>
      <w:tr w14:paraId="021DD0AF">
        <w:tblPrEx>
          <w:tblCellMar>
            <w:top w:w="0" w:type="dxa"/>
            <w:left w:w="108" w:type="dxa"/>
            <w:bottom w:w="0" w:type="dxa"/>
            <w:right w:w="108" w:type="dxa"/>
          </w:tblCellMar>
        </w:tblPrEx>
        <w:trPr>
          <w:trHeight w:val="47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A443919">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nil"/>
              <w:bottom w:val="single" w:color="000000" w:sz="4" w:space="0"/>
              <w:right w:val="single" w:color="auto" w:sz="4" w:space="0"/>
            </w:tcBorders>
            <w:vAlign w:val="center"/>
          </w:tcPr>
          <w:p w14:paraId="430B32A8">
            <w:pPr>
              <w:keepNext w:val="0"/>
              <w:keepLines w:val="0"/>
              <w:pageBreakBefore w:val="0"/>
              <w:widowControl/>
              <w:suppressLineNumbers w:val="0"/>
              <w:kinsoku/>
              <w:wordWrap/>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小组构成</w:t>
            </w:r>
          </w:p>
        </w:tc>
        <w:tc>
          <w:tcPr>
            <w:tcW w:w="7098" w:type="dxa"/>
            <w:tcBorders>
              <w:top w:val="single" w:color="000000" w:sz="4" w:space="0"/>
              <w:left w:val="single" w:color="auto" w:sz="4" w:space="0"/>
              <w:bottom w:val="single" w:color="000000" w:sz="4" w:space="0"/>
              <w:right w:val="single" w:color="000000" w:sz="4" w:space="0"/>
            </w:tcBorders>
            <w:vAlign w:val="center"/>
          </w:tcPr>
          <w:p w14:paraId="4FC03CFF">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eastAsia="宋体" w:cs="宋体"/>
                <w:color w:val="auto"/>
                <w:sz w:val="24"/>
                <w:szCs w:val="24"/>
                <w:lang w:val="en-US" w:eastAsia="zh-CN"/>
              </w:rPr>
              <w:t>政府采购非招标采购方式管理办法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财政部令第74号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等有关法律规定组建</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小组</w:t>
            </w:r>
          </w:p>
        </w:tc>
      </w:tr>
      <w:tr w14:paraId="7EB4D6E0">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7EC77C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700535A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0"/>
                <w:sz w:val="24"/>
                <w:szCs w:val="24"/>
                <w:lang w:val="en-US" w:eastAsia="zh-CN"/>
              </w:rPr>
            </w:pPr>
            <w:r>
              <w:rPr>
                <w:rFonts w:hint="default" w:asciiTheme="minorEastAsia" w:hAnsiTheme="minorEastAsia" w:eastAsiaTheme="minorEastAsia"/>
                <w:color w:val="auto"/>
                <w:sz w:val="24"/>
                <w:szCs w:val="24"/>
              </w:rPr>
              <w:t>响应文件份数</w:t>
            </w:r>
          </w:p>
        </w:tc>
        <w:tc>
          <w:tcPr>
            <w:tcW w:w="7098" w:type="dxa"/>
            <w:tcBorders>
              <w:top w:val="single" w:color="000000" w:sz="4" w:space="0"/>
              <w:left w:val="single" w:color="000000" w:sz="4" w:space="0"/>
              <w:bottom w:val="single" w:color="000000" w:sz="4" w:space="0"/>
              <w:right w:val="single" w:color="000000" w:sz="4" w:space="0"/>
            </w:tcBorders>
            <w:vAlign w:val="top"/>
          </w:tcPr>
          <w:p w14:paraId="7F41B5C2">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textAlignment w:val="auto"/>
              <w:rPr>
                <w:rFonts w:hint="eastAsia" w:ascii="宋体" w:hAnsi="宋体" w:eastAsia="宋体" w:cs="宋体"/>
                <w:sz w:val="24"/>
                <w:szCs w:val="28"/>
              </w:rPr>
            </w:pPr>
            <w:r>
              <w:rPr>
                <w:rFonts w:hint="default"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hint="default"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hint="default" w:asciiTheme="minorEastAsia" w:hAnsiTheme="minorEastAsia" w:eastAsiaTheme="minorEastAsia"/>
                <w:color w:val="auto"/>
                <w:sz w:val="24"/>
                <w:szCs w:val="24"/>
              </w:rPr>
              <w:t>，电子版壹份</w:t>
            </w:r>
          </w:p>
        </w:tc>
      </w:tr>
      <w:tr w14:paraId="215FADC5">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B6C60E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15D3ACDF">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装订要求</w:t>
            </w:r>
          </w:p>
        </w:tc>
        <w:tc>
          <w:tcPr>
            <w:tcW w:w="7098" w:type="dxa"/>
            <w:tcBorders>
              <w:top w:val="single" w:color="000000" w:sz="4" w:space="0"/>
              <w:left w:val="single" w:color="000000" w:sz="4" w:space="0"/>
              <w:bottom w:val="single" w:color="000000" w:sz="4" w:space="0"/>
              <w:right w:val="single" w:color="000000" w:sz="4" w:space="0"/>
            </w:tcBorders>
            <w:vAlign w:val="top"/>
          </w:tcPr>
          <w:p w14:paraId="7246D5BF">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right="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资格证明文件壹份</w:t>
            </w:r>
            <w:r>
              <w:rPr>
                <w:rFonts w:hint="eastAsia" w:ascii="宋体" w:hAnsi="宋体" w:eastAsia="宋体" w:cs="宋体"/>
                <w:color w:val="auto"/>
                <w:sz w:val="24"/>
                <w:szCs w:val="24"/>
              </w:rPr>
              <w:t>除在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文件正副本中装订外，</w:t>
            </w:r>
            <w:r>
              <w:rPr>
                <w:rFonts w:hint="eastAsia" w:ascii="宋体" w:hAnsi="宋体" w:eastAsia="宋体" w:cs="宋体"/>
                <w:color w:val="auto"/>
                <w:sz w:val="24"/>
                <w:szCs w:val="24"/>
                <w:lang w:val="en-US" w:eastAsia="zh-CN"/>
              </w:rPr>
              <w:t>另外</w:t>
            </w:r>
            <w:r>
              <w:rPr>
                <w:rFonts w:hint="eastAsia" w:ascii="宋体" w:hAnsi="宋体" w:eastAsia="宋体" w:cs="宋体"/>
                <w:color w:val="auto"/>
                <w:sz w:val="24"/>
                <w:szCs w:val="24"/>
              </w:rPr>
              <w:t>制作一份单独封装在</w:t>
            </w:r>
            <w:r>
              <w:rPr>
                <w:rFonts w:hint="eastAsia" w:ascii="宋体" w:hAnsi="宋体" w:eastAsia="宋体" w:cs="宋体"/>
                <w:color w:val="auto"/>
                <w:sz w:val="24"/>
                <w:szCs w:val="24"/>
                <w:lang w:val="en-US" w:eastAsia="zh-CN"/>
              </w:rPr>
              <w:t>封袋</w:t>
            </w:r>
            <w:r>
              <w:rPr>
                <w:rFonts w:hint="eastAsia" w:ascii="宋体" w:hAnsi="宋体" w:eastAsia="宋体" w:cs="宋体"/>
                <w:color w:val="auto"/>
                <w:sz w:val="24"/>
                <w:szCs w:val="24"/>
              </w:rPr>
              <w:t>中，封袋正面要</w:t>
            </w:r>
            <w:r>
              <w:rPr>
                <w:rFonts w:hint="eastAsia" w:ascii="宋体" w:hAnsi="宋体" w:eastAsia="宋体" w:cs="宋体"/>
                <w:color w:val="auto"/>
                <w:sz w:val="24"/>
                <w:szCs w:val="24"/>
                <w:lang w:val="en-US" w:eastAsia="zh-CN"/>
              </w:rPr>
              <w:t>标明“资格证明文件”</w:t>
            </w:r>
            <w:r>
              <w:rPr>
                <w:rFonts w:hint="eastAsia" w:ascii="宋体" w:hAnsi="宋体" w:eastAsia="宋体" w:cs="宋体"/>
                <w:color w:val="auto"/>
                <w:sz w:val="24"/>
                <w:szCs w:val="24"/>
              </w:rPr>
              <w:t>并加盖投标人公章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鲜章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响应文件正本壹份、副本贰份，分别胶装装订成册，且封面须清楚地标明“正本”、“副本”；若正本和副本不符，以正本为准；同时提供与正本内容一致的电子版（电子文件内容须为签字齐全并加盖投标单位公章（鲜章）正本响应文件全部内容的扫描件，格式为PDF），电子版放置正本密封袋内。</w:t>
            </w:r>
          </w:p>
        </w:tc>
      </w:tr>
      <w:tr w14:paraId="07896246">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17DEA8A">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center"/>
          </w:tcPr>
          <w:p w14:paraId="22C8C542">
            <w:pPr>
              <w:keepNext w:val="0"/>
              <w:keepLines w:val="0"/>
              <w:widowControl/>
              <w:suppressLineNumbers w:val="0"/>
              <w:spacing w:before="0" w:beforeAutospacing="0" w:after="0" w:afterAutospacing="0" w:line="259" w:lineRule="auto"/>
              <w:ind w:left="0" w:right="0"/>
              <w:rPr>
                <w:rFonts w:hint="eastAsia" w:ascii="宋体" w:hAnsi="宋体" w:eastAsia="宋体" w:cs="宋体"/>
                <w:color w:val="auto"/>
                <w:sz w:val="24"/>
                <w:szCs w:val="24"/>
              </w:rPr>
            </w:pPr>
            <w:r>
              <w:rPr>
                <w:rFonts w:hint="eastAsia" w:asciiTheme="minorEastAsia" w:hAnsiTheme="minorEastAsia" w:eastAsiaTheme="minorEastAsia"/>
                <w:color w:val="auto"/>
                <w:sz w:val="24"/>
                <w:szCs w:val="24"/>
                <w:lang w:val="en-US" w:eastAsia="zh-CN"/>
              </w:rPr>
              <w:t>其他说明事项</w:t>
            </w:r>
          </w:p>
        </w:tc>
        <w:tc>
          <w:tcPr>
            <w:tcW w:w="7098" w:type="dxa"/>
            <w:tcBorders>
              <w:top w:val="single" w:color="000000" w:sz="4" w:space="0"/>
              <w:left w:val="single" w:color="000000" w:sz="4" w:space="0"/>
              <w:bottom w:val="single" w:color="000000" w:sz="4" w:space="0"/>
              <w:right w:val="single" w:color="000000" w:sz="4" w:space="0"/>
            </w:tcBorders>
            <w:vAlign w:val="center"/>
          </w:tcPr>
          <w:p w14:paraId="77C6F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Times New Roman"/>
                <w:color w:val="auto"/>
                <w:sz w:val="24"/>
                <w:szCs w:val="24"/>
                <w:highlight w:val="none"/>
                <w:lang w:val="en-US" w:eastAsia="zh-CN"/>
              </w:rPr>
              <w:t>根据《中小企业划型标准规定》（工信部联企业〔2011〕300号），</w:t>
            </w:r>
          </w:p>
          <w:p w14:paraId="115FE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采购标的对应的中小企业划分标准所属行业为</w:t>
            </w:r>
            <w:r>
              <w:rPr>
                <w:rFonts w:hint="eastAsia" w:ascii="宋体" w:hAnsi="宋体" w:eastAsia="宋体" w:cs="宋体"/>
                <w:i w:val="0"/>
                <w:iCs w:val="0"/>
                <w:caps w:val="0"/>
                <w:color w:val="333333"/>
                <w:spacing w:val="0"/>
                <w:sz w:val="24"/>
                <w:szCs w:val="24"/>
                <w:shd w:val="clear" w:fill="FFFFFF"/>
              </w:rPr>
              <w:t>软件和信息技术服务业</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333333"/>
                <w:spacing w:val="0"/>
                <w:sz w:val="24"/>
                <w:szCs w:val="24"/>
                <w:shd w:val="clear" w:fill="FFFFFF"/>
              </w:rPr>
              <w:t>软件和信息技术服务业</w:t>
            </w:r>
            <w:r>
              <w:rPr>
                <w:rFonts w:hint="eastAsia" w:ascii="宋体" w:hAnsi="宋体" w:eastAsia="宋体" w:cs="宋体"/>
                <w:color w:val="auto"/>
                <w:sz w:val="24"/>
                <w:szCs w:val="24"/>
                <w:lang w:eastAsia="zh-CN"/>
              </w:rPr>
              <w:t>的划型标准为：</w:t>
            </w:r>
            <w:r>
              <w:rPr>
                <w:rFonts w:hint="eastAsia" w:ascii="宋体" w:hAnsi="宋体" w:eastAsia="宋体" w:cs="宋体"/>
                <w:i w:val="0"/>
                <w:iCs w:val="0"/>
                <w:caps w:val="0"/>
                <w:color w:val="333333"/>
                <w:spacing w:val="0"/>
                <w:sz w:val="24"/>
                <w:szCs w:val="24"/>
                <w:shd w:val="clear" w:fill="FFFFFF"/>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73005029">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DCAB38B">
            <w:pPr>
              <w:keepNext w:val="0"/>
              <w:keepLines w:val="0"/>
              <w:pageBreakBefore w:val="0"/>
              <w:widowControl/>
              <w:numPr>
                <w:ilvl w:val="0"/>
                <w:numId w:val="2"/>
              </w:numPr>
              <w:suppressLineNumbers w:val="0"/>
              <w:kinsoku/>
              <w:wordWrap/>
              <w:topLinePunct w:val="0"/>
              <w:autoSpaceDE/>
              <w:autoSpaceDN/>
              <w:bidi w:val="0"/>
              <w:spacing w:before="0" w:beforeAutospacing="0" w:after="0" w:afterAutospacing="0" w:line="460" w:lineRule="exact"/>
              <w:ind w:left="425" w:leftChars="0" w:right="0" w:hanging="425" w:firstLineChars="0"/>
              <w:jc w:val="center"/>
              <w:textAlignment w:val="auto"/>
              <w:rPr>
                <w:rFonts w:hint="eastAsia" w:ascii="宋体" w:hAnsi="宋体" w:eastAsia="宋体" w:cs="宋体"/>
                <w:color w:val="auto"/>
                <w:sz w:val="24"/>
                <w:szCs w:val="24"/>
              </w:rPr>
            </w:pPr>
          </w:p>
        </w:tc>
        <w:tc>
          <w:tcPr>
            <w:tcW w:w="1795" w:type="dxa"/>
            <w:tcBorders>
              <w:top w:val="single" w:color="000000" w:sz="4" w:space="0"/>
              <w:left w:val="single" w:color="000000" w:sz="4" w:space="0"/>
              <w:bottom w:val="single" w:color="000000" w:sz="4" w:space="0"/>
              <w:right w:val="single" w:color="000000" w:sz="4" w:space="0"/>
            </w:tcBorders>
            <w:vAlign w:val="top"/>
          </w:tcPr>
          <w:p w14:paraId="20B8B36B">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leftChars="0" w:right="109"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答疑</w:t>
            </w:r>
          </w:p>
        </w:tc>
        <w:tc>
          <w:tcPr>
            <w:tcW w:w="7098" w:type="dxa"/>
            <w:tcBorders>
              <w:top w:val="single" w:color="000000" w:sz="4" w:space="0"/>
              <w:left w:val="single" w:color="000000" w:sz="4" w:space="0"/>
              <w:bottom w:val="single" w:color="000000" w:sz="4" w:space="0"/>
              <w:right w:val="single" w:color="000000" w:sz="4" w:space="0"/>
            </w:tcBorders>
            <w:vAlign w:val="top"/>
          </w:tcPr>
          <w:p w14:paraId="49662C19">
            <w:pPr>
              <w:keepNext w:val="0"/>
              <w:keepLines w:val="0"/>
              <w:pageBreakBefore w:val="0"/>
              <w:widowControl w:val="0"/>
              <w:suppressLineNumbers w:val="0"/>
              <w:kinsoku/>
              <w:wordWrap/>
              <w:topLinePunct w:val="0"/>
              <w:autoSpaceDE/>
              <w:autoSpaceDN/>
              <w:bidi w:val="0"/>
              <w:spacing w:before="0" w:beforeAutospacing="0" w:after="0" w:afterAutospacing="0" w:line="460" w:lineRule="exact"/>
              <w:ind w:left="0" w:leftChars="0" w:right="-11" w:right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 xml:space="preserve">如有疑问，投标人需书面提出，经采购人收集问题后，统一答疑。 </w:t>
            </w:r>
          </w:p>
        </w:tc>
      </w:tr>
    </w:tbl>
    <w:p w14:paraId="196F03B8">
      <w:pPr>
        <w:pageBreakBefore w:val="0"/>
        <w:kinsoku/>
        <w:wordWrap/>
        <w:topLinePunct w:val="0"/>
        <w:autoSpaceDE/>
        <w:autoSpaceDN/>
        <w:bidi w:val="0"/>
        <w:spacing w:line="460" w:lineRule="exact"/>
        <w:jc w:val="center"/>
        <w:textAlignment w:val="auto"/>
        <w:rPr>
          <w:rFonts w:hint="eastAsia" w:ascii="宋体" w:hAnsi="宋体" w:eastAsia="宋体" w:cs="宋体"/>
          <w:b/>
          <w:bCs/>
          <w:color w:val="auto"/>
          <w:kern w:val="44"/>
          <w:sz w:val="24"/>
          <w:szCs w:val="24"/>
        </w:rPr>
      </w:pPr>
    </w:p>
    <w:p w14:paraId="0F4D1A00">
      <w:pPr>
        <w:pStyle w:val="6"/>
        <w:pageBreakBefore w:val="0"/>
        <w:kinsoku/>
        <w:wordWrap/>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963E8AF">
      <w:pPr>
        <w:pageBreakBefore w:val="0"/>
        <w:kinsoku/>
        <w:wordWrap/>
        <w:topLinePunct w:val="0"/>
        <w:autoSpaceDE/>
        <w:autoSpaceDN/>
        <w:bidi w:val="0"/>
        <w:spacing w:line="460" w:lineRule="exact"/>
        <w:jc w:val="center"/>
        <w:textAlignment w:val="auto"/>
        <w:rPr>
          <w:rFonts w:hint="eastAsia" w:ascii="宋体" w:hAnsi="宋体" w:eastAsia="宋体" w:cs="宋体"/>
          <w:b/>
          <w:bCs/>
          <w:color w:val="auto"/>
          <w:kern w:val="44"/>
          <w:sz w:val="28"/>
          <w:szCs w:val="32"/>
        </w:rPr>
      </w:pPr>
      <w:r>
        <w:rPr>
          <w:rFonts w:hint="eastAsia" w:ascii="宋体" w:hAnsi="宋体" w:eastAsia="宋体" w:cs="宋体"/>
          <w:b/>
          <w:bCs/>
          <w:color w:val="auto"/>
          <w:kern w:val="44"/>
          <w:sz w:val="28"/>
          <w:szCs w:val="32"/>
        </w:rPr>
        <w:t>供应商须知</w:t>
      </w:r>
    </w:p>
    <w:p w14:paraId="1FE28475">
      <w:pPr>
        <w:pageBreakBefore w:val="0"/>
        <w:kinsoku/>
        <w:wordWrap/>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4"/>
          <w:szCs w:val="24"/>
        </w:rPr>
      </w:pPr>
      <w:bookmarkStart w:id="26" w:name="_Toc35335252"/>
      <w:bookmarkStart w:id="27" w:name="_Toc26416"/>
      <w:bookmarkStart w:id="28" w:name="_Toc23316516"/>
      <w:bookmarkStart w:id="29" w:name="_Toc12880"/>
      <w:bookmarkStart w:id="30" w:name="_Toc18412195"/>
      <w:bookmarkStart w:id="31" w:name="_Toc14189266"/>
      <w:bookmarkStart w:id="32" w:name="_Toc23316580"/>
      <w:bookmarkStart w:id="33" w:name="_Toc14189403"/>
      <w:bookmarkStart w:id="34" w:name="_Toc23315656"/>
      <w:bookmarkStart w:id="35" w:name="_Toc23316678"/>
      <w:r>
        <w:rPr>
          <w:rFonts w:hint="eastAsia" w:ascii="宋体" w:hAnsi="宋体" w:eastAsia="宋体" w:cs="宋体"/>
          <w:color w:val="auto"/>
          <w:kern w:val="0"/>
          <w:sz w:val="24"/>
          <w:szCs w:val="24"/>
        </w:rPr>
        <w:t>一、</w:t>
      </w:r>
      <w:r>
        <w:rPr>
          <w:rFonts w:hint="eastAsia" w:ascii="宋体" w:hAnsi="宋体" w:eastAsia="宋体" w:cs="宋体"/>
          <w:b/>
          <w:bCs/>
          <w:color w:val="auto"/>
          <w:kern w:val="44"/>
          <w:sz w:val="24"/>
          <w:szCs w:val="24"/>
        </w:rPr>
        <w:t>总则</w:t>
      </w:r>
    </w:p>
    <w:p w14:paraId="03466ACD">
      <w:pPr>
        <w:pageBreakBefore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1.</w:t>
      </w:r>
      <w:r>
        <w:rPr>
          <w:rFonts w:hint="eastAsia" w:ascii="宋体" w:hAnsi="宋体" w:eastAsia="宋体" w:cs="宋体"/>
          <w:b/>
          <w:color w:val="auto"/>
          <w:kern w:val="0"/>
          <w:sz w:val="24"/>
          <w:szCs w:val="24"/>
        </w:rPr>
        <w:t>采购依据</w:t>
      </w:r>
    </w:p>
    <w:p w14:paraId="5F07C647">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本次采购依据《中华人民共和国政府采购法》《中华人民共和国政府采购法实施条例》《政府采购非招标采购方式管理办法》</w:t>
      </w:r>
      <w:r>
        <w:rPr>
          <w:rFonts w:hint="eastAsia" w:ascii="宋体" w:hAnsi="宋体" w:eastAsia="宋体" w:cs="宋体"/>
          <w:color w:val="auto"/>
          <w:sz w:val="24"/>
          <w:szCs w:val="24"/>
        </w:rPr>
        <w:t>（财政部令第74号）</w:t>
      </w:r>
      <w:r>
        <w:rPr>
          <w:rFonts w:hint="eastAsia" w:ascii="宋体" w:hAnsi="宋体" w:eastAsia="宋体" w:cs="宋体"/>
          <w:color w:val="auto"/>
          <w:kern w:val="0"/>
          <w:sz w:val="24"/>
          <w:szCs w:val="24"/>
        </w:rPr>
        <w:t>及国家现行有关法律法规执行。</w:t>
      </w:r>
    </w:p>
    <w:p w14:paraId="4934CF9D">
      <w:pPr>
        <w:pageBreakBefore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2.</w:t>
      </w:r>
      <w:r>
        <w:rPr>
          <w:rFonts w:hint="eastAsia" w:ascii="宋体" w:hAnsi="宋体" w:eastAsia="宋体" w:cs="宋体"/>
          <w:b/>
          <w:color w:val="auto"/>
          <w:kern w:val="0"/>
          <w:sz w:val="24"/>
          <w:szCs w:val="24"/>
        </w:rPr>
        <w:t>适用范围</w:t>
      </w:r>
    </w:p>
    <w:p w14:paraId="58615261">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本竞争性谈判文件适用于本次谈判活动的全过程。</w:t>
      </w:r>
    </w:p>
    <w:p w14:paraId="62E4DF11">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合格的供应商</w:t>
      </w:r>
    </w:p>
    <w:p w14:paraId="5571A0E9">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1具有本项目生产、制造、加工、供应或实施能力，符合、承认并承诺履行本</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文件各项规定的国内供应商。</w:t>
      </w:r>
    </w:p>
    <w:p w14:paraId="20E23A6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2供应商应遵守有关的国家法律法规和条例，具备《中华人民共和国政府采购法》和本文件中规定的条件：</w:t>
      </w:r>
    </w:p>
    <w:p w14:paraId="153A6D2A">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具有独立承担民事责任的能力；</w:t>
      </w:r>
    </w:p>
    <w:p w14:paraId="35990CC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具有良好的商业信誉和健全的财务会计制度；</w:t>
      </w:r>
    </w:p>
    <w:p w14:paraId="014C963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具有履行合同所必需的产品和专业技术能力；</w:t>
      </w:r>
    </w:p>
    <w:p w14:paraId="46E5AB5B">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具有依法缴纳税收和社会保障资金的良好记录；</w:t>
      </w:r>
    </w:p>
    <w:p w14:paraId="2721F66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参加此项采购活动前三年内，在经营活动中没有重大违法记录；</w:t>
      </w:r>
    </w:p>
    <w:p w14:paraId="21088B16">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bCs/>
          <w:color w:val="auto"/>
          <w:sz w:val="24"/>
          <w:szCs w:val="24"/>
        </w:rPr>
        <w:tab/>
      </w:r>
      <w:r>
        <w:rPr>
          <w:rFonts w:hint="eastAsia" w:ascii="宋体" w:hAnsi="宋体" w:eastAsia="宋体" w:cs="宋体"/>
          <w:bCs/>
          <w:color w:val="auto"/>
          <w:sz w:val="24"/>
          <w:szCs w:val="24"/>
        </w:rPr>
        <w:t>法律、行政法规规定的其他条件。</w:t>
      </w:r>
    </w:p>
    <w:p w14:paraId="5E64B8AC">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3供应商</w:t>
      </w:r>
      <w:r>
        <w:rPr>
          <w:rFonts w:hint="eastAsia" w:ascii="宋体" w:hAnsi="宋体" w:eastAsia="宋体" w:cs="宋体"/>
          <w:bCs/>
          <w:color w:val="auto"/>
          <w:sz w:val="24"/>
          <w:szCs w:val="24"/>
          <w:lang w:eastAsia="zh-CN"/>
        </w:rPr>
        <w:t>获取谈判</w:t>
      </w:r>
      <w:r>
        <w:rPr>
          <w:rFonts w:hint="eastAsia" w:ascii="宋体" w:hAnsi="宋体" w:eastAsia="宋体" w:cs="宋体"/>
          <w:bCs/>
          <w:color w:val="auto"/>
          <w:sz w:val="24"/>
          <w:szCs w:val="24"/>
        </w:rPr>
        <w:t>文件时应提供有效联系方式。</w:t>
      </w:r>
    </w:p>
    <w:p w14:paraId="3FF33BC1">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4如供应商代表不是法定代表人，须持有《法定代表人授权委托书》 (按</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文件提供的格式填写)。</w:t>
      </w:r>
    </w:p>
    <w:p w14:paraId="4E8FDC9D">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5供应商应独立于采购人，不得直接或间接地与采购人为采购本次招标的货物或服务进行设计、编制技术规格和其它文件所委托的咨询公司或其附属机构有任何关联。</w:t>
      </w:r>
    </w:p>
    <w:p w14:paraId="2DD0A1E6">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6供应商不得存在下列情形之一：</w:t>
      </w:r>
    </w:p>
    <w:p w14:paraId="0D0F55A8">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（1）与采购人或采购代理机构存在隶属关系或者其他利害关系；</w:t>
      </w:r>
    </w:p>
    <w:p w14:paraId="0EAD7AB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（2）与其他供应商的法定代表人（或者负责人）为同一人，或者与其他供应商存在直接控股、管理关系；</w:t>
      </w:r>
    </w:p>
    <w:p w14:paraId="3DD0127F">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（3）受到刑事处罚，或者受到</w:t>
      </w:r>
      <w:r>
        <w:rPr>
          <w:rFonts w:hint="eastAsia" w:ascii="宋体" w:hAnsi="宋体" w:eastAsia="宋体" w:cs="宋体"/>
          <w:bCs/>
          <w:color w:val="auto"/>
          <w:sz w:val="24"/>
          <w:szCs w:val="24"/>
          <w:lang w:val="en-US" w:eastAsia="zh-CN"/>
        </w:rPr>
        <w:t>200</w:t>
      </w:r>
      <w:r>
        <w:rPr>
          <w:rFonts w:hint="eastAsia" w:ascii="宋体" w:hAnsi="宋体" w:eastAsia="宋体" w:cs="宋体"/>
          <w:bCs/>
          <w:color w:val="auto"/>
          <w:sz w:val="24"/>
          <w:szCs w:val="24"/>
        </w:rPr>
        <w:t>万元以上罚款，责令停产停业、在一年至三年内禁止参加政府采购活动、吊销许可证</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营业</w:t>
      </w:r>
      <w:r>
        <w:rPr>
          <w:rFonts w:hint="eastAsia" w:ascii="宋体" w:hAnsi="宋体" w:eastAsia="宋体" w:cs="宋体"/>
          <w:bCs/>
          <w:color w:val="auto"/>
          <w:sz w:val="24"/>
          <w:szCs w:val="24"/>
        </w:rPr>
        <w:t>执照等情形之一的行政处罚，或者存在财政部门认定的其他重大违法记录。</w:t>
      </w:r>
    </w:p>
    <w:p w14:paraId="135678DC">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（4）供应商在投标截止日前在信用中国网（www</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creditchina</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gov</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cn）被列入失信被执行人、重大税收违法案件当事人名单或在中国政府采购网（www</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ccgp</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gov</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cn）被列入政府采购严重违法失信行为记录名单（处罚期限届满的除外，如相关失信记录已失效，供应商需提供相关证明资料），须提供信用中国网及中国政府采购网相应查询结果的网站截图（加盖企业公章）</w:t>
      </w:r>
    </w:p>
    <w:p w14:paraId="4D9B0ACB">
      <w:pPr>
        <w:pageBreakBefore w:val="0"/>
        <w:kinsoku/>
        <w:wordWrap/>
        <w:overflowPunct/>
        <w:topLinePunct w:val="0"/>
        <w:bidi w:val="0"/>
        <w:spacing w:line="4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4.</w:t>
      </w:r>
      <w:r>
        <w:rPr>
          <w:rFonts w:hint="eastAsia" w:ascii="宋体" w:hAnsi="宋体" w:eastAsia="宋体" w:cs="宋体"/>
          <w:b/>
          <w:color w:val="auto"/>
          <w:sz w:val="24"/>
        </w:rPr>
        <w:t>合格的货物与服务</w:t>
      </w:r>
    </w:p>
    <w:p w14:paraId="218ADCA3">
      <w:pPr>
        <w:pageBreakBefore w:val="0"/>
        <w:kinsoku/>
        <w:wordWrap/>
        <w:overflowPunct/>
        <w:topLinePunct w:val="0"/>
        <w:bidi w:val="0"/>
        <w:spacing w:line="46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4.1</w:t>
      </w:r>
      <w:r>
        <w:rPr>
          <w:rFonts w:hint="eastAsia" w:ascii="宋体" w:hAnsi="宋体" w:eastAsia="宋体" w:cs="宋体"/>
          <w:color w:val="auto"/>
          <w:sz w:val="24"/>
        </w:rPr>
        <w:t>本次谈判所用货物及其有关服务，均应来自上述</w:t>
      </w:r>
      <w:r>
        <w:rPr>
          <w:rFonts w:hint="eastAsia" w:ascii="宋体" w:hAnsi="宋体" w:eastAsia="宋体" w:cs="宋体"/>
          <w:color w:val="auto"/>
          <w:sz w:val="24"/>
          <w:lang w:val="en-US" w:eastAsia="zh-CN"/>
        </w:rPr>
        <w:t>3</w:t>
      </w:r>
      <w:r>
        <w:rPr>
          <w:rFonts w:hint="eastAsia" w:ascii="宋体" w:hAnsi="宋体" w:eastAsia="宋体" w:cs="宋体"/>
          <w:color w:val="auto"/>
          <w:sz w:val="24"/>
        </w:rPr>
        <w:t>条款所规定的合格供应商。</w:t>
      </w:r>
    </w:p>
    <w:p w14:paraId="3DFA38F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4.2</w:t>
      </w:r>
      <w:r>
        <w:rPr>
          <w:rFonts w:hint="eastAsia" w:ascii="宋体" w:hAnsi="宋体" w:eastAsia="宋体" w:cs="宋体"/>
          <w:color w:val="auto"/>
          <w:sz w:val="24"/>
        </w:rPr>
        <w:t>货物系指供应商按谈判文件规定，向采购人提供的符合谈判文件要求的相关的货物。</w:t>
      </w:r>
    </w:p>
    <w:p w14:paraId="44D51C8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4.3</w:t>
      </w:r>
      <w:r>
        <w:rPr>
          <w:rFonts w:hint="eastAsia" w:ascii="宋体" w:hAnsi="宋体" w:eastAsia="宋体" w:cs="宋体"/>
          <w:color w:val="auto"/>
          <w:sz w:val="24"/>
        </w:rPr>
        <w:t xml:space="preserve"> 服务系指谈判文件规定的，供应商须承担的与谈判货物有关的辅助服务,如包装、运输、保险、安装、调试、技术培训、售后服务以及其他类似的义务。</w:t>
      </w:r>
    </w:p>
    <w:p w14:paraId="022D3A4F">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政府采购政策支持</w:t>
      </w:r>
    </w:p>
    <w:p w14:paraId="0D4C86FA">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1对列入财政部、国家发改委发布的《节能产品政府采购清单》且属于应当“强制采购的节能产品”，按照规定实行强制采购。 </w:t>
      </w:r>
    </w:p>
    <w:p w14:paraId="420E346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28BF4671">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3产品同时属于“非强制采购节能产品”、环境标志产品的，评审时只有其中一项能享受优先待遇（供应商自行选择，并在报价文件中填写相关信息及数据）。</w:t>
      </w:r>
    </w:p>
    <w:p w14:paraId="5DD4CB86">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4供应商有融资、担保需求的，具体办理流程按照财政厅及相关政策执行。</w:t>
      </w:r>
    </w:p>
    <w:p w14:paraId="495B1656">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费用承担</w:t>
      </w:r>
    </w:p>
    <w:p w14:paraId="4CD677A0">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供应商准备和参加</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活动发生的费用自理。</w:t>
      </w:r>
    </w:p>
    <w:p w14:paraId="2D591FE4">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保密</w:t>
      </w:r>
    </w:p>
    <w:p w14:paraId="7EA06D5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参与</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活动的各方应对</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文件和响应文件的商业和技术等秘密保密，违者应对由此造成的后果承担法律责任。</w:t>
      </w:r>
    </w:p>
    <w:p w14:paraId="368753D1">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语言文字</w:t>
      </w:r>
    </w:p>
    <w:p w14:paraId="1BEB5C25">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除专用术语外，与</w:t>
      </w:r>
      <w:r>
        <w:rPr>
          <w:rFonts w:hint="eastAsia" w:ascii="宋体" w:hAnsi="宋体" w:eastAsia="宋体" w:cs="宋体"/>
          <w:bCs/>
          <w:color w:val="auto"/>
          <w:sz w:val="24"/>
          <w:szCs w:val="24"/>
          <w:lang w:eastAsia="zh-CN"/>
        </w:rPr>
        <w:t>谈判</w:t>
      </w:r>
      <w:r>
        <w:rPr>
          <w:rFonts w:hint="eastAsia" w:ascii="宋体" w:hAnsi="宋体" w:eastAsia="宋体" w:cs="宋体"/>
          <w:bCs/>
          <w:color w:val="auto"/>
          <w:sz w:val="24"/>
          <w:szCs w:val="24"/>
        </w:rPr>
        <w:t>文件有关的语言均使用中文；必要时专用术语应附有中文注释。</w:t>
      </w:r>
    </w:p>
    <w:p w14:paraId="74EC84E0">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计量单位</w:t>
      </w:r>
    </w:p>
    <w:p w14:paraId="0761F3C7">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所有计量均采用中华人民共和国法定计量单位。</w:t>
      </w:r>
    </w:p>
    <w:p w14:paraId="487D1B41">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踏勘现场</w:t>
      </w:r>
    </w:p>
    <w:p w14:paraId="0B023111">
      <w:pPr>
        <w:pStyle w:val="12"/>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自行勘察，未勘察现场造成的一切后果由投标人自行承担（一切费用自理）。</w:t>
      </w:r>
    </w:p>
    <w:p w14:paraId="5446533F">
      <w:pPr>
        <w:pageBreakBefore w:val="0"/>
        <w:widowControl/>
        <w:kinsoku/>
        <w:wordWrap/>
        <w:overflowPunct/>
        <w:topLinePunct w:val="0"/>
        <w:autoSpaceDE/>
        <w:autoSpaceDN/>
        <w:bidi w:val="0"/>
        <w:snapToGrid w:val="0"/>
        <w:spacing w:line="460" w:lineRule="exact"/>
        <w:ind w:right="-12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11.</w:t>
      </w:r>
      <w:r>
        <w:rPr>
          <w:rFonts w:hint="eastAsia" w:ascii="宋体" w:hAnsi="宋体" w:eastAsia="宋体" w:cs="宋体"/>
          <w:b/>
          <w:bCs/>
          <w:color w:val="auto"/>
          <w:sz w:val="24"/>
          <w:szCs w:val="24"/>
        </w:rPr>
        <w:t>偏离</w:t>
      </w:r>
    </w:p>
    <w:p w14:paraId="6EDECBE7">
      <w:pPr>
        <w:pageBreakBefore w:val="0"/>
        <w:widowControl/>
        <w:kinsoku/>
        <w:wordWrap/>
        <w:overflowPunct/>
        <w:topLinePunct w:val="0"/>
        <w:autoSpaceDE/>
        <w:autoSpaceDN/>
        <w:bidi w:val="0"/>
        <w:snapToGrid w:val="0"/>
        <w:spacing w:line="460" w:lineRule="exact"/>
        <w:ind w:right="-12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除供应商须知前附表另有规定外，供应商递交的响应文件不允许严重负偏离。</w:t>
      </w:r>
    </w:p>
    <w:p w14:paraId="45DC52FB">
      <w:pPr>
        <w:pStyle w:val="4"/>
        <w:pageBreakBefore w:val="0"/>
        <w:kinsoku/>
        <w:wordWrap/>
        <w:overflowPunct/>
        <w:topLinePunct w:val="0"/>
        <w:bidi w:val="0"/>
        <w:spacing w:line="460" w:lineRule="exact"/>
        <w:jc w:val="center"/>
        <w:textAlignment w:val="auto"/>
        <w:rPr>
          <w:rFonts w:hint="eastAsia" w:ascii="宋体" w:hAnsi="宋体" w:eastAsia="宋体" w:cs="宋体"/>
          <w:color w:val="auto"/>
          <w:sz w:val="24"/>
          <w:szCs w:val="24"/>
        </w:rPr>
      </w:pPr>
      <w:bookmarkStart w:id="36" w:name="_Toc19503"/>
      <w:bookmarkStart w:id="37" w:name="_Toc7122"/>
      <w:bookmarkStart w:id="38" w:name="_Toc2109"/>
      <w:bookmarkStart w:id="39" w:name="_Toc8823"/>
      <w:bookmarkStart w:id="40" w:name="_Toc2198"/>
      <w:r>
        <w:rPr>
          <w:rFonts w:hint="eastAsia" w:ascii="宋体" w:hAnsi="宋体" w:eastAsia="宋体" w:cs="宋体"/>
          <w:color w:val="auto"/>
          <w:sz w:val="24"/>
          <w:szCs w:val="24"/>
        </w:rPr>
        <w:t>二、谈判文件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D6FA447">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41" w:name="_Toc5801"/>
      <w:bookmarkStart w:id="42" w:name="_Toc536202289"/>
      <w:bookmarkStart w:id="43" w:name="_Toc35335256"/>
      <w:bookmarkStart w:id="44" w:name="_Toc23316682"/>
      <w:bookmarkStart w:id="45" w:name="_Toc14189407"/>
      <w:bookmarkStart w:id="46" w:name="_Toc14189270"/>
      <w:bookmarkStart w:id="47" w:name="_Toc23315660"/>
      <w:bookmarkStart w:id="48" w:name="_Toc18412199"/>
      <w:bookmarkStart w:id="49" w:name="_Toc23316520"/>
      <w:bookmarkStart w:id="50" w:name="_Toc23316584"/>
      <w:bookmarkStart w:id="51" w:name="_Toc18709"/>
      <w:bookmarkStart w:id="52" w:name="_Toc32118"/>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竞争性</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文件的构成</w:t>
      </w:r>
      <w:bookmarkEnd w:id="41"/>
      <w:bookmarkEnd w:id="42"/>
    </w:p>
    <w:p w14:paraId="1B4D3118">
      <w:pPr>
        <w:pageBreakBefore w:val="0"/>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文件是供应商准备响应文件和参加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的依据，同时也是评审的重要依据，具有</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准法律文件性质。竞争性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文件用以阐明采购项目所需的资质、技术、服务</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及报价等要求、</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程序、有关规定和注意事项以及合同主要条款等。本竞争性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文件包括以下内容： </w:t>
      </w:r>
    </w:p>
    <w:p w14:paraId="781ED45C">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竞争性谈判公告</w:t>
      </w:r>
      <w:r>
        <w:rPr>
          <w:rFonts w:hint="eastAsia" w:ascii="宋体" w:hAnsi="宋体" w:eastAsia="宋体" w:cs="宋体"/>
          <w:color w:val="auto"/>
          <w:sz w:val="24"/>
          <w:szCs w:val="24"/>
          <w:highlight w:val="none"/>
        </w:rPr>
        <w:t>；</w:t>
      </w:r>
    </w:p>
    <w:p w14:paraId="7D0A9AFF">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lang w:val="en-US" w:eastAsia="zh-CN"/>
        </w:rPr>
        <w:t>前附表</w:t>
      </w:r>
      <w:r>
        <w:rPr>
          <w:rFonts w:hint="eastAsia" w:ascii="宋体" w:hAnsi="宋体" w:eastAsia="宋体" w:cs="宋体"/>
          <w:color w:val="auto"/>
          <w:sz w:val="24"/>
          <w:szCs w:val="24"/>
          <w:highlight w:val="none"/>
        </w:rPr>
        <w:t>；</w:t>
      </w:r>
    </w:p>
    <w:p w14:paraId="4BF17CF4">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谈判内容及技术要求</w:t>
      </w:r>
      <w:r>
        <w:rPr>
          <w:rFonts w:hint="eastAsia" w:ascii="宋体" w:hAnsi="宋体" w:eastAsia="宋体" w:cs="宋体"/>
          <w:color w:val="auto"/>
          <w:sz w:val="24"/>
          <w:szCs w:val="24"/>
          <w:highlight w:val="none"/>
        </w:rPr>
        <w:t>；</w:t>
      </w:r>
    </w:p>
    <w:p w14:paraId="3D36850B">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合同主要条款；</w:t>
      </w:r>
    </w:p>
    <w:p w14:paraId="27AC46EF">
      <w:pPr>
        <w:pageBreakBefore w:val="0"/>
        <w:numPr>
          <w:ilvl w:val="0"/>
          <w:numId w:val="3"/>
        </w:numPr>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14:paraId="70EAC5E8">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53" w:name="_Toc536202290"/>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文件的检查及阅读</w:t>
      </w:r>
      <w:bookmarkEnd w:id="53"/>
    </w:p>
    <w:p w14:paraId="736960FD">
      <w:pPr>
        <w:pageBreakBefore w:val="0"/>
        <w:tabs>
          <w:tab w:val="left" w:pos="0"/>
        </w:tabs>
        <w:kinsoku/>
        <w:wordWrap/>
        <w:overflowPunct/>
        <w:topLinePunct w:val="0"/>
        <w:autoSpaceDE/>
        <w:autoSpaceDN/>
        <w:bidi w:val="0"/>
        <w:adjustRightInd w:val="0"/>
        <w:snapToGrid w:val="0"/>
        <w:spacing w:line="460" w:lineRule="exact"/>
        <w:ind w:firstLine="600" w:firstLineChars="2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供应商应认真阅读和充分理解竞争性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文件中所有的事项、格式条款和规范要求。供应商没有对竞争性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文件全面做出实质性响应是供应商的风险。没有按照竞争性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文件要求作出实质性响应的响应文件应作</w:t>
      </w:r>
      <w:r>
        <w:rPr>
          <w:rFonts w:hint="eastAsia" w:ascii="宋体" w:hAnsi="宋体" w:eastAsia="宋体" w:cs="宋体"/>
          <w:color w:val="auto"/>
          <w:sz w:val="24"/>
          <w:szCs w:val="24"/>
          <w:lang w:val="en-US" w:eastAsia="zh-CN"/>
        </w:rPr>
        <w:t>无效文件</w:t>
      </w:r>
      <w:r>
        <w:rPr>
          <w:rFonts w:hint="eastAsia" w:ascii="宋体" w:hAnsi="宋体" w:eastAsia="宋体" w:cs="宋体"/>
          <w:color w:val="auto"/>
          <w:sz w:val="24"/>
          <w:szCs w:val="24"/>
        </w:rPr>
        <w:t>处理。</w:t>
      </w:r>
    </w:p>
    <w:p w14:paraId="43580EF4">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54" w:name="_Toc536202292"/>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rPr>
        <w:t>现场踏勘及</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文件答疑</w:t>
      </w:r>
      <w:bookmarkEnd w:id="54"/>
    </w:p>
    <w:p w14:paraId="57FD1B2D">
      <w:pPr>
        <w:pageBreakBefore w:val="0"/>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招标代理机构将视情况确定是否有必要召开标前答疑会。如果召开标前答疑会，招标代理机构将通知所有已报名领取了</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潜在供应商。在规定的时间，各供应商派技术、预算等相关人员进行现场踏勘和答疑，答疑的问题各供应商以书面形式提交。招标代理机构、采购人共同对各供应商提出的问题进行答复，形成答疑会议纪要。答疑会议纪要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文件中不一致的内容，以答疑会议纪要为准。凡未参加答疑和现场踏勘的供应商，由此造成的偏差由各供应商自行负责。</w:t>
      </w:r>
    </w:p>
    <w:p w14:paraId="1BC3A14A">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55" w:name="_Toc19797"/>
      <w:bookmarkStart w:id="56" w:name="_Toc536202293"/>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竞争性</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文件的澄清</w:t>
      </w:r>
      <w:bookmarkEnd w:id="55"/>
      <w:bookmarkEnd w:id="56"/>
      <w:r>
        <w:rPr>
          <w:rFonts w:hint="eastAsia" w:ascii="宋体" w:hAnsi="宋体" w:eastAsia="宋体" w:cs="宋体"/>
          <w:color w:val="auto"/>
          <w:sz w:val="24"/>
          <w:szCs w:val="24"/>
          <w:u w:val="none"/>
          <w:lang w:eastAsia="zh-CN"/>
        </w:rPr>
        <w:t>和修改</w:t>
      </w:r>
    </w:p>
    <w:p w14:paraId="1B966CB4">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bookmarkStart w:id="57" w:name="_Toc31188"/>
      <w:bookmarkStart w:id="58" w:name="_Toc536202295"/>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rPr>
        <w:t>采购人在谈判截止时间3个工作日前，可以以书面形式对竞争性谈判文件进行必要的澄清或修改，其内容均为竞争性谈判文件的组成部分，并对采购人及投标人起约束作用。</w:t>
      </w:r>
    </w:p>
    <w:p w14:paraId="3C360AF7">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投标人对竞争性谈判文件如有疑问要求澄清，或认为有必要与采购人进行技术交流，应于谈判截止时3个工作日前，以书面形式通知采购代理机构，采购代理机构以书面形式予以答复。</w:t>
      </w:r>
    </w:p>
    <w:p w14:paraId="7871BBC9">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无论是采购代理机构主动对竞争性谈判文件进行必要的修改，或根据投标人的要求对竞争性谈判文件做出的澄清，都将于谈判截止3个工作日前以书面形式发送给所有合格的投标人。</w:t>
      </w:r>
    </w:p>
    <w:p w14:paraId="3966D5C3">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投标人具有约束力。</w:t>
      </w:r>
    </w:p>
    <w:p w14:paraId="17EFFFA1">
      <w:pPr>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根据采购工作进展实际情况，采购人可酌情延长递交竞争性谈判响应文件的截止时间，若延长将另行以书面形式通知各投标人。</w:t>
      </w:r>
    </w:p>
    <w:p w14:paraId="65C44023">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质疑</w:t>
      </w:r>
    </w:p>
    <w:p w14:paraId="370E1FA8">
      <w:pPr>
        <w:pStyle w:val="5"/>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b w:val="0"/>
          <w:color w:val="auto"/>
          <w:sz w:val="24"/>
          <w:szCs w:val="24"/>
          <w:u w:val="none"/>
        </w:rPr>
      </w:pPr>
      <w:r>
        <w:rPr>
          <w:rFonts w:hint="eastAsia" w:ascii="宋体" w:hAnsi="宋体" w:eastAsia="宋体" w:cs="宋体"/>
          <w:b w:val="0"/>
          <w:color w:val="auto"/>
          <w:sz w:val="24"/>
          <w:szCs w:val="24"/>
          <w:u w:val="none"/>
        </w:rPr>
        <w:t>供应商认为</w:t>
      </w:r>
      <w:r>
        <w:rPr>
          <w:rFonts w:hint="eastAsia" w:ascii="宋体" w:hAnsi="宋体" w:eastAsia="宋体" w:cs="宋体"/>
          <w:b w:val="0"/>
          <w:color w:val="auto"/>
          <w:sz w:val="24"/>
          <w:szCs w:val="24"/>
          <w:u w:val="none"/>
          <w:lang w:eastAsia="zh-CN"/>
        </w:rPr>
        <w:t>谈判</w:t>
      </w:r>
      <w:r>
        <w:rPr>
          <w:rFonts w:hint="eastAsia" w:ascii="宋体" w:hAnsi="宋体" w:eastAsia="宋体" w:cs="宋体"/>
          <w:b w:val="0"/>
          <w:color w:val="auto"/>
          <w:sz w:val="24"/>
          <w:szCs w:val="24"/>
          <w:u w:val="none"/>
        </w:rPr>
        <w:t>文件、招标过程和中标结果使自己的权益受到损害的，可以按《政府采购法</w:t>
      </w:r>
      <w:r>
        <w:rPr>
          <w:rFonts w:hint="eastAsia" w:ascii="宋体" w:hAnsi="宋体" w:eastAsia="宋体" w:cs="宋体"/>
          <w:b w:val="0"/>
          <w:color w:val="auto"/>
          <w:sz w:val="24"/>
          <w:szCs w:val="24"/>
          <w:u w:val="none"/>
          <w:lang w:eastAsia="zh-CN"/>
        </w:rPr>
        <w:t>》第五十二条</w:t>
      </w:r>
      <w:r>
        <w:rPr>
          <w:rFonts w:hint="eastAsia" w:ascii="宋体" w:hAnsi="宋体" w:eastAsia="宋体" w:cs="宋体"/>
          <w:b w:val="0"/>
          <w:color w:val="auto"/>
          <w:sz w:val="24"/>
          <w:szCs w:val="24"/>
          <w:u w:val="none"/>
        </w:rPr>
        <w:t>执行。</w:t>
      </w:r>
    </w:p>
    <w:p w14:paraId="1C1901E5">
      <w:pPr>
        <w:pStyle w:val="5"/>
        <w:pageBreakBefore w:val="0"/>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lang w:eastAsia="zh-CN"/>
        </w:rPr>
        <w:t>竞争性谈判</w:t>
      </w:r>
      <w:r>
        <w:rPr>
          <w:rFonts w:hint="eastAsia" w:ascii="宋体" w:hAnsi="宋体" w:eastAsia="宋体" w:cs="宋体"/>
          <w:color w:val="auto"/>
          <w:sz w:val="24"/>
          <w:szCs w:val="24"/>
          <w:u w:val="none"/>
        </w:rPr>
        <w:t>文件的获取</w:t>
      </w:r>
      <w:bookmarkEnd w:id="57"/>
      <w:bookmarkEnd w:id="58"/>
    </w:p>
    <w:p w14:paraId="3C297AB8">
      <w:pPr>
        <w:pageBreakBefore w:val="0"/>
        <w:widowControl/>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供应商必须从代理机构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文件，供应商自行转让或复制竞争性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文件视为无效。</w:t>
      </w:r>
    </w:p>
    <w:p w14:paraId="7EDCC16A">
      <w:pPr>
        <w:pStyle w:val="8"/>
        <w:pageBreakBefore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宋体"/>
          <w:color w:val="auto"/>
          <w:sz w:val="24"/>
          <w:szCs w:val="24"/>
          <w:lang w:eastAsia="zh-CN"/>
        </w:rPr>
      </w:pPr>
      <w:bookmarkStart w:id="59" w:name="_Toc5095"/>
      <w:bookmarkStart w:id="60" w:name="_Toc536202296"/>
      <w:r>
        <w:rPr>
          <w:rFonts w:hint="eastAsia" w:ascii="宋体" w:hAnsi="宋体" w:cs="宋体"/>
          <w:b/>
          <w:bCs/>
          <w:color w:val="auto"/>
          <w:kern w:val="2"/>
          <w:sz w:val="24"/>
          <w:szCs w:val="24"/>
          <w:u w:val="none"/>
          <w:lang w:val="en-US" w:eastAsia="zh-CN" w:bidi="ar-SA"/>
        </w:rPr>
        <w:t>7.</w:t>
      </w:r>
      <w:r>
        <w:rPr>
          <w:rFonts w:hint="eastAsia" w:ascii="宋体" w:hAnsi="宋体" w:eastAsia="宋体" w:cs="宋体"/>
          <w:b/>
          <w:bCs/>
          <w:color w:val="auto"/>
          <w:kern w:val="2"/>
          <w:sz w:val="24"/>
          <w:szCs w:val="24"/>
          <w:u w:val="none"/>
          <w:lang w:val="en-US" w:eastAsia="zh-CN" w:bidi="ar-SA"/>
        </w:rPr>
        <w:t>竞争性谈判文件的解释权归代理机构</w:t>
      </w:r>
      <w:bookmarkEnd w:id="59"/>
      <w:bookmarkEnd w:id="60"/>
      <w:r>
        <w:rPr>
          <w:rFonts w:hint="eastAsia" w:ascii="宋体" w:hAnsi="宋体" w:eastAsia="宋体" w:cs="宋体"/>
          <w:color w:val="auto"/>
          <w:sz w:val="24"/>
          <w:szCs w:val="24"/>
        </w:rPr>
        <w:t>（ 如发现</w:t>
      </w:r>
      <w:r>
        <w:rPr>
          <w:rFonts w:hint="eastAsia" w:ascii="宋体" w:hAnsi="宋体" w:cs="宋体"/>
          <w:color w:val="auto"/>
          <w:sz w:val="24"/>
          <w:szCs w:val="24"/>
          <w:lang w:eastAsia="zh-CN"/>
        </w:rPr>
        <w:t>谈判文件</w:t>
      </w:r>
      <w:r>
        <w:rPr>
          <w:rFonts w:hint="eastAsia" w:ascii="宋体" w:hAnsi="宋体" w:eastAsia="宋体" w:cs="宋体"/>
          <w:color w:val="auto"/>
          <w:sz w:val="24"/>
          <w:szCs w:val="24"/>
        </w:rPr>
        <w:t>内容与现行法律法规不相符的情况，以现行法律法规为准)</w:t>
      </w:r>
      <w:r>
        <w:rPr>
          <w:rFonts w:hint="eastAsia" w:ascii="宋体" w:hAnsi="宋体" w:cs="宋体"/>
          <w:color w:val="auto"/>
          <w:sz w:val="24"/>
          <w:szCs w:val="24"/>
          <w:lang w:eastAsia="zh-CN"/>
        </w:rPr>
        <w:t>。</w:t>
      </w:r>
    </w:p>
    <w:bookmarkEnd w:id="43"/>
    <w:bookmarkEnd w:id="44"/>
    <w:bookmarkEnd w:id="45"/>
    <w:bookmarkEnd w:id="46"/>
    <w:bookmarkEnd w:id="47"/>
    <w:bookmarkEnd w:id="48"/>
    <w:bookmarkEnd w:id="49"/>
    <w:bookmarkEnd w:id="50"/>
    <w:bookmarkEnd w:id="51"/>
    <w:bookmarkEnd w:id="52"/>
    <w:p w14:paraId="77DBD7DA">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highlight w:val="none"/>
        </w:rPr>
      </w:pPr>
      <w:bookmarkStart w:id="61" w:name="_Toc536429374"/>
      <w:bookmarkStart w:id="62" w:name="_Toc536429321"/>
      <w:bookmarkStart w:id="63" w:name="_Toc622"/>
      <w:bookmarkStart w:id="64" w:name="_Toc19543338"/>
      <w:bookmarkStart w:id="65" w:name="_Toc536202297"/>
      <w:bookmarkStart w:id="66" w:name="_Toc536202381"/>
      <w:bookmarkStart w:id="67" w:name="_Toc18867"/>
      <w:bookmarkStart w:id="68" w:name="_Toc30771"/>
      <w:bookmarkStart w:id="69" w:name="_Toc6730"/>
      <w:bookmarkStart w:id="70" w:name="_Toc29536"/>
      <w:bookmarkStart w:id="71" w:name="_Toc12971"/>
      <w:bookmarkStart w:id="72" w:name="_Toc14189411"/>
      <w:bookmarkStart w:id="73" w:name="_Toc23316588"/>
      <w:bookmarkStart w:id="74" w:name="_Toc214"/>
      <w:bookmarkStart w:id="75" w:name="_Toc14189274"/>
      <w:bookmarkStart w:id="76" w:name="_Toc23315664"/>
      <w:bookmarkStart w:id="77" w:name="_Toc35335260"/>
      <w:bookmarkStart w:id="78" w:name="_Toc11198"/>
      <w:bookmarkStart w:id="79" w:name="_Toc23316686"/>
      <w:bookmarkStart w:id="80" w:name="_Toc18412203"/>
      <w:bookmarkStart w:id="81" w:name="_Toc23316524"/>
      <w:r>
        <w:rPr>
          <w:rFonts w:hint="eastAsia" w:ascii="宋体" w:hAnsi="宋体" w:eastAsia="宋体" w:cs="宋体"/>
          <w:b/>
          <w:bCs/>
          <w:color w:val="auto"/>
          <w:kern w:val="0"/>
          <w:sz w:val="24"/>
          <w:szCs w:val="24"/>
          <w:highlight w:val="none"/>
          <w:lang w:eastAsia="zh-CN"/>
        </w:rPr>
        <w:t>三、</w:t>
      </w:r>
      <w:bookmarkEnd w:id="61"/>
      <w:bookmarkEnd w:id="62"/>
      <w:bookmarkEnd w:id="63"/>
      <w:bookmarkEnd w:id="64"/>
      <w:bookmarkEnd w:id="65"/>
      <w:bookmarkEnd w:id="66"/>
      <w:r>
        <w:rPr>
          <w:rFonts w:hint="eastAsia" w:ascii="宋体" w:hAnsi="宋体" w:eastAsia="宋体" w:cs="宋体"/>
          <w:b/>
          <w:bCs/>
          <w:color w:val="auto"/>
          <w:kern w:val="0"/>
          <w:sz w:val="24"/>
          <w:szCs w:val="24"/>
          <w:highlight w:val="none"/>
          <w:lang w:eastAsia="zh-CN"/>
        </w:rPr>
        <w:t>竞争性谈判响应文件及编制要求</w:t>
      </w:r>
      <w:bookmarkEnd w:id="67"/>
      <w:bookmarkEnd w:id="68"/>
      <w:bookmarkEnd w:id="69"/>
      <w:bookmarkEnd w:id="70"/>
      <w:bookmarkEnd w:id="71"/>
    </w:p>
    <w:p w14:paraId="16B24636">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82" w:name="_Toc536202299"/>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响应文件编制的原则</w:t>
      </w:r>
    </w:p>
    <w:p w14:paraId="4E9675AF">
      <w:pPr>
        <w:pageBreakBefore w:val="0"/>
        <w:widowControl/>
        <w:kinsoku/>
        <w:wordWrap/>
        <w:overflowPunct/>
        <w:topLinePunct w:val="0"/>
        <w:autoSpaceDE/>
        <w:autoSpaceDN/>
        <w:bidi w:val="0"/>
        <w:spacing w:line="460" w:lineRule="exact"/>
        <w:ind w:firstLine="480" w:firstLineChars="200"/>
        <w:textAlignment w:val="auto"/>
        <w:outlineLvl w:val="1"/>
        <w:rPr>
          <w:rFonts w:hint="eastAsia" w:ascii="宋体" w:hAnsi="宋体" w:eastAsia="宋体" w:cs="宋体"/>
          <w:bCs/>
          <w:color w:val="auto"/>
          <w:kern w:val="0"/>
          <w:sz w:val="24"/>
          <w:szCs w:val="24"/>
        </w:rPr>
      </w:pPr>
      <w:bookmarkStart w:id="83" w:name="_Toc29165"/>
      <w:bookmarkStart w:id="84" w:name="_Toc27140"/>
      <w:bookmarkStart w:id="85" w:name="_Toc11706"/>
      <w:bookmarkStart w:id="86" w:name="_Toc27568"/>
      <w:bookmarkStart w:id="87" w:name="_Toc14372"/>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1投标人应在认真阅读</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文件所有内容的基础上，按照</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文件的要求编制完整的响应文件。</w:t>
      </w:r>
      <w:r>
        <w:rPr>
          <w:rFonts w:hint="eastAsia" w:ascii="宋体" w:hAnsi="宋体" w:eastAsia="宋体" w:cs="宋体"/>
          <w:bCs/>
          <w:color w:val="auto"/>
          <w:kern w:val="0"/>
          <w:sz w:val="24"/>
          <w:szCs w:val="24"/>
          <w:lang w:eastAsia="zh-CN"/>
        </w:rPr>
        <w:t>谈判</w:t>
      </w:r>
      <w:r>
        <w:rPr>
          <w:rFonts w:hint="eastAsia" w:ascii="宋体" w:hAnsi="宋体" w:eastAsia="宋体" w:cs="宋体"/>
          <w:bCs/>
          <w:color w:val="auto"/>
          <w:kern w:val="0"/>
          <w:sz w:val="24"/>
          <w:szCs w:val="24"/>
        </w:rPr>
        <w:t>文件中对响应文件格式有要求的，应按格式编制并逐项填写内容。投标文件中留有空项的或没有按格式制作的，将被视为不完整响应的投标文件，其投标将有可能被拒绝。</w:t>
      </w:r>
      <w:bookmarkEnd w:id="83"/>
      <w:bookmarkEnd w:id="84"/>
      <w:bookmarkEnd w:id="85"/>
      <w:bookmarkEnd w:id="86"/>
      <w:bookmarkEnd w:id="87"/>
      <w:r>
        <w:rPr>
          <w:rFonts w:hint="eastAsia" w:ascii="宋体" w:hAnsi="宋体" w:eastAsia="宋体" w:cs="宋体"/>
          <w:bCs/>
          <w:color w:val="auto"/>
          <w:kern w:val="0"/>
          <w:sz w:val="24"/>
          <w:szCs w:val="24"/>
        </w:rPr>
        <w:t xml:space="preserve"> </w:t>
      </w:r>
    </w:p>
    <w:p w14:paraId="37EB2389">
      <w:pPr>
        <w:pageBreakBefore w:val="0"/>
        <w:widowControl/>
        <w:kinsoku/>
        <w:wordWrap/>
        <w:overflowPunct/>
        <w:topLinePunct w:val="0"/>
        <w:autoSpaceDE/>
        <w:autoSpaceDN/>
        <w:bidi w:val="0"/>
        <w:spacing w:line="460" w:lineRule="exact"/>
        <w:ind w:firstLine="480" w:firstLineChars="200"/>
        <w:textAlignment w:val="auto"/>
        <w:outlineLvl w:val="1"/>
        <w:rPr>
          <w:rFonts w:hint="eastAsia" w:ascii="宋体" w:hAnsi="宋体" w:eastAsia="宋体" w:cs="宋体"/>
          <w:bCs/>
          <w:color w:val="auto"/>
          <w:kern w:val="0"/>
          <w:sz w:val="24"/>
          <w:szCs w:val="24"/>
        </w:rPr>
      </w:pPr>
      <w:bookmarkStart w:id="88" w:name="_Toc19261"/>
      <w:bookmarkStart w:id="89" w:name="_Toc1174"/>
      <w:bookmarkStart w:id="90" w:name="_Toc22816"/>
      <w:bookmarkStart w:id="91" w:name="_Toc18982"/>
      <w:bookmarkStart w:id="92" w:name="_Toc21971"/>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2投标人必须保证投标文件所提供的全部资料真实可靠，并接受对其中任何资料进一步审查的要求。</w:t>
      </w:r>
      <w:bookmarkEnd w:id="88"/>
      <w:bookmarkEnd w:id="89"/>
      <w:bookmarkEnd w:id="90"/>
      <w:bookmarkEnd w:id="91"/>
      <w:bookmarkEnd w:id="92"/>
    </w:p>
    <w:p w14:paraId="1C87A71E">
      <w:pPr>
        <w:pageBreakBefore w:val="0"/>
        <w:widowControl/>
        <w:kinsoku/>
        <w:wordWrap/>
        <w:overflowPunct/>
        <w:topLinePunct w:val="0"/>
        <w:autoSpaceDE/>
        <w:autoSpaceDN/>
        <w:bidi w:val="0"/>
        <w:spacing w:line="460" w:lineRule="exact"/>
        <w:ind w:firstLine="480" w:firstLineChars="200"/>
        <w:textAlignment w:val="auto"/>
        <w:outlineLvl w:val="1"/>
        <w:rPr>
          <w:rFonts w:hint="eastAsia" w:ascii="宋体" w:hAnsi="宋体" w:eastAsia="宋体" w:cs="宋体"/>
          <w:color w:val="auto"/>
          <w:sz w:val="24"/>
          <w:szCs w:val="24"/>
        </w:rPr>
      </w:pPr>
      <w:bookmarkStart w:id="93" w:name="_Toc19296"/>
      <w:bookmarkStart w:id="94" w:name="_Toc21204"/>
      <w:bookmarkStart w:id="95" w:name="_Toc18807"/>
      <w:bookmarkStart w:id="96" w:name="_Toc17471"/>
      <w:bookmarkStart w:id="97" w:name="_Toc31411"/>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3投标文件须对</w:t>
      </w:r>
      <w:r>
        <w:rPr>
          <w:rFonts w:hint="eastAsia" w:ascii="宋体" w:hAnsi="宋体" w:eastAsia="宋体" w:cs="宋体"/>
          <w:bCs/>
          <w:color w:val="auto"/>
          <w:kern w:val="0"/>
          <w:sz w:val="24"/>
          <w:szCs w:val="24"/>
          <w:lang w:eastAsia="zh-CN"/>
        </w:rPr>
        <w:t>谈判文件</w:t>
      </w:r>
      <w:r>
        <w:rPr>
          <w:rFonts w:hint="eastAsia" w:ascii="宋体" w:hAnsi="宋体" w:eastAsia="宋体" w:cs="宋体"/>
          <w:bCs/>
          <w:color w:val="auto"/>
          <w:kern w:val="0"/>
          <w:sz w:val="24"/>
          <w:szCs w:val="24"/>
        </w:rPr>
        <w:t>中的内容做出实质性和完整性的响应，否则其投标将被视为无效投标，按</w:t>
      </w:r>
      <w:r>
        <w:rPr>
          <w:rFonts w:hint="eastAsia" w:ascii="宋体" w:hAnsi="宋体" w:eastAsia="宋体" w:cs="宋体"/>
          <w:bCs/>
          <w:color w:val="auto"/>
          <w:kern w:val="0"/>
          <w:sz w:val="24"/>
          <w:szCs w:val="24"/>
          <w:lang w:val="en-US" w:eastAsia="zh-CN"/>
        </w:rPr>
        <w:t>无效文件</w:t>
      </w:r>
      <w:r>
        <w:rPr>
          <w:rFonts w:hint="eastAsia" w:ascii="宋体" w:hAnsi="宋体" w:eastAsia="宋体" w:cs="宋体"/>
          <w:bCs/>
          <w:color w:val="auto"/>
          <w:kern w:val="0"/>
          <w:sz w:val="24"/>
          <w:szCs w:val="24"/>
        </w:rPr>
        <w:t>处理。</w:t>
      </w:r>
      <w:bookmarkEnd w:id="93"/>
      <w:bookmarkEnd w:id="94"/>
      <w:bookmarkEnd w:id="95"/>
      <w:bookmarkEnd w:id="96"/>
      <w:bookmarkEnd w:id="97"/>
    </w:p>
    <w:p w14:paraId="13D306D5">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响应文件构成和格式</w:t>
      </w:r>
    </w:p>
    <w:p w14:paraId="1F012D2F">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投标人应按照本须知响应文件构成和格式及</w:t>
      </w:r>
      <w:r>
        <w:rPr>
          <w:rFonts w:hint="eastAsia" w:ascii="宋体" w:hAnsi="宋体" w:eastAsia="宋体" w:cs="宋体"/>
          <w:color w:val="auto"/>
          <w:sz w:val="24"/>
          <w:szCs w:val="24"/>
          <w:lang w:val="en-US" w:eastAsia="zh-CN"/>
        </w:rPr>
        <w:t>谈判文件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五章</w:t>
      </w:r>
      <w:r>
        <w:rPr>
          <w:rFonts w:hint="eastAsia" w:ascii="宋体" w:hAnsi="宋体" w:eastAsia="宋体" w:cs="宋体"/>
          <w:color w:val="auto"/>
          <w:sz w:val="24"/>
          <w:szCs w:val="24"/>
        </w:rPr>
        <w:t>提供的格式编写投标文件，不得缺少</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文件要求填写的表格或提交的资料。</w:t>
      </w:r>
    </w:p>
    <w:p w14:paraId="19F4DADF">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报价</w:t>
      </w:r>
      <w:bookmarkEnd w:id="82"/>
    </w:p>
    <w:p w14:paraId="6DF9C05F">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bookmarkStart w:id="98" w:name="_Toc536202300"/>
      <w:bookmarkStart w:id="99" w:name="_Toc29200"/>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报价为供应商充分考虑</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文件的各项条款和所掌握的市场情况及本项目的实际情况，根据自身情况自主报价；</w:t>
      </w:r>
    </w:p>
    <w:p w14:paraId="60F5BA87">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（2）供应商应在响应报价表中标明本次招标所要求的货物、服务且验收合格的所有费用</w:t>
      </w:r>
      <w:r>
        <w:rPr>
          <w:rFonts w:hint="eastAsia" w:ascii="宋体" w:hAnsi="宋体" w:eastAsia="宋体" w:cs="宋体"/>
          <w:color w:val="auto"/>
          <w:sz w:val="24"/>
          <w:szCs w:val="24"/>
          <w:lang w:eastAsia="zh-CN"/>
        </w:rPr>
        <w:t>；</w:t>
      </w:r>
    </w:p>
    <w:p w14:paraId="1F51FD62">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）凡本</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文件要求（或允许）及供应商认为需要进行报价的各项费用项目，（不论是否要求进入报价）若</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时未报或未在响应文件中予以说明，采购人将按这些费用已包含在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报价中对待；</w:t>
      </w:r>
      <w:r>
        <w:rPr>
          <w:rFonts w:hint="eastAsia" w:ascii="宋体" w:hAnsi="宋体" w:eastAsia="宋体" w:cs="宋体"/>
          <w:color w:val="auto"/>
          <w:spacing w:val="4"/>
          <w:sz w:val="24"/>
          <w:szCs w:val="24"/>
        </w:rPr>
        <w:t>供应商应考虑全部材料的风险，供应商一旦成交，采购人将不再对此部分进行调整；供应商的报价应将此差异考虑在综合单价内，结算时不予调整。</w:t>
      </w:r>
    </w:p>
    <w:p w14:paraId="6861A8F6">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）响应报价表应有法定代表人或被授权人的签字。</w:t>
      </w:r>
    </w:p>
    <w:p w14:paraId="4156C147">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lang w:eastAsia="zh-CN"/>
        </w:rPr>
        <w:t>谈判</w:t>
      </w:r>
      <w:r>
        <w:rPr>
          <w:rFonts w:hint="eastAsia" w:ascii="宋体" w:hAnsi="宋体" w:eastAsia="宋体" w:cs="宋体"/>
          <w:color w:val="auto"/>
          <w:sz w:val="24"/>
          <w:szCs w:val="24"/>
          <w:u w:val="none"/>
        </w:rPr>
        <w:t>货币</w:t>
      </w:r>
      <w:bookmarkEnd w:id="98"/>
      <w:bookmarkEnd w:id="99"/>
    </w:p>
    <w:p w14:paraId="5FA1ADDB">
      <w:pPr>
        <w:pageBreakBefore w:val="0"/>
        <w:widowControl/>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采购人只接受人民币作为唯一</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货币</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以人民币为投标货币</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以元为报价单位，保留小数点后两位。</w:t>
      </w:r>
    </w:p>
    <w:p w14:paraId="737FA74F">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100" w:name="_Toc536202302"/>
      <w:r>
        <w:rPr>
          <w:rFonts w:hint="eastAsia" w:ascii="宋体" w:hAnsi="宋体" w:eastAsia="宋体" w:cs="宋体"/>
          <w:color w:val="auto"/>
          <w:sz w:val="24"/>
          <w:szCs w:val="24"/>
          <w:u w:val="none"/>
          <w:lang w:val="en-US" w:eastAsia="zh-CN"/>
        </w:rPr>
        <w:t xml:space="preserve"> 5.</w:t>
      </w:r>
      <w:r>
        <w:rPr>
          <w:rFonts w:hint="eastAsia" w:ascii="宋体" w:hAnsi="宋体" w:eastAsia="宋体" w:cs="宋体"/>
          <w:color w:val="auto"/>
          <w:sz w:val="24"/>
          <w:szCs w:val="24"/>
          <w:u w:val="none"/>
        </w:rPr>
        <w:t>响应有效期</w:t>
      </w:r>
      <w:bookmarkEnd w:id="100"/>
    </w:p>
    <w:p w14:paraId="22AE994A">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响应文件有效期及法定代表人授权书有效期为递交响应文件截止时间起90个日历日，响应有效期短于此规定期限的响应文件，视为无效文件，其</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将被拒绝。成交单位的响应文件有效期延长至合同执行完毕。</w:t>
      </w:r>
    </w:p>
    <w:p w14:paraId="0C33CD9D">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101" w:name="_Toc536202303"/>
      <w:bookmarkStart w:id="102" w:name="_Toc24827"/>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响应文件的格式、装订、密封和签署</w:t>
      </w:r>
      <w:bookmarkEnd w:id="101"/>
      <w:bookmarkEnd w:id="102"/>
    </w:p>
    <w:p w14:paraId="324C6F17">
      <w:pPr>
        <w:topLinePunct w:val="0"/>
        <w:bidi w:val="0"/>
        <w:spacing w:line="480" w:lineRule="exact"/>
        <w:ind w:firstLine="480" w:firstLineChars="200"/>
        <w:rPr>
          <w:rFonts w:hint="eastAsia" w:ascii="宋体" w:hAnsi="宋体" w:eastAsia="宋体"/>
          <w:color w:val="auto"/>
          <w:sz w:val="24"/>
          <w:highlight w:val="none"/>
          <w:lang w:val="en-US" w:eastAsia="zh-CN"/>
        </w:rPr>
      </w:pPr>
      <w:bookmarkStart w:id="103" w:name="_Toc22752"/>
      <w:bookmarkStart w:id="104" w:name="_Toc536202304"/>
      <w:r>
        <w:rPr>
          <w:rFonts w:hint="eastAsia" w:ascii="宋体" w:hAnsi="宋体" w:eastAsia="宋体"/>
          <w:color w:val="auto"/>
          <w:sz w:val="24"/>
          <w:highlight w:val="none"/>
          <w:lang w:val="en-US" w:eastAsia="zh-CN"/>
        </w:rPr>
        <w:t>6.1供应商须依据竞争性谈判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06EFB508">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6.2响应文件的装订</w:t>
      </w:r>
    </w:p>
    <w:p w14:paraId="120201E3">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资格证明文件壹份除在响应文件正副本中装订外，另外制作一份单独封装在封袋中，封袋正面要标明“资格证明文件”并加盖投标人公章（鲜章）。响应文件正本壹份、副本贰份，分别胶装装订成册，且封面须清楚地标明“正本”、“副本”；若正本和副本不符，以正本为准；同时提供与正本内容一致的电子版（电子文件内容须为签字齐全并加盖投标单位公章（鲜章）正本响应文件全部内容的扫描件，格式为PDF），电子版放置正本密封袋内。</w:t>
      </w:r>
    </w:p>
    <w:p w14:paraId="4DC591AB">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6.3响应文件的签署</w:t>
      </w:r>
    </w:p>
    <w:p w14:paraId="7DD42FFD">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供应商应在响应文件正副本中指定的页面落款处填写供应商全称，并按要求加盖公章及签字（包括响应文件的封面）侧面还需加盖骑缝章。</w:t>
      </w:r>
    </w:p>
    <w:p w14:paraId="7E22BC73">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响应文件应字迹清楚、内容齐全、不得涂改或增删。如有修改和增删，必须有供应商公章及法定代表人或其授权代表签字。</w:t>
      </w:r>
    </w:p>
    <w:p w14:paraId="381C09B6">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因响应文件字迹潦草或表达不清所引起的不利后果由供应商承担。</w:t>
      </w:r>
    </w:p>
    <w:p w14:paraId="34FD5530">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6.4响应文件的密封</w:t>
      </w:r>
    </w:p>
    <w:p w14:paraId="563DB6BB">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资格证明文件、响应文件正本、副本应分开封装在单独的封袋中（封袋不得有破损），且在封袋正面标明“正本”“副本”“资格证明文件”，电子版放置“正本”密封袋内。封袋应加贴封条，并在封线处加盖供应商鲜章，封袋正面要粘贴供应商全称、项目名称、编号等标识且响应文件袋上应加盖供应商公章，如果未按上述规定进行密封，供应商的响应文件有权被拒绝。</w:t>
      </w:r>
    </w:p>
    <w:p w14:paraId="5CEC714E">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如果供应商未按上述要求密封及加写标记，误投或过早启封的响应文件，将自行承担其响应文件被视为无效响应文件的风险。</w:t>
      </w:r>
    </w:p>
    <w:p w14:paraId="3B50C219">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6.5本项目只接受简体中文文字的响应文件；如响应文件中出现外文资料，必须配以中文译文。否则，由此引发的一切责任由供应商自负。</w:t>
      </w:r>
    </w:p>
    <w:p w14:paraId="3D396DA0">
      <w:pPr>
        <w:topLinePunct w:val="0"/>
        <w:bidi w:val="0"/>
        <w:spacing w:line="480" w:lineRule="exact"/>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6.6拒绝接受以电话、传真、电子邮件形式的谈判。</w:t>
      </w:r>
    </w:p>
    <w:p w14:paraId="4C3EE089">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7.</w:t>
      </w:r>
      <w:r>
        <w:rPr>
          <w:rFonts w:hint="eastAsia" w:ascii="宋体" w:hAnsi="宋体" w:eastAsia="宋体" w:cs="宋体"/>
          <w:color w:val="auto"/>
          <w:sz w:val="24"/>
          <w:szCs w:val="24"/>
          <w:u w:val="none"/>
        </w:rPr>
        <w:t>知识产权</w:t>
      </w:r>
      <w:bookmarkEnd w:id="103"/>
      <w:bookmarkEnd w:id="104"/>
    </w:p>
    <w:p w14:paraId="2E378C19">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71652984">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2采购人享有本项目在实施过程中产生的知识成果及知识产权。</w:t>
      </w:r>
    </w:p>
    <w:p w14:paraId="532F1EBC">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3供应商如欲在项目实施过程中采用自有知识成果，需在响应文件中声明，并提供相关知识产权证明文件。</w:t>
      </w:r>
    </w:p>
    <w:p w14:paraId="40993A35">
      <w:pPr>
        <w:pageBreakBefore w:val="0"/>
        <w:widowControl/>
        <w:numPr>
          <w:ilvl w:val="0"/>
          <w:numId w:val="0"/>
        </w:numPr>
        <w:kinsoku/>
        <w:wordWrap/>
        <w:overflowPunct/>
        <w:topLinePunct w:val="0"/>
        <w:autoSpaceDE/>
        <w:autoSpaceDN/>
        <w:bidi w:val="0"/>
        <w:spacing w:line="460" w:lineRule="exact"/>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bookmarkStart w:id="105" w:name="_Toc4724"/>
      <w:bookmarkStart w:id="106" w:name="_Toc4733"/>
      <w:bookmarkStart w:id="107" w:name="_Toc22616"/>
      <w:bookmarkStart w:id="108" w:name="_Toc30753"/>
      <w:bookmarkStart w:id="109" w:name="_Toc24267"/>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4如供应商所不拥有的知识产权，则在响应报价中必须包括合法获取该知识产权的相关费用。</w:t>
      </w:r>
      <w:bookmarkEnd w:id="105"/>
      <w:bookmarkEnd w:id="106"/>
      <w:bookmarkEnd w:id="107"/>
      <w:bookmarkEnd w:id="108"/>
      <w:bookmarkEnd w:id="109"/>
      <w:bookmarkStart w:id="110" w:name="_Toc536202305"/>
      <w:bookmarkStart w:id="111" w:name="_Toc4747"/>
      <w:bookmarkStart w:id="112" w:name="_Toc3565"/>
      <w:bookmarkStart w:id="113" w:name="_Toc536429375"/>
      <w:bookmarkStart w:id="114" w:name="_Toc536202382"/>
      <w:bookmarkStart w:id="115" w:name="_Toc536429322"/>
      <w:bookmarkStart w:id="116" w:name="_Toc19543339"/>
      <w:bookmarkStart w:id="117" w:name="_Toc3736"/>
    </w:p>
    <w:p w14:paraId="49A07521">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rPr>
      </w:pPr>
      <w:bookmarkStart w:id="118" w:name="_Toc15236"/>
      <w:bookmarkStart w:id="119" w:name="_Toc7257"/>
      <w:bookmarkStart w:id="120" w:name="_Toc3285"/>
      <w:bookmarkStart w:id="121" w:name="_Toc24983"/>
      <w:bookmarkStart w:id="122" w:name="_Toc23849"/>
      <w:r>
        <w:rPr>
          <w:rFonts w:hint="eastAsia" w:ascii="宋体" w:hAnsi="宋体" w:eastAsia="宋体" w:cs="宋体"/>
          <w:b/>
          <w:bCs/>
          <w:color w:val="auto"/>
          <w:kern w:val="0"/>
          <w:sz w:val="24"/>
          <w:szCs w:val="24"/>
          <w:lang w:eastAsia="zh-CN"/>
        </w:rPr>
        <w:t>四、</w:t>
      </w:r>
      <w:r>
        <w:rPr>
          <w:rFonts w:hint="eastAsia" w:ascii="宋体" w:hAnsi="宋体" w:eastAsia="宋体" w:cs="宋体"/>
          <w:b/>
          <w:bCs/>
          <w:color w:val="auto"/>
          <w:kern w:val="0"/>
          <w:sz w:val="24"/>
          <w:szCs w:val="24"/>
        </w:rPr>
        <w:t>响应文件的递交</w:t>
      </w:r>
      <w:bookmarkEnd w:id="110"/>
      <w:bookmarkEnd w:id="111"/>
      <w:bookmarkEnd w:id="112"/>
      <w:bookmarkEnd w:id="113"/>
      <w:bookmarkEnd w:id="114"/>
      <w:bookmarkEnd w:id="115"/>
      <w:bookmarkEnd w:id="116"/>
      <w:r>
        <w:rPr>
          <w:rFonts w:hint="eastAsia" w:ascii="宋体" w:hAnsi="宋体" w:eastAsia="宋体" w:cs="宋体"/>
          <w:b/>
          <w:bCs/>
          <w:color w:val="auto"/>
          <w:kern w:val="0"/>
          <w:sz w:val="24"/>
          <w:szCs w:val="24"/>
        </w:rPr>
        <w:t>、开启</w:t>
      </w:r>
      <w:bookmarkEnd w:id="118"/>
      <w:bookmarkEnd w:id="119"/>
      <w:bookmarkEnd w:id="120"/>
      <w:bookmarkEnd w:id="121"/>
      <w:bookmarkEnd w:id="122"/>
    </w:p>
    <w:bookmarkEnd w:id="72"/>
    <w:bookmarkEnd w:id="73"/>
    <w:bookmarkEnd w:id="74"/>
    <w:bookmarkEnd w:id="75"/>
    <w:bookmarkEnd w:id="76"/>
    <w:bookmarkEnd w:id="77"/>
    <w:bookmarkEnd w:id="78"/>
    <w:bookmarkEnd w:id="79"/>
    <w:bookmarkEnd w:id="80"/>
    <w:bookmarkEnd w:id="81"/>
    <w:bookmarkEnd w:id="117"/>
    <w:p w14:paraId="3076BF77">
      <w:pPr>
        <w:pStyle w:val="5"/>
        <w:pageBreakBefore w:val="0"/>
        <w:numPr>
          <w:ilvl w:val="0"/>
          <w:numId w:val="0"/>
        </w:numPr>
        <w:kinsoku/>
        <w:wordWrap/>
        <w:overflowPunct/>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u w:val="none"/>
        </w:rPr>
      </w:pPr>
      <w:bookmarkStart w:id="123" w:name="_Toc3685"/>
      <w:bookmarkStart w:id="124" w:name="_Toc536202306"/>
      <w:bookmarkStart w:id="125" w:name="_Toc14189282"/>
      <w:bookmarkStart w:id="126" w:name="_Toc23316592"/>
      <w:bookmarkStart w:id="127" w:name="_Toc8901"/>
      <w:bookmarkStart w:id="128" w:name="_Toc35335264"/>
      <w:bookmarkStart w:id="129" w:name="_Toc18412207"/>
      <w:bookmarkStart w:id="130" w:name="_Toc23316690"/>
      <w:bookmarkStart w:id="131" w:name="_Toc23316528"/>
      <w:bookmarkStart w:id="132" w:name="_Toc14189415"/>
      <w:bookmarkStart w:id="133" w:name="_Toc23315668"/>
      <w:bookmarkStart w:id="134" w:name="_Toc23900"/>
      <w:bookmarkStart w:id="135" w:name="_Toc23316595"/>
      <w:bookmarkStart w:id="136" w:name="_Toc23315671"/>
      <w:bookmarkStart w:id="137" w:name="_Toc25719"/>
      <w:bookmarkStart w:id="138" w:name="_Toc14189418"/>
      <w:bookmarkStart w:id="139" w:name="_Toc14189285"/>
      <w:bookmarkStart w:id="140" w:name="_Toc424636365"/>
      <w:bookmarkStart w:id="141" w:name="_Toc23316531"/>
      <w:bookmarkStart w:id="142" w:name="_Toc18412210"/>
      <w:bookmarkStart w:id="143" w:name="_Toc23316693"/>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纸质响应文件递交</w:t>
      </w:r>
      <w:bookmarkEnd w:id="123"/>
      <w:bookmarkEnd w:id="124"/>
    </w:p>
    <w:p w14:paraId="7A03F766">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1供应商必须在竞争性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文件规定的响应文件递交截止时间之前，将全部响应文件递交至代理机构项目工作人员；代理机构项目承办人在竞争性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文件规定的响应文件递交截止时间前，只负责响应文件的接收、清点、造册登记工作，并请供应商代表签字确认，对其有效性不负任何责任</w:t>
      </w:r>
      <w:r>
        <w:rPr>
          <w:rFonts w:hint="eastAsia" w:ascii="宋体" w:hAnsi="宋体" w:eastAsia="宋体" w:cs="宋体"/>
          <w:color w:val="auto"/>
          <w:sz w:val="24"/>
          <w:szCs w:val="24"/>
          <w:lang w:eastAsia="zh-CN"/>
        </w:rPr>
        <w:t>；</w:t>
      </w:r>
    </w:p>
    <w:p w14:paraId="36FB6BAE">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2代理机构在宣布递交响应文件时间截止之后，拒绝接收任何人送达、递交的响应文件及其他资料；</w:t>
      </w:r>
    </w:p>
    <w:p w14:paraId="073B4415">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3代理机构不接受邮寄的响应文件；</w:t>
      </w:r>
    </w:p>
    <w:p w14:paraId="15223CB6">
      <w:pPr>
        <w:pageBreakBefore w:val="0"/>
        <w:widowControl/>
        <w:tabs>
          <w:tab w:val="left" w:pos="0"/>
        </w:tabs>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4无论供应商成交与否，其响应文件恕不退还。</w:t>
      </w:r>
    </w:p>
    <w:p w14:paraId="2D910D22">
      <w:pPr>
        <w:pageBreakBefore w:val="0"/>
        <w:kinsoku/>
        <w:wordWrap/>
        <w:overflowPunct/>
        <w:topLinePunct w:val="0"/>
        <w:bidi w:val="0"/>
        <w:adjustRightInd w:val="0"/>
        <w:snapToGrid w:val="0"/>
        <w:spacing w:line="460" w:lineRule="exact"/>
        <w:textAlignment w:val="auto"/>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lang w:val="en-US" w:eastAsia="zh-CN"/>
        </w:rPr>
        <w:t xml:space="preserve">    2.</w:t>
      </w:r>
      <w:r>
        <w:rPr>
          <w:rFonts w:hint="eastAsia" w:ascii="宋体" w:hAnsi="宋体" w:eastAsia="宋体" w:cs="宋体"/>
          <w:b/>
          <w:color w:val="auto"/>
          <w:kern w:val="0"/>
          <w:sz w:val="24"/>
          <w:szCs w:val="24"/>
        </w:rPr>
        <w:t>提交竞争性谈判响应文件截止时间、签到、密封核实</w:t>
      </w:r>
    </w:p>
    <w:p w14:paraId="1B6AA142">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1竞争性谈判响应文件须按照竞争性谈判文件规定的时间、地点送达。在提交竞争性谈判响应文件截止时间以后送达的竞争性谈判响应文件，代理机构将拒绝接收投标人的竞争性谈判响应文件。</w:t>
      </w:r>
    </w:p>
    <w:p w14:paraId="7D4B692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2参加报价的投标人代表须在报价投标人签到表中签到。</w:t>
      </w:r>
    </w:p>
    <w:p w14:paraId="60E4660D">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参加报价的投标人代表须在采购代理机构工作人员的主持下及监标人的监督下查验响应文件的密封情况并在报价投标人密封核实情况表中签字确认，投标人代表须对签字确认结果承担相应的法律责任。响应文件经确认无误后，由采购人或采购代理机构当众拆封竞争性谈判文件。</w:t>
      </w:r>
    </w:p>
    <w:p w14:paraId="0AA358CA">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4采购代理机构可以按本须知第二项“竞争性谈判文件”第</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条规定，通知因修改竞争性谈判文件而适当延长谈判截止期。在此情况下，采购单位和投标人受谈判截止期制约的所有权利和义务均应延长至新的截止期。</w:t>
      </w:r>
    </w:p>
    <w:p w14:paraId="540843CA">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3.</w:t>
      </w:r>
      <w:r>
        <w:rPr>
          <w:rFonts w:hint="eastAsia" w:ascii="宋体" w:hAnsi="宋体" w:eastAsia="宋体" w:cs="宋体"/>
          <w:b/>
          <w:color w:val="auto"/>
          <w:kern w:val="0"/>
          <w:sz w:val="24"/>
          <w:szCs w:val="24"/>
        </w:rPr>
        <w:t>竞争性谈判响应文件的修改和撤回</w:t>
      </w:r>
    </w:p>
    <w:p w14:paraId="20C79501">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1投标人在递交竞争性谈判响应文件后，谈判截止时间前，可以修改或撤回其竞争性谈判响应文件。但投标人必须在规定的谈判截止期之前将修改或撤回的书面通知递交到采购代理机构。</w:t>
      </w:r>
    </w:p>
    <w:p w14:paraId="061429E8">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2投标人的修改或撤回通知书应按本须知第</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项第</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条响应文件的格式、装订、密封和签署，并在内层封套上加注“修改”或“撤回”字样。</w:t>
      </w:r>
    </w:p>
    <w:p w14:paraId="2ED7DC93">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3在谈判截止日期之后，投标人不得对其竞争性谈判响应文件做任何修改。从谈判截止期始至竞争性谈判文件确定的竞争性谈判响应文件有效期期满这段时间内，投标人不得撤回其竞争性谈判响应文件。</w:t>
      </w:r>
    </w:p>
    <w:p w14:paraId="734E0F35">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rPr>
        <w:t>竞争性谈判响应文件的有效性</w:t>
      </w:r>
    </w:p>
    <w:p w14:paraId="1A62455E">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1竞争性谈判响应文件有下列情况之一者将视为无效</w:t>
      </w:r>
      <w:r>
        <w:rPr>
          <w:rFonts w:hint="eastAsia" w:ascii="宋体" w:hAnsi="宋体" w:eastAsia="宋体" w:cs="宋体"/>
          <w:b/>
          <w:color w:val="auto"/>
          <w:kern w:val="0"/>
          <w:sz w:val="24"/>
          <w:szCs w:val="24"/>
          <w:lang w:val="en-US" w:eastAsia="zh-CN"/>
        </w:rPr>
        <w:t>文件</w:t>
      </w:r>
      <w:r>
        <w:rPr>
          <w:rFonts w:hint="eastAsia" w:ascii="宋体" w:hAnsi="宋体" w:eastAsia="宋体" w:cs="宋体"/>
          <w:b/>
          <w:color w:val="auto"/>
          <w:kern w:val="0"/>
          <w:sz w:val="24"/>
          <w:szCs w:val="24"/>
        </w:rPr>
        <w:t>：</w:t>
      </w:r>
    </w:p>
    <w:p w14:paraId="65F4DB25">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（1）竞争性谈判响应文件未按规定标记、密封的；</w:t>
      </w:r>
    </w:p>
    <w:p w14:paraId="10270B3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（2）逾期提交电子谈判响应文件或逾期送达纸质谈判响应文件的；</w:t>
      </w:r>
    </w:p>
    <w:p w14:paraId="45EA4B1D">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（3）纸质谈判响应文件未按谈判文件规定要求密封、装订、签署、盖章的,电子谈判响应文件未按谈判文件规定要求加密、签署、盖章的；</w:t>
      </w:r>
    </w:p>
    <w:p w14:paraId="5B0F4AD7">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（4）未按竞争性谈判文件要求提交资格证明文件或未通过竞争性谈判响应文件有效性审查的；</w:t>
      </w:r>
    </w:p>
    <w:p w14:paraId="50FE9A9B">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（5）提交的竞争性谈判响应文件有效期短于竞争性谈判文件规定有效期的；</w:t>
      </w:r>
    </w:p>
    <w:p w14:paraId="3F31B336">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（6）未按谈判小组要求对竞争性谈判响应文件进行澄清（说明或者更正）的；</w:t>
      </w:r>
    </w:p>
    <w:p w14:paraId="3D81B861">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（7）谈判小组对竞争性谈判响应文件评审后，认为在有效性、完整性和响应程度方面没有实质性响应竞争性谈判文件的</w:t>
      </w:r>
      <w:r>
        <w:rPr>
          <w:rFonts w:hint="eastAsia" w:ascii="宋体" w:hAnsi="宋体" w:eastAsia="宋体" w:cs="宋体"/>
          <w:color w:val="auto"/>
          <w:sz w:val="24"/>
        </w:rPr>
        <w:t>或有重大缺项漏项,明显不符合技术规格、技术标准的要求的；</w:t>
      </w:r>
    </w:p>
    <w:p w14:paraId="7D6DC0AE">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kern w:val="0"/>
          <w:sz w:val="24"/>
          <w:szCs w:val="24"/>
        </w:rPr>
        <w:t>（8）重新提交的竞争性谈判响应文件没有实质性响应竞争性谈判文件的</w:t>
      </w:r>
      <w:r>
        <w:rPr>
          <w:rFonts w:hint="eastAsia" w:ascii="宋体" w:hAnsi="宋体" w:eastAsia="宋体" w:cs="宋体"/>
          <w:color w:val="auto"/>
          <w:kern w:val="0"/>
          <w:sz w:val="24"/>
          <w:szCs w:val="24"/>
          <w:lang w:eastAsia="zh-CN"/>
        </w:rPr>
        <w:t>；</w:t>
      </w:r>
    </w:p>
    <w:p w14:paraId="68F582C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（9）投标单位针对同一项目递交两份或多份内容不同的竞争性谈判响应文件，未书面声明哪一份是有效的或出现选择性报价的；</w:t>
      </w:r>
    </w:p>
    <w:p w14:paraId="1BE60784">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（10）谈判报价与市场价偏离较大，或者谈判报价大于项目预算，低于成本，形成不正当竞争的；</w:t>
      </w:r>
    </w:p>
    <w:p w14:paraId="7912596A">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kern w:val="0"/>
          <w:sz w:val="24"/>
          <w:szCs w:val="24"/>
        </w:rPr>
        <w:t>在</w:t>
      </w:r>
      <w:r>
        <w:rPr>
          <w:rFonts w:hint="eastAsia" w:ascii="宋体" w:hAnsi="宋体" w:eastAsia="宋体" w:cs="宋体"/>
          <w:color w:val="auto"/>
          <w:sz w:val="24"/>
          <w:szCs w:val="24"/>
        </w:rPr>
        <w:t>“信用中国”网站(www</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creditchina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gov</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cn)、中国政府采购网(www</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ccgp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gov</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cn )查询到相关主体失信记录的（截止时间点为谈判文件发出至谈判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42B5807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（12）不符合现行法律法规和竞争性谈判文件规定的其他实质性要求的。</w:t>
      </w:r>
    </w:p>
    <w:p w14:paraId="6D41D0D1">
      <w:pPr>
        <w:pageBreakBefore w:val="0"/>
        <w:kinsoku/>
        <w:wordWrap/>
        <w:overflowPunct/>
        <w:topLinePunct w:val="0"/>
        <w:bidi w:val="0"/>
        <w:adjustRightInd w:val="0"/>
        <w:snapToGrid w:val="0"/>
        <w:spacing w:line="460" w:lineRule="exact"/>
        <w:ind w:firstLine="482" w:firstLineChars="200"/>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2有下列情形之一的，视为投标人串通投标，其投标无效：</w:t>
      </w:r>
    </w:p>
    <w:p w14:paraId="6AE3565D">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（1）不同投标人的竞争性谈判响应文件由同一单位或者个人编制；</w:t>
      </w:r>
    </w:p>
    <w:p w14:paraId="529F14A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（2）不同投标人委托同一单位或个人办理谈判事宜；</w:t>
      </w:r>
    </w:p>
    <w:p w14:paraId="360EB71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（3）不同投标人的竞争性谈判响应文件载明的项目管理成员或者联系人员为同一人；</w:t>
      </w:r>
    </w:p>
    <w:p w14:paraId="21D0D2E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（4）不同投标人的竞争性谈判响应文件异常一致或者谈判报价呈规律性差异；</w:t>
      </w:r>
    </w:p>
    <w:p w14:paraId="0C444997">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（5）不同投标人的竞争性谈判响应文件互相混装；</w:t>
      </w:r>
    </w:p>
    <w:p w14:paraId="212BAF50">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lang w:eastAsia="zh-CN"/>
        </w:rPr>
      </w:pPr>
      <w:bookmarkStart w:id="144" w:name="_Toc22133"/>
      <w:bookmarkStart w:id="145" w:name="_Toc8902"/>
      <w:bookmarkStart w:id="146" w:name="_Toc27067"/>
      <w:bookmarkStart w:id="147" w:name="_Toc28770"/>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、谈判</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评审</w:t>
      </w:r>
      <w:r>
        <w:rPr>
          <w:rFonts w:hint="eastAsia" w:ascii="宋体" w:hAnsi="宋体" w:eastAsia="宋体" w:cs="宋体"/>
          <w:b/>
          <w:bCs/>
          <w:color w:val="auto"/>
          <w:kern w:val="0"/>
          <w:sz w:val="24"/>
          <w:szCs w:val="24"/>
          <w:lang w:eastAsia="zh-CN"/>
        </w:rPr>
        <w:t>、定标</w:t>
      </w:r>
      <w:bookmarkEnd w:id="144"/>
      <w:bookmarkEnd w:id="145"/>
      <w:bookmarkEnd w:id="146"/>
      <w:bookmarkEnd w:id="147"/>
    </w:p>
    <w:p w14:paraId="2C60323D">
      <w:pPr>
        <w:pageBreakBefore w:val="0"/>
        <w:kinsoku/>
        <w:wordWrap/>
        <w:overflowPunct/>
        <w:topLinePunct w:val="0"/>
        <w:bidi w:val="0"/>
        <w:spacing w:line="46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eastAsia="zh-CN"/>
        </w:rPr>
        <w:t>1.</w:t>
      </w:r>
      <w:r>
        <w:rPr>
          <w:rFonts w:hint="eastAsia" w:ascii="宋体" w:hAnsi="宋体" w:eastAsia="宋体" w:cs="宋体"/>
          <w:b/>
          <w:bCs/>
          <w:color w:val="auto"/>
          <w:sz w:val="24"/>
        </w:rPr>
        <w:t>谈判</w:t>
      </w:r>
    </w:p>
    <w:p w14:paraId="0CE01B2D">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b w:val="0"/>
          <w:bCs/>
          <w:color w:val="auto"/>
          <w:kern w:val="0"/>
          <w:sz w:val="24"/>
          <w:szCs w:val="24"/>
        </w:rPr>
        <w:t>采购代理机构在</w:t>
      </w:r>
      <w:r>
        <w:rPr>
          <w:rFonts w:hint="eastAsia" w:ascii="宋体" w:hAnsi="宋体" w:eastAsia="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rPr>
        <w:t>文件规定的时间和地点组织</w:t>
      </w:r>
      <w:r>
        <w:rPr>
          <w:rFonts w:hint="eastAsia" w:ascii="宋体" w:hAnsi="宋体" w:eastAsia="宋体" w:cs="宋体"/>
          <w:b w:val="0"/>
          <w:bCs/>
          <w:color w:val="auto"/>
          <w:kern w:val="0"/>
          <w:sz w:val="24"/>
          <w:szCs w:val="24"/>
          <w:lang w:val="en-US" w:eastAsia="zh-CN"/>
        </w:rPr>
        <w:t>谈判会议</w:t>
      </w:r>
      <w:r>
        <w:rPr>
          <w:rFonts w:hint="eastAsia" w:ascii="宋体" w:hAnsi="宋体" w:eastAsia="宋体" w:cs="宋体"/>
          <w:b w:val="0"/>
          <w:bCs/>
          <w:color w:val="auto"/>
          <w:kern w:val="0"/>
          <w:sz w:val="24"/>
          <w:szCs w:val="24"/>
        </w:rPr>
        <w:t>。</w:t>
      </w:r>
    </w:p>
    <w:p w14:paraId="21B568D8">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2开标仪式由采购代理机构主持，采购人代表及有关人员参加。</w:t>
      </w:r>
    </w:p>
    <w:p w14:paraId="375F0C4A">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3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6287603">
      <w:pPr>
        <w:pageBreakBefore w:val="0"/>
        <w:kinsoku/>
        <w:wordWrap/>
        <w:overflowPunct/>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b w:val="0"/>
          <w:bCs/>
          <w:color w:val="auto"/>
          <w:kern w:val="0"/>
          <w:sz w:val="24"/>
          <w:szCs w:val="24"/>
        </w:rPr>
        <w:t>由</w:t>
      </w:r>
      <w:r>
        <w:rPr>
          <w:rFonts w:hint="eastAsia" w:ascii="宋体" w:hAnsi="宋体" w:eastAsia="宋体" w:cs="宋体"/>
          <w:b w:val="0"/>
          <w:bCs/>
          <w:color w:val="auto"/>
          <w:kern w:val="0"/>
          <w:sz w:val="24"/>
          <w:szCs w:val="24"/>
          <w:lang w:val="en-US" w:eastAsia="zh-CN"/>
        </w:rPr>
        <w:t>谈判</w:t>
      </w:r>
      <w:r>
        <w:rPr>
          <w:rFonts w:hint="eastAsia" w:ascii="宋体" w:hAnsi="宋体" w:eastAsia="宋体" w:cs="宋体"/>
          <w:b w:val="0"/>
          <w:bCs/>
          <w:color w:val="auto"/>
          <w:kern w:val="0"/>
          <w:sz w:val="24"/>
          <w:szCs w:val="24"/>
          <w:lang w:eastAsia="zh-CN"/>
        </w:rPr>
        <w:t>小组</w:t>
      </w:r>
      <w:r>
        <w:rPr>
          <w:rFonts w:hint="eastAsia" w:ascii="宋体" w:hAnsi="宋体" w:eastAsia="宋体" w:cs="宋体"/>
          <w:b w:val="0"/>
          <w:bCs/>
          <w:color w:val="auto"/>
          <w:kern w:val="0"/>
          <w:sz w:val="24"/>
          <w:szCs w:val="24"/>
        </w:rPr>
        <w:t>查验投标人</w:t>
      </w:r>
      <w:r>
        <w:rPr>
          <w:rFonts w:hint="eastAsia" w:ascii="宋体" w:hAnsi="宋体" w:eastAsia="宋体" w:cs="宋体"/>
          <w:color w:val="auto"/>
          <w:sz w:val="24"/>
          <w:szCs w:val="24"/>
        </w:rPr>
        <w:t>必备资格文件，未通过审查的按</w:t>
      </w:r>
      <w:r>
        <w:rPr>
          <w:rFonts w:hint="eastAsia" w:ascii="宋体" w:hAnsi="宋体" w:eastAsia="宋体" w:cs="宋体"/>
          <w:color w:val="auto"/>
          <w:sz w:val="24"/>
          <w:szCs w:val="24"/>
          <w:lang w:val="en-US" w:eastAsia="zh-CN"/>
        </w:rPr>
        <w:t>无效文件</w:t>
      </w:r>
      <w:r>
        <w:rPr>
          <w:rFonts w:hint="eastAsia" w:ascii="宋体" w:hAnsi="宋体" w:eastAsia="宋体" w:cs="宋体"/>
          <w:color w:val="auto"/>
          <w:sz w:val="24"/>
          <w:szCs w:val="24"/>
        </w:rPr>
        <w:t>处理。</w:t>
      </w:r>
    </w:p>
    <w:p w14:paraId="76B52FBB">
      <w:pPr>
        <w:pageBreakBefore w:val="0"/>
        <w:widowControl/>
        <w:tabs>
          <w:tab w:val="left" w:pos="0"/>
        </w:tabs>
        <w:kinsoku/>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采购代理机构对开标过程进行摄像、文字记录，并存档备查。</w:t>
      </w:r>
    </w:p>
    <w:p w14:paraId="799C262D">
      <w:pPr>
        <w:pageBreakBefore w:val="0"/>
        <w:kinsoku/>
        <w:wordWrap/>
        <w:overflowPunct/>
        <w:topLinePunct w:val="0"/>
        <w:bidi w:val="0"/>
        <w:spacing w:line="46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谈判小组</w:t>
      </w:r>
    </w:p>
    <w:p w14:paraId="647E968C">
      <w:pPr>
        <w:pageBreakBefore w:val="0"/>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bookmarkStart w:id="148" w:name="_Toc385958808"/>
      <w:bookmarkStart w:id="149" w:name="_Toc28085"/>
      <w:bookmarkStart w:id="150" w:name="_Toc536202311"/>
      <w:bookmarkStart w:id="151" w:name="_Toc386129876"/>
      <w:bookmarkStart w:id="152" w:name="_Toc27940"/>
      <w:bookmarkStart w:id="153" w:name="_Toc23316687"/>
      <w:bookmarkStart w:id="154" w:name="_Toc18412204"/>
      <w:bookmarkStart w:id="155" w:name="_Toc23316589"/>
      <w:bookmarkStart w:id="156" w:name="_Toc23315665"/>
      <w:bookmarkStart w:id="157" w:name="_Toc32697"/>
      <w:bookmarkStart w:id="158" w:name="_Toc6298"/>
      <w:bookmarkStart w:id="159" w:name="_Toc23316525"/>
      <w:bookmarkStart w:id="160" w:name="_Toc35335261"/>
      <w:bookmarkStart w:id="161" w:name="_Toc14189275"/>
      <w:bookmarkStart w:id="162" w:name="_Toc14189412"/>
      <w:r>
        <w:rPr>
          <w:rFonts w:hint="eastAsia" w:ascii="宋体" w:hAnsi="宋体" w:eastAsia="宋体" w:cs="宋体"/>
          <w:color w:val="auto"/>
          <w:sz w:val="24"/>
          <w:szCs w:val="24"/>
        </w:rPr>
        <w:t>为确保</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工作公开、公平、公正，依法成立</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小组由采购人及有关专家组成，其中技术方面的专家不少于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小组成员总数的三分之二，专家名单由有关人员在财政部门设立的政府采购评审专家库中随机抽取，</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小组成员应当遵守并履行下列责任和义务：</w:t>
      </w:r>
    </w:p>
    <w:p w14:paraId="793BC5FC">
      <w:pPr>
        <w:pageBreakBefore w:val="0"/>
        <w:kinsoku/>
        <w:wordWrap/>
        <w:topLinePunct w:val="0"/>
        <w:autoSpaceDE/>
        <w:autoSpaceDN/>
        <w:bidi w:val="0"/>
        <w:spacing w:line="460" w:lineRule="exact"/>
        <w:ind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（1）要严格遵守政府采购相关法律制度，依法履行各自职责，公正、客观、审慎地组织和参与评审工作；</w:t>
      </w:r>
    </w:p>
    <w:p w14:paraId="20679BF6">
      <w:pPr>
        <w:pageBreakBefore w:val="0"/>
        <w:tabs>
          <w:tab w:val="left" w:pos="1200"/>
        </w:tabs>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（2）对所有响应文件逐一进行资格性、符合性审查，并</w:t>
      </w:r>
      <w:r>
        <w:rPr>
          <w:rFonts w:hint="eastAsia" w:ascii="宋体" w:hAnsi="宋体" w:eastAsia="宋体" w:cs="宋体"/>
          <w:color w:val="auto"/>
          <w:sz w:val="24"/>
          <w:szCs w:val="24"/>
          <w:lang w:eastAsia="zh-CN"/>
        </w:rPr>
        <w:t>作出评价</w:t>
      </w:r>
      <w:r>
        <w:rPr>
          <w:rFonts w:hint="eastAsia" w:ascii="宋体" w:hAnsi="宋体" w:eastAsia="宋体" w:cs="宋体"/>
          <w:color w:val="auto"/>
          <w:sz w:val="24"/>
          <w:szCs w:val="24"/>
        </w:rPr>
        <w:t>；</w:t>
      </w:r>
    </w:p>
    <w:p w14:paraId="1EC5A105">
      <w:pPr>
        <w:pageBreakBefore w:val="0"/>
        <w:tabs>
          <w:tab w:val="left" w:pos="1200"/>
        </w:tabs>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文件规定的评审方法和标准，进行比较和评价；对供应商的价格分等客观评分项的评分应当一致；</w:t>
      </w:r>
    </w:p>
    <w:p w14:paraId="159E0784">
      <w:pPr>
        <w:pageBreakBefore w:val="0"/>
        <w:tabs>
          <w:tab w:val="left" w:pos="1200"/>
        </w:tabs>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（4）要求供应商对响应文件有关事项作出解释或澄清；</w:t>
      </w:r>
    </w:p>
    <w:p w14:paraId="2B0DA541">
      <w:pPr>
        <w:pageBreakBefore w:val="0"/>
        <w:kinsoku/>
        <w:wordWrap/>
        <w:topLinePunct w:val="0"/>
        <w:autoSpaceDE/>
        <w:autoSpaceDN/>
        <w:bidi w:val="0"/>
        <w:spacing w:line="460" w:lineRule="exact"/>
        <w:ind w:left="22"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（5）要依法独立评审，按照</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文件的要求和评标标准进行评标，推荐成交候选供应商名单，对评审意见承担个人责任；</w:t>
      </w:r>
    </w:p>
    <w:p w14:paraId="177647BD">
      <w:pPr>
        <w:pageBreakBefore w:val="0"/>
        <w:kinsoku/>
        <w:wordWrap/>
        <w:topLinePunct w:val="0"/>
        <w:autoSpaceDE/>
        <w:autoSpaceDN/>
        <w:bidi w:val="0"/>
        <w:spacing w:line="460" w:lineRule="exact"/>
        <w:ind w:left="-119" w:leftChars="-171"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（6）对需要共同认定的事项存在争议的，按照少数服从多数的原则</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结论。持不同意见的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小组成员应当在评审报告上签署不同意见并说明理由，否则视为同意； </w:t>
      </w:r>
    </w:p>
    <w:p w14:paraId="3D9F711B">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（7）对评审情况以及在评审过程中获悉的国家秘密、商业秘密负有保密责任；</w:t>
      </w:r>
    </w:p>
    <w:p w14:paraId="30022CCC">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配合财政部门的投诉处理工作；</w:t>
      </w:r>
    </w:p>
    <w:p w14:paraId="1266245B">
      <w:pPr>
        <w:pageBreakBefore w:val="0"/>
        <w:kinsoku/>
        <w:wordWrap/>
        <w:topLinePunct w:val="0"/>
        <w:autoSpaceDE/>
        <w:autoSpaceDN/>
        <w:bidi w:val="0"/>
        <w:spacing w:line="460" w:lineRule="exact"/>
        <w:ind w:left="120" w:leftChars="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配合采购人、采购代理机构答复供应商提出的质疑。</w:t>
      </w:r>
    </w:p>
    <w:bookmarkEnd w:id="148"/>
    <w:bookmarkEnd w:id="149"/>
    <w:bookmarkEnd w:id="150"/>
    <w:bookmarkEnd w:id="151"/>
    <w:bookmarkEnd w:id="152"/>
    <w:p w14:paraId="2E95A0B3">
      <w:pPr>
        <w:pStyle w:val="4"/>
        <w:pageBreakBefore w:val="0"/>
        <w:kinsoku/>
        <w:wordWrap/>
        <w:overflowPunct/>
        <w:topLinePunct w:val="0"/>
        <w:bidi w:val="0"/>
        <w:spacing w:line="460" w:lineRule="exact"/>
        <w:ind w:firstLine="482" w:firstLineChars="200"/>
        <w:textAlignment w:val="auto"/>
        <w:rPr>
          <w:rFonts w:hint="eastAsia" w:ascii="宋体" w:hAnsi="宋体" w:eastAsia="宋体" w:cs="宋体"/>
          <w:color w:val="auto"/>
          <w:sz w:val="24"/>
          <w:szCs w:val="24"/>
        </w:rPr>
      </w:pPr>
      <w:bookmarkStart w:id="163" w:name="_Toc5711"/>
      <w:bookmarkStart w:id="164" w:name="_Toc18569"/>
      <w:bookmarkStart w:id="165" w:name="_Toc7843"/>
      <w:bookmarkStart w:id="166" w:name="_Toc27760"/>
      <w:bookmarkStart w:id="167" w:name="_Toc30103"/>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谈判方法及程序</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E78B119">
      <w:pPr>
        <w:pageBreakBefore w:val="0"/>
        <w:kinsoku/>
        <w:wordWrap/>
        <w:overflowPunct/>
        <w:topLinePunct w:val="0"/>
        <w:bidi w:val="0"/>
        <w:spacing w:line="460" w:lineRule="exact"/>
        <w:ind w:firstLine="472" w:firstLineChars="197"/>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按照《政府采购非招标采购方式管理办法》（财政部第74号令）有关规定，对响应文件中的供应商进行审查。出现下列情形的，响应文件将被视为无效：</w:t>
      </w:r>
    </w:p>
    <w:p w14:paraId="0B730469">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（1）未按照谈判文件规定要求格式制作响应文件、签署、盖章的；</w:t>
      </w:r>
    </w:p>
    <w:p w14:paraId="4B08E988">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（2）不具备谈判文件中规定要求的。如果谈判小组认为供应商的响应文件存在疑点，可以要求其现场提供原件进行核查，两者出现不同或在规定的时间内未能及时提供原件的，响应文件视为无效；</w:t>
      </w:r>
    </w:p>
    <w:p w14:paraId="68CF8FD7">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（3）响应文件中无投标有效期或有效期达不到谈判文件要求的；</w:t>
      </w:r>
    </w:p>
    <w:p w14:paraId="4BE8CBF1">
      <w:pPr>
        <w:pageBreakBefore w:val="0"/>
        <w:kinsoku/>
        <w:wordWrap/>
        <w:overflowPunct/>
        <w:topLinePunct w:val="0"/>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（4）响应文件的构成缺少其中一项或某项达不到谈判文件要求的；</w:t>
      </w:r>
    </w:p>
    <w:p w14:paraId="44EF9690">
      <w:pPr>
        <w:pStyle w:val="86"/>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（5）供应商单位负责人为同一人或者存在直接控股、管理关系的不同供应商，参加同一合同项下的政府采购活动的；</w:t>
      </w:r>
    </w:p>
    <w:p w14:paraId="137340E2">
      <w:pPr>
        <w:pStyle w:val="86"/>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（6）投标报价子目出现漏项或数量与谈判文件要求不符的；</w:t>
      </w:r>
    </w:p>
    <w:p w14:paraId="3F0AC457">
      <w:pPr>
        <w:pStyle w:val="86"/>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（7）投标报价与市场价偏离较大，低于成本，形成不正当竞争的；</w:t>
      </w:r>
    </w:p>
    <w:p w14:paraId="6E1FCCF4">
      <w:pPr>
        <w:pStyle w:val="86"/>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（8）投标内容与谈判文件要求的采购标的、规格型号、采购数量、技术和服务要求等实质性内容出现重大负偏差的；</w:t>
      </w:r>
    </w:p>
    <w:p w14:paraId="78A7AD0E">
      <w:pPr>
        <w:pStyle w:val="86"/>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（9）提供虚假技术性能指标的（出现技术指标前后矛盾的，以国家职能部门认定的指标为准）；</w:t>
      </w:r>
    </w:p>
    <w:p w14:paraId="1724E55B">
      <w:pPr>
        <w:pStyle w:val="86"/>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（10）响应文件在款项结算、质量保证、验收条件等方面的响应与谈判文件要求不一致或附加了采购人和评标委员会难以接受的条件的；</w:t>
      </w:r>
    </w:p>
    <w:p w14:paraId="4B4E19B3">
      <w:pPr>
        <w:pStyle w:val="86"/>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（11）未响应谈判文件合同主要条款的；</w:t>
      </w:r>
    </w:p>
    <w:p w14:paraId="3F8FB088">
      <w:pPr>
        <w:pStyle w:val="86"/>
        <w:pageBreakBefore w:val="0"/>
        <w:kinsoku/>
        <w:wordWrap/>
        <w:overflowPunct/>
        <w:topLinePunct w:val="0"/>
        <w:bidi w:val="0"/>
        <w:spacing w:line="460" w:lineRule="exact"/>
        <w:ind w:left="0" w:leftChars="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（12）政府采购法律法规规定的其他情形。</w:t>
      </w:r>
    </w:p>
    <w:p w14:paraId="4877365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有下列情形之一的，视为供应商串通投标，其投标无效：</w:t>
      </w:r>
    </w:p>
    <w:p w14:paraId="251F2288">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（1）不同供应商的响应文件由同一单位或者个人编制；</w:t>
      </w:r>
    </w:p>
    <w:p w14:paraId="3900D518">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（2）不同供应商委托同一单位或者个人办理响应事宜；</w:t>
      </w:r>
    </w:p>
    <w:p w14:paraId="2161D14D">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（3）不同供应商的响应文件载明的项目管理成员或者联系人员为同一人；</w:t>
      </w:r>
    </w:p>
    <w:p w14:paraId="50980F10">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（4）不同供应商的响应文件异常一致或者响应报价呈规律性差异；</w:t>
      </w:r>
    </w:p>
    <w:p w14:paraId="27A6FFE7">
      <w:pPr>
        <w:pageBreakBefore w:val="0"/>
        <w:kinsoku/>
        <w:wordWrap/>
        <w:overflowPunct/>
        <w:topLinePunct w:val="0"/>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（5）不同供应商的响应文件相互混装；</w:t>
      </w:r>
    </w:p>
    <w:p w14:paraId="636216C2">
      <w:pPr>
        <w:pStyle w:val="4"/>
        <w:pageBreakBefore w:val="0"/>
        <w:kinsoku/>
        <w:wordWrap/>
        <w:overflowPunct/>
        <w:topLinePunct w:val="0"/>
        <w:bidi w:val="0"/>
        <w:spacing w:line="460" w:lineRule="exact"/>
        <w:ind w:firstLine="482" w:firstLineChars="200"/>
        <w:textAlignment w:val="auto"/>
        <w:rPr>
          <w:rFonts w:hint="eastAsia" w:ascii="宋体" w:hAnsi="宋体" w:eastAsia="宋体" w:cs="宋体"/>
          <w:color w:val="auto"/>
          <w:sz w:val="24"/>
          <w:szCs w:val="24"/>
        </w:rPr>
      </w:pPr>
      <w:bookmarkStart w:id="168" w:name="_Toc20263"/>
      <w:bookmarkStart w:id="169" w:name="_Toc411064159"/>
      <w:bookmarkStart w:id="170" w:name="_Toc2180"/>
      <w:bookmarkStart w:id="171" w:name="_Toc18412205"/>
      <w:bookmarkStart w:id="172" w:name="_Toc14189276"/>
      <w:bookmarkStart w:id="173" w:name="_Toc23316688"/>
      <w:bookmarkStart w:id="174" w:name="_Toc23315666"/>
      <w:bookmarkStart w:id="175" w:name="_Toc35335262"/>
      <w:bookmarkStart w:id="176" w:name="_Toc14189413"/>
      <w:bookmarkStart w:id="177" w:name="_Toc5741"/>
      <w:bookmarkStart w:id="178" w:name="_Toc23316526"/>
      <w:bookmarkStart w:id="179" w:name="_Toc10833"/>
      <w:bookmarkStart w:id="180" w:name="_Toc23316590"/>
      <w:bookmarkStart w:id="181" w:name="_Toc26827"/>
      <w:bookmarkStart w:id="182" w:name="_Toc9408"/>
      <w:bookmarkStart w:id="183" w:name="_Toc28230"/>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评审办法（比照最低评标价法）</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D4737D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lang w:val="zh-CN"/>
        </w:rPr>
      </w:pPr>
      <w:bookmarkStart w:id="184" w:name="_Toc411064160"/>
      <w:bookmarkStart w:id="185" w:name="_Toc14189277"/>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lang w:val="zh-CN"/>
        </w:rPr>
        <w:t>初步评审</w:t>
      </w:r>
      <w:bookmarkEnd w:id="184"/>
      <w:bookmarkEnd w:id="185"/>
    </w:p>
    <w:p w14:paraId="62624B17">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第一阶段：资格性审查</w:t>
      </w:r>
    </w:p>
    <w:p w14:paraId="25429D3E">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谈判小组依据法律法规和谈判文件</w:t>
      </w:r>
      <w:r>
        <w:rPr>
          <w:rFonts w:hint="eastAsia" w:ascii="宋体" w:hAnsi="宋体" w:eastAsia="宋体" w:cs="宋体"/>
          <w:color w:val="auto"/>
          <w:sz w:val="24"/>
          <w:szCs w:val="24"/>
          <w:lang w:val="en-US" w:eastAsia="zh-CN"/>
        </w:rPr>
        <w:t>须知前附表第10项</w:t>
      </w:r>
      <w:r>
        <w:rPr>
          <w:rFonts w:hint="eastAsia" w:ascii="宋体" w:hAnsi="宋体" w:eastAsia="宋体" w:cs="宋体"/>
          <w:color w:val="auto"/>
          <w:sz w:val="24"/>
          <w:szCs w:val="24"/>
          <w:lang w:val="zh-CN"/>
        </w:rPr>
        <w:t>的规定，对所有供应商的资格证明（包括信用情况）等进行审查，并确定供应商是否具备谈判资格，填写资格审查表并签字确认。</w:t>
      </w:r>
    </w:p>
    <w:p w14:paraId="36AB132B">
      <w:pPr>
        <w:pageBreakBefore w:val="0"/>
        <w:tabs>
          <w:tab w:val="left" w:pos="3962"/>
        </w:tabs>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第二阶段：符合性审查</w:t>
      </w:r>
      <w:r>
        <w:rPr>
          <w:rFonts w:hint="eastAsia" w:ascii="宋体" w:hAnsi="宋体" w:eastAsia="宋体" w:cs="宋体"/>
          <w:color w:val="auto"/>
          <w:sz w:val="24"/>
          <w:szCs w:val="24"/>
          <w:lang w:val="zh-CN"/>
        </w:rPr>
        <w:tab/>
      </w:r>
    </w:p>
    <w:p w14:paraId="3DDB01B8">
      <w:pPr>
        <w:pageBreakBefore w:val="0"/>
        <w:kinsoku/>
        <w:wordWrap/>
        <w:overflowPunct w:val="0"/>
        <w:topLinePunct w:val="0"/>
        <w:bidi w:val="0"/>
        <w:adjustRightInd w:val="0"/>
        <w:snapToGrid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谈判小组依据谈判文件的规定，对供应商的响应文件的有效性、完整性以及对谈判文件的响应程度进行审查，以确定是否对谈判文件的实质性要求作出响应。应包含以下内容：</w:t>
      </w:r>
    </w:p>
    <w:tbl>
      <w:tblPr>
        <w:tblStyle w:val="34"/>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793"/>
        <w:gridCol w:w="4174"/>
        <w:gridCol w:w="598"/>
        <w:gridCol w:w="1602"/>
      </w:tblGrid>
      <w:tr w14:paraId="1A94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5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3EB8F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41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F5ED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11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55AC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3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16D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9"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C62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0A0C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95" w:type="dxa"/>
            <w:tcBorders>
              <w:top w:val="single" w:color="auto" w:sz="4" w:space="0"/>
              <w:left w:val="single" w:color="auto" w:sz="4" w:space="0"/>
              <w:bottom w:val="single" w:color="auto" w:sz="4" w:space="0"/>
              <w:right w:val="single" w:color="auto" w:sz="4" w:space="0"/>
            </w:tcBorders>
            <w:vAlign w:val="top"/>
          </w:tcPr>
          <w:p w14:paraId="5040E136">
            <w:pPr>
              <w:keepNext w:val="0"/>
              <w:keepLines w:val="0"/>
              <w:widowControl/>
              <w:numPr>
                <w:ilvl w:val="0"/>
                <w:numId w:val="4"/>
              </w:numPr>
              <w:suppressLineNumbers w:val="0"/>
              <w:spacing w:before="0" w:beforeAutospacing="0" w:after="0" w:afterAutospacing="0" w:line="288" w:lineRule="auto"/>
              <w:ind w:left="425" w:leftChars="0" w:right="0" w:rightChars="0" w:hanging="425" w:firstLineChars="0"/>
              <w:rPr>
                <w:rFonts w:hint="eastAsia" w:ascii="宋体" w:hAnsi="宋体" w:eastAsia="宋体" w:cs="宋体"/>
                <w:bCs/>
                <w:color w:val="auto"/>
                <w:kern w:val="0"/>
                <w:sz w:val="24"/>
                <w:szCs w:val="24"/>
                <w:highlight w:val="none"/>
                <w:lang w:val="en-US" w:eastAsia="zh-CN"/>
              </w:rPr>
            </w:pPr>
          </w:p>
        </w:tc>
        <w:tc>
          <w:tcPr>
            <w:tcW w:w="2793" w:type="dxa"/>
            <w:tcBorders>
              <w:top w:val="single" w:color="auto" w:sz="4" w:space="0"/>
              <w:left w:val="single" w:color="auto" w:sz="4" w:space="0"/>
              <w:bottom w:val="single" w:color="auto" w:sz="4" w:space="0"/>
              <w:right w:val="single" w:color="auto" w:sz="4" w:space="0"/>
            </w:tcBorders>
            <w:vAlign w:val="top"/>
          </w:tcPr>
          <w:p w14:paraId="382DF084">
            <w:pPr>
              <w:keepNext w:val="0"/>
              <w:keepLines w:val="0"/>
              <w:widowControl/>
              <w:suppressLineNumbers w:val="0"/>
              <w:spacing w:before="0" w:beforeAutospacing="0" w:after="0" w:afterAutospacing="0" w:line="288" w:lineRule="auto"/>
              <w:ind w:left="0" w:leftChars="0" w:right="0" w:rightChars="0" w:firstLine="200" w:firstLineChars="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正、副本数量及装订方式</w:t>
            </w:r>
          </w:p>
        </w:tc>
        <w:tc>
          <w:tcPr>
            <w:tcW w:w="4174" w:type="dxa"/>
            <w:tcBorders>
              <w:top w:val="single" w:color="auto" w:sz="4" w:space="0"/>
              <w:left w:val="single" w:color="auto" w:sz="4" w:space="0"/>
              <w:bottom w:val="single" w:color="auto" w:sz="4" w:space="0"/>
              <w:right w:val="single" w:color="auto" w:sz="4" w:space="0"/>
            </w:tcBorders>
            <w:vAlign w:val="center"/>
          </w:tcPr>
          <w:p w14:paraId="2BB7C720">
            <w:pPr>
              <w:keepNext w:val="0"/>
              <w:keepLines w:val="0"/>
              <w:widowControl/>
              <w:suppressLineNumbers w:val="0"/>
              <w:spacing w:before="0" w:beforeAutospacing="0" w:after="0" w:afterAutospacing="0" w:line="288" w:lineRule="auto"/>
              <w:ind w:left="0" w:leftChars="0" w:right="0" w:rightChars="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rPr>
              <w:t>均符合</w:t>
            </w:r>
            <w:r>
              <w:rPr>
                <w:rFonts w:hint="eastAsia" w:ascii="宋体" w:hAnsi="宋体" w:eastAsia="宋体" w:cs="宋体"/>
                <w:color w:val="auto"/>
                <w:sz w:val="24"/>
                <w:szCs w:val="24"/>
                <w:lang w:val="en-US" w:eastAsia="zh-CN"/>
              </w:rPr>
              <w:t>竞争性谈判</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要求。</w:t>
            </w:r>
          </w:p>
        </w:tc>
        <w:tc>
          <w:tcPr>
            <w:tcW w:w="598" w:type="dxa"/>
            <w:tcBorders>
              <w:top w:val="single" w:color="auto" w:sz="4" w:space="0"/>
              <w:left w:val="single" w:color="auto" w:sz="4" w:space="0"/>
              <w:bottom w:val="single" w:color="auto" w:sz="4" w:space="0"/>
              <w:right w:val="single" w:color="auto" w:sz="4" w:space="0"/>
            </w:tcBorders>
            <w:vAlign w:val="top"/>
          </w:tcPr>
          <w:p w14:paraId="70CE67E5">
            <w:pPr>
              <w:keepNext w:val="0"/>
              <w:keepLines w:val="0"/>
              <w:widowControl/>
              <w:suppressLineNumbers w:val="0"/>
              <w:spacing w:before="0" w:beforeAutospacing="0" w:after="0" w:afterAutospacing="0" w:line="288" w:lineRule="auto"/>
              <w:ind w:left="0" w:leftChars="0" w:right="0" w:rightChars="0" w:firstLine="200" w:firstLineChars="0"/>
              <w:rPr>
                <w:rFonts w:hint="eastAsia" w:ascii="宋体" w:hAnsi="宋体" w:eastAsia="宋体" w:cs="宋体"/>
                <w:b/>
                <w:bCs/>
                <w:color w:val="auto"/>
                <w:kern w:val="0"/>
                <w:sz w:val="24"/>
                <w:szCs w:val="24"/>
                <w:highlight w:val="none"/>
              </w:rPr>
            </w:pPr>
          </w:p>
        </w:tc>
        <w:tc>
          <w:tcPr>
            <w:tcW w:w="1602" w:type="dxa"/>
            <w:tcBorders>
              <w:top w:val="single" w:color="auto" w:sz="4" w:space="0"/>
              <w:left w:val="single" w:color="auto" w:sz="4" w:space="0"/>
              <w:bottom w:val="single" w:color="auto" w:sz="4" w:space="0"/>
              <w:right w:val="single" w:color="auto" w:sz="4" w:space="0"/>
            </w:tcBorders>
            <w:vAlign w:val="top"/>
          </w:tcPr>
          <w:p w14:paraId="5126B5AB">
            <w:pPr>
              <w:keepNext w:val="0"/>
              <w:keepLines w:val="0"/>
              <w:widowControl/>
              <w:suppressLineNumbers w:val="0"/>
              <w:spacing w:before="0" w:beforeAutospacing="0" w:after="0" w:afterAutospacing="0" w:line="288" w:lineRule="auto"/>
              <w:ind w:left="0" w:leftChars="0" w:right="0" w:rightChars="0" w:firstLine="200" w:firstLineChars="0"/>
              <w:rPr>
                <w:rFonts w:hint="eastAsia" w:ascii="宋体" w:hAnsi="宋体" w:eastAsia="宋体" w:cs="宋体"/>
                <w:b/>
                <w:bCs/>
                <w:color w:val="auto"/>
                <w:kern w:val="0"/>
                <w:sz w:val="24"/>
                <w:szCs w:val="24"/>
                <w:highlight w:val="none"/>
              </w:rPr>
            </w:pPr>
          </w:p>
        </w:tc>
      </w:tr>
      <w:tr w14:paraId="0C1E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53" w:type="pct"/>
            <w:tcBorders>
              <w:top w:val="single" w:color="auto" w:sz="4" w:space="0"/>
              <w:left w:val="single" w:color="auto" w:sz="4" w:space="0"/>
              <w:bottom w:val="single" w:color="auto" w:sz="4" w:space="0"/>
              <w:right w:val="single" w:color="auto" w:sz="4" w:space="0"/>
            </w:tcBorders>
            <w:vAlign w:val="top"/>
          </w:tcPr>
          <w:p w14:paraId="118233C9">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top"/>
          </w:tcPr>
          <w:p w14:paraId="35651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w:t>
            </w: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函、法定代表人委托授权书三处的项目名称、项目编号、标段</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未划分标段的除外</w:t>
            </w:r>
            <w:r>
              <w:rPr>
                <w:rFonts w:hint="eastAsia" w:ascii="宋体" w:hAnsi="宋体" w:eastAsia="宋体" w:cs="宋体"/>
                <w:bCs/>
                <w:color w:val="auto"/>
                <w:kern w:val="0"/>
                <w:sz w:val="24"/>
                <w:szCs w:val="24"/>
                <w:highlight w:val="none"/>
                <w:lang w:eastAsia="zh-CN"/>
              </w:rPr>
              <w:t>）</w:t>
            </w:r>
          </w:p>
        </w:tc>
        <w:tc>
          <w:tcPr>
            <w:tcW w:w="2116" w:type="pct"/>
            <w:tcBorders>
              <w:top w:val="single" w:color="auto" w:sz="4" w:space="0"/>
              <w:left w:val="single" w:color="auto" w:sz="4" w:space="0"/>
              <w:bottom w:val="single" w:color="auto" w:sz="4" w:space="0"/>
              <w:right w:val="single" w:color="auto" w:sz="4" w:space="0"/>
            </w:tcBorders>
            <w:vAlign w:val="center"/>
          </w:tcPr>
          <w:p w14:paraId="6B29B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303" w:type="pct"/>
            <w:tcBorders>
              <w:top w:val="single" w:color="auto" w:sz="4" w:space="0"/>
              <w:left w:val="single" w:color="auto" w:sz="4" w:space="0"/>
              <w:bottom w:val="single" w:color="auto" w:sz="4" w:space="0"/>
              <w:right w:val="single" w:color="auto" w:sz="4" w:space="0"/>
            </w:tcBorders>
            <w:vAlign w:val="top"/>
          </w:tcPr>
          <w:p w14:paraId="245D7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4529B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FE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3" w:type="pct"/>
            <w:tcBorders>
              <w:top w:val="single" w:color="auto" w:sz="4" w:space="0"/>
              <w:left w:val="single" w:color="auto" w:sz="4" w:space="0"/>
              <w:bottom w:val="single" w:color="auto" w:sz="4" w:space="0"/>
              <w:right w:val="single" w:color="auto" w:sz="4" w:space="0"/>
            </w:tcBorders>
            <w:vAlign w:val="top"/>
          </w:tcPr>
          <w:p w14:paraId="4EA8245A">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40335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116" w:type="pct"/>
            <w:tcBorders>
              <w:top w:val="single" w:color="auto" w:sz="4" w:space="0"/>
              <w:left w:val="single" w:color="auto" w:sz="4" w:space="0"/>
              <w:bottom w:val="single" w:color="auto" w:sz="4" w:space="0"/>
              <w:right w:val="single" w:color="auto" w:sz="4" w:space="0"/>
            </w:tcBorders>
            <w:vAlign w:val="top"/>
          </w:tcPr>
          <w:p w14:paraId="599B6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要求签字、盖章。</w:t>
            </w:r>
          </w:p>
        </w:tc>
        <w:tc>
          <w:tcPr>
            <w:tcW w:w="303" w:type="pct"/>
            <w:tcBorders>
              <w:top w:val="single" w:color="auto" w:sz="4" w:space="0"/>
              <w:left w:val="single" w:color="auto" w:sz="4" w:space="0"/>
              <w:bottom w:val="single" w:color="auto" w:sz="4" w:space="0"/>
              <w:right w:val="single" w:color="auto" w:sz="4" w:space="0"/>
            </w:tcBorders>
            <w:vAlign w:val="top"/>
          </w:tcPr>
          <w:p w14:paraId="7C447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7BFCB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5CB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353" w:type="pct"/>
            <w:tcBorders>
              <w:top w:val="single" w:color="auto" w:sz="4" w:space="0"/>
              <w:left w:val="single" w:color="auto" w:sz="4" w:space="0"/>
              <w:bottom w:val="single" w:color="auto" w:sz="4" w:space="0"/>
              <w:right w:val="single" w:color="auto" w:sz="4" w:space="0"/>
            </w:tcBorders>
            <w:vAlign w:val="top"/>
          </w:tcPr>
          <w:p w14:paraId="2E84F7E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72ABA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116" w:type="pct"/>
            <w:tcBorders>
              <w:top w:val="single" w:color="auto" w:sz="4" w:space="0"/>
              <w:left w:val="single" w:color="auto" w:sz="4" w:space="0"/>
              <w:bottom w:val="single" w:color="auto" w:sz="4" w:space="0"/>
              <w:right w:val="single" w:color="auto" w:sz="4" w:space="0"/>
            </w:tcBorders>
            <w:vAlign w:val="top"/>
          </w:tcPr>
          <w:p w14:paraId="0FBEC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rPr>
              <w:t>函</w:t>
            </w:r>
          </w:p>
          <w:p w14:paraId="5E206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二、报价一览表</w:t>
            </w:r>
          </w:p>
          <w:p w14:paraId="69F40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资格证明文件</w:t>
            </w:r>
          </w:p>
          <w:p w14:paraId="14F96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四、技术商务</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lang w:eastAsia="zh-CN"/>
              </w:rPr>
              <w:t>偏离表</w:t>
            </w:r>
          </w:p>
          <w:p w14:paraId="19FC3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五、</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rPr>
              <w:t>方案</w:t>
            </w:r>
          </w:p>
          <w:p w14:paraId="5EDFE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eastAsia="zh-CN"/>
              </w:rPr>
              <w:t>六</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投标单位</w:t>
            </w:r>
            <w:r>
              <w:rPr>
                <w:rFonts w:hint="eastAsia" w:ascii="宋体" w:hAnsi="宋体" w:eastAsia="宋体" w:cs="宋体"/>
                <w:b w:val="0"/>
                <w:bCs w:val="0"/>
                <w:color w:val="auto"/>
                <w:kern w:val="0"/>
                <w:sz w:val="24"/>
                <w:szCs w:val="24"/>
                <w:highlight w:val="none"/>
              </w:rPr>
              <w:t>拒绝政府采购领域商业贿赂承诺书</w:t>
            </w:r>
          </w:p>
        </w:tc>
        <w:tc>
          <w:tcPr>
            <w:tcW w:w="303" w:type="pct"/>
            <w:tcBorders>
              <w:top w:val="single" w:color="auto" w:sz="4" w:space="0"/>
              <w:left w:val="single" w:color="auto" w:sz="4" w:space="0"/>
              <w:bottom w:val="single" w:color="auto" w:sz="4" w:space="0"/>
              <w:right w:val="single" w:color="auto" w:sz="4" w:space="0"/>
            </w:tcBorders>
            <w:vAlign w:val="top"/>
          </w:tcPr>
          <w:p w14:paraId="6A3EC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0251A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4E3B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353" w:type="pct"/>
            <w:tcBorders>
              <w:top w:val="single" w:color="auto" w:sz="4" w:space="0"/>
              <w:left w:val="single" w:color="auto" w:sz="4" w:space="0"/>
              <w:bottom w:val="single" w:color="auto" w:sz="4" w:space="0"/>
              <w:right w:val="single" w:color="auto" w:sz="4" w:space="0"/>
            </w:tcBorders>
            <w:vAlign w:val="top"/>
          </w:tcPr>
          <w:p w14:paraId="13D9CED5">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7E1A4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116" w:type="pct"/>
            <w:tcBorders>
              <w:top w:val="single" w:color="auto" w:sz="4" w:space="0"/>
              <w:left w:val="single" w:color="auto" w:sz="4" w:space="0"/>
              <w:bottom w:val="single" w:color="auto" w:sz="4" w:space="0"/>
              <w:right w:val="single" w:color="auto" w:sz="4" w:space="0"/>
            </w:tcBorders>
            <w:vAlign w:val="center"/>
          </w:tcPr>
          <w:p w14:paraId="79099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的要求。</w:t>
            </w:r>
          </w:p>
        </w:tc>
        <w:tc>
          <w:tcPr>
            <w:tcW w:w="303" w:type="pct"/>
            <w:tcBorders>
              <w:top w:val="single" w:color="auto" w:sz="4" w:space="0"/>
              <w:left w:val="single" w:color="auto" w:sz="4" w:space="0"/>
              <w:bottom w:val="single" w:color="auto" w:sz="4" w:space="0"/>
              <w:right w:val="single" w:color="auto" w:sz="4" w:space="0"/>
            </w:tcBorders>
            <w:vAlign w:val="center"/>
          </w:tcPr>
          <w:p w14:paraId="72B21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46E15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E0B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53" w:type="pct"/>
            <w:tcBorders>
              <w:top w:val="single" w:color="auto" w:sz="4" w:space="0"/>
              <w:left w:val="single" w:color="auto" w:sz="4" w:space="0"/>
              <w:bottom w:val="single" w:color="auto" w:sz="4" w:space="0"/>
              <w:right w:val="single" w:color="auto" w:sz="4" w:space="0"/>
            </w:tcBorders>
            <w:vAlign w:val="top"/>
          </w:tcPr>
          <w:p w14:paraId="4101B8C8">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62B2A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2116" w:type="pct"/>
            <w:tcBorders>
              <w:top w:val="single" w:color="auto" w:sz="4" w:space="0"/>
              <w:left w:val="single" w:color="auto" w:sz="4" w:space="0"/>
              <w:bottom w:val="single" w:color="auto" w:sz="4" w:space="0"/>
              <w:right w:val="single" w:color="auto" w:sz="4" w:space="0"/>
            </w:tcBorders>
            <w:vAlign w:val="top"/>
          </w:tcPr>
          <w:p w14:paraId="06851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（1）</w:t>
            </w: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r>
              <w:rPr>
                <w:rFonts w:hint="eastAsia" w:ascii="宋体" w:hAnsi="宋体" w:eastAsia="宋体" w:cs="宋体"/>
                <w:bCs/>
                <w:color w:val="auto"/>
                <w:kern w:val="0"/>
                <w:sz w:val="24"/>
                <w:szCs w:val="24"/>
                <w:highlight w:val="none"/>
                <w:lang w:eastAsia="zh-CN"/>
              </w:rPr>
              <w:t>；</w:t>
            </w:r>
          </w:p>
          <w:p w14:paraId="07A79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bCs/>
                <w:color w:val="auto"/>
                <w:kern w:val="0"/>
                <w:sz w:val="24"/>
                <w:szCs w:val="24"/>
                <w:highlight w:val="none"/>
                <w:lang w:val="en-US" w:eastAsia="zh-CN"/>
              </w:rPr>
              <w:t>响应报价</w:t>
            </w:r>
            <w:r>
              <w:rPr>
                <w:rFonts w:hint="eastAsia" w:ascii="宋体" w:hAnsi="宋体" w:eastAsia="宋体" w:cs="宋体"/>
                <w:bCs/>
                <w:color w:val="auto"/>
                <w:kern w:val="0"/>
                <w:sz w:val="24"/>
                <w:szCs w:val="24"/>
                <w:highlight w:val="none"/>
              </w:rPr>
              <w:t>表填写符合要求；</w:t>
            </w:r>
          </w:p>
          <w:p w14:paraId="53ADF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eastAsia="宋体" w:cs="宋体"/>
                <w:bCs/>
                <w:color w:val="auto"/>
                <w:kern w:val="0"/>
                <w:sz w:val="24"/>
                <w:szCs w:val="24"/>
                <w:highlight w:val="none"/>
                <w:lang w:eastAsia="zh-CN"/>
              </w:rPr>
              <w:t>谈判文件</w:t>
            </w:r>
            <w:r>
              <w:rPr>
                <w:rFonts w:hint="eastAsia" w:ascii="宋体" w:hAnsi="宋体" w:eastAsia="宋体" w:cs="宋体"/>
                <w:bCs/>
                <w:color w:val="auto"/>
                <w:kern w:val="0"/>
                <w:sz w:val="24"/>
                <w:szCs w:val="24"/>
                <w:highlight w:val="none"/>
              </w:rPr>
              <w:t>规定的最高限价</w:t>
            </w:r>
            <w:r>
              <w:rPr>
                <w:rFonts w:hint="eastAsia" w:ascii="宋体" w:hAnsi="宋体" w:eastAsia="宋体" w:cs="宋体"/>
                <w:bCs/>
                <w:color w:val="auto"/>
                <w:kern w:val="0"/>
                <w:sz w:val="24"/>
                <w:szCs w:val="24"/>
                <w:highlight w:val="none"/>
                <w:lang w:eastAsia="zh-CN"/>
              </w:rPr>
              <w:t>。</w:t>
            </w:r>
          </w:p>
        </w:tc>
        <w:tc>
          <w:tcPr>
            <w:tcW w:w="303" w:type="pct"/>
            <w:tcBorders>
              <w:top w:val="single" w:color="auto" w:sz="4" w:space="0"/>
              <w:left w:val="single" w:color="auto" w:sz="4" w:space="0"/>
              <w:bottom w:val="single" w:color="auto" w:sz="4" w:space="0"/>
              <w:right w:val="single" w:color="auto" w:sz="4" w:space="0"/>
            </w:tcBorders>
            <w:vAlign w:val="top"/>
          </w:tcPr>
          <w:p w14:paraId="7A99D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4721C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01D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353" w:type="pct"/>
            <w:tcBorders>
              <w:top w:val="single" w:color="auto" w:sz="4" w:space="0"/>
              <w:left w:val="single" w:color="auto" w:sz="4" w:space="0"/>
              <w:bottom w:val="single" w:color="auto" w:sz="4" w:space="0"/>
              <w:right w:val="single" w:color="auto" w:sz="4" w:space="0"/>
            </w:tcBorders>
            <w:vAlign w:val="top"/>
          </w:tcPr>
          <w:p w14:paraId="474CE483">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bCs/>
                <w:color w:val="auto"/>
                <w:kern w:val="0"/>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5647F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谈判文件</w:t>
            </w:r>
            <w:r>
              <w:rPr>
                <w:rFonts w:hint="eastAsia" w:ascii="宋体" w:hAnsi="宋体" w:eastAsia="宋体" w:cs="宋体"/>
                <w:bCs/>
                <w:color w:val="auto"/>
                <w:kern w:val="0"/>
                <w:sz w:val="24"/>
                <w:szCs w:val="24"/>
                <w:highlight w:val="none"/>
              </w:rPr>
              <w:t>要求的实质性条款</w:t>
            </w:r>
          </w:p>
        </w:tc>
        <w:tc>
          <w:tcPr>
            <w:tcW w:w="2116" w:type="pct"/>
            <w:tcBorders>
              <w:top w:val="single" w:color="auto" w:sz="4" w:space="0"/>
              <w:left w:val="single" w:color="auto" w:sz="4" w:space="0"/>
              <w:bottom w:val="single" w:color="auto" w:sz="4" w:space="0"/>
              <w:right w:val="single" w:color="auto" w:sz="4" w:space="0"/>
            </w:tcBorders>
            <w:vAlign w:val="center"/>
          </w:tcPr>
          <w:p w14:paraId="65D6E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要求的各项实质性条款。</w:t>
            </w:r>
          </w:p>
        </w:tc>
        <w:tc>
          <w:tcPr>
            <w:tcW w:w="303" w:type="pct"/>
            <w:tcBorders>
              <w:top w:val="single" w:color="auto" w:sz="4" w:space="0"/>
              <w:left w:val="single" w:color="auto" w:sz="4" w:space="0"/>
              <w:bottom w:val="single" w:color="auto" w:sz="4" w:space="0"/>
              <w:right w:val="single" w:color="auto" w:sz="4" w:space="0"/>
            </w:tcBorders>
            <w:vAlign w:val="top"/>
          </w:tcPr>
          <w:p w14:paraId="0B7E5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3DD33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2119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53" w:type="pct"/>
            <w:tcBorders>
              <w:top w:val="single" w:color="auto" w:sz="4" w:space="0"/>
              <w:left w:val="single" w:color="auto" w:sz="4" w:space="0"/>
              <w:bottom w:val="single" w:color="auto" w:sz="4" w:space="0"/>
              <w:right w:val="single" w:color="auto" w:sz="4" w:space="0"/>
            </w:tcBorders>
            <w:vAlign w:val="top"/>
          </w:tcPr>
          <w:p w14:paraId="4DA9901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460" w:lineRule="exact"/>
              <w:ind w:left="425" w:leftChars="0" w:right="0" w:hanging="425" w:firstLineChars="0"/>
              <w:jc w:val="both"/>
              <w:textAlignment w:val="auto"/>
              <w:rPr>
                <w:rFonts w:hint="eastAsia" w:ascii="宋体" w:hAnsi="宋体" w:eastAsia="宋体" w:cs="宋体"/>
                <w:color w:val="auto"/>
                <w:sz w:val="24"/>
                <w:szCs w:val="24"/>
                <w:highlight w:val="none"/>
                <w:lang w:eastAsia="zh-CN"/>
              </w:rPr>
            </w:pPr>
          </w:p>
        </w:tc>
        <w:tc>
          <w:tcPr>
            <w:tcW w:w="1416" w:type="pct"/>
            <w:tcBorders>
              <w:top w:val="single" w:color="auto" w:sz="4" w:space="0"/>
              <w:left w:val="single" w:color="auto" w:sz="4" w:space="0"/>
              <w:bottom w:val="single" w:color="auto" w:sz="4" w:space="0"/>
              <w:right w:val="single" w:color="auto" w:sz="4" w:space="0"/>
            </w:tcBorders>
            <w:vAlign w:val="center"/>
          </w:tcPr>
          <w:p w14:paraId="18667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2116" w:type="pct"/>
            <w:tcBorders>
              <w:top w:val="single" w:color="auto" w:sz="4" w:space="0"/>
              <w:left w:val="single" w:color="auto" w:sz="4" w:space="0"/>
              <w:bottom w:val="single" w:color="auto" w:sz="4" w:space="0"/>
              <w:right w:val="single" w:color="auto" w:sz="4" w:space="0"/>
            </w:tcBorders>
            <w:vAlign w:val="center"/>
          </w:tcPr>
          <w:p w14:paraId="48918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合同主要条款。</w:t>
            </w:r>
          </w:p>
        </w:tc>
        <w:tc>
          <w:tcPr>
            <w:tcW w:w="303" w:type="pct"/>
            <w:tcBorders>
              <w:top w:val="single" w:color="auto" w:sz="4" w:space="0"/>
              <w:left w:val="single" w:color="auto" w:sz="4" w:space="0"/>
              <w:bottom w:val="single" w:color="auto" w:sz="4" w:space="0"/>
              <w:right w:val="single" w:color="auto" w:sz="4" w:space="0"/>
            </w:tcBorders>
            <w:vAlign w:val="top"/>
          </w:tcPr>
          <w:p w14:paraId="6E2CD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9" w:type="pct"/>
            <w:tcBorders>
              <w:top w:val="single" w:color="auto" w:sz="4" w:space="0"/>
              <w:left w:val="single" w:color="auto" w:sz="4" w:space="0"/>
              <w:bottom w:val="single" w:color="auto" w:sz="4" w:space="0"/>
              <w:right w:val="single" w:color="auto" w:sz="4" w:space="0"/>
            </w:tcBorders>
            <w:vAlign w:val="top"/>
          </w:tcPr>
          <w:p w14:paraId="35C72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5681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04CB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谈判小组</w:t>
            </w:r>
            <w:r>
              <w:rPr>
                <w:rFonts w:hint="eastAsia" w:ascii="宋体" w:hAnsi="宋体" w:eastAsia="宋体" w:cs="宋体"/>
                <w:b/>
                <w:bCs/>
                <w:color w:val="auto"/>
                <w:kern w:val="0"/>
                <w:sz w:val="24"/>
                <w:szCs w:val="24"/>
                <w:highlight w:val="none"/>
              </w:rPr>
              <w:t>成员：（签字或盖章）</w:t>
            </w:r>
          </w:p>
        </w:tc>
      </w:tr>
    </w:tbl>
    <w:p w14:paraId="124ECF0B">
      <w:pPr>
        <w:pageBreakBefore w:val="0"/>
        <w:kinsoku/>
        <w:wordWrap/>
        <w:overflowPunct/>
        <w:topLinePunct w:val="0"/>
        <w:autoSpaceDE w:val="0"/>
        <w:autoSpaceDN w:val="0"/>
        <w:bidi w:val="0"/>
        <w:spacing w:line="460" w:lineRule="exact"/>
        <w:ind w:firstLine="482"/>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77B06321">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第三阶段：响应性审查</w:t>
      </w:r>
    </w:p>
    <w:p w14:paraId="2048F7D4">
      <w:pPr>
        <w:pStyle w:val="30"/>
        <w:pageBreakBefore w:val="0"/>
        <w:widowControl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照谈判文件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谈判小组作出的不合格或报价无效的裁定。</w:t>
      </w:r>
    </w:p>
    <w:p w14:paraId="678EB452">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lang w:val="zh-CN"/>
        </w:rPr>
      </w:pPr>
      <w:bookmarkStart w:id="186" w:name="_Toc14189278"/>
      <w:bookmarkStart w:id="187" w:name="_Toc411064161"/>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lang w:val="zh-CN"/>
        </w:rPr>
        <w:t>澄清</w:t>
      </w:r>
      <w:bookmarkEnd w:id="186"/>
      <w:bookmarkEnd w:id="187"/>
    </w:p>
    <w:p w14:paraId="6A92E9A8">
      <w:pPr>
        <w:pStyle w:val="30"/>
        <w:pageBreakBefore w:val="0"/>
        <w:widowControl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7BCAB5B">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A0BB93F">
      <w:pPr>
        <w:pStyle w:val="30"/>
        <w:pageBreakBefore w:val="0"/>
        <w:shd w:val="clear" w:color="auto" w:fill="FFFFFF"/>
        <w:kinsoku/>
        <w:wordWrap/>
        <w:overflowPunct/>
        <w:topLinePunct w:val="0"/>
        <w:bidi w:val="0"/>
        <w:spacing w:beforeAutospacing="0" w:afterAutospacing="0"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44D72A24">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lang w:val="zh-CN"/>
        </w:rPr>
      </w:pPr>
      <w:bookmarkStart w:id="188" w:name="_Toc411064162"/>
      <w:bookmarkStart w:id="189" w:name="_Toc14189279"/>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lang w:val="zh-CN"/>
        </w:rPr>
        <w:t>谈判</w:t>
      </w:r>
      <w:bookmarkEnd w:id="188"/>
      <w:bookmarkEnd w:id="189"/>
    </w:p>
    <w:p w14:paraId="424500BF">
      <w:pPr>
        <w:pageBreakBefore w:val="0"/>
        <w:kinsoku/>
        <w:wordWrap/>
        <w:overflowPunct/>
        <w:topLinePunct w:val="0"/>
        <w:bidi w:val="0"/>
        <w:spacing w:line="460" w:lineRule="exact"/>
        <w:ind w:firstLine="482"/>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3D088088">
      <w:pPr>
        <w:pageBreakBefore w:val="0"/>
        <w:shd w:val="clear" w:color="auto" w:fill="FFFFFF"/>
        <w:kinsoku/>
        <w:wordWrap/>
        <w:overflowPunct/>
        <w:topLinePunct w:val="0"/>
        <w:bidi w:val="0"/>
        <w:spacing w:line="460" w:lineRule="exact"/>
        <w:ind w:firstLine="465"/>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）谈判文件应详细列明采购标的的技术、服务要求，谈判结束后，谈判小组应当要求所有继续参加谈判的供应商在规定时间内提交最终报价，最终报价是供应商响应文件的有效组成部分。</w:t>
      </w:r>
    </w:p>
    <w:p w14:paraId="60D1B8B0">
      <w:pPr>
        <w:pageBreakBefore w:val="0"/>
        <w:shd w:val="clear" w:color="auto" w:fill="FFFFFF"/>
        <w:kinsoku/>
        <w:wordWrap/>
        <w:overflowPunct/>
        <w:topLinePunct w:val="0"/>
        <w:bidi w:val="0"/>
        <w:spacing w:line="460" w:lineRule="exact"/>
        <w:ind w:firstLine="465"/>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）供应商标书内的报价一览表为第一轮报价（即首轮报价）。参加谈判的供应商后一轮报价不得高于其前一轮报价，否则谈判小组有权据此确定其为无效报价，提交最终报价的供应商不得少于三家。</w:t>
      </w:r>
    </w:p>
    <w:p w14:paraId="7FAAE767">
      <w:pPr>
        <w:pStyle w:val="4"/>
        <w:pageBreakBefore w:val="0"/>
        <w:kinsoku/>
        <w:wordWrap/>
        <w:overflowPunct/>
        <w:topLinePunct w:val="0"/>
        <w:bidi w:val="0"/>
        <w:spacing w:line="460" w:lineRule="exact"/>
        <w:ind w:firstLine="482" w:firstLineChars="200"/>
        <w:textAlignment w:val="auto"/>
        <w:rPr>
          <w:rFonts w:hint="eastAsia" w:ascii="宋体" w:hAnsi="宋体" w:eastAsia="宋体" w:cs="宋体"/>
          <w:color w:val="auto"/>
          <w:sz w:val="24"/>
          <w:szCs w:val="24"/>
          <w:lang w:val="zh-CN" w:eastAsia="zh-CN"/>
        </w:rPr>
      </w:pPr>
      <w:bookmarkStart w:id="190" w:name="_Toc17254"/>
      <w:bookmarkStart w:id="191" w:name="_Toc25315"/>
      <w:bookmarkStart w:id="192" w:name="_Toc11542"/>
      <w:bookmarkStart w:id="193" w:name="_Toc411064163"/>
      <w:bookmarkStart w:id="194" w:name="_Toc3798"/>
      <w:bookmarkStart w:id="195" w:name="_Toc14189280"/>
      <w:bookmarkStart w:id="196" w:name="_Toc11420"/>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确定成交供应商</w:t>
      </w:r>
      <w:bookmarkEnd w:id="190"/>
      <w:bookmarkEnd w:id="191"/>
      <w:bookmarkEnd w:id="192"/>
      <w:bookmarkEnd w:id="193"/>
      <w:bookmarkEnd w:id="194"/>
      <w:bookmarkEnd w:id="195"/>
      <w:bookmarkEnd w:id="196"/>
    </w:p>
    <w:p w14:paraId="39D33DE9">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5.1</w:t>
      </w:r>
      <w:r>
        <w:rPr>
          <w:rFonts w:hint="eastAsia" w:ascii="宋体" w:hAnsi="宋体" w:eastAsia="宋体" w:cs="宋体"/>
          <w:color w:val="auto"/>
          <w:kern w:val="0"/>
          <w:sz w:val="24"/>
          <w:szCs w:val="24"/>
          <w:lang w:val="zh-CN"/>
        </w:rPr>
        <w:t>谈判小组从质量和服务均能满足谈判文件实质性响应要求的供应商中，确定最终报价最低的供应商作为成交供应商。</w:t>
      </w:r>
    </w:p>
    <w:p w14:paraId="24933083">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auto"/>
          <w:sz w:val="24"/>
          <w:szCs w:val="24"/>
          <w:lang w:val="en-GB"/>
        </w:rPr>
      </w:pPr>
      <w:r>
        <w:rPr>
          <w:rFonts w:hint="eastAsia" w:ascii="宋体" w:hAnsi="宋体" w:eastAsia="宋体" w:cs="宋体"/>
          <w:color w:val="auto"/>
          <w:kern w:val="0"/>
          <w:sz w:val="24"/>
          <w:szCs w:val="24"/>
          <w:lang w:val="zh-CN"/>
        </w:rPr>
        <w:t>若两家及以上供应商在最终轮次报价中相同且最低的，以货物质量更优者为成交供应商。</w:t>
      </w:r>
    </w:p>
    <w:p w14:paraId="031424C3">
      <w:pPr>
        <w:pageBreakBefore w:val="0"/>
        <w:kinsoku/>
        <w:wordWrap/>
        <w:overflowPunct/>
        <w:topLinePunct w:val="0"/>
        <w:autoSpaceDE w:val="0"/>
        <w:autoSpaceDN w:val="0"/>
        <w:bidi w:val="0"/>
        <w:adjustRightInd w:val="0"/>
        <w:spacing w:line="460" w:lineRule="exact"/>
        <w:ind w:firstLine="480" w:firstLineChars="200"/>
        <w:textAlignment w:val="auto"/>
        <w:rPr>
          <w:rFonts w:hint="eastAsia" w:ascii="宋体" w:hAnsi="宋体" w:eastAsia="宋体" w:cs="宋体"/>
          <w:color w:val="auto"/>
          <w:sz w:val="24"/>
          <w:szCs w:val="24"/>
          <w:lang w:val="en-GB"/>
        </w:rPr>
      </w:pPr>
      <w:r>
        <w:rPr>
          <w:rFonts w:hint="eastAsia" w:ascii="宋体" w:hAnsi="宋体" w:eastAsia="宋体" w:cs="宋体"/>
          <w:color w:val="auto"/>
          <w:kern w:val="0"/>
          <w:sz w:val="24"/>
          <w:szCs w:val="24"/>
          <w:lang w:val="zh-CN"/>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3AE92FAD">
      <w:pPr>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en-US" w:eastAsia="zh-CN"/>
        </w:rPr>
        <w:t>5.2</w:t>
      </w:r>
      <w:r>
        <w:rPr>
          <w:rFonts w:hint="eastAsia" w:ascii="宋体" w:hAnsi="宋体" w:eastAsia="宋体" w:cs="宋体"/>
          <w:color w:val="auto"/>
          <w:sz w:val="24"/>
          <w:szCs w:val="24"/>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68214316">
      <w:pPr>
        <w:pageBreakBefore w:val="0"/>
        <w:kinsoku/>
        <w:wordWrap/>
        <w:overflowPunct/>
        <w:topLinePunct w:val="0"/>
        <w:bidi w:val="0"/>
        <w:spacing w:line="460" w:lineRule="exact"/>
        <w:ind w:firstLine="482" w:firstLineChars="200"/>
        <w:textAlignment w:val="auto"/>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en-US" w:eastAsia="zh-CN" w:bidi="ar-SA"/>
        </w:rPr>
        <w:t>6.</w:t>
      </w:r>
      <w:r>
        <w:rPr>
          <w:rFonts w:hint="eastAsia" w:ascii="宋体" w:hAnsi="宋体" w:eastAsia="宋体" w:cs="宋体"/>
          <w:b/>
          <w:bCs/>
          <w:color w:val="auto"/>
          <w:kern w:val="2"/>
          <w:sz w:val="24"/>
          <w:szCs w:val="24"/>
          <w:lang w:val="zh-CN" w:eastAsia="zh-CN" w:bidi="ar-SA"/>
        </w:rPr>
        <w:t>编写评审报告</w:t>
      </w:r>
    </w:p>
    <w:p w14:paraId="181FF6E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谈判小组根据谈判情况编制评审报告，谈判小组成员对评审报告有异议的，应当在评审报告上签署不同意见，并说明理由，否则视为同意。对拒绝说明理由的，须报政府采购监管部门处理，并将其评审情况如实计入考核表。</w:t>
      </w:r>
    </w:p>
    <w:p w14:paraId="6ACC7A47">
      <w:pPr>
        <w:pStyle w:val="4"/>
        <w:pageBreakBefore w:val="0"/>
        <w:kinsoku/>
        <w:wordWrap/>
        <w:overflowPunct/>
        <w:topLinePunct w:val="0"/>
        <w:bidi w:val="0"/>
        <w:spacing w:line="460" w:lineRule="exact"/>
        <w:ind w:firstLine="482" w:firstLineChars="200"/>
        <w:textAlignment w:val="auto"/>
        <w:rPr>
          <w:rFonts w:hint="eastAsia" w:ascii="宋体" w:hAnsi="宋体" w:eastAsia="宋体" w:cs="宋体"/>
          <w:color w:val="auto"/>
          <w:sz w:val="24"/>
          <w:szCs w:val="24"/>
        </w:rPr>
      </w:pPr>
      <w:bookmarkStart w:id="197" w:name="_Toc21324"/>
      <w:bookmarkStart w:id="198" w:name="_Toc23316689"/>
      <w:bookmarkStart w:id="199" w:name="_Toc12743"/>
      <w:bookmarkStart w:id="200" w:name="_Toc18412206"/>
      <w:bookmarkStart w:id="201" w:name="_Toc23316591"/>
      <w:bookmarkStart w:id="202" w:name="_Toc23627"/>
      <w:bookmarkStart w:id="203" w:name="_Toc14189414"/>
      <w:bookmarkStart w:id="204" w:name="_Toc23316527"/>
      <w:bookmarkStart w:id="205" w:name="_Toc14189281"/>
      <w:bookmarkStart w:id="206" w:name="_Toc1055"/>
      <w:bookmarkStart w:id="207" w:name="_Toc5438"/>
      <w:bookmarkStart w:id="208" w:name="_Toc22281"/>
      <w:bookmarkStart w:id="209" w:name="_Toc35335263"/>
      <w:bookmarkStart w:id="210" w:name="_Toc22011"/>
      <w:bookmarkStart w:id="211" w:name="_Toc23315667"/>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定标</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3ABD27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招标代理机构在评审工作结束后，对评审报告进行审核，在2个工作日内，将评审报告送采购人确认。</w:t>
      </w:r>
    </w:p>
    <w:p w14:paraId="2947DC89">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65BBC70F">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在确定成交供应商后，招标代理机构发布成交公告，向确定的成交供应商发出“成交通知书”。</w:t>
      </w:r>
    </w:p>
    <w:p w14:paraId="0B09F060">
      <w:pPr>
        <w:pageBreakBefore w:val="0"/>
        <w:kinsoku/>
        <w:wordWrap/>
        <w:overflowPunct/>
        <w:topLinePunct w:val="0"/>
        <w:bidi w:val="0"/>
        <w:spacing w:line="4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7.4</w:t>
      </w:r>
      <w:r>
        <w:rPr>
          <w:rFonts w:hint="eastAsia" w:ascii="宋体" w:hAnsi="宋体" w:eastAsia="宋体" w:cs="宋体"/>
          <w:bCs/>
          <w:color w:val="auto"/>
          <w:sz w:val="24"/>
          <w:szCs w:val="24"/>
        </w:rPr>
        <w:t>招标代理机构不做未成交原因的解释。</w:t>
      </w:r>
    </w:p>
    <w:p w14:paraId="6D4C4A5E">
      <w:pPr>
        <w:pageBreakBefore w:val="0"/>
        <w:kinsoku/>
        <w:wordWrap/>
        <w:overflowPunct/>
        <w:topLinePunct w:val="0"/>
        <w:bidi w:val="0"/>
        <w:spacing w:line="4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7.5</w:t>
      </w:r>
      <w:r>
        <w:rPr>
          <w:rFonts w:hint="eastAsia" w:ascii="宋体" w:hAnsi="宋体" w:eastAsia="宋体" w:cs="宋体"/>
          <w:bCs/>
          <w:color w:val="auto"/>
          <w:sz w:val="24"/>
          <w:szCs w:val="24"/>
        </w:rPr>
        <w:t>成交人应在接到招标代理机构通知之日起七日内领取成交通知书。</w:t>
      </w:r>
    </w:p>
    <w:p w14:paraId="15E0FA53">
      <w:pPr>
        <w:pStyle w:val="4"/>
        <w:pageBreakBefore w:val="0"/>
        <w:kinsoku/>
        <w:wordWrap/>
        <w:overflowPunct/>
        <w:topLinePunct w:val="0"/>
        <w:bidi w:val="0"/>
        <w:spacing w:line="460" w:lineRule="exact"/>
        <w:jc w:val="center"/>
        <w:textAlignment w:val="auto"/>
        <w:rPr>
          <w:rFonts w:hint="eastAsia" w:ascii="宋体" w:hAnsi="宋体" w:eastAsia="宋体" w:cs="宋体"/>
          <w:color w:val="auto"/>
          <w:sz w:val="24"/>
          <w:szCs w:val="24"/>
        </w:rPr>
      </w:pPr>
      <w:bookmarkStart w:id="212" w:name="_Toc14736"/>
      <w:bookmarkStart w:id="213" w:name="_Toc27097"/>
      <w:bookmarkStart w:id="214" w:name="_Toc3632"/>
      <w:bookmarkStart w:id="215" w:name="_Toc6540"/>
      <w:bookmarkStart w:id="216" w:name="_Toc6174"/>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、签订政府采购合同</w:t>
      </w:r>
      <w:bookmarkEnd w:id="125"/>
      <w:bookmarkEnd w:id="126"/>
      <w:bookmarkEnd w:id="127"/>
      <w:bookmarkEnd w:id="128"/>
      <w:bookmarkEnd w:id="129"/>
      <w:bookmarkEnd w:id="130"/>
      <w:bookmarkEnd w:id="131"/>
      <w:bookmarkEnd w:id="132"/>
      <w:bookmarkEnd w:id="133"/>
      <w:bookmarkEnd w:id="134"/>
      <w:bookmarkEnd w:id="212"/>
      <w:bookmarkEnd w:id="213"/>
      <w:bookmarkEnd w:id="214"/>
      <w:bookmarkEnd w:id="215"/>
      <w:bookmarkEnd w:id="216"/>
    </w:p>
    <w:p w14:paraId="5E44BE7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采购人与成交供应商应当在成交通知书发出之日起</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日内，按照谈判文件确定的合同文本签订政府采购合同。</w:t>
      </w:r>
    </w:p>
    <w:p w14:paraId="11CF264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采购人不得向成交供应商提出超出谈判文件以外的任何要求作为签订合同的条件，不得与成交供应商订立背离谈判文件确定的合同文本以及采购服务要求实质性内容的协议。</w:t>
      </w:r>
    </w:p>
    <w:p w14:paraId="1E9C3480">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成交供应商拒绝与采购人签订合同的，采购人可以按照评审报告推荐的成交候选人名单排序，确定下一候选人为成交供应商，也可以重新开展政府采购活动。</w:t>
      </w:r>
    </w:p>
    <w:p w14:paraId="2F54B3E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政府采购合同在执行过程中，确需修改、变更时，应当按照相应的审核批准程序办理。</w:t>
      </w:r>
    </w:p>
    <w:p w14:paraId="76DC984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谈判文件、响应文件、澄清等为政府采购合同的组成部分，具有同等法律效力。</w:t>
      </w:r>
    </w:p>
    <w:p w14:paraId="1E2E7AF3">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采购人按有关规定将政府采购合同报送监管机构备案。</w:t>
      </w:r>
    </w:p>
    <w:p w14:paraId="315535F5">
      <w:pPr>
        <w:pStyle w:val="4"/>
        <w:pageBreakBefore w:val="0"/>
        <w:kinsoku/>
        <w:wordWrap/>
        <w:overflowPunct/>
        <w:topLinePunct w:val="0"/>
        <w:bidi w:val="0"/>
        <w:spacing w:line="460" w:lineRule="exact"/>
        <w:jc w:val="center"/>
        <w:textAlignment w:val="auto"/>
        <w:rPr>
          <w:rFonts w:hint="eastAsia" w:ascii="宋体" w:hAnsi="宋体" w:eastAsia="宋体" w:cs="宋体"/>
          <w:color w:val="auto"/>
          <w:sz w:val="24"/>
          <w:szCs w:val="24"/>
        </w:rPr>
      </w:pPr>
      <w:bookmarkStart w:id="217" w:name="_Toc14189283"/>
      <w:bookmarkStart w:id="218" w:name="_Toc20160"/>
      <w:bookmarkStart w:id="219" w:name="_Toc35335265"/>
      <w:bookmarkStart w:id="220" w:name="_Toc23316691"/>
      <w:bookmarkStart w:id="221" w:name="_Toc23316593"/>
      <w:bookmarkStart w:id="222" w:name="_Toc22563"/>
      <w:bookmarkStart w:id="223" w:name="_Toc23316529"/>
      <w:bookmarkStart w:id="224" w:name="_Toc20083"/>
      <w:bookmarkStart w:id="225" w:name="_Toc21443"/>
      <w:bookmarkStart w:id="226" w:name="_Toc9046"/>
      <w:bookmarkStart w:id="227" w:name="_Toc23315669"/>
      <w:bookmarkStart w:id="228" w:name="_Toc14689"/>
      <w:bookmarkStart w:id="229" w:name="_Toc24384"/>
      <w:bookmarkStart w:id="230" w:name="_Toc14189416"/>
      <w:bookmarkStart w:id="231" w:name="_Toc18412208"/>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代理</w:t>
      </w:r>
      <w:r>
        <w:rPr>
          <w:rFonts w:hint="eastAsia" w:ascii="宋体" w:hAnsi="宋体" w:eastAsia="宋体" w:cs="宋体"/>
          <w:color w:val="auto"/>
          <w:sz w:val="24"/>
          <w:szCs w:val="24"/>
        </w:rPr>
        <w:t>服务费</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14A3666">
      <w:pPr>
        <w:pageBreakBefore w:val="0"/>
        <w:widowControl/>
        <w:numPr>
          <w:ilvl w:val="0"/>
          <w:numId w:val="0"/>
        </w:numPr>
        <w:kinsoku/>
        <w:wordWrap/>
        <w:topLinePunct w:val="0"/>
        <w:autoSpaceDE/>
        <w:autoSpaceDN/>
        <w:bidi w:val="0"/>
        <w:spacing w:line="460" w:lineRule="exact"/>
        <w:ind w:firstLine="480" w:firstLineChars="200"/>
        <w:jc w:val="both"/>
        <w:textAlignment w:val="auto"/>
        <w:outlineLvl w:val="1"/>
        <w:rPr>
          <w:rFonts w:hint="eastAsia" w:ascii="宋体" w:hAnsi="宋体" w:eastAsia="宋体" w:cs="宋体"/>
          <w:color w:val="auto"/>
          <w:sz w:val="24"/>
          <w:szCs w:val="24"/>
        </w:rPr>
      </w:pPr>
      <w:bookmarkStart w:id="232" w:name="_Toc30048"/>
      <w:bookmarkStart w:id="233" w:name="_Toc9807"/>
      <w:bookmarkStart w:id="234" w:name="_Toc472"/>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参照国家计委关于印发《招标代理服务收费管理暂行办法》的通知（计价格[2002]1980号）和《国家发展改革委办公厅关于招标代理服务收费有关问题的通知》（发改办价格[2003]857号）规定标准计取。采购代理机构开户名称：安康尚昊招标代理有限公司  开户行名称：中国建设银行股份有限公司安康分行营业部  帐号：61050166371100000492</w:t>
      </w:r>
      <w:bookmarkEnd w:id="232"/>
      <w:bookmarkEnd w:id="233"/>
      <w:bookmarkEnd w:id="234"/>
    </w:p>
    <w:p w14:paraId="7BDCA4A4">
      <w:pPr>
        <w:pageBreakBefore w:val="0"/>
        <w:numPr>
          <w:ilvl w:val="0"/>
          <w:numId w:val="0"/>
        </w:numPr>
        <w:kinsoku/>
        <w:wordWrap/>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2.代理服务费由成交供应商支付，</w:t>
      </w:r>
      <w:r>
        <w:rPr>
          <w:rFonts w:hint="eastAsia" w:ascii="宋体" w:hAnsi="宋体" w:eastAsia="宋体" w:cs="宋体"/>
          <w:color w:val="auto"/>
          <w:sz w:val="24"/>
          <w:szCs w:val="24"/>
        </w:rPr>
        <w:t>在领取成交通知书前，须向采购代理机构一次性支付招标代理服务费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代理服务费以转账、电汇或现金等形式交纳。</w:t>
      </w:r>
      <w:r>
        <w:rPr>
          <w:rFonts w:hint="eastAsia" w:ascii="宋体" w:hAnsi="宋体" w:eastAsia="宋体" w:cs="宋体"/>
          <w:color w:val="auto"/>
          <w:sz w:val="24"/>
          <w:szCs w:val="24"/>
          <w:lang w:val="en-US" w:eastAsia="zh-CN"/>
        </w:rPr>
        <w:t>本项目代理服务费按6000.00元收取。</w:t>
      </w:r>
    </w:p>
    <w:p w14:paraId="012B11FF">
      <w:pPr>
        <w:pageBreakBefore w:val="0"/>
        <w:kinsoku/>
        <w:wordWrap/>
        <w:overflowPunct/>
        <w:topLinePunct w:val="0"/>
        <w:bidi w:val="0"/>
        <w:adjustRightInd w:val="0"/>
        <w:snapToGrid w:val="0"/>
        <w:spacing w:line="460" w:lineRule="exact"/>
        <w:ind w:firstLine="482" w:firstLineChars="200"/>
        <w:jc w:val="center"/>
        <w:textAlignment w:val="auto"/>
        <w:rPr>
          <w:rFonts w:hint="eastAsia" w:ascii="宋体" w:hAnsi="宋体" w:eastAsia="宋体" w:cs="宋体"/>
          <w:b/>
          <w:color w:val="auto"/>
          <w:kern w:val="0"/>
          <w:sz w:val="24"/>
          <w:szCs w:val="24"/>
          <w:lang w:val="zh-CN" w:eastAsia="zh-CN"/>
        </w:rPr>
      </w:pPr>
      <w:r>
        <w:rPr>
          <w:rFonts w:hint="eastAsia" w:ascii="宋体" w:hAnsi="宋体" w:eastAsia="宋体" w:cs="宋体"/>
          <w:b/>
          <w:color w:val="auto"/>
          <w:kern w:val="0"/>
          <w:sz w:val="24"/>
          <w:szCs w:val="24"/>
          <w:lang w:val="zh-CN" w:eastAsia="zh-CN"/>
        </w:rPr>
        <w:t>八、政府采购政策</w:t>
      </w:r>
    </w:p>
    <w:p w14:paraId="07666FE4">
      <w:pPr>
        <w:pageBreakBefore w:val="0"/>
        <w:kinsoku/>
        <w:wordWrap/>
        <w:overflowPunct/>
        <w:topLinePunct w:val="0"/>
        <w:autoSpaceDE w:val="0"/>
        <w:autoSpaceDN w:val="0"/>
        <w:bidi w:val="0"/>
        <w:adjustRightInd w:val="0"/>
        <w:snapToGrid w:val="0"/>
        <w:spacing w:line="460" w:lineRule="exact"/>
        <w:ind w:firstLine="482" w:firstLineChars="200"/>
        <w:textAlignment w:val="auto"/>
        <w:rPr>
          <w:rFonts w:hint="eastAsia" w:ascii="宋体" w:hAnsi="宋体" w:eastAsia="宋体" w:cs="宋体"/>
          <w:b/>
          <w:color w:val="auto"/>
          <w:sz w:val="24"/>
          <w:lang w:val="zh-CN"/>
        </w:rPr>
      </w:pPr>
      <w:r>
        <w:rPr>
          <w:rFonts w:hint="eastAsia" w:ascii="宋体" w:hAnsi="宋体" w:eastAsia="宋体" w:cs="宋体"/>
          <w:b/>
          <w:color w:val="auto"/>
          <w:sz w:val="24"/>
          <w:lang w:val="en-US" w:eastAsia="zh-CN"/>
        </w:rPr>
        <w:t>1.</w:t>
      </w:r>
      <w:r>
        <w:rPr>
          <w:rFonts w:hint="eastAsia" w:ascii="宋体" w:hAnsi="宋体" w:eastAsia="宋体" w:cs="宋体"/>
          <w:b/>
          <w:color w:val="auto"/>
          <w:sz w:val="24"/>
          <w:lang w:val="zh-CN"/>
        </w:rPr>
        <w:t>投标企业政府采购政策</w:t>
      </w:r>
    </w:p>
    <w:p w14:paraId="02F273BA">
      <w:pPr>
        <w:pageBreakBefore w:val="0"/>
        <w:kinsoku/>
        <w:wordWrap/>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依据《中华人民共和国政府采购法》和《中华人民共和国政府采购法实施条例》的有关规定，落实政府采购“优先购买节能环保产品、扶持小微企业、监狱企业、福利企业”等相关政策：</w:t>
      </w:r>
    </w:p>
    <w:p w14:paraId="10B16FDC">
      <w:pPr>
        <w:pageBreakBefore w:val="0"/>
        <w:kinsoku/>
        <w:wordWrap/>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依据</w:t>
      </w:r>
      <w:r>
        <w:rPr>
          <w:rFonts w:hint="eastAsia" w:ascii="宋体" w:hAnsi="宋体" w:eastAsia="宋体" w:cs="宋体"/>
          <w:color w:val="auto"/>
          <w:sz w:val="24"/>
          <w:szCs w:val="24"/>
        </w:rPr>
        <w:t>《政府采购促进中小企业发展管理办法》（财库〔2020〕46号）的有关规定，</w:t>
      </w:r>
      <w:r>
        <w:rPr>
          <w:rFonts w:hint="eastAsia" w:ascii="宋体" w:hAnsi="宋体" w:eastAsia="宋体" w:cs="宋体"/>
          <w:color w:val="auto"/>
          <w:sz w:val="24"/>
          <w:szCs w:val="24"/>
          <w:lang w:val="en-US" w:eastAsia="zh-CN"/>
        </w:rPr>
        <w:t>在政府采购活动中投标人为</w:t>
      </w:r>
      <w:r>
        <w:rPr>
          <w:rFonts w:hint="eastAsia" w:ascii="宋体" w:hAnsi="宋体" w:eastAsia="宋体" w:cs="宋体"/>
          <w:color w:val="auto"/>
          <w:sz w:val="24"/>
          <w:szCs w:val="24"/>
        </w:rPr>
        <w:t>小型和微型企业</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对价格给予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所投</w:t>
      </w:r>
      <w:r>
        <w:rPr>
          <w:rFonts w:hint="eastAsia" w:ascii="宋体" w:hAnsi="宋体" w:eastAsia="宋体" w:cs="宋体"/>
          <w:color w:val="auto"/>
          <w:sz w:val="24"/>
          <w:szCs w:val="24"/>
        </w:rPr>
        <w:t>的货物</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承</w:t>
      </w:r>
      <w:r>
        <w:rPr>
          <w:rFonts w:hint="eastAsia" w:ascii="宋体" w:hAnsi="宋体" w:eastAsia="宋体" w:cs="宋体"/>
          <w:color w:val="auto"/>
          <w:sz w:val="24"/>
          <w:szCs w:val="24"/>
          <w:lang w:val="en-US" w:eastAsia="zh-CN"/>
        </w:rPr>
        <w:t>建</w:t>
      </w:r>
      <w:r>
        <w:rPr>
          <w:rFonts w:hint="eastAsia" w:ascii="宋体" w:hAnsi="宋体" w:eastAsia="宋体" w:cs="宋体"/>
          <w:color w:val="auto"/>
          <w:sz w:val="24"/>
          <w:szCs w:val="24"/>
        </w:rPr>
        <w:t>的工程</w:t>
      </w:r>
      <w:r>
        <w:rPr>
          <w:rFonts w:hint="eastAsia" w:ascii="宋体" w:hAnsi="宋体" w:eastAsia="宋体" w:cs="宋体"/>
          <w:color w:val="auto"/>
          <w:sz w:val="24"/>
          <w:szCs w:val="24"/>
          <w:lang w:val="en-US" w:eastAsia="zh-CN"/>
        </w:rPr>
        <w:t>/承接的</w:t>
      </w:r>
      <w:r>
        <w:rPr>
          <w:rFonts w:hint="eastAsia" w:ascii="宋体" w:hAnsi="宋体" w:eastAsia="宋体" w:cs="宋体"/>
          <w:color w:val="auto"/>
          <w:sz w:val="24"/>
          <w:szCs w:val="24"/>
        </w:rPr>
        <w:t>服务</w:t>
      </w:r>
      <w:r>
        <w:rPr>
          <w:rFonts w:hint="eastAsia" w:ascii="宋体" w:hAnsi="宋体" w:eastAsia="宋体" w:cs="宋体"/>
          <w:color w:val="auto"/>
          <w:sz w:val="24"/>
          <w:szCs w:val="24"/>
          <w:lang w:val="en-US" w:eastAsia="zh-CN"/>
        </w:rPr>
        <w:t>由</w:t>
      </w:r>
      <w:r>
        <w:rPr>
          <w:rFonts w:hint="eastAsia" w:ascii="宋体" w:hAnsi="宋体" w:eastAsia="宋体" w:cs="宋体"/>
          <w:color w:val="auto"/>
          <w:sz w:val="24"/>
          <w:szCs w:val="24"/>
        </w:rPr>
        <w:t>小型和微型</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057D730">
      <w:pPr>
        <w:pageBreakBefore w:val="0"/>
        <w:kinsoku/>
        <w:wordWrap/>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（2）根据财政部、司法部联合下发的《关于政府采购支持监狱企业发展有关问题的通知》（财库〔2014〕68号）的规定，监狱企业视同小型、微型企业。评标时，对监狱企业给与6%</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的价格扣除，用扣除后的价格参与评审；</w:t>
      </w:r>
    </w:p>
    <w:p w14:paraId="40ABE120">
      <w:pPr>
        <w:pageBreakBefore w:val="0"/>
        <w:kinsoku/>
        <w:wordWrap/>
        <w:topLinePunct w:val="0"/>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E33ACF2">
      <w:pPr>
        <w:pageBreakBefore w:val="0"/>
        <w:kinsoku/>
        <w:wordWrap/>
        <w:topLinePunct w:val="0"/>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规定的价格</w:t>
      </w:r>
      <w:r>
        <w:rPr>
          <w:rFonts w:hint="eastAsia" w:ascii="宋体" w:hAnsi="宋体" w:eastAsia="宋体" w:cs="宋体"/>
          <w:color w:val="auto"/>
          <w:sz w:val="24"/>
          <w:szCs w:val="24"/>
          <w:lang w:eastAsia="zh-CN"/>
        </w:rPr>
        <w:t>优惠</w:t>
      </w:r>
      <w:r>
        <w:rPr>
          <w:rFonts w:hint="eastAsia" w:ascii="宋体" w:hAnsi="宋体" w:eastAsia="宋体" w:cs="宋体"/>
          <w:color w:val="auto"/>
          <w:sz w:val="24"/>
          <w:szCs w:val="24"/>
        </w:rPr>
        <w:t>，但不影响投标文件的有效性,对既属于监狱企业、福利企业，同时又满足中小微企业规定的投标单位，其价格</w:t>
      </w:r>
      <w:r>
        <w:rPr>
          <w:rFonts w:hint="eastAsia" w:ascii="宋体" w:hAnsi="宋体" w:eastAsia="宋体" w:cs="宋体"/>
          <w:color w:val="auto"/>
          <w:sz w:val="24"/>
          <w:szCs w:val="24"/>
          <w:lang w:eastAsia="zh-CN"/>
        </w:rPr>
        <w:t>优惠</w:t>
      </w:r>
      <w:r>
        <w:rPr>
          <w:rFonts w:hint="eastAsia" w:ascii="宋体" w:hAnsi="宋体" w:eastAsia="宋体" w:cs="宋体"/>
          <w:color w:val="auto"/>
          <w:sz w:val="24"/>
          <w:szCs w:val="24"/>
        </w:rPr>
        <w:t>仅适用一次。</w:t>
      </w:r>
    </w:p>
    <w:p w14:paraId="5CB927D7">
      <w:pPr>
        <w:pageBreakBefore w:val="0"/>
        <w:kinsoku/>
        <w:wordWrap/>
        <w:overflowPunct/>
        <w:topLinePunct w:val="0"/>
        <w:autoSpaceDE w:val="0"/>
        <w:autoSpaceDN w:val="0"/>
        <w:bidi w:val="0"/>
        <w:adjustRightInd w:val="0"/>
        <w:snapToGrid w:val="0"/>
        <w:spacing w:line="460" w:lineRule="exact"/>
        <w:ind w:firstLine="482" w:firstLineChars="200"/>
        <w:textAlignment w:val="auto"/>
        <w:rPr>
          <w:rFonts w:hint="eastAsia" w:ascii="宋体" w:hAnsi="宋体" w:eastAsia="宋体" w:cs="宋体"/>
          <w:b/>
          <w:color w:val="auto"/>
          <w:sz w:val="24"/>
          <w:lang w:val="zh-CN"/>
        </w:rPr>
      </w:pPr>
      <w:r>
        <w:rPr>
          <w:rFonts w:hint="eastAsia" w:ascii="宋体" w:hAnsi="宋体" w:eastAsia="宋体" w:cs="宋体"/>
          <w:b/>
          <w:color w:val="auto"/>
          <w:sz w:val="24"/>
          <w:lang w:val="en-US" w:eastAsia="zh-CN"/>
        </w:rPr>
        <w:t>2.</w:t>
      </w:r>
      <w:r>
        <w:rPr>
          <w:rFonts w:hint="eastAsia" w:ascii="宋体" w:hAnsi="宋体" w:eastAsia="宋体" w:cs="宋体"/>
          <w:b/>
          <w:color w:val="auto"/>
          <w:sz w:val="24"/>
          <w:lang w:val="zh-CN"/>
        </w:rPr>
        <w:t>投标产品政府采购政策</w:t>
      </w:r>
    </w:p>
    <w:p w14:paraId="5C8E07DB">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（1）节能产品</w:t>
      </w:r>
      <w:r>
        <w:rPr>
          <w:rFonts w:hint="eastAsia" w:ascii="宋体" w:hAnsi="宋体" w:eastAsia="宋体" w:cs="宋体"/>
          <w:color w:val="auto"/>
          <w:sz w:val="24"/>
          <w:lang w:val="zh-CN"/>
        </w:rPr>
        <w:t>根据《国务院办公厅关于建立政府强制采购节能产品制度的通知》</w:t>
      </w:r>
      <w:r>
        <w:rPr>
          <w:rFonts w:hint="eastAsia" w:ascii="宋体" w:hAnsi="宋体" w:eastAsia="宋体" w:cs="宋体"/>
          <w:color w:val="auto"/>
          <w:sz w:val="24"/>
        </w:rPr>
        <w:t>（</w:t>
      </w:r>
      <w:r>
        <w:rPr>
          <w:rFonts w:hint="eastAsia" w:ascii="宋体" w:hAnsi="宋体" w:eastAsia="宋体" w:cs="宋体"/>
          <w:color w:val="auto"/>
          <w:sz w:val="24"/>
          <w:lang w:val="zh-CN"/>
        </w:rPr>
        <w:t>国办发[2007] 51号</w:t>
      </w:r>
      <w:r>
        <w:rPr>
          <w:rFonts w:hint="eastAsia" w:ascii="宋体" w:hAnsi="宋体" w:eastAsia="宋体" w:cs="宋体"/>
          <w:color w:val="auto"/>
          <w:sz w:val="24"/>
        </w:rPr>
        <w:t>）</w:t>
      </w:r>
      <w:r>
        <w:rPr>
          <w:rFonts w:hint="eastAsia" w:ascii="宋体" w:hAnsi="宋体" w:eastAsia="宋体" w:cs="宋体"/>
          <w:color w:val="auto"/>
          <w:sz w:val="24"/>
          <w:lang w:val="zh-CN"/>
        </w:rPr>
        <w:t>的规定</w:t>
      </w:r>
      <w:r>
        <w:rPr>
          <w:rFonts w:hint="eastAsia" w:ascii="宋体" w:hAnsi="宋体" w:eastAsia="宋体" w:cs="宋体"/>
          <w:color w:val="auto"/>
          <w:sz w:val="24"/>
        </w:rPr>
        <w:t>，</w:t>
      </w:r>
      <w:r>
        <w:rPr>
          <w:rFonts w:hint="eastAsia" w:ascii="宋体" w:hAnsi="宋体" w:eastAsia="宋体" w:cs="宋体"/>
          <w:color w:val="auto"/>
          <w:sz w:val="24"/>
          <w:lang w:val="zh-CN"/>
        </w:rPr>
        <w:t>以中国政府采购网</w:t>
      </w:r>
      <w:r>
        <w:rPr>
          <w:rFonts w:hint="eastAsia" w:ascii="宋体" w:hAnsi="宋体" w:eastAsia="宋体" w:cs="宋体"/>
          <w:color w:val="auto"/>
          <w:sz w:val="24"/>
        </w:rPr>
        <w:t>（</w:t>
      </w:r>
      <w:r>
        <w:rPr>
          <w:rFonts w:hint="eastAsia" w:ascii="宋体" w:hAnsi="宋体" w:eastAsia="宋体" w:cs="宋体"/>
          <w:color w:val="auto"/>
          <w:sz w:val="24"/>
          <w:lang w:val="zh-CN"/>
        </w:rPr>
        <w:t>http：//www.ccgp.gov.cn/</w:t>
      </w:r>
      <w:r>
        <w:rPr>
          <w:rFonts w:hint="eastAsia" w:ascii="宋体" w:hAnsi="宋体" w:eastAsia="宋体" w:cs="宋体"/>
          <w:color w:val="auto"/>
          <w:sz w:val="24"/>
        </w:rPr>
        <w:t>）</w:t>
      </w:r>
      <w:r>
        <w:rPr>
          <w:rFonts w:hint="eastAsia" w:ascii="宋体" w:hAnsi="宋体" w:eastAsia="宋体" w:cs="宋体"/>
          <w:color w:val="auto"/>
          <w:sz w:val="24"/>
          <w:lang w:val="zh-CN"/>
        </w:rPr>
        <w:t>公布的最新一期节能产品政府采购清单为准。</w:t>
      </w:r>
    </w:p>
    <w:p w14:paraId="25BAACF3">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（2）环境标志产品</w:t>
      </w:r>
      <w:r>
        <w:rPr>
          <w:rFonts w:hint="eastAsia" w:ascii="宋体" w:hAnsi="宋体" w:eastAsia="宋体" w:cs="宋体"/>
          <w:color w:val="auto"/>
          <w:sz w:val="24"/>
          <w:lang w:val="zh-CN"/>
        </w:rPr>
        <w:t>根据《环境标志产品政府采购实施的意见》</w:t>
      </w:r>
      <w:r>
        <w:rPr>
          <w:rFonts w:hint="eastAsia" w:ascii="宋体" w:hAnsi="宋体" w:eastAsia="宋体" w:cs="宋体"/>
          <w:color w:val="auto"/>
          <w:sz w:val="24"/>
        </w:rPr>
        <w:t>（</w:t>
      </w:r>
      <w:r>
        <w:rPr>
          <w:rFonts w:hint="eastAsia" w:ascii="宋体" w:hAnsi="宋体" w:eastAsia="宋体" w:cs="宋体"/>
          <w:color w:val="auto"/>
          <w:sz w:val="24"/>
          <w:lang w:val="zh-CN"/>
        </w:rPr>
        <w:t>财库</w:t>
      </w:r>
      <w:r>
        <w:rPr>
          <w:rFonts w:hint="eastAsia" w:ascii="宋体" w:hAnsi="宋体" w:eastAsia="宋体" w:cs="宋体"/>
          <w:color w:val="auto"/>
          <w:sz w:val="24"/>
        </w:rPr>
        <w:t>[2006]90</w:t>
      </w:r>
      <w:r>
        <w:rPr>
          <w:rFonts w:hint="eastAsia" w:ascii="宋体" w:hAnsi="宋体" w:eastAsia="宋体" w:cs="宋体"/>
          <w:color w:val="auto"/>
          <w:sz w:val="24"/>
          <w:lang w:val="zh-CN"/>
        </w:rPr>
        <w:t>号</w:t>
      </w:r>
      <w:r>
        <w:rPr>
          <w:rFonts w:hint="eastAsia" w:ascii="宋体" w:hAnsi="宋体" w:eastAsia="宋体" w:cs="宋体"/>
          <w:color w:val="auto"/>
          <w:sz w:val="24"/>
        </w:rPr>
        <w:t>）</w:t>
      </w:r>
      <w:r>
        <w:rPr>
          <w:rFonts w:hint="eastAsia" w:ascii="宋体" w:hAnsi="宋体" w:eastAsia="宋体" w:cs="宋体"/>
          <w:color w:val="auto"/>
          <w:sz w:val="24"/>
          <w:lang w:val="zh-CN"/>
        </w:rPr>
        <w:t>的规定</w:t>
      </w:r>
      <w:r>
        <w:rPr>
          <w:rFonts w:hint="eastAsia" w:ascii="宋体" w:hAnsi="宋体" w:eastAsia="宋体" w:cs="宋体"/>
          <w:color w:val="auto"/>
          <w:sz w:val="24"/>
        </w:rPr>
        <w:t>，</w:t>
      </w:r>
      <w:r>
        <w:rPr>
          <w:rFonts w:hint="eastAsia" w:ascii="宋体" w:hAnsi="宋体" w:eastAsia="宋体" w:cs="宋体"/>
          <w:color w:val="auto"/>
          <w:sz w:val="24"/>
          <w:lang w:val="zh-CN"/>
        </w:rPr>
        <w:t>以中国政府采购网</w:t>
      </w:r>
      <w:r>
        <w:rPr>
          <w:rFonts w:hint="eastAsia" w:ascii="宋体" w:hAnsi="宋体" w:eastAsia="宋体" w:cs="宋体"/>
          <w:color w:val="auto"/>
          <w:sz w:val="24"/>
        </w:rPr>
        <w:t>（http</w:t>
      </w:r>
      <w:r>
        <w:rPr>
          <w:rFonts w:hint="eastAsia" w:ascii="宋体" w:hAnsi="宋体" w:eastAsia="宋体" w:cs="宋体"/>
          <w:color w:val="auto"/>
          <w:sz w:val="24"/>
          <w:lang w:eastAsia="zh-CN"/>
        </w:rPr>
        <w:t>：</w:t>
      </w:r>
      <w:r>
        <w:rPr>
          <w:rFonts w:hint="eastAsia" w:ascii="宋体" w:hAnsi="宋体" w:eastAsia="宋体" w:cs="宋体"/>
          <w:color w:val="auto"/>
          <w:sz w:val="24"/>
        </w:rPr>
        <w:t>//www</w:t>
      </w:r>
      <w:r>
        <w:rPr>
          <w:rFonts w:hint="eastAsia" w:ascii="宋体" w:hAnsi="宋体" w:eastAsia="宋体" w:cs="宋体"/>
          <w:color w:val="auto"/>
          <w:sz w:val="24"/>
          <w:lang w:eastAsia="zh-CN"/>
        </w:rPr>
        <w:t>.</w:t>
      </w:r>
      <w:r>
        <w:rPr>
          <w:rFonts w:hint="eastAsia" w:ascii="宋体" w:hAnsi="宋体" w:eastAsia="宋体" w:cs="宋体"/>
          <w:color w:val="auto"/>
          <w:sz w:val="24"/>
        </w:rPr>
        <w:t>ccgp</w:t>
      </w:r>
      <w:r>
        <w:rPr>
          <w:rFonts w:hint="eastAsia" w:ascii="宋体" w:hAnsi="宋体" w:eastAsia="宋体" w:cs="宋体"/>
          <w:color w:val="auto"/>
          <w:sz w:val="24"/>
          <w:lang w:eastAsia="zh-CN"/>
        </w:rPr>
        <w:t>.</w:t>
      </w:r>
      <w:r>
        <w:rPr>
          <w:rFonts w:hint="eastAsia" w:ascii="宋体" w:hAnsi="宋体" w:eastAsia="宋体" w:cs="宋体"/>
          <w:color w:val="auto"/>
          <w:sz w:val="24"/>
        </w:rPr>
        <w:t>gov</w:t>
      </w:r>
      <w:r>
        <w:rPr>
          <w:rFonts w:hint="eastAsia" w:ascii="宋体" w:hAnsi="宋体" w:eastAsia="宋体" w:cs="宋体"/>
          <w:color w:val="auto"/>
          <w:sz w:val="24"/>
          <w:lang w:eastAsia="zh-CN"/>
        </w:rPr>
        <w:t>.</w:t>
      </w:r>
      <w:r>
        <w:rPr>
          <w:rFonts w:hint="eastAsia" w:ascii="宋体" w:hAnsi="宋体" w:eastAsia="宋体" w:cs="宋体"/>
          <w:color w:val="auto"/>
          <w:sz w:val="24"/>
        </w:rPr>
        <w:t>cn/）</w:t>
      </w:r>
      <w:r>
        <w:rPr>
          <w:rFonts w:hint="eastAsia" w:ascii="宋体" w:hAnsi="宋体" w:eastAsia="宋体" w:cs="宋体"/>
          <w:color w:val="auto"/>
          <w:sz w:val="24"/>
          <w:lang w:val="zh-CN"/>
        </w:rPr>
        <w:t>公布的最新一期环境标志产品政府采购清单为准。</w:t>
      </w:r>
    </w:p>
    <w:p w14:paraId="532E3DFD">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（3）</w:t>
      </w:r>
      <w:r>
        <w:rPr>
          <w:rFonts w:hint="eastAsia" w:ascii="宋体" w:hAnsi="宋体" w:eastAsia="宋体" w:cs="宋体"/>
          <w:color w:val="auto"/>
          <w:sz w:val="24"/>
          <w:lang w:val="zh-CN"/>
        </w:rPr>
        <w:t>投标供应商在谈判响应文件中对所投标产品为节能、环保、环境标志产品清单中的产品，在投标报价时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FA5F62A">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（4）</w:t>
      </w:r>
      <w:r>
        <w:rPr>
          <w:rFonts w:hint="eastAsia" w:ascii="宋体" w:hAnsi="宋体" w:eastAsia="宋体" w:cs="宋体"/>
          <w:color w:val="auto"/>
          <w:sz w:val="24"/>
          <w:lang w:val="zh-CN"/>
        </w:rPr>
        <w:t>若节能、环保、环境标志清单内的产品仅是构成投标产品的部件、组件或零件的，则该投标产品不享受鼓励优惠政策。</w:t>
      </w:r>
    </w:p>
    <w:p w14:paraId="55A56C93">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（5）</w:t>
      </w:r>
      <w:r>
        <w:rPr>
          <w:rFonts w:hint="eastAsia" w:ascii="宋体" w:hAnsi="宋体" w:eastAsia="宋体" w:cs="宋体"/>
          <w:color w:val="auto"/>
          <w:sz w:val="24"/>
          <w:lang w:val="zh-CN"/>
        </w:rPr>
        <w:t>同一标段的节能、环保、环境标志产品部分优惠只对属于清单内的非强制类产品进行优惠，强制类产品不给予优惠。</w:t>
      </w:r>
    </w:p>
    <w:p w14:paraId="36A36E97">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（6）</w:t>
      </w:r>
      <w:r>
        <w:rPr>
          <w:rFonts w:hint="eastAsia" w:ascii="宋体" w:hAnsi="宋体" w:eastAsia="宋体" w:cs="宋体"/>
          <w:color w:val="auto"/>
          <w:sz w:val="24"/>
          <w:lang w:val="zh-CN"/>
        </w:rPr>
        <w:t>节能、环保、环境标志产品不重复优惠；同时列入清单和省级清单的产品不重复优惠。</w:t>
      </w:r>
    </w:p>
    <w:p w14:paraId="5138E43E">
      <w:pPr>
        <w:keepNext w:val="0"/>
        <w:keepLines w:val="0"/>
        <w:pageBreakBefore w:val="0"/>
        <w:widowControl/>
        <w:kinsoku/>
        <w:wordWrap/>
        <w:overflowPunct/>
        <w:topLinePunct w:val="0"/>
        <w:autoSpaceDE w:val="0"/>
        <w:autoSpaceDN w:val="0"/>
        <w:bidi w:val="0"/>
        <w:adjustRightInd w:val="0"/>
        <w:snapToGrid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rPr>
        <w:t>（7）</w:t>
      </w:r>
      <w:r>
        <w:rPr>
          <w:rFonts w:hint="eastAsia" w:ascii="宋体" w:hAnsi="宋体" w:eastAsia="宋体" w:cs="宋体"/>
          <w:color w:val="auto"/>
          <w:sz w:val="24"/>
          <w:lang w:val="zh-CN"/>
        </w:rPr>
        <w:t>获得上述认证的产品在投标时应提供有效证明材料。以上所有证明文件复印件须加盖投标供应商公章并注明“与原件一致”，否则不予优惠。</w:t>
      </w:r>
    </w:p>
    <w:p w14:paraId="6FE92B2C">
      <w:pPr>
        <w:pageBreakBefore w:val="0"/>
        <w:kinsoku/>
        <w:wordWrap/>
        <w:overflowPunct/>
        <w:topLinePunct w:val="0"/>
        <w:bidi w:val="0"/>
        <w:spacing w:line="460" w:lineRule="exact"/>
        <w:ind w:firstLine="482" w:firstLineChars="200"/>
        <w:textAlignment w:val="auto"/>
        <w:rPr>
          <w:rFonts w:hint="eastAsia" w:ascii="宋体" w:hAnsi="宋体" w:eastAsia="宋体" w:cs="宋体"/>
          <w:b/>
          <w:color w:val="auto"/>
          <w:sz w:val="24"/>
          <w:lang w:val="zh-CN"/>
        </w:rPr>
      </w:pPr>
      <w:r>
        <w:rPr>
          <w:rFonts w:hint="eastAsia" w:ascii="宋体" w:hAnsi="宋体" w:eastAsia="宋体" w:cs="宋体"/>
          <w:b/>
          <w:color w:val="auto"/>
          <w:sz w:val="24"/>
          <w:lang w:val="en-US" w:eastAsia="zh-CN"/>
        </w:rPr>
        <w:t>3.</w:t>
      </w:r>
      <w:r>
        <w:rPr>
          <w:rFonts w:hint="eastAsia" w:ascii="宋体" w:hAnsi="宋体" w:eastAsia="宋体" w:cs="宋体"/>
          <w:b/>
          <w:color w:val="auto"/>
          <w:sz w:val="24"/>
          <w:lang w:val="zh-CN"/>
        </w:rPr>
        <w:t xml:space="preserve"> 价格优惠比例</w:t>
      </w:r>
    </w:p>
    <w:p w14:paraId="631EC78D">
      <w:pPr>
        <w:pageBreakBefore w:val="0"/>
        <w:kinsoku/>
        <w:wordWrap/>
        <w:overflowPunct/>
        <w:topLinePunct w:val="0"/>
        <w:bidi w:val="0"/>
        <w:spacing w:line="46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val="zh-CN"/>
        </w:rPr>
        <w:t>投标企业优惠比例</w:t>
      </w:r>
    </w:p>
    <w:p w14:paraId="402349A0">
      <w:pPr>
        <w:pageBreakBefore w:val="0"/>
        <w:kinsoku/>
        <w:wordWrap/>
        <w:overflowPunct/>
        <w:topLinePunct w:val="0"/>
        <w:bidi w:val="0"/>
        <w:spacing w:line="46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符合谈判文件规定的小微企业、监狱企业或</w:t>
      </w:r>
      <w:r>
        <w:rPr>
          <w:rFonts w:hint="eastAsia" w:ascii="宋体" w:hAnsi="宋体" w:eastAsia="宋体" w:cs="宋体"/>
          <w:color w:val="auto"/>
          <w:sz w:val="24"/>
        </w:rPr>
        <w:t>残疾人福利性单位</w:t>
      </w:r>
      <w:r>
        <w:rPr>
          <w:rFonts w:hint="eastAsia" w:ascii="宋体" w:hAnsi="宋体" w:eastAsia="宋体" w:cs="宋体"/>
          <w:color w:val="auto"/>
          <w:sz w:val="24"/>
          <w:lang w:val="zh-CN"/>
        </w:rPr>
        <w:t>优惠条件的供应商，价格给予</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%的扣除（不重复优惠，最高为</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%），用扣除后的价格参与评审。</w:t>
      </w:r>
    </w:p>
    <w:p w14:paraId="4CCC987E">
      <w:pPr>
        <w:pageBreakBefore w:val="0"/>
        <w:kinsoku/>
        <w:wordWrap/>
        <w:overflowPunct/>
        <w:topLinePunct w:val="0"/>
        <w:bidi w:val="0"/>
        <w:spacing w:line="460" w:lineRule="exact"/>
        <w:ind w:firstLine="472" w:firstLineChars="196"/>
        <w:textAlignment w:val="auto"/>
        <w:rPr>
          <w:rFonts w:hint="eastAsia" w:ascii="宋体" w:hAnsi="宋体" w:eastAsia="宋体" w:cs="宋体"/>
          <w:color w:val="auto"/>
          <w:sz w:val="24"/>
          <w:lang w:val="zh-CN"/>
        </w:rPr>
      </w:pPr>
      <w:r>
        <w:rPr>
          <w:rFonts w:hint="eastAsia" w:ascii="宋体" w:hAnsi="宋体" w:eastAsia="宋体" w:cs="宋体"/>
          <w:b/>
          <w:color w:val="auto"/>
          <w:sz w:val="24"/>
        </w:rPr>
        <w:t>（2）</w:t>
      </w:r>
      <w:r>
        <w:rPr>
          <w:rFonts w:hint="eastAsia" w:ascii="宋体" w:hAnsi="宋体" w:eastAsia="宋体" w:cs="宋体"/>
          <w:b/>
          <w:color w:val="auto"/>
          <w:sz w:val="24"/>
          <w:lang w:val="zh-CN"/>
        </w:rPr>
        <w:t>投标产品优惠比例</w:t>
      </w:r>
    </w:p>
    <w:p w14:paraId="2B74DF23">
      <w:pPr>
        <w:pageBreakBefore w:val="0"/>
        <w:kinsoku/>
        <w:wordWrap/>
        <w:overflowPunct/>
        <w:topLinePunct w:val="0"/>
        <w:bidi w:val="0"/>
        <w:spacing w:line="460" w:lineRule="exact"/>
        <w:ind w:firstLine="470" w:firstLineChars="196"/>
        <w:textAlignment w:val="auto"/>
        <w:rPr>
          <w:rFonts w:hint="eastAsia" w:ascii="宋体" w:hAnsi="宋体" w:eastAsia="宋体" w:cs="宋体"/>
          <w:b/>
          <w:bCs/>
          <w:color w:val="auto"/>
          <w:sz w:val="24"/>
        </w:rPr>
      </w:pPr>
      <w:r>
        <w:rPr>
          <w:rFonts w:hint="eastAsia" w:ascii="宋体" w:hAnsi="宋体" w:eastAsia="宋体" w:cs="宋体"/>
          <w:color w:val="auto"/>
          <w:sz w:val="24"/>
          <w:lang w:val="zh-CN"/>
        </w:rPr>
        <w:t>投标产品为节能、环保、环境标志产品清单中的产品，符合谈判文件要求的，价格给予6%的扣除（不重复优惠，最高为</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%），用扣除后的价格参与评审。</w:t>
      </w:r>
    </w:p>
    <w:p w14:paraId="5979124C">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谈判小组根据原始谈判记录和谈判结果编写谈判结果报告，报采购人。</w:t>
      </w:r>
    </w:p>
    <w:p w14:paraId="593033C0">
      <w:pPr>
        <w:pageBreakBefore w:val="0"/>
        <w:widowControl/>
        <w:numPr>
          <w:ilvl w:val="0"/>
          <w:numId w:val="0"/>
        </w:numPr>
        <w:kinsoku/>
        <w:wordWrap/>
        <w:overflowPunct/>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rPr>
      </w:pPr>
      <w:bookmarkStart w:id="235" w:name="_Toc536429379"/>
      <w:bookmarkStart w:id="236" w:name="_Toc11491"/>
      <w:bookmarkStart w:id="237" w:name="_Toc536202317"/>
      <w:bookmarkStart w:id="238" w:name="_Toc16077"/>
      <w:bookmarkStart w:id="239" w:name="_Toc19543343"/>
      <w:bookmarkStart w:id="240" w:name="_Toc536429326"/>
      <w:bookmarkStart w:id="241" w:name="_Toc20921"/>
      <w:bookmarkStart w:id="242" w:name="_Toc26033"/>
      <w:bookmarkStart w:id="243" w:name="_Toc25069"/>
      <w:bookmarkStart w:id="244" w:name="_Toc15930"/>
      <w:bookmarkStart w:id="245" w:name="_Toc536202386"/>
      <w:bookmarkStart w:id="246" w:name="_Toc664"/>
      <w:r>
        <w:rPr>
          <w:rFonts w:hint="eastAsia" w:ascii="宋体" w:hAnsi="宋体" w:eastAsia="宋体" w:cs="宋体"/>
          <w:b/>
          <w:bCs/>
          <w:color w:val="auto"/>
          <w:kern w:val="0"/>
          <w:sz w:val="24"/>
          <w:szCs w:val="24"/>
          <w:lang w:eastAsia="zh-CN"/>
        </w:rPr>
        <w:t>九、</w:t>
      </w:r>
      <w:r>
        <w:rPr>
          <w:rFonts w:hint="eastAsia" w:ascii="宋体" w:hAnsi="宋体" w:eastAsia="宋体" w:cs="宋体"/>
          <w:b/>
          <w:bCs/>
          <w:color w:val="auto"/>
          <w:kern w:val="0"/>
          <w:sz w:val="24"/>
          <w:szCs w:val="24"/>
        </w:rPr>
        <w:t>质疑和投诉</w:t>
      </w:r>
      <w:bookmarkEnd w:id="235"/>
      <w:bookmarkEnd w:id="236"/>
      <w:bookmarkEnd w:id="237"/>
      <w:bookmarkEnd w:id="238"/>
      <w:bookmarkEnd w:id="239"/>
      <w:bookmarkEnd w:id="240"/>
      <w:bookmarkEnd w:id="241"/>
      <w:bookmarkEnd w:id="242"/>
      <w:bookmarkEnd w:id="243"/>
      <w:bookmarkEnd w:id="244"/>
      <w:bookmarkEnd w:id="245"/>
      <w:bookmarkEnd w:id="246"/>
    </w:p>
    <w:p w14:paraId="67A1FBB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4DE93F51">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DF13B80">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（1）对采购文件提出质疑的，为收到采购文件之日或者采购文件公告期限届满之日；</w:t>
      </w:r>
    </w:p>
    <w:p w14:paraId="7DC06C3C">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1018E19E">
      <w:pPr>
        <w:pageBreakBefore w:val="0"/>
        <w:kinsoku/>
        <w:wordWrap/>
        <w:overflowPunct/>
        <w:topLinePunct w:val="0"/>
        <w:autoSpaceDE/>
        <w:autoSpaceDN/>
        <w:bidi w:val="0"/>
        <w:spacing w:line="46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（3）对中标或者成交结果提出质疑的，为中标或者成交结果公告期限届满之日。</w:t>
      </w:r>
    </w:p>
    <w:p w14:paraId="3450B52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供应商应当在法定质疑期内一次性提出针对同一采购程序环节的质疑。</w:t>
      </w:r>
    </w:p>
    <w:p w14:paraId="0EBB9F82">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质疑函应当包括下列主要内容：</w:t>
      </w:r>
    </w:p>
    <w:p w14:paraId="1803776E">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10C99AD5">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2B591DB9">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195093C3">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319C2CE5">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0884E84A">
      <w:pPr>
        <w:pageBreakBefore w:val="0"/>
        <w:kinsoku/>
        <w:wordWrap/>
        <w:overflowPunct/>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63277D1D">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1115692C">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2BFDDFB3">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 xml:space="preserve">质疑函接收方式：由自然人本人或法定代表人或者其授权代表携带书面原件及身份证明原件到现场递交，否则不予受理 。 </w:t>
      </w:r>
    </w:p>
    <w:p w14:paraId="2257141C">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质疑受理部门：安康尚昊招标代理有限公司</w:t>
      </w:r>
    </w:p>
    <w:p w14:paraId="07272A07">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质疑受理电话：</w:t>
      </w:r>
      <w:r>
        <w:rPr>
          <w:rFonts w:hint="eastAsia" w:ascii="宋体" w:hAnsi="宋体" w:eastAsia="宋体" w:cs="宋体"/>
          <w:color w:val="auto"/>
          <w:sz w:val="24"/>
          <w:szCs w:val="24"/>
          <w:lang w:eastAsia="zh-CN"/>
        </w:rPr>
        <w:t>13991519725</w:t>
      </w:r>
    </w:p>
    <w:p w14:paraId="1227D347">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提交质疑函地点：</w:t>
      </w:r>
      <w:r>
        <w:rPr>
          <w:rFonts w:hint="eastAsia" w:ascii="宋体" w:hAnsi="宋体" w:eastAsia="宋体" w:cs="宋体"/>
          <w:color w:val="auto"/>
          <w:sz w:val="24"/>
          <w:szCs w:val="24"/>
          <w:lang w:eastAsia="zh-CN"/>
        </w:rPr>
        <w:t>安康市高新区高新观澜8栋二单元801室</w:t>
      </w:r>
    </w:p>
    <w:p w14:paraId="1B7039AC">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本次采购活动中，采购代理机构对质疑函回复的书面文件的送达方式为现场取件。</w:t>
      </w:r>
    </w:p>
    <w:p w14:paraId="1E47BBA2">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如所质疑的问题比较复杂，采购人或者采购代理机构在规定的答复时间内无法回复，应事先告知提出质疑的供应商，同时向同级政府采购监督管理部门报告。</w:t>
      </w:r>
    </w:p>
    <w:p w14:paraId="64C74C6F">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10.</w:t>
      </w:r>
      <w:r>
        <w:rPr>
          <w:rFonts w:hint="eastAsia" w:ascii="宋体" w:hAnsi="宋体" w:eastAsia="宋体" w:cs="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98F1409">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 xml:space="preserve"> 质疑函应当使用中文。</w:t>
      </w:r>
    </w:p>
    <w:p w14:paraId="1D7FCF76">
      <w:pPr>
        <w:pStyle w:val="4"/>
        <w:pageBreakBefore w:val="0"/>
        <w:kinsoku/>
        <w:wordWrap/>
        <w:overflowPunct/>
        <w:topLinePunct w:val="0"/>
        <w:bidi w:val="0"/>
        <w:spacing w:line="460" w:lineRule="exact"/>
        <w:jc w:val="center"/>
        <w:textAlignment w:val="auto"/>
        <w:rPr>
          <w:rFonts w:hint="eastAsia" w:ascii="宋体" w:hAnsi="宋体" w:eastAsia="宋体" w:cs="宋体"/>
          <w:color w:val="000000" w:themeColor="text1"/>
          <w:sz w:val="24"/>
          <w:szCs w:val="24"/>
          <w14:textFill>
            <w14:solidFill>
              <w14:schemeClr w14:val="tx1"/>
            </w14:solidFill>
          </w14:textFill>
        </w:rPr>
      </w:pPr>
      <w:bookmarkStart w:id="247" w:name="_Toc29484"/>
      <w:bookmarkStart w:id="248" w:name="_Toc18412209"/>
      <w:bookmarkStart w:id="249" w:name="_Toc23278"/>
      <w:bookmarkStart w:id="250" w:name="_Toc35335266"/>
      <w:bookmarkStart w:id="251" w:name="_Toc14189417"/>
      <w:bookmarkStart w:id="252" w:name="_Toc5578"/>
      <w:bookmarkStart w:id="253" w:name="_Toc6584"/>
      <w:bookmarkStart w:id="254" w:name="_Toc13221"/>
      <w:bookmarkStart w:id="255" w:name="_Toc23316594"/>
      <w:bookmarkStart w:id="256" w:name="_Toc23316692"/>
      <w:bookmarkStart w:id="257" w:name="_Toc14189284"/>
      <w:bookmarkStart w:id="258" w:name="_Toc10942"/>
      <w:bookmarkStart w:id="259" w:name="_Toc23316530"/>
      <w:bookmarkStart w:id="260" w:name="_Toc23315670"/>
      <w:bookmarkStart w:id="261" w:name="_Toc29452"/>
      <w:r>
        <w:rPr>
          <w:rFonts w:hint="eastAsia" w:ascii="宋体" w:hAnsi="宋体" w:eastAsia="宋体" w:cs="宋体"/>
          <w:color w:val="auto"/>
          <w:sz w:val="24"/>
          <w:szCs w:val="24"/>
          <w:lang w:eastAsia="zh-CN"/>
        </w:rPr>
        <w:t>十、</w:t>
      </w:r>
      <w:r>
        <w:rPr>
          <w:rFonts w:hint="eastAsia" w:ascii="宋体" w:hAnsi="宋体" w:eastAsia="宋体" w:cs="宋体"/>
          <w:color w:val="auto"/>
          <w:sz w:val="24"/>
          <w:szCs w:val="24"/>
        </w:rPr>
        <w:t>其他</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6EE81A9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（一）第一次公告后，谈判过程中出现下列情况之一的，按谈判失败处理：</w:t>
      </w:r>
    </w:p>
    <w:p w14:paraId="5BD38F87">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因情况变化，不再符合规定的竞争谈判判采购方式适用情形的；</w:t>
      </w:r>
    </w:p>
    <w:p w14:paraId="7091E991">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出现影响采购公正的违法、违规行为的；</w:t>
      </w:r>
    </w:p>
    <w:p w14:paraId="609EDF7E">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4E589F7A">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因重大变故，采购任务取消的。</w:t>
      </w:r>
    </w:p>
    <w:p w14:paraId="34D0697B">
      <w:pPr>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谈判失败后，除采购任务取消外，将重新组织采购。</w:t>
      </w:r>
    </w:p>
    <w:p w14:paraId="02FEDA43">
      <w:pPr>
        <w:pageBreakBefore w:val="0"/>
        <w:kinsoku/>
        <w:wordWrap/>
        <w:topLinePunct w:val="0"/>
        <w:bidi w:val="0"/>
        <w:spacing w:line="460" w:lineRule="exact"/>
        <w:textAlignment w:val="auto"/>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br w:type="page"/>
      </w:r>
    </w:p>
    <w:p w14:paraId="2300A64C">
      <w:pPr>
        <w:pStyle w:val="2"/>
        <w:keepNext/>
        <w:keepLines/>
        <w:pageBreakBefore w:val="0"/>
        <w:widowControl/>
        <w:numPr>
          <w:ilvl w:val="0"/>
          <w:numId w:val="5"/>
        </w:numPr>
        <w:kinsoku/>
        <w:wordWrap/>
        <w:overflowPunct/>
        <w:topLinePunct w:val="0"/>
        <w:autoSpaceDE/>
        <w:autoSpaceDN/>
        <w:bidi w:val="0"/>
        <w:adjustRightInd/>
        <w:snapToGrid/>
        <w:spacing w:before="192" w:beforeLines="50" w:after="192" w:afterLines="50" w:line="460" w:lineRule="exact"/>
        <w:textAlignment w:val="auto"/>
        <w:rPr>
          <w:rFonts w:hint="eastAsia" w:ascii="宋体" w:hAnsi="宋体" w:eastAsia="宋体"/>
          <w:color w:val="000000" w:themeColor="text1"/>
          <w:sz w:val="36"/>
          <w:szCs w:val="36"/>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 xml:space="preserve"> </w:t>
      </w:r>
      <w:bookmarkStart w:id="262" w:name="_Toc17449"/>
      <w:r>
        <w:rPr>
          <w:rFonts w:hint="eastAsia" w:ascii="宋体" w:hAnsi="宋体" w:eastAsia="宋体"/>
          <w:color w:val="000000" w:themeColor="text1"/>
          <w:sz w:val="36"/>
          <w:szCs w:val="36"/>
          <w:lang w:val="en-US" w:eastAsia="zh-CN"/>
          <w14:textFill>
            <w14:solidFill>
              <w14:schemeClr w14:val="tx1"/>
            </w14:solidFill>
          </w14:textFill>
        </w:rPr>
        <w:t xml:space="preserve"> </w:t>
      </w:r>
      <w:r>
        <w:rPr>
          <w:rFonts w:hint="eastAsia" w:ascii="宋体" w:hAnsi="宋体" w:eastAsia="宋体" w:cs="宋体"/>
          <w:color w:val="000000" w:themeColor="text1"/>
          <w:sz w:val="36"/>
          <w:szCs w:val="36"/>
          <w:lang w:val="en-US" w:eastAsia="zh-CN"/>
          <w14:textFill>
            <w14:solidFill>
              <w14:schemeClr w14:val="tx1"/>
            </w14:solidFill>
          </w14:textFill>
        </w:rPr>
        <w:t>谈判内容及技术要求</w:t>
      </w:r>
      <w:bookmarkEnd w:id="135"/>
      <w:bookmarkEnd w:id="136"/>
      <w:bookmarkEnd w:id="137"/>
      <w:bookmarkEnd w:id="138"/>
      <w:bookmarkEnd w:id="139"/>
      <w:bookmarkEnd w:id="140"/>
      <w:bookmarkEnd w:id="141"/>
      <w:bookmarkEnd w:id="142"/>
      <w:bookmarkEnd w:id="143"/>
      <w:bookmarkEnd w:id="262"/>
    </w:p>
    <w:p w14:paraId="6571D7A2">
      <w:pPr>
        <w:pStyle w:val="131"/>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82" w:firstLineChars="200"/>
        <w:jc w:val="both"/>
        <w:textAlignment w:val="auto"/>
        <w:rPr>
          <w:rFonts w:hint="eastAsia"/>
          <w:b/>
          <w:bCs/>
          <w:color w:val="auto"/>
          <w:sz w:val="24"/>
          <w:lang w:val="en-US" w:eastAsia="zh-CN"/>
        </w:rPr>
      </w:pPr>
      <w:r>
        <w:rPr>
          <w:rFonts w:hint="eastAsia"/>
          <w:b/>
          <w:bCs/>
          <w:color w:val="auto"/>
          <w:sz w:val="24"/>
          <w:lang w:val="en-US" w:eastAsia="zh-CN"/>
        </w:rPr>
        <w:t>采购清单</w:t>
      </w:r>
    </w:p>
    <w:tbl>
      <w:tblPr>
        <w:tblStyle w:val="35"/>
        <w:tblpPr w:leftFromText="180" w:rightFromText="180" w:vertAnchor="text" w:horzAnchor="page" w:tblpX="1775"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4477"/>
        <w:gridCol w:w="2843"/>
      </w:tblGrid>
      <w:tr w14:paraId="4D9C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69C50DDE">
            <w:pPr>
              <w:pStyle w:val="86"/>
              <w:keepNext w:val="0"/>
              <w:keepLines w:val="0"/>
              <w:widowControl/>
              <w:suppressLineNumbers w:val="0"/>
              <w:spacing w:before="0" w:beforeAutospacing="0" w:after="0" w:afterAutospacing="0" w:line="360" w:lineRule="auto"/>
              <w:ind w:left="0" w:leftChars="0" w:right="0" w:firstLine="0" w:firstLineChars="0"/>
              <w:jc w:val="center"/>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序号</w:t>
            </w:r>
          </w:p>
        </w:tc>
        <w:tc>
          <w:tcPr>
            <w:tcW w:w="4477" w:type="dxa"/>
            <w:vAlign w:val="center"/>
          </w:tcPr>
          <w:p w14:paraId="43DB5953">
            <w:pPr>
              <w:pStyle w:val="86"/>
              <w:keepNext w:val="0"/>
              <w:keepLines w:val="0"/>
              <w:widowControl/>
              <w:suppressLineNumbers w:val="0"/>
              <w:spacing w:before="0" w:beforeAutospacing="0" w:after="0" w:afterAutospacing="0" w:line="360" w:lineRule="auto"/>
              <w:ind w:left="0" w:leftChars="0" w:right="0" w:firstLine="0" w:firstLineChars="0"/>
              <w:jc w:val="center"/>
              <w:rPr>
                <w:rFonts w:hint="default"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货物名称</w:t>
            </w:r>
          </w:p>
        </w:tc>
        <w:tc>
          <w:tcPr>
            <w:tcW w:w="2843" w:type="dxa"/>
            <w:vAlign w:val="center"/>
          </w:tcPr>
          <w:p w14:paraId="0C9A0531">
            <w:pPr>
              <w:pStyle w:val="86"/>
              <w:keepNext w:val="0"/>
              <w:keepLines w:val="0"/>
              <w:widowControl/>
              <w:suppressLineNumbers w:val="0"/>
              <w:spacing w:before="0" w:beforeAutospacing="0" w:after="0" w:afterAutospacing="0" w:line="360" w:lineRule="auto"/>
              <w:ind w:left="0" w:leftChars="0" w:right="0" w:firstLine="0" w:firstLineChars="0"/>
              <w:jc w:val="center"/>
              <w:rPr>
                <w:rFonts w:hint="default"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数量</w:t>
            </w:r>
          </w:p>
        </w:tc>
      </w:tr>
      <w:tr w14:paraId="2972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EFD08E4">
            <w:pPr>
              <w:pStyle w:val="86"/>
              <w:keepNext w:val="0"/>
              <w:keepLines w:val="0"/>
              <w:widowControl/>
              <w:suppressLineNumbers w:val="0"/>
              <w:spacing w:before="0" w:beforeAutospacing="0" w:after="0" w:afterAutospacing="0" w:line="360" w:lineRule="auto"/>
              <w:ind w:left="0" w:leftChars="0" w:right="0" w:firstLine="0" w:firstLineChars="0"/>
              <w:jc w:val="center"/>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1</w:t>
            </w:r>
          </w:p>
        </w:tc>
        <w:tc>
          <w:tcPr>
            <w:tcW w:w="4477" w:type="dxa"/>
            <w:vAlign w:val="center"/>
          </w:tcPr>
          <w:p w14:paraId="0BEFBFF9">
            <w:pPr>
              <w:pStyle w:val="86"/>
              <w:keepNext w:val="0"/>
              <w:keepLines w:val="0"/>
              <w:widowControl/>
              <w:suppressLineNumbers w:val="0"/>
              <w:spacing w:before="0" w:beforeAutospacing="0" w:after="0" w:afterAutospacing="0" w:line="360" w:lineRule="auto"/>
              <w:ind w:left="0" w:leftChars="0" w:right="0" w:firstLine="0" w:firstLineChars="0"/>
              <w:jc w:val="center"/>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rPr>
              <w:t>资金分析研判工具及配套专用分析器</w:t>
            </w:r>
          </w:p>
        </w:tc>
        <w:tc>
          <w:tcPr>
            <w:tcW w:w="2843" w:type="dxa"/>
            <w:vAlign w:val="center"/>
          </w:tcPr>
          <w:p w14:paraId="2DD89770">
            <w:pPr>
              <w:pStyle w:val="86"/>
              <w:keepNext w:val="0"/>
              <w:keepLines w:val="0"/>
              <w:widowControl/>
              <w:suppressLineNumbers w:val="0"/>
              <w:spacing w:before="0" w:beforeAutospacing="0" w:after="0" w:afterAutospacing="0" w:line="360" w:lineRule="auto"/>
              <w:ind w:left="0" w:leftChars="0" w:right="0" w:firstLine="0" w:firstLineChars="0"/>
              <w:jc w:val="center"/>
              <w:rPr>
                <w:rFonts w:hint="default"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1套</w:t>
            </w:r>
          </w:p>
        </w:tc>
      </w:tr>
    </w:tbl>
    <w:p w14:paraId="0729E16A">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b/>
          <w:bCs/>
          <w:color w:val="auto"/>
          <w:sz w:val="24"/>
          <w:lang w:val="en-US" w:eastAsia="zh-CN"/>
        </w:rPr>
      </w:pPr>
    </w:p>
    <w:p w14:paraId="585D8E29">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b/>
          <w:bCs/>
          <w:color w:val="auto"/>
          <w:sz w:val="24"/>
          <w:lang w:val="en-US" w:eastAsia="zh-CN"/>
        </w:rPr>
      </w:pPr>
      <w:r>
        <w:rPr>
          <w:rFonts w:hint="eastAsia"/>
          <w:b/>
          <w:bCs/>
          <w:color w:val="auto"/>
          <w:sz w:val="24"/>
          <w:lang w:val="en-US" w:eastAsia="zh-CN"/>
        </w:rPr>
        <w:t>二、技术要求</w:t>
      </w:r>
    </w:p>
    <w:p w14:paraId="7BB88A57">
      <w:pPr>
        <w:pStyle w:val="86"/>
        <w:spacing w:line="360" w:lineRule="auto"/>
        <w:ind w:left="0" w:leftChars="0"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（一）项目说明：</w:t>
      </w:r>
    </w:p>
    <w:p w14:paraId="632E3612">
      <w:pPr>
        <w:pStyle w:val="86"/>
        <w:spacing w:line="360" w:lineRule="auto"/>
        <w:ind w:left="0" w:leftChars="0" w:firstLine="480" w:firstLineChars="200"/>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CN"/>
        </w:rPr>
        <w:t>1.</w:t>
      </w:r>
      <w:r>
        <w:rPr>
          <w:rFonts w:hint="eastAsia" w:asciiTheme="minorEastAsia" w:hAnsiTheme="minorEastAsia" w:eastAsiaTheme="minorEastAsia"/>
          <w:b w:val="0"/>
          <w:bCs w:val="0"/>
          <w:sz w:val="24"/>
          <w:szCs w:val="24"/>
        </w:rPr>
        <w:t>供应商应保证货物是全新、未使用过的原装合格正品。并完全符合合同规定的质量、规格和性能的要求。供应商应保证所提供的货物经正确安装、正常运转和保养后，在其使用寿命期内应具有满意的性能。在货物质量保证期内供应商应对由于材料的缺陷而发生的任何不足或者故障负责。所投产品应提供详细的技术资料。</w:t>
      </w:r>
    </w:p>
    <w:p w14:paraId="360DABDC">
      <w:pPr>
        <w:pStyle w:val="86"/>
        <w:spacing w:line="360" w:lineRule="auto"/>
        <w:ind w:left="0" w:leftChars="0" w:firstLine="480" w:firstLineChars="200"/>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CN"/>
        </w:rPr>
        <w:t>2.</w:t>
      </w:r>
      <w:r>
        <w:rPr>
          <w:rFonts w:hint="eastAsia" w:asciiTheme="minorEastAsia" w:hAnsiTheme="minorEastAsia" w:eastAsiaTheme="minorEastAsia"/>
          <w:b w:val="0"/>
          <w:bCs w:val="0"/>
          <w:sz w:val="24"/>
          <w:szCs w:val="24"/>
        </w:rPr>
        <w:t>货物必须为合格产品，质量达到国家有关标准。</w:t>
      </w:r>
    </w:p>
    <w:p w14:paraId="724A22E6">
      <w:pPr>
        <w:pStyle w:val="86"/>
        <w:spacing w:line="360" w:lineRule="auto"/>
        <w:ind w:left="0" w:leftChars="0" w:firstLine="480" w:firstLineChars="200"/>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CN"/>
        </w:rPr>
        <w:t>3.</w:t>
      </w:r>
      <w:r>
        <w:rPr>
          <w:rFonts w:hint="eastAsia" w:asciiTheme="minorEastAsia" w:hAnsiTheme="minorEastAsia" w:eastAsiaTheme="minorEastAsia"/>
          <w:b w:val="0"/>
          <w:bCs w:val="0"/>
          <w:sz w:val="24"/>
          <w:szCs w:val="24"/>
        </w:rPr>
        <w:t>所有产品按照采购方使用环境需求，安装、调试、培训到位，保障采购方操作人员在工作中能够正常运行使用。</w:t>
      </w:r>
    </w:p>
    <w:p w14:paraId="666153FC">
      <w:pPr>
        <w:pStyle w:val="86"/>
        <w:spacing w:line="360" w:lineRule="auto"/>
        <w:ind w:left="0" w:leftChars="0" w:firstLine="480" w:firstLineChars="200"/>
        <w:rPr>
          <w:rFonts w:hint="eastAsia" w:asciiTheme="minorEastAsia" w:hAnsiTheme="minorEastAsia" w:eastAsiaTheme="minorEastAsia"/>
          <w:b w:val="0"/>
          <w:bCs w:val="0"/>
          <w:color w:val="auto"/>
          <w:sz w:val="24"/>
          <w:szCs w:val="24"/>
        </w:rPr>
      </w:pPr>
      <w:r>
        <w:rPr>
          <w:rFonts w:hint="eastAsia" w:asciiTheme="minorEastAsia" w:hAnsiTheme="minorEastAsia" w:eastAsiaTheme="minorEastAsia"/>
          <w:b w:val="0"/>
          <w:bCs w:val="0"/>
          <w:color w:val="auto"/>
          <w:sz w:val="24"/>
          <w:szCs w:val="24"/>
          <w:lang w:eastAsia="zh-CN"/>
        </w:rPr>
        <w:t>4.</w:t>
      </w:r>
      <w:r>
        <w:rPr>
          <w:rFonts w:hint="eastAsia" w:asciiTheme="minorEastAsia" w:hAnsiTheme="minorEastAsia" w:eastAsiaTheme="minorEastAsia"/>
          <w:b w:val="0"/>
          <w:bCs w:val="0"/>
          <w:color w:val="auto"/>
          <w:sz w:val="24"/>
          <w:szCs w:val="24"/>
        </w:rPr>
        <w:t>成交供应商与采购人协商签订采购合同前，须对采购需求中的全部功能进行真实系统演示（不能以视频、PPT等方式演示），达到采购需求功能要求方可签订合同。</w:t>
      </w:r>
    </w:p>
    <w:p w14:paraId="65B00B1F">
      <w:pPr>
        <w:pStyle w:val="86"/>
        <w:spacing w:line="360" w:lineRule="auto"/>
        <w:ind w:left="0" w:leftChars="0"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（二）技术参数要求：</w:t>
      </w:r>
    </w:p>
    <w:p w14:paraId="549AEC2F">
      <w:pPr>
        <w:spacing w:line="360" w:lineRule="auto"/>
        <w:ind w:firstLine="482" w:firstLineChars="200"/>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w:t>
      </w:r>
      <w:r>
        <w:rPr>
          <w:rFonts w:hint="eastAsia" w:asciiTheme="minorEastAsia" w:hAnsiTheme="minorEastAsia" w:eastAsiaTheme="minorEastAsia"/>
          <w:b/>
          <w:sz w:val="24"/>
          <w:szCs w:val="24"/>
        </w:rPr>
        <w:t>资金研判任务维护管理模块</w:t>
      </w:r>
      <w:r>
        <w:rPr>
          <w:rFonts w:hint="eastAsia" w:asciiTheme="minorEastAsia" w:hAnsiTheme="minorEastAsia" w:eastAsiaTheme="minorEastAsia"/>
          <w:b/>
          <w:sz w:val="24"/>
          <w:szCs w:val="24"/>
          <w:lang w:eastAsia="zh-CN"/>
        </w:rPr>
        <w:t>：</w:t>
      </w:r>
    </w:p>
    <w:p w14:paraId="5663B5AB">
      <w:pPr>
        <w:pStyle w:val="8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支持用户民警建立本地任务，开展离线分析、单兵作战。</w:t>
      </w:r>
    </w:p>
    <w:p w14:paraId="4A3D3EDB">
      <w:pPr>
        <w:pStyle w:val="8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本地任务的数据能够整体实现文件复制、粘贴、移动、删除或者从本机添加。</w:t>
      </w:r>
    </w:p>
    <w:p w14:paraId="2AA13A51">
      <w:pPr>
        <w:pStyle w:val="8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支持将本地任务的资金类数据一键升级为合法授权的远程任务，实现案件数据离线升级为在线。</w:t>
      </w:r>
    </w:p>
    <w:p w14:paraId="0646F857">
      <w:pPr>
        <w:pStyle w:val="8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支持案件常见的1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大类</w:t>
      </w:r>
      <w:r>
        <w:rPr>
          <w:rFonts w:hint="eastAsia" w:asciiTheme="minorEastAsia" w:hAnsiTheme="minorEastAsia" w:eastAsiaTheme="minorEastAsia"/>
          <w:sz w:val="24"/>
          <w:szCs w:val="24"/>
          <w:lang w:val="en-US" w:eastAsia="zh-CN"/>
        </w:rPr>
        <w:t>41</w:t>
      </w:r>
      <w:r>
        <w:rPr>
          <w:rFonts w:hint="eastAsia" w:asciiTheme="minorEastAsia" w:hAnsiTheme="minorEastAsia" w:eastAsiaTheme="minorEastAsia"/>
          <w:sz w:val="24"/>
          <w:szCs w:val="24"/>
        </w:rPr>
        <w:t>余小类的数据格式，并能够对这些数据进行格式识别、清洗及导入，每一小类需要提供各自对应的导入入口，以便分析调查员直接快速实现对特定的案件数据执行导入及分析。</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080"/>
        <w:gridCol w:w="4970"/>
      </w:tblGrid>
      <w:tr w14:paraId="55BD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08" w:type="pct"/>
            <w:shd w:val="clear" w:color="auto" w:fill="auto"/>
            <w:noWrap/>
            <w:vAlign w:val="center"/>
          </w:tcPr>
          <w:p w14:paraId="6BB1DCF2">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序号</w:t>
            </w:r>
          </w:p>
        </w:tc>
        <w:tc>
          <w:tcPr>
            <w:tcW w:w="2070" w:type="pct"/>
            <w:shd w:val="clear" w:color="auto" w:fill="auto"/>
            <w:noWrap/>
            <w:vAlign w:val="bottom"/>
          </w:tcPr>
          <w:p w14:paraId="21762AB9">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类别</w:t>
            </w:r>
          </w:p>
        </w:tc>
        <w:tc>
          <w:tcPr>
            <w:tcW w:w="2521" w:type="pct"/>
            <w:shd w:val="clear" w:color="auto" w:fill="auto"/>
            <w:noWrap/>
            <w:vAlign w:val="bottom"/>
          </w:tcPr>
          <w:p w14:paraId="4D51C9F5">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w:t>
            </w:r>
          </w:p>
        </w:tc>
      </w:tr>
      <w:tr w14:paraId="099C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08" w:type="pct"/>
            <w:shd w:val="clear" w:color="auto" w:fill="auto"/>
            <w:noWrap/>
            <w:vAlign w:val="center"/>
          </w:tcPr>
          <w:p w14:paraId="649D777A">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2070" w:type="pct"/>
            <w:vMerge w:val="restart"/>
            <w:shd w:val="clear" w:color="auto" w:fill="auto"/>
            <w:vAlign w:val="center"/>
          </w:tcPr>
          <w:p w14:paraId="07FD66D4">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银行交易类</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（BU违法犯罪资金查控、人民银行FXQ、其他银行格式）</w:t>
            </w:r>
          </w:p>
        </w:tc>
        <w:tc>
          <w:tcPr>
            <w:tcW w:w="2521" w:type="pct"/>
            <w:shd w:val="clear" w:color="auto" w:fill="auto"/>
            <w:vAlign w:val="center"/>
          </w:tcPr>
          <w:p w14:paraId="1F5E8EE3">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银行资金交易流水</w:t>
            </w:r>
          </w:p>
        </w:tc>
      </w:tr>
      <w:tr w14:paraId="6704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08" w:type="pct"/>
            <w:shd w:val="clear" w:color="auto" w:fill="auto"/>
            <w:noWrap/>
            <w:vAlign w:val="center"/>
          </w:tcPr>
          <w:p w14:paraId="4D277F8F">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2070" w:type="pct"/>
            <w:vMerge w:val="continue"/>
            <w:vAlign w:val="center"/>
          </w:tcPr>
          <w:p w14:paraId="7F5562C4">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09BB06E5">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银行账户开户信息</w:t>
            </w:r>
          </w:p>
        </w:tc>
      </w:tr>
      <w:tr w14:paraId="09D5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29E17BB9">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2070" w:type="pct"/>
            <w:vMerge w:val="continue"/>
            <w:vAlign w:val="center"/>
          </w:tcPr>
          <w:p w14:paraId="4A542905">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19B6833B">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人员基础信息表</w:t>
            </w:r>
          </w:p>
        </w:tc>
      </w:tr>
      <w:tr w14:paraId="2EE0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4FBF421C">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2070" w:type="pct"/>
            <w:vMerge w:val="restart"/>
            <w:shd w:val="clear" w:color="auto" w:fill="auto"/>
            <w:vAlign w:val="center"/>
          </w:tcPr>
          <w:p w14:paraId="7758113F">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阿里支付宝类数据</w:t>
            </w:r>
          </w:p>
        </w:tc>
        <w:tc>
          <w:tcPr>
            <w:tcW w:w="2521" w:type="pct"/>
            <w:shd w:val="clear" w:color="auto" w:fill="auto"/>
            <w:vAlign w:val="center"/>
          </w:tcPr>
          <w:p w14:paraId="089A9F5E">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支付宝注册信息</w:t>
            </w:r>
          </w:p>
        </w:tc>
      </w:tr>
      <w:tr w14:paraId="7A08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76C7B012">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2070" w:type="pct"/>
            <w:vMerge w:val="continue"/>
            <w:vAlign w:val="center"/>
          </w:tcPr>
          <w:p w14:paraId="65BA9D7F">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4338EDD3">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支付宝登陆日志</w:t>
            </w:r>
          </w:p>
        </w:tc>
      </w:tr>
      <w:tr w14:paraId="42FD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33F95502">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2070" w:type="pct"/>
            <w:vMerge w:val="continue"/>
            <w:vAlign w:val="center"/>
          </w:tcPr>
          <w:p w14:paraId="7F3F0A42">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307992B1">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支付宝账户明细</w:t>
            </w:r>
          </w:p>
        </w:tc>
      </w:tr>
      <w:tr w14:paraId="1860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0F8FF0BC">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2070" w:type="pct"/>
            <w:vMerge w:val="continue"/>
            <w:vAlign w:val="center"/>
          </w:tcPr>
          <w:p w14:paraId="20131C5D">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1833DAE1">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支付宝交易记录</w:t>
            </w:r>
          </w:p>
        </w:tc>
      </w:tr>
      <w:tr w14:paraId="09FC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4D25DC88">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2070" w:type="pct"/>
            <w:vMerge w:val="continue"/>
            <w:vAlign w:val="center"/>
          </w:tcPr>
          <w:p w14:paraId="408A2F56">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1046DF98">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支付宝转账明细</w:t>
            </w:r>
          </w:p>
        </w:tc>
      </w:tr>
      <w:tr w14:paraId="3DB0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38A80DBB">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2070" w:type="pct"/>
            <w:vMerge w:val="restart"/>
            <w:shd w:val="clear" w:color="auto" w:fill="auto"/>
            <w:noWrap/>
            <w:vAlign w:val="center"/>
          </w:tcPr>
          <w:p w14:paraId="22238DFC">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腾讯微信及财付通类数据</w:t>
            </w:r>
          </w:p>
        </w:tc>
        <w:tc>
          <w:tcPr>
            <w:tcW w:w="2521" w:type="pct"/>
            <w:shd w:val="clear" w:color="auto" w:fill="auto"/>
            <w:vAlign w:val="center"/>
          </w:tcPr>
          <w:p w14:paraId="490AC839">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微信注册信息</w:t>
            </w:r>
          </w:p>
        </w:tc>
      </w:tr>
      <w:tr w14:paraId="589F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287ECA45">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2070" w:type="pct"/>
            <w:vMerge w:val="continue"/>
            <w:vAlign w:val="center"/>
          </w:tcPr>
          <w:p w14:paraId="23228D37">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7F9029C7">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微信群组</w:t>
            </w:r>
          </w:p>
        </w:tc>
      </w:tr>
      <w:tr w14:paraId="5D3B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032F8ACD">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2070" w:type="pct"/>
            <w:vMerge w:val="continue"/>
            <w:vAlign w:val="center"/>
          </w:tcPr>
          <w:p w14:paraId="51EC85EE">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79DAE2C9">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微信联系人</w:t>
            </w:r>
          </w:p>
        </w:tc>
      </w:tr>
      <w:tr w14:paraId="4703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4487CC06">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2070" w:type="pct"/>
            <w:vMerge w:val="continue"/>
            <w:vAlign w:val="center"/>
          </w:tcPr>
          <w:p w14:paraId="28AACEE8">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3BD0741F">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微信登陆日志</w:t>
            </w:r>
          </w:p>
        </w:tc>
      </w:tr>
      <w:tr w14:paraId="1EB0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705B9C36">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2070" w:type="pct"/>
            <w:vMerge w:val="continue"/>
            <w:vAlign w:val="center"/>
          </w:tcPr>
          <w:p w14:paraId="0584B836">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4F9B9501">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财付通个人流水</w:t>
            </w:r>
          </w:p>
        </w:tc>
      </w:tr>
      <w:tr w14:paraId="236E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69A28F45">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2070" w:type="pct"/>
            <w:vMerge w:val="continue"/>
            <w:vAlign w:val="center"/>
          </w:tcPr>
          <w:p w14:paraId="1C5F44F4">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0DE4F3EC">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财付通商户流水</w:t>
            </w:r>
          </w:p>
        </w:tc>
      </w:tr>
      <w:tr w14:paraId="4C91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5EC4588D">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2070" w:type="pct"/>
            <w:vMerge w:val="restart"/>
            <w:shd w:val="clear" w:color="auto" w:fill="auto"/>
            <w:noWrap/>
            <w:vAlign w:val="center"/>
          </w:tcPr>
          <w:p w14:paraId="2D85F8D5">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腾讯QQ类数据</w:t>
            </w:r>
          </w:p>
        </w:tc>
        <w:tc>
          <w:tcPr>
            <w:tcW w:w="2521" w:type="pct"/>
            <w:shd w:val="clear" w:color="auto" w:fill="auto"/>
            <w:vAlign w:val="center"/>
          </w:tcPr>
          <w:p w14:paraId="07A7D488">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QQ注册信息</w:t>
            </w:r>
          </w:p>
        </w:tc>
      </w:tr>
      <w:tr w14:paraId="7FF2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73D39A86">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2070" w:type="pct"/>
            <w:vMerge w:val="continue"/>
            <w:vAlign w:val="center"/>
          </w:tcPr>
          <w:p w14:paraId="17DBF62D">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6C7FDA9C">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QQ群组</w:t>
            </w:r>
          </w:p>
        </w:tc>
      </w:tr>
      <w:tr w14:paraId="2884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17A610CD">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2070" w:type="pct"/>
            <w:vMerge w:val="continue"/>
            <w:vAlign w:val="center"/>
          </w:tcPr>
          <w:p w14:paraId="58DF3FFE">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07A6E3F8">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QQ好友</w:t>
            </w:r>
          </w:p>
        </w:tc>
      </w:tr>
      <w:tr w14:paraId="79F7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78C12A4B">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2070" w:type="pct"/>
            <w:vMerge w:val="continue"/>
            <w:vAlign w:val="center"/>
          </w:tcPr>
          <w:p w14:paraId="25807303">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4BC905FE">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QQ登陆日志</w:t>
            </w:r>
          </w:p>
        </w:tc>
      </w:tr>
      <w:tr w14:paraId="7EE3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2FD4F914">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2070" w:type="pct"/>
            <w:vMerge w:val="restart"/>
            <w:shd w:val="clear" w:color="auto" w:fill="auto"/>
            <w:vAlign w:val="center"/>
          </w:tcPr>
          <w:p w14:paraId="1864499D">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企业工商数据</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（兼容市场监督管理局、天眼查、企查查、启信宝等资源）</w:t>
            </w:r>
          </w:p>
        </w:tc>
        <w:tc>
          <w:tcPr>
            <w:tcW w:w="2521" w:type="pct"/>
            <w:shd w:val="clear" w:color="auto" w:fill="auto"/>
            <w:vAlign w:val="center"/>
          </w:tcPr>
          <w:p w14:paraId="5A68BB3D">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企业基本信息</w:t>
            </w:r>
          </w:p>
        </w:tc>
      </w:tr>
      <w:tr w14:paraId="4C3E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0B860DF7">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2070" w:type="pct"/>
            <w:vMerge w:val="continue"/>
            <w:vAlign w:val="center"/>
          </w:tcPr>
          <w:p w14:paraId="30D2759A">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14F6699E">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股东信息</w:t>
            </w:r>
          </w:p>
        </w:tc>
      </w:tr>
      <w:tr w14:paraId="10EA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1718633D">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2070" w:type="pct"/>
            <w:vMerge w:val="continue"/>
            <w:vAlign w:val="center"/>
          </w:tcPr>
          <w:p w14:paraId="1DA3CF8A">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305D9356">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主要人员（董高监）</w:t>
            </w:r>
          </w:p>
        </w:tc>
      </w:tr>
      <w:tr w14:paraId="2C61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7FBC5F37">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2070" w:type="pct"/>
            <w:vMerge w:val="continue"/>
            <w:vAlign w:val="center"/>
          </w:tcPr>
          <w:p w14:paraId="789DAF32">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545718DC">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法定代表人</w:t>
            </w:r>
          </w:p>
        </w:tc>
      </w:tr>
      <w:tr w14:paraId="5D2F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34A9D29E">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2070" w:type="pct"/>
            <w:vMerge w:val="restart"/>
            <w:shd w:val="clear" w:color="auto" w:fill="auto"/>
            <w:noWrap/>
            <w:vAlign w:val="center"/>
          </w:tcPr>
          <w:p w14:paraId="7201C09A">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发票类数据</w:t>
            </w:r>
          </w:p>
        </w:tc>
        <w:tc>
          <w:tcPr>
            <w:tcW w:w="2521" w:type="pct"/>
            <w:shd w:val="clear" w:color="auto" w:fill="auto"/>
            <w:vAlign w:val="center"/>
          </w:tcPr>
          <w:p w14:paraId="4846BF8B">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纳税人信息采集</w:t>
            </w:r>
          </w:p>
        </w:tc>
      </w:tr>
      <w:tr w14:paraId="5CB7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70C76CC6">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2070" w:type="pct"/>
            <w:vMerge w:val="continue"/>
            <w:vAlign w:val="center"/>
          </w:tcPr>
          <w:p w14:paraId="2DA4E895">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2A7B7153">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发票数据采集（进项及销项）</w:t>
            </w:r>
          </w:p>
        </w:tc>
      </w:tr>
      <w:tr w14:paraId="7A16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7DD69F5E">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2070" w:type="pct"/>
            <w:shd w:val="clear" w:color="auto" w:fill="auto"/>
            <w:noWrap/>
            <w:vAlign w:val="center"/>
          </w:tcPr>
          <w:p w14:paraId="2DACDCE0">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物流数据</w:t>
            </w:r>
          </w:p>
        </w:tc>
        <w:tc>
          <w:tcPr>
            <w:tcW w:w="2521" w:type="pct"/>
            <w:shd w:val="clear" w:color="auto" w:fill="auto"/>
            <w:vAlign w:val="center"/>
          </w:tcPr>
          <w:p w14:paraId="5BA23D4A">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物流数据采集</w:t>
            </w:r>
          </w:p>
        </w:tc>
      </w:tr>
      <w:tr w14:paraId="3D25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3C8C83E3">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2070" w:type="pct"/>
            <w:vMerge w:val="restart"/>
            <w:shd w:val="clear" w:color="auto" w:fill="auto"/>
            <w:noWrap/>
            <w:vAlign w:val="center"/>
          </w:tcPr>
          <w:p w14:paraId="75AC8197">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手机类数据</w:t>
            </w:r>
          </w:p>
        </w:tc>
        <w:tc>
          <w:tcPr>
            <w:tcW w:w="2521" w:type="pct"/>
            <w:shd w:val="clear" w:color="auto" w:fill="auto"/>
            <w:vAlign w:val="center"/>
          </w:tcPr>
          <w:p w14:paraId="75F46DCC">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话单数据</w:t>
            </w:r>
          </w:p>
        </w:tc>
      </w:tr>
      <w:tr w14:paraId="3F17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525DD774">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2070" w:type="pct"/>
            <w:vMerge w:val="continue"/>
            <w:vAlign w:val="center"/>
          </w:tcPr>
          <w:p w14:paraId="751F4DC3">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4CF71CC3">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手机通讯录</w:t>
            </w:r>
          </w:p>
        </w:tc>
      </w:tr>
      <w:tr w14:paraId="2AA0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7AF75D6E">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2070" w:type="pct"/>
            <w:vMerge w:val="continue"/>
            <w:vAlign w:val="center"/>
          </w:tcPr>
          <w:p w14:paraId="7EC83E1E">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6303FA29">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机主信息</w:t>
            </w:r>
          </w:p>
        </w:tc>
      </w:tr>
      <w:tr w14:paraId="49D1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408" w:type="pct"/>
            <w:shd w:val="clear" w:color="auto" w:fill="auto"/>
            <w:noWrap/>
            <w:vAlign w:val="center"/>
          </w:tcPr>
          <w:p w14:paraId="78013C1E">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2070" w:type="pct"/>
            <w:vMerge w:val="restart"/>
            <w:shd w:val="clear" w:color="auto" w:fill="auto"/>
            <w:vAlign w:val="center"/>
          </w:tcPr>
          <w:p w14:paraId="626C5165">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反诈平台数据</w:t>
            </w:r>
            <w:r>
              <w:rPr>
                <w:rFonts w:hint="eastAsia" w:asciiTheme="minorEastAsia" w:hAnsiTheme="minorEastAsia" w:eastAsiaTheme="minorEastAsia"/>
                <w:sz w:val="24"/>
                <w:szCs w:val="24"/>
              </w:rPr>
              <w:br w:type="textWrapping"/>
            </w:r>
            <w:r>
              <w:rPr>
                <w:rFonts w:hint="eastAsia" w:asciiTheme="minorEastAsia" w:hAnsiTheme="minorEastAsia" w:eastAsiaTheme="minorEastAsia"/>
                <w:sz w:val="24"/>
                <w:szCs w:val="24"/>
              </w:rPr>
              <w:t>（GJFZ大数据平台、BU反诈平台）</w:t>
            </w:r>
          </w:p>
        </w:tc>
        <w:tc>
          <w:tcPr>
            <w:tcW w:w="2521" w:type="pct"/>
            <w:shd w:val="clear" w:color="auto" w:fill="auto"/>
            <w:vAlign w:val="center"/>
          </w:tcPr>
          <w:p w14:paraId="707B6B53">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账户主体查询详情</w:t>
            </w:r>
          </w:p>
        </w:tc>
      </w:tr>
      <w:tr w14:paraId="2D22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shd w:val="clear" w:color="auto" w:fill="auto"/>
            <w:noWrap/>
            <w:vAlign w:val="center"/>
          </w:tcPr>
          <w:p w14:paraId="7EB5BE07">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2070" w:type="pct"/>
            <w:vMerge w:val="continue"/>
            <w:vAlign w:val="center"/>
          </w:tcPr>
          <w:p w14:paraId="1D481020">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709F5F95">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第三方支付交易明细</w:t>
            </w:r>
          </w:p>
        </w:tc>
      </w:tr>
      <w:tr w14:paraId="347C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2B38DA3C">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2070" w:type="pct"/>
            <w:vMerge w:val="restart"/>
            <w:shd w:val="clear" w:color="auto" w:fill="auto"/>
            <w:vAlign w:val="center"/>
          </w:tcPr>
          <w:p w14:paraId="3F1903B8">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BU云搜类</w:t>
            </w:r>
          </w:p>
        </w:tc>
        <w:tc>
          <w:tcPr>
            <w:tcW w:w="2521" w:type="pct"/>
            <w:shd w:val="clear" w:color="auto" w:fill="auto"/>
            <w:vAlign w:val="center"/>
          </w:tcPr>
          <w:p w14:paraId="3DB06E1B">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全国人口基本信息</w:t>
            </w:r>
          </w:p>
        </w:tc>
      </w:tr>
      <w:tr w14:paraId="1761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31FE03C4">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2070" w:type="pct"/>
            <w:vMerge w:val="continue"/>
            <w:vAlign w:val="center"/>
          </w:tcPr>
          <w:p w14:paraId="78E34B9E">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42D8EF4C">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全国旅馆入住</w:t>
            </w:r>
          </w:p>
        </w:tc>
      </w:tr>
      <w:tr w14:paraId="2D9E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03A3C7BA">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2070" w:type="pct"/>
            <w:vMerge w:val="continue"/>
            <w:vAlign w:val="center"/>
          </w:tcPr>
          <w:p w14:paraId="3D31DBCC">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3CCA07E9">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全国出入境记录</w:t>
            </w:r>
          </w:p>
        </w:tc>
      </w:tr>
      <w:tr w14:paraId="29E8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2E928BC1">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2070" w:type="pct"/>
            <w:vMerge w:val="continue"/>
            <w:vAlign w:val="center"/>
          </w:tcPr>
          <w:p w14:paraId="47082D6D">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1FC37EEC">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全国民航离港</w:t>
            </w:r>
          </w:p>
        </w:tc>
      </w:tr>
      <w:tr w14:paraId="1EF8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68B6D4B2">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2070" w:type="pct"/>
            <w:vMerge w:val="continue"/>
            <w:vAlign w:val="center"/>
          </w:tcPr>
          <w:p w14:paraId="490A9C09">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3710EA46">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全国铁路售票</w:t>
            </w:r>
          </w:p>
        </w:tc>
      </w:tr>
      <w:tr w14:paraId="2060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37AB0791">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2070" w:type="pct"/>
            <w:vMerge w:val="continue"/>
            <w:vAlign w:val="center"/>
          </w:tcPr>
          <w:p w14:paraId="374E255C">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4BFC128A">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全国民航订票</w:t>
            </w:r>
          </w:p>
        </w:tc>
      </w:tr>
      <w:tr w14:paraId="1BF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1E5F68FF">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2070" w:type="pct"/>
            <w:vMerge w:val="continue"/>
            <w:vAlign w:val="center"/>
          </w:tcPr>
          <w:p w14:paraId="4D4BC43F">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6EB474E8">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全国银行核查</w:t>
            </w:r>
          </w:p>
        </w:tc>
      </w:tr>
      <w:tr w14:paraId="3AE9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43D92F50">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2070" w:type="pct"/>
            <w:vMerge w:val="continue"/>
            <w:vAlign w:val="center"/>
          </w:tcPr>
          <w:p w14:paraId="7DF8DA8A">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2521" w:type="pct"/>
            <w:shd w:val="clear" w:color="auto" w:fill="auto"/>
            <w:vAlign w:val="center"/>
          </w:tcPr>
          <w:p w14:paraId="4EE4CF1A">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全国关系人综合分析</w:t>
            </w:r>
          </w:p>
        </w:tc>
      </w:tr>
      <w:tr w14:paraId="4733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3C11EB6A">
            <w:pPr>
              <w:keepNext w:val="0"/>
              <w:keepLines w:val="0"/>
              <w:widowControl/>
              <w:suppressLineNumbers w:val="0"/>
              <w:spacing w:before="0" w:beforeAutospacing="0" w:after="0" w:afterAutospacing="0" w:line="360" w:lineRule="auto"/>
              <w:ind w:left="0" w:right="0"/>
              <w:jc w:val="center"/>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2070" w:type="pct"/>
            <w:shd w:val="clear" w:color="auto" w:fill="auto"/>
            <w:noWrap/>
            <w:vAlign w:val="center"/>
          </w:tcPr>
          <w:p w14:paraId="16812889">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网络传销后台数据</w:t>
            </w:r>
          </w:p>
        </w:tc>
        <w:tc>
          <w:tcPr>
            <w:tcW w:w="2521" w:type="pct"/>
            <w:shd w:val="clear" w:color="auto" w:fill="auto"/>
            <w:vAlign w:val="center"/>
          </w:tcPr>
          <w:p w14:paraId="73FCE03D">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网络传销会员层级数据</w:t>
            </w:r>
          </w:p>
        </w:tc>
      </w:tr>
      <w:tr w14:paraId="7E6D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292F2C55">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40</w:t>
            </w:r>
          </w:p>
        </w:tc>
        <w:tc>
          <w:tcPr>
            <w:tcW w:w="2070" w:type="pct"/>
            <w:vMerge w:val="restart"/>
            <w:shd w:val="clear" w:color="auto" w:fill="auto"/>
            <w:noWrap/>
            <w:vAlign w:val="center"/>
          </w:tcPr>
          <w:p w14:paraId="1FBC751F">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案件关联数据</w:t>
            </w:r>
          </w:p>
        </w:tc>
        <w:tc>
          <w:tcPr>
            <w:tcW w:w="4301" w:type="dxa"/>
            <w:shd w:val="clear" w:color="auto" w:fill="auto"/>
            <w:vAlign w:val="center"/>
          </w:tcPr>
          <w:p w14:paraId="635B6E2B">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案件与银行账/卡号关联数据</w:t>
            </w:r>
          </w:p>
        </w:tc>
      </w:tr>
      <w:tr w14:paraId="642B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08" w:type="pct"/>
            <w:shd w:val="clear" w:color="auto" w:fill="auto"/>
            <w:noWrap/>
            <w:vAlign w:val="center"/>
          </w:tcPr>
          <w:p w14:paraId="337CC0B0">
            <w:pPr>
              <w:keepNext w:val="0"/>
              <w:keepLines w:val="0"/>
              <w:widowControl/>
              <w:suppressLineNumbers w:val="0"/>
              <w:spacing w:before="0" w:beforeAutospacing="0" w:after="0" w:afterAutospacing="0" w:line="360" w:lineRule="auto"/>
              <w:ind w:left="0" w:right="0"/>
              <w:jc w:val="center"/>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41</w:t>
            </w:r>
          </w:p>
        </w:tc>
        <w:tc>
          <w:tcPr>
            <w:tcW w:w="2070" w:type="pct"/>
            <w:vMerge w:val="continue"/>
            <w:shd w:val="clear" w:color="auto" w:fill="auto"/>
            <w:noWrap/>
            <w:vAlign w:val="center"/>
          </w:tcPr>
          <w:p w14:paraId="17F1E23A">
            <w:pPr>
              <w:keepNext w:val="0"/>
              <w:keepLines w:val="0"/>
              <w:widowControl/>
              <w:suppressLineNumbers w:val="0"/>
              <w:spacing w:before="0" w:beforeAutospacing="0" w:after="0" w:afterAutospacing="0"/>
              <w:ind w:left="0" w:right="0"/>
              <w:rPr>
                <w:rFonts w:hint="eastAsia" w:asciiTheme="minorEastAsia" w:hAnsiTheme="minorEastAsia" w:eastAsiaTheme="minorEastAsia"/>
                <w:sz w:val="24"/>
                <w:szCs w:val="24"/>
              </w:rPr>
            </w:pPr>
          </w:p>
        </w:tc>
        <w:tc>
          <w:tcPr>
            <w:tcW w:w="4301" w:type="dxa"/>
            <w:shd w:val="clear" w:color="auto" w:fill="auto"/>
            <w:vAlign w:val="center"/>
          </w:tcPr>
          <w:p w14:paraId="67591A93">
            <w:pPr>
              <w:keepNext w:val="0"/>
              <w:keepLines w:val="0"/>
              <w:widowControl/>
              <w:suppressLineNumbers w:val="0"/>
              <w:spacing w:before="0" w:beforeAutospacing="0" w:after="0" w:afterAutospacing="0" w:line="360" w:lineRule="auto"/>
              <w:ind w:left="0" w:right="0"/>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案件与涉案嫌疑人关联数据</w:t>
            </w:r>
          </w:p>
        </w:tc>
      </w:tr>
    </w:tbl>
    <w:p w14:paraId="18E27C6A">
      <w:pPr>
        <w:spacing w:line="360" w:lineRule="auto"/>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2.</w:t>
      </w:r>
      <w:r>
        <w:rPr>
          <w:rFonts w:hint="eastAsia" w:asciiTheme="minorEastAsia" w:hAnsiTheme="minorEastAsia" w:eastAsiaTheme="minorEastAsia"/>
          <w:b/>
          <w:sz w:val="24"/>
          <w:szCs w:val="24"/>
        </w:rPr>
        <w:t>数据导入任务维护管理：</w:t>
      </w:r>
    </w:p>
    <w:p w14:paraId="43CBB89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新建导入任务、配置导入任务、修改导入任务、删除导入任务。</w:t>
      </w:r>
    </w:p>
    <w:p w14:paraId="79762B2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支持一键导入</w:t>
      </w:r>
      <w:r>
        <w:rPr>
          <w:rFonts w:hint="eastAsia" w:cs="宋体" w:asciiTheme="minorEastAsia" w:hAnsiTheme="minorEastAsia" w:eastAsiaTheme="minorEastAsia"/>
          <w:color w:val="000000"/>
          <w:kern w:val="0"/>
          <w:sz w:val="24"/>
          <w:szCs w:val="24"/>
        </w:rPr>
        <w:t>GJFZ</w:t>
      </w:r>
      <w:r>
        <w:rPr>
          <w:rFonts w:hint="eastAsia" w:asciiTheme="minorEastAsia" w:hAnsiTheme="minorEastAsia" w:eastAsiaTheme="minorEastAsia"/>
          <w:sz w:val="24"/>
          <w:szCs w:val="24"/>
        </w:rPr>
        <w:t>大数据平台数据、BU违法犯罪资金查控、BU云搜、支付宝5联表、腾讯财付通数据等数据。</w:t>
      </w:r>
    </w:p>
    <w:p w14:paraId="4562B2B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asciiTheme="minorEastAsia" w:hAnsiTheme="minorEastAsia" w:eastAsiaTheme="minorEastAsia"/>
          <w:sz w:val="24"/>
          <w:szCs w:val="24"/>
        </w:rPr>
        <w:t>支持根据字段</w:t>
      </w:r>
      <w:r>
        <w:rPr>
          <w:rFonts w:hint="eastAsia" w:asciiTheme="minorEastAsia" w:hAnsiTheme="minorEastAsia" w:eastAsiaTheme="minorEastAsia"/>
          <w:sz w:val="24"/>
          <w:szCs w:val="24"/>
        </w:rPr>
        <w:t>映射</w:t>
      </w:r>
      <w:r>
        <w:rPr>
          <w:rFonts w:asciiTheme="minorEastAsia" w:hAnsiTheme="minorEastAsia" w:eastAsiaTheme="minorEastAsia"/>
          <w:sz w:val="24"/>
          <w:szCs w:val="24"/>
        </w:rPr>
        <w:t>匹配，导入其他格式的银行账户开户基础信息、银行资金交易流水。</w:t>
      </w:r>
    </w:p>
    <w:p w14:paraId="766EE2D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数据排重功能：支持根据用户选定的一些字段进行数据排重。</w:t>
      </w:r>
    </w:p>
    <w:p w14:paraId="1700E2B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支持按照两端号码的交易时差进行排重。</w:t>
      </w:r>
    </w:p>
    <w:p w14:paraId="180752F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微信、支付宝两类交易实现自动排重。</w:t>
      </w:r>
    </w:p>
    <w:p w14:paraId="6C0598B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3.</w:t>
      </w:r>
      <w:r>
        <w:rPr>
          <w:rFonts w:hint="eastAsia" w:asciiTheme="minorEastAsia" w:hAnsiTheme="minorEastAsia" w:eastAsiaTheme="minorEastAsia"/>
          <w:b/>
          <w:sz w:val="24"/>
          <w:szCs w:val="24"/>
        </w:rPr>
        <w:t>数据清洗功能：</w:t>
      </w:r>
    </w:p>
    <w:p w14:paraId="2DC0113A">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支持交易日期时间自动识别及手工调整格式。</w:t>
      </w:r>
    </w:p>
    <w:p w14:paraId="3C619DD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支持交易方向动态配置。</w:t>
      </w:r>
    </w:p>
    <w:p w14:paraId="07F0E453">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支持交易金额动态配置。</w:t>
      </w:r>
    </w:p>
    <w:p w14:paraId="3F7405D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支持IP地址、银行归属行自动翻译。</w:t>
      </w:r>
    </w:p>
    <w:p w14:paraId="6111D49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支持非法字符自动清洗。</w:t>
      </w:r>
    </w:p>
    <w:p w14:paraId="453D6045">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4.</w:t>
      </w:r>
      <w:r>
        <w:rPr>
          <w:rFonts w:hint="eastAsia" w:asciiTheme="minorEastAsia" w:hAnsiTheme="minorEastAsia" w:eastAsiaTheme="minorEastAsia"/>
          <w:b/>
          <w:sz w:val="24"/>
          <w:szCs w:val="24"/>
        </w:rPr>
        <w:t>指标预计算功能：</w:t>
      </w:r>
    </w:p>
    <w:p w14:paraId="5EA3183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针对银行资金交易导入，支持全库统计银行账户的资金交易总金额、总笔数、进账总金额、进账总笔数、出账总金额、出账总笔数、交易对手数等指标。</w:t>
      </w:r>
    </w:p>
    <w:p w14:paraId="31E6194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回收站同步计算：资金交易放入回收站或者从回收站撤销时，各个指标支持重新统计计算。</w:t>
      </w:r>
    </w:p>
    <w:p w14:paraId="6364A450">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b/>
          <w:sz w:val="24"/>
          <w:szCs w:val="24"/>
          <w:lang w:eastAsia="zh-CN"/>
        </w:rPr>
        <w:t>5.</w:t>
      </w:r>
      <w:r>
        <w:rPr>
          <w:rFonts w:hint="eastAsia" w:asciiTheme="minorEastAsia" w:hAnsiTheme="minorEastAsia" w:eastAsiaTheme="minorEastAsia"/>
          <w:b/>
          <w:sz w:val="24"/>
          <w:szCs w:val="24"/>
        </w:rPr>
        <w:t>数据关系自动提取功能</w:t>
      </w:r>
      <w:r>
        <w:rPr>
          <w:rFonts w:hint="eastAsia" w:asciiTheme="minorEastAsia" w:hAnsiTheme="minorEastAsia" w:eastAsiaTheme="minorEastAsia"/>
          <w:sz w:val="24"/>
          <w:szCs w:val="24"/>
        </w:rPr>
        <w:tab/>
      </w:r>
    </w:p>
    <w:p w14:paraId="2700840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自动提取银行账号之间、微信账号之间、支付宝号码之间的资金交易关系。</w:t>
      </w:r>
    </w:p>
    <w:p w14:paraId="59D4E64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自动提取嫌疑人和各类交易号码和虚拟身份号码之间的关系。</w:t>
      </w:r>
    </w:p>
    <w:p w14:paraId="5792989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自动提取企业机构和法定代表人、股东、董高监等核心人员的关系。</w:t>
      </w:r>
    </w:p>
    <w:p w14:paraId="2DF5BE0A">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自动提取企业机构之间的发票往来的关系。</w:t>
      </w:r>
    </w:p>
    <w:p w14:paraId="47885AE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自动提取识别QQ好友、QQ群、微信号码、微信群等社交网络关系。</w:t>
      </w:r>
    </w:p>
    <w:p w14:paraId="55141E8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自动提取手机通话、物流寄递等手机号码关系。</w:t>
      </w:r>
    </w:p>
    <w:p w14:paraId="7FE39C8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6.</w:t>
      </w:r>
      <w:r>
        <w:rPr>
          <w:rFonts w:hint="eastAsia" w:asciiTheme="minorEastAsia" w:hAnsiTheme="minorEastAsia" w:eastAsiaTheme="minorEastAsia"/>
          <w:b/>
          <w:sz w:val="24"/>
          <w:szCs w:val="24"/>
        </w:rPr>
        <w:t>数据清洗模块：</w:t>
      </w:r>
    </w:p>
    <w:p w14:paraId="59F9849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核心资源清洗：支付宝数据清洗、财付通数据清洗、微信好友、群组数据清洗、财付通商户信息清洗、BU反诈平台《账户主体查询详情》清洗、BU反诈平台《银行主体详情》清洗、QQ数据清洗。</w:t>
      </w:r>
    </w:p>
    <w:p w14:paraId="54609E0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其他清洗软件：文件分组、TXT、CSV文件合并、EXCEL文件合并、话单插入主号</w:t>
      </w:r>
    </w:p>
    <w:p w14:paraId="199C229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7.</w:t>
      </w:r>
      <w:r>
        <w:rPr>
          <w:rFonts w:hint="eastAsia" w:asciiTheme="minorEastAsia" w:hAnsiTheme="minorEastAsia" w:eastAsiaTheme="minorEastAsia"/>
          <w:b/>
          <w:sz w:val="24"/>
          <w:szCs w:val="24"/>
        </w:rPr>
        <w:t>数据浏览功能：</w:t>
      </w:r>
    </w:p>
    <w:p w14:paraId="15E84B8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列出案件采集到的各类实体：包括账户、人员、IP地址、MAC地址、支付宝、微信、微信群、机构、手机等多类实体。</w:t>
      </w:r>
    </w:p>
    <w:p w14:paraId="0BA6753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列出案件采集到的各类关系：包括银行资金交易、支付宝交易、微信交易、QQ群组、QQ好友、工商信息、发票信息、话单、传销等多类关系。</w:t>
      </w:r>
    </w:p>
    <w:p w14:paraId="0BEBFD3A">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支持将实体及关系打开为列表。</w:t>
      </w:r>
    </w:p>
    <w:p w14:paraId="775E54A9">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8.</w:t>
      </w:r>
      <w:r>
        <w:rPr>
          <w:rFonts w:hint="eastAsia" w:asciiTheme="minorEastAsia" w:hAnsiTheme="minorEastAsia" w:eastAsiaTheme="minorEastAsia"/>
          <w:b/>
          <w:sz w:val="24"/>
          <w:szCs w:val="24"/>
        </w:rPr>
        <w:t>新建实体及链接的功能：</w:t>
      </w:r>
    </w:p>
    <w:p w14:paraId="78E2D93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支持用户手工新建账户、人员、IP地址、MAC地址、支付宝、微信、微信群、机构、手机等实体。</w:t>
      </w:r>
    </w:p>
    <w:p w14:paraId="31B5177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支持用户为账户、人员、IP地址、MAC地址、支付宝、微信、微信群、机构、手机等实体建立链接关系。</w:t>
      </w:r>
    </w:p>
    <w:p w14:paraId="0B52C28C">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9.</w:t>
      </w:r>
      <w:r>
        <w:rPr>
          <w:rFonts w:hint="eastAsia" w:asciiTheme="minorEastAsia" w:hAnsiTheme="minorEastAsia" w:eastAsiaTheme="minorEastAsia"/>
          <w:b/>
          <w:sz w:val="24"/>
          <w:szCs w:val="24"/>
        </w:rPr>
        <w:t>主号配置及使用功能：</w:t>
      </w:r>
    </w:p>
    <w:p w14:paraId="00FE27D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支持将调单返回的嫌疑人、机构、银行账户、手机号码等对象设置为主号。</w:t>
      </w:r>
    </w:p>
    <w:p w14:paraId="314A1DD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支持分别列出全部主号。</w:t>
      </w:r>
    </w:p>
    <w:p w14:paraId="0366D12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支持删除指定的主号。</w:t>
      </w:r>
    </w:p>
    <w:p w14:paraId="1A730F5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支持用户输入关键词搜索主号码。</w:t>
      </w:r>
    </w:p>
    <w:p w14:paraId="4B212F7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支持主号拖拽到图表中开展研判分析。</w:t>
      </w:r>
    </w:p>
    <w:p w14:paraId="53271E7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eastAsia="zh-CN"/>
        </w:rPr>
        <w:t>10.</w:t>
      </w:r>
      <w:r>
        <w:rPr>
          <w:rFonts w:hint="eastAsia" w:asciiTheme="minorEastAsia" w:hAnsiTheme="minorEastAsia" w:eastAsiaTheme="minorEastAsia"/>
          <w:b/>
          <w:sz w:val="24"/>
          <w:szCs w:val="24"/>
        </w:rPr>
        <w:t>待调单功能：</w:t>
      </w:r>
    </w:p>
    <w:p w14:paraId="1EC9AEBA">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支持新建、删除、修改待调单任务。</w:t>
      </w:r>
    </w:p>
    <w:p w14:paraId="3A40DF13">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支持再研判过程中将重点号码随时添加至待调单任务。</w:t>
      </w:r>
    </w:p>
    <w:p w14:paraId="65BABD0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支持导出待调单任务为Excel文件，以符合资金违法查控平台的格式要求。</w:t>
      </w:r>
    </w:p>
    <w:p w14:paraId="47F1DF2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支持将待调单的内容推送到图表，进行研判分析。</w:t>
      </w:r>
    </w:p>
    <w:p w14:paraId="24539BF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1.</w:t>
      </w:r>
      <w:r>
        <w:rPr>
          <w:rFonts w:hint="eastAsia" w:asciiTheme="minorEastAsia" w:hAnsiTheme="minorEastAsia" w:eastAsiaTheme="minorEastAsia"/>
          <w:b/>
          <w:sz w:val="24"/>
          <w:szCs w:val="24"/>
        </w:rPr>
        <w:t>全文搜索功能：</w:t>
      </w:r>
    </w:p>
    <w:p w14:paraId="3693BB9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对全部大类的信息资源进行数据索引，以支持用户输入关键词进行全文检索。</w:t>
      </w:r>
    </w:p>
    <w:p w14:paraId="5C9117D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全文搜索的结果支持打开为列表、可视化分析或者导出为外部文件。</w:t>
      </w:r>
    </w:p>
    <w:p w14:paraId="454BF6C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支持全文搜索本案件分析过程中存放的图表内容及集合内容。</w:t>
      </w:r>
    </w:p>
    <w:p w14:paraId="0E473D89">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2.</w:t>
      </w:r>
      <w:r>
        <w:rPr>
          <w:rFonts w:hint="eastAsia" w:asciiTheme="minorEastAsia" w:hAnsiTheme="minorEastAsia" w:eastAsiaTheme="minorEastAsia"/>
          <w:b/>
          <w:sz w:val="24"/>
          <w:szCs w:val="24"/>
        </w:rPr>
        <w:t>高级查询功能：</w:t>
      </w:r>
      <w:r>
        <w:rPr>
          <w:rFonts w:hint="eastAsia" w:asciiTheme="minorEastAsia" w:hAnsiTheme="minorEastAsia" w:eastAsiaTheme="minorEastAsia"/>
          <w:b/>
          <w:sz w:val="24"/>
          <w:szCs w:val="24"/>
        </w:rPr>
        <w:tab/>
      </w:r>
    </w:p>
    <w:p w14:paraId="5E10734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设定查询范围：银行流水、支付宝、微信、QQ、工商、会员、人员基本信息等大类数据。</w:t>
      </w:r>
    </w:p>
    <w:p w14:paraId="38245C9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查询条件灵活组合：支持并且或者等逻辑符，支持大于等于、在列表中、包含列表中、介于之间、时间点介于、长度为、开头是、结尾是、为空、不为空等大量操作符。同时也支持使用小括号来控制查询条件的组合优先级。</w:t>
      </w:r>
    </w:p>
    <w:p w14:paraId="65FFE95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查询条件管理：支持复用已配置的查询条件。</w:t>
      </w:r>
    </w:p>
    <w:p w14:paraId="25A8619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查询结果出图：支持将查询的全部行或者部分行展现为关系图。</w:t>
      </w:r>
    </w:p>
    <w:p w14:paraId="47B4984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查询结果进一步分析：支持条件过滤、交叉表分析、字段摘要、电子表格、日期时间统计等分析。</w:t>
      </w:r>
    </w:p>
    <w:p w14:paraId="76438F8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查询结果导出：支持导出为Excel、导出为Csv。并支持选择部分字段导出。</w:t>
      </w:r>
    </w:p>
    <w:p w14:paraId="18E5E17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（7）</w:t>
      </w:r>
      <w:r>
        <w:rPr>
          <w:rFonts w:hint="eastAsia" w:asciiTheme="minorEastAsia" w:hAnsiTheme="minorEastAsia" w:eastAsiaTheme="minorEastAsia"/>
          <w:sz w:val="24"/>
          <w:szCs w:val="24"/>
        </w:rPr>
        <w:t>查询结果颜色标注：支持颜色标注、取消标注、选中标注、反选标注、从集合标注等标注功能。</w:t>
      </w:r>
    </w:p>
    <w:p w14:paraId="46069D1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（8）</w:t>
      </w:r>
      <w:r>
        <w:rPr>
          <w:rFonts w:hint="eastAsia" w:asciiTheme="minorEastAsia" w:hAnsiTheme="minorEastAsia" w:eastAsiaTheme="minorEastAsia"/>
          <w:sz w:val="24"/>
          <w:szCs w:val="24"/>
        </w:rPr>
        <w:t>查询结果推送至集合：支持将查询结果新建为一个集合或者推送至已有的集合。</w:t>
      </w:r>
    </w:p>
    <w:p w14:paraId="06C6656A">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（9）</w:t>
      </w:r>
      <w:r>
        <w:rPr>
          <w:rFonts w:hint="eastAsia" w:asciiTheme="minorEastAsia" w:hAnsiTheme="minorEastAsia" w:eastAsiaTheme="minorEastAsia"/>
          <w:sz w:val="24"/>
          <w:szCs w:val="24"/>
        </w:rPr>
        <w:t>查询结果打标签：支持将查询结果打上标签或者取消标签。</w:t>
      </w:r>
    </w:p>
    <w:p w14:paraId="042D3B00">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（10）</w:t>
      </w:r>
      <w:r>
        <w:rPr>
          <w:rFonts w:hint="eastAsia" w:asciiTheme="minorEastAsia" w:hAnsiTheme="minorEastAsia" w:eastAsiaTheme="minorEastAsia"/>
          <w:sz w:val="24"/>
          <w:szCs w:val="24"/>
        </w:rPr>
        <w:t>双模型浏览交易记录：支持借贷模式和收付模式两种浏览资金交易方式。</w:t>
      </w:r>
    </w:p>
    <w:p w14:paraId="563D17E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（11）</w:t>
      </w:r>
      <w:r>
        <w:rPr>
          <w:rFonts w:hint="eastAsia" w:asciiTheme="minorEastAsia" w:hAnsiTheme="minorEastAsia" w:eastAsiaTheme="minorEastAsia"/>
          <w:sz w:val="24"/>
          <w:szCs w:val="24"/>
        </w:rPr>
        <w:t>查询结果放入回收站：支持将查询结果批量删除至回收站。</w:t>
      </w:r>
    </w:p>
    <w:p w14:paraId="00CB263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3.</w:t>
      </w:r>
      <w:r>
        <w:rPr>
          <w:rFonts w:hint="eastAsia" w:asciiTheme="minorEastAsia" w:hAnsiTheme="minorEastAsia" w:eastAsiaTheme="minorEastAsia"/>
          <w:b/>
          <w:sz w:val="24"/>
          <w:szCs w:val="24"/>
        </w:rPr>
        <w:t>资金统计功能：</w:t>
      </w:r>
    </w:p>
    <w:p w14:paraId="0C865E1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综合统计功能：包括IP出现频次统计、IP关联各种实体统计、MAC出现频次统计、MAC关联各种实体统计、发票进项销项统计、标签统计等功能。</w:t>
      </w:r>
    </w:p>
    <w:p w14:paraId="19D40B6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支持两端号码统计功能：包括两个银行账户间交易汇总统计、两个微信号码间交易汇总统计、两个支付宝号码间交易汇总统计、两个企业间发票价税汇总金额统计等。</w:t>
      </w:r>
    </w:p>
    <w:p w14:paraId="76C5F6C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支持单项统计：可统计账户、人员、IP地址、MAC地址、银行交易流水、支付宝交易、发票等内容。</w:t>
      </w:r>
    </w:p>
    <w:p w14:paraId="2398DA4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统计结果支持采用柱状图或者饼图形式呈现。</w:t>
      </w:r>
    </w:p>
    <w:p w14:paraId="39FB2E90">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统计结果支持导出及浏览明细。</w:t>
      </w:r>
    </w:p>
    <w:p w14:paraId="7436107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快进快出功能：针对银行账户统计快进快出交易情况。</w:t>
      </w:r>
    </w:p>
    <w:p w14:paraId="5921BFDA">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4.</w:t>
      </w:r>
      <w:r>
        <w:rPr>
          <w:rFonts w:hint="eastAsia" w:asciiTheme="minorEastAsia" w:hAnsiTheme="minorEastAsia" w:eastAsiaTheme="minorEastAsia"/>
          <w:b/>
          <w:sz w:val="24"/>
          <w:szCs w:val="24"/>
        </w:rPr>
        <w:t>资料功能：</w:t>
      </w:r>
    </w:p>
    <w:p w14:paraId="7EC9F15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支持将研判分析过程的数据存为图表或集合，以便下一次继续使用分析。</w:t>
      </w:r>
    </w:p>
    <w:p w14:paraId="243BE2E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资料支持打开、删除、重命名及图形展现。</w:t>
      </w:r>
    </w:p>
    <w:p w14:paraId="287CAB62">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宋体" w:hAnsi="宋体" w:eastAsia="宋体" w:cs="宋体"/>
          <w:b/>
          <w:sz w:val="24"/>
          <w:szCs w:val="24"/>
        </w:rPr>
        <w:t>★</w:t>
      </w: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5.</w:t>
      </w:r>
      <w:r>
        <w:rPr>
          <w:rFonts w:hint="eastAsia" w:asciiTheme="minorEastAsia" w:hAnsiTheme="minorEastAsia" w:eastAsiaTheme="minorEastAsia"/>
          <w:b/>
          <w:sz w:val="24"/>
          <w:szCs w:val="24"/>
        </w:rPr>
        <w:t>回收站功能：</w:t>
      </w:r>
    </w:p>
    <w:p w14:paraId="51C7A4E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支持将不再需要分析或者重复的交易流水放到回收站。</w:t>
      </w:r>
    </w:p>
    <w:p w14:paraId="730EAEC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支持从回收站撤销还原数据记录。</w:t>
      </w:r>
    </w:p>
    <w:p w14:paraId="1554C9B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支持放入回收站或者从回收站撤销时触发银行账户、支付宝号码、微信号码等实体的统计指标。</w:t>
      </w:r>
    </w:p>
    <w:p w14:paraId="70CC144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回收站支持整体清空，物理上将不可恢复。</w:t>
      </w:r>
    </w:p>
    <w:p w14:paraId="6032BF9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6.</w:t>
      </w:r>
      <w:r>
        <w:rPr>
          <w:rFonts w:hint="eastAsia" w:asciiTheme="minorEastAsia" w:hAnsiTheme="minorEastAsia" w:eastAsiaTheme="minorEastAsia"/>
          <w:b/>
          <w:sz w:val="24"/>
          <w:szCs w:val="24"/>
        </w:rPr>
        <w:t>数据导出功能：</w:t>
      </w:r>
    </w:p>
    <w:p w14:paraId="15ED990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支持将银行卡交易相关数据、支付宝五联表、微信交易相关数据、手机话单数据在全库范围内做导出。</w:t>
      </w:r>
    </w:p>
    <w:p w14:paraId="57140405">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7.</w:t>
      </w:r>
      <w:r>
        <w:rPr>
          <w:rFonts w:hint="eastAsia" w:asciiTheme="minorEastAsia" w:hAnsiTheme="minorEastAsia" w:eastAsiaTheme="minorEastAsia"/>
          <w:b/>
          <w:sz w:val="24"/>
          <w:szCs w:val="24"/>
        </w:rPr>
        <w:t>可视化分析功能：</w:t>
      </w:r>
    </w:p>
    <w:p w14:paraId="35EB1E4A">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网络示意图：新建图表、打开图表、绘制图表等。</w:t>
      </w:r>
    </w:p>
    <w:p w14:paraId="17F5DAF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常用操作：拖拽、放大、缩小、显示、隐藏、实际大小、满屏显示、高亮显示等。</w:t>
      </w:r>
    </w:p>
    <w:p w14:paraId="4DDF218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布局：支持网络布局、走向布局、压缩网络布局、圆形布局、组织架构布局、层级布局、分组布局、扇形布局等。支持主题行布局、垂直等距布局、时间分组布局。</w:t>
      </w:r>
    </w:p>
    <w:p w14:paraId="04154CE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样式风格：修改字体、颜色、粗细、底纹、框架、阴影、线条颜色、线条强度、清空实体样式、清空链接样式等。</w:t>
      </w:r>
    </w:p>
    <w:p w14:paraId="4033D0C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插入对象：添加实体、添加链接、插入折角、插入图片、添加方框、添加文字。</w:t>
      </w:r>
    </w:p>
    <w:p w14:paraId="1EDCFEC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重做及撤销：支持重新操作及撤销操作。</w:t>
      </w:r>
    </w:p>
    <w:p w14:paraId="1F267FF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（7）</w:t>
      </w:r>
      <w:r>
        <w:rPr>
          <w:rFonts w:hint="eastAsia" w:asciiTheme="minorEastAsia" w:hAnsiTheme="minorEastAsia" w:eastAsiaTheme="minorEastAsia"/>
          <w:sz w:val="24"/>
          <w:szCs w:val="24"/>
        </w:rPr>
        <w:t>编辑项目属性：可配置标识、标签、属性、类型、图片、颜色、字体等。支持批量编辑。</w:t>
      </w:r>
    </w:p>
    <w:p w14:paraId="2307191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（8）</w:t>
      </w:r>
      <w:r>
        <w:rPr>
          <w:rFonts w:hint="eastAsia" w:asciiTheme="minorEastAsia" w:hAnsiTheme="minorEastAsia" w:eastAsiaTheme="minorEastAsia"/>
          <w:sz w:val="24"/>
          <w:szCs w:val="24"/>
        </w:rPr>
        <w:t>图表内容搜索：根据标识或者标签取值搜索图表的内容。</w:t>
      </w:r>
    </w:p>
    <w:p w14:paraId="625B623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（9）</w:t>
      </w:r>
      <w:r>
        <w:rPr>
          <w:rFonts w:hint="eastAsia" w:asciiTheme="minorEastAsia" w:hAnsiTheme="minorEastAsia" w:eastAsiaTheme="minorEastAsia"/>
          <w:sz w:val="24"/>
          <w:szCs w:val="24"/>
        </w:rPr>
        <w:t>保存及导出：支持导出为图片、PDF。支持将图表保存到个人电脑或者资金研判任务资料库内。</w:t>
      </w:r>
    </w:p>
    <w:p w14:paraId="66D3113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（10）</w:t>
      </w:r>
      <w:r>
        <w:rPr>
          <w:rFonts w:hint="eastAsia" w:asciiTheme="minorEastAsia" w:hAnsiTheme="minorEastAsia" w:eastAsiaTheme="minorEastAsia"/>
          <w:sz w:val="24"/>
          <w:szCs w:val="24"/>
        </w:rPr>
        <w:t>复制粘贴：支持对实体进行复制粘贴、支持删除选中的实体。</w:t>
      </w:r>
    </w:p>
    <w:p w14:paraId="4A498C1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（11）</w:t>
      </w:r>
      <w:r>
        <w:rPr>
          <w:rFonts w:hint="eastAsia" w:asciiTheme="minorEastAsia" w:hAnsiTheme="minorEastAsia" w:eastAsiaTheme="minorEastAsia"/>
          <w:sz w:val="24"/>
          <w:szCs w:val="24"/>
        </w:rPr>
        <w:t>灵活的选择模式：支持全选、反选、选择同类、选择叶实体、选择链接和端点、选择出站、选择入站、只出站、只入站、同时出入站等。</w:t>
      </w:r>
    </w:p>
    <w:p w14:paraId="0290C91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（12）</w:t>
      </w:r>
      <w:r>
        <w:rPr>
          <w:rFonts w:hint="eastAsia" w:asciiTheme="minorEastAsia" w:hAnsiTheme="minorEastAsia" w:eastAsiaTheme="minorEastAsia"/>
          <w:sz w:val="24"/>
          <w:szCs w:val="24"/>
        </w:rPr>
        <w:t>时间序列分析：通过时间序列图，展现各个账户在特定时间点的资金往来明细情况。</w:t>
      </w:r>
    </w:p>
    <w:p w14:paraId="077E622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（13）</w:t>
      </w:r>
      <w:r>
        <w:rPr>
          <w:rFonts w:hint="eastAsia" w:asciiTheme="minorEastAsia" w:hAnsiTheme="minorEastAsia" w:eastAsiaTheme="minorEastAsia"/>
          <w:sz w:val="24"/>
          <w:szCs w:val="24"/>
        </w:rPr>
        <w:t>出图配置：支持用户控制图表内银行账户要显示的统计指标，控制是否显示交易笔数及交易金额。</w:t>
      </w:r>
    </w:p>
    <w:p w14:paraId="1689196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（14）</w:t>
      </w:r>
      <w:r>
        <w:rPr>
          <w:rFonts w:hint="eastAsia" w:asciiTheme="minorEastAsia" w:hAnsiTheme="minorEastAsia" w:eastAsiaTheme="minorEastAsia"/>
          <w:sz w:val="24"/>
          <w:szCs w:val="24"/>
        </w:rPr>
        <w:t>要求能够一键刷新图表数据：系统能够针对最新调取的数据对历史图表中统计出来的交易金额及交易笔数、是否为主号、实体属性字段、链接属性字段等内容进行数据刷新、刷新的结果必须产生为一个新的图表。</w:t>
      </w:r>
    </w:p>
    <w:p w14:paraId="249FCEE9">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宋体" w:hAnsi="宋体" w:eastAsia="宋体" w:cs="宋体"/>
          <w:b/>
          <w:sz w:val="24"/>
          <w:szCs w:val="24"/>
        </w:rPr>
        <w:t>★</w:t>
      </w: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8.</w:t>
      </w:r>
      <w:r>
        <w:rPr>
          <w:rFonts w:hint="eastAsia" w:asciiTheme="minorEastAsia" w:hAnsiTheme="minorEastAsia" w:eastAsiaTheme="minorEastAsia"/>
          <w:b/>
          <w:sz w:val="24"/>
          <w:szCs w:val="24"/>
        </w:rPr>
        <w:t>可视化图表数据统计功能：</w:t>
      </w:r>
    </w:p>
    <w:p w14:paraId="21D1971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金额分段统计：针对图表中的交易数据做金额分段统计表格，可与图表联动。</w:t>
      </w:r>
    </w:p>
    <w:p w14:paraId="009D8E9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标签统计：针对图表中的标签做统计计数，可与图表联动。</w:t>
      </w:r>
    </w:p>
    <w:p w14:paraId="3774923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实体类型统计：针对图表中出现的人员、账户、手机等做统计计数，可与图表联动。</w:t>
      </w:r>
    </w:p>
    <w:p w14:paraId="0E19DEC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主号统计：针对图表中的主号实体做统计计数，可与图表联动。</w:t>
      </w:r>
    </w:p>
    <w:p w14:paraId="1185162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实体颜色统计：针对图表中的添加颜色样式的实体做统计计数，可与图表联动。</w:t>
      </w:r>
    </w:p>
    <w:p w14:paraId="39AF61B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资金交易趋势图。</w:t>
      </w:r>
    </w:p>
    <w:p w14:paraId="1844358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（7）</w:t>
      </w:r>
      <w:r>
        <w:rPr>
          <w:rFonts w:hint="eastAsia" w:asciiTheme="minorEastAsia" w:hAnsiTheme="minorEastAsia" w:eastAsiaTheme="minorEastAsia"/>
          <w:sz w:val="24"/>
          <w:szCs w:val="24"/>
        </w:rPr>
        <w:t>资金交易按年份、月份、季度、月份、星期、24小时等维度统计。</w:t>
      </w:r>
    </w:p>
    <w:p w14:paraId="0BC6F8B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（8）</w:t>
      </w:r>
      <w:r>
        <w:rPr>
          <w:rFonts w:hint="eastAsia" w:asciiTheme="minorEastAsia" w:hAnsiTheme="minorEastAsia" w:eastAsiaTheme="minorEastAsia"/>
          <w:sz w:val="24"/>
          <w:szCs w:val="24"/>
        </w:rPr>
        <w:t>资金交易时间轴过滤分析。</w:t>
      </w:r>
    </w:p>
    <w:p w14:paraId="6B3FD7B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（9）</w:t>
      </w:r>
      <w:r>
        <w:rPr>
          <w:rFonts w:hint="eastAsia" w:asciiTheme="minorEastAsia" w:hAnsiTheme="minorEastAsia" w:eastAsiaTheme="minorEastAsia"/>
          <w:sz w:val="24"/>
          <w:szCs w:val="24"/>
        </w:rPr>
        <w:t>交易币种笔数金额统计。</w:t>
      </w:r>
    </w:p>
    <w:p w14:paraId="0B44A9B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（10）</w:t>
      </w:r>
      <w:r>
        <w:rPr>
          <w:rFonts w:hint="eastAsia" w:asciiTheme="minorEastAsia" w:hAnsiTheme="minorEastAsia" w:eastAsiaTheme="minorEastAsia"/>
          <w:sz w:val="24"/>
          <w:szCs w:val="24"/>
        </w:rPr>
        <w:t>交易渠道笔数金额统计。</w:t>
      </w:r>
    </w:p>
    <w:p w14:paraId="643041A0">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（11）</w:t>
      </w:r>
      <w:r>
        <w:rPr>
          <w:rFonts w:hint="eastAsia" w:asciiTheme="minorEastAsia" w:hAnsiTheme="minorEastAsia" w:eastAsiaTheme="minorEastAsia"/>
          <w:sz w:val="24"/>
          <w:szCs w:val="24"/>
        </w:rPr>
        <w:t>交易摘要笔数金额统计。</w:t>
      </w:r>
    </w:p>
    <w:p w14:paraId="2A52770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（12）</w:t>
      </w:r>
      <w:r>
        <w:rPr>
          <w:rFonts w:hint="eastAsia" w:asciiTheme="minorEastAsia" w:hAnsiTheme="minorEastAsia" w:eastAsiaTheme="minorEastAsia"/>
          <w:sz w:val="24"/>
          <w:szCs w:val="24"/>
        </w:rPr>
        <w:t>交易地址笔数金额统计。</w:t>
      </w:r>
    </w:p>
    <w:p w14:paraId="38AD5AE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（13）</w:t>
      </w:r>
      <w:r>
        <w:rPr>
          <w:rFonts w:hint="eastAsia" w:asciiTheme="minorEastAsia" w:hAnsiTheme="minorEastAsia" w:eastAsiaTheme="minorEastAsia"/>
          <w:sz w:val="24"/>
          <w:szCs w:val="24"/>
        </w:rPr>
        <w:t>原币金额划分区间统计。</w:t>
      </w:r>
    </w:p>
    <w:p w14:paraId="6D861AF3">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eastAsia="zh-CN"/>
        </w:rPr>
        <w:t>9.</w:t>
      </w:r>
      <w:r>
        <w:rPr>
          <w:rFonts w:hint="eastAsia" w:asciiTheme="minorEastAsia" w:hAnsiTheme="minorEastAsia" w:eastAsiaTheme="minorEastAsia"/>
          <w:b/>
          <w:sz w:val="24"/>
          <w:szCs w:val="24"/>
        </w:rPr>
        <w:t>集合分析：</w:t>
      </w:r>
    </w:p>
    <w:p w14:paraId="4CC4C8D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人工新建集合：针对图表选中的同类实体，手工合并为集合。</w:t>
      </w:r>
    </w:p>
    <w:p w14:paraId="345A0E5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支持根据同户名、同属性取值批量实现集合合并。</w:t>
      </w:r>
    </w:p>
    <w:p w14:paraId="7DE3F8F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展开：支持将合并的集合拆解为多个实体。</w:t>
      </w:r>
    </w:p>
    <w:p w14:paraId="2DD2F6C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集合内容及档案：显示集合的内容及集合实体的交易统计情况。</w:t>
      </w:r>
    </w:p>
    <w:p w14:paraId="1151B1B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比对碰撞：支持以图形可视化的方式开展多个集合之间的比对碰撞操作。</w:t>
      </w:r>
    </w:p>
    <w:p w14:paraId="061BA4A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集合扩展分析：支持扩展集合内部的内容。</w:t>
      </w:r>
    </w:p>
    <w:p w14:paraId="6D878496">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20</w:t>
      </w:r>
      <w:r>
        <w:rPr>
          <w:rFonts w:hint="eastAsia" w:asciiTheme="minorEastAsia" w:hAnsiTheme="minorEastAsia" w:eastAsiaTheme="minorEastAsia"/>
          <w:b/>
          <w:sz w:val="24"/>
          <w:szCs w:val="24"/>
          <w:lang w:val="en-US" w:eastAsia="zh-CN"/>
        </w:rPr>
        <w:t>.</w:t>
      </w:r>
      <w:r>
        <w:rPr>
          <w:rFonts w:hint="eastAsia" w:asciiTheme="minorEastAsia" w:hAnsiTheme="minorEastAsia" w:eastAsiaTheme="minorEastAsia"/>
          <w:b/>
          <w:sz w:val="24"/>
          <w:szCs w:val="24"/>
        </w:rPr>
        <w:t>标签管理及应用：</w:t>
      </w:r>
    </w:p>
    <w:p w14:paraId="02F64F0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维护管理案件犯罪链条的标签，包括增加标签、编辑标签、删除标签、列出标签等。</w:t>
      </w:r>
    </w:p>
    <w:p w14:paraId="3E418B0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支持将人员、企业等对象绑定增加至某个标签。或者从某个标签中删除。</w:t>
      </w:r>
    </w:p>
    <w:p w14:paraId="737FE8E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标签浏览：支持清晰地罗列出标签包含的人员、银行账户清单，以便用户一眼了解本案的重点人员及职责分工。</w:t>
      </w:r>
    </w:p>
    <w:p w14:paraId="0D160650">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标签可视化：支持将同类标签的内容直接展现或脱拽到图中，以便开展本类标签的研判分析。</w:t>
      </w:r>
    </w:p>
    <w:p w14:paraId="20FCE73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1.</w:t>
      </w:r>
      <w:r>
        <w:rPr>
          <w:rFonts w:hint="eastAsia" w:asciiTheme="minorEastAsia" w:hAnsiTheme="minorEastAsia" w:eastAsiaTheme="minorEastAsia"/>
          <w:b/>
          <w:sz w:val="24"/>
          <w:szCs w:val="24"/>
        </w:rPr>
        <w:t>交易金额链接格式化：</w:t>
      </w:r>
    </w:p>
    <w:p w14:paraId="213F96C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整图金额格式化：针对图表全部交易链接进行金额格式化。</w:t>
      </w:r>
    </w:p>
    <w:p w14:paraId="1F89248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特定范围金额格式化：针对图表选中的部分实体开展金额格式化，可配置资金去向或者资金来源，可配置格式化的名次及颜色。</w:t>
      </w:r>
    </w:p>
    <w:p w14:paraId="6B4BBBD0">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撤销金额格式化：清除交易链接样式可撤销金额格式化，还原至原始样式。</w:t>
      </w:r>
    </w:p>
    <w:p w14:paraId="53711A2A">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2.</w:t>
      </w:r>
      <w:r>
        <w:rPr>
          <w:rFonts w:hint="eastAsia" w:asciiTheme="minorEastAsia" w:hAnsiTheme="minorEastAsia" w:eastAsiaTheme="minorEastAsia"/>
          <w:b/>
          <w:sz w:val="24"/>
          <w:szCs w:val="24"/>
        </w:rPr>
        <w:t>实体档案功能：</w:t>
      </w:r>
    </w:p>
    <w:p w14:paraId="3505A3F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lang w:eastAsia="zh-CN"/>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人员档案--基础信息及关联信息：实现一人一档，必须包括：基础信息、银行账户列表、微信列表、手机列表、企业列表、关系人列表</w:t>
      </w:r>
      <w:r>
        <w:rPr>
          <w:rFonts w:hint="eastAsia" w:asciiTheme="minorEastAsia" w:hAnsiTheme="minorEastAsia" w:eastAsiaTheme="minorEastAsia"/>
          <w:sz w:val="24"/>
          <w:szCs w:val="24"/>
          <w:lang w:eastAsia="zh-CN"/>
        </w:rPr>
        <w:t>。</w:t>
      </w:r>
    </w:p>
    <w:p w14:paraId="3470D583">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人员档案--交易情况：包括银行交易流水列表、财付通交易流水列表、支付宝账户明细列表、支付宝交易记录列表、支付宝转账记录列表、BU反诈平台第三方支付数据列表。</w:t>
      </w:r>
    </w:p>
    <w:p w14:paraId="67BBC9B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人员档案--活动轨迹情况：包括旅馆住宿记录、民航离港、铁路售票、民航订票记录、银行校验记录、出入境记录。</w:t>
      </w:r>
    </w:p>
    <w:p w14:paraId="2A3599F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人员档案--关联工商企业：包括法定代表人、股东、主要人员、财务人员、办税人员等人员列表。</w:t>
      </w:r>
    </w:p>
    <w:p w14:paraId="65606C93">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企业档案基础信息及关联信息：一个企业一档，必须包括：基础信息、关联的银行账号列表、关联的联系方式列表。</w:t>
      </w:r>
    </w:p>
    <w:p w14:paraId="3F32270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企业档案基础信息工商登记</w:t>
      </w:r>
      <w:r>
        <w:rPr>
          <w:rFonts w:hint="eastAsia" w:asciiTheme="minorEastAsia" w:hAnsiTheme="minorEastAsia" w:eastAsiaTheme="minorEastAsia"/>
          <w:sz w:val="24"/>
          <w:szCs w:val="24"/>
          <w:lang w:eastAsia="zh-CN"/>
        </w:rPr>
        <w:t>。</w:t>
      </w:r>
    </w:p>
    <w:p w14:paraId="0211344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（7）</w:t>
      </w:r>
      <w:r>
        <w:rPr>
          <w:rFonts w:hint="eastAsia" w:asciiTheme="minorEastAsia" w:hAnsiTheme="minorEastAsia" w:eastAsiaTheme="minorEastAsia"/>
          <w:sz w:val="24"/>
          <w:szCs w:val="24"/>
        </w:rPr>
        <w:t>虚拟号码档案：微信号、支付宝号、手机号码均支持详细档案。</w:t>
      </w:r>
    </w:p>
    <w:p w14:paraId="690E783A">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3.</w:t>
      </w:r>
      <w:r>
        <w:rPr>
          <w:rFonts w:hint="eastAsia" w:asciiTheme="minorEastAsia" w:hAnsiTheme="minorEastAsia" w:eastAsiaTheme="minorEastAsia"/>
          <w:b/>
          <w:sz w:val="24"/>
          <w:szCs w:val="24"/>
        </w:rPr>
        <w:t>资金关系挖掘功能：</w:t>
      </w:r>
    </w:p>
    <w:p w14:paraId="6B274860">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宋体" w:hAnsi="宋体" w:eastAsia="宋体" w:cs="宋体"/>
          <w:b/>
          <w:sz w:val="24"/>
          <w:szCs w:val="24"/>
        </w:rPr>
        <w:t>★</w:t>
      </w:r>
      <w:r>
        <w:rPr>
          <w:rFonts w:hint="eastAsia" w:asciiTheme="minorEastAsia" w:hAnsiTheme="minorEastAsia" w:eastAsiaTheme="minorEastAsia"/>
          <w:sz w:val="24"/>
          <w:szCs w:val="24"/>
        </w:rPr>
        <w:t>支持</w:t>
      </w:r>
      <w:r>
        <w:rPr>
          <w:rFonts w:hint="eastAsia" w:asciiTheme="minorEastAsia" w:hAnsiTheme="minorEastAsia" w:eastAsiaTheme="minorEastAsia"/>
          <w:sz w:val="24"/>
          <w:szCs w:val="24"/>
          <w:lang w:val="en-US" w:eastAsia="zh-CN"/>
        </w:rPr>
        <w:t>研判人员</w:t>
      </w:r>
      <w:r>
        <w:rPr>
          <w:rFonts w:hint="eastAsia" w:asciiTheme="minorEastAsia" w:hAnsiTheme="minorEastAsia" w:eastAsiaTheme="minorEastAsia"/>
          <w:sz w:val="24"/>
          <w:szCs w:val="24"/>
        </w:rPr>
        <w:t>按某一个快捷键，以动画效果快速调出资金关系挖掘功能转盘的应用模式，功能转盘要求能够支持一级菜单及二级菜单，并实现此两级菜单之间的切换，菜单放置的扩展点罗列清晰，便于</w:t>
      </w:r>
      <w:r>
        <w:rPr>
          <w:rFonts w:hint="eastAsia" w:asciiTheme="minorEastAsia" w:hAnsiTheme="minorEastAsia" w:eastAsiaTheme="minorEastAsia"/>
          <w:sz w:val="24"/>
          <w:szCs w:val="24"/>
          <w:lang w:val="en-US" w:eastAsia="zh-CN"/>
        </w:rPr>
        <w:t>研判人员</w:t>
      </w:r>
      <w:r>
        <w:rPr>
          <w:rFonts w:hint="eastAsia" w:asciiTheme="minorEastAsia" w:hAnsiTheme="minorEastAsia" w:eastAsiaTheme="minorEastAsia"/>
          <w:sz w:val="24"/>
          <w:szCs w:val="24"/>
        </w:rPr>
        <w:t>找到使用。</w:t>
      </w:r>
    </w:p>
    <w:p w14:paraId="5D106CA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银行账户交易挖掘：支持扩展全部资金交易、现金交易、资金去向前N名、资金来源前N名、资金流向金额为正前N名、资金流向金额为负前N名、全部资金去向、全部资金来源、条件扩展等。</w:t>
      </w:r>
    </w:p>
    <w:p w14:paraId="5A25448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银行账户关联挖掘：支持关联主体、关联机构、关联账卡号、关联微信、关联支付宝、关联手机、关联IP、关联MAC。</w:t>
      </w:r>
    </w:p>
    <w:p w14:paraId="62C273D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人员交易挖掘：支持扩展全部资金交易、资金来源前N名、资金去向前N名。</w:t>
      </w:r>
    </w:p>
    <w:p w14:paraId="58E2CA8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人员关联挖掘：支持人员关联手机、人员关联支付宝号码、人员关联微信号、人员关联机构、人员关联银行账户。</w:t>
      </w:r>
    </w:p>
    <w:p w14:paraId="0F81A66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机构发票扩展：支持扩展全部发票流、发票进项前N名、发票销项前N名。</w:t>
      </w:r>
    </w:p>
    <w:p w14:paraId="7BDA21D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（7）</w:t>
      </w:r>
      <w:r>
        <w:rPr>
          <w:rFonts w:hint="eastAsia" w:asciiTheme="minorEastAsia" w:hAnsiTheme="minorEastAsia" w:eastAsiaTheme="minorEastAsia"/>
          <w:sz w:val="24"/>
          <w:szCs w:val="24"/>
        </w:rPr>
        <w:t>支付宝交易挖掘：支持扩展全部资金交易、资金去向前N名、资金来源前N名、净额为正前N名的交易对手账户、净额为负前N名的交易对手账户、全部收款方、全部汇款方。</w:t>
      </w:r>
    </w:p>
    <w:p w14:paraId="7A52616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（8）</w:t>
      </w:r>
      <w:r>
        <w:rPr>
          <w:rFonts w:hint="eastAsia" w:asciiTheme="minorEastAsia" w:hAnsiTheme="minorEastAsia" w:eastAsiaTheme="minorEastAsia"/>
          <w:sz w:val="24"/>
          <w:szCs w:val="24"/>
        </w:rPr>
        <w:t>支付宝关联挖掘：关联人员、关联银行账户、关联手机、关联IP等。</w:t>
      </w:r>
    </w:p>
    <w:p w14:paraId="456F436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（9）</w:t>
      </w:r>
      <w:r>
        <w:rPr>
          <w:rFonts w:hint="eastAsia" w:asciiTheme="minorEastAsia" w:hAnsiTheme="minorEastAsia" w:eastAsiaTheme="minorEastAsia"/>
          <w:sz w:val="24"/>
          <w:szCs w:val="24"/>
        </w:rPr>
        <w:t>微信交易挖掘：支持扩展全部资金交易、资金去向前N名、资金来源前N名、净额为正前N名的交易对手账户、净额为负前N名的交易对手账户、全部收款方、全部汇款方。</w:t>
      </w:r>
    </w:p>
    <w:p w14:paraId="587A571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（10）</w:t>
      </w:r>
      <w:r>
        <w:rPr>
          <w:rFonts w:hint="eastAsia" w:asciiTheme="minorEastAsia" w:hAnsiTheme="minorEastAsia" w:eastAsiaTheme="minorEastAsia"/>
          <w:sz w:val="24"/>
          <w:szCs w:val="24"/>
        </w:rPr>
        <w:t>微信关联挖掘：关联人员、关联银行账户、关联手机、微信群、登陆日志。</w:t>
      </w:r>
    </w:p>
    <w:p w14:paraId="686B9A1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（11）</w:t>
      </w:r>
      <w:r>
        <w:rPr>
          <w:rFonts w:hint="eastAsia" w:asciiTheme="minorEastAsia" w:hAnsiTheme="minorEastAsia" w:eastAsiaTheme="minorEastAsia"/>
          <w:sz w:val="24"/>
          <w:szCs w:val="24"/>
        </w:rPr>
        <w:t>微信群关系挖掘：支持微信群关联全部微信号。</w:t>
      </w:r>
    </w:p>
    <w:p w14:paraId="03035FE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（12）</w:t>
      </w:r>
      <w:r>
        <w:rPr>
          <w:rFonts w:hint="eastAsia" w:asciiTheme="minorEastAsia" w:hAnsiTheme="minorEastAsia" w:eastAsiaTheme="minorEastAsia"/>
          <w:sz w:val="24"/>
          <w:szCs w:val="24"/>
        </w:rPr>
        <w:t>QQ号码关系挖掘：支持QQ号码关联QQ群、QQ关联IP、关联微信、关联手机。</w:t>
      </w:r>
    </w:p>
    <w:p w14:paraId="33835BA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（13）</w:t>
      </w:r>
      <w:r>
        <w:rPr>
          <w:rFonts w:hint="eastAsia" w:asciiTheme="minorEastAsia" w:hAnsiTheme="minorEastAsia" w:eastAsiaTheme="minorEastAsia"/>
          <w:sz w:val="24"/>
          <w:szCs w:val="24"/>
        </w:rPr>
        <w:t>手机关系挖掘：扩展全部通话、全部主叫、全部被叫、主叫前N名、被叫前N名。支持手机号码关联人员、关联微信号、关联支付宝号、关联银行账号、关联机构及扩展物流。</w:t>
      </w:r>
    </w:p>
    <w:p w14:paraId="552F94D3">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（14）</w:t>
      </w:r>
      <w:r>
        <w:rPr>
          <w:rFonts w:hint="eastAsia" w:asciiTheme="minorEastAsia" w:hAnsiTheme="minorEastAsia" w:eastAsiaTheme="minorEastAsia"/>
          <w:sz w:val="24"/>
          <w:szCs w:val="24"/>
        </w:rPr>
        <w:t>集合关系挖掘：扩展账户交易、资金去向前N名、资金来源前N名、净额为正前N名的交易对手账户、净额为负前N名的交易对手账户、现金交易。</w:t>
      </w:r>
    </w:p>
    <w:p w14:paraId="1D6D3FD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4.</w:t>
      </w:r>
      <w:r>
        <w:rPr>
          <w:rFonts w:hint="eastAsia" w:asciiTheme="minorEastAsia" w:hAnsiTheme="minorEastAsia" w:eastAsiaTheme="minorEastAsia"/>
          <w:b/>
          <w:sz w:val="24"/>
          <w:szCs w:val="24"/>
        </w:rPr>
        <w:t>资金追踪分析任务功能：</w:t>
      </w:r>
    </w:p>
    <w:p w14:paraId="0337D9A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可根据条件选择追踪的资金交易记录，分层级追踪其下级交易。</w:t>
      </w:r>
    </w:p>
    <w:p w14:paraId="10A4AEE3">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单笔资金去向追踪：根据交易前后时间间隔、交易资金比例等条件，实现对某笔资金的去向追踪。</w:t>
      </w:r>
    </w:p>
    <w:p w14:paraId="18D5F33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实现时间段内资金来源或资金去向的追踪。</w:t>
      </w:r>
    </w:p>
    <w:p w14:paraId="62DF562C">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追踪结果支持颜色标注、保存至集合。</w:t>
      </w:r>
    </w:p>
    <w:p w14:paraId="2CF9B8B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追踪结果支持整体保存、整体可视化展现分析。</w:t>
      </w:r>
    </w:p>
    <w:p w14:paraId="033113F0">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5.</w:t>
      </w:r>
      <w:r>
        <w:rPr>
          <w:rFonts w:hint="eastAsia" w:asciiTheme="minorEastAsia" w:hAnsiTheme="minorEastAsia" w:eastAsiaTheme="minorEastAsia"/>
          <w:b/>
          <w:sz w:val="24"/>
          <w:szCs w:val="24"/>
        </w:rPr>
        <w:t>网络关系分析功能：</w:t>
      </w:r>
    </w:p>
    <w:p w14:paraId="0CD6998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列出实体：列出图表中的全部实体，包括：图例、类型、号码、标签、属性、实体链接数、实体连接数、自实体的链接数、至实体的链接数、实体链接标签数值总和、自实体链接标签数值总和、至实体链接标签数值总和、实体链接标签数值净额。</w:t>
      </w:r>
    </w:p>
    <w:p w14:paraId="1FCCCAD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列出链接：列出图标中的全部链接，包括：颜色、左侧实体类型、左侧实体ID、左侧实体标签、右侧实体类型、右侧实体ID、右侧实体标签、方向、标签、标签数值、链接类型、属性。</w:t>
      </w:r>
    </w:p>
    <w:p w14:paraId="0E8EF2D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实体最短交易路径查找：根据图形中选中的两个实体，一键搜索此两个实体之间的资金交易最短路径。</w:t>
      </w:r>
    </w:p>
    <w:p w14:paraId="1D07E58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实体共同交易对手查找：根据图形中选中的多个实体，查找这些实体之间的共同交易对手，共同交易对手支持配置最大共同连接对象数。结果须采用表格形式展现，并可以手工将结果行添加到图表中。</w:t>
      </w:r>
    </w:p>
    <w:p w14:paraId="52FD816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实体内部连接关系查找：根据图形中选中的多个实体，查找这些实体之间的资金交易情况。</w:t>
      </w:r>
    </w:p>
    <w:p w14:paraId="625A8A06">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6.</w:t>
      </w:r>
      <w:r>
        <w:rPr>
          <w:rFonts w:hint="eastAsia" w:asciiTheme="minorEastAsia" w:hAnsiTheme="minorEastAsia" w:eastAsiaTheme="minorEastAsia"/>
          <w:b/>
          <w:sz w:val="24"/>
          <w:szCs w:val="24"/>
        </w:rPr>
        <w:t>汇总明细记录浏览：</w:t>
      </w:r>
    </w:p>
    <w:p w14:paraId="466DE77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资金交易汇总链接明细浏览支持用户双击图表中的汇总链接，查看具体的资金交易流水记录。</w:t>
      </w:r>
    </w:p>
    <w:p w14:paraId="0156820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本图数据：支持用户浏览当前图表背后的全部的资金交易数据、人员数据、机构数据、微信数据、支付宝数据、话单、发票、会员数据等。</w:t>
      </w:r>
    </w:p>
    <w:p w14:paraId="6EC7E5D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支付宝交易多页签显示：支持分页签显示支付宝号码之间的账户明细、转账记录及交易记录。</w:t>
      </w:r>
    </w:p>
    <w:p w14:paraId="05C86C81">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7.</w:t>
      </w:r>
      <w:r>
        <w:rPr>
          <w:rFonts w:hint="eastAsia" w:asciiTheme="minorEastAsia" w:hAnsiTheme="minorEastAsia" w:eastAsiaTheme="minorEastAsia"/>
          <w:b/>
          <w:sz w:val="24"/>
          <w:szCs w:val="24"/>
        </w:rPr>
        <w:t>网络传销会员及资金研判分析：</w:t>
      </w:r>
    </w:p>
    <w:p w14:paraId="74F74D2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网络传销会员数据清洗及导入。</w:t>
      </w:r>
    </w:p>
    <w:p w14:paraId="4E58C00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网络传销会员层级指标统计计算。</w:t>
      </w:r>
    </w:p>
    <w:p w14:paraId="3DCB3F4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网络传销会员层级结构绘制及展现。</w:t>
      </w:r>
    </w:p>
    <w:p w14:paraId="3947813A">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网络传销会员条件查询及进一步研判。</w:t>
      </w:r>
    </w:p>
    <w:p w14:paraId="0735604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网络传销会员集合比对碰撞分析。</w:t>
      </w:r>
    </w:p>
    <w:p w14:paraId="25BAF48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网络传销会员个人档案查看。</w:t>
      </w:r>
    </w:p>
    <w:p w14:paraId="1042F6F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（7）</w:t>
      </w:r>
      <w:r>
        <w:rPr>
          <w:rFonts w:hint="eastAsia" w:asciiTheme="minorEastAsia" w:hAnsiTheme="minorEastAsia" w:eastAsiaTheme="minorEastAsia"/>
          <w:sz w:val="24"/>
          <w:szCs w:val="24"/>
        </w:rPr>
        <w:t>网络传销会员银行资金交易分析。</w:t>
      </w:r>
    </w:p>
    <w:p w14:paraId="7409567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（8）</w:t>
      </w:r>
      <w:r>
        <w:rPr>
          <w:rFonts w:hint="eastAsia" w:asciiTheme="minorEastAsia" w:hAnsiTheme="minorEastAsia" w:eastAsiaTheme="minorEastAsia"/>
          <w:sz w:val="24"/>
          <w:szCs w:val="24"/>
        </w:rPr>
        <w:t>网络传销会员支付宝及财付通资金交易分析。</w:t>
      </w:r>
    </w:p>
    <w:p w14:paraId="25471349">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8.</w:t>
      </w:r>
      <w:r>
        <w:rPr>
          <w:rFonts w:hint="eastAsia" w:asciiTheme="minorEastAsia" w:hAnsiTheme="minorEastAsia" w:eastAsiaTheme="minorEastAsia"/>
          <w:b/>
          <w:sz w:val="24"/>
          <w:szCs w:val="24"/>
        </w:rPr>
        <w:t>涉税犯罪数据采集及研判分析：</w:t>
      </w:r>
    </w:p>
    <w:p w14:paraId="32BB9B5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税务进项数据清洗及导入。</w:t>
      </w:r>
    </w:p>
    <w:p w14:paraId="6242CE1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税务销项数据清洗及导入。</w:t>
      </w:r>
    </w:p>
    <w:p w14:paraId="37EA1E4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涉税企业工商数据清洗及导入。</w:t>
      </w:r>
    </w:p>
    <w:p w14:paraId="2B9776C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涉税企业纳税人基本信息清洗及导入。</w:t>
      </w:r>
    </w:p>
    <w:p w14:paraId="6CB4C85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涉税企业进行销项发票网络图绘制及展现。</w:t>
      </w:r>
    </w:p>
    <w:p w14:paraId="6E75E0A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涉税企业拓展工商及纳税人基础信息。</w:t>
      </w:r>
    </w:p>
    <w:p w14:paraId="3B396CD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（7）</w:t>
      </w:r>
      <w:r>
        <w:rPr>
          <w:rFonts w:hint="eastAsia" w:asciiTheme="minorEastAsia" w:hAnsiTheme="minorEastAsia" w:eastAsiaTheme="minorEastAsia"/>
          <w:sz w:val="24"/>
          <w:szCs w:val="24"/>
        </w:rPr>
        <w:t>涉税企业银行资金交易流水研判分析。</w:t>
      </w:r>
    </w:p>
    <w:p w14:paraId="251086A3">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（8）</w:t>
      </w:r>
      <w:r>
        <w:rPr>
          <w:rFonts w:hint="eastAsia" w:asciiTheme="minorEastAsia" w:hAnsiTheme="minorEastAsia" w:eastAsiaTheme="minorEastAsia"/>
          <w:sz w:val="24"/>
          <w:szCs w:val="24"/>
        </w:rPr>
        <w:t>涉税企业档案汇总信息浏览。</w:t>
      </w:r>
    </w:p>
    <w:p w14:paraId="0609E699">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（9）</w:t>
      </w:r>
      <w:r>
        <w:rPr>
          <w:rFonts w:hint="eastAsia" w:asciiTheme="minorEastAsia" w:hAnsiTheme="minorEastAsia" w:eastAsiaTheme="minorEastAsia"/>
          <w:sz w:val="24"/>
          <w:szCs w:val="24"/>
        </w:rPr>
        <w:t>涉税企业开票内容关键词搜索。</w:t>
      </w:r>
    </w:p>
    <w:p w14:paraId="44E024B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（10）</w:t>
      </w:r>
      <w:r>
        <w:rPr>
          <w:rFonts w:hint="eastAsia" w:asciiTheme="minorEastAsia" w:hAnsiTheme="minorEastAsia" w:eastAsiaTheme="minorEastAsia"/>
          <w:sz w:val="24"/>
          <w:szCs w:val="24"/>
        </w:rPr>
        <w:t>涉税企业进项销项汇总统计。</w:t>
      </w:r>
    </w:p>
    <w:p w14:paraId="65ED75F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（11）</w:t>
      </w:r>
      <w:r>
        <w:rPr>
          <w:rFonts w:hint="eastAsia" w:asciiTheme="minorEastAsia" w:hAnsiTheme="minorEastAsia" w:eastAsiaTheme="minorEastAsia"/>
          <w:sz w:val="24"/>
          <w:szCs w:val="24"/>
        </w:rPr>
        <w:t>涉税企业IP地址及MAC地址统计分析。</w:t>
      </w:r>
    </w:p>
    <w:p w14:paraId="61D37DB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（12）</w:t>
      </w:r>
      <w:r>
        <w:rPr>
          <w:rFonts w:hint="eastAsia" w:asciiTheme="minorEastAsia" w:hAnsiTheme="minorEastAsia" w:eastAsiaTheme="minorEastAsia"/>
          <w:sz w:val="24"/>
          <w:szCs w:val="24"/>
        </w:rPr>
        <w:t>涉税企业进项前N名及去向前N名网络图拓展。</w:t>
      </w:r>
    </w:p>
    <w:p w14:paraId="098BA2EA">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（13）</w:t>
      </w:r>
      <w:r>
        <w:rPr>
          <w:rFonts w:hint="eastAsia" w:asciiTheme="minorEastAsia" w:hAnsiTheme="minorEastAsia" w:eastAsiaTheme="minorEastAsia"/>
          <w:sz w:val="24"/>
          <w:szCs w:val="24"/>
        </w:rPr>
        <w:t>涉税企业财务人员、办税人员、法定代表人关联关系分析。</w:t>
      </w:r>
    </w:p>
    <w:p w14:paraId="4CF5AA06">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eastAsia="zh-CN"/>
        </w:rPr>
        <w:t>9.</w:t>
      </w:r>
      <w:r>
        <w:rPr>
          <w:rFonts w:hint="eastAsia" w:asciiTheme="minorEastAsia" w:hAnsiTheme="minorEastAsia" w:eastAsiaTheme="minorEastAsia"/>
          <w:b/>
          <w:sz w:val="24"/>
          <w:szCs w:val="24"/>
        </w:rPr>
        <w:t>反洗钱研判分析：</w:t>
      </w:r>
    </w:p>
    <w:p w14:paraId="078878CE">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涉案人员银行资金交易网络图分析</w:t>
      </w:r>
    </w:p>
    <w:p w14:paraId="198F3B6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涉案企业银行资金交易网络图分析。</w:t>
      </w:r>
    </w:p>
    <w:p w14:paraId="26E67340">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（3）</w:t>
      </w:r>
      <w:r>
        <w:rPr>
          <w:rFonts w:hint="eastAsia" w:asciiTheme="minorEastAsia" w:hAnsiTheme="minorEastAsia" w:eastAsiaTheme="minorEastAsia"/>
          <w:sz w:val="24"/>
          <w:szCs w:val="24"/>
        </w:rPr>
        <w:t>涉案人员银行资金交易多维统计。</w:t>
      </w:r>
    </w:p>
    <w:p w14:paraId="71E024C1">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（4）</w:t>
      </w:r>
      <w:r>
        <w:rPr>
          <w:rFonts w:hint="eastAsia" w:asciiTheme="minorEastAsia" w:hAnsiTheme="minorEastAsia" w:eastAsiaTheme="minorEastAsia"/>
          <w:sz w:val="24"/>
          <w:szCs w:val="24"/>
        </w:rPr>
        <w:t>涉案企业银行资金交易多维统计。</w:t>
      </w:r>
    </w:p>
    <w:p w14:paraId="3EEEFD65">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（5）</w:t>
      </w:r>
      <w:r>
        <w:rPr>
          <w:rFonts w:hint="eastAsia" w:asciiTheme="minorEastAsia" w:hAnsiTheme="minorEastAsia" w:eastAsiaTheme="minorEastAsia"/>
          <w:sz w:val="24"/>
          <w:szCs w:val="24"/>
        </w:rPr>
        <w:t>涉案人员一人一档全息档案。</w:t>
      </w:r>
    </w:p>
    <w:p w14:paraId="717BDA23">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（6）</w:t>
      </w:r>
      <w:r>
        <w:rPr>
          <w:rFonts w:hint="eastAsia" w:asciiTheme="minorEastAsia" w:hAnsiTheme="minorEastAsia" w:eastAsiaTheme="minorEastAsia"/>
          <w:sz w:val="24"/>
          <w:szCs w:val="24"/>
        </w:rPr>
        <w:t>涉案企业一企一档全息档案。</w:t>
      </w:r>
    </w:p>
    <w:p w14:paraId="376C77BD">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（7）</w:t>
      </w:r>
      <w:r>
        <w:rPr>
          <w:rFonts w:hint="eastAsia" w:asciiTheme="minorEastAsia" w:hAnsiTheme="minorEastAsia" w:eastAsiaTheme="minorEastAsia"/>
          <w:sz w:val="24"/>
          <w:szCs w:val="24"/>
        </w:rPr>
        <w:t>交易备注分析。</w:t>
      </w:r>
    </w:p>
    <w:p w14:paraId="573A4D4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（8）</w:t>
      </w:r>
      <w:r>
        <w:rPr>
          <w:rFonts w:hint="eastAsia" w:asciiTheme="minorEastAsia" w:hAnsiTheme="minorEastAsia" w:eastAsiaTheme="minorEastAsia"/>
          <w:sz w:val="24"/>
          <w:szCs w:val="24"/>
        </w:rPr>
        <w:t>IP地址MAC地址关联串并。</w:t>
      </w:r>
    </w:p>
    <w:p w14:paraId="72B3586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（9）</w:t>
      </w:r>
      <w:r>
        <w:rPr>
          <w:rFonts w:hint="eastAsia" w:asciiTheme="minorEastAsia" w:hAnsiTheme="minorEastAsia" w:eastAsiaTheme="minorEastAsia"/>
          <w:sz w:val="24"/>
          <w:szCs w:val="24"/>
        </w:rPr>
        <w:t>涉案企业资金去向追踪。</w:t>
      </w:r>
    </w:p>
    <w:p w14:paraId="65548AA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（10）</w:t>
      </w:r>
      <w:r>
        <w:rPr>
          <w:rFonts w:hint="eastAsia" w:asciiTheme="minorEastAsia" w:hAnsiTheme="minorEastAsia" w:eastAsiaTheme="minorEastAsia"/>
          <w:sz w:val="24"/>
          <w:szCs w:val="24"/>
        </w:rPr>
        <w:t>地下钱庄银行账户内部倒账分析。</w:t>
      </w:r>
    </w:p>
    <w:p w14:paraId="77579A3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30.</w:t>
      </w:r>
      <w:r>
        <w:rPr>
          <w:rFonts w:hint="eastAsia" w:asciiTheme="minorEastAsia" w:hAnsiTheme="minorEastAsia" w:eastAsiaTheme="minorEastAsia"/>
          <w:b/>
          <w:sz w:val="24"/>
          <w:szCs w:val="24"/>
        </w:rPr>
        <w:t>性能指标</w:t>
      </w:r>
      <w:r>
        <w:rPr>
          <w:rFonts w:hint="eastAsia" w:asciiTheme="minorEastAsia" w:hAnsiTheme="minorEastAsia" w:eastAsiaTheme="minorEastAsia"/>
          <w:b/>
          <w:sz w:val="24"/>
          <w:szCs w:val="24"/>
          <w:lang w:val="en-US" w:eastAsia="zh-CN"/>
        </w:rPr>
        <w:t>要求：</w:t>
      </w:r>
    </w:p>
    <w:p w14:paraId="76C3BAE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（1）</w:t>
      </w:r>
      <w:r>
        <w:rPr>
          <w:rFonts w:hint="eastAsia" w:asciiTheme="minorEastAsia" w:hAnsiTheme="minorEastAsia" w:eastAsiaTheme="minorEastAsia"/>
          <w:sz w:val="24"/>
          <w:szCs w:val="24"/>
        </w:rPr>
        <w:t>资金分析数据容量。支持汇聚不同来源的资金数据到同一个任务中，要求能够满足交易记录3百万条级别在本地库中任意分析需要。</w:t>
      </w:r>
    </w:p>
    <w:p w14:paraId="4DE6B724">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rPr>
      </w:pPr>
      <w:r>
        <w:rPr>
          <w:rFonts w:hint="default" w:cs="Times New Roman" w:asciiTheme="minorEastAsia" w:hAnsiTheme="minorEastAsia" w:eastAsiaTheme="minorEastAsia"/>
          <w:kern w:val="2"/>
          <w:sz w:val="24"/>
          <w:szCs w:val="24"/>
          <w:lang w:val="en-US" w:eastAsia="zh-CN" w:bidi="ar-SA"/>
        </w:rPr>
        <w:t>（2）</w:t>
      </w:r>
      <w:r>
        <w:rPr>
          <w:rFonts w:hint="eastAsia" w:asciiTheme="minorEastAsia" w:hAnsiTheme="minorEastAsia" w:eastAsiaTheme="minorEastAsia"/>
          <w:sz w:val="24"/>
          <w:szCs w:val="24"/>
        </w:rPr>
        <w:t>资金分析数据导入性能。在本地案件模式下，导入10万的数据，最大不得超过5分钟。</w:t>
      </w:r>
    </w:p>
    <w:p w14:paraId="2713B77F">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31.专用固定式分析器技术参数要求（2台）：</w:t>
      </w:r>
    </w:p>
    <w:p w14:paraId="453931F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处理器</w:t>
      </w:r>
      <w:r>
        <w:rPr>
          <w:rFonts w:hint="eastAsia" w:asciiTheme="minorEastAsia" w:hAnsiTheme="minorEastAsia" w:eastAsiaTheme="minorEastAsia"/>
          <w:sz w:val="24"/>
          <w:szCs w:val="24"/>
        </w:rPr>
        <w:t>≥I9</w:t>
      </w:r>
      <w:r>
        <w:rPr>
          <w:rFonts w:hint="eastAsia" w:asciiTheme="minorEastAsia" w:hAnsiTheme="minorEastAsia" w:eastAsiaTheme="minorEastAsia"/>
          <w:sz w:val="24"/>
          <w:szCs w:val="24"/>
          <w:lang w:eastAsia="zh-CN"/>
        </w:rPr>
        <w:t>；</w:t>
      </w:r>
    </w:p>
    <w:p w14:paraId="43F1FAB6">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highlight w:val="yellow"/>
          <w:lang w:eastAsia="zh-CN"/>
        </w:rPr>
      </w:pPr>
      <w:r>
        <w:rPr>
          <w:rFonts w:hint="eastAsia" w:asciiTheme="minorEastAsia" w:hAnsiTheme="minorEastAsia" w:eastAsiaTheme="minorEastAsia"/>
          <w:sz w:val="24"/>
          <w:szCs w:val="24"/>
          <w:highlight w:val="none"/>
        </w:rPr>
        <w:t>内存≥64G</w:t>
      </w:r>
      <w:r>
        <w:rPr>
          <w:rFonts w:hint="eastAsia" w:asciiTheme="minorEastAsia" w:hAnsiTheme="minorEastAsia" w:eastAsiaTheme="minorEastAsia"/>
          <w:sz w:val="24"/>
          <w:szCs w:val="24"/>
          <w:highlight w:val="none"/>
          <w:lang w:eastAsia="zh-CN"/>
        </w:rPr>
        <w:t>；</w:t>
      </w:r>
    </w:p>
    <w:p w14:paraId="73ED877F">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硬盘≥1TSSD+2T机械；</w:t>
      </w:r>
    </w:p>
    <w:p w14:paraId="7031F2B2">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显示器≥31.5英寸。</w:t>
      </w:r>
    </w:p>
    <w:p w14:paraId="7704D189">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32.专用便携式分析器技术参数要求（1台）：</w:t>
      </w:r>
    </w:p>
    <w:p w14:paraId="60A9CEFB">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尺寸≥16寸；</w:t>
      </w:r>
    </w:p>
    <w:p w14:paraId="5B4D4390">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处理器≥i9；</w:t>
      </w:r>
    </w:p>
    <w:p w14:paraId="3D9D9768">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内存≥32GB；</w:t>
      </w:r>
    </w:p>
    <w:p w14:paraId="338F9197">
      <w:pPr>
        <w:pStyle w:val="86"/>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硬盘≥1TB SSD。</w:t>
      </w:r>
    </w:p>
    <w:p w14:paraId="726A26B3">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33.工具授权介质及部署要求：</w:t>
      </w:r>
    </w:p>
    <w:p w14:paraId="3ECB9B21">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firstLine="480" w:firstLineChars="200"/>
        <w:jc w:val="both"/>
        <w:textAlignment w:val="auto"/>
        <w:rPr>
          <w:rFonts w:hint="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授权介质需独立且便于后期维护，支持随时授权、不绑定唯一硬件；支持离线研判需求，即便在外出或无网络环境下，依托合法授权许可仍能稳定高效运行；同时工具应采用C/S架构设计，兼顾高可扩展性与高并发性能。</w:t>
      </w:r>
    </w:p>
    <w:p w14:paraId="72959848">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eastAsia="宋体"/>
          <w:color w:val="auto"/>
          <w:sz w:val="24"/>
          <w:highlight w:val="none"/>
          <w:lang w:val="en-US" w:eastAsia="zh-CN"/>
        </w:rPr>
      </w:pPr>
      <w:r>
        <w:rPr>
          <w:rFonts w:hint="eastAsia"/>
          <w:color w:val="auto"/>
          <w:sz w:val="24"/>
          <w:highlight w:val="none"/>
          <w:lang w:val="en-US" w:eastAsia="zh-CN"/>
        </w:rPr>
        <w:t>注：</w:t>
      </w:r>
      <w:r>
        <w:rPr>
          <w:rFonts w:hint="eastAsia" w:ascii="宋体" w:hAnsi="宋体" w:cs="宋体"/>
          <w:b w:val="0"/>
          <w:bCs w:val="0"/>
          <w:color w:val="auto"/>
          <w:kern w:val="0"/>
          <w:sz w:val="24"/>
          <w:szCs w:val="24"/>
          <w:highlight w:val="none"/>
          <w:lang w:val="en-US" w:eastAsia="zh-CN" w:bidi="ar-SA"/>
        </w:rPr>
        <w:t>标注</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技术要求为实质性要求，投标供应商须完全满足，不允许有负偏离，如出现负偏离，按未实质性响应谈判文件内容处理。</w:t>
      </w:r>
    </w:p>
    <w:p w14:paraId="3021954A">
      <w:pPr>
        <w:pageBreakBefore w:val="0"/>
        <w:numPr>
          <w:ilvl w:val="0"/>
          <w:numId w:val="7"/>
        </w:numPr>
        <w:kinsoku/>
        <w:wordWrap/>
        <w:overflowPunct/>
        <w:topLinePunct w:val="0"/>
        <w:autoSpaceDE/>
        <w:autoSpaceDN/>
        <w:bidi w:val="0"/>
        <w:adjustRightInd/>
        <w:snapToGrid/>
        <w:spacing w:line="360" w:lineRule="auto"/>
        <w:ind w:firstLine="475" w:firstLineChars="197"/>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商务要求</w:t>
      </w:r>
    </w:p>
    <w:p w14:paraId="243D15D4">
      <w:pPr>
        <w:pStyle w:val="16"/>
        <w:keepNext w:val="0"/>
        <w:keepLines w:val="0"/>
        <w:pageBreakBefore w:val="0"/>
        <w:kinsoku/>
        <w:wordWrap/>
        <w:overflowPunct/>
        <w:topLinePunct w:val="0"/>
        <w:bidi w:val="0"/>
        <w:spacing w:line="460" w:lineRule="exact"/>
        <w:ind w:firstLine="482" w:firstLineChars="200"/>
        <w:textAlignment w:val="auto"/>
        <w:rPr>
          <w:rFonts w:hint="default" w:ascii="宋体" w:hAnsi="宋体" w:eastAsia="宋体" w:cs="宋体"/>
          <w:color w:val="auto"/>
          <w:sz w:val="24"/>
          <w:szCs w:val="24"/>
          <w:u w:val="none"/>
          <w:lang w:val="en-US"/>
        </w:rPr>
      </w:pPr>
      <w:r>
        <w:rPr>
          <w:rFonts w:hint="eastAsia" w:hAnsi="宋体" w:eastAsia="宋体" w:cs="宋体"/>
          <w:b/>
          <w:bCs/>
          <w:color w:val="auto"/>
          <w:sz w:val="24"/>
          <w:szCs w:val="24"/>
          <w:lang w:val="en-US" w:eastAsia="zh-CN"/>
        </w:rPr>
        <w:t>1</w:t>
      </w:r>
      <w:r>
        <w:rPr>
          <w:rFonts w:hint="eastAsia"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交货期</w:t>
      </w:r>
      <w:r>
        <w:rPr>
          <w:rFonts w:hint="eastAsia" w:hAnsi="宋体" w:eastAsia="宋体" w:cs="宋体"/>
          <w:b/>
          <w:bCs/>
          <w:color w:val="auto"/>
          <w:sz w:val="24"/>
          <w:szCs w:val="24"/>
          <w:lang w:val="en-US" w:eastAsia="zh-CN"/>
        </w:rPr>
        <w:t>：</w:t>
      </w:r>
      <w:r>
        <w:rPr>
          <w:rFonts w:hint="eastAsia" w:hAnsi="宋体" w:cs="宋体"/>
          <w:color w:val="auto"/>
          <w:kern w:val="0"/>
          <w:sz w:val="24"/>
          <w:szCs w:val="24"/>
          <w:lang w:val="en-US" w:eastAsia="zh-CN"/>
        </w:rPr>
        <w:t>合同签订后30日历天内完成供货、安装调试。</w:t>
      </w:r>
    </w:p>
    <w:p w14:paraId="3C5C8295">
      <w:pPr>
        <w:pStyle w:val="16"/>
        <w:keepNext w:val="0"/>
        <w:keepLines w:val="0"/>
        <w:pageBreakBefore w:val="0"/>
        <w:kinsoku/>
        <w:wordWrap/>
        <w:overflowPunct/>
        <w:topLinePunct w:val="0"/>
        <w:bidi w:val="0"/>
        <w:spacing w:line="460" w:lineRule="exact"/>
        <w:ind w:left="0" w:firstLine="482" w:firstLineChars="200"/>
        <w:textAlignment w:val="auto"/>
        <w:rPr>
          <w:rFonts w:hint="default" w:hAnsi="宋体" w:eastAsia="宋体" w:cs="宋体"/>
          <w:b w:val="0"/>
          <w:bCs w:val="0"/>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2.交付地点：</w:t>
      </w:r>
      <w:r>
        <w:rPr>
          <w:rFonts w:hint="eastAsia" w:hAnsi="宋体" w:cs="宋体"/>
          <w:b w:val="0"/>
          <w:bCs w:val="0"/>
          <w:color w:val="000000" w:themeColor="text1"/>
          <w:sz w:val="24"/>
          <w:szCs w:val="24"/>
          <w:lang w:val="en-US" w:eastAsia="zh-CN"/>
          <w14:textFill>
            <w14:solidFill>
              <w14:schemeClr w14:val="tx1"/>
            </w14:solidFill>
          </w14:textFill>
        </w:rPr>
        <w:t>采购人指定地点。</w:t>
      </w:r>
    </w:p>
    <w:p w14:paraId="6238A28B">
      <w:pPr>
        <w:pStyle w:val="16"/>
        <w:keepNext w:val="0"/>
        <w:keepLines w:val="0"/>
        <w:pageBreakBefore w:val="0"/>
        <w:kinsoku/>
        <w:wordWrap/>
        <w:overflowPunct/>
        <w:topLinePunct w:val="0"/>
        <w:bidi w:val="0"/>
        <w:spacing w:line="460" w:lineRule="exact"/>
        <w:ind w:left="0" w:firstLine="482" w:firstLineChars="200"/>
        <w:textAlignment w:val="auto"/>
        <w:rPr>
          <w:rFonts w:hint="eastAsia" w:hAnsi="宋体" w:cs="宋体"/>
          <w:b/>
          <w:bCs/>
          <w:color w:val="000000" w:themeColor="text1"/>
          <w:sz w:val="24"/>
          <w:szCs w:val="24"/>
          <w:lang w:val="en-US" w:eastAsia="zh-CN"/>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3.质量保证期</w:t>
      </w:r>
    </w:p>
    <w:p w14:paraId="768CA0B6">
      <w:pPr>
        <w:pStyle w:val="16"/>
        <w:keepNext w:val="0"/>
        <w:keepLines w:val="0"/>
        <w:pageBreakBefore w:val="0"/>
        <w:kinsoku/>
        <w:wordWrap/>
        <w:overflowPunct/>
        <w:topLinePunct w:val="0"/>
        <w:bidi w:val="0"/>
        <w:spacing w:line="460" w:lineRule="exact"/>
        <w:ind w:left="0" w:firstLine="480" w:firstLineChars="200"/>
        <w:textAlignment w:val="auto"/>
        <w:rPr>
          <w:rFonts w:hint="eastAsia" w:hAnsi="宋体" w:cs="宋体"/>
          <w:b w:val="0"/>
          <w:bCs w:val="0"/>
          <w:color w:val="000000" w:themeColor="text1"/>
          <w:sz w:val="24"/>
          <w:szCs w:val="24"/>
          <w:lang w:val="en-US" w:eastAsia="zh-CN"/>
          <w14:textFill>
            <w14:solidFill>
              <w14:schemeClr w14:val="tx1"/>
            </w14:solidFill>
          </w14:textFill>
        </w:rPr>
      </w:pPr>
      <w:r>
        <w:rPr>
          <w:rFonts w:hint="eastAsia" w:hAnsi="宋体" w:cs="宋体"/>
          <w:b w:val="0"/>
          <w:bCs w:val="0"/>
          <w:color w:val="000000" w:themeColor="text1"/>
          <w:sz w:val="24"/>
          <w:szCs w:val="24"/>
          <w:lang w:val="en-US" w:eastAsia="zh-CN"/>
          <w14:textFill>
            <w14:solidFill>
              <w14:schemeClr w14:val="tx1"/>
            </w14:solidFill>
          </w14:textFill>
        </w:rPr>
        <w:t>3.1自验收合格之日起硬件设备提供一年原厂售后服务，资金分析研判工具提供一年免费软件升级期。</w:t>
      </w:r>
    </w:p>
    <w:p w14:paraId="68F2820D">
      <w:pPr>
        <w:pStyle w:val="16"/>
        <w:keepNext w:val="0"/>
        <w:keepLines w:val="0"/>
        <w:pageBreakBefore w:val="0"/>
        <w:kinsoku/>
        <w:wordWrap/>
        <w:overflowPunct/>
        <w:topLinePunct w:val="0"/>
        <w:bidi w:val="0"/>
        <w:spacing w:line="460" w:lineRule="exact"/>
        <w:ind w:left="0" w:firstLine="480" w:firstLineChars="200"/>
        <w:textAlignment w:val="auto"/>
        <w:rPr>
          <w:rFonts w:hint="default" w:hAnsi="宋体" w:eastAsia="宋体" w:cs="宋体"/>
          <w:b w:val="0"/>
          <w:bCs w:val="0"/>
          <w:color w:val="000000" w:themeColor="text1"/>
          <w:sz w:val="24"/>
          <w:szCs w:val="24"/>
          <w:lang w:val="en-US" w:eastAsia="zh-CN"/>
          <w14:textFill>
            <w14:solidFill>
              <w14:schemeClr w14:val="tx1"/>
            </w14:solidFill>
          </w14:textFill>
        </w:rPr>
      </w:pPr>
      <w:r>
        <w:rPr>
          <w:rFonts w:hint="eastAsia" w:hAnsi="宋体" w:cs="宋体"/>
          <w:b w:val="0"/>
          <w:bCs w:val="0"/>
          <w:color w:val="000000" w:themeColor="text1"/>
          <w:sz w:val="24"/>
          <w:szCs w:val="24"/>
          <w:lang w:val="en-US" w:eastAsia="zh-CN"/>
          <w14:textFill>
            <w14:solidFill>
              <w14:schemeClr w14:val="tx1"/>
            </w14:solidFill>
          </w14:textFill>
        </w:rPr>
        <w:t>3.2质量保证期内，如果证实货物是有缺陷的，包括潜在的缺陷或者使用不符合要求的材料等，成交供应商应立即免费维修或者更换有缺陷的货物或者部件，保证达到合同规定的技术以及性能要求。</w:t>
      </w:r>
    </w:p>
    <w:p w14:paraId="07A898E8">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hAnsi="宋体"/>
          <w:color w:val="auto"/>
          <w:kern w:val="0"/>
          <w:sz w:val="24"/>
          <w:szCs w:val="24"/>
          <w:highlight w:val="none"/>
          <w:lang w:val="en-US" w:eastAsia="zh-CN"/>
        </w:rPr>
      </w:pPr>
      <w:r>
        <w:rPr>
          <w:rFonts w:hint="eastAsia" w:hAnsi="宋体" w:cs="宋体"/>
          <w:b/>
          <w:bCs/>
          <w:color w:val="000000" w:themeColor="text1"/>
          <w:sz w:val="24"/>
          <w:szCs w:val="24"/>
          <w:lang w:val="en-US" w:eastAsia="zh-CN"/>
          <w14:textFill>
            <w14:solidFill>
              <w14:schemeClr w14:val="tx1"/>
            </w14:solidFill>
          </w14:textFill>
        </w:rPr>
        <w:t>4.</w:t>
      </w:r>
      <w:r>
        <w:rPr>
          <w:rFonts w:hint="default" w:hAnsi="宋体"/>
          <w:b/>
          <w:bCs/>
          <w:color w:val="auto"/>
          <w:kern w:val="0"/>
          <w:sz w:val="24"/>
          <w:szCs w:val="24"/>
          <w:highlight w:val="none"/>
          <w:lang w:val="en-US" w:eastAsia="zh-CN"/>
        </w:rPr>
        <w:t>质量标准：</w:t>
      </w:r>
      <w:r>
        <w:rPr>
          <w:rFonts w:hint="eastAsia" w:ascii="宋体" w:hAnsi="宋体" w:eastAsia="宋体" w:cs="宋体"/>
          <w:color w:val="auto"/>
          <w:kern w:val="0"/>
          <w:sz w:val="24"/>
          <w:szCs w:val="24"/>
          <w:lang w:val="en-US" w:eastAsia="zh-CN" w:bidi="ar-SA"/>
        </w:rPr>
        <w:t>满足国家及行业现行技术标准、规范要求。</w:t>
      </w:r>
    </w:p>
    <w:p w14:paraId="26F16EB2">
      <w:pPr>
        <w:pStyle w:val="16"/>
        <w:keepNext w:val="0"/>
        <w:keepLines w:val="0"/>
        <w:pageBreakBefore w:val="0"/>
        <w:kinsoku/>
        <w:wordWrap/>
        <w:overflowPunct/>
        <w:topLinePunct w:val="0"/>
        <w:bidi w:val="0"/>
        <w:spacing w:line="460" w:lineRule="exact"/>
        <w:ind w:left="0" w:firstLine="482"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hAnsi="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价款及支付方式</w:t>
      </w:r>
    </w:p>
    <w:p w14:paraId="72C1E92A">
      <w:pPr>
        <w:pStyle w:val="16"/>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合同总价包括：</w:t>
      </w:r>
      <w:r>
        <w:rPr>
          <w:rFonts w:hint="eastAsia" w:hAnsi="宋体" w:cs="宋体"/>
          <w:color w:val="000000" w:themeColor="text1"/>
          <w:sz w:val="24"/>
          <w:szCs w:val="24"/>
          <w:lang w:val="en-US" w:eastAsia="zh-CN"/>
          <w14:textFill>
            <w14:solidFill>
              <w14:schemeClr w14:val="tx1"/>
            </w14:solidFill>
          </w14:textFill>
        </w:rPr>
        <w:t>产品</w:t>
      </w:r>
      <w:r>
        <w:rPr>
          <w:rFonts w:hint="eastAsia" w:ascii="宋体" w:hAnsi="宋体" w:eastAsia="宋体" w:cs="宋体"/>
          <w:color w:val="000000" w:themeColor="text1"/>
          <w:sz w:val="24"/>
          <w:szCs w:val="24"/>
          <w:lang w:val="en-US" w:eastAsia="zh-CN"/>
          <w14:textFill>
            <w14:solidFill>
              <w14:schemeClr w14:val="tx1"/>
            </w14:solidFill>
          </w14:textFill>
        </w:rPr>
        <w:t>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运杂费、</w:t>
      </w:r>
      <w:r>
        <w:rPr>
          <w:rFonts w:hint="eastAsia" w:hAnsi="宋体" w:cs="宋体"/>
          <w:color w:val="000000" w:themeColor="text1"/>
          <w:sz w:val="24"/>
          <w:szCs w:val="24"/>
          <w:lang w:val="en-US" w:eastAsia="zh-CN"/>
          <w14:textFill>
            <w14:solidFill>
              <w14:schemeClr w14:val="tx1"/>
            </w14:solidFill>
          </w14:textFill>
        </w:rPr>
        <w:t>安装调试费、</w:t>
      </w:r>
      <w:r>
        <w:rPr>
          <w:rFonts w:hint="eastAsia" w:ascii="宋体" w:hAnsi="宋体" w:eastAsia="宋体" w:cs="宋体"/>
          <w:color w:val="000000" w:themeColor="text1"/>
          <w:sz w:val="24"/>
          <w:szCs w:val="24"/>
          <w14:textFill>
            <w14:solidFill>
              <w14:schemeClr w14:val="tx1"/>
            </w14:solidFill>
          </w14:textFill>
        </w:rPr>
        <w:t>国家按现行税收政策征收的一切税费</w:t>
      </w:r>
      <w:r>
        <w:rPr>
          <w:rFonts w:hint="eastAsia" w:ascii="宋体" w:hAnsi="宋体" w:eastAsia="宋体" w:cs="宋体"/>
          <w:color w:val="000000" w:themeColor="text1"/>
          <w:sz w:val="24"/>
          <w:szCs w:val="24"/>
          <w:lang w:val="en-US" w:eastAsia="zh-CN"/>
          <w14:textFill>
            <w14:solidFill>
              <w14:schemeClr w14:val="tx1"/>
            </w14:solidFill>
          </w14:textFill>
        </w:rPr>
        <w:t>及完成整个项目所需其他一切费</w:t>
      </w:r>
      <w:r>
        <w:rPr>
          <w:rFonts w:hint="eastAsia" w:ascii="宋体" w:hAnsi="宋体" w:eastAsia="宋体" w:cs="宋体"/>
          <w:color w:val="000000" w:themeColor="text1"/>
          <w:sz w:val="24"/>
          <w:szCs w:val="24"/>
          <w:lang w:eastAsia="zh-CN"/>
          <w14:textFill>
            <w14:solidFill>
              <w14:schemeClr w14:val="tx1"/>
            </w14:solidFill>
          </w14:textFill>
        </w:rPr>
        <w:t>用</w:t>
      </w:r>
      <w:r>
        <w:rPr>
          <w:rFonts w:hint="eastAsia" w:ascii="宋体" w:hAnsi="宋体" w:eastAsia="宋体" w:cs="宋体"/>
          <w:color w:val="000000" w:themeColor="text1"/>
          <w:sz w:val="24"/>
          <w:szCs w:val="24"/>
          <w14:textFill>
            <w14:solidFill>
              <w14:schemeClr w14:val="tx1"/>
            </w14:solidFill>
          </w14:textFill>
        </w:rPr>
        <w:t>。</w:t>
      </w:r>
    </w:p>
    <w:p w14:paraId="2D4A9978">
      <w:pPr>
        <w:pStyle w:val="16"/>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合同</w:t>
      </w:r>
      <w:r>
        <w:rPr>
          <w:rFonts w:hint="eastAsia" w:hAnsi="宋体" w:eastAsia="宋体" w:cs="宋体"/>
          <w:b w:val="0"/>
          <w:bCs w:val="0"/>
          <w:color w:val="000000" w:themeColor="text1"/>
          <w:sz w:val="24"/>
          <w:szCs w:val="24"/>
          <w:lang w:val="en-US" w:eastAsia="zh-CN"/>
          <w14:textFill>
            <w14:solidFill>
              <w14:schemeClr w14:val="tx1"/>
            </w14:solidFill>
          </w14:textFill>
        </w:rPr>
        <w:t>总价</w:t>
      </w:r>
      <w:r>
        <w:rPr>
          <w:rFonts w:hint="eastAsia" w:ascii="宋体" w:hAnsi="宋体" w:eastAsia="宋体" w:cs="宋体"/>
          <w:b w:val="0"/>
          <w:bCs w:val="0"/>
          <w:color w:val="000000" w:themeColor="text1"/>
          <w:sz w:val="24"/>
          <w:szCs w:val="24"/>
          <w:lang w:eastAsia="zh-CN"/>
          <w14:textFill>
            <w14:solidFill>
              <w14:schemeClr w14:val="tx1"/>
            </w14:solidFill>
          </w14:textFill>
        </w:rPr>
        <w:t>固定不变</w:t>
      </w:r>
      <w:r>
        <w:rPr>
          <w:rFonts w:hint="eastAsia" w:ascii="宋体" w:hAnsi="宋体" w:eastAsia="宋体" w:cs="宋体"/>
          <w:b w:val="0"/>
          <w:bCs w:val="0"/>
          <w:color w:val="000000" w:themeColor="text1"/>
          <w:sz w:val="24"/>
          <w:szCs w:val="24"/>
          <w14:textFill>
            <w14:solidFill>
              <w14:schemeClr w14:val="tx1"/>
            </w14:solidFill>
          </w14:textFill>
        </w:rPr>
        <w:t>，不受市场价变化的影响</w:t>
      </w:r>
      <w:r>
        <w:rPr>
          <w:rFonts w:hint="eastAsia" w:hAnsi="宋体" w:cs="宋体"/>
          <w:b w:val="0"/>
          <w:bCs w:val="0"/>
          <w:color w:val="000000" w:themeColor="text1"/>
          <w:sz w:val="24"/>
          <w:szCs w:val="24"/>
          <w:lang w:eastAsia="zh-CN"/>
          <w14:textFill>
            <w14:solidFill>
              <w14:schemeClr w14:val="tx1"/>
            </w14:solidFill>
          </w14:textFill>
        </w:rPr>
        <w:t>。</w:t>
      </w:r>
    </w:p>
    <w:p w14:paraId="6ACE9A2B">
      <w:pPr>
        <w:pStyle w:val="16"/>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支付方式：</w:t>
      </w:r>
      <w:r>
        <w:rPr>
          <w:rFonts w:hint="eastAsia" w:hAnsi="宋体" w:cs="宋体"/>
          <w:color w:val="000000" w:themeColor="text1"/>
          <w:sz w:val="24"/>
          <w:szCs w:val="24"/>
          <w:lang w:eastAsia="zh-CN"/>
          <w14:textFill>
            <w14:solidFill>
              <w14:schemeClr w14:val="tx1"/>
            </w14:solidFill>
          </w14:textFill>
        </w:rPr>
        <w:t>银行转账</w:t>
      </w:r>
      <w:r>
        <w:rPr>
          <w:rFonts w:hint="eastAsia" w:ascii="宋体" w:hAnsi="宋体" w:eastAsia="宋体" w:cs="宋体"/>
          <w:color w:val="000000" w:themeColor="text1"/>
          <w:sz w:val="24"/>
          <w:szCs w:val="24"/>
          <w14:textFill>
            <w14:solidFill>
              <w14:schemeClr w14:val="tx1"/>
            </w14:solidFill>
          </w14:textFill>
        </w:rPr>
        <w:t>。</w:t>
      </w:r>
    </w:p>
    <w:p w14:paraId="3A405E42">
      <w:pPr>
        <w:pStyle w:val="16"/>
        <w:keepNext w:val="0"/>
        <w:keepLines w:val="0"/>
        <w:pageBreakBefore w:val="0"/>
        <w:kinsoku/>
        <w:wordWrap/>
        <w:overflowPunct/>
        <w:topLinePunct w:val="0"/>
        <w:bidi w:val="0"/>
        <w:spacing w:line="460" w:lineRule="exact"/>
        <w:ind w:firstLine="480" w:firstLineChars="200"/>
        <w:textAlignment w:val="auto"/>
        <w:rPr>
          <w:rFonts w:hint="eastAsia" w:hAnsi="宋体" w:cs="宋体"/>
          <w:color w:val="auto"/>
          <w:sz w:val="24"/>
          <w:szCs w:val="24"/>
          <w:lang w:eastAsia="zh-CN"/>
        </w:rPr>
      </w:pPr>
      <w:r>
        <w:rPr>
          <w:rFonts w:hint="eastAsia" w:hAnsi="宋体" w:cs="宋体"/>
          <w:color w:val="auto"/>
          <w:sz w:val="24"/>
          <w:szCs w:val="24"/>
          <w:lang w:val="en-US" w:eastAsia="zh-CN"/>
        </w:rPr>
        <w:t>5.</w:t>
      </w:r>
      <w:r>
        <w:rPr>
          <w:rFonts w:hint="eastAsia" w:ascii="宋体" w:hAnsi="宋体" w:eastAsia="宋体" w:cs="宋体"/>
          <w:color w:val="auto"/>
          <w:sz w:val="24"/>
          <w:szCs w:val="24"/>
          <w:lang w:val="en-US" w:eastAsia="zh-CN"/>
        </w:rPr>
        <w:t>4</w:t>
      </w:r>
      <w:r>
        <w:rPr>
          <w:rFonts w:hint="eastAsia" w:hAnsi="宋体" w:cs="宋体"/>
          <w:color w:val="auto"/>
          <w:sz w:val="24"/>
          <w:szCs w:val="24"/>
          <w:lang w:eastAsia="zh-CN"/>
        </w:rPr>
        <w:t>合同签订后，支付合同总价款的40%，乙方须按其投标文件中响应的交货期按时交货并提供全额合规发票保证“货票同行”，到达甲方指定地点，安装、调试完毕并验收合格后付剩余的60%合同总价款。</w:t>
      </w:r>
    </w:p>
    <w:p w14:paraId="415DC255">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hAnsi="宋体"/>
          <w:color w:val="auto"/>
          <w:kern w:val="0"/>
          <w:sz w:val="24"/>
          <w:szCs w:val="24"/>
          <w:highlight w:val="none"/>
          <w:lang w:val="en-US" w:eastAsia="zh-CN"/>
        </w:rPr>
      </w:pPr>
      <w:r>
        <w:rPr>
          <w:rFonts w:hint="eastAsia" w:hAnsi="宋体"/>
          <w:color w:val="auto"/>
          <w:kern w:val="0"/>
          <w:sz w:val="24"/>
          <w:szCs w:val="24"/>
          <w:highlight w:val="none"/>
          <w:lang w:val="en-US" w:eastAsia="zh-CN"/>
        </w:rPr>
        <w:t>6</w:t>
      </w:r>
      <w:r>
        <w:rPr>
          <w:rFonts w:hint="eastAsia" w:ascii="宋体" w:cs="宋体"/>
          <w:b w:val="0"/>
          <w:bCs/>
          <w:color w:val="auto"/>
          <w:sz w:val="24"/>
          <w:szCs w:val="24"/>
          <w:highlight w:val="none"/>
          <w:lang w:val="en-US" w:eastAsia="zh-CN"/>
        </w:rPr>
        <w:t>.</w:t>
      </w:r>
      <w:r>
        <w:rPr>
          <w:rFonts w:hint="default" w:hAnsi="宋体"/>
          <w:color w:val="auto"/>
          <w:kern w:val="0"/>
          <w:sz w:val="24"/>
          <w:szCs w:val="24"/>
          <w:highlight w:val="none"/>
          <w:lang w:val="en-US" w:eastAsia="zh-CN"/>
        </w:rPr>
        <w:t>验收标准和要求：</w:t>
      </w:r>
    </w:p>
    <w:p w14:paraId="642225F8">
      <w:pPr>
        <w:pStyle w:val="133"/>
        <w:numPr>
          <w:ilvl w:val="0"/>
          <w:numId w:val="0"/>
        </w:numPr>
        <w:tabs>
          <w:tab w:val="left" w:pos="540"/>
        </w:tabs>
        <w:spacing w:before="0" w:after="0" w:line="360" w:lineRule="auto"/>
        <w:ind w:firstLine="480" w:firstLineChars="200"/>
        <w:jc w:val="both"/>
        <w:rPr>
          <w:rFonts w:hint="eastAsia" w:ascii="宋体" w:hAnsi="宋体" w:cs="宋体"/>
          <w:b w:val="0"/>
          <w:bCs/>
          <w:color w:val="auto"/>
          <w:sz w:val="24"/>
          <w:szCs w:val="24"/>
          <w:highlight w:val="none"/>
          <w:lang w:val="en-US" w:eastAsia="zh-CN"/>
        </w:rPr>
      </w:pPr>
      <w:r>
        <w:rPr>
          <w:rFonts w:hint="eastAsia" w:asci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val="en-US" w:eastAsia="zh-CN"/>
        </w:rPr>
        <w:t>1</w:t>
      </w:r>
      <w:r>
        <w:rPr>
          <w:rFonts w:hint="eastAsia" w:ascii="宋体" w:cs="宋体"/>
          <w:b w:val="0"/>
          <w:bCs/>
          <w:color w:val="auto"/>
          <w:sz w:val="24"/>
          <w:szCs w:val="24"/>
          <w:highlight w:val="none"/>
          <w:lang w:val="en-US" w:eastAsia="zh-CN"/>
        </w:rPr>
        <w:t>硬件设备</w:t>
      </w:r>
      <w:r>
        <w:rPr>
          <w:rFonts w:hint="eastAsia" w:ascii="宋体" w:hAnsi="宋体" w:cs="宋体"/>
          <w:b w:val="0"/>
          <w:bCs/>
          <w:color w:val="auto"/>
          <w:sz w:val="24"/>
          <w:szCs w:val="24"/>
          <w:highlight w:val="none"/>
          <w:lang w:val="en-US" w:eastAsia="zh-CN"/>
        </w:rPr>
        <w:t>运抵采购人所在地现场后，采购人与</w:t>
      </w:r>
      <w:r>
        <w:rPr>
          <w:rFonts w:hint="eastAsia" w:ascii="宋体" w:cs="宋体"/>
          <w:b w:val="0"/>
          <w:bCs/>
          <w:color w:val="auto"/>
          <w:sz w:val="24"/>
          <w:szCs w:val="24"/>
          <w:highlight w:val="none"/>
          <w:lang w:val="en-US" w:eastAsia="zh-CN"/>
        </w:rPr>
        <w:t>成交供应商</w:t>
      </w:r>
      <w:r>
        <w:rPr>
          <w:rFonts w:hint="eastAsia" w:ascii="宋体" w:hAnsi="宋体" w:cs="宋体"/>
          <w:b w:val="0"/>
          <w:bCs/>
          <w:color w:val="auto"/>
          <w:sz w:val="24"/>
          <w:szCs w:val="24"/>
          <w:highlight w:val="none"/>
          <w:lang w:val="en-US" w:eastAsia="zh-CN"/>
        </w:rPr>
        <w:t>共同验收，验收结果双方认可。</w:t>
      </w:r>
    </w:p>
    <w:p w14:paraId="3BC51375">
      <w:pPr>
        <w:pStyle w:val="133"/>
        <w:numPr>
          <w:ilvl w:val="0"/>
          <w:numId w:val="0"/>
        </w:numPr>
        <w:tabs>
          <w:tab w:val="left" w:pos="540"/>
        </w:tabs>
        <w:spacing w:before="0" w:after="0" w:line="360" w:lineRule="auto"/>
        <w:ind w:leftChars="0" w:firstLine="480" w:firstLineChars="200"/>
        <w:jc w:val="both"/>
        <w:rPr>
          <w:rFonts w:hint="eastAsia" w:ascii="宋体" w:hAnsi="宋体" w:cs="宋体"/>
          <w:b w:val="0"/>
          <w:bCs/>
          <w:color w:val="auto"/>
          <w:sz w:val="24"/>
          <w:szCs w:val="24"/>
          <w:highlight w:val="none"/>
          <w:lang w:val="en-US" w:eastAsia="zh-CN"/>
        </w:rPr>
      </w:pPr>
      <w:r>
        <w:rPr>
          <w:rFonts w:hint="eastAsia" w:asci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val="en-US" w:eastAsia="zh-CN"/>
        </w:rPr>
        <w:t>2必须保证投标商品的完整性，能满足全部功能的使用</w:t>
      </w:r>
      <w:r>
        <w:rPr>
          <w:rFonts w:hint="eastAsia" w:ascii="宋体" w:cs="宋体"/>
          <w:b w:val="0"/>
          <w:bCs/>
          <w:color w:val="auto"/>
          <w:sz w:val="24"/>
          <w:szCs w:val="24"/>
          <w:highlight w:val="none"/>
          <w:lang w:val="en-US" w:eastAsia="zh-CN"/>
        </w:rPr>
        <w:t>，与产品原始样本技术数据及标书技术文件一致。</w:t>
      </w:r>
    </w:p>
    <w:p w14:paraId="7503B540">
      <w:pPr>
        <w:pStyle w:val="133"/>
        <w:numPr>
          <w:ilvl w:val="0"/>
          <w:numId w:val="0"/>
        </w:numPr>
        <w:tabs>
          <w:tab w:val="left" w:pos="540"/>
        </w:tabs>
        <w:spacing w:before="0" w:after="0" w:line="360" w:lineRule="auto"/>
        <w:ind w:leftChars="0" w:firstLine="480" w:firstLineChars="200"/>
        <w:jc w:val="both"/>
        <w:rPr>
          <w:rFonts w:hint="eastAsia" w:ascii="宋体" w:hAnsi="宋体" w:cs="宋体"/>
          <w:b w:val="0"/>
          <w:bCs/>
          <w:color w:val="auto"/>
          <w:sz w:val="24"/>
          <w:szCs w:val="24"/>
          <w:highlight w:val="none"/>
          <w:lang w:val="en-US" w:eastAsia="zh-CN"/>
        </w:rPr>
      </w:pPr>
      <w:r>
        <w:rPr>
          <w:rFonts w:hint="eastAsia" w:asci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val="en-US" w:eastAsia="zh-CN"/>
        </w:rPr>
        <w:t>3提供的产品（技术指标除另作规定外）均应符合行业相关标准。必须对供货的的商品进行检验。由采购人组织验收，并出具验收结果和意见，中标人负责向验收组提交验收所需文件和相关资料。</w:t>
      </w:r>
    </w:p>
    <w:p w14:paraId="101E9202">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cs="宋体"/>
          <w:b w:val="0"/>
          <w:bCs/>
          <w:color w:val="auto"/>
          <w:sz w:val="24"/>
          <w:szCs w:val="24"/>
          <w:highlight w:val="none"/>
          <w:lang w:val="en-US" w:eastAsia="zh-CN"/>
        </w:rPr>
        <w:t>6</w:t>
      </w:r>
      <w:r>
        <w:rPr>
          <w:rFonts w:hint="eastAsia" w:ascii="宋体" w:hAnsi="宋体" w:cs="宋体"/>
          <w:b w:val="0"/>
          <w:bCs/>
          <w:color w:val="auto"/>
          <w:sz w:val="24"/>
          <w:szCs w:val="24"/>
          <w:highlight w:val="none"/>
          <w:lang w:val="en-US" w:eastAsia="zh-CN"/>
        </w:rPr>
        <w:t>.4</w:t>
      </w:r>
      <w:r>
        <w:rPr>
          <w:rFonts w:hint="eastAsia" w:ascii="宋体" w:hAnsi="宋体" w:eastAsia="新宋体" w:cs="宋体"/>
          <w:b w:val="0"/>
          <w:bCs/>
          <w:color w:val="auto"/>
          <w:kern w:val="2"/>
          <w:sz w:val="24"/>
          <w:szCs w:val="24"/>
          <w:highlight w:val="none"/>
          <w:lang w:val="en-US" w:eastAsia="zh-CN" w:bidi="ar-SA"/>
        </w:rPr>
        <w:t>产品的包装应为生产厂商出产时的原包装，包装箱内必须附有详细的装箱清单。</w:t>
      </w:r>
    </w:p>
    <w:p w14:paraId="18CEB169">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hAnsi="宋体"/>
          <w:color w:val="auto"/>
          <w:kern w:val="0"/>
          <w:sz w:val="24"/>
          <w:szCs w:val="24"/>
          <w:highlight w:val="none"/>
          <w:lang w:val="en-US" w:eastAsia="zh-CN"/>
        </w:rPr>
      </w:pP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5验收依据谈判文件、响应文件、澄清表（如有）；合同及附件；国家相应的标准、规范。</w:t>
      </w:r>
    </w:p>
    <w:p w14:paraId="3BC92A6C">
      <w:pPr>
        <w:keepNext w:val="0"/>
        <w:keepLines w:val="0"/>
        <w:pageBreakBefore w:val="0"/>
        <w:widowControl w:val="0"/>
        <w:kinsoku w:val="0"/>
        <w:wordWrap/>
        <w:overflowPunct w:val="0"/>
        <w:topLinePunct w:val="0"/>
        <w:autoSpaceDE w:val="0"/>
        <w:autoSpaceDN w:val="0"/>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kern w:val="0"/>
          <w:sz w:val="24"/>
          <w:szCs w:val="24"/>
          <w:lang w:val="en-US" w:eastAsia="zh-CN" w:bidi="ar-SA"/>
        </w:rPr>
        <w:t>7.</w:t>
      </w:r>
      <w:r>
        <w:rPr>
          <w:rFonts w:hint="eastAsia" w:ascii="宋体" w:hAnsi="宋体" w:eastAsia="宋体" w:cs="宋体"/>
          <w:b/>
          <w:bCs/>
          <w:sz w:val="24"/>
          <w:szCs w:val="24"/>
          <w:lang w:val="en-US" w:eastAsia="zh-CN"/>
        </w:rPr>
        <w:t>售后服务要求</w:t>
      </w:r>
    </w:p>
    <w:p w14:paraId="6C7FB360">
      <w:pPr>
        <w:keepNext w:val="0"/>
        <w:keepLines w:val="0"/>
        <w:pageBreakBefore w:val="0"/>
        <w:widowControl w:val="0"/>
        <w:kinsoku w:val="0"/>
        <w:wordWrap/>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7.1在交付使用后，供应商应对保修期及其以后的服务做出承诺，并具有切实可行的服务措施。</w:t>
      </w:r>
    </w:p>
    <w:p w14:paraId="5681B1FA">
      <w:pPr>
        <w:keepNext w:val="0"/>
        <w:keepLines w:val="0"/>
        <w:pageBreakBefore w:val="0"/>
        <w:widowControl w:val="0"/>
        <w:kinsoku w:val="0"/>
        <w:wordWrap/>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7.2产品出现故障要在2小时内响应，48小时内到现场进行维修维护，故障排除时间不超过72小时，7*24小时电话服务支持。</w:t>
      </w:r>
    </w:p>
    <w:p w14:paraId="30722CB8">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7.3</w:t>
      </w:r>
      <w:r>
        <w:rPr>
          <w:rFonts w:hint="eastAsia" w:ascii="宋体" w:hAnsi="宋体" w:eastAsia="宋体" w:cs="宋体"/>
          <w:sz w:val="24"/>
          <w:szCs w:val="24"/>
        </w:rPr>
        <w:t>供货方负责派合格的工程师到现场进行设备安装、调试，达到正常运行要求，保证</w:t>
      </w:r>
      <w:r>
        <w:rPr>
          <w:rFonts w:hint="eastAsia" w:ascii="宋体" w:hAnsi="宋体" w:eastAsia="宋体" w:cs="宋体"/>
          <w:sz w:val="24"/>
          <w:szCs w:val="24"/>
          <w:lang w:val="en-US" w:eastAsia="zh-CN"/>
        </w:rPr>
        <w:t>采购</w:t>
      </w:r>
      <w:r>
        <w:rPr>
          <w:rFonts w:hint="eastAsia" w:ascii="宋体" w:hAnsi="宋体" w:eastAsia="宋体" w:cs="宋体"/>
          <w:sz w:val="24"/>
          <w:szCs w:val="24"/>
        </w:rPr>
        <w:t>方正常使用。</w:t>
      </w:r>
    </w:p>
    <w:p w14:paraId="7071D93F">
      <w:pPr>
        <w:keepNext w:val="0"/>
        <w:keepLines w:val="0"/>
        <w:pageBreakBefore w:val="0"/>
        <w:widowControl w:val="0"/>
        <w:kinsoku w:val="0"/>
        <w:wordWrap/>
        <w:overflowPunct w:val="0"/>
        <w:topLinePunct w:val="0"/>
        <w:autoSpaceDE w:val="0"/>
        <w:autoSpaceDN w:val="0"/>
        <w:bidi w:val="0"/>
        <w:spacing w:line="5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8.培训要求</w:t>
      </w:r>
    </w:p>
    <w:p w14:paraId="37D5EDDA">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交供应商负责产品安装和调试以及操作人员培训，并制定详细的培训计划，现场培训操作；需安排具有公安经侦案件辅助研判经验的工程师授课，确保参与培训人员，能够理解系统原理、系统功能，熟练掌握系统操作流程、常用功能等应用，能熟练掌握系统的安装、使用，能掌握硬件设备运维和业务系统的操作技巧。</w:t>
      </w:r>
    </w:p>
    <w:p w14:paraId="1F62E487">
      <w:pPr>
        <w:pStyle w:val="2"/>
        <w:keepNext/>
        <w:keepLines/>
        <w:pageBreakBefore/>
        <w:widowControl/>
        <w:numPr>
          <w:ilvl w:val="0"/>
          <w:numId w:val="5"/>
        </w:numPr>
        <w:kinsoku/>
        <w:wordWrap/>
        <w:overflowPunct/>
        <w:topLinePunct w:val="0"/>
        <w:autoSpaceDE/>
        <w:autoSpaceDN/>
        <w:bidi w:val="0"/>
        <w:adjustRightInd/>
        <w:snapToGrid/>
        <w:spacing w:before="192" w:beforeLines="50" w:after="192" w:afterLines="50" w:line="240" w:lineRule="auto"/>
        <w:ind w:left="0" w:leftChars="0" w:firstLine="0" w:firstLineChars="0"/>
        <w:textAlignment w:val="auto"/>
        <w:rPr>
          <w:rFonts w:hint="eastAsia" w:ascii="Times New Roman" w:hAnsi="Times New Roman" w:eastAsia="宋体"/>
          <w:color w:val="auto"/>
          <w:sz w:val="36"/>
          <w:szCs w:val="36"/>
        </w:rPr>
      </w:pPr>
      <w:bookmarkStart w:id="263" w:name="_Toc23315672"/>
      <w:bookmarkStart w:id="264" w:name="_Toc23316532"/>
      <w:bookmarkStart w:id="265" w:name="_Toc12337"/>
      <w:bookmarkStart w:id="266" w:name="_Toc23316694"/>
      <w:bookmarkStart w:id="267" w:name="_Toc23316596"/>
      <w:bookmarkStart w:id="268" w:name="_Toc3837039"/>
      <w:r>
        <w:rPr>
          <w:rFonts w:hint="eastAsia" w:ascii="宋体" w:hAnsi="宋体" w:eastAsia="宋体"/>
          <w:color w:val="auto"/>
          <w:sz w:val="36"/>
          <w:szCs w:val="36"/>
        </w:rPr>
        <w:t xml:space="preserve"> </w:t>
      </w:r>
      <w:bookmarkStart w:id="269" w:name="_Toc12009"/>
      <w:r>
        <w:rPr>
          <w:rFonts w:hint="eastAsia" w:ascii="宋体" w:hAnsi="宋体" w:eastAsia="宋体" w:cs="宋体"/>
          <w:color w:val="auto"/>
          <w:sz w:val="36"/>
          <w:szCs w:val="36"/>
        </w:rPr>
        <w:t>合同主要条款</w:t>
      </w:r>
      <w:bookmarkEnd w:id="263"/>
      <w:bookmarkEnd w:id="264"/>
      <w:bookmarkEnd w:id="265"/>
      <w:bookmarkEnd w:id="266"/>
      <w:bookmarkEnd w:id="267"/>
      <w:bookmarkEnd w:id="269"/>
      <w:r>
        <w:rPr>
          <w:rFonts w:hint="eastAsia" w:ascii="Times New Roman" w:hAnsi="Times New Roman" w:eastAsia="宋体"/>
          <w:color w:val="auto"/>
          <w:sz w:val="36"/>
          <w:szCs w:val="36"/>
        </w:rPr>
        <w:t xml:space="preserve"> </w:t>
      </w:r>
      <w:bookmarkEnd w:id="268"/>
    </w:p>
    <w:p w14:paraId="7886E56C">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kern w:val="0"/>
          <w:sz w:val="40"/>
          <w:szCs w:val="40"/>
          <w:lang w:val="en-US" w:eastAsia="zh-CN" w:bidi="ar-SA"/>
        </w:rPr>
      </w:pPr>
      <w:bookmarkStart w:id="270" w:name="_Toc14189420"/>
      <w:bookmarkStart w:id="271" w:name="_Toc14189287"/>
      <w:bookmarkStart w:id="272" w:name="_Toc23316533"/>
      <w:bookmarkStart w:id="273" w:name="_Toc31168"/>
      <w:bookmarkStart w:id="274" w:name="_Toc23316695"/>
      <w:bookmarkStart w:id="275" w:name="_Toc23315673"/>
      <w:bookmarkStart w:id="276" w:name="_Toc18412211"/>
      <w:bookmarkStart w:id="277" w:name="_Toc23316597"/>
    </w:p>
    <w:p w14:paraId="14349BF2">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40"/>
          <w:szCs w:val="40"/>
          <w:lang w:val="en-US" w:eastAsia="zh-CN" w:bidi="ar-SA"/>
        </w:rPr>
        <w:t>安康市公安局资金分析系统采购项目</w:t>
      </w:r>
    </w:p>
    <w:p w14:paraId="1857F572">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32FC11A0">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45D96AB0">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40"/>
          <w:szCs w:val="40"/>
          <w:lang w:val="en-US" w:eastAsia="zh-CN" w:bidi="ar-SA"/>
        </w:rPr>
      </w:pPr>
      <w:r>
        <w:rPr>
          <w:rFonts w:hint="eastAsia" w:ascii="宋体" w:hAnsi="宋体" w:eastAsia="宋体" w:cs="宋体"/>
          <w:color w:val="auto"/>
          <w:kern w:val="0"/>
          <w:sz w:val="40"/>
          <w:szCs w:val="40"/>
          <w:lang w:val="en-US" w:eastAsia="zh-CN" w:bidi="ar-SA"/>
        </w:rPr>
        <w:t>合同参考格式</w:t>
      </w:r>
    </w:p>
    <w:p w14:paraId="6E9F1334">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6A414229">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1AE81FD4">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36"/>
          <w:szCs w:val="36"/>
          <w:lang w:val="en-US" w:eastAsia="zh-CN" w:bidi="ar-SA"/>
        </w:rPr>
      </w:pPr>
      <w:r>
        <w:rPr>
          <w:rFonts w:hint="eastAsia" w:ascii="宋体" w:hAnsi="宋体" w:eastAsia="宋体" w:cs="宋体"/>
          <w:color w:val="auto"/>
          <w:kern w:val="0"/>
          <w:sz w:val="36"/>
          <w:szCs w:val="36"/>
          <w:lang w:val="en-US" w:eastAsia="zh-CN" w:bidi="ar-SA"/>
        </w:rPr>
        <w:t>合同编号：XXXX</w:t>
      </w:r>
    </w:p>
    <w:p w14:paraId="243551C3">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458B9387">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4BB0158C">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4281ECCF">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0650D1C1">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74B87D34">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064C7390">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53D512A4">
      <w:pPr>
        <w:pStyle w:val="86"/>
        <w:keepNext w:val="0"/>
        <w:keepLines w:val="0"/>
        <w:pageBreakBefore w:val="0"/>
        <w:widowControl/>
        <w:kinsoku/>
        <w:wordWrap/>
        <w:overflowPunct/>
        <w:topLinePunct w:val="0"/>
        <w:bidi w:val="0"/>
        <w:spacing w:line="500" w:lineRule="exact"/>
        <w:ind w:firstLine="0" w:firstLineChars="0"/>
        <w:jc w:val="center"/>
        <w:rPr>
          <w:rFonts w:hint="eastAsia" w:ascii="宋体" w:hAnsi="宋体" w:eastAsia="宋体" w:cs="宋体"/>
          <w:color w:val="auto"/>
          <w:kern w:val="0"/>
          <w:sz w:val="24"/>
          <w:szCs w:val="24"/>
          <w:lang w:val="en-US" w:eastAsia="zh-CN" w:bidi="ar-SA"/>
        </w:rPr>
      </w:pPr>
    </w:p>
    <w:p w14:paraId="25A5D521">
      <w:pPr>
        <w:pStyle w:val="86"/>
        <w:keepNext w:val="0"/>
        <w:keepLines w:val="0"/>
        <w:pageBreakBefore w:val="0"/>
        <w:widowControl/>
        <w:kinsoku/>
        <w:wordWrap/>
        <w:overflowPunct/>
        <w:topLinePunct w:val="0"/>
        <w:bidi w:val="0"/>
        <w:spacing w:line="500" w:lineRule="exact"/>
        <w:ind w:firstLine="2160" w:firstLineChars="900"/>
        <w:jc w:val="both"/>
        <w:rPr>
          <w:rFonts w:hint="eastAsia" w:ascii="宋体" w:hAnsi="宋体" w:eastAsia="宋体" w:cs="宋体"/>
          <w:color w:val="auto"/>
          <w:kern w:val="0"/>
          <w:sz w:val="24"/>
          <w:szCs w:val="24"/>
          <w:u w:val="single"/>
          <w:lang w:val="en-US" w:eastAsia="zh-CN" w:bidi="ar-SA"/>
        </w:rPr>
      </w:pPr>
      <w:r>
        <w:rPr>
          <w:rFonts w:hint="eastAsia" w:ascii="宋体" w:hAnsi="宋体" w:eastAsia="宋体" w:cs="宋体"/>
          <w:color w:val="auto"/>
          <w:kern w:val="0"/>
          <w:sz w:val="24"/>
          <w:szCs w:val="24"/>
          <w:lang w:val="en-US" w:eastAsia="zh-CN" w:bidi="ar-SA"/>
        </w:rPr>
        <w:t>甲方(</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HYPERLINK "http://set2.mail.qq.com/cgi-bin/mail_spam?action=check_link&amp;spam=0&amp;url=http%3A%2F%2Fwww%2Ebaidu%2Ecom%2Fs%3Fwd%3D%25E9%2587%2587%25E8%25B4%25AD%25E5%258D%2595%26hl_tag%3Dtextlink%26tn%3DSE_hldp01350_v6v6zkg6"</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采购人</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w:t>
      </w:r>
    </w:p>
    <w:p w14:paraId="6ADFA9A2">
      <w:pPr>
        <w:pStyle w:val="86"/>
        <w:keepNext w:val="0"/>
        <w:keepLines w:val="0"/>
        <w:pageBreakBefore w:val="0"/>
        <w:widowControl/>
        <w:kinsoku/>
        <w:wordWrap/>
        <w:overflowPunct/>
        <w:topLinePunct w:val="0"/>
        <w:bidi w:val="0"/>
        <w:spacing w:line="500" w:lineRule="exact"/>
        <w:ind w:firstLine="2160" w:firstLineChars="9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HYPERLINK "http://set2.mail.qq.com/cgi-bin/mail_spam?action=check_link&amp;spam=0&amp;url=http%3A%2F%2Fwww%2Ebaidu%2Ecom%2Fs%3Fwd%3D%25E4%25B9%2599%25E6%2596%25B9%26hl_tag%3Dtextlink%26tn%3DSE_hldp01350_v6v6zkg6"</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乙方</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(供应商)：</w:t>
      </w:r>
    </w:p>
    <w:p w14:paraId="1D48C613">
      <w:pPr>
        <w:pStyle w:val="86"/>
        <w:keepNext w:val="0"/>
        <w:keepLines w:val="0"/>
        <w:pageBreakBefore w:val="0"/>
        <w:widowControl/>
        <w:kinsoku/>
        <w:wordWrap/>
        <w:overflowPunct/>
        <w:topLinePunct w:val="0"/>
        <w:bidi w:val="0"/>
        <w:spacing w:line="500" w:lineRule="exact"/>
        <w:ind w:firstLine="2160" w:firstLineChars="900"/>
        <w:jc w:val="both"/>
        <w:rPr>
          <w:rFonts w:hint="eastAsia" w:ascii="宋体" w:hAnsi="宋体" w:eastAsia="宋体" w:cs="宋体"/>
          <w:color w:val="auto"/>
          <w:kern w:val="0"/>
          <w:sz w:val="32"/>
          <w:szCs w:val="32"/>
          <w:lang w:val="en-US" w:eastAsia="zh-CN" w:bidi="ar-SA"/>
        </w:rPr>
      </w:pPr>
      <w:r>
        <w:rPr>
          <w:rFonts w:hint="eastAsia" w:ascii="宋体" w:hAnsi="宋体" w:eastAsia="宋体" w:cs="宋体"/>
          <w:color w:val="auto"/>
          <w:kern w:val="0"/>
          <w:sz w:val="24"/>
          <w:szCs w:val="24"/>
          <w:lang w:val="en-US" w:eastAsia="zh-CN" w:bidi="ar-SA"/>
        </w:rPr>
        <w:t>签 订  时 间：   年  月  日</w:t>
      </w:r>
    </w:p>
    <w:p w14:paraId="5B1A774A">
      <w:pPr>
        <w:pStyle w:val="86"/>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br w:type="page"/>
      </w:r>
    </w:p>
    <w:p w14:paraId="11151340">
      <w:pPr>
        <w:pStyle w:val="86"/>
        <w:keepNext w:val="0"/>
        <w:keepLines w:val="0"/>
        <w:pageBreakBefore w:val="0"/>
        <w:widowControl/>
        <w:kinsoku/>
        <w:wordWrap/>
        <w:overflowPunct/>
        <w:topLinePunct w:val="0"/>
        <w:bidi w:val="0"/>
        <w:spacing w:line="500" w:lineRule="exact"/>
        <w:ind w:firstLine="0" w:firstLineChars="0"/>
        <w:jc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32"/>
          <w:szCs w:val="32"/>
          <w:lang w:val="en-US" w:eastAsia="zh-CN" w:bidi="ar-SA"/>
        </w:rPr>
        <w:t>合同主要条款</w:t>
      </w:r>
    </w:p>
    <w:p w14:paraId="077C6A0D">
      <w:pPr>
        <w:pStyle w:val="86"/>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（说明：本合同作为合同的基本格式，不作为最终合同，甲方有权在签订合同时对合同的相关条款及内容作进一步的细化和修改。）</w:t>
      </w:r>
    </w:p>
    <w:p w14:paraId="443674B0">
      <w:pPr>
        <w:pStyle w:val="86"/>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pPr>
    </w:p>
    <w:p w14:paraId="0CBEDCDC">
      <w:pPr>
        <w:pStyle w:val="86"/>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甲方：                         </w:t>
      </w:r>
    </w:p>
    <w:p w14:paraId="4608FC98">
      <w:pPr>
        <w:pStyle w:val="86"/>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乙方：                         </w:t>
      </w:r>
    </w:p>
    <w:p w14:paraId="31E58C6B">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根据《中华人民共和国民法典》及相关法律法规，甲、乙双方就安康市公安局资金分析系统采购项目事宜，经协商一致，达成如下协议：</w:t>
      </w:r>
    </w:p>
    <w:p w14:paraId="37091BF1">
      <w:pPr>
        <w:pStyle w:val="86"/>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第一条 项目名称及内容</w:t>
      </w:r>
    </w:p>
    <w:p w14:paraId="6E4F5125">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安康市公安局资金分析系统采购项目</w:t>
      </w:r>
      <w:r>
        <w:rPr>
          <w:rFonts w:hint="eastAsia" w:ascii="宋体" w:hAnsi="宋体" w:eastAsia="宋体" w:cs="宋体"/>
          <w:i w:val="0"/>
          <w:iCs w:val="0"/>
          <w:color w:val="000000"/>
          <w:kern w:val="0"/>
          <w:sz w:val="24"/>
          <w:szCs w:val="24"/>
          <w:u w:val="none"/>
          <w:lang w:val="en-US" w:eastAsia="zh-CN" w:bidi="ar"/>
        </w:rPr>
        <w:t>明细表</w:t>
      </w:r>
      <w:r>
        <w:rPr>
          <w:rFonts w:hint="eastAsia" w:ascii="宋体" w:hAnsi="宋体" w:eastAsia="宋体" w:cs="宋体"/>
          <w:color w:val="auto"/>
          <w:kern w:val="0"/>
          <w:sz w:val="24"/>
          <w:szCs w:val="24"/>
          <w:lang w:val="en-US" w:eastAsia="zh-CN" w:bidi="ar-SA"/>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03"/>
        <w:gridCol w:w="942"/>
        <w:gridCol w:w="1215"/>
        <w:gridCol w:w="939"/>
        <w:gridCol w:w="1032"/>
        <w:gridCol w:w="1032"/>
        <w:gridCol w:w="1032"/>
        <w:gridCol w:w="1032"/>
      </w:tblGrid>
      <w:tr w14:paraId="1D31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171F2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1203" w:type="dxa"/>
            <w:vAlign w:val="center"/>
          </w:tcPr>
          <w:p w14:paraId="1D994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产品名称</w:t>
            </w:r>
          </w:p>
        </w:tc>
        <w:tc>
          <w:tcPr>
            <w:tcW w:w="942" w:type="dxa"/>
            <w:vAlign w:val="center"/>
          </w:tcPr>
          <w:p w14:paraId="5123FB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品牌</w:t>
            </w:r>
          </w:p>
        </w:tc>
        <w:tc>
          <w:tcPr>
            <w:tcW w:w="1215" w:type="dxa"/>
            <w:vAlign w:val="center"/>
          </w:tcPr>
          <w:p w14:paraId="03E0B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规格型号</w:t>
            </w:r>
          </w:p>
        </w:tc>
        <w:tc>
          <w:tcPr>
            <w:tcW w:w="939" w:type="dxa"/>
            <w:vAlign w:val="center"/>
          </w:tcPr>
          <w:p w14:paraId="10B65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产地</w:t>
            </w:r>
          </w:p>
        </w:tc>
        <w:tc>
          <w:tcPr>
            <w:tcW w:w="1032" w:type="dxa"/>
            <w:vAlign w:val="center"/>
          </w:tcPr>
          <w:p w14:paraId="283A0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单位</w:t>
            </w:r>
          </w:p>
        </w:tc>
        <w:tc>
          <w:tcPr>
            <w:tcW w:w="1032" w:type="dxa"/>
            <w:vAlign w:val="center"/>
          </w:tcPr>
          <w:p w14:paraId="19A6D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数量</w:t>
            </w:r>
          </w:p>
        </w:tc>
        <w:tc>
          <w:tcPr>
            <w:tcW w:w="1032" w:type="dxa"/>
            <w:vAlign w:val="center"/>
          </w:tcPr>
          <w:p w14:paraId="50A0C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单价（元）</w:t>
            </w:r>
          </w:p>
        </w:tc>
        <w:tc>
          <w:tcPr>
            <w:tcW w:w="1032" w:type="dxa"/>
            <w:vAlign w:val="center"/>
          </w:tcPr>
          <w:p w14:paraId="5EB99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合计（元）</w:t>
            </w:r>
          </w:p>
        </w:tc>
      </w:tr>
      <w:tr w14:paraId="5DF7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7F569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203" w:type="dxa"/>
            <w:vAlign w:val="center"/>
          </w:tcPr>
          <w:p w14:paraId="48481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42" w:type="dxa"/>
            <w:vAlign w:val="center"/>
          </w:tcPr>
          <w:p w14:paraId="55E8D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215" w:type="dxa"/>
            <w:vAlign w:val="center"/>
          </w:tcPr>
          <w:p w14:paraId="2DC69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39" w:type="dxa"/>
            <w:vAlign w:val="center"/>
          </w:tcPr>
          <w:p w14:paraId="2E565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1531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0513E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7E17A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36B8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r>
      <w:tr w14:paraId="5305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677B3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1203" w:type="dxa"/>
            <w:vAlign w:val="center"/>
          </w:tcPr>
          <w:p w14:paraId="50733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42" w:type="dxa"/>
            <w:vAlign w:val="center"/>
          </w:tcPr>
          <w:p w14:paraId="3C1A1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215" w:type="dxa"/>
            <w:vAlign w:val="center"/>
          </w:tcPr>
          <w:p w14:paraId="7A2B2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39" w:type="dxa"/>
            <w:vAlign w:val="center"/>
          </w:tcPr>
          <w:p w14:paraId="16E93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28285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0E51F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6F845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2C26D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r>
      <w:tr w14:paraId="383E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0610A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1203" w:type="dxa"/>
            <w:vAlign w:val="center"/>
          </w:tcPr>
          <w:p w14:paraId="25A67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42" w:type="dxa"/>
            <w:vAlign w:val="center"/>
          </w:tcPr>
          <w:p w14:paraId="77BFE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215" w:type="dxa"/>
            <w:vAlign w:val="center"/>
          </w:tcPr>
          <w:p w14:paraId="485BD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39" w:type="dxa"/>
            <w:vAlign w:val="center"/>
          </w:tcPr>
          <w:p w14:paraId="4FF1C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BAAA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2DA65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4B68D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5A385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r>
      <w:tr w14:paraId="72A1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Align w:val="center"/>
          </w:tcPr>
          <w:p w14:paraId="447D0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微软雅黑" w:hAnsi="微软雅黑" w:eastAsia="微软雅黑" w:cs="微软雅黑"/>
                <w:color w:val="000000"/>
                <w:kern w:val="0"/>
                <w:sz w:val="24"/>
                <w:szCs w:val="24"/>
                <w:vertAlign w:val="baseline"/>
                <w:lang w:val="en-US" w:eastAsia="zh-CN" w:bidi="ar"/>
              </w:rPr>
              <w:t>……</w:t>
            </w:r>
          </w:p>
        </w:tc>
        <w:tc>
          <w:tcPr>
            <w:tcW w:w="1203" w:type="dxa"/>
            <w:vAlign w:val="center"/>
          </w:tcPr>
          <w:p w14:paraId="0B194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42" w:type="dxa"/>
            <w:vAlign w:val="center"/>
          </w:tcPr>
          <w:p w14:paraId="0A27E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215" w:type="dxa"/>
            <w:vAlign w:val="center"/>
          </w:tcPr>
          <w:p w14:paraId="126ED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939" w:type="dxa"/>
            <w:vAlign w:val="center"/>
          </w:tcPr>
          <w:p w14:paraId="70DB6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C215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9AF7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3A4F3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c>
          <w:tcPr>
            <w:tcW w:w="1032" w:type="dxa"/>
            <w:vAlign w:val="center"/>
          </w:tcPr>
          <w:p w14:paraId="66526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kern w:val="0"/>
                <w:sz w:val="24"/>
                <w:szCs w:val="24"/>
                <w:vertAlign w:val="baseline"/>
                <w:lang w:val="en-US" w:eastAsia="zh-CN" w:bidi="ar"/>
              </w:rPr>
            </w:pPr>
          </w:p>
        </w:tc>
      </w:tr>
      <w:tr w14:paraId="301C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87" w:type="dxa"/>
            <w:gridSpan w:val="9"/>
            <w:vAlign w:val="center"/>
          </w:tcPr>
          <w:p w14:paraId="6AF1C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总报价（人民币大写）：               （￥            元）</w:t>
            </w:r>
          </w:p>
        </w:tc>
      </w:tr>
      <w:tr w14:paraId="44A8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gridSpan w:val="9"/>
            <w:vAlign w:val="center"/>
          </w:tcPr>
          <w:p w14:paraId="17C9F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备注：表内报价内容以元为单位。</w:t>
            </w:r>
          </w:p>
        </w:tc>
      </w:tr>
    </w:tbl>
    <w:p w14:paraId="52A7AAC4">
      <w:pPr>
        <w:pStyle w:val="86"/>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第二条 质量标准</w:t>
      </w:r>
    </w:p>
    <w:p w14:paraId="1DE2CA68">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满足国家及行业现行技术标准、规范要求。</w:t>
      </w:r>
    </w:p>
    <w:p w14:paraId="5F4CF348">
      <w:pPr>
        <w:pStyle w:val="86"/>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第三条 知识产权</w:t>
      </w:r>
    </w:p>
    <w:p w14:paraId="325674A4">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1.乙方保证最终提供给甲方的本合同项目整体不得包含任何第三方的知识产权或引起任何第三方基于该产品知识产权的指控。</w:t>
      </w:r>
    </w:p>
    <w:p w14:paraId="19EE4673">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如第三方指控乙方或甲方侵犯了该方相关知识产权，乙方将自费就上述指控为甲方辩护，并支付诉讼或经甲方同意的和解中甲方发生的一切费用以及损害赔偿金、损失和律师费。对甲方因该纠纷产生的相应损失，乙方应当予以赔偿。</w:t>
      </w:r>
    </w:p>
    <w:p w14:paraId="7721AB30">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3.本合同条款的规定不因本合同的到期而失效。</w:t>
      </w:r>
    </w:p>
    <w:p w14:paraId="5265BAA1">
      <w:pPr>
        <w:pStyle w:val="86"/>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第四条  运输要求</w:t>
      </w:r>
    </w:p>
    <w:p w14:paraId="3D6C6C77">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1.乙方根据产品特性，自行选择运输及包装方式，承担一切装卸运输、安装调试费用。</w:t>
      </w:r>
    </w:p>
    <w:p w14:paraId="3D6478AF">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2.乙方保证货物安全、按期运送到达甲方指定交货地点，在交付甲方前发生的不可预见的风险均由乙方承担。</w:t>
      </w:r>
    </w:p>
    <w:p w14:paraId="17A25CED">
      <w:pPr>
        <w:pStyle w:val="86"/>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第五条  供货及验收</w:t>
      </w:r>
    </w:p>
    <w:p w14:paraId="5BB16367">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1.交付期：</w:t>
      </w:r>
      <w:r>
        <w:rPr>
          <w:rFonts w:hint="eastAsia" w:ascii="宋体" w:hAnsi="宋体" w:eastAsia="宋体" w:cs="宋体"/>
          <w:color w:val="auto"/>
          <w:kern w:val="0"/>
          <w:sz w:val="24"/>
          <w:szCs w:val="24"/>
          <w:lang w:val="en-US" w:eastAsia="zh-CN"/>
        </w:rPr>
        <w:t>合同签订后30日历天内完成供货、安装调试。</w:t>
      </w:r>
    </w:p>
    <w:p w14:paraId="2BBB45C4">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2.交货地点：甲方指定地点。</w:t>
      </w:r>
    </w:p>
    <w:p w14:paraId="722A3B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3.3.质量保证期</w:t>
      </w:r>
    </w:p>
    <w:p w14:paraId="60F213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3.1自验收合格之日起硬件设备提供一年原厂售后服务，资金分析研判工具提供一年免费软件升级期。</w:t>
      </w:r>
    </w:p>
    <w:p w14:paraId="283732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3.2质量保证期内，如果证实货物是有缺陷的，包括潜在的缺陷或者使用不符合要求的材料等，成交供应商应立即免费维修或者更换有缺陷的货物或者部件，保证达到合同规定的技术以及性能要求。</w:t>
      </w:r>
    </w:p>
    <w:p w14:paraId="6BB46B32">
      <w:pPr>
        <w:pStyle w:val="133"/>
        <w:numPr>
          <w:ilvl w:val="0"/>
          <w:numId w:val="0"/>
        </w:numPr>
        <w:tabs>
          <w:tab w:val="left" w:pos="540"/>
        </w:tabs>
        <w:spacing w:before="0" w:after="0" w:line="360" w:lineRule="auto"/>
        <w:ind w:firstLine="480" w:firstLineChars="200"/>
        <w:jc w:val="both"/>
        <w:rPr>
          <w:rFonts w:hint="eastAsia" w:ascii="宋体" w:eastAsia="宋体" w:cs="宋体"/>
          <w:color w:val="auto"/>
          <w:kern w:val="0"/>
          <w:sz w:val="24"/>
          <w:szCs w:val="24"/>
          <w:lang w:val="en-US" w:eastAsia="zh-CN" w:bidi="ar-SA"/>
        </w:rPr>
      </w:pPr>
      <w:r>
        <w:rPr>
          <w:rFonts w:hint="eastAsia" w:hAnsi="宋体"/>
          <w:b w:val="0"/>
          <w:bCs w:val="0"/>
          <w:color w:val="auto"/>
          <w:kern w:val="0"/>
          <w:sz w:val="24"/>
          <w:szCs w:val="24"/>
          <w:highlight w:val="none"/>
          <w:lang w:val="en-US" w:eastAsia="zh-CN"/>
        </w:rPr>
        <w:t>4.</w:t>
      </w:r>
      <w:r>
        <w:rPr>
          <w:rFonts w:hint="default" w:hAnsi="宋体"/>
          <w:b w:val="0"/>
          <w:bCs w:val="0"/>
          <w:color w:val="auto"/>
          <w:kern w:val="0"/>
          <w:sz w:val="24"/>
          <w:szCs w:val="24"/>
          <w:highlight w:val="none"/>
          <w:lang w:val="en-US" w:eastAsia="zh-CN"/>
        </w:rPr>
        <w:t>质量标准：</w:t>
      </w:r>
      <w:r>
        <w:rPr>
          <w:rFonts w:hint="eastAsia" w:ascii="宋体" w:hAnsi="宋体" w:eastAsia="宋体" w:cs="宋体"/>
          <w:color w:val="auto"/>
          <w:kern w:val="0"/>
          <w:sz w:val="24"/>
          <w:szCs w:val="24"/>
          <w:lang w:val="en-US" w:eastAsia="zh-CN" w:bidi="ar-SA"/>
        </w:rPr>
        <w:t>满足国家及行业现行技术标准、规范要求。</w:t>
      </w:r>
    </w:p>
    <w:p w14:paraId="3EB45AB1">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hAnsi="宋体"/>
          <w:color w:val="auto"/>
          <w:kern w:val="0"/>
          <w:sz w:val="24"/>
          <w:szCs w:val="24"/>
          <w:highlight w:val="none"/>
          <w:lang w:val="en-US" w:eastAsia="zh-CN"/>
        </w:rPr>
      </w:pPr>
      <w:r>
        <w:rPr>
          <w:rFonts w:hint="eastAsia" w:hAnsi="宋体"/>
          <w:color w:val="auto"/>
          <w:kern w:val="0"/>
          <w:sz w:val="24"/>
          <w:szCs w:val="24"/>
          <w:highlight w:val="none"/>
          <w:lang w:val="en-US" w:eastAsia="zh-CN"/>
        </w:rPr>
        <w:t>5</w:t>
      </w:r>
      <w:r>
        <w:rPr>
          <w:rFonts w:hint="eastAsia" w:ascii="宋体" w:cs="宋体"/>
          <w:b w:val="0"/>
          <w:bCs/>
          <w:color w:val="auto"/>
          <w:sz w:val="24"/>
          <w:szCs w:val="24"/>
          <w:highlight w:val="none"/>
          <w:lang w:val="en-US" w:eastAsia="zh-CN"/>
        </w:rPr>
        <w:t>.</w:t>
      </w:r>
      <w:r>
        <w:rPr>
          <w:rFonts w:hint="default" w:hAnsi="宋体"/>
          <w:color w:val="auto"/>
          <w:kern w:val="0"/>
          <w:sz w:val="24"/>
          <w:szCs w:val="24"/>
          <w:highlight w:val="none"/>
          <w:lang w:val="en-US" w:eastAsia="zh-CN"/>
        </w:rPr>
        <w:t>验收标准和要求：</w:t>
      </w:r>
    </w:p>
    <w:p w14:paraId="2BC5D774">
      <w:pPr>
        <w:pStyle w:val="133"/>
        <w:numPr>
          <w:ilvl w:val="0"/>
          <w:numId w:val="0"/>
        </w:numPr>
        <w:tabs>
          <w:tab w:val="left" w:pos="540"/>
        </w:tabs>
        <w:spacing w:before="0" w:after="0" w:line="360" w:lineRule="auto"/>
        <w:ind w:firstLine="480" w:firstLineChars="200"/>
        <w:jc w:val="both"/>
        <w:rPr>
          <w:rFonts w:hint="eastAsia" w:ascii="宋体" w:hAnsi="宋体" w:cs="宋体"/>
          <w:b w:val="0"/>
          <w:bCs/>
          <w:color w:val="auto"/>
          <w:sz w:val="24"/>
          <w:szCs w:val="24"/>
          <w:highlight w:val="none"/>
          <w:lang w:val="en-US" w:eastAsia="zh-CN"/>
        </w:rPr>
      </w:pPr>
      <w:r>
        <w:rPr>
          <w:rFonts w:hint="eastAsia" w:ascii="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1</w:t>
      </w:r>
      <w:r>
        <w:rPr>
          <w:rFonts w:hint="eastAsia" w:ascii="宋体" w:cs="宋体"/>
          <w:b w:val="0"/>
          <w:bCs/>
          <w:color w:val="auto"/>
          <w:sz w:val="24"/>
          <w:szCs w:val="24"/>
          <w:highlight w:val="none"/>
          <w:lang w:val="en-US" w:eastAsia="zh-CN"/>
        </w:rPr>
        <w:t>硬件设备</w:t>
      </w:r>
      <w:r>
        <w:rPr>
          <w:rFonts w:hint="eastAsia" w:ascii="宋体" w:hAnsi="宋体" w:cs="宋体"/>
          <w:b w:val="0"/>
          <w:bCs/>
          <w:color w:val="auto"/>
          <w:sz w:val="24"/>
          <w:szCs w:val="24"/>
          <w:highlight w:val="none"/>
          <w:lang w:val="en-US" w:eastAsia="zh-CN"/>
        </w:rPr>
        <w:t>运抵采购人所在地现场后，采购人与</w:t>
      </w:r>
      <w:r>
        <w:rPr>
          <w:rFonts w:hint="eastAsia" w:ascii="宋体" w:cs="宋体"/>
          <w:b w:val="0"/>
          <w:bCs/>
          <w:color w:val="auto"/>
          <w:sz w:val="24"/>
          <w:szCs w:val="24"/>
          <w:highlight w:val="none"/>
          <w:lang w:val="en-US" w:eastAsia="zh-CN"/>
        </w:rPr>
        <w:t>成交供应商</w:t>
      </w:r>
      <w:r>
        <w:rPr>
          <w:rFonts w:hint="eastAsia" w:ascii="宋体" w:hAnsi="宋体" w:cs="宋体"/>
          <w:b w:val="0"/>
          <w:bCs/>
          <w:color w:val="auto"/>
          <w:sz w:val="24"/>
          <w:szCs w:val="24"/>
          <w:highlight w:val="none"/>
          <w:lang w:val="en-US" w:eastAsia="zh-CN"/>
        </w:rPr>
        <w:t>共同验收，验收结果双方认可。</w:t>
      </w:r>
    </w:p>
    <w:p w14:paraId="0334FD61">
      <w:pPr>
        <w:pStyle w:val="133"/>
        <w:numPr>
          <w:ilvl w:val="0"/>
          <w:numId w:val="0"/>
        </w:numPr>
        <w:tabs>
          <w:tab w:val="left" w:pos="540"/>
        </w:tabs>
        <w:spacing w:before="0" w:after="0" w:line="360" w:lineRule="auto"/>
        <w:ind w:leftChars="0" w:firstLine="480" w:firstLineChars="200"/>
        <w:jc w:val="both"/>
        <w:rPr>
          <w:rFonts w:hint="eastAsia" w:ascii="宋体" w:hAnsi="宋体" w:cs="宋体"/>
          <w:b w:val="0"/>
          <w:bCs/>
          <w:color w:val="auto"/>
          <w:sz w:val="24"/>
          <w:szCs w:val="24"/>
          <w:highlight w:val="none"/>
          <w:lang w:val="en-US" w:eastAsia="zh-CN"/>
        </w:rPr>
      </w:pPr>
      <w:r>
        <w:rPr>
          <w:rFonts w:hint="eastAsia" w:ascii="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2必须保证投标商品的完整性，能满足全部功能的使用</w:t>
      </w:r>
      <w:r>
        <w:rPr>
          <w:rFonts w:hint="eastAsia" w:ascii="宋体" w:cs="宋体"/>
          <w:b w:val="0"/>
          <w:bCs/>
          <w:color w:val="auto"/>
          <w:sz w:val="24"/>
          <w:szCs w:val="24"/>
          <w:highlight w:val="none"/>
          <w:lang w:val="en-US" w:eastAsia="zh-CN"/>
        </w:rPr>
        <w:t>，与产品原始样本技术数据及标书技术文件一致。</w:t>
      </w:r>
    </w:p>
    <w:p w14:paraId="20382ED6">
      <w:pPr>
        <w:pStyle w:val="133"/>
        <w:numPr>
          <w:ilvl w:val="0"/>
          <w:numId w:val="0"/>
        </w:numPr>
        <w:tabs>
          <w:tab w:val="left" w:pos="540"/>
        </w:tabs>
        <w:spacing w:before="0" w:after="0" w:line="360" w:lineRule="auto"/>
        <w:ind w:leftChars="0" w:firstLine="480" w:firstLineChars="200"/>
        <w:jc w:val="both"/>
        <w:rPr>
          <w:rFonts w:hint="eastAsia" w:ascii="宋体" w:hAnsi="宋体" w:cs="宋体"/>
          <w:b w:val="0"/>
          <w:bCs/>
          <w:color w:val="auto"/>
          <w:sz w:val="24"/>
          <w:szCs w:val="24"/>
          <w:highlight w:val="none"/>
          <w:lang w:val="en-US" w:eastAsia="zh-CN"/>
        </w:rPr>
      </w:pPr>
      <w:r>
        <w:rPr>
          <w:rFonts w:hint="eastAsia" w:ascii="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3提供的产品（技术指标除另作规定外）均应符合行业相关标准。必须对供货的的商品进行检验。由采购人组织验收，并出具验收结果和意见，中标人负责向验收组提交验收所需文件和相关资料。</w:t>
      </w:r>
    </w:p>
    <w:p w14:paraId="194B607F">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新宋体" w:cs="宋体"/>
          <w:b w:val="0"/>
          <w:bCs/>
          <w:color w:val="auto"/>
          <w:kern w:val="2"/>
          <w:sz w:val="24"/>
          <w:szCs w:val="24"/>
          <w:highlight w:val="none"/>
          <w:lang w:val="en-US" w:eastAsia="zh-CN" w:bidi="ar-SA"/>
        </w:rPr>
        <w:t>产品的包装应为生产厂商出产时的原包装，包装箱内必须附有详细的装箱清单。</w:t>
      </w:r>
    </w:p>
    <w:p w14:paraId="3A01EB1A">
      <w:pPr>
        <w:pStyle w:val="133"/>
        <w:numPr>
          <w:ilvl w:val="0"/>
          <w:numId w:val="0"/>
        </w:numPr>
        <w:tabs>
          <w:tab w:val="left" w:pos="540"/>
        </w:tabs>
        <w:spacing w:before="0" w:after="0" w:line="360" w:lineRule="auto"/>
        <w:ind w:firstLine="480" w:firstLineChars="200"/>
        <w:jc w:val="both"/>
        <w:rPr>
          <w:rFonts w:hint="eastAsia" w:asci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5验收依据谈判文件、响应文件、澄清表（如有）；合同及附件；国家相应的标准、规范。</w:t>
      </w:r>
    </w:p>
    <w:p w14:paraId="103703B3">
      <w:pPr>
        <w:keepNext w:val="0"/>
        <w:keepLines w:val="0"/>
        <w:pageBreakBefore w:val="0"/>
        <w:widowControl w:val="0"/>
        <w:kinsoku w:val="0"/>
        <w:wordWrap/>
        <w:overflowPunct w:val="0"/>
        <w:topLinePunct w:val="0"/>
        <w:autoSpaceDE w:val="0"/>
        <w:autoSpaceDN w:val="0"/>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第六条  售后服务要求</w:t>
      </w:r>
    </w:p>
    <w:p w14:paraId="72975D23">
      <w:pPr>
        <w:keepNext w:val="0"/>
        <w:keepLines w:val="0"/>
        <w:pageBreakBefore w:val="0"/>
        <w:widowControl w:val="0"/>
        <w:kinsoku w:val="0"/>
        <w:wordWrap/>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1.在交付使用后，供应商应对保修期及其以后的服务做出承诺，并具有切实可行的服务措施。</w:t>
      </w:r>
    </w:p>
    <w:p w14:paraId="55EF1B68">
      <w:pPr>
        <w:keepNext w:val="0"/>
        <w:keepLines w:val="0"/>
        <w:pageBreakBefore w:val="0"/>
        <w:widowControl w:val="0"/>
        <w:kinsoku w:val="0"/>
        <w:wordWrap/>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2.产品出现故障要在2小时内响应，48小时内到现场进行维修维护，故障排除时间不超过72小时，7*24小时电话服务支持。</w:t>
      </w:r>
    </w:p>
    <w:p w14:paraId="2AECE0DE">
      <w:pPr>
        <w:pStyle w:val="131"/>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供货方负责派合格的工程师到现场进行设备安装、调试，达到正常运行要求，保证</w:t>
      </w:r>
      <w:r>
        <w:rPr>
          <w:rFonts w:hint="eastAsia" w:ascii="宋体" w:hAnsi="宋体" w:eastAsia="宋体" w:cs="宋体"/>
          <w:sz w:val="24"/>
          <w:szCs w:val="24"/>
          <w:lang w:val="en-US" w:eastAsia="zh-CN"/>
        </w:rPr>
        <w:t>采购</w:t>
      </w:r>
      <w:r>
        <w:rPr>
          <w:rFonts w:hint="eastAsia" w:ascii="宋体" w:hAnsi="宋体" w:eastAsia="宋体" w:cs="宋体"/>
          <w:sz w:val="24"/>
          <w:szCs w:val="24"/>
        </w:rPr>
        <w:t>方正常使用。</w:t>
      </w:r>
    </w:p>
    <w:p w14:paraId="69A096AE">
      <w:pPr>
        <w:keepNext w:val="0"/>
        <w:keepLines w:val="0"/>
        <w:pageBreakBefore w:val="0"/>
        <w:widowControl w:val="0"/>
        <w:kinsoku w:val="0"/>
        <w:wordWrap/>
        <w:overflowPunct w:val="0"/>
        <w:topLinePunct w:val="0"/>
        <w:autoSpaceDE w:val="0"/>
        <w:autoSpaceDN w:val="0"/>
        <w:bidi w:val="0"/>
        <w:spacing w:line="500" w:lineRule="exact"/>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第七条  培训要求</w:t>
      </w:r>
    </w:p>
    <w:p w14:paraId="25BE8F83">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sz w:val="24"/>
          <w:szCs w:val="24"/>
          <w:lang w:val="en-US" w:eastAsia="zh-CN"/>
        </w:rPr>
        <w:t>成交供应商负责产品安装和调试以及操作人员培训，并制定详细的培训计划，现场培训操作；需安排具有公安经侦案件辅助研判经验的工程师授课，确保参与培训人员，能够理解系统原理、系统功能，熟练掌握系统操作流程、常用功能等应用，能熟练掌握系统的安装、使用，能掌握硬件设备运维和业务系统的操作技巧。</w:t>
      </w:r>
    </w:p>
    <w:p w14:paraId="3C959EB9">
      <w:pPr>
        <w:pStyle w:val="86"/>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第八条 风险承担</w:t>
      </w:r>
    </w:p>
    <w:p w14:paraId="53BF4432">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1.交付前毁灭损失的风险由乙方承担，验收完成后毁灭损失的风险由甲方承担。</w:t>
      </w:r>
    </w:p>
    <w:p w14:paraId="3008C59A">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2.乙方人员在合同履行期内发生任何安全问题均与甲方无关。</w:t>
      </w:r>
    </w:p>
    <w:p w14:paraId="19654A70">
      <w:pPr>
        <w:pStyle w:val="86"/>
        <w:keepNext w:val="0"/>
        <w:keepLines w:val="0"/>
        <w:pageBreakBefore w:val="0"/>
        <w:widowControl/>
        <w:kinsoku/>
        <w:wordWrap/>
        <w:overflowPunct/>
        <w:topLinePunct w:val="0"/>
        <w:bidi w:val="0"/>
        <w:spacing w:line="500" w:lineRule="exact"/>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第九条 付款方式及期限</w:t>
      </w:r>
    </w:p>
    <w:p w14:paraId="2895EF61">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1.合同总价为固定总价，不受市场价变化的影响。</w:t>
      </w:r>
    </w:p>
    <w:p w14:paraId="4A030E1C">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2.合同总额人民币小写： ¥</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元(大写：</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w:t>
      </w:r>
    </w:p>
    <w:p w14:paraId="5CA245CC">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3.付款</w:t>
      </w:r>
      <w:r>
        <w:rPr>
          <w:rFonts w:hint="eastAsia" w:ascii="宋体" w:hAnsi="宋体" w:eastAsia="宋体" w:cs="宋体"/>
          <w:color w:val="auto"/>
          <w:kern w:val="0"/>
          <w:sz w:val="24"/>
          <w:szCs w:val="24"/>
          <w:lang w:val="en-US" w:eastAsia="zh-CN" w:bidi="ar-SA"/>
        </w:rPr>
        <w:t>方式：</w:t>
      </w:r>
      <w:r>
        <w:rPr>
          <w:rFonts w:hint="eastAsia" w:ascii="宋体" w:hAnsi="宋体" w:eastAsia="宋体" w:cs="宋体"/>
          <w:color w:val="auto"/>
          <w:sz w:val="24"/>
          <w:szCs w:val="24"/>
          <w:lang w:eastAsia="zh-CN"/>
        </w:rPr>
        <w:t>合同签订后，支付合同总价款的40%，乙方须按其投标文件中响应的交货期按时交货并提供全额合规发票保证“货票同行”，到达甲方指定地点，安装、调试完毕并验收合格后付剩余的60%合同总价款</w:t>
      </w:r>
      <w:r>
        <w:rPr>
          <w:rFonts w:hint="eastAsia" w:hAnsi="宋体" w:eastAsia="宋体" w:cs="宋体"/>
          <w:color w:val="auto"/>
          <w:sz w:val="24"/>
          <w:szCs w:val="24"/>
          <w:lang w:val="en-US" w:eastAsia="zh-CN"/>
        </w:rPr>
        <w:t>。</w:t>
      </w:r>
    </w:p>
    <w:p w14:paraId="1D453754">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4.乙方开户银行指定账户为：</w:t>
      </w:r>
    </w:p>
    <w:p w14:paraId="20605F7B">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收款人：</w:t>
      </w:r>
    </w:p>
    <w:p w14:paraId="540D2966">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开户行：</w:t>
      </w:r>
    </w:p>
    <w:p w14:paraId="49721EB8">
      <w:pPr>
        <w:pStyle w:val="86"/>
        <w:keepNext w:val="0"/>
        <w:keepLines w:val="0"/>
        <w:pageBreakBefore w:val="0"/>
        <w:widowControl/>
        <w:kinsoku/>
        <w:wordWrap/>
        <w:overflowPunct/>
        <w:topLinePunct w:val="0"/>
        <w:bidi w:val="0"/>
        <w:spacing w:line="500" w:lineRule="exact"/>
        <w:ind w:firstLine="480" w:firstLineChars="200"/>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账号：</w:t>
      </w:r>
    </w:p>
    <w:p w14:paraId="2618EE46">
      <w:pPr>
        <w:pStyle w:val="86"/>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第十条 违约责任</w:t>
      </w:r>
    </w:p>
    <w:p w14:paraId="6594BD31">
      <w:pPr>
        <w:pStyle w:val="16"/>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依据《中华人民共和国</w:t>
      </w:r>
      <w:r>
        <w:rPr>
          <w:rFonts w:hint="eastAsia" w:hAnsi="宋体" w:cs="宋体"/>
          <w:color w:val="auto"/>
          <w:kern w:val="0"/>
          <w:sz w:val="24"/>
          <w:szCs w:val="24"/>
          <w:lang w:val="en-US" w:eastAsia="zh-CN" w:bidi="ar-SA"/>
        </w:rPr>
        <w:t>民法典</w:t>
      </w:r>
      <w:r>
        <w:rPr>
          <w:rFonts w:hint="eastAsia" w:ascii="宋体" w:hAnsi="宋体" w:eastAsia="宋体" w:cs="宋体"/>
          <w:color w:val="auto"/>
          <w:kern w:val="0"/>
          <w:sz w:val="24"/>
          <w:szCs w:val="24"/>
          <w:lang w:val="en-US" w:eastAsia="zh-CN" w:bidi="ar-SA"/>
        </w:rPr>
        <w:t>》</w:t>
      </w:r>
      <w:r>
        <w:rPr>
          <w:rFonts w:hint="eastAsia"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中华人民共和国政府采购法》的相关条款规定和本合同约定，成交供应商未全面履行合同义务或者发生违约，采购人有权终止合同，依法向成交供应商进行经济索赔，并报请政府采购监督管理机关依法进行相应的行政处罚。</w:t>
      </w:r>
    </w:p>
    <w:p w14:paraId="2C0D8D7F">
      <w:pPr>
        <w:pStyle w:val="86"/>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第十一条 合同争议的解决</w:t>
      </w:r>
    </w:p>
    <w:p w14:paraId="5E3A5DBA">
      <w:pPr>
        <w:pStyle w:val="86"/>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乙双方应本着友好合作、积极协商的态度，严格履行本协议，因不可预见的因素或本协议未尽事宜发生争议，由双方协商解决,协商不成时，甲、乙双方同意提交西安仲裁委员会仲裁，仲裁裁决是终局的，对双方均有约束力。</w:t>
      </w:r>
    </w:p>
    <w:p w14:paraId="33F46B81">
      <w:pPr>
        <w:pStyle w:val="86"/>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第十二条 不可抗力</w:t>
      </w:r>
    </w:p>
    <w:p w14:paraId="2FE0FD98">
      <w:pPr>
        <w:pStyle w:val="86"/>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如果双方任何一方由于遭受诸如战争、严重火灾、洪水、台风、地震等重大自然灾害以及双方同意的其他不可抗力的事故，致使影响合同履行，履行合同的期限应予以延长，延长的期限应相当于事故所影响的时间。不可抗力事故系指甲乙双方在缔结合同时所不能预见的，并且它的发生及其后果是无法避免和无法克服的事故。</w:t>
      </w:r>
    </w:p>
    <w:p w14:paraId="57CA356C">
      <w:pPr>
        <w:pStyle w:val="86"/>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遭受不可抗力一方应在不可抗力事故发生后尽快以书面形式通知另一方；并在事故发生后十（10）个日历日内，将有关部门出具的证明文件、详细情况报告以及不可抗力对合同影响程度的说明用特快专递或挂号信的形式寄给另一方。如果不可抗力影响时间延续六十（60）个日历日以上，双方应通过友好协商在合理的时间内达成进一步履行合同或终止合同的协议。</w:t>
      </w:r>
    </w:p>
    <w:p w14:paraId="5E9E4C4D">
      <w:pPr>
        <w:pStyle w:val="86"/>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第十三条 其他事项</w:t>
      </w:r>
    </w:p>
    <w:p w14:paraId="550DBA88">
      <w:pPr>
        <w:pStyle w:val="86"/>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1.本合同一式</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份，甲乙双方各执</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eastAsia="宋体" w:cs="宋体"/>
          <w:color w:val="auto"/>
          <w:kern w:val="0"/>
          <w:sz w:val="24"/>
          <w:szCs w:val="24"/>
          <w:lang w:val="en-US" w:eastAsia="zh-CN" w:bidi="ar-SA"/>
        </w:rPr>
        <w:t>份。本采购项目的谈判文件、乙方的投标文件以及相关的澄清确认函（如果有的话）均为本合同不可分割的组成部分，与合同正文具备同等法律效力。</w:t>
      </w:r>
    </w:p>
    <w:p w14:paraId="779F21E8">
      <w:pPr>
        <w:pStyle w:val="86"/>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2.甲乙双方应履行保密义务，未经对方许可，任何一方均不得向与本合同无关的其他方披露或不正当使用任何技术文件或与本合同有关的数据，包括本合同本身。</w:t>
      </w:r>
    </w:p>
    <w:p w14:paraId="4800A1FC">
      <w:pPr>
        <w:pStyle w:val="86"/>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3.如有未尽事宜，双方协商解决。在本合同履行过程中将双方达成的书面补充协议是本合同不可分割的组成部分，与本合同具有同等效力。</w:t>
      </w:r>
    </w:p>
    <w:p w14:paraId="3836BDC7">
      <w:pPr>
        <w:pStyle w:val="86"/>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p>
    <w:p w14:paraId="3E12D06B">
      <w:pPr>
        <w:pStyle w:val="86"/>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lang w:val="en-US" w:eastAsia="zh-CN" w:bidi="ar-SA"/>
        </w:rPr>
      </w:pPr>
    </w:p>
    <w:p w14:paraId="2BDC3E34">
      <w:pPr>
        <w:pStyle w:val="86"/>
        <w:keepNext w:val="0"/>
        <w:keepLines w:val="0"/>
        <w:pageBreakBefore w:val="0"/>
        <w:widowControl/>
        <w:kinsoku/>
        <w:wordWrap/>
        <w:overflowPunct/>
        <w:topLinePunct w:val="0"/>
        <w:autoSpaceDE/>
        <w:autoSpaceDN/>
        <w:bidi w:val="0"/>
        <w:adjustRightInd/>
        <w:snapToGrid/>
        <w:spacing w:line="500" w:lineRule="exact"/>
        <w:ind w:firstLine="1440" w:firstLineChars="6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——————以下无正文，为甲乙双方合同签署页——————</w:t>
      </w:r>
    </w:p>
    <w:p w14:paraId="31847A5B">
      <w:pPr>
        <w:pStyle w:val="86"/>
        <w:keepNext w:val="0"/>
        <w:keepLines w:val="0"/>
        <w:pageBreakBefore w:val="0"/>
        <w:widowControl/>
        <w:kinsoku/>
        <w:wordWrap/>
        <w:overflowPunct/>
        <w:topLinePunct w:val="0"/>
        <w:bidi w:val="0"/>
        <w:spacing w:line="500" w:lineRule="exact"/>
        <w:ind w:firstLine="480" w:firstLineChars="200"/>
        <w:jc w:val="left"/>
        <w:rPr>
          <w:rFonts w:hint="eastAsia" w:ascii="微软雅黑" w:hAnsi="微软雅黑" w:eastAsia="微软雅黑" w:cs="微软雅黑"/>
          <w:color w:val="auto"/>
          <w:kern w:val="0"/>
          <w:sz w:val="24"/>
          <w:szCs w:val="24"/>
          <w:lang w:val="en-US" w:eastAsia="zh-CN" w:bidi="ar-SA"/>
        </w:rPr>
      </w:pPr>
    </w:p>
    <w:p w14:paraId="3548650F">
      <w:pPr>
        <w:pStyle w:val="86"/>
        <w:keepNext w:val="0"/>
        <w:keepLines w:val="0"/>
        <w:pageBreakBefore w:val="0"/>
        <w:widowControl/>
        <w:kinsoku/>
        <w:wordWrap/>
        <w:overflowPunct/>
        <w:topLinePunct w:val="0"/>
        <w:bidi w:val="0"/>
        <w:spacing w:line="500" w:lineRule="exact"/>
        <w:ind w:firstLine="480" w:firstLineChars="200"/>
        <w:jc w:val="left"/>
        <w:rPr>
          <w:rFonts w:hint="eastAsia" w:ascii="微软雅黑" w:hAnsi="微软雅黑" w:eastAsia="微软雅黑" w:cs="微软雅黑"/>
          <w:color w:val="auto"/>
          <w:kern w:val="0"/>
          <w:sz w:val="24"/>
          <w:szCs w:val="24"/>
          <w:lang w:val="en-US" w:eastAsia="zh-CN" w:bidi="ar-SA"/>
        </w:rPr>
      </w:pPr>
    </w:p>
    <w:p w14:paraId="0DB52D73">
      <w:pPr>
        <w:pStyle w:val="86"/>
        <w:keepNext w:val="0"/>
        <w:keepLines w:val="0"/>
        <w:pageBreakBefore w:val="0"/>
        <w:widowControl/>
        <w:kinsoku/>
        <w:wordWrap/>
        <w:overflowPunct/>
        <w:topLinePunct w:val="0"/>
        <w:bidi w:val="0"/>
        <w:spacing w:line="500" w:lineRule="exact"/>
        <w:ind w:firstLine="480" w:firstLineChars="200"/>
        <w:jc w:val="left"/>
        <w:rPr>
          <w:rFonts w:hint="eastAsia" w:ascii="微软雅黑" w:hAnsi="微软雅黑" w:eastAsia="微软雅黑" w:cs="微软雅黑"/>
          <w:color w:val="auto"/>
          <w:kern w:val="0"/>
          <w:sz w:val="24"/>
          <w:szCs w:val="24"/>
          <w:lang w:val="en-US" w:eastAsia="zh-CN" w:bidi="ar-SA"/>
        </w:rPr>
      </w:pPr>
    </w:p>
    <w:p w14:paraId="0351152A">
      <w:pPr>
        <w:pStyle w:val="86"/>
        <w:keepNext w:val="0"/>
        <w:keepLines w:val="0"/>
        <w:pageBreakBefore w:val="0"/>
        <w:widowControl/>
        <w:kinsoku/>
        <w:wordWrap/>
        <w:overflowPunct/>
        <w:topLinePunct w:val="0"/>
        <w:bidi w:val="0"/>
        <w:spacing w:line="500" w:lineRule="exact"/>
        <w:ind w:firstLine="480" w:firstLineChars="200"/>
        <w:jc w:val="left"/>
        <w:rPr>
          <w:rFonts w:hint="eastAsia" w:ascii="微软雅黑" w:hAnsi="微软雅黑" w:eastAsia="微软雅黑" w:cs="微软雅黑"/>
          <w:color w:val="auto"/>
          <w:kern w:val="0"/>
          <w:sz w:val="24"/>
          <w:szCs w:val="24"/>
          <w:lang w:val="en-US" w:eastAsia="zh-CN" w:bidi="ar-SA"/>
        </w:rPr>
      </w:pPr>
    </w:p>
    <w:tbl>
      <w:tblPr>
        <w:tblStyle w:val="34"/>
        <w:tblW w:w="0" w:type="auto"/>
        <w:jc w:val="center"/>
        <w:tblLayout w:type="fixed"/>
        <w:tblCellMar>
          <w:top w:w="0" w:type="dxa"/>
          <w:left w:w="108" w:type="dxa"/>
          <w:bottom w:w="0" w:type="dxa"/>
          <w:right w:w="108" w:type="dxa"/>
        </w:tblCellMar>
      </w:tblPr>
      <w:tblGrid>
        <w:gridCol w:w="4201"/>
        <w:gridCol w:w="4202"/>
      </w:tblGrid>
      <w:tr w14:paraId="7BE36A24">
        <w:trPr>
          <w:trHeight w:val="484" w:hRule="exact"/>
          <w:jc w:val="center"/>
        </w:trPr>
        <w:tc>
          <w:tcPr>
            <w:tcW w:w="4201" w:type="dxa"/>
            <w:noWrap w:val="0"/>
            <w:vAlign w:val="center"/>
          </w:tcPr>
          <w:p w14:paraId="53BE7762">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甲方</w:t>
            </w:r>
          </w:p>
        </w:tc>
        <w:tc>
          <w:tcPr>
            <w:tcW w:w="4202" w:type="dxa"/>
            <w:noWrap w:val="0"/>
            <w:vAlign w:val="center"/>
          </w:tcPr>
          <w:p w14:paraId="5AF7FC39">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乙方</w:t>
            </w:r>
          </w:p>
        </w:tc>
      </w:tr>
      <w:tr w14:paraId="68EF3D2D">
        <w:tblPrEx>
          <w:tblCellMar>
            <w:top w:w="0" w:type="dxa"/>
            <w:left w:w="108" w:type="dxa"/>
            <w:bottom w:w="0" w:type="dxa"/>
            <w:right w:w="108" w:type="dxa"/>
          </w:tblCellMar>
        </w:tblPrEx>
        <w:trPr>
          <w:trHeight w:val="467" w:hRule="exact"/>
          <w:jc w:val="center"/>
        </w:trPr>
        <w:tc>
          <w:tcPr>
            <w:tcW w:w="4201" w:type="dxa"/>
            <w:noWrap w:val="0"/>
            <w:vAlign w:val="center"/>
          </w:tcPr>
          <w:p w14:paraId="7D81329F">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（盖章）</w:t>
            </w:r>
          </w:p>
        </w:tc>
        <w:tc>
          <w:tcPr>
            <w:tcW w:w="4202" w:type="dxa"/>
            <w:noWrap w:val="0"/>
            <w:vAlign w:val="center"/>
          </w:tcPr>
          <w:p w14:paraId="354FBD8F">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（盖章）</w:t>
            </w:r>
          </w:p>
        </w:tc>
      </w:tr>
      <w:tr w14:paraId="32B1205D">
        <w:tblPrEx>
          <w:tblCellMar>
            <w:top w:w="0" w:type="dxa"/>
            <w:left w:w="108" w:type="dxa"/>
            <w:bottom w:w="0" w:type="dxa"/>
            <w:right w:w="108" w:type="dxa"/>
          </w:tblCellMar>
        </w:tblPrEx>
        <w:trPr>
          <w:trHeight w:val="501" w:hRule="exact"/>
          <w:jc w:val="center"/>
        </w:trPr>
        <w:tc>
          <w:tcPr>
            <w:tcW w:w="4201" w:type="dxa"/>
            <w:noWrap w:val="0"/>
            <w:vAlign w:val="center"/>
          </w:tcPr>
          <w:p w14:paraId="434B8454">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p>
        </w:tc>
        <w:tc>
          <w:tcPr>
            <w:tcW w:w="4202" w:type="dxa"/>
            <w:noWrap w:val="0"/>
            <w:vAlign w:val="center"/>
          </w:tcPr>
          <w:p w14:paraId="73844AA1">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地址：</w:t>
            </w:r>
          </w:p>
        </w:tc>
      </w:tr>
      <w:tr w14:paraId="794BF71B">
        <w:tblPrEx>
          <w:tblCellMar>
            <w:top w:w="0" w:type="dxa"/>
            <w:left w:w="108" w:type="dxa"/>
            <w:bottom w:w="0" w:type="dxa"/>
            <w:right w:w="108" w:type="dxa"/>
          </w:tblCellMar>
        </w:tblPrEx>
        <w:trPr>
          <w:trHeight w:val="450" w:hRule="exact"/>
          <w:jc w:val="center"/>
        </w:trPr>
        <w:tc>
          <w:tcPr>
            <w:tcW w:w="4201" w:type="dxa"/>
            <w:noWrap w:val="0"/>
            <w:vAlign w:val="center"/>
          </w:tcPr>
          <w:p w14:paraId="1ABE6963">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邮编：</w:t>
            </w:r>
          </w:p>
        </w:tc>
        <w:tc>
          <w:tcPr>
            <w:tcW w:w="4202" w:type="dxa"/>
            <w:noWrap w:val="0"/>
            <w:vAlign w:val="center"/>
          </w:tcPr>
          <w:p w14:paraId="57E52B32">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邮编：</w:t>
            </w:r>
          </w:p>
        </w:tc>
      </w:tr>
      <w:tr w14:paraId="35D895CF">
        <w:tblPrEx>
          <w:tblCellMar>
            <w:top w:w="0" w:type="dxa"/>
            <w:left w:w="108" w:type="dxa"/>
            <w:bottom w:w="0" w:type="dxa"/>
            <w:right w:w="108" w:type="dxa"/>
          </w:tblCellMar>
        </w:tblPrEx>
        <w:trPr>
          <w:trHeight w:val="533" w:hRule="exact"/>
          <w:jc w:val="center"/>
        </w:trPr>
        <w:tc>
          <w:tcPr>
            <w:tcW w:w="4201" w:type="dxa"/>
            <w:noWrap w:val="0"/>
            <w:vAlign w:val="center"/>
          </w:tcPr>
          <w:p w14:paraId="29C2734D">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w:t>
            </w:r>
          </w:p>
        </w:tc>
        <w:tc>
          <w:tcPr>
            <w:tcW w:w="4202" w:type="dxa"/>
            <w:noWrap w:val="0"/>
            <w:vAlign w:val="center"/>
          </w:tcPr>
          <w:p w14:paraId="452FC02F">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w:t>
            </w:r>
          </w:p>
        </w:tc>
      </w:tr>
      <w:tr w14:paraId="23809D0A">
        <w:tblPrEx>
          <w:tblCellMar>
            <w:top w:w="0" w:type="dxa"/>
            <w:left w:w="108" w:type="dxa"/>
            <w:bottom w:w="0" w:type="dxa"/>
            <w:right w:w="108" w:type="dxa"/>
          </w:tblCellMar>
        </w:tblPrEx>
        <w:trPr>
          <w:trHeight w:val="533" w:hRule="exact"/>
          <w:jc w:val="center"/>
        </w:trPr>
        <w:tc>
          <w:tcPr>
            <w:tcW w:w="4201" w:type="dxa"/>
            <w:noWrap w:val="0"/>
            <w:vAlign w:val="center"/>
          </w:tcPr>
          <w:p w14:paraId="242D55C6">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委托代理人：</w:t>
            </w:r>
          </w:p>
        </w:tc>
        <w:tc>
          <w:tcPr>
            <w:tcW w:w="4202" w:type="dxa"/>
            <w:noWrap w:val="0"/>
            <w:vAlign w:val="center"/>
          </w:tcPr>
          <w:p w14:paraId="40A3C7E4">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委托代理人：</w:t>
            </w:r>
          </w:p>
        </w:tc>
      </w:tr>
      <w:tr w14:paraId="50451D8A">
        <w:tblPrEx>
          <w:tblCellMar>
            <w:top w:w="0" w:type="dxa"/>
            <w:left w:w="108" w:type="dxa"/>
            <w:bottom w:w="0" w:type="dxa"/>
            <w:right w:w="108" w:type="dxa"/>
          </w:tblCellMar>
        </w:tblPrEx>
        <w:trPr>
          <w:trHeight w:val="500" w:hRule="exact"/>
          <w:jc w:val="center"/>
        </w:trPr>
        <w:tc>
          <w:tcPr>
            <w:tcW w:w="4201" w:type="dxa"/>
            <w:noWrap w:val="0"/>
            <w:vAlign w:val="center"/>
          </w:tcPr>
          <w:p w14:paraId="5089604B">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电话：</w:t>
            </w:r>
          </w:p>
        </w:tc>
        <w:tc>
          <w:tcPr>
            <w:tcW w:w="4202" w:type="dxa"/>
            <w:noWrap w:val="0"/>
            <w:vAlign w:val="center"/>
          </w:tcPr>
          <w:p w14:paraId="2A46C50C">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电话：</w:t>
            </w:r>
          </w:p>
        </w:tc>
      </w:tr>
      <w:tr w14:paraId="2DA0178C">
        <w:tblPrEx>
          <w:tblCellMar>
            <w:top w:w="0" w:type="dxa"/>
            <w:left w:w="108" w:type="dxa"/>
            <w:bottom w:w="0" w:type="dxa"/>
            <w:right w:w="108" w:type="dxa"/>
          </w:tblCellMar>
        </w:tblPrEx>
        <w:trPr>
          <w:trHeight w:val="467" w:hRule="exact"/>
          <w:jc w:val="center"/>
        </w:trPr>
        <w:tc>
          <w:tcPr>
            <w:tcW w:w="4201" w:type="dxa"/>
            <w:noWrap w:val="0"/>
            <w:vAlign w:val="center"/>
          </w:tcPr>
          <w:p w14:paraId="0A2A74D9">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传真：</w:t>
            </w:r>
          </w:p>
        </w:tc>
        <w:tc>
          <w:tcPr>
            <w:tcW w:w="4202" w:type="dxa"/>
            <w:noWrap w:val="0"/>
            <w:vAlign w:val="center"/>
          </w:tcPr>
          <w:p w14:paraId="461E484D">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传真：</w:t>
            </w:r>
          </w:p>
        </w:tc>
      </w:tr>
      <w:tr w14:paraId="33EEB580">
        <w:tblPrEx>
          <w:tblCellMar>
            <w:top w:w="0" w:type="dxa"/>
            <w:left w:w="108" w:type="dxa"/>
            <w:bottom w:w="0" w:type="dxa"/>
            <w:right w:w="108" w:type="dxa"/>
          </w:tblCellMar>
        </w:tblPrEx>
        <w:trPr>
          <w:trHeight w:val="567" w:hRule="exact"/>
          <w:jc w:val="center"/>
        </w:trPr>
        <w:tc>
          <w:tcPr>
            <w:tcW w:w="4201" w:type="dxa"/>
            <w:noWrap w:val="0"/>
            <w:vAlign w:val="center"/>
          </w:tcPr>
          <w:p w14:paraId="07B035F8">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开户银行：</w:t>
            </w:r>
          </w:p>
        </w:tc>
        <w:tc>
          <w:tcPr>
            <w:tcW w:w="4202" w:type="dxa"/>
            <w:noWrap w:val="0"/>
            <w:vAlign w:val="center"/>
          </w:tcPr>
          <w:p w14:paraId="45F76F2E">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开户银行：</w:t>
            </w:r>
          </w:p>
        </w:tc>
      </w:tr>
      <w:tr w14:paraId="7236D296">
        <w:tblPrEx>
          <w:tblCellMar>
            <w:top w:w="0" w:type="dxa"/>
            <w:left w:w="108" w:type="dxa"/>
            <w:bottom w:w="0" w:type="dxa"/>
            <w:right w:w="108" w:type="dxa"/>
          </w:tblCellMar>
        </w:tblPrEx>
        <w:trPr>
          <w:trHeight w:val="567" w:hRule="exact"/>
          <w:jc w:val="center"/>
        </w:trPr>
        <w:tc>
          <w:tcPr>
            <w:tcW w:w="4201" w:type="dxa"/>
            <w:noWrap w:val="0"/>
            <w:vAlign w:val="center"/>
          </w:tcPr>
          <w:p w14:paraId="175E9102">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日期：</w:t>
            </w:r>
          </w:p>
        </w:tc>
        <w:tc>
          <w:tcPr>
            <w:tcW w:w="4202" w:type="dxa"/>
            <w:noWrap w:val="0"/>
            <w:vAlign w:val="center"/>
          </w:tcPr>
          <w:p w14:paraId="78016645">
            <w:pPr>
              <w:pStyle w:val="86"/>
              <w:keepNext w:val="0"/>
              <w:keepLines w:val="0"/>
              <w:pageBreakBefore w:val="0"/>
              <w:widowControl/>
              <w:suppressLineNumbers w:val="0"/>
              <w:kinsoku/>
              <w:wordWrap/>
              <w:overflowPunct/>
              <w:topLinePunct w:val="0"/>
              <w:bidi w:val="0"/>
              <w:spacing w:before="0" w:beforeAutospacing="0" w:after="0" w:afterAutospacing="0" w:line="500" w:lineRule="exact"/>
              <w:ind w:left="0" w:right="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日期：</w:t>
            </w:r>
          </w:p>
        </w:tc>
      </w:tr>
    </w:tbl>
    <w:p w14:paraId="56849D0B">
      <w:pPr>
        <w:pStyle w:val="86"/>
        <w:keepNext w:val="0"/>
        <w:keepLines w:val="0"/>
        <w:pageBreakBefore w:val="0"/>
        <w:widowControl/>
        <w:kinsoku/>
        <w:wordWrap/>
        <w:overflowPunct/>
        <w:topLinePunct w:val="0"/>
        <w:bidi w:val="0"/>
        <w:spacing w:line="500" w:lineRule="exact"/>
        <w:ind w:firstLine="0" w:firstLineChars="0"/>
        <w:jc w:val="left"/>
        <w:rPr>
          <w:rFonts w:hint="eastAsia" w:ascii="宋体" w:hAnsi="宋体" w:eastAsia="宋体" w:cs="宋体"/>
          <w:color w:val="auto"/>
          <w:kern w:val="0"/>
          <w:sz w:val="24"/>
          <w:szCs w:val="24"/>
          <w:lang w:val="en-US" w:eastAsia="zh-CN" w:bidi="ar-SA"/>
        </w:rPr>
        <w:sectPr>
          <w:headerReference r:id="rId11" w:type="default"/>
          <w:footerReference r:id="rId12" w:type="default"/>
          <w:pgSz w:w="11906" w:h="16838"/>
          <w:pgMar w:top="1247" w:right="1134" w:bottom="1020" w:left="1134" w:header="964" w:footer="964" w:gutter="0"/>
          <w:pgNumType w:fmt="decimal" w:start="1"/>
          <w:cols w:space="0" w:num="1"/>
          <w:rtlGutter w:val="0"/>
          <w:docGrid w:type="lines" w:linePitch="381" w:charSpace="0"/>
        </w:sectPr>
      </w:pPr>
    </w:p>
    <w:p w14:paraId="38035843">
      <w:pPr>
        <w:pStyle w:val="2"/>
        <w:keepNext/>
        <w:keepLines/>
        <w:pageBreakBefore/>
        <w:widowControl/>
        <w:numPr>
          <w:ilvl w:val="0"/>
          <w:numId w:val="5"/>
        </w:numPr>
        <w:kinsoku/>
        <w:wordWrap/>
        <w:overflowPunct/>
        <w:topLinePunct w:val="0"/>
        <w:autoSpaceDE/>
        <w:autoSpaceDN/>
        <w:bidi w:val="0"/>
        <w:adjustRightInd/>
        <w:snapToGrid/>
        <w:spacing w:before="192" w:beforeLines="50" w:after="192" w:afterLines="50" w:line="460" w:lineRule="exact"/>
        <w:ind w:left="0" w:leftChars="0" w:firstLine="0" w:firstLineChars="0"/>
        <w:textAlignment w:val="auto"/>
        <w:rPr>
          <w:rFonts w:hint="eastAsia" w:ascii="宋体" w:hAnsi="宋体" w:eastAsia="宋体" w:cs="Times New Roman"/>
          <w:color w:val="auto"/>
        </w:rPr>
      </w:pPr>
      <w:r>
        <w:rPr>
          <w:rFonts w:hint="eastAsia" w:ascii="宋体" w:hAnsi="宋体" w:eastAsia="宋体" w:cs="Times New Roman"/>
          <w:color w:val="auto"/>
        </w:rPr>
        <w:t xml:space="preserve"> </w:t>
      </w:r>
      <w:bookmarkStart w:id="278" w:name="_Toc7538"/>
      <w:r>
        <w:rPr>
          <w:rFonts w:hint="eastAsia" w:ascii="宋体" w:hAnsi="宋体" w:eastAsia="宋体" w:cs="Times New Roman"/>
          <w:color w:val="auto"/>
        </w:rPr>
        <w:t>响应文件格式</w:t>
      </w:r>
      <w:bookmarkEnd w:id="270"/>
      <w:bookmarkEnd w:id="271"/>
      <w:bookmarkEnd w:id="272"/>
      <w:bookmarkEnd w:id="273"/>
      <w:bookmarkEnd w:id="274"/>
      <w:bookmarkEnd w:id="275"/>
      <w:bookmarkEnd w:id="276"/>
      <w:bookmarkEnd w:id="277"/>
      <w:bookmarkEnd w:id="278"/>
    </w:p>
    <w:p w14:paraId="725B4B5A">
      <w:pPr>
        <w:topLinePunct w:val="0"/>
        <w:bidi w:val="0"/>
        <w:spacing w:line="480" w:lineRule="exact"/>
        <w:jc w:val="right"/>
        <w:rPr>
          <w:rFonts w:cs="仿宋" w:asciiTheme="minorEastAsia" w:hAnsiTheme="minorEastAsia" w:eastAsiaTheme="minorEastAsia"/>
          <w:b/>
          <w:color w:val="auto"/>
          <w:sz w:val="36"/>
          <w:szCs w:val="36"/>
          <w:bdr w:val="single" w:color="auto" w:sz="4" w:space="0"/>
          <w:shd w:val="pct10" w:color="auto" w:fill="FFFFFF"/>
        </w:rPr>
      </w:pPr>
    </w:p>
    <w:p w14:paraId="734B5A75">
      <w:pPr>
        <w:topLinePunct w:val="0"/>
        <w:bidi w:val="0"/>
        <w:spacing w:line="48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39AB62E5">
      <w:pPr>
        <w:topLinePunct w:val="0"/>
        <w:bidi w:val="0"/>
        <w:spacing w:line="480" w:lineRule="exact"/>
        <w:ind w:right="728"/>
        <w:rPr>
          <w:rFonts w:cs="仿宋" w:asciiTheme="minorEastAsia" w:hAnsiTheme="minorEastAsia" w:eastAsiaTheme="minorEastAsia"/>
          <w:bCs/>
          <w:color w:val="auto"/>
          <w:sz w:val="32"/>
          <w:szCs w:val="32"/>
        </w:rPr>
      </w:pPr>
    </w:p>
    <w:p w14:paraId="23D50539">
      <w:pPr>
        <w:topLinePunct w:val="0"/>
        <w:bidi w:val="0"/>
        <w:spacing w:line="480" w:lineRule="exact"/>
        <w:ind w:right="728"/>
        <w:rPr>
          <w:rFonts w:hint="eastAsia" w:cs="仿宋" w:asciiTheme="minorEastAsia" w:hAnsiTheme="minorEastAsia" w:eastAsiaTheme="minorEastAsia"/>
          <w:b/>
          <w:color w:val="auto"/>
          <w:sz w:val="36"/>
          <w:szCs w:val="36"/>
          <w:bdr w:val="single" w:color="auto" w:sz="4" w:space="0"/>
          <w:shd w:val="pct10" w:color="auto" w:fill="FFFFFF"/>
          <w:lang w:eastAsia="zh-CN"/>
        </w:rPr>
      </w:pPr>
      <w:r>
        <w:rPr>
          <w:rFonts w:hint="eastAsia" w:cs="仿宋" w:asciiTheme="minorEastAsia" w:hAnsiTheme="minorEastAsia" w:eastAsiaTheme="minorEastAsia"/>
          <w:bCs/>
          <w:color w:val="auto"/>
          <w:sz w:val="32"/>
          <w:szCs w:val="32"/>
          <w:lang w:val="en-US" w:eastAsia="zh-CN"/>
        </w:rPr>
        <w:t>项目</w:t>
      </w:r>
      <w:r>
        <w:rPr>
          <w:rFonts w:hint="eastAsia" w:cs="仿宋" w:asciiTheme="minorEastAsia" w:hAnsiTheme="minorEastAsia" w:eastAsiaTheme="minorEastAsia"/>
          <w:bCs/>
          <w:color w:val="auto"/>
          <w:sz w:val="32"/>
          <w:szCs w:val="32"/>
        </w:rPr>
        <w:t>编号</w:t>
      </w:r>
      <w:r>
        <w:rPr>
          <w:rFonts w:hint="eastAsia" w:cs="仿宋" w:asciiTheme="minorEastAsia" w:hAnsiTheme="minorEastAsia" w:eastAsiaTheme="minorEastAsia"/>
          <w:bCs/>
          <w:color w:val="auto"/>
          <w:sz w:val="32"/>
          <w:szCs w:val="32"/>
          <w:lang w:eastAsia="zh-CN"/>
        </w:rPr>
        <w:t>：</w:t>
      </w:r>
    </w:p>
    <w:p w14:paraId="51EE40DF">
      <w:pPr>
        <w:topLinePunct w:val="0"/>
        <w:bidi w:val="0"/>
        <w:spacing w:line="480" w:lineRule="exact"/>
        <w:jc w:val="center"/>
        <w:rPr>
          <w:rFonts w:asciiTheme="minorEastAsia" w:hAnsiTheme="minorEastAsia" w:eastAsiaTheme="minorEastAsia"/>
          <w:b/>
          <w:color w:val="auto"/>
          <w:sz w:val="36"/>
          <w:szCs w:val="36"/>
        </w:rPr>
      </w:pPr>
    </w:p>
    <w:p w14:paraId="4F04B05F">
      <w:pPr>
        <w:topLinePunct w:val="0"/>
        <w:bidi w:val="0"/>
        <w:spacing w:line="480" w:lineRule="exact"/>
        <w:jc w:val="center"/>
        <w:rPr>
          <w:rFonts w:asciiTheme="minorEastAsia" w:hAnsiTheme="minorEastAsia" w:eastAsiaTheme="minorEastAsia"/>
          <w:b/>
          <w:color w:val="auto"/>
          <w:sz w:val="36"/>
          <w:szCs w:val="36"/>
        </w:rPr>
      </w:pPr>
    </w:p>
    <w:p w14:paraId="7B6398F3">
      <w:pPr>
        <w:topLinePunct w:val="0"/>
        <w:bidi w:val="0"/>
        <w:spacing w:line="480" w:lineRule="exact"/>
        <w:jc w:val="center"/>
        <w:rPr>
          <w:rFonts w:asciiTheme="minorEastAsia" w:hAnsiTheme="minorEastAsia" w:eastAsiaTheme="minorEastAsia"/>
          <w:b/>
          <w:color w:val="auto"/>
          <w:sz w:val="36"/>
          <w:szCs w:val="36"/>
        </w:rPr>
      </w:pPr>
    </w:p>
    <w:p w14:paraId="4FA8D7B2">
      <w:pPr>
        <w:topLinePunct w:val="0"/>
        <w:bidi w:val="0"/>
        <w:spacing w:line="480" w:lineRule="exact"/>
        <w:jc w:val="center"/>
        <w:rPr>
          <w:rFonts w:asciiTheme="minorEastAsia" w:hAnsiTheme="minorEastAsia" w:eastAsiaTheme="minorEastAsia"/>
          <w:b/>
          <w:color w:val="auto"/>
          <w:sz w:val="36"/>
          <w:szCs w:val="36"/>
        </w:rPr>
      </w:pPr>
    </w:p>
    <w:p w14:paraId="62F8A6E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heme="minorEastAsia" w:hAnsiTheme="minorEastAsia" w:eastAsiaTheme="minorEastAsia" w:cstheme="majorEastAsia"/>
          <w:b/>
          <w:color w:val="auto"/>
          <w:w w:val="90"/>
          <w:sz w:val="56"/>
          <w:szCs w:val="56"/>
        </w:rPr>
      </w:pPr>
      <w:r>
        <w:rPr>
          <w:rFonts w:hint="eastAsia" w:asciiTheme="minorEastAsia" w:hAnsiTheme="minorEastAsia" w:eastAsiaTheme="minorEastAsia" w:cstheme="majorEastAsia"/>
          <w:b/>
          <w:color w:val="auto"/>
          <w:w w:val="90"/>
          <w:sz w:val="56"/>
          <w:szCs w:val="56"/>
          <w:u w:val="single"/>
          <w:lang w:val="en-US" w:eastAsia="zh-CN"/>
        </w:rPr>
        <w:t xml:space="preserve">               </w:t>
      </w:r>
      <w:r>
        <w:rPr>
          <w:rFonts w:hint="eastAsia" w:asciiTheme="minorEastAsia" w:hAnsiTheme="minorEastAsia" w:eastAsiaTheme="minorEastAsia" w:cstheme="majorEastAsia"/>
          <w:b/>
          <w:color w:val="auto"/>
          <w:w w:val="90"/>
          <w:sz w:val="56"/>
          <w:szCs w:val="56"/>
        </w:rPr>
        <w:t>项目</w:t>
      </w:r>
    </w:p>
    <w:p w14:paraId="34ADF317">
      <w:pPr>
        <w:topLinePunct w:val="0"/>
        <w:bidi w:val="0"/>
        <w:spacing w:line="480" w:lineRule="exact"/>
        <w:jc w:val="center"/>
        <w:rPr>
          <w:rFonts w:asciiTheme="minorEastAsia" w:hAnsiTheme="minorEastAsia" w:eastAsiaTheme="minorEastAsia" w:cstheme="majorEastAsia"/>
          <w:b/>
          <w:color w:val="auto"/>
          <w:w w:val="90"/>
          <w:sz w:val="56"/>
          <w:szCs w:val="56"/>
        </w:rPr>
      </w:pPr>
    </w:p>
    <w:p w14:paraId="2091E14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宋体" w:hAnsi="宋体" w:eastAsia="宋体" w:cs="宋体"/>
          <w:b/>
          <w:color w:val="auto"/>
          <w:sz w:val="28"/>
          <w:szCs w:val="28"/>
        </w:rPr>
      </w:pPr>
      <w:r>
        <w:rPr>
          <w:rFonts w:hint="eastAsia" w:ascii="宋体" w:hAnsi="宋体" w:eastAsia="宋体" w:cs="宋体"/>
          <w:color w:val="auto"/>
          <w:sz w:val="72"/>
          <w:szCs w:val="72"/>
          <w:lang w:eastAsia="zh-CN"/>
        </w:rPr>
        <w:t>响应</w:t>
      </w:r>
      <w:r>
        <w:rPr>
          <w:rFonts w:hint="eastAsia" w:ascii="宋体" w:hAnsi="宋体" w:eastAsia="宋体" w:cs="宋体"/>
          <w:color w:val="auto"/>
          <w:sz w:val="72"/>
          <w:szCs w:val="72"/>
        </w:rPr>
        <w:t>文件</w:t>
      </w:r>
    </w:p>
    <w:p w14:paraId="18F5E3C5">
      <w:pPr>
        <w:topLinePunct w:val="0"/>
        <w:bidi w:val="0"/>
        <w:spacing w:line="480" w:lineRule="exact"/>
        <w:rPr>
          <w:rFonts w:cs="仿宋" w:asciiTheme="minorEastAsia" w:hAnsiTheme="minorEastAsia" w:eastAsiaTheme="minorEastAsia"/>
          <w:bCs/>
          <w:color w:val="auto"/>
          <w:sz w:val="18"/>
          <w:szCs w:val="18"/>
        </w:rPr>
      </w:pPr>
    </w:p>
    <w:p w14:paraId="12DB426D">
      <w:pPr>
        <w:topLinePunct w:val="0"/>
        <w:bidi w:val="0"/>
        <w:spacing w:line="480" w:lineRule="exact"/>
        <w:rPr>
          <w:rFonts w:hint="default" w:cs="仿宋" w:asciiTheme="minorEastAsia" w:hAnsiTheme="minorEastAsia" w:eastAsiaTheme="minorEastAsia"/>
          <w:bCs/>
          <w:color w:val="auto"/>
          <w:sz w:val="28"/>
          <w:szCs w:val="28"/>
          <w:lang w:val="en-US" w:eastAsia="zh-CN"/>
        </w:rPr>
      </w:pPr>
      <w:r>
        <w:rPr>
          <w:rFonts w:hint="eastAsia" w:cs="仿宋" w:asciiTheme="minorEastAsia" w:hAnsiTheme="minorEastAsia" w:eastAsiaTheme="minorEastAsia"/>
          <w:bCs/>
          <w:color w:val="auto"/>
          <w:sz w:val="18"/>
          <w:szCs w:val="18"/>
          <w:lang w:val="en-US" w:eastAsia="zh-CN"/>
        </w:rPr>
        <w:t xml:space="preserve">                  </w:t>
      </w:r>
      <w:r>
        <w:rPr>
          <w:rFonts w:hint="eastAsia" w:cs="仿宋" w:asciiTheme="minorEastAsia" w:hAnsiTheme="minorEastAsia" w:eastAsiaTheme="minorEastAsia"/>
          <w:bCs/>
          <w:color w:val="auto"/>
          <w:sz w:val="24"/>
          <w:szCs w:val="24"/>
          <w:lang w:val="en-US" w:eastAsia="zh-CN"/>
        </w:rPr>
        <w:t xml:space="preserve">                </w:t>
      </w:r>
      <w:r>
        <w:rPr>
          <w:rFonts w:hint="eastAsia" w:cs="仿宋" w:asciiTheme="minorEastAsia" w:hAnsiTheme="minorEastAsia" w:eastAsiaTheme="minorEastAsia"/>
          <w:bCs/>
          <w:color w:val="auto"/>
          <w:sz w:val="28"/>
          <w:szCs w:val="28"/>
          <w:lang w:val="en-US" w:eastAsia="zh-CN"/>
        </w:rPr>
        <w:t xml:space="preserve">   </w:t>
      </w:r>
      <w:r>
        <w:rPr>
          <w:rFonts w:hint="eastAsia" w:cs="仿宋" w:asciiTheme="minorEastAsia" w:hAnsiTheme="minorEastAsia" w:eastAsiaTheme="minorEastAsia"/>
          <w:bCs/>
          <w:color w:val="auto"/>
          <w:sz w:val="32"/>
          <w:szCs w:val="32"/>
          <w:lang w:val="en-US" w:eastAsia="zh-CN"/>
        </w:rPr>
        <w:t xml:space="preserve"> 正（副）本</w:t>
      </w:r>
    </w:p>
    <w:p w14:paraId="499EBA71">
      <w:pPr>
        <w:topLinePunct w:val="0"/>
        <w:bidi w:val="0"/>
        <w:spacing w:line="480" w:lineRule="exact"/>
        <w:rPr>
          <w:rFonts w:cs="仿宋" w:asciiTheme="minorEastAsia" w:hAnsiTheme="minorEastAsia" w:eastAsiaTheme="minorEastAsia"/>
          <w:bCs/>
          <w:color w:val="auto"/>
          <w:sz w:val="36"/>
          <w:szCs w:val="36"/>
        </w:rPr>
      </w:pPr>
    </w:p>
    <w:p w14:paraId="3194231F">
      <w:pPr>
        <w:pStyle w:val="4"/>
        <w:topLinePunct w:val="0"/>
        <w:bidi w:val="0"/>
        <w:spacing w:line="480" w:lineRule="exact"/>
        <w:rPr>
          <w:rFonts w:ascii="宋体" w:hAnsi="宋体" w:eastAsia="宋体"/>
          <w:b w:val="0"/>
          <w:color w:val="auto"/>
          <w:sz w:val="36"/>
        </w:rPr>
      </w:pPr>
      <w:bookmarkStart w:id="279" w:name="_Toc18412212"/>
      <w:bookmarkStart w:id="280" w:name="_Toc14189288"/>
      <w:bookmarkStart w:id="281" w:name="_Toc14189421"/>
      <w:bookmarkStart w:id="282" w:name="_Toc8364"/>
    </w:p>
    <w:p w14:paraId="4C73FCAB">
      <w:pPr>
        <w:rPr>
          <w:rFonts w:ascii="宋体" w:hAnsi="宋体" w:eastAsia="宋体"/>
          <w:b w:val="0"/>
          <w:color w:val="auto"/>
          <w:sz w:val="36"/>
        </w:rPr>
      </w:pPr>
    </w:p>
    <w:p w14:paraId="1BEE9AF6">
      <w:pPr>
        <w:rPr>
          <w:rFonts w:ascii="宋体" w:hAnsi="宋体" w:eastAsia="宋体"/>
          <w:b w:val="0"/>
          <w:color w:val="auto"/>
          <w:sz w:val="36"/>
        </w:rPr>
      </w:pPr>
    </w:p>
    <w:p w14:paraId="0D9F4C72">
      <w:pPr>
        <w:rPr>
          <w:rFonts w:ascii="宋体" w:hAnsi="宋体" w:eastAsia="宋体"/>
          <w:b w:val="0"/>
          <w:color w:val="auto"/>
          <w:sz w:val="36"/>
        </w:rPr>
      </w:pPr>
    </w:p>
    <w:p w14:paraId="451F5FE8">
      <w:pPr>
        <w:rPr>
          <w:rFonts w:ascii="宋体" w:hAnsi="宋体" w:eastAsia="宋体"/>
          <w:b w:val="0"/>
          <w:color w:val="auto"/>
          <w:sz w:val="36"/>
        </w:rPr>
      </w:pPr>
    </w:p>
    <w:p w14:paraId="4AF865F2">
      <w:pPr>
        <w:rPr>
          <w:rFonts w:ascii="宋体" w:hAnsi="宋体" w:eastAsia="宋体"/>
          <w:b w:val="0"/>
          <w:color w:val="auto"/>
          <w:sz w:val="36"/>
        </w:rPr>
      </w:pPr>
    </w:p>
    <w:p w14:paraId="7D041B8A">
      <w:pPr>
        <w:rPr>
          <w:rFonts w:ascii="宋体" w:hAnsi="宋体" w:eastAsia="宋体"/>
          <w:b w:val="0"/>
          <w:color w:val="auto"/>
          <w:sz w:val="36"/>
        </w:rPr>
      </w:pPr>
    </w:p>
    <w:p w14:paraId="6D74B7A8">
      <w:pPr>
        <w:rPr>
          <w:rFonts w:ascii="宋体" w:hAnsi="宋体" w:eastAsia="宋体"/>
          <w:b w:val="0"/>
          <w:color w:val="auto"/>
          <w:sz w:val="36"/>
        </w:rPr>
      </w:pPr>
    </w:p>
    <w:p w14:paraId="4C6C12A4">
      <w:pPr>
        <w:topLinePunct w:val="0"/>
        <w:bidi w:val="0"/>
        <w:spacing w:line="480" w:lineRule="exact"/>
        <w:ind w:firstLine="1440" w:firstLineChars="600"/>
        <w:jc w:val="both"/>
        <w:rPr>
          <w:rFonts w:hint="eastAsia"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sz w:val="24"/>
          <w:szCs w:val="24"/>
          <w:lang w:val="zh-CN"/>
        </w:rPr>
        <w:t>供应商（单位名称及公章）：</w:t>
      </w:r>
      <w:r>
        <w:rPr>
          <w:rFonts w:hint="eastAsia" w:cs="仿宋" w:asciiTheme="minorEastAsia" w:hAnsiTheme="minorEastAsia" w:eastAsiaTheme="minorEastAsia"/>
          <w:bCs/>
          <w:color w:val="auto"/>
          <w:sz w:val="24"/>
          <w:szCs w:val="24"/>
        </w:rPr>
        <w:t>____________________________</w:t>
      </w:r>
    </w:p>
    <w:p w14:paraId="280AB703">
      <w:pPr>
        <w:topLinePunct w:val="0"/>
        <w:bidi w:val="0"/>
        <w:spacing w:line="480" w:lineRule="exact"/>
        <w:ind w:firstLine="480" w:firstLineChars="200"/>
        <w:jc w:val="center"/>
        <w:rPr>
          <w:rFonts w:hint="eastAsia"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sz w:val="24"/>
          <w:szCs w:val="24"/>
          <w:lang w:val="zh-CN"/>
        </w:rPr>
        <w:t>法定代表人</w:t>
      </w:r>
      <w:r>
        <w:rPr>
          <w:rFonts w:hint="eastAsia" w:cs="仿宋" w:asciiTheme="minorEastAsia" w:hAnsiTheme="minorEastAsia" w:eastAsiaTheme="minorEastAsia"/>
          <w:bCs/>
          <w:color w:val="auto"/>
          <w:sz w:val="24"/>
          <w:szCs w:val="24"/>
          <w:lang w:val="en-US" w:eastAsia="zh-CN"/>
        </w:rPr>
        <w:t>或</w:t>
      </w:r>
      <w:r>
        <w:rPr>
          <w:rFonts w:hint="eastAsia" w:cs="仿宋" w:asciiTheme="minorEastAsia" w:hAnsiTheme="minorEastAsia" w:eastAsiaTheme="minorEastAsia"/>
          <w:bCs/>
          <w:color w:val="auto"/>
          <w:sz w:val="24"/>
          <w:szCs w:val="24"/>
          <w:lang w:val="zh-CN"/>
        </w:rPr>
        <w:t>被授权人（签字</w:t>
      </w:r>
      <w:r>
        <w:rPr>
          <w:rFonts w:hint="eastAsia" w:cs="仿宋" w:asciiTheme="minorEastAsia" w:hAnsiTheme="minorEastAsia" w:eastAsiaTheme="minorEastAsia"/>
          <w:bCs/>
          <w:color w:val="auto"/>
          <w:sz w:val="24"/>
          <w:szCs w:val="24"/>
          <w:lang w:val="en-US" w:eastAsia="zh-CN"/>
        </w:rPr>
        <w:t>或盖章</w:t>
      </w:r>
      <w:r>
        <w:rPr>
          <w:rFonts w:hint="eastAsia" w:cs="仿宋" w:asciiTheme="minorEastAsia" w:hAnsiTheme="minorEastAsia" w:eastAsiaTheme="minorEastAsia"/>
          <w:bCs/>
          <w:color w:val="auto"/>
          <w:sz w:val="24"/>
          <w:szCs w:val="24"/>
          <w:lang w:val="zh-CN"/>
        </w:rPr>
        <w:t>）：</w:t>
      </w:r>
      <w:r>
        <w:rPr>
          <w:rFonts w:hint="eastAsia" w:cs="仿宋" w:asciiTheme="minorEastAsia" w:hAnsiTheme="minorEastAsia" w:eastAsiaTheme="minorEastAsia"/>
          <w:bCs/>
          <w:color w:val="auto"/>
          <w:sz w:val="24"/>
          <w:szCs w:val="24"/>
        </w:rPr>
        <w:t>_________________________</w:t>
      </w:r>
    </w:p>
    <w:p w14:paraId="341D5E8C">
      <w:pPr>
        <w:topLinePunct w:val="0"/>
        <w:bidi w:val="0"/>
        <w:spacing w:line="480" w:lineRule="exact"/>
        <w:ind w:firstLine="1440" w:firstLineChars="600"/>
        <w:jc w:val="both"/>
        <w:rPr>
          <w:rFonts w:hint="eastAsia"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sz w:val="24"/>
          <w:szCs w:val="24"/>
        </w:rPr>
        <w:t>日</w:t>
      </w:r>
      <w:r>
        <w:rPr>
          <w:rFonts w:hint="eastAsia" w:cs="仿宋" w:asciiTheme="minorEastAsia" w:hAnsiTheme="minorEastAsia" w:eastAsiaTheme="minorEastAsia"/>
          <w:bCs/>
          <w:color w:val="auto"/>
          <w:sz w:val="24"/>
          <w:szCs w:val="24"/>
          <w:lang w:val="en-US" w:eastAsia="zh-CN"/>
        </w:rPr>
        <w:t xml:space="preserve">    </w:t>
      </w:r>
      <w:r>
        <w:rPr>
          <w:rFonts w:hint="eastAsia" w:cs="仿宋" w:asciiTheme="minorEastAsia" w:hAnsiTheme="minorEastAsia" w:eastAsiaTheme="minorEastAsia"/>
          <w:bCs/>
          <w:color w:val="auto"/>
          <w:sz w:val="24"/>
          <w:szCs w:val="24"/>
        </w:rPr>
        <w:t>期</w:t>
      </w:r>
      <w:r>
        <w:rPr>
          <w:rFonts w:hint="eastAsia" w:cs="仿宋" w:asciiTheme="minorEastAsia" w:hAnsiTheme="minorEastAsia" w:eastAsiaTheme="minorEastAsia"/>
          <w:bCs/>
          <w:color w:val="auto"/>
          <w:sz w:val="24"/>
          <w:szCs w:val="24"/>
          <w:lang w:val="zh-CN"/>
        </w:rPr>
        <w:t>：</w:t>
      </w:r>
      <w:r>
        <w:rPr>
          <w:rFonts w:hint="eastAsia" w:cs="仿宋" w:asciiTheme="minorEastAsia" w:hAnsiTheme="minorEastAsia" w:eastAsiaTheme="minorEastAsia"/>
          <w:bCs/>
          <w:color w:val="auto"/>
          <w:sz w:val="24"/>
          <w:szCs w:val="24"/>
        </w:rPr>
        <w:t>________________________________________________</w:t>
      </w:r>
    </w:p>
    <w:p w14:paraId="399F9DBF">
      <w:pPr>
        <w:rPr>
          <w:color w:val="auto"/>
        </w:rPr>
        <w:sectPr>
          <w:pgSz w:w="11906" w:h="16838"/>
          <w:pgMar w:top="1247" w:right="1134" w:bottom="1020" w:left="1134" w:header="964" w:footer="964" w:gutter="0"/>
          <w:pgNumType w:fmt="decimal"/>
          <w:cols w:space="0" w:num="1"/>
          <w:rtlGutter w:val="0"/>
          <w:docGrid w:type="lines" w:linePitch="381" w:charSpace="0"/>
        </w:sectPr>
      </w:pPr>
    </w:p>
    <w:p w14:paraId="60CFEE5B">
      <w:pPr>
        <w:topLinePunct w:val="0"/>
        <w:bidi w:val="0"/>
        <w:spacing w:line="480" w:lineRule="exact"/>
        <w:jc w:val="center"/>
        <w:rPr>
          <w:rFonts w:hint="eastAsia" w:ascii="宋体" w:hAnsi="宋体" w:eastAsia="宋体" w:cs="宋体"/>
          <w:b/>
          <w:color w:val="auto"/>
          <w:sz w:val="48"/>
          <w:szCs w:val="48"/>
        </w:rPr>
      </w:pPr>
    </w:p>
    <w:p w14:paraId="5F608355">
      <w:pPr>
        <w:topLinePunct w:val="0"/>
        <w:bidi w:val="0"/>
        <w:spacing w:line="480" w:lineRule="exact"/>
        <w:jc w:val="center"/>
        <w:rPr>
          <w:rFonts w:ascii="宋体" w:hAnsi="宋体" w:eastAsia="宋体" w:cs="宋体"/>
          <w:b/>
          <w:color w:val="auto"/>
          <w:sz w:val="48"/>
          <w:szCs w:val="48"/>
        </w:rPr>
      </w:pPr>
      <w:r>
        <w:rPr>
          <w:rFonts w:hint="eastAsia" w:ascii="宋体" w:hAnsi="宋体" w:eastAsia="宋体" w:cs="宋体"/>
          <w:b/>
          <w:color w:val="auto"/>
          <w:sz w:val="48"/>
          <w:szCs w:val="48"/>
        </w:rPr>
        <w:t>目   录</w:t>
      </w:r>
    </w:p>
    <w:p w14:paraId="43E6DDD5">
      <w:pPr>
        <w:topLinePunct w:val="0"/>
        <w:bidi w:val="0"/>
        <w:spacing w:line="480" w:lineRule="exact"/>
        <w:ind w:firstLine="1606" w:firstLineChars="500"/>
        <w:rPr>
          <w:rFonts w:ascii="宋体" w:hAnsi="宋体" w:eastAsia="宋体" w:cs="宋体"/>
          <w:b/>
          <w:color w:val="auto"/>
          <w:sz w:val="32"/>
          <w:szCs w:val="32"/>
        </w:rPr>
      </w:pPr>
    </w:p>
    <w:p w14:paraId="19E4FE48">
      <w:pPr>
        <w:pStyle w:val="19"/>
        <w:topLinePunct w:val="0"/>
        <w:bidi w:val="0"/>
        <w:spacing w:line="480" w:lineRule="exact"/>
        <w:ind w:left="560"/>
        <w:rPr>
          <w:color w:val="auto"/>
          <w:sz w:val="30"/>
          <w:szCs w:val="30"/>
        </w:rPr>
      </w:pPr>
      <w:bookmarkStart w:id="283" w:name="_Toc23315674"/>
      <w:r>
        <w:rPr>
          <w:rFonts w:hint="eastAsia"/>
          <w:color w:val="auto"/>
          <w:sz w:val="30"/>
          <w:szCs w:val="30"/>
        </w:rPr>
        <w:t>一、</w:t>
      </w:r>
      <w:r>
        <w:rPr>
          <w:rFonts w:hint="eastAsia"/>
          <w:color w:val="auto"/>
          <w:sz w:val="30"/>
          <w:szCs w:val="30"/>
          <w:lang w:val="en-US" w:eastAsia="zh-CN"/>
        </w:rPr>
        <w:t>响应</w:t>
      </w:r>
      <w:r>
        <w:rPr>
          <w:rFonts w:hint="eastAsia"/>
          <w:color w:val="auto"/>
          <w:sz w:val="30"/>
          <w:szCs w:val="30"/>
        </w:rPr>
        <w:t>函</w:t>
      </w:r>
      <w:bookmarkEnd w:id="283"/>
    </w:p>
    <w:p w14:paraId="6B164C23">
      <w:pPr>
        <w:pStyle w:val="19"/>
        <w:topLinePunct w:val="0"/>
        <w:bidi w:val="0"/>
        <w:spacing w:line="480" w:lineRule="exact"/>
        <w:ind w:left="560"/>
        <w:rPr>
          <w:color w:val="auto"/>
          <w:sz w:val="30"/>
          <w:szCs w:val="30"/>
        </w:rPr>
      </w:pPr>
      <w:bookmarkStart w:id="284" w:name="_Toc23315675"/>
      <w:r>
        <w:rPr>
          <w:rFonts w:hint="eastAsia"/>
          <w:color w:val="auto"/>
          <w:sz w:val="30"/>
          <w:szCs w:val="30"/>
        </w:rPr>
        <w:t>二、报价一览表</w:t>
      </w:r>
      <w:bookmarkEnd w:id="284"/>
    </w:p>
    <w:p w14:paraId="64A320E6">
      <w:pPr>
        <w:pStyle w:val="19"/>
        <w:topLinePunct w:val="0"/>
        <w:bidi w:val="0"/>
        <w:spacing w:line="480" w:lineRule="exact"/>
        <w:ind w:left="560"/>
        <w:rPr>
          <w:rFonts w:hint="eastAsia" w:eastAsia="宋体"/>
          <w:color w:val="auto"/>
          <w:sz w:val="30"/>
          <w:szCs w:val="30"/>
          <w:lang w:eastAsia="zh-CN"/>
        </w:rPr>
      </w:pPr>
      <w:bookmarkStart w:id="285" w:name="_Toc23315678"/>
      <w:r>
        <w:rPr>
          <w:rFonts w:hint="eastAsia"/>
          <w:color w:val="auto"/>
          <w:sz w:val="30"/>
          <w:szCs w:val="30"/>
          <w:lang w:eastAsia="zh-CN"/>
        </w:rPr>
        <w:t>三</w:t>
      </w:r>
      <w:r>
        <w:rPr>
          <w:rFonts w:hint="eastAsia"/>
          <w:color w:val="auto"/>
          <w:sz w:val="30"/>
          <w:szCs w:val="30"/>
        </w:rPr>
        <w:t>、</w:t>
      </w:r>
      <w:bookmarkEnd w:id="285"/>
      <w:r>
        <w:rPr>
          <w:rFonts w:hint="eastAsia"/>
          <w:color w:val="auto"/>
          <w:sz w:val="30"/>
          <w:szCs w:val="30"/>
          <w:lang w:eastAsia="zh-CN"/>
        </w:rPr>
        <w:t>资格证明文件</w:t>
      </w:r>
    </w:p>
    <w:p w14:paraId="34D80561">
      <w:pPr>
        <w:pStyle w:val="19"/>
        <w:topLinePunct w:val="0"/>
        <w:bidi w:val="0"/>
        <w:spacing w:line="480" w:lineRule="exact"/>
        <w:ind w:left="560"/>
        <w:rPr>
          <w:rFonts w:hint="eastAsia" w:eastAsia="宋体"/>
          <w:color w:val="auto"/>
          <w:sz w:val="30"/>
          <w:szCs w:val="30"/>
          <w:lang w:eastAsia="zh-CN"/>
        </w:rPr>
      </w:pPr>
      <w:r>
        <w:rPr>
          <w:rFonts w:hint="eastAsia"/>
          <w:color w:val="auto"/>
          <w:sz w:val="30"/>
          <w:szCs w:val="30"/>
          <w:lang w:eastAsia="zh-CN"/>
        </w:rPr>
        <w:t>四、技术商务</w:t>
      </w:r>
      <w:r>
        <w:rPr>
          <w:rFonts w:hint="eastAsia"/>
          <w:color w:val="auto"/>
          <w:sz w:val="30"/>
          <w:szCs w:val="30"/>
          <w:lang w:val="en-US" w:eastAsia="zh-CN"/>
        </w:rPr>
        <w:t>响应</w:t>
      </w:r>
      <w:r>
        <w:rPr>
          <w:rFonts w:hint="eastAsia"/>
          <w:color w:val="auto"/>
          <w:sz w:val="30"/>
          <w:szCs w:val="30"/>
          <w:lang w:eastAsia="zh-CN"/>
        </w:rPr>
        <w:t>偏离表</w:t>
      </w:r>
    </w:p>
    <w:p w14:paraId="227E8EBC">
      <w:pPr>
        <w:pStyle w:val="19"/>
        <w:topLinePunct w:val="0"/>
        <w:bidi w:val="0"/>
        <w:spacing w:line="480" w:lineRule="exact"/>
        <w:ind w:left="560"/>
        <w:rPr>
          <w:rFonts w:hint="eastAsia"/>
          <w:color w:val="auto"/>
          <w:sz w:val="30"/>
          <w:szCs w:val="30"/>
          <w:lang w:eastAsia="zh-CN"/>
        </w:rPr>
      </w:pPr>
      <w:bookmarkStart w:id="286" w:name="_Toc23315679"/>
      <w:r>
        <w:rPr>
          <w:rFonts w:hint="eastAsia"/>
          <w:color w:val="auto"/>
          <w:sz w:val="30"/>
          <w:szCs w:val="30"/>
        </w:rPr>
        <w:t>五、</w:t>
      </w:r>
      <w:bookmarkEnd w:id="286"/>
      <w:r>
        <w:rPr>
          <w:rFonts w:hint="eastAsia"/>
          <w:color w:val="auto"/>
          <w:sz w:val="30"/>
          <w:szCs w:val="30"/>
          <w:lang w:val="en-US" w:eastAsia="zh-CN"/>
        </w:rPr>
        <w:t>响应</w:t>
      </w:r>
      <w:r>
        <w:rPr>
          <w:rFonts w:hint="eastAsia"/>
          <w:bCs/>
          <w:color w:val="auto"/>
          <w:sz w:val="30"/>
          <w:szCs w:val="30"/>
        </w:rPr>
        <w:t>方案</w:t>
      </w:r>
    </w:p>
    <w:p w14:paraId="2E3DF946">
      <w:pPr>
        <w:pStyle w:val="19"/>
        <w:topLinePunct w:val="0"/>
        <w:bidi w:val="0"/>
        <w:spacing w:line="480" w:lineRule="exact"/>
        <w:ind w:left="560"/>
        <w:rPr>
          <w:color w:val="auto"/>
          <w:sz w:val="30"/>
          <w:szCs w:val="30"/>
        </w:rPr>
        <w:sectPr>
          <w:footerReference r:id="rId14" w:type="first"/>
          <w:footerReference r:id="rId13" w:type="default"/>
          <w:pgSz w:w="11906" w:h="16838"/>
          <w:pgMar w:top="1247" w:right="1134" w:bottom="1020" w:left="1134" w:header="964" w:footer="964" w:gutter="0"/>
          <w:pgNumType w:fmt="decimal"/>
          <w:cols w:space="0" w:num="1"/>
          <w:titlePg/>
          <w:rtlGutter w:val="0"/>
          <w:docGrid w:type="lines" w:linePitch="381" w:charSpace="0"/>
        </w:sectPr>
      </w:pPr>
      <w:bookmarkStart w:id="287" w:name="_Toc23315682"/>
      <w:bookmarkStart w:id="288" w:name="_Toc23434"/>
      <w:bookmarkStart w:id="289" w:name="_Toc12490"/>
      <w:r>
        <w:rPr>
          <w:rFonts w:hint="eastAsia"/>
          <w:color w:val="auto"/>
          <w:sz w:val="30"/>
          <w:szCs w:val="30"/>
          <w:lang w:eastAsia="zh-CN"/>
        </w:rPr>
        <w:t>六、</w:t>
      </w:r>
      <w:bookmarkEnd w:id="287"/>
      <w:bookmarkEnd w:id="288"/>
      <w:bookmarkEnd w:id="289"/>
      <w:r>
        <w:rPr>
          <w:rFonts w:hint="eastAsia"/>
          <w:color w:val="auto"/>
          <w:sz w:val="30"/>
          <w:szCs w:val="30"/>
          <w:lang w:val="en-US" w:eastAsia="zh-CN"/>
        </w:rPr>
        <w:t>投标单位</w:t>
      </w:r>
      <w:r>
        <w:rPr>
          <w:rFonts w:hint="eastAsia"/>
          <w:color w:val="auto"/>
          <w:sz w:val="30"/>
          <w:szCs w:val="30"/>
          <w:lang w:eastAsia="zh-CN"/>
        </w:rPr>
        <w:t>拒绝政府采购领域商业贿赂承诺书</w:t>
      </w:r>
    </w:p>
    <w:p w14:paraId="20177CC3">
      <w:pPr>
        <w:pStyle w:val="4"/>
        <w:topLinePunct w:val="0"/>
        <w:bidi w:val="0"/>
        <w:spacing w:line="480" w:lineRule="exact"/>
        <w:jc w:val="center"/>
        <w:rPr>
          <w:rFonts w:hint="eastAsia" w:ascii="宋体" w:hAnsi="宋体" w:eastAsia="宋体"/>
          <w:b/>
          <w:bCs w:val="0"/>
          <w:color w:val="auto"/>
          <w:lang w:val="en-US" w:eastAsia="zh-CN"/>
        </w:rPr>
      </w:pPr>
      <w:bookmarkStart w:id="290" w:name="_Toc17080"/>
      <w:bookmarkStart w:id="291" w:name="_Toc23315683"/>
      <w:bookmarkStart w:id="292" w:name="_Toc14826"/>
      <w:bookmarkStart w:id="293" w:name="_Toc31341"/>
      <w:bookmarkStart w:id="294" w:name="_Toc25581"/>
      <w:bookmarkStart w:id="295" w:name="_Toc30120"/>
      <w:bookmarkStart w:id="296" w:name="_Toc35335270"/>
      <w:bookmarkStart w:id="297" w:name="_Toc7767"/>
      <w:bookmarkStart w:id="298" w:name="_Toc23316696"/>
      <w:bookmarkStart w:id="299" w:name="_Toc23316534"/>
      <w:bookmarkStart w:id="300" w:name="_Toc4360"/>
      <w:bookmarkStart w:id="301" w:name="_Toc23316598"/>
      <w:r>
        <w:rPr>
          <w:rFonts w:hint="eastAsia" w:ascii="宋体" w:hAnsi="宋体" w:eastAsia="宋体"/>
          <w:b/>
          <w:bCs w:val="0"/>
          <w:color w:val="auto"/>
          <w:lang w:eastAsia="zh-CN"/>
        </w:rPr>
        <w:t>一、</w:t>
      </w:r>
      <w:r>
        <w:rPr>
          <w:rFonts w:hint="eastAsia" w:ascii="宋体" w:hAnsi="宋体" w:eastAsia="宋体"/>
          <w:b/>
          <w:bCs w:val="0"/>
          <w:color w:val="auto"/>
          <w:lang w:val="en-US" w:eastAsia="zh-CN"/>
        </w:rPr>
        <w:t xml:space="preserve"> 响应</w:t>
      </w:r>
      <w:r>
        <w:rPr>
          <w:rFonts w:hint="eastAsia" w:ascii="宋体" w:hAnsi="宋体" w:eastAsia="宋体"/>
          <w:b/>
          <w:bCs w:val="0"/>
          <w:color w:val="auto"/>
        </w:rPr>
        <w:t>函</w:t>
      </w:r>
      <w:bookmarkEnd w:id="279"/>
      <w:bookmarkEnd w:id="280"/>
      <w:bookmarkEnd w:id="281"/>
      <w:bookmarkEnd w:id="290"/>
      <w:bookmarkEnd w:id="291"/>
      <w:bookmarkEnd w:id="292"/>
      <w:bookmarkEnd w:id="293"/>
      <w:bookmarkEnd w:id="294"/>
      <w:bookmarkEnd w:id="295"/>
      <w:bookmarkEnd w:id="296"/>
      <w:bookmarkEnd w:id="297"/>
      <w:bookmarkEnd w:id="298"/>
      <w:bookmarkEnd w:id="299"/>
      <w:bookmarkEnd w:id="300"/>
      <w:bookmarkEnd w:id="301"/>
    </w:p>
    <w:p w14:paraId="32CE5225">
      <w:pPr>
        <w:topLinePunct w:val="0"/>
        <w:bidi w:val="0"/>
        <w:spacing w:line="480" w:lineRule="exact"/>
        <w:ind w:right="56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致：</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安康尚昊招标代理有限公司</w:t>
      </w:r>
      <w:r>
        <w:rPr>
          <w:rFonts w:hint="eastAsia" w:ascii="宋体" w:hAnsi="宋体" w:eastAsia="宋体" w:cs="宋体"/>
          <w:bCs/>
          <w:color w:val="auto"/>
          <w:sz w:val="24"/>
          <w:szCs w:val="24"/>
          <w:u w:val="single"/>
          <w:lang w:val="en-US" w:eastAsia="zh-CN"/>
        </w:rPr>
        <w:t xml:space="preserve"> </w:t>
      </w:r>
    </w:p>
    <w:p w14:paraId="2FC1896D">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我单位收到贵公司</w:t>
      </w:r>
      <w:r>
        <w:rPr>
          <w:rFonts w:hint="eastAsia" w:ascii="宋体" w:hAnsi="宋体" w:eastAsia="宋体" w:cs="宋体"/>
          <w:bCs/>
          <w:color w:val="auto"/>
          <w:sz w:val="24"/>
          <w:szCs w:val="24"/>
          <w:u w:val="single"/>
        </w:rPr>
        <w:t xml:space="preserve">  （项目名称） （项目编号）  </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要求，我们决定参加该项目投标活动，并参与投标会议。为此，我方郑重声明以下诸点，并负法律责任。</w:t>
      </w:r>
    </w:p>
    <w:p w14:paraId="37D95DDF">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1.</w:t>
      </w:r>
      <w:r>
        <w:rPr>
          <w:rFonts w:hint="eastAsia" w:ascii="宋体" w:hAnsi="宋体" w:eastAsia="宋体" w:cs="宋体"/>
          <w:bCs/>
          <w:color w:val="000000" w:themeColor="text1"/>
          <w:sz w:val="24"/>
          <w:szCs w:val="24"/>
          <w14:textFill>
            <w14:solidFill>
              <w14:schemeClr w14:val="tx1"/>
            </w14:solidFill>
          </w14:textFill>
        </w:rPr>
        <w:t>愿意按照</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中的一切要求，</w:t>
      </w:r>
      <w:r>
        <w:rPr>
          <w:rFonts w:hint="eastAsia" w:ascii="宋体" w:hAnsi="宋体" w:eastAsia="宋体" w:cs="宋体"/>
          <w:bCs/>
          <w:color w:val="000000" w:themeColor="text1"/>
          <w:sz w:val="24"/>
          <w:szCs w:val="24"/>
          <w:lang w:eastAsia="zh-CN"/>
          <w14:textFill>
            <w14:solidFill>
              <w14:schemeClr w14:val="tx1"/>
            </w14:solidFill>
          </w14:textFill>
        </w:rPr>
        <w:t>投标总</w:t>
      </w:r>
      <w:r>
        <w:rPr>
          <w:rFonts w:hint="eastAsia" w:ascii="宋体" w:hAnsi="宋体" w:eastAsia="宋体" w:cs="宋体"/>
          <w:bCs/>
          <w:color w:val="000000" w:themeColor="text1"/>
          <w:sz w:val="24"/>
          <w:szCs w:val="24"/>
          <w14:textFill>
            <w14:solidFill>
              <w14:schemeClr w14:val="tx1"/>
            </w14:solidFill>
          </w14:textFill>
        </w:rPr>
        <w:t>报价为</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none"/>
          <w:lang w:val="en-US" w:eastAsia="zh-CN"/>
          <w14:textFill>
            <w14:solidFill>
              <w14:schemeClr w14:val="tx1"/>
            </w14:solidFill>
          </w14:textFill>
        </w:rPr>
        <w:t>元</w:t>
      </w:r>
      <w:r>
        <w:rPr>
          <w:rFonts w:hint="eastAsia" w:ascii="宋体" w:hAnsi="宋体" w:eastAsia="宋体" w:cs="宋体"/>
          <w:bCs/>
          <w:color w:val="000000" w:themeColor="text1"/>
          <w:sz w:val="24"/>
          <w:szCs w:val="24"/>
          <w14:textFill>
            <w14:solidFill>
              <w14:schemeClr w14:val="tx1"/>
            </w14:solidFill>
          </w14:textFill>
        </w:rPr>
        <w:t>。</w:t>
      </w:r>
    </w:p>
    <w:p w14:paraId="33ED7686">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2.</w:t>
      </w:r>
      <w:r>
        <w:rPr>
          <w:rFonts w:hint="eastAsia" w:ascii="宋体" w:hAnsi="宋体" w:eastAsia="宋体" w:cs="宋体"/>
          <w:bCs/>
          <w:color w:val="auto"/>
          <w:sz w:val="24"/>
          <w:szCs w:val="24"/>
        </w:rPr>
        <w:t>我方提交的投标文件，正本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份，副本</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份、电子文档</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6B8EF1F7">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3.</w:t>
      </w:r>
      <w:r>
        <w:rPr>
          <w:rFonts w:hint="eastAsia" w:ascii="宋体" w:hAnsi="宋体" w:eastAsia="宋体" w:cs="宋体"/>
          <w:bCs/>
          <w:color w:val="auto"/>
          <w:sz w:val="24"/>
          <w:szCs w:val="24"/>
        </w:rPr>
        <w:t>如果我们投标文件被接受，我们将履行</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中规定的每一项要求，按期、按质、按量完成任务。</w:t>
      </w:r>
    </w:p>
    <w:p w14:paraId="79FA2D61">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4.</w:t>
      </w:r>
      <w:r>
        <w:rPr>
          <w:rFonts w:hint="eastAsia" w:ascii="宋体" w:hAnsi="宋体" w:eastAsia="宋体" w:cs="宋体"/>
          <w:bCs/>
          <w:color w:val="auto"/>
          <w:sz w:val="24"/>
          <w:szCs w:val="24"/>
        </w:rPr>
        <w:t>我们理解，最低报价不是中标的唯一条件，你们有选择投标人的权力。</w:t>
      </w:r>
    </w:p>
    <w:p w14:paraId="49554D3C">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我们愿按《中华人民共和国</w:t>
      </w:r>
      <w:r>
        <w:rPr>
          <w:rFonts w:hint="eastAsia" w:ascii="宋体" w:hAnsi="宋体" w:eastAsia="宋体" w:cs="宋体"/>
          <w:bCs/>
          <w:color w:val="auto"/>
          <w:sz w:val="24"/>
          <w:szCs w:val="24"/>
          <w:lang w:val="en-US" w:eastAsia="zh-CN"/>
        </w:rPr>
        <w:t>民法典</w:t>
      </w:r>
      <w:r>
        <w:rPr>
          <w:rFonts w:hint="eastAsia" w:ascii="宋体" w:hAnsi="宋体" w:eastAsia="宋体" w:cs="宋体"/>
          <w:bCs/>
          <w:color w:val="auto"/>
          <w:sz w:val="24"/>
          <w:szCs w:val="24"/>
        </w:rPr>
        <w:t>》履行自己的全部责任。</w:t>
      </w:r>
    </w:p>
    <w:p w14:paraId="7750A282">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6.</w:t>
      </w:r>
      <w:r>
        <w:rPr>
          <w:rFonts w:hint="eastAsia" w:ascii="宋体" w:hAnsi="宋体" w:eastAsia="宋体" w:cs="宋体"/>
          <w:bCs/>
          <w:color w:val="auto"/>
          <w:sz w:val="24"/>
          <w:szCs w:val="24"/>
        </w:rPr>
        <w:t>我们同意按</w:t>
      </w:r>
      <w:r>
        <w:rPr>
          <w:rFonts w:hint="eastAsia" w:ascii="宋体" w:hAnsi="宋体" w:eastAsia="宋体" w:cs="宋体"/>
          <w:bCs/>
          <w:color w:val="auto"/>
          <w:sz w:val="24"/>
          <w:szCs w:val="24"/>
          <w:lang w:val="en-US" w:eastAsia="zh-CN"/>
        </w:rPr>
        <w:t>照</w:t>
      </w:r>
      <w:r>
        <w:rPr>
          <w:rFonts w:hint="eastAsia" w:ascii="宋体" w:hAnsi="宋体" w:eastAsia="宋体" w:cs="宋体"/>
          <w:bCs/>
          <w:color w:val="auto"/>
          <w:sz w:val="24"/>
          <w:szCs w:val="24"/>
          <w:lang w:eastAsia="zh-CN"/>
        </w:rPr>
        <w:t>谈判文件</w:t>
      </w:r>
      <w:r>
        <w:rPr>
          <w:rFonts w:hint="eastAsia" w:ascii="宋体" w:hAnsi="宋体" w:eastAsia="宋体" w:cs="宋体"/>
          <w:bCs/>
          <w:color w:val="auto"/>
          <w:sz w:val="24"/>
          <w:szCs w:val="24"/>
        </w:rPr>
        <w:t>规定，遵守贵公司有关规定和收费标准。</w:t>
      </w:r>
    </w:p>
    <w:p w14:paraId="67165A6F">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7.</w:t>
      </w:r>
      <w:r>
        <w:rPr>
          <w:rFonts w:hint="eastAsia" w:ascii="宋体" w:hAnsi="宋体" w:eastAsia="宋体" w:cs="宋体"/>
          <w:bCs/>
          <w:color w:val="auto"/>
          <w:sz w:val="24"/>
          <w:szCs w:val="24"/>
        </w:rPr>
        <w:t>我方的投标文件有效期为</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日历天。</w:t>
      </w:r>
    </w:p>
    <w:p w14:paraId="485E4ACE">
      <w:pPr>
        <w:topLinePunct w:val="0"/>
        <w:bidi w:val="0"/>
        <w:spacing w:line="4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8.</w:t>
      </w:r>
      <w:r>
        <w:rPr>
          <w:rFonts w:hint="eastAsia" w:ascii="宋体" w:hAnsi="宋体" w:eastAsia="宋体" w:cs="宋体"/>
          <w:bCs/>
          <w:color w:val="auto"/>
          <w:sz w:val="24"/>
          <w:szCs w:val="24"/>
        </w:rPr>
        <w:t>所有关于本投标文件的函电，请按下列地址联系。</w:t>
      </w:r>
    </w:p>
    <w:bookmarkEnd w:id="282"/>
    <w:p w14:paraId="4BFCBC0B">
      <w:pPr>
        <w:spacing w:line="480" w:lineRule="exact"/>
        <w:rPr>
          <w:rFonts w:hint="eastAsia" w:ascii="宋体" w:hAnsi="宋体" w:eastAsia="宋体" w:cs="宋体"/>
          <w:bCs/>
          <w:color w:val="auto"/>
          <w:sz w:val="24"/>
          <w:szCs w:val="24"/>
        </w:rPr>
      </w:pPr>
      <w:bookmarkStart w:id="302" w:name="_Toc30983"/>
      <w:bookmarkStart w:id="303" w:name="_Toc536202394"/>
      <w:bookmarkStart w:id="304" w:name="_Toc20794"/>
      <w:bookmarkStart w:id="305" w:name="_Toc13642252"/>
      <w:bookmarkStart w:id="306" w:name="_Toc23316697"/>
      <w:bookmarkStart w:id="307" w:name="_Toc536202325"/>
      <w:bookmarkStart w:id="308" w:name="_Toc536429387"/>
      <w:bookmarkStart w:id="309" w:name="_Toc536429334"/>
      <w:bookmarkStart w:id="310" w:name="_Toc23316599"/>
      <w:bookmarkStart w:id="311" w:name="_Toc23316535"/>
      <w:bookmarkStart w:id="312" w:name="_Toc23315684"/>
      <w:bookmarkStart w:id="313" w:name="_Toc15789"/>
    </w:p>
    <w:p w14:paraId="1368D658">
      <w:pPr>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供应商名称（公章）：</w:t>
      </w:r>
      <w:r>
        <w:rPr>
          <w:rFonts w:hint="eastAsia" w:ascii="宋体" w:hAnsi="宋体" w:eastAsia="宋体" w:cs="宋体"/>
          <w:bCs/>
          <w:color w:val="auto"/>
          <w:sz w:val="24"/>
          <w:szCs w:val="24"/>
          <w:u w:val="single"/>
        </w:rPr>
        <w:t xml:space="preserve">                                </w:t>
      </w:r>
    </w:p>
    <w:p w14:paraId="08F6A828">
      <w:pPr>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详 细 地 址：</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10919E02">
      <w:pPr>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邮 政 编 码：</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lang w:val="zh-CN"/>
        </w:rPr>
        <w:t>传       真：</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zh-CN"/>
        </w:rPr>
        <w:t xml:space="preserve">    </w:t>
      </w:r>
    </w:p>
    <w:p w14:paraId="4C156985">
      <w:pPr>
        <w:spacing w:line="48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lang w:val="zh-CN"/>
        </w:rPr>
        <w:t>电       话：</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帐       号：</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zh-CN"/>
        </w:rPr>
        <w:t xml:space="preserve">   </w:t>
      </w:r>
    </w:p>
    <w:p w14:paraId="5A77FE0B">
      <w:pPr>
        <w:spacing w:line="480" w:lineRule="exact"/>
        <w:ind w:firstLine="480" w:firstLineChars="200"/>
        <w:rPr>
          <w:rFonts w:cs="仿宋" w:asciiTheme="minorEastAsia" w:hAnsiTheme="minorEastAsia" w:eastAsiaTheme="minorEastAsia"/>
          <w:bCs/>
          <w:color w:val="auto"/>
        </w:rPr>
      </w:pPr>
      <w:r>
        <w:rPr>
          <w:rFonts w:hint="eastAsia" w:ascii="宋体" w:hAnsi="宋体" w:eastAsia="宋体" w:cs="宋体"/>
          <w:bCs/>
          <w:color w:val="auto"/>
          <w:sz w:val="24"/>
          <w:szCs w:val="24"/>
          <w:lang w:val="zh-CN"/>
        </w:rPr>
        <w:t>开 户 银 行：</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rPr>
        <w:t>电 子 邮 件：</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p>
    <w:p w14:paraId="5D3AD860">
      <w:pPr>
        <w:spacing w:line="440" w:lineRule="exact"/>
        <w:ind w:firstLine="560" w:firstLineChars="200"/>
        <w:rPr>
          <w:rFonts w:cs="仿宋" w:asciiTheme="minorEastAsia" w:hAnsiTheme="minorEastAsia" w:eastAsiaTheme="minorEastAsia"/>
          <w:bCs/>
          <w:color w:val="auto"/>
        </w:rPr>
      </w:pPr>
    </w:p>
    <w:p w14:paraId="77A1B260">
      <w:pPr>
        <w:pStyle w:val="4"/>
        <w:jc w:val="center"/>
        <w:rPr>
          <w:rFonts w:ascii="宋体" w:hAnsi="宋体" w:eastAsia="宋体"/>
          <w:b w:val="0"/>
          <w:color w:val="auto"/>
        </w:rPr>
      </w:pPr>
    </w:p>
    <w:p w14:paraId="30F553F5">
      <w:pPr>
        <w:pStyle w:val="4"/>
        <w:topLinePunct w:val="0"/>
        <w:bidi w:val="0"/>
        <w:spacing w:line="480" w:lineRule="exact"/>
        <w:jc w:val="center"/>
        <w:rPr>
          <w:rFonts w:ascii="宋体" w:hAnsi="宋体" w:eastAsia="宋体"/>
          <w:b w:val="0"/>
          <w:color w:val="auto"/>
        </w:rPr>
      </w:pPr>
    </w:p>
    <w:p w14:paraId="3862262C">
      <w:pPr>
        <w:topLinePunct w:val="0"/>
        <w:bidi w:val="0"/>
        <w:spacing w:line="480" w:lineRule="exact"/>
        <w:jc w:val="left"/>
        <w:rPr>
          <w:rFonts w:hint="eastAsia" w:ascii="宋体" w:hAnsi="宋体" w:eastAsia="宋体"/>
          <w:b w:val="0"/>
          <w:color w:val="auto"/>
        </w:rPr>
      </w:pPr>
      <w:r>
        <w:rPr>
          <w:rFonts w:ascii="宋体" w:hAnsi="宋体" w:eastAsia="宋体"/>
          <w:b/>
          <w:color w:val="auto"/>
        </w:rPr>
        <w:br w:type="page"/>
      </w:r>
      <w:r>
        <w:rPr>
          <w:rFonts w:hint="eastAsia" w:ascii="宋体" w:hAnsi="宋体" w:eastAsia="宋体"/>
          <w:b/>
          <w:color w:val="auto"/>
          <w:lang w:val="en-US" w:eastAsia="zh-CN"/>
        </w:rPr>
        <w:t xml:space="preserve"> </w:t>
      </w:r>
      <w:bookmarkStart w:id="314" w:name="_Toc25909"/>
      <w:bookmarkStart w:id="315" w:name="_Toc16745"/>
      <w:bookmarkStart w:id="316" w:name="_Toc35335271"/>
      <w:bookmarkStart w:id="317" w:name="_Toc22662"/>
    </w:p>
    <w:p w14:paraId="6D6A346A">
      <w:pPr>
        <w:pStyle w:val="4"/>
        <w:topLinePunct w:val="0"/>
        <w:bidi w:val="0"/>
        <w:spacing w:line="480" w:lineRule="exact"/>
        <w:jc w:val="center"/>
        <w:rPr>
          <w:rFonts w:ascii="宋体" w:hAnsi="宋体" w:eastAsia="宋体"/>
          <w:b w:val="0"/>
          <w:color w:val="auto"/>
        </w:rPr>
      </w:pPr>
      <w:bookmarkStart w:id="318" w:name="_Toc2793"/>
      <w:bookmarkStart w:id="319" w:name="_Toc1435"/>
      <w:r>
        <w:rPr>
          <w:rFonts w:hint="eastAsia" w:ascii="宋体" w:hAnsi="宋体" w:eastAsia="宋体"/>
          <w:b w:val="0"/>
          <w:color w:val="auto"/>
        </w:rPr>
        <w:t>二</w:t>
      </w:r>
      <w:r>
        <w:rPr>
          <w:rFonts w:ascii="宋体" w:hAnsi="宋体" w:eastAsia="宋体"/>
          <w:b/>
          <w:bCs w:val="0"/>
          <w:color w:val="auto"/>
        </w:rPr>
        <w:t xml:space="preserve">、 </w:t>
      </w:r>
      <w:bookmarkEnd w:id="302"/>
      <w:r>
        <w:rPr>
          <w:rFonts w:hint="eastAsia" w:ascii="宋体" w:hAnsi="宋体" w:eastAsia="宋体"/>
          <w:b/>
          <w:bCs w:val="0"/>
          <w:color w:val="auto"/>
        </w:rPr>
        <w:t>报价一览表</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24A3B58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olor w:val="auto"/>
          <w:sz w:val="24"/>
          <w:szCs w:val="24"/>
        </w:rPr>
      </w:pPr>
      <w:r>
        <w:rPr>
          <w:rFonts w:hint="eastAsia" w:ascii="宋体" w:hAnsi="宋体" w:eastAsia="宋体"/>
          <w:color w:val="auto"/>
          <w:sz w:val="24"/>
          <w:szCs w:val="24"/>
          <w:lang w:val="en-US" w:eastAsia="zh-CN"/>
        </w:rPr>
        <w:t>供应商名称：</w:t>
      </w:r>
      <w:r>
        <w:rPr>
          <w:rFonts w:hint="eastAsia" w:ascii="宋体" w:hAnsi="宋体" w:eastAsia="宋体"/>
          <w:color w:val="auto"/>
          <w:sz w:val="24"/>
          <w:szCs w:val="24"/>
        </w:rPr>
        <w:t xml:space="preserve">                                 </w:t>
      </w:r>
    </w:p>
    <w:tbl>
      <w:tblPr>
        <w:tblStyle w:val="34"/>
        <w:tblpPr w:leftFromText="180" w:rightFromText="180" w:vertAnchor="text" w:horzAnchor="margin" w:tblpXSpec="center" w:tblpY="20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5"/>
        <w:gridCol w:w="1608"/>
        <w:gridCol w:w="1608"/>
        <w:gridCol w:w="1610"/>
        <w:gridCol w:w="1535"/>
      </w:tblGrid>
      <w:tr w14:paraId="2AF6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3195" w:type="dxa"/>
            <w:vAlign w:val="center"/>
          </w:tcPr>
          <w:p w14:paraId="1E36E904">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default"/>
                <w:color w:val="auto"/>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6350</wp:posOffset>
                      </wp:positionV>
                      <wp:extent cx="1997710" cy="890905"/>
                      <wp:effectExtent l="1905" t="4445" r="19685" b="19050"/>
                      <wp:wrapNone/>
                      <wp:docPr id="1" name="直接连接符 1"/>
                      <wp:cNvGraphicFramePr/>
                      <a:graphic xmlns:a="http://schemas.openxmlformats.org/drawingml/2006/main">
                        <a:graphicData uri="http://schemas.microsoft.com/office/word/2010/wordprocessingShape">
                          <wps:wsp>
                            <wps:cNvCnPr/>
                            <wps:spPr>
                              <a:xfrm>
                                <a:off x="469265" y="1958975"/>
                                <a:ext cx="1997710" cy="890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pt;margin-top:0.5pt;height:70.15pt;width:157.3pt;z-index:251661312;mso-width-relative:page;mso-height-relative:page;" filled="f" stroked="t" coordsize="21600,21600" o:gfxdata="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weQg1gAAAAkBAAAPAAAAAAAAAAEAIAAAACIAAABkcnMvZG93&#10;bnJldi54bWxQSwECFAAUAAAACACHTuJAOckCxQICAADjAwAADgAAAAAAAAABACAAAAAlAQAAZHJz&#10;L2Uyb0RvYy54bWxQSwUGAAAAAAYABgBZAQAAmQUAAAAA&#10;">
                      <v:fill on="f" focussize="0,0"/>
                      <v:stroke color="#000000 [3200]" joinstyle="round"/>
                      <v:imagedata o:title=""/>
                      <o:lock v:ext="edit" aspectratio="f"/>
                    </v:line>
                  </w:pict>
                </mc:Fallback>
              </mc:AlternateContent>
            </w:r>
            <w:r>
              <w:rPr>
                <w:rFonts w:hint="eastAsia"/>
                <w:color w:val="auto"/>
                <w:lang w:val="en-US" w:eastAsia="zh-CN"/>
              </w:rPr>
              <w:t xml:space="preserve">            </w:t>
            </w:r>
            <w:r>
              <w:rPr>
                <w:rFonts w:hint="eastAsia" w:ascii="宋体" w:hAnsi="宋体" w:eastAsia="宋体" w:cs="宋体"/>
                <w:color w:val="auto"/>
                <w:sz w:val="24"/>
                <w:szCs w:val="24"/>
                <w:lang w:val="en-US" w:eastAsia="zh-CN"/>
              </w:rPr>
              <w:t>报价内容</w:t>
            </w:r>
          </w:p>
          <w:p w14:paraId="5D4049AE">
            <w:pPr>
              <w:pStyle w:val="47"/>
              <w:suppressLineNumbers w:val="0"/>
              <w:spacing w:beforeAutospacing="0" w:afterAutospacing="0"/>
              <w:ind w:left="0" w:right="0" w:firstLine="240" w:firstLineChars="100"/>
              <w:rPr>
                <w:rFonts w:hint="default"/>
                <w:color w:val="auto"/>
                <w:lang w:val="en-US"/>
              </w:rPr>
            </w:pPr>
            <w:r>
              <w:rPr>
                <w:rFonts w:hint="eastAsia" w:ascii="宋体" w:hAnsi="宋体" w:eastAsia="宋体" w:cs="宋体"/>
                <w:b w:val="0"/>
                <w:bCs w:val="0"/>
                <w:color w:val="auto"/>
                <w:kern w:val="2"/>
                <w:sz w:val="24"/>
                <w:szCs w:val="24"/>
                <w:lang w:val="en-US" w:eastAsia="zh-CN" w:bidi="ar-SA"/>
              </w:rPr>
              <w:t>项目名称</w:t>
            </w:r>
          </w:p>
        </w:tc>
        <w:tc>
          <w:tcPr>
            <w:tcW w:w="1608" w:type="dxa"/>
            <w:vAlign w:val="center"/>
          </w:tcPr>
          <w:p w14:paraId="7C24B467">
            <w:pPr>
              <w:keepNext w:val="0"/>
              <w:keepLines w:val="0"/>
              <w:widowControl/>
              <w:suppressLineNumbers w:val="0"/>
              <w:kinsoku w:val="0"/>
              <w:topLinePunct w:val="0"/>
              <w:bidi w:val="0"/>
              <w:spacing w:before="0" w:beforeAutospacing="0" w:after="0" w:afterAutospacing="0" w:line="480" w:lineRule="exact"/>
              <w:ind w:left="0" w:right="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eastAsia="zh-CN"/>
              </w:rPr>
              <w:t>投标总</w:t>
            </w:r>
            <w:r>
              <w:rPr>
                <w:rFonts w:hint="eastAsia" w:ascii="宋体" w:hAnsi="宋体" w:eastAsia="宋体" w:cs="宋体"/>
                <w:color w:val="auto"/>
                <w:sz w:val="24"/>
                <w:szCs w:val="24"/>
                <w:lang w:val="en-US" w:eastAsia="zh-CN"/>
              </w:rPr>
              <w:t>报价</w:t>
            </w:r>
          </w:p>
          <w:p w14:paraId="1CE41E87">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w:t>
            </w:r>
          </w:p>
        </w:tc>
        <w:tc>
          <w:tcPr>
            <w:tcW w:w="1608" w:type="dxa"/>
            <w:vAlign w:val="center"/>
          </w:tcPr>
          <w:p w14:paraId="0E83E49D">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交付期</w:t>
            </w:r>
          </w:p>
          <w:p w14:paraId="544459FA">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c>
          <w:tcPr>
            <w:tcW w:w="1610" w:type="dxa"/>
            <w:vAlign w:val="center"/>
          </w:tcPr>
          <w:p w14:paraId="0935FE6D">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p w14:paraId="5A656BBB">
            <w:pPr>
              <w:keepNext w:val="0"/>
              <w:keepLines w:val="0"/>
              <w:widowControl/>
              <w:suppressLineNumbers w:val="0"/>
              <w:kinsoku w:val="0"/>
              <w:topLinePunct w:val="0"/>
              <w:bidi w:val="0"/>
              <w:spacing w:before="0" w:beforeAutospacing="0" w:after="0" w:afterAutospacing="0" w:line="480" w:lineRule="exact"/>
              <w:ind w:left="0" w:right="0"/>
              <w:jc w:val="center"/>
              <w:rPr>
                <w:rFonts w:hint="default" w:ascii="宋体" w:hAnsi="宋体" w:eastAsia="宋体" w:cs="宋体"/>
                <w:color w:val="auto"/>
                <w:sz w:val="24"/>
                <w:szCs w:val="24"/>
                <w:lang w:val="en-US" w:eastAsia="zh-CN"/>
              </w:rPr>
            </w:pPr>
          </w:p>
        </w:tc>
        <w:tc>
          <w:tcPr>
            <w:tcW w:w="1535" w:type="dxa"/>
            <w:vAlign w:val="center"/>
          </w:tcPr>
          <w:p w14:paraId="0ADC5644">
            <w:pPr>
              <w:keepNext w:val="0"/>
              <w:keepLines w:val="0"/>
              <w:widowControl/>
              <w:suppressLineNumbers w:val="0"/>
              <w:kinsoku w:val="0"/>
              <w:topLinePunct w:val="0"/>
              <w:bidi w:val="0"/>
              <w:spacing w:before="0" w:beforeAutospacing="0" w:after="0" w:afterAutospacing="0" w:line="480" w:lineRule="exac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0B97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3195" w:type="dxa"/>
            <w:vAlign w:val="center"/>
          </w:tcPr>
          <w:p w14:paraId="09503794">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安康市公安局资金分析系统采购项目</w:t>
            </w:r>
          </w:p>
        </w:tc>
        <w:tc>
          <w:tcPr>
            <w:tcW w:w="1608" w:type="dxa"/>
            <w:vAlign w:val="center"/>
          </w:tcPr>
          <w:p w14:paraId="15673A71">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c>
          <w:tcPr>
            <w:tcW w:w="1608" w:type="dxa"/>
            <w:vAlign w:val="center"/>
          </w:tcPr>
          <w:p w14:paraId="7B3B5466">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c>
          <w:tcPr>
            <w:tcW w:w="1610" w:type="dxa"/>
            <w:vAlign w:val="center"/>
          </w:tcPr>
          <w:p w14:paraId="70BD5958">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c>
          <w:tcPr>
            <w:tcW w:w="1535" w:type="dxa"/>
            <w:vAlign w:val="center"/>
          </w:tcPr>
          <w:p w14:paraId="1A5CBD51">
            <w:pPr>
              <w:keepNext w:val="0"/>
              <w:keepLines w:val="0"/>
              <w:widowControl/>
              <w:suppressLineNumbers w:val="0"/>
              <w:kinsoku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p>
        </w:tc>
      </w:tr>
      <w:tr w14:paraId="3898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556" w:type="dxa"/>
            <w:gridSpan w:val="5"/>
            <w:vAlign w:val="center"/>
          </w:tcPr>
          <w:p w14:paraId="74DB4797">
            <w:pPr>
              <w:keepNext w:val="0"/>
              <w:keepLines w:val="0"/>
              <w:widowControl/>
              <w:suppressLineNumbers w:val="0"/>
              <w:kinsoku w:val="0"/>
              <w:topLinePunct w:val="0"/>
              <w:bidi w:val="0"/>
              <w:spacing w:before="0" w:beforeAutospacing="0" w:after="0" w:afterAutospacing="0" w:line="4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投标总报价（大写）：                              </w:t>
            </w:r>
          </w:p>
        </w:tc>
      </w:tr>
      <w:tr w14:paraId="41FA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556" w:type="dxa"/>
            <w:gridSpan w:val="5"/>
            <w:vAlign w:val="center"/>
          </w:tcPr>
          <w:p w14:paraId="0E548130">
            <w:pPr>
              <w:keepNext w:val="0"/>
              <w:keepLines w:val="0"/>
              <w:widowControl/>
              <w:suppressLineNumbers w:val="0"/>
              <w:kinsoku w:val="0"/>
              <w:topLinePunct w:val="0"/>
              <w:bidi w:val="0"/>
              <w:spacing w:before="0" w:beforeAutospacing="0" w:after="0" w:afterAutospacing="0" w:line="480" w:lineRule="exac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备注：表内报价保留小数点后两位。</w:t>
            </w:r>
          </w:p>
        </w:tc>
      </w:tr>
    </w:tbl>
    <w:p w14:paraId="360FDED5">
      <w:pPr>
        <w:widowControl w:val="0"/>
        <w:topLinePunct w:val="0"/>
        <w:bidi w:val="0"/>
        <w:adjustRightInd w:val="0"/>
        <w:snapToGrid w:val="0"/>
        <w:spacing w:line="48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02757643">
      <w:pPr>
        <w:widowControl w:val="0"/>
        <w:topLinePunct w:val="0"/>
        <w:bidi w:val="0"/>
        <w:adjustRightInd w:val="0"/>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投标人所报的价格应考虑到可能发生的所有与完成本项目相关服务及履行合同义务有关的一切费用。</w:t>
      </w:r>
    </w:p>
    <w:p w14:paraId="0C36DC7B">
      <w:pPr>
        <w:widowControl w:val="0"/>
        <w:topLinePunct w:val="0"/>
        <w:bidi w:val="0"/>
        <w:adjustRightInd w:val="0"/>
        <w:snapToGrid w:val="0"/>
        <w:spacing w:line="480" w:lineRule="exact"/>
        <w:jc w:val="left"/>
        <w:rPr>
          <w:rFonts w:hint="eastAsia" w:ascii="宋体" w:hAnsi="宋体" w:eastAsia="宋体" w:cs="宋体"/>
          <w:color w:val="auto"/>
          <w:sz w:val="24"/>
          <w:szCs w:val="24"/>
        </w:rPr>
      </w:pPr>
    </w:p>
    <w:p w14:paraId="38270204">
      <w:pPr>
        <w:widowControl w:val="0"/>
        <w:topLinePunct w:val="0"/>
        <w:bidi w:val="0"/>
        <w:adjustRightInd w:val="0"/>
        <w:snapToGrid w:val="0"/>
        <w:spacing w:line="480" w:lineRule="exact"/>
        <w:jc w:val="left"/>
        <w:rPr>
          <w:rFonts w:ascii="宋体" w:hAnsi="宋体" w:eastAsia="宋体" w:cs="宋体"/>
          <w:color w:val="auto"/>
          <w:sz w:val="24"/>
          <w:szCs w:val="24"/>
        </w:rPr>
      </w:pPr>
    </w:p>
    <w:p w14:paraId="54615356">
      <w:pPr>
        <w:pStyle w:val="6"/>
        <w:topLinePunct w:val="0"/>
        <w:bidi w:val="0"/>
        <w:spacing w:line="480" w:lineRule="exact"/>
        <w:rPr>
          <w:color w:val="auto"/>
          <w:lang w:val="en-US" w:eastAsia="zh-CN" w:bidi="ar-SA"/>
        </w:rPr>
      </w:pPr>
    </w:p>
    <w:p w14:paraId="5C0922F7">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7D81936B">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2595FA21">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30CA7A07">
      <w:pPr>
        <w:widowControl w:val="0"/>
        <w:topLinePunct w:val="0"/>
        <w:bidi w:val="0"/>
        <w:adjustRightInd w:val="0"/>
        <w:snapToGrid w:val="0"/>
        <w:spacing w:line="480" w:lineRule="exact"/>
        <w:jc w:val="left"/>
        <w:rPr>
          <w:rFonts w:hint="default" w:ascii="宋体" w:hAnsi="宋体" w:eastAsia="宋体" w:cs="宋体"/>
          <w:b/>
          <w:bCs/>
          <w:color w:val="auto"/>
          <w:sz w:val="24"/>
          <w:szCs w:val="24"/>
          <w:u w:val="none"/>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none"/>
          <w:lang w:val="en-US" w:eastAsia="zh-CN"/>
        </w:rPr>
        <w:t xml:space="preserve">                </w:t>
      </w:r>
    </w:p>
    <w:p w14:paraId="62FB4881">
      <w:pPr>
        <w:widowControl w:val="0"/>
        <w:kinsoku w:val="0"/>
        <w:topLinePunct w:val="0"/>
        <w:bidi w:val="0"/>
        <w:spacing w:line="480" w:lineRule="exact"/>
        <w:jc w:val="left"/>
        <w:rPr>
          <w:rFonts w:ascii="宋体" w:hAnsi="宋体" w:eastAsia="宋体"/>
          <w:color w:val="auto"/>
          <w:sz w:val="24"/>
          <w:szCs w:val="24"/>
        </w:rPr>
      </w:pPr>
    </w:p>
    <w:p w14:paraId="7EB26BF9">
      <w:pPr>
        <w:topLinePunct w:val="0"/>
        <w:bidi w:val="0"/>
        <w:spacing w:line="480" w:lineRule="exact"/>
        <w:jc w:val="left"/>
        <w:rPr>
          <w:rFonts w:ascii="宋体" w:hAnsi="宋体" w:eastAsia="宋体"/>
          <w:bCs/>
          <w:color w:val="auto"/>
          <w:sz w:val="24"/>
          <w:szCs w:val="24"/>
        </w:rPr>
      </w:pPr>
      <w:bookmarkStart w:id="320" w:name="_Toc536202327"/>
      <w:bookmarkStart w:id="321" w:name="_Toc23315685"/>
      <w:bookmarkStart w:id="322" w:name="_Toc23316600"/>
      <w:bookmarkStart w:id="323" w:name="_Toc23316698"/>
      <w:bookmarkStart w:id="324" w:name="_Toc536202396"/>
      <w:bookmarkStart w:id="325" w:name="_Toc536429336"/>
      <w:bookmarkStart w:id="326" w:name="_Toc23316536"/>
      <w:bookmarkStart w:id="327" w:name="_Toc13642253"/>
      <w:bookmarkStart w:id="328" w:name="_Toc23694"/>
      <w:bookmarkStart w:id="329" w:name="_Toc23677"/>
      <w:bookmarkStart w:id="330" w:name="_Toc536429389"/>
      <w:r>
        <w:rPr>
          <w:rFonts w:ascii="宋体" w:hAnsi="宋体" w:eastAsia="宋体"/>
          <w:b/>
          <w:color w:val="auto"/>
          <w:sz w:val="24"/>
          <w:szCs w:val="24"/>
        </w:rPr>
        <w:br w:type="page"/>
      </w:r>
    </w:p>
    <w:bookmarkEnd w:id="320"/>
    <w:bookmarkEnd w:id="321"/>
    <w:bookmarkEnd w:id="322"/>
    <w:bookmarkEnd w:id="323"/>
    <w:bookmarkEnd w:id="324"/>
    <w:bookmarkEnd w:id="325"/>
    <w:bookmarkEnd w:id="326"/>
    <w:bookmarkEnd w:id="327"/>
    <w:bookmarkEnd w:id="328"/>
    <w:bookmarkEnd w:id="329"/>
    <w:bookmarkEnd w:id="330"/>
    <w:p w14:paraId="6747A495">
      <w:pPr>
        <w:pStyle w:val="4"/>
        <w:pageBreakBefore/>
        <w:topLinePunct w:val="0"/>
        <w:bidi w:val="0"/>
        <w:spacing w:line="480" w:lineRule="exact"/>
        <w:jc w:val="center"/>
        <w:rPr>
          <w:rFonts w:hint="eastAsia" w:ascii="宋体" w:hAnsi="宋体" w:eastAsia="宋体" w:cs="宋体"/>
          <w:color w:val="auto"/>
          <w:lang w:eastAsia="zh-CN"/>
        </w:rPr>
        <w:sectPr>
          <w:footerReference r:id="rId15" w:type="default"/>
          <w:pgSz w:w="11906" w:h="16838"/>
          <w:pgMar w:top="1247" w:right="1134" w:bottom="1020" w:left="1134" w:header="964" w:footer="964" w:gutter="0"/>
          <w:pgNumType w:fmt="decimal"/>
          <w:cols w:space="0" w:num="1"/>
          <w:rtlGutter w:val="0"/>
          <w:docGrid w:type="linesAndChars" w:linePitch="317" w:charSpace="0"/>
        </w:sectPr>
      </w:pPr>
      <w:bookmarkStart w:id="331" w:name="_Toc11272"/>
      <w:bookmarkStart w:id="332" w:name="_Toc8710"/>
      <w:bookmarkStart w:id="333" w:name="_Toc19543353"/>
      <w:bookmarkStart w:id="334" w:name="_Toc10667"/>
    </w:p>
    <w:p w14:paraId="61D3249F">
      <w:pPr>
        <w:pStyle w:val="4"/>
        <w:topLinePunct w:val="0"/>
        <w:bidi w:val="0"/>
        <w:spacing w:line="480" w:lineRule="exact"/>
        <w:jc w:val="center"/>
        <w:rPr>
          <w:rFonts w:hint="eastAsia" w:ascii="宋体" w:hAnsi="宋体" w:eastAsia="宋体" w:cs="宋体"/>
          <w:color w:val="auto"/>
        </w:rPr>
      </w:pPr>
      <w:bookmarkStart w:id="335" w:name="_Toc26541336"/>
      <w:bookmarkStart w:id="336" w:name="_Toc25317"/>
    </w:p>
    <w:p w14:paraId="5698C4A2">
      <w:pPr>
        <w:pStyle w:val="4"/>
        <w:topLinePunct w:val="0"/>
        <w:bidi w:val="0"/>
        <w:spacing w:line="480" w:lineRule="exact"/>
        <w:jc w:val="center"/>
        <w:rPr>
          <w:rFonts w:hint="eastAsia" w:ascii="宋体" w:hAnsi="宋体" w:eastAsia="宋体" w:cs="宋体"/>
          <w:color w:val="auto"/>
        </w:rPr>
      </w:pPr>
      <w:bookmarkStart w:id="337" w:name="_Toc16288"/>
      <w:bookmarkStart w:id="338" w:name="_Toc27612"/>
      <w:r>
        <w:rPr>
          <w:rFonts w:hint="eastAsia" w:ascii="宋体" w:hAnsi="宋体" w:eastAsia="宋体" w:cs="宋体"/>
          <w:color w:val="auto"/>
        </w:rPr>
        <w:t>投标分项报价表</w:t>
      </w:r>
      <w:bookmarkEnd w:id="335"/>
      <w:bookmarkEnd w:id="336"/>
      <w:bookmarkEnd w:id="337"/>
      <w:bookmarkEnd w:id="338"/>
    </w:p>
    <w:p w14:paraId="405853DB">
      <w:pPr>
        <w:topLinePunct w:val="0"/>
        <w:bidi w:val="0"/>
        <w:spacing w:line="480" w:lineRule="exact"/>
        <w:rPr>
          <w:rFonts w:hint="eastAsia" w:ascii="宋体" w:hAnsi="宋体" w:eastAsia="宋体" w:cs="宋体"/>
          <w:color w:val="auto"/>
        </w:rPr>
      </w:pPr>
    </w:p>
    <w:p w14:paraId="24B99F7F">
      <w:pPr>
        <w:widowControl w:val="0"/>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名称：</w:t>
      </w:r>
    </w:p>
    <w:p w14:paraId="46F1545F">
      <w:pPr>
        <w:topLinePunct w:val="0"/>
        <w:bidi w:val="0"/>
        <w:spacing w:line="48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第  页   共 页  </w:t>
      </w:r>
    </w:p>
    <w:tbl>
      <w:tblPr>
        <w:tblStyle w:val="34"/>
        <w:tblW w:w="4995" w:type="pct"/>
        <w:jc w:val="center"/>
        <w:tblLayout w:type="autofit"/>
        <w:tblCellMar>
          <w:top w:w="0" w:type="dxa"/>
          <w:left w:w="108" w:type="dxa"/>
          <w:bottom w:w="0" w:type="dxa"/>
          <w:right w:w="108" w:type="dxa"/>
        </w:tblCellMar>
      </w:tblPr>
      <w:tblGrid>
        <w:gridCol w:w="1092"/>
        <w:gridCol w:w="1092"/>
        <w:gridCol w:w="1092"/>
        <w:gridCol w:w="1093"/>
        <w:gridCol w:w="1093"/>
        <w:gridCol w:w="1093"/>
        <w:gridCol w:w="1093"/>
        <w:gridCol w:w="1093"/>
        <w:gridCol w:w="1103"/>
      </w:tblGrid>
      <w:tr w14:paraId="6443DD64">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2731C966">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555" w:type="pct"/>
            <w:tcBorders>
              <w:top w:val="single" w:color="000000" w:sz="4" w:space="0"/>
              <w:left w:val="single" w:color="000000" w:sz="4" w:space="0"/>
              <w:bottom w:val="single" w:color="000000" w:sz="4" w:space="0"/>
            </w:tcBorders>
            <w:vAlign w:val="center"/>
          </w:tcPr>
          <w:p w14:paraId="623D5B76">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产品</w:t>
            </w:r>
          </w:p>
          <w:p w14:paraId="0FE8B7C5">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555" w:type="pct"/>
            <w:tcBorders>
              <w:top w:val="single" w:color="000000" w:sz="4" w:space="0"/>
              <w:left w:val="single" w:color="000000" w:sz="4" w:space="0"/>
              <w:bottom w:val="single" w:color="000000" w:sz="4" w:space="0"/>
            </w:tcBorders>
            <w:vAlign w:val="center"/>
          </w:tcPr>
          <w:p w14:paraId="5204327B">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w:t>
            </w:r>
          </w:p>
        </w:tc>
        <w:tc>
          <w:tcPr>
            <w:tcW w:w="555" w:type="pct"/>
            <w:tcBorders>
              <w:top w:val="single" w:color="000000" w:sz="4" w:space="0"/>
              <w:left w:val="single" w:color="000000" w:sz="4" w:space="0"/>
              <w:bottom w:val="single" w:color="000000" w:sz="4" w:space="0"/>
            </w:tcBorders>
            <w:vAlign w:val="center"/>
          </w:tcPr>
          <w:p w14:paraId="26EA93D9">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品</w:t>
            </w:r>
            <w:r>
              <w:rPr>
                <w:rFonts w:hint="eastAsia" w:ascii="宋体" w:hAnsi="宋体" w:eastAsia="宋体" w:cs="宋体"/>
                <w:color w:val="auto"/>
                <w:sz w:val="24"/>
                <w:szCs w:val="24"/>
                <w:lang w:eastAsia="zh-CN"/>
              </w:rPr>
              <w:t>牌</w:t>
            </w:r>
          </w:p>
        </w:tc>
        <w:tc>
          <w:tcPr>
            <w:tcW w:w="555" w:type="pct"/>
            <w:tcBorders>
              <w:top w:val="single" w:color="000000" w:sz="4" w:space="0"/>
              <w:left w:val="single" w:color="000000" w:sz="4" w:space="0"/>
              <w:bottom w:val="single" w:color="000000" w:sz="4" w:space="0"/>
            </w:tcBorders>
            <w:vAlign w:val="center"/>
          </w:tcPr>
          <w:p w14:paraId="4C199C3B">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555" w:type="pct"/>
            <w:tcBorders>
              <w:top w:val="single" w:color="000000" w:sz="4" w:space="0"/>
              <w:left w:val="single" w:color="000000" w:sz="4" w:space="0"/>
              <w:bottom w:val="single" w:color="000000" w:sz="4" w:space="0"/>
            </w:tcBorders>
            <w:vAlign w:val="center"/>
          </w:tcPr>
          <w:p w14:paraId="3CA9ABAF">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5" w:type="pct"/>
            <w:tcBorders>
              <w:top w:val="single" w:color="000000" w:sz="4" w:space="0"/>
              <w:left w:val="single" w:color="000000" w:sz="4" w:space="0"/>
              <w:bottom w:val="single" w:color="000000" w:sz="4" w:space="0"/>
            </w:tcBorders>
            <w:vAlign w:val="center"/>
          </w:tcPr>
          <w:p w14:paraId="00EEC1A7">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单价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lang w:eastAsia="zh-CN"/>
              </w:rPr>
              <w:t>）</w:t>
            </w:r>
          </w:p>
        </w:tc>
        <w:tc>
          <w:tcPr>
            <w:tcW w:w="555" w:type="pct"/>
            <w:tcBorders>
              <w:top w:val="single" w:color="000000" w:sz="4" w:space="0"/>
              <w:left w:val="single" w:color="000000" w:sz="4" w:space="0"/>
              <w:bottom w:val="single" w:color="000000" w:sz="4" w:space="0"/>
              <w:right w:val="single" w:color="000000" w:sz="4" w:space="0"/>
            </w:tcBorders>
            <w:vAlign w:val="center"/>
          </w:tcPr>
          <w:p w14:paraId="3EBF9159">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c>
          <w:tcPr>
            <w:tcW w:w="555" w:type="pct"/>
            <w:tcBorders>
              <w:top w:val="single" w:color="000000" w:sz="4" w:space="0"/>
              <w:left w:val="single" w:color="000000" w:sz="4" w:space="0"/>
              <w:bottom w:val="single" w:color="000000" w:sz="4" w:space="0"/>
              <w:right w:val="single" w:color="000000" w:sz="4" w:space="0"/>
            </w:tcBorders>
            <w:vAlign w:val="center"/>
          </w:tcPr>
          <w:p w14:paraId="6E5F9004">
            <w:pPr>
              <w:keepNext w:val="0"/>
              <w:keepLines w:val="0"/>
              <w:widowControl/>
              <w:suppressLineNumbers w:val="0"/>
              <w:topLinePunct w:val="0"/>
              <w:bidi w:val="0"/>
              <w:spacing w:before="0" w:beforeAutospacing="0" w:after="0" w:afterAutospacing="0" w:line="48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7411F795">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1BEAA9D5">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A35B21D">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421E1C10">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3D918D2">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6C7C148C">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BE6F1D9">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F4549FF">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675CFA3C">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2F99E64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68236850">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43A97A32">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59FEEFB">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15DCEE4">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A07C5AC">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67D91E96">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231436B">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409DD89">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6288BF60">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05AD76E1">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787A81F3">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4C00F591">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4A86D27E">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463E59EA">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0B9AAD6">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37B3E183">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8818C05">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E4DFE4F">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36B2B4A4">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73A70118">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74923F94">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30806F2F">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6089F9D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6F2ECD36">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EA8A985">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B8F73ED">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1BEEE72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70B755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38DAEFAB">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5ED196D7">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6E62F3A4">
        <w:tblPrEx>
          <w:tblCellMar>
            <w:top w:w="0" w:type="dxa"/>
            <w:left w:w="108" w:type="dxa"/>
            <w:bottom w:w="0" w:type="dxa"/>
            <w:right w:w="108" w:type="dxa"/>
          </w:tblCellMar>
        </w:tblPrEx>
        <w:trPr>
          <w:trHeight w:val="1112" w:hRule="atLeast"/>
          <w:jc w:val="center"/>
        </w:trPr>
        <w:tc>
          <w:tcPr>
            <w:tcW w:w="555" w:type="pct"/>
            <w:tcBorders>
              <w:top w:val="single" w:color="000000" w:sz="4" w:space="0"/>
              <w:left w:val="single" w:color="000000" w:sz="4" w:space="0"/>
              <w:bottom w:val="single" w:color="000000" w:sz="4" w:space="0"/>
            </w:tcBorders>
            <w:vAlign w:val="center"/>
          </w:tcPr>
          <w:p w14:paraId="4D598CE2">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73B01DF">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0CD66E9">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25EA300E">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54567A05">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05425469">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tcBorders>
            <w:vAlign w:val="center"/>
          </w:tcPr>
          <w:p w14:paraId="7B675D66">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47795BD2">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c>
          <w:tcPr>
            <w:tcW w:w="555" w:type="pct"/>
            <w:tcBorders>
              <w:top w:val="single" w:color="000000" w:sz="4" w:space="0"/>
              <w:left w:val="single" w:color="000000" w:sz="4" w:space="0"/>
              <w:bottom w:val="single" w:color="000000" w:sz="4" w:space="0"/>
              <w:right w:val="single" w:color="000000" w:sz="4" w:space="0"/>
            </w:tcBorders>
            <w:vAlign w:val="center"/>
          </w:tcPr>
          <w:p w14:paraId="5F419553">
            <w:pPr>
              <w:keepNext w:val="0"/>
              <w:keepLines w:val="0"/>
              <w:widowControl/>
              <w:suppressLineNumbers w:val="0"/>
              <w:topLinePunct w:val="0"/>
              <w:bidi w:val="0"/>
              <w:spacing w:before="0" w:beforeAutospacing="0" w:after="0" w:afterAutospacing="0" w:line="480" w:lineRule="exact"/>
              <w:ind w:left="0" w:right="0"/>
              <w:rPr>
                <w:rFonts w:hint="eastAsia" w:ascii="宋体" w:hAnsi="宋体" w:eastAsia="宋体" w:cs="宋体"/>
                <w:color w:val="auto"/>
                <w:sz w:val="24"/>
                <w:szCs w:val="24"/>
              </w:rPr>
            </w:pPr>
          </w:p>
        </w:tc>
      </w:tr>
      <w:tr w14:paraId="1AD7622B">
        <w:tblPrEx>
          <w:tblCellMar>
            <w:top w:w="0" w:type="dxa"/>
            <w:left w:w="108" w:type="dxa"/>
            <w:bottom w:w="0" w:type="dxa"/>
            <w:right w:w="108" w:type="dxa"/>
          </w:tblCellMar>
        </w:tblPrEx>
        <w:trPr>
          <w:trHeight w:val="1028"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09A13075">
            <w:pPr>
              <w:keepNext w:val="0"/>
              <w:keepLines w:val="0"/>
              <w:widowControl/>
              <w:suppressLineNumbers w:val="0"/>
              <w:topLinePunct w:val="0"/>
              <w:bidi w:val="0"/>
              <w:spacing w:before="0" w:beforeAutospacing="0" w:after="0" w:afterAutospacing="0" w:line="480" w:lineRule="exact"/>
              <w:ind w:left="0"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（小写：             元）</w:t>
            </w:r>
          </w:p>
        </w:tc>
      </w:tr>
    </w:tbl>
    <w:p w14:paraId="6E97DF54">
      <w:pPr>
        <w:topLinePunct w:val="0"/>
        <w:bidi w:val="0"/>
        <w:spacing w:line="480" w:lineRule="exact"/>
        <w:rPr>
          <w:rFonts w:hint="eastAsia" w:ascii="宋体" w:hAnsi="宋体" w:eastAsia="宋体" w:cs="宋体"/>
          <w:color w:val="auto"/>
          <w:sz w:val="24"/>
          <w:szCs w:val="24"/>
          <w:lang w:val="en-US"/>
        </w:rPr>
      </w:pPr>
      <w:r>
        <w:rPr>
          <w:rFonts w:hint="eastAsia" w:ascii="宋体" w:hAnsi="宋体" w:eastAsia="宋体" w:cs="宋体"/>
          <w:color w:val="auto"/>
          <w:sz w:val="24"/>
          <w:szCs w:val="24"/>
        </w:rPr>
        <w:t xml:space="preserve">     </w:t>
      </w:r>
    </w:p>
    <w:p w14:paraId="25174274">
      <w:pPr>
        <w:topLinePunct w:val="0"/>
        <w:bidi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注：1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投标人可根据实际情况自行扩展表格细项。</w:t>
      </w:r>
    </w:p>
    <w:p w14:paraId="7C453D1B">
      <w:pPr>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如果分项报价合计与投标总报价不一致，以分项报价合计为准进行结算。</w:t>
      </w:r>
    </w:p>
    <w:p w14:paraId="7505A2E1">
      <w:pPr>
        <w:topLinePunct w:val="0"/>
        <w:bidi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如果不提供详细分项报价将视为没有实质性响应</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w:t>
      </w:r>
    </w:p>
    <w:p w14:paraId="25742285">
      <w:pPr>
        <w:topLinePunct w:val="0"/>
        <w:bidi w:val="0"/>
        <w:spacing w:line="480" w:lineRule="exact"/>
        <w:ind w:firstLine="480" w:firstLineChars="200"/>
        <w:rPr>
          <w:rFonts w:hint="eastAsia" w:ascii="宋体" w:hAnsi="宋体" w:eastAsia="宋体" w:cs="宋体"/>
          <w:color w:val="auto"/>
          <w:sz w:val="24"/>
          <w:szCs w:val="24"/>
        </w:rPr>
      </w:pPr>
    </w:p>
    <w:p w14:paraId="7419420D">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4EECAD47">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7283F5FF">
      <w:pPr>
        <w:topLinePunct w:val="0"/>
        <w:bidi w:val="0"/>
        <w:adjustRightInd w:val="0"/>
        <w:snapToGrid w:val="0"/>
        <w:spacing w:line="480" w:lineRule="exact"/>
        <w:rPr>
          <w:rFonts w:hint="eastAsia" w:ascii="宋体" w:hAnsi="宋体" w:cs="仿宋"/>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549F810A">
      <w:pPr>
        <w:pStyle w:val="4"/>
        <w:pageBreakBefore/>
        <w:topLinePunct w:val="0"/>
        <w:bidi w:val="0"/>
        <w:spacing w:line="480" w:lineRule="exact"/>
        <w:jc w:val="center"/>
        <w:rPr>
          <w:rFonts w:hint="eastAsia" w:ascii="宋体" w:hAnsi="宋体" w:eastAsia="宋体" w:cs="宋体"/>
          <w:color w:val="auto"/>
          <w:lang w:eastAsia="zh-CN"/>
        </w:rPr>
        <w:sectPr>
          <w:pgSz w:w="11906" w:h="16838"/>
          <w:pgMar w:top="1247" w:right="1134" w:bottom="1020" w:left="1134" w:header="964" w:footer="964" w:gutter="0"/>
          <w:pgNumType w:fmt="decimal"/>
          <w:cols w:space="0" w:num="1"/>
          <w:rtlGutter w:val="0"/>
          <w:docGrid w:type="linesAndChars" w:linePitch="317" w:charSpace="0"/>
        </w:sectPr>
      </w:pPr>
    </w:p>
    <w:p w14:paraId="782C657D">
      <w:pPr>
        <w:pStyle w:val="4"/>
        <w:pageBreakBefore/>
        <w:topLinePunct w:val="0"/>
        <w:bidi w:val="0"/>
        <w:spacing w:line="480" w:lineRule="exact"/>
        <w:jc w:val="center"/>
        <w:rPr>
          <w:rFonts w:hint="eastAsia" w:ascii="宋体" w:hAnsi="宋体" w:eastAsia="宋体" w:cs="宋体"/>
          <w:color w:val="auto"/>
          <w:lang w:eastAsia="zh-CN"/>
        </w:rPr>
      </w:pPr>
      <w:bookmarkStart w:id="339" w:name="_Toc30123"/>
      <w:bookmarkStart w:id="340" w:name="_Toc6569"/>
      <w:bookmarkStart w:id="341" w:name="_Toc20769"/>
      <w:r>
        <w:rPr>
          <w:rFonts w:hint="eastAsia" w:ascii="宋体" w:hAnsi="宋体" w:eastAsia="宋体" w:cs="宋体"/>
          <w:color w:val="auto"/>
          <w:lang w:eastAsia="zh-CN"/>
        </w:rPr>
        <w:t>三、</w:t>
      </w:r>
      <w:r>
        <w:rPr>
          <w:rFonts w:hint="eastAsia" w:ascii="宋体" w:hAnsi="宋体" w:eastAsia="宋体" w:cs="宋体"/>
          <w:color w:val="auto"/>
          <w:lang w:val="en-US" w:eastAsia="zh-CN"/>
        </w:rPr>
        <w:t xml:space="preserve">  </w:t>
      </w:r>
      <w:bookmarkEnd w:id="331"/>
      <w:bookmarkEnd w:id="332"/>
      <w:bookmarkEnd w:id="339"/>
      <w:bookmarkEnd w:id="340"/>
      <w:bookmarkEnd w:id="341"/>
      <w:r>
        <w:rPr>
          <w:rFonts w:hint="eastAsia" w:ascii="宋体" w:hAnsi="宋体" w:eastAsia="宋体" w:cs="宋体"/>
          <w:color w:val="auto"/>
          <w:lang w:eastAsia="zh-CN"/>
        </w:rPr>
        <w:t>资格证明文件</w:t>
      </w:r>
    </w:p>
    <w:p w14:paraId="688DFCD2">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76C993D9">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517F2415">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kern w:val="2"/>
          <w:sz w:val="24"/>
          <w:szCs w:val="24"/>
          <w:lang w:val="en-US" w:eastAsia="zh-CN" w:bidi="ar"/>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查询结果为准（响应文件中提供查询结果网页截图并加盖投标人公章，查询日期为从谈判文件获取之日起至投标截止日前，评标现场通过网站对信用记录进行核实）。</w:t>
      </w:r>
    </w:p>
    <w:p w14:paraId="525DEBF0">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书面声明：投标人必须提供参加政府采购活动前3年内在经营活动中没有重大违法记录的书面声明。 </w:t>
      </w:r>
    </w:p>
    <w:p w14:paraId="2C7B58BA">
      <w:pPr>
        <w:keepNext w:val="0"/>
        <w:keepLines w:val="0"/>
        <w:pageBreakBefore w:val="0"/>
        <w:tabs>
          <w:tab w:val="left" w:pos="567"/>
        </w:tabs>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（5）财务状况报告：提供2024年度的财务审计报告或者谈判截止时间六个月内基本开户银行出具的资信证明（成立时间至提交响应文件截止时间不足一年的可提供成立后任意时段的资产负债表）。</w:t>
      </w:r>
    </w:p>
    <w:p w14:paraId="2CB915ED">
      <w:pPr>
        <w:pStyle w:val="4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（6）税收缴纳证明：</w:t>
      </w:r>
      <w:r>
        <w:rPr>
          <w:rFonts w:hint="eastAsia" w:ascii="宋体" w:hAnsi="宋体" w:cs="宋体"/>
          <w:color w:val="auto"/>
          <w:kern w:val="0"/>
          <w:sz w:val="24"/>
          <w:szCs w:val="24"/>
          <w:lang w:val="en-US" w:eastAsia="zh-CN"/>
        </w:rPr>
        <w:t>提供2024年11月至今任意一个月缴纳的纳税证明或完税证明</w:t>
      </w:r>
      <w:r>
        <w:rPr>
          <w:rFonts w:hint="eastAsia" w:ascii="宋体" w:hAnsi="宋体" w:eastAsia="宋体" w:cs="宋体"/>
          <w:color w:val="auto"/>
          <w:kern w:val="0"/>
          <w:sz w:val="24"/>
          <w:szCs w:val="24"/>
          <w:lang w:val="en-US" w:eastAsia="zh-CN"/>
        </w:rPr>
        <w:t>，依法免税或缓缴的单位应提供相关证明材料，纳税证明或完税证明上应有代收机构或税务机关的公章或业务专用章（成立时间至提交响应文件截止时间不足三个月的可不提供）。</w:t>
      </w:r>
    </w:p>
    <w:p w14:paraId="36CA21BD">
      <w:pPr>
        <w:pStyle w:val="46"/>
        <w:keepNext w:val="0"/>
        <w:keepLines w:val="0"/>
        <w:pageBreakBefore w:val="0"/>
        <w:widowControl w:val="0"/>
        <w:kinsoku/>
        <w:wordWrap/>
        <w:overflowPunct/>
        <w:topLinePunct w:val="0"/>
        <w:autoSpaceDE/>
        <w:autoSpaceDN/>
        <w:bidi w:val="0"/>
        <w:adjustRightInd/>
        <w:spacing w:line="500" w:lineRule="exact"/>
        <w:ind w:left="0" w:leftChars="0" w:firstLine="48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社会保障资金缴纳证明：提供2024年11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B2C8E97">
      <w:pPr>
        <w:keepNext w:val="0"/>
        <w:keepLines w:val="0"/>
        <w:pageBreakBefore w:val="0"/>
        <w:tabs>
          <w:tab w:val="left" w:pos="567"/>
        </w:tabs>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（8）提供具有履行合同所必需的设备和专业技术能力的承诺书（格式自拟）。</w:t>
      </w:r>
    </w:p>
    <w:p w14:paraId="7489591C">
      <w:pPr>
        <w:pStyle w:val="46"/>
        <w:keepNext w:val="0"/>
        <w:keepLines w:val="0"/>
        <w:pageBreakBefore w:val="0"/>
        <w:widowControl w:val="0"/>
        <w:kinsoku/>
        <w:wordWrap/>
        <w:overflowPunct/>
        <w:topLinePunct w:val="0"/>
        <w:autoSpaceDE/>
        <w:autoSpaceDN/>
        <w:bidi w:val="0"/>
        <w:adjustRightInd/>
        <w:spacing w:line="48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（9）本项目不接受联合体投标。</w:t>
      </w:r>
    </w:p>
    <w:p w14:paraId="3041B042">
      <w:pPr>
        <w:pStyle w:val="46"/>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 w:val="0"/>
          <w:bCs w:val="0"/>
          <w:color w:val="auto"/>
          <w:kern w:val="0"/>
          <w:sz w:val="24"/>
          <w:szCs w:val="24"/>
        </w:rPr>
      </w:pPr>
    </w:p>
    <w:p w14:paraId="56415296">
      <w:pPr>
        <w:keepNext w:val="0"/>
        <w:keepLines w:val="0"/>
        <w:pageBreakBefore w:val="0"/>
        <w:tabs>
          <w:tab w:val="left" w:pos="567"/>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kern w:val="0"/>
          <w:sz w:val="24"/>
          <w:szCs w:val="24"/>
        </w:rPr>
        <w:br w:type="page"/>
      </w:r>
    </w:p>
    <w:p w14:paraId="2A714A1A">
      <w:pPr>
        <w:tabs>
          <w:tab w:val="left" w:pos="210"/>
        </w:tabs>
        <w:topLinePunct w:val="0"/>
        <w:bidi w:val="0"/>
        <w:spacing w:line="48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法定代表人证明书</w:t>
      </w:r>
    </w:p>
    <w:tbl>
      <w:tblPr>
        <w:tblStyle w:val="3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231"/>
        <w:gridCol w:w="2006"/>
        <w:gridCol w:w="411"/>
        <w:gridCol w:w="2226"/>
        <w:gridCol w:w="2181"/>
      </w:tblGrid>
      <w:tr w14:paraId="0D16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6" w:hRule="atLeast"/>
          <w:jc w:val="center"/>
        </w:trPr>
        <w:tc>
          <w:tcPr>
            <w:tcW w:w="9640" w:type="dxa"/>
            <w:gridSpan w:val="6"/>
            <w:vAlign w:val="center"/>
          </w:tcPr>
          <w:p w14:paraId="2B47ACA2">
            <w:pPr>
              <w:keepNext w:val="0"/>
              <w:keepLines w:val="0"/>
              <w:widowControl/>
              <w:suppressLineNumbers w:val="0"/>
              <w:tabs>
                <w:tab w:val="left" w:pos="210"/>
              </w:tabs>
              <w:topLinePunct w:val="0"/>
              <w:bidi w:val="0"/>
              <w:spacing w:before="0" w:beforeAutospacing="0" w:after="0" w:afterAutospacing="0" w:line="480" w:lineRule="exact"/>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致：</w:t>
            </w:r>
            <w:r>
              <w:rPr>
                <w:rFonts w:hint="eastAsia" w:ascii="宋体" w:hAnsi="宋体" w:eastAsia="宋体" w:cs="宋体"/>
                <w:color w:val="auto"/>
                <w:kern w:val="0"/>
                <w:sz w:val="24"/>
                <w:szCs w:val="24"/>
                <w:lang w:eastAsia="zh-CN"/>
              </w:rPr>
              <w:t>安康尚昊招标代理有限公司</w:t>
            </w:r>
          </w:p>
        </w:tc>
      </w:tr>
      <w:tr w14:paraId="197F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85" w:type="dxa"/>
            <w:vMerge w:val="restart"/>
            <w:vAlign w:val="center"/>
          </w:tcPr>
          <w:p w14:paraId="4CF10ADB">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w:t>
            </w:r>
          </w:p>
          <w:p w14:paraId="4B550A35">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2489DFC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业</w:t>
            </w:r>
          </w:p>
          <w:p w14:paraId="2F588111">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73DA461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w:t>
            </w:r>
          </w:p>
          <w:p w14:paraId="49A1F07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23615F44">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w:t>
            </w:r>
          </w:p>
        </w:tc>
        <w:tc>
          <w:tcPr>
            <w:tcW w:w="2231" w:type="dxa"/>
            <w:vAlign w:val="center"/>
          </w:tcPr>
          <w:p w14:paraId="5B42C79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企业名称</w:t>
            </w:r>
          </w:p>
        </w:tc>
        <w:tc>
          <w:tcPr>
            <w:tcW w:w="6824" w:type="dxa"/>
            <w:gridSpan w:val="4"/>
            <w:vAlign w:val="center"/>
          </w:tcPr>
          <w:p w14:paraId="2AE70CE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16CE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85" w:type="dxa"/>
            <w:vMerge w:val="continue"/>
            <w:vAlign w:val="center"/>
          </w:tcPr>
          <w:p w14:paraId="70DAD01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4C71344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法定地址</w:t>
            </w:r>
          </w:p>
        </w:tc>
        <w:tc>
          <w:tcPr>
            <w:tcW w:w="6824" w:type="dxa"/>
            <w:gridSpan w:val="4"/>
            <w:vAlign w:val="center"/>
          </w:tcPr>
          <w:p w14:paraId="38B055D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747B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85" w:type="dxa"/>
            <w:vMerge w:val="continue"/>
            <w:vAlign w:val="center"/>
          </w:tcPr>
          <w:p w14:paraId="08C6DA7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20CCD2E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邮政编码</w:t>
            </w:r>
          </w:p>
        </w:tc>
        <w:tc>
          <w:tcPr>
            <w:tcW w:w="6824" w:type="dxa"/>
            <w:gridSpan w:val="4"/>
            <w:vAlign w:val="center"/>
          </w:tcPr>
          <w:p w14:paraId="3ED5517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78CA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85" w:type="dxa"/>
            <w:vMerge w:val="continue"/>
            <w:vAlign w:val="center"/>
          </w:tcPr>
          <w:p w14:paraId="6EC69A3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434D53CD">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工商登记机关</w:t>
            </w:r>
          </w:p>
        </w:tc>
        <w:tc>
          <w:tcPr>
            <w:tcW w:w="6824" w:type="dxa"/>
            <w:gridSpan w:val="4"/>
            <w:vAlign w:val="center"/>
          </w:tcPr>
          <w:p w14:paraId="363B5B9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6963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85" w:type="dxa"/>
            <w:vMerge w:val="continue"/>
            <w:vAlign w:val="center"/>
          </w:tcPr>
          <w:p w14:paraId="19588B9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2731510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税务登记机关</w:t>
            </w:r>
          </w:p>
        </w:tc>
        <w:tc>
          <w:tcPr>
            <w:tcW w:w="6824" w:type="dxa"/>
            <w:gridSpan w:val="4"/>
            <w:vAlign w:val="center"/>
          </w:tcPr>
          <w:p w14:paraId="35F9A9CB">
            <w:pPr>
              <w:keepNext w:val="0"/>
              <w:keepLines w:val="0"/>
              <w:widowControl/>
              <w:suppressLineNumbers w:val="0"/>
              <w:tabs>
                <w:tab w:val="left" w:pos="210"/>
              </w:tabs>
              <w:topLinePunct w:val="0"/>
              <w:bidi w:val="0"/>
              <w:spacing w:before="0" w:beforeAutospacing="0" w:after="0" w:afterAutospacing="0" w:line="480" w:lineRule="exact"/>
              <w:ind w:left="0" w:right="0"/>
              <w:rPr>
                <w:rFonts w:hint="eastAsia" w:ascii="宋体" w:hAnsi="宋体" w:eastAsia="宋体" w:cs="宋体"/>
                <w:color w:val="auto"/>
                <w:kern w:val="0"/>
                <w:sz w:val="24"/>
                <w:szCs w:val="24"/>
              </w:rPr>
            </w:pPr>
          </w:p>
        </w:tc>
      </w:tr>
      <w:tr w14:paraId="6A07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85" w:type="dxa"/>
            <w:vMerge w:val="continue"/>
            <w:vAlign w:val="center"/>
          </w:tcPr>
          <w:p w14:paraId="7382309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0962388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机构代码证号</w:t>
            </w:r>
          </w:p>
        </w:tc>
        <w:tc>
          <w:tcPr>
            <w:tcW w:w="6824" w:type="dxa"/>
            <w:gridSpan w:val="4"/>
            <w:vAlign w:val="center"/>
          </w:tcPr>
          <w:p w14:paraId="257023D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11EC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85" w:type="dxa"/>
            <w:vMerge w:val="restart"/>
            <w:vAlign w:val="center"/>
          </w:tcPr>
          <w:p w14:paraId="0030DEA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2231" w:type="dxa"/>
            <w:vAlign w:val="center"/>
          </w:tcPr>
          <w:p w14:paraId="44A5DCC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2417" w:type="dxa"/>
            <w:gridSpan w:val="2"/>
            <w:vAlign w:val="center"/>
          </w:tcPr>
          <w:p w14:paraId="0B98B04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26" w:type="dxa"/>
            <w:vAlign w:val="center"/>
          </w:tcPr>
          <w:p w14:paraId="18B577F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性别</w:t>
            </w:r>
          </w:p>
        </w:tc>
        <w:tc>
          <w:tcPr>
            <w:tcW w:w="2181" w:type="dxa"/>
            <w:vAlign w:val="center"/>
          </w:tcPr>
          <w:p w14:paraId="19E9566C">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01B8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85" w:type="dxa"/>
            <w:vMerge w:val="continue"/>
            <w:vAlign w:val="center"/>
          </w:tcPr>
          <w:p w14:paraId="75FF4CEA">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57706FF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职务</w:t>
            </w:r>
          </w:p>
        </w:tc>
        <w:tc>
          <w:tcPr>
            <w:tcW w:w="2417" w:type="dxa"/>
            <w:gridSpan w:val="2"/>
            <w:vAlign w:val="center"/>
          </w:tcPr>
          <w:p w14:paraId="36C4F7AE">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26" w:type="dxa"/>
            <w:vAlign w:val="center"/>
          </w:tcPr>
          <w:p w14:paraId="7C55C19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w:t>
            </w:r>
          </w:p>
        </w:tc>
        <w:tc>
          <w:tcPr>
            <w:tcW w:w="2181" w:type="dxa"/>
            <w:vAlign w:val="center"/>
          </w:tcPr>
          <w:p w14:paraId="0DF76D5D">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13F8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585" w:type="dxa"/>
            <w:vMerge w:val="continue"/>
            <w:vAlign w:val="center"/>
          </w:tcPr>
          <w:p w14:paraId="0D9C2DE9">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2231" w:type="dxa"/>
            <w:vAlign w:val="center"/>
          </w:tcPr>
          <w:p w14:paraId="312AD9A1">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传真</w:t>
            </w:r>
          </w:p>
        </w:tc>
        <w:tc>
          <w:tcPr>
            <w:tcW w:w="6824" w:type="dxa"/>
            <w:gridSpan w:val="4"/>
            <w:vAlign w:val="center"/>
          </w:tcPr>
          <w:p w14:paraId="03E8BAC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r>
      <w:tr w14:paraId="6A8F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585" w:type="dxa"/>
            <w:vMerge w:val="restart"/>
            <w:vAlign w:val="center"/>
          </w:tcPr>
          <w:p w14:paraId="629CB40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法定代表人身份证复印件</w:t>
            </w:r>
          </w:p>
        </w:tc>
        <w:tc>
          <w:tcPr>
            <w:tcW w:w="4237" w:type="dxa"/>
            <w:gridSpan w:val="2"/>
            <w:vMerge w:val="restart"/>
            <w:vAlign w:val="center"/>
          </w:tcPr>
          <w:p w14:paraId="59B4A382">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（粘贴处）</w:t>
            </w:r>
          </w:p>
        </w:tc>
        <w:tc>
          <w:tcPr>
            <w:tcW w:w="4818" w:type="dxa"/>
            <w:gridSpan w:val="3"/>
            <w:vAlign w:val="center"/>
          </w:tcPr>
          <w:p w14:paraId="689DE347">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w:t>
            </w:r>
          </w:p>
        </w:tc>
      </w:tr>
      <w:tr w14:paraId="61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jc w:val="center"/>
        </w:trPr>
        <w:tc>
          <w:tcPr>
            <w:tcW w:w="585" w:type="dxa"/>
            <w:vMerge w:val="continue"/>
            <w:vAlign w:val="center"/>
          </w:tcPr>
          <w:p w14:paraId="0D9F2CE8">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4237" w:type="dxa"/>
            <w:gridSpan w:val="2"/>
            <w:vMerge w:val="continue"/>
            <w:vAlign w:val="center"/>
          </w:tcPr>
          <w:p w14:paraId="2F26DAB6">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tc>
        <w:tc>
          <w:tcPr>
            <w:tcW w:w="4818" w:type="dxa"/>
            <w:gridSpan w:val="3"/>
            <w:vAlign w:val="center"/>
          </w:tcPr>
          <w:p w14:paraId="4C1FE7FF">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66C45D86">
            <w:pPr>
              <w:keepNext w:val="0"/>
              <w:keepLines w:val="0"/>
              <w:widowControl/>
              <w:suppressLineNumbers w:val="0"/>
              <w:tabs>
                <w:tab w:val="left" w:pos="210"/>
              </w:tabs>
              <w:topLinePunct w:val="0"/>
              <w:bidi w:val="0"/>
              <w:spacing w:before="0" w:beforeAutospacing="0" w:after="0" w:afterAutospacing="0" w:line="480" w:lineRule="exact"/>
              <w:ind w:left="0" w:right="0"/>
              <w:jc w:val="both"/>
              <w:rPr>
                <w:rFonts w:hint="eastAsia" w:ascii="宋体" w:hAnsi="宋体" w:eastAsia="宋体" w:cs="宋体"/>
                <w:color w:val="auto"/>
                <w:kern w:val="0"/>
                <w:sz w:val="24"/>
                <w:szCs w:val="24"/>
              </w:rPr>
            </w:pPr>
          </w:p>
          <w:p w14:paraId="774D5A9D">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企业</w:t>
            </w:r>
            <w:r>
              <w:rPr>
                <w:rFonts w:hint="eastAsia" w:ascii="宋体" w:hAnsi="宋体" w:eastAsia="宋体" w:cs="宋体"/>
                <w:color w:val="auto"/>
                <w:kern w:val="0"/>
                <w:sz w:val="24"/>
                <w:szCs w:val="24"/>
              </w:rPr>
              <w:t>公章）</w:t>
            </w:r>
          </w:p>
          <w:p w14:paraId="76AD1DE0">
            <w:pPr>
              <w:keepNext w:val="0"/>
              <w:keepLines w:val="0"/>
              <w:widowControl/>
              <w:suppressLineNumbers w:val="0"/>
              <w:tabs>
                <w:tab w:val="left" w:pos="210"/>
              </w:tabs>
              <w:topLinePunct w:val="0"/>
              <w:bidi w:val="0"/>
              <w:spacing w:before="0" w:beforeAutospacing="0" w:after="0" w:afterAutospacing="0" w:line="480" w:lineRule="exact"/>
              <w:ind w:left="0" w:right="0"/>
              <w:jc w:val="center"/>
              <w:rPr>
                <w:rFonts w:hint="eastAsia" w:ascii="宋体" w:hAnsi="宋体" w:eastAsia="宋体" w:cs="宋体"/>
                <w:color w:val="auto"/>
                <w:kern w:val="0"/>
                <w:sz w:val="24"/>
                <w:szCs w:val="24"/>
              </w:rPr>
            </w:pPr>
          </w:p>
          <w:p w14:paraId="25BB7312">
            <w:pPr>
              <w:pStyle w:val="29"/>
              <w:keepNext w:val="0"/>
              <w:keepLines w:val="0"/>
              <w:widowControl/>
              <w:suppressLineNumbers w:val="0"/>
              <w:spacing w:before="0" w:beforeAutospacing="0" w:after="0" w:afterAutospacing="0"/>
              <w:ind w:left="0" w:right="0"/>
              <w:rPr>
                <w:rFonts w:hint="eastAsia"/>
                <w:color w:val="auto"/>
              </w:rPr>
            </w:pPr>
          </w:p>
          <w:p w14:paraId="0C218DC6">
            <w:pPr>
              <w:keepNext w:val="0"/>
              <w:keepLines w:val="0"/>
              <w:widowControl/>
              <w:suppressLineNumbers w:val="0"/>
              <w:tabs>
                <w:tab w:val="left" w:pos="210"/>
              </w:tabs>
              <w:topLinePunct w:val="0"/>
              <w:bidi w:val="0"/>
              <w:spacing w:before="0" w:beforeAutospacing="0" w:after="0" w:afterAutospacing="0" w:line="480" w:lineRule="exact"/>
              <w:ind w:left="0" w:right="0" w:firstLine="2880" w:firstLineChars="1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  月  日</w:t>
            </w:r>
          </w:p>
        </w:tc>
      </w:tr>
    </w:tbl>
    <w:p w14:paraId="63C1C02E">
      <w:pPr>
        <w:pStyle w:val="4"/>
        <w:pageBreakBefore/>
        <w:jc w:val="center"/>
        <w:rPr>
          <w:rFonts w:hint="eastAsia" w:ascii="宋体" w:hAnsi="宋体" w:eastAsia="宋体" w:cs="宋体"/>
          <w:color w:val="auto"/>
        </w:rPr>
      </w:pPr>
      <w:bookmarkStart w:id="342" w:name="_Toc10261"/>
      <w:bookmarkStart w:id="343" w:name="_Toc13614"/>
      <w:bookmarkStart w:id="344" w:name="_Toc19543356"/>
      <w:bookmarkStart w:id="345" w:name="_Toc21672"/>
      <w:bookmarkStart w:id="346" w:name="_Toc25328"/>
      <w:bookmarkStart w:id="347" w:name="_Toc6900"/>
      <w:bookmarkStart w:id="348" w:name="_Toc12960"/>
      <w:r>
        <w:rPr>
          <w:rFonts w:hint="eastAsia" w:ascii="宋体" w:hAnsi="宋体" w:eastAsia="宋体" w:cs="宋体"/>
          <w:color w:val="auto"/>
        </w:rPr>
        <w:t>法定代表人授权书</w:t>
      </w:r>
      <w:bookmarkEnd w:id="342"/>
      <w:bookmarkEnd w:id="343"/>
      <w:bookmarkEnd w:id="344"/>
      <w:bookmarkEnd w:id="345"/>
      <w:bookmarkEnd w:id="346"/>
    </w:p>
    <w:p w14:paraId="08103500">
      <w:pPr>
        <w:pStyle w:val="16"/>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p w14:paraId="06B3CE19">
      <w:pPr>
        <w:tabs>
          <w:tab w:val="left" w:pos="8820"/>
        </w:tabs>
        <w:spacing w:line="400" w:lineRule="exact"/>
        <w:ind w:firstLine="570"/>
        <w:rPr>
          <w:rFonts w:hint="eastAsia" w:ascii="宋体" w:hAnsi="宋体" w:eastAsia="宋体" w:cs="宋体"/>
          <w:color w:val="auto"/>
          <w:sz w:val="24"/>
          <w:szCs w:val="24"/>
          <w:u w:val="single"/>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rPr>
        <w:t xml:space="preserve">（法定代表人姓名）   </w:t>
      </w:r>
      <w:r>
        <w:rPr>
          <w:rFonts w:hint="eastAsia" w:ascii="宋体" w:hAnsi="宋体" w:eastAsia="宋体" w:cs="宋体"/>
          <w:color w:val="auto"/>
          <w:sz w:val="24"/>
          <w:szCs w:val="24"/>
        </w:rPr>
        <w:t>系注册于</w:t>
      </w:r>
      <w:r>
        <w:rPr>
          <w:rFonts w:hint="eastAsia" w:ascii="宋体" w:hAnsi="宋体" w:eastAsia="宋体" w:cs="宋体"/>
          <w:color w:val="auto"/>
          <w:sz w:val="24"/>
          <w:szCs w:val="24"/>
          <w:u w:val="single"/>
        </w:rPr>
        <w:t xml:space="preserve">  （供应商地址）</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（供应商名称）  </w:t>
      </w:r>
      <w:r>
        <w:rPr>
          <w:rFonts w:hint="eastAsia" w:ascii="宋体" w:hAnsi="宋体" w:eastAsia="宋体" w:cs="宋体"/>
          <w:color w:val="auto"/>
          <w:sz w:val="24"/>
          <w:szCs w:val="24"/>
        </w:rPr>
        <w:t>的法定代表人，现代表公司授权下面签字的</w:t>
      </w:r>
      <w:r>
        <w:rPr>
          <w:rFonts w:hint="eastAsia" w:ascii="宋体" w:hAnsi="宋体" w:eastAsia="宋体" w:cs="宋体"/>
          <w:color w:val="auto"/>
          <w:sz w:val="24"/>
          <w:szCs w:val="24"/>
          <w:u w:val="single"/>
        </w:rPr>
        <w:t xml:space="preserve">（被授权人的姓名、职务）   </w:t>
      </w:r>
      <w:r>
        <w:rPr>
          <w:rFonts w:hint="eastAsia" w:ascii="宋体" w:hAnsi="宋体" w:eastAsia="宋体" w:cs="宋体"/>
          <w:color w:val="auto"/>
          <w:sz w:val="24"/>
          <w:szCs w:val="24"/>
        </w:rPr>
        <w:t>为我公司合法代理人，代表本公司参加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采购项目编号为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的采购活动。以我方名义全权处理该项目有关</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、签订合同以及执行合同等一切事宜。</w:t>
      </w:r>
    </w:p>
    <w:p w14:paraId="073C0AC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有效期自</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日历日，特此声明。</w:t>
      </w:r>
    </w:p>
    <w:p w14:paraId="35AC8A05">
      <w:pPr>
        <w:pStyle w:val="16"/>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供应商（单位名称及公章）：________</w:t>
      </w:r>
    </w:p>
    <w:p w14:paraId="74361442">
      <w:pPr>
        <w:pStyle w:val="16"/>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法定代表人（签字或盖章）：________</w:t>
      </w:r>
    </w:p>
    <w:p w14:paraId="4D1F38F2">
      <w:pPr>
        <w:pStyle w:val="16"/>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被授权人（签字）：________性别：________</w:t>
      </w:r>
    </w:p>
    <w:p w14:paraId="2AA3E072">
      <w:pPr>
        <w:pStyle w:val="16"/>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联系地址：________________</w:t>
      </w:r>
    </w:p>
    <w:p w14:paraId="3F1641B3">
      <w:pPr>
        <w:pStyle w:val="16"/>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联系电话：________________</w:t>
      </w:r>
    </w:p>
    <w:p w14:paraId="33940281">
      <w:pPr>
        <w:pStyle w:val="16"/>
        <w:spacing w:line="400" w:lineRule="exact"/>
        <w:ind w:firstLine="480" w:firstLineChars="200"/>
        <w:jc w:val="left"/>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签发日期：</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年</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月</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日</w:t>
      </w:r>
    </w:p>
    <w:p w14:paraId="6837A087">
      <w:pPr>
        <w:pStyle w:val="16"/>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法定代表人及被授权人身份证复印件（注：身份证复印件须加盖企业公章）</w:t>
      </w:r>
    </w:p>
    <w:tbl>
      <w:tblPr>
        <w:tblStyle w:val="3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64B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7B57E078">
            <w:pPr>
              <w:pStyle w:val="16"/>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法定代表人身份证复印件（正面）</w:t>
            </w:r>
          </w:p>
        </w:tc>
        <w:tc>
          <w:tcPr>
            <w:tcW w:w="4531" w:type="dxa"/>
            <w:shd w:val="clear" w:color="auto" w:fill="D9D9D9"/>
            <w:vAlign w:val="center"/>
          </w:tcPr>
          <w:p w14:paraId="09B780C6">
            <w:pPr>
              <w:pStyle w:val="16"/>
              <w:keepNext w:val="0"/>
              <w:keepLines w:val="0"/>
              <w:widowControl/>
              <w:suppressLineNumbers w:val="0"/>
              <w:spacing w:before="0" w:beforeAutospacing="0" w:after="0" w:afterAutospacing="0" w:line="500" w:lineRule="exact"/>
              <w:ind w:left="0" w:right="0" w:firstLine="440" w:firstLineChars="20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被授权人身份证复印件（正面）</w:t>
            </w:r>
          </w:p>
        </w:tc>
      </w:tr>
      <w:tr w14:paraId="76FE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5CBBCFE9">
            <w:pPr>
              <w:pStyle w:val="16"/>
              <w:keepNext w:val="0"/>
              <w:keepLines w:val="0"/>
              <w:widowControl/>
              <w:suppressLineNumbers w:val="0"/>
              <w:spacing w:before="0" w:beforeAutospacing="0" w:after="0" w:afterAutospacing="0" w:line="500" w:lineRule="exact"/>
              <w:ind w:left="0" w:right="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法定代表人身份证复印件（反面）</w:t>
            </w:r>
          </w:p>
        </w:tc>
        <w:tc>
          <w:tcPr>
            <w:tcW w:w="4531" w:type="dxa"/>
            <w:shd w:val="clear" w:color="auto" w:fill="D9D9D9"/>
            <w:vAlign w:val="center"/>
          </w:tcPr>
          <w:p w14:paraId="5E975767">
            <w:pPr>
              <w:pStyle w:val="16"/>
              <w:keepNext w:val="0"/>
              <w:keepLines w:val="0"/>
              <w:widowControl/>
              <w:suppressLineNumbers w:val="0"/>
              <w:spacing w:before="0" w:beforeAutospacing="0" w:after="0" w:afterAutospacing="0" w:line="500" w:lineRule="exact"/>
              <w:ind w:left="0" w:right="0" w:firstLine="440" w:firstLineChars="200"/>
              <w:jc w:val="left"/>
              <w:rPr>
                <w:rFonts w:hint="eastAsia" w:ascii="宋体" w:hAnsi="宋体" w:eastAsia="宋体" w:cs="宋体"/>
                <w:color w:val="auto"/>
                <w:sz w:val="22"/>
                <w:szCs w:val="24"/>
                <w:shd w:val="pct10" w:color="auto" w:fill="FFFFFF"/>
              </w:rPr>
            </w:pPr>
            <w:r>
              <w:rPr>
                <w:rFonts w:hint="eastAsia" w:ascii="宋体" w:hAnsi="宋体" w:eastAsia="宋体" w:cs="宋体"/>
                <w:color w:val="auto"/>
                <w:sz w:val="22"/>
                <w:szCs w:val="24"/>
                <w:shd w:val="pct10" w:color="auto" w:fill="FFFFFF"/>
              </w:rPr>
              <w:t>被授权人身份证复印件（反面）</w:t>
            </w:r>
          </w:p>
        </w:tc>
      </w:tr>
    </w:tbl>
    <w:p w14:paraId="3495F886">
      <w:pPr>
        <w:pStyle w:val="16"/>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4C7F97BE">
      <w:pPr>
        <w:pStyle w:val="16"/>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1．本授权书有效期自招标大会之日计算不得少于90日历日。</w:t>
      </w:r>
    </w:p>
    <w:p w14:paraId="718B91DC">
      <w:pPr>
        <w:ind w:firstLine="480" w:firstLineChars="200"/>
        <w:rPr>
          <w:rFonts w:hint="eastAsia" w:ascii="宋体" w:hAnsi="宋体" w:eastAsia="宋体" w:cs="宋体"/>
          <w:b w:val="0"/>
          <w:bCs w:val="0"/>
          <w:color w:val="auto"/>
          <w:sz w:val="24"/>
          <w:szCs w:val="24"/>
        </w:rPr>
        <w:sectPr>
          <w:headerReference r:id="rId16" w:type="default"/>
          <w:pgSz w:w="11906" w:h="16838"/>
          <w:pgMar w:top="1247" w:right="1134" w:bottom="1020" w:left="1134" w:header="964" w:footer="964" w:gutter="0"/>
          <w:pgNumType w:fmt="decimal"/>
          <w:cols w:space="720" w:num="1"/>
          <w:rtlGutter w:val="0"/>
          <w:docGrid w:type="lines" w:linePitch="312" w:charSpace="0"/>
        </w:sectPr>
      </w:pPr>
      <w:r>
        <w:rPr>
          <w:rFonts w:hint="eastAsia" w:ascii="宋体" w:hAnsi="宋体" w:eastAsia="宋体" w:cs="宋体"/>
          <w:color w:val="auto"/>
          <w:sz w:val="24"/>
          <w:szCs w:val="24"/>
        </w:rPr>
        <w:t>2．授权书内容填写要明确，文字要工整清楚，涂改无效。</w:t>
      </w:r>
    </w:p>
    <w:p w14:paraId="78E81613">
      <w:pPr>
        <w:pStyle w:val="4"/>
        <w:topLinePunct w:val="0"/>
        <w:bidi w:val="0"/>
        <w:spacing w:line="480" w:lineRule="exact"/>
        <w:jc w:val="center"/>
        <w:rPr>
          <w:rFonts w:hint="eastAsia" w:ascii="宋体" w:hAnsi="宋体" w:eastAsia="宋体" w:cs="宋体"/>
          <w:color w:val="auto"/>
        </w:rPr>
      </w:pPr>
      <w:bookmarkStart w:id="349" w:name="_Toc1281"/>
      <w:bookmarkStart w:id="350" w:name="_Toc32189"/>
      <w:bookmarkStart w:id="351" w:name="_Toc291"/>
      <w:r>
        <w:rPr>
          <w:rFonts w:hint="eastAsia" w:ascii="宋体" w:hAnsi="宋体" w:eastAsia="宋体" w:cs="宋体"/>
          <w:color w:val="auto"/>
        </w:rPr>
        <w:t>无重大违法记录声明</w:t>
      </w:r>
      <w:bookmarkEnd w:id="347"/>
      <w:bookmarkEnd w:id="348"/>
      <w:bookmarkEnd w:id="349"/>
      <w:bookmarkEnd w:id="350"/>
      <w:bookmarkEnd w:id="351"/>
    </w:p>
    <w:p w14:paraId="430D7A0C">
      <w:pPr>
        <w:topLinePunct w:val="0"/>
        <w:bidi w:val="0"/>
        <w:snapToGrid w:val="0"/>
        <w:spacing w:line="480" w:lineRule="exact"/>
        <w:ind w:firstLine="480" w:firstLineChars="200"/>
        <w:jc w:val="left"/>
        <w:rPr>
          <w:rFonts w:hint="eastAsia" w:ascii="宋体" w:hAnsi="宋体" w:eastAsia="宋体" w:cs="宋体"/>
          <w:color w:val="auto"/>
          <w:kern w:val="0"/>
          <w:sz w:val="24"/>
          <w:szCs w:val="24"/>
        </w:rPr>
      </w:pPr>
    </w:p>
    <w:p w14:paraId="3A744BA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eastAsia="zh-CN"/>
        </w:rPr>
        <w:t>竞争性谈判</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AEBD35">
      <w:pPr>
        <w:spacing w:line="360" w:lineRule="auto"/>
        <w:rPr>
          <w:rFonts w:hint="eastAsia" w:ascii="宋体" w:hAnsi="宋体" w:eastAsia="宋体" w:cs="宋体"/>
          <w:color w:val="auto"/>
          <w:sz w:val="24"/>
          <w:szCs w:val="24"/>
        </w:rPr>
      </w:pPr>
    </w:p>
    <w:p w14:paraId="60E965D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5E5F2ED">
      <w:pPr>
        <w:keepNext w:val="0"/>
        <w:keepLines w:val="0"/>
        <w:pageBreakBefore w:val="0"/>
        <w:widowControl w:val="0"/>
        <w:kinsoku/>
        <w:wordWrap/>
        <w:overflowPunct/>
        <w:topLinePunct w:val="0"/>
        <w:autoSpaceDE/>
        <w:autoSpaceDN/>
        <w:bidi w:val="0"/>
        <w:adjustRightInd w:val="0"/>
        <w:snapToGrid w:val="0"/>
        <w:spacing w:line="408" w:lineRule="auto"/>
        <w:ind w:left="0" w:firstLine="480" w:firstLineChars="200"/>
        <w:textAlignment w:val="auto"/>
        <w:rPr>
          <w:rFonts w:hint="eastAsia" w:ascii="宋体" w:hAnsi="宋体" w:eastAsia="宋体" w:cs="宋体"/>
          <w:b/>
          <w:bCs/>
          <w:color w:val="auto"/>
          <w:sz w:val="24"/>
          <w:szCs w:val="24"/>
        </w:rPr>
      </w:pPr>
    </w:p>
    <w:p w14:paraId="479FE079">
      <w:pPr>
        <w:topLinePunct w:val="0"/>
        <w:bidi w:val="0"/>
        <w:spacing w:line="480" w:lineRule="exact"/>
        <w:rPr>
          <w:rFonts w:hint="eastAsia" w:ascii="宋体" w:hAnsi="宋体" w:eastAsia="宋体" w:cs="宋体"/>
          <w:color w:val="auto"/>
          <w:sz w:val="24"/>
          <w:szCs w:val="24"/>
        </w:rPr>
      </w:pPr>
    </w:p>
    <w:p w14:paraId="7C4A6154">
      <w:pPr>
        <w:topLinePunct w:val="0"/>
        <w:bidi w:val="0"/>
        <w:spacing w:line="480" w:lineRule="exact"/>
        <w:rPr>
          <w:rFonts w:hint="eastAsia" w:ascii="宋体" w:hAnsi="宋体" w:eastAsia="宋体" w:cs="宋体"/>
          <w:color w:val="auto"/>
          <w:sz w:val="24"/>
          <w:szCs w:val="24"/>
        </w:rPr>
      </w:pPr>
    </w:p>
    <w:p w14:paraId="481428BD">
      <w:pPr>
        <w:topLinePunct w:val="0"/>
        <w:bidi w:val="0"/>
        <w:spacing w:line="480" w:lineRule="exact"/>
        <w:rPr>
          <w:rFonts w:hint="eastAsia" w:ascii="宋体" w:hAnsi="宋体" w:eastAsia="宋体" w:cs="宋体"/>
          <w:color w:val="auto"/>
          <w:sz w:val="24"/>
          <w:szCs w:val="24"/>
        </w:rPr>
      </w:pPr>
    </w:p>
    <w:p w14:paraId="04CBADE5">
      <w:pPr>
        <w:topLinePunct w:val="0"/>
        <w:bidi w:val="0"/>
        <w:spacing w:line="480" w:lineRule="exact"/>
        <w:rPr>
          <w:rFonts w:hint="eastAsia" w:ascii="宋体" w:hAnsi="宋体" w:eastAsia="宋体" w:cs="宋体"/>
          <w:color w:val="auto"/>
          <w:sz w:val="24"/>
          <w:szCs w:val="24"/>
        </w:rPr>
      </w:pPr>
    </w:p>
    <w:p w14:paraId="4480B33E">
      <w:pPr>
        <w:topLinePunct w:val="0"/>
        <w:bidi w:val="0"/>
        <w:spacing w:line="480" w:lineRule="exact"/>
        <w:rPr>
          <w:rFonts w:hint="eastAsia" w:ascii="宋体" w:hAnsi="宋体" w:eastAsia="宋体" w:cs="宋体"/>
          <w:color w:val="auto"/>
          <w:sz w:val="24"/>
          <w:szCs w:val="24"/>
        </w:rPr>
      </w:pPr>
    </w:p>
    <w:p w14:paraId="537F2622">
      <w:pPr>
        <w:topLinePunct w:val="0"/>
        <w:bidi w:val="0"/>
        <w:spacing w:line="480" w:lineRule="exact"/>
        <w:rPr>
          <w:rFonts w:hint="eastAsia" w:ascii="宋体" w:hAnsi="宋体" w:eastAsia="宋体" w:cs="宋体"/>
          <w:color w:val="auto"/>
          <w:sz w:val="24"/>
          <w:szCs w:val="24"/>
        </w:rPr>
      </w:pPr>
    </w:p>
    <w:p w14:paraId="13EE2752">
      <w:pPr>
        <w:topLinePunct w:val="0"/>
        <w:bidi w:val="0"/>
        <w:spacing w:line="480" w:lineRule="exact"/>
        <w:rPr>
          <w:rFonts w:hint="eastAsia" w:ascii="宋体" w:hAnsi="宋体" w:eastAsia="宋体" w:cs="宋体"/>
          <w:color w:val="auto"/>
          <w:sz w:val="24"/>
          <w:szCs w:val="24"/>
        </w:rPr>
      </w:pPr>
    </w:p>
    <w:p w14:paraId="230923DF">
      <w:pPr>
        <w:topLinePunct w:val="0"/>
        <w:bidi w:val="0"/>
        <w:spacing w:line="480" w:lineRule="exact"/>
        <w:rPr>
          <w:rFonts w:hint="eastAsia" w:ascii="宋体" w:hAnsi="宋体" w:eastAsia="宋体" w:cs="宋体"/>
          <w:color w:val="auto"/>
          <w:sz w:val="24"/>
          <w:szCs w:val="24"/>
        </w:rPr>
      </w:pPr>
    </w:p>
    <w:p w14:paraId="1F80D7F9">
      <w:pPr>
        <w:topLinePunct w:val="0"/>
        <w:bidi w:val="0"/>
        <w:spacing w:line="480" w:lineRule="exact"/>
        <w:rPr>
          <w:rFonts w:hint="eastAsia" w:ascii="宋体" w:hAnsi="宋体" w:eastAsia="宋体" w:cs="宋体"/>
          <w:color w:val="auto"/>
          <w:sz w:val="24"/>
          <w:szCs w:val="24"/>
        </w:rPr>
      </w:pPr>
    </w:p>
    <w:p w14:paraId="7E3765AC">
      <w:pPr>
        <w:topLinePunct w:val="0"/>
        <w:bidi w:val="0"/>
        <w:spacing w:line="480" w:lineRule="exact"/>
        <w:rPr>
          <w:rFonts w:hint="eastAsia" w:ascii="宋体" w:hAnsi="宋体" w:eastAsia="宋体" w:cs="宋体"/>
          <w:color w:val="auto"/>
          <w:sz w:val="24"/>
          <w:szCs w:val="24"/>
          <w:lang w:eastAsia="zh-CN"/>
        </w:rPr>
      </w:pPr>
    </w:p>
    <w:p w14:paraId="2AA85CE4">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4E68DEEF">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7E09DD86">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1B155453">
      <w:pPr>
        <w:topLinePunct w:val="0"/>
        <w:bidi w:val="0"/>
        <w:adjustRightInd w:val="0"/>
        <w:snapToGrid w:val="0"/>
        <w:spacing w:line="480" w:lineRule="exact"/>
        <w:rPr>
          <w:rFonts w:hint="eastAsia" w:ascii="宋体" w:hAnsi="宋体" w:eastAsia="宋体" w:cs="宋体"/>
          <w:color w:val="auto"/>
          <w:sz w:val="24"/>
          <w:szCs w:val="24"/>
        </w:rPr>
      </w:pPr>
    </w:p>
    <w:p w14:paraId="209D06F5">
      <w:pPr>
        <w:topLinePunct w:val="0"/>
        <w:bidi w:val="0"/>
        <w:spacing w:line="480" w:lineRule="exact"/>
        <w:rPr>
          <w:rFonts w:hint="eastAsia" w:ascii="宋体" w:hAnsi="宋体" w:eastAsia="宋体" w:cs="宋体"/>
          <w:color w:val="auto"/>
        </w:rPr>
        <w:sectPr>
          <w:headerReference r:id="rId17" w:type="default"/>
          <w:pgSz w:w="11906" w:h="16838"/>
          <w:pgMar w:top="1247" w:right="1134" w:bottom="1020" w:left="1134" w:header="851" w:footer="992" w:gutter="0"/>
          <w:pgNumType w:fmt="decimal"/>
          <w:cols w:space="0" w:num="1"/>
          <w:rtlGutter w:val="0"/>
          <w:docGrid w:type="linesAndChars" w:linePitch="317" w:charSpace="0"/>
        </w:sectPr>
      </w:pPr>
    </w:p>
    <w:p w14:paraId="31A2289D">
      <w:pPr>
        <w:topLinePunct w:val="0"/>
        <w:bidi w:val="0"/>
        <w:adjustRightInd w:val="0"/>
        <w:snapToGrid w:val="0"/>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投标人非联合体投标声明</w:t>
      </w:r>
    </w:p>
    <w:p w14:paraId="4B32955B">
      <w:pPr>
        <w:topLinePunct w:val="0"/>
        <w:bidi w:val="0"/>
        <w:adjustRightInd w:val="0"/>
        <w:snapToGrid w:val="0"/>
        <w:spacing w:line="480" w:lineRule="exact"/>
        <w:rPr>
          <w:rFonts w:hint="eastAsia" w:ascii="仿宋" w:hAnsi="仿宋" w:eastAsia="仿宋" w:cs="黑体"/>
          <w:bCs/>
          <w:color w:val="auto"/>
          <w:sz w:val="28"/>
          <w:szCs w:val="28"/>
        </w:rPr>
      </w:pPr>
    </w:p>
    <w:p w14:paraId="75BB293E">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安康尚昊招标代理有限公司</w:t>
      </w:r>
      <w:r>
        <w:rPr>
          <w:rFonts w:hint="eastAsia" w:ascii="宋体" w:hAnsi="宋体" w:eastAsia="宋体" w:cs="宋体"/>
          <w:bCs/>
          <w:color w:val="auto"/>
          <w:sz w:val="24"/>
          <w:szCs w:val="24"/>
        </w:rPr>
        <w:t>：</w:t>
      </w:r>
    </w:p>
    <w:p w14:paraId="297C21F2">
      <w:pPr>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我方愿响应贵方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日发布的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）招标内容，参与投标，提供采购人需求中规定的全部内容。本公司就参加投标工作，作出郑重声明：</w:t>
      </w:r>
    </w:p>
    <w:p w14:paraId="554F9403">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本公司保证在本项目投标中不与其他单位围标、串标，不出让投标资格，不向采购人、采购代理机构和评标委员会成员行贿。</w:t>
      </w:r>
    </w:p>
    <w:p w14:paraId="57B707ED">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本公司保证本项目并非联合体投标，本项目服务由本公司独立承担。</w:t>
      </w:r>
    </w:p>
    <w:p w14:paraId="6A3A5F32">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本公司违反上述保证，或本声明陈述与事实不符，经查实，我方自行承担一切后果及法律责任。</w:t>
      </w:r>
    </w:p>
    <w:p w14:paraId="11158758">
      <w:pPr>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特此声明。</w:t>
      </w:r>
    </w:p>
    <w:p w14:paraId="2D4AD5E3">
      <w:pPr>
        <w:pStyle w:val="12"/>
        <w:topLinePunct w:val="0"/>
        <w:bidi w:val="0"/>
        <w:spacing w:line="480" w:lineRule="exact"/>
        <w:rPr>
          <w:rFonts w:hint="eastAsia"/>
          <w:color w:val="auto"/>
        </w:rPr>
      </w:pPr>
    </w:p>
    <w:p w14:paraId="2A43036A">
      <w:pPr>
        <w:topLinePunct w:val="0"/>
        <w:bidi w:val="0"/>
        <w:spacing w:line="480" w:lineRule="exact"/>
        <w:rPr>
          <w:rFonts w:hint="eastAsia"/>
          <w:color w:val="auto"/>
        </w:rPr>
      </w:pPr>
    </w:p>
    <w:p w14:paraId="6E56A04C">
      <w:pPr>
        <w:topLinePunct w:val="0"/>
        <w:bidi w:val="0"/>
        <w:spacing w:line="480" w:lineRule="exact"/>
        <w:rPr>
          <w:rFonts w:hint="eastAsia"/>
          <w:color w:val="auto"/>
        </w:rPr>
      </w:pPr>
    </w:p>
    <w:p w14:paraId="5FAD06B0">
      <w:pPr>
        <w:topLinePunct w:val="0"/>
        <w:bidi w:val="0"/>
        <w:spacing w:line="480" w:lineRule="exact"/>
        <w:rPr>
          <w:rFonts w:hint="eastAsia"/>
          <w:color w:val="auto"/>
        </w:rPr>
      </w:pPr>
    </w:p>
    <w:p w14:paraId="1E910055">
      <w:pPr>
        <w:topLinePunct w:val="0"/>
        <w:bidi w:val="0"/>
        <w:spacing w:line="480" w:lineRule="exact"/>
        <w:rPr>
          <w:rFonts w:hint="eastAsia"/>
          <w:color w:val="auto"/>
        </w:rPr>
      </w:pPr>
    </w:p>
    <w:p w14:paraId="76A3D251">
      <w:pPr>
        <w:topLinePunct w:val="0"/>
        <w:bidi w:val="0"/>
        <w:spacing w:line="480" w:lineRule="exact"/>
        <w:rPr>
          <w:rFonts w:hint="eastAsia"/>
          <w:color w:val="auto"/>
        </w:rPr>
      </w:pPr>
    </w:p>
    <w:p w14:paraId="2FE2B21A">
      <w:pPr>
        <w:topLinePunct w:val="0"/>
        <w:bidi w:val="0"/>
        <w:spacing w:line="480" w:lineRule="exact"/>
        <w:rPr>
          <w:rFonts w:hint="eastAsia"/>
          <w:color w:val="auto"/>
        </w:rPr>
      </w:pPr>
    </w:p>
    <w:p w14:paraId="72A8C162">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61A64224">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77255A38">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324E06C0">
      <w:pPr>
        <w:pStyle w:val="12"/>
        <w:topLinePunct w:val="0"/>
        <w:bidi w:val="0"/>
        <w:spacing w:line="480" w:lineRule="exact"/>
        <w:rPr>
          <w:rFonts w:hint="eastAsia"/>
          <w:color w:val="auto"/>
        </w:rPr>
        <w:sectPr>
          <w:pgSz w:w="11906" w:h="16838"/>
          <w:pgMar w:top="1247" w:right="1134" w:bottom="1020" w:left="1134" w:header="851" w:footer="992" w:gutter="0"/>
          <w:pgNumType w:fmt="decimal"/>
          <w:cols w:space="0" w:num="1"/>
          <w:rtlGutter w:val="0"/>
          <w:docGrid w:type="linesAndChars" w:linePitch="317" w:charSpace="0"/>
        </w:sectPr>
      </w:pPr>
    </w:p>
    <w:p w14:paraId="10F73F25">
      <w:pPr>
        <w:adjustRightInd w:val="0"/>
        <w:snapToGrid w:val="0"/>
        <w:spacing w:line="360" w:lineRule="auto"/>
        <w:jc w:val="center"/>
        <w:rPr>
          <w:rFonts w:hint="eastAsia" w:ascii="宋体" w:hAnsi="宋体" w:eastAsia="宋体" w:cs="宋体"/>
          <w:b/>
          <w:bCs/>
          <w:sz w:val="28"/>
          <w:szCs w:val="28"/>
        </w:rPr>
      </w:pPr>
      <w:bookmarkStart w:id="352" w:name="_Toc28060"/>
      <w:bookmarkStart w:id="353" w:name="_Toc26308"/>
      <w:bookmarkStart w:id="354" w:name="_Toc22739"/>
      <w:r>
        <w:rPr>
          <w:rFonts w:hint="eastAsia" w:ascii="宋体" w:hAnsi="宋体" w:eastAsia="宋体" w:cs="宋体"/>
          <w:b/>
          <w:bCs/>
          <w:sz w:val="28"/>
          <w:szCs w:val="28"/>
        </w:rPr>
        <w:t>中小微企业声明函（</w:t>
      </w:r>
      <w:r>
        <w:rPr>
          <w:rFonts w:hint="eastAsia" w:ascii="宋体" w:hAnsi="宋体" w:eastAsia="宋体" w:cs="宋体"/>
          <w:b/>
          <w:bCs/>
          <w:sz w:val="28"/>
          <w:szCs w:val="28"/>
          <w:lang w:val="en-US" w:eastAsia="zh-CN"/>
        </w:rPr>
        <w:t>货物</w:t>
      </w:r>
      <w:r>
        <w:rPr>
          <w:rFonts w:hint="eastAsia" w:ascii="宋体" w:hAnsi="宋体" w:eastAsia="宋体" w:cs="宋体"/>
          <w:b/>
          <w:bCs/>
          <w:sz w:val="28"/>
          <w:szCs w:val="28"/>
        </w:rPr>
        <w:t>）（如是）</w:t>
      </w:r>
    </w:p>
    <w:p w14:paraId="1E9BA482">
      <w:pPr>
        <w:adjustRightInd w:val="0"/>
        <w:snapToGrid w:val="0"/>
        <w:spacing w:line="360" w:lineRule="auto"/>
        <w:jc w:val="center"/>
        <w:rPr>
          <w:rFonts w:ascii="仿宋" w:hAnsi="仿宋" w:eastAsia="仿宋" w:cs="黑体"/>
          <w:bCs/>
          <w:sz w:val="28"/>
          <w:szCs w:val="28"/>
        </w:rPr>
      </w:pPr>
    </w:p>
    <w:p w14:paraId="7255402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2292FAD">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9E5B92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w:t>
      </w:r>
    </w:p>
    <w:p w14:paraId="1D6F487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BD5C2AF">
      <w:pPr>
        <w:wordWrap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以上企业，不属于大企业的分支机构，不存在控股股东为大企业的情形，也不存在与大企业的负责人为同一人的情形。</w:t>
      </w:r>
    </w:p>
    <w:p w14:paraId="679EAED3">
      <w:pPr>
        <w:wordWrap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本企业对上述声明内容的真实性负责。如有虚假，将依法承担相应责任。</w:t>
      </w:r>
    </w:p>
    <w:p w14:paraId="469520FC">
      <w:pPr>
        <w:wordWrap w:val="0"/>
        <w:snapToGrid w:val="0"/>
        <w:spacing w:line="360" w:lineRule="auto"/>
        <w:ind w:firstLine="480" w:firstLineChars="200"/>
        <w:rPr>
          <w:rFonts w:hint="eastAsia" w:ascii="宋体" w:hAnsi="宋体" w:eastAsia="宋体" w:cs="宋体"/>
          <w:bCs/>
          <w:sz w:val="24"/>
          <w:szCs w:val="24"/>
        </w:rPr>
      </w:pPr>
    </w:p>
    <w:p w14:paraId="0A9F87D4">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14DF91B7">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AF91153">
      <w:pPr>
        <w:pStyle w:val="132"/>
        <w:rPr>
          <w:rFonts w:hint="eastAsia"/>
          <w:lang w:val="en-US" w:eastAsia="zh-CN"/>
        </w:rPr>
      </w:pPr>
    </w:p>
    <w:p w14:paraId="279C83D7">
      <w:pPr>
        <w:pStyle w:val="3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8A54AD2">
      <w:pPr>
        <w:pStyle w:val="12"/>
        <w:rPr>
          <w:rFonts w:hint="eastAsia" w:ascii="宋体" w:hAnsi="宋体" w:eastAsia="宋体" w:cs="宋体"/>
          <w:sz w:val="24"/>
          <w:szCs w:val="24"/>
        </w:rPr>
        <w:sectPr>
          <w:footerReference r:id="rId19" w:type="first"/>
          <w:footerReference r:id="rId18" w:type="default"/>
          <w:pgSz w:w="11906" w:h="16838"/>
          <w:pgMar w:top="1361" w:right="1423" w:bottom="1361" w:left="1423" w:header="1134" w:footer="992" w:gutter="0"/>
          <w:pgNumType w:fmt="decimal"/>
          <w:cols w:space="0" w:num="1"/>
          <w:titlePg/>
          <w:rtlGutter w:val="0"/>
          <w:docGrid w:type="lines" w:linePitch="317" w:charSpace="0"/>
        </w:sectPr>
      </w:pPr>
    </w:p>
    <w:bookmarkEnd w:id="333"/>
    <w:bookmarkEnd w:id="352"/>
    <w:bookmarkEnd w:id="353"/>
    <w:bookmarkEnd w:id="354"/>
    <w:p w14:paraId="7254DE64">
      <w:pPr>
        <w:pStyle w:val="4"/>
        <w:ind w:firstLine="484" w:firstLineChars="150"/>
        <w:jc w:val="center"/>
        <w:rPr>
          <w:rFonts w:hint="eastAsia" w:ascii="宋体" w:hAnsi="宋体" w:eastAsia="宋体" w:cs="宋体"/>
        </w:rPr>
      </w:pPr>
      <w:bookmarkStart w:id="355" w:name="_Toc25879"/>
      <w:r>
        <w:rPr>
          <w:rFonts w:hint="eastAsia" w:ascii="宋体" w:hAnsi="宋体" w:eastAsia="宋体" w:cs="宋体"/>
          <w:lang w:val="en-US" w:eastAsia="zh-CN"/>
        </w:rPr>
        <w:t>四、</w:t>
      </w:r>
      <w:r>
        <w:rPr>
          <w:rFonts w:hint="eastAsia" w:ascii="宋体" w:hAnsi="宋体" w:eastAsia="宋体" w:cs="宋体"/>
        </w:rPr>
        <w:t>技术商务</w:t>
      </w:r>
      <w:r>
        <w:rPr>
          <w:rFonts w:hint="eastAsia" w:ascii="宋体" w:hAnsi="宋体" w:eastAsia="宋体" w:cs="宋体"/>
          <w:lang w:val="en-US" w:eastAsia="zh-CN"/>
        </w:rPr>
        <w:t>响应</w:t>
      </w:r>
      <w:r>
        <w:rPr>
          <w:rFonts w:hint="eastAsia" w:ascii="宋体" w:hAnsi="宋体" w:eastAsia="宋体" w:cs="宋体"/>
        </w:rPr>
        <w:t>偏离表</w:t>
      </w:r>
      <w:bookmarkEnd w:id="355"/>
    </w:p>
    <w:p w14:paraId="71020024">
      <w:pPr>
        <w:pStyle w:val="4"/>
        <w:spacing w:before="0" w:after="0"/>
        <w:ind w:firstLine="364" w:firstLineChars="150"/>
        <w:jc w:val="center"/>
        <w:rPr>
          <w:rFonts w:hint="eastAsia" w:ascii="宋体" w:hAnsi="宋体" w:eastAsia="宋体" w:cs="宋体"/>
          <w:sz w:val="24"/>
          <w:szCs w:val="24"/>
        </w:rPr>
      </w:pPr>
    </w:p>
    <w:p w14:paraId="09423ED2">
      <w:pPr>
        <w:pStyle w:val="4"/>
        <w:spacing w:before="0" w:after="0"/>
        <w:ind w:firstLine="364" w:firstLineChars="150"/>
        <w:jc w:val="center"/>
        <w:rPr>
          <w:rFonts w:hint="eastAsia" w:ascii="宋体" w:hAnsi="宋体" w:eastAsia="宋体" w:cs="宋体"/>
          <w:sz w:val="24"/>
          <w:szCs w:val="24"/>
        </w:rPr>
      </w:pPr>
      <w:bookmarkStart w:id="356" w:name="_Toc9628"/>
      <w:r>
        <w:rPr>
          <w:rFonts w:hint="eastAsia" w:ascii="宋体" w:hAnsi="宋体" w:eastAsia="宋体" w:cs="宋体"/>
          <w:sz w:val="24"/>
          <w:szCs w:val="24"/>
        </w:rPr>
        <w:t>技术</w:t>
      </w:r>
      <w:r>
        <w:rPr>
          <w:rFonts w:hint="eastAsia" w:ascii="宋体" w:hAnsi="宋体" w:eastAsia="宋体" w:cs="宋体"/>
          <w:sz w:val="24"/>
          <w:szCs w:val="24"/>
          <w:lang w:val="en-US" w:eastAsia="zh-CN"/>
        </w:rPr>
        <w:t>响应</w:t>
      </w:r>
      <w:r>
        <w:rPr>
          <w:rFonts w:hint="eastAsia" w:ascii="宋体" w:hAnsi="宋体" w:eastAsia="宋体" w:cs="宋体"/>
          <w:sz w:val="24"/>
          <w:szCs w:val="24"/>
        </w:rPr>
        <w:t>偏离表</w:t>
      </w:r>
      <w:bookmarkEnd w:id="356"/>
    </w:p>
    <w:tbl>
      <w:tblPr>
        <w:tblStyle w:val="34"/>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05"/>
        <w:gridCol w:w="3779"/>
        <w:gridCol w:w="1583"/>
        <w:gridCol w:w="1369"/>
      </w:tblGrid>
      <w:tr w14:paraId="4797A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1068589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序号</w:t>
            </w:r>
          </w:p>
        </w:tc>
        <w:tc>
          <w:tcPr>
            <w:tcW w:w="2205" w:type="dxa"/>
            <w:vAlign w:val="center"/>
          </w:tcPr>
          <w:p w14:paraId="647075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lang w:eastAsia="zh-CN"/>
              </w:rPr>
              <w:t>谈判文件</w:t>
            </w:r>
            <w:r>
              <w:rPr>
                <w:rFonts w:hint="eastAsia" w:ascii="宋体" w:hAnsi="宋体" w:eastAsia="宋体" w:cs="宋体"/>
                <w:b/>
                <w:sz w:val="24"/>
                <w:szCs w:val="20"/>
              </w:rPr>
              <w:t>技术要求</w:t>
            </w:r>
          </w:p>
        </w:tc>
        <w:tc>
          <w:tcPr>
            <w:tcW w:w="3779" w:type="dxa"/>
            <w:vAlign w:val="center"/>
          </w:tcPr>
          <w:p w14:paraId="4F95B48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lang w:val="en-US" w:eastAsia="zh-CN"/>
              </w:rPr>
            </w:pPr>
            <w:r>
              <w:rPr>
                <w:rFonts w:hint="eastAsia" w:ascii="宋体" w:hAnsi="宋体" w:eastAsia="宋体" w:cs="宋体"/>
                <w:b/>
                <w:sz w:val="24"/>
                <w:szCs w:val="20"/>
                <w:lang w:val="en-US" w:eastAsia="zh-CN"/>
              </w:rPr>
              <w:t>响应</w:t>
            </w:r>
            <w:r>
              <w:rPr>
                <w:rFonts w:hint="eastAsia" w:ascii="宋体" w:hAnsi="宋体" w:eastAsia="宋体" w:cs="宋体"/>
                <w:b/>
                <w:sz w:val="24"/>
                <w:szCs w:val="20"/>
              </w:rPr>
              <w:t>文件技术</w:t>
            </w:r>
            <w:r>
              <w:rPr>
                <w:rFonts w:hint="eastAsia" w:ascii="宋体" w:hAnsi="宋体" w:eastAsia="宋体" w:cs="宋体"/>
                <w:b/>
                <w:sz w:val="24"/>
                <w:szCs w:val="20"/>
                <w:lang w:val="en-US" w:eastAsia="zh-CN"/>
              </w:rPr>
              <w:t>应答</w:t>
            </w:r>
          </w:p>
        </w:tc>
        <w:tc>
          <w:tcPr>
            <w:tcW w:w="1583" w:type="dxa"/>
            <w:vAlign w:val="center"/>
          </w:tcPr>
          <w:p w14:paraId="345E09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2"/>
                <w:szCs w:val="22"/>
                <w:lang w:val="en-US" w:eastAsia="zh-CN"/>
              </w:rPr>
            </w:pPr>
            <w:r>
              <w:rPr>
                <w:rFonts w:hint="eastAsia" w:ascii="宋体" w:hAnsi="宋体" w:eastAsia="宋体" w:cs="宋体"/>
                <w:b/>
                <w:sz w:val="24"/>
                <w:szCs w:val="20"/>
                <w:lang w:val="en-US" w:eastAsia="zh-CN"/>
              </w:rPr>
              <w:t>响应/偏离</w:t>
            </w:r>
          </w:p>
        </w:tc>
        <w:tc>
          <w:tcPr>
            <w:tcW w:w="1369" w:type="dxa"/>
            <w:vAlign w:val="center"/>
          </w:tcPr>
          <w:p w14:paraId="600E42B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偏离简述</w:t>
            </w:r>
          </w:p>
        </w:tc>
      </w:tr>
      <w:tr w14:paraId="37CC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660F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1</w:t>
            </w:r>
          </w:p>
        </w:tc>
        <w:tc>
          <w:tcPr>
            <w:tcW w:w="2205" w:type="dxa"/>
          </w:tcPr>
          <w:p w14:paraId="7E73F5CE">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39039A0E">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175540D3">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426346D5">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r w14:paraId="7DA3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1BC7B0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2</w:t>
            </w:r>
          </w:p>
        </w:tc>
        <w:tc>
          <w:tcPr>
            <w:tcW w:w="2205" w:type="dxa"/>
          </w:tcPr>
          <w:p w14:paraId="1FEB9E5F">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2F867E75">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3D25A95B">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6AEC8A2B">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r w14:paraId="73EEB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508FD2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3</w:t>
            </w:r>
          </w:p>
        </w:tc>
        <w:tc>
          <w:tcPr>
            <w:tcW w:w="2205" w:type="dxa"/>
          </w:tcPr>
          <w:p w14:paraId="03A9D77F">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20525A5E">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5847FB3C">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0E9AC729">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r w14:paraId="5653C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1B89F2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4</w:t>
            </w:r>
          </w:p>
        </w:tc>
        <w:tc>
          <w:tcPr>
            <w:tcW w:w="2205" w:type="dxa"/>
          </w:tcPr>
          <w:p w14:paraId="5E52B091">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5980955D">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6F58E476">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06B79E2A">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r w14:paraId="6785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DA0DC7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sz w:val="24"/>
                <w:szCs w:val="20"/>
              </w:rPr>
            </w:pPr>
            <w:r>
              <w:rPr>
                <w:rFonts w:hint="eastAsia" w:ascii="宋体" w:hAnsi="宋体" w:eastAsia="宋体" w:cs="宋体"/>
                <w:b/>
                <w:sz w:val="24"/>
                <w:szCs w:val="20"/>
              </w:rPr>
              <w:t>……</w:t>
            </w:r>
          </w:p>
        </w:tc>
        <w:tc>
          <w:tcPr>
            <w:tcW w:w="2205" w:type="dxa"/>
          </w:tcPr>
          <w:p w14:paraId="642D51F6">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3779" w:type="dxa"/>
          </w:tcPr>
          <w:p w14:paraId="35BE84EC">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583" w:type="dxa"/>
          </w:tcPr>
          <w:p w14:paraId="62176A16">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c>
          <w:tcPr>
            <w:tcW w:w="1369" w:type="dxa"/>
          </w:tcPr>
          <w:p w14:paraId="3A77D631">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p>
        </w:tc>
      </w:tr>
    </w:tbl>
    <w:p w14:paraId="316CE9C9">
      <w:pPr>
        <w:pStyle w:val="9"/>
        <w:numPr>
          <w:ilvl w:val="0"/>
          <w:numId w:val="0"/>
        </w:numPr>
        <w:ind w:firstLine="486"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w:t>
      </w:r>
    </w:p>
    <w:p w14:paraId="15580172">
      <w:pPr>
        <w:pStyle w:val="9"/>
        <w:numPr>
          <w:ilvl w:val="0"/>
          <w:numId w:val="0"/>
        </w:numPr>
        <w:ind w:firstLine="486"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1.如有漏报、瞒报采购文件所要求的性能指标等，将视为没有实质性响应采购文件。采购文件第四章技术参数必须逐条响应，如有缺漏将视为无效响应；</w:t>
      </w:r>
    </w:p>
    <w:p w14:paraId="57DB23F4">
      <w:pPr>
        <w:pStyle w:val="9"/>
        <w:numPr>
          <w:ilvl w:val="0"/>
          <w:numId w:val="0"/>
        </w:numPr>
        <w:ind w:firstLine="486"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2.技术偏离表不得完全复制粘贴谈判文件技术参数要求，否则视为无效投标。技术偏离表响应内容须提供相关技术支持资料。</w:t>
      </w:r>
    </w:p>
    <w:p w14:paraId="707F917F">
      <w:pPr>
        <w:jc w:val="center"/>
        <w:rPr>
          <w:rFonts w:hint="eastAsia" w:ascii="宋体" w:hAnsi="宋体" w:eastAsia="宋体" w:cs="宋体"/>
          <w:b/>
          <w:sz w:val="24"/>
          <w:szCs w:val="24"/>
        </w:rPr>
      </w:pPr>
    </w:p>
    <w:p w14:paraId="42FCBDB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1BB1BFFB">
      <w:pPr>
        <w:spacing w:line="360" w:lineRule="auto"/>
        <w:ind w:firstLine="243" w:firstLineChars="100"/>
        <w:rPr>
          <w:rFonts w:hint="eastAsia" w:ascii="宋体" w:hAnsi="宋体" w:eastAsia="宋体" w:cs="宋体"/>
          <w:sz w:val="24"/>
          <w:szCs w:val="24"/>
          <w:lang w:eastAsia="zh-CN"/>
        </w:rPr>
      </w:pPr>
      <w:r>
        <w:rPr>
          <w:rFonts w:hint="eastAsia" w:ascii="宋体" w:hAnsi="宋体" w:eastAsia="宋体" w:cs="宋体"/>
          <w:sz w:val="24"/>
          <w:szCs w:val="24"/>
        </w:rPr>
        <w:t>投标人名称（盖章）</w:t>
      </w:r>
      <w:r>
        <w:rPr>
          <w:rFonts w:hint="eastAsia" w:ascii="宋体" w:hAnsi="宋体" w:eastAsia="宋体" w:cs="宋体"/>
          <w:sz w:val="24"/>
          <w:szCs w:val="24"/>
          <w:lang w:eastAsia="zh-CN"/>
        </w:rPr>
        <w:t>：</w:t>
      </w:r>
    </w:p>
    <w:p w14:paraId="6F7A241F">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eastAsia="zh-CN"/>
        </w:rPr>
        <w:t>（</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p>
    <w:p w14:paraId="7D4261EB">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 xml:space="preserve">日      期： </w:t>
      </w:r>
    </w:p>
    <w:p w14:paraId="5FE4D833">
      <w:pPr>
        <w:pStyle w:val="4"/>
        <w:spacing w:before="0" w:after="0"/>
        <w:ind w:firstLine="364" w:firstLineChars="150"/>
        <w:jc w:val="center"/>
        <w:rPr>
          <w:rFonts w:hint="eastAsia"/>
          <w:sz w:val="24"/>
          <w:szCs w:val="24"/>
        </w:rPr>
      </w:pPr>
      <w:bookmarkStart w:id="357" w:name="_Toc26541340"/>
      <w:bookmarkStart w:id="358" w:name="_Toc23258629"/>
    </w:p>
    <w:p w14:paraId="0EE679F1">
      <w:pPr>
        <w:rPr>
          <w:rFonts w:hint="eastAsia"/>
          <w:sz w:val="24"/>
          <w:szCs w:val="24"/>
        </w:rPr>
      </w:pPr>
    </w:p>
    <w:p w14:paraId="020C9092">
      <w:pPr>
        <w:rPr>
          <w:rFonts w:hint="eastAsia"/>
          <w:sz w:val="24"/>
          <w:szCs w:val="24"/>
        </w:rPr>
      </w:pPr>
    </w:p>
    <w:p w14:paraId="1FD42D00">
      <w:pPr>
        <w:rPr>
          <w:rFonts w:hint="eastAsia"/>
          <w:sz w:val="24"/>
          <w:szCs w:val="24"/>
        </w:rPr>
      </w:pPr>
    </w:p>
    <w:p w14:paraId="3D9B3B3F">
      <w:pPr>
        <w:rPr>
          <w:rFonts w:hint="eastAsia"/>
          <w:sz w:val="24"/>
          <w:szCs w:val="24"/>
        </w:rPr>
      </w:pPr>
    </w:p>
    <w:p w14:paraId="1354AAD8">
      <w:pPr>
        <w:rPr>
          <w:rFonts w:hint="eastAsia"/>
          <w:sz w:val="24"/>
          <w:szCs w:val="24"/>
        </w:rPr>
      </w:pPr>
    </w:p>
    <w:p w14:paraId="5EF2E9B3">
      <w:pPr>
        <w:rPr>
          <w:rFonts w:hint="eastAsia"/>
          <w:sz w:val="24"/>
          <w:szCs w:val="24"/>
        </w:rPr>
      </w:pPr>
    </w:p>
    <w:p w14:paraId="25A3818A">
      <w:pPr>
        <w:rPr>
          <w:rFonts w:hint="eastAsia"/>
          <w:sz w:val="24"/>
          <w:szCs w:val="24"/>
        </w:rPr>
      </w:pPr>
    </w:p>
    <w:p w14:paraId="0A289EAE">
      <w:pPr>
        <w:pStyle w:val="4"/>
        <w:spacing w:before="0" w:after="0"/>
        <w:ind w:firstLine="364" w:firstLineChars="150"/>
        <w:jc w:val="center"/>
        <w:rPr>
          <w:rFonts w:hint="eastAsia" w:ascii="宋体" w:hAnsi="宋体" w:eastAsia="宋体" w:cs="宋体"/>
          <w:sz w:val="24"/>
          <w:szCs w:val="24"/>
        </w:rPr>
      </w:pPr>
      <w:bookmarkStart w:id="359" w:name="_Toc21457"/>
      <w:r>
        <w:rPr>
          <w:rFonts w:hint="eastAsia" w:ascii="宋体" w:hAnsi="宋体" w:eastAsia="宋体" w:cs="宋体"/>
          <w:sz w:val="24"/>
          <w:szCs w:val="24"/>
        </w:rPr>
        <w:t>商务响应偏离表</w:t>
      </w:r>
      <w:bookmarkEnd w:id="357"/>
      <w:bookmarkEnd w:id="358"/>
      <w:bookmarkEnd w:id="359"/>
    </w:p>
    <w:tbl>
      <w:tblPr>
        <w:tblStyle w:val="3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19D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438B41C5">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sz w:val="24"/>
                <w:szCs w:val="20"/>
              </w:rPr>
              <w:t>序号</w:t>
            </w:r>
          </w:p>
        </w:tc>
        <w:tc>
          <w:tcPr>
            <w:tcW w:w="2835" w:type="dxa"/>
            <w:vAlign w:val="center"/>
          </w:tcPr>
          <w:p w14:paraId="6EEE9BDC">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sz w:val="24"/>
                <w:szCs w:val="20"/>
                <w:lang w:eastAsia="zh-CN"/>
              </w:rPr>
              <w:t>谈判文件</w:t>
            </w:r>
            <w:r>
              <w:rPr>
                <w:rFonts w:hint="eastAsia" w:ascii="宋体" w:hAnsi="宋体" w:eastAsia="宋体" w:cs="宋体"/>
                <w:b/>
                <w:sz w:val="24"/>
                <w:szCs w:val="20"/>
              </w:rPr>
              <w:t>商务要求</w:t>
            </w:r>
          </w:p>
        </w:tc>
        <w:tc>
          <w:tcPr>
            <w:tcW w:w="2552" w:type="dxa"/>
            <w:vAlign w:val="center"/>
          </w:tcPr>
          <w:p w14:paraId="18C37655">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sz w:val="24"/>
                <w:szCs w:val="20"/>
                <w:lang w:val="en-US" w:eastAsia="zh-CN"/>
              </w:rPr>
              <w:t>响应</w:t>
            </w:r>
            <w:r>
              <w:rPr>
                <w:rFonts w:hint="eastAsia" w:ascii="宋体" w:hAnsi="宋体" w:eastAsia="宋体" w:cs="宋体"/>
                <w:b/>
                <w:sz w:val="24"/>
                <w:szCs w:val="20"/>
              </w:rPr>
              <w:t>文件商务应答</w:t>
            </w:r>
          </w:p>
        </w:tc>
        <w:tc>
          <w:tcPr>
            <w:tcW w:w="1516" w:type="dxa"/>
            <w:vAlign w:val="center"/>
          </w:tcPr>
          <w:p w14:paraId="6544DE5D">
            <w:pPr>
              <w:keepNext w:val="0"/>
              <w:keepLines w:val="0"/>
              <w:widowControl/>
              <w:suppressLineNumbers w:val="0"/>
              <w:wordWrap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b/>
                <w:sz w:val="24"/>
                <w:szCs w:val="20"/>
                <w:lang w:val="en-US" w:eastAsia="zh-CN"/>
              </w:rPr>
              <w:t>响应/偏离</w:t>
            </w:r>
          </w:p>
        </w:tc>
        <w:tc>
          <w:tcPr>
            <w:tcW w:w="1516" w:type="dxa"/>
            <w:vAlign w:val="center"/>
          </w:tcPr>
          <w:p w14:paraId="43A2842D">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rPr>
            </w:pPr>
            <w:r>
              <w:rPr>
                <w:rFonts w:hint="eastAsia" w:ascii="宋体" w:hAnsi="宋体" w:eastAsia="宋体" w:cs="宋体"/>
                <w:b/>
                <w:sz w:val="24"/>
                <w:szCs w:val="20"/>
              </w:rPr>
              <w:t>偏离简述</w:t>
            </w:r>
          </w:p>
        </w:tc>
      </w:tr>
      <w:tr w14:paraId="21DE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4DBB1F9">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rPr>
            </w:pPr>
            <w:r>
              <w:rPr>
                <w:rFonts w:hint="eastAsia" w:ascii="宋体" w:hAnsi="宋体" w:eastAsia="宋体" w:cs="宋体"/>
                <w:b/>
                <w:sz w:val="24"/>
                <w:szCs w:val="20"/>
              </w:rPr>
              <w:t>1</w:t>
            </w:r>
          </w:p>
        </w:tc>
        <w:tc>
          <w:tcPr>
            <w:tcW w:w="2835" w:type="dxa"/>
            <w:vAlign w:val="center"/>
          </w:tcPr>
          <w:p w14:paraId="23A05F8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2552" w:type="dxa"/>
            <w:vAlign w:val="center"/>
          </w:tcPr>
          <w:p w14:paraId="1842E766">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28017F8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20A13189">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r>
      <w:tr w14:paraId="3F29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D01FD41">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rPr>
            </w:pPr>
            <w:r>
              <w:rPr>
                <w:rFonts w:hint="eastAsia" w:ascii="宋体" w:hAnsi="宋体" w:eastAsia="宋体" w:cs="宋体"/>
                <w:b/>
                <w:sz w:val="24"/>
                <w:szCs w:val="20"/>
              </w:rPr>
              <w:t>2</w:t>
            </w:r>
          </w:p>
        </w:tc>
        <w:tc>
          <w:tcPr>
            <w:tcW w:w="2835" w:type="dxa"/>
            <w:vAlign w:val="center"/>
          </w:tcPr>
          <w:p w14:paraId="120FE0D4">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2552" w:type="dxa"/>
            <w:vAlign w:val="center"/>
          </w:tcPr>
          <w:p w14:paraId="569CEA1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77FAD5B2">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2564F5BF">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r>
      <w:tr w14:paraId="4C7B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7192749">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rPr>
            </w:pPr>
            <w:r>
              <w:rPr>
                <w:rFonts w:hint="eastAsia" w:ascii="宋体" w:hAnsi="宋体" w:eastAsia="宋体" w:cs="宋体"/>
                <w:b/>
                <w:sz w:val="24"/>
                <w:szCs w:val="20"/>
              </w:rPr>
              <w:t>3</w:t>
            </w:r>
          </w:p>
        </w:tc>
        <w:tc>
          <w:tcPr>
            <w:tcW w:w="2835" w:type="dxa"/>
            <w:vAlign w:val="center"/>
          </w:tcPr>
          <w:p w14:paraId="791A8E06">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2552" w:type="dxa"/>
            <w:vAlign w:val="center"/>
          </w:tcPr>
          <w:p w14:paraId="127204D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6F1D19DD">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3F2A9931">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r>
      <w:tr w14:paraId="1661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006521D">
            <w:pPr>
              <w:keepNext w:val="0"/>
              <w:keepLines w:val="0"/>
              <w:widowControl/>
              <w:suppressLineNumbers w:val="0"/>
              <w:wordWrap w:val="0"/>
              <w:spacing w:before="0" w:beforeAutospacing="0" w:after="0" w:afterAutospacing="0"/>
              <w:ind w:left="0" w:right="0"/>
              <w:jc w:val="center"/>
              <w:rPr>
                <w:rFonts w:hint="eastAsia" w:ascii="宋体" w:hAnsi="宋体" w:eastAsia="宋体" w:cs="宋体"/>
                <w:b/>
                <w:sz w:val="24"/>
                <w:szCs w:val="20"/>
                <w:lang w:eastAsia="zh-CN"/>
              </w:rPr>
            </w:pPr>
            <w:r>
              <w:rPr>
                <w:rFonts w:hint="eastAsia" w:ascii="宋体" w:hAnsi="宋体" w:eastAsia="宋体" w:cs="宋体"/>
                <w:b/>
                <w:sz w:val="24"/>
                <w:szCs w:val="20"/>
                <w:lang w:eastAsia="zh-CN"/>
              </w:rPr>
              <w:t>...</w:t>
            </w:r>
          </w:p>
        </w:tc>
        <w:tc>
          <w:tcPr>
            <w:tcW w:w="2835" w:type="dxa"/>
            <w:vAlign w:val="center"/>
          </w:tcPr>
          <w:p w14:paraId="6A8988C4">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2552" w:type="dxa"/>
            <w:vAlign w:val="center"/>
          </w:tcPr>
          <w:p w14:paraId="48FBBA47">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3CF779AE">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c>
          <w:tcPr>
            <w:tcW w:w="1516" w:type="dxa"/>
            <w:vAlign w:val="center"/>
          </w:tcPr>
          <w:p w14:paraId="1BA2ACB8">
            <w:pPr>
              <w:keepNext w:val="0"/>
              <w:keepLines w:val="0"/>
              <w:widowControl/>
              <w:suppressLineNumbers w:val="0"/>
              <w:spacing w:before="0" w:beforeAutospacing="0" w:after="0" w:afterAutospacing="0" w:line="360" w:lineRule="auto"/>
              <w:ind w:left="0" w:right="0"/>
              <w:rPr>
                <w:rFonts w:hint="eastAsia" w:ascii="宋体" w:hAnsi="宋体" w:eastAsia="宋体" w:cs="宋体"/>
                <w:sz w:val="22"/>
                <w:szCs w:val="22"/>
              </w:rPr>
            </w:pPr>
          </w:p>
        </w:tc>
      </w:tr>
    </w:tbl>
    <w:p w14:paraId="7A76DF59">
      <w:pPr>
        <w:spacing w:line="360" w:lineRule="auto"/>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注：对</w:t>
      </w:r>
      <w:r>
        <w:rPr>
          <w:rFonts w:hint="eastAsia" w:ascii="宋体" w:hAnsi="宋体" w:eastAsia="宋体" w:cs="宋体"/>
          <w:b/>
          <w:bCs/>
          <w:sz w:val="24"/>
          <w:szCs w:val="24"/>
          <w:lang w:eastAsia="zh-CN"/>
        </w:rPr>
        <w:t>谈判文件</w:t>
      </w:r>
      <w:r>
        <w:rPr>
          <w:rFonts w:hint="eastAsia" w:ascii="宋体" w:hAnsi="宋体" w:eastAsia="宋体" w:cs="宋体"/>
          <w:b/>
          <w:bCs/>
          <w:sz w:val="24"/>
          <w:szCs w:val="24"/>
        </w:rPr>
        <w:t>中要求的商务条款响应并详细说明。</w:t>
      </w:r>
    </w:p>
    <w:p w14:paraId="40C506C8">
      <w:pPr>
        <w:rPr>
          <w:rFonts w:hint="eastAsia" w:ascii="宋体" w:hAnsi="宋体" w:eastAsia="宋体" w:cs="宋体"/>
          <w:sz w:val="24"/>
          <w:szCs w:val="24"/>
        </w:rPr>
      </w:pPr>
    </w:p>
    <w:p w14:paraId="163BBA06">
      <w:pPr>
        <w:spacing w:line="360" w:lineRule="auto"/>
        <w:ind w:firstLine="425" w:firstLineChars="175"/>
        <w:rPr>
          <w:rFonts w:hint="eastAsia" w:ascii="宋体" w:hAnsi="宋体" w:eastAsia="宋体" w:cs="宋体"/>
          <w:sz w:val="24"/>
          <w:szCs w:val="24"/>
        </w:rPr>
      </w:pPr>
      <w:r>
        <w:rPr>
          <w:rFonts w:hint="eastAsia" w:ascii="宋体" w:hAnsi="宋体" w:eastAsia="宋体" w:cs="宋体"/>
          <w:sz w:val="24"/>
          <w:szCs w:val="24"/>
        </w:rPr>
        <w:t xml:space="preserve">    </w:t>
      </w:r>
    </w:p>
    <w:p w14:paraId="48FD51E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投标人名称（盖章）</w:t>
      </w:r>
      <w:r>
        <w:rPr>
          <w:rFonts w:hint="eastAsia" w:ascii="宋体" w:hAnsi="宋体" w:eastAsia="宋体" w:cs="宋体"/>
          <w:sz w:val="24"/>
          <w:szCs w:val="24"/>
          <w:lang w:eastAsia="zh-CN"/>
        </w:rPr>
        <w:t>：</w:t>
      </w:r>
    </w:p>
    <w:p w14:paraId="34300ED2">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eastAsia="zh-CN"/>
        </w:rPr>
        <w:t>（</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p>
    <w:p w14:paraId="73E29CE4">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sz w:val="24"/>
          <w:szCs w:val="24"/>
        </w:rPr>
        <w:t>日      期：</w:t>
      </w:r>
      <w:r>
        <w:rPr>
          <w:rFonts w:hint="eastAsia" w:ascii="宋体" w:hAnsi="宋体" w:eastAsia="宋体" w:cs="宋体"/>
          <w:color w:val="auto"/>
          <w:sz w:val="24"/>
          <w:szCs w:val="24"/>
          <w:lang w:val="en-US" w:eastAsia="zh-CN"/>
        </w:rPr>
        <w:t xml:space="preserve"> </w:t>
      </w:r>
    </w:p>
    <w:p w14:paraId="6F4206DA">
      <w:pPr>
        <w:pStyle w:val="21"/>
        <w:topLinePunct w:val="0"/>
        <w:bidi w:val="0"/>
        <w:spacing w:line="480" w:lineRule="exact"/>
        <w:rPr>
          <w:rFonts w:hint="eastAsia" w:ascii="宋体" w:hAnsi="宋体" w:eastAsia="宋体" w:cs="宋体"/>
          <w:color w:val="auto"/>
        </w:rPr>
      </w:pPr>
    </w:p>
    <w:p w14:paraId="44A604E7">
      <w:pPr>
        <w:pStyle w:val="4"/>
        <w:pageBreakBefore/>
        <w:topLinePunct w:val="0"/>
        <w:bidi w:val="0"/>
        <w:spacing w:line="480" w:lineRule="exact"/>
        <w:jc w:val="center"/>
        <w:rPr>
          <w:rFonts w:hint="eastAsia" w:ascii="宋体" w:hAnsi="宋体" w:eastAsia="宋体" w:cs="宋体"/>
          <w:color w:val="auto"/>
        </w:rPr>
      </w:pPr>
      <w:bookmarkStart w:id="360" w:name="_Toc9172"/>
      <w:bookmarkStart w:id="361" w:name="_Toc536202399"/>
      <w:bookmarkStart w:id="362" w:name="_Toc13418"/>
      <w:bookmarkStart w:id="363" w:name="_Toc228"/>
      <w:bookmarkStart w:id="364" w:name="_Toc28798"/>
      <w:bookmarkStart w:id="365" w:name="_Toc14937"/>
      <w:bookmarkStart w:id="366" w:name="_Toc933"/>
      <w:bookmarkStart w:id="367" w:name="_Toc536202330"/>
      <w:bookmarkStart w:id="368" w:name="_Toc536429339"/>
      <w:bookmarkStart w:id="369" w:name="_Toc536429392"/>
      <w:bookmarkStart w:id="370" w:name="_Toc19543359"/>
      <w:bookmarkStart w:id="371" w:name="_Toc21268"/>
      <w:r>
        <w:rPr>
          <w:rFonts w:hint="eastAsia" w:ascii="宋体" w:hAnsi="宋体" w:eastAsia="宋体" w:cs="宋体"/>
          <w:color w:val="auto"/>
          <w:lang w:eastAsia="zh-CN"/>
        </w:rPr>
        <w:t>五、</w:t>
      </w:r>
      <w:r>
        <w:rPr>
          <w:rFonts w:hint="eastAsia" w:ascii="宋体" w:hAnsi="宋体" w:eastAsia="宋体" w:cs="宋体"/>
          <w:color w:val="auto"/>
        </w:rPr>
        <w:t xml:space="preserve">  </w:t>
      </w:r>
      <w:bookmarkEnd w:id="360"/>
      <w:r>
        <w:rPr>
          <w:rFonts w:hint="eastAsia" w:ascii="宋体" w:hAnsi="宋体" w:eastAsia="宋体" w:cs="宋体"/>
          <w:color w:val="auto"/>
          <w:lang w:val="en-US" w:eastAsia="zh-CN"/>
        </w:rPr>
        <w:t>响应</w:t>
      </w:r>
      <w:r>
        <w:rPr>
          <w:rFonts w:hint="eastAsia" w:ascii="宋体" w:hAnsi="宋体" w:eastAsia="宋体" w:cs="宋体"/>
          <w:color w:val="auto"/>
        </w:rPr>
        <w:t>方案</w:t>
      </w:r>
      <w:bookmarkEnd w:id="361"/>
      <w:bookmarkEnd w:id="362"/>
      <w:bookmarkEnd w:id="363"/>
      <w:bookmarkEnd w:id="364"/>
      <w:bookmarkEnd w:id="365"/>
      <w:bookmarkEnd w:id="366"/>
      <w:bookmarkEnd w:id="367"/>
      <w:bookmarkEnd w:id="368"/>
      <w:bookmarkEnd w:id="369"/>
      <w:bookmarkEnd w:id="370"/>
      <w:bookmarkEnd w:id="371"/>
    </w:p>
    <w:p w14:paraId="7CA237DA">
      <w:pPr>
        <w:topLinePunct w:val="0"/>
        <w:bidi w:val="0"/>
        <w:spacing w:line="480" w:lineRule="exact"/>
        <w:ind w:firstLine="486" w:firstLineChars="200"/>
        <w:rPr>
          <w:rFonts w:hint="eastAsia" w:ascii="宋体" w:hAnsi="宋体" w:eastAsia="宋体" w:cs="宋体"/>
          <w:b/>
          <w:bCs/>
          <w:color w:val="auto"/>
          <w:sz w:val="28"/>
          <w:szCs w:val="24"/>
        </w:rPr>
      </w:pPr>
      <w:r>
        <w:rPr>
          <w:rFonts w:hint="eastAsia" w:ascii="宋体" w:hAnsi="宋体" w:eastAsia="宋体" w:cs="宋体"/>
          <w:b/>
          <w:bCs/>
          <w:color w:val="auto"/>
          <w:sz w:val="24"/>
          <w:szCs w:val="24"/>
        </w:rPr>
        <w:t>供应商按照</w:t>
      </w:r>
      <w:r>
        <w:rPr>
          <w:rFonts w:hint="eastAsia" w:ascii="宋体" w:hAnsi="宋体" w:eastAsia="宋体" w:cs="宋体"/>
          <w:b/>
          <w:bCs/>
          <w:color w:val="auto"/>
          <w:sz w:val="24"/>
          <w:szCs w:val="24"/>
          <w:lang w:eastAsia="zh-CN"/>
        </w:rPr>
        <w:t>谈判文件</w:t>
      </w:r>
      <w:r>
        <w:rPr>
          <w:rFonts w:hint="eastAsia" w:ascii="宋体" w:hAnsi="宋体" w:eastAsia="宋体" w:cs="宋体"/>
          <w:b/>
          <w:bCs/>
          <w:color w:val="auto"/>
          <w:sz w:val="24"/>
          <w:szCs w:val="24"/>
        </w:rPr>
        <w:t>的要求编制的</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方案说明书，</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方案由供应商自行编写，无具体格式，包含但不限于以下内容：</w:t>
      </w:r>
    </w:p>
    <w:p w14:paraId="2B6DE28D">
      <w:pPr>
        <w:spacing w:line="360" w:lineRule="auto"/>
        <w:ind w:firstLine="486" w:firstLineChars="200"/>
        <w:rPr>
          <w:rFonts w:hint="eastAsia" w:ascii="宋体" w:hAnsi="宋体" w:eastAsia="宋体" w:cs="宋体"/>
          <w:color w:val="auto"/>
          <w:sz w:val="24"/>
          <w:szCs w:val="24"/>
        </w:rPr>
      </w:pPr>
      <w:bookmarkStart w:id="372" w:name="_Toc19543360"/>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技术部分：</w:t>
      </w:r>
    </w:p>
    <w:p w14:paraId="4C4B0F24">
      <w:pPr>
        <w:spacing w:line="360" w:lineRule="auto"/>
        <w:ind w:firstLine="48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（1）产品配置、规格、技术参数和说明。</w:t>
      </w:r>
    </w:p>
    <w:p w14:paraId="5DB14B8A">
      <w:pPr>
        <w:spacing w:line="360" w:lineRule="auto"/>
        <w:ind w:firstLine="48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（2）实施方案。</w:t>
      </w:r>
    </w:p>
    <w:p w14:paraId="32458472">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（3）售后服务方案</w:t>
      </w:r>
      <w:r>
        <w:rPr>
          <w:rFonts w:hint="eastAsia" w:ascii="宋体" w:hAnsi="宋体" w:eastAsia="宋体" w:cs="宋体"/>
          <w:color w:val="auto"/>
          <w:sz w:val="24"/>
          <w:szCs w:val="24"/>
        </w:rPr>
        <w:t>。</w:t>
      </w:r>
    </w:p>
    <w:p w14:paraId="607D45CB">
      <w:pPr>
        <w:pStyle w:val="6"/>
        <w:keepNext/>
        <w:keepLines/>
        <w:pageBreakBefore w:val="0"/>
        <w:widowControl w:val="0"/>
        <w:kinsoku/>
        <w:wordWrap/>
        <w:overflowPunct/>
        <w:topLinePunct w:val="0"/>
        <w:autoSpaceDE/>
        <w:autoSpaceDN/>
        <w:bidi w:val="0"/>
        <w:adjustRightInd/>
        <w:snapToGrid/>
        <w:spacing w:before="0" w:after="0" w:line="377" w:lineRule="auto"/>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w:t>
      </w:r>
    </w:p>
    <w:p w14:paraId="5A31E267">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商务部分：</w:t>
      </w:r>
    </w:p>
    <w:p w14:paraId="6EEAD6E2">
      <w:pPr>
        <w:spacing w:line="360" w:lineRule="auto"/>
        <w:ind w:firstLine="48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拟投入人员配置；</w:t>
      </w:r>
    </w:p>
    <w:p w14:paraId="5C526388">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（2）类似项目业绩；</w:t>
      </w:r>
    </w:p>
    <w:p w14:paraId="615D5A1A">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）企业实力；</w:t>
      </w:r>
    </w:p>
    <w:p w14:paraId="13D2B004">
      <w:pPr>
        <w:pStyle w:val="47"/>
        <w:pageBreakBefore w:val="0"/>
        <w:numPr>
          <w:ilvl w:val="0"/>
          <w:numId w:val="0"/>
        </w:numPr>
        <w:kinsoku/>
        <w:wordWrap/>
        <w:overflowPunct/>
        <w:topLinePunct w:val="0"/>
        <w:bidi w:val="0"/>
        <w:snapToGrid/>
        <w:spacing w:before="0" w:line="480" w:lineRule="exact"/>
        <w:ind w:firstLine="486"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（4）质量保证及履约能力。</w:t>
      </w:r>
    </w:p>
    <w:p w14:paraId="502BD704">
      <w:pPr>
        <w:pStyle w:val="47"/>
        <w:pageBreakBefore w:val="0"/>
        <w:numPr>
          <w:ilvl w:val="0"/>
          <w:numId w:val="0"/>
        </w:numPr>
        <w:kinsoku/>
        <w:wordWrap/>
        <w:overflowPunct/>
        <w:topLinePunct w:val="0"/>
        <w:bidi w:val="0"/>
        <w:snapToGrid/>
        <w:spacing w:before="0" w:line="480" w:lineRule="exact"/>
        <w:ind w:firstLine="566"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lang w:val="en-US" w:eastAsia="zh-CN"/>
        </w:rPr>
        <w:t>……</w:t>
      </w:r>
    </w:p>
    <w:p w14:paraId="74CDDDB6">
      <w:pPr>
        <w:pStyle w:val="47"/>
        <w:pageBreakBefore w:val="0"/>
        <w:numPr>
          <w:ilvl w:val="0"/>
          <w:numId w:val="0"/>
        </w:numPr>
        <w:kinsoku/>
        <w:wordWrap/>
        <w:overflowPunct/>
        <w:topLinePunct w:val="0"/>
        <w:bidi w:val="0"/>
        <w:snapToGrid/>
        <w:spacing w:before="0" w:line="480" w:lineRule="exact"/>
        <w:ind w:firstLine="486"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供应商认为有必要说明的事宜（若有）</w:t>
      </w:r>
      <w:r>
        <w:rPr>
          <w:rFonts w:hint="eastAsia" w:ascii="宋体" w:hAnsi="宋体" w:eastAsia="宋体" w:cs="宋体"/>
          <w:b w:val="0"/>
          <w:bCs w:val="0"/>
          <w:color w:val="auto"/>
          <w:sz w:val="24"/>
          <w:szCs w:val="24"/>
          <w:lang w:eastAsia="zh-CN"/>
        </w:rPr>
        <w:t>。</w:t>
      </w:r>
    </w:p>
    <w:p w14:paraId="60FD3F67">
      <w:pPr>
        <w:topLinePunct w:val="0"/>
        <w:bidi w:val="0"/>
        <w:spacing w:line="480" w:lineRule="exact"/>
        <w:rPr>
          <w:rFonts w:hint="eastAsia" w:ascii="宋体" w:hAnsi="宋体" w:eastAsia="宋体" w:cs="宋体"/>
          <w:b/>
          <w:bCs/>
          <w:color w:val="FF0000"/>
          <w:sz w:val="32"/>
          <w:szCs w:val="32"/>
        </w:rPr>
      </w:pPr>
    </w:p>
    <w:p w14:paraId="37E61821">
      <w:pPr>
        <w:keepNext/>
        <w:keepLines/>
        <w:topLinePunct w:val="0"/>
        <w:bidi w:val="0"/>
        <w:spacing w:before="260" w:after="260" w:line="480" w:lineRule="exact"/>
        <w:ind w:firstLine="484" w:firstLineChars="150"/>
        <w:jc w:val="center"/>
        <w:outlineLvl w:val="1"/>
        <w:rPr>
          <w:rFonts w:hint="eastAsia" w:ascii="宋体" w:hAnsi="宋体" w:eastAsia="宋体" w:cs="宋体"/>
          <w:b/>
          <w:bCs/>
          <w:color w:val="FF0000"/>
          <w:sz w:val="32"/>
          <w:szCs w:val="32"/>
        </w:rPr>
      </w:pPr>
      <w:bookmarkStart w:id="373" w:name="_Toc27896"/>
      <w:bookmarkStart w:id="374" w:name="_Toc27089"/>
      <w:bookmarkStart w:id="375" w:name="_Toc18935"/>
    </w:p>
    <w:p w14:paraId="4ED2F239">
      <w:pPr>
        <w:pStyle w:val="48"/>
        <w:rPr>
          <w:rFonts w:hint="eastAsia" w:ascii="宋体" w:hAnsi="宋体" w:eastAsia="宋体" w:cs="宋体"/>
          <w:b/>
          <w:bCs/>
          <w:color w:val="auto"/>
          <w:sz w:val="32"/>
          <w:szCs w:val="32"/>
        </w:rPr>
      </w:pPr>
    </w:p>
    <w:p w14:paraId="5812F397">
      <w:pPr>
        <w:pStyle w:val="48"/>
        <w:rPr>
          <w:rFonts w:hint="eastAsia" w:ascii="宋体" w:hAnsi="宋体" w:eastAsia="宋体" w:cs="宋体"/>
          <w:b/>
          <w:bCs/>
          <w:color w:val="auto"/>
          <w:sz w:val="32"/>
          <w:szCs w:val="32"/>
        </w:rPr>
      </w:pPr>
    </w:p>
    <w:p w14:paraId="77667004">
      <w:pPr>
        <w:pStyle w:val="48"/>
        <w:rPr>
          <w:rFonts w:hint="eastAsia" w:ascii="宋体" w:hAnsi="宋体" w:eastAsia="宋体" w:cs="宋体"/>
          <w:b/>
          <w:bCs/>
          <w:color w:val="auto"/>
          <w:sz w:val="32"/>
          <w:szCs w:val="32"/>
        </w:rPr>
      </w:pPr>
    </w:p>
    <w:p w14:paraId="3DB39985">
      <w:pPr>
        <w:pStyle w:val="48"/>
        <w:rPr>
          <w:rFonts w:hint="eastAsia" w:ascii="宋体" w:hAnsi="宋体" w:eastAsia="宋体" w:cs="宋体"/>
          <w:b/>
          <w:bCs/>
          <w:color w:val="auto"/>
          <w:sz w:val="32"/>
          <w:szCs w:val="32"/>
        </w:rPr>
      </w:pPr>
    </w:p>
    <w:p w14:paraId="792EE6DE">
      <w:pPr>
        <w:pStyle w:val="48"/>
        <w:rPr>
          <w:rFonts w:hint="eastAsia" w:ascii="宋体" w:hAnsi="宋体" w:eastAsia="宋体" w:cs="宋体"/>
          <w:b/>
          <w:bCs/>
          <w:color w:val="auto"/>
          <w:sz w:val="32"/>
          <w:szCs w:val="32"/>
        </w:rPr>
      </w:pPr>
    </w:p>
    <w:p w14:paraId="6DF30676">
      <w:pPr>
        <w:pStyle w:val="48"/>
        <w:rPr>
          <w:rFonts w:hint="eastAsia" w:ascii="宋体" w:hAnsi="宋体" w:eastAsia="宋体" w:cs="宋体"/>
          <w:b/>
          <w:bCs/>
          <w:color w:val="auto"/>
          <w:sz w:val="32"/>
          <w:szCs w:val="32"/>
        </w:rPr>
      </w:pPr>
    </w:p>
    <w:p w14:paraId="738C9903">
      <w:pPr>
        <w:keepNext/>
        <w:keepLines/>
        <w:topLinePunct w:val="0"/>
        <w:bidi w:val="0"/>
        <w:spacing w:before="260" w:after="260" w:line="480" w:lineRule="exact"/>
        <w:ind w:firstLine="484" w:firstLineChars="150"/>
        <w:jc w:val="center"/>
        <w:outlineLvl w:val="1"/>
        <w:rPr>
          <w:rFonts w:hint="eastAsia" w:ascii="宋体" w:hAnsi="宋体" w:eastAsia="宋体" w:cs="宋体"/>
          <w:b/>
          <w:bCs/>
          <w:color w:val="auto"/>
          <w:sz w:val="32"/>
          <w:szCs w:val="32"/>
        </w:rPr>
      </w:pPr>
      <w:bookmarkStart w:id="376" w:name="_Toc27667"/>
      <w:bookmarkStart w:id="377" w:name="_Toc11401"/>
      <w:r>
        <w:rPr>
          <w:rFonts w:hint="eastAsia" w:ascii="宋体" w:hAnsi="宋体" w:eastAsia="宋体" w:cs="宋体"/>
          <w:b/>
          <w:bCs/>
          <w:color w:val="auto"/>
          <w:sz w:val="32"/>
          <w:szCs w:val="32"/>
        </w:rPr>
        <w:t>投标人情况表</w:t>
      </w:r>
      <w:bookmarkEnd w:id="373"/>
      <w:bookmarkEnd w:id="374"/>
      <w:bookmarkEnd w:id="375"/>
      <w:bookmarkEnd w:id="376"/>
      <w:bookmarkEnd w:id="377"/>
    </w:p>
    <w:p w14:paraId="30F285B8">
      <w:pPr>
        <w:topLinePunct w:val="0"/>
        <w:autoSpaceDE w:val="0"/>
        <w:autoSpaceDN w:val="0"/>
        <w:bidi w:val="0"/>
        <w:adjustRightInd w:val="0"/>
        <w:spacing w:line="480" w:lineRule="exact"/>
        <w:jc w:val="center"/>
        <w:textAlignment w:val="baseline"/>
        <w:rPr>
          <w:rFonts w:hint="eastAsia" w:ascii="宋体" w:hAnsi="宋体" w:eastAsia="宋体" w:cs="宋体"/>
          <w:b/>
          <w:bCs/>
          <w:color w:val="auto"/>
          <w:kern w:val="20"/>
          <w:sz w:val="24"/>
          <w:szCs w:val="24"/>
        </w:rPr>
      </w:pPr>
      <w:bookmarkStart w:id="378" w:name="_Toc14631"/>
      <w:bookmarkStart w:id="379" w:name="_Toc17592"/>
      <w:bookmarkStart w:id="380" w:name="_Toc4115"/>
      <w:bookmarkStart w:id="381" w:name="_Toc2768"/>
      <w:bookmarkStart w:id="382" w:name="_Toc403077652"/>
      <w:bookmarkStart w:id="383" w:name="_Toc426457710"/>
      <w:bookmarkStart w:id="384" w:name="_Toc396304714"/>
      <w:r>
        <w:rPr>
          <w:rFonts w:hint="eastAsia" w:ascii="宋体" w:hAnsi="宋体" w:eastAsia="宋体" w:cs="宋体"/>
          <w:b/>
          <w:bCs/>
          <w:color w:val="auto"/>
          <w:kern w:val="20"/>
          <w:sz w:val="24"/>
          <w:szCs w:val="24"/>
        </w:rPr>
        <w:t>本项目拟投入人员汇总表</w:t>
      </w:r>
      <w:bookmarkEnd w:id="378"/>
      <w:bookmarkEnd w:id="379"/>
      <w:bookmarkEnd w:id="380"/>
      <w:bookmarkEnd w:id="381"/>
      <w:bookmarkEnd w:id="382"/>
      <w:bookmarkEnd w:id="383"/>
      <w:bookmarkEnd w:id="384"/>
    </w:p>
    <w:p w14:paraId="36CFB53A">
      <w:pPr>
        <w:topLinePunct w:val="0"/>
        <w:autoSpaceDE w:val="0"/>
        <w:autoSpaceDN w:val="0"/>
        <w:bidi w:val="0"/>
        <w:adjustRightInd w:val="0"/>
        <w:spacing w:line="480" w:lineRule="exact"/>
        <w:textAlignment w:val="baseline"/>
        <w:rPr>
          <w:rFonts w:hint="eastAsia" w:ascii="宋体" w:hAnsi="宋体" w:eastAsia="宋体" w:cs="宋体"/>
          <w:b/>
          <w:bCs/>
          <w:color w:val="auto"/>
          <w:kern w:val="20"/>
          <w:sz w:val="24"/>
          <w:szCs w:val="24"/>
        </w:rPr>
      </w:pPr>
    </w:p>
    <w:tbl>
      <w:tblPr>
        <w:tblStyle w:val="3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95D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4523E502">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序号</w:t>
            </w:r>
          </w:p>
        </w:tc>
        <w:tc>
          <w:tcPr>
            <w:tcW w:w="1762" w:type="dxa"/>
            <w:tcMar>
              <w:top w:w="15" w:type="dxa"/>
              <w:left w:w="15" w:type="dxa"/>
              <w:bottom w:w="0" w:type="dxa"/>
              <w:right w:w="15" w:type="dxa"/>
            </w:tcMar>
            <w:vAlign w:val="center"/>
          </w:tcPr>
          <w:p w14:paraId="34873577">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姓  名</w:t>
            </w:r>
          </w:p>
        </w:tc>
        <w:tc>
          <w:tcPr>
            <w:tcW w:w="809" w:type="dxa"/>
            <w:tcMar>
              <w:top w:w="15" w:type="dxa"/>
              <w:left w:w="15" w:type="dxa"/>
              <w:bottom w:w="0" w:type="dxa"/>
              <w:right w:w="15" w:type="dxa"/>
            </w:tcMar>
            <w:vAlign w:val="center"/>
          </w:tcPr>
          <w:p w14:paraId="4B7B116B">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性别</w:t>
            </w:r>
          </w:p>
        </w:tc>
        <w:tc>
          <w:tcPr>
            <w:tcW w:w="809" w:type="dxa"/>
            <w:tcMar>
              <w:top w:w="15" w:type="dxa"/>
              <w:left w:w="15" w:type="dxa"/>
              <w:bottom w:w="0" w:type="dxa"/>
              <w:right w:w="15" w:type="dxa"/>
            </w:tcMar>
            <w:vAlign w:val="center"/>
          </w:tcPr>
          <w:p w14:paraId="6BF3735C">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年龄</w:t>
            </w:r>
          </w:p>
        </w:tc>
        <w:tc>
          <w:tcPr>
            <w:tcW w:w="809" w:type="dxa"/>
            <w:tcMar>
              <w:top w:w="15" w:type="dxa"/>
              <w:left w:w="15" w:type="dxa"/>
              <w:bottom w:w="0" w:type="dxa"/>
              <w:right w:w="15" w:type="dxa"/>
            </w:tcMar>
            <w:vAlign w:val="center"/>
          </w:tcPr>
          <w:p w14:paraId="6E9291BA">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学历</w:t>
            </w:r>
          </w:p>
        </w:tc>
        <w:tc>
          <w:tcPr>
            <w:tcW w:w="1062" w:type="dxa"/>
            <w:tcMar>
              <w:top w:w="15" w:type="dxa"/>
              <w:left w:w="15" w:type="dxa"/>
              <w:bottom w:w="0" w:type="dxa"/>
              <w:right w:w="15" w:type="dxa"/>
            </w:tcMar>
            <w:vAlign w:val="center"/>
          </w:tcPr>
          <w:p w14:paraId="70E92C43">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工作</w:t>
            </w:r>
          </w:p>
          <w:p w14:paraId="7C27CB18">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年限</w:t>
            </w:r>
          </w:p>
        </w:tc>
        <w:tc>
          <w:tcPr>
            <w:tcW w:w="2667" w:type="dxa"/>
            <w:tcMar>
              <w:top w:w="15" w:type="dxa"/>
              <w:left w:w="15" w:type="dxa"/>
              <w:bottom w:w="0" w:type="dxa"/>
              <w:right w:w="15" w:type="dxa"/>
            </w:tcMar>
            <w:vAlign w:val="center"/>
          </w:tcPr>
          <w:p w14:paraId="31C55A8E">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拟担任的职务</w:t>
            </w:r>
          </w:p>
        </w:tc>
        <w:tc>
          <w:tcPr>
            <w:tcW w:w="966" w:type="dxa"/>
            <w:tcMar>
              <w:top w:w="15" w:type="dxa"/>
              <w:left w:w="15" w:type="dxa"/>
              <w:bottom w:w="0" w:type="dxa"/>
              <w:right w:w="15" w:type="dxa"/>
            </w:tcMar>
            <w:vAlign w:val="center"/>
          </w:tcPr>
          <w:p w14:paraId="50AA5026">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岗位</w:t>
            </w:r>
          </w:p>
          <w:p w14:paraId="7B5C0EFD">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auto"/>
                <w:kern w:val="0"/>
                <w:sz w:val="24"/>
              </w:rPr>
            </w:pPr>
            <w:r>
              <w:rPr>
                <w:rFonts w:hint="eastAsia" w:ascii="宋体" w:hAnsi="宋体" w:eastAsia="宋体" w:cs="宋体"/>
                <w:b/>
                <w:color w:val="auto"/>
                <w:kern w:val="0"/>
                <w:sz w:val="24"/>
              </w:rPr>
              <w:t>情况</w:t>
            </w:r>
          </w:p>
        </w:tc>
      </w:tr>
      <w:tr w14:paraId="1F2E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E0E180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040C79F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9163C4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749718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84B35D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4F92E098">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582CC1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5572DC8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A3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71A6AA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026EDF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63AE2F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483321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0D76EF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0BF86A7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E79E2D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6A5A44D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3DD6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8007E5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543079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F69014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B4F2F7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2554EA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678B9EB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0F7DB6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F6A1568">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D6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5E9277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25E6A1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4DC807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BCC5B7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7C34AD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606AFF3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609D1F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02C64B5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317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311DEF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326D8E58">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790781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6596BE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25D0C0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65ED28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2971D3C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37BABE7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91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85C02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5D591DF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671B36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7FAC03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79922D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2DDF124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829720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2D25FE0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5F21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021C25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6B8E72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7289D0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926951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4CF20F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1813A00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2995260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21FB7BE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5A6B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9F1ADF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2129B0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17510E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9DB0DF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7E1F10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64BEB1D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7369CBA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237AF6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53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0D13C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4F23573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B047C1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ED3475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65B325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219742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EC9558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77637A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4500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49C699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3BFFA23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6D0D47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7FEEC7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B09B43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849C3B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6158A1D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C6EE2A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16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79E70F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1491158">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E1D5E2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6586C0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FC15EF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3B30B45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B1BB9C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64395C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4257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8BAB99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22F29B5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0EAE3C7">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37548AD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E249F0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597538A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7D7C78F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EE9266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3D5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90EFFD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5FF4F87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3AF05C0">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B0B234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06D4C03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22962EE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13A14F5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5799AB5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1AFB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A6B6EF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7F41DC2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5F2982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34B7C4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FE14B0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FC6FC2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7EB10046">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1A6E634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2748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45FDFA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0CBD41A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54F1C4C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DA6A97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7316B4D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7264D685">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230C8A6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6FC5F59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47B2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047A06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2617A26C">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6944D40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047AD2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42A42A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21B8BF94">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494C35E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4ACC47E9">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r w14:paraId="1BA5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362F617A">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762" w:type="dxa"/>
            <w:tcMar>
              <w:top w:w="15" w:type="dxa"/>
              <w:left w:w="15" w:type="dxa"/>
              <w:bottom w:w="0" w:type="dxa"/>
              <w:right w:w="15" w:type="dxa"/>
            </w:tcMar>
            <w:vAlign w:val="bottom"/>
          </w:tcPr>
          <w:p w14:paraId="64148FFF">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4C377C61">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2E6C5AEB">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809" w:type="dxa"/>
            <w:tcMar>
              <w:top w:w="15" w:type="dxa"/>
              <w:left w:w="15" w:type="dxa"/>
              <w:bottom w:w="0" w:type="dxa"/>
              <w:right w:w="15" w:type="dxa"/>
            </w:tcMar>
            <w:vAlign w:val="bottom"/>
          </w:tcPr>
          <w:p w14:paraId="163BC6BD">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1062" w:type="dxa"/>
            <w:tcMar>
              <w:top w:w="15" w:type="dxa"/>
              <w:left w:w="15" w:type="dxa"/>
              <w:bottom w:w="0" w:type="dxa"/>
              <w:right w:w="15" w:type="dxa"/>
            </w:tcMar>
            <w:vAlign w:val="bottom"/>
          </w:tcPr>
          <w:p w14:paraId="45357DE2">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2667" w:type="dxa"/>
            <w:tcMar>
              <w:top w:w="15" w:type="dxa"/>
              <w:left w:w="15" w:type="dxa"/>
              <w:bottom w:w="0" w:type="dxa"/>
              <w:right w:w="15" w:type="dxa"/>
            </w:tcMar>
            <w:vAlign w:val="bottom"/>
          </w:tcPr>
          <w:p w14:paraId="5D71613E">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c>
          <w:tcPr>
            <w:tcW w:w="966" w:type="dxa"/>
            <w:tcMar>
              <w:top w:w="15" w:type="dxa"/>
              <w:left w:w="15" w:type="dxa"/>
              <w:bottom w:w="0" w:type="dxa"/>
              <w:right w:w="15" w:type="dxa"/>
            </w:tcMar>
            <w:vAlign w:val="bottom"/>
          </w:tcPr>
          <w:p w14:paraId="76500BE3">
            <w:pPr>
              <w:keepNext w:val="0"/>
              <w:keepLines w:val="0"/>
              <w:widowControl/>
              <w:suppressLineNumbers w:val="0"/>
              <w:topLinePunct w:val="0"/>
              <w:bidi w:val="0"/>
              <w:adjustRightInd w:val="0"/>
              <w:snapToGrid w:val="0"/>
              <w:spacing w:before="0" w:beforeAutospacing="0" w:after="0" w:afterAutospacing="0" w:line="480" w:lineRule="exact"/>
              <w:ind w:left="0" w:right="0" w:firstLine="486" w:firstLineChars="200"/>
              <w:rPr>
                <w:rFonts w:hint="eastAsia" w:ascii="宋体" w:hAnsi="宋体" w:eastAsia="宋体" w:cs="宋体"/>
                <w:color w:val="auto"/>
                <w:kern w:val="0"/>
                <w:sz w:val="24"/>
              </w:rPr>
            </w:pPr>
          </w:p>
        </w:tc>
      </w:tr>
    </w:tbl>
    <w:p w14:paraId="537B56E0">
      <w:pPr>
        <w:topLinePunct w:val="0"/>
        <w:bidi w:val="0"/>
        <w:spacing w:line="480" w:lineRule="exact"/>
        <w:rPr>
          <w:rFonts w:hint="eastAsia" w:ascii="宋体" w:hAnsi="宋体" w:eastAsia="宋体" w:cs="宋体"/>
          <w:color w:val="auto"/>
          <w:szCs w:val="22"/>
        </w:rPr>
      </w:pPr>
    </w:p>
    <w:p w14:paraId="59ED98D5">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bookmarkStart w:id="385" w:name="_Hlt491765868"/>
      <w:bookmarkEnd w:id="385"/>
      <w:bookmarkStart w:id="386" w:name="_Hlt491765944"/>
      <w:bookmarkEnd w:id="386"/>
      <w:bookmarkStart w:id="387" w:name="_Hlt491572882"/>
      <w:bookmarkEnd w:id="387"/>
      <w:bookmarkStart w:id="388" w:name="_Hlt491766019"/>
      <w:bookmarkEnd w:id="388"/>
      <w:bookmarkStart w:id="389" w:name="_Hlt491573425"/>
      <w:bookmarkEnd w:id="389"/>
      <w:bookmarkStart w:id="390" w:name="_Toc225566702"/>
      <w:bookmarkStart w:id="391" w:name="_Toc225412374"/>
      <w:bookmarkStart w:id="392" w:name="_Toc341541376"/>
      <w:bookmarkStart w:id="393" w:name="_Toc403077653"/>
      <w:bookmarkStart w:id="394" w:name="_Toc225409966"/>
      <w:bookmarkStart w:id="395" w:name="_Toc225416062"/>
      <w:bookmarkStart w:id="396" w:name="_Toc15882"/>
      <w:bookmarkStart w:id="397" w:name="_Toc4548"/>
      <w:bookmarkStart w:id="398" w:name="_Toc225567482"/>
      <w:bookmarkStart w:id="399" w:name="_Toc16685"/>
      <w:bookmarkStart w:id="400" w:name="_Toc225566883"/>
      <w:bookmarkStart w:id="401" w:name="_Toc225412172"/>
      <w:bookmarkStart w:id="402" w:name="_Toc396304715"/>
      <w:bookmarkStart w:id="403" w:name="_Toc225415660"/>
      <w:bookmarkStart w:id="404" w:name="_Toc225410808"/>
      <w:bookmarkStart w:id="405" w:name="_Toc225415861"/>
      <w:bookmarkStart w:id="406" w:name="_Toc14010"/>
      <w:bookmarkStart w:id="407" w:name="_Toc225410182"/>
      <w:bookmarkStart w:id="408" w:name="_Toc426457711"/>
      <w:bookmarkStart w:id="409" w:name="_Toc26060"/>
      <w:bookmarkStart w:id="410" w:name="_Toc528240836"/>
      <w:bookmarkStart w:id="411" w:name="_Toc484890091"/>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46C49A2C">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229F7F6F">
      <w:pPr>
        <w:topLinePunct w:val="0"/>
        <w:bidi w:val="0"/>
        <w:adjustRightInd w:val="0"/>
        <w:snapToGrid w:val="0"/>
        <w:spacing w:line="480" w:lineRule="exact"/>
        <w:rPr>
          <w:rFonts w:hint="eastAsia" w:ascii="宋体" w:hAnsi="宋体" w:eastAsia="宋体" w:cs="宋体"/>
          <w:b/>
          <w:bCs/>
          <w:color w:val="auto"/>
          <w:kern w:val="20"/>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11402C56">
      <w:pPr>
        <w:keepNext/>
        <w:keepLines/>
        <w:spacing w:before="260" w:after="260" w:line="416" w:lineRule="auto"/>
        <w:jc w:val="center"/>
        <w:outlineLvl w:val="1"/>
        <w:rPr>
          <w:rFonts w:hint="eastAsia" w:ascii="宋体" w:hAnsi="宋体" w:eastAsia="宋体" w:cs="宋体"/>
          <w:b/>
          <w:bCs/>
          <w:color w:val="auto"/>
          <w:sz w:val="32"/>
          <w:szCs w:val="32"/>
        </w:rPr>
      </w:pPr>
      <w:r>
        <w:rPr>
          <w:rFonts w:hint="eastAsia" w:ascii="宋体" w:hAnsi="宋体" w:eastAsia="宋体" w:cs="宋体"/>
          <w:b/>
          <w:bCs/>
          <w:color w:val="auto"/>
          <w:kern w:val="20"/>
          <w:sz w:val="24"/>
          <w:szCs w:val="24"/>
        </w:rPr>
        <w:t xml:space="preserve"> </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Start w:id="412" w:name="_Toc23830"/>
      <w:bookmarkStart w:id="413" w:name="_Toc32620"/>
      <w:r>
        <w:rPr>
          <w:rFonts w:hint="eastAsia" w:ascii="宋体" w:hAnsi="宋体" w:eastAsia="宋体" w:cs="宋体"/>
          <w:b/>
          <w:bCs/>
          <w:color w:val="auto"/>
          <w:sz w:val="24"/>
          <w:szCs w:val="24"/>
          <w:lang w:val="en-US" w:eastAsia="zh-CN"/>
        </w:rPr>
        <w:t>业  绩</w:t>
      </w:r>
      <w:bookmarkEnd w:id="412"/>
      <w:bookmarkEnd w:id="413"/>
    </w:p>
    <w:tbl>
      <w:tblPr>
        <w:tblStyle w:val="3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26BE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1C5299B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404" w:type="dxa"/>
            <w:vAlign w:val="center"/>
          </w:tcPr>
          <w:p w14:paraId="3717D79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2069" w:type="dxa"/>
            <w:vAlign w:val="center"/>
          </w:tcPr>
          <w:p w14:paraId="4A7F140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合同标的产品</w:t>
            </w:r>
          </w:p>
        </w:tc>
        <w:tc>
          <w:tcPr>
            <w:tcW w:w="1244" w:type="dxa"/>
            <w:vAlign w:val="center"/>
          </w:tcPr>
          <w:p w14:paraId="6A4A521A">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合同签订</w:t>
            </w:r>
          </w:p>
          <w:p w14:paraId="5D2BF21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时间</w:t>
            </w:r>
          </w:p>
        </w:tc>
        <w:tc>
          <w:tcPr>
            <w:tcW w:w="1820" w:type="dxa"/>
            <w:vAlign w:val="center"/>
          </w:tcPr>
          <w:p w14:paraId="7466BE7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w:t>
            </w:r>
            <w:r>
              <w:rPr>
                <w:rFonts w:hint="eastAsia" w:ascii="宋体" w:hAnsi="宋体" w:eastAsia="宋体" w:cs="宋体"/>
                <w:b/>
                <w:bCs/>
                <w:color w:val="auto"/>
                <w:sz w:val="24"/>
                <w:szCs w:val="24"/>
                <w:lang w:val="en-US" w:eastAsia="zh-CN"/>
              </w:rPr>
              <w:t>单位</w:t>
            </w:r>
            <w:r>
              <w:rPr>
                <w:rFonts w:hint="eastAsia" w:ascii="宋体" w:hAnsi="宋体" w:eastAsia="宋体" w:cs="宋体"/>
                <w:b/>
                <w:bCs/>
                <w:color w:val="auto"/>
                <w:sz w:val="24"/>
                <w:szCs w:val="24"/>
              </w:rPr>
              <w:t>名称</w:t>
            </w:r>
          </w:p>
        </w:tc>
        <w:tc>
          <w:tcPr>
            <w:tcW w:w="1820" w:type="dxa"/>
            <w:vAlign w:val="center"/>
          </w:tcPr>
          <w:p w14:paraId="6043FF5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联系人及电话</w:t>
            </w:r>
          </w:p>
        </w:tc>
      </w:tr>
      <w:tr w14:paraId="7EE9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1F5E207F">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51B7261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4561505">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32122458">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AFB66F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2B49AA5">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7E0E2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37D13681">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03C777FD">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2FE84B1">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4F19BB8">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2C51B72F">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4157F9F">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3C3F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3DBCAB71">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2877CF0D">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897D0F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845548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EBA5760">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B09BB23">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0B7A0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1507A6CC">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2F81099F">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C789A30">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0F8FBC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55AB28A">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10FB8AC">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4366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7C61065F">
            <w:pPr>
              <w:keepNext w:val="0"/>
              <w:keepLines w:val="0"/>
              <w:widowControl/>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4696C6F9">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BBD88D6">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2DC1D91D">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180F071">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60090C5">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r w14:paraId="5F6A2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jc w:val="center"/>
        </w:trPr>
        <w:tc>
          <w:tcPr>
            <w:tcW w:w="740" w:type="dxa"/>
            <w:vAlign w:val="center"/>
          </w:tcPr>
          <w:p w14:paraId="0E0E10E3">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595D997B">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A612911">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CD095C7">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16D6522">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2B5E97F7">
            <w:pPr>
              <w:keepNext w:val="0"/>
              <w:keepLines w:val="0"/>
              <w:widowControl/>
              <w:suppressLineNumbers w:val="0"/>
              <w:spacing w:before="0" w:beforeAutospacing="0" w:after="0" w:afterAutospacing="0"/>
              <w:ind w:left="0" w:right="0"/>
              <w:jc w:val="center"/>
              <w:rPr>
                <w:rFonts w:hint="default" w:ascii="宋体" w:hAnsi="宋体"/>
                <w:color w:val="auto"/>
                <w:sz w:val="24"/>
                <w:szCs w:val="24"/>
              </w:rPr>
            </w:pPr>
          </w:p>
        </w:tc>
      </w:tr>
    </w:tbl>
    <w:p w14:paraId="2C03DB58">
      <w:pPr>
        <w:widowControl w:val="0"/>
        <w:topLinePunct w:val="0"/>
        <w:bidi w:val="0"/>
        <w:adjustRightInd w:val="0"/>
        <w:snapToGrid w:val="0"/>
        <w:spacing w:line="48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注：1.投标人应如实列出以上情况，如有隐瞒，一经查实将导致其报价申请被拒绝。</w:t>
      </w:r>
    </w:p>
    <w:p w14:paraId="2A56752F">
      <w:pPr>
        <w:widowControl w:val="0"/>
        <w:topLinePunct w:val="0"/>
        <w:bidi w:val="0"/>
        <w:adjustRightInd w:val="0"/>
        <w:snapToGrid w:val="0"/>
        <w:spacing w:line="480" w:lineRule="exact"/>
        <w:ind w:firstLine="486"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2.投标人应提供双方签订的合同（合同复印件加盖公章附在投标文件中）。 </w:t>
      </w:r>
    </w:p>
    <w:p w14:paraId="6DEFFEDF">
      <w:pPr>
        <w:topLinePunct w:val="0"/>
        <w:autoSpaceDE w:val="0"/>
        <w:autoSpaceDN w:val="0"/>
        <w:bidi w:val="0"/>
        <w:adjustRightInd w:val="0"/>
        <w:spacing w:line="480" w:lineRule="exact"/>
        <w:jc w:val="both"/>
        <w:textAlignment w:val="baseline"/>
        <w:rPr>
          <w:rFonts w:hint="eastAsia" w:ascii="宋体" w:hAnsi="宋体" w:eastAsia="宋体" w:cs="宋体"/>
          <w:b w:val="0"/>
          <w:bCs w:val="0"/>
          <w:color w:val="auto"/>
          <w:kern w:val="20"/>
          <w:sz w:val="24"/>
          <w:szCs w:val="24"/>
        </w:rPr>
      </w:pPr>
      <w:r>
        <w:rPr>
          <w:rFonts w:hint="eastAsia" w:ascii="宋体" w:hAnsi="宋体"/>
          <w:color w:val="auto"/>
          <w:sz w:val="24"/>
          <w:szCs w:val="24"/>
        </w:rPr>
        <w:t xml:space="preserve">  </w:t>
      </w:r>
    </w:p>
    <w:bookmarkEnd w:id="372"/>
    <w:bookmarkEnd w:id="410"/>
    <w:bookmarkEnd w:id="411"/>
    <w:p w14:paraId="47983F37">
      <w:pPr>
        <w:pStyle w:val="21"/>
        <w:topLinePunct w:val="0"/>
        <w:bidi w:val="0"/>
        <w:spacing w:line="480" w:lineRule="exact"/>
        <w:rPr>
          <w:rFonts w:hint="eastAsia" w:ascii="宋体" w:hAnsi="宋体" w:eastAsia="宋体" w:cs="宋体"/>
          <w:color w:val="auto"/>
        </w:rPr>
      </w:pPr>
    </w:p>
    <w:p w14:paraId="465E7991">
      <w:pPr>
        <w:pStyle w:val="21"/>
        <w:topLinePunct w:val="0"/>
        <w:bidi w:val="0"/>
        <w:spacing w:line="480" w:lineRule="exact"/>
        <w:rPr>
          <w:rFonts w:hint="eastAsia" w:ascii="宋体" w:hAnsi="宋体" w:eastAsia="宋体" w:cs="宋体"/>
          <w:color w:val="auto"/>
        </w:rPr>
      </w:pPr>
    </w:p>
    <w:p w14:paraId="464BA033">
      <w:pPr>
        <w:pStyle w:val="21"/>
        <w:topLinePunct w:val="0"/>
        <w:bidi w:val="0"/>
        <w:spacing w:line="480" w:lineRule="exact"/>
        <w:rPr>
          <w:rFonts w:hint="eastAsia" w:ascii="宋体" w:hAnsi="宋体" w:eastAsia="宋体" w:cs="宋体"/>
          <w:color w:val="auto"/>
        </w:rPr>
      </w:pPr>
    </w:p>
    <w:p w14:paraId="09343A8D">
      <w:pPr>
        <w:widowControl w:val="0"/>
        <w:topLinePunct w:val="0"/>
        <w:bidi w:val="0"/>
        <w:adjustRightInd w:val="0"/>
        <w:snapToGrid w:val="0"/>
        <w:spacing w:line="480" w:lineRule="exact"/>
        <w:jc w:val="left"/>
        <w:rPr>
          <w:rFonts w:hint="default" w:ascii="宋体" w:hAnsi="宋体" w:eastAsia="宋体"/>
          <w:color w:val="auto"/>
          <w:sz w:val="24"/>
          <w:szCs w:val="24"/>
          <w:u w:val="single"/>
          <w:lang w:val="en-US" w:eastAsia="zh-CN"/>
        </w:rPr>
      </w:pPr>
      <w:r>
        <w:rPr>
          <w:rFonts w:hint="eastAsia" w:ascii="宋体" w:hAnsi="宋体" w:eastAsia="宋体" w:cs="宋体"/>
          <w:color w:val="auto"/>
          <w:sz w:val="24"/>
          <w:szCs w:val="24"/>
          <w:lang w:val="en-US" w:eastAsia="zh-CN"/>
        </w:rPr>
        <w:t>供应商（单位名称及公章）：</w:t>
      </w:r>
      <w:r>
        <w:rPr>
          <w:rFonts w:hint="eastAsia" w:ascii="宋体" w:hAnsi="宋体" w:eastAsia="宋体" w:cs="宋体"/>
          <w:color w:val="auto"/>
          <w:sz w:val="24"/>
          <w:szCs w:val="24"/>
          <w:u w:val="single"/>
          <w:lang w:val="en-US" w:eastAsia="zh-CN"/>
        </w:rPr>
        <w:t xml:space="preserve">                                </w:t>
      </w:r>
    </w:p>
    <w:p w14:paraId="1922421D">
      <w:pPr>
        <w:widowControl w:val="0"/>
        <w:topLinePunct w:val="0"/>
        <w:bidi w:val="0"/>
        <w:adjustRightInd w:val="0"/>
        <w:snapToGrid w:val="0"/>
        <w:spacing w:line="480" w:lineRule="exact"/>
        <w:jc w:val="left"/>
        <w:rPr>
          <w:rFonts w:hint="eastAsia" w:ascii="宋体" w:hAnsi="宋体" w:eastAsia="宋体" w:cs="宋体"/>
          <w:b/>
          <w:bCs/>
          <w:color w:val="auto"/>
          <w:sz w:val="24"/>
          <w:szCs w:val="24"/>
          <w:u w:val="non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eastAsia="宋体" w:cs="宋体"/>
          <w:b/>
          <w:bCs/>
          <w:color w:val="auto"/>
          <w:sz w:val="24"/>
          <w:szCs w:val="24"/>
          <w:u w:val="none"/>
          <w:lang w:val="en-US" w:eastAsia="zh-CN"/>
        </w:rPr>
        <w:t>_________________</w:t>
      </w:r>
    </w:p>
    <w:p w14:paraId="57EDC1E0">
      <w:pPr>
        <w:topLinePunct w:val="0"/>
        <w:bidi w:val="0"/>
        <w:adjustRightInd w:val="0"/>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日 </w:t>
      </w:r>
    </w:p>
    <w:p w14:paraId="4E1B304A">
      <w:pPr>
        <w:pStyle w:val="4"/>
        <w:topLinePunct w:val="0"/>
        <w:bidi w:val="0"/>
        <w:spacing w:line="480" w:lineRule="exact"/>
        <w:jc w:val="center"/>
        <w:rPr>
          <w:rFonts w:ascii="宋体" w:hAnsi="宋体" w:eastAsia="宋体" w:cs="宋体"/>
          <w:b w:val="0"/>
          <w:bCs w:val="0"/>
          <w:color w:val="auto"/>
        </w:rPr>
      </w:pPr>
      <w:r>
        <w:rPr>
          <w:rFonts w:ascii="宋体" w:hAnsi="Arial" w:eastAsia="宋体"/>
          <w:color w:val="auto"/>
          <w:sz w:val="22"/>
          <w:szCs w:val="24"/>
        </w:rPr>
        <w:br w:type="page"/>
      </w:r>
      <w:bookmarkEnd w:id="334"/>
      <w:bookmarkStart w:id="414" w:name="_Toc35335277"/>
      <w:bookmarkStart w:id="415" w:name="_Toc14401"/>
      <w:bookmarkStart w:id="416" w:name="_Toc19383"/>
      <w:bookmarkStart w:id="417" w:name="_Toc19683"/>
      <w:bookmarkStart w:id="418" w:name="_Toc20234"/>
      <w:bookmarkStart w:id="419" w:name="_Toc23316606"/>
      <w:bookmarkStart w:id="420" w:name="_Toc18076"/>
      <w:bookmarkStart w:id="421" w:name="_Toc23316704"/>
      <w:bookmarkStart w:id="422" w:name="_Toc593"/>
      <w:bookmarkStart w:id="423" w:name="_Toc23315693"/>
      <w:bookmarkStart w:id="424" w:name="_Toc23316542"/>
      <w:r>
        <w:rPr>
          <w:rFonts w:hint="eastAsia" w:ascii="宋体" w:hAnsi="宋体" w:eastAsia="宋体"/>
          <w:b/>
          <w:bCs w:val="0"/>
          <w:color w:val="auto"/>
          <w:lang w:eastAsia="zh-CN"/>
        </w:rPr>
        <w:t>六</w:t>
      </w:r>
      <w:r>
        <w:rPr>
          <w:rFonts w:hint="eastAsia" w:ascii="宋体" w:hAnsi="宋体" w:eastAsia="宋体"/>
          <w:b/>
          <w:bCs w:val="0"/>
          <w:color w:val="auto"/>
        </w:rPr>
        <w:t>、投标单位拒绝政府采购领域商业贿赂承诺书</w:t>
      </w:r>
      <w:bookmarkEnd w:id="414"/>
      <w:bookmarkEnd w:id="415"/>
      <w:bookmarkEnd w:id="416"/>
      <w:bookmarkEnd w:id="417"/>
      <w:bookmarkEnd w:id="418"/>
      <w:bookmarkEnd w:id="419"/>
      <w:bookmarkEnd w:id="420"/>
      <w:bookmarkEnd w:id="421"/>
      <w:bookmarkEnd w:id="422"/>
      <w:bookmarkEnd w:id="423"/>
      <w:bookmarkEnd w:id="424"/>
    </w:p>
    <w:p w14:paraId="2C97B82D">
      <w:pPr>
        <w:topLinePunct w:val="0"/>
        <w:bidi w:val="0"/>
        <w:spacing w:line="480" w:lineRule="exact"/>
        <w:ind w:firstLine="486" w:firstLineChars="200"/>
        <w:jc w:val="center"/>
        <w:rPr>
          <w:rFonts w:hint="eastAsia" w:ascii="宋体" w:hAnsi="宋体" w:eastAsia="宋体" w:cs="仿宋"/>
          <w:bCs/>
          <w:color w:val="auto"/>
          <w:kern w:val="0"/>
          <w:sz w:val="24"/>
        </w:rPr>
      </w:pPr>
      <w:r>
        <w:rPr>
          <w:rFonts w:hint="eastAsia" w:ascii="宋体" w:hAnsi="宋体" w:eastAsia="宋体" w:cs="仿宋"/>
          <w:bCs/>
          <w:color w:val="auto"/>
          <w:kern w:val="0"/>
          <w:sz w:val="24"/>
        </w:rPr>
        <w:t>政府采购供应商拒绝政府采购领域商业贿赂承诺书</w:t>
      </w:r>
    </w:p>
    <w:p w14:paraId="1ABA6CD9">
      <w:pPr>
        <w:topLinePunct w:val="0"/>
        <w:bidi w:val="0"/>
        <w:spacing w:line="480" w:lineRule="exact"/>
        <w:ind w:firstLine="426" w:firstLineChars="200"/>
        <w:jc w:val="left"/>
        <w:rPr>
          <w:rFonts w:ascii="宋体" w:hAnsi="宋体" w:eastAsia="宋体" w:cs="仿宋"/>
          <w:bCs/>
          <w:color w:val="auto"/>
          <w:kern w:val="0"/>
          <w:sz w:val="21"/>
          <w:szCs w:val="21"/>
        </w:rPr>
      </w:pPr>
    </w:p>
    <w:p w14:paraId="7BA4DFFD">
      <w:pPr>
        <w:topLinePunct w:val="0"/>
        <w:bidi w:val="0"/>
        <w:spacing w:line="480" w:lineRule="exact"/>
        <w:ind w:firstLine="486" w:firstLineChars="200"/>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为响应党中央、国务院关于治理政府采购领域商业贿赂行为的号召，我单位在此庄严承诺： </w:t>
      </w:r>
    </w:p>
    <w:p w14:paraId="4A6179C5">
      <w:pPr>
        <w:topLinePunct w:val="0"/>
        <w:bidi w:val="0"/>
        <w:spacing w:line="480" w:lineRule="exact"/>
        <w:ind w:firstLine="486" w:firstLineChars="200"/>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lang w:eastAsia="zh-CN"/>
        </w:rPr>
        <w:t>1.</w:t>
      </w:r>
      <w:r>
        <w:rPr>
          <w:rFonts w:hint="eastAsia" w:ascii="宋体" w:hAnsi="宋体" w:eastAsia="宋体" w:cs="仿宋"/>
          <w:bCs/>
          <w:color w:val="auto"/>
          <w:kern w:val="0"/>
          <w:sz w:val="24"/>
        </w:rPr>
        <w:t xml:space="preserve">在参与政府采购活动中遵纪守法、诚信经营、公平竞标。 </w:t>
      </w:r>
    </w:p>
    <w:p w14:paraId="3DA7B0F7">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w:t>
      </w:r>
      <w:r>
        <w:rPr>
          <w:rFonts w:hint="eastAsia" w:ascii="宋体" w:hAnsi="宋体" w:eastAsia="宋体" w:cs="仿宋"/>
          <w:bCs/>
          <w:color w:val="auto"/>
          <w:kern w:val="0"/>
          <w:sz w:val="24"/>
          <w:lang w:eastAsia="zh-CN"/>
        </w:rPr>
        <w:t>2.</w:t>
      </w:r>
      <w:r>
        <w:rPr>
          <w:rFonts w:hint="eastAsia" w:ascii="宋体" w:hAnsi="宋体" w:eastAsia="宋体" w:cs="仿宋"/>
          <w:bCs/>
          <w:color w:val="auto"/>
          <w:kern w:val="0"/>
          <w:sz w:val="24"/>
        </w:rPr>
        <w:t xml:space="preserve">不向采购人、招标代理机构和政府采购评审专家进行任何形式的商业贿赂以谋取交易机会。 </w:t>
      </w:r>
    </w:p>
    <w:p w14:paraId="14452081">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3.</w:t>
      </w:r>
      <w:r>
        <w:rPr>
          <w:rFonts w:hint="eastAsia" w:ascii="宋体" w:hAnsi="宋体" w:eastAsia="宋体" w:cs="仿宋"/>
          <w:bCs/>
          <w:color w:val="auto"/>
          <w:kern w:val="0"/>
          <w:sz w:val="24"/>
        </w:rPr>
        <w:t>不向政府采购招标代理机构和采购人提供虚假</w:t>
      </w:r>
      <w:r>
        <w:rPr>
          <w:rFonts w:hint="eastAsia" w:ascii="宋体" w:hAnsi="宋体" w:eastAsia="宋体" w:cs="仿宋"/>
          <w:bCs/>
          <w:color w:val="auto"/>
          <w:kern w:val="0"/>
          <w:sz w:val="24"/>
          <w:lang w:val="en-US" w:eastAsia="zh-CN"/>
        </w:rPr>
        <w:t>资格证明</w:t>
      </w:r>
      <w:r>
        <w:rPr>
          <w:rFonts w:hint="eastAsia" w:ascii="宋体" w:hAnsi="宋体" w:eastAsia="宋体" w:cs="仿宋"/>
          <w:bCs/>
          <w:color w:val="auto"/>
          <w:kern w:val="0"/>
          <w:sz w:val="24"/>
        </w:rPr>
        <w:t xml:space="preserve">文件或采用虚假应标方式参与政府采购市场竞争并谋取成交、成交。 </w:t>
      </w:r>
    </w:p>
    <w:p w14:paraId="32AE70D3">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4.</w:t>
      </w:r>
      <w:r>
        <w:rPr>
          <w:rFonts w:hint="eastAsia" w:ascii="宋体" w:hAnsi="宋体" w:eastAsia="宋体" w:cs="仿宋"/>
          <w:bCs/>
          <w:color w:val="auto"/>
          <w:kern w:val="0"/>
          <w:sz w:val="24"/>
        </w:rPr>
        <w:t xml:space="preserve">不采取“围标、陪标”等商业欺诈手段获得政府采购定单。 </w:t>
      </w:r>
    </w:p>
    <w:p w14:paraId="552286BB">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5.</w:t>
      </w:r>
      <w:r>
        <w:rPr>
          <w:rFonts w:hint="eastAsia" w:ascii="宋体" w:hAnsi="宋体" w:eastAsia="宋体" w:cs="仿宋"/>
          <w:bCs/>
          <w:color w:val="auto"/>
          <w:kern w:val="0"/>
          <w:sz w:val="24"/>
        </w:rPr>
        <w:t>不采取不正当手段</w:t>
      </w:r>
      <w:r>
        <w:rPr>
          <w:rFonts w:hint="eastAsia" w:ascii="宋体" w:hAnsi="宋体" w:eastAsia="宋体" w:cs="仿宋"/>
          <w:bCs/>
          <w:color w:val="auto"/>
          <w:kern w:val="0"/>
          <w:sz w:val="24"/>
          <w:lang w:eastAsia="zh-CN"/>
        </w:rPr>
        <w:t>诋毁</w:t>
      </w:r>
      <w:r>
        <w:rPr>
          <w:rFonts w:hint="eastAsia" w:ascii="宋体" w:hAnsi="宋体" w:eastAsia="宋体" w:cs="仿宋"/>
          <w:bCs/>
          <w:color w:val="auto"/>
          <w:kern w:val="0"/>
          <w:sz w:val="24"/>
        </w:rPr>
        <w:t xml:space="preserve">、排挤其他供应商。 </w:t>
      </w:r>
    </w:p>
    <w:p w14:paraId="30B60F27">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6.</w:t>
      </w:r>
      <w:r>
        <w:rPr>
          <w:rFonts w:hint="eastAsia" w:ascii="宋体" w:hAnsi="宋体" w:eastAsia="宋体" w:cs="仿宋"/>
          <w:bCs/>
          <w:color w:val="auto"/>
          <w:kern w:val="0"/>
          <w:sz w:val="24"/>
        </w:rPr>
        <w:t xml:space="preserve">不在提供商品和服务时“偷梁换柱、以次充好”损害采购人的合法权益。 </w:t>
      </w:r>
    </w:p>
    <w:p w14:paraId="0D532AB0">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7.</w:t>
      </w:r>
      <w:r>
        <w:rPr>
          <w:rFonts w:hint="eastAsia" w:ascii="宋体" w:hAnsi="宋体" w:eastAsia="宋体" w:cs="仿宋"/>
          <w:bCs/>
          <w:color w:val="auto"/>
          <w:kern w:val="0"/>
          <w:sz w:val="24"/>
        </w:rPr>
        <w:t>不与采购人、招标代理机构</w:t>
      </w:r>
      <w:r>
        <w:rPr>
          <w:rFonts w:hint="eastAsia" w:ascii="宋体" w:hAnsi="宋体" w:eastAsia="宋体" w:cs="仿宋"/>
          <w:bCs/>
          <w:color w:val="auto"/>
          <w:kern w:val="0"/>
          <w:sz w:val="24"/>
          <w:lang w:eastAsia="zh-CN"/>
        </w:rPr>
        <w:t>、</w:t>
      </w:r>
      <w:r>
        <w:rPr>
          <w:rFonts w:hint="eastAsia" w:ascii="宋体" w:hAnsi="宋体" w:eastAsia="宋体" w:cs="仿宋"/>
          <w:bCs/>
          <w:color w:val="auto"/>
          <w:kern w:val="0"/>
          <w:sz w:val="24"/>
        </w:rPr>
        <w:t>政府采购评审专家或</w:t>
      </w:r>
      <w:r>
        <w:rPr>
          <w:rFonts w:hint="eastAsia" w:ascii="宋体" w:hAnsi="宋体" w:eastAsia="宋体" w:cs="仿宋"/>
          <w:bCs/>
          <w:color w:val="auto"/>
          <w:kern w:val="0"/>
          <w:sz w:val="24"/>
          <w:lang w:eastAsia="zh-CN"/>
        </w:rPr>
        <w:t>其他</w:t>
      </w:r>
      <w:r>
        <w:rPr>
          <w:rFonts w:hint="eastAsia" w:ascii="宋体" w:hAnsi="宋体" w:eastAsia="宋体" w:cs="仿宋"/>
          <w:bCs/>
          <w:color w:val="auto"/>
          <w:kern w:val="0"/>
          <w:sz w:val="24"/>
        </w:rPr>
        <w:t xml:space="preserve">供应商恶意串通，进行质疑和投诉，维护政府采购市场秩序。 </w:t>
      </w:r>
    </w:p>
    <w:p w14:paraId="13FEF73C">
      <w:pPr>
        <w:topLinePunct w:val="0"/>
        <w:bidi w:val="0"/>
        <w:spacing w:line="480" w:lineRule="exact"/>
        <w:rPr>
          <w:rFonts w:hint="eastAsia" w:ascii="宋体" w:hAnsi="宋体" w:eastAsia="宋体" w:cs="仿宋"/>
          <w:bCs/>
          <w:color w:val="auto"/>
          <w:kern w:val="0"/>
          <w:sz w:val="24"/>
          <w:lang w:eastAsia="zh-CN"/>
        </w:rPr>
      </w:pPr>
      <w:r>
        <w:rPr>
          <w:rFonts w:hint="eastAsia" w:ascii="宋体" w:hAnsi="宋体" w:eastAsia="宋体" w:cs="仿宋"/>
          <w:bCs/>
          <w:color w:val="auto"/>
          <w:kern w:val="0"/>
          <w:sz w:val="24"/>
        </w:rPr>
        <w:t xml:space="preserve">   </w:t>
      </w:r>
      <w:r>
        <w:rPr>
          <w:rFonts w:hint="eastAsia" w:ascii="宋体" w:hAnsi="宋体" w:eastAsia="宋体" w:cs="仿宋"/>
          <w:bCs/>
          <w:color w:val="auto"/>
          <w:kern w:val="0"/>
          <w:sz w:val="24"/>
          <w:lang w:eastAsia="zh-CN"/>
        </w:rPr>
        <w:t>8.</w:t>
      </w:r>
      <w:r>
        <w:rPr>
          <w:rFonts w:hint="eastAsia" w:ascii="宋体" w:hAnsi="宋体" w:eastAsia="宋体" w:cs="仿宋"/>
          <w:bCs/>
          <w:color w:val="auto"/>
          <w:kern w:val="0"/>
          <w:sz w:val="24"/>
        </w:rPr>
        <w:t xml:space="preserve">尊重和接受政府采购监督管理部门的监督和政府招标代理机构招标要求，承担因违约行为给采购人造成的损失。 </w:t>
      </w:r>
    </w:p>
    <w:p w14:paraId="7BC798B3">
      <w:pPr>
        <w:topLinePunct w:val="0"/>
        <w:bidi w:val="0"/>
        <w:spacing w:line="480" w:lineRule="exact"/>
        <w:rPr>
          <w:rFonts w:ascii="宋体" w:hAnsi="宋体" w:eastAsia="宋体" w:cs="仿宋"/>
          <w:bCs/>
          <w:color w:val="auto"/>
          <w:kern w:val="0"/>
          <w:sz w:val="22"/>
          <w:szCs w:val="24"/>
        </w:rPr>
      </w:pPr>
      <w:r>
        <w:rPr>
          <w:rFonts w:hint="eastAsia" w:ascii="宋体" w:hAnsi="宋体" w:eastAsia="宋体" w:cs="仿宋"/>
          <w:bCs/>
          <w:color w:val="auto"/>
          <w:kern w:val="0"/>
          <w:sz w:val="24"/>
        </w:rPr>
        <w:t>　　</w:t>
      </w:r>
      <w:r>
        <w:rPr>
          <w:rFonts w:hint="eastAsia" w:ascii="宋体" w:hAnsi="宋体" w:eastAsia="宋体" w:cs="仿宋"/>
          <w:bCs/>
          <w:color w:val="auto"/>
          <w:kern w:val="0"/>
          <w:sz w:val="24"/>
          <w:lang w:eastAsia="zh-CN"/>
        </w:rPr>
        <w:t>9.</w:t>
      </w:r>
      <w:r>
        <w:rPr>
          <w:rFonts w:hint="eastAsia" w:ascii="宋体" w:hAnsi="宋体" w:eastAsia="宋体" w:cs="仿宋"/>
          <w:bCs/>
          <w:color w:val="auto"/>
          <w:kern w:val="0"/>
          <w:sz w:val="24"/>
        </w:rPr>
        <w:t xml:space="preserve">不发生其他有悖于政府采购公开、公平、公正和诚信原则的行为。 </w:t>
      </w:r>
    </w:p>
    <w:p w14:paraId="4CC248EC">
      <w:pPr>
        <w:topLinePunct w:val="0"/>
        <w:bidi w:val="0"/>
        <w:spacing w:line="480" w:lineRule="exact"/>
        <w:ind w:firstLine="972" w:firstLineChars="400"/>
        <w:rPr>
          <w:rFonts w:ascii="宋体" w:hAnsi="宋体" w:eastAsia="宋体" w:cs="仿宋"/>
          <w:bCs/>
          <w:color w:val="auto"/>
          <w:kern w:val="0"/>
          <w:sz w:val="24"/>
        </w:rPr>
      </w:pPr>
    </w:p>
    <w:p w14:paraId="23B46B16">
      <w:pPr>
        <w:topLinePunct w:val="0"/>
        <w:bidi w:val="0"/>
        <w:spacing w:line="480" w:lineRule="exact"/>
        <w:ind w:firstLine="972" w:firstLineChars="400"/>
        <w:rPr>
          <w:rFonts w:ascii="宋体" w:hAnsi="宋体" w:eastAsia="宋体" w:cs="仿宋"/>
          <w:bCs/>
          <w:color w:val="auto"/>
          <w:kern w:val="0"/>
          <w:sz w:val="24"/>
        </w:rPr>
      </w:pPr>
    </w:p>
    <w:p w14:paraId="6A783BD2">
      <w:pPr>
        <w:topLinePunct w:val="0"/>
        <w:bidi w:val="0"/>
        <w:spacing w:line="480" w:lineRule="exact"/>
        <w:ind w:firstLine="486" w:firstLineChars="200"/>
        <w:rPr>
          <w:rFonts w:ascii="宋体" w:hAnsi="宋体" w:eastAsia="宋体" w:cs="仿宋"/>
          <w:bCs/>
          <w:color w:val="auto"/>
          <w:kern w:val="0"/>
          <w:sz w:val="24"/>
        </w:rPr>
      </w:pPr>
      <w:r>
        <w:rPr>
          <w:rFonts w:hint="eastAsia" w:ascii="宋体" w:hAnsi="宋体" w:eastAsia="宋体" w:cs="仿宋"/>
          <w:bCs/>
          <w:color w:val="auto"/>
          <w:kern w:val="0"/>
          <w:sz w:val="24"/>
        </w:rPr>
        <w:t>承诺单位：</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（盖章）</w:t>
      </w:r>
    </w:p>
    <w:p w14:paraId="5507ED49">
      <w:pPr>
        <w:topLinePunct w:val="0"/>
        <w:bidi w:val="0"/>
        <w:spacing w:line="480" w:lineRule="exact"/>
        <w:rPr>
          <w:rFonts w:ascii="宋体" w:hAnsi="宋体" w:eastAsia="宋体" w:cs="仿宋"/>
          <w:bCs/>
          <w:color w:val="auto"/>
          <w:kern w:val="0"/>
          <w:sz w:val="24"/>
        </w:rPr>
      </w:pPr>
      <w:r>
        <w:rPr>
          <w:rFonts w:hint="eastAsia" w:ascii="宋体" w:hAnsi="宋体" w:eastAsia="宋体" w:cs="仿宋"/>
          <w:bCs/>
          <w:color w:val="auto"/>
          <w:kern w:val="0"/>
          <w:sz w:val="24"/>
        </w:rPr>
        <w:t>  全权代表：</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 xml:space="preserve">（签字） </w:t>
      </w:r>
    </w:p>
    <w:p w14:paraId="44D3545A">
      <w:pPr>
        <w:topLinePunct w:val="0"/>
        <w:bidi w:val="0"/>
        <w:spacing w:line="480" w:lineRule="exact"/>
        <w:rPr>
          <w:rFonts w:ascii="宋体" w:hAnsi="宋体" w:eastAsia="宋体" w:cs="仿宋"/>
          <w:bCs/>
          <w:color w:val="auto"/>
          <w:kern w:val="0"/>
          <w:sz w:val="24"/>
          <w:u w:val="single"/>
        </w:rPr>
      </w:pPr>
      <w:r>
        <w:rPr>
          <w:rFonts w:hint="eastAsia" w:ascii="宋体" w:hAnsi="宋体" w:eastAsia="宋体" w:cs="仿宋"/>
          <w:bCs/>
          <w:color w:val="auto"/>
          <w:kern w:val="0"/>
          <w:sz w:val="24"/>
        </w:rPr>
        <w:t xml:space="preserve">    地　　址：</w:t>
      </w:r>
      <w:r>
        <w:rPr>
          <w:rFonts w:hint="eastAsia" w:ascii="宋体" w:hAnsi="宋体" w:eastAsia="宋体" w:cs="仿宋"/>
          <w:bCs/>
          <w:color w:val="auto"/>
          <w:kern w:val="0"/>
          <w:sz w:val="24"/>
          <w:u w:val="single"/>
        </w:rPr>
        <w:t xml:space="preserve">                              </w:t>
      </w:r>
    </w:p>
    <w:p w14:paraId="5B4D2DC4">
      <w:pPr>
        <w:topLinePunct w:val="0"/>
        <w:bidi w:val="0"/>
        <w:spacing w:line="480" w:lineRule="exact"/>
        <w:rPr>
          <w:rFonts w:ascii="宋体" w:hAnsi="宋体" w:eastAsia="宋体" w:cs="仿宋"/>
          <w:bCs/>
          <w:color w:val="auto"/>
          <w:kern w:val="0"/>
          <w:sz w:val="24"/>
        </w:rPr>
      </w:pPr>
      <w:r>
        <w:rPr>
          <w:rFonts w:hint="eastAsia" w:ascii="宋体" w:hAnsi="宋体" w:eastAsia="宋体" w:cs="仿宋"/>
          <w:bCs/>
          <w:color w:val="auto"/>
          <w:kern w:val="0"/>
          <w:sz w:val="24"/>
        </w:rPr>
        <w:t xml:space="preserve">    邮    编：</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u w:val="single"/>
          <w:lang w:val="en-US" w:eastAsia="zh-CN"/>
        </w:rPr>
        <w:t xml:space="preserve"> </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   </w:t>
      </w:r>
    </w:p>
    <w:p w14:paraId="13E21313">
      <w:pPr>
        <w:topLinePunct w:val="0"/>
        <w:bidi w:val="0"/>
        <w:spacing w:line="480" w:lineRule="exact"/>
        <w:ind w:firstLine="243" w:firstLineChars="100"/>
        <w:rPr>
          <w:rFonts w:ascii="宋体" w:hAnsi="宋体" w:eastAsia="宋体" w:cs="仿宋"/>
          <w:bCs/>
          <w:color w:val="auto"/>
          <w:kern w:val="0"/>
          <w:sz w:val="24"/>
        </w:rPr>
      </w:pPr>
      <w:r>
        <w:rPr>
          <w:rFonts w:hint="eastAsia" w:ascii="宋体" w:hAnsi="宋体" w:eastAsia="宋体" w:cs="仿宋"/>
          <w:bCs/>
          <w:color w:val="auto"/>
          <w:kern w:val="0"/>
          <w:sz w:val="24"/>
        </w:rPr>
        <w:t> 电　　话：</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 xml:space="preserve">　　 </w:t>
      </w:r>
    </w:p>
    <w:p w14:paraId="260CB671">
      <w:pPr>
        <w:topLinePunct w:val="0"/>
        <w:bidi w:val="0"/>
        <w:spacing w:line="480" w:lineRule="exact"/>
        <w:rPr>
          <w:rFonts w:ascii="宋体" w:hAnsi="宋体" w:eastAsia="宋体" w:cs="仿宋"/>
          <w:bCs/>
          <w:color w:val="auto"/>
          <w:kern w:val="0"/>
          <w:sz w:val="24"/>
        </w:rPr>
      </w:pPr>
    </w:p>
    <w:p w14:paraId="12478376">
      <w:pPr>
        <w:topLinePunct w:val="0"/>
        <w:bidi w:val="0"/>
        <w:spacing w:line="480" w:lineRule="exact"/>
        <w:ind w:firstLine="3645" w:firstLineChars="1500"/>
        <w:rPr>
          <w:rFonts w:hint="eastAsia" w:ascii="宋体" w:hAnsi="宋体" w:eastAsia="宋体" w:cs="仿宋"/>
          <w:bCs/>
          <w:color w:val="auto"/>
          <w:kern w:val="0"/>
          <w:sz w:val="24"/>
        </w:rPr>
      </w:pPr>
      <w:r>
        <w:rPr>
          <w:rFonts w:hint="eastAsia" w:ascii="宋体" w:hAnsi="宋体" w:eastAsia="宋体" w:cs="仿宋"/>
          <w:bCs/>
          <w:color w:val="auto"/>
          <w:kern w:val="0"/>
          <w:sz w:val="24"/>
        </w:rPr>
        <w:t>年　　月　　日</w:t>
      </w:r>
    </w:p>
    <w:p w14:paraId="188FD538">
      <w:pPr>
        <w:topLinePunct w:val="0"/>
        <w:bidi w:val="0"/>
        <w:spacing w:line="480" w:lineRule="exact"/>
        <w:ind w:firstLine="6045" w:firstLineChars="1500"/>
        <w:rPr>
          <w:rFonts w:hint="eastAsia" w:ascii="宋体" w:hAnsi="宋体" w:eastAsia="宋体" w:cs="仿宋"/>
          <w:bCs/>
          <w:color w:val="auto"/>
          <w:sz w:val="40"/>
          <w:szCs w:val="40"/>
        </w:rPr>
      </w:pPr>
      <w:r>
        <w:rPr>
          <w:rFonts w:hint="eastAsia" w:ascii="宋体" w:hAnsi="宋体" w:eastAsia="宋体" w:cs="仿宋"/>
          <w:bCs/>
          <w:color w:val="auto"/>
          <w:sz w:val="40"/>
          <w:szCs w:val="40"/>
        </w:rPr>
        <w:tab/>
      </w:r>
    </w:p>
    <w:p w14:paraId="2E588160">
      <w:pPr>
        <w:pStyle w:val="47"/>
        <w:tabs>
          <w:tab w:val="left" w:pos="957"/>
        </w:tabs>
        <w:jc w:val="center"/>
        <w:rPr>
          <w:rFonts w:hint="eastAsia" w:ascii="宋体" w:hAnsi="宋体" w:eastAsia="宋体" w:cs="宋体"/>
          <w:b w:val="0"/>
          <w:bCs w:val="0"/>
          <w:color w:val="auto"/>
          <w:sz w:val="24"/>
          <w:szCs w:val="24"/>
        </w:rPr>
      </w:pPr>
      <w:bookmarkStart w:id="425" w:name="_Toc23315694"/>
      <w:bookmarkStart w:id="426" w:name="_Toc11224"/>
      <w:r>
        <w:rPr>
          <w:rFonts w:hint="eastAsia" w:ascii="宋体" w:hAnsi="宋体" w:eastAsia="宋体" w:cs="宋体"/>
          <w:b w:val="0"/>
          <w:bCs w:val="0"/>
          <w:color w:val="auto"/>
          <w:sz w:val="24"/>
          <w:szCs w:val="24"/>
        </w:rPr>
        <w:t>承诺书Ⅱ</w:t>
      </w:r>
      <w:bookmarkEnd w:id="425"/>
      <w:bookmarkEnd w:id="426"/>
    </w:p>
    <w:p w14:paraId="6FF3B3A0">
      <w:pPr>
        <w:topLinePunct w:val="0"/>
        <w:bidi w:val="0"/>
        <w:spacing w:line="480" w:lineRule="exact"/>
        <w:rPr>
          <w:rFonts w:ascii="宋体" w:hAnsi="宋体" w:eastAsia="宋体"/>
          <w:color w:val="auto"/>
          <w:sz w:val="24"/>
        </w:rPr>
      </w:pPr>
      <w:r>
        <w:rPr>
          <w:rFonts w:hint="eastAsia" w:ascii="宋体" w:hAnsi="宋体" w:eastAsia="宋体"/>
          <w:color w:val="auto"/>
          <w:sz w:val="24"/>
        </w:rPr>
        <w:t>致：安康尚昊招标代理有限公司</w:t>
      </w:r>
    </w:p>
    <w:p w14:paraId="07C62E6F">
      <w:pPr>
        <w:topLinePunct w:val="0"/>
        <w:bidi w:val="0"/>
        <w:spacing w:line="480" w:lineRule="exact"/>
        <w:ind w:firstLine="477" w:firstLineChars="197"/>
        <w:rPr>
          <w:rFonts w:ascii="宋体" w:hAnsi="宋体" w:eastAsia="宋体"/>
          <w:color w:val="auto"/>
          <w:sz w:val="24"/>
        </w:rPr>
      </w:pPr>
      <w:r>
        <w:rPr>
          <w:rFonts w:hint="eastAsia" w:ascii="宋体" w:hAnsi="宋体" w:eastAsia="宋体"/>
          <w:color w:val="auto"/>
          <w:sz w:val="24"/>
        </w:rPr>
        <w:t>为了诚实、客观、有序地参与政府采购活动，愿就以下内容作出承诺：</w:t>
      </w:r>
    </w:p>
    <w:p w14:paraId="31394246">
      <w:pPr>
        <w:topLinePunct w:val="0"/>
        <w:bidi w:val="0"/>
        <w:spacing w:line="480" w:lineRule="exact"/>
        <w:ind w:firstLine="477" w:firstLineChars="197"/>
        <w:rPr>
          <w:rFonts w:ascii="宋体" w:hAnsi="宋体" w:eastAsia="宋体"/>
          <w:color w:val="auto"/>
          <w:sz w:val="24"/>
        </w:rPr>
      </w:pPr>
      <w:r>
        <w:rPr>
          <w:rFonts w:hint="eastAsia" w:ascii="宋体" w:hAnsi="宋体" w:eastAsia="宋体"/>
          <w:color w:val="auto"/>
          <w:sz w:val="24"/>
          <w:lang w:eastAsia="zh-CN"/>
        </w:rPr>
        <w:t>1.</w:t>
      </w:r>
      <w:r>
        <w:rPr>
          <w:rFonts w:hint="eastAsia" w:ascii="宋体" w:hAnsi="宋体" w:eastAsia="宋体"/>
          <w:color w:val="auto"/>
          <w:sz w:val="24"/>
        </w:rPr>
        <w:t>参加采购代理机构组织的政府采购活动时，严格按照谈判文件的规定和要求提供所需的相关材料，并对所提供的各类资料的真实性负责，不虚假应标，不虚列业绩。</w:t>
      </w:r>
    </w:p>
    <w:p w14:paraId="066F87B7">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2.</w:t>
      </w:r>
      <w:r>
        <w:rPr>
          <w:rFonts w:hint="eastAsia" w:ascii="宋体" w:hAnsi="宋体" w:eastAsia="宋体" w:cs="仿宋"/>
          <w:bCs/>
          <w:color w:val="auto"/>
          <w:kern w:val="0"/>
          <w:sz w:val="24"/>
        </w:rPr>
        <w:t>尊重参与政府采购活动各相关方的合法行为，接受政府采购活动依法形成的意见、结果。</w:t>
      </w:r>
    </w:p>
    <w:p w14:paraId="534D5DBB">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3.</w:t>
      </w:r>
      <w:r>
        <w:rPr>
          <w:rFonts w:hint="eastAsia" w:ascii="宋体" w:hAnsi="宋体" w:eastAsia="宋体" w:cs="仿宋"/>
          <w:bCs/>
          <w:color w:val="auto"/>
          <w:kern w:val="0"/>
          <w:sz w:val="24"/>
        </w:rPr>
        <w:t>依法参加政府采购活动，不围标、串标，维护市场秩序。近三年因项目质量问题的不法行为记录为</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次（没有填零），如有隐瞒实情，愿承担一切责任及后果。</w:t>
      </w:r>
    </w:p>
    <w:p w14:paraId="168E1247">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4.</w:t>
      </w:r>
      <w:r>
        <w:rPr>
          <w:rFonts w:hint="eastAsia" w:ascii="宋体" w:hAnsi="宋体" w:eastAsia="宋体" w:cs="仿宋"/>
          <w:bCs/>
          <w:color w:val="auto"/>
          <w:kern w:val="0"/>
          <w:sz w:val="24"/>
        </w:rPr>
        <w:t>作为参加贵公司组织的采购项目的响应单位，本公司承诺：在参加本项目谈判之前不存在被依法禁止经营行为、财产被接管或冻结的情况，如有隐瞒实情，愿承担一切责任及后果。</w:t>
      </w:r>
    </w:p>
    <w:p w14:paraId="3E558B66">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5.</w:t>
      </w:r>
      <w:r>
        <w:rPr>
          <w:rFonts w:hint="eastAsia" w:ascii="宋体" w:hAnsi="宋体" w:eastAsia="宋体" w:cs="仿宋"/>
          <w:bCs/>
          <w:color w:val="auto"/>
          <w:kern w:val="0"/>
          <w:sz w:val="24"/>
        </w:rPr>
        <w:t>近三年受到有关行政主管部门的行政处理、不良行为记录为</w:t>
      </w:r>
      <w:r>
        <w:rPr>
          <w:rFonts w:hint="eastAsia" w:ascii="宋体" w:hAnsi="宋体" w:eastAsia="宋体" w:cs="仿宋"/>
          <w:bCs/>
          <w:color w:val="auto"/>
          <w:kern w:val="0"/>
          <w:sz w:val="24"/>
          <w:u w:val="single"/>
        </w:rPr>
        <w:t>    </w:t>
      </w:r>
      <w:r>
        <w:rPr>
          <w:rFonts w:hint="eastAsia" w:ascii="宋体" w:hAnsi="宋体" w:eastAsia="宋体" w:cs="仿宋"/>
          <w:bCs/>
          <w:color w:val="auto"/>
          <w:kern w:val="0"/>
          <w:sz w:val="24"/>
        </w:rPr>
        <w:t>次（没有填零），如有隐瞒实情，愿承担一切责任及后果。</w:t>
      </w:r>
    </w:p>
    <w:p w14:paraId="5F13F289">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6.</w:t>
      </w:r>
      <w:r>
        <w:rPr>
          <w:rFonts w:hint="eastAsia" w:ascii="宋体" w:hAnsi="宋体" w:eastAsia="宋体" w:cs="仿宋"/>
          <w:bCs/>
          <w:color w:val="auto"/>
          <w:kern w:val="0"/>
          <w:sz w:val="24"/>
        </w:rPr>
        <w:t>参加本次谈判提交的所有</w:t>
      </w:r>
      <w:r>
        <w:rPr>
          <w:rFonts w:hint="eastAsia" w:ascii="宋体" w:hAnsi="宋体" w:eastAsia="宋体" w:cs="仿宋"/>
          <w:bCs/>
          <w:color w:val="auto"/>
          <w:kern w:val="0"/>
          <w:sz w:val="24"/>
          <w:lang w:eastAsia="zh-CN"/>
        </w:rPr>
        <w:t>资格证明文件</w:t>
      </w:r>
      <w:r>
        <w:rPr>
          <w:rFonts w:hint="eastAsia" w:ascii="宋体" w:hAnsi="宋体" w:eastAsia="宋体" w:cs="仿宋"/>
          <w:bCs/>
          <w:color w:val="auto"/>
          <w:kern w:val="0"/>
          <w:sz w:val="24"/>
        </w:rPr>
        <w:t>及业绩证明是真实的、有效的，如有隐瞒实情，愿承担一切责任及后果。</w:t>
      </w:r>
    </w:p>
    <w:p w14:paraId="22A74A48">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7.</w:t>
      </w:r>
      <w:r>
        <w:rPr>
          <w:rFonts w:hint="eastAsia" w:ascii="宋体" w:hAnsi="宋体" w:eastAsia="宋体" w:cs="仿宋"/>
          <w:bCs/>
          <w:color w:val="auto"/>
          <w:kern w:val="0"/>
          <w:sz w:val="24"/>
        </w:rPr>
        <w:t>积极推动政府采购活动健康开展，对采购活动有疑问、异议时，按法律规定的程序实名（加盖单位章和法定代表人签名）反映情况，不恶意中伤、无事生非，以和谐、平等的心态参加政府采购活动。</w:t>
      </w:r>
    </w:p>
    <w:p w14:paraId="50BFBF02">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lang w:eastAsia="zh-CN"/>
        </w:rPr>
        <w:t>8.</w:t>
      </w:r>
      <w:r>
        <w:rPr>
          <w:rFonts w:hint="eastAsia" w:ascii="宋体" w:hAnsi="宋体" w:eastAsia="宋体" w:cs="仿宋"/>
          <w:bCs/>
          <w:color w:val="auto"/>
          <w:kern w:val="0"/>
          <w:sz w:val="24"/>
        </w:rPr>
        <w:t>认真履行成交单位应承担的责任和义务，全面执行采购合同规定的各项内容，保质保量地按时提供采购物品。</w:t>
      </w:r>
    </w:p>
    <w:p w14:paraId="1E55E66F">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rPr>
        <w:t>若本企业（单位）发生有悖于上述承诺的行为，愿意接受《中华人民共和国政府采购法》和《中华人民共和国政府采购法实施条例》中对响应单位的相关处理。</w:t>
      </w:r>
    </w:p>
    <w:p w14:paraId="26BA8BAA">
      <w:pPr>
        <w:shd w:val="clear" w:color="auto" w:fill="FFFFFF"/>
        <w:topLinePunct w:val="0"/>
        <w:bidi w:val="0"/>
        <w:spacing w:line="480" w:lineRule="exact"/>
        <w:ind w:firstLine="480"/>
        <w:rPr>
          <w:rFonts w:ascii="宋体" w:hAnsi="宋体" w:eastAsia="宋体" w:cs="仿宋"/>
          <w:bCs/>
          <w:color w:val="auto"/>
          <w:kern w:val="0"/>
          <w:sz w:val="24"/>
        </w:rPr>
      </w:pPr>
      <w:r>
        <w:rPr>
          <w:rFonts w:hint="eastAsia" w:ascii="宋体" w:hAnsi="宋体" w:eastAsia="宋体" w:cs="仿宋"/>
          <w:bCs/>
          <w:color w:val="auto"/>
          <w:kern w:val="0"/>
          <w:sz w:val="24"/>
        </w:rPr>
        <w:t>本承诺是采购项目响应文件的组成部分。</w:t>
      </w:r>
    </w:p>
    <w:p w14:paraId="3B0EE7B1">
      <w:pPr>
        <w:shd w:val="clear" w:color="auto" w:fill="FFFFFF"/>
        <w:topLinePunct w:val="0"/>
        <w:bidi w:val="0"/>
        <w:spacing w:line="480" w:lineRule="exact"/>
        <w:ind w:firstLine="4363" w:firstLineChars="1796"/>
        <w:rPr>
          <w:rFonts w:hint="eastAsia" w:ascii="宋体" w:hAnsi="宋体" w:eastAsia="宋体" w:cs="仿宋"/>
          <w:bCs/>
          <w:color w:val="auto"/>
          <w:kern w:val="0"/>
          <w:sz w:val="24"/>
        </w:rPr>
      </w:pPr>
    </w:p>
    <w:p w14:paraId="53150ADB">
      <w:pPr>
        <w:shd w:val="clear" w:color="auto" w:fill="FFFFFF"/>
        <w:topLinePunct w:val="0"/>
        <w:bidi w:val="0"/>
        <w:spacing w:line="480" w:lineRule="exact"/>
        <w:ind w:firstLine="4363" w:firstLineChars="1796"/>
        <w:rPr>
          <w:rFonts w:ascii="宋体" w:hAnsi="宋体" w:eastAsia="宋体" w:cs="仿宋"/>
          <w:bCs/>
          <w:color w:val="auto"/>
          <w:kern w:val="0"/>
          <w:sz w:val="24"/>
        </w:rPr>
      </w:pPr>
      <w:r>
        <w:rPr>
          <w:rFonts w:hint="eastAsia" w:ascii="宋体" w:hAnsi="宋体" w:eastAsia="宋体" w:cs="仿宋"/>
          <w:bCs/>
          <w:color w:val="auto"/>
          <w:kern w:val="0"/>
          <w:sz w:val="24"/>
        </w:rPr>
        <w:t>承诺单位：</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（盖章）</w:t>
      </w:r>
    </w:p>
    <w:p w14:paraId="62A280BB">
      <w:pPr>
        <w:shd w:val="clear" w:color="auto" w:fill="FFFFFF"/>
        <w:topLinePunct w:val="0"/>
        <w:bidi w:val="0"/>
        <w:spacing w:line="480" w:lineRule="exact"/>
        <w:ind w:firstLine="4363" w:firstLineChars="1796"/>
        <w:rPr>
          <w:rFonts w:ascii="宋体" w:hAnsi="宋体" w:eastAsia="宋体" w:cs="仿宋"/>
          <w:bCs/>
          <w:color w:val="auto"/>
          <w:kern w:val="0"/>
          <w:sz w:val="24"/>
        </w:rPr>
      </w:pPr>
      <w:r>
        <w:rPr>
          <w:rFonts w:hint="eastAsia" w:ascii="宋体" w:hAnsi="宋体" w:eastAsia="宋体" w:cs="仿宋"/>
          <w:bCs/>
          <w:color w:val="auto"/>
          <w:kern w:val="0"/>
          <w:sz w:val="24"/>
        </w:rPr>
        <w:t>全权代表：</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（签字）</w:t>
      </w:r>
    </w:p>
    <w:p w14:paraId="7EB6A207">
      <w:pPr>
        <w:shd w:val="clear" w:color="auto" w:fill="FFFFFF"/>
        <w:topLinePunct w:val="0"/>
        <w:bidi w:val="0"/>
        <w:spacing w:line="480" w:lineRule="exact"/>
        <w:ind w:firstLine="4363" w:firstLineChars="1796"/>
        <w:rPr>
          <w:rFonts w:ascii="宋体" w:hAnsi="宋体" w:eastAsia="宋体" w:cs="仿宋"/>
          <w:bCs/>
          <w:color w:val="auto"/>
          <w:sz w:val="24"/>
        </w:rPr>
      </w:pPr>
      <w:r>
        <w:rPr>
          <w:rFonts w:hint="eastAsia" w:ascii="宋体" w:hAnsi="宋体" w:eastAsia="宋体" w:cs="仿宋"/>
          <w:bCs/>
          <w:color w:val="auto"/>
          <w:kern w:val="0"/>
          <w:sz w:val="24"/>
        </w:rPr>
        <w:t>日    期：</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年</w:t>
      </w:r>
      <w:r>
        <w:rPr>
          <w:rFonts w:hint="eastAsia" w:ascii="宋体" w:hAnsi="宋体" w:eastAsia="宋体" w:cs="仿宋"/>
          <w:bCs/>
          <w:color w:val="auto"/>
          <w:kern w:val="0"/>
          <w:sz w:val="24"/>
          <w:u w:val="single"/>
        </w:rPr>
        <w:t xml:space="preserve">     </w:t>
      </w:r>
      <w:r>
        <w:rPr>
          <w:rFonts w:hint="eastAsia" w:ascii="宋体" w:hAnsi="宋体" w:eastAsia="宋体" w:cs="仿宋"/>
          <w:bCs/>
          <w:color w:val="auto"/>
          <w:kern w:val="0"/>
          <w:sz w:val="24"/>
        </w:rPr>
        <w:t>月</w:t>
      </w:r>
      <w:r>
        <w:rPr>
          <w:rFonts w:hint="eastAsia" w:ascii="宋体" w:hAnsi="宋体" w:eastAsia="宋体" w:cs="仿宋"/>
          <w:bCs/>
          <w:color w:val="auto"/>
          <w:szCs w:val="32"/>
          <w:u w:val="single"/>
        </w:rPr>
        <w:t xml:space="preserve">    </w:t>
      </w:r>
      <w:r>
        <w:rPr>
          <w:rFonts w:hint="eastAsia" w:ascii="宋体" w:hAnsi="宋体" w:eastAsia="宋体" w:cs="仿宋"/>
          <w:bCs/>
          <w:color w:val="auto"/>
          <w:sz w:val="24"/>
        </w:rPr>
        <w:t>日</w:t>
      </w:r>
    </w:p>
    <w:p w14:paraId="3EA478F4">
      <w:pPr>
        <w:spacing w:line="240" w:lineRule="auto"/>
        <w:jc w:val="left"/>
        <w:rPr>
          <w:rFonts w:ascii="宋体" w:hAnsi="宋体" w:eastAsia="宋体" w:cs="宋体"/>
          <w:b/>
          <w:bCs/>
          <w:color w:val="auto"/>
        </w:rPr>
        <w:sectPr>
          <w:headerReference r:id="rId20" w:type="default"/>
          <w:footerReference r:id="rId21" w:type="default"/>
          <w:pgSz w:w="11906" w:h="16838"/>
          <w:pgMar w:top="1247" w:right="1134" w:bottom="1020" w:left="1134" w:header="964" w:footer="992" w:gutter="0"/>
          <w:pgNumType w:fmt="decimal"/>
          <w:cols w:space="425" w:num="1"/>
          <w:rtlGutter w:val="0"/>
          <w:docGrid w:type="linesAndChars" w:linePitch="381" w:charSpace="704"/>
        </w:sectPr>
      </w:pPr>
      <w:bookmarkStart w:id="427" w:name="_Toc536202334"/>
      <w:bookmarkStart w:id="428" w:name="_Toc536429343"/>
      <w:bookmarkStart w:id="429" w:name="_Toc536202403"/>
      <w:bookmarkStart w:id="430" w:name="_Toc536429396"/>
      <w:bookmarkStart w:id="431" w:name="_Toc25514"/>
    </w:p>
    <w:p w14:paraId="28321C1B">
      <w:pPr>
        <w:spacing w:line="240" w:lineRule="auto"/>
        <w:jc w:val="left"/>
        <w:rPr>
          <w:rFonts w:ascii="宋体" w:hAnsi="宋体" w:eastAsia="宋体" w:cs="宋体"/>
          <w:b/>
          <w:bCs/>
          <w:color w:val="auto"/>
        </w:rPr>
      </w:pPr>
    </w:p>
    <w:p w14:paraId="48DF5F45">
      <w:pPr>
        <w:spacing w:line="240" w:lineRule="auto"/>
        <w:jc w:val="left"/>
        <w:rPr>
          <w:rFonts w:ascii="宋体" w:hAnsi="宋体" w:eastAsia="宋体" w:cs="宋体"/>
          <w:b/>
          <w:bCs/>
          <w:color w:val="auto"/>
        </w:rPr>
      </w:pPr>
    </w:p>
    <w:p w14:paraId="66E31E64">
      <w:pPr>
        <w:spacing w:line="240" w:lineRule="auto"/>
        <w:jc w:val="left"/>
        <w:rPr>
          <w:rFonts w:ascii="宋体" w:hAnsi="宋体" w:eastAsia="宋体" w:cs="宋体"/>
          <w:b/>
          <w:bCs/>
          <w:color w:val="auto"/>
        </w:rPr>
      </w:pPr>
    </w:p>
    <w:p w14:paraId="4672A05C">
      <w:pPr>
        <w:spacing w:line="240" w:lineRule="auto"/>
        <w:jc w:val="left"/>
        <w:rPr>
          <w:rFonts w:ascii="宋体" w:hAnsi="宋体" w:eastAsia="宋体" w:cs="宋体"/>
          <w:b/>
          <w:bCs/>
          <w:color w:val="auto"/>
        </w:rPr>
      </w:pPr>
    </w:p>
    <w:p w14:paraId="6AA828A4">
      <w:pPr>
        <w:spacing w:line="240" w:lineRule="auto"/>
        <w:jc w:val="left"/>
        <w:rPr>
          <w:rFonts w:ascii="宋体" w:hAnsi="宋体" w:eastAsia="宋体" w:cs="宋体"/>
          <w:b/>
          <w:bCs/>
          <w:color w:val="auto"/>
        </w:rPr>
      </w:pPr>
    </w:p>
    <w:p w14:paraId="34A0C2A4">
      <w:pPr>
        <w:spacing w:line="240" w:lineRule="auto"/>
        <w:jc w:val="left"/>
        <w:rPr>
          <w:rFonts w:ascii="宋体" w:hAnsi="宋体" w:eastAsia="宋体" w:cs="宋体"/>
          <w:b/>
          <w:bCs/>
          <w:color w:val="auto"/>
        </w:rPr>
      </w:pPr>
    </w:p>
    <w:p w14:paraId="69E3C848">
      <w:pPr>
        <w:spacing w:line="240" w:lineRule="auto"/>
        <w:jc w:val="left"/>
        <w:rPr>
          <w:rFonts w:ascii="宋体" w:hAnsi="宋体" w:eastAsia="宋体" w:cs="宋体"/>
          <w:b/>
          <w:bCs/>
          <w:color w:val="auto"/>
        </w:rPr>
      </w:pPr>
    </w:p>
    <w:p w14:paraId="6FF92BE0">
      <w:pPr>
        <w:spacing w:line="240" w:lineRule="auto"/>
        <w:jc w:val="left"/>
        <w:rPr>
          <w:rFonts w:ascii="宋体" w:hAnsi="宋体" w:eastAsia="宋体" w:cs="宋体"/>
          <w:b/>
          <w:bCs/>
          <w:color w:val="auto"/>
        </w:rPr>
      </w:pPr>
    </w:p>
    <w:p w14:paraId="19E2EF1F">
      <w:pPr>
        <w:spacing w:line="240" w:lineRule="auto"/>
        <w:jc w:val="left"/>
        <w:rPr>
          <w:rFonts w:ascii="宋体" w:hAnsi="宋体" w:eastAsia="宋体" w:cs="宋体"/>
          <w:b/>
          <w:bCs/>
          <w:color w:val="auto"/>
        </w:rPr>
      </w:pPr>
    </w:p>
    <w:p w14:paraId="1134E4C9">
      <w:pPr>
        <w:spacing w:line="240" w:lineRule="auto"/>
        <w:jc w:val="left"/>
        <w:rPr>
          <w:rFonts w:ascii="宋体" w:hAnsi="宋体" w:eastAsia="宋体" w:cs="宋体"/>
          <w:b/>
          <w:bCs/>
          <w:color w:val="auto"/>
        </w:rPr>
      </w:pPr>
    </w:p>
    <w:p w14:paraId="70D59737">
      <w:pPr>
        <w:spacing w:line="240" w:lineRule="auto"/>
        <w:jc w:val="left"/>
        <w:rPr>
          <w:rFonts w:ascii="宋体" w:hAnsi="宋体" w:eastAsia="宋体" w:cs="宋体"/>
          <w:b/>
          <w:bCs/>
          <w:color w:val="auto"/>
        </w:rPr>
      </w:pPr>
    </w:p>
    <w:p w14:paraId="29F4186D">
      <w:pPr>
        <w:spacing w:line="240" w:lineRule="auto"/>
        <w:jc w:val="left"/>
        <w:rPr>
          <w:rFonts w:ascii="宋体" w:hAnsi="宋体" w:eastAsia="宋体" w:cs="宋体"/>
          <w:b/>
          <w:bCs/>
          <w:color w:val="auto"/>
        </w:rPr>
      </w:pPr>
    </w:p>
    <w:p w14:paraId="59C7062D">
      <w:pPr>
        <w:spacing w:line="240" w:lineRule="auto"/>
        <w:jc w:val="left"/>
        <w:rPr>
          <w:rFonts w:ascii="宋体" w:hAnsi="宋体" w:eastAsia="宋体" w:cs="宋体"/>
          <w:b/>
          <w:bCs/>
          <w:color w:val="auto"/>
        </w:rPr>
      </w:pPr>
    </w:p>
    <w:p w14:paraId="053C899B">
      <w:pPr>
        <w:spacing w:line="240" w:lineRule="auto"/>
        <w:jc w:val="left"/>
        <w:rPr>
          <w:rFonts w:ascii="宋体" w:hAnsi="宋体" w:eastAsia="宋体" w:cs="宋体"/>
          <w:b/>
          <w:bCs/>
          <w:color w:val="auto"/>
        </w:rPr>
      </w:pPr>
    </w:p>
    <w:p w14:paraId="0797C5E5">
      <w:pPr>
        <w:spacing w:line="240" w:lineRule="auto"/>
        <w:jc w:val="left"/>
        <w:rPr>
          <w:rFonts w:ascii="宋体" w:hAnsi="宋体" w:eastAsia="宋体" w:cs="宋体"/>
          <w:b/>
          <w:bCs/>
          <w:color w:val="auto"/>
        </w:rPr>
      </w:pPr>
    </w:p>
    <w:p w14:paraId="3F81FECF">
      <w:pPr>
        <w:spacing w:line="240" w:lineRule="auto"/>
        <w:jc w:val="left"/>
        <w:rPr>
          <w:rFonts w:ascii="宋体" w:hAnsi="宋体" w:eastAsia="宋体" w:cs="宋体"/>
          <w:b/>
          <w:bCs/>
          <w:color w:val="auto"/>
        </w:rPr>
      </w:pPr>
    </w:p>
    <w:p w14:paraId="47361AAF">
      <w:pPr>
        <w:spacing w:line="240" w:lineRule="auto"/>
        <w:jc w:val="left"/>
        <w:rPr>
          <w:rFonts w:ascii="宋体" w:hAnsi="宋体" w:eastAsia="宋体" w:cs="宋体"/>
          <w:b/>
          <w:bCs/>
          <w:color w:val="auto"/>
        </w:rPr>
      </w:pPr>
    </w:p>
    <w:p w14:paraId="2C439003">
      <w:pPr>
        <w:spacing w:line="240" w:lineRule="auto"/>
        <w:jc w:val="left"/>
        <w:rPr>
          <w:rFonts w:ascii="宋体" w:hAnsi="宋体" w:eastAsia="宋体" w:cs="宋体"/>
          <w:b/>
          <w:bCs/>
          <w:color w:val="auto"/>
        </w:rPr>
      </w:pPr>
    </w:p>
    <w:p w14:paraId="65C1AD8A">
      <w:pPr>
        <w:spacing w:line="240" w:lineRule="auto"/>
        <w:jc w:val="left"/>
        <w:rPr>
          <w:rFonts w:ascii="宋体" w:hAnsi="宋体" w:eastAsia="宋体" w:cs="宋体"/>
          <w:b/>
          <w:bCs/>
          <w:color w:val="auto"/>
        </w:rPr>
      </w:pPr>
    </w:p>
    <w:p w14:paraId="020E7F32">
      <w:pPr>
        <w:spacing w:line="240" w:lineRule="auto"/>
        <w:jc w:val="left"/>
        <w:rPr>
          <w:rFonts w:ascii="宋体" w:hAnsi="宋体" w:eastAsia="宋体" w:cs="宋体"/>
          <w:b/>
          <w:bCs/>
          <w:color w:val="auto"/>
        </w:rPr>
      </w:pPr>
    </w:p>
    <w:p w14:paraId="1493F7D4">
      <w:pPr>
        <w:spacing w:line="240" w:lineRule="auto"/>
        <w:jc w:val="left"/>
        <w:rPr>
          <w:rFonts w:ascii="宋体" w:hAnsi="宋体" w:eastAsia="宋体" w:cs="宋体"/>
          <w:b/>
          <w:bCs/>
          <w:color w:val="auto"/>
        </w:rPr>
      </w:pPr>
    </w:p>
    <w:p w14:paraId="5FDF14F4">
      <w:pPr>
        <w:spacing w:line="240" w:lineRule="auto"/>
        <w:jc w:val="left"/>
        <w:rPr>
          <w:rFonts w:ascii="宋体" w:hAnsi="宋体" w:eastAsia="宋体" w:cs="宋体"/>
          <w:b/>
          <w:bCs/>
          <w:color w:val="auto"/>
        </w:rPr>
      </w:pPr>
    </w:p>
    <w:p w14:paraId="366CBAEE">
      <w:pPr>
        <w:spacing w:line="240" w:lineRule="auto"/>
        <w:jc w:val="left"/>
        <w:rPr>
          <w:rFonts w:ascii="宋体" w:hAnsi="宋体" w:eastAsia="宋体" w:cs="宋体"/>
          <w:b/>
          <w:bCs/>
          <w:color w:val="auto"/>
        </w:rPr>
      </w:pPr>
    </w:p>
    <w:p w14:paraId="1FCB1639">
      <w:pPr>
        <w:spacing w:line="240" w:lineRule="auto"/>
        <w:jc w:val="left"/>
        <w:rPr>
          <w:rFonts w:ascii="宋体" w:hAnsi="宋体" w:eastAsia="宋体" w:cs="宋体"/>
          <w:b/>
          <w:bCs/>
          <w:color w:val="auto"/>
        </w:rPr>
      </w:pPr>
    </w:p>
    <w:bookmarkEnd w:id="427"/>
    <w:bookmarkEnd w:id="428"/>
    <w:bookmarkEnd w:id="429"/>
    <w:bookmarkEnd w:id="430"/>
    <w:bookmarkEnd w:id="431"/>
    <w:p w14:paraId="4E276657">
      <w:pPr>
        <w:rPr>
          <w:color w:val="auto"/>
        </w:rPr>
      </w:pPr>
    </w:p>
    <w:p w14:paraId="372D48FC">
      <w:pPr>
        <w:spacing w:line="440" w:lineRule="exact"/>
        <w:jc w:val="both"/>
        <w:rPr>
          <w:rFonts w:hint="eastAsia" w:ascii="宋体" w:hAnsi="宋体" w:eastAsia="宋体" w:cs="宋体"/>
          <w:color w:val="auto"/>
          <w:sz w:val="32"/>
          <w:szCs w:val="32"/>
        </w:rPr>
      </w:pPr>
      <w:r>
        <w:rPr>
          <w:rFonts w:hint="eastAsia"/>
          <w:color w:val="auto"/>
        </w:rPr>
        <w:drawing>
          <wp:anchor distT="0" distB="0" distL="114300" distR="114300" simplePos="0" relativeHeight="251668480" behindDoc="0" locked="0" layoutInCell="1" allowOverlap="1">
            <wp:simplePos x="0" y="0"/>
            <wp:positionH relativeFrom="column">
              <wp:posOffset>2533015</wp:posOffset>
            </wp:positionH>
            <wp:positionV relativeFrom="paragraph">
              <wp:posOffset>13335</wp:posOffset>
            </wp:positionV>
            <wp:extent cx="353060" cy="255905"/>
            <wp:effectExtent l="0" t="0" r="8890" b="10795"/>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4"/>
                    <a:stretch>
                      <a:fillRect/>
                    </a:stretch>
                  </pic:blipFill>
                  <pic:spPr>
                    <a:xfrm>
                      <a:off x="0" y="0"/>
                      <a:ext cx="353060" cy="255905"/>
                    </a:xfrm>
                    <a:prstGeom prst="rect">
                      <a:avLst/>
                    </a:prstGeom>
                  </pic:spPr>
                </pic:pic>
              </a:graphicData>
            </a:graphic>
          </wp:anchor>
        </w:drawing>
      </w:r>
      <w:r>
        <w:rPr>
          <w:rFonts w:hint="eastAsia" w:ascii="宋体" w:hAnsi="宋体" w:eastAsia="宋体" w:cs="宋体"/>
          <w:color w:val="auto"/>
          <w:sz w:val="32"/>
          <w:szCs w:val="32"/>
        </w:rPr>
        <w:t>安康尚昊招标代理有限公司</w:t>
      </w:r>
    </w:p>
    <w:p w14:paraId="5BC75C96">
      <w:pPr>
        <w:spacing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745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60166D38">
      <w:pPr>
        <w:autoSpaceDE w:val="0"/>
        <w:autoSpaceDN w:val="0"/>
        <w:spacing w:line="440" w:lineRule="exact"/>
        <w:ind w:firstLine="132" w:firstLineChars="50"/>
        <w:rPr>
          <w:rFonts w:hint="eastAsia" w:ascii="宋体" w:hAnsi="宋体" w:eastAsia="宋体" w:cs="宋体"/>
          <w:color w:val="auto"/>
          <w:sz w:val="28"/>
          <w:szCs w:val="28"/>
          <w:lang w:eastAsia="zh-CN"/>
        </w:rPr>
      </w:pPr>
      <w:r>
        <w:rPr>
          <w:rFonts w:hint="eastAsia" w:ascii="宋体" w:hAnsi="宋体" w:eastAsia="宋体" w:cs="宋体"/>
          <w:color w:val="auto"/>
          <w:spacing w:val="1"/>
          <w:w w:val="93"/>
          <w:kern w:val="0"/>
          <w:sz w:val="28"/>
          <w:szCs w:val="28"/>
          <w:fitText w:val="1050" w:id="1031166653"/>
        </w:rPr>
        <w:t xml:space="preserve">地    </w:t>
      </w:r>
      <w:r>
        <w:rPr>
          <w:rFonts w:hint="eastAsia" w:ascii="宋体" w:hAnsi="宋体" w:eastAsia="宋体" w:cs="宋体"/>
          <w:color w:val="auto"/>
          <w:spacing w:val="0"/>
          <w:w w:val="93"/>
          <w:kern w:val="0"/>
          <w:sz w:val="28"/>
          <w:szCs w:val="28"/>
          <w:fitText w:val="1050" w:id="1031166653"/>
        </w:rPr>
        <w:t>址</w:t>
      </w:r>
      <w:r>
        <w:rPr>
          <w:rFonts w:hint="eastAsia" w:ascii="宋体" w:hAnsi="宋体" w:eastAsia="宋体" w:cs="宋体"/>
          <w:color w:val="auto"/>
          <w:spacing w:val="-6"/>
          <w:sz w:val="28"/>
          <w:szCs w:val="28"/>
        </w:rPr>
        <w:t>：</w:t>
      </w:r>
      <w:r>
        <w:rPr>
          <w:rFonts w:hint="eastAsia" w:ascii="宋体" w:hAnsi="宋体" w:eastAsia="宋体" w:cs="宋体"/>
          <w:color w:val="auto"/>
          <w:spacing w:val="-6"/>
          <w:sz w:val="28"/>
          <w:szCs w:val="28"/>
          <w:lang w:eastAsia="zh-CN"/>
        </w:rPr>
        <w:t>安康市高新区高新观澜8栋二单元801室</w:t>
      </w:r>
    </w:p>
    <w:p w14:paraId="2D2C4C41">
      <w:pPr>
        <w:autoSpaceDE w:val="0"/>
        <w:autoSpaceDN w:val="0"/>
        <w:spacing w:line="440" w:lineRule="exact"/>
        <w:ind w:firstLine="132" w:firstLineChars="50"/>
        <w:rPr>
          <w:rFonts w:hint="eastAsia" w:ascii="宋体" w:hAnsi="宋体" w:eastAsia="宋体" w:cs="宋体"/>
          <w:color w:val="auto"/>
          <w:sz w:val="28"/>
          <w:szCs w:val="28"/>
        </w:rPr>
      </w:pPr>
      <w:r>
        <w:rPr>
          <w:rFonts w:hint="eastAsia" w:ascii="宋体" w:hAnsi="宋体" w:eastAsia="宋体" w:cs="宋体"/>
          <w:color w:val="auto"/>
          <w:spacing w:val="1"/>
          <w:w w:val="93"/>
          <w:kern w:val="0"/>
          <w:sz w:val="28"/>
          <w:szCs w:val="28"/>
          <w:fitText w:val="1050" w:id="872365309"/>
        </w:rPr>
        <w:t xml:space="preserve">邮    </w:t>
      </w:r>
      <w:r>
        <w:rPr>
          <w:rFonts w:hint="eastAsia" w:ascii="宋体" w:hAnsi="宋体" w:eastAsia="宋体" w:cs="宋体"/>
          <w:color w:val="auto"/>
          <w:spacing w:val="0"/>
          <w:w w:val="93"/>
          <w:kern w:val="0"/>
          <w:sz w:val="28"/>
          <w:szCs w:val="28"/>
          <w:fitText w:val="1050" w:id="872365309"/>
        </w:rPr>
        <w:t>编</w:t>
      </w:r>
      <w:r>
        <w:rPr>
          <w:rFonts w:hint="eastAsia" w:ascii="宋体" w:hAnsi="宋体" w:eastAsia="宋体" w:cs="宋体"/>
          <w:color w:val="auto"/>
          <w:sz w:val="28"/>
          <w:szCs w:val="28"/>
        </w:rPr>
        <w:t>：725000</w:t>
      </w:r>
    </w:p>
    <w:p w14:paraId="210A834A">
      <w:pPr>
        <w:autoSpaceDE w:val="0"/>
        <w:autoSpaceDN w:val="0"/>
        <w:spacing w:line="440" w:lineRule="exact"/>
        <w:ind w:firstLine="132" w:firstLineChars="50"/>
        <w:rPr>
          <w:rFonts w:hint="eastAsia" w:ascii="宋体" w:hAnsi="宋体" w:eastAsia="宋体" w:cs="宋体"/>
          <w:color w:val="auto"/>
          <w:sz w:val="28"/>
          <w:szCs w:val="28"/>
          <w:lang w:val="en-US" w:eastAsia="zh-CN"/>
        </w:rPr>
      </w:pPr>
      <w:r>
        <w:rPr>
          <w:rFonts w:hint="eastAsia" w:ascii="宋体" w:hAnsi="宋体" w:eastAsia="宋体" w:cs="宋体"/>
          <w:color w:val="auto"/>
          <w:spacing w:val="1"/>
          <w:w w:val="93"/>
          <w:kern w:val="0"/>
          <w:sz w:val="28"/>
          <w:szCs w:val="28"/>
          <w:fitText w:val="1050" w:id="1381066792"/>
        </w:rPr>
        <w:t xml:space="preserve">电    </w:t>
      </w:r>
      <w:r>
        <w:rPr>
          <w:rFonts w:hint="eastAsia" w:ascii="宋体" w:hAnsi="宋体" w:eastAsia="宋体" w:cs="宋体"/>
          <w:color w:val="auto"/>
          <w:spacing w:val="0"/>
          <w:w w:val="93"/>
          <w:kern w:val="0"/>
          <w:sz w:val="28"/>
          <w:szCs w:val="28"/>
          <w:fitText w:val="1050" w:id="1381066792"/>
        </w:rPr>
        <w:t>话</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13991519725</w:t>
      </w:r>
    </w:p>
    <w:p w14:paraId="72748215">
      <w:pPr>
        <w:autoSpaceDE w:val="0"/>
        <w:autoSpaceDN w:val="0"/>
        <w:spacing w:line="440" w:lineRule="exact"/>
        <w:ind w:firstLine="132" w:firstLineChars="50"/>
        <w:rPr>
          <w:rFonts w:hint="eastAsia" w:ascii="宋体" w:hAnsi="宋体" w:eastAsia="宋体" w:cs="宋体"/>
          <w:color w:val="auto"/>
          <w:sz w:val="28"/>
          <w:szCs w:val="28"/>
        </w:rPr>
      </w:pPr>
      <w:r>
        <w:rPr>
          <w:rFonts w:hint="eastAsia" w:ascii="宋体" w:hAnsi="宋体" w:eastAsia="宋体" w:cs="宋体"/>
          <w:color w:val="auto"/>
          <w:spacing w:val="1"/>
          <w:w w:val="93"/>
          <w:kern w:val="0"/>
          <w:sz w:val="28"/>
          <w:szCs w:val="28"/>
          <w:fitText w:val="1050" w:id="660621658"/>
          <w:lang w:eastAsia="zh-CN"/>
        </w:rPr>
        <w:t>公司名称</w:t>
      </w:r>
      <w:r>
        <w:rPr>
          <w:rFonts w:hint="eastAsia" w:ascii="宋体" w:hAnsi="宋体" w:eastAsia="宋体" w:cs="宋体"/>
          <w:color w:val="auto"/>
          <w:sz w:val="28"/>
          <w:szCs w:val="28"/>
        </w:rPr>
        <w:t>：安康尚昊招标代理有限公司</w:t>
      </w:r>
    </w:p>
    <w:p w14:paraId="31A360D1">
      <w:pPr>
        <w:autoSpaceDE w:val="0"/>
        <w:autoSpaceDN w:val="0"/>
        <w:spacing w:line="440" w:lineRule="exact"/>
        <w:ind w:firstLine="132" w:firstLineChars="50"/>
        <w:rPr>
          <w:rFonts w:hint="eastAsia" w:ascii="宋体" w:hAnsi="宋体" w:eastAsia="宋体" w:cs="宋体"/>
          <w:color w:val="auto"/>
          <w:sz w:val="28"/>
          <w:szCs w:val="28"/>
        </w:rPr>
      </w:pPr>
      <w:r>
        <w:rPr>
          <w:rFonts w:hint="eastAsia" w:ascii="宋体" w:hAnsi="宋体" w:eastAsia="宋体" w:cs="宋体"/>
          <w:color w:val="auto"/>
          <w:spacing w:val="1"/>
          <w:w w:val="93"/>
          <w:kern w:val="0"/>
          <w:sz w:val="28"/>
          <w:szCs w:val="28"/>
          <w:fitText w:val="1050" w:id="1659459805"/>
        </w:rPr>
        <w:t>开户银行</w:t>
      </w:r>
      <w:r>
        <w:rPr>
          <w:rFonts w:hint="eastAsia" w:ascii="宋体" w:hAnsi="宋体" w:eastAsia="宋体" w:cs="宋体"/>
          <w:color w:val="auto"/>
          <w:sz w:val="28"/>
          <w:szCs w:val="28"/>
        </w:rPr>
        <w:t>：中国建设银行股份有限公司安康分行营业部</w:t>
      </w:r>
    </w:p>
    <w:p w14:paraId="12A37A3A">
      <w:pPr>
        <w:autoSpaceDE w:val="0"/>
        <w:autoSpaceDN w:val="0"/>
        <w:spacing w:line="440" w:lineRule="exact"/>
        <w:ind w:firstLine="132" w:firstLineChars="50"/>
        <w:rPr>
          <w:rFonts w:hint="eastAsia"/>
          <w:color w:val="auto"/>
          <w:lang w:val="en-US" w:eastAsia="zh-CN"/>
        </w:rPr>
      </w:pPr>
      <w:r>
        <w:rPr>
          <w:rFonts w:hint="eastAsia" w:ascii="宋体" w:hAnsi="宋体" w:eastAsia="宋体" w:cs="宋体"/>
          <w:color w:val="auto"/>
          <w:spacing w:val="1"/>
          <w:w w:val="93"/>
          <w:kern w:val="0"/>
          <w:sz w:val="28"/>
          <w:szCs w:val="28"/>
          <w:fitText w:val="1050" w:id="1164780970"/>
        </w:rPr>
        <w:t xml:space="preserve">账    </w:t>
      </w:r>
      <w:r>
        <w:rPr>
          <w:rFonts w:hint="eastAsia" w:ascii="宋体" w:hAnsi="宋体" w:eastAsia="宋体" w:cs="宋体"/>
          <w:color w:val="auto"/>
          <w:spacing w:val="0"/>
          <w:w w:val="93"/>
          <w:kern w:val="0"/>
          <w:sz w:val="28"/>
          <w:szCs w:val="28"/>
          <w:fitText w:val="1050" w:id="1164780970"/>
        </w:rPr>
        <w:t>号</w:t>
      </w:r>
      <w:r>
        <w:rPr>
          <w:rFonts w:hint="eastAsia" w:ascii="宋体" w:hAnsi="宋体" w:eastAsia="宋体" w:cs="宋体"/>
          <w:color w:val="auto"/>
          <w:sz w:val="28"/>
          <w:szCs w:val="28"/>
        </w:rPr>
        <w:t>：</w:t>
      </w:r>
      <w:r>
        <w:rPr>
          <w:rFonts w:hint="eastAsia" w:ascii="宋体" w:hAnsi="宋体" w:eastAsia="宋体" w:cs="宋体"/>
          <w:color w:val="auto"/>
          <w:sz w:val="28"/>
          <w:szCs w:val="32"/>
        </w:rPr>
        <w:t>6105016637110000049</w:t>
      </w:r>
      <w:r>
        <w:rPr>
          <w:rFonts w:hint="eastAsia" w:ascii="宋体" w:hAnsi="宋体" w:eastAsia="宋体" w:cs="宋体"/>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4" name="直接连接符 14"/>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643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Yjm9p9QEAAOcDAAAOAAAAAAAAAAEAIAAAACIBAABkcnMvZTJvRG9jLnhtbFBLBQYA&#10;AAAABgAGAFkBAACJBQAAAAA=&#10;">
                <v:fill on="f" focussize="0,0"/>
                <v:stroke weight="1.5pt" color="#000000" joinstyle="round"/>
                <v:imagedata o:title=""/>
                <o:lock v:ext="edit" aspectratio="f"/>
              </v:line>
            </w:pict>
          </mc:Fallback>
        </mc:AlternateContent>
      </w:r>
    </w:p>
    <w:sectPr>
      <w:footerReference r:id="rId22" w:type="default"/>
      <w:pgSz w:w="11906" w:h="16838"/>
      <w:pgMar w:top="1247" w:right="1134" w:bottom="1020" w:left="1134" w:header="851" w:footer="992" w:gutter="0"/>
      <w:pgNumType w:fmt="decimal"/>
      <w:cols w:space="425" w:num="1"/>
      <w:rtlGutter w:val="0"/>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746D">
    <w:pPr>
      <w:pStyle w:val="21"/>
      <w:tabs>
        <w:tab w:val="left" w:pos="2431"/>
        <w:tab w:val="center" w:pos="4253"/>
        <w:tab w:val="left" w:pos="5055"/>
        <w:tab w:val="clear" w:pos="4153"/>
        <w:tab w:val="clear" w:pos="8306"/>
      </w:tabs>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D587">
    <w:pPr>
      <w:pStyle w:val="21"/>
      <w:tabs>
        <w:tab w:val="left" w:pos="2431"/>
        <w:tab w:val="clear" w:pos="4153"/>
        <w:tab w:val="clear" w:pos="8306"/>
      </w:tabs>
      <w:wordWrap w:val="0"/>
      <w:ind w:right="360"/>
      <w:jc w:val="right"/>
      <w:rPr>
        <w:rFonts w:hint="eastAsia" w:ascii="宋体" w:hAnsi="宋体" w:eastAsia="宋体" w:cs="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76C5">
                          <w:pPr>
                            <w:pStyle w:val="21"/>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64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CF76C5">
                    <w:pPr>
                      <w:pStyle w:val="21"/>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64</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DBD5">
    <w:pPr>
      <w:pStyle w:val="21"/>
      <w:tabs>
        <w:tab w:val="left" w:pos="2431"/>
        <w:tab w:val="clear" w:pos="4153"/>
        <w:tab w:val="clear" w:pos="8306"/>
      </w:tabs>
      <w:wordWrap w:val="0"/>
      <w:ind w:right="360"/>
      <w:jc w:val="right"/>
      <w:rPr>
        <w:rFonts w:hint="eastAsia" w:ascii="宋体" w:hAnsi="宋体" w:eastAsia="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6973">
    <w:pPr>
      <w:pStyle w:val="21"/>
      <w:tabs>
        <w:tab w:val="left" w:pos="5567"/>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posOffset>2289175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4D025">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64</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0.25pt;margin-top:0pt;height:144pt;width:144pt;mso-position-horizontal-relative:margin;mso-wrap-style:none;z-index:251662336;mso-width-relative:page;mso-height-relative:page;" filled="f" stroked="f" coordsize="21600,21600" o:gfxdata="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iPP2rVAAAACA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14:paraId="43A4D025">
                    <w:pPr>
                      <w:pStyle w:val="21"/>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64</w:t>
                    </w:r>
                    <w:r>
                      <w:rPr>
                        <w:rFonts w:hint="eastAsia"/>
                        <w:lang w:eastAsia="zh-CN"/>
                      </w:rPr>
                      <w:t>页</w:t>
                    </w:r>
                  </w:p>
                </w:txbxContent>
              </v:textbox>
            </v:shape>
          </w:pict>
        </mc:Fallback>
      </mc:AlternateContent>
    </w:r>
    <w:r>
      <w:rPr>
        <w:rFonts w:hint="eastAsia"/>
        <w:lang w:eastAsia="zh-CN"/>
      </w:rPr>
      <w:tab/>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23B9E">
    <w:pPr>
      <w:pStyle w:val="21"/>
      <w:tabs>
        <w:tab w:val="left" w:pos="2431"/>
        <w:tab w:val="center" w:pos="4253"/>
        <w:tab w:val="left" w:pos="5055"/>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9241">
    <w:pPr>
      <w:pStyle w:val="21"/>
      <w:wordWrap w:val="0"/>
      <w:jc w:val="right"/>
      <w:rPr>
        <w:rFonts w:hint="eastAsia" w:ascii="宋体" w:hAnsi="宋体" w:eastAsia="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B1B61">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BB1B61">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A0507">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2A0507">
                    <w:pPr>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19866">
    <w:pPr>
      <w:pStyle w:val="21"/>
      <w:wordWrap w:val="0"/>
      <w:jc w:val="right"/>
      <w:rPr>
        <w:rFonts w:hint="eastAsia" w:ascii="宋体" w:hAnsi="宋体" w:eastAsia="宋体" w:cs="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86BE8">
                          <w:pPr>
                            <w:pStyle w:val="21"/>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486BE8">
                    <w:pPr>
                      <w:pStyle w:val="21"/>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BB2D">
    <w:pPr>
      <w:pStyle w:val="21"/>
      <w:tabs>
        <w:tab w:val="left" w:pos="5567"/>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B572A">
                          <w:pPr>
                            <w:pStyle w:val="21"/>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3AB572A">
                    <w:pPr>
                      <w:pStyle w:val="21"/>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64</w:t>
                    </w:r>
                    <w:r>
                      <w:t xml:space="preserve"> 页</w:t>
                    </w:r>
                  </w:p>
                </w:txbxContent>
              </v:textbox>
            </v:shape>
          </w:pict>
        </mc:Fallback>
      </mc:AlternateContent>
    </w:r>
    <w:r>
      <w:rPr>
        <w:rFonts w:hint="eastAsia"/>
        <w:lang w:eastAsia="zh-CN"/>
      </w:rPr>
      <w:tab/>
    </w:r>
    <w:r>
      <w:rPr>
        <w:rFonts w:hint="eastAsia"/>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A78E">
    <w:pPr>
      <w:pStyle w:val="21"/>
      <w:wordWrap w:val="0"/>
      <w:jc w:val="right"/>
      <w:rPr>
        <w:rFonts w:hint="eastAsia" w:ascii="宋体" w:hAnsi="宋体" w:eastAsia="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CFBFA">
                          <w:pPr>
                            <w:pStyle w:val="21"/>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DCFBFA">
                    <w:pPr>
                      <w:pStyle w:val="21"/>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64</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BEA2A">
    <w:pPr>
      <w:pStyle w:val="2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4AA67">
                          <w:pPr>
                            <w:pStyle w:val="21"/>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54AA67">
                    <w:pPr>
                      <w:pStyle w:val="21"/>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885B">
    <w:pPr>
      <w:pStyle w:val="21"/>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40372">
                          <w:pPr>
                            <w:pStyle w:val="21"/>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540372">
                    <w:pPr>
                      <w:pStyle w:val="21"/>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64</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460E">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806">
    <w:pPr>
      <w:pStyle w:val="23"/>
      <w:jc w:val="both"/>
      <w:rPr>
        <w:rFonts w:hint="default"/>
        <w:lang w:val="en-US" w:eastAsia="zh-CN"/>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称：安康市公安局资金分析系统采购项目                    项目编号：AKSH2025-ZTP-155</w:t>
    </w:r>
    <w:r>
      <w:rPr>
        <w:rFonts w:hint="eastAsia" w:ascii="宋体" w:hAnsi="宋体" w:cs="宋体"/>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6E63C">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7C5E">
    <w:pPr>
      <w:pStyle w:val="23"/>
      <w:jc w:val="both"/>
      <w:rPr>
        <w:rFonts w:hint="default"/>
        <w:sz w:val="15"/>
        <w:szCs w:val="16"/>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称：安康市公安局资金分析系统采购项目                        项目编号：AKSH2025-ZTP-155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F70D">
    <w:pPr>
      <w:pStyle w:val="23"/>
      <w:jc w:val="both"/>
      <w:rPr>
        <w:rFonts w:hint="default"/>
        <w:sz w:val="15"/>
        <w:szCs w:val="16"/>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称：安康市公安局资金分析系统采购项目                         项目编号：AKSH2025-ZTP-155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5B1C">
    <w:pPr>
      <w:pStyle w:val="23"/>
      <w:jc w:val="both"/>
      <w:rPr>
        <w:rFonts w:hint="default"/>
        <w:sz w:val="15"/>
        <w:szCs w:val="16"/>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称：安康市公安局资金分析系统采购项目                    项目编号：AKSH2025-ZTP-155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19A9">
    <w:pPr>
      <w:pStyle w:val="23"/>
      <w:pBdr>
        <w:bottom w:val="single" w:color="auto" w:sz="4" w:space="1"/>
      </w:pBdr>
      <w:jc w:val="both"/>
      <w:rPr>
        <w:rFonts w:hint="default"/>
        <w:lang w:val="en-US"/>
      </w:rPr>
    </w:pPr>
    <w:r>
      <w:rPr>
        <w:rFonts w:hint="eastAsia" w:ascii="宋体" w:hAnsi="宋体" w:eastAsia="宋体" w:cs="宋体"/>
        <w:kern w:val="0"/>
        <w:sz w:val="20"/>
        <w:szCs w:val="20"/>
        <w:lang w:val="en-US" w:eastAsia="zh-CN"/>
      </w:rPr>
      <w:t>项目名</w:t>
    </w:r>
    <w:r>
      <w:rPr>
        <w:rFonts w:hint="eastAsia" w:ascii="宋体" w:hAnsi="宋体" w:eastAsia="宋体" w:cs="宋体"/>
        <w:kern w:val="0"/>
        <w:sz w:val="20"/>
        <w:szCs w:val="20"/>
        <w:lang w:val="en-US" w:eastAsia="zh-CN" w:bidi="ar-SA"/>
      </w:rPr>
      <w:t>称：安康市公安局资金分析系统采购项目                           项目编号：AKSH2025-ZTP-155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52898"/>
    <w:multiLevelType w:val="singleLevel"/>
    <w:tmpl w:val="8B652898"/>
    <w:lvl w:ilvl="0" w:tentative="0">
      <w:start w:val="3"/>
      <w:numFmt w:val="chineseCounting"/>
      <w:suff w:val="space"/>
      <w:lvlText w:val="第%1章"/>
      <w:lvlJc w:val="left"/>
      <w:rPr>
        <w:rFonts w:hint="eastAsia"/>
      </w:rPr>
    </w:lvl>
  </w:abstractNum>
  <w:abstractNum w:abstractNumId="1">
    <w:nsid w:val="9126F887"/>
    <w:multiLevelType w:val="singleLevel"/>
    <w:tmpl w:val="9126F887"/>
    <w:lvl w:ilvl="0" w:tentative="0">
      <w:start w:val="3"/>
      <w:numFmt w:val="chineseCounting"/>
      <w:suff w:val="nothing"/>
      <w:lvlText w:val="%1、"/>
      <w:lvlJc w:val="left"/>
      <w:rPr>
        <w:rFonts w:hint="eastAsia"/>
      </w:rPr>
    </w:lvl>
  </w:abstractNum>
  <w:abstractNum w:abstractNumId="2">
    <w:nsid w:val="B908A7C1"/>
    <w:multiLevelType w:val="singleLevel"/>
    <w:tmpl w:val="B908A7C1"/>
    <w:lvl w:ilvl="0" w:tentative="0">
      <w:start w:val="1"/>
      <w:numFmt w:val="chineseCounting"/>
      <w:suff w:val="nothing"/>
      <w:lvlText w:val="%1、"/>
      <w:lvlJc w:val="left"/>
      <w:rPr>
        <w:rFonts w:hint="eastAsia"/>
      </w:rPr>
    </w:lvl>
  </w:abstractNum>
  <w:abstractNum w:abstractNumId="3">
    <w:nsid w:val="C88E64F4"/>
    <w:multiLevelType w:val="singleLevel"/>
    <w:tmpl w:val="C88E64F4"/>
    <w:lvl w:ilvl="0" w:tentative="0">
      <w:start w:val="1"/>
      <w:numFmt w:val="decimal"/>
      <w:lvlText w:val="%1"/>
      <w:lvlJc w:val="left"/>
      <w:pPr>
        <w:tabs>
          <w:tab w:val="left" w:pos="420"/>
        </w:tabs>
        <w:ind w:left="425" w:leftChars="0" w:hanging="425" w:firstLineChars="0"/>
      </w:pPr>
      <w:rPr>
        <w:rFonts w:hint="default"/>
      </w:rPr>
    </w:lvl>
  </w:abstractNum>
  <w:abstractNum w:abstractNumId="4">
    <w:nsid w:val="F593EF01"/>
    <w:multiLevelType w:val="singleLevel"/>
    <w:tmpl w:val="F593EF01"/>
    <w:lvl w:ilvl="0" w:tentative="0">
      <w:start w:val="1"/>
      <w:numFmt w:val="decimal"/>
      <w:lvlText w:val="%1"/>
      <w:lvlJc w:val="left"/>
      <w:pPr>
        <w:tabs>
          <w:tab w:val="left" w:pos="420"/>
        </w:tabs>
        <w:ind w:left="425" w:leftChars="0" w:hanging="425" w:firstLineChars="0"/>
      </w:pPr>
      <w:rPr>
        <w:rFonts w:hint="default"/>
      </w:rPr>
    </w:lvl>
  </w:abstractNum>
  <w:abstractNum w:abstractNumId="5">
    <w:nsid w:val="4F60F180"/>
    <w:multiLevelType w:val="singleLevel"/>
    <w:tmpl w:val="4F60F180"/>
    <w:lvl w:ilvl="0" w:tentative="0">
      <w:start w:val="3"/>
      <w:numFmt w:val="decimal"/>
      <w:lvlText w:val="%1."/>
      <w:lvlJc w:val="left"/>
      <w:pPr>
        <w:tabs>
          <w:tab w:val="left" w:pos="312"/>
        </w:tabs>
      </w:p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attachedTemplate r:id="rId1"/>
  <w:documentProtection w:edit="forms" w:enforcement="1" w:cryptProviderType="rsaFull" w:cryptAlgorithmClass="hash" w:cryptAlgorithmType="typeAny" w:cryptAlgorithmSid="4" w:cryptSpinCount="0" w:hash="G8at3xAzRfhXACcBiJiTiUm9+Co=" w:salt="QOmZlvCTYziVkANZoGwVgw=="/>
  <w:defaultTabStop w:val="420"/>
  <w:drawingGridHorizontalSpacing w:val="280"/>
  <w:drawingGridVerticalSpacing w:val="192"/>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TZjYmI2ODUwNjVhNGQ4ODA1YTg3ZjkyN2NjMzYifQ=="/>
  </w:docVars>
  <w:rsids>
    <w:rsidRoot w:val="00276103"/>
    <w:rsid w:val="00011D14"/>
    <w:rsid w:val="000121E1"/>
    <w:rsid w:val="00024F44"/>
    <w:rsid w:val="00026194"/>
    <w:rsid w:val="0004092A"/>
    <w:rsid w:val="000409AC"/>
    <w:rsid w:val="00054856"/>
    <w:rsid w:val="00067801"/>
    <w:rsid w:val="00071ED2"/>
    <w:rsid w:val="000916FF"/>
    <w:rsid w:val="00092C81"/>
    <w:rsid w:val="00095EC0"/>
    <w:rsid w:val="000D2F9C"/>
    <w:rsid w:val="000D4451"/>
    <w:rsid w:val="000D4B24"/>
    <w:rsid w:val="000D5996"/>
    <w:rsid w:val="000E15F1"/>
    <w:rsid w:val="000E78A9"/>
    <w:rsid w:val="000F0906"/>
    <w:rsid w:val="00107F04"/>
    <w:rsid w:val="00111A47"/>
    <w:rsid w:val="00132AB2"/>
    <w:rsid w:val="001345C5"/>
    <w:rsid w:val="00142225"/>
    <w:rsid w:val="00146383"/>
    <w:rsid w:val="00147C6C"/>
    <w:rsid w:val="001501D1"/>
    <w:rsid w:val="0015205E"/>
    <w:rsid w:val="0015716C"/>
    <w:rsid w:val="001708A1"/>
    <w:rsid w:val="001711CA"/>
    <w:rsid w:val="00182814"/>
    <w:rsid w:val="001918B0"/>
    <w:rsid w:val="0019420E"/>
    <w:rsid w:val="001B3EC3"/>
    <w:rsid w:val="001B75D7"/>
    <w:rsid w:val="001D693E"/>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F009F"/>
    <w:rsid w:val="002F1A74"/>
    <w:rsid w:val="002F682C"/>
    <w:rsid w:val="00305EB5"/>
    <w:rsid w:val="003072E5"/>
    <w:rsid w:val="0031118E"/>
    <w:rsid w:val="0031248D"/>
    <w:rsid w:val="003134A9"/>
    <w:rsid w:val="0032276E"/>
    <w:rsid w:val="00335F17"/>
    <w:rsid w:val="00336EFA"/>
    <w:rsid w:val="00351234"/>
    <w:rsid w:val="003577A2"/>
    <w:rsid w:val="00363A95"/>
    <w:rsid w:val="0037576D"/>
    <w:rsid w:val="0038258B"/>
    <w:rsid w:val="00394B45"/>
    <w:rsid w:val="003A08B0"/>
    <w:rsid w:val="003B1610"/>
    <w:rsid w:val="003B5D98"/>
    <w:rsid w:val="003C498B"/>
    <w:rsid w:val="003C603A"/>
    <w:rsid w:val="003F108F"/>
    <w:rsid w:val="003F1E12"/>
    <w:rsid w:val="00410CA8"/>
    <w:rsid w:val="00411927"/>
    <w:rsid w:val="004136CD"/>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E1C76"/>
    <w:rsid w:val="005E798C"/>
    <w:rsid w:val="005F42BB"/>
    <w:rsid w:val="006024D7"/>
    <w:rsid w:val="0060694E"/>
    <w:rsid w:val="00607C5F"/>
    <w:rsid w:val="00631550"/>
    <w:rsid w:val="006423BA"/>
    <w:rsid w:val="00655236"/>
    <w:rsid w:val="00655823"/>
    <w:rsid w:val="00661EDA"/>
    <w:rsid w:val="00667A44"/>
    <w:rsid w:val="00677E82"/>
    <w:rsid w:val="00680269"/>
    <w:rsid w:val="006818EC"/>
    <w:rsid w:val="00681B42"/>
    <w:rsid w:val="006847DD"/>
    <w:rsid w:val="006847DE"/>
    <w:rsid w:val="006939BC"/>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429F"/>
    <w:rsid w:val="007A6CEE"/>
    <w:rsid w:val="007B1F33"/>
    <w:rsid w:val="007C1AB6"/>
    <w:rsid w:val="007D455F"/>
    <w:rsid w:val="007E29E9"/>
    <w:rsid w:val="007E2A47"/>
    <w:rsid w:val="00800C8F"/>
    <w:rsid w:val="00801342"/>
    <w:rsid w:val="0080401E"/>
    <w:rsid w:val="00805ED3"/>
    <w:rsid w:val="008142E9"/>
    <w:rsid w:val="008207AB"/>
    <w:rsid w:val="00823E64"/>
    <w:rsid w:val="00825D97"/>
    <w:rsid w:val="0083077C"/>
    <w:rsid w:val="008413BE"/>
    <w:rsid w:val="0084291C"/>
    <w:rsid w:val="00844A7A"/>
    <w:rsid w:val="00847343"/>
    <w:rsid w:val="00851842"/>
    <w:rsid w:val="008523E5"/>
    <w:rsid w:val="00852685"/>
    <w:rsid w:val="0086232F"/>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C3A07"/>
    <w:rsid w:val="00AF0523"/>
    <w:rsid w:val="00B064D8"/>
    <w:rsid w:val="00B24A7A"/>
    <w:rsid w:val="00B25C41"/>
    <w:rsid w:val="00B32434"/>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C02F92"/>
    <w:rsid w:val="00C12EAD"/>
    <w:rsid w:val="00C1462B"/>
    <w:rsid w:val="00C2267F"/>
    <w:rsid w:val="00C30E88"/>
    <w:rsid w:val="00C55543"/>
    <w:rsid w:val="00C560DA"/>
    <w:rsid w:val="00C609BA"/>
    <w:rsid w:val="00C620AF"/>
    <w:rsid w:val="00C80D51"/>
    <w:rsid w:val="00C8309E"/>
    <w:rsid w:val="00C92E4A"/>
    <w:rsid w:val="00C96829"/>
    <w:rsid w:val="00CA0F67"/>
    <w:rsid w:val="00CA4E56"/>
    <w:rsid w:val="00CB2AEA"/>
    <w:rsid w:val="00CB3B3C"/>
    <w:rsid w:val="00CB7D83"/>
    <w:rsid w:val="00CC5D30"/>
    <w:rsid w:val="00CC67C4"/>
    <w:rsid w:val="00CD6381"/>
    <w:rsid w:val="00CE3718"/>
    <w:rsid w:val="00CF0627"/>
    <w:rsid w:val="00CF17F7"/>
    <w:rsid w:val="00CF2461"/>
    <w:rsid w:val="00D039CE"/>
    <w:rsid w:val="00D06F62"/>
    <w:rsid w:val="00D2513E"/>
    <w:rsid w:val="00D30EE6"/>
    <w:rsid w:val="00D316DE"/>
    <w:rsid w:val="00D36315"/>
    <w:rsid w:val="00D40301"/>
    <w:rsid w:val="00D4408E"/>
    <w:rsid w:val="00D610CA"/>
    <w:rsid w:val="00D67385"/>
    <w:rsid w:val="00D81543"/>
    <w:rsid w:val="00D817A0"/>
    <w:rsid w:val="00D96176"/>
    <w:rsid w:val="00DA3BD6"/>
    <w:rsid w:val="00DA4EE4"/>
    <w:rsid w:val="00DA5A45"/>
    <w:rsid w:val="00DB2D27"/>
    <w:rsid w:val="00DC1447"/>
    <w:rsid w:val="00DC1BCD"/>
    <w:rsid w:val="00DC5E60"/>
    <w:rsid w:val="00DD3389"/>
    <w:rsid w:val="00DE4D3D"/>
    <w:rsid w:val="00DE5360"/>
    <w:rsid w:val="00DE7B6E"/>
    <w:rsid w:val="00DF22C1"/>
    <w:rsid w:val="00DF416F"/>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647F"/>
    <w:rsid w:val="00F3460A"/>
    <w:rsid w:val="00F513CD"/>
    <w:rsid w:val="00F6354A"/>
    <w:rsid w:val="00F64F3D"/>
    <w:rsid w:val="00F707BF"/>
    <w:rsid w:val="00F94172"/>
    <w:rsid w:val="00FC66A9"/>
    <w:rsid w:val="00FE7899"/>
    <w:rsid w:val="015D1DA6"/>
    <w:rsid w:val="016F10DA"/>
    <w:rsid w:val="01A761C5"/>
    <w:rsid w:val="01C74429"/>
    <w:rsid w:val="01F24606"/>
    <w:rsid w:val="01F42D45"/>
    <w:rsid w:val="01FC588C"/>
    <w:rsid w:val="023D293E"/>
    <w:rsid w:val="02511F45"/>
    <w:rsid w:val="027C5ED6"/>
    <w:rsid w:val="028448AE"/>
    <w:rsid w:val="02997909"/>
    <w:rsid w:val="02A204BB"/>
    <w:rsid w:val="02CF0C42"/>
    <w:rsid w:val="02E92054"/>
    <w:rsid w:val="031F0701"/>
    <w:rsid w:val="031F3DF1"/>
    <w:rsid w:val="03287B1A"/>
    <w:rsid w:val="0332621A"/>
    <w:rsid w:val="035E700F"/>
    <w:rsid w:val="036839EA"/>
    <w:rsid w:val="03786F0A"/>
    <w:rsid w:val="038A7E04"/>
    <w:rsid w:val="03974F7D"/>
    <w:rsid w:val="039F6B65"/>
    <w:rsid w:val="03A60AD2"/>
    <w:rsid w:val="03B629A7"/>
    <w:rsid w:val="03CE13CD"/>
    <w:rsid w:val="03E83E04"/>
    <w:rsid w:val="0420229B"/>
    <w:rsid w:val="042C0EBC"/>
    <w:rsid w:val="042C1685"/>
    <w:rsid w:val="04421D86"/>
    <w:rsid w:val="044E519E"/>
    <w:rsid w:val="04C22E53"/>
    <w:rsid w:val="04C609C8"/>
    <w:rsid w:val="04EB6681"/>
    <w:rsid w:val="04EE613D"/>
    <w:rsid w:val="050E558B"/>
    <w:rsid w:val="05263B5D"/>
    <w:rsid w:val="053A4875"/>
    <w:rsid w:val="05A76A4C"/>
    <w:rsid w:val="05AD05DE"/>
    <w:rsid w:val="05D1531A"/>
    <w:rsid w:val="05E57574"/>
    <w:rsid w:val="061D6D0E"/>
    <w:rsid w:val="062F259D"/>
    <w:rsid w:val="06392363"/>
    <w:rsid w:val="064A68B9"/>
    <w:rsid w:val="067A0499"/>
    <w:rsid w:val="067D59FE"/>
    <w:rsid w:val="068D6F85"/>
    <w:rsid w:val="069752E6"/>
    <w:rsid w:val="06A47871"/>
    <w:rsid w:val="06A97A77"/>
    <w:rsid w:val="07371F76"/>
    <w:rsid w:val="074F100F"/>
    <w:rsid w:val="074F38DC"/>
    <w:rsid w:val="07762B7A"/>
    <w:rsid w:val="07A20C76"/>
    <w:rsid w:val="07D56CE9"/>
    <w:rsid w:val="07D828EA"/>
    <w:rsid w:val="07F25F78"/>
    <w:rsid w:val="087F780C"/>
    <w:rsid w:val="08A7439C"/>
    <w:rsid w:val="08C2207F"/>
    <w:rsid w:val="08CE0793"/>
    <w:rsid w:val="08E5492E"/>
    <w:rsid w:val="08F76E43"/>
    <w:rsid w:val="090C6E83"/>
    <w:rsid w:val="0938662F"/>
    <w:rsid w:val="09486E03"/>
    <w:rsid w:val="09B207F9"/>
    <w:rsid w:val="09C13E54"/>
    <w:rsid w:val="0A075D0B"/>
    <w:rsid w:val="0A282D8E"/>
    <w:rsid w:val="0A4E4DF4"/>
    <w:rsid w:val="0A950AD4"/>
    <w:rsid w:val="0B1C1D90"/>
    <w:rsid w:val="0B2A7D57"/>
    <w:rsid w:val="0B417C9E"/>
    <w:rsid w:val="0B5B1AAE"/>
    <w:rsid w:val="0B6D0ACF"/>
    <w:rsid w:val="0B8373EF"/>
    <w:rsid w:val="0B9A495D"/>
    <w:rsid w:val="0C0D14D1"/>
    <w:rsid w:val="0C2549FA"/>
    <w:rsid w:val="0C651BCC"/>
    <w:rsid w:val="0C705D40"/>
    <w:rsid w:val="0C7B022C"/>
    <w:rsid w:val="0C8763C2"/>
    <w:rsid w:val="0C8E0659"/>
    <w:rsid w:val="0C9544DF"/>
    <w:rsid w:val="0C9E3391"/>
    <w:rsid w:val="0CAD7E82"/>
    <w:rsid w:val="0D3A6B7A"/>
    <w:rsid w:val="0D731FE0"/>
    <w:rsid w:val="0D9635C1"/>
    <w:rsid w:val="0D984AC2"/>
    <w:rsid w:val="0DB53CD0"/>
    <w:rsid w:val="0DC662C2"/>
    <w:rsid w:val="0E286749"/>
    <w:rsid w:val="0E5B4619"/>
    <w:rsid w:val="0EAA3109"/>
    <w:rsid w:val="0EDB7766"/>
    <w:rsid w:val="0EED27C2"/>
    <w:rsid w:val="0F0A34B9"/>
    <w:rsid w:val="0F250F9E"/>
    <w:rsid w:val="0F4F4C55"/>
    <w:rsid w:val="0F667ABC"/>
    <w:rsid w:val="0F7605E9"/>
    <w:rsid w:val="0FAD1102"/>
    <w:rsid w:val="0FAD3432"/>
    <w:rsid w:val="0FBE7AE4"/>
    <w:rsid w:val="0FD115EF"/>
    <w:rsid w:val="0FD77389"/>
    <w:rsid w:val="101953C6"/>
    <w:rsid w:val="102B2B3E"/>
    <w:rsid w:val="10370F89"/>
    <w:rsid w:val="103A410A"/>
    <w:rsid w:val="10750EDD"/>
    <w:rsid w:val="109158BE"/>
    <w:rsid w:val="109664C2"/>
    <w:rsid w:val="10DE213A"/>
    <w:rsid w:val="10F13359"/>
    <w:rsid w:val="10F93FE9"/>
    <w:rsid w:val="110A4283"/>
    <w:rsid w:val="11154812"/>
    <w:rsid w:val="11494D1C"/>
    <w:rsid w:val="11567578"/>
    <w:rsid w:val="1158509E"/>
    <w:rsid w:val="115F5735"/>
    <w:rsid w:val="117256D7"/>
    <w:rsid w:val="117F262B"/>
    <w:rsid w:val="11B85B3D"/>
    <w:rsid w:val="11EF3086"/>
    <w:rsid w:val="11F0149B"/>
    <w:rsid w:val="11F95F0B"/>
    <w:rsid w:val="121534BC"/>
    <w:rsid w:val="123E24E6"/>
    <w:rsid w:val="124E070C"/>
    <w:rsid w:val="12555A81"/>
    <w:rsid w:val="12A20B21"/>
    <w:rsid w:val="12B01BAE"/>
    <w:rsid w:val="12DE5A77"/>
    <w:rsid w:val="12F62DC0"/>
    <w:rsid w:val="131E5E73"/>
    <w:rsid w:val="13457FBA"/>
    <w:rsid w:val="134B7033"/>
    <w:rsid w:val="134D31B8"/>
    <w:rsid w:val="13530945"/>
    <w:rsid w:val="13955112"/>
    <w:rsid w:val="13A21D15"/>
    <w:rsid w:val="13B660AC"/>
    <w:rsid w:val="13CE1647"/>
    <w:rsid w:val="13D67BAF"/>
    <w:rsid w:val="13F55436"/>
    <w:rsid w:val="143534B6"/>
    <w:rsid w:val="144D4C62"/>
    <w:rsid w:val="145B16CE"/>
    <w:rsid w:val="14613141"/>
    <w:rsid w:val="14935A4E"/>
    <w:rsid w:val="152C05C1"/>
    <w:rsid w:val="15C25DBE"/>
    <w:rsid w:val="15E038B4"/>
    <w:rsid w:val="15EB2392"/>
    <w:rsid w:val="16115BE7"/>
    <w:rsid w:val="162E3271"/>
    <w:rsid w:val="163C0257"/>
    <w:rsid w:val="16471AAC"/>
    <w:rsid w:val="165C73DE"/>
    <w:rsid w:val="16816E45"/>
    <w:rsid w:val="16F91A40"/>
    <w:rsid w:val="172123D6"/>
    <w:rsid w:val="17514A69"/>
    <w:rsid w:val="17630718"/>
    <w:rsid w:val="17672074"/>
    <w:rsid w:val="17B81091"/>
    <w:rsid w:val="17C46B8A"/>
    <w:rsid w:val="17C90A93"/>
    <w:rsid w:val="183D0615"/>
    <w:rsid w:val="188E3A9B"/>
    <w:rsid w:val="189B0DEC"/>
    <w:rsid w:val="18BC4BA4"/>
    <w:rsid w:val="18CC73BC"/>
    <w:rsid w:val="18ED1065"/>
    <w:rsid w:val="193E1C7A"/>
    <w:rsid w:val="19651535"/>
    <w:rsid w:val="19D01228"/>
    <w:rsid w:val="1A306C84"/>
    <w:rsid w:val="1A7154EF"/>
    <w:rsid w:val="1A7B2E22"/>
    <w:rsid w:val="1A7B310B"/>
    <w:rsid w:val="1B102545"/>
    <w:rsid w:val="1B1C0EEA"/>
    <w:rsid w:val="1B426428"/>
    <w:rsid w:val="1B7731A9"/>
    <w:rsid w:val="1B9969DF"/>
    <w:rsid w:val="1BB456F0"/>
    <w:rsid w:val="1BD50639"/>
    <w:rsid w:val="1BE20386"/>
    <w:rsid w:val="1C274BC0"/>
    <w:rsid w:val="1C5046FF"/>
    <w:rsid w:val="1C685EFD"/>
    <w:rsid w:val="1C9978FC"/>
    <w:rsid w:val="1CAD7BF3"/>
    <w:rsid w:val="1CB6536F"/>
    <w:rsid w:val="1CCA515B"/>
    <w:rsid w:val="1CDF0421"/>
    <w:rsid w:val="1D437B1F"/>
    <w:rsid w:val="1D452E97"/>
    <w:rsid w:val="1D8C1E66"/>
    <w:rsid w:val="1D9E10C3"/>
    <w:rsid w:val="1DAC3E6F"/>
    <w:rsid w:val="1DB064FF"/>
    <w:rsid w:val="1DDA4206"/>
    <w:rsid w:val="1E0B3B2A"/>
    <w:rsid w:val="1E501C47"/>
    <w:rsid w:val="1E5176C8"/>
    <w:rsid w:val="1E596826"/>
    <w:rsid w:val="1EC5639E"/>
    <w:rsid w:val="1ED16D1D"/>
    <w:rsid w:val="1EF33837"/>
    <w:rsid w:val="1F0E5E95"/>
    <w:rsid w:val="1F106802"/>
    <w:rsid w:val="1F315D78"/>
    <w:rsid w:val="1F603109"/>
    <w:rsid w:val="1F62660C"/>
    <w:rsid w:val="1FC04427"/>
    <w:rsid w:val="1FC37F97"/>
    <w:rsid w:val="1FD620C2"/>
    <w:rsid w:val="201A0B99"/>
    <w:rsid w:val="202D6FD9"/>
    <w:rsid w:val="203046DB"/>
    <w:rsid w:val="203565E4"/>
    <w:rsid w:val="20457135"/>
    <w:rsid w:val="205D622D"/>
    <w:rsid w:val="206B4DA7"/>
    <w:rsid w:val="20834165"/>
    <w:rsid w:val="20B54DB2"/>
    <w:rsid w:val="20C067BC"/>
    <w:rsid w:val="20C2773C"/>
    <w:rsid w:val="20D87472"/>
    <w:rsid w:val="215A0945"/>
    <w:rsid w:val="21617F9F"/>
    <w:rsid w:val="21C24E71"/>
    <w:rsid w:val="21D56090"/>
    <w:rsid w:val="220F17A9"/>
    <w:rsid w:val="228D6B72"/>
    <w:rsid w:val="22982E69"/>
    <w:rsid w:val="22C35799"/>
    <w:rsid w:val="22DB05EB"/>
    <w:rsid w:val="236941EC"/>
    <w:rsid w:val="2378337E"/>
    <w:rsid w:val="237C4C1C"/>
    <w:rsid w:val="23B75C54"/>
    <w:rsid w:val="23D90A84"/>
    <w:rsid w:val="23ED7965"/>
    <w:rsid w:val="23F410FE"/>
    <w:rsid w:val="23F916F8"/>
    <w:rsid w:val="24120EBE"/>
    <w:rsid w:val="24A563F4"/>
    <w:rsid w:val="24A858A7"/>
    <w:rsid w:val="24C2196B"/>
    <w:rsid w:val="24C35FAD"/>
    <w:rsid w:val="24DE36B4"/>
    <w:rsid w:val="25207191"/>
    <w:rsid w:val="25387A0F"/>
    <w:rsid w:val="257B49B6"/>
    <w:rsid w:val="25C00FB4"/>
    <w:rsid w:val="25D52D1D"/>
    <w:rsid w:val="25FE400E"/>
    <w:rsid w:val="26135C57"/>
    <w:rsid w:val="26321F0A"/>
    <w:rsid w:val="263246E0"/>
    <w:rsid w:val="264720E5"/>
    <w:rsid w:val="26480C27"/>
    <w:rsid w:val="264B2FCC"/>
    <w:rsid w:val="265F2C81"/>
    <w:rsid w:val="270F3FF9"/>
    <w:rsid w:val="2729330D"/>
    <w:rsid w:val="274B1605"/>
    <w:rsid w:val="275A639C"/>
    <w:rsid w:val="2793584B"/>
    <w:rsid w:val="27A91D58"/>
    <w:rsid w:val="27AA7439"/>
    <w:rsid w:val="27CC2E58"/>
    <w:rsid w:val="282105EA"/>
    <w:rsid w:val="282F6BB7"/>
    <w:rsid w:val="286C74DE"/>
    <w:rsid w:val="289F3502"/>
    <w:rsid w:val="28CB1353"/>
    <w:rsid w:val="29785E86"/>
    <w:rsid w:val="29824AA8"/>
    <w:rsid w:val="29B82726"/>
    <w:rsid w:val="29CD5E21"/>
    <w:rsid w:val="29D457AB"/>
    <w:rsid w:val="2A4B454C"/>
    <w:rsid w:val="2A5F3326"/>
    <w:rsid w:val="2A62383D"/>
    <w:rsid w:val="2A662182"/>
    <w:rsid w:val="2A6D37AC"/>
    <w:rsid w:val="2A8B1BE9"/>
    <w:rsid w:val="2A8F4E82"/>
    <w:rsid w:val="2AC63A72"/>
    <w:rsid w:val="2AD27817"/>
    <w:rsid w:val="2AE90B77"/>
    <w:rsid w:val="2B827DE7"/>
    <w:rsid w:val="2B9149F3"/>
    <w:rsid w:val="2B9E4401"/>
    <w:rsid w:val="2BAE32CF"/>
    <w:rsid w:val="2BB53743"/>
    <w:rsid w:val="2BC058C2"/>
    <w:rsid w:val="2BC86DB2"/>
    <w:rsid w:val="2BEE600C"/>
    <w:rsid w:val="2BFC3EB7"/>
    <w:rsid w:val="2C5928A7"/>
    <w:rsid w:val="2C5C1839"/>
    <w:rsid w:val="2C826329"/>
    <w:rsid w:val="2C9640B5"/>
    <w:rsid w:val="2CA135D4"/>
    <w:rsid w:val="2CCC6D99"/>
    <w:rsid w:val="2CF86E01"/>
    <w:rsid w:val="2D9B3372"/>
    <w:rsid w:val="2DAF6D80"/>
    <w:rsid w:val="2DB87198"/>
    <w:rsid w:val="2DBA0995"/>
    <w:rsid w:val="2DC27014"/>
    <w:rsid w:val="2DF43FEF"/>
    <w:rsid w:val="2DFE7669"/>
    <w:rsid w:val="2E05778F"/>
    <w:rsid w:val="2E786928"/>
    <w:rsid w:val="2E90680B"/>
    <w:rsid w:val="2EA25753"/>
    <w:rsid w:val="2EBC05C2"/>
    <w:rsid w:val="2EE563B6"/>
    <w:rsid w:val="2EF81410"/>
    <w:rsid w:val="2F5811DA"/>
    <w:rsid w:val="2F5D7D41"/>
    <w:rsid w:val="2F685FFD"/>
    <w:rsid w:val="2F866FF8"/>
    <w:rsid w:val="2F8B77C1"/>
    <w:rsid w:val="2F9148B2"/>
    <w:rsid w:val="2F970DF9"/>
    <w:rsid w:val="30257789"/>
    <w:rsid w:val="305D72F5"/>
    <w:rsid w:val="30723EBB"/>
    <w:rsid w:val="3088496B"/>
    <w:rsid w:val="308E2525"/>
    <w:rsid w:val="30AC6769"/>
    <w:rsid w:val="30C96FC7"/>
    <w:rsid w:val="30D2532F"/>
    <w:rsid w:val="30F01BDC"/>
    <w:rsid w:val="30FB1D6B"/>
    <w:rsid w:val="31296922"/>
    <w:rsid w:val="312F7772"/>
    <w:rsid w:val="31453AD6"/>
    <w:rsid w:val="315C6AC7"/>
    <w:rsid w:val="3163566D"/>
    <w:rsid w:val="31840587"/>
    <w:rsid w:val="319A7284"/>
    <w:rsid w:val="319D6E9C"/>
    <w:rsid w:val="31B00187"/>
    <w:rsid w:val="31BE7923"/>
    <w:rsid w:val="31DD0841"/>
    <w:rsid w:val="31E340B8"/>
    <w:rsid w:val="31F75486"/>
    <w:rsid w:val="31F84007"/>
    <w:rsid w:val="321737BD"/>
    <w:rsid w:val="321A061F"/>
    <w:rsid w:val="3225547A"/>
    <w:rsid w:val="323F587B"/>
    <w:rsid w:val="32851872"/>
    <w:rsid w:val="32C810A0"/>
    <w:rsid w:val="33376E11"/>
    <w:rsid w:val="333C43C8"/>
    <w:rsid w:val="339064C2"/>
    <w:rsid w:val="33AE5533"/>
    <w:rsid w:val="33B20FDF"/>
    <w:rsid w:val="33CA102F"/>
    <w:rsid w:val="340A6274"/>
    <w:rsid w:val="340D18C0"/>
    <w:rsid w:val="34335D23"/>
    <w:rsid w:val="344C23E9"/>
    <w:rsid w:val="34727975"/>
    <w:rsid w:val="349A0CEE"/>
    <w:rsid w:val="34A76F6E"/>
    <w:rsid w:val="34B47820"/>
    <w:rsid w:val="34DF14AF"/>
    <w:rsid w:val="34EF0FC6"/>
    <w:rsid w:val="353A5FA1"/>
    <w:rsid w:val="35413979"/>
    <w:rsid w:val="35522C8A"/>
    <w:rsid w:val="35561690"/>
    <w:rsid w:val="362A675A"/>
    <w:rsid w:val="365E4655"/>
    <w:rsid w:val="36B40CF8"/>
    <w:rsid w:val="36B43E37"/>
    <w:rsid w:val="36B85B13"/>
    <w:rsid w:val="36B97ADD"/>
    <w:rsid w:val="36DB66E6"/>
    <w:rsid w:val="370A3EEB"/>
    <w:rsid w:val="37292890"/>
    <w:rsid w:val="372C4753"/>
    <w:rsid w:val="37357164"/>
    <w:rsid w:val="37B101EB"/>
    <w:rsid w:val="37B1660C"/>
    <w:rsid w:val="37B833F9"/>
    <w:rsid w:val="37EA17DA"/>
    <w:rsid w:val="384358B1"/>
    <w:rsid w:val="38C83236"/>
    <w:rsid w:val="38D40A1E"/>
    <w:rsid w:val="38FE7E8D"/>
    <w:rsid w:val="394B0719"/>
    <w:rsid w:val="396A4218"/>
    <w:rsid w:val="39837157"/>
    <w:rsid w:val="39842006"/>
    <w:rsid w:val="39873EC3"/>
    <w:rsid w:val="398E5251"/>
    <w:rsid w:val="3998512C"/>
    <w:rsid w:val="399860D0"/>
    <w:rsid w:val="39AB12AA"/>
    <w:rsid w:val="39CF4710"/>
    <w:rsid w:val="39F60425"/>
    <w:rsid w:val="39F871AB"/>
    <w:rsid w:val="39FC7DAF"/>
    <w:rsid w:val="3A085004"/>
    <w:rsid w:val="3A4730DB"/>
    <w:rsid w:val="3A4B63D8"/>
    <w:rsid w:val="3A712BA9"/>
    <w:rsid w:val="3A995420"/>
    <w:rsid w:val="3AE25855"/>
    <w:rsid w:val="3B003F2D"/>
    <w:rsid w:val="3B0E3DBE"/>
    <w:rsid w:val="3B2F2199"/>
    <w:rsid w:val="3B497682"/>
    <w:rsid w:val="3B512C45"/>
    <w:rsid w:val="3BCE7CAB"/>
    <w:rsid w:val="3BEE1859"/>
    <w:rsid w:val="3C025A83"/>
    <w:rsid w:val="3C0B4937"/>
    <w:rsid w:val="3C7921E9"/>
    <w:rsid w:val="3C834E15"/>
    <w:rsid w:val="3C882D21"/>
    <w:rsid w:val="3CC01BC6"/>
    <w:rsid w:val="3CC20ED4"/>
    <w:rsid w:val="3CCB0F64"/>
    <w:rsid w:val="3CCB7F4E"/>
    <w:rsid w:val="3CDB4965"/>
    <w:rsid w:val="3D0616A6"/>
    <w:rsid w:val="3D09356D"/>
    <w:rsid w:val="3D7B3FAD"/>
    <w:rsid w:val="3DA55A8B"/>
    <w:rsid w:val="3DAC3EF8"/>
    <w:rsid w:val="3DF144AD"/>
    <w:rsid w:val="3E3F202E"/>
    <w:rsid w:val="3E504DA1"/>
    <w:rsid w:val="3E7013C9"/>
    <w:rsid w:val="3E7B0B8E"/>
    <w:rsid w:val="3EF56C64"/>
    <w:rsid w:val="3F584337"/>
    <w:rsid w:val="3FA47798"/>
    <w:rsid w:val="3FB37991"/>
    <w:rsid w:val="3FF102E8"/>
    <w:rsid w:val="3FFD6C8D"/>
    <w:rsid w:val="401E123E"/>
    <w:rsid w:val="40391390"/>
    <w:rsid w:val="405D23A8"/>
    <w:rsid w:val="40854466"/>
    <w:rsid w:val="409B1E8D"/>
    <w:rsid w:val="40D41DE6"/>
    <w:rsid w:val="40E7450B"/>
    <w:rsid w:val="41220E6C"/>
    <w:rsid w:val="41281AE7"/>
    <w:rsid w:val="412907F7"/>
    <w:rsid w:val="413255B1"/>
    <w:rsid w:val="415A3295"/>
    <w:rsid w:val="416156AA"/>
    <w:rsid w:val="42544AFB"/>
    <w:rsid w:val="425668D8"/>
    <w:rsid w:val="42901558"/>
    <w:rsid w:val="42D00689"/>
    <w:rsid w:val="42DE6715"/>
    <w:rsid w:val="431C44AA"/>
    <w:rsid w:val="43254DBA"/>
    <w:rsid w:val="432A59BE"/>
    <w:rsid w:val="434B5F61"/>
    <w:rsid w:val="43507DFC"/>
    <w:rsid w:val="435232FF"/>
    <w:rsid w:val="435C1F1C"/>
    <w:rsid w:val="43847352"/>
    <w:rsid w:val="438B1DE9"/>
    <w:rsid w:val="43AC4C52"/>
    <w:rsid w:val="43F30C8A"/>
    <w:rsid w:val="43F35309"/>
    <w:rsid w:val="4413652A"/>
    <w:rsid w:val="44867B25"/>
    <w:rsid w:val="44930A79"/>
    <w:rsid w:val="44BA339E"/>
    <w:rsid w:val="44BF2933"/>
    <w:rsid w:val="44DC0C08"/>
    <w:rsid w:val="44E24D0F"/>
    <w:rsid w:val="451F4B74"/>
    <w:rsid w:val="4528655A"/>
    <w:rsid w:val="459A7D41"/>
    <w:rsid w:val="45B67EBF"/>
    <w:rsid w:val="45C145AC"/>
    <w:rsid w:val="45C83899"/>
    <w:rsid w:val="46080139"/>
    <w:rsid w:val="460903AC"/>
    <w:rsid w:val="462C182F"/>
    <w:rsid w:val="46511AE0"/>
    <w:rsid w:val="46804174"/>
    <w:rsid w:val="46981D72"/>
    <w:rsid w:val="46FC6684"/>
    <w:rsid w:val="472B0583"/>
    <w:rsid w:val="47403B30"/>
    <w:rsid w:val="475E2EA5"/>
    <w:rsid w:val="47947ED7"/>
    <w:rsid w:val="479F0150"/>
    <w:rsid w:val="47A47D96"/>
    <w:rsid w:val="47E64083"/>
    <w:rsid w:val="480F346C"/>
    <w:rsid w:val="48274AEC"/>
    <w:rsid w:val="484713ED"/>
    <w:rsid w:val="487D4E0F"/>
    <w:rsid w:val="487F4A93"/>
    <w:rsid w:val="48A364C4"/>
    <w:rsid w:val="48E51A27"/>
    <w:rsid w:val="493078C5"/>
    <w:rsid w:val="49522742"/>
    <w:rsid w:val="497E2BEC"/>
    <w:rsid w:val="49CE54AC"/>
    <w:rsid w:val="4A0C644A"/>
    <w:rsid w:val="4A12074B"/>
    <w:rsid w:val="4A2E7440"/>
    <w:rsid w:val="4A2F4EC1"/>
    <w:rsid w:val="4A571049"/>
    <w:rsid w:val="4A67089F"/>
    <w:rsid w:val="4AD15122"/>
    <w:rsid w:val="4AE33A6B"/>
    <w:rsid w:val="4AF122F0"/>
    <w:rsid w:val="4B157580"/>
    <w:rsid w:val="4B303B6B"/>
    <w:rsid w:val="4B34278E"/>
    <w:rsid w:val="4C161DC5"/>
    <w:rsid w:val="4C237A7B"/>
    <w:rsid w:val="4C2D1ED9"/>
    <w:rsid w:val="4C573380"/>
    <w:rsid w:val="4C965D00"/>
    <w:rsid w:val="4CAC2423"/>
    <w:rsid w:val="4CB9218D"/>
    <w:rsid w:val="4CC12FFC"/>
    <w:rsid w:val="4CC4617F"/>
    <w:rsid w:val="4CD45776"/>
    <w:rsid w:val="4CFF45D5"/>
    <w:rsid w:val="4D152A86"/>
    <w:rsid w:val="4D1843F2"/>
    <w:rsid w:val="4D2E66D8"/>
    <w:rsid w:val="4D4C735D"/>
    <w:rsid w:val="4D7D31BB"/>
    <w:rsid w:val="4D8E7176"/>
    <w:rsid w:val="4DEF6E82"/>
    <w:rsid w:val="4DF00E08"/>
    <w:rsid w:val="4E4B5067"/>
    <w:rsid w:val="4E53210E"/>
    <w:rsid w:val="4E7848CC"/>
    <w:rsid w:val="4EC464B1"/>
    <w:rsid w:val="4ECA2430"/>
    <w:rsid w:val="4ED667D8"/>
    <w:rsid w:val="4F1A532B"/>
    <w:rsid w:val="4F560168"/>
    <w:rsid w:val="4F9111A0"/>
    <w:rsid w:val="4FC61FF0"/>
    <w:rsid w:val="4FC82E13"/>
    <w:rsid w:val="4FDC096C"/>
    <w:rsid w:val="4FE65048"/>
    <w:rsid w:val="500001F2"/>
    <w:rsid w:val="50455B9C"/>
    <w:rsid w:val="50877EF8"/>
    <w:rsid w:val="50A433C7"/>
    <w:rsid w:val="50A82C45"/>
    <w:rsid w:val="50CE5CFD"/>
    <w:rsid w:val="50D4472B"/>
    <w:rsid w:val="50D67C2E"/>
    <w:rsid w:val="510D2AA8"/>
    <w:rsid w:val="51134562"/>
    <w:rsid w:val="511D6410"/>
    <w:rsid w:val="51253231"/>
    <w:rsid w:val="51583D23"/>
    <w:rsid w:val="51EC4C2C"/>
    <w:rsid w:val="520E31AE"/>
    <w:rsid w:val="524C7CB5"/>
    <w:rsid w:val="52BE1CCD"/>
    <w:rsid w:val="52C535BF"/>
    <w:rsid w:val="52C61661"/>
    <w:rsid w:val="52CC4866"/>
    <w:rsid w:val="52F0054F"/>
    <w:rsid w:val="52F1442F"/>
    <w:rsid w:val="530F6FAB"/>
    <w:rsid w:val="531138D4"/>
    <w:rsid w:val="53370692"/>
    <w:rsid w:val="53786358"/>
    <w:rsid w:val="538E4924"/>
    <w:rsid w:val="53B13BBE"/>
    <w:rsid w:val="53C57104"/>
    <w:rsid w:val="53DD0E57"/>
    <w:rsid w:val="53EA4686"/>
    <w:rsid w:val="53F677C9"/>
    <w:rsid w:val="5409239C"/>
    <w:rsid w:val="541D3002"/>
    <w:rsid w:val="542809AE"/>
    <w:rsid w:val="54660D84"/>
    <w:rsid w:val="54D062C6"/>
    <w:rsid w:val="54E0475B"/>
    <w:rsid w:val="54F76864"/>
    <w:rsid w:val="54FE2A13"/>
    <w:rsid w:val="55026999"/>
    <w:rsid w:val="553D1BAE"/>
    <w:rsid w:val="556004F4"/>
    <w:rsid w:val="559519EA"/>
    <w:rsid w:val="55C951EF"/>
    <w:rsid w:val="55D01AD3"/>
    <w:rsid w:val="55E27377"/>
    <w:rsid w:val="56313160"/>
    <w:rsid w:val="564927D4"/>
    <w:rsid w:val="56777341"/>
    <w:rsid w:val="569A6B8C"/>
    <w:rsid w:val="569E772A"/>
    <w:rsid w:val="56AD44C1"/>
    <w:rsid w:val="570A5ABF"/>
    <w:rsid w:val="572D0293"/>
    <w:rsid w:val="57301E69"/>
    <w:rsid w:val="579E3D67"/>
    <w:rsid w:val="57AF3D7C"/>
    <w:rsid w:val="57B07556"/>
    <w:rsid w:val="57D4087C"/>
    <w:rsid w:val="57EF3BD4"/>
    <w:rsid w:val="58156E12"/>
    <w:rsid w:val="58627B7D"/>
    <w:rsid w:val="58930993"/>
    <w:rsid w:val="58BF6C57"/>
    <w:rsid w:val="59094320"/>
    <w:rsid w:val="594A2B8C"/>
    <w:rsid w:val="599B50F5"/>
    <w:rsid w:val="59A05CA7"/>
    <w:rsid w:val="59AD2128"/>
    <w:rsid w:val="59C43254"/>
    <w:rsid w:val="59F14D15"/>
    <w:rsid w:val="5A213549"/>
    <w:rsid w:val="5A335E61"/>
    <w:rsid w:val="5A3D1234"/>
    <w:rsid w:val="5ACD39D4"/>
    <w:rsid w:val="5ACE4F06"/>
    <w:rsid w:val="5B0E18F6"/>
    <w:rsid w:val="5B2E142D"/>
    <w:rsid w:val="5B590DC3"/>
    <w:rsid w:val="5B723F21"/>
    <w:rsid w:val="5B744166"/>
    <w:rsid w:val="5B9723D0"/>
    <w:rsid w:val="5B9C1E0D"/>
    <w:rsid w:val="5BC81ACB"/>
    <w:rsid w:val="5BFC7B76"/>
    <w:rsid w:val="5C001B87"/>
    <w:rsid w:val="5C063D09"/>
    <w:rsid w:val="5C335AB8"/>
    <w:rsid w:val="5C3E620B"/>
    <w:rsid w:val="5C3F76B7"/>
    <w:rsid w:val="5C4E40FD"/>
    <w:rsid w:val="5C5F68AD"/>
    <w:rsid w:val="5C686412"/>
    <w:rsid w:val="5C836B56"/>
    <w:rsid w:val="5CA35DFA"/>
    <w:rsid w:val="5CDD2694"/>
    <w:rsid w:val="5CE0366C"/>
    <w:rsid w:val="5D247D9B"/>
    <w:rsid w:val="5D2B2C96"/>
    <w:rsid w:val="5D4C079D"/>
    <w:rsid w:val="5D850596"/>
    <w:rsid w:val="5D971696"/>
    <w:rsid w:val="5DE91920"/>
    <w:rsid w:val="5E055233"/>
    <w:rsid w:val="5E3A6227"/>
    <w:rsid w:val="5E521F28"/>
    <w:rsid w:val="5E596777"/>
    <w:rsid w:val="5E6721EE"/>
    <w:rsid w:val="5E774A07"/>
    <w:rsid w:val="5E8223DB"/>
    <w:rsid w:val="5E8A16E8"/>
    <w:rsid w:val="5E9F131C"/>
    <w:rsid w:val="5F0135F2"/>
    <w:rsid w:val="5F3758C0"/>
    <w:rsid w:val="5F7771DF"/>
    <w:rsid w:val="5FAA42E4"/>
    <w:rsid w:val="5FB52C88"/>
    <w:rsid w:val="5FB567E4"/>
    <w:rsid w:val="5FE771E7"/>
    <w:rsid w:val="600A4E1D"/>
    <w:rsid w:val="601222BF"/>
    <w:rsid w:val="603040BD"/>
    <w:rsid w:val="604E7E90"/>
    <w:rsid w:val="60553F98"/>
    <w:rsid w:val="60595C02"/>
    <w:rsid w:val="605A4517"/>
    <w:rsid w:val="60A32AE1"/>
    <w:rsid w:val="60CA77DA"/>
    <w:rsid w:val="60DB1BA6"/>
    <w:rsid w:val="60E115FE"/>
    <w:rsid w:val="61464AD3"/>
    <w:rsid w:val="616522AF"/>
    <w:rsid w:val="6187560F"/>
    <w:rsid w:val="61894395"/>
    <w:rsid w:val="61DA0784"/>
    <w:rsid w:val="62326812"/>
    <w:rsid w:val="623835D2"/>
    <w:rsid w:val="62682941"/>
    <w:rsid w:val="62774225"/>
    <w:rsid w:val="629224CF"/>
    <w:rsid w:val="62957545"/>
    <w:rsid w:val="62B56081"/>
    <w:rsid w:val="63163A33"/>
    <w:rsid w:val="632C30AB"/>
    <w:rsid w:val="636F1287"/>
    <w:rsid w:val="63811F28"/>
    <w:rsid w:val="6381535B"/>
    <w:rsid w:val="63860BC4"/>
    <w:rsid w:val="63AD3C92"/>
    <w:rsid w:val="63B514A9"/>
    <w:rsid w:val="64064729"/>
    <w:rsid w:val="64122457"/>
    <w:rsid w:val="647B7FFD"/>
    <w:rsid w:val="64BD2457"/>
    <w:rsid w:val="64BE0654"/>
    <w:rsid w:val="64C115D9"/>
    <w:rsid w:val="64E57E73"/>
    <w:rsid w:val="64E738E4"/>
    <w:rsid w:val="64F32289"/>
    <w:rsid w:val="65024FE6"/>
    <w:rsid w:val="65130235"/>
    <w:rsid w:val="655D6B10"/>
    <w:rsid w:val="659E1937"/>
    <w:rsid w:val="65B74107"/>
    <w:rsid w:val="65ED0215"/>
    <w:rsid w:val="66326DE1"/>
    <w:rsid w:val="66456B14"/>
    <w:rsid w:val="664A237C"/>
    <w:rsid w:val="664D7777"/>
    <w:rsid w:val="664D7E66"/>
    <w:rsid w:val="668734C3"/>
    <w:rsid w:val="669D0EEA"/>
    <w:rsid w:val="66AE3383"/>
    <w:rsid w:val="66B626E0"/>
    <w:rsid w:val="66D222BD"/>
    <w:rsid w:val="66D85CF0"/>
    <w:rsid w:val="66F36075"/>
    <w:rsid w:val="67007749"/>
    <w:rsid w:val="6703252B"/>
    <w:rsid w:val="67357D6D"/>
    <w:rsid w:val="67682089"/>
    <w:rsid w:val="67C4144C"/>
    <w:rsid w:val="682C7077"/>
    <w:rsid w:val="68365A29"/>
    <w:rsid w:val="685A43CD"/>
    <w:rsid w:val="689A76AB"/>
    <w:rsid w:val="68C34FEC"/>
    <w:rsid w:val="68CE4682"/>
    <w:rsid w:val="68E22A71"/>
    <w:rsid w:val="68F760C0"/>
    <w:rsid w:val="690B0E8D"/>
    <w:rsid w:val="69407A67"/>
    <w:rsid w:val="69904740"/>
    <w:rsid w:val="69955344"/>
    <w:rsid w:val="69AD626E"/>
    <w:rsid w:val="69B80D28"/>
    <w:rsid w:val="69DE5319"/>
    <w:rsid w:val="6A4D243B"/>
    <w:rsid w:val="6A5175BC"/>
    <w:rsid w:val="6ABB5B0E"/>
    <w:rsid w:val="6AFB3992"/>
    <w:rsid w:val="6B061D23"/>
    <w:rsid w:val="6B205CF8"/>
    <w:rsid w:val="6B2111D2"/>
    <w:rsid w:val="6B7C2B34"/>
    <w:rsid w:val="6BF64EAE"/>
    <w:rsid w:val="6C2446F9"/>
    <w:rsid w:val="6C274E65"/>
    <w:rsid w:val="6C2E1DF8"/>
    <w:rsid w:val="6C327B3B"/>
    <w:rsid w:val="6C3B431E"/>
    <w:rsid w:val="6CAF118B"/>
    <w:rsid w:val="6CB809D6"/>
    <w:rsid w:val="6CBB3973"/>
    <w:rsid w:val="6CDC6D8E"/>
    <w:rsid w:val="6CE90966"/>
    <w:rsid w:val="6CF9123E"/>
    <w:rsid w:val="6D031699"/>
    <w:rsid w:val="6D07276D"/>
    <w:rsid w:val="6D9764FF"/>
    <w:rsid w:val="6DB22C06"/>
    <w:rsid w:val="6DD96349"/>
    <w:rsid w:val="6DE03D66"/>
    <w:rsid w:val="6DE36C58"/>
    <w:rsid w:val="6DF456B4"/>
    <w:rsid w:val="6DF90F09"/>
    <w:rsid w:val="6DFB0400"/>
    <w:rsid w:val="6E2E6EEA"/>
    <w:rsid w:val="6E480B7B"/>
    <w:rsid w:val="6E851A78"/>
    <w:rsid w:val="6EDE3F22"/>
    <w:rsid w:val="6EFA1135"/>
    <w:rsid w:val="6F413BF1"/>
    <w:rsid w:val="6FAC2771"/>
    <w:rsid w:val="6FCB0CF7"/>
    <w:rsid w:val="6FF23B38"/>
    <w:rsid w:val="6FF536C2"/>
    <w:rsid w:val="70310A83"/>
    <w:rsid w:val="70441BEA"/>
    <w:rsid w:val="708244C1"/>
    <w:rsid w:val="70D30A99"/>
    <w:rsid w:val="70E03722"/>
    <w:rsid w:val="710315D9"/>
    <w:rsid w:val="71186BD3"/>
    <w:rsid w:val="715043E1"/>
    <w:rsid w:val="71812947"/>
    <w:rsid w:val="71836742"/>
    <w:rsid w:val="71B911F8"/>
    <w:rsid w:val="71DB29CA"/>
    <w:rsid w:val="72086C48"/>
    <w:rsid w:val="723942F4"/>
    <w:rsid w:val="72600832"/>
    <w:rsid w:val="72AC4633"/>
    <w:rsid w:val="72B10ABA"/>
    <w:rsid w:val="72BD3ED6"/>
    <w:rsid w:val="72D60AF4"/>
    <w:rsid w:val="730814C9"/>
    <w:rsid w:val="730D5951"/>
    <w:rsid w:val="73250AF8"/>
    <w:rsid w:val="732D2E0A"/>
    <w:rsid w:val="733817AF"/>
    <w:rsid w:val="735623E1"/>
    <w:rsid w:val="736949E6"/>
    <w:rsid w:val="738022BD"/>
    <w:rsid w:val="73863CE8"/>
    <w:rsid w:val="738A0E6F"/>
    <w:rsid w:val="739410AD"/>
    <w:rsid w:val="739E5AB6"/>
    <w:rsid w:val="73A20FDF"/>
    <w:rsid w:val="73AD1C57"/>
    <w:rsid w:val="73D946F0"/>
    <w:rsid w:val="73F00142"/>
    <w:rsid w:val="7410312E"/>
    <w:rsid w:val="74195A99"/>
    <w:rsid w:val="744F39DE"/>
    <w:rsid w:val="74542618"/>
    <w:rsid w:val="74676920"/>
    <w:rsid w:val="748B5C62"/>
    <w:rsid w:val="74D12CB3"/>
    <w:rsid w:val="74DF584C"/>
    <w:rsid w:val="74E12C34"/>
    <w:rsid w:val="75227815"/>
    <w:rsid w:val="753417CF"/>
    <w:rsid w:val="758A0D38"/>
    <w:rsid w:val="758B5965"/>
    <w:rsid w:val="75C9322D"/>
    <w:rsid w:val="75E44CC4"/>
    <w:rsid w:val="75F23E97"/>
    <w:rsid w:val="75F72A95"/>
    <w:rsid w:val="761413B6"/>
    <w:rsid w:val="76357511"/>
    <w:rsid w:val="76380DE0"/>
    <w:rsid w:val="765A4D38"/>
    <w:rsid w:val="76754F3C"/>
    <w:rsid w:val="767E1BCE"/>
    <w:rsid w:val="767F74F6"/>
    <w:rsid w:val="769E63CC"/>
    <w:rsid w:val="76AA3BBE"/>
    <w:rsid w:val="76AE0046"/>
    <w:rsid w:val="76B26A4C"/>
    <w:rsid w:val="76CC46E8"/>
    <w:rsid w:val="76DD3FCF"/>
    <w:rsid w:val="773735E2"/>
    <w:rsid w:val="77610DB1"/>
    <w:rsid w:val="77715A51"/>
    <w:rsid w:val="77E41BCE"/>
    <w:rsid w:val="78417146"/>
    <w:rsid w:val="78482365"/>
    <w:rsid w:val="78807F41"/>
    <w:rsid w:val="788334CC"/>
    <w:rsid w:val="78D369EC"/>
    <w:rsid w:val="792F1D41"/>
    <w:rsid w:val="793F0049"/>
    <w:rsid w:val="79B017FC"/>
    <w:rsid w:val="79B6253C"/>
    <w:rsid w:val="79BB0EF6"/>
    <w:rsid w:val="79C008CD"/>
    <w:rsid w:val="7A3C4EF3"/>
    <w:rsid w:val="7A6A66F1"/>
    <w:rsid w:val="7A7B7B40"/>
    <w:rsid w:val="7A886B78"/>
    <w:rsid w:val="7A9131A4"/>
    <w:rsid w:val="7AC5601E"/>
    <w:rsid w:val="7AD7365B"/>
    <w:rsid w:val="7AEF6BF7"/>
    <w:rsid w:val="7B02475C"/>
    <w:rsid w:val="7B160627"/>
    <w:rsid w:val="7B2D19BF"/>
    <w:rsid w:val="7B46305F"/>
    <w:rsid w:val="7B59516B"/>
    <w:rsid w:val="7B5F4AF6"/>
    <w:rsid w:val="7B7A3121"/>
    <w:rsid w:val="7BFA1CF7"/>
    <w:rsid w:val="7C2826E5"/>
    <w:rsid w:val="7C3C02C4"/>
    <w:rsid w:val="7C63789C"/>
    <w:rsid w:val="7C6B04AB"/>
    <w:rsid w:val="7C7A771D"/>
    <w:rsid w:val="7D205B85"/>
    <w:rsid w:val="7D2F63A0"/>
    <w:rsid w:val="7D341239"/>
    <w:rsid w:val="7D4C003E"/>
    <w:rsid w:val="7D68074E"/>
    <w:rsid w:val="7D851A94"/>
    <w:rsid w:val="7DB25813"/>
    <w:rsid w:val="7DD763EB"/>
    <w:rsid w:val="7E1D280B"/>
    <w:rsid w:val="7E665422"/>
    <w:rsid w:val="7EB4296F"/>
    <w:rsid w:val="7EEF67B3"/>
    <w:rsid w:val="7F0C0981"/>
    <w:rsid w:val="7F3217A8"/>
    <w:rsid w:val="7F3336E7"/>
    <w:rsid w:val="7F653A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2">
    <w:name w:val="heading 1"/>
    <w:basedOn w:val="3"/>
    <w:next w:val="1"/>
    <w:link w:val="50"/>
    <w:autoRedefine/>
    <w:qFormat/>
    <w:uiPriority w:val="99"/>
    <w:pPr>
      <w:keepNext/>
      <w:keepLines/>
      <w:spacing w:line="240" w:lineRule="auto"/>
      <w:jc w:val="center"/>
      <w:outlineLvl w:val="0"/>
    </w:pPr>
    <w:rPr>
      <w:b/>
      <w:bCs/>
      <w:kern w:val="44"/>
      <w:sz w:val="36"/>
      <w:szCs w:val="44"/>
    </w:rPr>
  </w:style>
  <w:style w:type="paragraph" w:styleId="4">
    <w:name w:val="heading 2"/>
    <w:basedOn w:val="1"/>
    <w:next w:val="1"/>
    <w:link w:val="51"/>
    <w:autoRedefine/>
    <w:qFormat/>
    <w:uiPriority w:val="99"/>
    <w:pPr>
      <w:keepNext/>
      <w:keepLines/>
      <w:spacing w:line="240" w:lineRule="auto"/>
      <w:outlineLvl w:val="1"/>
    </w:pPr>
    <w:rPr>
      <w:rFonts w:ascii="Calibri" w:hAnsi="Calibri"/>
      <w:b/>
      <w:bCs/>
      <w:sz w:val="32"/>
      <w:szCs w:val="32"/>
    </w:rPr>
  </w:style>
  <w:style w:type="paragraph" w:styleId="5">
    <w:name w:val="heading 3"/>
    <w:basedOn w:val="1"/>
    <w:next w:val="1"/>
    <w:link w:val="52"/>
    <w:autoRedefine/>
    <w:qFormat/>
    <w:uiPriority w:val="99"/>
    <w:pPr>
      <w:keepNext/>
      <w:keepLines/>
      <w:spacing w:line="400" w:lineRule="atLeast"/>
      <w:jc w:val="center"/>
      <w:outlineLvl w:val="2"/>
    </w:pPr>
    <w:rPr>
      <w:b/>
      <w:bCs/>
      <w:sz w:val="32"/>
      <w:szCs w:val="32"/>
      <w:u w:val="double"/>
    </w:rPr>
  </w:style>
  <w:style w:type="paragraph" w:styleId="6">
    <w:name w:val="heading 4"/>
    <w:basedOn w:val="1"/>
    <w:next w:val="1"/>
    <w:link w:val="88"/>
    <w:autoRedefine/>
    <w:qFormat/>
    <w:uiPriority w:val="99"/>
    <w:pPr>
      <w:ind w:left="724"/>
      <w:outlineLvl w:val="3"/>
    </w:pPr>
    <w:rPr>
      <w:rFonts w:ascii="仿宋" w:hAnsi="仿宋" w:eastAsia="仿宋" w:cs="仿宋"/>
      <w:b/>
      <w:bCs/>
      <w:lang w:val="ja-JP" w:eastAsia="ja-JP" w:bidi="ja-JP"/>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HTML Preformatted"/>
    <w:basedOn w:val="1"/>
    <w:autoRedefine/>
    <w:qFormat/>
    <w:uiPriority w:val="0"/>
    <w:rPr>
      <w:rFonts w:ascii="Courier New" w:hAnsi="Courier New" w:cs="Courier New"/>
      <w:sz w:val="20"/>
      <w:szCs w:val="20"/>
    </w:rPr>
  </w:style>
  <w:style w:type="paragraph" w:styleId="7">
    <w:name w:val="toc 7"/>
    <w:basedOn w:val="1"/>
    <w:next w:val="1"/>
    <w:autoRedefine/>
    <w:unhideWhenUsed/>
    <w:qFormat/>
    <w:uiPriority w:val="39"/>
    <w:pPr>
      <w:ind w:left="1680"/>
      <w:jc w:val="left"/>
    </w:pPr>
    <w:rPr>
      <w:rFonts w:asciiTheme="minorHAnsi" w:hAnsiTheme="minorHAnsi"/>
      <w:sz w:val="18"/>
      <w:szCs w:val="18"/>
    </w:rPr>
  </w:style>
  <w:style w:type="paragraph" w:styleId="8">
    <w:name w:val="Normal Indent"/>
    <w:basedOn w:val="1"/>
    <w:next w:val="9"/>
    <w:autoRedefine/>
    <w:qFormat/>
    <w:uiPriority w:val="99"/>
    <w:pPr>
      <w:widowControl w:val="0"/>
      <w:spacing w:line="240" w:lineRule="auto"/>
      <w:ind w:firstLine="420"/>
    </w:pPr>
    <w:rPr>
      <w:rFonts w:ascii="Calibri" w:hAnsi="Calibri" w:eastAsia="宋体" w:cs="Calibri"/>
      <w:sz w:val="21"/>
      <w:szCs w:val="21"/>
    </w:rPr>
  </w:style>
  <w:style w:type="paragraph" w:styleId="9">
    <w:name w:val="toc 4"/>
    <w:basedOn w:val="1"/>
    <w:next w:val="1"/>
    <w:autoRedefine/>
    <w:unhideWhenUsed/>
    <w:qFormat/>
    <w:uiPriority w:val="39"/>
    <w:pPr>
      <w:ind w:left="840"/>
      <w:jc w:val="left"/>
    </w:pPr>
    <w:rPr>
      <w:rFonts w:asciiTheme="minorHAnsi" w:hAnsiTheme="minorHAnsi"/>
      <w:sz w:val="18"/>
      <w:szCs w:val="18"/>
    </w:rPr>
  </w:style>
  <w:style w:type="paragraph" w:styleId="10">
    <w:name w:val="Document Map"/>
    <w:basedOn w:val="1"/>
    <w:link w:val="53"/>
    <w:autoRedefine/>
    <w:qFormat/>
    <w:uiPriority w:val="99"/>
    <w:rPr>
      <w:rFonts w:ascii="宋体" w:eastAsia="宋体"/>
      <w:sz w:val="18"/>
      <w:szCs w:val="18"/>
    </w:rPr>
  </w:style>
  <w:style w:type="paragraph" w:styleId="11">
    <w:name w:val="annotation text"/>
    <w:basedOn w:val="1"/>
    <w:link w:val="91"/>
    <w:autoRedefine/>
    <w:semiHidden/>
    <w:qFormat/>
    <w:uiPriority w:val="99"/>
    <w:pPr>
      <w:widowControl w:val="0"/>
      <w:spacing w:line="240" w:lineRule="auto"/>
      <w:jc w:val="left"/>
    </w:pPr>
    <w:rPr>
      <w:rFonts w:ascii="宋体" w:hAnsi="Calibri" w:eastAsia="宋体" w:cs="宋体"/>
      <w:kern w:val="0"/>
      <w:sz w:val="34"/>
      <w:szCs w:val="34"/>
    </w:rPr>
  </w:style>
  <w:style w:type="paragraph" w:styleId="12">
    <w:name w:val="Body Text"/>
    <w:basedOn w:val="1"/>
    <w:next w:val="1"/>
    <w:link w:val="89"/>
    <w:autoRedefine/>
    <w:qFormat/>
    <w:uiPriority w:val="99"/>
    <w:rPr>
      <w:rFonts w:ascii="仿宋" w:hAnsi="仿宋" w:eastAsia="仿宋" w:cs="仿宋"/>
      <w:lang w:val="ja-JP" w:eastAsia="ja-JP" w:bidi="ja-JP"/>
    </w:rPr>
  </w:style>
  <w:style w:type="paragraph" w:styleId="13">
    <w:name w:val="Body Text Indent"/>
    <w:basedOn w:val="1"/>
    <w:link w:val="92"/>
    <w:autoRedefine/>
    <w:qFormat/>
    <w:uiPriority w:val="99"/>
    <w:pPr>
      <w:widowControl w:val="0"/>
      <w:spacing w:after="120" w:line="240" w:lineRule="auto"/>
      <w:ind w:left="420" w:leftChars="200"/>
    </w:pPr>
    <w:rPr>
      <w:rFonts w:ascii="Calibri" w:hAnsi="Calibri" w:eastAsia="宋体" w:cs="Calibri"/>
      <w:sz w:val="21"/>
      <w:szCs w:val="21"/>
    </w:rPr>
  </w:style>
  <w:style w:type="paragraph" w:styleId="14">
    <w:name w:val="toc 5"/>
    <w:basedOn w:val="1"/>
    <w:next w:val="1"/>
    <w:autoRedefine/>
    <w:unhideWhenUsed/>
    <w:qFormat/>
    <w:uiPriority w:val="39"/>
    <w:pPr>
      <w:ind w:left="1120"/>
      <w:jc w:val="left"/>
    </w:pPr>
    <w:rPr>
      <w:rFonts w:asciiTheme="minorHAnsi" w:hAnsiTheme="minorHAnsi"/>
      <w:sz w:val="18"/>
      <w:szCs w:val="18"/>
    </w:rPr>
  </w:style>
  <w:style w:type="paragraph" w:styleId="15">
    <w:name w:val="toc 3"/>
    <w:basedOn w:val="1"/>
    <w:next w:val="1"/>
    <w:autoRedefine/>
    <w:unhideWhenUsed/>
    <w:qFormat/>
    <w:uiPriority w:val="39"/>
    <w:pPr>
      <w:ind w:left="560"/>
      <w:jc w:val="left"/>
    </w:pPr>
    <w:rPr>
      <w:rFonts w:asciiTheme="minorHAnsi" w:hAnsiTheme="minorHAnsi"/>
      <w:i/>
      <w:iCs/>
      <w:sz w:val="20"/>
      <w:szCs w:val="20"/>
    </w:rPr>
  </w:style>
  <w:style w:type="paragraph" w:styleId="16">
    <w:name w:val="Plain Text"/>
    <w:basedOn w:val="1"/>
    <w:link w:val="54"/>
    <w:autoRedefine/>
    <w:qFormat/>
    <w:uiPriority w:val="0"/>
    <w:rPr>
      <w:rFonts w:ascii="宋体" w:hAnsi="Courier New" w:eastAsia="宋体" w:cs="Courier New"/>
      <w:sz w:val="21"/>
      <w:szCs w:val="21"/>
    </w:rPr>
  </w:style>
  <w:style w:type="paragraph" w:styleId="17">
    <w:name w:val="toc 8"/>
    <w:basedOn w:val="1"/>
    <w:next w:val="1"/>
    <w:autoRedefine/>
    <w:unhideWhenUsed/>
    <w:qFormat/>
    <w:uiPriority w:val="39"/>
    <w:pPr>
      <w:ind w:left="1960"/>
      <w:jc w:val="left"/>
    </w:pPr>
    <w:rPr>
      <w:rFonts w:asciiTheme="minorHAnsi" w:hAnsiTheme="minorHAnsi"/>
      <w:sz w:val="18"/>
      <w:szCs w:val="18"/>
    </w:rPr>
  </w:style>
  <w:style w:type="paragraph" w:styleId="18">
    <w:name w:val="Date"/>
    <w:basedOn w:val="1"/>
    <w:next w:val="1"/>
    <w:link w:val="55"/>
    <w:autoRedefine/>
    <w:qFormat/>
    <w:uiPriority w:val="0"/>
    <w:pPr>
      <w:ind w:left="100" w:leftChars="2500"/>
    </w:pPr>
  </w:style>
  <w:style w:type="paragraph" w:styleId="19">
    <w:name w:val="Body Text Indent 2"/>
    <w:basedOn w:val="1"/>
    <w:link w:val="93"/>
    <w:autoRedefine/>
    <w:qFormat/>
    <w:uiPriority w:val="99"/>
    <w:pPr>
      <w:widowControl w:val="0"/>
      <w:spacing w:after="120" w:line="480" w:lineRule="auto"/>
      <w:ind w:left="420" w:leftChars="200"/>
    </w:pPr>
    <w:rPr>
      <w:rFonts w:ascii="Calibri" w:hAnsi="Calibri" w:eastAsia="宋体" w:cs="Calibri"/>
      <w:sz w:val="21"/>
      <w:szCs w:val="21"/>
    </w:rPr>
  </w:style>
  <w:style w:type="paragraph" w:styleId="20">
    <w:name w:val="Balloon Text"/>
    <w:basedOn w:val="1"/>
    <w:link w:val="56"/>
    <w:autoRedefine/>
    <w:qFormat/>
    <w:uiPriority w:val="99"/>
    <w:pPr>
      <w:spacing w:line="240" w:lineRule="auto"/>
    </w:pPr>
    <w:rPr>
      <w:sz w:val="18"/>
      <w:szCs w:val="18"/>
    </w:rPr>
  </w:style>
  <w:style w:type="paragraph" w:styleId="21">
    <w:name w:val="footer"/>
    <w:basedOn w:val="1"/>
    <w:link w:val="57"/>
    <w:autoRedefine/>
    <w:qFormat/>
    <w:uiPriority w:val="99"/>
    <w:pPr>
      <w:widowControl w:val="0"/>
      <w:tabs>
        <w:tab w:val="center" w:pos="4153"/>
        <w:tab w:val="right" w:pos="8306"/>
      </w:tabs>
      <w:snapToGrid w:val="0"/>
      <w:spacing w:line="240" w:lineRule="auto"/>
      <w:jc w:val="left"/>
    </w:pPr>
    <w:rPr>
      <w:kern w:val="0"/>
      <w:sz w:val="18"/>
      <w:szCs w:val="20"/>
    </w:rPr>
  </w:style>
  <w:style w:type="paragraph" w:styleId="22">
    <w:name w:val="envelope return"/>
    <w:basedOn w:val="1"/>
    <w:autoRedefine/>
    <w:unhideWhenUsed/>
    <w:qFormat/>
    <w:uiPriority w:val="99"/>
    <w:pPr>
      <w:snapToGrid w:val="0"/>
    </w:pPr>
    <w:rPr>
      <w:rFonts w:ascii="Arial" w:hAnsi="Arial" w:cs="Arial"/>
    </w:rPr>
  </w:style>
  <w:style w:type="paragraph" w:styleId="23">
    <w:name w:val="header"/>
    <w:basedOn w:val="1"/>
    <w:link w:val="58"/>
    <w:autoRedefine/>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footnote text"/>
    <w:basedOn w:val="1"/>
    <w:link w:val="94"/>
    <w:autoRedefine/>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6">
    <w:name w:val="toc 6"/>
    <w:basedOn w:val="1"/>
    <w:next w:val="1"/>
    <w:autoRedefine/>
    <w:unhideWhenUsed/>
    <w:qFormat/>
    <w:uiPriority w:val="39"/>
    <w:pPr>
      <w:ind w:left="1400"/>
      <w:jc w:val="left"/>
    </w:pPr>
    <w:rPr>
      <w:rFonts w:asciiTheme="minorHAnsi" w:hAnsiTheme="minorHAnsi"/>
      <w:sz w:val="18"/>
      <w:szCs w:val="18"/>
    </w:rPr>
  </w:style>
  <w:style w:type="paragraph" w:styleId="27">
    <w:name w:val="toc 2"/>
    <w:basedOn w:val="1"/>
    <w:next w:val="1"/>
    <w:autoRedefine/>
    <w:unhideWhenUsed/>
    <w:qFormat/>
    <w:uiPriority w:val="39"/>
    <w:pPr>
      <w:ind w:left="280"/>
      <w:jc w:val="left"/>
    </w:pPr>
    <w:rPr>
      <w:rFonts w:asciiTheme="minorHAnsi" w:hAnsiTheme="minorHAnsi"/>
      <w:smallCaps/>
      <w:sz w:val="20"/>
      <w:szCs w:val="20"/>
    </w:rPr>
  </w:style>
  <w:style w:type="paragraph" w:styleId="28">
    <w:name w:val="toc 9"/>
    <w:basedOn w:val="1"/>
    <w:next w:val="1"/>
    <w:autoRedefine/>
    <w:unhideWhenUsed/>
    <w:qFormat/>
    <w:uiPriority w:val="39"/>
    <w:pPr>
      <w:ind w:left="2240"/>
      <w:jc w:val="left"/>
    </w:pPr>
    <w:rPr>
      <w:rFonts w:asciiTheme="minorHAnsi" w:hAnsiTheme="minorHAnsi"/>
      <w:sz w:val="18"/>
      <w:szCs w:val="18"/>
    </w:rPr>
  </w:style>
  <w:style w:type="paragraph" w:styleId="29">
    <w:name w:val="Body Text 2"/>
    <w:basedOn w:val="1"/>
    <w:link w:val="96"/>
    <w:autoRedefine/>
    <w:qFormat/>
    <w:uiPriority w:val="99"/>
    <w:pPr>
      <w:adjustRightInd w:val="0"/>
      <w:snapToGrid w:val="0"/>
      <w:spacing w:line="480" w:lineRule="atLeast"/>
    </w:pPr>
    <w:rPr>
      <w:rFonts w:ascii="宋体" w:hAnsi="宋体"/>
    </w:rPr>
  </w:style>
  <w:style w:type="paragraph" w:styleId="30">
    <w:name w:val="Normal (Web)"/>
    <w:basedOn w:val="1"/>
    <w:autoRedefine/>
    <w:qFormat/>
    <w:uiPriority w:val="99"/>
    <w:pPr>
      <w:spacing w:beforeAutospacing="1" w:afterAutospacing="1"/>
      <w:jc w:val="left"/>
    </w:pPr>
    <w:rPr>
      <w:kern w:val="0"/>
      <w:sz w:val="24"/>
    </w:rPr>
  </w:style>
  <w:style w:type="paragraph" w:styleId="31">
    <w:name w:val="annotation subject"/>
    <w:basedOn w:val="11"/>
    <w:next w:val="11"/>
    <w:link w:val="95"/>
    <w:autoRedefine/>
    <w:semiHidden/>
    <w:unhideWhenUsed/>
    <w:qFormat/>
    <w:uiPriority w:val="99"/>
    <w:rPr>
      <w:rFonts w:ascii="Calibri" w:cs="Calibri"/>
      <w:b/>
      <w:bCs/>
      <w:kern w:val="2"/>
      <w:sz w:val="21"/>
      <w:szCs w:val="21"/>
    </w:rPr>
  </w:style>
  <w:style w:type="paragraph" w:styleId="32">
    <w:name w:val="Body Text First Indent"/>
    <w:basedOn w:val="12"/>
    <w:autoRedefine/>
    <w:qFormat/>
    <w:uiPriority w:val="0"/>
    <w:pPr>
      <w:ind w:firstLine="420" w:firstLineChars="100"/>
    </w:pPr>
  </w:style>
  <w:style w:type="paragraph" w:styleId="33">
    <w:name w:val="Body Text First Indent 2"/>
    <w:basedOn w:val="13"/>
    <w:autoRedefine/>
    <w:qFormat/>
    <w:uiPriority w:val="99"/>
    <w:pPr>
      <w:tabs>
        <w:tab w:val="left" w:pos="4900"/>
      </w:tabs>
      <w:ind w:firstLine="420" w:firstLineChars="200"/>
    </w:pPr>
  </w:style>
  <w:style w:type="table" w:styleId="35">
    <w:name w:val="Table Grid"/>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99"/>
    <w:rPr>
      <w:b/>
      <w:bCs/>
      <w:sz w:val="24"/>
      <w:szCs w:val="24"/>
    </w:rPr>
  </w:style>
  <w:style w:type="character" w:styleId="38">
    <w:name w:val="page number"/>
    <w:autoRedefine/>
    <w:qFormat/>
    <w:uiPriority w:val="99"/>
    <w:rPr>
      <w:rFonts w:ascii="Times New Roman" w:hAnsi="Times New Roman" w:eastAsia="宋体" w:cs="Times New Roman"/>
    </w:rPr>
  </w:style>
  <w:style w:type="character" w:styleId="39">
    <w:name w:val="FollowedHyperlink"/>
    <w:autoRedefine/>
    <w:qFormat/>
    <w:uiPriority w:val="99"/>
    <w:rPr>
      <w:rFonts w:hint="eastAsia" w:ascii="宋体" w:hAnsi="宋体" w:eastAsia="宋体" w:cs="宋体"/>
      <w:color w:val="000000"/>
      <w:sz w:val="18"/>
      <w:szCs w:val="18"/>
      <w:u w:val="none"/>
    </w:rPr>
  </w:style>
  <w:style w:type="character" w:styleId="40">
    <w:name w:val="Emphasis"/>
    <w:basedOn w:val="36"/>
    <w:autoRedefine/>
    <w:qFormat/>
    <w:uiPriority w:val="99"/>
  </w:style>
  <w:style w:type="character" w:styleId="41">
    <w:name w:val="Hyperlink"/>
    <w:autoRedefine/>
    <w:qFormat/>
    <w:uiPriority w:val="99"/>
    <w:rPr>
      <w:rFonts w:cs="Times New Roman"/>
      <w:color w:val="000000"/>
      <w:sz w:val="18"/>
      <w:u w:val="none"/>
    </w:rPr>
  </w:style>
  <w:style w:type="character" w:styleId="42">
    <w:name w:val="annotation reference"/>
    <w:autoRedefine/>
    <w:semiHidden/>
    <w:qFormat/>
    <w:uiPriority w:val="99"/>
    <w:rPr>
      <w:sz w:val="21"/>
      <w:szCs w:val="21"/>
    </w:rPr>
  </w:style>
  <w:style w:type="character" w:styleId="43">
    <w:name w:val="HTML Cite"/>
    <w:basedOn w:val="36"/>
    <w:autoRedefine/>
    <w:qFormat/>
    <w:uiPriority w:val="99"/>
  </w:style>
  <w:style w:type="character" w:styleId="44">
    <w:name w:val="footnote reference"/>
    <w:basedOn w:val="36"/>
    <w:autoRedefine/>
    <w:semiHidden/>
    <w:unhideWhenUsed/>
    <w:qFormat/>
    <w:uiPriority w:val="99"/>
    <w:rPr>
      <w:vertAlign w:val="superscript"/>
    </w:rPr>
  </w:style>
  <w:style w:type="paragraph" w:customStyle="1" w:styleId="45">
    <w:name w:val="+正文"/>
    <w:basedOn w:val="1"/>
    <w:autoRedefine/>
    <w:qFormat/>
    <w:uiPriority w:val="99"/>
    <w:pPr>
      <w:spacing w:line="360" w:lineRule="auto"/>
      <w:ind w:firstLine="200" w:firstLineChars="200"/>
    </w:pPr>
  </w:style>
  <w:style w:type="paragraph" w:customStyle="1" w:styleId="46">
    <w:name w:val="列出段落1"/>
    <w:basedOn w:val="1"/>
    <w:autoRedefine/>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paragraph" w:customStyle="1" w:styleId="47">
    <w:name w:val="TOC 标题1"/>
    <w:basedOn w:val="2"/>
    <w:next w:val="1"/>
    <w:autoRedefine/>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4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50">
    <w:name w:val="标题 1 Char"/>
    <w:link w:val="2"/>
    <w:autoRedefine/>
    <w:qFormat/>
    <w:uiPriority w:val="99"/>
    <w:rPr>
      <w:rFonts w:cs="Times New Roman"/>
      <w:b/>
      <w:bCs/>
      <w:kern w:val="44"/>
      <w:sz w:val="44"/>
      <w:szCs w:val="44"/>
    </w:rPr>
  </w:style>
  <w:style w:type="character" w:customStyle="1" w:styleId="51">
    <w:name w:val="标题 2 Char"/>
    <w:link w:val="4"/>
    <w:autoRedefine/>
    <w:qFormat/>
    <w:uiPriority w:val="99"/>
    <w:rPr>
      <w:rFonts w:ascii="Calibri" w:hAnsi="Calibri" w:eastAsia="华文仿宋" w:cs="Times New Roman"/>
      <w:b/>
      <w:bCs/>
      <w:sz w:val="32"/>
      <w:szCs w:val="32"/>
    </w:rPr>
  </w:style>
  <w:style w:type="character" w:customStyle="1" w:styleId="52">
    <w:name w:val="标题 3 Char"/>
    <w:link w:val="5"/>
    <w:autoRedefine/>
    <w:qFormat/>
    <w:uiPriority w:val="99"/>
    <w:rPr>
      <w:rFonts w:cs="Times New Roman"/>
      <w:b/>
      <w:bCs/>
      <w:sz w:val="32"/>
      <w:szCs w:val="32"/>
      <w:u w:val="double"/>
    </w:rPr>
  </w:style>
  <w:style w:type="character" w:customStyle="1" w:styleId="53">
    <w:name w:val="文档结构图 Char"/>
    <w:link w:val="10"/>
    <w:autoRedefine/>
    <w:qFormat/>
    <w:uiPriority w:val="99"/>
    <w:rPr>
      <w:rFonts w:ascii="宋体" w:eastAsia="宋体" w:cs="Times New Roman"/>
      <w:sz w:val="18"/>
      <w:szCs w:val="18"/>
    </w:rPr>
  </w:style>
  <w:style w:type="character" w:customStyle="1" w:styleId="54">
    <w:name w:val="纯文本 Char"/>
    <w:link w:val="16"/>
    <w:autoRedefine/>
    <w:qFormat/>
    <w:uiPriority w:val="0"/>
    <w:rPr>
      <w:rFonts w:ascii="宋体" w:hAnsi="Courier New" w:eastAsia="宋体" w:cs="Courier New"/>
      <w:sz w:val="21"/>
      <w:szCs w:val="21"/>
    </w:rPr>
  </w:style>
  <w:style w:type="character" w:customStyle="1" w:styleId="55">
    <w:name w:val="日期 Char"/>
    <w:link w:val="18"/>
    <w:autoRedefine/>
    <w:qFormat/>
    <w:uiPriority w:val="0"/>
    <w:rPr>
      <w:rFonts w:ascii="Calibri Light" w:hAnsi="Calibri Light" w:eastAsia="华文仿宋" w:cs="Times New Roman"/>
      <w:sz w:val="28"/>
    </w:rPr>
  </w:style>
  <w:style w:type="character" w:customStyle="1" w:styleId="56">
    <w:name w:val="批注框文本 Char"/>
    <w:link w:val="20"/>
    <w:autoRedefine/>
    <w:qFormat/>
    <w:uiPriority w:val="99"/>
    <w:rPr>
      <w:rFonts w:cs="Times New Roman"/>
      <w:sz w:val="18"/>
      <w:szCs w:val="18"/>
    </w:rPr>
  </w:style>
  <w:style w:type="character" w:customStyle="1" w:styleId="57">
    <w:name w:val="页脚 Char"/>
    <w:link w:val="21"/>
    <w:autoRedefine/>
    <w:qFormat/>
    <w:uiPriority w:val="99"/>
    <w:rPr>
      <w:rFonts w:cs="Times New Roman"/>
      <w:sz w:val="18"/>
    </w:rPr>
  </w:style>
  <w:style w:type="character" w:customStyle="1" w:styleId="58">
    <w:name w:val="页眉 Char"/>
    <w:link w:val="23"/>
    <w:autoRedefine/>
    <w:qFormat/>
    <w:uiPriority w:val="99"/>
    <w:rPr>
      <w:rFonts w:cs="Times New Roman"/>
      <w:sz w:val="18"/>
    </w:rPr>
  </w:style>
  <w:style w:type="paragraph" w:customStyle="1" w:styleId="59">
    <w:name w:val="正文（缩进 2 字符）"/>
    <w:basedOn w:val="1"/>
    <w:autoRedefine/>
    <w:qFormat/>
    <w:uiPriority w:val="99"/>
    <w:pPr>
      <w:ind w:firstLine="200" w:firstLineChars="200"/>
    </w:pPr>
  </w:style>
  <w:style w:type="paragraph" w:customStyle="1" w:styleId="60">
    <w:name w:val="正文（缩进 4 字符）"/>
    <w:basedOn w:val="1"/>
    <w:autoRedefine/>
    <w:qFormat/>
    <w:uiPriority w:val="99"/>
    <w:pPr>
      <w:ind w:firstLine="1134" w:firstLineChars="400"/>
    </w:pPr>
  </w:style>
  <w:style w:type="paragraph" w:customStyle="1" w:styleId="61">
    <w:name w:val="标题 2（投标文件）"/>
    <w:basedOn w:val="4"/>
    <w:autoRedefine/>
    <w:qFormat/>
    <w:uiPriority w:val="99"/>
    <w:pPr>
      <w:jc w:val="center"/>
    </w:pPr>
  </w:style>
  <w:style w:type="character" w:customStyle="1" w:styleId="62">
    <w:name w:val="页眉 Char1"/>
    <w:autoRedefine/>
    <w:qFormat/>
    <w:uiPriority w:val="99"/>
    <w:rPr>
      <w:rFonts w:cs="Times New Roman"/>
      <w:sz w:val="18"/>
      <w:szCs w:val="18"/>
    </w:rPr>
  </w:style>
  <w:style w:type="character" w:customStyle="1" w:styleId="63">
    <w:name w:val="页脚 Char1"/>
    <w:autoRedefine/>
    <w:qFormat/>
    <w:uiPriority w:val="99"/>
    <w:rPr>
      <w:rFonts w:cs="Times New Roman"/>
      <w:sz w:val="18"/>
      <w:szCs w:val="18"/>
    </w:rPr>
  </w:style>
  <w:style w:type="paragraph" w:customStyle="1" w:styleId="64">
    <w:name w:val="标题 3（投标文件）"/>
    <w:basedOn w:val="5"/>
    <w:autoRedefine/>
    <w:qFormat/>
    <w:uiPriority w:val="99"/>
    <w:pPr>
      <w:jc w:val="left"/>
    </w:pPr>
    <w:rPr>
      <w:u w:val="none"/>
    </w:rPr>
  </w:style>
  <w:style w:type="table" w:customStyle="1" w:styleId="65">
    <w:name w:val="网格型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2"/>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grace"/>
    <w:basedOn w:val="36"/>
    <w:autoRedefine/>
    <w:qFormat/>
    <w:uiPriority w:val="0"/>
  </w:style>
  <w:style w:type="character" w:customStyle="1" w:styleId="69">
    <w:name w:val="mark"/>
    <w:autoRedefine/>
    <w:qFormat/>
    <w:uiPriority w:val="0"/>
    <w:rPr>
      <w:color w:val="CC2200"/>
    </w:rPr>
  </w:style>
  <w:style w:type="character" w:customStyle="1" w:styleId="70">
    <w:name w:val="subtext"/>
    <w:autoRedefine/>
    <w:qFormat/>
    <w:uiPriority w:val="0"/>
    <w:rPr>
      <w:color w:val="888888"/>
    </w:rPr>
  </w:style>
  <w:style w:type="character" w:customStyle="1" w:styleId="71">
    <w:name w:val="span-text"/>
    <w:basedOn w:val="36"/>
    <w:autoRedefine/>
    <w:qFormat/>
    <w:uiPriority w:val="0"/>
  </w:style>
  <w:style w:type="character" w:customStyle="1" w:styleId="72">
    <w:name w:val="view-vip1"/>
    <w:basedOn w:val="36"/>
    <w:autoRedefine/>
    <w:qFormat/>
    <w:uiPriority w:val="0"/>
  </w:style>
  <w:style w:type="character" w:customStyle="1" w:styleId="73">
    <w:name w:val="view-vip"/>
    <w:basedOn w:val="36"/>
    <w:autoRedefine/>
    <w:qFormat/>
    <w:uiPriority w:val="0"/>
  </w:style>
  <w:style w:type="character" w:customStyle="1" w:styleId="74">
    <w:name w:val="grace6"/>
    <w:basedOn w:val="36"/>
    <w:autoRedefine/>
    <w:qFormat/>
    <w:uiPriority w:val="0"/>
  </w:style>
  <w:style w:type="character" w:customStyle="1" w:styleId="75">
    <w:name w:val="r-time"/>
    <w:autoRedefine/>
    <w:qFormat/>
    <w:uiPriority w:val="0"/>
    <w:rPr>
      <w:color w:val="B30000"/>
    </w:rPr>
  </w:style>
  <w:style w:type="character" w:customStyle="1" w:styleId="76">
    <w:name w:val="r-text"/>
    <w:autoRedefine/>
    <w:qFormat/>
    <w:uiPriority w:val="0"/>
    <w:rPr>
      <w:color w:val="00349B"/>
    </w:rPr>
  </w:style>
  <w:style w:type="character" w:customStyle="1" w:styleId="77">
    <w:name w:val="grace5"/>
    <w:basedOn w:val="36"/>
    <w:autoRedefine/>
    <w:qFormat/>
    <w:uiPriority w:val="0"/>
  </w:style>
  <w:style w:type="character" w:customStyle="1" w:styleId="78">
    <w:name w:val="redfilenumber"/>
    <w:autoRedefine/>
    <w:qFormat/>
    <w:uiPriority w:val="0"/>
    <w:rPr>
      <w:color w:val="BA2636"/>
      <w:sz w:val="18"/>
      <w:szCs w:val="18"/>
    </w:rPr>
  </w:style>
  <w:style w:type="character" w:customStyle="1" w:styleId="79">
    <w:name w:val="cfdate"/>
    <w:autoRedefine/>
    <w:qFormat/>
    <w:uiPriority w:val="0"/>
    <w:rPr>
      <w:color w:val="333333"/>
      <w:sz w:val="18"/>
      <w:szCs w:val="18"/>
    </w:rPr>
  </w:style>
  <w:style w:type="character" w:customStyle="1" w:styleId="80">
    <w:name w:val="qxdate"/>
    <w:autoRedefine/>
    <w:qFormat/>
    <w:uiPriority w:val="0"/>
    <w:rPr>
      <w:color w:val="333333"/>
      <w:sz w:val="18"/>
      <w:szCs w:val="18"/>
    </w:rPr>
  </w:style>
  <w:style w:type="character" w:customStyle="1" w:styleId="81">
    <w:name w:val="gjfg"/>
    <w:basedOn w:val="36"/>
    <w:autoRedefine/>
    <w:qFormat/>
    <w:uiPriority w:val="0"/>
  </w:style>
  <w:style w:type="character" w:customStyle="1" w:styleId="82">
    <w:name w:val="redfilefwwh"/>
    <w:autoRedefine/>
    <w:qFormat/>
    <w:uiPriority w:val="0"/>
    <w:rPr>
      <w:color w:val="BA2636"/>
      <w:sz w:val="18"/>
      <w:szCs w:val="18"/>
    </w:rPr>
  </w:style>
  <w:style w:type="character" w:customStyle="1" w:styleId="83">
    <w:name w:val="displayarti"/>
    <w:autoRedefine/>
    <w:qFormat/>
    <w:uiPriority w:val="0"/>
    <w:rPr>
      <w:color w:val="FFFFFF"/>
      <w:shd w:val="clear" w:color="auto" w:fill="A00000"/>
    </w:rPr>
  </w:style>
  <w:style w:type="paragraph" w:customStyle="1" w:styleId="84">
    <w:name w:val="样式 标题 3 + (中文) 黑体 小四 非加粗 段前: 7.8 磅 段后: 0 磅 行距: 固定值 20 磅"/>
    <w:basedOn w:val="5"/>
    <w:link w:val="85"/>
    <w:autoRedefine/>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85">
    <w:name w:val="样式 标题 3 + (中文) 黑体 小四 非加粗 段前: 7.8 磅 段后: 0 磅 行距: 固定值 20 磅 Char Char"/>
    <w:link w:val="84"/>
    <w:autoRedefine/>
    <w:qFormat/>
    <w:uiPriority w:val="0"/>
    <w:rPr>
      <w:rFonts w:eastAsia="黑体" w:cs="宋体"/>
      <w:kern w:val="2"/>
      <w:sz w:val="24"/>
    </w:rPr>
  </w:style>
  <w:style w:type="paragraph" w:styleId="86">
    <w:name w:val="List Paragraph"/>
    <w:basedOn w:val="1"/>
    <w:autoRedefine/>
    <w:qFormat/>
    <w:uiPriority w:val="99"/>
    <w:pPr>
      <w:ind w:firstLine="420" w:firstLineChars="200"/>
    </w:pPr>
  </w:style>
  <w:style w:type="table" w:customStyle="1" w:styleId="87">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88">
    <w:name w:val="标题 4 Char"/>
    <w:basedOn w:val="36"/>
    <w:link w:val="6"/>
    <w:autoRedefine/>
    <w:qFormat/>
    <w:uiPriority w:val="9"/>
    <w:rPr>
      <w:rFonts w:ascii="仿宋" w:hAnsi="仿宋" w:eastAsia="仿宋" w:cs="仿宋"/>
      <w:b/>
      <w:bCs/>
      <w:kern w:val="2"/>
      <w:sz w:val="28"/>
      <w:szCs w:val="28"/>
      <w:lang w:val="ja-JP" w:eastAsia="ja-JP" w:bidi="ja-JP"/>
    </w:rPr>
  </w:style>
  <w:style w:type="character" w:customStyle="1" w:styleId="89">
    <w:name w:val="正文文本 Char"/>
    <w:basedOn w:val="36"/>
    <w:link w:val="12"/>
    <w:autoRedefine/>
    <w:qFormat/>
    <w:uiPriority w:val="99"/>
    <w:rPr>
      <w:rFonts w:ascii="仿宋" w:hAnsi="仿宋" w:eastAsia="仿宋" w:cs="仿宋"/>
      <w:kern w:val="2"/>
      <w:sz w:val="28"/>
      <w:szCs w:val="28"/>
      <w:lang w:val="ja-JP" w:eastAsia="ja-JP" w:bidi="ja-JP"/>
    </w:rPr>
  </w:style>
  <w:style w:type="character" w:customStyle="1" w:styleId="90">
    <w:name w:val="font01"/>
    <w:basedOn w:val="36"/>
    <w:autoRedefine/>
    <w:qFormat/>
    <w:uiPriority w:val="0"/>
    <w:rPr>
      <w:rFonts w:hint="eastAsia" w:ascii="宋体" w:hAnsi="宋体" w:eastAsia="宋体" w:cs="宋体"/>
      <w:color w:val="000000"/>
      <w:sz w:val="20"/>
      <w:szCs w:val="20"/>
      <w:u w:val="none"/>
    </w:rPr>
  </w:style>
  <w:style w:type="character" w:customStyle="1" w:styleId="91">
    <w:name w:val="批注文字 Char"/>
    <w:basedOn w:val="36"/>
    <w:link w:val="11"/>
    <w:autoRedefine/>
    <w:semiHidden/>
    <w:qFormat/>
    <w:uiPriority w:val="99"/>
    <w:rPr>
      <w:rFonts w:ascii="宋体" w:hAnsi="Calibri" w:cs="宋体"/>
      <w:sz w:val="34"/>
      <w:szCs w:val="34"/>
    </w:rPr>
  </w:style>
  <w:style w:type="character" w:customStyle="1" w:styleId="92">
    <w:name w:val="正文文本缩进 Char"/>
    <w:basedOn w:val="36"/>
    <w:link w:val="13"/>
    <w:autoRedefine/>
    <w:qFormat/>
    <w:uiPriority w:val="99"/>
    <w:rPr>
      <w:rFonts w:ascii="Calibri" w:hAnsi="Calibri" w:cs="Calibri"/>
      <w:kern w:val="2"/>
      <w:sz w:val="21"/>
      <w:szCs w:val="21"/>
    </w:rPr>
  </w:style>
  <w:style w:type="character" w:customStyle="1" w:styleId="93">
    <w:name w:val="正文文本缩进 2 Char"/>
    <w:basedOn w:val="36"/>
    <w:link w:val="19"/>
    <w:autoRedefine/>
    <w:qFormat/>
    <w:uiPriority w:val="99"/>
    <w:rPr>
      <w:rFonts w:ascii="Calibri" w:hAnsi="Calibri" w:cs="Calibri"/>
      <w:kern w:val="2"/>
      <w:sz w:val="21"/>
      <w:szCs w:val="21"/>
    </w:rPr>
  </w:style>
  <w:style w:type="character" w:customStyle="1" w:styleId="94">
    <w:name w:val="脚注文本 Char"/>
    <w:basedOn w:val="36"/>
    <w:link w:val="25"/>
    <w:autoRedefine/>
    <w:semiHidden/>
    <w:qFormat/>
    <w:uiPriority w:val="99"/>
    <w:rPr>
      <w:rFonts w:ascii="Calibri" w:hAnsi="Calibri" w:cs="Calibri"/>
      <w:kern w:val="2"/>
      <w:sz w:val="18"/>
      <w:szCs w:val="21"/>
    </w:rPr>
  </w:style>
  <w:style w:type="character" w:customStyle="1" w:styleId="95">
    <w:name w:val="批注主题 Char"/>
    <w:basedOn w:val="91"/>
    <w:link w:val="31"/>
    <w:autoRedefine/>
    <w:semiHidden/>
    <w:qFormat/>
    <w:uiPriority w:val="99"/>
    <w:rPr>
      <w:rFonts w:ascii="Calibri" w:hAnsi="Calibri" w:cs="Calibri"/>
      <w:b/>
      <w:bCs/>
      <w:kern w:val="2"/>
      <w:sz w:val="21"/>
      <w:szCs w:val="21"/>
    </w:rPr>
  </w:style>
  <w:style w:type="character" w:customStyle="1" w:styleId="96">
    <w:name w:val="正文文本 2 Char"/>
    <w:link w:val="29"/>
    <w:autoRedefine/>
    <w:qFormat/>
    <w:locked/>
    <w:uiPriority w:val="99"/>
    <w:rPr>
      <w:rFonts w:ascii="宋体" w:hAnsi="宋体" w:eastAsia="华文仿宋"/>
      <w:kern w:val="2"/>
      <w:sz w:val="28"/>
      <w:szCs w:val="28"/>
    </w:rPr>
  </w:style>
  <w:style w:type="paragraph" w:customStyle="1" w:styleId="97">
    <w:name w:val="Char2 Char Char Char"/>
    <w:basedOn w:val="1"/>
    <w:autoRedefine/>
    <w:qFormat/>
    <w:uiPriority w:val="99"/>
    <w:pPr>
      <w:widowControl w:val="0"/>
      <w:spacing w:line="240" w:lineRule="auto"/>
    </w:pPr>
    <w:rPr>
      <w:rFonts w:ascii="Tahoma" w:hAnsi="Tahoma" w:eastAsia="宋体" w:cs="Tahoma"/>
      <w:sz w:val="24"/>
      <w:szCs w:val="24"/>
    </w:rPr>
  </w:style>
  <w:style w:type="character" w:customStyle="1" w:styleId="98">
    <w:name w:val="10"/>
    <w:autoRedefine/>
    <w:qFormat/>
    <w:uiPriority w:val="99"/>
    <w:rPr>
      <w:rFonts w:ascii="Calibri" w:hAnsi="Calibri" w:cs="Calibri"/>
    </w:rPr>
  </w:style>
  <w:style w:type="character" w:customStyle="1" w:styleId="99">
    <w:name w:val="15"/>
    <w:autoRedefine/>
    <w:qFormat/>
    <w:uiPriority w:val="99"/>
    <w:rPr>
      <w:rFonts w:ascii="Calibri" w:hAnsi="Calibri" w:cs="Calibri"/>
      <w:i/>
      <w:iCs/>
    </w:rPr>
  </w:style>
  <w:style w:type="paragraph" w:customStyle="1" w:styleId="100">
    <w:name w:val="_Style 2"/>
    <w:basedOn w:val="1"/>
    <w:autoRedefine/>
    <w:qFormat/>
    <w:uiPriority w:val="99"/>
    <w:pPr>
      <w:widowControl w:val="0"/>
      <w:spacing w:line="240" w:lineRule="auto"/>
      <w:ind w:firstLine="420" w:firstLineChars="200"/>
    </w:pPr>
    <w:rPr>
      <w:rFonts w:ascii="Calibri" w:hAnsi="Calibri" w:eastAsia="宋体" w:cs="Calibri"/>
      <w:sz w:val="21"/>
      <w:szCs w:val="21"/>
    </w:rPr>
  </w:style>
  <w:style w:type="character" w:customStyle="1" w:styleId="101">
    <w:name w:val="apple-style-span"/>
    <w:autoRedefine/>
    <w:qFormat/>
    <w:uiPriority w:val="99"/>
  </w:style>
  <w:style w:type="character" w:customStyle="1" w:styleId="102">
    <w:name w:val="del"/>
    <w:basedOn w:val="36"/>
    <w:autoRedefine/>
    <w:qFormat/>
    <w:uiPriority w:val="99"/>
  </w:style>
  <w:style w:type="character" w:customStyle="1" w:styleId="103">
    <w:name w:val="del1"/>
    <w:autoRedefine/>
    <w:qFormat/>
    <w:uiPriority w:val="99"/>
    <w:rPr>
      <w:vanish/>
      <w:color w:val="auto"/>
      <w:sz w:val="18"/>
      <w:szCs w:val="18"/>
      <w:u w:val="single"/>
    </w:rPr>
  </w:style>
  <w:style w:type="character" w:customStyle="1" w:styleId="104">
    <w:name w:val="del2"/>
    <w:autoRedefine/>
    <w:qFormat/>
    <w:uiPriority w:val="99"/>
    <w:rPr>
      <w:vanish/>
    </w:rPr>
  </w:style>
  <w:style w:type="character" w:customStyle="1" w:styleId="105">
    <w:name w:val="del3"/>
    <w:autoRedefine/>
    <w:qFormat/>
    <w:uiPriority w:val="99"/>
    <w:rPr>
      <w:vanish/>
    </w:rPr>
  </w:style>
  <w:style w:type="paragraph" w:customStyle="1" w:styleId="106">
    <w:name w:val="_Style 4"/>
    <w:basedOn w:val="1"/>
    <w:autoRedefine/>
    <w:qFormat/>
    <w:uiPriority w:val="99"/>
    <w:pPr>
      <w:widowControl w:val="0"/>
      <w:spacing w:line="240" w:lineRule="auto"/>
      <w:ind w:firstLine="420" w:firstLineChars="200"/>
    </w:pPr>
    <w:rPr>
      <w:rFonts w:ascii="Calibri" w:hAnsi="Calibri" w:eastAsia="宋体" w:cs="Calibri"/>
      <w:sz w:val="21"/>
      <w:szCs w:val="21"/>
    </w:rPr>
  </w:style>
  <w:style w:type="paragraph" w:customStyle="1" w:styleId="107">
    <w:name w:val="pa-19"/>
    <w:basedOn w:val="1"/>
    <w:autoRedefine/>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08">
    <w:name w:val="首行缩进"/>
    <w:basedOn w:val="1"/>
    <w:autoRedefine/>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character" w:customStyle="1" w:styleId="109">
    <w:name w:val="font101"/>
    <w:basedOn w:val="36"/>
    <w:autoRedefine/>
    <w:qFormat/>
    <w:uiPriority w:val="0"/>
    <w:rPr>
      <w:rFonts w:hint="eastAsia" w:ascii="宋体" w:hAnsi="宋体" w:eastAsia="宋体" w:cs="宋体"/>
      <w:color w:val="000000"/>
      <w:sz w:val="24"/>
      <w:szCs w:val="24"/>
      <w:u w:val="none"/>
    </w:rPr>
  </w:style>
  <w:style w:type="character" w:customStyle="1" w:styleId="110">
    <w:name w:val="font91"/>
    <w:basedOn w:val="36"/>
    <w:autoRedefine/>
    <w:qFormat/>
    <w:uiPriority w:val="0"/>
    <w:rPr>
      <w:rFonts w:hint="eastAsia" w:ascii="宋体" w:hAnsi="宋体" w:eastAsia="宋体" w:cs="宋体"/>
      <w:color w:val="000000"/>
      <w:sz w:val="24"/>
      <w:szCs w:val="24"/>
      <w:u w:val="none"/>
    </w:rPr>
  </w:style>
  <w:style w:type="character" w:customStyle="1" w:styleId="111">
    <w:name w:val="font41"/>
    <w:basedOn w:val="36"/>
    <w:autoRedefine/>
    <w:qFormat/>
    <w:uiPriority w:val="0"/>
    <w:rPr>
      <w:rFonts w:hint="eastAsia" w:ascii="宋体" w:hAnsi="宋体" w:eastAsia="宋体" w:cs="宋体"/>
      <w:color w:val="000000"/>
      <w:sz w:val="24"/>
      <w:szCs w:val="24"/>
      <w:u w:val="none"/>
    </w:rPr>
  </w:style>
  <w:style w:type="character" w:customStyle="1" w:styleId="112">
    <w:name w:val="font21"/>
    <w:basedOn w:val="36"/>
    <w:autoRedefine/>
    <w:qFormat/>
    <w:uiPriority w:val="0"/>
    <w:rPr>
      <w:rFonts w:hint="eastAsia" w:ascii="宋体" w:hAnsi="宋体" w:eastAsia="宋体" w:cs="宋体"/>
      <w:color w:val="000000"/>
      <w:sz w:val="24"/>
      <w:szCs w:val="24"/>
      <w:u w:val="none"/>
    </w:rPr>
  </w:style>
  <w:style w:type="character" w:customStyle="1" w:styleId="113">
    <w:name w:val="List Paragraph Char1"/>
    <w:link w:val="114"/>
    <w:autoRedefine/>
    <w:qFormat/>
    <w:locked/>
    <w:uiPriority w:val="0"/>
    <w:rPr>
      <w:sz w:val="24"/>
    </w:rPr>
  </w:style>
  <w:style w:type="paragraph" w:customStyle="1" w:styleId="114">
    <w:name w:val="列出段落2"/>
    <w:basedOn w:val="1"/>
    <w:link w:val="113"/>
    <w:autoRedefine/>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15">
    <w:name w:val="TableGrid1"/>
    <w:autoRedefine/>
    <w:qFormat/>
    <w:uiPriority w:val="0"/>
    <w:rPr>
      <w:kern w:val="2"/>
      <w:sz w:val="21"/>
      <w:szCs w:val="22"/>
    </w:rPr>
    <w:tblPr>
      <w:tblCellMar>
        <w:top w:w="0" w:type="dxa"/>
        <w:left w:w="0" w:type="dxa"/>
        <w:bottom w:w="0" w:type="dxa"/>
        <w:right w:w="0" w:type="dxa"/>
      </w:tblCellMar>
    </w:tblPr>
  </w:style>
  <w:style w:type="table" w:customStyle="1" w:styleId="116">
    <w:name w:val="TableGrid2"/>
    <w:autoRedefine/>
    <w:qFormat/>
    <w:uiPriority w:val="0"/>
    <w:rPr>
      <w:kern w:val="2"/>
      <w:sz w:val="21"/>
      <w:szCs w:val="22"/>
    </w:rPr>
    <w:tblPr>
      <w:tblCellMar>
        <w:top w:w="0" w:type="dxa"/>
        <w:left w:w="0" w:type="dxa"/>
        <w:bottom w:w="0" w:type="dxa"/>
        <w:right w:w="0" w:type="dxa"/>
      </w:tblCellMar>
    </w:tblPr>
  </w:style>
  <w:style w:type="table" w:customStyle="1" w:styleId="117">
    <w:name w:val="TableGrid3"/>
    <w:autoRedefine/>
    <w:qFormat/>
    <w:uiPriority w:val="0"/>
    <w:rPr>
      <w:kern w:val="2"/>
      <w:sz w:val="21"/>
      <w:szCs w:val="22"/>
    </w:rPr>
    <w:tblPr>
      <w:tblCellMar>
        <w:top w:w="0" w:type="dxa"/>
        <w:left w:w="0" w:type="dxa"/>
        <w:bottom w:w="0" w:type="dxa"/>
        <w:right w:w="0" w:type="dxa"/>
      </w:tblCellMar>
    </w:tblPr>
  </w:style>
  <w:style w:type="table" w:customStyle="1" w:styleId="118">
    <w:name w:val="TableGrid4"/>
    <w:autoRedefine/>
    <w:qFormat/>
    <w:uiPriority w:val="0"/>
    <w:rPr>
      <w:kern w:val="2"/>
      <w:sz w:val="21"/>
      <w:szCs w:val="22"/>
    </w:rPr>
    <w:tblPr>
      <w:tblCellMar>
        <w:top w:w="0" w:type="dxa"/>
        <w:left w:w="0" w:type="dxa"/>
        <w:bottom w:w="0" w:type="dxa"/>
        <w:right w:w="0" w:type="dxa"/>
      </w:tblCellMar>
    </w:tblPr>
  </w:style>
  <w:style w:type="table" w:customStyle="1" w:styleId="119">
    <w:name w:val="TableGrid5"/>
    <w:autoRedefine/>
    <w:qFormat/>
    <w:uiPriority w:val="0"/>
    <w:rPr>
      <w:kern w:val="2"/>
      <w:sz w:val="21"/>
      <w:szCs w:val="22"/>
    </w:rPr>
    <w:tblPr>
      <w:tblCellMar>
        <w:top w:w="0" w:type="dxa"/>
        <w:left w:w="0" w:type="dxa"/>
        <w:bottom w:w="0" w:type="dxa"/>
        <w:right w:w="0" w:type="dxa"/>
      </w:tblCellMar>
    </w:tblPr>
  </w:style>
  <w:style w:type="table" w:customStyle="1" w:styleId="120">
    <w:name w:val="TableGrid6"/>
    <w:autoRedefine/>
    <w:qFormat/>
    <w:uiPriority w:val="0"/>
    <w:rPr>
      <w:kern w:val="2"/>
      <w:sz w:val="21"/>
      <w:szCs w:val="22"/>
    </w:rPr>
    <w:tblPr>
      <w:tblCellMar>
        <w:top w:w="0" w:type="dxa"/>
        <w:left w:w="0" w:type="dxa"/>
        <w:bottom w:w="0" w:type="dxa"/>
        <w:right w:w="0" w:type="dxa"/>
      </w:tblCellMar>
    </w:tblPr>
  </w:style>
  <w:style w:type="table" w:customStyle="1" w:styleId="121">
    <w:name w:val="TableGrid7"/>
    <w:autoRedefine/>
    <w:qFormat/>
    <w:uiPriority w:val="0"/>
    <w:rPr>
      <w:kern w:val="2"/>
      <w:sz w:val="21"/>
      <w:szCs w:val="22"/>
    </w:rPr>
    <w:tblPr>
      <w:tblCellMar>
        <w:top w:w="0" w:type="dxa"/>
        <w:left w:w="0" w:type="dxa"/>
        <w:bottom w:w="0" w:type="dxa"/>
        <w:right w:w="0" w:type="dxa"/>
      </w:tblCellMar>
    </w:tblPr>
  </w:style>
  <w:style w:type="paragraph" w:customStyle="1" w:styleId="122">
    <w:name w:val="列出段落3"/>
    <w:basedOn w:val="1"/>
    <w:autoRedefine/>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3">
    <w:name w:val="TableGrid8"/>
    <w:autoRedefine/>
    <w:qFormat/>
    <w:uiPriority w:val="0"/>
    <w:rPr>
      <w:kern w:val="2"/>
      <w:sz w:val="21"/>
      <w:szCs w:val="22"/>
    </w:rPr>
    <w:tblPr>
      <w:tblCellMar>
        <w:top w:w="0" w:type="dxa"/>
        <w:left w:w="0" w:type="dxa"/>
        <w:bottom w:w="0" w:type="dxa"/>
        <w:right w:w="0" w:type="dxa"/>
      </w:tblCellMar>
    </w:tblPr>
  </w:style>
  <w:style w:type="table" w:customStyle="1" w:styleId="124">
    <w:name w:val="TableGrid9"/>
    <w:autoRedefine/>
    <w:qFormat/>
    <w:uiPriority w:val="0"/>
    <w:rPr>
      <w:kern w:val="2"/>
      <w:sz w:val="21"/>
      <w:szCs w:val="22"/>
    </w:rPr>
    <w:tblPr>
      <w:tblCellMar>
        <w:top w:w="0" w:type="dxa"/>
        <w:left w:w="0" w:type="dxa"/>
        <w:bottom w:w="0" w:type="dxa"/>
        <w:right w:w="0" w:type="dxa"/>
      </w:tblCellMar>
    </w:tblPr>
  </w:style>
  <w:style w:type="table" w:customStyle="1" w:styleId="125">
    <w:name w:val="TableGrid10"/>
    <w:autoRedefine/>
    <w:qFormat/>
    <w:uiPriority w:val="0"/>
    <w:rPr>
      <w:kern w:val="2"/>
      <w:sz w:val="21"/>
      <w:szCs w:val="22"/>
    </w:rPr>
    <w:tblPr>
      <w:tblCellMar>
        <w:top w:w="0" w:type="dxa"/>
        <w:left w:w="0" w:type="dxa"/>
        <w:bottom w:w="0" w:type="dxa"/>
        <w:right w:w="0" w:type="dxa"/>
      </w:tblCellMar>
    </w:tblPr>
  </w:style>
  <w:style w:type="table" w:customStyle="1" w:styleId="126">
    <w:name w:val="TableGrid11"/>
    <w:autoRedefine/>
    <w:qFormat/>
    <w:uiPriority w:val="0"/>
    <w:rPr>
      <w:kern w:val="2"/>
      <w:sz w:val="21"/>
      <w:szCs w:val="22"/>
    </w:rPr>
    <w:tblPr>
      <w:tblCellMar>
        <w:top w:w="0" w:type="dxa"/>
        <w:left w:w="0" w:type="dxa"/>
        <w:bottom w:w="0" w:type="dxa"/>
        <w:right w:w="0" w:type="dxa"/>
      </w:tblCellMar>
    </w:tblPr>
  </w:style>
  <w:style w:type="table" w:customStyle="1" w:styleId="127">
    <w:name w:val="TableGrid12"/>
    <w:autoRedefine/>
    <w:qFormat/>
    <w:uiPriority w:val="0"/>
    <w:rPr>
      <w:kern w:val="2"/>
      <w:sz w:val="21"/>
      <w:szCs w:val="22"/>
    </w:rPr>
    <w:tblPr>
      <w:tblCellMar>
        <w:top w:w="0" w:type="dxa"/>
        <w:left w:w="0" w:type="dxa"/>
        <w:bottom w:w="0" w:type="dxa"/>
        <w:right w:w="0" w:type="dxa"/>
      </w:tblCellMar>
    </w:tblPr>
  </w:style>
  <w:style w:type="table" w:customStyle="1" w:styleId="128">
    <w:name w:val="TableGrid13"/>
    <w:autoRedefine/>
    <w:qFormat/>
    <w:uiPriority w:val="0"/>
    <w:rPr>
      <w:kern w:val="2"/>
      <w:sz w:val="21"/>
      <w:szCs w:val="22"/>
    </w:rPr>
    <w:tblPr>
      <w:tblCellMar>
        <w:top w:w="0" w:type="dxa"/>
        <w:left w:w="0" w:type="dxa"/>
        <w:bottom w:w="0" w:type="dxa"/>
        <w:right w:w="0" w:type="dxa"/>
      </w:tblCellMar>
    </w:tblPr>
  </w:style>
  <w:style w:type="table" w:customStyle="1" w:styleId="129">
    <w:name w:val="TableGrid14"/>
    <w:autoRedefine/>
    <w:qFormat/>
    <w:uiPriority w:val="0"/>
    <w:rPr>
      <w:kern w:val="2"/>
      <w:sz w:val="21"/>
      <w:szCs w:val="22"/>
    </w:rPr>
    <w:tblPr>
      <w:tblCellMar>
        <w:top w:w="0" w:type="dxa"/>
        <w:left w:w="0" w:type="dxa"/>
        <w:bottom w:w="0" w:type="dxa"/>
        <w:right w:w="0" w:type="dxa"/>
      </w:tblCellMar>
    </w:tblPr>
  </w:style>
  <w:style w:type="table" w:customStyle="1" w:styleId="130">
    <w:name w:val="TableGrid15"/>
    <w:autoRedefine/>
    <w:qFormat/>
    <w:uiPriority w:val="0"/>
    <w:rPr>
      <w:kern w:val="2"/>
      <w:sz w:val="21"/>
      <w:szCs w:val="22"/>
    </w:rPr>
    <w:tblPr>
      <w:tblCellMar>
        <w:top w:w="0" w:type="dxa"/>
        <w:left w:w="0" w:type="dxa"/>
        <w:bottom w:w="0" w:type="dxa"/>
        <w:right w:w="0" w:type="dxa"/>
      </w:tblCellMar>
    </w:tblPr>
  </w:style>
  <w:style w:type="paragraph" w:customStyle="1" w:styleId="131">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格式"/>
    <w:basedOn w:val="1"/>
    <w:autoRedefine/>
    <w:qFormat/>
    <w:uiPriority w:val="0"/>
    <w:pPr>
      <w:adjustRightInd w:val="0"/>
      <w:snapToGrid w:val="0"/>
      <w:spacing w:line="400" w:lineRule="atLeast"/>
      <w:ind w:firstLine="482"/>
      <w:textAlignment w:val="baseline"/>
    </w:pPr>
  </w:style>
  <w:style w:type="paragraph" w:customStyle="1" w:styleId="133">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34">
    <w:name w:val="样式 首行缩进:  2 字符"/>
    <w:basedOn w:val="1"/>
    <w:autoRedefine/>
    <w:qFormat/>
    <w:uiPriority w:val="0"/>
    <w:pPr>
      <w:spacing w:line="400" w:lineRule="exact"/>
      <w:ind w:firstLine="200" w:firstLineChars="200"/>
    </w:pPr>
    <w:rPr>
      <w:rFonts w:cs="宋体"/>
      <w:sz w:val="24"/>
      <w:szCs w:val="24"/>
    </w:rPr>
  </w:style>
  <w:style w:type="paragraph" w:customStyle="1" w:styleId="135">
    <w:name w:val="Char1"/>
    <w:basedOn w:val="1"/>
    <w:autoRedefine/>
    <w:qFormat/>
    <w:uiPriority w:val="0"/>
    <w:pPr>
      <w:tabs>
        <w:tab w:val="left" w:pos="360"/>
      </w:tabs>
      <w:ind w:left="360" w:hanging="360" w:hangingChars="200"/>
    </w:pPr>
    <w:rPr>
      <w:szCs w:val="24"/>
    </w:rPr>
  </w:style>
  <w:style w:type="character" w:customStyle="1" w:styleId="136">
    <w:name w:val="st1"/>
    <w:qFormat/>
    <w:uiPriority w:val="0"/>
  </w:style>
  <w:style w:type="character" w:customStyle="1" w:styleId="137">
    <w:name w:val="font31"/>
    <w:basedOn w:val="36"/>
    <w:qFormat/>
    <w:uiPriority w:val="0"/>
    <w:rPr>
      <w:rFonts w:hint="eastAsia" w:ascii="宋体" w:hAnsi="宋体" w:eastAsia="宋体" w:cs="宋体"/>
      <w:color w:val="FF0000"/>
      <w:sz w:val="22"/>
      <w:szCs w:val="22"/>
      <w:u w:val="none"/>
    </w:rPr>
  </w:style>
  <w:style w:type="character" w:customStyle="1" w:styleId="138">
    <w:name w:val="font11"/>
    <w:basedOn w:val="3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67</Pages>
  <Words>2184</Words>
  <Characters>2449</Characters>
  <Lines>695</Lines>
  <Paragraphs>770</Paragraphs>
  <TotalTime>1</TotalTime>
  <ScaleCrop>false</ScaleCrop>
  <LinksUpToDate>false</LinksUpToDate>
  <CharactersWithSpaces>2518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WPS_1528011989</cp:lastModifiedBy>
  <cp:lastPrinted>2024-12-13T03:30:00Z</cp:lastPrinted>
  <dcterms:modified xsi:type="dcterms:W3CDTF">2025-11-27T01:35:30Z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FE67F964B7B544B6A9EABD96E9745727_13</vt:lpwstr>
  </property>
  <property fmtid="{D5CDD505-2E9C-101B-9397-08002B2CF9AE}" pid="4" name="KSOTemplateDocerSaveRecord">
    <vt:lpwstr>eyJoZGlkIjoiMDg1OGE3YTllNWRkNjgwY2M5ZDEwMmY0ODQzZDFhY2IiLCJ1c2VySWQiOiIzNzU3MTM1MjkifQ==</vt:lpwstr>
  </property>
</Properties>
</file>