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周至县老县城文物管理所佛坪厅故城西城墙保护修缮项目竞争性磋商公告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佛坪厅故城西城墙保护修缮项目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2025年12月15日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项目编号：ZJXG2025126</w:t>
      </w:r>
    </w:p>
    <w:p>
      <w:pPr>
        <w:pStyle w:val="null3"/>
      </w:pPr>
      <w:r>
        <w:rPr>
          <w:rFonts w:ascii="仿宋_GB2312" w:hAnsi="仿宋_GB2312" w:cs="仿宋_GB2312" w:eastAsia="仿宋_GB2312"/>
        </w:rPr>
        <w:t>项目名称：佛坪厅故城西城墙保护修缮项目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预算金额：1,819,000.00元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采购包1：自合同签订之日起90日历天内</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 xml:space="preserve">2.落实政府采购政策需满足的资格要求： </w:t>
      </w:r>
      <w:r>
        <w:rPr>
          <w:rFonts w:ascii="仿宋_GB2312" w:hAnsi="仿宋_GB2312" w:cs="仿宋_GB2312" w:eastAsia="仿宋_GB2312"/>
        </w:rPr>
        <w:t>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合同包1(佛坪厅故城西城墙保护修缮项目)特定资格要求如下: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①可提供2023或2024年度经审计的财务报告（包含审计报告和审计报告中所涉及的财务报表和报表附注），②可提供2023或2024年度供应商完整的全套财务报表（应当包括资产负债表、利润表、现金流量表、所有者权益变动表、附注），③可提供截至竞争性磋商响应文件提交截止日一年内银行出具的资信证明，④供应商注册时间截至竞争性磋商响应文件提交截止日不足一年的，也可提供在工商管理部门备案的公司章程。供应商需在项目电子化交易系统中按要求上传相应证明文件并进行电子签章；</w:t>
      </w:r>
    </w:p>
    <w:p>
      <w:pPr>
        <w:pStyle w:val="null3"/>
      </w:pPr>
      <w:r>
        <w:rPr>
          <w:rFonts w:ascii="仿宋_GB2312" w:hAnsi="仿宋_GB2312" w:cs="仿宋_GB2312" w:eastAsia="仿宋_GB2312"/>
        </w:rPr>
        <w:t>(3)提供2025年1月至今已缴纳的1个月的纳税证明或完税证明，依法免税的单位应提供相关证明材料。供应商需在项目电子化交易系统中按要求上传相应证明文件并进行电子签章；</w:t>
      </w:r>
    </w:p>
    <w:p>
      <w:pPr>
        <w:pStyle w:val="null3"/>
      </w:pPr>
      <w:r>
        <w:rPr>
          <w:rFonts w:ascii="仿宋_GB2312" w:hAnsi="仿宋_GB2312" w:cs="仿宋_GB2312" w:eastAsia="仿宋_GB2312"/>
        </w:rPr>
        <w:t>(4)提供2025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pPr>
        <w:pStyle w:val="null3"/>
      </w:pPr>
      <w:r>
        <w:rPr>
          <w:rFonts w:ascii="仿宋_GB2312" w:hAnsi="仿宋_GB2312" w:cs="仿宋_GB2312" w:eastAsia="仿宋_GB2312"/>
        </w:rPr>
        <w:t>(7)法定代表人授权委托书（须提供被授权人开标前三个月在本单位缴纳社保的证明资料）（法定代表人直接参加的，须提供法定代表人身份证明及身份证复印件且与营业执照上信息保持一致），非法人单位参照执行。供应商需在项目电子化交易系统中按要求上传相应证明文件并进行电子签章；</w:t>
      </w:r>
    </w:p>
    <w:p>
      <w:pPr>
        <w:pStyle w:val="null3"/>
      </w:pPr>
      <w:r>
        <w:rPr>
          <w:rFonts w:ascii="仿宋_GB2312" w:hAnsi="仿宋_GB2312" w:cs="仿宋_GB2312" w:eastAsia="仿宋_GB2312"/>
        </w:rPr>
        <w:t>(8)供应商须具备文物保护工程施工二级及以上资质且具备有效的安全生产许可证；供应商需在项目电子化交易系统中按要求上传相应证明文件并进行电子签章；</w:t>
      </w:r>
    </w:p>
    <w:p>
      <w:pPr>
        <w:pStyle w:val="null3"/>
      </w:pPr>
      <w:r>
        <w:rPr>
          <w:rFonts w:ascii="仿宋_GB2312" w:hAnsi="仿宋_GB2312" w:cs="仿宋_GB2312" w:eastAsia="仿宋_GB2312"/>
        </w:rPr>
        <w:t>(9)须具备文物保护工程责任工程师证书，且无在建项目（提供承诺书）；供应商需在项目电子化交易系统中按要求上传相应证明文件并进行电子签章；</w:t>
      </w:r>
    </w:p>
    <w:p>
      <w:pPr>
        <w:pStyle w:val="null3"/>
      </w:pPr>
      <w:r>
        <w:rPr>
          <w:rFonts w:ascii="仿宋_GB2312" w:hAnsi="仿宋_GB2312" w:cs="仿宋_GB2312" w:eastAsia="仿宋_GB2312"/>
        </w:rPr>
        <w:t>(10)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w:t>
      </w:r>
    </w:p>
    <w:p>
      <w:pPr>
        <w:pStyle w:val="null3"/>
      </w:pPr>
      <w:r>
        <w:rPr>
          <w:rFonts w:ascii="仿宋_GB2312" w:hAnsi="仿宋_GB2312" w:cs="仿宋_GB2312" w:eastAsia="仿宋_GB2312"/>
        </w:rPr>
        <w:t>(11)①单位负责人为同一人或者存在直接控股、管理关系的不同供应商不得参加同一合同项下的政府采购活动。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(12)本项目不接受联合体投标，供应商需在项目电子化交易系统中按要求上传相应证明文件并进行电子签章。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2025年12月04日 </w:t>
      </w:r>
      <w:r>
        <w:rPr>
          <w:rFonts w:ascii="仿宋_GB2312" w:hAnsi="仿宋_GB2312" w:cs="仿宋_GB2312" w:eastAsia="仿宋_GB2312"/>
        </w:rPr>
        <w:t>至</w:t>
      </w:r>
      <w:r>
        <w:rPr>
          <w:rFonts w:ascii="仿宋_GB2312" w:hAnsi="仿宋_GB2312" w:cs="仿宋_GB2312" w:eastAsia="仿宋_GB2312"/>
        </w:rPr>
        <w:t xml:space="preserve"> 2025年12月10日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2025年12月15日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2025年12月15日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rPr>
        <w:t>（七）需要落实的政府采购政策：</w:t>
      </w:r>
    </w:p>
    <w:p>
      <w:pPr>
        <w:pStyle w:val="null3"/>
      </w:pPr>
      <w:r>
        <w:rPr>
          <w:rFonts w:ascii="仿宋_GB2312" w:hAnsi="仿宋_GB2312" w:cs="仿宋_GB2312" w:eastAsia="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3)《财政部民政部中国残疾人联合会关于促进残疾人就业政府采购政策的通知》（财库〔2017〕141号）；</w:t>
      </w:r>
    </w:p>
    <w:p>
      <w:pPr>
        <w:pStyle w:val="null3"/>
      </w:pPr>
      <w:r>
        <w:rPr>
          <w:rFonts w:ascii="仿宋_GB2312" w:hAnsi="仿宋_GB2312" w:cs="仿宋_GB2312" w:eastAsia="仿宋_GB2312"/>
        </w:rPr>
        <w:t>4)《财政部国家发展改革委关于印发(节能产品政府采购实施意见)的通知》(财库〔2004〕185号)；</w:t>
      </w:r>
    </w:p>
    <w:p>
      <w:pPr>
        <w:pStyle w:val="null3"/>
      </w:pPr>
      <w:r>
        <w:rPr>
          <w:rFonts w:ascii="仿宋_GB2312" w:hAnsi="仿宋_GB2312" w:cs="仿宋_GB2312" w:eastAsia="仿宋_GB2312"/>
        </w:rPr>
        <w:t>5)《国务院办公厅关于建立政府强制采购节能产品制度的通知》(国办发〔2007〕51号)；</w:t>
      </w:r>
    </w:p>
    <w:p>
      <w:pPr>
        <w:pStyle w:val="null3"/>
      </w:pPr>
      <w:r>
        <w:rPr>
          <w:rFonts w:ascii="仿宋_GB2312" w:hAnsi="仿宋_GB2312" w:cs="仿宋_GB2312" w:eastAsia="仿宋_GB2312"/>
        </w:rPr>
        <w:t>6)《财政部环保总局关于环境标志产品政府采购实施的意见》(财库〔2006〕90号)；</w:t>
      </w:r>
    </w:p>
    <w:p>
      <w:pPr>
        <w:pStyle w:val="null3"/>
      </w:pPr>
      <w:r>
        <w:rPr>
          <w:rFonts w:ascii="仿宋_GB2312" w:hAnsi="仿宋_GB2312" w:cs="仿宋_GB2312" w:eastAsia="仿宋_GB2312"/>
        </w:rPr>
        <w:t>7)《财政部 发展改革委 生态环境部 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10)《财政部、农业农村部、国家乡村振兴局关于运用政府采购政策支持乡村产业振兴的通知》（财库〔2021〕19号）；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13）《关于政府采购支持绿色建材促进建筑品质提升试点工作的通知》（财库〔2020〕31 号）；</w:t>
      </w:r>
    </w:p>
    <w:p>
      <w:pPr>
        <w:pStyle w:val="null3"/>
      </w:pPr>
      <w:r>
        <w:rPr>
          <w:rFonts w:ascii="仿宋_GB2312" w:hAnsi="仿宋_GB2312" w:cs="仿宋_GB2312" w:eastAsia="仿宋_GB2312"/>
        </w:rPr>
        <w:t>14）《财政部办公厅关于组织地方预算单位做好2023年政府采购脱贫地区农副产品工作的通知》（财办库〔2023〕45 号）；</w:t>
      </w:r>
    </w:p>
    <w:p>
      <w:pPr>
        <w:pStyle w:val="null3"/>
      </w:pPr>
      <w:r>
        <w:rPr>
          <w:rFonts w:ascii="仿宋_GB2312" w:hAnsi="仿宋_GB2312" w:cs="仿宋_GB2312" w:eastAsia="仿宋_GB2312"/>
        </w:rPr>
        <w:t>15）《财政部住房城乡建设部工业和信息化部关于扩大政府采购绿色建材促进建筑品质提升政策实施范围的通知》（财库〔2022〕35号）；</w:t>
      </w:r>
    </w:p>
    <w:p>
      <w:pPr>
        <w:pStyle w:val="null3"/>
      </w:pPr>
      <w:r>
        <w:rPr>
          <w:rFonts w:ascii="仿宋_GB2312" w:hAnsi="仿宋_GB2312" w:cs="仿宋_GB2312" w:eastAsia="仿宋_GB2312"/>
        </w:rPr>
        <w:t>16）其他需要落实的政府采购政策。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西安市周至县老县城文物管理所</w:t>
      </w:r>
    </w:p>
    <w:p>
      <w:pPr>
        <w:pStyle w:val="null3"/>
      </w:pPr>
      <w:r>
        <w:rPr>
          <w:rFonts w:ascii="仿宋_GB2312" w:hAnsi="仿宋_GB2312" w:cs="仿宋_GB2312" w:eastAsia="仿宋_GB2312"/>
        </w:rPr>
        <w:t>地址：</w:t>
      </w:r>
      <w:r>
        <w:rPr>
          <w:rFonts w:ascii="仿宋_GB2312" w:hAnsi="仿宋_GB2312" w:cs="仿宋_GB2312" w:eastAsia="仿宋_GB2312"/>
        </w:rPr>
        <w:t>周至县厚畛子镇老县城村</w:t>
      </w:r>
    </w:p>
    <w:p>
      <w:pPr>
        <w:pStyle w:val="null3"/>
      </w:pPr>
      <w:r>
        <w:rPr>
          <w:rFonts w:ascii="仿宋_GB2312" w:hAnsi="仿宋_GB2312" w:cs="仿宋_GB2312" w:eastAsia="仿宋_GB2312"/>
        </w:rPr>
        <w:t>联系方式：</w:t>
      </w:r>
      <w:r>
        <w:rPr>
          <w:rFonts w:ascii="仿宋_GB2312" w:hAnsi="仿宋_GB2312" w:cs="仿宋_GB2312" w:eastAsia="仿宋_GB2312"/>
        </w:rPr>
        <w:t>029-87113117</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梁加豪</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