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W w:w="97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209"/>
        <w:gridCol w:w="6862"/>
        <w:gridCol w:w="860"/>
      </w:tblGrid>
      <w:tr w14:paraId="73B51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918D6">
            <w:pPr>
              <w:pStyle w:val="12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4F5EA">
            <w:pPr>
              <w:pStyle w:val="12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6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3D54D">
            <w:pPr>
              <w:pStyle w:val="12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技术要求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62827">
            <w:pPr>
              <w:pStyle w:val="12"/>
              <w:spacing w:line="360" w:lineRule="auto"/>
              <w:jc w:val="center"/>
              <w:rPr>
                <w:rFonts w:hint="eastAsia" w:hAnsi="宋体" w:cs="宋体"/>
                <w:b/>
                <w:bCs/>
                <w:color w:val="auto"/>
                <w:szCs w:val="24"/>
                <w:highlight w:val="none"/>
              </w:rPr>
            </w:pPr>
            <w:r>
              <w:rPr>
                <w:rFonts w:hint="eastAsia" w:hAnsi="宋体" w:cs="宋体"/>
                <w:b/>
                <w:bCs/>
                <w:color w:val="auto"/>
                <w:szCs w:val="24"/>
                <w:highlight w:val="none"/>
              </w:rPr>
              <w:t>数量</w:t>
            </w:r>
          </w:p>
        </w:tc>
      </w:tr>
      <w:tr w14:paraId="666EF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6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9C26A">
            <w:pPr>
              <w:widowControl/>
              <w:spacing w:line="360" w:lineRule="auto"/>
              <w:ind w:firstLine="240" w:firstLineChars="1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CE1BA">
            <w:pPr>
              <w:pStyle w:val="12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t>机载红外热成像探测系统</w:t>
            </w:r>
          </w:p>
        </w:tc>
        <w:tc>
          <w:tcPr>
            <w:tcW w:w="68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719D2">
            <w:pPr>
              <w:widowControl/>
              <w:snapToGrid w:val="0"/>
              <w:spacing w:before="156" w:beforeLines="50"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多模组成像仪：</w:t>
            </w:r>
          </w:p>
          <w:p w14:paraId="386065DF">
            <w:pPr>
              <w:widowControl/>
              <w:snapToGrid w:val="0"/>
              <w:spacing w:line="360" w:lineRule="auto"/>
              <w:jc w:val="left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1.技术参数要求：</w:t>
            </w:r>
          </w:p>
          <w:p w14:paraId="7A629795">
            <w:pPr>
              <w:widowControl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1）系统集成：至少集成四个模组，包含但不限于广角相机、变焦相机、红外热成像相机、激光测距仪，满足白天及夜间成像能力；</w:t>
            </w:r>
          </w:p>
          <w:p w14:paraId="4D1B9966">
            <w:pPr>
              <w:widowControl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2）重量：负载重量≤1kg；</w:t>
            </w:r>
          </w:p>
          <w:p w14:paraId="5540F864">
            <w:pPr>
              <w:widowControl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3）负载尺寸：≤180×150×180mm；</w:t>
            </w:r>
          </w:p>
          <w:p w14:paraId="12A1B137">
            <w:pPr>
              <w:widowControl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4）云台：负载应具备三轴增稳云台（俯仰，横滚，平移）；</w:t>
            </w:r>
          </w:p>
          <w:p w14:paraId="2A8B8CC4">
            <w:pPr>
              <w:widowControl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▲5）防护等级：≥IP54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 w14:paraId="4E2D38C9">
            <w:pPr>
              <w:widowControl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6）负载广角相机有效像素：≥ 4800 万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 w14:paraId="4FD2A3D3">
            <w:pPr>
              <w:widowControl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7）广角相机视频分辨率：≥3840×2160@30fps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 w14:paraId="23A67992">
            <w:pPr>
              <w:widowControl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8）负载变焦相机光学变焦倍数≥30倍；</w:t>
            </w:r>
          </w:p>
          <w:p w14:paraId="36065247">
            <w:pPr>
              <w:widowControl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9）负载变焦相机数码变焦倍数≥380倍；</w:t>
            </w:r>
          </w:p>
          <w:p w14:paraId="3E4C3B5D">
            <w:pPr>
              <w:widowControl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10）红外相机数字变焦倍数≥30倍；</w:t>
            </w:r>
          </w:p>
          <w:p w14:paraId="528E6AAE">
            <w:pPr>
              <w:widowControl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11）红外相机分辨率≥1280x1024；</w:t>
            </w:r>
          </w:p>
          <w:p w14:paraId="77D8F6C8">
            <w:pPr>
              <w:widowControl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12）红外相机测温方式：至少需支持点测温/区域测温/中心点测温3种测温方式；</w:t>
            </w:r>
          </w:p>
          <w:p w14:paraId="449B4237">
            <w:pPr>
              <w:widowControl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13）红外相机测温范围：高增益：-20°C -150°C；</w:t>
            </w:r>
          </w:p>
          <w:p w14:paraId="1BFE74DE">
            <w:pPr>
              <w:widowControl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14）支持大范围测温：0°C-1600°C；</w:t>
            </w:r>
          </w:p>
          <w:p w14:paraId="7EEEFFEB">
            <w:pPr>
              <w:widowControl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15）支持相机检测到太阳，自动关闭红外快门，保护红外探测器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 w14:paraId="529B6061">
            <w:pPr>
              <w:widowControl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16）红外测温精度：±2℃或±2%，取较大值；</w:t>
            </w:r>
          </w:p>
          <w:p w14:paraId="64265E81">
            <w:pPr>
              <w:widowControl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17）激光模块：最远测量距离≥ 2500m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 w14:paraId="6BB6091A">
            <w:pPr>
              <w:widowControl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18）支持在画面中央的目标上打点，可记录目标点的经纬度及高度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 w14:paraId="35407B31">
            <w:pPr>
              <w:widowControl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▲19）支持输出红外照片格式：R-JPEG，tiff两种及以上；</w:t>
            </w:r>
          </w:p>
          <w:p w14:paraId="0E861B7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▲20）支持生成热力等值线图。</w:t>
            </w:r>
          </w:p>
          <w:p w14:paraId="49C309B0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配置要求：</w:t>
            </w:r>
          </w:p>
          <w:p w14:paraId="59BC280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▲每套配置须包含：多模组成像仪主机一台，存储卡1张，收纳箱1个, 设备保险一年（设备等价值保额，不限维修次数）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2C785766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3.售后服务</w:t>
            </w:r>
          </w:p>
          <w:p w14:paraId="0C7F12B0">
            <w:pPr>
              <w:widowControl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质保与维修：质保期自验收合格之日起 12个月；</w:t>
            </w:r>
          </w:p>
          <w:p w14:paraId="5B5D51C6">
            <w:pPr>
              <w:widowControl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维修服务：质保期内提供免费维修；</w:t>
            </w:r>
          </w:p>
          <w:p w14:paraId="77FE0593">
            <w:pPr>
              <w:widowControl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技术支持：远程指导：提供7×12小时技术咨询（电话/在线支持）；</w:t>
            </w:r>
          </w:p>
          <w:p w14:paraId="3C7ABD7C">
            <w:pPr>
              <w:widowControl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现场服务：每年至少1次预防性维护（检查硬件及软件等）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 w14:paraId="467F4ED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培训：对指定人员进行培训，提供培训场地，进行理论培训、实操培训、模拟飞行等，培训周期不低于10天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1FE5BEDB">
            <w:pPr>
              <w:widowControl/>
              <w:snapToGrid w:val="0"/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二、小型负载平台</w:t>
            </w:r>
          </w:p>
          <w:p w14:paraId="40554785">
            <w:pPr>
              <w:widowControl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1.技术参数要求：</w:t>
            </w:r>
          </w:p>
          <w:p w14:paraId="2C178E05">
            <w:pPr>
              <w:widowControl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1）裸机重量（含电池）：＜10千克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 w14:paraId="17F18BFD">
            <w:pPr>
              <w:widowControl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2）折叠尺寸：＜500mm*500mm*500mm（含脚架及云台）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 w14:paraId="3DA604DC">
            <w:pPr>
              <w:widowControl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3）最大载重：≥6千克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 w14:paraId="5C123619">
            <w:pPr>
              <w:widowControl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4）最大起飞重量：≥15千克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 w14:paraId="6FC16AD2">
            <w:pPr>
              <w:widowControl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5）最大水平飞行速度：≥21米/秒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 w14:paraId="325B2BCB">
            <w:pPr>
              <w:widowControl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6）最长飞行时间：≥55分钟</w:t>
            </w:r>
            <w:r>
              <w:rPr>
                <w:rFonts w:hint="eastAsia"/>
                <w:lang w:eastAsia="zh-CN"/>
              </w:rPr>
              <w:t>；</w:t>
            </w:r>
          </w:p>
          <w:p w14:paraId="59017EBB">
            <w:pPr>
              <w:widowControl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7）最大抗风速度：≥12米/秒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 w14:paraId="2612D9C1">
            <w:pPr>
              <w:widowControl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▲8）防护等级：≥IP55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 w14:paraId="12345F12">
            <w:pPr>
              <w:widowControl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9）GNSS：需支持GPS+Galileo+BeiDou+GLONASS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 w14:paraId="621FF867">
            <w:pPr>
              <w:widowControl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10）支持RTK定位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 w14:paraId="2756C42F">
            <w:pPr>
              <w:widowControl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11）机身负载接口：≥4个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 w14:paraId="114BB210">
            <w:pPr>
              <w:widowControl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▲12）支持电线级避障能力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 w14:paraId="11F064B9">
            <w:pPr>
              <w:widowControl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13）具备飞行器自检功能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 w14:paraId="7311BF44">
            <w:pPr>
              <w:widowControl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14）具备低电量自动返航功能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 w14:paraId="71648924">
            <w:pPr>
              <w:widowControl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15）具备信号丢失自动返航功能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 w14:paraId="27BF2173">
            <w:pPr>
              <w:widowControl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16）最大信号有效距离：≥20公里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 w14:paraId="0A725B52">
            <w:pPr>
              <w:widowControl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▲17）支持预设航线，自动扫描面状区域，对区域内地表采集红外热成图像合成热力分布正射影像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 w14:paraId="2F0D16C9">
            <w:pPr>
              <w:widowControl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18）能够接收民航客机的ADS-B广播信息，并能过地面端软件向用户发出附近民航客机预警信息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 w14:paraId="4092C67A">
            <w:pPr>
              <w:widowControl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19）电池容量：≥20000毫安时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 w14:paraId="52A9D1D2">
            <w:pPr>
              <w:widowControl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20）电池循环次数：≥400次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 w14:paraId="6732DABF">
            <w:pPr>
              <w:widowControl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21）电池重量：≤5000克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 w14:paraId="344BF46A">
            <w:pPr>
              <w:widowControl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22）充电时间≤45分钟</w:t>
            </w:r>
            <w:r>
              <w:rPr>
                <w:rFonts w:hint="eastAsia"/>
                <w:lang w:eastAsia="zh-CN"/>
              </w:rPr>
              <w:t>；</w:t>
            </w:r>
          </w:p>
          <w:p w14:paraId="696FD2A3">
            <w:pPr>
              <w:widowControl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23）遥控器屏幕尺寸：≥7英寸，屏幕分辨率≥1920*1080p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 w14:paraId="1AD61EF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24）遥控器续航时间（安装外置电池）≥5小时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1719D0FE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配置要求：</w:t>
            </w:r>
          </w:p>
          <w:p w14:paraId="22133D46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▲每套配置须包含：无人机主机一台，无人机保险一年（不限维修次数，含一次常规保养，100W三者险、电池换新一次），无人机电池3块，遥控器1部，遥控器电池1块，电池充电箱1个，无人机运输箱1个。</w:t>
            </w:r>
          </w:p>
          <w:p w14:paraId="57A5E921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3.售后服务</w:t>
            </w:r>
          </w:p>
          <w:p w14:paraId="0C385B8F">
            <w:pPr>
              <w:widowControl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质保与维修：质保期自验收合格之日起 12个月；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维修服务：质保期内提供免费维修；</w:t>
            </w:r>
          </w:p>
          <w:p w14:paraId="06F81130">
            <w:pPr>
              <w:widowControl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技术支持：远程指导：提供7×12小时技术咨询（电话/在线支持）；</w:t>
            </w:r>
          </w:p>
          <w:p w14:paraId="4D510C8D">
            <w:pPr>
              <w:widowControl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现场服务：每年至少1次预防性维护（检查硬件及软件等）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 w14:paraId="222CADAF"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培训：对指定人员进行培训，提供培训场地，进行理论培训、实操培训、模拟飞行等，培训周期不低于10天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C8180">
            <w:pPr>
              <w:pStyle w:val="12"/>
              <w:spacing w:line="360" w:lineRule="auto"/>
              <w:jc w:val="center"/>
              <w:rPr>
                <w:rFonts w:hint="eastAsia" w:eastAsia="宋体"/>
                <w:b/>
                <w:color w:val="000000"/>
                <w:kern w:val="0"/>
                <w:lang w:val="en-US" w:eastAsia="zh-CN"/>
              </w:rPr>
            </w:pPr>
            <w:r>
              <w:rPr>
                <w:b/>
                <w:color w:val="000000"/>
                <w:kern w:val="0"/>
              </w:rPr>
              <w:t>2</w:t>
            </w:r>
            <w:r>
              <w:rPr>
                <w:rFonts w:hint="eastAsia"/>
                <w:b/>
                <w:color w:val="000000"/>
                <w:kern w:val="0"/>
                <w:lang w:val="en-US" w:eastAsia="zh-CN"/>
              </w:rPr>
              <w:t>套</w:t>
            </w:r>
          </w:p>
        </w:tc>
      </w:tr>
    </w:tbl>
    <w:p w14:paraId="2B7D7C73">
      <w:pPr>
        <w:rPr>
          <w:rFonts w:ascii="宋体" w:hAnsi="宋体" w:cs="宋体"/>
          <w:b/>
          <w:bCs/>
          <w:color w:val="auto"/>
          <w:sz w:val="24"/>
          <w:szCs w:val="24"/>
          <w:highlight w:val="none"/>
        </w:rPr>
      </w:pPr>
    </w:p>
    <w:p w14:paraId="1DCC6ECD">
      <w:pPr>
        <w:pStyle w:val="9"/>
        <w:ind w:firstLine="482"/>
        <w:rPr>
          <w:b/>
          <w:bCs/>
          <w:color w:val="auto"/>
          <w:szCs w:val="24"/>
          <w:highlight w:val="none"/>
        </w:rPr>
      </w:pPr>
      <w:r>
        <w:rPr>
          <w:rFonts w:hint="eastAsia"/>
          <w:b/>
          <w:bCs/>
          <w:color w:val="auto"/>
          <w:szCs w:val="24"/>
          <w:highlight w:val="none"/>
        </w:rPr>
        <w:t>注：</w:t>
      </w:r>
    </w:p>
    <w:p w14:paraId="57FFBBEA">
      <w:pPr>
        <w:pStyle w:val="9"/>
        <w:ind w:firstLine="480"/>
        <w:rPr>
          <w:color w:val="auto"/>
          <w:szCs w:val="24"/>
          <w:highlight w:val="none"/>
        </w:rPr>
      </w:pPr>
      <w:r>
        <w:rPr>
          <w:rFonts w:hint="eastAsia"/>
          <w:color w:val="auto"/>
          <w:szCs w:val="24"/>
          <w:highlight w:val="none"/>
        </w:rPr>
        <w:t>1.以上技术参数供应商应完全响应，并逐条填写《技术响应偏离表》，如有漏项、缺项或负偏离，将被视为未实质性满足谈判文件要求按无效响应处理；若产品品牌型号固定的，需以固定值进行响应；</w:t>
      </w:r>
    </w:p>
    <w:p w14:paraId="60B258E9">
      <w:pPr>
        <w:pStyle w:val="9"/>
        <w:spacing w:line="360" w:lineRule="auto"/>
        <w:ind w:firstLine="480"/>
        <w:rPr>
          <w:color w:val="auto"/>
          <w:szCs w:val="24"/>
          <w:highlight w:val="none"/>
        </w:rPr>
      </w:pPr>
      <w:r>
        <w:rPr>
          <w:rFonts w:hint="eastAsia"/>
          <w:color w:val="auto"/>
          <w:szCs w:val="24"/>
          <w:highlight w:val="none"/>
        </w:rPr>
        <w:t>2.若成交供应商《技术响应偏离表》中完全响应，但供货验收时不合格/未通过，采购人有权终止合同，并保留上报财政的权力；</w:t>
      </w:r>
    </w:p>
    <w:p w14:paraId="0800DB81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3.若采购需求中有标注“▲”的重要要求，供应商必须单独提供佐证材料证明其满足，佐证材料包括：彩页或产品说明书或检测报告或厂家技术声明等，否则视为负偏离，按无效文件处理。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7347F7"/>
    <w:rsid w:val="00070FC8"/>
    <w:rsid w:val="003F4F10"/>
    <w:rsid w:val="01945F0D"/>
    <w:rsid w:val="03695A7E"/>
    <w:rsid w:val="041C0406"/>
    <w:rsid w:val="04F86854"/>
    <w:rsid w:val="056D213B"/>
    <w:rsid w:val="09581E0B"/>
    <w:rsid w:val="09661480"/>
    <w:rsid w:val="0AFC0872"/>
    <w:rsid w:val="0BD54C38"/>
    <w:rsid w:val="0C9E7A33"/>
    <w:rsid w:val="0CCE2B32"/>
    <w:rsid w:val="0D7347F7"/>
    <w:rsid w:val="1262753D"/>
    <w:rsid w:val="13FD6130"/>
    <w:rsid w:val="140E0EC4"/>
    <w:rsid w:val="147C5547"/>
    <w:rsid w:val="15705A0C"/>
    <w:rsid w:val="188B3505"/>
    <w:rsid w:val="1B253563"/>
    <w:rsid w:val="1D3764AF"/>
    <w:rsid w:val="1D9E4A5B"/>
    <w:rsid w:val="1E463B44"/>
    <w:rsid w:val="1EFA1543"/>
    <w:rsid w:val="1FD837FF"/>
    <w:rsid w:val="2156503C"/>
    <w:rsid w:val="22443F19"/>
    <w:rsid w:val="229E3FE6"/>
    <w:rsid w:val="23841FE2"/>
    <w:rsid w:val="2572590B"/>
    <w:rsid w:val="279D4A03"/>
    <w:rsid w:val="28273A7C"/>
    <w:rsid w:val="2A0F46C9"/>
    <w:rsid w:val="2A59588F"/>
    <w:rsid w:val="2BB30485"/>
    <w:rsid w:val="2BD074BC"/>
    <w:rsid w:val="2DD545E4"/>
    <w:rsid w:val="2F792957"/>
    <w:rsid w:val="316C37E1"/>
    <w:rsid w:val="31AC7601"/>
    <w:rsid w:val="328016EB"/>
    <w:rsid w:val="33255F19"/>
    <w:rsid w:val="33B76E22"/>
    <w:rsid w:val="34072559"/>
    <w:rsid w:val="34580245"/>
    <w:rsid w:val="359D7DF2"/>
    <w:rsid w:val="35D3262D"/>
    <w:rsid w:val="37384EA6"/>
    <w:rsid w:val="37D746BF"/>
    <w:rsid w:val="37EB63BB"/>
    <w:rsid w:val="38B83436"/>
    <w:rsid w:val="38C51523"/>
    <w:rsid w:val="38E66C78"/>
    <w:rsid w:val="3954329D"/>
    <w:rsid w:val="3A547742"/>
    <w:rsid w:val="3B5C400D"/>
    <w:rsid w:val="3BA4698B"/>
    <w:rsid w:val="3C70268B"/>
    <w:rsid w:val="3D711112"/>
    <w:rsid w:val="3F6842E5"/>
    <w:rsid w:val="3F787D27"/>
    <w:rsid w:val="42843912"/>
    <w:rsid w:val="428471F1"/>
    <w:rsid w:val="434033E5"/>
    <w:rsid w:val="43584653"/>
    <w:rsid w:val="440F052B"/>
    <w:rsid w:val="451A4083"/>
    <w:rsid w:val="464F0AA0"/>
    <w:rsid w:val="470E332D"/>
    <w:rsid w:val="486A6177"/>
    <w:rsid w:val="48F73E0E"/>
    <w:rsid w:val="4CDE6A97"/>
    <w:rsid w:val="4D2C0C77"/>
    <w:rsid w:val="503D5436"/>
    <w:rsid w:val="51BA62F1"/>
    <w:rsid w:val="5427247B"/>
    <w:rsid w:val="54803B90"/>
    <w:rsid w:val="560D6F51"/>
    <w:rsid w:val="56C86F6D"/>
    <w:rsid w:val="56E122FB"/>
    <w:rsid w:val="5825126E"/>
    <w:rsid w:val="5A581238"/>
    <w:rsid w:val="5BE11727"/>
    <w:rsid w:val="5C66723E"/>
    <w:rsid w:val="5D131446"/>
    <w:rsid w:val="5D1564AC"/>
    <w:rsid w:val="5D572A52"/>
    <w:rsid w:val="5F2B0CC9"/>
    <w:rsid w:val="620852F1"/>
    <w:rsid w:val="639F579F"/>
    <w:rsid w:val="64674C53"/>
    <w:rsid w:val="673C6346"/>
    <w:rsid w:val="676F425C"/>
    <w:rsid w:val="67C12E69"/>
    <w:rsid w:val="67DD6BED"/>
    <w:rsid w:val="69F91AE9"/>
    <w:rsid w:val="6C7E2CAC"/>
    <w:rsid w:val="6CEC129F"/>
    <w:rsid w:val="6DD966FB"/>
    <w:rsid w:val="6F36347B"/>
    <w:rsid w:val="6FB5018B"/>
    <w:rsid w:val="6FC935DB"/>
    <w:rsid w:val="7072622A"/>
    <w:rsid w:val="70CD1B9F"/>
    <w:rsid w:val="71EA7315"/>
    <w:rsid w:val="72AC1CC9"/>
    <w:rsid w:val="7312541D"/>
    <w:rsid w:val="741D2E7E"/>
    <w:rsid w:val="76127D2C"/>
    <w:rsid w:val="76193FBE"/>
    <w:rsid w:val="766D75CC"/>
    <w:rsid w:val="774F0B38"/>
    <w:rsid w:val="77C307FF"/>
    <w:rsid w:val="77FA5285"/>
    <w:rsid w:val="788A35B0"/>
    <w:rsid w:val="79F74C45"/>
    <w:rsid w:val="7A0D5D0B"/>
    <w:rsid w:val="7B1B065A"/>
    <w:rsid w:val="7C0F2859"/>
    <w:rsid w:val="7C4F1CC3"/>
    <w:rsid w:val="7E6E636B"/>
    <w:rsid w:val="7F0C0D77"/>
    <w:rsid w:val="7F1033A7"/>
    <w:rsid w:val="7FC9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9"/>
    <w:autoRedefine/>
    <w:qFormat/>
    <w:uiPriority w:val="0"/>
    <w:pPr>
      <w:keepNext/>
      <w:adjustRightInd w:val="0"/>
      <w:snapToGrid w:val="0"/>
      <w:spacing w:before="50" w:beforeLines="50" w:after="50" w:afterLines="50" w:line="360" w:lineRule="auto"/>
      <w:jc w:val="center"/>
      <w:outlineLvl w:val="0"/>
    </w:pPr>
    <w:rPr>
      <w:rFonts w:ascii="宋体" w:hAnsi="宋体" w:eastAsia="宋体" w:cs="宋体"/>
      <w:b/>
      <w:snapToGrid w:val="0"/>
      <w:color w:val="000000"/>
      <w:kern w:val="0"/>
      <w:sz w:val="32"/>
      <w:szCs w:val="22"/>
      <w:lang w:eastAsia="en-US"/>
    </w:rPr>
  </w:style>
  <w:style w:type="paragraph" w:styleId="3">
    <w:name w:val="heading 2"/>
    <w:basedOn w:val="1"/>
    <w:next w:val="1"/>
    <w:link w:val="17"/>
    <w:autoRedefine/>
    <w:semiHidden/>
    <w:unhideWhenUsed/>
    <w:qFormat/>
    <w:uiPriority w:val="0"/>
    <w:pPr>
      <w:keepNext/>
      <w:keepLines/>
      <w:spacing w:line="240" w:lineRule="auto"/>
      <w:ind w:firstLine="0" w:firstLineChars="0"/>
      <w:jc w:val="center"/>
      <w:outlineLvl w:val="1"/>
    </w:pPr>
    <w:rPr>
      <w:rFonts w:ascii="Arial" w:hAnsi="Arial" w:eastAsia="宋体" w:cs="Times New Roman"/>
      <w:b/>
      <w:bCs/>
      <w:sz w:val="30"/>
      <w:szCs w:val="32"/>
    </w:rPr>
  </w:style>
  <w:style w:type="paragraph" w:styleId="4">
    <w:name w:val="heading 3"/>
    <w:basedOn w:val="1"/>
    <w:next w:val="1"/>
    <w:link w:val="18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666" w:firstLineChars="200"/>
      <w:jc w:val="left"/>
      <w:outlineLvl w:val="2"/>
    </w:pPr>
    <w:rPr>
      <w:rFonts w:ascii="宋体" w:hAnsi="宋体" w:eastAsia="宋体" w:cs="宋体"/>
      <w:b/>
      <w:sz w:val="28"/>
      <w:szCs w:val="24"/>
    </w:rPr>
  </w:style>
  <w:style w:type="paragraph" w:styleId="5">
    <w:name w:val="heading 4"/>
    <w:basedOn w:val="1"/>
    <w:next w:val="1"/>
    <w:link w:val="22"/>
    <w:autoRedefine/>
    <w:semiHidden/>
    <w:unhideWhenUsed/>
    <w:qFormat/>
    <w:uiPriority w:val="0"/>
    <w:pPr>
      <w:keepNext/>
      <w:keepLines/>
      <w:adjustRightInd w:val="0"/>
      <w:snapToGrid w:val="0"/>
      <w:spacing w:line="360" w:lineRule="auto"/>
      <w:ind w:firstLine="0" w:firstLineChars="0"/>
      <w:jc w:val="left"/>
      <w:outlineLvl w:val="3"/>
    </w:pPr>
    <w:rPr>
      <w:rFonts w:ascii="宋体" w:hAnsi="宋体" w:eastAsia="宋体" w:cs="宋体"/>
      <w:b/>
      <w:bCs/>
      <w:sz w:val="28"/>
      <w:szCs w:val="28"/>
    </w:rPr>
  </w:style>
  <w:style w:type="paragraph" w:styleId="6">
    <w:name w:val="heading 5"/>
    <w:basedOn w:val="1"/>
    <w:next w:val="1"/>
    <w:link w:val="24"/>
    <w:autoRedefine/>
    <w:semiHidden/>
    <w:unhideWhenUsed/>
    <w:qFormat/>
    <w:uiPriority w:val="0"/>
    <w:pPr>
      <w:keepNext/>
      <w:keepLines/>
      <w:adjustRightInd w:val="0"/>
      <w:spacing w:line="360" w:lineRule="auto"/>
      <w:ind w:firstLine="0" w:firstLineChars="0"/>
      <w:jc w:val="left"/>
      <w:textAlignment w:val="baseline"/>
      <w:outlineLvl w:val="4"/>
    </w:pPr>
    <w:rPr>
      <w:rFonts w:ascii="Times New Roman" w:hAnsi="Times New Roman" w:eastAsia="宋体" w:cs="Times New Roman"/>
      <w:b/>
      <w:bCs/>
      <w:kern w:val="0"/>
      <w:sz w:val="28"/>
      <w:szCs w:val="28"/>
    </w:rPr>
  </w:style>
  <w:style w:type="paragraph" w:styleId="7">
    <w:name w:val="heading 6"/>
    <w:basedOn w:val="1"/>
    <w:next w:val="1"/>
    <w:link w:val="23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宋体"/>
      <w:b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jc w:val="center"/>
      <w:outlineLvl w:val="6"/>
    </w:pPr>
    <w:rPr>
      <w:rFonts w:asciiTheme="minorAscii" w:hAnsiTheme="minorAscii" w:eastAsiaTheme="minorEastAsia" w:cstheme="minorBidi"/>
      <w:sz w:val="24"/>
      <w:szCs w:val="24"/>
    </w:rPr>
  </w:style>
  <w:style w:type="character" w:default="1" w:styleId="16">
    <w:name w:val="Default Paragraph Font"/>
    <w:autoRedefine/>
    <w:semiHidden/>
    <w:qFormat/>
    <w:uiPriority w:val="0"/>
  </w:style>
  <w:style w:type="table" w:default="1" w:styleId="1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rmal Indent"/>
    <w:basedOn w:val="1"/>
    <w:next w:val="10"/>
    <w:qFormat/>
    <w:uiPriority w:val="0"/>
    <w:pPr>
      <w:spacing w:line="360" w:lineRule="auto"/>
      <w:ind w:firstLine="562" w:firstLineChars="200"/>
    </w:pPr>
    <w:rPr>
      <w:rFonts w:ascii="宋体" w:hAnsi="宋体" w:eastAsia="宋体" w:cs="宋体"/>
      <w:sz w:val="24"/>
    </w:rPr>
  </w:style>
  <w:style w:type="paragraph" w:styleId="10">
    <w:name w:val="toc 4"/>
    <w:basedOn w:val="1"/>
    <w:next w:val="1"/>
    <w:qFormat/>
    <w:uiPriority w:val="0"/>
    <w:pPr>
      <w:ind w:left="63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1">
    <w:name w:val="Body Text"/>
    <w:basedOn w:val="1"/>
    <w:next w:val="1"/>
    <w:link w:val="20"/>
    <w:qFormat/>
    <w:uiPriority w:val="0"/>
    <w:pPr>
      <w:adjustRightInd w:val="0"/>
      <w:snapToGrid w:val="0"/>
      <w:spacing w:before="120" w:line="360" w:lineRule="auto"/>
      <w:ind w:left="215" w:firstLine="1044" w:firstLineChars="200"/>
      <w:jc w:val="left"/>
    </w:pPr>
    <w:rPr>
      <w:rFonts w:ascii="宋体" w:hAnsi="宋体" w:cs="宋体"/>
      <w:szCs w:val="28"/>
      <w:lang w:val="zh-CN" w:bidi="zh-CN"/>
    </w:rPr>
  </w:style>
  <w:style w:type="paragraph" w:styleId="12">
    <w:name w:val="Plain Text"/>
    <w:basedOn w:val="1"/>
    <w:qFormat/>
    <w:uiPriority w:val="0"/>
    <w:rPr>
      <w:rFonts w:ascii="宋体" w:hAnsi="Courier New" w:eastAsia="宋体" w:cs="Times New Roman"/>
      <w:sz w:val="24"/>
    </w:rPr>
  </w:style>
  <w:style w:type="paragraph" w:styleId="13">
    <w:name w:val="toc 1"/>
    <w:basedOn w:val="1"/>
    <w:next w:val="1"/>
    <w:qFormat/>
    <w:uiPriority w:val="0"/>
    <w:rPr>
      <w:rFonts w:asciiTheme="minorAscii" w:hAnsiTheme="minorAscii" w:eastAsiaTheme="minorEastAsia" w:cstheme="minorBidi"/>
      <w:b/>
      <w:sz w:val="28"/>
      <w:szCs w:val="24"/>
    </w:rPr>
  </w:style>
  <w:style w:type="paragraph" w:styleId="14">
    <w:name w:val="toc 2"/>
    <w:basedOn w:val="1"/>
    <w:next w:val="1"/>
    <w:qFormat/>
    <w:uiPriority w:val="0"/>
    <w:pPr>
      <w:ind w:left="420" w:leftChars="200"/>
    </w:pPr>
    <w:rPr>
      <w:rFonts w:asciiTheme="minorAscii" w:hAnsiTheme="minorAscii" w:eastAsiaTheme="minorEastAsia" w:cstheme="minorBidi"/>
      <w:b/>
      <w:szCs w:val="24"/>
    </w:rPr>
  </w:style>
  <w:style w:type="character" w:customStyle="1" w:styleId="17">
    <w:name w:val="标题 2 字符"/>
    <w:link w:val="3"/>
    <w:autoRedefine/>
    <w:qFormat/>
    <w:uiPriority w:val="9"/>
    <w:rPr>
      <w:rFonts w:ascii="Arial" w:hAnsi="Arial" w:eastAsia="宋体" w:cs="Times New Roman"/>
      <w:b/>
      <w:bCs/>
      <w:snapToGrid w:val="0"/>
      <w:color w:val="000000"/>
      <w:kern w:val="0"/>
      <w:sz w:val="30"/>
      <w:szCs w:val="32"/>
      <w:lang w:eastAsia="en-US"/>
    </w:rPr>
  </w:style>
  <w:style w:type="character" w:customStyle="1" w:styleId="18">
    <w:name w:val="标题 3 字符1"/>
    <w:link w:val="4"/>
    <w:autoRedefine/>
    <w:qFormat/>
    <w:uiPriority w:val="0"/>
    <w:rPr>
      <w:rFonts w:ascii="宋体" w:hAnsi="宋体" w:eastAsia="宋体" w:cs="宋体"/>
      <w:b/>
      <w:sz w:val="28"/>
      <w:szCs w:val="24"/>
    </w:rPr>
  </w:style>
  <w:style w:type="character" w:customStyle="1" w:styleId="19">
    <w:name w:val="标题 1 字符"/>
    <w:link w:val="2"/>
    <w:autoRedefine/>
    <w:qFormat/>
    <w:uiPriority w:val="0"/>
    <w:rPr>
      <w:rFonts w:ascii="宋体" w:hAnsi="宋体" w:eastAsia="宋体" w:cs="宋体"/>
      <w:b/>
      <w:snapToGrid w:val="0"/>
      <w:color w:val="000000"/>
      <w:kern w:val="0"/>
      <w:sz w:val="32"/>
      <w:szCs w:val="22"/>
      <w:lang w:eastAsia="en-US"/>
    </w:rPr>
  </w:style>
  <w:style w:type="character" w:customStyle="1" w:styleId="20">
    <w:name w:val="正文文本 Char"/>
    <w:link w:val="11"/>
    <w:qFormat/>
    <w:uiPriority w:val="0"/>
    <w:rPr>
      <w:rFonts w:ascii="宋体" w:hAnsi="宋体" w:eastAsia="宋体" w:cs="宋体"/>
      <w:sz w:val="24"/>
      <w:szCs w:val="28"/>
      <w:lang w:val="zh-CN" w:bidi="zh-CN"/>
    </w:rPr>
  </w:style>
  <w:style w:type="paragraph" w:customStyle="1" w:styleId="21">
    <w:name w:val="表格"/>
    <w:basedOn w:val="1"/>
    <w:qFormat/>
    <w:uiPriority w:val="0"/>
    <w:pPr>
      <w:adjustRightInd w:val="0"/>
      <w:snapToGrid w:val="0"/>
      <w:spacing w:line="240" w:lineRule="auto"/>
      <w:jc w:val="center"/>
    </w:pPr>
    <w:rPr>
      <w:rFonts w:hint="eastAsia" w:ascii="宋体" w:hAnsi="宋体" w:eastAsia="宋体" w:cs="宋体"/>
      <w:sz w:val="24"/>
      <w:szCs w:val="24"/>
      <w:lang w:val="zh-CN"/>
    </w:rPr>
  </w:style>
  <w:style w:type="character" w:customStyle="1" w:styleId="22">
    <w:name w:val="标题 4 Char"/>
    <w:link w:val="5"/>
    <w:qFormat/>
    <w:uiPriority w:val="0"/>
    <w:rPr>
      <w:rFonts w:ascii="宋体" w:hAnsi="宋体" w:eastAsia="宋体" w:cs="宋体"/>
      <w:b/>
      <w:bCs/>
      <w:kern w:val="2"/>
      <w:sz w:val="28"/>
      <w:szCs w:val="28"/>
    </w:rPr>
  </w:style>
  <w:style w:type="character" w:customStyle="1" w:styleId="23">
    <w:name w:val="标题 6 Char"/>
    <w:link w:val="7"/>
    <w:qFormat/>
    <w:uiPriority w:val="0"/>
    <w:rPr>
      <w:rFonts w:ascii="Arial" w:hAnsi="Arial" w:eastAsia="宋体" w:cs="Times New Roman"/>
      <w:b/>
      <w:bCs/>
      <w:kern w:val="0"/>
      <w:sz w:val="24"/>
      <w:szCs w:val="24"/>
    </w:rPr>
  </w:style>
  <w:style w:type="character" w:customStyle="1" w:styleId="24">
    <w:name w:val="标题 5 Char"/>
    <w:link w:val="6"/>
    <w:qFormat/>
    <w:uiPriority w:val="0"/>
    <w:rPr>
      <w:rFonts w:ascii="Times New Roman" w:hAnsi="Times New Roman" w:eastAsia="宋体" w:cs="Times New Roman"/>
      <w:b/>
      <w:bCs/>
      <w:kern w:val="0"/>
      <w:sz w:val="28"/>
      <w:szCs w:val="28"/>
    </w:rPr>
  </w:style>
  <w:style w:type="paragraph" w:customStyle="1" w:styleId="25">
    <w:name w:val="居中"/>
    <w:basedOn w:val="1"/>
    <w:qFormat/>
    <w:uiPriority w:val="0"/>
    <w:pPr>
      <w:jc w:val="center"/>
    </w:pPr>
    <w:rPr>
      <w:rFonts w:ascii="Times New Roman" w:hAnsi="Times New Roman" w:eastAsia="宋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2025-12-03T10:32:00Z</dcterms:created>
  <dc:creator>hh</dc:creator>
  <cp:lastModifiedBy>hh</cp:lastModifiedBy>
  <dcterms:modified xsi:type="dcterms:W3CDTF">2025-12-03T10:32:51Z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6F64BECCAC9B4DA7882E39EC31DF3780_11</vt:lpwstr>
  </property>
  <property fmtid="{D5CDD505-2E9C-101B-9397-08002B2CF9AE}" pid="4" name="KSOTemplateDocerSaveRecord">
    <vt:lpwstr>eyJoZGlkIjoiMDE0MWExYzZhN2MyNGJiNTVhNDFjN2I1MzgyYTEyNWYiLCJ1c2VySWQiOiI1NTQxNTg5NzAifQ==</vt:lpwstr>
  </property>
</Properties>
</file>