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60EE2">
      <w:pPr>
        <w:pStyle w:val="4"/>
        <w:jc w:val="left"/>
        <w:rPr>
          <w:rFonts w:ascii="仿宋_GB2312" w:hAnsi="仿宋_GB2312" w:eastAsia="仿宋_GB2312" w:cs="仿宋_GB2312"/>
          <w:sz w:val="24"/>
          <w:highlight w:val="none"/>
        </w:rPr>
      </w:pPr>
      <w:bookmarkStart w:id="0" w:name="_GoBack"/>
      <w:r>
        <w:rPr>
          <w:rFonts w:ascii="仿宋_GB2312" w:hAnsi="仿宋_GB2312" w:eastAsia="仿宋_GB2312" w:cs="仿宋_GB2312"/>
          <w:sz w:val="24"/>
          <w:highlight w:val="none"/>
        </w:rPr>
        <w:t>一、财务处建设现状</w:t>
      </w:r>
      <w:r>
        <w:rPr>
          <w:highlight w:val="none"/>
        </w:rPr>
        <w:br w:type="textWrapping"/>
      </w:r>
      <w:r>
        <w:rPr>
          <w:rFonts w:ascii="仿宋_GB2312" w:hAnsi="仿宋_GB2312" w:eastAsia="仿宋_GB2312" w:cs="仿宋_GB2312"/>
          <w:sz w:val="24"/>
          <w:highlight w:val="none"/>
        </w:rPr>
        <w:t xml:space="preserve">   目前我校已经有的系统包括：天大天财财务核算系统，天大天财工资管理系统，天大天财个人收入管理系统，天大天财网络综合查询系统，天大天财学生收费系统，天大天财银校互联系统，天大天财网上劳务申报管理系统，天大天财网上预约报销系统、天大天财银校互联系统，天大天财校园统一支付平台，天大天财微信服务平台，天大天财凭证影像化系统，天大天财差旅服务平台，天大天财业财融合平台，天大天财综合票据管理系统，天大天财投单机</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大仪对接、化学危险品对接</w:t>
      </w:r>
      <w:r>
        <w:rPr>
          <w:rFonts w:ascii="仿宋_GB2312" w:hAnsi="仿宋_GB2312" w:eastAsia="仿宋_GB2312" w:cs="仿宋_GB2312"/>
          <w:sz w:val="24"/>
          <w:highlight w:val="none"/>
        </w:rPr>
        <w:t>等等。</w:t>
      </w:r>
    </w:p>
    <w:p w14:paraId="35CB0DE0">
      <w:pPr>
        <w:pStyle w:val="4"/>
        <w:jc w:val="left"/>
        <w:rPr>
          <w:highlight w:val="none"/>
        </w:rPr>
      </w:pPr>
      <w:r>
        <w:rPr>
          <w:rFonts w:ascii="仿宋_GB2312" w:hAnsi="仿宋_GB2312" w:eastAsia="仿宋_GB2312" w:cs="仿宋_GB2312"/>
          <w:sz w:val="24"/>
          <w:highlight w:val="none"/>
        </w:rPr>
        <w:t>二、产品技术要求</w:t>
      </w:r>
    </w:p>
    <w:p w14:paraId="5B24DC2A">
      <w:pPr>
        <w:pStyle w:val="4"/>
        <w:jc w:val="left"/>
        <w:rPr>
          <w:highlight w:val="none"/>
        </w:rPr>
      </w:pPr>
      <w:r>
        <w:rPr>
          <w:rFonts w:ascii="仿宋_GB2312" w:hAnsi="仿宋_GB2312" w:eastAsia="仿宋_GB2312" w:cs="仿宋_GB2312"/>
          <w:sz w:val="24"/>
          <w:highlight w:val="none"/>
        </w:rPr>
        <w:t>智能报销系统1套：</w:t>
      </w:r>
    </w:p>
    <w:p w14:paraId="2751C128">
      <w:pPr>
        <w:pStyle w:val="4"/>
        <w:jc w:val="left"/>
        <w:rPr>
          <w:highlight w:val="none"/>
        </w:rPr>
      </w:pPr>
      <w:r>
        <w:rPr>
          <w:rFonts w:ascii="仿宋_GB2312" w:hAnsi="仿宋_GB2312" w:eastAsia="仿宋_GB2312" w:cs="仿宋_GB2312"/>
          <w:sz w:val="24"/>
          <w:highlight w:val="none"/>
        </w:rPr>
        <w:t>1、该系统建设依托于学校现有网络资源，利用人工智能、大数据等前沿技术，以智能财务管控为主线，构建多功能数据联动化的财务平台。该平台应实现费用智能填报、报账智能审核、核算自动化、电子影像等功能。</w:t>
      </w:r>
    </w:p>
    <w:p w14:paraId="76F7648A">
      <w:pPr>
        <w:pStyle w:val="4"/>
        <w:jc w:val="left"/>
        <w:rPr>
          <w:highlight w:val="none"/>
        </w:rPr>
      </w:pPr>
      <w:r>
        <w:rPr>
          <w:rFonts w:ascii="仿宋_GB2312" w:hAnsi="仿宋_GB2312" w:eastAsia="仿宋_GB2312" w:cs="仿宋_GB2312"/>
          <w:sz w:val="24"/>
          <w:highlight w:val="none"/>
        </w:rPr>
        <w:t>▲ 2、该平台主要流程需实现：通过智能报销平台填写报销信息（能够实时获取账务系统项目经费信息、人员信息、发生额等信息，实现预算经费实时控制，不会造成无预算报销），通过在线审批，审批后打印报销单，将报销单据投递至现有财务自助服务终端，财务人员进行票据比对确认后，现有账务系统里会自动生成记账凭证，自动生成的记账凭证包括但不限于收款账号、开户名、开户行等信息，出纳人员通过现有银校互联系统进行快捷付款操作，业务完成后自动将报销信息等内容上传至现有网上综合查询系统以及微信服务平台，供相关老师进行查阅。</w:t>
      </w:r>
    </w:p>
    <w:p w14:paraId="779850B3">
      <w:pPr>
        <w:pStyle w:val="4"/>
        <w:jc w:val="left"/>
        <w:rPr>
          <w:highlight w:val="none"/>
        </w:rPr>
      </w:pPr>
      <w:r>
        <w:rPr>
          <w:rFonts w:ascii="仿宋_GB2312" w:hAnsi="仿宋_GB2312" w:eastAsia="仿宋_GB2312" w:cs="仿宋_GB2312"/>
          <w:sz w:val="24"/>
          <w:highlight w:val="none"/>
        </w:rPr>
        <w:t>3、通过对日常各类费用及票据种类、报销填制规则、稽核规则等方面进行定义，智能化实现报销业务的场景，生成报销单，并将报销结果推送至关联系统中，实现报销信息同步。</w:t>
      </w:r>
    </w:p>
    <w:p w14:paraId="36308B06">
      <w:pPr>
        <w:pStyle w:val="4"/>
        <w:jc w:val="left"/>
        <w:rPr>
          <w:highlight w:val="none"/>
        </w:rPr>
      </w:pPr>
      <w:r>
        <w:rPr>
          <w:rFonts w:ascii="仿宋_GB2312" w:hAnsi="仿宋_GB2312" w:eastAsia="仿宋_GB2312" w:cs="仿宋_GB2312"/>
          <w:sz w:val="24"/>
          <w:highlight w:val="none"/>
        </w:rPr>
        <w:t>▲4、经费项目余额及额度控制:系统应具备实时获取项目余额和额度功能，校验经费项目的余额与额度是否可以完成本次报销，严格控制项目预算费用、预算额度和项目余额，避免产生网上可以填写而实际无法报销的问题。</w:t>
      </w:r>
    </w:p>
    <w:p w14:paraId="121C4171">
      <w:pPr>
        <w:pStyle w:val="4"/>
        <w:jc w:val="left"/>
        <w:rPr>
          <w:highlight w:val="none"/>
        </w:rPr>
      </w:pPr>
      <w:r>
        <w:rPr>
          <w:rFonts w:ascii="仿宋_GB2312" w:hAnsi="仿宋_GB2312" w:eastAsia="仿宋_GB2312" w:cs="仿宋_GB2312"/>
          <w:sz w:val="24"/>
          <w:highlight w:val="none"/>
        </w:rPr>
        <w:t>5、项目经费冻结和解冻:网上申请通过的报销业务，其相关经费对应的报销金额应被冻结，即在账务管理系统对应的可用余额也相应减少，从而保障实际报销中经费余额的准确性。网上报销自动生成财务凭证时，网上报销系统原冻结金额将在账务管理系统中解冻。</w:t>
      </w:r>
    </w:p>
    <w:p w14:paraId="40411A0A">
      <w:pPr>
        <w:pStyle w:val="4"/>
        <w:jc w:val="left"/>
        <w:rPr>
          <w:highlight w:val="none"/>
        </w:rPr>
      </w:pPr>
      <w:r>
        <w:rPr>
          <w:rFonts w:ascii="仿宋_GB2312" w:hAnsi="仿宋_GB2312" w:eastAsia="仿宋_GB2312" w:cs="仿宋_GB2312"/>
          <w:sz w:val="24"/>
          <w:highlight w:val="none"/>
        </w:rPr>
        <w:t>▲6、往来款核销:系统应支持往来账精确核销，方便报销人核销项目负责人名下的暂付款。报账人填写报销单时，如果报销项目存在未核销的往来账，报账人可以选定其中某笔或多笔进行核销，也可以选择核销其中的部分金额，无需财务审核人员入账时手工指定。</w:t>
      </w:r>
    </w:p>
    <w:p w14:paraId="00E718A3">
      <w:pPr>
        <w:pStyle w:val="4"/>
        <w:jc w:val="left"/>
        <w:rPr>
          <w:highlight w:val="none"/>
        </w:rPr>
      </w:pPr>
      <w:r>
        <w:rPr>
          <w:rFonts w:ascii="仿宋_GB2312" w:hAnsi="仿宋_GB2312" w:eastAsia="仿宋_GB2312" w:cs="仿宋_GB2312"/>
          <w:sz w:val="24"/>
          <w:highlight w:val="none"/>
        </w:rPr>
        <w:t>7、签名采集:系统应支持签名采集，设置自己本人签名，可以在审核单据时自动填入该签名，减少用户的重复操作。</w:t>
      </w:r>
    </w:p>
    <w:p w14:paraId="151ACA53">
      <w:pPr>
        <w:pStyle w:val="4"/>
        <w:jc w:val="left"/>
        <w:rPr>
          <w:highlight w:val="none"/>
        </w:rPr>
      </w:pPr>
      <w:r>
        <w:rPr>
          <w:rFonts w:ascii="仿宋_GB2312" w:hAnsi="仿宋_GB2312" w:eastAsia="仿宋_GB2312" w:cs="仿宋_GB2312"/>
          <w:sz w:val="24"/>
          <w:highlight w:val="none"/>
        </w:rPr>
        <w:t>8、发票管理:该功能应管理当前账号下所有扫描后已使用和未使用的发票，并且进行多方面智能分类（票据种类分类、票据对应经济分类分类、事项分类），同时可以进行各种发票识别和验真，当在其他模块报销的时候就可以提供发票管理未使用的发票从而不在进行扫描，扫描发票方式应包括本地图片上传、手机拍照、本地文件上传、二维码识别、手动添加、微信卡包、短信导入、邮箱导入等多种方式，发票格式支持 PDF 文件、OFD 文件、图片。</w:t>
      </w:r>
    </w:p>
    <w:p w14:paraId="2A8781F6">
      <w:pPr>
        <w:pStyle w:val="4"/>
        <w:jc w:val="left"/>
        <w:rPr>
          <w:highlight w:val="none"/>
        </w:rPr>
      </w:pPr>
      <w:r>
        <w:rPr>
          <w:rFonts w:ascii="仿宋_GB2312" w:hAnsi="仿宋_GB2312" w:eastAsia="仿宋_GB2312" w:cs="仿宋_GB2312"/>
          <w:sz w:val="24"/>
          <w:highlight w:val="none"/>
        </w:rPr>
        <w:t>9、发票报销:系统应支持发票识别验真之后自动填写报销单，之后选择项目经费和支付方式进行快速报销，并根据发票内容自动匹配相应的经济分类。</w:t>
      </w:r>
    </w:p>
    <w:p w14:paraId="180A6A34">
      <w:pPr>
        <w:pStyle w:val="4"/>
        <w:jc w:val="left"/>
        <w:rPr>
          <w:highlight w:val="none"/>
        </w:rPr>
      </w:pPr>
      <w:r>
        <w:rPr>
          <w:rFonts w:ascii="仿宋_GB2312" w:hAnsi="仿宋_GB2312" w:eastAsia="仿宋_GB2312" w:cs="仿宋_GB2312"/>
          <w:sz w:val="24"/>
          <w:highlight w:val="none"/>
        </w:rPr>
        <w:t>10、日常报销:选择不同的消费场景之后，选择发票，自动填写报销单，之后选择项目经费和支付方式进行快速报销，并根据发票内容自动匹配相应的经济分类。</w:t>
      </w:r>
    </w:p>
    <w:p w14:paraId="3E740819">
      <w:pPr>
        <w:pStyle w:val="4"/>
        <w:jc w:val="left"/>
        <w:rPr>
          <w:highlight w:val="none"/>
        </w:rPr>
      </w:pPr>
      <w:r>
        <w:rPr>
          <w:rFonts w:ascii="仿宋_GB2312" w:hAnsi="仿宋_GB2312" w:eastAsia="仿宋_GB2312" w:cs="仿宋_GB2312"/>
          <w:sz w:val="24"/>
          <w:highlight w:val="none"/>
        </w:rPr>
        <w:t>▲11、国内差旅报销:差旅费用的报销，扫描车票（火车、汽车、飞机等）后，根据车票信息自动填写报销单的报销金额和出差时间和出差地点，同时自动算出出差补贴，还可以继续添加住宿票，市内交通票等其他发票报销。</w:t>
      </w:r>
    </w:p>
    <w:p w14:paraId="1206F931">
      <w:pPr>
        <w:pStyle w:val="4"/>
        <w:jc w:val="left"/>
        <w:rPr>
          <w:highlight w:val="none"/>
        </w:rPr>
      </w:pPr>
      <w:r>
        <w:rPr>
          <w:rFonts w:ascii="仿宋_GB2312" w:hAnsi="仿宋_GB2312" w:eastAsia="仿宋_GB2312" w:cs="仿宋_GB2312"/>
          <w:sz w:val="24"/>
          <w:highlight w:val="none"/>
        </w:rPr>
        <w:t>▲12、借款业务:系统应支持借款业务，提供项目选择、项目余额查询、项目额度查询、授权信息查询、项目占用信息查询等功能。按照报销模板的设置提供详细的借款信息填写界面，填写内容应包括是否差旅借款、预冲账日期、借款事由、借款责任人和借款金额等。</w:t>
      </w:r>
    </w:p>
    <w:p w14:paraId="0D1AC91A">
      <w:pPr>
        <w:pStyle w:val="4"/>
        <w:jc w:val="left"/>
        <w:rPr>
          <w:highlight w:val="none"/>
        </w:rPr>
      </w:pPr>
      <w:r>
        <w:rPr>
          <w:rFonts w:ascii="仿宋_GB2312" w:hAnsi="仿宋_GB2312" w:eastAsia="仿宋_GB2312" w:cs="仿宋_GB2312"/>
          <w:sz w:val="24"/>
          <w:highlight w:val="none"/>
        </w:rPr>
        <w:t>13、单据查询:申请人可以实时跟踪单子，查看单子当前信息状态，包含待修改的单据，待提交的单据，待提交审核单据、审批物流、已提交完成的单据、报销已完成的单据和报销失败的单据。</w:t>
      </w:r>
    </w:p>
    <w:p w14:paraId="1CB0B5C2">
      <w:pPr>
        <w:pStyle w:val="4"/>
        <w:jc w:val="left"/>
        <w:rPr>
          <w:highlight w:val="none"/>
        </w:rPr>
      </w:pPr>
      <w:r>
        <w:rPr>
          <w:rFonts w:ascii="仿宋_GB2312" w:hAnsi="仿宋_GB2312" w:eastAsia="仿宋_GB2312" w:cs="仿宋_GB2312"/>
          <w:sz w:val="24"/>
          <w:highlight w:val="none"/>
        </w:rPr>
        <w:t>发票的统计：报销发票种类、数量和金额统计。</w:t>
      </w:r>
    </w:p>
    <w:p w14:paraId="6A28152C">
      <w:pPr>
        <w:pStyle w:val="4"/>
        <w:jc w:val="left"/>
        <w:rPr>
          <w:highlight w:val="none"/>
        </w:rPr>
      </w:pPr>
      <w:r>
        <w:rPr>
          <w:rFonts w:ascii="仿宋_GB2312" w:hAnsi="仿宋_GB2312" w:eastAsia="仿宋_GB2312" w:cs="仿宋_GB2312"/>
          <w:sz w:val="24"/>
          <w:highlight w:val="none"/>
        </w:rPr>
        <w:t>审核的统计：报销单数量、金额和单子通过或驳回的比例统计。</w:t>
      </w:r>
    </w:p>
    <w:p w14:paraId="51FE5451">
      <w:pPr>
        <w:pStyle w:val="4"/>
        <w:jc w:val="left"/>
        <w:rPr>
          <w:highlight w:val="none"/>
        </w:rPr>
      </w:pPr>
      <w:r>
        <w:rPr>
          <w:rFonts w:ascii="仿宋_GB2312" w:hAnsi="仿宋_GB2312" w:eastAsia="仿宋_GB2312" w:cs="仿宋_GB2312"/>
          <w:sz w:val="24"/>
          <w:highlight w:val="none"/>
        </w:rPr>
        <w:t>单据的统计：本人当前报销或未报销的单子的数量金额统计。</w:t>
      </w:r>
    </w:p>
    <w:p w14:paraId="76EFAB64">
      <w:pPr>
        <w:pStyle w:val="4"/>
        <w:jc w:val="left"/>
        <w:rPr>
          <w:highlight w:val="none"/>
        </w:rPr>
      </w:pPr>
      <w:r>
        <w:rPr>
          <w:rFonts w:ascii="仿宋_GB2312" w:hAnsi="仿宋_GB2312" w:eastAsia="仿宋_GB2312" w:cs="仿宋_GB2312"/>
          <w:sz w:val="24"/>
          <w:highlight w:val="none"/>
        </w:rPr>
        <w:t>附件上传:系统在上传发票和填写报销业务时用的其他附件都传至服务器。可根据国家和上级财经法规及学校财务相关管理办法个性化设置审核条件。审核规则经分析后固化进系统与各种报销业务相对应，实现包括事前稽核人员、往来单位、票据内容、附件、规章制度、级别或职别标准、业务合规性等各种风险控制类型，事前预防及时阻断风险，大大缓解会计人工审核强度自定义配置稽核规则条件、维度丰富满足实际业务不同应用场景。</w:t>
      </w:r>
    </w:p>
    <w:p w14:paraId="0E0FDAC6">
      <w:pPr>
        <w:pStyle w:val="4"/>
        <w:jc w:val="left"/>
        <w:rPr>
          <w:highlight w:val="none"/>
        </w:rPr>
      </w:pPr>
      <w:r>
        <w:rPr>
          <w:rFonts w:ascii="仿宋_GB2312" w:hAnsi="仿宋_GB2312" w:eastAsia="仿宋_GB2312" w:cs="仿宋_GB2312"/>
          <w:sz w:val="24"/>
          <w:highlight w:val="none"/>
        </w:rPr>
        <w:t>14、报销人可在系统中进行出差事前申请:事前申请包含出差人、部门、项目、出差地点、出差时间等重要信息，报销人填写完成后可按我校的事前审批流程进行审批。报销差旅费时报销人可直接勾选对应的事前申请单，系统将实际报销的各类要素与事前要素进行比对，如不相符应给出提示由报销人返回修改。</w:t>
      </w:r>
    </w:p>
    <w:p w14:paraId="4B7ED2F6">
      <w:pPr>
        <w:pStyle w:val="4"/>
        <w:jc w:val="left"/>
        <w:rPr>
          <w:highlight w:val="none"/>
        </w:rPr>
      </w:pPr>
      <w:r>
        <w:rPr>
          <w:rFonts w:ascii="仿宋_GB2312" w:hAnsi="仿宋_GB2312" w:eastAsia="仿宋_GB2312" w:cs="仿宋_GB2312"/>
          <w:sz w:val="24"/>
          <w:highlight w:val="none"/>
        </w:rPr>
        <w:t>▲15、项目授权主要功能：</w:t>
      </w:r>
    </w:p>
    <w:p w14:paraId="21F16F90">
      <w:pPr>
        <w:pStyle w:val="4"/>
        <w:jc w:val="left"/>
        <w:rPr>
          <w:highlight w:val="none"/>
        </w:rPr>
      </w:pPr>
      <w:r>
        <w:rPr>
          <w:rFonts w:ascii="仿宋_GB2312" w:hAnsi="仿宋_GB2312" w:eastAsia="仿宋_GB2312" w:cs="仿宋_GB2312"/>
          <w:sz w:val="24"/>
          <w:highlight w:val="none"/>
        </w:rPr>
        <w:t>支持PC 端和移动端进行项目授权，数据同步，防止授权项目可用余额错乱。</w:t>
      </w:r>
    </w:p>
    <w:p w14:paraId="48365B9B">
      <w:pPr>
        <w:pStyle w:val="4"/>
        <w:jc w:val="left"/>
        <w:rPr>
          <w:highlight w:val="none"/>
        </w:rPr>
      </w:pPr>
      <w:r>
        <w:rPr>
          <w:rFonts w:ascii="仿宋_GB2312" w:hAnsi="仿宋_GB2312" w:eastAsia="仿宋_GB2312" w:cs="仿宋_GB2312"/>
          <w:sz w:val="24"/>
          <w:highlight w:val="none"/>
        </w:rPr>
        <w:t>跨部门使用经费时，经费归口部门负责人可将本部门项目对被授权人设置报销金额、开放时间等。</w:t>
      </w:r>
    </w:p>
    <w:p w14:paraId="4C0A2CE9">
      <w:pPr>
        <w:pStyle w:val="4"/>
        <w:jc w:val="left"/>
        <w:rPr>
          <w:highlight w:val="none"/>
        </w:rPr>
      </w:pPr>
      <w:r>
        <w:rPr>
          <w:rFonts w:ascii="仿宋_GB2312" w:hAnsi="仿宋_GB2312" w:eastAsia="仿宋_GB2312" w:cs="仿宋_GB2312"/>
          <w:sz w:val="24"/>
          <w:highlight w:val="none"/>
        </w:rPr>
        <w:t>16、智能稽核主要功能：</w:t>
      </w:r>
    </w:p>
    <w:p w14:paraId="47C7C850">
      <w:pPr>
        <w:pStyle w:val="4"/>
        <w:jc w:val="left"/>
        <w:rPr>
          <w:highlight w:val="none"/>
        </w:rPr>
      </w:pPr>
      <w:r>
        <w:rPr>
          <w:rFonts w:ascii="仿宋_GB2312" w:hAnsi="仿宋_GB2312" w:eastAsia="仿宋_GB2312" w:cs="仿宋_GB2312"/>
          <w:sz w:val="24"/>
          <w:highlight w:val="none"/>
        </w:rPr>
        <w:t>▲黑名单设置:系统应支持对公往来单位和对私个人灰黑名单设置，对可能失信的账户名单和个人名单，进行录入留底。</w:t>
      </w:r>
    </w:p>
    <w:p w14:paraId="0439085B">
      <w:pPr>
        <w:pStyle w:val="4"/>
        <w:jc w:val="left"/>
        <w:rPr>
          <w:highlight w:val="none"/>
        </w:rPr>
      </w:pPr>
      <w:r>
        <w:rPr>
          <w:rFonts w:ascii="仿宋_GB2312" w:hAnsi="仿宋_GB2312" w:eastAsia="仿宋_GB2312" w:cs="仿宋_GB2312"/>
          <w:sz w:val="24"/>
          <w:highlight w:val="none"/>
        </w:rPr>
        <w:t>▲差旅费级别与标准设置:差旅的住宿补贴标准分为一般和科研标准，针对这两个标准进行维护数据。人员级别应根据学校制定的职别来对数据进行维护。</w:t>
      </w:r>
    </w:p>
    <w:p w14:paraId="70A1BBD2">
      <w:pPr>
        <w:pStyle w:val="4"/>
        <w:jc w:val="left"/>
        <w:rPr>
          <w:highlight w:val="none"/>
        </w:rPr>
      </w:pPr>
      <w:r>
        <w:rPr>
          <w:rFonts w:ascii="仿宋_GB2312" w:hAnsi="仿宋_GB2312" w:eastAsia="仿宋_GB2312" w:cs="仿宋_GB2312"/>
          <w:sz w:val="24"/>
          <w:highlight w:val="none"/>
        </w:rPr>
        <w:t>告警信息设置:告警信息设置是对规则模型中的告警级别进行数据维护。</w:t>
      </w:r>
    </w:p>
    <w:p w14:paraId="065D7D91">
      <w:pPr>
        <w:pStyle w:val="4"/>
        <w:jc w:val="left"/>
        <w:rPr>
          <w:highlight w:val="none"/>
        </w:rPr>
      </w:pPr>
      <w:r>
        <w:rPr>
          <w:rFonts w:ascii="仿宋_GB2312" w:hAnsi="仿宋_GB2312" w:eastAsia="仿宋_GB2312" w:cs="仿宋_GB2312"/>
          <w:sz w:val="24"/>
          <w:highlight w:val="none"/>
        </w:rPr>
        <w:t>▲节假日管理:根据差旅报销判断出差日期是否存在于节假日里，如果存在的话，差旅报销金额则会有差异，系统应通过基础数据添加的节假日来进行阻拦告警。</w:t>
      </w:r>
    </w:p>
    <w:p w14:paraId="71B474A4">
      <w:pPr>
        <w:pStyle w:val="4"/>
        <w:jc w:val="left"/>
        <w:rPr>
          <w:highlight w:val="none"/>
        </w:rPr>
      </w:pPr>
      <w:r>
        <w:rPr>
          <w:rFonts w:ascii="仿宋_GB2312" w:hAnsi="仿宋_GB2312" w:eastAsia="仿宋_GB2312" w:cs="仿宋_GB2312"/>
          <w:sz w:val="24"/>
          <w:highlight w:val="none"/>
        </w:rPr>
        <w:t>附件管理:设置需要上传的附件形式、规格、模板等，可按经济分类编号进行分类。</w:t>
      </w:r>
    </w:p>
    <w:p w14:paraId="5A854964">
      <w:pPr>
        <w:pStyle w:val="4"/>
        <w:jc w:val="left"/>
        <w:rPr>
          <w:highlight w:val="none"/>
        </w:rPr>
      </w:pPr>
      <w:r>
        <w:rPr>
          <w:rFonts w:ascii="仿宋_GB2312" w:hAnsi="仿宋_GB2312" w:eastAsia="仿宋_GB2312" w:cs="仿宋_GB2312"/>
          <w:sz w:val="24"/>
          <w:highlight w:val="none"/>
        </w:rPr>
        <w:t>发票稽核模型：系统应支持发票的金额、付款方识别号、发票内容、黑名单验证、购买方名称验证、发票是否连号等规则的验证。</w:t>
      </w:r>
    </w:p>
    <w:p w14:paraId="63E484D7">
      <w:pPr>
        <w:pStyle w:val="4"/>
        <w:jc w:val="left"/>
        <w:rPr>
          <w:highlight w:val="none"/>
        </w:rPr>
      </w:pPr>
      <w:r>
        <w:rPr>
          <w:rFonts w:ascii="仿宋_GB2312" w:hAnsi="仿宋_GB2312" w:eastAsia="仿宋_GB2312" w:cs="仿宋_GB2312"/>
          <w:sz w:val="24"/>
          <w:highlight w:val="none"/>
        </w:rPr>
        <w:t>经济分类模型：在报销过程中对报销的种类、科目进行限制和提醒。</w:t>
      </w:r>
    </w:p>
    <w:p w14:paraId="31A6D6E2">
      <w:pPr>
        <w:pStyle w:val="4"/>
        <w:jc w:val="left"/>
        <w:rPr>
          <w:highlight w:val="none"/>
        </w:rPr>
      </w:pPr>
      <w:r>
        <w:rPr>
          <w:rFonts w:ascii="仿宋_GB2312" w:hAnsi="仿宋_GB2312" w:eastAsia="仿宋_GB2312" w:cs="仿宋_GB2312"/>
          <w:sz w:val="24"/>
          <w:highlight w:val="none"/>
        </w:rPr>
        <w:t>支付方式稽核模型：系统应支持对私个人灰黑名单、发票中往来单位限制金额、对私校内校外金额、和对私往来单位灰黑名单的设置，可针对发票地区和发票金额是否包含黑名单供应商或商品信息进行预警。</w:t>
      </w:r>
    </w:p>
    <w:p w14:paraId="4A6C4035">
      <w:pPr>
        <w:pStyle w:val="4"/>
        <w:jc w:val="left"/>
        <w:rPr>
          <w:highlight w:val="none"/>
        </w:rPr>
      </w:pPr>
      <w:r>
        <w:rPr>
          <w:rFonts w:ascii="仿宋_GB2312" w:hAnsi="仿宋_GB2312" w:eastAsia="仿宋_GB2312" w:cs="仿宋_GB2312"/>
          <w:sz w:val="24"/>
          <w:highlight w:val="none"/>
        </w:rPr>
        <w:t>人员稽核模型：设置稽核中的人员登录信息，可以查看人员信息是否可以登录系统，检验人员信息是否有效。</w:t>
      </w:r>
    </w:p>
    <w:p w14:paraId="1E9B8989">
      <w:pPr>
        <w:pStyle w:val="4"/>
        <w:jc w:val="left"/>
        <w:rPr>
          <w:highlight w:val="none"/>
        </w:rPr>
      </w:pPr>
      <w:r>
        <w:rPr>
          <w:rFonts w:ascii="仿宋_GB2312" w:hAnsi="仿宋_GB2312" w:eastAsia="仿宋_GB2312" w:cs="仿宋_GB2312"/>
          <w:sz w:val="24"/>
          <w:highlight w:val="none"/>
        </w:rPr>
        <w:t>自定义稽核模型：系统应支持用户自定义配置模型规则及返回的告警信息,规则支持的类型应至少包括数字类型字段,时间类型字段及字符类型字段,配置相应类型字段并填写满足的条件且启用后，将触发此规则并返回相关告警信息。</w:t>
      </w:r>
    </w:p>
    <w:p w14:paraId="0359056D">
      <w:pPr>
        <w:pStyle w:val="4"/>
        <w:jc w:val="left"/>
        <w:rPr>
          <w:highlight w:val="none"/>
        </w:rPr>
      </w:pPr>
      <w:r>
        <w:rPr>
          <w:rFonts w:ascii="仿宋_GB2312" w:hAnsi="仿宋_GB2312" w:eastAsia="仿宋_GB2312" w:cs="仿宋_GB2312"/>
          <w:sz w:val="24"/>
          <w:highlight w:val="none"/>
        </w:rPr>
        <w:t>稽核日志统计：系统应支持对稽核异常数量，告警数量，具体规则数量等量化数据统计及图形数据统计的展示。</w:t>
      </w:r>
    </w:p>
    <w:p w14:paraId="55AAF2F3">
      <w:pPr>
        <w:pStyle w:val="4"/>
        <w:jc w:val="left"/>
        <w:rPr>
          <w:highlight w:val="none"/>
        </w:rPr>
      </w:pPr>
      <w:r>
        <w:rPr>
          <w:rFonts w:ascii="仿宋_GB2312" w:hAnsi="仿宋_GB2312" w:eastAsia="仿宋_GB2312" w:cs="仿宋_GB2312"/>
          <w:sz w:val="24"/>
          <w:highlight w:val="none"/>
        </w:rPr>
        <w:t>▲各类经费统计：系统应支持跨年统计报销业务数据，通过柱状图、折线图等图表方式展现统计结果。</w:t>
      </w:r>
    </w:p>
    <w:p w14:paraId="6AA25233">
      <w:pPr>
        <w:pStyle w:val="4"/>
        <w:jc w:val="left"/>
        <w:rPr>
          <w:highlight w:val="none"/>
        </w:rPr>
      </w:pPr>
      <w:r>
        <w:rPr>
          <w:rFonts w:ascii="仿宋_GB2312" w:hAnsi="仿宋_GB2312" w:eastAsia="仿宋_GB2312" w:cs="仿宋_GB2312"/>
          <w:sz w:val="24"/>
          <w:highlight w:val="none"/>
        </w:rPr>
        <w:t>发票连号统计：统计出发票连号的情况并显示统计的明细。</w:t>
      </w:r>
    </w:p>
    <w:p w14:paraId="58A7ACAE">
      <w:pPr>
        <w:pStyle w:val="4"/>
        <w:jc w:val="left"/>
        <w:rPr>
          <w:highlight w:val="none"/>
        </w:rPr>
      </w:pPr>
      <w:r>
        <w:rPr>
          <w:rFonts w:ascii="仿宋_GB2312" w:hAnsi="仿宋_GB2312" w:eastAsia="仿宋_GB2312" w:cs="仿宋_GB2312"/>
          <w:sz w:val="24"/>
          <w:highlight w:val="none"/>
        </w:rPr>
        <w:t>大额支付记录统计：系统应支持统计每年发票高额的合计张数及明细。</w:t>
      </w:r>
    </w:p>
    <w:p w14:paraId="72426B2A">
      <w:pPr>
        <w:pStyle w:val="4"/>
        <w:jc w:val="left"/>
        <w:rPr>
          <w:highlight w:val="none"/>
        </w:rPr>
      </w:pPr>
      <w:r>
        <w:rPr>
          <w:rFonts w:ascii="仿宋_GB2312" w:hAnsi="仿宋_GB2312" w:eastAsia="仿宋_GB2312" w:cs="仿宋_GB2312"/>
          <w:sz w:val="24"/>
          <w:highlight w:val="none"/>
        </w:rPr>
        <w:t>▲17、系统对接要求：</w:t>
      </w:r>
    </w:p>
    <w:p w14:paraId="7527A28B">
      <w:pPr>
        <w:pStyle w:val="4"/>
        <w:jc w:val="left"/>
        <w:rPr>
          <w:highlight w:val="none"/>
        </w:rPr>
      </w:pPr>
      <w:r>
        <w:rPr>
          <w:rFonts w:ascii="仿宋_GB2312" w:hAnsi="仿宋_GB2312" w:eastAsia="仿宋_GB2312" w:cs="仿宋_GB2312"/>
          <w:sz w:val="24"/>
          <w:highlight w:val="none"/>
        </w:rPr>
        <w:t>系统需与学校现有的账务系统进行对接，或者通过其他方式，实现项目信息的同步(项目属性包括项目负责人、所在部门、余额等)，项目属性需一天更新至少一次；实现凭证自动推送功能；相关费用均包含在本次报价中。</w:t>
      </w:r>
    </w:p>
    <w:p w14:paraId="25F36716">
      <w:pPr>
        <w:pStyle w:val="4"/>
        <w:jc w:val="left"/>
        <w:rPr>
          <w:highlight w:val="none"/>
        </w:rPr>
      </w:pPr>
      <w:r>
        <w:rPr>
          <w:rFonts w:ascii="仿宋_GB2312" w:hAnsi="仿宋_GB2312" w:eastAsia="仿宋_GB2312" w:cs="仿宋_GB2312"/>
          <w:sz w:val="24"/>
          <w:highlight w:val="none"/>
        </w:rPr>
        <w:t>系统需与财务系统或学校数据平台对接，实现人员信息同步，数据需一天至少更新一次。</w:t>
      </w:r>
    </w:p>
    <w:p w14:paraId="2A36F396">
      <w:pPr>
        <w:pStyle w:val="4"/>
        <w:jc w:val="left"/>
        <w:rPr>
          <w:highlight w:val="none"/>
        </w:rPr>
      </w:pPr>
      <w:r>
        <w:rPr>
          <w:rFonts w:ascii="仿宋_GB2312" w:hAnsi="仿宋_GB2312" w:eastAsia="仿宋_GB2312" w:cs="仿宋_GB2312"/>
          <w:sz w:val="24"/>
          <w:highlight w:val="none"/>
        </w:rPr>
        <w:t>系统需要与现用投单机对接，实现报销单自助扫码投递。</w:t>
      </w:r>
    </w:p>
    <w:p w14:paraId="0688A34A">
      <w:pPr>
        <w:pStyle w:val="4"/>
        <w:jc w:val="left"/>
        <w:rPr>
          <w:highlight w:val="none"/>
        </w:rPr>
      </w:pPr>
      <w:r>
        <w:rPr>
          <w:rFonts w:ascii="仿宋_GB2312" w:hAnsi="仿宋_GB2312" w:eastAsia="仿宋_GB2312" w:cs="仿宋_GB2312"/>
          <w:sz w:val="24"/>
          <w:highlight w:val="none"/>
        </w:rPr>
        <w:t>对接要求:财务报账系统之间对接应保证数据规范，互相贯通，口径一致，满足学校管理要求。</w:t>
      </w:r>
    </w:p>
    <w:p w14:paraId="24F61252">
      <w:pPr>
        <w:pStyle w:val="4"/>
        <w:jc w:val="left"/>
        <w:rPr>
          <w:highlight w:val="none"/>
        </w:rPr>
      </w:pPr>
      <w:r>
        <w:rPr>
          <w:rFonts w:ascii="仿宋_GB2312" w:hAnsi="仿宋_GB2312" w:eastAsia="仿宋_GB2312" w:cs="仿宋_GB2312"/>
          <w:sz w:val="24"/>
          <w:highlight w:val="none"/>
        </w:rPr>
        <w:t>18、审批功能：</w:t>
      </w:r>
    </w:p>
    <w:p w14:paraId="4346FEC2">
      <w:pPr>
        <w:pStyle w:val="4"/>
        <w:jc w:val="left"/>
        <w:rPr>
          <w:highlight w:val="none"/>
        </w:rPr>
      </w:pPr>
      <w:r>
        <w:rPr>
          <w:rFonts w:ascii="仿宋_GB2312" w:hAnsi="仿宋_GB2312" w:eastAsia="仿宋_GB2312" w:cs="仿宋_GB2312"/>
          <w:sz w:val="24"/>
          <w:highlight w:val="none"/>
        </w:rPr>
        <w:t>（1）系统应分为PC端和移动端两个部分，PC端为B/S架构，可使用浏览器登录；移动端支持市面所有移动端操作系统，支持微信公众号、企业微信内嵌。</w:t>
      </w:r>
    </w:p>
    <w:p w14:paraId="510C4FD8">
      <w:pPr>
        <w:pStyle w:val="4"/>
        <w:jc w:val="left"/>
        <w:rPr>
          <w:highlight w:val="none"/>
        </w:rPr>
      </w:pPr>
      <w:r>
        <w:rPr>
          <w:rFonts w:ascii="仿宋_GB2312" w:hAnsi="仿宋_GB2312" w:eastAsia="仿宋_GB2312" w:cs="仿宋_GB2312"/>
          <w:sz w:val="24"/>
          <w:highlight w:val="none"/>
        </w:rPr>
        <w:t>▲（2）PC端和移动端均应提供附件查看功能，可根据附件查看原始单据的情况来辅助审批过程。</w:t>
      </w:r>
    </w:p>
    <w:p w14:paraId="00594806">
      <w:pPr>
        <w:pStyle w:val="4"/>
        <w:jc w:val="left"/>
        <w:rPr>
          <w:highlight w:val="none"/>
        </w:rPr>
      </w:pPr>
      <w:r>
        <w:rPr>
          <w:rFonts w:ascii="仿宋_GB2312" w:hAnsi="仿宋_GB2312" w:eastAsia="仿宋_GB2312" w:cs="仿宋_GB2312"/>
          <w:sz w:val="24"/>
          <w:highlight w:val="none"/>
        </w:rPr>
        <w:t>（3）系统应支持自定义审批流程。</w:t>
      </w:r>
    </w:p>
    <w:p w14:paraId="196742A0">
      <w:pPr>
        <w:pStyle w:val="4"/>
        <w:jc w:val="left"/>
        <w:rPr>
          <w:highlight w:val="none"/>
        </w:rPr>
      </w:pPr>
      <w:r>
        <w:rPr>
          <w:rFonts w:ascii="仿宋_GB2312" w:hAnsi="仿宋_GB2312" w:eastAsia="仿宋_GB2312" w:cs="仿宋_GB2312"/>
          <w:sz w:val="24"/>
          <w:highlight w:val="none"/>
        </w:rPr>
        <w:t>（4）审批业务应支持盖章、签字、图片浏览、附件查询、通过、驳回功能。</w:t>
      </w:r>
    </w:p>
    <w:p w14:paraId="047796CC">
      <w:pPr>
        <w:pStyle w:val="4"/>
        <w:jc w:val="left"/>
        <w:rPr>
          <w:highlight w:val="none"/>
        </w:rPr>
      </w:pPr>
      <w:r>
        <w:rPr>
          <w:rFonts w:ascii="仿宋_GB2312" w:hAnsi="仿宋_GB2312" w:eastAsia="仿宋_GB2312" w:cs="仿宋_GB2312"/>
          <w:sz w:val="24"/>
          <w:highlight w:val="none"/>
        </w:rPr>
        <w:t>（5）支持财务预审功能，可以根据财务预审角色及流程条件，判断是否可以修改网报单据。（摘要，金额，经济分类、附件)</w:t>
      </w:r>
    </w:p>
    <w:p w14:paraId="70411FEE">
      <w:pPr>
        <w:pStyle w:val="4"/>
        <w:jc w:val="left"/>
        <w:rPr>
          <w:highlight w:val="none"/>
        </w:rPr>
      </w:pPr>
      <w:r>
        <w:rPr>
          <w:rFonts w:ascii="仿宋_GB2312" w:hAnsi="仿宋_GB2312" w:eastAsia="仿宋_GB2312" w:cs="仿宋_GB2312"/>
          <w:sz w:val="24"/>
          <w:highlight w:val="none"/>
        </w:rPr>
        <w:t>（6）支持审批流程回避规则。</w:t>
      </w:r>
    </w:p>
    <w:p w14:paraId="7A6216CB">
      <w:pPr>
        <w:pStyle w:val="4"/>
        <w:jc w:val="left"/>
        <w:rPr>
          <w:highlight w:val="none"/>
        </w:rPr>
      </w:pPr>
      <w:r>
        <w:rPr>
          <w:rFonts w:ascii="仿宋_GB2312" w:hAnsi="仿宋_GB2312" w:eastAsia="仿宋_GB2312" w:cs="仿宋_GB2312"/>
          <w:sz w:val="24"/>
          <w:highlight w:val="none"/>
        </w:rPr>
        <w:t>（7）支持一定的单据查询、统计功能。如按照时间、模块、业务、状态等条件进行分类查询。</w:t>
      </w:r>
    </w:p>
    <w:p w14:paraId="3C109053">
      <w:pPr>
        <w:pStyle w:val="4"/>
        <w:jc w:val="left"/>
        <w:rPr>
          <w:highlight w:val="none"/>
        </w:rPr>
      </w:pPr>
      <w:r>
        <w:rPr>
          <w:rFonts w:ascii="仿宋_GB2312" w:hAnsi="仿宋_GB2312" w:eastAsia="仿宋_GB2312" w:cs="仿宋_GB2312"/>
          <w:sz w:val="24"/>
          <w:highlight w:val="none"/>
        </w:rPr>
        <w:t>（8）支持事项申请功能。可以通过配置完成简单的事项申请界面搭建，完成事项申请的提交、审批。</w:t>
      </w:r>
    </w:p>
    <w:p w14:paraId="4214EF1B">
      <w:pPr>
        <w:pStyle w:val="4"/>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（9）审批流程应支持新增项目根据流程预置的规则自动匹配审批流程。</w:t>
      </w:r>
    </w:p>
    <w:p w14:paraId="0F1B76B2">
      <w:pPr>
        <w:pStyle w:val="4"/>
        <w:jc w:val="left"/>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10</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审批系统支持智能报销、申报、采购、差旅单据审批</w:t>
      </w:r>
    </w:p>
    <w:p w14:paraId="07686C53">
      <w:pPr>
        <w:pStyle w:val="4"/>
        <w:jc w:val="left"/>
        <w:rPr>
          <w:highlight w:val="none"/>
        </w:rPr>
      </w:pPr>
      <w:r>
        <w:rPr>
          <w:rFonts w:ascii="仿宋_GB2312" w:hAnsi="仿宋_GB2312" w:eastAsia="仿宋_GB2312" w:cs="仿宋_GB2312"/>
          <w:sz w:val="24"/>
          <w:highlight w:val="none"/>
        </w:rPr>
        <w:t>19、网上预约报账系统升级改造：</w:t>
      </w:r>
    </w:p>
    <w:p w14:paraId="6BF143B0">
      <w:pPr>
        <w:pStyle w:val="4"/>
        <w:jc w:val="left"/>
        <w:rPr>
          <w:highlight w:val="none"/>
        </w:rPr>
      </w:pPr>
      <w:r>
        <w:rPr>
          <w:rFonts w:ascii="仿宋_GB2312" w:hAnsi="仿宋_GB2312" w:eastAsia="仿宋_GB2312" w:cs="仿宋_GB2312"/>
          <w:sz w:val="24"/>
          <w:highlight w:val="none"/>
        </w:rPr>
        <w:t>需支持与原网报系统和财务系统无缝对接，无需做特殊调整。</w:t>
      </w:r>
    </w:p>
    <w:p w14:paraId="3DCB8F4F">
      <w:pPr>
        <w:pStyle w:val="4"/>
        <w:jc w:val="left"/>
        <w:rPr>
          <w:highlight w:val="none"/>
        </w:rPr>
      </w:pPr>
      <w:r>
        <w:rPr>
          <w:rFonts w:ascii="仿宋_GB2312" w:hAnsi="仿宋_GB2312" w:eastAsia="仿宋_GB2312" w:cs="仿宋_GB2312"/>
          <w:sz w:val="24"/>
          <w:highlight w:val="none"/>
        </w:rPr>
        <w:t>（1）日常报销</w:t>
      </w:r>
    </w:p>
    <w:p w14:paraId="20906EDB">
      <w:pPr>
        <w:pStyle w:val="4"/>
        <w:jc w:val="left"/>
        <w:rPr>
          <w:highlight w:val="none"/>
        </w:rPr>
      </w:pPr>
      <w:r>
        <w:rPr>
          <w:rFonts w:ascii="仿宋_GB2312" w:hAnsi="仿宋_GB2312" w:eastAsia="仿宋_GB2312" w:cs="仿宋_GB2312"/>
          <w:sz w:val="24"/>
          <w:highlight w:val="none"/>
        </w:rPr>
        <w:t>▲需支持“多项目报销”，即一张报销单可以使用多个项目报销。</w:t>
      </w:r>
    </w:p>
    <w:p w14:paraId="19E2D77C">
      <w:pPr>
        <w:pStyle w:val="4"/>
        <w:jc w:val="left"/>
        <w:rPr>
          <w:highlight w:val="none"/>
        </w:rPr>
      </w:pPr>
      <w:r>
        <w:rPr>
          <w:rFonts w:ascii="仿宋_GB2312" w:hAnsi="仿宋_GB2312" w:eastAsia="仿宋_GB2312" w:cs="仿宋_GB2312"/>
          <w:sz w:val="24"/>
          <w:highlight w:val="none"/>
        </w:rPr>
        <w:t>需支持优化显示，列表中“项目”、“关键字或者摘要”、“描述”、“报销要点”等栏均可以设为“不显示”，表格整体宽度可调整。</w:t>
      </w:r>
    </w:p>
    <w:p w14:paraId="12618009">
      <w:pPr>
        <w:pStyle w:val="4"/>
        <w:jc w:val="left"/>
        <w:rPr>
          <w:highlight w:val="none"/>
        </w:rPr>
      </w:pPr>
      <w:r>
        <w:rPr>
          <w:rFonts w:ascii="仿宋_GB2312" w:hAnsi="仿宋_GB2312" w:eastAsia="仿宋_GB2312" w:cs="仿宋_GB2312"/>
          <w:sz w:val="24"/>
          <w:highlight w:val="none"/>
        </w:rPr>
        <w:t>需支持业务内容更细化，有些报销栏目（经济科目）可以录入更明细的信息，比如合同、招待费、会议费等，旨在提供一个更细化的报销录入场景，具体如下：</w:t>
      </w:r>
    </w:p>
    <w:p w14:paraId="1DB7C73B">
      <w:pPr>
        <w:pStyle w:val="4"/>
        <w:jc w:val="left"/>
        <w:rPr>
          <w:highlight w:val="none"/>
        </w:rPr>
      </w:pPr>
      <w:r>
        <w:rPr>
          <w:rFonts w:ascii="仿宋_GB2312" w:hAnsi="仿宋_GB2312" w:eastAsia="仿宋_GB2312" w:cs="仿宋_GB2312"/>
          <w:sz w:val="24"/>
          <w:highlight w:val="none"/>
        </w:rPr>
        <w:t>合同—需要支持录入合同基本信息。</w:t>
      </w:r>
    </w:p>
    <w:p w14:paraId="5422BA12">
      <w:pPr>
        <w:pStyle w:val="4"/>
        <w:jc w:val="left"/>
        <w:rPr>
          <w:highlight w:val="none"/>
        </w:rPr>
      </w:pPr>
      <w:r>
        <w:rPr>
          <w:rFonts w:ascii="仿宋_GB2312" w:hAnsi="仿宋_GB2312" w:eastAsia="仿宋_GB2312" w:cs="仿宋_GB2312"/>
          <w:sz w:val="24"/>
          <w:highlight w:val="none"/>
        </w:rPr>
        <w:t>招待费—如果报销招待费，可以支持录入详细信息，比如接待单位、人员、时间地点等等，这些信息可打印在报销单上</w:t>
      </w:r>
    </w:p>
    <w:p w14:paraId="0915C8AA">
      <w:pPr>
        <w:pStyle w:val="4"/>
        <w:jc w:val="left"/>
        <w:rPr>
          <w:highlight w:val="none"/>
        </w:rPr>
      </w:pPr>
      <w:r>
        <w:rPr>
          <w:rFonts w:ascii="仿宋_GB2312" w:hAnsi="仿宋_GB2312" w:eastAsia="仿宋_GB2312" w:cs="仿宋_GB2312"/>
          <w:sz w:val="24"/>
          <w:highlight w:val="none"/>
        </w:rPr>
        <w:t>会议费—需要支持会议费报销的详细情况录入，这些信息打印在报销单上</w:t>
      </w:r>
    </w:p>
    <w:p w14:paraId="6ADA0585">
      <w:pPr>
        <w:pStyle w:val="4"/>
        <w:jc w:val="left"/>
        <w:rPr>
          <w:highlight w:val="none"/>
        </w:rPr>
      </w:pPr>
      <w:r>
        <w:rPr>
          <w:rFonts w:ascii="仿宋_GB2312" w:hAnsi="仿宋_GB2312" w:eastAsia="仿宋_GB2312" w:cs="仿宋_GB2312"/>
          <w:sz w:val="24"/>
          <w:highlight w:val="none"/>
        </w:rPr>
        <w:t>培训费—需要支持培训费报销的详细情况录入，这些信息打印在报销单上</w:t>
      </w:r>
    </w:p>
    <w:p w14:paraId="4D0B88E9">
      <w:pPr>
        <w:pStyle w:val="4"/>
        <w:jc w:val="left"/>
        <w:rPr>
          <w:highlight w:val="none"/>
        </w:rPr>
      </w:pPr>
      <w:r>
        <w:rPr>
          <w:rFonts w:ascii="仿宋_GB2312" w:hAnsi="仿宋_GB2312" w:eastAsia="仿宋_GB2312" w:cs="仿宋_GB2312"/>
          <w:sz w:val="24"/>
          <w:highlight w:val="none"/>
        </w:rPr>
        <w:t>▲市内交通费—如果是报市内交通（比如打车费），可录入更详细的信息，比如时间、起止地点、事由、票面金额等，这些信息打印在报销单上以便会计监督</w:t>
      </w:r>
    </w:p>
    <w:p w14:paraId="10F54259">
      <w:pPr>
        <w:pStyle w:val="4"/>
        <w:jc w:val="left"/>
        <w:rPr>
          <w:highlight w:val="none"/>
        </w:rPr>
      </w:pPr>
      <w:r>
        <w:rPr>
          <w:rFonts w:ascii="仿宋_GB2312" w:hAnsi="仿宋_GB2312" w:eastAsia="仿宋_GB2312" w:cs="仿宋_GB2312"/>
          <w:sz w:val="24"/>
          <w:highlight w:val="none"/>
        </w:rPr>
        <w:t>需要支持填写“报销事由”。报销事由与生成凭证的摘要无关，但会打印在报销单上给会计看</w:t>
      </w:r>
    </w:p>
    <w:p w14:paraId="721D89CE">
      <w:pPr>
        <w:pStyle w:val="4"/>
        <w:jc w:val="left"/>
        <w:rPr>
          <w:highlight w:val="none"/>
        </w:rPr>
      </w:pPr>
      <w:r>
        <w:rPr>
          <w:rFonts w:ascii="仿宋_GB2312" w:hAnsi="仿宋_GB2312" w:eastAsia="仿宋_GB2312" w:cs="仿宋_GB2312"/>
          <w:sz w:val="24"/>
          <w:highlight w:val="none"/>
        </w:rPr>
        <w:t>需要支持控制是否“一事一单”。即一张报销单只能填报一笔报销业务，还是允许填报多笔。</w:t>
      </w:r>
    </w:p>
    <w:p w14:paraId="3B16B7AB">
      <w:pPr>
        <w:pStyle w:val="4"/>
        <w:jc w:val="left"/>
        <w:rPr>
          <w:highlight w:val="none"/>
        </w:rPr>
      </w:pPr>
      <w:r>
        <w:rPr>
          <w:rFonts w:ascii="仿宋_GB2312" w:hAnsi="仿宋_GB2312" w:eastAsia="仿宋_GB2312" w:cs="仿宋_GB2312"/>
          <w:sz w:val="24"/>
          <w:highlight w:val="none"/>
        </w:rPr>
        <w:t>需要支持是单笔对私，如果当事人有多张银行卡，系统可控制哪几张银行卡用于网报，哪些银行卡在网报中隐藏</w:t>
      </w:r>
    </w:p>
    <w:p w14:paraId="5FEDA870">
      <w:pPr>
        <w:pStyle w:val="4"/>
        <w:jc w:val="left"/>
        <w:rPr>
          <w:highlight w:val="none"/>
        </w:rPr>
      </w:pPr>
      <w:r>
        <w:rPr>
          <w:rFonts w:ascii="仿宋_GB2312" w:hAnsi="仿宋_GB2312" w:eastAsia="仿宋_GB2312" w:cs="仿宋_GB2312"/>
          <w:sz w:val="24"/>
          <w:highlight w:val="none"/>
        </w:rPr>
        <w:t>需要支持控制混合支付方式。比如一张报销单上：对公/对私不能同时出现；不能同时存在多笔对公等</w:t>
      </w:r>
    </w:p>
    <w:p w14:paraId="713226FA">
      <w:pPr>
        <w:pStyle w:val="4"/>
        <w:jc w:val="left"/>
        <w:rPr>
          <w:highlight w:val="none"/>
        </w:rPr>
      </w:pPr>
      <w:r>
        <w:rPr>
          <w:rFonts w:ascii="仿宋_GB2312" w:hAnsi="仿宋_GB2312" w:eastAsia="仿宋_GB2312" w:cs="仿宋_GB2312"/>
          <w:sz w:val="24"/>
          <w:highlight w:val="none"/>
        </w:rPr>
        <w:t>需要支持冲借款控制：只出本次报销项目的借款；或者报销人本人项目、授权的项目借款明细都出来</w:t>
      </w:r>
    </w:p>
    <w:p w14:paraId="77E880F2">
      <w:pPr>
        <w:pStyle w:val="4"/>
        <w:jc w:val="left"/>
        <w:rPr>
          <w:highlight w:val="none"/>
        </w:rPr>
      </w:pPr>
      <w:r>
        <w:rPr>
          <w:rFonts w:ascii="仿宋_GB2312" w:hAnsi="仿宋_GB2312" w:eastAsia="仿宋_GB2312" w:cs="仿宋_GB2312"/>
          <w:sz w:val="24"/>
          <w:highlight w:val="none"/>
        </w:rPr>
        <w:t>需要支持控制单笔对私时，是否进行卡号校验</w:t>
      </w:r>
    </w:p>
    <w:p w14:paraId="06ED7804">
      <w:pPr>
        <w:pStyle w:val="4"/>
        <w:jc w:val="left"/>
        <w:rPr>
          <w:highlight w:val="none"/>
        </w:rPr>
      </w:pPr>
      <w:r>
        <w:rPr>
          <w:rFonts w:ascii="仿宋_GB2312" w:hAnsi="仿宋_GB2312" w:eastAsia="仿宋_GB2312" w:cs="仿宋_GB2312"/>
          <w:sz w:val="24"/>
          <w:highlight w:val="none"/>
        </w:rPr>
        <w:t>需要支持开通借款提示功能，当进入支付页面后，如果该项目或者报销人有借款，则出现提示，报销人可以关闭。这是强化报销人还有借款，是否要先冲借款。</w:t>
      </w:r>
    </w:p>
    <w:p w14:paraId="726963CA">
      <w:pPr>
        <w:pStyle w:val="4"/>
        <w:jc w:val="left"/>
        <w:rPr>
          <w:highlight w:val="none"/>
        </w:rPr>
      </w:pPr>
      <w:r>
        <w:rPr>
          <w:rFonts w:ascii="仿宋_GB2312" w:hAnsi="仿宋_GB2312" w:eastAsia="仿宋_GB2312" w:cs="仿宋_GB2312"/>
          <w:sz w:val="24"/>
          <w:highlight w:val="none"/>
        </w:rPr>
        <w:t>需要支持在支付页面上，学校可以定义提示文字。</w:t>
      </w:r>
    </w:p>
    <w:p w14:paraId="106079A7">
      <w:pPr>
        <w:pStyle w:val="4"/>
        <w:jc w:val="left"/>
        <w:rPr>
          <w:highlight w:val="none"/>
        </w:rPr>
      </w:pPr>
      <w:r>
        <w:rPr>
          <w:rFonts w:ascii="仿宋_GB2312" w:hAnsi="仿宋_GB2312" w:eastAsia="仿宋_GB2312" w:cs="仿宋_GB2312"/>
          <w:sz w:val="24"/>
          <w:highlight w:val="none"/>
        </w:rPr>
        <w:t>需要支持在支付页面上报销人可以书写报销说明。</w:t>
      </w:r>
    </w:p>
    <w:p w14:paraId="27141F82">
      <w:pPr>
        <w:pStyle w:val="4"/>
        <w:jc w:val="left"/>
        <w:rPr>
          <w:highlight w:val="none"/>
        </w:rPr>
      </w:pPr>
      <w:r>
        <w:rPr>
          <w:rFonts w:ascii="仿宋_GB2312" w:hAnsi="仿宋_GB2312" w:eastAsia="仿宋_GB2312" w:cs="仿宋_GB2312"/>
          <w:sz w:val="24"/>
          <w:highlight w:val="none"/>
        </w:rPr>
        <w:t>（2）国内差旅报销</w:t>
      </w:r>
    </w:p>
    <w:p w14:paraId="57AF2CB9">
      <w:pPr>
        <w:pStyle w:val="4"/>
        <w:jc w:val="left"/>
        <w:rPr>
          <w:highlight w:val="none"/>
        </w:rPr>
      </w:pPr>
      <w:r>
        <w:rPr>
          <w:rFonts w:ascii="仿宋_GB2312" w:hAnsi="仿宋_GB2312" w:eastAsia="仿宋_GB2312" w:cs="仿宋_GB2312"/>
          <w:sz w:val="24"/>
          <w:highlight w:val="none"/>
        </w:rPr>
        <w:t>国内差旅报销支持多项目分摊。在报销差旅费时，如果由多个项目分摊。</w:t>
      </w:r>
    </w:p>
    <w:p w14:paraId="087FDBF0">
      <w:pPr>
        <w:pStyle w:val="4"/>
        <w:jc w:val="left"/>
        <w:rPr>
          <w:highlight w:val="none"/>
        </w:rPr>
      </w:pPr>
      <w:r>
        <w:rPr>
          <w:rFonts w:ascii="仿宋_GB2312" w:hAnsi="仿宋_GB2312" w:eastAsia="仿宋_GB2312" w:cs="仿宋_GB2312"/>
          <w:sz w:val="24"/>
          <w:highlight w:val="none"/>
        </w:rPr>
        <w:t>需要支持页面上增加以下要素</w:t>
      </w:r>
    </w:p>
    <w:p w14:paraId="500488B3">
      <w:pPr>
        <w:pStyle w:val="4"/>
        <w:jc w:val="left"/>
        <w:rPr>
          <w:highlight w:val="none"/>
        </w:rPr>
      </w:pPr>
      <w:r>
        <w:rPr>
          <w:rFonts w:ascii="仿宋_GB2312" w:hAnsi="仿宋_GB2312" w:eastAsia="仿宋_GB2312" w:cs="仿宋_GB2312"/>
          <w:sz w:val="24"/>
          <w:highlight w:val="none"/>
        </w:rPr>
        <w:t>差旅性质—需要在页面的上方可出现下拉框，包括差旅、会议、培训、专家来方等，可打印在报销单上，进一步明确差旅报销的性质，或者对应不同的经济分类科目</w:t>
      </w:r>
    </w:p>
    <w:p w14:paraId="37376BEB">
      <w:pPr>
        <w:pStyle w:val="4"/>
        <w:jc w:val="left"/>
        <w:rPr>
          <w:highlight w:val="none"/>
        </w:rPr>
      </w:pPr>
      <w:r>
        <w:rPr>
          <w:rFonts w:ascii="仿宋_GB2312" w:hAnsi="仿宋_GB2312" w:eastAsia="仿宋_GB2312" w:cs="仿宋_GB2312"/>
          <w:sz w:val="24"/>
          <w:highlight w:val="none"/>
        </w:rPr>
        <w:t>差旅类型—如果性质选”差旅“，则还可以呈现一个下拉选框，选择是” 公务出差“还是”业务出差“，打印在报销单上，与科目无关，做审核时会计要看</w:t>
      </w:r>
    </w:p>
    <w:p w14:paraId="48B3E88A">
      <w:pPr>
        <w:pStyle w:val="4"/>
        <w:jc w:val="left"/>
        <w:rPr>
          <w:highlight w:val="none"/>
        </w:rPr>
      </w:pPr>
      <w:r>
        <w:rPr>
          <w:rFonts w:ascii="仿宋_GB2312" w:hAnsi="仿宋_GB2312" w:eastAsia="仿宋_GB2312" w:cs="仿宋_GB2312"/>
          <w:sz w:val="24"/>
          <w:highlight w:val="none"/>
        </w:rPr>
        <w:t>是否要补贴—下拉选”要“或”不要“。如选不要，则页面下方的“交通补贴”、“伙食补贴”两行不需填写；如果选要，则两项补贴系统会根据前面提供的信息自动计算（人数、天数，再乘以标准），报销人也可以修改金额。注意：“是否补贴”信息可以打印在报销单上</w:t>
      </w:r>
    </w:p>
    <w:p w14:paraId="3C04903B">
      <w:pPr>
        <w:pStyle w:val="4"/>
        <w:jc w:val="left"/>
        <w:rPr>
          <w:highlight w:val="none"/>
        </w:rPr>
      </w:pPr>
      <w:r>
        <w:rPr>
          <w:rFonts w:ascii="仿宋_GB2312" w:hAnsi="仿宋_GB2312" w:eastAsia="仿宋_GB2312" w:cs="仿宋_GB2312"/>
          <w:sz w:val="24"/>
          <w:highlight w:val="none"/>
        </w:rPr>
        <w:t>住宿费是否包干—拉选”是“或”不是“。如选不是，则页面下方的“住宿费”需手工填写，或按标准自动生成；如果选“是”，则系统按每天住宿费标准乘以天数自动计算。注意：住宿费包干政策一般要和项目大类挂钩，比如科研项目等，可以在后台指定。注意：”是否包干“信息可打印在报销单上</w:t>
      </w:r>
    </w:p>
    <w:p w14:paraId="60D3F210">
      <w:pPr>
        <w:pStyle w:val="4"/>
        <w:jc w:val="left"/>
        <w:rPr>
          <w:highlight w:val="none"/>
        </w:rPr>
      </w:pPr>
      <w:r>
        <w:rPr>
          <w:rFonts w:ascii="仿宋_GB2312" w:hAnsi="仿宋_GB2312" w:eastAsia="仿宋_GB2312" w:cs="仿宋_GB2312"/>
          <w:sz w:val="24"/>
          <w:highlight w:val="none"/>
        </w:rPr>
        <w:t>对于交通费，需要支持可通过参数控制是否要求录入”行程单“，便于会计审核时考察闭环。在录入行程单时  是否可以选择票别，飞机、火车、轮船一般才分“票别”</w:t>
      </w:r>
    </w:p>
    <w:p w14:paraId="63D15529">
      <w:pPr>
        <w:pStyle w:val="4"/>
        <w:jc w:val="left"/>
        <w:rPr>
          <w:highlight w:val="none"/>
        </w:rPr>
      </w:pPr>
      <w:r>
        <w:rPr>
          <w:rFonts w:ascii="仿宋_GB2312" w:hAnsi="仿宋_GB2312" w:eastAsia="仿宋_GB2312" w:cs="仿宋_GB2312"/>
          <w:sz w:val="24"/>
          <w:highlight w:val="none"/>
        </w:rPr>
        <w:t>出差人员的填写需要支持两种方式：1是自由录入，但有字数限制；2是列表录入，可以录入很多人，包括工号、姓名、职称等；3、依据出差人住宿信息汇总</w:t>
      </w:r>
    </w:p>
    <w:p w14:paraId="5BB52099">
      <w:pPr>
        <w:pStyle w:val="4"/>
        <w:jc w:val="left"/>
        <w:rPr>
          <w:highlight w:val="none"/>
        </w:rPr>
      </w:pPr>
      <w:r>
        <w:rPr>
          <w:rFonts w:ascii="仿宋_GB2312" w:hAnsi="仿宋_GB2312" w:eastAsia="仿宋_GB2312" w:cs="仿宋_GB2312"/>
          <w:sz w:val="24"/>
          <w:highlight w:val="none"/>
        </w:rPr>
        <w:t>需要支持出差地点的控制，主要是住宿费，住宿费是否可以超标，可控。</w:t>
      </w:r>
    </w:p>
    <w:p w14:paraId="025A6779">
      <w:pPr>
        <w:pStyle w:val="4"/>
        <w:jc w:val="left"/>
        <w:rPr>
          <w:highlight w:val="none"/>
        </w:rPr>
      </w:pPr>
      <w:r>
        <w:rPr>
          <w:rFonts w:ascii="仿宋_GB2312" w:hAnsi="仿宋_GB2312" w:eastAsia="仿宋_GB2312" w:cs="仿宋_GB2312"/>
          <w:sz w:val="24"/>
          <w:highlight w:val="none"/>
        </w:rPr>
        <w:t>需要支持住宿费报销是否能跨年，可控。</w:t>
      </w:r>
    </w:p>
    <w:p w14:paraId="4498E9A7">
      <w:pPr>
        <w:pStyle w:val="4"/>
        <w:jc w:val="left"/>
        <w:rPr>
          <w:highlight w:val="none"/>
        </w:rPr>
      </w:pPr>
      <w:r>
        <w:rPr>
          <w:rFonts w:ascii="仿宋_GB2312" w:hAnsi="仿宋_GB2312" w:eastAsia="仿宋_GB2312" w:cs="仿宋_GB2312"/>
          <w:sz w:val="24"/>
          <w:highlight w:val="none"/>
        </w:rPr>
        <w:t>需要支持“差旅补贴”业务分录单独生成，它的部门、项目、科目都可以单独定义</w:t>
      </w:r>
    </w:p>
    <w:p w14:paraId="4A2958BB">
      <w:pPr>
        <w:pStyle w:val="4"/>
        <w:jc w:val="left"/>
        <w:rPr>
          <w:highlight w:val="none"/>
        </w:rPr>
      </w:pPr>
      <w:r>
        <w:rPr>
          <w:rFonts w:ascii="仿宋_GB2312" w:hAnsi="仿宋_GB2312" w:eastAsia="仿宋_GB2312" w:cs="仿宋_GB2312"/>
          <w:sz w:val="24"/>
          <w:highlight w:val="none"/>
        </w:rPr>
        <w:t>（3）借款</w:t>
      </w:r>
    </w:p>
    <w:p w14:paraId="1ACBD849">
      <w:pPr>
        <w:pStyle w:val="4"/>
        <w:jc w:val="left"/>
        <w:rPr>
          <w:highlight w:val="none"/>
        </w:rPr>
      </w:pPr>
      <w:r>
        <w:rPr>
          <w:rFonts w:ascii="仿宋_GB2312" w:hAnsi="仿宋_GB2312" w:eastAsia="仿宋_GB2312" w:cs="仿宋_GB2312"/>
          <w:sz w:val="24"/>
          <w:highlight w:val="none"/>
        </w:rPr>
        <w:t>借款需要支持多项目分摊</w:t>
      </w:r>
    </w:p>
    <w:p w14:paraId="77FC054C">
      <w:pPr>
        <w:pStyle w:val="4"/>
        <w:jc w:val="left"/>
        <w:rPr>
          <w:highlight w:val="none"/>
        </w:rPr>
      </w:pPr>
      <w:r>
        <w:rPr>
          <w:rFonts w:ascii="仿宋_GB2312" w:hAnsi="仿宋_GB2312" w:eastAsia="仿宋_GB2312" w:cs="仿宋_GB2312"/>
          <w:sz w:val="24"/>
          <w:highlight w:val="none"/>
        </w:rPr>
        <w:t>需要支持借款责任人</w:t>
      </w:r>
    </w:p>
    <w:p w14:paraId="0270B762">
      <w:pPr>
        <w:pStyle w:val="4"/>
        <w:jc w:val="left"/>
        <w:rPr>
          <w:highlight w:val="none"/>
        </w:rPr>
      </w:pPr>
      <w:r>
        <w:rPr>
          <w:rFonts w:ascii="仿宋_GB2312" w:hAnsi="仿宋_GB2312" w:eastAsia="仿宋_GB2312" w:cs="仿宋_GB2312"/>
          <w:sz w:val="24"/>
          <w:highlight w:val="none"/>
        </w:rPr>
        <w:t>▲需要支持借款次数的控制。</w:t>
      </w:r>
    </w:p>
    <w:p w14:paraId="1A64552A">
      <w:pPr>
        <w:pStyle w:val="4"/>
        <w:jc w:val="left"/>
        <w:rPr>
          <w:highlight w:val="none"/>
        </w:rPr>
      </w:pPr>
      <w:r>
        <w:rPr>
          <w:rFonts w:ascii="仿宋_GB2312" w:hAnsi="仿宋_GB2312" w:eastAsia="仿宋_GB2312" w:cs="仿宋_GB2312"/>
          <w:sz w:val="24"/>
          <w:highlight w:val="none"/>
        </w:rPr>
        <w:t>需要支持借款的类型</w:t>
      </w:r>
    </w:p>
    <w:p w14:paraId="3B4C290D">
      <w:pPr>
        <w:pStyle w:val="4"/>
        <w:jc w:val="left"/>
        <w:rPr>
          <w:highlight w:val="none"/>
        </w:rPr>
      </w:pPr>
      <w:r>
        <w:rPr>
          <w:rFonts w:ascii="仿宋_GB2312" w:hAnsi="仿宋_GB2312" w:eastAsia="仿宋_GB2312" w:cs="仿宋_GB2312"/>
          <w:sz w:val="24"/>
          <w:highlight w:val="none"/>
        </w:rPr>
        <w:t>需要支持借款的填写</w:t>
      </w:r>
    </w:p>
    <w:p w14:paraId="13EF2E0E">
      <w:pPr>
        <w:pStyle w:val="4"/>
        <w:jc w:val="left"/>
        <w:rPr>
          <w:highlight w:val="none"/>
        </w:rPr>
      </w:pPr>
      <w:r>
        <w:rPr>
          <w:rFonts w:ascii="仿宋_GB2312" w:hAnsi="仿宋_GB2312" w:eastAsia="仿宋_GB2312" w:cs="仿宋_GB2312"/>
          <w:sz w:val="24"/>
          <w:highlight w:val="none"/>
        </w:rPr>
        <w:t>需要支持预冲账日期</w:t>
      </w:r>
    </w:p>
    <w:p w14:paraId="00CA7C61">
      <w:pPr>
        <w:pStyle w:val="4"/>
        <w:jc w:val="left"/>
        <w:rPr>
          <w:highlight w:val="none"/>
        </w:rPr>
      </w:pPr>
      <w:r>
        <w:rPr>
          <w:rFonts w:ascii="仿宋_GB2312" w:hAnsi="仿宋_GB2312" w:eastAsia="仿宋_GB2312" w:cs="仿宋_GB2312"/>
          <w:sz w:val="24"/>
          <w:highlight w:val="none"/>
        </w:rPr>
        <w:t>（4）资产报销业务</w:t>
      </w:r>
    </w:p>
    <w:p w14:paraId="330DF644">
      <w:pPr>
        <w:pStyle w:val="4"/>
        <w:jc w:val="left"/>
        <w:rPr>
          <w:highlight w:val="none"/>
        </w:rPr>
      </w:pPr>
      <w:r>
        <w:rPr>
          <w:rFonts w:ascii="仿宋_GB2312" w:hAnsi="仿宋_GB2312" w:eastAsia="仿宋_GB2312" w:cs="仿宋_GB2312"/>
          <w:sz w:val="24"/>
          <w:highlight w:val="none"/>
        </w:rPr>
        <w:t xml:space="preserve"> 需要支持与国资系统对接，需要支持多单合一报销以及一张发票拆分报销。</w:t>
      </w:r>
    </w:p>
    <w:p w14:paraId="02E05018">
      <w:pPr>
        <w:pStyle w:val="4"/>
        <w:jc w:val="left"/>
        <w:rPr>
          <w:highlight w:val="none"/>
        </w:rPr>
      </w:pPr>
      <w:r>
        <w:rPr>
          <w:rFonts w:ascii="仿宋_GB2312" w:hAnsi="仿宋_GB2312" w:eastAsia="仿宋_GB2312" w:cs="仿宋_GB2312"/>
          <w:sz w:val="24"/>
          <w:highlight w:val="none"/>
        </w:rPr>
        <w:t>（5）发票夹</w:t>
      </w:r>
    </w:p>
    <w:p w14:paraId="41C45711">
      <w:pPr>
        <w:pStyle w:val="4"/>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发票夹用于日常管理发票，把需要报销的发票在此维护，在智能报销模块便可提取。发票还可以授权给其他人报销。</w:t>
      </w:r>
    </w:p>
    <w:p w14:paraId="1C9F8D7B">
      <w:pPr>
        <w:pStyle w:val="4"/>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单据物流</w:t>
      </w:r>
    </w:p>
    <w:p w14:paraId="01888639">
      <w:pPr>
        <w:rPr>
          <w:highlight w:val="none"/>
        </w:rPr>
      </w:pPr>
      <w:r>
        <w:rPr>
          <w:rFonts w:hint="eastAsia" w:ascii="仿宋_GB2312" w:hAnsi="仿宋_GB2312" w:eastAsia="仿宋_GB2312" w:cs="仿宋_GB2312"/>
          <w:sz w:val="24"/>
          <w:highlight w:val="none"/>
          <w:lang w:val="en-US" w:eastAsia="zh-CN"/>
        </w:rPr>
        <w:t>单据物流需体现完整业务流转，提交单据-审批-投递-接单-财务制单-出纳支付等全流程物流信息体现。</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C65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2025-12-04T05:48:05Z</dcterms:created>
  <dc:creator>Administrator</dc:creator>
  <cp:lastModifiedBy>宋</cp:lastModifiedBy>
  <dcterms:modified xsi:type="dcterms:W3CDTF">2025-12-04T05:49:22Z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eyJoZGlkIjoiZmEwOThkNDVmNWE5YmE2OTk5YzUwNzFhYzJkNGIwMGUiLCJ1c2VySWQiOiI5NzY0MzEzMTAifQ==</vt:lpwstr>
  </property>
  <property fmtid="{D5CDD505-2E9C-101B-9397-08002B2CF9AE}" pid="4" name="ICV">
    <vt:lpwstr>6314B1940B464EF18FEBA237FD068A5E_12</vt:lpwstr>
  </property>
</Properties>
</file>