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373"/>
        <w:gridCol w:w="6333"/>
      </w:tblGrid>
      <w:tr w14:paraId="7FB8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AA0B28B">
            <w:pPr>
              <w:pStyle w:val="2"/>
              <w:spacing w:line="400" w:lineRule="exact"/>
              <w:jc w:val="center"/>
              <w:rPr>
                <w:rFonts w:hint="eastAsia" w:ascii="仿宋" w:hAnsi="仿宋" w:eastAsia="仿宋" w:cs="Courier New"/>
                <w:b/>
                <w:sz w:val="28"/>
                <w:szCs w:val="28"/>
              </w:rPr>
            </w:pPr>
            <w:r>
              <w:rPr>
                <w:rFonts w:hint="eastAsia" w:ascii="仿宋" w:hAnsi="仿宋" w:eastAsia="仿宋" w:cs="Courier New"/>
                <w:b/>
                <w:sz w:val="28"/>
                <w:szCs w:val="28"/>
              </w:rPr>
              <w:t>序号</w:t>
            </w:r>
          </w:p>
        </w:tc>
        <w:tc>
          <w:tcPr>
            <w:tcW w:w="1373" w:type="dxa"/>
            <w:vAlign w:val="center"/>
          </w:tcPr>
          <w:p w14:paraId="61EE75DB">
            <w:pPr>
              <w:pStyle w:val="2"/>
              <w:spacing w:line="400" w:lineRule="exact"/>
              <w:jc w:val="center"/>
              <w:rPr>
                <w:rFonts w:hint="eastAsia" w:ascii="仿宋" w:hAnsi="仿宋" w:eastAsia="仿宋" w:cs="Courier New"/>
                <w:b/>
                <w:sz w:val="28"/>
                <w:szCs w:val="28"/>
              </w:rPr>
            </w:pPr>
            <w:r>
              <w:rPr>
                <w:rFonts w:hint="eastAsia" w:ascii="仿宋" w:hAnsi="仿宋" w:eastAsia="仿宋" w:cs="Courier New"/>
                <w:b/>
                <w:sz w:val="28"/>
                <w:szCs w:val="28"/>
              </w:rPr>
              <w:t>名称</w:t>
            </w:r>
          </w:p>
        </w:tc>
        <w:tc>
          <w:tcPr>
            <w:tcW w:w="6333" w:type="dxa"/>
            <w:vAlign w:val="center"/>
          </w:tcPr>
          <w:p w14:paraId="142C39F6">
            <w:pPr>
              <w:pStyle w:val="2"/>
              <w:spacing w:line="400" w:lineRule="exact"/>
              <w:jc w:val="center"/>
              <w:rPr>
                <w:rFonts w:hint="eastAsia" w:ascii="仿宋" w:hAnsi="仿宋" w:eastAsia="仿宋" w:cs="MingLiU_HKSCS"/>
                <w:b/>
                <w:sz w:val="28"/>
                <w:szCs w:val="28"/>
              </w:rPr>
            </w:pPr>
            <w:r>
              <w:rPr>
                <w:rFonts w:hint="eastAsia" w:ascii="仿宋" w:hAnsi="仿宋" w:eastAsia="仿宋" w:cs="Courier New"/>
                <w:b/>
                <w:sz w:val="28"/>
                <w:szCs w:val="28"/>
              </w:rPr>
              <w:t>具体内容和要求</w:t>
            </w:r>
          </w:p>
        </w:tc>
      </w:tr>
      <w:tr w14:paraId="1B0A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3" w:type="dxa"/>
            <w:vAlign w:val="center"/>
          </w:tcPr>
          <w:p w14:paraId="5F2D952B">
            <w:pPr>
              <w:pStyle w:val="2"/>
              <w:spacing w:line="400" w:lineRule="exact"/>
              <w:jc w:val="center"/>
              <w:rPr>
                <w:rFonts w:hint="eastAsia" w:ascii="仿宋" w:hAnsi="仿宋" w:eastAsia="仿宋" w:cs="Courier New"/>
                <w:b/>
                <w:sz w:val="28"/>
                <w:szCs w:val="28"/>
              </w:rPr>
            </w:pPr>
            <w:r>
              <w:rPr>
                <w:rFonts w:hint="eastAsia" w:ascii="仿宋" w:hAnsi="仿宋" w:eastAsia="仿宋" w:cs="Courier New"/>
                <w:b/>
                <w:sz w:val="28"/>
                <w:szCs w:val="28"/>
              </w:rPr>
              <w:t>1</w:t>
            </w:r>
          </w:p>
        </w:tc>
        <w:tc>
          <w:tcPr>
            <w:tcW w:w="1373" w:type="dxa"/>
            <w:vAlign w:val="center"/>
          </w:tcPr>
          <w:p w14:paraId="72C07E71">
            <w:pPr>
              <w:pStyle w:val="2"/>
              <w:spacing w:line="400" w:lineRule="exact"/>
              <w:jc w:val="center"/>
              <w:rPr>
                <w:rFonts w:hint="eastAsia" w:ascii="仿宋" w:hAnsi="仿宋" w:eastAsia="仿宋" w:cs="Courier New"/>
                <w:sz w:val="28"/>
                <w:szCs w:val="28"/>
              </w:rPr>
            </w:pPr>
            <w:r>
              <w:rPr>
                <w:rFonts w:hint="eastAsia" w:ascii="仿宋" w:hAnsi="仿宋" w:eastAsia="仿宋" w:cs="Courier New"/>
                <w:sz w:val="28"/>
                <w:szCs w:val="28"/>
              </w:rPr>
              <w:t>货物用途说明</w:t>
            </w:r>
          </w:p>
        </w:tc>
        <w:tc>
          <w:tcPr>
            <w:tcW w:w="6333" w:type="dxa"/>
            <w:vAlign w:val="center"/>
          </w:tcPr>
          <w:p w14:paraId="5DBF9D80">
            <w:pPr>
              <w:pStyle w:val="2"/>
              <w:spacing w:line="400" w:lineRule="exact"/>
              <w:jc w:val="left"/>
              <w:rPr>
                <w:rFonts w:hint="eastAsia" w:ascii="仿宋" w:hAnsi="仿宋" w:eastAsia="仿宋" w:cs="MingLiU_HKSCS"/>
                <w:sz w:val="28"/>
                <w:szCs w:val="28"/>
              </w:rPr>
            </w:pPr>
            <w:bookmarkStart w:id="0" w:name="OLE_LINK5"/>
            <w:r>
              <w:rPr>
                <w:rFonts w:hint="eastAsia" w:ascii="仿宋" w:hAnsi="仿宋" w:eastAsia="仿宋" w:cs="MingLiU_HKSCS"/>
                <w:sz w:val="28"/>
                <w:szCs w:val="28"/>
              </w:rPr>
              <w:t>开展电解液</w:t>
            </w:r>
            <w:bookmarkStart w:id="1" w:name="OLE_LINK12"/>
            <w:r>
              <w:rPr>
                <w:rFonts w:hint="eastAsia" w:ascii="仿宋" w:hAnsi="仿宋" w:eastAsia="仿宋" w:cs="MingLiU_HKSCS"/>
                <w:sz w:val="28"/>
                <w:szCs w:val="28"/>
              </w:rPr>
              <w:t>、</w:t>
            </w:r>
            <w:bookmarkEnd w:id="1"/>
            <w:r>
              <w:rPr>
                <w:rFonts w:hint="eastAsia" w:ascii="仿宋" w:hAnsi="仿宋" w:eastAsia="仿宋" w:cs="MingLiU_HKSCS"/>
                <w:sz w:val="28"/>
                <w:szCs w:val="28"/>
              </w:rPr>
              <w:t>电极材料、含能材料热解及煤自然过程中的产物成份分析</w:t>
            </w:r>
            <w:bookmarkEnd w:id="0"/>
            <w:r>
              <w:rPr>
                <w:rFonts w:hint="eastAsia" w:ascii="仿宋" w:hAnsi="仿宋" w:eastAsia="仿宋" w:cs="MingLiU_HKSCS"/>
                <w:sz w:val="28"/>
                <w:szCs w:val="28"/>
              </w:rPr>
              <w:t>，为含能材料安全研究以及煤热转化和自燃过程研究提供基础数据，直接</w:t>
            </w:r>
            <w:bookmarkStart w:id="2" w:name="OLE_LINK7"/>
            <w:r>
              <w:rPr>
                <w:rFonts w:hint="eastAsia" w:ascii="仿宋" w:hAnsi="仿宋" w:eastAsia="仿宋" w:cs="MingLiU_HKSCS"/>
                <w:sz w:val="28"/>
                <w:szCs w:val="28"/>
              </w:rPr>
              <w:t>为优化煤清洁利用工艺、开发新型阻化剂、以及建立更精准的煤矿火灾预警系统提供了坚实的数据支持和科学依据</w:t>
            </w:r>
            <w:bookmarkEnd w:id="2"/>
            <w:r>
              <w:rPr>
                <w:rFonts w:hint="eastAsia" w:ascii="仿宋" w:hAnsi="仿宋" w:eastAsia="仿宋" w:cs="MingLiU_HKSCS"/>
                <w:sz w:val="28"/>
                <w:szCs w:val="28"/>
              </w:rPr>
              <w:t>。</w:t>
            </w:r>
          </w:p>
        </w:tc>
      </w:tr>
    </w:tbl>
    <w:p w14:paraId="54439BF9">
      <w:pPr>
        <w:pStyle w:val="2"/>
        <w:spacing w:line="400" w:lineRule="exact"/>
        <w:jc w:val="left"/>
        <w:rPr>
          <w:rFonts w:hint="eastAsia" w:ascii="仿宋" w:hAnsi="仿宋" w:eastAsia="仿宋" w:cs="MingLiU_HKSCS"/>
          <w:sz w:val="28"/>
          <w:szCs w:val="28"/>
          <w:lang w:val="en-US" w:eastAsia="zh-CN"/>
        </w:rPr>
      </w:pPr>
      <w:r>
        <w:rPr>
          <w:rFonts w:hint="eastAsia" w:ascii="仿宋" w:hAnsi="仿宋" w:eastAsia="仿宋" w:cs="MingLiU_HKSCS"/>
          <w:sz w:val="28"/>
          <w:szCs w:val="28"/>
        </w:rPr>
        <w:t>材料热解溢出气体分析装置</w:t>
      </w:r>
      <w:r>
        <w:rPr>
          <w:rFonts w:hint="eastAsia" w:ascii="仿宋" w:hAnsi="仿宋" w:eastAsia="仿宋" w:cs="MingLiU_HKSCS"/>
          <w:sz w:val="28"/>
          <w:szCs w:val="28"/>
          <w:lang w:val="en-US" w:eastAsia="zh-CN"/>
        </w:rPr>
        <w:t>一台。</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1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spacing w:line="324" w:lineRule="auto"/>
    </w:pPr>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2025-12-05T01:56:43Z</dcterms:created>
  <dc:creator>Administrator</dc:creator>
  <cp:lastModifiedBy>中技招标</cp:lastModifiedBy>
  <dcterms:modified xsi:type="dcterms:W3CDTF">2025-12-05T01:57:46Z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eyJoZGlkIjoiNzIxNWM4ZTcxZjU5YjJhMzlkYmE1ZmEzN2RjZTZjYjYiLCJ1c2VySWQiOiIxNjk1MzE2ODA5In0=</vt:lpwstr>
  </property>
  <property fmtid="{D5CDD505-2E9C-101B-9397-08002B2CF9AE}" pid="4" name="ICV">
    <vt:lpwstr>A5410C4DDB854135BFD86AC411B3051E_12</vt:lpwstr>
  </property>
</Properties>
</file>