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FC3A">
      <w:pPr>
        <w:jc w:val="center"/>
        <w:rPr>
          <w:rFonts w:hint="eastAsia" w:ascii="仿宋" w:hAnsi="仿宋" w:eastAsia="仿宋" w:cs="仿宋"/>
          <w:sz w:val="28"/>
          <w:szCs w:val="36"/>
          <w:lang w:val="en-US" w:eastAsia="zh-CN"/>
        </w:rPr>
      </w:pPr>
      <w:bookmarkStart w:id="0" w:name="_GoBack"/>
      <w:bookmarkEnd w:id="0"/>
      <w:r>
        <w:rPr>
          <w:rFonts w:hint="eastAsia" w:ascii="仿宋" w:hAnsi="仿宋" w:eastAsia="仿宋" w:cs="仿宋"/>
          <w:sz w:val="28"/>
          <w:szCs w:val="36"/>
          <w:lang w:val="en-US" w:eastAsia="zh-CN"/>
        </w:rPr>
        <w:t>采购需求</w:t>
      </w:r>
    </w:p>
    <w:tbl>
      <w:tblPr>
        <w:tblStyle w:val="4"/>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416"/>
        <w:gridCol w:w="7687"/>
      </w:tblGrid>
      <w:tr w14:paraId="53FE6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7" w:type="pct"/>
            <w:vAlign w:val="center"/>
          </w:tcPr>
          <w:p w14:paraId="3B0EBB86">
            <w:pPr>
              <w:pStyle w:val="7"/>
              <w:adjustRightInd w:val="0"/>
              <w:jc w:val="center"/>
              <w:rPr>
                <w:rFonts w:hint="default" w:ascii="仿宋" w:hAnsi="仿宋" w:eastAsia="仿宋" w:cs="仿宋"/>
                <w:color w:val="auto"/>
                <w:highlight w:val="none"/>
              </w:rPr>
            </w:pPr>
            <w:r>
              <w:rPr>
                <w:rFonts w:ascii="仿宋" w:hAnsi="仿宋" w:eastAsia="仿宋" w:cs="仿宋"/>
                <w:color w:val="auto"/>
                <w:highlight w:val="none"/>
              </w:rPr>
              <w:t>参数性质</w:t>
            </w:r>
          </w:p>
        </w:tc>
        <w:tc>
          <w:tcPr>
            <w:tcW w:w="217" w:type="pct"/>
            <w:vAlign w:val="center"/>
          </w:tcPr>
          <w:p w14:paraId="62EE2D28">
            <w:pPr>
              <w:pStyle w:val="7"/>
              <w:adjustRightInd w:val="0"/>
              <w:jc w:val="center"/>
              <w:rPr>
                <w:rFonts w:hint="default" w:ascii="仿宋" w:hAnsi="仿宋" w:eastAsia="仿宋" w:cs="仿宋"/>
                <w:color w:val="auto"/>
                <w:highlight w:val="none"/>
              </w:rPr>
            </w:pPr>
            <w:r>
              <w:rPr>
                <w:rFonts w:ascii="仿宋" w:hAnsi="仿宋" w:eastAsia="仿宋" w:cs="仿宋"/>
                <w:color w:val="auto"/>
                <w:highlight w:val="none"/>
              </w:rPr>
              <w:t>序号</w:t>
            </w:r>
          </w:p>
        </w:tc>
        <w:tc>
          <w:tcPr>
            <w:tcW w:w="4564" w:type="pct"/>
            <w:vAlign w:val="center"/>
          </w:tcPr>
          <w:p w14:paraId="5CC0523A">
            <w:pPr>
              <w:pStyle w:val="7"/>
              <w:adjustRightInd w:val="0"/>
              <w:jc w:val="center"/>
              <w:rPr>
                <w:rFonts w:hint="default" w:ascii="仿宋" w:hAnsi="仿宋" w:eastAsia="仿宋" w:cs="仿宋"/>
                <w:color w:val="auto"/>
                <w:highlight w:val="none"/>
                <w:lang w:eastAsia="zh-CN"/>
              </w:rPr>
            </w:pPr>
            <w:r>
              <w:rPr>
                <w:rFonts w:ascii="仿宋" w:hAnsi="仿宋" w:eastAsia="仿宋" w:cs="仿宋"/>
                <w:color w:val="auto"/>
                <w:highlight w:val="none"/>
              </w:rPr>
              <w:t>技术参数与性能指标</w:t>
            </w:r>
          </w:p>
        </w:tc>
      </w:tr>
      <w:tr w14:paraId="33906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17" w:type="pct"/>
            <w:vAlign w:val="center"/>
          </w:tcPr>
          <w:p w14:paraId="6D6A611F">
            <w:pPr>
              <w:adjustRightInd w:val="0"/>
              <w:jc w:val="center"/>
              <w:rPr>
                <w:rFonts w:ascii="仿宋" w:hAnsi="仿宋" w:eastAsia="仿宋" w:cs="仿宋"/>
                <w:color w:val="auto"/>
                <w:highlight w:val="yellow"/>
              </w:rPr>
            </w:pPr>
          </w:p>
        </w:tc>
        <w:tc>
          <w:tcPr>
            <w:tcW w:w="217" w:type="pct"/>
            <w:vAlign w:val="center"/>
          </w:tcPr>
          <w:p w14:paraId="67CAF57D">
            <w:pPr>
              <w:pStyle w:val="7"/>
              <w:adjustRightInd w:val="0"/>
              <w:jc w:val="center"/>
              <w:rPr>
                <w:rFonts w:hint="default" w:ascii="仿宋" w:hAnsi="仿宋" w:eastAsia="仿宋" w:cs="仿宋"/>
                <w:color w:val="auto"/>
                <w:highlight w:val="yellow"/>
              </w:rPr>
            </w:pPr>
            <w:r>
              <w:rPr>
                <w:rFonts w:ascii="仿宋" w:hAnsi="仿宋" w:eastAsia="仿宋" w:cs="仿宋"/>
                <w:color w:val="auto"/>
                <w:highlight w:val="none"/>
              </w:rPr>
              <w:t>1</w:t>
            </w:r>
          </w:p>
        </w:tc>
        <w:tc>
          <w:tcPr>
            <w:tcW w:w="4564" w:type="pct"/>
          </w:tcPr>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957"/>
              <w:gridCol w:w="4999"/>
              <w:gridCol w:w="745"/>
            </w:tblGrid>
            <w:tr w14:paraId="1A97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08" w:type="pct"/>
                  <w:shd w:val="clear" w:color="auto" w:fill="auto"/>
                  <w:vAlign w:val="center"/>
                </w:tcPr>
                <w:p w14:paraId="50E275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序号</w:t>
                  </w:r>
                </w:p>
              </w:tc>
              <w:tc>
                <w:tcPr>
                  <w:tcW w:w="641" w:type="pct"/>
                  <w:shd w:val="clear" w:color="auto" w:fill="auto"/>
                  <w:vAlign w:val="center"/>
                </w:tcPr>
                <w:p w14:paraId="12BA0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名称</w:t>
                  </w:r>
                </w:p>
              </w:tc>
              <w:tc>
                <w:tcPr>
                  <w:tcW w:w="3350" w:type="pct"/>
                  <w:shd w:val="clear" w:color="auto" w:fill="auto"/>
                  <w:vAlign w:val="center"/>
                </w:tcPr>
                <w:p w14:paraId="74A485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参数</w:t>
                  </w:r>
                </w:p>
              </w:tc>
              <w:tc>
                <w:tcPr>
                  <w:tcW w:w="499" w:type="pct"/>
                  <w:shd w:val="clear" w:color="auto" w:fill="auto"/>
                  <w:vAlign w:val="center"/>
                </w:tcPr>
                <w:p w14:paraId="556107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数量</w:t>
                  </w:r>
                </w:p>
              </w:tc>
            </w:tr>
            <w:tr w14:paraId="5B07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5" w:hRule="atLeast"/>
                <w:jc w:val="center"/>
              </w:trPr>
              <w:tc>
                <w:tcPr>
                  <w:tcW w:w="508" w:type="pct"/>
                  <w:shd w:val="clear" w:color="auto" w:fill="auto"/>
                  <w:vAlign w:val="center"/>
                </w:tcPr>
                <w:p w14:paraId="16CC7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641" w:type="pct"/>
                  <w:shd w:val="clear" w:color="auto" w:fill="auto"/>
                  <w:vAlign w:val="center"/>
                </w:tcPr>
                <w:p w14:paraId="649F0D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教学语音数字化智能体</w:t>
                  </w:r>
                </w:p>
              </w:tc>
              <w:tc>
                <w:tcPr>
                  <w:tcW w:w="3350" w:type="pct"/>
                  <w:shd w:val="clear" w:color="auto" w:fill="auto"/>
                  <w:vAlign w:val="center"/>
                </w:tcPr>
                <w:p w14:paraId="549FA2A3">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1、智能数据平台搭载AI拾音器，使用人工智能处理能力的麦克风,音频处理芯片和AI算法的智能系统将音频转化成文字，形成文本；</w:t>
                  </w:r>
                </w:p>
                <w:p w14:paraId="249AC1C8">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2、AI拾音器要求采用降噪、回声消除、声源定位、语音识别等核心技术；</w:t>
                  </w:r>
                </w:p>
                <w:p w14:paraId="686091FE">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3、拾音器要求：收声模式：三向立体，录音格式为MP3，WAV；屏幕类型为触摸屏；录音距离≥10米；自带内存≥64GB；录音时长≥225小时；</w:t>
                  </w:r>
                </w:p>
                <w:p w14:paraId="57880805">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4、录音转文字要求可在线转换文字；</w:t>
                  </w:r>
                </w:p>
                <w:p w14:paraId="39B1E0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5、采用deepseek大语言模型，可实现在线使用。</w:t>
                  </w:r>
                </w:p>
              </w:tc>
              <w:tc>
                <w:tcPr>
                  <w:tcW w:w="499" w:type="pct"/>
                  <w:shd w:val="clear" w:color="auto" w:fill="auto"/>
                  <w:vAlign w:val="center"/>
                </w:tcPr>
                <w:p w14:paraId="7B5EBC6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r>
            <w:tr w14:paraId="0FAB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1" w:hRule="atLeast"/>
                <w:jc w:val="center"/>
              </w:trPr>
              <w:tc>
                <w:tcPr>
                  <w:tcW w:w="508" w:type="pct"/>
                  <w:shd w:val="clear" w:color="auto" w:fill="auto"/>
                  <w:vAlign w:val="center"/>
                </w:tcPr>
                <w:p w14:paraId="77C59A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2</w:t>
                  </w:r>
                </w:p>
              </w:tc>
              <w:tc>
                <w:tcPr>
                  <w:tcW w:w="641" w:type="pct"/>
                  <w:shd w:val="clear" w:color="auto" w:fill="auto"/>
                  <w:vAlign w:val="center"/>
                </w:tcPr>
                <w:p w14:paraId="1855FD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教学知识库构建智能体</w:t>
                  </w:r>
                </w:p>
              </w:tc>
              <w:tc>
                <w:tcPr>
                  <w:tcW w:w="3350" w:type="pct"/>
                  <w:shd w:val="clear" w:color="auto" w:fill="auto"/>
                  <w:vAlign w:val="center"/>
                </w:tcPr>
                <w:p w14:paraId="2917A48A">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1、具有知识库的创建、删除功能、备份功能；</w:t>
                  </w:r>
                </w:p>
                <w:p w14:paraId="2C92A478">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2、具有数据集的新增，编辑，删除功能；</w:t>
                  </w:r>
                </w:p>
                <w:p w14:paraId="0BC76FD8">
                  <w:pPr>
                    <w:pStyle w:val="7"/>
                    <w:widowControl w:val="0"/>
                    <w:spacing w:line="24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3、具有数据集中文件的上传，编辑，删除功能，上传文件支持图片、pdf、excel、word、ppt等文件格式，支持自定义的文件格式及数据库文件；具有文件在线预览及下载功能；需支持JSON文件格式的导入导出。</w:t>
                  </w:r>
                </w:p>
                <w:p w14:paraId="6ED26096">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4、具有知识库的投喂功能，具有数据的删除管理功能。</w:t>
                  </w:r>
                </w:p>
                <w:p w14:paraId="6925ACF7">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5、知识库对接业务系统，构建"数据一知识一应用"的闭环；</w:t>
                  </w:r>
                </w:p>
                <w:p w14:paraId="5BDD11B2">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6、知识库为deepseek应用提供数据，完成本地化应用。</w:t>
                  </w:r>
                </w:p>
                <w:p w14:paraId="75291C00">
                  <w:pPr>
                    <w:pStyle w:val="7"/>
                    <w:widowControl w:val="0"/>
                    <w:spacing w:line="240" w:lineRule="auto"/>
                    <w:jc w:val="both"/>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sz w:val="21"/>
                      <w:szCs w:val="21"/>
                      <w:lang w:val="en-US" w:eastAsia="zh-CN"/>
                    </w:rPr>
                    <w:t>7、</w:t>
                  </w:r>
                  <w:r>
                    <w:rPr>
                      <w:rFonts w:hint="eastAsia" w:ascii="仿宋_GB2312" w:hAnsi="仿宋_GB2312" w:eastAsia="仿宋_GB2312" w:cs="仿宋_GB2312"/>
                      <w:b w:val="0"/>
                      <w:bCs/>
                      <w:color w:val="000000"/>
                      <w:sz w:val="21"/>
                      <w:szCs w:val="21"/>
                    </w:rPr>
                    <w:t>本地知识库开发标准要求：</w:t>
                  </w:r>
                </w:p>
                <w:p w14:paraId="226266E6">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分层架构设计采用三层架构模型：</w:t>
                  </w:r>
                </w:p>
                <w:p w14:paraId="499EFA23">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应用层：负责前端用户交互，以及前后端API接口交互。</w:t>
                  </w:r>
                </w:p>
                <w:p w14:paraId="2C9A7073">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基础业务层：封装核心业务逻辑，结合开发框架、依赖注入、设计模式等手段实现服务。</w:t>
                  </w:r>
                </w:p>
                <w:p w14:paraId="2178D66C">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底层支撑层：提供数据存储、缓存、消息队列等基础设施服务。</w:t>
                  </w:r>
                </w:p>
                <w:p w14:paraId="740D40BE">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层间依赖关系明确，上层依赖下层服务，避免循环依赖。</w:t>
                  </w:r>
                </w:p>
                <w:p w14:paraId="0E00E27F">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后端技术栈</w:t>
                  </w:r>
                </w:p>
                <w:p w14:paraId="7FC79E96">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采用主流、稳定的Java 生态技术体系，支持微服务架构设计。</w:t>
                  </w:r>
                </w:p>
                <w:p w14:paraId="2543C8FE">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框架选型需满足高内聚低耦合原则，确保服务边界清晰、可独立部署。</w:t>
                  </w:r>
                </w:p>
                <w:p w14:paraId="2E38D4F5">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数据访问层支持关系型数据库与非关系型数据库的灵活适配。</w:t>
                  </w:r>
                </w:p>
                <w:p w14:paraId="1DE4690B">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前端技术栈</w:t>
                  </w:r>
                </w:p>
                <w:p w14:paraId="3091ED1C">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 xml:space="preserve">基于 </w:t>
                  </w:r>
                  <w:r>
                    <w:rPr>
                      <w:rFonts w:hint="eastAsia" w:ascii="仿宋_GB2312" w:hAnsi="仿宋_GB2312" w:eastAsia="仿宋_GB2312" w:cs="仿宋_GB2312"/>
                      <w:color w:val="000000"/>
                      <w:sz w:val="21"/>
                      <w:szCs w:val="21"/>
                      <w:lang w:val="en-US" w:eastAsia="zh-CN"/>
                    </w:rPr>
                    <w:t>vue3.0</w:t>
                  </w:r>
                  <w:r>
                    <w:rPr>
                      <w:rFonts w:hint="eastAsia" w:ascii="仿宋_GB2312" w:hAnsi="仿宋_GB2312" w:eastAsia="仿宋_GB2312" w:cs="仿宋_GB2312"/>
                      <w:color w:val="000000"/>
                      <w:sz w:val="21"/>
                      <w:szCs w:val="21"/>
                    </w:rPr>
                    <w:t>框架构建用户界面，支持组件化开发与状态管理。</w:t>
                  </w:r>
                </w:p>
                <w:p w14:paraId="66F5F108">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遵循响应式设计原则，确保跨终端用户体验一致性。</w:t>
                  </w:r>
                </w:p>
                <w:p w14:paraId="0D0004FC">
                  <w:pPr>
                    <w:pStyle w:val="7"/>
                    <w:widowControl w:val="0"/>
                    <w:spacing w:line="240" w:lineRule="auto"/>
                    <w:ind w:firstLine="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集成自动化测试工具链，保障 UI 交互逻辑的稳定性。</w:t>
                  </w:r>
                </w:p>
                <w:p w14:paraId="4CCD5B6A">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)开放 API 设计</w:t>
                  </w:r>
                </w:p>
                <w:p w14:paraId="6B1D8F3D">
                  <w:pPr>
                    <w:pStyle w:val="7"/>
                    <w:widowControl w:val="0"/>
                    <w:spacing w:line="240" w:lineRule="auto"/>
                    <w:ind w:left="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 xml:space="preserve"> 提供标准化 RESTful API，支持GET、POST、PUT、PATCH、DELETE等多种HTTP请求方式，支持主流认证协议（如 OIDC/OAuth2），确保系统间互操作性。</w:t>
                  </w:r>
                </w:p>
                <w:p w14:paraId="472606C6">
                  <w:pPr>
                    <w:pStyle w:val="7"/>
                    <w:widowControl w:val="0"/>
                    <w:spacing w:line="240" w:lineRule="auto"/>
                    <w:ind w:left="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API 接口需遵循幂等性和向后兼容原则，支持版本控制。</w:t>
                  </w:r>
                </w:p>
                <w:p w14:paraId="4C245B05">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)架构质量</w:t>
                  </w:r>
                </w:p>
                <w:p w14:paraId="72001519">
                  <w:pPr>
                    <w:pStyle w:val="7"/>
                    <w:widowControl w:val="0"/>
                    <w:spacing w:line="240" w:lineRule="auto"/>
                    <w:ind w:left="42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代码结构清晰，遵循MVC 模式，降低模块间耦合度。</w:t>
                  </w:r>
                </w:p>
                <w:p w14:paraId="1CF4928E">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 xml:space="preserve"> 采用设计模式解决通用问题（如工厂模式、策略模式），提升代码复用性。</w:t>
                  </w:r>
                </w:p>
                <w:p w14:paraId="19A05778">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(6)部署与运维要求</w:t>
                  </w:r>
                </w:p>
                <w:p w14:paraId="3156076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支持本地化部署，兼容主流 Linux 操作系统（如 Ubuntu22、 CentOS 7.x）。</w:t>
                  </w:r>
                </w:p>
              </w:tc>
              <w:tc>
                <w:tcPr>
                  <w:tcW w:w="499" w:type="pct"/>
                  <w:shd w:val="clear" w:color="auto" w:fill="auto"/>
                  <w:vAlign w:val="center"/>
                </w:tcPr>
                <w:p w14:paraId="5E946E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r>
            <w:tr w14:paraId="7FCB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508" w:type="pct"/>
                  <w:shd w:val="clear" w:color="auto" w:fill="auto"/>
                  <w:vAlign w:val="center"/>
                </w:tcPr>
                <w:p w14:paraId="630CB7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3</w:t>
                  </w:r>
                </w:p>
              </w:tc>
              <w:tc>
                <w:tcPr>
                  <w:tcW w:w="641" w:type="pct"/>
                  <w:shd w:val="clear" w:color="auto" w:fill="auto"/>
                  <w:vAlign w:val="center"/>
                </w:tcPr>
                <w:p w14:paraId="516BFA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教学文档生成智能体</w:t>
                  </w:r>
                </w:p>
              </w:tc>
              <w:tc>
                <w:tcPr>
                  <w:tcW w:w="3350" w:type="pct"/>
                  <w:shd w:val="clear" w:color="auto" w:fill="auto"/>
                  <w:vAlign w:val="center"/>
                </w:tcPr>
                <w:p w14:paraId="79F06DFA">
                  <w:pPr>
                    <w:keepNext w:val="0"/>
                    <w:keepLines w:val="0"/>
                    <w:widowControl/>
                    <w:numPr>
                      <w:ilvl w:val="0"/>
                      <w:numId w:val="1"/>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按照教学内容生成不同种类的教学资料。</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2、生成内容融合最新课标、教学法和海量资源</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3、快速生成适应不同班级学情、不同难度层次的教学材料。</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 xml:space="preserve">4、成为学校的教学知识中枢，沉淀优秀教学经验和方法。 </w:t>
                  </w:r>
                </w:p>
                <w:p w14:paraId="51D45173">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支持接入本地或云端主流模型服务，以及对不同任务类型模型能力的简单评估。支持的大型模型类型包括但不限于：</w:t>
                  </w:r>
                </w:p>
                <w:p w14:paraId="6AA0A6A9">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(1)对话模型：依据用户输入经模型处理以文本形式快速生成回复内容的大模型。</w:t>
                  </w:r>
                </w:p>
                <w:p w14:paraId="7ECED238">
                  <w:pPr>
                    <w:pStyle w:val="7"/>
                    <w:widowControl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(2)深度思考：基于用户输入进行智能推理最终生成回复内容的大模型。</w:t>
                  </w:r>
                </w:p>
                <w:p w14:paraId="03ED316E">
                  <w:pPr>
                    <w:pStyle w:val="7"/>
                    <w:widowControl w:val="0"/>
                    <w:spacing w:line="240" w:lineRule="auto"/>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)其他多模态模型。</w:t>
                  </w:r>
                </w:p>
                <w:p w14:paraId="58601AC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大模型并发性能：每分钟处理请求数</w:t>
                  </w:r>
                  <w:r>
                    <w:rPr>
                      <w:rFonts w:hint="eastAsia" w:ascii="仿宋_GB2312" w:hAnsi="仿宋_GB2312" w:eastAsia="仿宋_GB2312" w:cs="仿宋_GB2312"/>
                      <w:sz w:val="21"/>
                      <w:szCs w:val="21"/>
                      <w:lang w:val="en-US" w:eastAsia="zh-CN" w:bidi="ar"/>
                    </w:rPr>
                    <w:t>≥</w:t>
                  </w: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00条</w:t>
                  </w:r>
                </w:p>
              </w:tc>
              <w:tc>
                <w:tcPr>
                  <w:tcW w:w="499" w:type="pct"/>
                  <w:shd w:val="clear" w:color="auto" w:fill="auto"/>
                  <w:vAlign w:val="center"/>
                </w:tcPr>
                <w:p w14:paraId="2D42AB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r>
            <w:tr w14:paraId="02CC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508" w:type="pct"/>
                  <w:shd w:val="clear" w:color="auto" w:fill="auto"/>
                  <w:vAlign w:val="center"/>
                </w:tcPr>
                <w:p w14:paraId="62D0B4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641" w:type="pct"/>
                  <w:shd w:val="clear" w:color="auto" w:fill="auto"/>
                  <w:vAlign w:val="center"/>
                </w:tcPr>
                <w:p w14:paraId="0DD9E1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知识问答系统</w:t>
                  </w:r>
                </w:p>
              </w:tc>
              <w:tc>
                <w:tcPr>
                  <w:tcW w:w="3350" w:type="pct"/>
                  <w:shd w:val="clear" w:color="auto" w:fill="auto"/>
                  <w:vAlign w:val="center"/>
                </w:tcPr>
                <w:p w14:paraId="0EF9722A">
                  <w:pPr>
                    <w:keepNext w:val="0"/>
                    <w:keepLines w:val="0"/>
                    <w:widowControl/>
                    <w:numPr>
                      <w:ilvl w:val="0"/>
                      <w:numId w:val="2"/>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智能体能够从知识库分析，通过数据分割、检索索引、上下文生成，解答师生关于学校制度和文件的疑问</w:t>
                  </w:r>
                  <w:r>
                    <w:rPr>
                      <w:rFonts w:hint="eastAsia" w:ascii="仿宋_GB2312" w:hAnsi="仿宋_GB2312" w:eastAsia="仿宋_GB2312" w:cs="仿宋_GB2312"/>
                      <w:color w:val="000000"/>
                      <w:sz w:val="21"/>
                      <w:szCs w:val="21"/>
                      <w:lang w:eastAsia="zh-CN"/>
                    </w:rPr>
                    <w:t>；</w:t>
                  </w:r>
                </w:p>
                <w:p w14:paraId="05F9C515">
                  <w:pPr>
                    <w:keepNext w:val="0"/>
                    <w:keepLines w:val="0"/>
                    <w:widowControl/>
                    <w:numPr>
                      <w:ilvl w:val="0"/>
                      <w:numId w:val="2"/>
                    </w:numPr>
                    <w:suppressLineNumbers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专门针对教育领域知识和场景进行优化的智能问答系统；</w:t>
                  </w:r>
                </w:p>
                <w:p w14:paraId="28683440">
                  <w:pPr>
                    <w:keepNext w:val="0"/>
                    <w:keepLines w:val="0"/>
                    <w:widowControl/>
                    <w:numPr>
                      <w:ilvl w:val="0"/>
                      <w:numId w:val="2"/>
                    </w:numPr>
                    <w:suppressLineNumbers w:val="0"/>
                    <w:spacing w:line="240" w:lineRule="auto"/>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能够精准、可靠、多模态地回答学生和教师提出的学术性问题，并提供相关的学习支持；</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4、要求形成一个强大的教学助理，帮助回答学生的常见问题、提供教学资源线索、生成示例，减轻重复性答疑负担；</w:t>
                  </w:r>
                </w:p>
                <w:p w14:paraId="02C5D42F">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支持问答效果的精度调优</w:t>
                  </w:r>
                  <w:r>
                    <w:rPr>
                      <w:rFonts w:hint="eastAsia" w:ascii="仿宋_GB2312" w:hAnsi="仿宋_GB2312" w:eastAsia="仿宋_GB2312" w:cs="仿宋_GB2312"/>
                      <w:color w:val="000000"/>
                      <w:sz w:val="21"/>
                      <w:szCs w:val="21"/>
                      <w:lang w:eastAsia="zh-CN"/>
                    </w:rPr>
                    <w:t>；</w:t>
                  </w:r>
                </w:p>
                <w:p w14:paraId="6A1A688E">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自然语言理解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准确理解用户提问的真正需求</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从问题中提取关键信息（如订单号、产品名称），支持后续精准检索</w:t>
                  </w:r>
                  <w:r>
                    <w:rPr>
                      <w:rFonts w:hint="eastAsia" w:ascii="仿宋_GB2312" w:hAnsi="仿宋_GB2312" w:eastAsia="仿宋_GB2312" w:cs="仿宋_GB2312"/>
                      <w:color w:val="000000"/>
                      <w:sz w:val="21"/>
                      <w:szCs w:val="21"/>
                      <w:lang w:eastAsia="zh-CN"/>
                    </w:rPr>
                    <w:t>；</w:t>
                  </w:r>
                </w:p>
                <w:p w14:paraId="41CDE733">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问答交互</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保持上下文感知，支持连续提问与回答。‌个性化响应‌：根据用户历史行为调整回复语气和内容</w:t>
                  </w:r>
                  <w:r>
                    <w:rPr>
                      <w:rFonts w:hint="eastAsia" w:ascii="仿宋_GB2312" w:hAnsi="仿宋_GB2312" w:eastAsia="仿宋_GB2312" w:cs="仿宋_GB2312"/>
                      <w:color w:val="000000"/>
                      <w:sz w:val="21"/>
                      <w:szCs w:val="21"/>
                      <w:lang w:eastAsia="zh-CN"/>
                    </w:rPr>
                    <w:t>；</w:t>
                  </w:r>
                </w:p>
                <w:p w14:paraId="738C8BF2">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rPr>
                    <w:t>‌日志记录‌：跟踪用户查询和系统响应过程，便于问题追溯</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 xml:space="preserve"> ‌</w:t>
                  </w:r>
                </w:p>
                <w:p w14:paraId="5FA35E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9、</w:t>
                  </w:r>
                  <w:r>
                    <w:rPr>
                      <w:rFonts w:hint="eastAsia" w:ascii="仿宋_GB2312" w:hAnsi="仿宋_GB2312" w:eastAsia="仿宋_GB2312" w:cs="仿宋_GB2312"/>
                      <w:color w:val="000000"/>
                      <w:sz w:val="21"/>
                      <w:szCs w:val="21"/>
                    </w:rPr>
                    <w:t>辅助功能</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实时跟踪系统运行状态，保障服务稳定性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 xml:space="preserve">关联零散知识点，提升复杂问题处理能力。 </w:t>
                  </w:r>
                </w:p>
              </w:tc>
              <w:tc>
                <w:tcPr>
                  <w:tcW w:w="499" w:type="pct"/>
                  <w:shd w:val="clear" w:color="auto" w:fill="auto"/>
                  <w:vAlign w:val="center"/>
                </w:tcPr>
                <w:p w14:paraId="474C72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r>
            <w:tr w14:paraId="21A9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8" w:type="pct"/>
                  <w:shd w:val="clear" w:color="auto" w:fill="auto"/>
                  <w:vAlign w:val="center"/>
                </w:tcPr>
                <w:p w14:paraId="61897A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641" w:type="pct"/>
                  <w:shd w:val="clear" w:color="auto" w:fill="auto"/>
                  <w:vAlign w:val="center"/>
                </w:tcPr>
                <w:p w14:paraId="05588B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智能巡检</w:t>
                  </w:r>
                </w:p>
              </w:tc>
              <w:tc>
                <w:tcPr>
                  <w:tcW w:w="3350" w:type="pct"/>
                  <w:shd w:val="clear" w:color="auto" w:fill="auto"/>
                  <w:vAlign w:val="center"/>
                </w:tcPr>
                <w:p w14:paraId="66663E00">
                  <w:pPr>
                    <w:pStyle w:val="3"/>
                    <w:widowControl w:val="0"/>
                    <w:numPr>
                      <w:ilvl w:val="0"/>
                      <w:numId w:val="3"/>
                    </w:numPr>
                    <w:spacing w:beforeAutospacing="0" w:afterAutospacing="0"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接入智能巡检系统，</w:t>
                  </w:r>
                  <w:r>
                    <w:rPr>
                      <w:rFonts w:hint="eastAsia" w:ascii="仿宋_GB2312" w:hAnsi="仿宋_GB2312" w:eastAsia="仿宋_GB2312" w:cs="仿宋_GB2312"/>
                      <w:sz w:val="21"/>
                      <w:szCs w:val="21"/>
                      <w:lang w:eastAsia="zh-CN"/>
                    </w:rPr>
                    <w:t>智能数据平台统一数据管理；</w:t>
                  </w:r>
                </w:p>
                <w:p w14:paraId="60F412D3">
                  <w:pPr>
                    <w:pStyle w:val="3"/>
                    <w:widowControl w:val="0"/>
                    <w:numPr>
                      <w:ilvl w:val="0"/>
                      <w:numId w:val="3"/>
                    </w:numPr>
                    <w:spacing w:beforeAutospacing="0" w:afterAutospacing="0" w:line="240" w:lineRule="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rPr>
                    <w:t>增加新的节点，完成设备巡检，上报功能</w:t>
                  </w:r>
                  <w:r>
                    <w:rPr>
                      <w:rFonts w:hint="eastAsia" w:ascii="仿宋_GB2312" w:hAnsi="仿宋_GB2312" w:eastAsia="仿宋_GB2312" w:cs="仿宋_GB2312"/>
                      <w:sz w:val="21"/>
                      <w:szCs w:val="21"/>
                      <w:lang w:eastAsia="zh-CN"/>
                    </w:rPr>
                    <w:t>；</w:t>
                  </w:r>
                </w:p>
                <w:p w14:paraId="4A54E27C">
                  <w:pPr>
                    <w:pStyle w:val="3"/>
                    <w:widowControl w:val="0"/>
                    <w:numPr>
                      <w:ilvl w:val="0"/>
                      <w:numId w:val="3"/>
                    </w:numPr>
                    <w:spacing w:beforeAutospacing="0" w:afterAutospacing="0" w:line="240" w:lineRule="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eastAsia="zh-CN"/>
                    </w:rPr>
                    <w:t>设备支持蓝牙</w:t>
                  </w:r>
                  <w:r>
                    <w:rPr>
                      <w:rFonts w:hint="eastAsia" w:ascii="仿宋_GB2312" w:hAnsi="仿宋_GB2312" w:eastAsia="仿宋_GB2312" w:cs="仿宋_GB2312"/>
                      <w:sz w:val="21"/>
                      <w:szCs w:val="21"/>
                      <w:lang w:val="en-US" w:eastAsia="zh-CN"/>
                    </w:rPr>
                    <w:t>5.0协议，免差电，免联网；</w:t>
                  </w:r>
                </w:p>
                <w:p w14:paraId="3AA56D06">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安装方式支持桌面，挂墙；</w:t>
                  </w:r>
                </w:p>
              </w:tc>
              <w:tc>
                <w:tcPr>
                  <w:tcW w:w="499" w:type="pct"/>
                  <w:shd w:val="clear" w:color="auto" w:fill="auto"/>
                  <w:vAlign w:val="center"/>
                </w:tcPr>
                <w:p w14:paraId="019601E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80</w:t>
                  </w:r>
                </w:p>
              </w:tc>
            </w:tr>
            <w:tr w14:paraId="0F38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8" w:type="pct"/>
                  <w:shd w:val="clear" w:color="auto" w:fill="auto"/>
                  <w:vAlign w:val="center"/>
                </w:tcPr>
                <w:p w14:paraId="5FFAF5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c>
                <w:tcPr>
                  <w:tcW w:w="641" w:type="pct"/>
                  <w:shd w:val="clear" w:color="auto" w:fill="auto"/>
                  <w:vAlign w:val="center"/>
                </w:tcPr>
                <w:p w14:paraId="4F51CB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护眼</w:t>
                  </w:r>
                  <w:r>
                    <w:rPr>
                      <w:rFonts w:hint="eastAsia" w:ascii="仿宋_GB2312" w:hAnsi="仿宋_GB2312" w:eastAsia="仿宋_GB2312" w:cs="仿宋_GB2312"/>
                      <w:kern w:val="0"/>
                      <w:sz w:val="21"/>
                      <w:szCs w:val="21"/>
                      <w:highlight w:val="none"/>
                    </w:rPr>
                    <w:t>智慧黑板</w:t>
                  </w:r>
                  <w:r>
                    <w:rPr>
                      <w:rFonts w:hint="eastAsia" w:ascii="仿宋_GB2312" w:hAnsi="仿宋_GB2312" w:eastAsia="仿宋_GB2312" w:cs="仿宋_GB2312"/>
                      <w:b/>
                      <w:bCs/>
                      <w:kern w:val="0"/>
                      <w:sz w:val="21"/>
                      <w:szCs w:val="21"/>
                      <w:highlight w:val="none"/>
                      <w:lang w:eastAsia="zh-CN"/>
                    </w:rPr>
                    <w:t>（</w:t>
                  </w:r>
                  <w:r>
                    <w:rPr>
                      <w:rFonts w:hint="eastAsia" w:ascii="仿宋_GB2312" w:hAnsi="仿宋_GB2312" w:eastAsia="仿宋_GB2312" w:cs="仿宋_GB2312"/>
                      <w:b/>
                      <w:bCs/>
                      <w:kern w:val="0"/>
                      <w:sz w:val="21"/>
                      <w:szCs w:val="21"/>
                      <w:highlight w:val="none"/>
                      <w:lang w:val="en-US" w:eastAsia="zh-CN"/>
                    </w:rPr>
                    <w:t>核心设备</w:t>
                  </w:r>
                  <w:r>
                    <w:rPr>
                      <w:rFonts w:hint="eastAsia" w:ascii="仿宋_GB2312" w:hAnsi="仿宋_GB2312" w:eastAsia="仿宋_GB2312" w:cs="仿宋_GB2312"/>
                      <w:b/>
                      <w:bCs/>
                      <w:kern w:val="0"/>
                      <w:sz w:val="21"/>
                      <w:szCs w:val="21"/>
                      <w:highlight w:val="none"/>
                      <w:lang w:eastAsia="zh-CN"/>
                    </w:rPr>
                    <w:t>）</w:t>
                  </w:r>
                </w:p>
              </w:tc>
              <w:tc>
                <w:tcPr>
                  <w:tcW w:w="3350" w:type="pct"/>
                  <w:shd w:val="clear" w:color="auto" w:fill="auto"/>
                  <w:vAlign w:val="center"/>
                </w:tcPr>
                <w:p w14:paraId="6F3879BB">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一、整机要求：</w:t>
                  </w:r>
                </w:p>
                <w:p w14:paraId="0E97F290">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eastAsia="zh-CN" w:bidi="ar"/>
                    </w:rPr>
                    <w:t>1、</w:t>
                  </w:r>
                  <w:r>
                    <w:rPr>
                      <w:rFonts w:hint="eastAsia" w:ascii="仿宋_GB2312" w:hAnsi="仿宋_GB2312" w:eastAsia="仿宋_GB2312" w:cs="仿宋_GB2312"/>
                      <w:sz w:val="21"/>
                      <w:szCs w:val="21"/>
                      <w:highlight w:val="none"/>
                      <w:lang w:val="en-US" w:eastAsia="zh-CN" w:bidi="ar"/>
                    </w:rPr>
                    <w:t>▲</w:t>
                  </w:r>
                  <w:r>
                    <w:rPr>
                      <w:rFonts w:hint="eastAsia" w:ascii="仿宋_GB2312" w:hAnsi="仿宋_GB2312" w:eastAsia="仿宋_GB2312" w:cs="仿宋_GB2312"/>
                      <w:sz w:val="21"/>
                      <w:szCs w:val="21"/>
                      <w:highlight w:val="none"/>
                      <w:lang w:eastAsia="zh-CN" w:bidi="ar"/>
                    </w:rPr>
                    <w:t>整机屏幕</w:t>
                  </w:r>
                  <w:r>
                    <w:rPr>
                      <w:rFonts w:hint="eastAsia" w:ascii="仿宋_GB2312" w:hAnsi="仿宋_GB2312" w:eastAsia="仿宋_GB2312" w:cs="仿宋_GB2312"/>
                      <w:sz w:val="21"/>
                      <w:szCs w:val="21"/>
                      <w:highlight w:val="none"/>
                      <w:lang w:val="en-US" w:eastAsia="zh-CN" w:bidi="ar"/>
                    </w:rPr>
                    <w:t>≥86英寸，采用UHD超高清液晶屏，显示比例16:9，分辨率：3840×2160。可视角度≥178°；屏幕亮度≥300cd/m²。</w:t>
                  </w:r>
                </w:p>
                <w:p w14:paraId="28F714E1">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eastAsia="zh-CN" w:bidi="ar"/>
                    </w:rPr>
                    <w:t>2、整机采用全金属外壳，三拼接平面一体化设计。无推拉式结构，外部无任何可见内部功能模块连接</w:t>
                  </w:r>
                  <w:r>
                    <w:rPr>
                      <w:rFonts w:hint="eastAsia" w:ascii="仿宋_GB2312" w:hAnsi="仿宋_GB2312" w:eastAsia="仿宋_GB2312" w:cs="仿宋_GB2312"/>
                      <w:sz w:val="21"/>
                      <w:szCs w:val="21"/>
                      <w:highlight w:val="none"/>
                      <w:lang w:val="en-US" w:eastAsia="zh-CN" w:bidi="ar"/>
                    </w:rPr>
                    <w:t>线。外观尺寸：宽≥4200mm，高≥1100mm，厚≤85mm。</w:t>
                  </w:r>
                </w:p>
                <w:p w14:paraId="0530F2CE">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3、设备采用全物理钢化玻璃，表面硬度≥9H。</w:t>
                  </w:r>
                </w:p>
                <w:p w14:paraId="2C94D589">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4、整机主副屏过渡平滑并在同一平面，中间无单独边框阻隔，主屏支持普通粉笔直接书写，两侧副屏可支持多种媒介（普通粉笔、液体粉笔、成膜笔）进行板书书写。副屏支持磁吸附功能，可以满足带有磁吸的板擦等教具进行吸附在副屏上。</w:t>
                  </w:r>
                </w:p>
                <w:p w14:paraId="68ADDC25">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5、▲采用红外触控技术，支持整机设备系统中进行≥40点触控。采用低反射防眩光技术。</w:t>
                  </w:r>
                </w:p>
                <w:p w14:paraId="2BDA0697">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6、整机支持全通道4K高清显示，全通道OSD菜单及整机内置系统均支持4K图像显示。</w:t>
                  </w:r>
                </w:p>
                <w:p w14:paraId="35A2F791">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7、整机采用无损伽马无损失，整机NTSC色域覆盖率≥83%。</w:t>
                  </w:r>
                </w:p>
                <w:p w14:paraId="75F98655">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8、▲支持色彩空间可选，包含标准模式和sRGB模式，在sRGB模式下可做到高色准△E≤1.5。</w:t>
                  </w:r>
                </w:p>
                <w:p w14:paraId="18203985">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9、整机采用硬件低蓝光背光技术，蓝光占比（有害蓝光415～455nm能量综合）/（整体蓝光400～500能量综合）≤50%。</w:t>
                  </w:r>
                </w:p>
                <w:p w14:paraId="0C421CCE">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10</w:t>
                  </w:r>
                  <w:r>
                    <w:rPr>
                      <w:rFonts w:hint="eastAsia" w:ascii="仿宋_GB2312" w:hAnsi="仿宋_GB2312" w:eastAsia="仿宋_GB2312" w:cs="仿宋_GB2312"/>
                      <w:sz w:val="21"/>
                      <w:szCs w:val="21"/>
                      <w:highlight w:val="none"/>
                      <w:lang w:eastAsia="zh-CN" w:bidi="ar"/>
                    </w:rPr>
                    <w:t>、支持标准、护眼、HDR、节能、自定义等图像模式，其中自定义模式可以自定义亮度、对比度、饱和度、色温等对显示效果进行进一步调节。</w:t>
                  </w:r>
                </w:p>
                <w:p w14:paraId="6E1E6CF2">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11、整机支持纸质护眼模式，可以在任意通道任意画面任意软件所有显示内容下实现画面纹理的实时调整；支持纸质纹理：牛皮纸、素描纸、水彩纸、水纹纸、宣纸；支持透明度调节；支持色温调节。</w:t>
                  </w:r>
                </w:p>
                <w:p w14:paraId="70B2822A">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12、通过直流背光源，保证显示画面无频闪，支持白颜色背景下最暗亮度≤100nit,用于提升显示对比度；</w:t>
                  </w:r>
                  <w:r>
                    <w:rPr>
                      <w:rFonts w:hint="eastAsia" w:ascii="仿宋_GB2312" w:hAnsi="仿宋_GB2312" w:eastAsia="仿宋_GB2312" w:cs="仿宋_GB2312"/>
                      <w:sz w:val="21"/>
                      <w:szCs w:val="21"/>
                      <w:highlight w:val="none"/>
                      <w:lang w:eastAsia="zh-CN" w:bidi="ar"/>
                    </w:rPr>
                    <w:t>屏幕结合光感调节，能有效减轻视疲劳。</w:t>
                  </w:r>
                </w:p>
                <w:p w14:paraId="169AEC4A">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13、</w:t>
                  </w:r>
                  <w:r>
                    <w:rPr>
                      <w:rFonts w:hint="eastAsia" w:ascii="仿宋_GB2312" w:hAnsi="仿宋_GB2312" w:eastAsia="仿宋_GB2312" w:cs="仿宋_GB2312"/>
                      <w:sz w:val="21"/>
                      <w:szCs w:val="21"/>
                      <w:highlight w:val="none"/>
                      <w:lang w:eastAsia="zh-CN" w:bidi="ar"/>
                    </w:rPr>
                    <w:t>整机内置2.2声道扬声器，额定总功率≥</w:t>
                  </w:r>
                  <w:r>
                    <w:rPr>
                      <w:rFonts w:hint="eastAsia" w:ascii="仿宋_GB2312" w:hAnsi="仿宋_GB2312" w:eastAsia="仿宋_GB2312" w:cs="仿宋_GB2312"/>
                      <w:sz w:val="21"/>
                      <w:szCs w:val="21"/>
                      <w:highlight w:val="none"/>
                      <w:lang w:val="en-US" w:eastAsia="zh-CN" w:bidi="ar"/>
                    </w:rPr>
                    <w:t>6</w:t>
                  </w:r>
                  <w:r>
                    <w:rPr>
                      <w:rFonts w:hint="eastAsia" w:ascii="仿宋_GB2312" w:hAnsi="仿宋_GB2312" w:eastAsia="仿宋_GB2312" w:cs="仿宋_GB2312"/>
                      <w:sz w:val="21"/>
                      <w:szCs w:val="21"/>
                      <w:highlight w:val="none"/>
                      <w:lang w:eastAsia="zh-CN" w:bidi="ar"/>
                    </w:rPr>
                    <w:t>0W；内置非独立外扩展的8阵列麦克风，拾音角度≥180°，拾音距离≥12m。</w:t>
                  </w:r>
                </w:p>
                <w:p w14:paraId="080AC42B">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14、▲</w:t>
                  </w:r>
                  <w:r>
                    <w:rPr>
                      <w:rFonts w:hint="eastAsia" w:ascii="仿宋_GB2312" w:hAnsi="仿宋_GB2312" w:eastAsia="仿宋_GB2312" w:cs="仿宋_GB2312"/>
                      <w:sz w:val="21"/>
                      <w:szCs w:val="21"/>
                      <w:highlight w:val="none"/>
                      <w:lang w:eastAsia="zh-CN" w:bidi="ar"/>
                    </w:rPr>
                    <w:t>整机上边框内置非独立式摄像头，采用一体化集成设计，摄像头数量≥1个。内置摄像头≥</w:t>
                  </w:r>
                  <w:r>
                    <w:rPr>
                      <w:rFonts w:hint="eastAsia" w:ascii="仿宋_GB2312" w:hAnsi="仿宋_GB2312" w:eastAsia="仿宋_GB2312" w:cs="仿宋_GB2312"/>
                      <w:sz w:val="21"/>
                      <w:szCs w:val="21"/>
                      <w:highlight w:val="none"/>
                      <w:lang w:val="en-US" w:eastAsia="zh-CN" w:bidi="ar"/>
                    </w:rPr>
                    <w:t>1个</w:t>
                  </w:r>
                  <w:r>
                    <w:rPr>
                      <w:rFonts w:hint="eastAsia" w:ascii="仿宋_GB2312" w:hAnsi="仿宋_GB2312" w:eastAsia="仿宋_GB2312" w:cs="仿宋_GB2312"/>
                      <w:sz w:val="21"/>
                      <w:szCs w:val="21"/>
                      <w:highlight w:val="none"/>
                      <w:lang w:eastAsia="zh-CN" w:bidi="ar"/>
                    </w:rPr>
                    <w:t>，像素值均≥</w:t>
                  </w:r>
                  <w:r>
                    <w:rPr>
                      <w:rFonts w:hint="eastAsia" w:ascii="仿宋_GB2312" w:hAnsi="仿宋_GB2312" w:eastAsia="仿宋_GB2312" w:cs="仿宋_GB2312"/>
                      <w:sz w:val="21"/>
                      <w:szCs w:val="21"/>
                      <w:highlight w:val="none"/>
                      <w:lang w:val="en-US" w:eastAsia="zh-CN" w:bidi="ar"/>
                    </w:rPr>
                    <w:t>3000</w:t>
                  </w:r>
                  <w:r>
                    <w:rPr>
                      <w:rFonts w:hint="eastAsia" w:ascii="仿宋_GB2312" w:hAnsi="仿宋_GB2312" w:eastAsia="仿宋_GB2312" w:cs="仿宋_GB2312"/>
                      <w:sz w:val="21"/>
                      <w:szCs w:val="21"/>
                      <w:highlight w:val="none"/>
                      <w:lang w:eastAsia="zh-CN" w:bidi="ar"/>
                    </w:rPr>
                    <w:t>万。</w:t>
                  </w:r>
                </w:p>
                <w:p w14:paraId="108902A1">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15、</w:t>
                  </w:r>
                  <w:r>
                    <w:rPr>
                      <w:rFonts w:hint="eastAsia" w:ascii="仿宋_GB2312" w:hAnsi="仿宋_GB2312" w:eastAsia="仿宋_GB2312" w:cs="仿宋_GB2312"/>
                      <w:sz w:val="21"/>
                      <w:szCs w:val="21"/>
                      <w:highlight w:val="none"/>
                      <w:lang w:eastAsia="zh-CN" w:bidi="ar"/>
                    </w:rPr>
                    <w:t>整机具备</w:t>
                  </w:r>
                  <w:r>
                    <w:rPr>
                      <w:rFonts w:hint="eastAsia" w:ascii="仿宋_GB2312" w:hAnsi="仿宋_GB2312" w:eastAsia="仿宋_GB2312" w:cs="仿宋_GB2312"/>
                      <w:sz w:val="21"/>
                      <w:szCs w:val="21"/>
                      <w:highlight w:val="none"/>
                      <w:lang w:val="en-US" w:eastAsia="zh-CN" w:bidi="ar"/>
                    </w:rPr>
                    <w:t>前置中文物理按键≥</w:t>
                  </w:r>
                  <w:r>
                    <w:rPr>
                      <w:rFonts w:hint="eastAsia" w:ascii="仿宋_GB2312" w:hAnsi="仿宋_GB2312" w:eastAsia="仿宋_GB2312" w:cs="仿宋_GB2312"/>
                      <w:sz w:val="21"/>
                      <w:szCs w:val="21"/>
                      <w:highlight w:val="none"/>
                      <w:lang w:eastAsia="zh-CN" w:bidi="ar"/>
                    </w:rPr>
                    <w:t>6个，支持≥2个自定义前置按键；可通过自定义设置实现前置面板功能按键一键启用任一全局小工具或某功能快捷开关。</w:t>
                  </w:r>
                </w:p>
                <w:p w14:paraId="17F0B4D2">
                  <w:pPr>
                    <w:pStyle w:val="2"/>
                    <w:spacing w:line="240" w:lineRule="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bidi="ar"/>
                    </w:rPr>
                    <w:t>16、▲嵌入式安卓系统版本≥Android14，内存≥4GB，存储空间≥32GB。</w:t>
                  </w:r>
                </w:p>
                <w:p w14:paraId="1B36D783">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二、功能拓展</w:t>
                  </w:r>
                </w:p>
                <w:p w14:paraId="4B3002AB">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1、整机支持蓝牙Bluetooth5.</w:t>
                  </w:r>
                  <w:r>
                    <w:rPr>
                      <w:rFonts w:hint="eastAsia" w:ascii="仿宋_GB2312" w:hAnsi="仿宋_GB2312" w:eastAsia="仿宋_GB2312" w:cs="仿宋_GB2312"/>
                      <w:sz w:val="21"/>
                      <w:szCs w:val="21"/>
                      <w:highlight w:val="none"/>
                      <w:lang w:val="en-US" w:eastAsia="zh-CN" w:bidi="ar"/>
                    </w:rPr>
                    <w:t>4</w:t>
                  </w:r>
                  <w:r>
                    <w:rPr>
                      <w:rFonts w:hint="eastAsia" w:ascii="仿宋_GB2312" w:hAnsi="仿宋_GB2312" w:eastAsia="仿宋_GB2312" w:cs="仿宋_GB2312"/>
                      <w:sz w:val="21"/>
                      <w:szCs w:val="21"/>
                      <w:highlight w:val="none"/>
                      <w:lang w:eastAsia="zh-CN" w:bidi="ar"/>
                    </w:rPr>
                    <w:t>标准。Wi-Fi制式支持IEEE802.11a/b/g/n/ac/ax；支持版本Wi-Fi6。</w:t>
                  </w:r>
                </w:p>
                <w:p w14:paraId="25AD6E40">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2、Wi-Fi及AP热点支持连接带无线模块功能的学生终端，Wi-Fi和AP热点工作距离≥12m，部署单根网线可实现Android、Windows双系统有线网络连通。</w:t>
                  </w:r>
                </w:p>
                <w:p w14:paraId="01B9F679">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3</w:t>
                  </w:r>
                  <w:r>
                    <w:rPr>
                      <w:rFonts w:hint="eastAsia" w:ascii="仿宋_GB2312" w:hAnsi="仿宋_GB2312" w:eastAsia="仿宋_GB2312" w:cs="仿宋_GB2312"/>
                      <w:sz w:val="21"/>
                      <w:szCs w:val="21"/>
                      <w:highlight w:val="none"/>
                      <w:lang w:eastAsia="zh-CN" w:bidi="ar"/>
                    </w:rPr>
                    <w:t>、</w:t>
                  </w:r>
                  <w:r>
                    <w:rPr>
                      <w:rFonts w:hint="eastAsia" w:ascii="仿宋_GB2312" w:hAnsi="仿宋_GB2312" w:eastAsia="仿宋_GB2312" w:cs="仿宋_GB2312"/>
                      <w:sz w:val="21"/>
                      <w:szCs w:val="21"/>
                      <w:highlight w:val="none"/>
                      <w:lang w:val="en-US" w:eastAsia="zh-CN" w:bidi="ar"/>
                    </w:rPr>
                    <w:t>整机蓝牙支持连接外部蓝牙音箱播放音频，也能接收移动终端通过蓝牙发送的文件。整机内置的蓝牙及Wi-Fi模块支持便捷拆除及恢复，确保特殊应用场景下的信息安全。</w:t>
                  </w:r>
                </w:p>
                <w:p w14:paraId="2320C184">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4、▲整机具备前置Type-C接口，</w:t>
                  </w:r>
                  <w:r>
                    <w:rPr>
                      <w:rFonts w:hint="eastAsia" w:ascii="仿宋_GB2312" w:hAnsi="仿宋_GB2312" w:eastAsia="仿宋_GB2312" w:cs="仿宋_GB2312"/>
                      <w:sz w:val="21"/>
                      <w:szCs w:val="21"/>
                      <w:highlight w:val="none"/>
                      <w:lang w:eastAsia="zh-CN" w:bidi="ar"/>
                    </w:rPr>
                    <w:t>外接电脑设备经双头Type-C线连接至整机，</w:t>
                  </w:r>
                  <w:r>
                    <w:rPr>
                      <w:rFonts w:hint="eastAsia" w:ascii="仿宋_GB2312" w:hAnsi="仿宋_GB2312" w:eastAsia="仿宋_GB2312" w:cs="仿宋_GB2312"/>
                      <w:sz w:val="21"/>
                      <w:szCs w:val="21"/>
                      <w:highlight w:val="none"/>
                      <w:lang w:val="en-US" w:eastAsia="zh-CN" w:bidi="ar"/>
                    </w:rPr>
                    <w:t>通过Type-C接口实</w:t>
                  </w:r>
                  <w:r>
                    <w:rPr>
                      <w:rFonts w:hint="eastAsia" w:ascii="仿宋_GB2312" w:hAnsi="仿宋_GB2312" w:eastAsia="仿宋_GB2312" w:cs="仿宋_GB2312"/>
                      <w:sz w:val="21"/>
                      <w:szCs w:val="21"/>
                      <w:highlight w:val="none"/>
                      <w:lang w:eastAsia="zh-CN" w:bidi="ar"/>
                    </w:rPr>
                    <w:t>现音视频输入，Type-C</w:t>
                  </w:r>
                  <w:r>
                    <w:rPr>
                      <w:rFonts w:hint="eastAsia" w:ascii="仿宋_GB2312" w:hAnsi="仿宋_GB2312" w:eastAsia="仿宋_GB2312" w:cs="仿宋_GB2312"/>
                      <w:sz w:val="21"/>
                      <w:szCs w:val="21"/>
                      <w:highlight w:val="none"/>
                      <w:lang w:val="en-US" w:eastAsia="zh-CN" w:bidi="ar"/>
                    </w:rPr>
                    <w:t>充电功率</w:t>
                  </w:r>
                  <w:r>
                    <w:rPr>
                      <w:rFonts w:hint="eastAsia" w:ascii="仿宋_GB2312" w:hAnsi="仿宋_GB2312" w:eastAsia="仿宋_GB2312" w:cs="仿宋_GB2312"/>
                      <w:sz w:val="21"/>
                      <w:szCs w:val="21"/>
                      <w:highlight w:val="none"/>
                      <w:lang w:eastAsia="zh-CN" w:bidi="ar"/>
                    </w:rPr>
                    <w:t>≥</w:t>
                  </w:r>
                  <w:r>
                    <w:rPr>
                      <w:rFonts w:hint="eastAsia" w:ascii="仿宋_GB2312" w:hAnsi="仿宋_GB2312" w:eastAsia="仿宋_GB2312" w:cs="仿宋_GB2312"/>
                      <w:sz w:val="21"/>
                      <w:szCs w:val="21"/>
                      <w:highlight w:val="none"/>
                      <w:lang w:val="en-US" w:eastAsia="zh-CN" w:bidi="ar"/>
                    </w:rPr>
                    <w:t>65W</w:t>
                  </w:r>
                  <w:r>
                    <w:rPr>
                      <w:rFonts w:hint="eastAsia" w:ascii="仿宋_GB2312" w:hAnsi="仿宋_GB2312" w:eastAsia="仿宋_GB2312" w:cs="仿宋_GB2312"/>
                      <w:sz w:val="21"/>
                      <w:szCs w:val="21"/>
                      <w:highlight w:val="none"/>
                      <w:lang w:eastAsia="zh-CN" w:bidi="ar"/>
                    </w:rPr>
                    <w:t>。</w:t>
                  </w:r>
                </w:p>
                <w:p w14:paraId="20CB75BB">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5、▲整机内置的蓝牙及Wi-Fi模块支持便捷拆除及恢复，确保特殊应用场景下的信息安全。</w:t>
                  </w:r>
                </w:p>
                <w:p w14:paraId="0D33B4A9">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6</w:t>
                  </w:r>
                  <w:r>
                    <w:rPr>
                      <w:rFonts w:hint="eastAsia" w:ascii="仿宋_GB2312" w:hAnsi="仿宋_GB2312" w:eastAsia="仿宋_GB2312" w:cs="仿宋_GB2312"/>
                      <w:sz w:val="21"/>
                      <w:szCs w:val="21"/>
                      <w:highlight w:val="none"/>
                      <w:lang w:eastAsia="zh-CN" w:bidi="ar"/>
                    </w:rPr>
                    <w:t>、支持通道自动跳转功能，接入外接设备后，能自动识别并切换到对应的信号源通道，切换前弹出确认选项，且断开后能回到上一通道。</w:t>
                  </w:r>
                </w:p>
                <w:p w14:paraId="3A83679C">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7</w:t>
                  </w:r>
                  <w:r>
                    <w:rPr>
                      <w:rFonts w:hint="eastAsia" w:ascii="仿宋_GB2312" w:hAnsi="仿宋_GB2312" w:eastAsia="仿宋_GB2312" w:cs="仿宋_GB2312"/>
                      <w:sz w:val="21"/>
                      <w:szCs w:val="21"/>
                      <w:highlight w:val="none"/>
                      <w:lang w:eastAsia="zh-CN" w:bidi="ar"/>
                    </w:rPr>
                    <w:t>、整机设备和全部外接通道（HDMI、Type-c）下侧边栏支持具备分级降屏（1/3、1/2）功能，用户可以根据使用情况自行选择降。全通道下可支持通过自定义按键调出该功能。</w:t>
                  </w:r>
                </w:p>
                <w:p w14:paraId="6D03D3EF">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val="en-US" w:eastAsia="zh-CN" w:bidi="ar"/>
                    </w:rPr>
                    <w:t>8</w:t>
                  </w:r>
                  <w:r>
                    <w:rPr>
                      <w:rFonts w:hint="eastAsia" w:ascii="仿宋_GB2312" w:hAnsi="仿宋_GB2312" w:eastAsia="仿宋_GB2312" w:cs="仿宋_GB2312"/>
                      <w:sz w:val="21"/>
                      <w:szCs w:val="21"/>
                      <w:highlight w:val="none"/>
                      <w:lang w:eastAsia="zh-CN" w:bidi="ar"/>
                    </w:rPr>
                    <w:t>、侧置输入接口≥2路HDMI、侧置输入接口≥1路RS232、侧置输入接口≥1路USB接口；输出接口≥1路音频输出、输出接口≥1路触控USB输出；前置输入接口≥3路USB接口（包含1路Type-C、2路USB）。</w:t>
                  </w:r>
                </w:p>
                <w:p w14:paraId="49CAB684">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9、设备</w:t>
                  </w:r>
                  <w:r>
                    <w:rPr>
                      <w:rFonts w:hint="eastAsia" w:ascii="仿宋_GB2312" w:hAnsi="仿宋_GB2312" w:eastAsia="仿宋_GB2312" w:cs="仿宋_GB2312"/>
                      <w:sz w:val="21"/>
                      <w:szCs w:val="21"/>
                      <w:highlight w:val="none"/>
                      <w:lang w:eastAsia="zh-CN" w:bidi="ar"/>
                    </w:rPr>
                    <w:t>支持在节能状态下通过长按电源键进入还原界面，还原操作时需通过密码验证。</w:t>
                  </w:r>
                </w:p>
                <w:p w14:paraId="176B8EB1">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eastAsia="zh-CN" w:bidi="ar"/>
                    </w:rPr>
                    <w:t>三、</w:t>
                  </w:r>
                  <w:r>
                    <w:rPr>
                      <w:rFonts w:hint="eastAsia" w:ascii="仿宋_GB2312" w:hAnsi="仿宋_GB2312" w:eastAsia="仿宋_GB2312" w:cs="仿宋_GB2312"/>
                      <w:sz w:val="21"/>
                      <w:szCs w:val="21"/>
                      <w:highlight w:val="none"/>
                      <w:lang w:val="en-US" w:eastAsia="zh-CN" w:bidi="ar"/>
                    </w:rPr>
                    <w:t>教学桌面</w:t>
                  </w:r>
                </w:p>
                <w:p w14:paraId="047D3BBA">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1、整机设备开机启动后，自动进入教学桌面，支持账号登录、退出，自动获取个人云端教学课件列表。</w:t>
                  </w:r>
                </w:p>
                <w:p w14:paraId="48A32B89">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2、教学桌面支持教学常用的教学白板软件、视频展台软件、授课助手软件、WPS、文件管理器等；</w:t>
                  </w:r>
                </w:p>
                <w:p w14:paraId="1EC3AC70">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3、提供进入本机所有应用的入口，满足教师授课需要。桌面软件支持自定义设置。</w:t>
                  </w:r>
                </w:p>
                <w:p w14:paraId="326C9821">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4、</w:t>
                  </w:r>
                  <w:r>
                    <w:rPr>
                      <w:rFonts w:hint="eastAsia" w:ascii="仿宋_GB2312" w:hAnsi="仿宋_GB2312" w:eastAsia="仿宋_GB2312" w:cs="仿宋_GB2312"/>
                      <w:sz w:val="21"/>
                      <w:szCs w:val="21"/>
                      <w:highlight w:val="none"/>
                      <w:lang w:eastAsia="zh-CN" w:bidi="ar"/>
                    </w:rPr>
                    <w:t>▲</w:t>
                  </w:r>
                  <w:r>
                    <w:rPr>
                      <w:rFonts w:hint="eastAsia" w:ascii="仿宋_GB2312" w:hAnsi="仿宋_GB2312" w:eastAsia="仿宋_GB2312" w:cs="仿宋_GB2312"/>
                      <w:sz w:val="21"/>
                      <w:szCs w:val="21"/>
                      <w:highlight w:val="none"/>
                      <w:lang w:val="en-US" w:eastAsia="zh-CN" w:bidi="ar"/>
                    </w:rPr>
                    <w:t>整机教学桌面支持画报轮播功能，通过主页快捷入口可自定义轮播内容、轮播间隔、播放时间等。</w:t>
                  </w:r>
                </w:p>
                <w:p w14:paraId="1D54A916">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四、</w:t>
                  </w:r>
                  <w:r>
                    <w:rPr>
                      <w:rFonts w:hint="eastAsia" w:ascii="仿宋_GB2312" w:hAnsi="仿宋_GB2312" w:eastAsia="仿宋_GB2312" w:cs="仿宋_GB2312"/>
                      <w:sz w:val="21"/>
                      <w:szCs w:val="21"/>
                      <w:highlight w:val="none"/>
                      <w:lang w:val="en-US" w:eastAsia="zh-CN" w:bidi="ar"/>
                    </w:rPr>
                    <w:t>教学</w:t>
                  </w:r>
                  <w:r>
                    <w:rPr>
                      <w:rFonts w:hint="eastAsia" w:ascii="仿宋_GB2312" w:hAnsi="仿宋_GB2312" w:eastAsia="仿宋_GB2312" w:cs="仿宋_GB2312"/>
                      <w:sz w:val="21"/>
                      <w:szCs w:val="21"/>
                      <w:highlight w:val="none"/>
                      <w:lang w:eastAsia="zh-CN" w:bidi="ar"/>
                    </w:rPr>
                    <w:t>软件</w:t>
                  </w:r>
                </w:p>
                <w:p w14:paraId="53AC91C1">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1、</w:t>
                  </w:r>
                  <w:r>
                    <w:rPr>
                      <w:rFonts w:hint="eastAsia" w:ascii="仿宋_GB2312" w:hAnsi="仿宋_GB2312" w:eastAsia="仿宋_GB2312" w:cs="仿宋_GB2312"/>
                      <w:sz w:val="21"/>
                      <w:szCs w:val="21"/>
                      <w:highlight w:val="none"/>
                      <w:lang w:val="en-US" w:eastAsia="zh-CN" w:bidi="ar"/>
                    </w:rPr>
                    <w:t>教师个人账号无需完成特定任务，即</w:t>
                  </w:r>
                  <w:r>
                    <w:rPr>
                      <w:rFonts w:hint="eastAsia" w:ascii="仿宋_GB2312" w:hAnsi="仿宋_GB2312" w:eastAsia="仿宋_GB2312" w:cs="仿宋_GB2312"/>
                      <w:sz w:val="21"/>
                      <w:szCs w:val="21"/>
                      <w:highlight w:val="none"/>
                      <w:lang w:eastAsia="zh-CN" w:bidi="ar"/>
                    </w:rPr>
                    <w:t>能够为教师提供≥300G的云存储空间，教师可在个人云空间中上传存储互动课件、ppt、word、pdf等文档，导入后保留原有格式，可以移动调整文件，能够对文件进行重命名、删除操作。</w:t>
                  </w:r>
                </w:p>
                <w:p w14:paraId="5427FDDC">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2、为使用</w:t>
                  </w:r>
                  <w:r>
                    <w:rPr>
                      <w:rFonts w:hint="eastAsia" w:ascii="仿宋_GB2312" w:hAnsi="仿宋_GB2312" w:eastAsia="仿宋_GB2312" w:cs="仿宋_GB2312"/>
                      <w:sz w:val="21"/>
                      <w:szCs w:val="21"/>
                      <w:highlight w:val="none"/>
                      <w:lang w:val="en-US" w:eastAsia="zh-CN" w:bidi="ar"/>
                    </w:rPr>
                    <w:t>方便，</w:t>
                  </w:r>
                  <w:r>
                    <w:rPr>
                      <w:rFonts w:hint="eastAsia" w:ascii="仿宋_GB2312" w:hAnsi="仿宋_GB2312" w:eastAsia="仿宋_GB2312" w:cs="仿宋_GB2312"/>
                      <w:sz w:val="21"/>
                      <w:szCs w:val="21"/>
                      <w:highlight w:val="none"/>
                      <w:lang w:eastAsia="zh-CN" w:bidi="ar"/>
                    </w:rPr>
                    <w:t>全体教师配备个人账号，形成一体的信息化教学账号体系，支持账户关联个人云空间与校本资源库。支持通过账号密码、手机扫码登录教师个人账号。</w:t>
                  </w:r>
                </w:p>
                <w:p w14:paraId="1EA7B5A8">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3、支持教师将PDF电子教材上传至我的书架，或从校本资源库添加到我的书架；支持教材快速应用到授课；支持教材根据年级、学科、学段等进行分类，管理教材。</w:t>
                  </w:r>
                </w:p>
                <w:p w14:paraId="30025E2D">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4、支持.ppt/.pptx、doc/.docx</w:t>
                  </w:r>
                  <w:r>
                    <w:rPr>
                      <w:rFonts w:hint="eastAsia" w:ascii="仿宋_GB2312" w:hAnsi="仿宋_GB2312" w:eastAsia="仿宋_GB2312" w:cs="仿宋_GB2312"/>
                      <w:sz w:val="21"/>
                      <w:szCs w:val="21"/>
                      <w:highlight w:val="none"/>
                      <w:lang w:val="en-US" w:eastAsia="zh-CN" w:bidi="ar"/>
                    </w:rPr>
                    <w:t>格式</w:t>
                  </w:r>
                  <w:r>
                    <w:rPr>
                      <w:rFonts w:hint="eastAsia" w:ascii="仿宋_GB2312" w:hAnsi="仿宋_GB2312" w:eastAsia="仿宋_GB2312" w:cs="仿宋_GB2312"/>
                      <w:sz w:val="21"/>
                      <w:szCs w:val="21"/>
                      <w:highlight w:val="none"/>
                      <w:lang w:eastAsia="zh-CN" w:bidi="ar"/>
                    </w:rPr>
                    <w:t>文档导入，导入后保留原有文档格式，导入支持任意版本Office或WPS制作的PPT文档。</w:t>
                  </w:r>
                </w:p>
                <w:p w14:paraId="79422284">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eastAsia="zh-CN" w:bidi="ar"/>
                    </w:rPr>
                    <w:t>5、</w:t>
                  </w:r>
                  <w:r>
                    <w:rPr>
                      <w:rFonts w:hint="eastAsia" w:ascii="仿宋_GB2312" w:hAnsi="仿宋_GB2312" w:eastAsia="仿宋_GB2312" w:cs="仿宋_GB2312"/>
                      <w:sz w:val="21"/>
                      <w:szCs w:val="21"/>
                      <w:highlight w:val="none"/>
                      <w:lang w:val="en-US" w:eastAsia="zh-CN" w:bidi="ar"/>
                    </w:rPr>
                    <w:t>提供拼音卡片、古诗词、汉字卡片、听写、数学函数、英汉词典、化学元素周期、化学方程、实验图例、星球等至少16种学科工具，可一键插入课件；</w:t>
                  </w:r>
                </w:p>
                <w:p w14:paraId="404CD22C">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6、</w:t>
                  </w:r>
                  <w:r>
                    <w:rPr>
                      <w:rFonts w:hint="eastAsia" w:ascii="仿宋_GB2312" w:hAnsi="仿宋_GB2312" w:eastAsia="仿宋_GB2312" w:cs="仿宋_GB2312"/>
                      <w:sz w:val="21"/>
                      <w:szCs w:val="21"/>
                      <w:highlight w:val="none"/>
                      <w:lang w:val="en-US" w:eastAsia="zh-CN" w:bidi="ar"/>
                    </w:rPr>
                    <w:t>提供多种课堂活动设计模板，支持编辑、智能生题、AI生题，一键添加所有题目到活动中</w:t>
                  </w:r>
                  <w:r>
                    <w:rPr>
                      <w:rFonts w:hint="eastAsia" w:ascii="仿宋_GB2312" w:hAnsi="仿宋_GB2312" w:eastAsia="仿宋_GB2312" w:cs="仿宋_GB2312"/>
                      <w:sz w:val="21"/>
                      <w:szCs w:val="21"/>
                      <w:highlight w:val="none"/>
                      <w:lang w:eastAsia="zh-CN" w:bidi="ar"/>
                    </w:rPr>
                    <w:t>；</w:t>
                  </w:r>
                </w:p>
                <w:p w14:paraId="2BF1411D">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eastAsia="zh-CN" w:bidi="ar"/>
                    </w:rPr>
                    <w:t>7、▲</w:t>
                  </w:r>
                  <w:r>
                    <w:rPr>
                      <w:rFonts w:hint="eastAsia" w:ascii="仿宋_GB2312" w:hAnsi="仿宋_GB2312" w:eastAsia="仿宋_GB2312" w:cs="仿宋_GB2312"/>
                      <w:sz w:val="21"/>
                      <w:szCs w:val="21"/>
                      <w:highlight w:val="none"/>
                      <w:lang w:val="en-US" w:eastAsia="zh-CN" w:bidi="ar"/>
                    </w:rPr>
                    <w:t>支持借助大模型功能辅助教师备课。可以进行学科自由问答、备课助手、图片生成、解题等功能；</w:t>
                  </w:r>
                </w:p>
                <w:p w14:paraId="2604DAD2">
                  <w:pPr>
                    <w:widowControl/>
                    <w:spacing w:line="240" w:lineRule="auto"/>
                    <w:jc w:val="left"/>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sz w:val="21"/>
                      <w:szCs w:val="21"/>
                      <w:highlight w:val="none"/>
                      <w:lang w:eastAsia="zh-CN" w:bidi="ar"/>
                    </w:rPr>
                    <w:t>8、有在线资源，</w:t>
                  </w:r>
                  <w:r>
                    <w:rPr>
                      <w:rFonts w:hint="eastAsia" w:ascii="仿宋_GB2312" w:hAnsi="仿宋_GB2312" w:eastAsia="仿宋_GB2312" w:cs="仿宋_GB2312"/>
                      <w:sz w:val="21"/>
                      <w:szCs w:val="21"/>
                      <w:highlight w:val="none"/>
                      <w:lang w:val="en-US" w:eastAsia="zh-CN" w:bidi="ar"/>
                    </w:rPr>
                    <w:t>包含</w:t>
                  </w:r>
                  <w:r>
                    <w:rPr>
                      <w:rFonts w:hint="eastAsia" w:ascii="仿宋_GB2312" w:hAnsi="仿宋_GB2312" w:eastAsia="仿宋_GB2312" w:cs="仿宋_GB2312"/>
                      <w:sz w:val="21"/>
                      <w:szCs w:val="21"/>
                      <w:highlight w:val="none"/>
                      <w:lang w:eastAsia="zh-CN" w:bidi="ar"/>
                    </w:rPr>
                    <w:t>名校≥300所，覆盖≥27个省份，涵盖小初高学段，包括语文、数学、英语等多个学科。≥400+份教学资源，包含教案、课件、习题等分类。名师600+份教学资源，涵盖语文、数学、英语、物理、化学、生物、政治、历史、地理等多个学科，覆盖小初高学段。所有资源支持在线下载。</w:t>
                  </w:r>
                </w:p>
                <w:p w14:paraId="0EAEA2E7">
                  <w:pPr>
                    <w:widowControl/>
                    <w:spacing w:line="240" w:lineRule="auto"/>
                    <w:jc w:val="left"/>
                    <w:textAlignment w:val="center"/>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9、教学软件连通国家公共资源平台，中小学、职业教育、高等教育等入口，支持将网页通过超链接形式插入到课件。</w:t>
                  </w:r>
                </w:p>
                <w:p w14:paraId="3B1D90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10</w:t>
                  </w:r>
                  <w:r>
                    <w:rPr>
                      <w:rFonts w:hint="eastAsia" w:ascii="仿宋_GB2312" w:hAnsi="仿宋_GB2312" w:eastAsia="仿宋_GB2312" w:cs="仿宋_GB2312"/>
                      <w:sz w:val="21"/>
                      <w:szCs w:val="21"/>
                      <w:highlight w:val="none"/>
                      <w:lang w:eastAsia="zh-CN" w:bidi="ar"/>
                    </w:rPr>
                    <w:t>、采用备授课一体化框架设计，教师可根据教学场景自由切换类PPT界面的备课模式与触控交互教学模式。</w:t>
                  </w:r>
                </w:p>
              </w:tc>
              <w:tc>
                <w:tcPr>
                  <w:tcW w:w="499" w:type="pct"/>
                  <w:shd w:val="clear" w:color="auto" w:fill="auto"/>
                  <w:vAlign w:val="center"/>
                </w:tcPr>
                <w:p w14:paraId="114D51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40</w:t>
                  </w:r>
                </w:p>
              </w:tc>
            </w:tr>
            <w:tr w14:paraId="38B0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08" w:type="pct"/>
                  <w:shd w:val="clear" w:color="auto" w:fill="auto"/>
                  <w:vAlign w:val="center"/>
                </w:tcPr>
                <w:p w14:paraId="2FE651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7</w:t>
                  </w:r>
                </w:p>
              </w:tc>
              <w:tc>
                <w:tcPr>
                  <w:tcW w:w="641" w:type="pct"/>
                  <w:shd w:val="clear" w:color="auto" w:fill="auto"/>
                  <w:vAlign w:val="center"/>
                </w:tcPr>
                <w:p w14:paraId="05509D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OPS配置</w:t>
                  </w:r>
                </w:p>
              </w:tc>
              <w:tc>
                <w:tcPr>
                  <w:tcW w:w="3350" w:type="pct"/>
                  <w:shd w:val="clear" w:color="auto" w:fill="auto"/>
                  <w:vAlign w:val="center"/>
                </w:tcPr>
                <w:p w14:paraId="56B8F5B8">
                  <w:pPr>
                    <w:widowControl/>
                    <w:numPr>
                      <w:ilvl w:val="0"/>
                      <w:numId w:val="4"/>
                    </w:numPr>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处理器采用核心数≥8核心，线程≥ 12线程 ，主频≥2.0GHz；</w:t>
                  </w:r>
                </w:p>
                <w:p w14:paraId="396C6FC3">
                  <w:pPr>
                    <w:widowControl/>
                    <w:spacing w:line="240" w:lineRule="auto"/>
                    <w:jc w:val="left"/>
                    <w:textAlignment w:val="center"/>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2、内存配置≥8GBDDR4；SSD固态硬盘≥256GB。</w:t>
                  </w:r>
                </w:p>
                <w:p w14:paraId="42E79071">
                  <w:pPr>
                    <w:widowControl/>
                    <w:spacing w:line="240" w:lineRule="auto"/>
                    <w:jc w:val="left"/>
                    <w:textAlignment w:val="center"/>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3、PC模块可抽拉式插入整机，可实现无单独接线的插拔。</w:t>
                  </w:r>
                </w:p>
                <w:p w14:paraId="5A75C38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sz w:val="21"/>
                      <w:szCs w:val="21"/>
                      <w:lang w:val="en-US" w:eastAsia="zh-CN" w:bidi="ar"/>
                    </w:rPr>
                    <w:t>4、具有独立非外扩展接口：≥1路HDMI，＞3路USB。</w:t>
                  </w:r>
                </w:p>
              </w:tc>
              <w:tc>
                <w:tcPr>
                  <w:tcW w:w="499" w:type="pct"/>
                  <w:shd w:val="clear" w:color="auto" w:fill="auto"/>
                  <w:vAlign w:val="center"/>
                </w:tcPr>
                <w:p w14:paraId="411192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40</w:t>
                  </w:r>
                </w:p>
              </w:tc>
            </w:tr>
            <w:tr w14:paraId="1794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8" w:type="pct"/>
                  <w:shd w:val="clear" w:color="auto" w:fill="auto"/>
                  <w:vAlign w:val="center"/>
                </w:tcPr>
                <w:p w14:paraId="451105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8</w:t>
                  </w:r>
                </w:p>
              </w:tc>
              <w:tc>
                <w:tcPr>
                  <w:tcW w:w="641" w:type="pct"/>
                  <w:shd w:val="clear" w:color="auto" w:fill="auto"/>
                  <w:vAlign w:val="center"/>
                </w:tcPr>
                <w:p w14:paraId="3112BD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音箱</w:t>
                  </w:r>
                </w:p>
              </w:tc>
              <w:tc>
                <w:tcPr>
                  <w:tcW w:w="3350" w:type="pct"/>
                  <w:shd w:val="clear" w:color="auto" w:fill="auto"/>
                  <w:vAlign w:val="center"/>
                </w:tcPr>
                <w:p w14:paraId="57E2F356">
                  <w:pPr>
                    <w:widowControl/>
                    <w:spacing w:line="240" w:lineRule="auto"/>
                    <w:jc w:val="left"/>
                    <w:textAlignment w:val="center"/>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额定功率</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rPr>
                    <w:t>65W</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2、额定阻抗</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rPr>
                    <w:t>4Ω</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3、频率响应</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rPr>
                    <w:t>55Hz-18kHz</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4、驱动器</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rPr>
                    <w:t>1个6.5寸长冲程低音驱动器、</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rPr>
                    <w:t>1个前纸盆高音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、灵敏度</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rPr>
                    <w:t>95dB/1W/1M</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lang w:val="en-US" w:eastAsia="zh-CN" w:bidi="ar"/>
                    </w:rPr>
                    <w:t>6、安装：标配壁挂架</w:t>
                  </w:r>
                </w:p>
                <w:p w14:paraId="186525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bidi="ar"/>
                    </w:rPr>
                    <w:t>7、发射功率≥10dBm</w:t>
                  </w:r>
                  <w:r>
                    <w:rPr>
                      <w:rFonts w:hint="eastAsia" w:ascii="仿宋_GB2312" w:hAnsi="仿宋_GB2312" w:eastAsia="仿宋_GB2312" w:cs="仿宋_GB2312"/>
                      <w:sz w:val="21"/>
                      <w:szCs w:val="21"/>
                      <w:lang w:val="en-US" w:eastAsia="zh-CN" w:bidi="ar"/>
                    </w:rPr>
                    <w:br w:type="textWrapping"/>
                  </w:r>
                  <w:r>
                    <w:rPr>
                      <w:rFonts w:hint="eastAsia" w:ascii="仿宋_GB2312" w:hAnsi="仿宋_GB2312" w:eastAsia="仿宋_GB2312" w:cs="仿宋_GB2312"/>
                      <w:sz w:val="21"/>
                      <w:szCs w:val="21"/>
                      <w:lang w:val="en-US" w:eastAsia="zh-CN" w:bidi="ar"/>
                    </w:rPr>
                    <w:t>8、最大工作距离≥15M</w:t>
                  </w:r>
                  <w:r>
                    <w:rPr>
                      <w:rFonts w:hint="eastAsia" w:ascii="仿宋_GB2312" w:hAnsi="仿宋_GB2312" w:eastAsia="仿宋_GB2312" w:cs="仿宋_GB2312"/>
                      <w:sz w:val="21"/>
                      <w:szCs w:val="21"/>
                      <w:lang w:val="en-US" w:eastAsia="zh-CN" w:bidi="ar"/>
                    </w:rPr>
                    <w:br w:type="textWrapping"/>
                  </w:r>
                  <w:r>
                    <w:rPr>
                      <w:rFonts w:hint="eastAsia" w:ascii="仿宋_GB2312" w:hAnsi="仿宋_GB2312" w:eastAsia="仿宋_GB2312" w:cs="仿宋_GB2312"/>
                      <w:sz w:val="21"/>
                      <w:szCs w:val="21"/>
                      <w:lang w:val="en-US" w:eastAsia="zh-CN" w:bidi="ar"/>
                    </w:rPr>
                    <w:t>9、设备尺寸</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lang w:val="en-US" w:eastAsia="zh-CN" w:bidi="ar"/>
                    </w:rPr>
                    <w:t>155x20x18（单位：mm）</w:t>
                  </w:r>
                </w:p>
              </w:tc>
              <w:tc>
                <w:tcPr>
                  <w:tcW w:w="499" w:type="pct"/>
                  <w:shd w:val="clear" w:color="auto" w:fill="auto"/>
                  <w:vAlign w:val="center"/>
                </w:tcPr>
                <w:p w14:paraId="471C95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40</w:t>
                  </w:r>
                </w:p>
              </w:tc>
            </w:tr>
            <w:tr w14:paraId="196F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08" w:type="pct"/>
                  <w:shd w:val="clear" w:color="auto" w:fill="auto"/>
                  <w:vAlign w:val="center"/>
                </w:tcPr>
                <w:p w14:paraId="3F8742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9</w:t>
                  </w:r>
                </w:p>
              </w:tc>
              <w:tc>
                <w:tcPr>
                  <w:tcW w:w="641" w:type="pct"/>
                  <w:shd w:val="clear" w:color="auto" w:fill="auto"/>
                  <w:vAlign w:val="center"/>
                </w:tcPr>
                <w:p w14:paraId="34F9F4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交换机</w:t>
                  </w:r>
                </w:p>
              </w:tc>
              <w:tc>
                <w:tcPr>
                  <w:tcW w:w="3350" w:type="pct"/>
                  <w:shd w:val="clear" w:color="auto" w:fill="auto"/>
                  <w:vAlign w:val="center"/>
                </w:tcPr>
                <w:p w14:paraId="59E65D3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1、端口供电功能：POE供电；</w:t>
                  </w:r>
                </w:p>
                <w:p w14:paraId="25A82AB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2、外壳材质：金属；</w:t>
                  </w:r>
                </w:p>
                <w:p w14:paraId="4E5F3344">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3、网管类型：非网管；</w:t>
                  </w:r>
                </w:p>
                <w:p w14:paraId="792F622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4、上行端口速率：千兆；</w:t>
                  </w:r>
                </w:p>
                <w:p w14:paraId="19E511B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5、下行端口速率：千兆；</w:t>
                  </w:r>
                </w:p>
                <w:p w14:paraId="702CC3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6、端口数量</w:t>
                  </w:r>
                  <w:r>
                    <w:rPr>
                      <w:rFonts w:hint="eastAsia" w:ascii="仿宋_GB2312" w:hAnsi="仿宋_GB2312" w:eastAsia="仿宋_GB2312" w:cs="仿宋_GB2312"/>
                      <w:sz w:val="21"/>
                      <w:szCs w:val="21"/>
                      <w:lang w:bidi="ar"/>
                    </w:rPr>
                    <w:t>≥</w:t>
                  </w:r>
                  <w:r>
                    <w:rPr>
                      <w:rFonts w:hint="eastAsia" w:ascii="仿宋_GB2312" w:hAnsi="仿宋_GB2312" w:eastAsia="仿宋_GB2312" w:cs="仿宋_GB2312"/>
                      <w:i w:val="0"/>
                      <w:iCs w:val="0"/>
                      <w:color w:val="000000"/>
                      <w:kern w:val="0"/>
                      <w:sz w:val="21"/>
                      <w:szCs w:val="21"/>
                      <w:u w:val="none"/>
                      <w:lang w:val="en-US" w:eastAsia="zh-CN" w:bidi="ar"/>
                    </w:rPr>
                    <w:t>8口；</w:t>
                  </w:r>
                </w:p>
              </w:tc>
              <w:tc>
                <w:tcPr>
                  <w:tcW w:w="499" w:type="pct"/>
                  <w:shd w:val="clear" w:color="auto" w:fill="auto"/>
                  <w:vAlign w:val="center"/>
                </w:tcPr>
                <w:p w14:paraId="11E6C8D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40</w:t>
                  </w:r>
                </w:p>
              </w:tc>
            </w:tr>
            <w:tr w14:paraId="55C1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8" w:type="pct"/>
                  <w:shd w:val="clear" w:color="auto" w:fill="auto"/>
                  <w:vAlign w:val="center"/>
                </w:tcPr>
                <w:p w14:paraId="4AC9DD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641" w:type="pct"/>
                  <w:shd w:val="clear" w:color="auto" w:fill="auto"/>
                  <w:vAlign w:val="center"/>
                </w:tcPr>
                <w:p w14:paraId="06EC4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系统集成</w:t>
                  </w:r>
                </w:p>
              </w:tc>
              <w:tc>
                <w:tcPr>
                  <w:tcW w:w="3350" w:type="pct"/>
                  <w:shd w:val="clear" w:color="auto" w:fill="auto"/>
                  <w:vAlign w:val="center"/>
                </w:tcPr>
                <w:p w14:paraId="0248FB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包含设备的安装、调试、测试及所有线缆辅材、插线板等。</w:t>
                  </w:r>
                </w:p>
              </w:tc>
              <w:tc>
                <w:tcPr>
                  <w:tcW w:w="499" w:type="pct"/>
                  <w:shd w:val="clear" w:color="auto" w:fill="auto"/>
                  <w:vAlign w:val="center"/>
                </w:tcPr>
                <w:p w14:paraId="1263A5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40</w:t>
                  </w:r>
                </w:p>
              </w:tc>
            </w:tr>
          </w:tbl>
          <w:p w14:paraId="331A4560">
            <w:pPr>
              <w:widowControl/>
              <w:numPr>
                <w:ilvl w:val="1"/>
                <w:numId w:val="0"/>
              </w:numPr>
              <w:adjustRightInd w:val="0"/>
              <w:snapToGrid w:val="0"/>
              <w:ind w:firstLine="388" w:firstLineChars="200"/>
              <w:jc w:val="left"/>
              <w:rPr>
                <w:rFonts w:ascii="仿宋" w:hAnsi="仿宋" w:eastAsia="仿宋" w:cs="仿宋"/>
                <w:snapToGrid w:val="0"/>
                <w:color w:val="auto"/>
                <w:spacing w:val="-3"/>
                <w:kern w:val="0"/>
                <w:sz w:val="20"/>
                <w:szCs w:val="20"/>
                <w:highlight w:val="yellow"/>
              </w:rPr>
            </w:pPr>
          </w:p>
        </w:tc>
      </w:tr>
    </w:tbl>
    <w:p w14:paraId="14DA28EE">
      <w:pPr>
        <w:jc w:val="cente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E21DA"/>
    <w:multiLevelType w:val="singleLevel"/>
    <w:tmpl w:val="DCFE21DA"/>
    <w:lvl w:ilvl="0" w:tentative="0">
      <w:start w:val="1"/>
      <w:numFmt w:val="decimal"/>
      <w:suff w:val="nothing"/>
      <w:lvlText w:val="%1、"/>
      <w:lvlJc w:val="left"/>
    </w:lvl>
  </w:abstractNum>
  <w:abstractNum w:abstractNumId="1">
    <w:nsid w:val="F53373EE"/>
    <w:multiLevelType w:val="singleLevel"/>
    <w:tmpl w:val="F53373EE"/>
    <w:lvl w:ilvl="0" w:tentative="0">
      <w:start w:val="1"/>
      <w:numFmt w:val="decimal"/>
      <w:suff w:val="nothing"/>
      <w:lvlText w:val="%1、"/>
      <w:lvlJc w:val="left"/>
    </w:lvl>
  </w:abstractNum>
  <w:abstractNum w:abstractNumId="2">
    <w:nsid w:val="018A1945"/>
    <w:multiLevelType w:val="singleLevel"/>
    <w:tmpl w:val="018A1945"/>
    <w:lvl w:ilvl="0" w:tentative="0">
      <w:start w:val="1"/>
      <w:numFmt w:val="decimal"/>
      <w:suff w:val="nothing"/>
      <w:lvlText w:val="%1、"/>
      <w:lvlJc w:val="left"/>
    </w:lvl>
  </w:abstractNum>
  <w:abstractNum w:abstractNumId="3">
    <w:nsid w:val="31D2698A"/>
    <w:multiLevelType w:val="singleLevel"/>
    <w:tmpl w:val="31D2698A"/>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D760D"/>
    <w:rsid w:val="1AFD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Normal (Web)"/>
    <w:basedOn w:val="1"/>
    <w:qFormat/>
    <w:uiPriority w:val="0"/>
    <w:pPr>
      <w:widowControl/>
      <w:spacing w:beforeAutospacing="1" w:afterAutospacing="1"/>
      <w:jc w:val="left"/>
    </w:pPr>
    <w:rPr>
      <w:rFonts w:ascii="宋体" w:hAnsi="宋体" w:cs="宋体"/>
      <w:kern w:val="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2025-12-09T06:53:00Z</dcterms:created>
  <dc:creator>zl</dc:creator>
  <cp:lastModifiedBy>zl</cp:lastModifiedBy>
  <dcterms:modified xsi:type="dcterms:W3CDTF">2025-12-09T06:54:28Z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CA90B75F1D604E1DBC11B3A1D522B7EC_11</vt:lpwstr>
  </property>
  <property fmtid="{D5CDD505-2E9C-101B-9397-08002B2CF9AE}" pid="4" name="KSOTemplateDocerSaveRecord">
    <vt:lpwstr>eyJoZGlkIjoiNmJkNmEwODUxZTlhY2U2ZTM0OTI0ZDY1ZmQzYTAyZjYiLCJ1c2VySWQiOiIyNzQ5OTcwMTQifQ==</vt:lpwstr>
  </property>
</Properties>
</file>