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E07A">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政府采购项目</w:t>
      </w:r>
    </w:p>
    <w:p w14:paraId="05752078">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项目编号：ZCPC-2025-079</w:t>
      </w:r>
    </w:p>
    <w:p w14:paraId="34C39384">
      <w:pPr>
        <w:rPr>
          <w:rFonts w:hint="eastAsia" w:ascii="宋体" w:hAnsi="宋体" w:eastAsia="宋体" w:cs="宋体"/>
          <w:b/>
          <w:bCs/>
          <w:color w:val="auto"/>
          <w:sz w:val="44"/>
          <w:szCs w:val="44"/>
          <w:highlight w:val="yellow"/>
        </w:rPr>
      </w:pPr>
    </w:p>
    <w:p w14:paraId="2820372A">
      <w:pPr>
        <w:rPr>
          <w:rFonts w:hint="eastAsia" w:ascii="宋体" w:hAnsi="宋体" w:eastAsia="宋体" w:cs="宋体"/>
          <w:b/>
          <w:bCs/>
          <w:color w:val="auto"/>
          <w:sz w:val="44"/>
          <w:szCs w:val="44"/>
          <w:highlight w:val="yellow"/>
        </w:rPr>
      </w:pPr>
    </w:p>
    <w:p w14:paraId="46360C3D">
      <w:pPr>
        <w:rPr>
          <w:rFonts w:hint="eastAsia" w:ascii="宋体" w:hAnsi="宋体" w:eastAsia="宋体" w:cs="宋体"/>
          <w:b/>
          <w:bCs/>
          <w:color w:val="auto"/>
          <w:sz w:val="44"/>
          <w:szCs w:val="44"/>
          <w:highlight w:val="yellow"/>
        </w:rPr>
      </w:pPr>
    </w:p>
    <w:p w14:paraId="4472A303">
      <w:pPr>
        <w:rPr>
          <w:rFonts w:hint="eastAsia" w:ascii="宋体" w:hAnsi="宋体" w:eastAsia="宋体" w:cs="宋体"/>
          <w:b/>
          <w:bCs/>
          <w:color w:val="auto"/>
          <w:sz w:val="44"/>
          <w:szCs w:val="44"/>
          <w:highlight w:val="yellow"/>
        </w:rPr>
      </w:pPr>
    </w:p>
    <w:p w14:paraId="76D36675">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市委党校智慧校园软件项目建设</w:t>
      </w:r>
    </w:p>
    <w:p w14:paraId="658B5A39">
      <w:pPr>
        <w:jc w:val="center"/>
        <w:rPr>
          <w:rFonts w:hint="eastAsia" w:ascii="宋体" w:hAnsi="宋体" w:eastAsia="宋体" w:cs="宋体"/>
          <w:b/>
          <w:bCs/>
          <w:color w:val="auto"/>
          <w:sz w:val="44"/>
          <w:szCs w:val="44"/>
          <w:highlight w:val="none"/>
        </w:rPr>
      </w:pPr>
    </w:p>
    <w:p w14:paraId="25175AE9">
      <w:pPr>
        <w:jc w:val="both"/>
        <w:rPr>
          <w:rFonts w:hint="eastAsia" w:ascii="宋体" w:hAnsi="宋体" w:eastAsia="宋体" w:cs="宋体"/>
          <w:b/>
          <w:bCs/>
          <w:color w:val="auto"/>
          <w:sz w:val="44"/>
          <w:szCs w:val="44"/>
          <w:highlight w:val="none"/>
        </w:rPr>
      </w:pPr>
    </w:p>
    <w:p w14:paraId="070867F4">
      <w:pPr>
        <w:pStyle w:val="11"/>
        <w:rPr>
          <w:rFonts w:hint="eastAsia" w:ascii="宋体" w:hAnsi="宋体" w:eastAsia="宋体" w:cs="宋体"/>
          <w:color w:val="auto"/>
        </w:rPr>
      </w:pPr>
    </w:p>
    <w:p w14:paraId="0641CC8E">
      <w:pPr>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lang w:val="en-US" w:eastAsia="zh-CN"/>
        </w:rPr>
        <w:t>竞争性</w:t>
      </w:r>
      <w:r>
        <w:rPr>
          <w:rFonts w:hint="eastAsia" w:ascii="宋体" w:hAnsi="宋体" w:eastAsia="宋体" w:cs="宋体"/>
          <w:b/>
          <w:color w:val="auto"/>
          <w:kern w:val="0"/>
          <w:sz w:val="44"/>
          <w:szCs w:val="44"/>
          <w:highlight w:val="none"/>
        </w:rPr>
        <w:t>磋商文件</w:t>
      </w:r>
    </w:p>
    <w:p w14:paraId="0CACD113">
      <w:pPr>
        <w:jc w:val="center"/>
        <w:rPr>
          <w:rFonts w:hint="eastAsia" w:ascii="宋体" w:hAnsi="宋体" w:eastAsia="宋体" w:cs="宋体"/>
          <w:b/>
          <w:color w:val="auto"/>
          <w:kern w:val="0"/>
          <w:sz w:val="44"/>
          <w:szCs w:val="44"/>
        </w:rPr>
      </w:pPr>
    </w:p>
    <w:p w14:paraId="4171A684">
      <w:pPr>
        <w:pStyle w:val="11"/>
        <w:rPr>
          <w:rFonts w:hint="eastAsia" w:ascii="宋体" w:hAnsi="宋体" w:eastAsia="宋体" w:cs="宋体"/>
          <w:color w:val="auto"/>
        </w:rPr>
      </w:pPr>
      <w:r>
        <w:rPr>
          <w:rFonts w:hint="eastAsia" w:ascii="宋体" w:hAnsi="宋体" w:eastAsia="宋体" w:cs="宋体"/>
          <w:color w:val="auto"/>
        </w:rPr>
        <w:drawing>
          <wp:anchor distT="0" distB="0" distL="114300" distR="114300" simplePos="0" relativeHeight="251662336" behindDoc="1" locked="0" layoutInCell="1" allowOverlap="1">
            <wp:simplePos x="0" y="0"/>
            <wp:positionH relativeFrom="column">
              <wp:posOffset>1303655</wp:posOffset>
            </wp:positionH>
            <wp:positionV relativeFrom="paragraph">
              <wp:posOffset>96520</wp:posOffset>
            </wp:positionV>
            <wp:extent cx="3312160" cy="110490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312160" cy="1104900"/>
                    </a:xfrm>
                    <a:prstGeom prst="rect">
                      <a:avLst/>
                    </a:prstGeom>
                    <a:noFill/>
                    <a:ln>
                      <a:noFill/>
                    </a:ln>
                  </pic:spPr>
                </pic:pic>
              </a:graphicData>
            </a:graphic>
          </wp:anchor>
        </w:drawing>
      </w:r>
    </w:p>
    <w:p w14:paraId="477AF591">
      <w:pPr>
        <w:jc w:val="center"/>
        <w:rPr>
          <w:rFonts w:hint="eastAsia" w:ascii="宋体" w:hAnsi="宋体" w:eastAsia="宋体" w:cs="宋体"/>
          <w:b/>
          <w:color w:val="auto"/>
          <w:kern w:val="0"/>
          <w:sz w:val="44"/>
          <w:szCs w:val="44"/>
        </w:rPr>
      </w:pPr>
    </w:p>
    <w:p w14:paraId="2F808A8B">
      <w:pPr>
        <w:jc w:val="center"/>
        <w:rPr>
          <w:rFonts w:hint="eastAsia" w:ascii="宋体" w:hAnsi="宋体" w:eastAsia="宋体" w:cs="宋体"/>
          <w:b/>
          <w:color w:val="auto"/>
          <w:kern w:val="0"/>
          <w:sz w:val="44"/>
          <w:szCs w:val="44"/>
        </w:rPr>
      </w:pPr>
    </w:p>
    <w:p w14:paraId="0405C498">
      <w:pPr>
        <w:jc w:val="center"/>
        <w:rPr>
          <w:rFonts w:hint="eastAsia" w:ascii="宋体" w:hAnsi="宋体" w:eastAsia="宋体" w:cs="宋体"/>
          <w:b/>
          <w:color w:val="auto"/>
          <w:kern w:val="0"/>
          <w:sz w:val="44"/>
          <w:szCs w:val="44"/>
        </w:rPr>
      </w:pPr>
    </w:p>
    <w:p w14:paraId="7C86527F">
      <w:pPr>
        <w:jc w:val="center"/>
        <w:rPr>
          <w:rFonts w:hint="eastAsia" w:ascii="宋体" w:hAnsi="宋体" w:eastAsia="宋体" w:cs="宋体"/>
          <w:b/>
          <w:color w:val="auto"/>
          <w:kern w:val="0"/>
          <w:sz w:val="44"/>
          <w:szCs w:val="44"/>
        </w:rPr>
      </w:pPr>
    </w:p>
    <w:p w14:paraId="47AF9CEF">
      <w:pPr>
        <w:jc w:val="both"/>
        <w:rPr>
          <w:rFonts w:hint="eastAsia" w:ascii="宋体" w:hAnsi="宋体" w:eastAsia="宋体" w:cs="宋体"/>
          <w:b/>
          <w:color w:val="auto"/>
          <w:kern w:val="0"/>
          <w:sz w:val="44"/>
          <w:szCs w:val="44"/>
        </w:rPr>
      </w:pPr>
    </w:p>
    <w:p w14:paraId="3ACA57EF">
      <w:pPr>
        <w:pStyle w:val="11"/>
        <w:rPr>
          <w:rFonts w:hint="eastAsia" w:ascii="宋体" w:hAnsi="宋体" w:eastAsia="宋体" w:cs="宋体"/>
          <w:color w:val="auto"/>
        </w:rPr>
      </w:pPr>
    </w:p>
    <w:p w14:paraId="357A4938">
      <w:pPr>
        <w:rPr>
          <w:rFonts w:hint="eastAsia" w:ascii="宋体" w:hAnsi="宋体" w:eastAsia="宋体" w:cs="宋体"/>
          <w:b/>
          <w:color w:val="auto"/>
          <w:kern w:val="0"/>
          <w:sz w:val="44"/>
          <w:szCs w:val="44"/>
        </w:rPr>
      </w:pPr>
    </w:p>
    <w:p w14:paraId="599822E9">
      <w:pPr>
        <w:pStyle w:val="11"/>
        <w:spacing w:line="360" w:lineRule="auto"/>
        <w:rPr>
          <w:rFonts w:hint="eastAsia" w:ascii="宋体" w:hAnsi="宋体" w:eastAsia="宋体" w:cs="宋体"/>
          <w:color w:val="auto"/>
        </w:rPr>
      </w:pPr>
    </w:p>
    <w:p w14:paraId="3D3570CB">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陕西众灿品诚项目管理有限公司</w:t>
      </w:r>
    </w:p>
    <w:p w14:paraId="0440CBE7">
      <w:pPr>
        <w:spacing w:line="360" w:lineRule="auto"/>
        <w:jc w:val="center"/>
        <w:rPr>
          <w:rFonts w:hint="eastAsia" w:ascii="宋体" w:hAnsi="宋体" w:eastAsia="宋体" w:cs="宋体"/>
          <w:color w:val="auto"/>
          <w:lang w:val="en-US" w:eastAsia="zh-CN"/>
        </w:rPr>
      </w:pPr>
      <w:r>
        <w:rPr>
          <w:rFonts w:hint="eastAsia" w:ascii="宋体" w:hAnsi="宋体" w:eastAsia="宋体" w:cs="宋体"/>
          <w:b/>
          <w:bCs/>
          <w:color w:val="auto"/>
          <w:sz w:val="28"/>
          <w:szCs w:val="28"/>
          <w:lang w:val="en-US" w:eastAsia="zh-CN"/>
        </w:rPr>
        <w:t>2025年11月</w:t>
      </w:r>
    </w:p>
    <w:p w14:paraId="00049E5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kern w:val="2"/>
          <w:sz w:val="32"/>
          <w:szCs w:val="32"/>
          <w:lang w:val="zh-CN" w:eastAsia="zh-CN" w:bidi="ar-SA"/>
        </w:rPr>
      </w:pPr>
    </w:p>
    <w:p w14:paraId="7B07621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kern w:val="2"/>
          <w:sz w:val="32"/>
          <w:szCs w:val="32"/>
          <w:lang w:val="zh-CN" w:eastAsia="zh-CN" w:bidi="ar-SA"/>
        </w:rPr>
      </w:pPr>
    </w:p>
    <w:p w14:paraId="175E0A11">
      <w:pPr>
        <w:rPr>
          <w:rFonts w:hint="eastAsia" w:ascii="宋体" w:hAnsi="宋体" w:eastAsia="宋体" w:cs="宋体"/>
          <w:color w:val="auto"/>
          <w:lang w:val="zh-CN" w:eastAsia="zh-CN"/>
        </w:rPr>
      </w:pPr>
    </w:p>
    <w:p w14:paraId="093C0BC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kern w:val="2"/>
          <w:sz w:val="32"/>
          <w:szCs w:val="32"/>
          <w:lang w:val="zh-CN" w:eastAsia="zh-CN" w:bidi="ar-SA"/>
        </w:rPr>
        <w:sectPr>
          <w:headerReference r:id="rId3" w:type="default"/>
          <w:footerReference r:id="rId4"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decimal"/>
          <w:cols w:space="720" w:num="1"/>
          <w:rtlGutter w:val="1"/>
          <w:docGrid w:linePitch="312" w:charSpace="0"/>
        </w:sectPr>
      </w:pPr>
    </w:p>
    <w:p w14:paraId="130FF2A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color w:val="auto"/>
          <w:kern w:val="2"/>
          <w:sz w:val="32"/>
          <w:szCs w:val="32"/>
          <w:lang w:val="zh-CN" w:eastAsia="zh-CN" w:bidi="ar-SA"/>
        </w:rPr>
      </w:pPr>
      <w:r>
        <w:rPr>
          <w:rFonts w:hint="eastAsia" w:ascii="宋体" w:hAnsi="宋体" w:eastAsia="宋体" w:cs="宋体"/>
          <w:b/>
          <w:bCs/>
          <w:color w:val="auto"/>
          <w:kern w:val="2"/>
          <w:sz w:val="32"/>
          <w:szCs w:val="32"/>
          <w:lang w:val="zh-CN" w:eastAsia="zh-CN" w:bidi="ar-SA"/>
        </w:rPr>
        <w:t>温馨提示</w:t>
      </w:r>
    </w:p>
    <w:p w14:paraId="5183BF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请供应商认真阅读下列条款，避免因此造成的无效投标：</w:t>
      </w:r>
    </w:p>
    <w:p w14:paraId="03A4D03F">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本</w:t>
      </w:r>
      <w:r>
        <w:rPr>
          <w:rFonts w:hint="eastAsia" w:ascii="宋体" w:hAnsi="宋体" w:eastAsia="宋体" w:cs="宋体"/>
          <w:b w:val="0"/>
          <w:bCs w:val="0"/>
          <w:color w:val="auto"/>
          <w:kern w:val="2"/>
          <w:sz w:val="24"/>
          <w:szCs w:val="24"/>
          <w:highlight w:val="none"/>
          <w:lang w:val="en-US" w:eastAsia="zh-CN" w:bidi="ar-SA"/>
        </w:rPr>
        <w:t>项目</w:t>
      </w:r>
      <w:r>
        <w:rPr>
          <w:rFonts w:hint="eastAsia" w:ascii="宋体" w:hAnsi="宋体" w:eastAsia="宋体" w:cs="宋体"/>
          <w:b w:val="0"/>
          <w:bCs w:val="0"/>
          <w:color w:val="auto"/>
          <w:kern w:val="2"/>
          <w:sz w:val="24"/>
          <w:szCs w:val="24"/>
          <w:highlight w:val="none"/>
          <w:lang w:val="zh-CN" w:eastAsia="zh-CN" w:bidi="ar-SA"/>
        </w:rPr>
        <w:t>采用电子化投标方式投标，供应商须使用数字认证证书（CA锁）对电子响应文件进行签章、加密、递交及开标时签到、解密等相关招投标事宜。开标时供应商须携带数字认证证书（CA主锁），现场解密投标响应文件，如因供应商自身原因未正确使用数字认证证书（CA锁）造成无法解密响应文件，按无效投标对待。</w:t>
      </w:r>
    </w:p>
    <w:p w14:paraId="467D52C2">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26AE2EA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递交电子响应文件。登录全国公共资源交易中心平台 (陕西省•安康市),选择“电子交易平台一陕西政府采购交易系统-企业端”进行登录，登录后选择“交易乙方”身份进入，进入菜单“采购业务-我的项目一项目流程-上传响应文件”，上传加密的电子响应文件。上传成功后，电子化平台将予以记录。</w:t>
      </w:r>
    </w:p>
    <w:p w14:paraId="2B8D78BE">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本项目采用“不见面开标”方式，无须到开标现场及递交纸质响应文件，各供应商可登录全国公共资源交易平台（陕西省·</w:t>
      </w:r>
      <w:r>
        <w:rPr>
          <w:rFonts w:hint="eastAsia" w:ascii="宋体" w:hAnsi="宋体" w:eastAsia="宋体" w:cs="宋体"/>
          <w:b w:val="0"/>
          <w:bCs w:val="0"/>
          <w:color w:val="auto"/>
          <w:kern w:val="2"/>
          <w:sz w:val="24"/>
          <w:szCs w:val="24"/>
          <w:highlight w:val="none"/>
          <w:lang w:val="en-US" w:eastAsia="zh-CN" w:bidi="ar-SA"/>
        </w:rPr>
        <w:t>安康市</w:t>
      </w:r>
      <w:r>
        <w:rPr>
          <w:rFonts w:hint="eastAsia" w:ascii="宋体" w:hAnsi="宋体" w:eastAsia="宋体" w:cs="宋体"/>
          <w:b w:val="0"/>
          <w:bCs w:val="0"/>
          <w:color w:val="auto"/>
          <w:kern w:val="2"/>
          <w:sz w:val="24"/>
          <w:szCs w:val="24"/>
          <w:highlight w:val="none"/>
          <w:lang w:val="zh-CN" w:eastAsia="zh-CN" w:bidi="ar-SA"/>
        </w:rPr>
        <w:t>）下载操作手册，并在响应文件递交截止时间前通过全国公共资源交易平台（陕西省·</w:t>
      </w:r>
      <w:r>
        <w:rPr>
          <w:rFonts w:hint="eastAsia" w:ascii="宋体" w:hAnsi="宋体" w:eastAsia="宋体" w:cs="宋体"/>
          <w:b w:val="0"/>
          <w:bCs w:val="0"/>
          <w:color w:val="auto"/>
          <w:kern w:val="2"/>
          <w:sz w:val="24"/>
          <w:szCs w:val="24"/>
          <w:highlight w:val="none"/>
          <w:lang w:val="en-US" w:eastAsia="zh-CN" w:bidi="ar-SA"/>
        </w:rPr>
        <w:t>安康市</w:t>
      </w:r>
      <w:r>
        <w:rPr>
          <w:rFonts w:hint="eastAsia" w:ascii="宋体" w:hAnsi="宋体" w:eastAsia="宋体" w:cs="宋体"/>
          <w:b w:val="0"/>
          <w:bCs w:val="0"/>
          <w:color w:val="auto"/>
          <w:kern w:val="2"/>
          <w:sz w:val="24"/>
          <w:szCs w:val="24"/>
          <w:highlight w:val="none"/>
          <w:lang w:val="zh-CN" w:eastAsia="zh-CN" w:bidi="ar-SA"/>
        </w:rPr>
        <w:t>）递交电子响应文件。</w:t>
      </w:r>
    </w:p>
    <w:p w14:paraId="075EF3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五、评审过程中，磋商小组要求供应商提交多轮（最后）磋商报价时，供应商须登录全国公共资源交易平台（陕西省）在交易系统中提交多轮（最后）报价，并用数字认证证书（CA 锁）签章。</w:t>
      </w:r>
    </w:p>
    <w:p w14:paraId="655B16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lang w:val="zh-CN" w:eastAsia="zh-CN" w:bidi="ar-SA"/>
        </w:rPr>
        <w:t>各供应商应于开标前自行检查电脑网络环境、安装插件以及设置浏览器，提前阅读《安康市公共资源交易不见面开标大厅操作手册》</w:t>
      </w:r>
      <w:r>
        <w:rPr>
          <w:rFonts w:hint="eastAsia" w:ascii="宋体" w:hAnsi="宋体" w:eastAsia="宋体" w:cs="宋体"/>
          <w:b w:val="0"/>
          <w:bCs w:val="0"/>
          <w:color w:val="auto"/>
          <w:kern w:val="2"/>
          <w:sz w:val="24"/>
          <w:szCs w:val="24"/>
          <w:highlight w:val="none"/>
          <w:lang w:val="en-US" w:eastAsia="zh-CN" w:bidi="ar-SA"/>
        </w:rPr>
        <w:t>(网址：https：//ggzyjy.ankang.gov.cn/Node-93230.html)</w:t>
      </w:r>
      <w:r>
        <w:rPr>
          <w:rFonts w:hint="eastAsia" w:ascii="宋体" w:hAnsi="宋体" w:eastAsia="宋体" w:cs="宋体"/>
          <w:b w:val="0"/>
          <w:bCs w:val="0"/>
          <w:color w:val="auto"/>
          <w:kern w:val="2"/>
          <w:sz w:val="24"/>
          <w:szCs w:val="24"/>
          <w:highlight w:val="none"/>
          <w:lang w:val="zh-CN" w:eastAsia="zh-CN" w:bidi="ar-SA"/>
        </w:rPr>
        <w:t>，可在开标</w:t>
      </w: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zh-CN" w:eastAsia="zh-CN" w:bidi="ar-SA"/>
        </w:rPr>
        <w:t>小时前登录不见面开标大厅，进入系统进行签到。如有供应商因不熟悉系统操作流程无法签到，应及时联系</w:t>
      </w:r>
      <w:r>
        <w:rPr>
          <w:rFonts w:hint="eastAsia" w:ascii="宋体" w:hAnsi="宋体" w:eastAsia="宋体" w:cs="宋体"/>
          <w:b w:val="0"/>
          <w:bCs w:val="0"/>
          <w:color w:val="auto"/>
          <w:kern w:val="2"/>
          <w:sz w:val="24"/>
          <w:szCs w:val="24"/>
          <w:highlight w:val="none"/>
          <w:lang w:val="en-US" w:eastAsia="zh-CN" w:bidi="ar-SA"/>
        </w:rPr>
        <w:t>安康市</w:t>
      </w:r>
      <w:r>
        <w:rPr>
          <w:rFonts w:hint="eastAsia" w:ascii="宋体" w:hAnsi="宋体" w:eastAsia="宋体" w:cs="宋体"/>
          <w:b w:val="0"/>
          <w:bCs w:val="0"/>
          <w:color w:val="auto"/>
          <w:kern w:val="2"/>
          <w:sz w:val="24"/>
          <w:szCs w:val="24"/>
          <w:highlight w:val="none"/>
          <w:lang w:val="zh-CN" w:eastAsia="zh-CN" w:bidi="ar-SA"/>
        </w:rPr>
        <w:t>公共资源交易中心技术人员指导完成相应操作。在开标过程中，供应商使用电子证书（CA锁）进行的远程签到、解密、确认等一系列操作都将视为供应商自身行为；各供应商应当妥善保管好电子证书（CA锁）。因供应商自身设施故障或自身原因导致无法完成签到或响应的，由供应商自行承担后果，遇到问题及时联系客服</w:t>
      </w:r>
      <w:r>
        <w:rPr>
          <w:rFonts w:hint="eastAsia" w:ascii="宋体" w:hAnsi="宋体" w:eastAsia="宋体" w:cs="宋体"/>
          <w:i w:val="0"/>
          <w:iCs w:val="0"/>
          <w:caps w:val="0"/>
          <w:color w:val="auto"/>
          <w:spacing w:val="0"/>
          <w:sz w:val="24"/>
          <w:szCs w:val="24"/>
          <w:shd w:val="clear" w:fill="FFFFFF"/>
          <w:vertAlign w:val="baseline"/>
          <w:lang w:val="en-US" w:eastAsia="zh-CN"/>
        </w:rPr>
        <w:t>40092800135/4009980000</w:t>
      </w:r>
      <w:r>
        <w:rPr>
          <w:rFonts w:hint="eastAsia" w:ascii="宋体" w:hAnsi="宋体" w:eastAsia="宋体" w:cs="宋体"/>
          <w:b w:val="0"/>
          <w:bCs w:val="0"/>
          <w:color w:val="auto"/>
          <w:kern w:val="2"/>
          <w:sz w:val="24"/>
          <w:szCs w:val="24"/>
          <w:highlight w:val="none"/>
          <w:lang w:val="zh-CN" w:eastAsia="zh-CN" w:bidi="ar-SA"/>
        </w:rPr>
        <w:t>。</w:t>
      </w:r>
    </w:p>
    <w:p w14:paraId="120D39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七、</w:t>
      </w:r>
      <w:r>
        <w:rPr>
          <w:rFonts w:hint="eastAsia" w:ascii="宋体" w:hAnsi="宋体" w:eastAsia="宋体" w:cs="宋体"/>
          <w:b w:val="0"/>
          <w:bCs w:val="0"/>
          <w:color w:val="auto"/>
          <w:kern w:val="2"/>
          <w:sz w:val="24"/>
          <w:szCs w:val="24"/>
          <w:highlight w:val="none"/>
          <w:lang w:val="zh-CN" w:eastAsia="zh-CN" w:bidi="ar-SA"/>
        </w:rPr>
        <w:t>供应商须在</w:t>
      </w:r>
      <w:r>
        <w:rPr>
          <w:rFonts w:hint="eastAsia" w:ascii="宋体" w:hAnsi="宋体" w:eastAsia="宋体" w:cs="宋体"/>
          <w:b w:val="0"/>
          <w:bCs w:val="0"/>
          <w:color w:val="auto"/>
          <w:kern w:val="2"/>
          <w:sz w:val="24"/>
          <w:szCs w:val="24"/>
          <w:highlight w:val="none"/>
          <w:lang w:val="en-US" w:eastAsia="zh-CN" w:bidi="ar-SA"/>
        </w:rPr>
        <w:t>竞争性磋商文件</w:t>
      </w:r>
      <w:r>
        <w:rPr>
          <w:rFonts w:hint="eastAsia" w:ascii="宋体" w:hAnsi="宋体" w:eastAsia="宋体" w:cs="宋体"/>
          <w:b w:val="0"/>
          <w:bCs w:val="0"/>
          <w:color w:val="auto"/>
          <w:kern w:val="2"/>
          <w:sz w:val="24"/>
          <w:szCs w:val="24"/>
          <w:highlight w:val="none"/>
          <w:lang w:val="zh-CN" w:eastAsia="zh-CN" w:bidi="ar-SA"/>
        </w:rPr>
        <w:t>发售截止前登录电子交易平台下载</w:t>
      </w:r>
      <w:r>
        <w:rPr>
          <w:rFonts w:hint="eastAsia" w:ascii="宋体" w:hAnsi="宋体" w:eastAsia="宋体" w:cs="宋体"/>
          <w:b w:val="0"/>
          <w:bCs w:val="0"/>
          <w:color w:val="auto"/>
          <w:kern w:val="2"/>
          <w:sz w:val="24"/>
          <w:szCs w:val="24"/>
          <w:highlight w:val="none"/>
          <w:lang w:val="en-US" w:eastAsia="zh-CN" w:bidi="ar-SA"/>
        </w:rPr>
        <w:t>竞争性磋商文件</w:t>
      </w:r>
      <w:r>
        <w:rPr>
          <w:rFonts w:hint="eastAsia" w:ascii="宋体" w:hAnsi="宋体" w:eastAsia="宋体" w:cs="宋体"/>
          <w:b w:val="0"/>
          <w:bCs w:val="0"/>
          <w:color w:val="auto"/>
          <w:kern w:val="2"/>
          <w:sz w:val="24"/>
          <w:szCs w:val="24"/>
          <w:highlight w:val="none"/>
          <w:lang w:val="zh-CN" w:eastAsia="zh-CN" w:bidi="ar-SA"/>
        </w:rPr>
        <w:t>，未完成网上投标成功的或未在规定时间内在平台上下载</w:t>
      </w:r>
      <w:r>
        <w:rPr>
          <w:rFonts w:hint="eastAsia" w:ascii="宋体" w:hAnsi="宋体" w:eastAsia="宋体" w:cs="宋体"/>
          <w:b w:val="0"/>
          <w:bCs w:val="0"/>
          <w:color w:val="auto"/>
          <w:kern w:val="2"/>
          <w:sz w:val="24"/>
          <w:szCs w:val="24"/>
          <w:highlight w:val="none"/>
          <w:lang w:val="en-US" w:eastAsia="zh-CN" w:bidi="ar-SA"/>
        </w:rPr>
        <w:t>竞争性磋商文件</w:t>
      </w:r>
      <w:r>
        <w:rPr>
          <w:rFonts w:hint="eastAsia" w:ascii="宋体" w:hAnsi="宋体" w:eastAsia="宋体" w:cs="宋体"/>
          <w:b w:val="0"/>
          <w:bCs w:val="0"/>
          <w:color w:val="auto"/>
          <w:kern w:val="2"/>
          <w:sz w:val="24"/>
          <w:szCs w:val="24"/>
          <w:highlight w:val="none"/>
          <w:lang w:val="zh-CN" w:eastAsia="zh-CN" w:bidi="ar-SA"/>
        </w:rPr>
        <w:t>，导致无法完成后续流程的责任自负</w:t>
      </w:r>
      <w:r>
        <w:rPr>
          <w:rFonts w:hint="eastAsia" w:ascii="宋体" w:hAnsi="宋体" w:eastAsia="宋体" w:cs="宋体"/>
          <w:b w:val="0"/>
          <w:bCs w:val="0"/>
          <w:color w:val="auto"/>
          <w:kern w:val="2"/>
          <w:sz w:val="24"/>
          <w:szCs w:val="24"/>
          <w:highlight w:val="none"/>
          <w:lang w:val="en-US" w:eastAsia="zh-CN" w:bidi="ar-SA"/>
        </w:rPr>
        <w:t>。</w:t>
      </w:r>
    </w:p>
    <w:p w14:paraId="4822371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4"/>
          <w:szCs w:val="24"/>
          <w:highlight w:val="none"/>
          <w:lang w:val="zh-CN" w:eastAsia="zh-CN" w:bidi="ar-SA"/>
        </w:rPr>
        <w:t>谨记上述提示，将有助您顺利地参加投标。若有什么需要帮助，请您与我们的工作人员联系，我们将非常高兴地为您服务。</w:t>
      </w:r>
    </w:p>
    <w:p w14:paraId="7CC4F9FE">
      <w:pPr>
        <w:keepNext w:val="0"/>
        <w:keepLines w:val="0"/>
        <w:pageBreakBefore w:val="0"/>
        <w:widowControl w:val="0"/>
        <w:kinsoku/>
        <w:wordWrap/>
        <w:overflowPunct/>
        <w:topLinePunct w:val="0"/>
        <w:bidi w:val="0"/>
        <w:adjustRightInd w:val="0"/>
        <w:snapToGrid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rPr>
      </w:pPr>
    </w:p>
    <w:p w14:paraId="5136359B">
      <w:pPr>
        <w:pStyle w:val="11"/>
        <w:rPr>
          <w:rFonts w:hint="eastAsia" w:ascii="宋体" w:hAnsi="宋体" w:eastAsia="宋体" w:cs="宋体"/>
          <w:b/>
          <w:bCs/>
          <w:color w:val="auto"/>
          <w:sz w:val="28"/>
          <w:szCs w:val="28"/>
          <w:highlight w:val="none"/>
          <w:lang w:val="en-US" w:eastAsia="zh-CN"/>
        </w:rPr>
      </w:pPr>
    </w:p>
    <w:p w14:paraId="78A4AB6C">
      <w:pPr>
        <w:rPr>
          <w:rFonts w:hint="eastAsia" w:ascii="宋体" w:hAnsi="宋体" w:eastAsia="宋体" w:cs="宋体"/>
          <w:b/>
          <w:bCs/>
          <w:color w:val="auto"/>
          <w:sz w:val="28"/>
          <w:szCs w:val="28"/>
          <w:highlight w:val="none"/>
          <w:lang w:val="en-US" w:eastAsia="zh-CN"/>
        </w:rPr>
      </w:pPr>
    </w:p>
    <w:p w14:paraId="012ABB94">
      <w:pPr>
        <w:pStyle w:val="11"/>
        <w:rPr>
          <w:rFonts w:hint="eastAsia" w:ascii="宋体" w:hAnsi="宋体" w:eastAsia="宋体" w:cs="宋体"/>
          <w:b/>
          <w:bCs/>
          <w:color w:val="auto"/>
          <w:sz w:val="28"/>
          <w:szCs w:val="28"/>
          <w:highlight w:val="none"/>
          <w:lang w:val="en-US" w:eastAsia="zh-CN"/>
        </w:rPr>
      </w:pPr>
    </w:p>
    <w:p w14:paraId="73FF003F">
      <w:pPr>
        <w:rPr>
          <w:rFonts w:hint="eastAsia" w:ascii="宋体" w:hAnsi="宋体" w:eastAsia="宋体" w:cs="宋体"/>
          <w:b/>
          <w:bCs/>
          <w:color w:val="auto"/>
          <w:sz w:val="28"/>
          <w:szCs w:val="28"/>
          <w:highlight w:val="none"/>
          <w:lang w:val="en-US" w:eastAsia="zh-CN"/>
        </w:rPr>
      </w:pPr>
    </w:p>
    <w:p w14:paraId="08FBD350">
      <w:pPr>
        <w:pStyle w:val="11"/>
        <w:rPr>
          <w:rFonts w:hint="eastAsia" w:ascii="宋体" w:hAnsi="宋体" w:eastAsia="宋体" w:cs="宋体"/>
          <w:b/>
          <w:bCs/>
          <w:color w:val="auto"/>
          <w:sz w:val="28"/>
          <w:szCs w:val="28"/>
          <w:highlight w:val="none"/>
          <w:lang w:val="en-US" w:eastAsia="zh-CN"/>
        </w:rPr>
      </w:pPr>
    </w:p>
    <w:p w14:paraId="090B9CBF">
      <w:pPr>
        <w:rPr>
          <w:rFonts w:hint="eastAsia" w:ascii="宋体" w:hAnsi="宋体" w:eastAsia="宋体" w:cs="宋体"/>
          <w:b/>
          <w:bCs/>
          <w:color w:val="auto"/>
          <w:sz w:val="28"/>
          <w:szCs w:val="28"/>
          <w:highlight w:val="none"/>
          <w:lang w:val="en-US" w:eastAsia="zh-CN"/>
        </w:rPr>
      </w:pPr>
    </w:p>
    <w:p w14:paraId="2F204768">
      <w:pPr>
        <w:pStyle w:val="11"/>
        <w:rPr>
          <w:rFonts w:hint="eastAsia" w:ascii="宋体" w:hAnsi="宋体" w:eastAsia="宋体" w:cs="宋体"/>
          <w:color w:val="auto"/>
          <w:lang w:val="en-US" w:eastAsia="zh-CN"/>
        </w:rPr>
      </w:pPr>
    </w:p>
    <w:p w14:paraId="605F6B74">
      <w:pPr>
        <w:pStyle w:val="11"/>
        <w:rPr>
          <w:rFonts w:hint="eastAsia" w:ascii="宋体" w:hAnsi="宋体" w:eastAsia="宋体" w:cs="宋体"/>
          <w:b/>
          <w:bCs/>
          <w:color w:val="auto"/>
          <w:sz w:val="28"/>
          <w:szCs w:val="28"/>
          <w:highlight w:val="none"/>
          <w:lang w:val="en-US" w:eastAsia="zh-CN"/>
        </w:rPr>
      </w:pPr>
    </w:p>
    <w:p w14:paraId="2A23E0EB">
      <w:pPr>
        <w:rPr>
          <w:rFonts w:hint="eastAsia" w:ascii="宋体" w:hAnsi="宋体" w:eastAsia="宋体" w:cs="宋体"/>
          <w:b/>
          <w:bCs/>
          <w:color w:val="auto"/>
          <w:sz w:val="28"/>
          <w:szCs w:val="28"/>
          <w:highlight w:val="none"/>
          <w:lang w:val="en-US" w:eastAsia="zh-CN"/>
        </w:rPr>
      </w:pPr>
    </w:p>
    <w:p w14:paraId="685C83A7">
      <w:pPr>
        <w:pStyle w:val="11"/>
        <w:rPr>
          <w:rFonts w:hint="eastAsia" w:ascii="宋体" w:hAnsi="宋体" w:eastAsia="宋体" w:cs="宋体"/>
          <w:b/>
          <w:bCs/>
          <w:color w:val="auto"/>
          <w:sz w:val="28"/>
          <w:szCs w:val="28"/>
          <w:highlight w:val="none"/>
          <w:lang w:val="en-US" w:eastAsia="zh-CN"/>
        </w:rPr>
      </w:pPr>
    </w:p>
    <w:p w14:paraId="694C65B9">
      <w:pPr>
        <w:rPr>
          <w:rFonts w:hint="eastAsia" w:ascii="宋体" w:hAnsi="宋体" w:eastAsia="宋体" w:cs="宋体"/>
          <w:color w:val="auto"/>
          <w:lang w:val="en-US" w:eastAsia="zh-CN"/>
        </w:rPr>
      </w:pPr>
    </w:p>
    <w:p w14:paraId="7BFF19EC">
      <w:pPr>
        <w:pStyle w:val="11"/>
        <w:rPr>
          <w:rFonts w:hint="eastAsia" w:ascii="宋体" w:hAnsi="宋体" w:eastAsia="宋体" w:cs="宋体"/>
          <w:b/>
          <w:bCs/>
          <w:color w:val="auto"/>
          <w:sz w:val="28"/>
          <w:szCs w:val="28"/>
          <w:highlight w:val="none"/>
          <w:lang w:val="en-US" w:eastAsia="zh-CN"/>
        </w:rPr>
      </w:pPr>
    </w:p>
    <w:p w14:paraId="205DD870">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4EE52FC">
      <w:pPr>
        <w:pStyle w:val="11"/>
        <w:rPr>
          <w:rFonts w:hint="eastAsia" w:ascii="宋体" w:hAnsi="宋体" w:eastAsia="宋体" w:cs="宋体"/>
          <w:color w:val="auto"/>
          <w:lang w:val="en-US" w:eastAsia="zh-CN"/>
        </w:rPr>
      </w:pPr>
    </w:p>
    <w:p w14:paraId="5B62A590">
      <w:pPr>
        <w:pStyle w:val="11"/>
        <w:jc w:val="both"/>
        <w:rPr>
          <w:rFonts w:hint="eastAsia" w:ascii="宋体" w:hAnsi="宋体" w:eastAsia="宋体" w:cs="宋体"/>
          <w:color w:val="auto"/>
          <w:lang w:val="en-US" w:eastAsia="zh-CN"/>
        </w:rPr>
      </w:pPr>
    </w:p>
    <w:sdt>
      <w:sdtPr>
        <w:rPr>
          <w:rFonts w:hint="eastAsia" w:ascii="宋体" w:hAnsi="宋体" w:eastAsia="宋体" w:cs="宋体"/>
          <w:color w:val="auto"/>
          <w:kern w:val="2"/>
          <w:sz w:val="21"/>
          <w:szCs w:val="24"/>
          <w:lang w:val="en-US" w:eastAsia="zh-CN" w:bidi="ar-SA"/>
        </w:rPr>
        <w:id w:val="147461072"/>
        <w15:color w:val="DBDBDB"/>
        <w:docPartObj>
          <w:docPartGallery w:val="Table of Contents"/>
          <w:docPartUnique/>
        </w:docPartObj>
      </w:sdtPr>
      <w:sdtEndPr>
        <w:rPr>
          <w:rFonts w:hint="eastAsia" w:ascii="宋体" w:hAnsi="宋体" w:eastAsia="宋体" w:cs="宋体"/>
          <w:bCs/>
          <w:color w:val="auto"/>
          <w:kern w:val="2"/>
          <w:sz w:val="21"/>
          <w:szCs w:val="28"/>
          <w:highlight w:val="none"/>
          <w:lang w:val="en-US" w:eastAsia="zh-CN" w:bidi="ar-SA"/>
        </w:rPr>
      </w:sdtEndPr>
      <w:sdtContent>
        <w:p w14:paraId="131AD857">
          <w:pPr>
            <w:spacing w:before="0" w:beforeLines="0" w:after="0" w:afterLines="0" w:line="240" w:lineRule="auto"/>
            <w:ind w:left="0" w:leftChars="0" w:right="0" w:rightChars="0" w:firstLine="0" w:firstLineChars="0"/>
            <w:jc w:val="center"/>
            <w:rPr>
              <w:rFonts w:hint="eastAsia" w:ascii="宋体" w:hAnsi="宋体" w:eastAsia="宋体" w:cs="宋体"/>
              <w:color w:val="auto"/>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p>
        <w:p w14:paraId="1AA1027D">
          <w:pPr>
            <w:pStyle w:val="18"/>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4"/>
              <w:szCs w:val="24"/>
            </w:rPr>
          </w:pP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TOC \o "1-3" \h \u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val="0"/>
              <w:color w:val="auto"/>
              <w:sz w:val="24"/>
              <w:szCs w:val="24"/>
              <w:highlight w:val="none"/>
              <w:lang w:val="en-US" w:eastAsia="zh-CN"/>
            </w:rPr>
            <w:fldChar w:fldCharType="begin"/>
          </w:r>
          <w:r>
            <w:rPr>
              <w:rFonts w:hint="eastAsia" w:ascii="宋体" w:hAnsi="宋体" w:eastAsia="宋体" w:cs="宋体"/>
              <w:b/>
              <w:bCs w:val="0"/>
              <w:color w:val="auto"/>
              <w:sz w:val="24"/>
              <w:szCs w:val="24"/>
              <w:highlight w:val="none"/>
              <w:lang w:val="en-US" w:eastAsia="zh-CN"/>
            </w:rPr>
            <w:instrText xml:space="preserve"> HYPERLINK \l _Toc3928 </w:instrText>
          </w:r>
          <w:r>
            <w:rPr>
              <w:rFonts w:hint="eastAsia" w:ascii="宋体" w:hAnsi="宋体" w:eastAsia="宋体" w:cs="宋体"/>
              <w:b/>
              <w:bCs w:val="0"/>
              <w:color w:val="auto"/>
              <w:sz w:val="24"/>
              <w:szCs w:val="24"/>
              <w:highlight w:val="none"/>
              <w:lang w:val="en-US" w:eastAsia="zh-CN"/>
            </w:rPr>
            <w:fldChar w:fldCharType="separate"/>
          </w:r>
          <w:r>
            <w:rPr>
              <w:rFonts w:hint="eastAsia" w:ascii="宋体" w:hAnsi="宋体" w:eastAsia="宋体" w:cs="宋体"/>
              <w:b/>
              <w:bCs w:val="0"/>
              <w:color w:val="auto"/>
              <w:kern w:val="2"/>
              <w:sz w:val="24"/>
              <w:szCs w:val="24"/>
              <w:lang w:val="en-US" w:eastAsia="zh-CN" w:bidi="ar-SA"/>
            </w:rPr>
            <w:t>第一部分  竞争性磋商公告</w:t>
          </w:r>
          <w:r>
            <w:rPr>
              <w:rFonts w:hint="eastAsia" w:ascii="宋体" w:hAnsi="宋体" w:eastAsia="宋体" w:cs="宋体"/>
              <w:b/>
              <w:bCs w:val="0"/>
              <w:color w:val="auto"/>
              <w:sz w:val="24"/>
              <w:szCs w:val="24"/>
            </w:rPr>
            <w:tab/>
          </w: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PAGEREF _Toc3928 \h </w:instrText>
          </w:r>
          <w:r>
            <w:rPr>
              <w:rFonts w:hint="eastAsia" w:ascii="宋体" w:hAnsi="宋体" w:eastAsia="宋体" w:cs="宋体"/>
              <w:b/>
              <w:bCs w:val="0"/>
              <w:color w:val="auto"/>
              <w:sz w:val="24"/>
              <w:szCs w:val="24"/>
            </w:rPr>
            <w:fldChar w:fldCharType="separate"/>
          </w:r>
          <w:r>
            <w:rPr>
              <w:rFonts w:hint="eastAsia" w:ascii="宋体" w:hAnsi="宋体" w:eastAsia="宋体" w:cs="宋体"/>
              <w:b/>
              <w:bCs w:val="0"/>
              <w:color w:val="auto"/>
              <w:sz w:val="24"/>
              <w:szCs w:val="24"/>
            </w:rPr>
            <w:t>5</w:t>
          </w:r>
          <w:r>
            <w:rPr>
              <w:rFonts w:hint="eastAsia" w:ascii="宋体" w:hAnsi="宋体" w:eastAsia="宋体" w:cs="宋体"/>
              <w:b/>
              <w:bCs w:val="0"/>
              <w:color w:val="auto"/>
              <w:sz w:val="24"/>
              <w:szCs w:val="24"/>
            </w:rPr>
            <w:fldChar w:fldCharType="end"/>
          </w:r>
          <w:r>
            <w:rPr>
              <w:rFonts w:hint="eastAsia" w:ascii="宋体" w:hAnsi="宋体" w:eastAsia="宋体" w:cs="宋体"/>
              <w:b/>
              <w:bCs w:val="0"/>
              <w:color w:val="auto"/>
              <w:sz w:val="24"/>
              <w:szCs w:val="24"/>
              <w:highlight w:val="none"/>
              <w:lang w:val="en-US" w:eastAsia="zh-CN"/>
            </w:rPr>
            <w:fldChar w:fldCharType="end"/>
          </w:r>
        </w:p>
        <w:p w14:paraId="37CE799B">
          <w:pPr>
            <w:pStyle w:val="18"/>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
              <w:bCs w:val="0"/>
              <w:color w:val="auto"/>
              <w:sz w:val="24"/>
              <w:szCs w:val="24"/>
              <w:highlight w:val="none"/>
              <w:lang w:val="en-US" w:eastAsia="zh-CN"/>
            </w:rPr>
            <w:fldChar w:fldCharType="begin"/>
          </w:r>
          <w:r>
            <w:rPr>
              <w:rFonts w:hint="eastAsia" w:ascii="宋体" w:hAnsi="宋体" w:eastAsia="宋体" w:cs="宋体"/>
              <w:b/>
              <w:bCs w:val="0"/>
              <w:color w:val="auto"/>
              <w:sz w:val="24"/>
              <w:szCs w:val="24"/>
              <w:highlight w:val="none"/>
              <w:lang w:val="en-US" w:eastAsia="zh-CN"/>
            </w:rPr>
            <w:instrText xml:space="preserve"> HYPERLINK \l _Toc29022 </w:instrText>
          </w:r>
          <w:r>
            <w:rPr>
              <w:rFonts w:hint="eastAsia" w:ascii="宋体" w:hAnsi="宋体" w:eastAsia="宋体" w:cs="宋体"/>
              <w:b/>
              <w:bCs w:val="0"/>
              <w:color w:val="auto"/>
              <w:sz w:val="24"/>
              <w:szCs w:val="24"/>
              <w:highlight w:val="none"/>
              <w:lang w:val="en-US" w:eastAsia="zh-CN"/>
            </w:rPr>
            <w:fldChar w:fldCharType="separate"/>
          </w:r>
          <w:r>
            <w:rPr>
              <w:rFonts w:hint="eastAsia" w:ascii="宋体" w:hAnsi="宋体" w:eastAsia="宋体" w:cs="宋体"/>
              <w:b/>
              <w:bCs w:val="0"/>
              <w:color w:val="auto"/>
              <w:kern w:val="2"/>
              <w:sz w:val="24"/>
              <w:szCs w:val="24"/>
              <w:lang w:val="en-US" w:eastAsia="zh-CN" w:bidi="ar-SA"/>
            </w:rPr>
            <w:t xml:space="preserve">第二部分  </w:t>
          </w:r>
          <w:r>
            <w:rPr>
              <w:rFonts w:hint="eastAsia" w:ascii="宋体" w:hAnsi="宋体" w:eastAsia="宋体" w:cs="宋体"/>
              <w:b/>
              <w:bCs w:val="0"/>
              <w:color w:val="auto"/>
              <w:kern w:val="2"/>
              <w:sz w:val="24"/>
              <w:szCs w:val="24"/>
              <w:lang w:val="zh-CN" w:eastAsia="zh-CN" w:bidi="ar-SA"/>
            </w:rPr>
            <w:t>供应商须知</w:t>
          </w:r>
          <w:r>
            <w:rPr>
              <w:rFonts w:hint="eastAsia" w:ascii="宋体" w:hAnsi="宋体" w:eastAsia="宋体" w:cs="宋体"/>
              <w:b/>
              <w:bCs w:val="0"/>
              <w:color w:val="auto"/>
              <w:sz w:val="24"/>
              <w:szCs w:val="24"/>
            </w:rPr>
            <w:tab/>
          </w: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PAGEREF _Toc29022 \h </w:instrText>
          </w:r>
          <w:r>
            <w:rPr>
              <w:rFonts w:hint="eastAsia" w:ascii="宋体" w:hAnsi="宋体" w:eastAsia="宋体" w:cs="宋体"/>
              <w:b/>
              <w:bCs w:val="0"/>
              <w:color w:val="auto"/>
              <w:sz w:val="24"/>
              <w:szCs w:val="24"/>
            </w:rPr>
            <w:fldChar w:fldCharType="separate"/>
          </w:r>
          <w:r>
            <w:rPr>
              <w:rFonts w:hint="eastAsia" w:ascii="宋体" w:hAnsi="宋体" w:eastAsia="宋体" w:cs="宋体"/>
              <w:b/>
              <w:bCs w:val="0"/>
              <w:color w:val="auto"/>
              <w:sz w:val="24"/>
              <w:szCs w:val="24"/>
            </w:rPr>
            <w:t>9</w:t>
          </w:r>
          <w:r>
            <w:rPr>
              <w:rFonts w:hint="eastAsia" w:ascii="宋体" w:hAnsi="宋体" w:eastAsia="宋体" w:cs="宋体"/>
              <w:b/>
              <w:bCs w:val="0"/>
              <w:color w:val="auto"/>
              <w:sz w:val="24"/>
              <w:szCs w:val="24"/>
            </w:rPr>
            <w:fldChar w:fldCharType="end"/>
          </w:r>
          <w:r>
            <w:rPr>
              <w:rFonts w:hint="eastAsia" w:ascii="宋体" w:hAnsi="宋体" w:eastAsia="宋体" w:cs="宋体"/>
              <w:b/>
              <w:bCs w:val="0"/>
              <w:color w:val="auto"/>
              <w:sz w:val="24"/>
              <w:szCs w:val="24"/>
              <w:highlight w:val="none"/>
              <w:lang w:val="en-US" w:eastAsia="zh-CN"/>
            </w:rPr>
            <w:fldChar w:fldCharType="end"/>
          </w:r>
        </w:p>
        <w:p w14:paraId="5CF8C996">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_Toc1774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1F752C36">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_Toc21705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zh-CN"/>
            </w:rPr>
            <w:t>二、磋商文件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_Toc21705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7CE40C22">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_Toc15173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lang w:val="zh-CN"/>
            </w:rPr>
            <w:t>磋商要求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_Toc15173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7B1B56BD">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_Toc25749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编制和</w:t>
          </w:r>
          <w:r>
            <w:rPr>
              <w:rFonts w:hint="eastAsia" w:ascii="宋体" w:hAnsi="宋体" w:eastAsia="宋体" w:cs="宋体"/>
              <w:color w:val="auto"/>
              <w:sz w:val="24"/>
              <w:szCs w:val="24"/>
            </w:rPr>
            <w:t>签署</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42C29B75">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_Toc11145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val="zh-CN"/>
            </w:rPr>
            <w:t>、响应文件的密封和递交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_Toc11145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5D728598">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_Toc17012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_Toc17012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701DD6CA">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_Toc23817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七、评审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_Toc23817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7C1BB650">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_Toc18236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、确定成交供应商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5F8B600D">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_Toc10245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lang w:val="zh-CN"/>
            </w:rPr>
            <w:t>质疑与投诉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_Toc10245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53C32C88">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_Toc31152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39C1595D">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_Toc9592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en-US" w:eastAsia="zh-CN"/>
            </w:rPr>
            <w:t>十一</w:t>
          </w:r>
          <w:r>
            <w:rPr>
              <w:rFonts w:hint="eastAsia" w:ascii="宋体" w:hAnsi="宋体" w:eastAsia="宋体" w:cs="宋体"/>
              <w:color w:val="auto"/>
              <w:sz w:val="24"/>
              <w:szCs w:val="24"/>
            </w:rPr>
            <w:t>、合同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_Toc9592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758DF5DD">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_Toc1783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lang w:val="zh-CN"/>
            </w:rPr>
            <w:t>十</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val="zh-CN"/>
            </w:rPr>
            <w:t>、合同的履约验收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0B23A942">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_Toc7778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招标代理服务费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_Toc7778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2DF4E0CC">
          <w:pPr>
            <w:pStyle w:val="19"/>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\l _Toc9496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zh-CN"/>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、需要落实的政府采购政策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_Toc9496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highlight w:val="none"/>
              <w:lang w:val="en-US" w:eastAsia="zh-CN"/>
            </w:rPr>
            <w:fldChar w:fldCharType="end"/>
          </w:r>
        </w:p>
        <w:p w14:paraId="062C024C">
          <w:pPr>
            <w:pStyle w:val="18"/>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none"/>
              <w:lang w:val="en-US" w:eastAsia="zh-CN"/>
            </w:rPr>
            <w:fldChar w:fldCharType="begin"/>
          </w:r>
          <w:r>
            <w:rPr>
              <w:rFonts w:hint="eastAsia" w:ascii="宋体" w:hAnsi="宋体" w:eastAsia="宋体" w:cs="宋体"/>
              <w:b/>
              <w:bCs w:val="0"/>
              <w:color w:val="auto"/>
              <w:sz w:val="24"/>
              <w:szCs w:val="24"/>
              <w:highlight w:val="none"/>
              <w:lang w:val="en-US" w:eastAsia="zh-CN"/>
            </w:rPr>
            <w:instrText xml:space="preserve"> HYPERLINK \l _Toc26626 </w:instrText>
          </w:r>
          <w:r>
            <w:rPr>
              <w:rFonts w:hint="eastAsia" w:ascii="宋体" w:hAnsi="宋体" w:eastAsia="宋体" w:cs="宋体"/>
              <w:b/>
              <w:bCs w:val="0"/>
              <w:color w:val="auto"/>
              <w:sz w:val="24"/>
              <w:szCs w:val="24"/>
              <w:highlight w:val="none"/>
              <w:lang w:val="en-US" w:eastAsia="zh-CN"/>
            </w:rPr>
            <w:fldChar w:fldCharType="separate"/>
          </w:r>
          <w:r>
            <w:rPr>
              <w:rFonts w:hint="eastAsia" w:ascii="宋体" w:hAnsi="宋体" w:eastAsia="宋体" w:cs="宋体"/>
              <w:b/>
              <w:bCs w:val="0"/>
              <w:color w:val="auto"/>
              <w:sz w:val="24"/>
              <w:szCs w:val="24"/>
              <w:lang w:val="en-US" w:eastAsia="zh-CN"/>
            </w:rPr>
            <w:t>第三部分</w:t>
          </w:r>
          <w:r>
            <w:rPr>
              <w:rFonts w:hint="eastAsia" w:ascii="宋体" w:hAnsi="宋体" w:eastAsia="宋体" w:cs="宋体"/>
              <w:b/>
              <w:bCs w:val="0"/>
              <w:color w:val="auto"/>
              <w:kern w:val="2"/>
              <w:sz w:val="24"/>
              <w:szCs w:val="24"/>
              <w:lang w:val="zh-CN" w:eastAsia="zh-CN" w:bidi="ar-SA"/>
            </w:rPr>
            <w:t xml:space="preserve">  采购内容及要求</w:t>
          </w:r>
          <w:r>
            <w:rPr>
              <w:rFonts w:hint="eastAsia" w:ascii="宋体" w:hAnsi="宋体" w:eastAsia="宋体" w:cs="宋体"/>
              <w:b/>
              <w:bCs w:val="0"/>
              <w:color w:val="auto"/>
              <w:sz w:val="24"/>
              <w:szCs w:val="24"/>
            </w:rPr>
            <w:tab/>
          </w: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PAGEREF _Toc26626 \h </w:instrText>
          </w:r>
          <w:r>
            <w:rPr>
              <w:rFonts w:hint="eastAsia" w:ascii="宋体" w:hAnsi="宋体" w:eastAsia="宋体" w:cs="宋体"/>
              <w:b/>
              <w:bCs w:val="0"/>
              <w:color w:val="auto"/>
              <w:sz w:val="24"/>
              <w:szCs w:val="24"/>
            </w:rPr>
            <w:fldChar w:fldCharType="separate"/>
          </w:r>
          <w:r>
            <w:rPr>
              <w:rFonts w:hint="eastAsia" w:ascii="宋体" w:hAnsi="宋体" w:eastAsia="宋体" w:cs="宋体"/>
              <w:b/>
              <w:bCs w:val="0"/>
              <w:color w:val="auto"/>
              <w:sz w:val="24"/>
              <w:szCs w:val="24"/>
            </w:rPr>
            <w:t>24</w:t>
          </w:r>
          <w:r>
            <w:rPr>
              <w:rFonts w:hint="eastAsia" w:ascii="宋体" w:hAnsi="宋体" w:eastAsia="宋体" w:cs="宋体"/>
              <w:b/>
              <w:bCs w:val="0"/>
              <w:color w:val="auto"/>
              <w:sz w:val="24"/>
              <w:szCs w:val="24"/>
            </w:rPr>
            <w:fldChar w:fldCharType="end"/>
          </w:r>
          <w:r>
            <w:rPr>
              <w:rFonts w:hint="eastAsia" w:ascii="宋体" w:hAnsi="宋体" w:eastAsia="宋体" w:cs="宋体"/>
              <w:b/>
              <w:bCs w:val="0"/>
              <w:color w:val="auto"/>
              <w:sz w:val="24"/>
              <w:szCs w:val="24"/>
              <w:highlight w:val="none"/>
              <w:lang w:val="en-US" w:eastAsia="zh-CN"/>
            </w:rPr>
            <w:fldChar w:fldCharType="end"/>
          </w:r>
        </w:p>
        <w:p w14:paraId="4F749C3D">
          <w:pPr>
            <w:pStyle w:val="18"/>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highlight w:val="none"/>
              <w:lang w:val="en-US" w:eastAsia="zh-CN"/>
            </w:rPr>
            <w:fldChar w:fldCharType="begin"/>
          </w:r>
          <w:r>
            <w:rPr>
              <w:rFonts w:hint="eastAsia" w:ascii="宋体" w:hAnsi="宋体" w:eastAsia="宋体" w:cs="宋体"/>
              <w:b/>
              <w:bCs w:val="0"/>
              <w:color w:val="auto"/>
              <w:sz w:val="24"/>
              <w:szCs w:val="24"/>
              <w:highlight w:val="none"/>
              <w:lang w:val="en-US" w:eastAsia="zh-CN"/>
            </w:rPr>
            <w:instrText xml:space="preserve"> HYPERLINK \l _Toc8272 </w:instrText>
          </w:r>
          <w:r>
            <w:rPr>
              <w:rFonts w:hint="eastAsia" w:ascii="宋体" w:hAnsi="宋体" w:eastAsia="宋体" w:cs="宋体"/>
              <w:b/>
              <w:bCs w:val="0"/>
              <w:color w:val="auto"/>
              <w:sz w:val="24"/>
              <w:szCs w:val="24"/>
              <w:highlight w:val="none"/>
              <w:lang w:val="en-US" w:eastAsia="zh-CN"/>
            </w:rPr>
            <w:fldChar w:fldCharType="separate"/>
          </w:r>
          <w:r>
            <w:rPr>
              <w:rFonts w:hint="eastAsia" w:ascii="宋体" w:hAnsi="宋体" w:eastAsia="宋体" w:cs="宋体"/>
              <w:b/>
              <w:bCs w:val="0"/>
              <w:color w:val="auto"/>
              <w:kern w:val="2"/>
              <w:sz w:val="24"/>
              <w:szCs w:val="24"/>
              <w:lang w:val="zh-CN" w:eastAsia="zh-CN" w:bidi="ar-SA"/>
            </w:rPr>
            <w:t>第</w:t>
          </w:r>
          <w:r>
            <w:rPr>
              <w:rFonts w:hint="eastAsia" w:ascii="宋体" w:hAnsi="宋体" w:eastAsia="宋体" w:cs="宋体"/>
              <w:b/>
              <w:bCs w:val="0"/>
              <w:color w:val="auto"/>
              <w:kern w:val="2"/>
              <w:sz w:val="24"/>
              <w:szCs w:val="24"/>
              <w:lang w:val="en-US" w:eastAsia="zh-CN" w:bidi="ar-SA"/>
            </w:rPr>
            <w:t>四</w:t>
          </w:r>
          <w:r>
            <w:rPr>
              <w:rFonts w:hint="eastAsia" w:ascii="宋体" w:hAnsi="宋体" w:eastAsia="宋体" w:cs="宋体"/>
              <w:b/>
              <w:bCs w:val="0"/>
              <w:color w:val="auto"/>
              <w:kern w:val="2"/>
              <w:sz w:val="24"/>
              <w:szCs w:val="24"/>
              <w:lang w:val="zh-CN" w:eastAsia="zh-CN" w:bidi="ar-SA"/>
            </w:rPr>
            <w:t>部分  拟签订的合同条款文本</w:t>
          </w:r>
          <w:r>
            <w:rPr>
              <w:rFonts w:hint="eastAsia" w:ascii="宋体" w:hAnsi="宋体" w:eastAsia="宋体" w:cs="宋体"/>
              <w:b/>
              <w:bCs w:val="0"/>
              <w:color w:val="auto"/>
              <w:sz w:val="24"/>
              <w:szCs w:val="24"/>
            </w:rPr>
            <w:tab/>
          </w: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PAGEREF _Toc8272 \h </w:instrText>
          </w:r>
          <w:r>
            <w:rPr>
              <w:rFonts w:hint="eastAsia" w:ascii="宋体" w:hAnsi="宋体" w:eastAsia="宋体" w:cs="宋体"/>
              <w:b/>
              <w:bCs w:val="0"/>
              <w:color w:val="auto"/>
              <w:sz w:val="24"/>
              <w:szCs w:val="24"/>
            </w:rPr>
            <w:fldChar w:fldCharType="separate"/>
          </w:r>
          <w:r>
            <w:rPr>
              <w:rFonts w:hint="eastAsia" w:ascii="宋体" w:hAnsi="宋体" w:eastAsia="宋体" w:cs="宋体"/>
              <w:b/>
              <w:bCs w:val="0"/>
              <w:color w:val="auto"/>
              <w:sz w:val="24"/>
              <w:szCs w:val="24"/>
            </w:rPr>
            <w:t>34</w:t>
          </w:r>
          <w:r>
            <w:rPr>
              <w:rFonts w:hint="eastAsia" w:ascii="宋体" w:hAnsi="宋体" w:eastAsia="宋体" w:cs="宋体"/>
              <w:b/>
              <w:bCs w:val="0"/>
              <w:color w:val="auto"/>
              <w:sz w:val="24"/>
              <w:szCs w:val="24"/>
            </w:rPr>
            <w:fldChar w:fldCharType="end"/>
          </w:r>
          <w:r>
            <w:rPr>
              <w:rFonts w:hint="eastAsia" w:ascii="宋体" w:hAnsi="宋体" w:eastAsia="宋体" w:cs="宋体"/>
              <w:b/>
              <w:bCs w:val="0"/>
              <w:color w:val="auto"/>
              <w:sz w:val="24"/>
              <w:szCs w:val="24"/>
              <w:highlight w:val="none"/>
              <w:lang w:val="en-US" w:eastAsia="zh-CN"/>
            </w:rPr>
            <w:fldChar w:fldCharType="end"/>
          </w:r>
        </w:p>
        <w:p w14:paraId="5694E0A3">
          <w:pPr>
            <w:pStyle w:val="18"/>
            <w:keepNext w:val="0"/>
            <w:keepLines w:val="0"/>
            <w:pageBreakBefore w:val="0"/>
            <w:widowControl w:val="0"/>
            <w:tabs>
              <w:tab w:val="right" w:leader="dot" w:pos="907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rPr>
          </w:pPr>
          <w:r>
            <w:rPr>
              <w:rFonts w:hint="eastAsia" w:ascii="宋体" w:hAnsi="宋体" w:eastAsia="宋体" w:cs="宋体"/>
              <w:b/>
              <w:bCs w:val="0"/>
              <w:color w:val="auto"/>
              <w:sz w:val="24"/>
              <w:szCs w:val="24"/>
              <w:highlight w:val="none"/>
              <w:lang w:val="en-US" w:eastAsia="zh-CN"/>
            </w:rPr>
            <w:fldChar w:fldCharType="begin"/>
          </w:r>
          <w:r>
            <w:rPr>
              <w:rFonts w:hint="eastAsia" w:ascii="宋体" w:hAnsi="宋体" w:eastAsia="宋体" w:cs="宋体"/>
              <w:b/>
              <w:bCs w:val="0"/>
              <w:color w:val="auto"/>
              <w:sz w:val="24"/>
              <w:szCs w:val="24"/>
              <w:highlight w:val="none"/>
              <w:lang w:val="en-US" w:eastAsia="zh-CN"/>
            </w:rPr>
            <w:instrText xml:space="preserve"> HYPERLINK \l _Toc8625 </w:instrText>
          </w:r>
          <w:r>
            <w:rPr>
              <w:rFonts w:hint="eastAsia" w:ascii="宋体" w:hAnsi="宋体" w:eastAsia="宋体" w:cs="宋体"/>
              <w:b/>
              <w:bCs w:val="0"/>
              <w:color w:val="auto"/>
              <w:sz w:val="24"/>
              <w:szCs w:val="24"/>
              <w:highlight w:val="none"/>
              <w:lang w:val="en-US" w:eastAsia="zh-CN"/>
            </w:rPr>
            <w:fldChar w:fldCharType="separate"/>
          </w:r>
          <w:r>
            <w:rPr>
              <w:rFonts w:hint="eastAsia" w:ascii="宋体" w:hAnsi="宋体" w:eastAsia="宋体" w:cs="宋体"/>
              <w:b/>
              <w:bCs w:val="0"/>
              <w:color w:val="auto"/>
              <w:kern w:val="2"/>
              <w:sz w:val="24"/>
              <w:szCs w:val="24"/>
              <w:lang w:val="zh-CN" w:eastAsia="zh-CN" w:bidi="ar-SA"/>
            </w:rPr>
            <w:t>第</w:t>
          </w:r>
          <w:r>
            <w:rPr>
              <w:rFonts w:hint="eastAsia" w:ascii="宋体" w:hAnsi="宋体" w:eastAsia="宋体" w:cs="宋体"/>
              <w:b/>
              <w:bCs w:val="0"/>
              <w:color w:val="auto"/>
              <w:kern w:val="2"/>
              <w:sz w:val="24"/>
              <w:szCs w:val="24"/>
              <w:lang w:val="en-US" w:eastAsia="zh-CN" w:bidi="ar-SA"/>
            </w:rPr>
            <w:t>五</w:t>
          </w:r>
          <w:r>
            <w:rPr>
              <w:rFonts w:hint="eastAsia" w:ascii="宋体" w:hAnsi="宋体" w:eastAsia="宋体" w:cs="宋体"/>
              <w:b/>
              <w:bCs w:val="0"/>
              <w:color w:val="auto"/>
              <w:kern w:val="2"/>
              <w:sz w:val="24"/>
              <w:szCs w:val="24"/>
              <w:lang w:val="zh-CN" w:eastAsia="zh-CN" w:bidi="ar-SA"/>
            </w:rPr>
            <w:t xml:space="preserve">部分 </w:t>
          </w: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bCs w:val="0"/>
              <w:color w:val="auto"/>
              <w:kern w:val="2"/>
              <w:sz w:val="24"/>
              <w:szCs w:val="24"/>
              <w:lang w:val="zh-CN" w:eastAsia="zh-CN" w:bidi="ar-SA"/>
            </w:rPr>
            <w:t>响应文件格式</w:t>
          </w:r>
          <w:r>
            <w:rPr>
              <w:rFonts w:hint="eastAsia" w:ascii="宋体" w:hAnsi="宋体" w:eastAsia="宋体" w:cs="宋体"/>
              <w:b/>
              <w:bCs w:val="0"/>
              <w:color w:val="auto"/>
              <w:sz w:val="24"/>
              <w:szCs w:val="24"/>
            </w:rPr>
            <w:tab/>
          </w: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PAGEREF _Toc8625 \h </w:instrText>
          </w:r>
          <w:r>
            <w:rPr>
              <w:rFonts w:hint="eastAsia" w:ascii="宋体" w:hAnsi="宋体" w:eastAsia="宋体" w:cs="宋体"/>
              <w:b/>
              <w:bCs w:val="0"/>
              <w:color w:val="auto"/>
              <w:sz w:val="24"/>
              <w:szCs w:val="24"/>
            </w:rPr>
            <w:fldChar w:fldCharType="separate"/>
          </w:r>
          <w:r>
            <w:rPr>
              <w:rFonts w:hint="eastAsia" w:ascii="宋体" w:hAnsi="宋体" w:eastAsia="宋体" w:cs="宋体"/>
              <w:b/>
              <w:bCs w:val="0"/>
              <w:color w:val="auto"/>
              <w:sz w:val="24"/>
              <w:szCs w:val="24"/>
            </w:rPr>
            <w:t>49</w:t>
          </w:r>
          <w:r>
            <w:rPr>
              <w:rFonts w:hint="eastAsia" w:ascii="宋体" w:hAnsi="宋体" w:eastAsia="宋体" w:cs="宋体"/>
              <w:b/>
              <w:bCs w:val="0"/>
              <w:color w:val="auto"/>
              <w:sz w:val="24"/>
              <w:szCs w:val="24"/>
            </w:rPr>
            <w:fldChar w:fldCharType="end"/>
          </w:r>
          <w:r>
            <w:rPr>
              <w:rFonts w:hint="eastAsia" w:ascii="宋体" w:hAnsi="宋体" w:eastAsia="宋体" w:cs="宋体"/>
              <w:b/>
              <w:bCs w:val="0"/>
              <w:color w:val="auto"/>
              <w:sz w:val="24"/>
              <w:szCs w:val="24"/>
              <w:highlight w:val="none"/>
              <w:lang w:val="en-US" w:eastAsia="zh-CN"/>
            </w:rPr>
            <w:fldChar w:fldCharType="end"/>
          </w:r>
        </w:p>
        <w:p w14:paraId="220A1664">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Cs/>
              <w:color w:val="auto"/>
              <w:szCs w:val="28"/>
              <w:highlight w:val="none"/>
              <w:lang w:val="en-US" w:eastAsia="zh-CN"/>
            </w:rPr>
            <w:fldChar w:fldCharType="end"/>
          </w:r>
        </w:p>
      </w:sdtContent>
    </w:sdt>
    <w:p w14:paraId="6F87AF5C">
      <w:pPr>
        <w:rPr>
          <w:rFonts w:hint="eastAsia" w:ascii="宋体" w:hAnsi="宋体" w:eastAsia="宋体" w:cs="宋体"/>
          <w:b/>
          <w:bCs/>
          <w:color w:val="auto"/>
          <w:kern w:val="2"/>
          <w:sz w:val="32"/>
          <w:szCs w:val="32"/>
          <w:lang w:val="en-US" w:eastAsia="zh-CN" w:bidi="ar-SA"/>
        </w:rPr>
      </w:pPr>
      <w:bookmarkStart w:id="0" w:name="_Toc3928"/>
      <w:r>
        <w:rPr>
          <w:rFonts w:hint="eastAsia" w:ascii="宋体" w:hAnsi="宋体" w:eastAsia="宋体" w:cs="宋体"/>
          <w:b/>
          <w:bCs/>
          <w:color w:val="auto"/>
          <w:kern w:val="2"/>
          <w:sz w:val="32"/>
          <w:szCs w:val="32"/>
          <w:lang w:val="en-US" w:eastAsia="zh-CN" w:bidi="ar-SA"/>
        </w:rPr>
        <w:br w:type="page"/>
      </w:r>
    </w:p>
    <w:p w14:paraId="107EEF3E">
      <w:pPr>
        <w:numPr>
          <w:ilvl w:val="0"/>
          <w:numId w:val="0"/>
        </w:numPr>
        <w:jc w:val="center"/>
        <w:outlineLvl w:val="0"/>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第一部分  竞争性磋商公告</w:t>
      </w:r>
      <w:bookmarkEnd w:id="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9D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64543E">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项目概况</w:t>
            </w:r>
          </w:p>
          <w:p w14:paraId="10F482B7">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both"/>
              <w:textAlignment w:val="auto"/>
              <w:outlineLvl w:val="5"/>
              <w:rPr>
                <w:rFonts w:hint="eastAsia" w:ascii="宋体" w:hAnsi="宋体" w:eastAsia="宋体" w:cs="宋体"/>
                <w:b/>
                <w:color w:val="auto"/>
                <w:sz w:val="24"/>
                <w:szCs w:val="24"/>
                <w:vertAlign w:val="baseline"/>
              </w:rPr>
            </w:pP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采购项目的潜在供应商应在全国公共资源交易平台（陕西省.安康市）获取采购文件，并于2025年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时00分 （北京时间）前提交响应文件。</w:t>
            </w:r>
          </w:p>
        </w:tc>
      </w:tr>
    </w:tbl>
    <w:p w14:paraId="58D10339">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一、项目基本情况</w:t>
      </w:r>
    </w:p>
    <w:p w14:paraId="34E5AFF5">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ZCPC-2025-079</w:t>
      </w:r>
    </w:p>
    <w:p w14:paraId="740A7BB6">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市委党校智慧校园软件项目建设</w:t>
      </w:r>
    </w:p>
    <w:p w14:paraId="55BB5A6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6256147C">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999,500.00</w:t>
      </w:r>
      <w:r>
        <w:rPr>
          <w:rFonts w:hint="eastAsia" w:ascii="宋体" w:hAnsi="宋体" w:eastAsia="宋体" w:cs="宋体"/>
          <w:color w:val="auto"/>
          <w:sz w:val="24"/>
          <w:szCs w:val="24"/>
        </w:rPr>
        <w:t>元</w:t>
      </w:r>
    </w:p>
    <w:p w14:paraId="7BB4910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47175E2B">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w:t>
      </w:r>
    </w:p>
    <w:p w14:paraId="7C8D8092">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eastAsia="zh-CN"/>
        </w:rPr>
        <w:t>999,500.00</w:t>
      </w:r>
      <w:r>
        <w:rPr>
          <w:rFonts w:hint="eastAsia" w:ascii="宋体" w:hAnsi="宋体" w:eastAsia="宋体" w:cs="宋体"/>
          <w:color w:val="auto"/>
          <w:sz w:val="24"/>
          <w:szCs w:val="24"/>
        </w:rPr>
        <w:t>元</w:t>
      </w:r>
    </w:p>
    <w:p w14:paraId="28545CC2">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eastAsia="zh-CN"/>
        </w:rPr>
        <w:t>999,500.00</w:t>
      </w:r>
      <w:r>
        <w:rPr>
          <w:rFonts w:hint="eastAsia" w:ascii="宋体" w:hAnsi="宋体" w:eastAsia="宋体" w:cs="宋体"/>
          <w:color w:val="auto"/>
          <w:sz w:val="24"/>
          <w:szCs w:val="24"/>
        </w:rPr>
        <w:t>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2"/>
        <w:gridCol w:w="972"/>
        <w:gridCol w:w="2182"/>
        <w:gridCol w:w="988"/>
        <w:gridCol w:w="1176"/>
        <w:gridCol w:w="1313"/>
        <w:gridCol w:w="1209"/>
      </w:tblGrid>
      <w:tr w14:paraId="36B9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70075DE6">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972" w:type="dxa"/>
          </w:tcPr>
          <w:p w14:paraId="6A6AC97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品目名称</w:t>
            </w:r>
          </w:p>
        </w:tc>
        <w:tc>
          <w:tcPr>
            <w:tcW w:w="2182" w:type="dxa"/>
          </w:tcPr>
          <w:p w14:paraId="06DA6E20">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w:t>
            </w:r>
          </w:p>
        </w:tc>
        <w:tc>
          <w:tcPr>
            <w:tcW w:w="988" w:type="dxa"/>
          </w:tcPr>
          <w:p w14:paraId="18089047">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数量（单位）</w:t>
            </w:r>
          </w:p>
        </w:tc>
        <w:tc>
          <w:tcPr>
            <w:tcW w:w="1176" w:type="dxa"/>
          </w:tcPr>
          <w:p w14:paraId="33B50A99">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技术规格、参数及要求</w:t>
            </w:r>
          </w:p>
        </w:tc>
        <w:tc>
          <w:tcPr>
            <w:tcW w:w="1313" w:type="dxa"/>
          </w:tcPr>
          <w:p w14:paraId="09764606">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品目预算(元)</w:t>
            </w:r>
          </w:p>
        </w:tc>
        <w:tc>
          <w:tcPr>
            <w:tcW w:w="1209" w:type="dxa"/>
          </w:tcPr>
          <w:p w14:paraId="0AB462F1">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最高限价(元)</w:t>
            </w:r>
          </w:p>
        </w:tc>
      </w:tr>
      <w:tr w14:paraId="4CE9E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14:paraId="39FD5D6F">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72" w:type="dxa"/>
          </w:tcPr>
          <w:p w14:paraId="3595B799">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软件集成实施服务</w:t>
            </w:r>
          </w:p>
        </w:tc>
        <w:tc>
          <w:tcPr>
            <w:tcW w:w="2182" w:type="dxa"/>
          </w:tcPr>
          <w:p w14:paraId="321311B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市委党校智慧校园软件项目建设</w:t>
            </w:r>
          </w:p>
        </w:tc>
        <w:tc>
          <w:tcPr>
            <w:tcW w:w="988" w:type="dxa"/>
          </w:tcPr>
          <w:p w14:paraId="2F0F7584">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1176" w:type="dxa"/>
          </w:tcPr>
          <w:p w14:paraId="4F107A73">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313" w:type="dxa"/>
          </w:tcPr>
          <w:p w14:paraId="260D61EE">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999,500.00</w:t>
            </w:r>
          </w:p>
        </w:tc>
        <w:tc>
          <w:tcPr>
            <w:tcW w:w="1209" w:type="dxa"/>
          </w:tcPr>
          <w:p w14:paraId="42A952A6">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999,500.00</w:t>
            </w:r>
          </w:p>
        </w:tc>
      </w:tr>
    </w:tbl>
    <w:p w14:paraId="5896DD76">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本合同包不接受联合体投标</w:t>
      </w:r>
    </w:p>
    <w:p w14:paraId="70EBF2A0">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合同履行期限：</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rPr>
        <w:t>日历天</w:t>
      </w:r>
    </w:p>
    <w:p w14:paraId="18376F63">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二、申请人的资格要求：</w:t>
      </w:r>
    </w:p>
    <w:p w14:paraId="6E840129">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5183B59">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197A5312">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)落实政府采购政策需满足的资格要求如下:</w:t>
      </w:r>
      <w:r>
        <w:rPr>
          <w:rFonts w:hint="eastAsia" w:ascii="宋体" w:hAnsi="宋体" w:eastAsia="宋体" w:cs="宋体"/>
          <w:color w:val="auto"/>
          <w:sz w:val="24"/>
          <w:szCs w:val="24"/>
          <w:lang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w:t>
      </w:r>
      <w:r>
        <w:rPr>
          <w:rFonts w:hint="eastAsia" w:ascii="宋体" w:hAnsi="宋体" w:eastAsia="宋体" w:cs="宋体"/>
          <w:color w:val="auto"/>
          <w:sz w:val="24"/>
          <w:szCs w:val="24"/>
          <w:lang w:val="en-US" w:eastAsia="zh-CN"/>
        </w:rPr>
        <w:t>(10)符合国务院有关部门根据企业从业人员、营业收入、资产总额等指标制定的中小企业划型标准（工信部联企业〔2011〕300号）；(11)国家统计局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2E5D594F">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E0BA36D">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)特定资格要求如下:</w:t>
      </w:r>
    </w:p>
    <w:p w14:paraId="41B2F102">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（1）法定代表人直接参加磋商的，须提供法定代表人身份证明(法定代表人身份证原件备查）；法定代表人授权代表参加磋商的，须提供法定代表人授权委托书(授权代表身份证原件备查）；</w:t>
      </w:r>
    </w:p>
    <w:p w14:paraId="6F44D5EC">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（2）符合《财政部关于在政府采购活动中查询及使用信用记录有关问题的通知》（财库【2016】125号）文件中信用查询的要求。 </w:t>
      </w:r>
    </w:p>
    <w:p w14:paraId="1FE0AD61">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（3）控股、管理关系：单位负责人为同一人或者存在控股、管理关系的不同供应商，不得同时参加本项目采购项目；</w:t>
      </w:r>
    </w:p>
    <w:p w14:paraId="3BB77945">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（4）联合体投标：本项目不接受联合体投标。</w:t>
      </w:r>
    </w:p>
    <w:p w14:paraId="44E26C56">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三、获取采购文件</w:t>
      </w:r>
    </w:p>
    <w:p w14:paraId="6B8FF8F3">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2025年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日 至2025年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日 ，每天上午 00:00:00 至 12:00:00 ，下午 12:00:00 至 23:59:59 （北京时间）</w:t>
      </w:r>
    </w:p>
    <w:p w14:paraId="23A16AE9">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30A4C269">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1C752B93">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 0元</w:t>
      </w:r>
    </w:p>
    <w:p w14:paraId="1D09B434">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四、响应文件提交</w:t>
      </w:r>
    </w:p>
    <w:p w14:paraId="4B6E8B02">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分00秒 （北京时间）</w:t>
      </w:r>
    </w:p>
    <w:p w14:paraId="06B088F4">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地点：全国公共资源交易平台（陕西省·安康市）上传电子响应文件</w:t>
      </w:r>
    </w:p>
    <w:p w14:paraId="36E8C584">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五、开启</w:t>
      </w:r>
    </w:p>
    <w:p w14:paraId="44CE2D5B">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时间：2025年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分00秒（北京时间）</w:t>
      </w:r>
    </w:p>
    <w:p w14:paraId="276C7023">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地点：全国公共资源交易平台（陕西省·安康市）-不见面开标系统</w:t>
      </w:r>
    </w:p>
    <w:p w14:paraId="063F8F52">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六、公告期限</w:t>
      </w:r>
    </w:p>
    <w:p w14:paraId="1513A9C8">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30AD0B74">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七、其他补充事宜</w:t>
      </w:r>
    </w:p>
    <w:p w14:paraId="328E067B">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1.使用捆绑省交易平台的CA锁登录电子交易平台，通过政府采购系统企业端进入，点击我要投标，完善相关投标信息，下载磋商文件。</w:t>
      </w:r>
    </w:p>
    <w:p w14:paraId="398B0F1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2.本项目采用电子化投标方式，相关操作流程详见全国公共资源交易平台（陕西省）网站（服务指南－下载专区）中的《陕西省公共资源交易中心政府采购项目投标指南》，电子磋商文件技术支持：40092800135/4009980000；</w:t>
      </w:r>
    </w:p>
    <w:p w14:paraId="290BE4C4">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3.未及时下载磋商文件将会影响后续开评标活动；</w:t>
      </w:r>
    </w:p>
    <w:p w14:paraId="4F9C8F94">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4.请各供应商获取磋商文件后，按照陕西省财政厅《关于政府采购供应商注册登记有关事项的通知》要求，通过陕西省政府采购网注册登记加入陕西省政府采购供应商库；</w:t>
      </w:r>
    </w:p>
    <w:p w14:paraId="4A2D17AE">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5.本项目执行政府强制、优先采购节能产品，优先采购环境标志产品，支持中小企业，支持监狱和戒毒企业、残疾人企业、扶持不发达地区和少数民族地区、支持脱贫攻坚等相关政策。详见磋商文件《供应商须知》中“落实的政府采购政策”有关内容。</w:t>
      </w:r>
    </w:p>
    <w:p w14:paraId="11D7BF02">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八、对本次招标提出询问，请按以下方式联系。</w:t>
      </w:r>
    </w:p>
    <w:p w14:paraId="3E6D3202">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1.采购人信息</w:t>
      </w:r>
    </w:p>
    <w:p w14:paraId="01A0DABC">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中共安康市委党校</w:t>
      </w:r>
    </w:p>
    <w:p w14:paraId="7010F543">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安康高新区花园大道</w:t>
      </w:r>
    </w:p>
    <w:p w14:paraId="129DADE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联系方式：余婧  0915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3366106</w:t>
      </w:r>
    </w:p>
    <w:p w14:paraId="59FA11C1">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2.采购代理机构信息</w:t>
      </w:r>
    </w:p>
    <w:p w14:paraId="5002031C">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名称：陕西众灿品诚项目管理有限公司</w:t>
      </w:r>
    </w:p>
    <w:p w14:paraId="2C666F73">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地址：陕西省西安市雁塔区电子城街道万象国际中心2号楼1单元801室</w:t>
      </w:r>
    </w:p>
    <w:p w14:paraId="289E8228">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王伟娜</w:t>
      </w:r>
      <w:r>
        <w:rPr>
          <w:rFonts w:hint="eastAsia" w:ascii="宋体" w:hAnsi="宋体" w:eastAsia="宋体" w:cs="宋体"/>
          <w:color w:val="auto"/>
          <w:sz w:val="24"/>
          <w:szCs w:val="24"/>
        </w:rPr>
        <w:t>18966707323</w:t>
      </w:r>
    </w:p>
    <w:p w14:paraId="1C829A5E">
      <w:pPr>
        <w:pStyle w:val="46"/>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3.项目联系方式</w:t>
      </w:r>
    </w:p>
    <w:p w14:paraId="702CB5DB">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王伟娜</w:t>
      </w:r>
    </w:p>
    <w:p w14:paraId="3ECBDF9B">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电话：18966707323</w:t>
      </w:r>
    </w:p>
    <w:p w14:paraId="1C7274DE">
      <w:pPr>
        <w:pStyle w:val="11"/>
        <w:jc w:val="left"/>
        <w:rPr>
          <w:rFonts w:hint="eastAsia" w:ascii="宋体" w:hAnsi="宋体" w:eastAsia="宋体" w:cs="宋体"/>
          <w:color w:val="auto"/>
          <w:lang w:val="en-US" w:eastAsia="zh-CN"/>
        </w:rPr>
      </w:pPr>
    </w:p>
    <w:p w14:paraId="25C177FE">
      <w:pPr>
        <w:rPr>
          <w:rFonts w:hint="eastAsia" w:ascii="宋体" w:hAnsi="宋体" w:eastAsia="宋体" w:cs="宋体"/>
          <w:color w:val="auto"/>
          <w:lang w:val="en-US" w:eastAsia="zh-CN"/>
        </w:rPr>
      </w:pPr>
    </w:p>
    <w:p w14:paraId="0B3D955F">
      <w:pPr>
        <w:pStyle w:val="11"/>
        <w:rPr>
          <w:rFonts w:hint="eastAsia" w:ascii="宋体" w:hAnsi="宋体" w:eastAsia="宋体" w:cs="宋体"/>
          <w:color w:val="auto"/>
          <w:lang w:val="en-US" w:eastAsia="zh-CN"/>
        </w:rPr>
      </w:pPr>
    </w:p>
    <w:p w14:paraId="49E9050E">
      <w:pPr>
        <w:rPr>
          <w:rFonts w:hint="eastAsia" w:ascii="宋体" w:hAnsi="宋体" w:eastAsia="宋体" w:cs="宋体"/>
          <w:color w:val="auto"/>
          <w:lang w:val="en-US" w:eastAsia="zh-CN"/>
        </w:rPr>
      </w:pPr>
    </w:p>
    <w:p w14:paraId="3715E378">
      <w:pPr>
        <w:pStyle w:val="11"/>
        <w:rPr>
          <w:rFonts w:hint="eastAsia" w:ascii="宋体" w:hAnsi="宋体" w:eastAsia="宋体" w:cs="宋体"/>
          <w:color w:val="auto"/>
          <w:lang w:val="en-US" w:eastAsia="zh-CN"/>
        </w:rPr>
      </w:pPr>
    </w:p>
    <w:p w14:paraId="5E3D7AF4">
      <w:pPr>
        <w:rPr>
          <w:rFonts w:hint="eastAsia" w:ascii="宋体" w:hAnsi="宋体" w:eastAsia="宋体" w:cs="宋体"/>
          <w:color w:val="auto"/>
          <w:lang w:val="en-US" w:eastAsia="zh-CN"/>
        </w:rPr>
      </w:pPr>
    </w:p>
    <w:p w14:paraId="1B57F229">
      <w:pPr>
        <w:numPr>
          <w:ilvl w:val="0"/>
          <w:numId w:val="0"/>
        </w:numPr>
        <w:jc w:val="center"/>
        <w:outlineLvl w:val="0"/>
        <w:rPr>
          <w:rFonts w:hint="eastAsia" w:ascii="宋体" w:hAnsi="宋体" w:eastAsia="宋体" w:cs="宋体"/>
          <w:b/>
          <w:bCs/>
          <w:color w:val="auto"/>
          <w:kern w:val="2"/>
          <w:sz w:val="32"/>
          <w:szCs w:val="32"/>
          <w:lang w:val="en-US" w:eastAsia="zh-CN" w:bidi="ar-SA"/>
        </w:rPr>
      </w:pPr>
    </w:p>
    <w:p w14:paraId="13F23DDD">
      <w:pPr>
        <w:pStyle w:val="11"/>
        <w:rPr>
          <w:rFonts w:hint="eastAsia" w:ascii="宋体" w:hAnsi="宋体" w:eastAsia="宋体" w:cs="宋体"/>
          <w:b/>
          <w:bCs/>
          <w:color w:val="auto"/>
          <w:kern w:val="2"/>
          <w:sz w:val="32"/>
          <w:szCs w:val="32"/>
          <w:lang w:val="en-US" w:eastAsia="zh-CN" w:bidi="ar-SA"/>
        </w:rPr>
      </w:pPr>
    </w:p>
    <w:p w14:paraId="1A43EA44">
      <w:pPr>
        <w:rPr>
          <w:rFonts w:hint="eastAsia" w:ascii="宋体" w:hAnsi="宋体" w:eastAsia="宋体" w:cs="宋体"/>
          <w:b/>
          <w:bCs/>
          <w:color w:val="auto"/>
          <w:kern w:val="2"/>
          <w:sz w:val="32"/>
          <w:szCs w:val="32"/>
          <w:lang w:val="en-US" w:eastAsia="zh-CN" w:bidi="ar-SA"/>
        </w:rPr>
      </w:pPr>
    </w:p>
    <w:p w14:paraId="28BDC086">
      <w:pPr>
        <w:pStyle w:val="11"/>
        <w:rPr>
          <w:rFonts w:hint="eastAsia" w:ascii="宋体" w:hAnsi="宋体" w:eastAsia="宋体" w:cs="宋体"/>
          <w:b/>
          <w:bCs/>
          <w:color w:val="auto"/>
          <w:kern w:val="2"/>
          <w:sz w:val="32"/>
          <w:szCs w:val="32"/>
          <w:lang w:val="en-US" w:eastAsia="zh-CN" w:bidi="ar-SA"/>
        </w:rPr>
      </w:pPr>
    </w:p>
    <w:p w14:paraId="7620DE80">
      <w:pPr>
        <w:pStyle w:val="21"/>
        <w:rPr>
          <w:rFonts w:hint="eastAsia" w:ascii="宋体" w:hAnsi="宋体" w:eastAsia="宋体" w:cs="宋体"/>
          <w:b/>
          <w:bCs/>
          <w:color w:val="auto"/>
          <w:kern w:val="2"/>
          <w:sz w:val="32"/>
          <w:szCs w:val="32"/>
          <w:lang w:val="en-US" w:eastAsia="zh-CN" w:bidi="ar-SA"/>
        </w:rPr>
      </w:pPr>
    </w:p>
    <w:p w14:paraId="4085FBA0">
      <w:pPr>
        <w:numPr>
          <w:ilvl w:val="0"/>
          <w:numId w:val="0"/>
        </w:numPr>
        <w:jc w:val="center"/>
        <w:outlineLvl w:val="0"/>
        <w:rPr>
          <w:rFonts w:hint="eastAsia" w:ascii="宋体" w:hAnsi="宋体" w:eastAsia="宋体" w:cs="宋体"/>
          <w:color w:val="auto"/>
          <w:lang w:val="en-US" w:eastAsia="zh-CN"/>
        </w:rPr>
      </w:pPr>
      <w:bookmarkStart w:id="1" w:name="_Toc29022"/>
      <w:r>
        <w:rPr>
          <w:rFonts w:hint="eastAsia" w:ascii="宋体" w:hAnsi="宋体" w:eastAsia="宋体" w:cs="宋体"/>
          <w:b/>
          <w:bCs/>
          <w:color w:val="auto"/>
          <w:kern w:val="2"/>
          <w:sz w:val="32"/>
          <w:szCs w:val="32"/>
          <w:lang w:val="en-US" w:eastAsia="zh-CN" w:bidi="ar-SA"/>
        </w:rPr>
        <w:t xml:space="preserve">第二部分  </w:t>
      </w:r>
      <w:r>
        <w:rPr>
          <w:rFonts w:hint="eastAsia" w:ascii="宋体" w:hAnsi="宋体" w:eastAsia="宋体" w:cs="宋体"/>
          <w:b/>
          <w:bCs/>
          <w:color w:val="auto"/>
          <w:kern w:val="2"/>
          <w:sz w:val="32"/>
          <w:szCs w:val="32"/>
          <w:lang w:val="zh-CN" w:eastAsia="zh-CN" w:bidi="ar-SA"/>
        </w:rPr>
        <w:t>供应商须知</w:t>
      </w:r>
      <w:bookmarkEnd w:id="1"/>
    </w:p>
    <w:p w14:paraId="2F563932">
      <w:pPr>
        <w:bidi w:val="0"/>
        <w:rPr>
          <w:rFonts w:hint="eastAsia" w:ascii="宋体" w:hAnsi="宋体" w:eastAsia="宋体" w:cs="宋体"/>
          <w:color w:val="auto"/>
          <w:lang w:val="en-US" w:eastAsia="zh-CN"/>
        </w:rPr>
      </w:pPr>
    </w:p>
    <w:p w14:paraId="65B9ECF8">
      <w:pPr>
        <w:keepNext w:val="0"/>
        <w:keepLines w:val="0"/>
        <w:pageBreakBefore w:val="0"/>
        <w:widowControl/>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rPr>
      </w:pPr>
      <w:bookmarkStart w:id="2" w:name="_Toc3893"/>
      <w:bookmarkStart w:id="3" w:name="_Toc1651"/>
      <w:bookmarkStart w:id="4" w:name="_Toc36034956"/>
      <w:bookmarkStart w:id="5" w:name="_Toc24406"/>
      <w:bookmarkStart w:id="6" w:name="_Toc32468"/>
      <w:bookmarkStart w:id="7" w:name="_Toc5775"/>
      <w:bookmarkStart w:id="8" w:name="_Toc31527"/>
      <w:bookmarkStart w:id="9" w:name="_Toc28085"/>
      <w:bookmarkStart w:id="10" w:name="_Toc1774"/>
      <w:bookmarkStart w:id="11" w:name="_Toc16711"/>
      <w:bookmarkStart w:id="12" w:name="_Toc31028"/>
      <w:bookmarkStart w:id="13" w:name="_Toc28741"/>
      <w:bookmarkStart w:id="14" w:name="_Toc896"/>
      <w:bookmarkStart w:id="15" w:name="_Toc13671"/>
      <w:bookmarkStart w:id="16" w:name="_Toc20763"/>
      <w:bookmarkStart w:id="17" w:name="_Toc26307"/>
      <w:bookmarkStart w:id="18" w:name="_Toc5869"/>
      <w:bookmarkStart w:id="19" w:name="_Toc23413"/>
      <w:bookmarkStart w:id="20" w:name="_Toc9082"/>
      <w:bookmarkStart w:id="21" w:name="_Toc5694"/>
      <w:bookmarkStart w:id="22" w:name="_Toc15611"/>
      <w:bookmarkStart w:id="23" w:name="_Toc2971"/>
      <w:bookmarkStart w:id="24" w:name="_Toc5716"/>
      <w:bookmarkStart w:id="25" w:name="_Toc32058"/>
      <w:bookmarkStart w:id="26" w:name="_Toc25370"/>
      <w:bookmarkStart w:id="27" w:name="_Toc1546"/>
      <w:bookmarkStart w:id="28" w:name="_Toc89"/>
      <w:bookmarkStart w:id="29" w:name="_Toc18166"/>
      <w:bookmarkStart w:id="30" w:name="_Toc23962"/>
      <w:bookmarkStart w:id="31" w:name="_Toc14969"/>
      <w:bookmarkStart w:id="32" w:name="_Toc20719"/>
      <w:bookmarkStart w:id="33" w:name="_Toc1432"/>
      <w:bookmarkStart w:id="34" w:name="_Toc18092"/>
      <w:bookmarkStart w:id="35" w:name="_Toc8227"/>
      <w:bookmarkStart w:id="36" w:name="_Toc22834"/>
      <w:bookmarkStart w:id="37" w:name="_Toc10789"/>
      <w:bookmarkStart w:id="38" w:name="_Toc20256"/>
      <w:bookmarkStart w:id="39" w:name="_Toc13559"/>
      <w:bookmarkStart w:id="40" w:name="_Toc2633"/>
      <w:bookmarkStart w:id="41" w:name="_Toc327"/>
      <w:bookmarkStart w:id="42" w:name="_Toc11456"/>
      <w:bookmarkStart w:id="43" w:name="_Toc21816"/>
      <w:bookmarkStart w:id="44" w:name="_Toc20941"/>
      <w:bookmarkStart w:id="45" w:name="_Toc32580"/>
      <w:bookmarkStart w:id="46" w:name="_Toc24667"/>
      <w:bookmarkStart w:id="47" w:name="_Toc16124"/>
      <w:bookmarkStart w:id="48" w:name="_Toc12952"/>
      <w:bookmarkStart w:id="49" w:name="_Toc29441"/>
      <w:bookmarkStart w:id="50" w:name="_Toc1015"/>
      <w:bookmarkStart w:id="51" w:name="_Toc19053"/>
      <w:bookmarkStart w:id="52" w:name="_Toc21260"/>
      <w:r>
        <w:rPr>
          <w:rFonts w:hint="eastAsia" w:ascii="宋体" w:hAnsi="宋体" w:eastAsia="宋体" w:cs="宋体"/>
          <w:b/>
          <w:color w:val="auto"/>
          <w:sz w:val="24"/>
          <w:szCs w:val="24"/>
        </w:rPr>
        <w:t>一、</w:t>
      </w:r>
      <w:bookmarkEnd w:id="2"/>
      <w:bookmarkEnd w:id="3"/>
      <w:bookmarkEnd w:id="4"/>
      <w:bookmarkEnd w:id="5"/>
      <w:bookmarkEnd w:id="6"/>
      <w:bookmarkEnd w:id="7"/>
      <w:r>
        <w:rPr>
          <w:rFonts w:hint="eastAsia" w:ascii="宋体" w:hAnsi="宋体" w:eastAsia="宋体" w:cs="宋体"/>
          <w:b/>
          <w:color w:val="auto"/>
          <w:sz w:val="24"/>
          <w:szCs w:val="24"/>
        </w:rPr>
        <w:t>总则</w:t>
      </w:r>
      <w:bookmarkEnd w:id="8"/>
      <w:bookmarkEnd w:id="9"/>
      <w:bookmarkEnd w:id="10"/>
    </w:p>
    <w:p w14:paraId="0047D1B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（一）名词解释</w:t>
      </w:r>
    </w:p>
    <w:p w14:paraId="798DBA7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zh-CN"/>
        </w:rPr>
        <w:t>1、采 购 人：</w:t>
      </w:r>
      <w:r>
        <w:rPr>
          <w:rFonts w:hint="eastAsia" w:ascii="宋体" w:hAnsi="宋体" w:eastAsia="宋体" w:cs="宋体"/>
          <w:color w:val="auto"/>
          <w:sz w:val="24"/>
          <w:szCs w:val="24"/>
          <w:lang w:val="en-US" w:eastAsia="zh-CN"/>
        </w:rPr>
        <w:t>中共安康市委党校</w:t>
      </w:r>
    </w:p>
    <w:p w14:paraId="61E00BB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2、监督机构：</w:t>
      </w:r>
      <w:r>
        <w:rPr>
          <w:rFonts w:hint="eastAsia" w:ascii="宋体" w:hAnsi="宋体" w:eastAsia="宋体" w:cs="宋体"/>
          <w:color w:val="auto"/>
          <w:sz w:val="24"/>
          <w:szCs w:val="24"/>
          <w:lang w:val="en-US" w:eastAsia="zh-CN"/>
        </w:rPr>
        <w:t>同级财政部门</w:t>
      </w:r>
    </w:p>
    <w:p w14:paraId="7B005B7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3、采购代理机构：陕西众灿品诚项目管理有限公司</w:t>
      </w:r>
    </w:p>
    <w:p w14:paraId="24F5538C">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r>
        <w:rPr>
          <w:rFonts w:hint="eastAsia" w:ascii="宋体" w:hAnsi="宋体" w:eastAsia="宋体" w:cs="宋体"/>
          <w:color w:val="auto"/>
          <w:sz w:val="24"/>
          <w:szCs w:val="24"/>
          <w:lang w:val="en-US" w:eastAsia="zh-CN"/>
        </w:rPr>
        <w:t>供 应 商</w:t>
      </w:r>
      <w:r>
        <w:rPr>
          <w:rFonts w:hint="eastAsia" w:ascii="宋体" w:hAnsi="宋体" w:eastAsia="宋体" w:cs="宋体"/>
          <w:color w:val="auto"/>
          <w:sz w:val="24"/>
          <w:szCs w:val="24"/>
          <w:lang w:val="zh-CN"/>
        </w:rPr>
        <w:t>：响应招标、参加投标竞争的法人、其他组织或者自然人。</w:t>
      </w:r>
    </w:p>
    <w:p w14:paraId="3C15EE8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（二）费用承担</w:t>
      </w:r>
    </w:p>
    <w:p w14:paraId="631F9D2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应承担其参与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活动所涉及的一切费用。</w:t>
      </w:r>
    </w:p>
    <w:p w14:paraId="52665CFA">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（三）保密</w:t>
      </w:r>
    </w:p>
    <w:p w14:paraId="3891C357">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参与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活动的各方应对</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文件和</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文件中的商业和技术等内容予以保密，违者应对由此造成的后果承担法律责任。</w:t>
      </w:r>
      <w:r>
        <w:rPr>
          <w:rFonts w:hint="eastAsia" w:ascii="宋体" w:hAnsi="宋体" w:eastAsia="宋体" w:cs="宋体"/>
          <w:color w:val="auto"/>
          <w:sz w:val="24"/>
          <w:szCs w:val="24"/>
          <w:lang w:val="en-US" w:eastAsia="zh-CN"/>
        </w:rPr>
        <w:t xml:space="preserve">                                                                  </w:t>
      </w:r>
    </w:p>
    <w:p w14:paraId="184765D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（四）现场踏勘</w:t>
      </w:r>
    </w:p>
    <w:p w14:paraId="6BFA51FD">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不统一组织，</w:t>
      </w: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自行踏勘或采购人认为有必要，另行书面通知</w:t>
      </w:r>
    </w:p>
    <w:p w14:paraId="0EAD8652">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val="zh-CN"/>
        </w:rPr>
        <w:t>）转包与分包</w:t>
      </w:r>
    </w:p>
    <w:p w14:paraId="2F3C31A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本项目严禁采取转包方式履行合同。</w:t>
      </w:r>
    </w:p>
    <w:p w14:paraId="6DC2E4B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本项目不允许分包，</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rPr>
        <w:t>后不得将</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val="zh-CN"/>
        </w:rPr>
        <w:t>项目非主体、非关键性工作交由他人完成的,否则，视同拒绝履行政府采购合同业务，将依法追究法律责任。</w:t>
      </w:r>
    </w:p>
    <w:p w14:paraId="4E12E31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rPr>
        <w:t>）进口产品、联合体</w:t>
      </w:r>
    </w:p>
    <w:p w14:paraId="5E3DF69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1、本项目是否接受进口产品投标：</w:t>
      </w:r>
      <w:r>
        <w:rPr>
          <w:rFonts w:hint="eastAsia" w:ascii="宋体" w:hAnsi="宋体" w:eastAsia="宋体" w:cs="宋体"/>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u w:val="none"/>
          <w:lang w:val="en-US" w:eastAsia="zh-CN"/>
        </w:rPr>
        <w:t>。</w:t>
      </w:r>
    </w:p>
    <w:p w14:paraId="6CF34BE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本项目是否接受联合体投标：</w:t>
      </w:r>
      <w:r>
        <w:rPr>
          <w:rFonts w:hint="eastAsia" w:ascii="宋体" w:hAnsi="宋体" w:eastAsia="宋体" w:cs="宋体"/>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lang w:val="zh-CN"/>
        </w:rPr>
        <w:t>。</w:t>
      </w:r>
    </w:p>
    <w:p w14:paraId="611FE65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lang w:val="zh-CN"/>
        </w:rPr>
      </w:pPr>
      <w:bookmarkStart w:id="53" w:name="_Toc5008"/>
      <w:bookmarkStart w:id="54" w:name="_Toc31822"/>
      <w:bookmarkStart w:id="55" w:name="_Toc32676"/>
      <w:bookmarkStart w:id="56" w:name="_Toc19229"/>
      <w:bookmarkStart w:id="57" w:name="_Toc25476"/>
      <w:bookmarkStart w:id="58" w:name="_Toc21705"/>
      <w:bookmarkStart w:id="59" w:name="_Toc965"/>
      <w:bookmarkStart w:id="60" w:name="_Toc5321"/>
      <w:bookmarkStart w:id="61" w:name="_Toc20693"/>
      <w:bookmarkStart w:id="62" w:name="_Toc36034957"/>
      <w:r>
        <w:rPr>
          <w:rFonts w:hint="eastAsia" w:ascii="宋体" w:hAnsi="宋体" w:eastAsia="宋体" w:cs="宋体"/>
          <w:b/>
          <w:color w:val="auto"/>
          <w:sz w:val="24"/>
          <w:szCs w:val="24"/>
          <w:lang w:val="zh-CN"/>
        </w:rPr>
        <w:t>二、磋商文件</w:t>
      </w:r>
      <w:bookmarkEnd w:id="53"/>
      <w:bookmarkEnd w:id="54"/>
      <w:bookmarkEnd w:id="55"/>
      <w:bookmarkEnd w:id="56"/>
      <w:bookmarkEnd w:id="57"/>
      <w:bookmarkEnd w:id="58"/>
      <w:bookmarkEnd w:id="59"/>
      <w:bookmarkEnd w:id="60"/>
      <w:bookmarkEnd w:id="61"/>
      <w:bookmarkEnd w:id="62"/>
    </w:p>
    <w:p w14:paraId="27AB751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（一）磋商文件</w:t>
      </w:r>
    </w:p>
    <w:p w14:paraId="5F269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磋商文件的获取：</w:t>
      </w:r>
      <w:r>
        <w:rPr>
          <w:rFonts w:hint="eastAsia" w:ascii="宋体" w:hAnsi="宋体" w:eastAsia="宋体" w:cs="宋体"/>
          <w:color w:val="auto"/>
          <w:sz w:val="24"/>
          <w:szCs w:val="24"/>
          <w:lang w:val="zh-CN"/>
        </w:rPr>
        <w:t>供应商必须从</w:t>
      </w:r>
      <w:r>
        <w:rPr>
          <w:rStyle w:val="42"/>
          <w:rFonts w:hint="eastAsia" w:ascii="宋体" w:hAnsi="宋体" w:eastAsia="宋体" w:cs="宋体"/>
          <w:color w:val="auto"/>
          <w:kern w:val="2"/>
          <w:sz w:val="24"/>
          <w:szCs w:val="24"/>
          <w:lang w:val="en-US" w:eastAsia="zh-CN" w:bidi="ar-SA"/>
        </w:rPr>
        <w:t>安康市公共资源交易中心平台</w:t>
      </w:r>
      <w:r>
        <w:rPr>
          <w:rFonts w:hint="eastAsia" w:ascii="宋体" w:hAnsi="宋体" w:eastAsia="宋体" w:cs="宋体"/>
          <w:color w:val="auto"/>
          <w:sz w:val="24"/>
          <w:szCs w:val="24"/>
          <w:lang w:val="zh-CN"/>
        </w:rPr>
        <w:t>下载磋商文件，供应商自行转让或复制磋商文件视为无效。供应商应仔细阅读和检查磋商文件的全部内容。如发现缺页或附件不全，应及时向采购代理机构提出，以便补齐。仅作为本次招标使用</w:t>
      </w:r>
      <w:r>
        <w:rPr>
          <w:rFonts w:hint="eastAsia" w:ascii="宋体" w:hAnsi="宋体" w:eastAsia="宋体" w:cs="宋体"/>
          <w:b w:val="0"/>
          <w:bCs w:val="0"/>
          <w:color w:val="auto"/>
          <w:sz w:val="24"/>
          <w:szCs w:val="24"/>
          <w:lang w:val="zh-CN"/>
        </w:rPr>
        <w:t>。</w:t>
      </w:r>
    </w:p>
    <w:p w14:paraId="420E816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电子磋商文件下载：供应商登录全国公共资源交易平台（陕西省·</w:t>
      </w:r>
      <w:r>
        <w:rPr>
          <w:rFonts w:hint="eastAsia" w:ascii="宋体" w:hAnsi="宋体" w:eastAsia="宋体" w:cs="宋体"/>
          <w:b w:val="0"/>
          <w:bCs w:val="0"/>
          <w:color w:val="auto"/>
          <w:sz w:val="24"/>
          <w:szCs w:val="24"/>
          <w:lang w:val="en-US" w:eastAsia="zh-CN"/>
        </w:rPr>
        <w:t>安康市</w:t>
      </w:r>
      <w:r>
        <w:rPr>
          <w:rFonts w:hint="eastAsia" w:ascii="宋体" w:hAnsi="宋体" w:eastAsia="宋体" w:cs="宋体"/>
          <w:b w:val="0"/>
          <w:bCs w:val="0"/>
          <w:color w:val="auto"/>
          <w:sz w:val="24"/>
          <w:szCs w:val="24"/>
          <w:lang w:val="zh-CN"/>
        </w:rPr>
        <w:t>）网站[</w:t>
      </w:r>
      <w:r>
        <w:rPr>
          <w:rFonts w:hint="eastAsia" w:ascii="宋体" w:hAnsi="宋体" w:eastAsia="宋体" w:cs="宋体"/>
          <w:b w:val="0"/>
          <w:bCs w:val="0"/>
          <w:color w:val="auto"/>
          <w:kern w:val="2"/>
          <w:sz w:val="24"/>
          <w:szCs w:val="24"/>
          <w:highlight w:val="none"/>
          <w:lang w:val="zh-CN" w:eastAsia="zh-CN" w:bidi="ar-SA"/>
        </w:rPr>
        <w:t>电子交易平台一陕西政府采购交易系统-企业端</w:t>
      </w:r>
      <w:r>
        <w:rPr>
          <w:rFonts w:hint="eastAsia" w:ascii="宋体" w:hAnsi="宋体" w:eastAsia="宋体" w:cs="宋体"/>
          <w:b w:val="0"/>
          <w:bCs w:val="0"/>
          <w:color w:val="auto"/>
          <w:sz w:val="24"/>
          <w:szCs w:val="24"/>
          <w:lang w:val="zh-CN"/>
        </w:rPr>
        <w:t>]后，在[我的项目]中点击“项目流程-交易文件下载”下载电子磋商文件（*.SXSZF）。</w:t>
      </w:r>
    </w:p>
    <w:p w14:paraId="790A353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b w:val="0"/>
          <w:bCs w:val="0"/>
          <w:color w:val="auto"/>
          <w:sz w:val="24"/>
          <w:szCs w:val="24"/>
          <w:lang w:val="zh-CN"/>
        </w:rPr>
        <w:t>注意：该项目如有变更文件，则应点击“项目流程&gt;答疑文件下载”下载更新后的电子磋商文件（*.SXSCF），使用旧版电子磋商文件制作的电子响应文件，系统将拒绝接收。</w:t>
      </w:r>
    </w:p>
    <w:p w14:paraId="30EFCF9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（二）磋商文件的修改或澄清</w:t>
      </w:r>
    </w:p>
    <w:p w14:paraId="2EAE18C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若对</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文件进行必要的澄清或者修改，将在财政部门指定媒体上发布更正公告并以书面形式通知所有获取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，澄清或者修改的内容为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文件的组成部分。澄清或者修改的内容可能影响</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文件编制的，不足5日的，采购代理机构将顺延递交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文件的截止时间。</w:t>
      </w:r>
    </w:p>
    <w:p w14:paraId="45E4374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活动中，采购代理机构按照有关规定对获取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文件的潜在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发出书面形式通知要求其确认的，潜在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应当在规定时间将确认情况原件送达至采购代理机构或通过电子邮件回复至采购代理机构指定的邮箱地址。若潜在</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未在规定时间内进行确认的，视同对发出的书面通知已认可，</w:t>
      </w:r>
      <w:r>
        <w:rPr>
          <w:rFonts w:hint="eastAsia" w:ascii="宋体" w:hAnsi="宋体" w:eastAsia="宋体" w:cs="宋体"/>
          <w:color w:val="auto"/>
          <w:sz w:val="24"/>
          <w:szCs w:val="24"/>
          <w:highlight w:val="none"/>
          <w:lang w:val="zh-CN"/>
        </w:rPr>
        <w:t>所造成的一切后果由供应商自行承担。</w:t>
      </w:r>
    </w:p>
    <w:p w14:paraId="07E368E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val="zh-CN"/>
        </w:rPr>
        <w:t>）解释权归属</w:t>
      </w:r>
    </w:p>
    <w:p w14:paraId="2B74FBC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文件的解释权归采购代理机构。</w:t>
      </w:r>
    </w:p>
    <w:p w14:paraId="07E4423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lang w:val="zh-CN"/>
        </w:rPr>
      </w:pPr>
      <w:bookmarkStart w:id="63" w:name="_Toc11006"/>
      <w:bookmarkStart w:id="64" w:name="_Toc7649"/>
      <w:bookmarkStart w:id="65" w:name="_Toc513647108"/>
      <w:bookmarkStart w:id="66" w:name="_Toc28985"/>
      <w:bookmarkStart w:id="67" w:name="_Toc1441"/>
      <w:bookmarkStart w:id="68" w:name="_Toc2478"/>
      <w:bookmarkStart w:id="69" w:name="_Toc2046"/>
      <w:bookmarkStart w:id="70" w:name="_Toc18229"/>
      <w:bookmarkStart w:id="71" w:name="_Toc36034959"/>
      <w:bookmarkStart w:id="72" w:name="_Toc25615"/>
      <w:bookmarkStart w:id="73" w:name="_Toc15173"/>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zh-CN"/>
        </w:rPr>
        <w:t>、</w:t>
      </w:r>
      <w:bookmarkEnd w:id="63"/>
      <w:bookmarkEnd w:id="64"/>
      <w:bookmarkEnd w:id="65"/>
      <w:bookmarkEnd w:id="66"/>
      <w:bookmarkEnd w:id="67"/>
      <w:bookmarkEnd w:id="68"/>
      <w:bookmarkEnd w:id="69"/>
      <w:bookmarkEnd w:id="70"/>
      <w:bookmarkEnd w:id="71"/>
      <w:bookmarkEnd w:id="72"/>
      <w:bookmarkStart w:id="74" w:name="_Toc7785"/>
      <w:r>
        <w:rPr>
          <w:rFonts w:hint="eastAsia" w:ascii="宋体" w:hAnsi="宋体" w:eastAsia="宋体" w:cs="宋体"/>
          <w:b/>
          <w:color w:val="auto"/>
          <w:sz w:val="24"/>
          <w:szCs w:val="24"/>
          <w:lang w:val="zh-CN"/>
        </w:rPr>
        <w:t>磋商要求</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73"/>
      <w:bookmarkEnd w:id="74"/>
    </w:p>
    <w:p w14:paraId="5898FC5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（一）供应商应认真阅读和充分理解磋商文件中所有的事项、格式条款和规范要求，</w:t>
      </w:r>
      <w:r>
        <w:rPr>
          <w:rFonts w:hint="eastAsia" w:ascii="宋体" w:hAnsi="宋体" w:eastAsia="宋体" w:cs="宋体"/>
          <w:color w:val="auto"/>
          <w:sz w:val="24"/>
          <w:szCs w:val="24"/>
        </w:rPr>
        <w:t>按照磋商文件要求的内容编制响应文件。</w:t>
      </w:r>
    </w:p>
    <w:p w14:paraId="13B83441">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lang w:val="zh-CN"/>
        </w:rPr>
      </w:pPr>
      <w:bookmarkStart w:id="75" w:name="_Toc5801"/>
      <w:bookmarkStart w:id="76" w:name="_Toc19874"/>
      <w:bookmarkStart w:id="77" w:name="_Toc10132"/>
      <w:bookmarkStart w:id="78" w:name="_Toc9684"/>
      <w:bookmarkStart w:id="79" w:name="_Toc25044"/>
      <w:bookmarkStart w:id="80" w:name="_Toc9142"/>
      <w:bookmarkStart w:id="81" w:name="_Toc32228"/>
      <w:bookmarkStart w:id="82" w:name="_Toc32480"/>
      <w:bookmarkStart w:id="83" w:name="_Toc4042"/>
      <w:bookmarkStart w:id="84" w:name="_Toc13290"/>
      <w:bookmarkStart w:id="85" w:name="_Toc3871"/>
      <w:bookmarkStart w:id="86" w:name="_Toc6981"/>
      <w:bookmarkStart w:id="87" w:name="_Toc25885"/>
      <w:bookmarkStart w:id="88" w:name="_Toc21694"/>
      <w:bookmarkStart w:id="89" w:name="_Toc14676"/>
      <w:bookmarkStart w:id="90" w:name="_Toc24632"/>
      <w:bookmarkStart w:id="91" w:name="_Toc15855"/>
      <w:bookmarkStart w:id="92" w:name="_Toc10482"/>
      <w:bookmarkStart w:id="93" w:name="_Toc16822"/>
      <w:bookmarkStart w:id="94" w:name="_Toc27228"/>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二</w:t>
      </w:r>
      <w:r>
        <w:rPr>
          <w:rFonts w:hint="eastAsia" w:ascii="宋体" w:hAnsi="宋体" w:eastAsia="宋体" w:cs="宋体"/>
          <w:bCs/>
          <w:color w:val="auto"/>
          <w:sz w:val="24"/>
          <w:szCs w:val="24"/>
          <w:lang w:val="zh-CN"/>
        </w:rPr>
        <w:t>）磋商报价</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CFFE9BB">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供应商应按照磋商文件中提供的格式完整、正确地填写第一次磋商报价表，任何有选择的报价采购代理机构不予接受。</w:t>
      </w:r>
    </w:p>
    <w:p w14:paraId="5D0C0683">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sz w:val="24"/>
          <w:szCs w:val="24"/>
          <w:highlight w:val="none"/>
          <w:lang w:val="zh-CN"/>
        </w:rPr>
        <w:t>2、磋商报价是供应商响应本次采购要求中全部工作内容的价格体现,</w:t>
      </w:r>
      <w:r>
        <w:rPr>
          <w:rFonts w:hint="eastAsia" w:ascii="宋体" w:hAnsi="宋体" w:eastAsia="宋体" w:cs="宋体"/>
          <w:color w:val="auto"/>
          <w:sz w:val="24"/>
          <w:szCs w:val="24"/>
          <w:highlight w:val="none"/>
          <w:lang w:val="zh-CN" w:eastAsia="zh-CN"/>
        </w:rPr>
        <w:t>包括完成采购内容所需的直接费、间接费、利润、税金及其他相关的一切费用。</w:t>
      </w:r>
      <w:r>
        <w:rPr>
          <w:rFonts w:hint="eastAsia" w:ascii="宋体" w:hAnsi="宋体" w:eastAsia="宋体" w:cs="宋体"/>
          <w:b/>
          <w:bCs/>
          <w:color w:val="auto"/>
          <w:sz w:val="24"/>
          <w:szCs w:val="24"/>
          <w:lang w:val="en-US" w:eastAsia="zh-CN"/>
        </w:rPr>
        <w:t>按照含税包干综合单价×采购人审定的实际完成工作量进行结算。</w:t>
      </w:r>
    </w:p>
    <w:p w14:paraId="3D34AC43">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3、磋商最</w:t>
      </w:r>
      <w:r>
        <w:rPr>
          <w:rFonts w:hint="eastAsia" w:ascii="宋体" w:hAnsi="宋体" w:eastAsia="宋体" w:cs="宋体"/>
          <w:color w:val="auto"/>
          <w:sz w:val="24"/>
          <w:szCs w:val="24"/>
          <w:lang w:eastAsia="zh-CN"/>
        </w:rPr>
        <w:t>终</w:t>
      </w:r>
      <w:r>
        <w:rPr>
          <w:rFonts w:hint="eastAsia" w:ascii="宋体" w:hAnsi="宋体" w:eastAsia="宋体" w:cs="宋体"/>
          <w:color w:val="auto"/>
          <w:sz w:val="24"/>
          <w:szCs w:val="24"/>
        </w:rPr>
        <w:t>报价，在采购内容无实质性变更下，不得高于首次磋商报价,各供应商分项报价表中所有报价（与最终磋商报价比例一致）同比例下浮。</w:t>
      </w:r>
    </w:p>
    <w:p w14:paraId="29A4A7E1">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凡因供应商对磋商文件阅读不深、理解不透、误解、疏漏、或因市场行情了解不清造成的后果和风险均由供应商自负。</w:t>
      </w:r>
    </w:p>
    <w:p w14:paraId="26380DB6">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rPr>
      </w:pPr>
      <w:bookmarkStart w:id="95" w:name="_Toc4226"/>
      <w:bookmarkStart w:id="96" w:name="_Toc26112"/>
      <w:bookmarkStart w:id="97" w:name="_Toc21540"/>
      <w:bookmarkStart w:id="98" w:name="_Toc28965"/>
      <w:bookmarkStart w:id="99" w:name="_Toc17381"/>
      <w:bookmarkStart w:id="100" w:name="_Toc30969"/>
      <w:bookmarkStart w:id="101" w:name="_Toc617"/>
      <w:bookmarkStart w:id="102" w:name="_Toc26048"/>
      <w:bookmarkStart w:id="103" w:name="_Toc1638"/>
      <w:bookmarkStart w:id="104" w:name="_Toc17853"/>
      <w:bookmarkStart w:id="105" w:name="_Toc19312"/>
      <w:bookmarkStart w:id="106" w:name="_Toc11475"/>
      <w:bookmarkStart w:id="107" w:name="_Toc24300"/>
      <w:bookmarkStart w:id="108" w:name="_Toc14332"/>
      <w:bookmarkStart w:id="109" w:name="_Toc23143"/>
      <w:bookmarkStart w:id="110" w:name="_Toc62"/>
      <w:bookmarkStart w:id="111" w:name="_Toc6061"/>
      <w:bookmarkStart w:id="112" w:name="_Toc14903"/>
      <w:bookmarkStart w:id="113" w:name="_Toc1843"/>
      <w:bookmarkStart w:id="114" w:name="_Toc13306"/>
      <w:r>
        <w:rPr>
          <w:rFonts w:hint="eastAsia" w:ascii="宋体" w:hAnsi="宋体" w:eastAsia="宋体" w:cs="宋体"/>
          <w:color w:val="auto"/>
          <w:sz w:val="24"/>
          <w:szCs w:val="24"/>
        </w:rPr>
        <w:t>5、供应商不得以低于成本的报价参与磋商。当磋商小组认为，某潜在供应商的报价或者部分分项报价存在明显不合理的低于成本的报价，有可能影响项目质量和不能诚信履约的，可要求该潜在供应商在规定期限内，提供必要的书面文件予以解释和说明并附带相关证明材料；否则，磋商小组认定该供应商以低于成本价竞价，其响应文件作无效响应文件处理。</w:t>
      </w:r>
    </w:p>
    <w:p w14:paraId="2B88C29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6、最低报价不是成交的唯一依据。</w:t>
      </w:r>
    </w:p>
    <w:p w14:paraId="0D2EE93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三</w:t>
      </w:r>
      <w:r>
        <w:rPr>
          <w:rFonts w:hint="eastAsia" w:ascii="宋体" w:hAnsi="宋体" w:eastAsia="宋体" w:cs="宋体"/>
          <w:bCs/>
          <w:color w:val="auto"/>
          <w:sz w:val="24"/>
          <w:szCs w:val="24"/>
          <w:highlight w:val="none"/>
          <w:lang w:val="zh-CN"/>
        </w:rPr>
        <w:t>）磋商保证金</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2C203A68">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 w:val="0"/>
          <w:bCs/>
          <w:color w:val="auto"/>
          <w:sz w:val="24"/>
          <w:szCs w:val="24"/>
          <w:highlight w:val="yellow"/>
          <w:lang w:val="zh-CN" w:eastAsia="zh-CN"/>
        </w:rPr>
      </w:pPr>
      <w:r>
        <w:rPr>
          <w:rFonts w:hint="eastAsia" w:ascii="宋体" w:hAnsi="宋体" w:eastAsia="宋体" w:cs="宋体"/>
          <w:color w:val="auto"/>
          <w:sz w:val="24"/>
          <w:szCs w:val="24"/>
          <w:lang w:val="en-US" w:eastAsia="zh-CN"/>
        </w:rPr>
        <w:t>无</w:t>
      </w:r>
    </w:p>
    <w:p w14:paraId="6484965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）投标有效期</w:t>
      </w:r>
    </w:p>
    <w:p w14:paraId="6B17FB3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投标有效期</w:t>
      </w:r>
      <w:r>
        <w:rPr>
          <w:rFonts w:hint="eastAsia" w:ascii="宋体" w:hAnsi="宋体" w:eastAsia="宋体" w:cs="宋体"/>
          <w:color w:val="auto"/>
          <w:sz w:val="24"/>
          <w:szCs w:val="24"/>
          <w:lang w:val="zh-CN" w:eastAsia="zh-CN"/>
        </w:rPr>
        <w:t>从递交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eastAsia="zh-CN"/>
        </w:rPr>
        <w:t>文件的截止之日起算不得少于</w:t>
      </w:r>
      <w:r>
        <w:rPr>
          <w:rFonts w:hint="eastAsia" w:ascii="宋体" w:hAnsi="宋体" w:eastAsia="宋体" w:cs="宋体"/>
          <w:color w:val="auto"/>
          <w:sz w:val="24"/>
          <w:szCs w:val="24"/>
          <w:lang w:eastAsia="zh-CN"/>
        </w:rPr>
        <w:t>90个日历日，在有效期内响应文件对供应商具有法律约束力，以保证采购人完成评审、定标以及合同签订事项。成交供应商的响应文件有效期自动延长至合同执行完毕。</w:t>
      </w:r>
    </w:p>
    <w:p w14:paraId="3CAA7756">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（五）响应文件中标准和计量单位的使用</w:t>
      </w:r>
    </w:p>
    <w:p w14:paraId="09B54D07">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AC092C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4CD07516">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磋商文件已有明确规定的，使用磋商文件规定的计量单位；磋商文件没有规定的，应采用中华人民共和国法定计量单位(国际单位制和国家选定的其他计量单位)。</w:t>
      </w:r>
    </w:p>
    <w:p w14:paraId="2AF2D701">
      <w:pPr>
        <w:keepNext w:val="0"/>
        <w:keepLines w:val="0"/>
        <w:pageBreakBefore w:val="0"/>
        <w:widowControl w:val="0"/>
        <w:kinsoku/>
        <w:wordWrap/>
        <w:overflowPunct/>
        <w:topLinePunct w:val="0"/>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lang w:eastAsia="zh-CN"/>
        </w:rPr>
      </w:pPr>
      <w:bookmarkStart w:id="115" w:name="_Toc23603"/>
      <w:bookmarkStart w:id="116" w:name="_Toc13265"/>
      <w:bookmarkStart w:id="117" w:name="_Toc36034963"/>
      <w:bookmarkStart w:id="118" w:name="_Toc1475"/>
      <w:bookmarkStart w:id="119" w:name="_Toc21962"/>
      <w:bookmarkStart w:id="120" w:name="_Toc8188"/>
      <w:bookmarkStart w:id="121" w:name="_Toc28432"/>
      <w:bookmarkStart w:id="122" w:name="_Toc513647112"/>
      <w:bookmarkStart w:id="123" w:name="_Toc9037"/>
      <w:bookmarkStart w:id="124" w:name="_Toc8852"/>
      <w:bookmarkStart w:id="125" w:name="_Toc25749"/>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lang w:val="zh-CN"/>
        </w:rPr>
        <w:t>、</w:t>
      </w:r>
      <w:r>
        <w:rPr>
          <w:rFonts w:hint="eastAsia" w:ascii="宋体" w:hAnsi="宋体" w:eastAsia="宋体" w:cs="宋体"/>
          <w:b/>
          <w:color w:val="auto"/>
          <w:sz w:val="24"/>
          <w:szCs w:val="24"/>
          <w:lang w:eastAsia="zh-CN"/>
        </w:rPr>
        <w:t>响应文件</w:t>
      </w:r>
      <w:r>
        <w:rPr>
          <w:rFonts w:hint="eastAsia" w:ascii="宋体" w:hAnsi="宋体" w:eastAsia="宋体" w:cs="宋体"/>
          <w:b/>
          <w:color w:val="auto"/>
          <w:sz w:val="24"/>
          <w:szCs w:val="24"/>
        </w:rPr>
        <w:t>的</w:t>
      </w:r>
      <w:r>
        <w:rPr>
          <w:rFonts w:hint="eastAsia" w:ascii="宋体" w:hAnsi="宋体" w:eastAsia="宋体" w:cs="宋体"/>
          <w:b/>
          <w:color w:val="auto"/>
          <w:sz w:val="24"/>
          <w:szCs w:val="24"/>
          <w:lang w:eastAsia="zh-CN"/>
        </w:rPr>
        <w:t>编制和</w:t>
      </w:r>
      <w:r>
        <w:rPr>
          <w:rFonts w:hint="eastAsia" w:ascii="宋体" w:hAnsi="宋体" w:eastAsia="宋体" w:cs="宋体"/>
          <w:b/>
          <w:color w:val="auto"/>
          <w:sz w:val="24"/>
          <w:szCs w:val="24"/>
        </w:rPr>
        <w:t>签署</w:t>
      </w:r>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b/>
          <w:color w:val="auto"/>
          <w:sz w:val="24"/>
          <w:szCs w:val="24"/>
          <w:lang w:eastAsia="zh-CN"/>
        </w:rPr>
        <w:t>要求</w:t>
      </w:r>
      <w:bookmarkEnd w:id="125"/>
    </w:p>
    <w:p w14:paraId="532D425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必须按照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部分“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格式”中的</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编制，</w:t>
      </w:r>
      <w:r>
        <w:rPr>
          <w:rFonts w:hint="eastAsia" w:ascii="宋体" w:hAnsi="宋体" w:eastAsia="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zh-CN"/>
        </w:rPr>
        <w:t>中供应商名称盖章处必须加盖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公章，</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中凡是需要法定代表人签字或盖章之处非法人单位的负责人均参照执行</w:t>
      </w:r>
      <w:r>
        <w:rPr>
          <w:rFonts w:hint="eastAsia" w:ascii="宋体" w:hAnsi="宋体" w:eastAsia="宋体" w:cs="宋体"/>
          <w:b/>
          <w:bCs/>
          <w:color w:val="auto"/>
          <w:sz w:val="24"/>
          <w:szCs w:val="24"/>
          <w:highlight w:val="none"/>
          <w:lang w:eastAsia="zh-CN"/>
        </w:rPr>
        <w:t>。</w:t>
      </w:r>
    </w:p>
    <w:p w14:paraId="55B66EC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zh-CN"/>
        </w:rPr>
        <w:t>除供应商对错处做必要修改外，</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zh-CN"/>
        </w:rPr>
        <w:t>不得行间插字、涂改和增删，如有修改错漏处，必须由供应商法定代表人或其授权代表签字或盖章</w:t>
      </w:r>
      <w:r>
        <w:rPr>
          <w:rFonts w:hint="eastAsia" w:ascii="宋体" w:hAnsi="宋体" w:eastAsia="宋体" w:cs="宋体"/>
          <w:color w:val="auto"/>
          <w:sz w:val="24"/>
          <w:szCs w:val="24"/>
          <w:lang w:val="zh-CN"/>
        </w:rPr>
        <w:t>。</w:t>
      </w:r>
    </w:p>
    <w:p w14:paraId="349F290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highlight w:val="none"/>
          <w:lang w:val="zh-CN"/>
        </w:rPr>
        <w:t>（三）本项目采用电子化投标的方式。供应商须在“陕西省</w:t>
      </w:r>
      <w:r>
        <w:rPr>
          <w:rFonts w:hint="eastAsia" w:ascii="宋体" w:hAnsi="宋体" w:eastAsia="宋体" w:cs="宋体"/>
          <w:b/>
          <w:bCs/>
          <w:color w:val="auto"/>
          <w:sz w:val="24"/>
          <w:szCs w:val="24"/>
          <w:highlight w:val="none"/>
          <w:lang w:val="en-US" w:eastAsia="zh-CN"/>
        </w:rPr>
        <w:t>安康市</w:t>
      </w:r>
      <w:r>
        <w:rPr>
          <w:rFonts w:hint="eastAsia" w:ascii="宋体" w:hAnsi="宋体" w:eastAsia="宋体" w:cs="宋体"/>
          <w:b/>
          <w:bCs/>
          <w:color w:val="auto"/>
          <w:sz w:val="24"/>
          <w:szCs w:val="24"/>
          <w:highlight w:val="none"/>
          <w:lang w:val="zh-CN"/>
        </w:rPr>
        <w:t>公共资源交易中心平台（</w:t>
      </w: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http://xxxq.sxggzyjy.cn/）\”的\“服务指南\”栏目\“下载专区\”中，免费下载\“陕西省公共资源交易平台政府采购电子标书制作工具(V8.0.0.2)\”，并使用该客户端制作电子投标文件，制作扩展名为\“.SXSTF\”的电子投标文件。"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zh-CN"/>
        </w:rPr>
        <w:t>https：//ggzyjy.ankang.gov.cn/）”的“下载专区”中，免费下载“陕西省公共资源交易平台政府采购电子标书制作工具”，并使用该客户端制作电子响应文件。</w:t>
      </w:r>
      <w:r>
        <w:rPr>
          <w:rFonts w:hint="eastAsia" w:ascii="宋体" w:hAnsi="宋体" w:eastAsia="宋体" w:cs="宋体"/>
          <w:b/>
          <w:bCs/>
          <w:color w:val="auto"/>
          <w:sz w:val="24"/>
          <w:szCs w:val="24"/>
          <w:highlight w:val="none"/>
          <w:lang w:val="zh-CN"/>
        </w:rPr>
        <w:fldChar w:fldCharType="end"/>
      </w:r>
      <w:r>
        <w:rPr>
          <w:rFonts w:hint="eastAsia" w:ascii="宋体" w:hAnsi="宋体" w:eastAsia="宋体" w:cs="宋体"/>
          <w:b/>
          <w:bCs/>
          <w:color w:val="auto"/>
          <w:sz w:val="24"/>
          <w:szCs w:val="24"/>
          <w:highlight w:val="none"/>
          <w:lang w:val="zh-CN"/>
        </w:rPr>
        <w:t>供应商须使用数字认证证书对电子化响应文件进行签章、加密、递交及开标时解密等相关招投标事宜。</w:t>
      </w:r>
    </w:p>
    <w:p w14:paraId="2BB3B396">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lang w:val="zh-CN"/>
        </w:rPr>
      </w:pPr>
      <w:bookmarkStart w:id="126" w:name="_Toc943"/>
      <w:bookmarkStart w:id="127" w:name="_Toc4312"/>
      <w:bookmarkStart w:id="128" w:name="_Toc21258"/>
      <w:bookmarkStart w:id="129" w:name="_Toc6507"/>
      <w:bookmarkStart w:id="130" w:name="_Toc20224"/>
      <w:bookmarkStart w:id="131" w:name="_Toc21824"/>
      <w:bookmarkStart w:id="132" w:name="_Toc8073"/>
      <w:bookmarkStart w:id="133" w:name="_Toc11145"/>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lang w:val="zh-CN"/>
        </w:rPr>
        <w:t>、响应文件的密封和</w:t>
      </w:r>
      <w:bookmarkEnd w:id="126"/>
      <w:bookmarkEnd w:id="127"/>
      <w:bookmarkEnd w:id="128"/>
      <w:r>
        <w:rPr>
          <w:rFonts w:hint="eastAsia" w:ascii="宋体" w:hAnsi="宋体" w:eastAsia="宋体" w:cs="宋体"/>
          <w:b/>
          <w:color w:val="auto"/>
          <w:sz w:val="24"/>
          <w:szCs w:val="24"/>
          <w:lang w:val="zh-CN"/>
        </w:rPr>
        <w:t>递交</w:t>
      </w:r>
      <w:bookmarkEnd w:id="129"/>
      <w:bookmarkEnd w:id="130"/>
      <w:bookmarkEnd w:id="131"/>
      <w:bookmarkEnd w:id="132"/>
      <w:bookmarkEnd w:id="133"/>
    </w:p>
    <w:p w14:paraId="1BA0934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highlight w:val="none"/>
          <w:lang w:val="zh-CN"/>
        </w:rPr>
        <w:t>本项目采用不见面开标模式，供应商不需要提供纸质响应文件。供应商应在投标截止时间前登录磋商文件载明的“不见面开标大厅”（http：//bjmkb.akggzyjy.cn/BidOpeningHall/bidopeninghallaction/hall/login）网址，按系统提示完成开标流程。因供应商自身设施故障或自身原因导致无法完成开标的，由供应商自行承担后果。</w:t>
      </w:r>
    </w:p>
    <w:p w14:paraId="40C9C51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zh-CN"/>
        </w:rPr>
        <w:t>电子响应文件以陕西省安康市公共资源交易中心网公示的开标时间为准，在投标截止时间前上传至陕西省安康市公共资源交易中心平台。供应商编制响应文件时，涉及的有关原件应在响应文件中提供电子版。</w:t>
      </w:r>
    </w:p>
    <w:p w14:paraId="6C1AA1F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（三）如因供应商自身原因造成无法解密响应文件，按无效投标对待。</w:t>
      </w:r>
    </w:p>
    <w:p w14:paraId="1F565252">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color w:val="auto"/>
          <w:sz w:val="24"/>
          <w:szCs w:val="24"/>
          <w:lang w:val="zh-CN"/>
        </w:rPr>
      </w:pPr>
      <w:bookmarkStart w:id="134" w:name="_Toc7052"/>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 xml:space="preserve">）递交电子响应文件。登录陕西省安康市公共资源交易中心平台（ </w:t>
      </w: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 HYPERLINK "http://xxxq.sxggzyjy.cn/），选择\“电子交易平台-陕西政府采购交易系统-陕西省西咸新区公共资源交易平台-供应商\”进行登录，登录后选择\“交易乙方\”身份进入，选择\“上传投标文件\”菜单页面，上传加密的电子投标文件。上传成功后，电子化平台将予以记录。"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
          <w:bCs/>
          <w:color w:val="auto"/>
          <w:sz w:val="24"/>
          <w:szCs w:val="24"/>
          <w:highlight w:val="none"/>
          <w:lang w:val="zh-CN"/>
        </w:rPr>
        <w:t>https：//ggzyjy.ankang.gov.cn/），选择“电子交易平台一陕西政府采购交易系统-企业端”进行登录，登录后选择“交易乙方”身份进入，选择“上传响应文件”菜单页面，上传加密的电子响应文件。上传成功后，电子化平台将予以记录。</w:t>
      </w:r>
      <w:r>
        <w:rPr>
          <w:rFonts w:hint="eastAsia" w:ascii="宋体" w:hAnsi="宋体" w:eastAsia="宋体" w:cs="宋体"/>
          <w:b/>
          <w:bCs/>
          <w:color w:val="auto"/>
          <w:sz w:val="24"/>
          <w:szCs w:val="24"/>
          <w:highlight w:val="none"/>
          <w:lang w:val="zh-CN"/>
        </w:rPr>
        <w:fldChar w:fldCharType="end"/>
      </w:r>
      <w:bookmarkEnd w:id="134"/>
    </w:p>
    <w:p w14:paraId="62FB7CD9">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highlight w:val="none"/>
        </w:rPr>
      </w:pPr>
      <w:bookmarkStart w:id="135" w:name="_Toc17012"/>
      <w:bookmarkStart w:id="136" w:name="_Toc1565"/>
      <w:bookmarkStart w:id="137" w:name="_Toc18709"/>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）成交供应商另行提供纸质版响应文件（一正一副）交与代理公司，无需封标。</w:t>
      </w:r>
    </w:p>
    <w:p w14:paraId="22AC4439">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outlineLvl w:val="1"/>
        <w:rPr>
          <w:rFonts w:hint="eastAsia" w:ascii="宋体" w:hAnsi="宋体" w:eastAsia="宋体" w:cs="宋体"/>
          <w:b/>
          <w:color w:val="auto"/>
          <w:sz w:val="24"/>
          <w:szCs w:val="24"/>
          <w:highlight w:val="none"/>
          <w:lang w:eastAsia="zh-CN"/>
        </w:rPr>
      </w:pPr>
      <w:bookmarkStart w:id="138" w:name="_Toc495909076"/>
      <w:bookmarkStart w:id="139" w:name="_Toc495681231"/>
      <w:bookmarkStart w:id="140" w:name="_Toc495681385"/>
      <w:bookmarkStart w:id="141" w:name="_Toc36034964"/>
      <w:bookmarkStart w:id="142" w:name="_Toc2384"/>
      <w:bookmarkStart w:id="143" w:name="_Toc495908030"/>
      <w:bookmarkStart w:id="144" w:name="_Toc10540"/>
      <w:bookmarkStart w:id="145" w:name="_Toc513647113"/>
      <w:bookmarkStart w:id="146" w:name="_Toc11415"/>
      <w:bookmarkStart w:id="147" w:name="_Toc28041"/>
      <w:bookmarkStart w:id="148" w:name="_Toc17312"/>
      <w:bookmarkStart w:id="149" w:name="_Toc18556"/>
      <w:bookmarkStart w:id="150" w:name="_Toc495681512"/>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宋体" w:hAnsi="宋体" w:eastAsia="宋体" w:cs="宋体"/>
          <w:b/>
          <w:color w:val="auto"/>
          <w:sz w:val="24"/>
          <w:szCs w:val="24"/>
          <w:highlight w:val="none"/>
          <w:lang w:val="en-US" w:eastAsia="zh-CN"/>
        </w:rPr>
        <w:t>开标</w:t>
      </w:r>
      <w:bookmarkEnd w:id="135"/>
      <w:bookmarkEnd w:id="136"/>
      <w:bookmarkEnd w:id="137"/>
    </w:p>
    <w:p w14:paraId="047856B5">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（一）采购代理机构按磋商文件规定的时间在规定的时间和地点组织</w:t>
      </w:r>
      <w:r>
        <w:rPr>
          <w:rFonts w:hint="eastAsia" w:ascii="宋体" w:hAnsi="宋体" w:eastAsia="宋体" w:cs="宋体"/>
          <w:bCs/>
          <w:color w:val="auto"/>
          <w:sz w:val="24"/>
          <w:szCs w:val="24"/>
        </w:rPr>
        <w:t>开标活动</w:t>
      </w:r>
      <w:r>
        <w:rPr>
          <w:rFonts w:hint="eastAsia" w:ascii="宋体" w:hAnsi="宋体" w:eastAsia="宋体" w:cs="宋体"/>
          <w:bCs/>
          <w:color w:val="auto"/>
          <w:sz w:val="24"/>
          <w:szCs w:val="24"/>
          <w:lang w:val="zh-CN"/>
        </w:rPr>
        <w:t>。</w:t>
      </w:r>
    </w:p>
    <w:p w14:paraId="148E2ED5">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w:t>
      </w:r>
      <w:r>
        <w:rPr>
          <w:rFonts w:hint="eastAsia" w:ascii="宋体" w:hAnsi="宋体" w:eastAsia="宋体" w:cs="宋体"/>
          <w:bCs/>
          <w:color w:val="auto"/>
          <w:sz w:val="24"/>
          <w:szCs w:val="24"/>
          <w:lang w:val="zh-CN"/>
        </w:rPr>
        <w:t>开标由采购代理机构主持，</w:t>
      </w:r>
      <w:r>
        <w:rPr>
          <w:rFonts w:hint="eastAsia" w:ascii="宋体" w:hAnsi="宋体" w:eastAsia="宋体" w:cs="宋体"/>
          <w:color w:val="auto"/>
          <w:sz w:val="24"/>
          <w:szCs w:val="24"/>
          <w:lang w:val="zh-CN"/>
        </w:rPr>
        <w:t>采购人、供应商（线上）和有关方面代表参加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zh-CN"/>
        </w:rPr>
        <w:t>开标截止时间后供应商不足</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家的，不进行开标。</w:t>
      </w:r>
    </w:p>
    <w:p w14:paraId="6A095CA5">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三</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开标程序</w:t>
      </w:r>
    </w:p>
    <w:p w14:paraId="4B6AF7D6">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以“不见面开标大厅”流程为准。</w:t>
      </w:r>
    </w:p>
    <w:p w14:paraId="605EB1E9">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四</w:t>
      </w:r>
      <w:r>
        <w:rPr>
          <w:rFonts w:hint="eastAsia" w:ascii="宋体" w:hAnsi="宋体" w:eastAsia="宋体" w:cs="宋体"/>
          <w:color w:val="auto"/>
          <w:sz w:val="24"/>
          <w:szCs w:val="24"/>
          <w:lang w:val="zh-CN"/>
        </w:rPr>
        <w:t>）供应商代表对开标过程和开标记录有疑义，以及认为采购人、采购代理机构相关工作人员有需要回避的情形的，应当场提出询问或者回避申请。采购代理机构对供应商代表提出的询问或者回避申请应当及时处理。</w:t>
      </w:r>
    </w:p>
    <w:p w14:paraId="12F1769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（五）开标当日,供应商不必抵达开标现场，可通过</w:t>
      </w:r>
      <w:r>
        <w:rPr>
          <w:rFonts w:hint="eastAsia" w:ascii="宋体" w:hAnsi="宋体" w:eastAsia="宋体" w:cs="宋体"/>
          <w:b/>
          <w:bCs/>
          <w:color w:val="auto"/>
          <w:sz w:val="24"/>
          <w:szCs w:val="24"/>
          <w:highlight w:val="none"/>
          <w:lang w:val="en-US" w:eastAsia="zh-CN"/>
        </w:rPr>
        <w:t>安康市</w:t>
      </w:r>
      <w:r>
        <w:rPr>
          <w:rFonts w:hint="eastAsia" w:ascii="宋体" w:hAnsi="宋体" w:eastAsia="宋体" w:cs="宋体"/>
          <w:b/>
          <w:bCs/>
          <w:color w:val="auto"/>
          <w:sz w:val="24"/>
          <w:szCs w:val="24"/>
          <w:highlight w:val="none"/>
          <w:lang w:val="zh-CN"/>
        </w:rPr>
        <w:t>公共资源交易不见面开标系统参加开标会议。不见面开标大厅登录方式为：全国公共资源交易平台（陕西省·</w:t>
      </w:r>
      <w:r>
        <w:rPr>
          <w:rFonts w:hint="eastAsia" w:ascii="宋体" w:hAnsi="宋体" w:eastAsia="宋体" w:cs="宋体"/>
          <w:b/>
          <w:bCs/>
          <w:color w:val="auto"/>
          <w:sz w:val="24"/>
          <w:szCs w:val="24"/>
          <w:highlight w:val="none"/>
          <w:lang w:val="en-US" w:eastAsia="zh-CN"/>
        </w:rPr>
        <w:t>安康市</w:t>
      </w:r>
      <w:r>
        <w:rPr>
          <w:rFonts w:hint="eastAsia" w:ascii="宋体" w:hAnsi="宋体" w:eastAsia="宋体" w:cs="宋体"/>
          <w:b/>
          <w:bCs/>
          <w:color w:val="auto"/>
          <w:sz w:val="24"/>
          <w:szCs w:val="24"/>
          <w:highlight w:val="none"/>
          <w:lang w:val="zh-CN"/>
        </w:rPr>
        <w:t>）→不见面开标系统。</w:t>
      </w:r>
    </w:p>
    <w:p w14:paraId="1CAF7E2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（六）各供应商需实时在线观看音视频直播并及时互动，未按时加入系统或未在线参与互动的，视为放弃标书解密和对开评标全过程质疑、澄清、答辩的权利，并承担由此产生的相应后果。</w:t>
      </w:r>
    </w:p>
    <w:p w14:paraId="5FA16FBA">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（七）注意事项</w:t>
      </w:r>
    </w:p>
    <w:p w14:paraId="339D204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1、供应商参与不见面开标的电脑应安装有清晰可用的摄像头、音响和麦克风设备；</w:t>
      </w:r>
    </w:p>
    <w:p w14:paraId="53C6156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2、供应商参与不见面开标的电脑须安装正确驱动，可在不见面开标系统登录界面的驱动下载页面进行下载及后续安装。</w:t>
      </w:r>
    </w:p>
    <w:p w14:paraId="4CBED07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3、为更好实时查看不见面开标室现场，推荐使用50M及以上网络宽带。</w:t>
      </w:r>
    </w:p>
    <w:p w14:paraId="481F4C7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4</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rPr>
        <w:t>开标、评标过程中，参与远程互动的各供应商应为同一个人，供应商一端参与互动的人员只能是供应商的法定代表人或授权代表。</w:t>
      </w:r>
    </w:p>
    <w:p w14:paraId="5B0DFD6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highlight w:val="none"/>
          <w:lang w:val="zh-CN"/>
        </w:rPr>
        <w:t>5、参与不见面开标的各供应商，应当仔细阅读系统操作手册，供应商可登录（https：//ggzyjy.ankang.gov.cn/Content-2497671.html）下载操作手册。并按照交易流程进行不见面开标活动。未按规定程序操作导致的一切后果由供应商自行承担。</w:t>
      </w:r>
    </w:p>
    <w:p w14:paraId="707E2233">
      <w:pPr>
        <w:keepNext w:val="0"/>
        <w:keepLines w:val="0"/>
        <w:pageBreakBefore w:val="0"/>
        <w:widowControl w:val="0"/>
        <w:kinsoku/>
        <w:wordWrap/>
        <w:overflowPunct/>
        <w:topLinePunct w:val="0"/>
        <w:autoSpaceDE/>
        <w:autoSpaceDN/>
        <w:bidi w:val="0"/>
        <w:adjustRightInd w:val="0"/>
        <w:snapToGrid w:val="0"/>
        <w:spacing w:line="360" w:lineRule="auto"/>
        <w:ind w:right="0" w:firstLine="723" w:firstLineChars="300"/>
        <w:textAlignment w:val="auto"/>
        <w:outlineLvl w:val="1"/>
        <w:rPr>
          <w:rFonts w:hint="eastAsia" w:ascii="宋体" w:hAnsi="宋体" w:eastAsia="宋体" w:cs="宋体"/>
          <w:b/>
          <w:color w:val="auto"/>
          <w:sz w:val="24"/>
          <w:szCs w:val="24"/>
          <w:lang w:val="en-US" w:eastAsia="zh-CN"/>
        </w:rPr>
      </w:pPr>
      <w:bookmarkStart w:id="151" w:name="_Toc31676"/>
      <w:bookmarkStart w:id="152" w:name="_Toc20167"/>
      <w:bookmarkStart w:id="153" w:name="_Toc513647115"/>
      <w:bookmarkStart w:id="154" w:name="_Toc25508"/>
      <w:bookmarkStart w:id="155" w:name="_Toc22616"/>
      <w:bookmarkStart w:id="156" w:name="_Toc24220"/>
      <w:bookmarkStart w:id="157" w:name="_Toc36034966"/>
      <w:bookmarkStart w:id="158" w:name="_Toc3089"/>
      <w:bookmarkStart w:id="159" w:name="_Toc22008"/>
      <w:bookmarkStart w:id="160" w:name="_Toc23817"/>
      <w:bookmarkStart w:id="161" w:name="_Toc29898"/>
      <w:r>
        <w:rPr>
          <w:rFonts w:hint="eastAsia" w:ascii="宋体" w:hAnsi="宋体" w:eastAsia="宋体" w:cs="宋体"/>
          <w:b/>
          <w:color w:val="auto"/>
          <w:sz w:val="24"/>
          <w:szCs w:val="24"/>
          <w:lang w:val="en-US" w:eastAsia="zh-CN"/>
        </w:rPr>
        <w:t>七、</w:t>
      </w:r>
      <w:bookmarkEnd w:id="151"/>
      <w:bookmarkEnd w:id="152"/>
      <w:bookmarkEnd w:id="153"/>
      <w:bookmarkEnd w:id="154"/>
      <w:bookmarkEnd w:id="155"/>
      <w:bookmarkEnd w:id="156"/>
      <w:bookmarkEnd w:id="157"/>
      <w:bookmarkEnd w:id="158"/>
      <w:r>
        <w:rPr>
          <w:rFonts w:hint="eastAsia" w:ascii="宋体" w:hAnsi="宋体" w:eastAsia="宋体" w:cs="宋体"/>
          <w:b/>
          <w:color w:val="auto"/>
          <w:sz w:val="24"/>
          <w:szCs w:val="24"/>
          <w:lang w:val="en-US" w:eastAsia="zh-CN"/>
        </w:rPr>
        <w:t>评审</w:t>
      </w:r>
      <w:bookmarkEnd w:id="159"/>
      <w:bookmarkEnd w:id="160"/>
      <w:bookmarkEnd w:id="161"/>
    </w:p>
    <w:p w14:paraId="6447B14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评标过程中对响应文件的判定，只依据开标截止时间前陕西省安康市公共资源交易平台递交的电子响应文件内容本身，不依据任何外来证明</w:t>
      </w:r>
      <w:r>
        <w:rPr>
          <w:rFonts w:hint="eastAsia" w:ascii="宋体" w:hAnsi="宋体" w:eastAsia="宋体" w:cs="宋体"/>
          <w:b/>
          <w:bCs/>
          <w:color w:val="auto"/>
          <w:sz w:val="24"/>
          <w:szCs w:val="24"/>
          <w:lang w:val="zh-CN"/>
        </w:rPr>
        <w:t>。</w:t>
      </w:r>
    </w:p>
    <w:p w14:paraId="715B9A1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）磋商小组组成</w:t>
      </w:r>
    </w:p>
    <w:p w14:paraId="7096E2A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磋商小组由采购人代表和评审专家共3人以上单数组成（达到公开限额标准的为5人以上单数），其中评审专家人数不得少于磋商小组成员总数的三分之二。评审专家由采购代理机构从陕西省政府采购专家库中随机抽取。</w:t>
      </w:r>
    </w:p>
    <w:p w14:paraId="00864E2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（二）资格审查</w:t>
      </w:r>
    </w:p>
    <w:p w14:paraId="43B5EBB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开标结束后，</w:t>
      </w:r>
      <w:r>
        <w:rPr>
          <w:rFonts w:hint="eastAsia" w:ascii="宋体" w:hAnsi="宋体" w:eastAsia="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lang w:eastAsia="zh-CN"/>
        </w:rPr>
        <w:t>对供应商的资格要求进行审查，</w:t>
      </w:r>
      <w:r>
        <w:rPr>
          <w:rFonts w:hint="eastAsia" w:ascii="宋体" w:hAnsi="宋体" w:eastAsia="宋体" w:cs="宋体"/>
          <w:b w:val="0"/>
          <w:bCs w:val="0"/>
          <w:color w:val="auto"/>
          <w:sz w:val="24"/>
          <w:szCs w:val="24"/>
          <w:lang w:val="zh-CN"/>
        </w:rPr>
        <w:t>具体审查内容如下：</w:t>
      </w:r>
    </w:p>
    <w:p w14:paraId="734D48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基本资格条件：符合《中华人民共和国政府采购法》第二十二条的规定</w:t>
      </w:r>
      <w:r>
        <w:rPr>
          <w:rFonts w:hint="eastAsia" w:ascii="宋体" w:hAnsi="宋体" w:eastAsia="宋体" w:cs="宋体"/>
          <w:color w:val="auto"/>
          <w:sz w:val="24"/>
          <w:szCs w:val="24"/>
        </w:rPr>
        <w:t>，并提供下列材料</w:t>
      </w:r>
      <w:r>
        <w:rPr>
          <w:rFonts w:hint="eastAsia" w:ascii="宋体" w:hAnsi="宋体" w:eastAsia="宋体" w:cs="宋体"/>
          <w:b w:val="0"/>
          <w:bCs w:val="0"/>
          <w:color w:val="auto"/>
          <w:sz w:val="24"/>
          <w:szCs w:val="24"/>
        </w:rPr>
        <w:t>：</w:t>
      </w:r>
    </w:p>
    <w:p w14:paraId="25BD93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（1）提供供应商合法注册的法人或其他组织的营业执照等证明文件或自然人的身份证明；</w:t>
      </w:r>
    </w:p>
    <w:p w14:paraId="12E1AD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提供具有</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审计资质单位出具的</w:t>
      </w:r>
      <w:r>
        <w:rPr>
          <w:rFonts w:hint="eastAsia" w:ascii="宋体" w:hAnsi="宋体" w:eastAsia="宋体" w:cs="宋体"/>
          <w:color w:val="auto"/>
          <w:sz w:val="24"/>
          <w:szCs w:val="24"/>
          <w:lang w:val="en-US" w:eastAsia="zh-CN"/>
        </w:rPr>
        <w:t>2024年度财务报告</w:t>
      </w:r>
      <w:r>
        <w:rPr>
          <w:rFonts w:hint="eastAsia" w:ascii="宋体" w:hAnsi="宋体" w:eastAsia="宋体" w:cs="宋体"/>
          <w:color w:val="auto"/>
          <w:sz w:val="24"/>
          <w:szCs w:val="24"/>
        </w:rPr>
        <w:t>或</w:t>
      </w:r>
      <w:r>
        <w:rPr>
          <w:rFonts w:hint="eastAsia" w:ascii="宋体" w:hAnsi="宋体" w:eastAsia="宋体" w:cs="宋体"/>
          <w:color w:val="auto"/>
          <w:sz w:val="24"/>
          <w:szCs w:val="24"/>
          <w:lang w:val="en-US" w:eastAsia="zh-CN"/>
        </w:rPr>
        <w:t>供应商开</w:t>
      </w:r>
      <w:r>
        <w:rPr>
          <w:rFonts w:hint="eastAsia" w:ascii="宋体" w:hAnsi="宋体" w:eastAsia="宋体" w:cs="宋体"/>
          <w:color w:val="auto"/>
          <w:sz w:val="24"/>
          <w:szCs w:val="24"/>
        </w:rPr>
        <w:t>户银行</w:t>
      </w:r>
      <w:r>
        <w:rPr>
          <w:rFonts w:hint="eastAsia" w:ascii="宋体" w:hAnsi="宋体" w:eastAsia="宋体" w:cs="宋体"/>
          <w:color w:val="auto"/>
          <w:sz w:val="24"/>
          <w:szCs w:val="24"/>
          <w:lang w:val="en-US" w:eastAsia="zh-CN"/>
        </w:rPr>
        <w:t>近6</w:t>
      </w:r>
      <w:r>
        <w:rPr>
          <w:rFonts w:hint="eastAsia" w:ascii="宋体" w:hAnsi="宋体" w:eastAsia="宋体" w:cs="宋体"/>
          <w:color w:val="auto"/>
          <w:sz w:val="24"/>
          <w:szCs w:val="24"/>
        </w:rPr>
        <w:t>个月内其出具的资信证明；</w:t>
      </w:r>
    </w:p>
    <w:p w14:paraId="5E103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（3）依法缴纳税收和社会保障资金：提供开标截止时间前6个月内任意时段已缴纳的纳税证明或完税证明（包含增值税、企业所得税至少一种）</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已缴存的社会保障资金缴费证明或参保证明；</w:t>
      </w:r>
    </w:p>
    <w:p w14:paraId="1572E6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（4）提供具有履行本合同所必需的设备和专业技术能力的书面声明；</w:t>
      </w:r>
    </w:p>
    <w:p w14:paraId="6B276B6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（5）提供参加政</w:t>
      </w:r>
      <w:r>
        <w:rPr>
          <w:rFonts w:hint="eastAsia" w:ascii="宋体" w:hAnsi="宋体" w:eastAsia="宋体" w:cs="宋体"/>
          <w:color w:val="auto"/>
          <w:sz w:val="24"/>
          <w:szCs w:val="24"/>
          <w:highlight w:val="none"/>
        </w:rPr>
        <w:t>府采购活动前3年内在经营活动中没有重大违法记录的书面声明。</w:t>
      </w:r>
    </w:p>
    <w:p w14:paraId="0D35730A">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lang w:val="zh-CN"/>
        </w:rPr>
        <w:t>落实政府采购政策需满足的资格要求：</w:t>
      </w:r>
    </w:p>
    <w:p w14:paraId="7C592560">
      <w:pPr>
        <w:pStyle w:val="46"/>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w:t>
      </w:r>
      <w:r>
        <w:rPr>
          <w:rFonts w:hint="eastAsia" w:ascii="宋体" w:hAnsi="宋体" w:eastAsia="宋体" w:cs="宋体"/>
          <w:color w:val="auto"/>
          <w:sz w:val="24"/>
          <w:szCs w:val="24"/>
          <w:lang w:val="en-US" w:eastAsia="zh-CN"/>
        </w:rPr>
        <w:t>(10)符合国务院有关部门根据企业从业人员、营业收入、资产总额等指标制定的中小企业划型标准（工信部联企业〔2011〕300号）；(11)国家统计局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0E86820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0B186A0E">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)特定资格要求如下:</w:t>
      </w:r>
    </w:p>
    <w:p w14:paraId="3A03917D">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（1）法定代表人直接参加磋商的，须提供法定代表人身份证明(法定代表人身份证原件备查）；法定代表人授权代表参加磋商的，须提供法定代表人授权委托书(授权代表身份证原件备查）；</w:t>
      </w:r>
    </w:p>
    <w:p w14:paraId="79FE70F7">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（2）符合《财政部关于在政府采购活动中查询及使用信用记录有关问题的通知》（财库【2016】125号）文件中信用查询的要求。 </w:t>
      </w:r>
    </w:p>
    <w:p w14:paraId="425FBEC0">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（3）控股、管理关系：单位负责人为同一人或者存在控股、管理关系的不同供应商，不得同时参加本项目采购项目；</w:t>
      </w:r>
    </w:p>
    <w:p w14:paraId="087414AC">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（4）联合体投标：本项目不接受联合体投标</w:t>
      </w:r>
      <w:r>
        <w:rPr>
          <w:rFonts w:hint="eastAsia" w:ascii="宋体" w:hAnsi="宋体" w:eastAsia="宋体" w:cs="宋体"/>
          <w:color w:val="auto"/>
          <w:sz w:val="24"/>
          <w:szCs w:val="24"/>
        </w:rPr>
        <w:t> </w:t>
      </w:r>
    </w:p>
    <w:p w14:paraId="5741A98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采购代理机构将在</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文件递交截止日当天资格审查阶段</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中国政府采购网（www.ccgp.gov.cn）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政府采购严重违法失信行为记录名单</w:t>
      </w:r>
      <w:r>
        <w:rPr>
          <w:rFonts w:hint="eastAsia" w:ascii="宋体" w:hAnsi="宋体" w:eastAsia="宋体" w:cs="宋体"/>
          <w:color w:val="auto"/>
          <w:kern w:val="0"/>
          <w:sz w:val="24"/>
          <w:szCs w:val="24"/>
          <w:highlight w:val="none"/>
          <w:lang w:eastAsia="zh-CN"/>
        </w:rPr>
        <w:t>栏和【</w:t>
      </w:r>
      <w:r>
        <w:rPr>
          <w:rFonts w:hint="eastAsia" w:ascii="宋体" w:hAnsi="宋体" w:eastAsia="宋体" w:cs="宋体"/>
          <w:color w:val="auto"/>
          <w:kern w:val="0"/>
          <w:sz w:val="24"/>
          <w:szCs w:val="24"/>
          <w:highlight w:val="none"/>
        </w:rPr>
        <w:t>信用中国”网站（www.creditchina.gov.cn）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失信被执行人、重大税收违法失信主体</w:t>
      </w:r>
      <w:r>
        <w:rPr>
          <w:rFonts w:hint="eastAsia" w:ascii="宋体" w:hAnsi="宋体" w:eastAsia="宋体" w:cs="宋体"/>
          <w:color w:val="auto"/>
          <w:kern w:val="0"/>
          <w:sz w:val="24"/>
          <w:szCs w:val="24"/>
          <w:highlight w:val="none"/>
          <w:lang w:eastAsia="zh-CN"/>
        </w:rPr>
        <w:t>栏</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各供应商</w:t>
      </w:r>
      <w:r>
        <w:rPr>
          <w:rFonts w:hint="eastAsia" w:ascii="宋体" w:hAnsi="宋体" w:eastAsia="宋体" w:cs="宋体"/>
          <w:color w:val="auto"/>
          <w:kern w:val="0"/>
          <w:sz w:val="24"/>
          <w:szCs w:val="24"/>
          <w:highlight w:val="none"/>
        </w:rPr>
        <w:t>的信用情况进行查询，并将网页截图附在评审资料中（如相关失信记录已失效，</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需提供相关证明资料，若没有则此项不需要提供）。</w:t>
      </w:r>
    </w:p>
    <w:p w14:paraId="4C8B98A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备注</w:t>
      </w:r>
      <w:r>
        <w:rPr>
          <w:rFonts w:hint="eastAsia" w:ascii="宋体" w:hAnsi="宋体" w:eastAsia="宋体" w:cs="宋体"/>
          <w:b w:val="0"/>
          <w:bCs w:val="0"/>
          <w:color w:val="auto"/>
          <w:sz w:val="24"/>
          <w:szCs w:val="24"/>
        </w:rPr>
        <w:t>：</w:t>
      </w:r>
    </w:p>
    <w:p w14:paraId="666D7D1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（1）以上为供应商必备资格要求，资格证明文件无效或缺项响应文件按无效</w:t>
      </w:r>
      <w:r>
        <w:rPr>
          <w:rFonts w:hint="eastAsia" w:ascii="宋体" w:hAnsi="宋体" w:eastAsia="宋体" w:cs="宋体"/>
          <w:b w:val="0"/>
          <w:bCs w:val="0"/>
          <w:color w:val="auto"/>
          <w:sz w:val="24"/>
          <w:szCs w:val="24"/>
          <w:highlight w:val="none"/>
        </w:rPr>
        <w:t>响应文件处理。</w:t>
      </w:r>
    </w:p>
    <w:p w14:paraId="2CBABE5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highlight w:val="none"/>
        </w:rPr>
        <w:t>2）分支机构参与投标时，须提供分支机构</w:t>
      </w:r>
      <w:r>
        <w:rPr>
          <w:rFonts w:hint="eastAsia" w:ascii="宋体" w:hAnsi="宋体" w:eastAsia="宋体" w:cs="宋体"/>
          <w:b w:val="0"/>
          <w:bCs w:val="0"/>
          <w:color w:val="auto"/>
          <w:sz w:val="24"/>
          <w:szCs w:val="24"/>
          <w:highlight w:val="none"/>
          <w:lang w:eastAsia="zh-CN"/>
        </w:rPr>
        <w:t>符合</w:t>
      </w:r>
      <w:r>
        <w:rPr>
          <w:rFonts w:hint="eastAsia" w:ascii="宋体" w:hAnsi="宋体" w:eastAsia="宋体" w:cs="宋体"/>
          <w:b w:val="0"/>
          <w:bCs w:val="0"/>
          <w:color w:val="auto"/>
          <w:sz w:val="24"/>
          <w:szCs w:val="24"/>
          <w:highlight w:val="none"/>
        </w:rPr>
        <w:t>资格要求</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证明文件。</w:t>
      </w:r>
    </w:p>
    <w:p w14:paraId="7D05905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书面声明、法定代表人身份证明和法定代表人授权委托书应按磋商文件给定的格式填写，响应文件中必须附原件，其他资格证明文件提供复印件并加盖供应商公章。</w:t>
      </w:r>
    </w:p>
    <w:p w14:paraId="0B14F9B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bookmarkStart w:id="162" w:name="OLE_LINK4"/>
      <w:r>
        <w:rPr>
          <w:rFonts w:hint="eastAsia" w:ascii="宋体" w:hAnsi="宋体" w:eastAsia="宋体" w:cs="宋体"/>
          <w:b w:val="0"/>
          <w:bCs w:val="0"/>
          <w:color w:val="auto"/>
          <w:sz w:val="24"/>
          <w:szCs w:val="24"/>
          <w:highlight w:val="none"/>
        </w:rPr>
        <w:t>依法免税或不需要缴纳社会保障资金的供</w:t>
      </w:r>
      <w:r>
        <w:rPr>
          <w:rFonts w:hint="eastAsia" w:ascii="宋体" w:hAnsi="宋体" w:eastAsia="宋体" w:cs="宋体"/>
          <w:b w:val="0"/>
          <w:bCs w:val="0"/>
          <w:color w:val="auto"/>
          <w:sz w:val="24"/>
          <w:szCs w:val="24"/>
        </w:rPr>
        <w:t>应商</w:t>
      </w:r>
      <w:r>
        <w:rPr>
          <w:rFonts w:hint="eastAsia" w:ascii="宋体" w:hAnsi="宋体" w:eastAsia="宋体" w:cs="宋体"/>
          <w:b w:val="0"/>
          <w:bCs w:val="0"/>
          <w:color w:val="auto"/>
          <w:sz w:val="24"/>
          <w:szCs w:val="24"/>
          <w:lang w:eastAsia="zh-CN"/>
        </w:rPr>
        <w:t>须</w:t>
      </w:r>
      <w:r>
        <w:rPr>
          <w:rFonts w:hint="eastAsia" w:ascii="宋体" w:hAnsi="宋体" w:eastAsia="宋体" w:cs="宋体"/>
          <w:b w:val="0"/>
          <w:bCs w:val="0"/>
          <w:color w:val="auto"/>
          <w:sz w:val="24"/>
          <w:szCs w:val="24"/>
        </w:rPr>
        <w:t>提供相应证明文件。</w:t>
      </w:r>
      <w:bookmarkEnd w:id="162"/>
    </w:p>
    <w:p w14:paraId="53839607">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（二）符合性审查</w:t>
      </w:r>
    </w:p>
    <w:p w14:paraId="67DE45D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磋商小组依据磋商文件的规定，</w:t>
      </w:r>
      <w:r>
        <w:rPr>
          <w:rFonts w:hint="eastAsia" w:ascii="宋体" w:hAnsi="宋体" w:eastAsia="宋体" w:cs="宋体"/>
          <w:color w:val="auto"/>
          <w:sz w:val="24"/>
          <w:szCs w:val="24"/>
          <w:highlight w:val="none"/>
          <w:lang w:val="en-US" w:eastAsia="zh-CN"/>
        </w:rPr>
        <w:t>进行符合性审查，以确定其是否满足磋商文件的实质性要求，</w:t>
      </w:r>
      <w:r>
        <w:rPr>
          <w:rFonts w:hint="eastAsia" w:ascii="宋体" w:hAnsi="宋体" w:eastAsia="宋体" w:cs="宋体"/>
          <w:color w:val="auto"/>
          <w:sz w:val="24"/>
          <w:szCs w:val="24"/>
          <w:highlight w:val="none"/>
          <w:lang w:val="zh-CN"/>
        </w:rPr>
        <w:t>符合性审查结束后，磋商小组对审查结果进行签字确认。符合性审查不合格的供应商，不得进入下一评审环节。</w:t>
      </w:r>
      <w:r>
        <w:rPr>
          <w:rFonts w:hint="eastAsia" w:ascii="宋体" w:hAnsi="宋体" w:eastAsia="宋体" w:cs="宋体"/>
          <w:color w:val="auto"/>
          <w:sz w:val="24"/>
          <w:szCs w:val="24"/>
          <w:highlight w:val="none"/>
        </w:rPr>
        <w:t>具体审查内容如下：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3040"/>
        <w:gridCol w:w="4160"/>
      </w:tblGrid>
      <w:tr w14:paraId="591A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920"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3036156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2" w:firstLineChars="20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实质性条款要求</w:t>
            </w:r>
          </w:p>
        </w:tc>
        <w:tc>
          <w:tcPr>
            <w:tcW w:w="4160"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2268CA1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2" w:firstLineChars="20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通过条件</w:t>
            </w:r>
          </w:p>
        </w:tc>
      </w:tr>
      <w:tr w14:paraId="62A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restart"/>
            <w:tcBorders>
              <w:top w:val="single" w:color="auto" w:sz="4" w:space="0"/>
              <w:left w:val="single" w:color="auto" w:sz="4" w:space="0"/>
              <w:right w:val="single" w:color="auto" w:sz="4" w:space="0"/>
            </w:tcBorders>
            <w:noWrap w:val="0"/>
            <w:vAlign w:val="center"/>
          </w:tcPr>
          <w:p w14:paraId="085195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zh-CN"/>
              </w:rPr>
              <w:t>有效性审查</w:t>
            </w:r>
          </w:p>
          <w:p w14:paraId="0FF17CA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jc w:val="center"/>
              <w:textAlignment w:val="auto"/>
              <w:rPr>
                <w:rFonts w:hint="eastAsia" w:ascii="宋体" w:hAnsi="宋体" w:eastAsia="宋体" w:cs="宋体"/>
                <w:bCs/>
                <w:color w:val="auto"/>
                <w:kern w:val="0"/>
                <w:sz w:val="24"/>
                <w:szCs w:val="24"/>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33D28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zh-CN" w:eastAsia="zh-CN" w:bidi="ar-SA"/>
              </w:rPr>
            </w:pPr>
            <w:r>
              <w:rPr>
                <w:rFonts w:hint="eastAsia" w:ascii="宋体" w:hAnsi="宋体" w:eastAsia="宋体" w:cs="宋体"/>
                <w:bCs/>
                <w:color w:val="auto"/>
                <w:kern w:val="0"/>
                <w:sz w:val="24"/>
                <w:szCs w:val="24"/>
              </w:rPr>
              <w:t>项目名称、项目编号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2FDB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kern w:val="0"/>
                <w:sz w:val="24"/>
                <w:szCs w:val="24"/>
              </w:rPr>
              <w:t>与所投项目名称、项目编号一致</w:t>
            </w:r>
          </w:p>
        </w:tc>
      </w:tr>
      <w:tr w14:paraId="160E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continue"/>
            <w:tcBorders>
              <w:left w:val="single" w:color="auto" w:sz="4" w:space="0"/>
              <w:right w:val="single" w:color="auto" w:sz="4" w:space="0"/>
            </w:tcBorders>
            <w:noWrap w:val="0"/>
            <w:vAlign w:val="center"/>
          </w:tcPr>
          <w:p w14:paraId="1C34CA5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0" w:firstLineChars="200"/>
              <w:jc w:val="center"/>
              <w:textAlignment w:val="auto"/>
              <w:rPr>
                <w:rFonts w:hint="eastAsia" w:ascii="宋体" w:hAnsi="宋体" w:eastAsia="宋体" w:cs="宋体"/>
                <w:bCs/>
                <w:color w:val="auto"/>
                <w:kern w:val="0"/>
                <w:sz w:val="24"/>
                <w:szCs w:val="24"/>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5DF13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签署</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盖章</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43E2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rPr>
              <w:t>符合</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签署盖章要求</w:t>
            </w:r>
          </w:p>
        </w:tc>
      </w:tr>
      <w:tr w14:paraId="7690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continue"/>
            <w:tcBorders>
              <w:left w:val="single" w:color="auto" w:sz="4" w:space="0"/>
              <w:right w:val="single" w:color="auto" w:sz="4" w:space="0"/>
            </w:tcBorders>
            <w:noWrap w:val="0"/>
            <w:vAlign w:val="center"/>
          </w:tcPr>
          <w:p w14:paraId="63AD91F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0" w:firstLineChars="200"/>
              <w:jc w:val="center"/>
              <w:textAlignment w:val="auto"/>
              <w:rPr>
                <w:rFonts w:hint="eastAsia" w:ascii="宋体" w:hAnsi="宋体" w:eastAsia="宋体" w:cs="宋体"/>
                <w:bCs/>
                <w:color w:val="auto"/>
                <w:kern w:val="0"/>
                <w:sz w:val="24"/>
                <w:szCs w:val="24"/>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1748C1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语言及计量单位</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F8A7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rPr>
              <w:t>语言、计量单位均符合</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规定</w:t>
            </w:r>
          </w:p>
        </w:tc>
      </w:tr>
      <w:tr w14:paraId="22F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80" w:type="dxa"/>
            <w:vMerge w:val="continue"/>
            <w:tcBorders>
              <w:left w:val="single" w:color="auto" w:sz="4" w:space="0"/>
              <w:right w:val="single" w:color="auto" w:sz="4" w:space="0"/>
            </w:tcBorders>
            <w:noWrap w:val="0"/>
            <w:vAlign w:val="center"/>
          </w:tcPr>
          <w:p w14:paraId="607AC50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firstLine="480" w:firstLineChars="200"/>
              <w:jc w:val="center"/>
              <w:textAlignment w:val="auto"/>
              <w:rPr>
                <w:rFonts w:hint="eastAsia" w:ascii="宋体" w:hAnsi="宋体" w:eastAsia="宋体" w:cs="宋体"/>
                <w:bCs/>
                <w:color w:val="auto"/>
                <w:kern w:val="0"/>
                <w:sz w:val="24"/>
                <w:szCs w:val="24"/>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7A68C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磋商报价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E7FB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zh-CN"/>
              </w:rPr>
              <w:t>报价唯一；</w:t>
            </w:r>
          </w:p>
          <w:p w14:paraId="5D186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zh-CN"/>
              </w:rPr>
              <w:t>报价货币符合磋商文件要求；</w:t>
            </w:r>
          </w:p>
          <w:p w14:paraId="0A21F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zh-CN"/>
              </w:rPr>
              <w:t>未超出采购预算或磋商文件规定的最高限价。</w:t>
            </w:r>
          </w:p>
        </w:tc>
      </w:tr>
      <w:tr w14:paraId="7141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80" w:type="dxa"/>
            <w:tcBorders>
              <w:left w:val="single" w:color="auto" w:sz="4" w:space="0"/>
              <w:right w:val="single" w:color="auto" w:sz="4" w:space="0"/>
            </w:tcBorders>
            <w:noWrap w:val="0"/>
            <w:vAlign w:val="center"/>
          </w:tcPr>
          <w:p w14:paraId="462C0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zh-CN"/>
              </w:rPr>
              <w:t>完整性审查</w:t>
            </w:r>
          </w:p>
        </w:tc>
        <w:tc>
          <w:tcPr>
            <w:tcW w:w="3040" w:type="dxa"/>
            <w:tcBorders>
              <w:top w:val="single" w:color="auto" w:sz="4" w:space="0"/>
              <w:left w:val="single" w:color="auto" w:sz="4" w:space="0"/>
              <w:bottom w:val="single" w:color="auto" w:sz="4" w:space="0"/>
              <w:right w:val="single" w:color="auto" w:sz="4" w:space="0"/>
            </w:tcBorders>
            <w:noWrap w:val="0"/>
            <w:vAlign w:val="center"/>
          </w:tcPr>
          <w:p w14:paraId="1A82B2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highlight w:val="yellow"/>
                <w:lang w:val="en-US" w:eastAsia="zh-CN" w:bidi="ar-SA"/>
              </w:rPr>
            </w:pPr>
            <w:r>
              <w:rPr>
                <w:rFonts w:hint="eastAsia" w:ascii="宋体" w:hAnsi="宋体" w:eastAsia="宋体" w:cs="宋体"/>
                <w:bCs/>
                <w:color w:val="auto"/>
                <w:kern w:val="0"/>
                <w:sz w:val="24"/>
                <w:szCs w:val="24"/>
                <w:lang w:eastAsia="zh-CN"/>
              </w:rPr>
              <w:t>投标有效期</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2081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bCs/>
                <w:color w:val="auto"/>
                <w:kern w:val="0"/>
                <w:sz w:val="24"/>
                <w:szCs w:val="24"/>
                <w:highlight w:val="none"/>
                <w:lang w:val="zh-CN" w:eastAsia="zh-CN"/>
              </w:rPr>
              <w:t>从递交</w:t>
            </w:r>
            <w:r>
              <w:rPr>
                <w:rFonts w:hint="eastAsia" w:ascii="宋体" w:hAnsi="宋体" w:eastAsia="宋体" w:cs="宋体"/>
                <w:bCs/>
                <w:color w:val="auto"/>
                <w:kern w:val="0"/>
                <w:sz w:val="24"/>
                <w:szCs w:val="24"/>
                <w:highlight w:val="none"/>
                <w:lang w:val="en-US" w:eastAsia="zh-CN"/>
              </w:rPr>
              <w:t>响应文件</w:t>
            </w:r>
            <w:r>
              <w:rPr>
                <w:rFonts w:hint="eastAsia" w:ascii="宋体" w:hAnsi="宋体" w:eastAsia="宋体" w:cs="宋体"/>
                <w:bCs/>
                <w:color w:val="auto"/>
                <w:kern w:val="0"/>
                <w:sz w:val="24"/>
                <w:szCs w:val="24"/>
                <w:highlight w:val="none"/>
                <w:lang w:val="zh-CN" w:eastAsia="zh-CN"/>
              </w:rPr>
              <w:t>的截止之日起算不少于90个日历日</w:t>
            </w:r>
          </w:p>
        </w:tc>
      </w:tr>
      <w:tr w14:paraId="56DC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80" w:type="dxa"/>
            <w:tcBorders>
              <w:top w:val="single" w:color="auto" w:sz="4" w:space="0"/>
              <w:left w:val="single" w:color="auto" w:sz="4" w:space="0"/>
              <w:right w:val="single" w:color="auto" w:sz="4" w:space="0"/>
            </w:tcBorders>
            <w:noWrap w:val="0"/>
            <w:vAlign w:val="center"/>
          </w:tcPr>
          <w:p w14:paraId="0E801BB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4"/>
                <w:szCs w:val="24"/>
                <w:lang w:val="zh-CN"/>
              </w:rPr>
            </w:pPr>
          </w:p>
          <w:p w14:paraId="49CAE29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20" w:lineRule="exact"/>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kern w:val="0"/>
                <w:sz w:val="24"/>
                <w:szCs w:val="24"/>
                <w:lang w:val="zh-CN"/>
              </w:rPr>
              <w:t>响应</w:t>
            </w:r>
            <w:r>
              <w:rPr>
                <w:rFonts w:hint="eastAsia" w:ascii="宋体" w:hAnsi="宋体" w:eastAsia="宋体" w:cs="宋体"/>
                <w:bCs/>
                <w:color w:val="auto"/>
                <w:kern w:val="0"/>
                <w:sz w:val="24"/>
                <w:szCs w:val="24"/>
                <w:lang w:val="en-US" w:eastAsia="zh-CN"/>
              </w:rPr>
              <w:t>程度审查</w:t>
            </w:r>
          </w:p>
          <w:p w14:paraId="438F4D4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ind w:left="0" w:right="0"/>
              <w:jc w:val="center"/>
              <w:textAlignment w:val="auto"/>
              <w:rPr>
                <w:rFonts w:hint="eastAsia" w:ascii="宋体" w:hAnsi="宋体" w:eastAsia="宋体" w:cs="宋体"/>
                <w:color w:val="auto"/>
                <w:sz w:val="24"/>
                <w:szCs w:val="24"/>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6BF4E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eastAsia="zh-CN"/>
              </w:rPr>
              <w:t>合同条款</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B41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响应磋商文件合同条款未出现负偏离且</w:t>
            </w:r>
            <w:r>
              <w:rPr>
                <w:rFonts w:hint="eastAsia" w:ascii="宋体" w:hAnsi="宋体" w:eastAsia="宋体" w:cs="宋体"/>
                <w:bCs/>
                <w:color w:val="auto"/>
                <w:kern w:val="0"/>
                <w:sz w:val="24"/>
                <w:szCs w:val="24"/>
                <w:lang w:val="zh-CN" w:eastAsia="zh-CN"/>
              </w:rPr>
              <w:t>响应的内容</w:t>
            </w:r>
            <w:r>
              <w:rPr>
                <w:rFonts w:hint="eastAsia" w:ascii="宋体" w:hAnsi="宋体" w:eastAsia="宋体" w:cs="宋体"/>
                <w:bCs/>
                <w:color w:val="auto"/>
                <w:kern w:val="0"/>
                <w:sz w:val="24"/>
                <w:szCs w:val="24"/>
                <w:lang w:val="en-US" w:eastAsia="zh-CN"/>
              </w:rPr>
              <w:t>中</w:t>
            </w:r>
            <w:r>
              <w:rPr>
                <w:rFonts w:hint="eastAsia" w:ascii="宋体" w:hAnsi="宋体" w:eastAsia="宋体" w:cs="宋体"/>
                <w:bCs/>
                <w:color w:val="auto"/>
                <w:kern w:val="0"/>
                <w:sz w:val="24"/>
                <w:szCs w:val="24"/>
                <w:lang w:val="zh-CN" w:eastAsia="zh-CN"/>
              </w:rPr>
              <w:t>未</w:t>
            </w:r>
            <w:r>
              <w:rPr>
                <w:rFonts w:hint="eastAsia" w:ascii="宋体" w:hAnsi="宋体" w:eastAsia="宋体" w:cs="宋体"/>
                <w:bCs/>
                <w:color w:val="auto"/>
                <w:kern w:val="0"/>
                <w:sz w:val="24"/>
                <w:szCs w:val="24"/>
                <w:lang w:val="en-US" w:eastAsia="zh-CN"/>
              </w:rPr>
              <w:t>附有采购人不能接受的附加条件。</w:t>
            </w:r>
          </w:p>
        </w:tc>
      </w:tr>
    </w:tbl>
    <w:p w14:paraId="5140EBA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（三）投标</w:t>
      </w:r>
      <w:r>
        <w:rPr>
          <w:rFonts w:hint="eastAsia" w:ascii="宋体" w:hAnsi="宋体" w:eastAsia="宋体" w:cs="宋体"/>
          <w:color w:val="auto"/>
          <w:sz w:val="24"/>
          <w:szCs w:val="24"/>
          <w:lang w:val="zh-CN"/>
        </w:rPr>
        <w:t>无效</w:t>
      </w:r>
      <w:r>
        <w:rPr>
          <w:rFonts w:hint="eastAsia" w:ascii="宋体" w:hAnsi="宋体" w:eastAsia="宋体" w:cs="宋体"/>
          <w:color w:val="auto"/>
          <w:sz w:val="24"/>
          <w:szCs w:val="24"/>
        </w:rPr>
        <w:t>情形</w:t>
      </w:r>
      <w:r>
        <w:rPr>
          <w:rFonts w:hint="eastAsia" w:ascii="宋体" w:hAnsi="宋体" w:eastAsia="宋体" w:cs="宋体"/>
          <w:color w:val="auto"/>
          <w:sz w:val="24"/>
          <w:szCs w:val="24"/>
          <w:lang w:val="zh-CN"/>
        </w:rPr>
        <w:t>的认定</w:t>
      </w:r>
    </w:p>
    <w:p w14:paraId="0C85661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在评审过程中，出现下列情形之一的（但不限于），按</w:t>
      </w:r>
      <w:r>
        <w:rPr>
          <w:rFonts w:hint="eastAsia" w:ascii="宋体" w:hAnsi="宋体" w:eastAsia="宋体" w:cs="宋体"/>
          <w:color w:val="auto"/>
          <w:sz w:val="24"/>
          <w:szCs w:val="24"/>
        </w:rPr>
        <w:t>投标</w:t>
      </w:r>
      <w:r>
        <w:rPr>
          <w:rFonts w:hint="eastAsia" w:ascii="宋体" w:hAnsi="宋体" w:eastAsia="宋体" w:cs="宋体"/>
          <w:color w:val="auto"/>
          <w:sz w:val="24"/>
          <w:szCs w:val="24"/>
          <w:lang w:val="zh-CN"/>
        </w:rPr>
        <w:t>无效处理：</w:t>
      </w:r>
    </w:p>
    <w:p w14:paraId="1B56539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没有经过正常渠道</w:t>
      </w:r>
      <w:r>
        <w:rPr>
          <w:rFonts w:hint="eastAsia" w:ascii="宋体" w:hAnsi="宋体" w:eastAsia="宋体" w:cs="宋体"/>
          <w:color w:val="auto"/>
          <w:sz w:val="24"/>
          <w:szCs w:val="24"/>
          <w:lang w:val="en-US" w:eastAsia="zh-CN"/>
        </w:rPr>
        <w:t>获取磋商</w:t>
      </w:r>
      <w:r>
        <w:rPr>
          <w:rFonts w:hint="eastAsia" w:ascii="宋体" w:hAnsi="宋体" w:eastAsia="宋体" w:cs="宋体"/>
          <w:color w:val="auto"/>
          <w:sz w:val="24"/>
          <w:szCs w:val="24"/>
          <w:lang w:val="zh-CN"/>
        </w:rPr>
        <w:t>文件或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的名称与竞争性磋商文件获取登记表中的名称不符；</w:t>
      </w:r>
    </w:p>
    <w:p w14:paraId="3645E7D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2、响应文件中提供的供应商资格要求证明文件不符合磋商文件规定；</w:t>
      </w:r>
    </w:p>
    <w:p w14:paraId="5128746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3、响应文件中出现备选方案或响应文件中出现选择性报价的；</w:t>
      </w:r>
    </w:p>
    <w:p w14:paraId="781862F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4、磋商报价超过了本项目采购预算或最高限价的；</w:t>
      </w:r>
    </w:p>
    <w:p w14:paraId="7316C37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5、响应文件未按照磋商文件要求签署、盖章的；</w:t>
      </w:r>
    </w:p>
    <w:p w14:paraId="3848C2B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6、响应文件的关键内容字迹模糊和无法辨认的；</w:t>
      </w:r>
    </w:p>
    <w:p w14:paraId="364CD1C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7、响应文件未按照磋商文件规定的格式要求编制的；</w:t>
      </w:r>
    </w:p>
    <w:p w14:paraId="3DBEC76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、响应内容出现漏项或数量与要求不符的；</w:t>
      </w:r>
    </w:p>
    <w:p w14:paraId="51E0D11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 xml:space="preserve">、响应文件中无投标有效期或投标有效期达不到磋商文件要求的； </w:t>
      </w:r>
    </w:p>
    <w:p w14:paraId="2A432BF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、未响应合同条款或响应的合同条款中附有采购人不能接受的附加条件的；</w:t>
      </w:r>
    </w:p>
    <w:p w14:paraId="517C20D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、磋商报价与市场价格偏离较大、低于成本、形成不正当竞争的；</w:t>
      </w:r>
    </w:p>
    <w:p w14:paraId="4CE29B7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 xml:space="preserve">、与本采购项目其他供应商单位负责人为同一人或者存在控股、管理关系的； </w:t>
      </w:r>
    </w:p>
    <w:p w14:paraId="1515DDD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、为本项目提供整体设计、规范编制或者项目管理、监理、检测、咨询服务的；</w:t>
      </w:r>
    </w:p>
    <w:p w14:paraId="7A7A2C2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、供应商有串通投标、弄虚作假（包括但不限于虚假资质、虚假证明、虚假应答等）、行贿等违法行为的；</w:t>
      </w:r>
    </w:p>
    <w:p w14:paraId="776EE85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、法律、法规和磋商文件规定的其他无效情形的。</w:t>
      </w:r>
    </w:p>
    <w:p w14:paraId="0A19B6C7">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（四）响应文件的澄清、说明或者更正：</w:t>
      </w:r>
    </w:p>
    <w:p w14:paraId="5629BBAE">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5C06A3EB">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供应商的澄清、说明或者更正应当由法定代表人或其授权代表签字或加盖公章。由授权代表签字的，应当附法定代表人授权</w:t>
      </w:r>
      <w:r>
        <w:rPr>
          <w:rFonts w:hint="eastAsia" w:ascii="宋体" w:hAnsi="宋体" w:eastAsia="宋体" w:cs="宋体"/>
          <w:color w:val="auto"/>
          <w:sz w:val="24"/>
          <w:szCs w:val="24"/>
          <w:lang w:eastAsia="zh-CN"/>
        </w:rPr>
        <w:t>委托</w:t>
      </w:r>
      <w:r>
        <w:rPr>
          <w:rFonts w:hint="eastAsia" w:ascii="宋体" w:hAnsi="宋体" w:eastAsia="宋体" w:cs="宋体"/>
          <w:color w:val="auto"/>
          <w:sz w:val="24"/>
          <w:szCs w:val="24"/>
        </w:rPr>
        <w:t>书。供应商为自然人的，应当由本人签字并附身份证明。</w:t>
      </w:r>
    </w:p>
    <w:p w14:paraId="5A4EA44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响应文件出现不一致的，按照下列规定修正：</w:t>
      </w:r>
    </w:p>
    <w:p w14:paraId="7F076EF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（1）正本与副本不一致的，以正本为准；</w:t>
      </w:r>
    </w:p>
    <w:p w14:paraId="5459D5F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（2）响应文件中第一次磋商报价表内容与响应文件中相应内容不一致的，以第一次磋商报价表为准；</w:t>
      </w:r>
    </w:p>
    <w:p w14:paraId="1F65E65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（3）大写金额和小写金额不一致的，以大写金额为准；</w:t>
      </w:r>
    </w:p>
    <w:p w14:paraId="2DABC9F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（4）单价金额小数点或者百分比有明显错位的，以第一次磋商报价表的总价为准，并修改单价；</w:t>
      </w:r>
    </w:p>
    <w:p w14:paraId="3A3C42C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（5）总价金额与按单价汇总金额不一致的，以单价金额计算结果为准。</w:t>
      </w:r>
    </w:p>
    <w:p w14:paraId="4FF2AAF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同时出现两种以上不一致的，按照前款规定的顺序修正。修正后的报价经供应商书面确认后产生约束力，供应商不确认的，其投标无效。</w:t>
      </w:r>
    </w:p>
    <w:p w14:paraId="6D18283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磋商</w:t>
      </w:r>
    </w:p>
    <w:p w14:paraId="56046A5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磋商小组所有成员集中与单一供应商分别进行磋商，并给所有参加磋商供应商平等的磋商机会。</w:t>
      </w:r>
    </w:p>
    <w:p w14:paraId="0A3062E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7036FC8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pacing w:val="-6"/>
          <w:sz w:val="24"/>
          <w:szCs w:val="24"/>
        </w:rPr>
        <w:t>对磋商文件做出的实质性变动是磋商文件的有效组成部分，磋商小组应当及时以书面形式同时通知所有参加磋商的供应商。</w:t>
      </w:r>
    </w:p>
    <w:p w14:paraId="4452D6A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供应商应当按照磋商文件的变动情况和磋商小组的要求重新递交响应文件，并由其法定代表人或授权代表签字或者加盖公章。由授权代表签字的，应当附法定代表人授权</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rPr>
        <w:t>。供应商为自</w:t>
      </w:r>
      <w:r>
        <w:rPr>
          <w:rFonts w:hint="eastAsia" w:ascii="宋体" w:hAnsi="宋体" w:eastAsia="宋体" w:cs="宋体"/>
          <w:color w:val="auto"/>
          <w:sz w:val="24"/>
          <w:szCs w:val="24"/>
          <w:highlight w:val="none"/>
        </w:rPr>
        <w:t>然人的，应当由本人签字并附身份证明。</w:t>
      </w:r>
    </w:p>
    <w:p w14:paraId="5253EC9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4、已</w:t>
      </w:r>
      <w:r>
        <w:rPr>
          <w:rFonts w:hint="eastAsia" w:ascii="宋体" w:hAnsi="宋体" w:eastAsia="宋体" w:cs="宋体"/>
          <w:b w:val="0"/>
          <w:bCs w:val="0"/>
          <w:color w:val="auto"/>
          <w:sz w:val="24"/>
          <w:szCs w:val="24"/>
          <w:highlight w:val="none"/>
          <w:lang w:val="en-US" w:eastAsia="zh-CN"/>
        </w:rPr>
        <w:t>递</w:t>
      </w:r>
      <w:r>
        <w:rPr>
          <w:rFonts w:hint="eastAsia" w:ascii="宋体" w:hAnsi="宋体" w:eastAsia="宋体" w:cs="宋体"/>
          <w:b w:val="0"/>
          <w:bCs w:val="0"/>
          <w:color w:val="auto"/>
          <w:sz w:val="24"/>
          <w:szCs w:val="24"/>
          <w:highlight w:val="none"/>
        </w:rPr>
        <w:t>交响应文件的供应商，在提交</w:t>
      </w:r>
      <w:r>
        <w:rPr>
          <w:rFonts w:hint="eastAsia" w:ascii="宋体" w:hAnsi="宋体" w:eastAsia="宋体" w:cs="宋体"/>
          <w:b w:val="0"/>
          <w:bCs w:val="0"/>
          <w:color w:val="auto"/>
          <w:sz w:val="24"/>
          <w:szCs w:val="24"/>
          <w:highlight w:val="none"/>
          <w:lang w:eastAsia="zh-CN"/>
        </w:rPr>
        <w:t>最终报价</w:t>
      </w:r>
      <w:r>
        <w:rPr>
          <w:rFonts w:hint="eastAsia" w:ascii="宋体" w:hAnsi="宋体" w:eastAsia="宋体" w:cs="宋体"/>
          <w:b w:val="0"/>
          <w:bCs w:val="0"/>
          <w:color w:val="auto"/>
          <w:sz w:val="24"/>
          <w:szCs w:val="24"/>
          <w:highlight w:val="none"/>
        </w:rPr>
        <w:t>之前，可以根据磋商情况退出磋商。</w:t>
      </w:r>
    </w:p>
    <w:p w14:paraId="4EC4111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最终报价</w:t>
      </w:r>
    </w:p>
    <w:p w14:paraId="3A7BD8D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1、磋商文件能够详细列明采购标的的技术、服务要求的，磋商结束后，磋商小组应当要求所有实质性响应的供应商在规定时间内提交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的供应商不得少于3家。</w:t>
      </w:r>
    </w:p>
    <w:p w14:paraId="4DE9BF2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w:t>
      </w:r>
    </w:p>
    <w:p w14:paraId="6AD4BEC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是供应商响应文件的有效组成部分。</w:t>
      </w:r>
      <w:r>
        <w:rPr>
          <w:rFonts w:hint="eastAsia" w:ascii="宋体" w:hAnsi="宋体" w:eastAsia="宋体" w:cs="宋体"/>
          <w:snapToGrid w:val="0"/>
          <w:color w:val="auto"/>
          <w:kern w:val="0"/>
          <w:sz w:val="24"/>
          <w:szCs w:val="24"/>
        </w:rPr>
        <w:t>符合</w:t>
      </w:r>
      <w:r>
        <w:rPr>
          <w:rFonts w:hint="eastAsia" w:ascii="宋体" w:hAnsi="宋体" w:eastAsia="宋体" w:cs="宋体"/>
          <w:color w:val="auto"/>
          <w:sz w:val="24"/>
          <w:szCs w:val="24"/>
        </w:rPr>
        <w:t>《政府采购竞争性磋商采购方式管理暂行办法》</w:t>
      </w:r>
      <w:r>
        <w:rPr>
          <w:rFonts w:hint="eastAsia" w:ascii="宋体" w:hAnsi="宋体" w:eastAsia="宋体" w:cs="宋体"/>
          <w:snapToGrid w:val="0"/>
          <w:color w:val="auto"/>
          <w:kern w:val="0"/>
          <w:sz w:val="24"/>
          <w:szCs w:val="24"/>
        </w:rPr>
        <w:t>第三条第四项情形的</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的供应商可以为2家。</w:t>
      </w:r>
    </w:p>
    <w:p w14:paraId="1361293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4、最终报价应按首次报价的格式内容填写，由</w:t>
      </w:r>
      <w:r>
        <w:rPr>
          <w:rFonts w:hint="eastAsia" w:ascii="宋体" w:hAnsi="宋体" w:eastAsia="宋体" w:cs="宋体"/>
          <w:color w:val="auto"/>
          <w:sz w:val="24"/>
          <w:szCs w:val="24"/>
        </w:rPr>
        <w:t>法定代表人或授权代表签字或加盖公章。</w:t>
      </w:r>
    </w:p>
    <w:p w14:paraId="1441FFB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二次报价网上操作流程：</w:t>
      </w:r>
    </w:p>
    <w:p w14:paraId="5B6188E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①插入CA锁，登录陕西省公共资源交易平台网站（http://www.sxggzyjy.cn/）；</w:t>
      </w:r>
    </w:p>
    <w:p w14:paraId="12FA95A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②点击右上角我的项目，选择本次开标项目，点击项目流程；</w:t>
      </w:r>
    </w:p>
    <w:p w14:paraId="0609B49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③点击网上报价；</w:t>
      </w:r>
    </w:p>
    <w:p w14:paraId="7C40E56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④报价：点击</w:t>
      </w:r>
      <w:r>
        <w:rPr>
          <w:rFonts w:hint="eastAsia" w:ascii="宋体" w:hAnsi="宋体" w:eastAsia="宋体" w:cs="宋体"/>
          <w:color w:val="auto"/>
          <w:sz w:val="24"/>
          <w:szCs w:val="24"/>
          <w:lang w:val="en-US" w:eastAsia="zh-CN"/>
        </w:rPr>
        <w:drawing>
          <wp:inline distT="0" distB="0" distL="114300" distR="114300">
            <wp:extent cx="220980" cy="220980"/>
            <wp:effectExtent l="0" t="0" r="762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sz w:val="24"/>
          <w:szCs w:val="24"/>
          <w:lang w:val="en-US" w:eastAsia="zh-CN"/>
        </w:rPr>
        <w:t>报价，输入金额（注意大小写一致）；</w:t>
      </w:r>
    </w:p>
    <w:p w14:paraId="698D69C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⑤签章查看：点击</w:t>
      </w:r>
      <w:r>
        <w:rPr>
          <w:rFonts w:hint="eastAsia" w:ascii="宋体" w:hAnsi="宋体" w:eastAsia="宋体" w:cs="宋体"/>
          <w:color w:val="auto"/>
          <w:sz w:val="24"/>
          <w:szCs w:val="24"/>
          <w:lang w:val="en-US" w:eastAsia="zh-CN"/>
        </w:rPr>
        <w:drawing>
          <wp:inline distT="0" distB="0" distL="114300" distR="114300">
            <wp:extent cx="269875" cy="281305"/>
            <wp:effectExtent l="0" t="0" r="158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l="10774" t="18208" r="24734" b="15326"/>
                    <a:stretch>
                      <a:fillRect/>
                    </a:stretch>
                  </pic:blipFill>
                  <pic:spPr>
                    <a:xfrm>
                      <a:off x="0" y="0"/>
                      <a:ext cx="269875" cy="281305"/>
                    </a:xfrm>
                    <a:prstGeom prst="rect">
                      <a:avLst/>
                    </a:prstGeom>
                    <a:noFill/>
                    <a:ln>
                      <a:noFill/>
                    </a:ln>
                  </pic:spPr>
                </pic:pic>
              </a:graphicData>
            </a:graphic>
          </wp:inline>
        </w:drawing>
      </w:r>
      <w:r>
        <w:rPr>
          <w:rFonts w:hint="eastAsia" w:ascii="宋体" w:hAnsi="宋体" w:eastAsia="宋体" w:cs="宋体"/>
          <w:color w:val="auto"/>
          <w:sz w:val="24"/>
          <w:szCs w:val="24"/>
          <w:lang w:val="en-US" w:eastAsia="zh-CN"/>
        </w:rPr>
        <w:t>，选择单页签章，点击报价表右下角签章；</w:t>
      </w:r>
    </w:p>
    <w:p w14:paraId="210AEED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napToGrid w:val="0"/>
          <w:color w:val="auto"/>
          <w:kern w:val="2"/>
          <w:sz w:val="24"/>
          <w:szCs w:val="24"/>
          <w:lang w:val="en-US" w:eastAsia="zh-CN"/>
        </w:rPr>
      </w:pPr>
      <w:r>
        <w:rPr>
          <w:rFonts w:hint="eastAsia" w:ascii="宋体" w:hAnsi="宋体" w:eastAsia="宋体" w:cs="宋体"/>
          <w:color w:val="auto"/>
          <w:sz w:val="24"/>
          <w:szCs w:val="24"/>
          <w:lang w:val="en-US" w:eastAsia="zh-CN"/>
        </w:rPr>
        <w:t>⑥确认无误如图：</w:t>
      </w:r>
    </w:p>
    <w:p w14:paraId="076E81A0">
      <w:pPr>
        <w:spacing w:line="480" w:lineRule="exact"/>
        <w:ind w:firstLine="480" w:firstLineChars="200"/>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drawing>
          <wp:anchor distT="0" distB="0" distL="114300" distR="114300" simplePos="0" relativeHeight="251663360"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anchor>
        </w:drawing>
      </w:r>
    </w:p>
    <w:p w14:paraId="2DD673B7">
      <w:pPr>
        <w:keepNext w:val="0"/>
        <w:keepLines w:val="0"/>
        <w:pageBreakBefore w:val="0"/>
        <w:widowControl w:val="0"/>
        <w:kinsoku/>
        <w:wordWrap/>
        <w:overflowPunct/>
        <w:topLinePunct w:val="0"/>
        <w:bidi w:val="0"/>
        <w:adjustRightInd w:val="0"/>
        <w:snapToGrid w:val="0"/>
        <w:spacing w:line="360" w:lineRule="auto"/>
        <w:ind w:right="0" w:rightChars="0"/>
        <w:textAlignment w:val="auto"/>
        <w:rPr>
          <w:rFonts w:hint="eastAsia" w:ascii="宋体" w:hAnsi="宋体" w:eastAsia="宋体" w:cs="宋体"/>
          <w:color w:val="auto"/>
          <w:sz w:val="24"/>
          <w:szCs w:val="24"/>
          <w:lang w:val="en-US" w:eastAsia="zh-CN"/>
        </w:rPr>
      </w:pPr>
    </w:p>
    <w:p w14:paraId="4727AC5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⑦提交。</w:t>
      </w:r>
    </w:p>
    <w:p w14:paraId="200E700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lang w:val="zh-CN"/>
        </w:rPr>
        <w:t>比较与评价</w:t>
      </w:r>
    </w:p>
    <w:p w14:paraId="6E9575A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color w:val="auto"/>
          <w:kern w:val="0"/>
          <w:sz w:val="24"/>
          <w:szCs w:val="24"/>
        </w:rPr>
      </w:pPr>
      <w:r>
        <w:rPr>
          <w:rFonts w:hint="eastAsia" w:ascii="宋体" w:hAnsi="宋体" w:eastAsia="宋体" w:cs="宋体"/>
          <w:bCs/>
          <w:snapToGrid w:val="0"/>
          <w:color w:val="auto"/>
          <w:kern w:val="0"/>
          <w:sz w:val="24"/>
          <w:szCs w:val="24"/>
        </w:rPr>
        <w:t>经磋商确定最终采购需求和提交</w:t>
      </w:r>
      <w:r>
        <w:rPr>
          <w:rFonts w:hint="eastAsia" w:ascii="宋体" w:hAnsi="宋体" w:eastAsia="宋体" w:cs="宋体"/>
          <w:bCs/>
          <w:snapToGrid w:val="0"/>
          <w:color w:val="auto"/>
          <w:kern w:val="0"/>
          <w:sz w:val="24"/>
          <w:szCs w:val="24"/>
          <w:lang w:eastAsia="zh-CN"/>
        </w:rPr>
        <w:t>最终报价</w:t>
      </w:r>
      <w:r>
        <w:rPr>
          <w:rFonts w:hint="eastAsia" w:ascii="宋体" w:hAnsi="宋体" w:eastAsia="宋体" w:cs="宋体"/>
          <w:bCs/>
          <w:snapToGrid w:val="0"/>
          <w:color w:val="auto"/>
          <w:kern w:val="0"/>
          <w:sz w:val="24"/>
          <w:szCs w:val="24"/>
        </w:rPr>
        <w:t>的供应商后，由磋商小组采用综合评分法对提交最</w:t>
      </w:r>
      <w:r>
        <w:rPr>
          <w:rFonts w:hint="eastAsia" w:ascii="宋体" w:hAnsi="宋体" w:eastAsia="宋体" w:cs="宋体"/>
          <w:bCs/>
          <w:snapToGrid w:val="0"/>
          <w:color w:val="auto"/>
          <w:kern w:val="0"/>
          <w:sz w:val="24"/>
          <w:szCs w:val="24"/>
          <w:lang w:eastAsia="zh-CN"/>
        </w:rPr>
        <w:t>终</w:t>
      </w:r>
      <w:r>
        <w:rPr>
          <w:rFonts w:hint="eastAsia" w:ascii="宋体" w:hAnsi="宋体" w:eastAsia="宋体" w:cs="宋体"/>
          <w:bCs/>
          <w:snapToGrid w:val="0"/>
          <w:color w:val="auto"/>
          <w:kern w:val="0"/>
          <w:sz w:val="24"/>
          <w:szCs w:val="24"/>
        </w:rPr>
        <w:t>报价的供应商的响应文件和最</w:t>
      </w:r>
      <w:r>
        <w:rPr>
          <w:rFonts w:hint="eastAsia" w:ascii="宋体" w:hAnsi="宋体" w:eastAsia="宋体" w:cs="宋体"/>
          <w:bCs/>
          <w:snapToGrid w:val="0"/>
          <w:color w:val="auto"/>
          <w:kern w:val="0"/>
          <w:sz w:val="24"/>
          <w:szCs w:val="24"/>
          <w:lang w:eastAsia="zh-CN"/>
        </w:rPr>
        <w:t>终</w:t>
      </w:r>
      <w:r>
        <w:rPr>
          <w:rFonts w:hint="eastAsia" w:ascii="宋体" w:hAnsi="宋体" w:eastAsia="宋体" w:cs="宋体"/>
          <w:bCs/>
          <w:snapToGrid w:val="0"/>
          <w:color w:val="auto"/>
          <w:kern w:val="0"/>
          <w:sz w:val="24"/>
          <w:szCs w:val="24"/>
        </w:rPr>
        <w:t>报价进行综合评分。</w:t>
      </w:r>
    </w:p>
    <w:p w14:paraId="3F6824A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Cs/>
          <w:snapToGrid w:val="0"/>
          <w:color w:val="auto"/>
          <w:kern w:val="0"/>
          <w:sz w:val="24"/>
          <w:szCs w:val="24"/>
        </w:rPr>
      </w:pPr>
      <w:r>
        <w:rPr>
          <w:rFonts w:hint="eastAsia" w:ascii="宋体" w:hAnsi="宋体" w:eastAsia="宋体" w:cs="宋体"/>
          <w:bCs/>
          <w:snapToGrid w:val="0"/>
          <w:color w:val="auto"/>
          <w:kern w:val="0"/>
          <w:sz w:val="24"/>
          <w:szCs w:val="24"/>
          <w:lang w:val="en-US" w:eastAsia="zh-CN"/>
        </w:rPr>
        <w:t>1</w:t>
      </w:r>
      <w:r>
        <w:rPr>
          <w:rFonts w:hint="eastAsia" w:ascii="宋体" w:hAnsi="宋体" w:eastAsia="宋体" w:cs="宋体"/>
          <w:bCs/>
          <w:snapToGrid w:val="0"/>
          <w:color w:val="auto"/>
          <w:kern w:val="0"/>
          <w:sz w:val="24"/>
          <w:szCs w:val="24"/>
        </w:rPr>
        <w:t>、评审方法：综合评分法，即对响应文件满足磋商文件全部实质性要求且按评审因素的量化指标评审得分最高的供应商为成交候选供应商的评审方法。</w:t>
      </w:r>
    </w:p>
    <w:p w14:paraId="52984E2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val="zh-CN"/>
        </w:rPr>
        <w:t>、</w:t>
      </w:r>
      <w:r>
        <w:rPr>
          <w:rFonts w:hint="eastAsia" w:ascii="宋体" w:hAnsi="宋体" w:eastAsia="宋体" w:cs="宋体"/>
          <w:bCs/>
          <w:snapToGrid w:val="0"/>
          <w:color w:val="auto"/>
          <w:kern w:val="0"/>
          <w:sz w:val="24"/>
          <w:szCs w:val="24"/>
        </w:rPr>
        <w:t>评审</w:t>
      </w:r>
      <w:r>
        <w:rPr>
          <w:rFonts w:hint="eastAsia" w:ascii="宋体" w:hAnsi="宋体" w:eastAsia="宋体" w:cs="宋体"/>
          <w:bCs/>
          <w:snapToGrid w:val="0"/>
          <w:color w:val="auto"/>
          <w:kern w:val="0"/>
          <w:sz w:val="24"/>
          <w:szCs w:val="24"/>
          <w:lang w:val="en-US" w:eastAsia="zh-CN"/>
        </w:rPr>
        <w:t>因素及权重分解表</w:t>
      </w:r>
      <w:r>
        <w:rPr>
          <w:rFonts w:hint="eastAsia" w:ascii="宋体" w:hAnsi="宋体" w:eastAsia="宋体" w:cs="宋体"/>
          <w:b/>
          <w:color w:val="auto"/>
          <w:sz w:val="24"/>
          <w:szCs w:val="24"/>
          <w:lang w:val="zh-CN"/>
        </w:rPr>
        <w:t>（总计100分）</w:t>
      </w:r>
    </w:p>
    <w:tbl>
      <w:tblPr>
        <w:tblStyle w:val="25"/>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76"/>
        <w:gridCol w:w="602"/>
        <w:gridCol w:w="6159"/>
        <w:gridCol w:w="871"/>
      </w:tblGrid>
      <w:tr w14:paraId="588C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05" w:type="pct"/>
            <w:vAlign w:val="center"/>
          </w:tcPr>
          <w:p w14:paraId="60934A7E">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序号</w:t>
            </w:r>
          </w:p>
        </w:tc>
        <w:tc>
          <w:tcPr>
            <w:tcW w:w="532" w:type="pct"/>
            <w:vAlign w:val="center"/>
          </w:tcPr>
          <w:p w14:paraId="67114111">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评分因素及权重</w:t>
            </w:r>
          </w:p>
        </w:tc>
        <w:tc>
          <w:tcPr>
            <w:tcW w:w="328" w:type="pct"/>
            <w:vAlign w:val="center"/>
          </w:tcPr>
          <w:p w14:paraId="0B05C05D">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分值</w:t>
            </w:r>
          </w:p>
        </w:tc>
        <w:tc>
          <w:tcPr>
            <w:tcW w:w="3358" w:type="pct"/>
            <w:vAlign w:val="center"/>
          </w:tcPr>
          <w:p w14:paraId="401263D9">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评分标准</w:t>
            </w:r>
          </w:p>
        </w:tc>
        <w:tc>
          <w:tcPr>
            <w:tcW w:w="475" w:type="pct"/>
            <w:vAlign w:val="center"/>
          </w:tcPr>
          <w:p w14:paraId="365D60E3">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说明</w:t>
            </w:r>
          </w:p>
        </w:tc>
      </w:tr>
      <w:tr w14:paraId="655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2" w:hRule="atLeast"/>
          <w:jc w:val="center"/>
        </w:trPr>
        <w:tc>
          <w:tcPr>
            <w:tcW w:w="305" w:type="pct"/>
            <w:vAlign w:val="center"/>
          </w:tcPr>
          <w:p w14:paraId="2AC3D361">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1</w:t>
            </w:r>
          </w:p>
        </w:tc>
        <w:tc>
          <w:tcPr>
            <w:tcW w:w="532" w:type="pct"/>
            <w:vAlign w:val="center"/>
          </w:tcPr>
          <w:p w14:paraId="29A0CA50">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报价</w:t>
            </w:r>
          </w:p>
        </w:tc>
        <w:tc>
          <w:tcPr>
            <w:tcW w:w="328" w:type="pct"/>
            <w:vAlign w:val="center"/>
          </w:tcPr>
          <w:p w14:paraId="04ECF27F">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default"/>
                <w:color w:val="auto"/>
              </w:rPr>
              <w:t>10</w:t>
            </w:r>
            <w:r>
              <w:rPr>
                <w:rFonts w:hint="eastAsia"/>
                <w:color w:val="auto"/>
              </w:rPr>
              <w:t>分</w:t>
            </w:r>
          </w:p>
        </w:tc>
        <w:tc>
          <w:tcPr>
            <w:tcW w:w="3358" w:type="pct"/>
            <w:vAlign w:val="center"/>
          </w:tcPr>
          <w:p w14:paraId="6057235D">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根据各</w:t>
            </w:r>
            <w:r>
              <w:rPr>
                <w:rFonts w:hint="eastAsia"/>
                <w:color w:val="auto"/>
                <w:lang w:eastAsia="zh-CN"/>
              </w:rPr>
              <w:t>供应商</w:t>
            </w:r>
            <w:r>
              <w:rPr>
                <w:rFonts w:hint="eastAsia"/>
                <w:color w:val="auto"/>
              </w:rPr>
              <w:t>的有效</w:t>
            </w:r>
            <w:r>
              <w:rPr>
                <w:rFonts w:hint="eastAsia"/>
                <w:color w:val="auto"/>
                <w:lang w:val="en-US" w:eastAsia="zh-CN"/>
              </w:rPr>
              <w:t>磋商</w:t>
            </w:r>
            <w:r>
              <w:rPr>
                <w:rFonts w:hint="eastAsia"/>
                <w:color w:val="auto"/>
              </w:rPr>
              <w:t>报价，以满足</w:t>
            </w:r>
            <w:r>
              <w:rPr>
                <w:rFonts w:hint="eastAsia"/>
                <w:color w:val="auto"/>
                <w:lang w:eastAsia="zh-CN"/>
              </w:rPr>
              <w:t>磋商文件</w:t>
            </w:r>
            <w:r>
              <w:rPr>
                <w:rFonts w:hint="eastAsia"/>
                <w:color w:val="auto"/>
              </w:rPr>
              <w:t>要求且有效投标价格的最低的</w:t>
            </w:r>
            <w:r>
              <w:rPr>
                <w:rFonts w:hint="eastAsia"/>
                <w:color w:val="auto"/>
                <w:lang w:eastAsia="zh-CN"/>
              </w:rPr>
              <w:t>磋商报价</w:t>
            </w:r>
            <w:r>
              <w:rPr>
                <w:rFonts w:hint="eastAsia"/>
                <w:color w:val="auto"/>
              </w:rPr>
              <w:t>为评标基准价，其价格分为满分。其他</w:t>
            </w:r>
            <w:r>
              <w:rPr>
                <w:rFonts w:hint="eastAsia"/>
                <w:color w:val="auto"/>
                <w:lang w:eastAsia="zh-CN"/>
              </w:rPr>
              <w:t>供应商</w:t>
            </w:r>
            <w:r>
              <w:rPr>
                <w:rFonts w:hint="eastAsia"/>
                <w:color w:val="auto"/>
              </w:rPr>
              <w:t>的价格分统一按照下列公式计算：</w:t>
            </w:r>
            <w:r>
              <w:rPr>
                <w:rFonts w:hint="eastAsia"/>
                <w:color w:val="auto"/>
                <w:lang w:eastAsia="zh-CN"/>
              </w:rPr>
              <w:t>磋商报价</w:t>
            </w:r>
            <w:r>
              <w:rPr>
                <w:rFonts w:hint="eastAsia"/>
                <w:color w:val="auto"/>
              </w:rPr>
              <w:t>得分＝（评标基准价</w:t>
            </w:r>
            <w:r>
              <w:rPr>
                <w:rFonts w:hint="default"/>
                <w:color w:val="auto"/>
              </w:rPr>
              <w:t>/有效</w:t>
            </w:r>
            <w:r>
              <w:rPr>
                <w:rFonts w:hint="eastAsia"/>
                <w:color w:val="auto"/>
                <w:lang w:eastAsia="zh-CN"/>
              </w:rPr>
              <w:t>磋商报价</w:t>
            </w:r>
            <w:r>
              <w:rPr>
                <w:rFonts w:hint="default"/>
                <w:color w:val="auto"/>
              </w:rPr>
              <w:t>）×价格分权值×100（保留到小数点后两位（四舍五入），当场统一计算）。</w:t>
            </w:r>
          </w:p>
          <w:p w14:paraId="30D9BFAD">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注：对符合《政府采购促进中 小企业发展管理办法》（财库〔2020〕46 号）规定的小微企业报价给予10.00%的扣除，用扣除后的价格参加评审。承接本项目的供应商符合相应条件时，给予10.00%的价格扣除，即：评标价=最后报价×（1-10.00%）;监狱企业与残疾人福利性单位视同小型、微型企业，享受同等价格扣除，当企业属性重复时，不重复价格扣除。</w:t>
            </w:r>
          </w:p>
        </w:tc>
        <w:tc>
          <w:tcPr>
            <w:tcW w:w="475" w:type="pct"/>
            <w:vAlign w:val="center"/>
          </w:tcPr>
          <w:p w14:paraId="3DECB59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价格</w:t>
            </w:r>
            <w:r>
              <w:rPr>
                <w:rFonts w:hint="eastAsia"/>
                <w:color w:val="auto"/>
              </w:rPr>
              <w:t>评分因素</w:t>
            </w:r>
          </w:p>
        </w:tc>
      </w:tr>
      <w:tr w14:paraId="443D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5" w:type="pct"/>
            <w:vAlign w:val="center"/>
          </w:tcPr>
          <w:p w14:paraId="21E2A685">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2</w:t>
            </w:r>
          </w:p>
        </w:tc>
        <w:tc>
          <w:tcPr>
            <w:tcW w:w="532" w:type="pct"/>
            <w:vAlign w:val="center"/>
          </w:tcPr>
          <w:p w14:paraId="0E9A29A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r>
              <w:rPr>
                <w:rFonts w:hint="eastAsia"/>
                <w:color w:val="auto"/>
              </w:rPr>
              <w:t>技术方</w:t>
            </w:r>
            <w:r>
              <w:rPr>
                <w:rFonts w:hint="eastAsia"/>
                <w:color w:val="auto"/>
                <w:lang w:val="en-US" w:eastAsia="zh-CN"/>
              </w:rPr>
              <w:t>案</w:t>
            </w:r>
          </w:p>
        </w:tc>
        <w:tc>
          <w:tcPr>
            <w:tcW w:w="328" w:type="pct"/>
            <w:vAlign w:val="center"/>
          </w:tcPr>
          <w:p w14:paraId="62359413">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24</w:t>
            </w:r>
            <w:r>
              <w:rPr>
                <w:rFonts w:hint="eastAsia"/>
                <w:color w:val="auto"/>
              </w:rPr>
              <w:t>分</w:t>
            </w:r>
          </w:p>
        </w:tc>
        <w:tc>
          <w:tcPr>
            <w:tcW w:w="3358" w:type="pct"/>
            <w:vAlign w:val="center"/>
          </w:tcPr>
          <w:p w14:paraId="2D84B1CA">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eastAsiaTheme="minorEastAsia"/>
                <w:color w:val="auto"/>
                <w:lang w:val="en-US" w:eastAsia="zh-CN"/>
              </w:rPr>
            </w:pPr>
            <w:r>
              <w:rPr>
                <w:rFonts w:hint="eastAsia"/>
                <w:color w:val="auto"/>
                <w:lang w:eastAsia="zh-CN"/>
              </w:rPr>
              <w:t>供应商</w:t>
            </w:r>
            <w:r>
              <w:rPr>
                <w:rFonts w:hint="eastAsia"/>
                <w:color w:val="auto"/>
              </w:rPr>
              <w:t>针对</w:t>
            </w:r>
            <w:r>
              <w:rPr>
                <w:rFonts w:hint="eastAsia"/>
                <w:color w:val="auto"/>
                <w:lang w:eastAsia="zh-CN"/>
              </w:rPr>
              <w:t>磋商文件</w:t>
            </w:r>
            <w:r>
              <w:rPr>
                <w:rFonts w:hint="eastAsia"/>
                <w:color w:val="auto"/>
              </w:rPr>
              <w:t>中</w:t>
            </w:r>
            <w:r>
              <w:rPr>
                <w:rFonts w:hint="default"/>
                <w:color w:val="auto"/>
              </w:rPr>
              <w:t>带</w:t>
            </w:r>
            <w:r>
              <w:rPr>
                <w:rFonts w:hint="eastAsia"/>
                <w:color w:val="auto"/>
              </w:rPr>
              <w:t>“▲”的重要</w:t>
            </w:r>
            <w:r>
              <w:rPr>
                <w:rFonts w:hint="default"/>
                <w:color w:val="auto"/>
              </w:rPr>
              <w:t>技术指标</w:t>
            </w:r>
            <w:r>
              <w:rPr>
                <w:rFonts w:hint="eastAsia"/>
                <w:color w:val="auto"/>
              </w:rPr>
              <w:t>进行点对点完整应答，完全满足该项目实际要求得</w:t>
            </w:r>
            <w:r>
              <w:rPr>
                <w:rFonts w:hint="eastAsia"/>
                <w:color w:val="auto"/>
                <w:lang w:val="en-US" w:eastAsia="zh-CN"/>
              </w:rPr>
              <w:t>24</w:t>
            </w:r>
            <w:r>
              <w:rPr>
                <w:rFonts w:hint="eastAsia"/>
                <w:color w:val="auto"/>
              </w:rPr>
              <w:t>分，每有一项有明显缺陷或不详细、不完整扣</w:t>
            </w:r>
            <w:r>
              <w:rPr>
                <w:rFonts w:hint="eastAsia"/>
                <w:color w:val="auto"/>
                <w:lang w:val="en-US" w:eastAsia="zh-CN"/>
              </w:rPr>
              <w:t>4</w:t>
            </w:r>
            <w:r>
              <w:rPr>
                <w:rFonts w:hint="default"/>
                <w:color w:val="auto"/>
              </w:rPr>
              <w:t>分</w:t>
            </w:r>
            <w:r>
              <w:rPr>
                <w:rFonts w:hint="eastAsia"/>
                <w:color w:val="auto"/>
              </w:rPr>
              <w:t>，扣完为止</w:t>
            </w:r>
            <w:r>
              <w:rPr>
                <w:rFonts w:hint="eastAsia"/>
                <w:color w:val="auto"/>
                <w:lang w:eastAsia="zh-CN"/>
              </w:rPr>
              <w:t>，</w:t>
            </w:r>
            <w:r>
              <w:rPr>
                <w:rFonts w:hint="eastAsia"/>
                <w:color w:val="auto"/>
              </w:rPr>
              <w:t>未提供不得分</w:t>
            </w:r>
            <w:r>
              <w:rPr>
                <w:rFonts w:hint="eastAsia"/>
                <w:color w:val="auto"/>
                <w:lang w:val="en-US" w:eastAsia="zh-CN"/>
              </w:rPr>
              <w:t>。</w:t>
            </w:r>
          </w:p>
        </w:tc>
        <w:tc>
          <w:tcPr>
            <w:tcW w:w="475" w:type="pct"/>
            <w:vAlign w:val="center"/>
          </w:tcPr>
          <w:p w14:paraId="2E0260FE">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技术类评分因素</w:t>
            </w:r>
          </w:p>
        </w:tc>
      </w:tr>
      <w:tr w14:paraId="7EB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305" w:type="pct"/>
            <w:vMerge w:val="restart"/>
            <w:vAlign w:val="center"/>
          </w:tcPr>
          <w:p w14:paraId="25E7373B">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p>
        </w:tc>
        <w:tc>
          <w:tcPr>
            <w:tcW w:w="532" w:type="pct"/>
            <w:vMerge w:val="restart"/>
            <w:vAlign w:val="center"/>
          </w:tcPr>
          <w:p w14:paraId="7CBEAA34">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rPr>
            </w:pPr>
            <w:r>
              <w:rPr>
                <w:rFonts w:hint="eastAsia"/>
                <w:color w:val="auto"/>
                <w:lang w:val="en-US" w:eastAsia="zh-CN"/>
              </w:rPr>
              <w:t>企业及</w:t>
            </w:r>
            <w:r>
              <w:rPr>
                <w:rFonts w:hint="eastAsia"/>
                <w:color w:val="auto"/>
              </w:rPr>
              <w:t>团队</w:t>
            </w:r>
            <w:r>
              <w:rPr>
                <w:rFonts w:hint="eastAsia"/>
                <w:color w:val="auto"/>
                <w:lang w:val="en-US" w:eastAsia="zh-CN"/>
              </w:rPr>
              <w:t>服务</w:t>
            </w:r>
            <w:r>
              <w:rPr>
                <w:rFonts w:hint="eastAsia"/>
                <w:color w:val="auto"/>
              </w:rPr>
              <w:t>实力</w:t>
            </w:r>
          </w:p>
          <w:p w14:paraId="168D03AC">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p>
        </w:tc>
        <w:tc>
          <w:tcPr>
            <w:tcW w:w="328" w:type="pct"/>
            <w:vAlign w:val="center"/>
          </w:tcPr>
          <w:p w14:paraId="140C854E">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7</w:t>
            </w:r>
            <w:r>
              <w:rPr>
                <w:rFonts w:hint="eastAsia"/>
                <w:color w:val="auto"/>
              </w:rPr>
              <w:t>分</w:t>
            </w:r>
          </w:p>
        </w:tc>
        <w:tc>
          <w:tcPr>
            <w:tcW w:w="3358" w:type="pct"/>
            <w:vAlign w:val="center"/>
          </w:tcPr>
          <w:p w14:paraId="5EFC343D">
            <w:pPr>
              <w:pStyle w:val="4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color w:val="auto"/>
                <w:lang w:val="en-US" w:eastAsia="zh-CN"/>
              </w:rPr>
            </w:pPr>
            <w:r>
              <w:rPr>
                <w:rFonts w:hint="eastAsia"/>
                <w:color w:val="auto"/>
                <w:lang w:val="en-US" w:eastAsia="zh-CN"/>
              </w:rPr>
              <w:t>团队配置：</w:t>
            </w:r>
            <w:r>
              <w:rPr>
                <w:rFonts w:hint="eastAsia"/>
                <w:color w:val="auto"/>
              </w:rPr>
              <w:t>本项目的</w:t>
            </w:r>
            <w:r>
              <w:rPr>
                <w:rFonts w:hint="eastAsia"/>
                <w:color w:val="auto"/>
                <w:lang w:val="en-US" w:eastAsia="zh-CN"/>
              </w:rPr>
              <w:t>项目组成人员配备齐全（包括但不限于</w:t>
            </w:r>
            <w:r>
              <w:rPr>
                <w:rFonts w:hint="eastAsia"/>
                <w:color w:val="auto"/>
              </w:rPr>
              <w:t>P</w:t>
            </w:r>
            <w:r>
              <w:rPr>
                <w:rFonts w:hint="default"/>
                <w:color w:val="auto"/>
              </w:rPr>
              <w:t>MP</w:t>
            </w:r>
            <w:r>
              <w:rPr>
                <w:rFonts w:hint="eastAsia"/>
                <w:color w:val="auto"/>
              </w:rPr>
              <w:t>证书</w:t>
            </w:r>
            <w:r>
              <w:rPr>
                <w:rFonts w:hint="eastAsia"/>
                <w:color w:val="auto"/>
                <w:lang w:eastAsia="zh-CN"/>
              </w:rPr>
              <w:t>、</w:t>
            </w:r>
            <w:r>
              <w:rPr>
                <w:rFonts w:hint="eastAsia"/>
                <w:color w:val="auto"/>
              </w:rPr>
              <w:t>系统分析师</w:t>
            </w:r>
            <w:r>
              <w:rPr>
                <w:rFonts w:hint="eastAsia"/>
                <w:color w:val="auto"/>
                <w:lang w:eastAsia="zh-CN"/>
              </w:rPr>
              <w:t>、</w:t>
            </w:r>
            <w:r>
              <w:rPr>
                <w:rFonts w:hint="eastAsia"/>
                <w:color w:val="auto"/>
              </w:rPr>
              <w:t>高级信息安全管理工程师</w:t>
            </w:r>
            <w:r>
              <w:rPr>
                <w:rFonts w:hint="eastAsia"/>
                <w:color w:val="auto"/>
                <w:lang w:eastAsia="zh-CN"/>
              </w:rPr>
              <w:t>、</w:t>
            </w:r>
            <w:r>
              <w:rPr>
                <w:rFonts w:hint="eastAsia"/>
                <w:color w:val="auto"/>
              </w:rPr>
              <w:t>数据库管理</w:t>
            </w:r>
            <w:r>
              <w:rPr>
                <w:rFonts w:hint="eastAsia"/>
                <w:color w:val="auto"/>
                <w:lang w:val="en-US" w:eastAsia="zh-CN"/>
              </w:rPr>
              <w:t>师</w:t>
            </w:r>
            <w:r>
              <w:rPr>
                <w:rFonts w:hint="eastAsia"/>
                <w:color w:val="auto"/>
              </w:rPr>
              <w:t>、软件设计师、高级软件测试工程师、系统集成项目管理工程师</w:t>
            </w:r>
            <w:r>
              <w:rPr>
                <w:rFonts w:hint="eastAsia"/>
                <w:color w:val="auto"/>
                <w:lang w:val="en-US" w:eastAsia="zh-CN"/>
              </w:rPr>
              <w:t>等）每提供一个证书得1分，最高得7分，</w:t>
            </w:r>
            <w:r>
              <w:rPr>
                <w:rFonts w:hint="eastAsia"/>
                <w:color w:val="auto"/>
              </w:rPr>
              <w:t>未提供不得分</w:t>
            </w:r>
            <w:r>
              <w:rPr>
                <w:rFonts w:hint="eastAsia"/>
                <w:color w:val="auto"/>
                <w:lang w:val="en-US" w:eastAsia="zh-CN"/>
              </w:rPr>
              <w:t>。</w:t>
            </w:r>
          </w:p>
          <w:p w14:paraId="3415B762">
            <w:pPr>
              <w:pStyle w:val="4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eastAsiaTheme="minorEastAsia"/>
                <w:color w:val="auto"/>
                <w:lang w:eastAsia="zh-CN"/>
              </w:rPr>
            </w:pPr>
            <w:r>
              <w:rPr>
                <w:rFonts w:hint="eastAsia"/>
                <w:color w:val="auto"/>
                <w:lang w:val="en-US" w:eastAsia="zh-CN"/>
              </w:rPr>
              <w:t>须</w:t>
            </w:r>
            <w:r>
              <w:rPr>
                <w:rFonts w:hint="eastAsia"/>
                <w:color w:val="auto"/>
              </w:rPr>
              <w:t>提供</w:t>
            </w:r>
            <w:r>
              <w:rPr>
                <w:rFonts w:hint="eastAsia"/>
                <w:color w:val="auto"/>
                <w:lang w:val="en-US" w:eastAsia="zh-CN"/>
              </w:rPr>
              <w:t>证书扫描件并加</w:t>
            </w:r>
            <w:r>
              <w:rPr>
                <w:rFonts w:hint="eastAsia"/>
                <w:color w:val="auto"/>
              </w:rPr>
              <w:t>盖</w:t>
            </w:r>
            <w:r>
              <w:rPr>
                <w:rFonts w:hint="eastAsia"/>
                <w:color w:val="auto"/>
                <w:lang w:val="en-US" w:eastAsia="zh-CN"/>
              </w:rPr>
              <w:t>公</w:t>
            </w:r>
            <w:r>
              <w:rPr>
                <w:rFonts w:hint="eastAsia"/>
                <w:color w:val="auto"/>
              </w:rPr>
              <w:t>章</w:t>
            </w:r>
            <w:r>
              <w:rPr>
                <w:rFonts w:hint="eastAsia"/>
                <w:color w:val="auto"/>
                <w:lang w:eastAsia="zh-CN"/>
              </w:rPr>
              <w:t>。</w:t>
            </w:r>
          </w:p>
        </w:tc>
        <w:tc>
          <w:tcPr>
            <w:tcW w:w="475" w:type="pct"/>
            <w:vMerge w:val="restart"/>
            <w:vAlign w:val="center"/>
          </w:tcPr>
          <w:p w14:paraId="16225930">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共同评分因素</w:t>
            </w:r>
          </w:p>
        </w:tc>
      </w:tr>
      <w:tr w14:paraId="7C1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05" w:type="pct"/>
            <w:vMerge w:val="continue"/>
            <w:vAlign w:val="center"/>
          </w:tcPr>
          <w:p w14:paraId="6E2871A9">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p>
        </w:tc>
        <w:tc>
          <w:tcPr>
            <w:tcW w:w="532" w:type="pct"/>
            <w:vMerge w:val="continue"/>
            <w:vAlign w:val="center"/>
          </w:tcPr>
          <w:p w14:paraId="15D50930">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p>
        </w:tc>
        <w:tc>
          <w:tcPr>
            <w:tcW w:w="328" w:type="pct"/>
            <w:vAlign w:val="center"/>
          </w:tcPr>
          <w:p w14:paraId="6A64EBC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4</w:t>
            </w:r>
            <w:r>
              <w:rPr>
                <w:rFonts w:hint="eastAsia"/>
                <w:color w:val="auto"/>
              </w:rPr>
              <w:t>分</w:t>
            </w:r>
          </w:p>
        </w:tc>
        <w:tc>
          <w:tcPr>
            <w:tcW w:w="3358" w:type="pct"/>
            <w:vAlign w:val="center"/>
          </w:tcPr>
          <w:p w14:paraId="3BEA08CD">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企业实力：</w:t>
            </w:r>
            <w:r>
              <w:rPr>
                <w:rFonts w:hint="eastAsia"/>
                <w:color w:val="auto"/>
                <w:lang w:eastAsia="zh-CN"/>
              </w:rPr>
              <w:t>供应商</w:t>
            </w:r>
            <w:r>
              <w:rPr>
                <w:rFonts w:hint="eastAsia"/>
                <w:color w:val="auto"/>
              </w:rPr>
              <w:t>具有CMMI证书，五级得</w:t>
            </w:r>
            <w:r>
              <w:rPr>
                <w:rFonts w:hint="default"/>
                <w:color w:val="auto"/>
              </w:rPr>
              <w:t>4</w:t>
            </w:r>
            <w:r>
              <w:rPr>
                <w:rFonts w:hint="eastAsia"/>
                <w:color w:val="auto"/>
              </w:rPr>
              <w:t>分，四级得2分，三级及以下得1分，提供证书复印件，未提供不得分（不重复得分）。</w:t>
            </w:r>
          </w:p>
        </w:tc>
        <w:tc>
          <w:tcPr>
            <w:tcW w:w="475" w:type="pct"/>
            <w:vMerge w:val="continue"/>
            <w:vAlign w:val="center"/>
          </w:tcPr>
          <w:p w14:paraId="2772E9DB">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p>
        </w:tc>
      </w:tr>
      <w:tr w14:paraId="174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5" w:type="pct"/>
            <w:vAlign w:val="center"/>
          </w:tcPr>
          <w:p w14:paraId="75279E6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r>
              <w:rPr>
                <w:rFonts w:hint="eastAsia"/>
                <w:color w:val="auto"/>
                <w:lang w:val="en-US" w:eastAsia="zh-CN"/>
              </w:rPr>
              <w:t>5</w:t>
            </w:r>
          </w:p>
        </w:tc>
        <w:tc>
          <w:tcPr>
            <w:tcW w:w="532" w:type="pct"/>
            <w:vAlign w:val="center"/>
          </w:tcPr>
          <w:p w14:paraId="764F5E39">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业绩证明</w:t>
            </w:r>
          </w:p>
        </w:tc>
        <w:tc>
          <w:tcPr>
            <w:tcW w:w="328" w:type="pct"/>
            <w:vAlign w:val="center"/>
          </w:tcPr>
          <w:p w14:paraId="0241E9B1">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5</w:t>
            </w:r>
            <w:r>
              <w:rPr>
                <w:rFonts w:hint="eastAsia"/>
                <w:color w:val="auto"/>
              </w:rPr>
              <w:t>分</w:t>
            </w:r>
          </w:p>
        </w:tc>
        <w:tc>
          <w:tcPr>
            <w:tcW w:w="3358" w:type="pct"/>
            <w:vAlign w:val="center"/>
          </w:tcPr>
          <w:p w14:paraId="4D2310FB">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eastAsia="zh-CN"/>
              </w:rPr>
              <w:t>供应商</w:t>
            </w:r>
            <w:r>
              <w:rPr>
                <w:rFonts w:hint="eastAsia"/>
                <w:color w:val="auto"/>
              </w:rPr>
              <w:t>具有</w:t>
            </w:r>
            <w:r>
              <w:rPr>
                <w:rFonts w:hint="default"/>
                <w:color w:val="auto"/>
              </w:rPr>
              <w:t>20</w:t>
            </w:r>
            <w:r>
              <w:rPr>
                <w:rFonts w:hint="eastAsia"/>
                <w:color w:val="auto"/>
                <w:lang w:val="en-US" w:eastAsia="zh-CN"/>
              </w:rPr>
              <w:t>22</w:t>
            </w:r>
            <w:r>
              <w:rPr>
                <w:rFonts w:hint="default"/>
                <w:color w:val="auto"/>
              </w:rPr>
              <w:t>年</w:t>
            </w:r>
            <w:r>
              <w:rPr>
                <w:rFonts w:hint="eastAsia"/>
                <w:color w:val="auto"/>
                <w:lang w:val="en-US" w:eastAsia="zh-CN"/>
              </w:rPr>
              <w:t>1</w:t>
            </w:r>
            <w:r>
              <w:rPr>
                <w:rFonts w:hint="default"/>
                <w:color w:val="auto"/>
              </w:rPr>
              <w:t>月1日以来</w:t>
            </w:r>
            <w:r>
              <w:rPr>
                <w:rFonts w:hint="eastAsia"/>
                <w:color w:val="auto"/>
              </w:rPr>
              <w:t>类似软件项目</w:t>
            </w:r>
            <w:r>
              <w:rPr>
                <w:rFonts w:hint="default"/>
                <w:color w:val="auto"/>
              </w:rPr>
              <w:t>业绩</w:t>
            </w:r>
            <w:r>
              <w:rPr>
                <w:rFonts w:hint="eastAsia"/>
                <w:color w:val="auto"/>
              </w:rPr>
              <w:t>，每提供一个业绩案例合同得</w:t>
            </w:r>
            <w:r>
              <w:rPr>
                <w:rFonts w:hint="default"/>
                <w:color w:val="auto"/>
              </w:rPr>
              <w:t>1分最</w:t>
            </w:r>
            <w:r>
              <w:rPr>
                <w:rFonts w:hint="eastAsia"/>
                <w:color w:val="auto"/>
              </w:rPr>
              <w:t>高</w:t>
            </w:r>
            <w:r>
              <w:rPr>
                <w:rFonts w:hint="eastAsia"/>
                <w:color w:val="auto"/>
                <w:lang w:val="en-US" w:eastAsia="zh-CN"/>
              </w:rPr>
              <w:t>5</w:t>
            </w:r>
            <w:r>
              <w:rPr>
                <w:rFonts w:hint="default"/>
                <w:color w:val="auto"/>
              </w:rPr>
              <w:t>分</w:t>
            </w:r>
            <w:r>
              <w:rPr>
                <w:rFonts w:hint="eastAsia"/>
                <w:color w:val="auto"/>
              </w:rPr>
              <w:t>，未提供不得分。</w:t>
            </w:r>
          </w:p>
          <w:p w14:paraId="125AD5D6">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（注：业绩需提供合同复印件和用户盖章的验收报告复印件，合同复印件需体现合同的签订主体、签订时间、建设内容等内容。）</w:t>
            </w:r>
          </w:p>
        </w:tc>
        <w:tc>
          <w:tcPr>
            <w:tcW w:w="475" w:type="pct"/>
            <w:vAlign w:val="center"/>
          </w:tcPr>
          <w:p w14:paraId="645B1C6E">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共同评分因素</w:t>
            </w:r>
          </w:p>
        </w:tc>
      </w:tr>
      <w:tr w14:paraId="37C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05" w:type="pct"/>
            <w:vAlign w:val="center"/>
          </w:tcPr>
          <w:p w14:paraId="51E5F7C0">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r>
              <w:rPr>
                <w:rFonts w:hint="eastAsia"/>
                <w:color w:val="auto"/>
                <w:lang w:val="en-US" w:eastAsia="zh-CN"/>
              </w:rPr>
              <w:t>6</w:t>
            </w:r>
          </w:p>
        </w:tc>
        <w:tc>
          <w:tcPr>
            <w:tcW w:w="532" w:type="pct"/>
            <w:vAlign w:val="center"/>
          </w:tcPr>
          <w:p w14:paraId="3C91C3B4">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实施方案</w:t>
            </w:r>
          </w:p>
        </w:tc>
        <w:tc>
          <w:tcPr>
            <w:tcW w:w="328" w:type="pct"/>
            <w:vAlign w:val="center"/>
          </w:tcPr>
          <w:p w14:paraId="72B53635">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24</w:t>
            </w:r>
            <w:r>
              <w:rPr>
                <w:rFonts w:hint="eastAsia"/>
                <w:color w:val="auto"/>
              </w:rPr>
              <w:t>分</w:t>
            </w:r>
          </w:p>
        </w:tc>
        <w:tc>
          <w:tcPr>
            <w:tcW w:w="3358" w:type="pct"/>
            <w:vAlign w:val="center"/>
          </w:tcPr>
          <w:p w14:paraId="4E5CF112">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eastAsia="宋体"/>
                <w:color w:val="auto"/>
                <w:lang w:val="en-US" w:eastAsia="zh-CN"/>
              </w:rPr>
            </w:pPr>
            <w:r>
              <w:rPr>
                <w:rFonts w:hint="eastAsia"/>
                <w:color w:val="auto"/>
                <w:lang w:val="en-US" w:eastAsia="zh-CN"/>
              </w:rPr>
              <w:t>方案</w:t>
            </w:r>
            <w:r>
              <w:rPr>
                <w:rFonts w:hint="eastAsia"/>
                <w:color w:val="auto"/>
              </w:rPr>
              <w:t>内容包括但不限于①项目进度安排②组织保障措施③质量控制措施④风险控制措施⑤文档管理⑥培训方案⑦测试方案⑧验收方案等内容的详细描述。评审标准：方案各部分内容全面详细、阐述条例清晰详尽、对项目采购内容和具体情况理解充分，符合本项目整体要求得24分；评审内容每缺一项扣3分，扣完为止；每有一处有缺陷扣1分，扣完为止</w:t>
            </w:r>
            <w:r>
              <w:rPr>
                <w:rFonts w:hint="eastAsia"/>
                <w:color w:val="auto"/>
                <w:lang w:eastAsia="zh-CN"/>
              </w:rPr>
              <w:t>，</w:t>
            </w:r>
            <w:r>
              <w:rPr>
                <w:rFonts w:hint="eastAsia"/>
                <w:color w:val="auto"/>
              </w:rPr>
              <w:t>未提供不得分。（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475" w:type="pct"/>
            <w:vAlign w:val="center"/>
          </w:tcPr>
          <w:p w14:paraId="61EC96C5">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共同评分因素</w:t>
            </w:r>
          </w:p>
        </w:tc>
      </w:tr>
      <w:tr w14:paraId="7E64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05" w:type="pct"/>
            <w:vAlign w:val="center"/>
          </w:tcPr>
          <w:p w14:paraId="3FDE5DDF">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r>
              <w:rPr>
                <w:rFonts w:hint="eastAsia"/>
                <w:color w:val="auto"/>
                <w:lang w:val="en-US" w:eastAsia="zh-CN"/>
              </w:rPr>
              <w:t>7</w:t>
            </w:r>
          </w:p>
        </w:tc>
        <w:tc>
          <w:tcPr>
            <w:tcW w:w="532" w:type="pct"/>
            <w:vAlign w:val="center"/>
          </w:tcPr>
          <w:p w14:paraId="5C890D62">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售后方案</w:t>
            </w:r>
          </w:p>
        </w:tc>
        <w:tc>
          <w:tcPr>
            <w:tcW w:w="328" w:type="pct"/>
            <w:vAlign w:val="center"/>
          </w:tcPr>
          <w:p w14:paraId="65EBA3F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6</w:t>
            </w:r>
            <w:r>
              <w:rPr>
                <w:rFonts w:hint="eastAsia"/>
                <w:color w:val="auto"/>
              </w:rPr>
              <w:t>分</w:t>
            </w:r>
          </w:p>
        </w:tc>
        <w:tc>
          <w:tcPr>
            <w:tcW w:w="3358" w:type="pct"/>
            <w:vAlign w:val="center"/>
          </w:tcPr>
          <w:p w14:paraId="71795DF1">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方案</w:t>
            </w:r>
            <w:r>
              <w:rPr>
                <w:rFonts w:hint="eastAsia"/>
                <w:color w:val="auto"/>
              </w:rPr>
              <w:t>包括但不限于①售后服务体系②售后服务技术支持措施③售后服务响应时间等内容。</w:t>
            </w:r>
            <w:r>
              <w:rPr>
                <w:rFonts w:hint="default"/>
                <w:color w:val="auto"/>
              </w:rPr>
              <w:t>方案内容完整、具体、切实可行的得</w:t>
            </w:r>
            <w:r>
              <w:rPr>
                <w:rFonts w:hint="eastAsia"/>
                <w:color w:val="auto"/>
                <w:lang w:val="en-US" w:eastAsia="zh-CN"/>
              </w:rPr>
              <w:t>6</w:t>
            </w:r>
            <w:r>
              <w:rPr>
                <w:rFonts w:hint="default"/>
                <w:color w:val="auto"/>
              </w:rPr>
              <w:t>分，方案有缺项</w:t>
            </w:r>
            <w:r>
              <w:rPr>
                <w:rFonts w:hint="eastAsia"/>
                <w:color w:val="auto"/>
              </w:rPr>
              <w:t>或</w:t>
            </w:r>
            <w:r>
              <w:rPr>
                <w:rFonts w:hint="default"/>
                <w:color w:val="auto"/>
              </w:rPr>
              <w:t>表述不够详细或有其他缺陷不能完全满足项目需求的</w:t>
            </w:r>
            <w:r>
              <w:rPr>
                <w:rFonts w:hint="eastAsia"/>
                <w:color w:val="auto"/>
              </w:rPr>
              <w:t>每项</w:t>
            </w:r>
            <w:r>
              <w:rPr>
                <w:rFonts w:hint="default"/>
                <w:color w:val="auto"/>
              </w:rPr>
              <w:t>扣</w:t>
            </w:r>
            <w:r>
              <w:rPr>
                <w:rFonts w:hint="eastAsia"/>
                <w:color w:val="auto"/>
                <w:lang w:val="en-US" w:eastAsia="zh-CN"/>
              </w:rPr>
              <w:t>2</w:t>
            </w:r>
            <w:r>
              <w:rPr>
                <w:rFonts w:hint="default"/>
                <w:color w:val="auto"/>
              </w:rPr>
              <w:t>分，扣完为止</w:t>
            </w:r>
            <w:r>
              <w:rPr>
                <w:rFonts w:hint="eastAsia"/>
                <w:color w:val="auto"/>
              </w:rPr>
              <w:t>。最多得</w:t>
            </w:r>
            <w:r>
              <w:rPr>
                <w:rFonts w:hint="eastAsia"/>
                <w:color w:val="auto"/>
                <w:lang w:val="en-US" w:eastAsia="zh-CN"/>
              </w:rPr>
              <w:t>6</w:t>
            </w:r>
            <w:r>
              <w:rPr>
                <w:rFonts w:hint="default"/>
                <w:color w:val="auto"/>
              </w:rPr>
              <w:t>分</w:t>
            </w:r>
            <w:r>
              <w:rPr>
                <w:rFonts w:hint="eastAsia"/>
                <w:color w:val="auto"/>
                <w:lang w:eastAsia="zh-CN"/>
              </w:rPr>
              <w:t>，</w:t>
            </w:r>
            <w:r>
              <w:rPr>
                <w:rFonts w:hint="eastAsia"/>
                <w:color w:val="auto"/>
              </w:rPr>
              <w:t>未提供不得分。</w:t>
            </w:r>
          </w:p>
        </w:tc>
        <w:tc>
          <w:tcPr>
            <w:tcW w:w="475" w:type="pct"/>
            <w:vAlign w:val="center"/>
          </w:tcPr>
          <w:p w14:paraId="1335DB66">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共同评分因素</w:t>
            </w:r>
          </w:p>
        </w:tc>
      </w:tr>
      <w:tr w14:paraId="4471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05" w:type="pct"/>
            <w:vAlign w:val="center"/>
          </w:tcPr>
          <w:p w14:paraId="4FB06EB5">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Theme="minorEastAsia"/>
                <w:color w:val="auto"/>
                <w:lang w:val="en-US" w:eastAsia="zh-CN"/>
              </w:rPr>
            </w:pPr>
            <w:r>
              <w:rPr>
                <w:rFonts w:hint="eastAsia"/>
                <w:color w:val="auto"/>
                <w:lang w:val="en-US" w:eastAsia="zh-CN"/>
              </w:rPr>
              <w:t>8</w:t>
            </w:r>
          </w:p>
        </w:tc>
        <w:tc>
          <w:tcPr>
            <w:tcW w:w="532" w:type="pct"/>
            <w:vAlign w:val="center"/>
          </w:tcPr>
          <w:p w14:paraId="656F2249">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功能演示</w:t>
            </w:r>
          </w:p>
        </w:tc>
        <w:tc>
          <w:tcPr>
            <w:tcW w:w="328" w:type="pct"/>
            <w:vAlign w:val="center"/>
          </w:tcPr>
          <w:p w14:paraId="587495F5">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20</w:t>
            </w:r>
            <w:r>
              <w:rPr>
                <w:rFonts w:hint="eastAsia"/>
                <w:color w:val="auto"/>
              </w:rPr>
              <w:t>分</w:t>
            </w:r>
          </w:p>
        </w:tc>
        <w:tc>
          <w:tcPr>
            <w:tcW w:w="3358" w:type="pct"/>
            <w:vAlign w:val="center"/>
          </w:tcPr>
          <w:p w14:paraId="53FF444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lang w:val="en-US" w:eastAsia="zh-CN"/>
              </w:rPr>
            </w:pPr>
            <w:bookmarkStart w:id="290" w:name="_GoBack"/>
            <w:r>
              <w:rPr>
                <w:rFonts w:hint="eastAsia"/>
                <w:color w:val="auto"/>
                <w:lang w:val="en-US" w:eastAsia="zh-CN"/>
              </w:rPr>
              <w:t>1.教学管理系统功能演示</w:t>
            </w:r>
            <w:r>
              <w:rPr>
                <w:rFonts w:hint="eastAsia"/>
                <w:color w:val="auto"/>
                <w:lang w:val="en-US" w:eastAsia="zh-CN"/>
              </w:rPr>
              <w:br w:type="textWrapping"/>
            </w:r>
            <w:r>
              <w:rPr>
                <w:rFonts w:hint="eastAsia"/>
                <w:color w:val="auto"/>
                <w:lang w:val="en-US" w:eastAsia="zh-CN"/>
              </w:rPr>
              <w:t>①考勤管理支持考勤规则设置，支持多种考勤模式和考勤状态的设置，可设置学员打卡时间段，可通过模拟课程时间进行考勤测试</w:t>
            </w:r>
            <w:r>
              <w:rPr>
                <w:rFonts w:hint="eastAsia"/>
                <w:color w:val="auto"/>
                <w:lang w:val="en-US" w:eastAsia="zh-CN"/>
              </w:rPr>
              <w:br w:type="textWrapping"/>
            </w:r>
            <w:r>
              <w:rPr>
                <w:rFonts w:hint="eastAsia"/>
                <w:color w:val="auto"/>
                <w:lang w:val="en-US" w:eastAsia="zh-CN"/>
              </w:rPr>
              <w:t>②大教室排座支持移动区域功能，支持通过鼠标一键框选座位以及人员进行座位拖动</w:t>
            </w:r>
            <w:r>
              <w:rPr>
                <w:rFonts w:hint="eastAsia"/>
                <w:color w:val="auto"/>
                <w:lang w:val="en-US" w:eastAsia="zh-CN"/>
              </w:rPr>
              <w:br w:type="textWrapping"/>
            </w:r>
            <w:r>
              <w:rPr>
                <w:rFonts w:hint="eastAsia"/>
                <w:color w:val="auto"/>
                <w:lang w:val="en-US" w:eastAsia="zh-CN"/>
              </w:rPr>
              <w:t>③支持毕业证书可视化配置，可以上传证书底图，配置证书尺寸，是否要显示头像，配置印章，配置水印，证书文字动态配置，配置后实时查看配置效果</w:t>
            </w:r>
            <w:r>
              <w:rPr>
                <w:rFonts w:hint="eastAsia"/>
                <w:color w:val="auto"/>
                <w:lang w:val="en-US" w:eastAsia="zh-CN"/>
              </w:rPr>
              <w:br w:type="textWrapping"/>
            </w:r>
            <w:r>
              <w:rPr>
                <w:rFonts w:hint="eastAsia"/>
                <w:color w:val="auto"/>
                <w:lang w:val="en-US" w:eastAsia="zh-CN"/>
              </w:rPr>
              <w:t>④班级档案支持自动获取班级资料文件包括班级作业、教学资料、学员名单、学员照片、班级相册、教学计划，支持手动新增文件夹上传班级资料，可一键打包下载</w:t>
            </w:r>
            <w:r>
              <w:rPr>
                <w:rFonts w:hint="eastAsia"/>
                <w:color w:val="auto"/>
                <w:lang w:val="en-US" w:eastAsia="zh-CN"/>
              </w:rPr>
              <w:br w:type="textWrapping"/>
            </w:r>
            <w:r>
              <w:rPr>
                <w:rFonts w:hint="eastAsia"/>
                <w:color w:val="auto"/>
                <w:lang w:val="en-US" w:eastAsia="zh-CN"/>
              </w:rPr>
              <w:t>⑤教学场地占用支持多种展现方式，支持按时间段，按周期批量设置占用，冲突的教室能够显示占用情况，可以显示场地多媒体资源情况，支持导出多种模式的资源占用表</w:t>
            </w:r>
            <w:r>
              <w:rPr>
                <w:rFonts w:hint="eastAsia"/>
                <w:color w:val="auto"/>
                <w:lang w:val="en-US" w:eastAsia="zh-CN"/>
              </w:rPr>
              <w:br w:type="textWrapping"/>
            </w:r>
            <w:r>
              <w:rPr>
                <w:rFonts w:hint="eastAsia"/>
                <w:color w:val="auto"/>
                <w:lang w:val="en-US" w:eastAsia="zh-CN"/>
              </w:rPr>
              <w:t>2.学员管理系统功能演示</w:t>
            </w:r>
            <w:r>
              <w:rPr>
                <w:rFonts w:hint="eastAsia"/>
                <w:color w:val="auto"/>
                <w:lang w:val="en-US" w:eastAsia="zh-CN"/>
              </w:rPr>
              <w:br w:type="textWrapping"/>
            </w:r>
            <w:r>
              <w:rPr>
                <w:rFonts w:hint="eastAsia"/>
                <w:color w:val="auto"/>
                <w:lang w:val="en-US" w:eastAsia="zh-CN"/>
              </w:rPr>
              <w:t>①学员进入首页可查看教学资料，可切换查看全部资料和本班资料</w:t>
            </w:r>
            <w:r>
              <w:rPr>
                <w:rFonts w:hint="eastAsia"/>
                <w:color w:val="auto"/>
                <w:lang w:val="en-US" w:eastAsia="zh-CN"/>
              </w:rPr>
              <w:br w:type="textWrapping"/>
            </w:r>
            <w:r>
              <w:rPr>
                <w:rFonts w:hint="eastAsia"/>
                <w:color w:val="auto"/>
                <w:lang w:val="en-US" w:eastAsia="zh-CN"/>
              </w:rPr>
              <w:t>②支持在学员论坛模块进行发帖，点赞，评论操作</w:t>
            </w:r>
            <w:r>
              <w:rPr>
                <w:rFonts w:hint="eastAsia"/>
                <w:color w:val="auto"/>
                <w:lang w:val="en-US" w:eastAsia="zh-CN"/>
              </w:rPr>
              <w:br w:type="textWrapping"/>
            </w:r>
            <w:r>
              <w:rPr>
                <w:rFonts w:hint="eastAsia"/>
                <w:color w:val="auto"/>
                <w:lang w:val="en-US" w:eastAsia="zh-CN"/>
              </w:rPr>
              <w:t>③支持按日历模式和列表模式查看课表，可在课表上直接查看课程备注和下载课件</w:t>
            </w:r>
            <w:r>
              <w:rPr>
                <w:rFonts w:hint="eastAsia"/>
                <w:color w:val="auto"/>
                <w:lang w:val="en-US" w:eastAsia="zh-CN"/>
              </w:rPr>
              <w:br w:type="textWrapping"/>
            </w:r>
            <w:r>
              <w:rPr>
                <w:rFonts w:hint="eastAsia"/>
                <w:color w:val="auto"/>
                <w:lang w:val="en-US" w:eastAsia="zh-CN"/>
              </w:rPr>
              <w:t>④支持查看座位表信息，可查看学员所在班次的座位区域，学员本人座位突出显示</w:t>
            </w:r>
            <w:r>
              <w:rPr>
                <w:rFonts w:hint="eastAsia"/>
                <w:color w:val="auto"/>
                <w:lang w:val="en-US" w:eastAsia="zh-CN"/>
              </w:rPr>
              <w:br w:type="textWrapping"/>
            </w:r>
            <w:r>
              <w:rPr>
                <w:rFonts w:hint="eastAsia"/>
                <w:color w:val="auto"/>
                <w:lang w:val="en-US" w:eastAsia="zh-CN"/>
              </w:rPr>
              <w:t>⑤学员可查看历史培训记录，可下载查看班级教学计划和学员手册，可切换班次</w:t>
            </w:r>
            <w:r>
              <w:rPr>
                <w:rFonts w:hint="eastAsia"/>
                <w:color w:val="auto"/>
                <w:lang w:val="en-US" w:eastAsia="zh-CN"/>
              </w:rPr>
              <w:br w:type="textWrapping"/>
            </w:r>
            <w:r>
              <w:rPr>
                <w:rFonts w:hint="eastAsia"/>
                <w:color w:val="auto"/>
                <w:lang w:val="en-US" w:eastAsia="zh-CN"/>
              </w:rPr>
              <w:t>3.班主任管理系统功能演示</w:t>
            </w:r>
            <w:r>
              <w:rPr>
                <w:rFonts w:hint="eastAsia"/>
                <w:color w:val="auto"/>
                <w:lang w:val="en-US" w:eastAsia="zh-CN"/>
              </w:rPr>
              <w:br w:type="textWrapping"/>
            </w:r>
            <w:r>
              <w:rPr>
                <w:rFonts w:hint="eastAsia"/>
                <w:color w:val="auto"/>
                <w:lang w:val="en-US" w:eastAsia="zh-CN"/>
              </w:rPr>
              <w:t>①支持学员信息批量导入功能和手动新增学员，若为历史参训学员，填写手机号和身份证后，其他信息自动关联带出</w:t>
            </w:r>
            <w:r>
              <w:rPr>
                <w:rFonts w:hint="eastAsia"/>
                <w:color w:val="auto"/>
                <w:lang w:val="en-US" w:eastAsia="zh-CN"/>
              </w:rPr>
              <w:br w:type="textWrapping"/>
            </w:r>
            <w:r>
              <w:rPr>
                <w:rFonts w:hint="eastAsia"/>
                <w:color w:val="auto"/>
                <w:lang w:val="en-US" w:eastAsia="zh-CN"/>
              </w:rPr>
              <w:t>②支持学员自动分组，可按学号或自定义条件自动分组，分组完成后支持手动拖拽学员进行人员排序</w:t>
            </w:r>
            <w:r>
              <w:rPr>
                <w:rFonts w:hint="eastAsia"/>
                <w:color w:val="auto"/>
                <w:lang w:val="en-US" w:eastAsia="zh-CN"/>
              </w:rPr>
              <w:br w:type="textWrapping"/>
            </w:r>
            <w:r>
              <w:rPr>
                <w:rFonts w:hint="eastAsia"/>
                <w:color w:val="auto"/>
                <w:lang w:val="en-US" w:eastAsia="zh-CN"/>
              </w:rPr>
              <w:t>③支持批量导入学员照片，生成学员头像，同时支持批量导出学员头像</w:t>
            </w:r>
            <w:r>
              <w:rPr>
                <w:rFonts w:hint="eastAsia"/>
                <w:color w:val="auto"/>
                <w:lang w:val="en-US" w:eastAsia="zh-CN"/>
              </w:rPr>
              <w:br w:type="textWrapping"/>
            </w:r>
            <w:r>
              <w:rPr>
                <w:rFonts w:hint="eastAsia"/>
                <w:color w:val="auto"/>
                <w:lang w:val="en-US" w:eastAsia="zh-CN"/>
              </w:rPr>
              <w:t>④支持班主任在作业管理下代学员上传作业，修改作业成绩，发布作业成绩</w:t>
            </w:r>
            <w:r>
              <w:rPr>
                <w:rFonts w:hint="eastAsia"/>
                <w:color w:val="auto"/>
                <w:lang w:val="en-US" w:eastAsia="zh-CN"/>
              </w:rPr>
              <w:br w:type="textWrapping"/>
            </w:r>
            <w:r>
              <w:rPr>
                <w:rFonts w:hint="eastAsia"/>
                <w:color w:val="auto"/>
                <w:lang w:val="en-US" w:eastAsia="zh-CN"/>
              </w:rPr>
              <w:t>⑤班主任首页支持班级事务查看，包括班级作业进度、评估进度、考勤进度，可点击直接提醒学员</w:t>
            </w:r>
            <w:r>
              <w:rPr>
                <w:rFonts w:hint="eastAsia"/>
                <w:color w:val="auto"/>
                <w:lang w:val="en-US" w:eastAsia="zh-CN"/>
              </w:rPr>
              <w:br w:type="textWrapping"/>
            </w:r>
            <w:r>
              <w:rPr>
                <w:rFonts w:hint="eastAsia"/>
                <w:color w:val="auto"/>
                <w:lang w:val="en-US" w:eastAsia="zh-CN"/>
              </w:rPr>
              <w:t>4.教学测评系统功能演示</w:t>
            </w:r>
            <w:r>
              <w:rPr>
                <w:rFonts w:hint="eastAsia"/>
                <w:color w:val="auto"/>
                <w:lang w:val="en-US" w:eastAsia="zh-CN"/>
              </w:rPr>
              <w:br w:type="textWrapping"/>
            </w:r>
            <w:r>
              <w:rPr>
                <w:rFonts w:hint="eastAsia"/>
                <w:color w:val="auto"/>
                <w:lang w:val="en-US" w:eastAsia="zh-CN"/>
              </w:rPr>
              <w:t>①支持评估模板自定义功能，实现多种评估题型直接拖拽进行评估模板制定，包括一票否决、组合题、填空题、打分题、评价题、分数下拉、多项下拉、数值填空</w:t>
            </w:r>
            <w:r>
              <w:rPr>
                <w:rFonts w:hint="eastAsia"/>
                <w:color w:val="auto"/>
                <w:lang w:val="en-US" w:eastAsia="zh-CN"/>
              </w:rPr>
              <w:br w:type="textWrapping"/>
            </w:r>
            <w:r>
              <w:rPr>
                <w:rFonts w:hint="eastAsia"/>
                <w:color w:val="auto"/>
                <w:lang w:val="en-US" w:eastAsia="zh-CN"/>
              </w:rPr>
              <w:t>②支持设置评估题目的分值和权重，评估模板自动实时计算显示总权重和总分</w:t>
            </w:r>
            <w:r>
              <w:rPr>
                <w:rFonts w:hint="eastAsia"/>
                <w:color w:val="auto"/>
                <w:lang w:val="en-US" w:eastAsia="zh-CN"/>
              </w:rPr>
              <w:br w:type="textWrapping"/>
            </w:r>
            <w:r>
              <w:rPr>
                <w:rFonts w:hint="eastAsia"/>
                <w:color w:val="auto"/>
                <w:lang w:val="en-US" w:eastAsia="zh-CN"/>
              </w:rPr>
              <w:t>③支持将评估题目加入题库，也可以从题库中直接选取题目进行评估模板制定</w:t>
            </w:r>
            <w:r>
              <w:rPr>
                <w:rFonts w:hint="eastAsia"/>
                <w:color w:val="auto"/>
                <w:lang w:val="en-US" w:eastAsia="zh-CN"/>
              </w:rPr>
              <w:br w:type="textWrapping"/>
            </w:r>
            <w:r>
              <w:rPr>
                <w:rFonts w:hint="eastAsia"/>
                <w:color w:val="auto"/>
                <w:lang w:val="en-US" w:eastAsia="zh-CN"/>
              </w:rPr>
              <w:t>④支持预览评估模板，可切换查看手机端和电脑端评估样式，可对制定好的评估模板进行模拟填写</w:t>
            </w:r>
            <w:r>
              <w:rPr>
                <w:rFonts w:hint="eastAsia"/>
                <w:color w:val="auto"/>
                <w:lang w:val="en-US" w:eastAsia="zh-CN"/>
              </w:rPr>
              <w:br w:type="textWrapping"/>
            </w:r>
            <w:r>
              <w:rPr>
                <w:rFonts w:hint="eastAsia"/>
                <w:color w:val="auto"/>
                <w:lang w:val="en-US" w:eastAsia="zh-CN"/>
              </w:rPr>
              <w:t>⑤可查看课程评估统计，针对每个评估题目进行汇总统计，点击人数查看具体学员评估详情</w:t>
            </w:r>
          </w:p>
          <w:p w14:paraId="03A7C29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lang w:val="en-US" w:eastAsia="zh-CN"/>
              </w:rPr>
            </w:pPr>
            <w:r>
              <w:rPr>
                <w:rFonts w:hint="eastAsia"/>
                <w:color w:val="auto"/>
                <w:lang w:val="en-US" w:eastAsia="zh-CN"/>
              </w:rPr>
              <w:t xml:space="preserve">三、赋分标准（满分20分） 上述四点共20项，提供真实系统演示每演示成功一项得1分，提供demo演示每演示成功一项得0.5分，提供PPT演示每演示成功一项得0.2分，未提供演示不计分。 </w:t>
            </w:r>
          </w:p>
          <w:p w14:paraId="5E8817CB">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lang w:val="en-US" w:eastAsia="zh-CN"/>
              </w:rPr>
              <w:t>注：评标现场代理机构将通过不见面系统私聊，分别通知各投标单位，依次进入指定的腾讯会议室（具体会议室链接开标现场通知）进行演示，请各供应商事先下载注册腾讯会议，并调试好演示内容，确保评审小组可清晰流畅的浏览演示。</w:t>
            </w:r>
            <w:bookmarkEnd w:id="290"/>
          </w:p>
        </w:tc>
        <w:tc>
          <w:tcPr>
            <w:tcW w:w="475" w:type="pct"/>
            <w:vAlign w:val="center"/>
          </w:tcPr>
          <w:p w14:paraId="72710248">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rPr>
            </w:pPr>
            <w:r>
              <w:rPr>
                <w:rFonts w:hint="eastAsia"/>
                <w:color w:val="auto"/>
              </w:rPr>
              <w:t>共同评分因素</w:t>
            </w:r>
          </w:p>
        </w:tc>
      </w:tr>
    </w:tbl>
    <w:p w14:paraId="03A5526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、其他事项说明</w:t>
      </w:r>
    </w:p>
    <w:p w14:paraId="25D0503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（1）因落实政府采购政策进行价格调整的，以调整后的价格计算评审基准价和磋商报价。</w:t>
      </w:r>
    </w:p>
    <w:p w14:paraId="2A1B035E">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（2）评审时，磋商小组根据以上内容进行综合比较，自主打分，分数四舍五入保留两位小数，独立对每个供应商的响应文件进行评价，并汇总每个供应商的得分。</w:t>
      </w:r>
    </w:p>
    <w:p w14:paraId="71C177A0">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推荐成交候选供应商名单</w:t>
      </w:r>
    </w:p>
    <w:p w14:paraId="06A3177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color w:val="auto"/>
          <w:sz w:val="24"/>
          <w:szCs w:val="24"/>
        </w:rPr>
        <w:t>磋商小组应当根据综合评分情况，按照评审得分由高到低顺序推荐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名以上成交候选供应商，并编写评审报告。符合《政府采购竞争性磋商采购方式管理暂行办法》第二十一条第三款情形的，可以推荐2家成交候选供应商。评审得分相同的，按照</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由低到高的顺序推荐。评审得分且</w:t>
      </w:r>
      <w:r>
        <w:rPr>
          <w:rFonts w:hint="eastAsia" w:ascii="宋体" w:hAnsi="宋体" w:eastAsia="宋体" w:cs="宋体"/>
          <w:color w:val="auto"/>
          <w:sz w:val="24"/>
          <w:szCs w:val="24"/>
          <w:lang w:eastAsia="zh-CN"/>
        </w:rPr>
        <w:t>最终报价</w:t>
      </w:r>
      <w:r>
        <w:rPr>
          <w:rFonts w:hint="eastAsia" w:ascii="宋体" w:hAnsi="宋体" w:eastAsia="宋体" w:cs="宋体"/>
          <w:color w:val="auto"/>
          <w:sz w:val="24"/>
          <w:szCs w:val="24"/>
        </w:rPr>
        <w:t>相同的，按照技术指标优劣顺序推荐</w:t>
      </w:r>
      <w:r>
        <w:rPr>
          <w:rFonts w:hint="eastAsia" w:ascii="宋体" w:hAnsi="宋体" w:eastAsia="宋体" w:cs="宋体"/>
          <w:color w:val="auto"/>
          <w:sz w:val="24"/>
          <w:szCs w:val="24"/>
          <w:lang w:val="zh-CN"/>
        </w:rPr>
        <w:t xml:space="preserve">，磋商小组依据评审结果写出评审报告。 </w:t>
      </w:r>
      <w:bookmarkStart w:id="163" w:name="_Toc495681233"/>
      <w:bookmarkStart w:id="164" w:name="_Toc14274"/>
      <w:bookmarkStart w:id="165" w:name="_Toc495909078"/>
      <w:bookmarkStart w:id="166" w:name="_Toc24137"/>
      <w:bookmarkStart w:id="167" w:name="_Toc3862"/>
      <w:bookmarkStart w:id="168" w:name="_Toc1760"/>
      <w:bookmarkStart w:id="169" w:name="_Toc495681387"/>
      <w:bookmarkStart w:id="170" w:name="_Toc5827"/>
      <w:bookmarkStart w:id="171" w:name="_Toc20731"/>
      <w:bookmarkStart w:id="172" w:name="_Toc23379"/>
      <w:bookmarkStart w:id="173" w:name="_Toc24034"/>
      <w:bookmarkStart w:id="174" w:name="_Toc2288"/>
      <w:bookmarkStart w:id="175" w:name="_Toc7148"/>
      <w:bookmarkStart w:id="176" w:name="_Toc7764"/>
      <w:bookmarkStart w:id="177" w:name="_Toc29740"/>
      <w:bookmarkStart w:id="178" w:name="_Toc23448"/>
      <w:bookmarkStart w:id="179" w:name="_Toc17215"/>
      <w:bookmarkStart w:id="180" w:name="_Toc5898"/>
      <w:bookmarkStart w:id="181" w:name="_Toc29653"/>
      <w:bookmarkStart w:id="182" w:name="_Toc28733"/>
      <w:bookmarkStart w:id="183" w:name="_Toc1682"/>
      <w:bookmarkStart w:id="184" w:name="_Toc27934"/>
      <w:bookmarkStart w:id="185" w:name="_Toc495908032"/>
      <w:bookmarkStart w:id="186" w:name="_Toc17157"/>
      <w:bookmarkStart w:id="187" w:name="_Toc31793"/>
      <w:bookmarkStart w:id="188" w:name="_Toc495681514"/>
    </w:p>
    <w:p w14:paraId="35094298">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textAlignment w:val="auto"/>
        <w:outlineLvl w:val="1"/>
        <w:rPr>
          <w:rFonts w:hint="eastAsia" w:ascii="宋体" w:hAnsi="宋体" w:eastAsia="宋体" w:cs="宋体"/>
          <w:b/>
          <w:color w:val="auto"/>
          <w:sz w:val="24"/>
          <w:szCs w:val="24"/>
        </w:rPr>
      </w:pPr>
      <w:bookmarkStart w:id="189" w:name="_Toc18236"/>
      <w:bookmarkStart w:id="190" w:name="_Toc655"/>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、确定成交供应商</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38920C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（一）采购代理机构应在评审结束后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个工作日内将评审报告送采购人。</w:t>
      </w:r>
    </w:p>
    <w:p w14:paraId="1324773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（二）采购人在收到评审报告后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个工作日内，</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val="zh-CN"/>
        </w:rPr>
        <w:t>评审报告</w:t>
      </w:r>
      <w:r>
        <w:rPr>
          <w:rFonts w:hint="eastAsia" w:ascii="宋体" w:hAnsi="宋体" w:eastAsia="宋体" w:cs="宋体"/>
          <w:color w:val="auto"/>
          <w:sz w:val="24"/>
          <w:szCs w:val="24"/>
          <w:lang w:val="en-US" w:eastAsia="zh-CN"/>
        </w:rPr>
        <w:t>确定</w:t>
      </w:r>
      <w:r>
        <w:rPr>
          <w:rFonts w:hint="eastAsia" w:ascii="宋体" w:hAnsi="宋体" w:eastAsia="宋体" w:cs="宋体"/>
          <w:color w:val="auto"/>
          <w:sz w:val="24"/>
          <w:szCs w:val="24"/>
          <w:lang w:val="zh-CN"/>
        </w:rPr>
        <w:t>的成交候选人</w:t>
      </w:r>
      <w:r>
        <w:rPr>
          <w:rFonts w:hint="eastAsia" w:ascii="宋体" w:hAnsi="宋体" w:eastAsia="宋体" w:cs="宋体"/>
          <w:color w:val="auto"/>
          <w:sz w:val="24"/>
          <w:szCs w:val="24"/>
          <w:lang w:val="en-US" w:eastAsia="zh-CN"/>
        </w:rPr>
        <w:t>名单</w:t>
      </w:r>
      <w:r>
        <w:rPr>
          <w:rFonts w:hint="eastAsia" w:ascii="宋体" w:hAnsi="宋体" w:eastAsia="宋体" w:cs="宋体"/>
          <w:color w:val="auto"/>
          <w:sz w:val="24"/>
          <w:szCs w:val="24"/>
          <w:lang w:val="zh-CN"/>
        </w:rPr>
        <w:t>中</w:t>
      </w:r>
      <w:r>
        <w:rPr>
          <w:rFonts w:hint="eastAsia" w:ascii="宋体" w:hAnsi="宋体" w:eastAsia="宋体" w:cs="宋体"/>
          <w:color w:val="auto"/>
          <w:sz w:val="24"/>
          <w:szCs w:val="24"/>
          <w:lang w:val="en-US" w:eastAsia="zh-CN"/>
        </w:rPr>
        <w:t>按顺序</w:t>
      </w:r>
      <w:r>
        <w:rPr>
          <w:rFonts w:hint="eastAsia" w:ascii="宋体" w:hAnsi="宋体" w:eastAsia="宋体" w:cs="宋体"/>
          <w:color w:val="auto"/>
          <w:sz w:val="24"/>
          <w:szCs w:val="24"/>
          <w:lang w:val="zh-CN"/>
        </w:rPr>
        <w:t>确定成交供应商，复函采购代理机构。采购人在收到评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val="zh-CN"/>
        </w:rPr>
        <w:t>报告5个工作日内未按评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val="zh-CN"/>
        </w:rPr>
        <w:t>报告推荐的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候选人顺序确定</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，又不能说明合法理由的，视同按评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val="zh-CN"/>
        </w:rPr>
        <w:t>报告推荐的顺序确定排名第一的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候选人为</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w:t>
      </w:r>
    </w:p>
    <w:p w14:paraId="4A1EC2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
          <w:color w:val="auto"/>
          <w:sz w:val="24"/>
          <w:szCs w:val="24"/>
          <w:lang w:val="en-US" w:eastAsia="zh-CN"/>
        </w:rPr>
      </w:pPr>
      <w:bookmarkStart w:id="191" w:name="_Toc4865"/>
      <w:bookmarkStart w:id="192" w:name="_Toc31980"/>
      <w:r>
        <w:rPr>
          <w:rFonts w:hint="eastAsia" w:ascii="宋体" w:hAnsi="宋体" w:eastAsia="宋体" w:cs="宋体"/>
          <w:color w:val="auto"/>
          <w:sz w:val="24"/>
          <w:szCs w:val="24"/>
          <w:lang w:val="zh-CN"/>
        </w:rPr>
        <w:t>（三）采购代理机构当自</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确定之日起2个工作日内，在省级以上财政部门指定的媒体上公告成交结果，公告期限为1个工作日，并向成交供应商发“成交通知书”。</w:t>
      </w:r>
      <w:bookmarkEnd w:id="191"/>
      <w:bookmarkEnd w:id="192"/>
    </w:p>
    <w:p w14:paraId="47D0815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lang w:val="zh-CN"/>
        </w:rPr>
      </w:pPr>
      <w:bookmarkStart w:id="193" w:name="_Toc10245"/>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lang w:val="zh-CN"/>
        </w:rPr>
        <w:t>质疑与投诉</w:t>
      </w:r>
      <w:bookmarkEnd w:id="193"/>
    </w:p>
    <w:p w14:paraId="58BFB0C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（一）质疑</w:t>
      </w:r>
    </w:p>
    <w:p w14:paraId="13C4C8B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供应商认为磋商文件、磋商过程或成交结果使自身的合法权益受到损害，可以在法定期限内</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以书面形式向采购代理机构或采购人当面递交质疑</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针对同一采购程序环节的质疑应一次性提出。</w:t>
      </w:r>
    </w:p>
    <w:p w14:paraId="1EF7D76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（1）提出质疑应当递交质疑函和必要的证明材料，质疑函应当包括以下主要内容：</w:t>
      </w:r>
    </w:p>
    <w:p w14:paraId="4C62A6E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①供应商的姓名或者名称</w:t>
      </w:r>
      <w:r>
        <w:rPr>
          <w:rFonts w:hint="eastAsia" w:ascii="宋体" w:hAnsi="宋体" w:eastAsia="宋体" w:cs="宋体"/>
          <w:color w:val="auto"/>
          <w:sz w:val="24"/>
          <w:szCs w:val="24"/>
        </w:rPr>
        <w:t xml:space="preserve">、地址、邮编、联系人及联系电话；②质疑项目的名称、编号；③具体、明确的质疑事项和与质疑事项相关的请求；④事实依据；⑤必要的法律依据；⑥提出质疑的日期。 </w:t>
      </w:r>
    </w:p>
    <w:p w14:paraId="159CFA9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（2）质疑函应当由法定代表人签字并加盖公章，公章不得以合同章或其他印章代替。</w:t>
      </w:r>
    </w:p>
    <w:p w14:paraId="224F71B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（3）质疑人可以授权代表办理质疑事项，授权代表办理质疑事项时，除递交质疑函外，还应当递交法人授权委托书及授权代表的有效身份证明，授权委托书应当载明委托代理的具体权限和事项。</w:t>
      </w:r>
    </w:p>
    <w:p w14:paraId="1E5E74B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符合要求的质疑，采购代理机构将予以受理并答复</w:t>
      </w:r>
      <w:r>
        <w:rPr>
          <w:rFonts w:hint="eastAsia" w:ascii="宋体" w:hAnsi="宋体" w:eastAsia="宋体" w:cs="宋体"/>
          <w:color w:val="auto"/>
          <w:sz w:val="24"/>
          <w:szCs w:val="24"/>
          <w:lang w:eastAsia="zh-CN"/>
        </w:rPr>
        <w:t>。</w:t>
      </w:r>
    </w:p>
    <w:p w14:paraId="3EB7F5C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采购代理机构或采购人将在收到书面质疑后7个工作日内做出答复，并以书面形式通知质疑人和其他有关供应商。</w:t>
      </w:r>
    </w:p>
    <w:p w14:paraId="4667B9D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（二）投诉</w:t>
      </w:r>
    </w:p>
    <w:p w14:paraId="4658EAF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质疑人对采购代理机构或采购人的答复不满意，以及采购代理机构或采购人未在规定时间内做出答复的，可以在答复期满后15个工作日内向政府采购监管机构提出投诉。</w:t>
      </w:r>
    </w:p>
    <w:p w14:paraId="043EFA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投诉的事项不得超出已质疑事项的范围。</w:t>
      </w:r>
    </w:p>
    <w:p w14:paraId="4D93C485">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94" w:name="_Toc31152"/>
      <w:bookmarkStart w:id="195" w:name="_Toc251"/>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履约保证金</w:t>
      </w:r>
      <w:bookmarkEnd w:id="194"/>
    </w:p>
    <w:p w14:paraId="7DD274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yellow"/>
        </w:rPr>
      </w:pPr>
      <w:r>
        <w:rPr>
          <w:rFonts w:hint="eastAsia" w:ascii="宋体" w:hAnsi="宋体" w:eastAsia="宋体" w:cs="宋体"/>
          <w:color w:val="auto"/>
          <w:sz w:val="24"/>
          <w:szCs w:val="24"/>
          <w:highlight w:val="none"/>
          <w:lang w:val="zh-CN"/>
        </w:rPr>
        <w:t>本项目成交供应商是否需要向采购人缴纳履行保证金：</w:t>
      </w:r>
      <w:r>
        <w:rPr>
          <w:rFonts w:hint="eastAsia" w:ascii="宋体" w:hAnsi="宋体" w:eastAsia="宋体" w:cs="宋体"/>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lang w:val="zh-CN"/>
        </w:rPr>
        <w:t>。</w:t>
      </w:r>
    </w:p>
    <w:p w14:paraId="7342E19C">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color w:val="auto"/>
          <w:sz w:val="24"/>
          <w:szCs w:val="24"/>
        </w:rPr>
      </w:pPr>
      <w:bookmarkStart w:id="196" w:name="_Toc9592"/>
      <w:r>
        <w:rPr>
          <w:rFonts w:hint="eastAsia" w:ascii="宋体" w:hAnsi="宋体" w:eastAsia="宋体" w:cs="宋体"/>
          <w:b/>
          <w:color w:val="auto"/>
          <w:sz w:val="24"/>
          <w:szCs w:val="24"/>
          <w:lang w:val="en-US" w:eastAsia="zh-CN"/>
        </w:rPr>
        <w:t>十一</w:t>
      </w:r>
      <w:r>
        <w:rPr>
          <w:rFonts w:hint="eastAsia" w:ascii="宋体" w:hAnsi="宋体" w:eastAsia="宋体" w:cs="宋体"/>
          <w:b/>
          <w:color w:val="auto"/>
          <w:sz w:val="24"/>
          <w:szCs w:val="24"/>
        </w:rPr>
        <w:t>、合同</w:t>
      </w:r>
      <w:bookmarkEnd w:id="195"/>
      <w:bookmarkEnd w:id="196"/>
    </w:p>
    <w:p w14:paraId="46C9E91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rPr>
        <w:t>（一）采购人应当</w:t>
      </w:r>
      <w:r>
        <w:rPr>
          <w:rFonts w:hint="eastAsia" w:ascii="宋体" w:hAnsi="宋体" w:eastAsia="宋体" w:cs="宋体"/>
          <w:color w:val="auto"/>
          <w:sz w:val="24"/>
          <w:szCs w:val="24"/>
          <w:lang w:val="en-US" w:eastAsia="zh-CN"/>
        </w:rPr>
        <w:t>自</w:t>
      </w:r>
      <w:r>
        <w:rPr>
          <w:rFonts w:hint="eastAsia" w:ascii="宋体" w:hAnsi="宋体" w:eastAsia="宋体" w:cs="宋体"/>
          <w:color w:val="auto"/>
          <w:sz w:val="24"/>
          <w:szCs w:val="24"/>
        </w:rPr>
        <w:t>成交通知书发出之日起30日内，</w:t>
      </w:r>
      <w:r>
        <w:rPr>
          <w:rFonts w:hint="eastAsia" w:ascii="宋体" w:hAnsi="宋体" w:eastAsia="宋体" w:cs="宋体"/>
          <w:color w:val="auto"/>
          <w:sz w:val="24"/>
          <w:szCs w:val="24"/>
          <w:lang w:val="zh-CN"/>
        </w:rPr>
        <w:t>按照磋商文件和成交供应商响应文件（包括评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val="zh-CN"/>
        </w:rPr>
        <w:t>中形成的澄清文件）的</w:t>
      </w:r>
      <w:r>
        <w:rPr>
          <w:rFonts w:hint="eastAsia" w:ascii="宋体" w:hAnsi="宋体" w:eastAsia="宋体" w:cs="宋体"/>
          <w:color w:val="auto"/>
          <w:sz w:val="24"/>
          <w:szCs w:val="24"/>
          <w:lang w:val="en-US" w:eastAsia="zh-CN"/>
        </w:rPr>
        <w:t>规</w:t>
      </w:r>
      <w:r>
        <w:rPr>
          <w:rFonts w:hint="eastAsia" w:ascii="宋体" w:hAnsi="宋体" w:eastAsia="宋体" w:cs="宋体"/>
          <w:color w:val="auto"/>
          <w:sz w:val="24"/>
          <w:szCs w:val="24"/>
          <w:lang w:val="zh-CN"/>
        </w:rPr>
        <w:t>定，与成交供应商</w:t>
      </w:r>
      <w:r>
        <w:rPr>
          <w:rFonts w:hint="eastAsia" w:ascii="宋体" w:hAnsi="宋体" w:eastAsia="宋体" w:cs="宋体"/>
          <w:color w:val="auto"/>
          <w:sz w:val="24"/>
          <w:szCs w:val="24"/>
          <w:lang w:val="en-US" w:eastAsia="zh-CN"/>
        </w:rPr>
        <w:t>签订书面合同。所签订的合同不得对</w:t>
      </w:r>
      <w:r>
        <w:rPr>
          <w:rFonts w:hint="eastAsia" w:ascii="宋体" w:hAnsi="宋体" w:eastAsia="宋体" w:cs="宋体"/>
          <w:color w:val="auto"/>
          <w:sz w:val="24"/>
          <w:szCs w:val="24"/>
          <w:lang w:val="zh-CN"/>
        </w:rPr>
        <w:t>磋商文件</w:t>
      </w:r>
      <w:r>
        <w:rPr>
          <w:rFonts w:hint="eastAsia" w:ascii="宋体" w:hAnsi="宋体" w:eastAsia="宋体" w:cs="宋体"/>
          <w:color w:val="auto"/>
          <w:sz w:val="24"/>
          <w:szCs w:val="24"/>
          <w:lang w:val="en-US" w:eastAsia="zh-CN"/>
        </w:rPr>
        <w:t>确定的事项和成交供应</w:t>
      </w:r>
      <w:r>
        <w:rPr>
          <w:rFonts w:hint="eastAsia" w:ascii="宋体" w:hAnsi="宋体" w:eastAsia="宋体" w:cs="宋体"/>
          <w:color w:val="auto"/>
          <w:sz w:val="24"/>
          <w:szCs w:val="24"/>
          <w:highlight w:val="none"/>
          <w:lang w:val="en-US" w:eastAsia="zh-CN"/>
        </w:rPr>
        <w:t>商响应文件作实质性修改</w:t>
      </w:r>
      <w:r>
        <w:rPr>
          <w:rFonts w:hint="eastAsia" w:ascii="宋体" w:hAnsi="宋体" w:eastAsia="宋体" w:cs="宋体"/>
          <w:color w:val="auto"/>
          <w:sz w:val="24"/>
          <w:szCs w:val="24"/>
          <w:highlight w:val="none"/>
          <w:lang w:val="zh-CN"/>
        </w:rPr>
        <w:t>。</w:t>
      </w:r>
    </w:p>
    <w:p w14:paraId="53676764">
      <w:pPr>
        <w:keepNext w:val="0"/>
        <w:keepLines w:val="0"/>
        <w:pageBreakBefore w:val="0"/>
        <w:widowControl w:val="0"/>
        <w:kinsoku/>
        <w:wordWrap/>
        <w:overflowPunct/>
        <w:topLinePunct w:val="0"/>
        <w:bidi w:val="0"/>
        <w:snapToGrid w:val="0"/>
        <w:spacing w:line="360" w:lineRule="auto"/>
        <w:ind w:firstLine="480" w:firstLineChars="200"/>
        <w:textAlignment w:val="auto"/>
        <w:rPr>
          <w:rStyle w:val="29"/>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"mailto:（二）中标人需在合同签订后两个工作日内，提供完整的合同扫描件发送至邮箱（229037809@qq.com）。" </w:instrText>
      </w:r>
      <w:r>
        <w:rPr>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sz w:val="24"/>
          <w:szCs w:val="24"/>
          <w:highlight w:val="none"/>
        </w:rPr>
        <w:t>（二）</w:t>
      </w:r>
      <w:r>
        <w:rPr>
          <w:rStyle w:val="29"/>
          <w:rFonts w:hint="eastAsia" w:ascii="宋体" w:hAnsi="宋体" w:eastAsia="宋体" w:cs="宋体"/>
          <w:color w:val="auto"/>
          <w:sz w:val="24"/>
          <w:szCs w:val="24"/>
          <w:highlight w:val="none"/>
          <w:lang w:val="en-US" w:eastAsia="zh-CN"/>
        </w:rPr>
        <w:t>成交供应商</w:t>
      </w:r>
      <w:r>
        <w:rPr>
          <w:rStyle w:val="29"/>
          <w:rFonts w:hint="eastAsia" w:ascii="宋体" w:hAnsi="宋体" w:eastAsia="宋体" w:cs="宋体"/>
          <w:color w:val="auto"/>
          <w:sz w:val="24"/>
          <w:szCs w:val="24"/>
          <w:highlight w:val="none"/>
        </w:rPr>
        <w:t>需在合同签订后两个工作日内，提供完整的合同扫描件发送至邮箱（</w:t>
      </w:r>
      <w:r>
        <w:rPr>
          <w:rStyle w:val="29"/>
          <w:rFonts w:hint="eastAsia" w:ascii="宋体" w:hAnsi="宋体" w:eastAsia="宋体" w:cs="宋体"/>
          <w:b w:val="0"/>
          <w:color w:val="auto"/>
          <w:sz w:val="24"/>
          <w:szCs w:val="24"/>
          <w:highlight w:val="none"/>
          <w:lang w:val="en-US" w:eastAsia="zh-CN"/>
        </w:rPr>
        <w:t>1250140002@qq.com</w:t>
      </w:r>
      <w:r>
        <w:rPr>
          <w:rStyle w:val="29"/>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6C7FCAB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成交供应商无正当理由拖延或</w:t>
      </w:r>
      <w:r>
        <w:rPr>
          <w:rFonts w:hint="eastAsia" w:ascii="宋体" w:hAnsi="宋体" w:eastAsia="宋体" w:cs="宋体"/>
          <w:color w:val="auto"/>
          <w:sz w:val="24"/>
          <w:szCs w:val="24"/>
          <w:lang w:val="zh-CN"/>
        </w:rPr>
        <w:t>拒绝与采购人签订合同</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采购人可以按照评审报告推荐的成交候选人名单排序，确定下一候选人为成交供应商，也可以重新开展政府采购活动。</w:t>
      </w:r>
      <w:r>
        <w:rPr>
          <w:rFonts w:hint="eastAsia" w:ascii="宋体" w:hAnsi="宋体" w:eastAsia="宋体" w:cs="宋体"/>
          <w:color w:val="auto"/>
          <w:sz w:val="24"/>
          <w:szCs w:val="24"/>
        </w:rPr>
        <w:t>同时报请监督机构通报，取消其进入政府采购市场的资格，按规定予以处罚。</w:t>
      </w:r>
    </w:p>
    <w:p w14:paraId="3B683B54">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eastAsia" w:ascii="宋体" w:hAnsi="宋体" w:eastAsia="宋体" w:cs="宋体"/>
          <w:b/>
          <w:color w:val="auto"/>
          <w:sz w:val="24"/>
          <w:szCs w:val="24"/>
          <w:lang w:val="zh-CN"/>
        </w:rPr>
      </w:pPr>
      <w:bookmarkStart w:id="197" w:name="_Toc10354"/>
      <w:bookmarkStart w:id="198" w:name="_Toc4517"/>
      <w:bookmarkStart w:id="199" w:name="_Toc22612"/>
      <w:bookmarkStart w:id="200" w:name="_Toc10295"/>
      <w:bookmarkStart w:id="201" w:name="_Toc27520"/>
      <w:bookmarkStart w:id="202" w:name="_Toc2446"/>
      <w:bookmarkStart w:id="203" w:name="_Toc7736"/>
      <w:bookmarkStart w:id="204" w:name="_Toc1783"/>
      <w:bookmarkStart w:id="205" w:name="_Toc36034970"/>
      <w:bookmarkStart w:id="206" w:name="_Toc31715"/>
      <w:bookmarkStart w:id="207" w:name="_Toc513647119"/>
      <w:r>
        <w:rPr>
          <w:rFonts w:hint="eastAsia" w:ascii="宋体" w:hAnsi="宋体" w:eastAsia="宋体" w:cs="宋体"/>
          <w:b/>
          <w:color w:val="auto"/>
          <w:sz w:val="24"/>
          <w:szCs w:val="24"/>
          <w:lang w:val="zh-CN"/>
        </w:rPr>
        <w:t>十</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val="zh-CN"/>
        </w:rPr>
        <w:t>、合同的履约验收</w:t>
      </w:r>
      <w:bookmarkEnd w:id="197"/>
      <w:bookmarkEnd w:id="198"/>
      <w:bookmarkEnd w:id="199"/>
      <w:bookmarkEnd w:id="200"/>
      <w:bookmarkEnd w:id="201"/>
      <w:bookmarkEnd w:id="202"/>
      <w:bookmarkEnd w:id="203"/>
      <w:bookmarkEnd w:id="204"/>
      <w:bookmarkEnd w:id="205"/>
      <w:bookmarkEnd w:id="206"/>
      <w:bookmarkEnd w:id="207"/>
    </w:p>
    <w:p w14:paraId="525826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政府采购合同的履行、违约责任和解决争议的方法等适用《中华人民共和国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lang w:val="zh-CN"/>
        </w:rPr>
        <w:t>》，采购人按照政府采购合同规定的技术、服务、安全标准组织对供应商履约情况进行验收，并出具验收书。</w:t>
      </w:r>
    </w:p>
    <w:p w14:paraId="321A3A2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rPr>
      </w:pPr>
      <w:bookmarkStart w:id="208" w:name="_Toc20548"/>
      <w:bookmarkStart w:id="209" w:name="_Toc495681517"/>
      <w:bookmarkStart w:id="210" w:name="_Toc18937"/>
      <w:bookmarkStart w:id="211" w:name="_Toc10047"/>
      <w:bookmarkStart w:id="212" w:name="_Toc495681236"/>
      <w:bookmarkStart w:id="213" w:name="_Toc27381"/>
      <w:bookmarkStart w:id="214" w:name="_Toc31497"/>
      <w:bookmarkStart w:id="215" w:name="_Toc495681390"/>
      <w:bookmarkStart w:id="216" w:name="_Toc495908035"/>
      <w:bookmarkStart w:id="217" w:name="_Toc27965"/>
      <w:bookmarkStart w:id="218" w:name="_Toc495909081"/>
      <w:bookmarkStart w:id="219" w:name="_Toc36034971"/>
      <w:bookmarkStart w:id="220" w:name="_Toc6004"/>
      <w:bookmarkStart w:id="221" w:name="_Toc7778"/>
      <w:bookmarkStart w:id="222" w:name="_Toc28408"/>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bookmarkEnd w:id="208"/>
      <w:bookmarkEnd w:id="209"/>
      <w:bookmarkEnd w:id="210"/>
      <w:bookmarkEnd w:id="211"/>
      <w:bookmarkEnd w:id="212"/>
      <w:bookmarkEnd w:id="213"/>
      <w:bookmarkEnd w:id="214"/>
      <w:bookmarkEnd w:id="215"/>
      <w:bookmarkEnd w:id="216"/>
      <w:bookmarkEnd w:id="217"/>
      <w:bookmarkEnd w:id="218"/>
      <w:bookmarkEnd w:id="219"/>
      <w:r>
        <w:rPr>
          <w:rFonts w:hint="eastAsia" w:ascii="宋体" w:hAnsi="宋体" w:eastAsia="宋体" w:cs="宋体"/>
          <w:b/>
          <w:color w:val="auto"/>
          <w:sz w:val="24"/>
          <w:szCs w:val="24"/>
          <w:lang w:val="zh-CN"/>
        </w:rPr>
        <w:t>招标代理服务费</w:t>
      </w:r>
      <w:bookmarkEnd w:id="220"/>
      <w:bookmarkEnd w:id="221"/>
      <w:bookmarkEnd w:id="222"/>
    </w:p>
    <w:p w14:paraId="3E127B2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bookmarkStart w:id="223" w:name="_Toc511132992"/>
      <w:bookmarkStart w:id="224" w:name="_Toc19647"/>
      <w:bookmarkStart w:id="225" w:name="_Toc513647121"/>
      <w:r>
        <w:rPr>
          <w:rFonts w:hint="eastAsia" w:ascii="宋体" w:hAnsi="宋体" w:eastAsia="宋体" w:cs="宋体"/>
          <w:color w:val="auto"/>
          <w:sz w:val="24"/>
          <w:szCs w:val="24"/>
        </w:rPr>
        <w:t>（一）成交供应商在领取成交通知书前，向采购代理机构</w:t>
      </w:r>
      <w:r>
        <w:rPr>
          <w:rFonts w:hint="eastAsia" w:ascii="宋体" w:hAnsi="宋体" w:eastAsia="宋体" w:cs="宋体"/>
          <w:color w:val="auto"/>
          <w:sz w:val="24"/>
          <w:szCs w:val="24"/>
          <w:lang w:val="en-US" w:eastAsia="zh-CN"/>
        </w:rPr>
        <w:t>一次性</w:t>
      </w:r>
      <w:r>
        <w:rPr>
          <w:rFonts w:hint="eastAsia" w:ascii="宋体" w:hAnsi="宋体" w:eastAsia="宋体" w:cs="宋体"/>
          <w:color w:val="auto"/>
          <w:sz w:val="24"/>
          <w:szCs w:val="24"/>
        </w:rPr>
        <w:t>支</w:t>
      </w:r>
      <w:r>
        <w:rPr>
          <w:rFonts w:hint="eastAsia" w:ascii="宋体" w:hAnsi="宋体" w:eastAsia="宋体" w:cs="宋体"/>
          <w:b w:val="0"/>
          <w:bCs w:val="0"/>
          <w:color w:val="auto"/>
          <w:sz w:val="24"/>
          <w:szCs w:val="24"/>
        </w:rPr>
        <w:t>付</w:t>
      </w:r>
      <w:r>
        <w:rPr>
          <w:rFonts w:hint="eastAsia" w:ascii="宋体" w:hAnsi="宋体" w:eastAsia="宋体" w:cs="宋体"/>
          <w:b w:val="0"/>
          <w:bCs w:val="0"/>
          <w:color w:val="auto"/>
          <w:sz w:val="24"/>
          <w:szCs w:val="24"/>
          <w:lang w:val="zh-CN"/>
        </w:rPr>
        <w:t>招标代理服务费</w:t>
      </w:r>
      <w:r>
        <w:rPr>
          <w:rFonts w:hint="eastAsia" w:ascii="宋体" w:hAnsi="宋体" w:eastAsia="宋体" w:cs="宋体"/>
          <w:b w:val="0"/>
          <w:bCs w:val="0"/>
          <w:color w:val="auto"/>
          <w:sz w:val="24"/>
          <w:szCs w:val="24"/>
        </w:rPr>
        <w:t>。</w:t>
      </w:r>
    </w:p>
    <w:p w14:paraId="7547F98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zh-CN"/>
        </w:rPr>
        <w:t>招标代理服务费的计算方法：以成交金额为基数，</w:t>
      </w:r>
      <w:r>
        <w:rPr>
          <w:rFonts w:hint="eastAsia" w:ascii="宋体" w:hAnsi="宋体" w:eastAsia="宋体" w:cs="宋体"/>
          <w:bCs/>
          <w:color w:val="auto"/>
          <w:sz w:val="24"/>
          <w:szCs w:val="24"/>
        </w:rPr>
        <w:t>参考《国家计委关于印发&lt;招标代理服务收费管理暂行办法&gt;的通知》（计价格【2002】1980</w:t>
      </w:r>
      <w:r>
        <w:rPr>
          <w:rFonts w:hint="eastAsia" w:ascii="宋体" w:hAnsi="宋体" w:eastAsia="宋体" w:cs="宋体"/>
          <w:bCs/>
          <w:color w:val="auto"/>
          <w:sz w:val="24"/>
          <w:szCs w:val="24"/>
          <w:highlight w:val="none"/>
        </w:rPr>
        <w:t>号）及国家和发展改革委员会办公厅颁发的《关于招标代理服务收费有关问题的通知》（发改办价格[2003]857号）规定按标准收取，</w:t>
      </w:r>
      <w:r>
        <w:rPr>
          <w:rFonts w:hint="eastAsia" w:ascii="宋体" w:hAnsi="宋体" w:eastAsia="宋体" w:cs="宋体"/>
          <w:color w:val="auto"/>
          <w:sz w:val="24"/>
          <w:szCs w:val="24"/>
          <w:highlight w:val="none"/>
        </w:rPr>
        <w:t>若按照标准收取不足</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000元，按</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000元</w:t>
      </w:r>
      <w:r>
        <w:rPr>
          <w:rFonts w:hint="eastAsia" w:ascii="宋体" w:hAnsi="宋体" w:eastAsia="宋体" w:cs="宋体"/>
          <w:color w:val="auto"/>
          <w:sz w:val="24"/>
          <w:szCs w:val="24"/>
        </w:rPr>
        <w:t>计取</w:t>
      </w:r>
      <w:r>
        <w:rPr>
          <w:rFonts w:hint="eastAsia" w:ascii="宋体" w:hAnsi="宋体" w:eastAsia="宋体" w:cs="宋体"/>
          <w:color w:val="auto"/>
          <w:sz w:val="24"/>
          <w:szCs w:val="24"/>
          <w:lang w:val="zh-CN"/>
        </w:rPr>
        <w:t>。</w:t>
      </w:r>
    </w:p>
    <w:p w14:paraId="7D54B78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（三）招标代理服务费可以采取现金、支票、银行汇票、电汇、网银等方式缴纳。</w:t>
      </w:r>
    </w:p>
    <w:p w14:paraId="79D1C61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（四）招标代理服务费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信息：</w:t>
      </w:r>
    </w:p>
    <w:p w14:paraId="1FAFA41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银行户名：</w:t>
      </w:r>
      <w:r>
        <w:rPr>
          <w:rFonts w:hint="eastAsia" w:ascii="宋体" w:hAnsi="宋体" w:eastAsia="宋体" w:cs="宋体"/>
          <w:color w:val="auto"/>
          <w:sz w:val="24"/>
          <w:szCs w:val="24"/>
          <w:lang w:val="zh-CN"/>
        </w:rPr>
        <w:t>陕西众灿品诚项目管理有限公司</w:t>
      </w:r>
    </w:p>
    <w:p w14:paraId="3AB7D59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招商银行西安分行钟楼支行</w:t>
      </w:r>
    </w:p>
    <w:p w14:paraId="38D126D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账    号：</w:t>
      </w:r>
      <w:r>
        <w:rPr>
          <w:rFonts w:hint="eastAsia" w:ascii="宋体" w:hAnsi="宋体" w:eastAsia="宋体" w:cs="宋体"/>
          <w:color w:val="auto"/>
          <w:sz w:val="24"/>
          <w:szCs w:val="24"/>
          <w:lang w:val="en-US" w:eastAsia="zh-CN"/>
        </w:rPr>
        <w:t>129914150610901</w:t>
      </w:r>
      <w:r>
        <w:rPr>
          <w:rFonts w:hint="eastAsia" w:ascii="宋体" w:hAnsi="宋体" w:eastAsia="宋体" w:cs="宋体"/>
          <w:color w:val="auto"/>
          <w:sz w:val="24"/>
          <w:szCs w:val="24"/>
          <w:lang w:val="zh-CN"/>
        </w:rPr>
        <w:t xml:space="preserve"> </w:t>
      </w:r>
    </w:p>
    <w:p w14:paraId="5D27F51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4"/>
          <w:highlight w:val="none"/>
          <w:lang w:val="zh-CN"/>
        </w:rPr>
      </w:pPr>
      <w:bookmarkStart w:id="226" w:name="_Toc32507"/>
      <w:bookmarkStart w:id="227" w:name="_Toc24755"/>
      <w:bookmarkStart w:id="228" w:name="_Toc11343"/>
      <w:bookmarkStart w:id="229" w:name="_Toc36034972"/>
      <w:bookmarkStart w:id="230" w:name="_Toc12145"/>
      <w:bookmarkStart w:id="231" w:name="_Toc12650"/>
      <w:bookmarkStart w:id="232" w:name="_Toc9482"/>
      <w:bookmarkStart w:id="233" w:name="_Toc8770"/>
      <w:bookmarkStart w:id="234" w:name="_Toc9496"/>
      <w:r>
        <w:rPr>
          <w:rFonts w:hint="eastAsia" w:ascii="宋体" w:hAnsi="宋体" w:eastAsia="宋体" w:cs="宋体"/>
          <w:b/>
          <w:color w:val="auto"/>
          <w:sz w:val="24"/>
          <w:szCs w:val="24"/>
          <w:highlight w:val="none"/>
          <w:lang w:val="zh-CN"/>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val="zh-CN"/>
        </w:rPr>
        <w:t>、</w:t>
      </w:r>
      <w:bookmarkEnd w:id="223"/>
      <w:bookmarkEnd w:id="224"/>
      <w:bookmarkEnd w:id="225"/>
      <w:bookmarkEnd w:id="226"/>
      <w:bookmarkEnd w:id="227"/>
      <w:bookmarkEnd w:id="228"/>
      <w:bookmarkEnd w:id="229"/>
      <w:bookmarkEnd w:id="230"/>
      <w:bookmarkEnd w:id="231"/>
      <w:bookmarkEnd w:id="232"/>
      <w:bookmarkEnd w:id="233"/>
      <w:r>
        <w:rPr>
          <w:rFonts w:hint="eastAsia" w:ascii="宋体" w:hAnsi="宋体" w:eastAsia="宋体" w:cs="宋体"/>
          <w:b/>
          <w:color w:val="auto"/>
          <w:sz w:val="24"/>
          <w:szCs w:val="24"/>
          <w:highlight w:val="none"/>
          <w:lang w:val="zh-CN"/>
        </w:rPr>
        <w:t>需要落实的政府采购政策</w:t>
      </w:r>
      <w:bookmarkEnd w:id="234"/>
    </w:p>
    <w:p w14:paraId="0B50C2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7D376CCD">
      <w:pPr>
        <w:pStyle w:val="33"/>
        <w:ind w:left="0" w:leftChars="0" w:firstLine="0" w:firstLineChars="0"/>
        <w:rPr>
          <w:rFonts w:hint="eastAsia" w:ascii="宋体" w:hAnsi="宋体" w:eastAsia="宋体" w:cs="宋体"/>
          <w:color w:val="auto"/>
          <w:sz w:val="24"/>
          <w:szCs w:val="24"/>
          <w:highlight w:val="none"/>
          <w:lang w:val="en-US" w:eastAsia="zh-CN"/>
        </w:rPr>
      </w:pPr>
    </w:p>
    <w:p w14:paraId="2E9646E4">
      <w:pPr>
        <w:rPr>
          <w:rStyle w:val="38"/>
          <w:rFonts w:hint="eastAsia" w:ascii="宋体" w:hAnsi="宋体" w:eastAsia="宋体" w:cs="宋体"/>
          <w:b/>
          <w:bCs/>
          <w:color w:val="auto"/>
          <w:sz w:val="32"/>
          <w:szCs w:val="32"/>
          <w:highlight w:val="none"/>
          <w:lang w:val="en-US" w:eastAsia="zh-CN"/>
        </w:rPr>
      </w:pPr>
      <w:bookmarkStart w:id="235" w:name="_Toc17818"/>
      <w:bookmarkStart w:id="236" w:name="_Toc26626"/>
      <w:r>
        <w:rPr>
          <w:rStyle w:val="38"/>
          <w:rFonts w:hint="eastAsia" w:ascii="宋体" w:hAnsi="宋体" w:eastAsia="宋体" w:cs="宋体"/>
          <w:b/>
          <w:bCs/>
          <w:color w:val="auto"/>
          <w:sz w:val="32"/>
          <w:szCs w:val="32"/>
          <w:highlight w:val="none"/>
          <w:lang w:val="en-US" w:eastAsia="zh-CN"/>
        </w:rPr>
        <w:br w:type="page"/>
      </w:r>
    </w:p>
    <w:p w14:paraId="1F9578C8">
      <w:pPr>
        <w:pStyle w:val="11"/>
        <w:spacing w:line="360" w:lineRule="auto"/>
        <w:outlineLvl w:val="0"/>
        <w:rPr>
          <w:rFonts w:hint="eastAsia" w:ascii="宋体" w:hAnsi="宋体" w:eastAsia="宋体" w:cs="宋体"/>
          <w:color w:val="auto"/>
          <w:sz w:val="24"/>
          <w:szCs w:val="24"/>
          <w:highlight w:val="none"/>
          <w:lang w:val="zh-CN"/>
        </w:rPr>
      </w:pPr>
      <w:r>
        <w:rPr>
          <w:rStyle w:val="38"/>
          <w:rFonts w:hint="eastAsia" w:ascii="宋体" w:hAnsi="宋体" w:eastAsia="宋体" w:cs="宋体"/>
          <w:b/>
          <w:bCs/>
          <w:color w:val="auto"/>
          <w:sz w:val="32"/>
          <w:szCs w:val="32"/>
          <w:highlight w:val="none"/>
          <w:lang w:val="en-US" w:eastAsia="zh-CN"/>
        </w:rPr>
        <w:t>第三部分</w:t>
      </w:r>
      <w:bookmarkEnd w:id="235"/>
      <w:bookmarkStart w:id="237" w:name="_Toc32235"/>
      <w:bookmarkStart w:id="238" w:name="_Toc10239"/>
      <w:bookmarkStart w:id="239" w:name="_Toc7071"/>
      <w:bookmarkStart w:id="240" w:name="_Toc20193"/>
      <w:bookmarkStart w:id="241" w:name="_Toc20842"/>
      <w:bookmarkStart w:id="242" w:name="_Toc21029"/>
      <w:bookmarkStart w:id="243" w:name="_Toc6947"/>
      <w:bookmarkStart w:id="244" w:name="_Toc419"/>
      <w:bookmarkStart w:id="245" w:name="_Toc21416"/>
      <w:bookmarkStart w:id="246" w:name="_Toc8783"/>
      <w:bookmarkStart w:id="247" w:name="_Toc19270"/>
      <w:bookmarkStart w:id="248" w:name="_Toc6499"/>
      <w:bookmarkStart w:id="249" w:name="_Toc15092"/>
      <w:bookmarkStart w:id="250" w:name="_Toc10035"/>
      <w:bookmarkStart w:id="251" w:name="_Toc8281"/>
      <w:bookmarkStart w:id="252" w:name="_Toc21592"/>
      <w:bookmarkStart w:id="253" w:name="_Toc16011"/>
      <w:bookmarkStart w:id="254" w:name="_Toc18368"/>
      <w:bookmarkStart w:id="255" w:name="_Toc21126"/>
      <w:bookmarkStart w:id="256" w:name="_Toc2115"/>
      <w:bookmarkStart w:id="257" w:name="_Toc23372"/>
      <w:bookmarkStart w:id="258" w:name="_Toc26089"/>
      <w:r>
        <w:rPr>
          <w:rFonts w:hint="eastAsia" w:ascii="宋体" w:hAnsi="宋体" w:eastAsia="宋体" w:cs="宋体"/>
          <w:b/>
          <w:bCs/>
          <w:color w:val="auto"/>
          <w:kern w:val="2"/>
          <w:sz w:val="32"/>
          <w:szCs w:val="32"/>
          <w:highlight w:val="none"/>
          <w:lang w:val="zh-CN" w:eastAsia="zh-CN" w:bidi="ar-SA"/>
        </w:rPr>
        <w:t xml:space="preserve">  采购内容及要求</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359F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项目名称</w:t>
      </w:r>
    </w:p>
    <w:p w14:paraId="536A9F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市委党校智慧校园软件项目建设</w:t>
      </w:r>
    </w:p>
    <w:p w14:paraId="62787AAD">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采购内容与要求</w:t>
      </w:r>
    </w:p>
    <w:p w14:paraId="41F276B7">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一、教学教务系统</w:t>
      </w:r>
    </w:p>
    <w:p w14:paraId="01904DF2">
      <w:pPr>
        <w:numPr>
          <w:ilvl w:val="0"/>
          <w:numId w:val="2"/>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学员管理平台</w:t>
      </w:r>
    </w:p>
    <w:p w14:paraId="4E811630">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学员报道系统：包含网上报道、报道审核</w:t>
      </w:r>
    </w:p>
    <w:p w14:paraId="701884B7">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学员管理系统：包含班次管理、班级管理、学籍管理、档案管理</w:t>
      </w:r>
    </w:p>
    <w:p w14:paraId="0D41F8DF">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班务管理系统：包含请假管理、成绩管理、结业管理、证书管理</w:t>
      </w:r>
    </w:p>
    <w:p w14:paraId="0070DA87">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考勤管理：包含考勤信息提示、课程信息展示、操作安全管理，支持扫码、刷卡、人脸考勤多种方式</w:t>
      </w:r>
    </w:p>
    <w:p w14:paraId="4869B6E3">
      <w:pPr>
        <w:pStyle w:val="11"/>
        <w:jc w:val="both"/>
        <w:rPr>
          <w:rFonts w:hint="eastAsia"/>
          <w:color w:val="auto"/>
          <w:lang w:val="en-US" w:eastAsia="zh-CN"/>
        </w:rPr>
      </w:pPr>
      <w:r>
        <w:rPr>
          <w:rFonts w:hint="eastAsia"/>
          <w:b/>
          <w:bCs/>
          <w:color w:val="auto"/>
        </w:rPr>
        <w:t>▲请投标方详细描述</w:t>
      </w:r>
      <w:r>
        <w:rPr>
          <w:rFonts w:hint="eastAsia"/>
          <w:b/>
          <w:bCs/>
          <w:color w:val="auto"/>
          <w:lang w:val="en-US" w:eastAsia="zh-CN"/>
        </w:rPr>
        <w:t>学员管理平台</w:t>
      </w:r>
      <w:r>
        <w:rPr>
          <w:rFonts w:hint="eastAsia"/>
          <w:b/>
          <w:bCs/>
          <w:color w:val="auto"/>
        </w:rPr>
        <w:t>各功能模块</w:t>
      </w:r>
      <w:r>
        <w:rPr>
          <w:rFonts w:hint="eastAsia"/>
          <w:b/>
          <w:bCs/>
          <w:color w:val="auto"/>
          <w:lang w:eastAsia="zh-CN"/>
        </w:rPr>
        <w:t>，</w:t>
      </w:r>
      <w:r>
        <w:rPr>
          <w:b/>
          <w:bCs/>
          <w:color w:val="auto"/>
        </w:rPr>
        <w:t>画出详细清晰的</w:t>
      </w:r>
      <w:r>
        <w:rPr>
          <w:rFonts w:hint="eastAsia"/>
          <w:b/>
          <w:bCs/>
          <w:color w:val="auto"/>
        </w:rPr>
        <w:t>网上报名</w:t>
      </w:r>
      <w:r>
        <w:rPr>
          <w:b/>
          <w:bCs/>
          <w:color w:val="auto"/>
        </w:rPr>
        <w:t>管理系统架构图和业务架构图</w:t>
      </w:r>
    </w:p>
    <w:p w14:paraId="38D78EB0">
      <w:pPr>
        <w:numPr>
          <w:ilvl w:val="0"/>
          <w:numId w:val="2"/>
        </w:num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教学教务管理平台</w:t>
      </w:r>
    </w:p>
    <w:p w14:paraId="46AC826C">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教学管理系统：包含课件资料、排课管理、课表查询、教学通知、基础设置</w:t>
      </w:r>
    </w:p>
    <w:p w14:paraId="0F314F07">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测评管理系统：包含教学测评、后勤测评、测评状况、测评结果、投票管理</w:t>
      </w:r>
    </w:p>
    <w:p w14:paraId="51808DCE">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教务管理系统：包含师资库、教学专题库、教学活动</w:t>
      </w:r>
    </w:p>
    <w:p w14:paraId="4AFECDFE">
      <w:pPr>
        <w:pStyle w:val="11"/>
        <w:jc w:val="both"/>
        <w:rPr>
          <w:rFonts w:hint="eastAsia"/>
          <w:color w:val="auto"/>
          <w:lang w:val="en-US" w:eastAsia="zh-CN"/>
        </w:rPr>
      </w:pPr>
      <w:r>
        <w:rPr>
          <w:rFonts w:hint="eastAsia"/>
          <w:b/>
          <w:bCs/>
          <w:color w:val="auto"/>
        </w:rPr>
        <w:t>▲请投标方详细描述</w:t>
      </w:r>
      <w:r>
        <w:rPr>
          <w:rFonts w:hint="eastAsia"/>
          <w:b/>
          <w:bCs/>
          <w:color w:val="auto"/>
          <w:lang w:val="en-US" w:eastAsia="zh-CN"/>
        </w:rPr>
        <w:t>学教学教务管理平台</w:t>
      </w:r>
      <w:r>
        <w:rPr>
          <w:rFonts w:hint="eastAsia"/>
          <w:b/>
          <w:bCs/>
          <w:color w:val="auto"/>
        </w:rPr>
        <w:t>各功能模块</w:t>
      </w:r>
      <w:r>
        <w:rPr>
          <w:rFonts w:hint="eastAsia"/>
          <w:b/>
          <w:bCs/>
          <w:color w:val="auto"/>
          <w:lang w:eastAsia="zh-CN"/>
        </w:rPr>
        <w:t>，</w:t>
      </w:r>
      <w:r>
        <w:rPr>
          <w:b/>
          <w:bCs/>
          <w:color w:val="auto"/>
        </w:rPr>
        <w:t>画出详细清晰的</w:t>
      </w:r>
      <w:r>
        <w:rPr>
          <w:rFonts w:hint="eastAsia"/>
          <w:b/>
          <w:bCs/>
          <w:color w:val="auto"/>
          <w:lang w:val="en-US" w:eastAsia="zh-CN"/>
        </w:rPr>
        <w:t>教学</w:t>
      </w:r>
      <w:r>
        <w:rPr>
          <w:b/>
          <w:bCs/>
          <w:color w:val="auto"/>
        </w:rPr>
        <w:t>管理系统架构图和业务架构图</w:t>
      </w:r>
    </w:p>
    <w:p w14:paraId="3C494545">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二、后勤管理系统</w:t>
      </w:r>
    </w:p>
    <w:p w14:paraId="322DCC12">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主要包括网上报修、教室场馆管理、易耗品管理、体育馆管理、用餐管理、车辆管理、访客管理等功能</w:t>
      </w:r>
    </w:p>
    <w:p w14:paraId="7A06F4E2">
      <w:pPr>
        <w:pStyle w:val="11"/>
        <w:jc w:val="both"/>
        <w:rPr>
          <w:rFonts w:hint="eastAsia"/>
          <w:color w:val="auto"/>
          <w:lang w:val="en-US" w:eastAsia="zh-CN"/>
        </w:rPr>
      </w:pPr>
      <w:r>
        <w:rPr>
          <w:rFonts w:hint="eastAsia"/>
          <w:b/>
          <w:bCs/>
          <w:color w:val="auto"/>
        </w:rPr>
        <w:t>▲请投标方详细描述</w:t>
      </w:r>
      <w:r>
        <w:rPr>
          <w:rFonts w:hint="eastAsia"/>
          <w:b/>
          <w:bCs/>
          <w:color w:val="auto"/>
          <w:lang w:val="en-US" w:eastAsia="zh-CN"/>
        </w:rPr>
        <w:t>后勤管理系统</w:t>
      </w:r>
      <w:r>
        <w:rPr>
          <w:rFonts w:hint="eastAsia"/>
          <w:b/>
          <w:bCs/>
          <w:color w:val="auto"/>
        </w:rPr>
        <w:t>各功能模块</w:t>
      </w:r>
      <w:r>
        <w:rPr>
          <w:rFonts w:hint="eastAsia"/>
          <w:b/>
          <w:bCs/>
          <w:color w:val="auto"/>
          <w:lang w:eastAsia="zh-CN"/>
        </w:rPr>
        <w:t>，</w:t>
      </w:r>
      <w:r>
        <w:rPr>
          <w:b/>
          <w:bCs/>
          <w:color w:val="auto"/>
        </w:rPr>
        <w:t>画出详细清晰的</w:t>
      </w:r>
      <w:r>
        <w:rPr>
          <w:rFonts w:hint="eastAsia"/>
          <w:b/>
          <w:bCs/>
          <w:color w:val="auto"/>
          <w:lang w:val="en-US" w:eastAsia="zh-CN"/>
        </w:rPr>
        <w:t>教室场馆</w:t>
      </w:r>
      <w:r>
        <w:rPr>
          <w:b/>
          <w:bCs/>
          <w:color w:val="auto"/>
        </w:rPr>
        <w:t>管理系统架构图和业务架构图</w:t>
      </w:r>
    </w:p>
    <w:p w14:paraId="592331C6">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三、辅助决策系统</w:t>
      </w:r>
    </w:p>
    <w:p w14:paraId="1A5B4065">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主要包含报名数据分析、学员数据分析、课程数据分析、师资数据分析、考勤数据分析、评价数据分析、班级数据分析</w:t>
      </w:r>
    </w:p>
    <w:p w14:paraId="728D6DD8">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四、移动端</w:t>
      </w:r>
    </w:p>
    <w:p w14:paraId="14C2625A">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分学员端、以及教职工端、功能包含教学教务管理、后勤管理</w:t>
      </w:r>
    </w:p>
    <w:p w14:paraId="160ED2BB">
      <w:pPr>
        <w:pStyle w:val="11"/>
        <w:jc w:val="both"/>
        <w:rPr>
          <w:rFonts w:hint="eastAsia"/>
          <w:color w:val="auto"/>
          <w:lang w:val="en-US" w:eastAsia="zh-CN"/>
        </w:rPr>
      </w:pPr>
      <w:r>
        <w:rPr>
          <w:rFonts w:hint="eastAsia"/>
          <w:b/>
          <w:bCs/>
          <w:color w:val="auto"/>
        </w:rPr>
        <w:t>▲请投标方详细描述</w:t>
      </w:r>
      <w:r>
        <w:rPr>
          <w:rFonts w:hint="eastAsia"/>
          <w:b/>
          <w:bCs/>
          <w:color w:val="auto"/>
          <w:lang w:val="en-US" w:eastAsia="zh-CN"/>
        </w:rPr>
        <w:t>移动端平台</w:t>
      </w:r>
      <w:r>
        <w:rPr>
          <w:rFonts w:hint="eastAsia"/>
          <w:b/>
          <w:bCs/>
          <w:color w:val="auto"/>
        </w:rPr>
        <w:t>各功能模块</w:t>
      </w:r>
      <w:r>
        <w:rPr>
          <w:rFonts w:hint="eastAsia"/>
          <w:b/>
          <w:bCs/>
          <w:color w:val="auto"/>
          <w:lang w:eastAsia="zh-CN"/>
        </w:rPr>
        <w:t>，</w:t>
      </w:r>
      <w:r>
        <w:rPr>
          <w:b/>
          <w:bCs/>
          <w:color w:val="auto"/>
        </w:rPr>
        <w:t>画出详细清晰的</w:t>
      </w:r>
      <w:r>
        <w:rPr>
          <w:rFonts w:hint="eastAsia"/>
          <w:b/>
          <w:bCs/>
          <w:color w:val="auto"/>
          <w:lang w:val="en-US" w:eastAsia="zh-CN"/>
        </w:rPr>
        <w:t>移动服务端</w:t>
      </w:r>
      <w:r>
        <w:rPr>
          <w:b/>
          <w:bCs/>
          <w:color w:val="auto"/>
        </w:rPr>
        <w:t>系统架构图和业务架构图</w:t>
      </w:r>
    </w:p>
    <w:p w14:paraId="0BFD26E9">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五、统一支撑平台</w:t>
      </w:r>
    </w:p>
    <w:p w14:paraId="62D72AAA">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统一用户系统、业务生成器、工作流引擎</w:t>
      </w:r>
    </w:p>
    <w:p w14:paraId="0BC439F2">
      <w:pPr>
        <w:numPr>
          <w:ilvl w:val="0"/>
          <w:numId w:val="0"/>
        </w:numPr>
        <w:spacing w:line="360" w:lineRule="auto"/>
        <w:ind w:leftChars="0"/>
        <w:rPr>
          <w:b/>
          <w:bCs/>
          <w:color w:val="auto"/>
        </w:rPr>
      </w:pPr>
      <w:r>
        <w:rPr>
          <w:rFonts w:hint="eastAsia"/>
          <w:b/>
          <w:bCs/>
          <w:color w:val="auto"/>
        </w:rPr>
        <w:t>▲</w:t>
      </w:r>
      <w:r>
        <w:rPr>
          <w:b/>
          <w:bCs/>
          <w:color w:val="auto"/>
        </w:rPr>
        <w:t>请投标方对统一</w:t>
      </w:r>
      <w:r>
        <w:rPr>
          <w:rFonts w:hint="eastAsia"/>
          <w:b/>
          <w:bCs/>
          <w:color w:val="auto"/>
          <w:lang w:val="en-US" w:eastAsia="zh-CN"/>
        </w:rPr>
        <w:t>支撑平台</w:t>
      </w:r>
      <w:r>
        <w:rPr>
          <w:b/>
          <w:bCs/>
          <w:color w:val="auto"/>
        </w:rPr>
        <w:t>的系统概述、功能描述、技术方案、功能指标和组件接口等方面展开详细描述</w:t>
      </w:r>
    </w:p>
    <w:p w14:paraId="1E1A4855">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六、系统对接</w:t>
      </w:r>
    </w:p>
    <w:p w14:paraId="432F38AA">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系统需实现与电子班牌系统的对接</w:t>
      </w:r>
    </w:p>
    <w:p w14:paraId="64AE30D4">
      <w:pPr>
        <w:pStyle w:val="11"/>
        <w:jc w:val="both"/>
        <w:rPr>
          <w:rFonts w:hint="eastAsia"/>
          <w:color w:val="auto"/>
          <w:lang w:val="en-US" w:eastAsia="zh-CN"/>
        </w:rPr>
      </w:pPr>
      <w:r>
        <w:rPr>
          <w:rFonts w:hint="eastAsia"/>
          <w:b/>
          <w:bCs/>
          <w:color w:val="auto"/>
        </w:rPr>
        <w:t>▲请投标方承诺智慧校园平台与电子班牌系统对接，相互调用数据，实现党校智慧校园相关信息系统与电子班牌的集成，教学安排、通知公告、新闻等信息均能够通过党校智慧校园相关信息系统推送至电子班牌</w:t>
      </w:r>
    </w:p>
    <w:p w14:paraId="44AE946D">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七、电子班牌</w:t>
      </w:r>
    </w:p>
    <w:p w14:paraId="64E2D3A2">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1.硬件参数</w:t>
      </w:r>
    </w:p>
    <w:p w14:paraId="209B7E17">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显示参数：可视角</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水平178°，垂直178°</w:t>
      </w:r>
    </w:p>
    <w:p w14:paraId="7CA61CA0">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显示尺寸：21.5 inch</w:t>
      </w:r>
    </w:p>
    <w:p w14:paraId="6DF8C6F3">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屏幕可视区域：476.06 mm (H) × 267.79 mm (V)</w:t>
      </w:r>
    </w:p>
    <w:p w14:paraId="549C85FD">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背光源类型：TFT-LCD背光</w:t>
      </w:r>
    </w:p>
    <w:p w14:paraId="5F36347F">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像素间距：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0.24795 mm × 0.24795 mm</w:t>
      </w:r>
    </w:p>
    <w:p w14:paraId="4D73A55E">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物理分辨率：1920×1080</w:t>
      </w:r>
    </w:p>
    <w:p w14:paraId="4371E698">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亮度：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600 cd/m²</w:t>
      </w:r>
    </w:p>
    <w:p w14:paraId="4C3A6865">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色深度：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8 bit</w:t>
      </w:r>
    </w:p>
    <w:p w14:paraId="2305393B">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对比度：≥ 1000∶1</w:t>
      </w:r>
    </w:p>
    <w:p w14:paraId="3D32D941">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响应时间：≥8ms</w:t>
      </w:r>
    </w:p>
    <w:p w14:paraId="2CB74EF5">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色域：≥72%</w:t>
      </w:r>
    </w:p>
    <w:p w14:paraId="349A307D">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连续使用时间：7 × 16 h</w:t>
      </w:r>
    </w:p>
    <w:p w14:paraId="64484414">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屏幕活动域</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：476.06 mm (H) × 267.79 mm (V)</w:t>
      </w:r>
    </w:p>
    <w:p w14:paraId="3C3817DB">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系统参数操作系统：Android 12.0</w:t>
      </w:r>
    </w:p>
    <w:p w14:paraId="482E9BFF">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Cortex-A55，4核，主频1.8 GHz</w:t>
      </w:r>
    </w:p>
    <w:p w14:paraId="03D2075D">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内存：≥2GB</w:t>
      </w:r>
    </w:p>
    <w:p w14:paraId="7F88EBD6">
      <w:pPr>
        <w:numPr>
          <w:ilvl w:val="0"/>
          <w:numId w:val="0"/>
        </w:numPr>
        <w:spacing w:line="360" w:lineRule="auto"/>
        <w:ind w:leftChars="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内置存储：≥16 GB EMMC</w:t>
      </w:r>
    </w:p>
    <w:p w14:paraId="5E002544">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智能参数镜头：≥200万宽动态摄像头</w:t>
      </w:r>
    </w:p>
    <w:p w14:paraId="670F82E7">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人脸库：≥50000张，支持JPG图片格式</w:t>
      </w:r>
    </w:p>
    <w:p w14:paraId="0648DAAB">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人脸检测距离：＞0.3 m ~ 1.5 m，最远5 m，可软件调整</w:t>
      </w:r>
    </w:p>
    <w:p w14:paraId="5FBD5976">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人脸验证准确率：＞ 99%</w:t>
      </w:r>
    </w:p>
    <w:p w14:paraId="472A493A">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刷脸验证时间：≤ 0.5 s/人</w:t>
      </w:r>
    </w:p>
    <w:p w14:paraId="1B90A18E">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触控参数触摸方式：电容</w:t>
      </w:r>
    </w:p>
    <w:p w14:paraId="1622487F">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玻璃：3 mm防眩光钢化玻璃</w:t>
      </w:r>
    </w:p>
    <w:p w14:paraId="0BD080BF">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触控点：10点</w:t>
      </w:r>
    </w:p>
    <w:p w14:paraId="2C4453DC">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触控响应速度：≤ 14 ms</w:t>
      </w:r>
    </w:p>
    <w:p w14:paraId="1BBBDB72">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接口参数网络接口：LAN口×1</w:t>
      </w:r>
    </w:p>
    <w:p w14:paraId="33A2020B">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数据传输接口：USB 2.0 × 2，内置Wi-Fi，蓝牙（BT 4.2），刷卡，门禁</w:t>
      </w:r>
    </w:p>
    <w:p w14:paraId="79EB3FFE">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电源参数待机功耗：≤ 0.5 W</w:t>
      </w:r>
    </w:p>
    <w:p w14:paraId="4681C1B5">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功耗：≤ 60 W</w:t>
      </w:r>
    </w:p>
    <w:p w14:paraId="69883D9A">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运行环境工作温度：</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-10 °C ~ 50 °C</w:t>
      </w:r>
    </w:p>
    <w:p w14:paraId="0AD64B72">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工作湿度：0 ~ 95%</w:t>
      </w:r>
    </w:p>
    <w:p w14:paraId="2A536E08">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通用参数：电源176 ~ 240 VAC，50/60 Hz ± 5%</w:t>
      </w:r>
    </w:p>
    <w:p w14:paraId="0D2EBD2F">
      <w:pPr>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数量：10台</w:t>
      </w:r>
    </w:p>
    <w:p w14:paraId="2645BEBF">
      <w:pPr>
        <w:numPr>
          <w:ilvl w:val="0"/>
          <w:numId w:val="0"/>
        </w:numPr>
        <w:spacing w:line="360" w:lineRule="auto"/>
        <w:ind w:leftChars="0"/>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lang w:val="en-US" w:eastAsia="zh-CN"/>
        </w:rPr>
        <w:t>八、</w:t>
      </w:r>
      <w:r>
        <w:rPr>
          <w:rFonts w:hint="eastAsia" w:asciiTheme="minorEastAsia" w:hAnsiTheme="minorEastAsia" w:eastAsiaTheme="minorEastAsia" w:cstheme="minorEastAsia"/>
          <w:color w:val="auto"/>
          <w:sz w:val="24"/>
          <w:szCs w:val="24"/>
          <w:lang w:val="en-US" w:eastAsia="zh-CN"/>
        </w:rPr>
        <w:t>精品录播教室</w:t>
      </w:r>
    </w:p>
    <w:tbl>
      <w:tblPr>
        <w:tblStyle w:val="25"/>
        <w:tblW w:w="859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7"/>
        <w:gridCol w:w="1433"/>
        <w:gridCol w:w="2976"/>
        <w:gridCol w:w="832"/>
        <w:gridCol w:w="832"/>
        <w:gridCol w:w="715"/>
      </w:tblGrid>
      <w:tr w14:paraId="60F8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8595" w:type="dxa"/>
            <w:gridSpan w:val="6"/>
            <w:tcBorders>
              <w:top w:val="single" w:color="auto" w:sz="4" w:space="0"/>
              <w:left w:val="single" w:color="auto" w:sz="4" w:space="0"/>
              <w:bottom w:val="single" w:color="000000" w:sz="4" w:space="0"/>
              <w:right w:val="single" w:color="auto" w:sz="4" w:space="0"/>
            </w:tcBorders>
            <w:shd w:val="clear" w:color="auto" w:fill="auto"/>
            <w:vAlign w:val="center"/>
          </w:tcPr>
          <w:p w14:paraId="03442D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精品录播系统</w:t>
            </w:r>
          </w:p>
        </w:tc>
      </w:tr>
      <w:tr w14:paraId="6EF0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088C0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D0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产品规格</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C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15" w:type="dxa"/>
            <w:tcBorders>
              <w:top w:val="single" w:color="000000" w:sz="4" w:space="0"/>
              <w:left w:val="single" w:color="000000" w:sz="4" w:space="0"/>
              <w:bottom w:val="single" w:color="000000" w:sz="4" w:space="0"/>
              <w:right w:val="single" w:color="auto" w:sz="4" w:space="0"/>
            </w:tcBorders>
            <w:shd w:val="clear" w:color="auto" w:fill="auto"/>
            <w:vAlign w:val="center"/>
          </w:tcPr>
          <w:p w14:paraId="1855B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A74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2FB69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一、显示系统</w:t>
            </w:r>
          </w:p>
        </w:tc>
        <w:tc>
          <w:tcPr>
            <w:tcW w:w="1433" w:type="dxa"/>
            <w:tcBorders>
              <w:top w:val="single" w:color="000000" w:sz="4" w:space="0"/>
              <w:left w:val="single" w:color="000000" w:sz="4" w:space="0"/>
              <w:bottom w:val="single" w:color="auto" w:sz="4" w:space="0"/>
              <w:right w:val="single" w:color="000000" w:sz="4" w:space="0"/>
            </w:tcBorders>
            <w:shd w:val="clear" w:color="auto" w:fill="auto"/>
            <w:vAlign w:val="center"/>
          </w:tcPr>
          <w:p w14:paraId="5B0E012F">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u w:val="none"/>
              </w:rPr>
            </w:pPr>
          </w:p>
        </w:tc>
        <w:tc>
          <w:tcPr>
            <w:tcW w:w="2976"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4FBC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7AC3C1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1F1072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c>
          <w:tcPr>
            <w:tcW w:w="0" w:type="auto"/>
            <w:tcBorders>
              <w:top w:val="nil"/>
              <w:left w:val="single" w:color="000000" w:sz="4" w:space="0"/>
              <w:bottom w:val="single" w:color="auto" w:sz="4" w:space="0"/>
              <w:right w:val="single" w:color="auto" w:sz="4" w:space="0"/>
            </w:tcBorders>
            <w:shd w:val="clear" w:color="auto" w:fill="auto"/>
            <w:noWrap/>
            <w:vAlign w:val="center"/>
          </w:tcPr>
          <w:p w14:paraId="6520E39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4"/>
                <w:szCs w:val="24"/>
                <w:u w:val="none"/>
              </w:rPr>
            </w:pPr>
          </w:p>
        </w:tc>
      </w:tr>
      <w:tr w14:paraId="577C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7" w:type="dxa"/>
            <w:tcBorders>
              <w:top w:val="single" w:color="auto" w:sz="4" w:space="0"/>
              <w:left w:val="single" w:color="000000" w:sz="4" w:space="0"/>
              <w:bottom w:val="single" w:color="000000" w:sz="4" w:space="0"/>
              <w:right w:val="single" w:color="000000" w:sz="4" w:space="0"/>
            </w:tcBorders>
            <w:shd w:val="clear" w:color="auto" w:fill="auto"/>
            <w:vAlign w:val="center"/>
          </w:tcPr>
          <w:p w14:paraId="6CCED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3" w:type="dxa"/>
            <w:tcBorders>
              <w:top w:val="single" w:color="auto" w:sz="4" w:space="0"/>
              <w:left w:val="single" w:color="000000" w:sz="4" w:space="0"/>
              <w:bottom w:val="single" w:color="000000" w:sz="4" w:space="0"/>
              <w:right w:val="single" w:color="000000" w:sz="4" w:space="0"/>
            </w:tcBorders>
            <w:shd w:val="clear" w:color="auto" w:fill="auto"/>
            <w:vAlign w:val="center"/>
          </w:tcPr>
          <w:p w14:paraId="4F3C23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智慧黑板</w:t>
            </w:r>
          </w:p>
        </w:tc>
        <w:tc>
          <w:tcPr>
            <w:tcW w:w="297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3E7A0B">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内置OPS模块,支持水笔、普通粉笔、无尘粉笔等多种书写方式。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2.中间区域显示屏≥86英寸UHD超高清LED液晶屏，显示分辨率≥3840*2160，显示比例≥16:9，具备防眩光效果。在照度110KLUX（勒克司）环境下仍能正常工作。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3.色域值≥NTSC 72%。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4.屏幕显示灰度分辨等级≥128灰阶。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5.支持感应并自动调节屏幕亮度。</w:t>
            </w:r>
          </w:p>
          <w:p w14:paraId="2ECE3FA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6.电容触控技术，支持双系统多人多点触摸书写，安卓下支持≥20点触摸，Win系统中支持≥20点触控。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7.内置无线网络模块，无任何外接或转接天线、网卡可同时实现Wi-Fi无线上网连接和AP无线热点发射。支持2.4/5.0GHz（6GHz）频段，版本符合IEEE802.11a/b/g/n/ac/ax标准。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8.前置TypeC接口支持全功能音视频输入功能，外接设备通过标准TypeC线连接即可把画面投影到大屏上，同时在本机上可实现触摸电脑的操作，无需再连接其它任何线缆。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9.具备双RJ45网络接口。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10.在安卓系统环境下，可通过左、右侧边栏调取快捷工具，实现屏幕显示二分屏任务协同，通知支持书写和演示图片、文档，支持进入批注模式，可实现扫码进行分享。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11.在任意通道下，可通过手势在任意位置调出中控便捷菜单，具有返回操作、一键主页、任务预览、菜单设置、一键白板、全通道屏幕批注等常用功能，且可自定义新增≥六个快捷应用。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12.整机具备≥6个前置按键，即电源开关键、OPS电脑开关键、主页、音量+/-、设置为物理按键。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13.支持投票功能。可编辑议题及选项内容， 可设置≥10个选项， 支持单选及多选，设置完成后以手机扫码形式下发进行投票，投票结果可生成饼状图或条形图，并支持以图片格式插入到白板。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14.整机支持无线投屏功能，支持通过投屏软件将外部电脑画面传输到大屏上显示，同时接入≥四个设备投屏。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15.支持待机唤醒功能，待机状态下，LAN、HDMI端口支持接入信号时唤醒整机开机。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16.整机可自定义开机默认通道，在任意通道关机均可指定默认通道开机，也可设置关机信号源记忆为开机信号源。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17.支持一网通功能，整机只需一根网线，即可满足OPS和Android双系统的上网需求。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18.前置端口：≥1*HDMI，≥2*USB3.0，≥1*Type-C，≥1*TOUCH 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19.板载I/O接口：≥2*HDMI IN，≥2*USB3.0（随通道切换），≥1*USB2.0，≥1*TOUCH OUT，≥1*VGA IN，≥1*AUDIO IN，≥1*AUDIO OUT，≥1*RS232，≥1*SPDIF，≥1*RJ45 IN（10M/100M/1000Mbps），≥1*RJ45 OUT（10M/100M/1000Mbps）。</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67541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4B46C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BDB93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3C7B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D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教学专用高拍仪</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2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1.模块化电脑方案，抽拉内置式，PC模块可完全插入整机，保护PC模块不易受灰尘影响。80pin接口，实现无单独接线的插拔。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2.按压式开关，可直接拆卸电脑模块，无需工具。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3.配置CPU≥8核，内存≥16G，硬盘≥SSD-512G。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4.前I/O接口：HDMI（支持4096*2160@30Hz）≥1，DP（支持4096*2160@60Hz）≥1；USB2.0≥3，USB3.0≥3，RJ45≥1，MIC IN≥1，Line OUT≥1，Wi-Fi/BT ANT≥2，电源按钮≥1，复位按钮≥1。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EF7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27C3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5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二、录播系统</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3F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56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7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DC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4A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146C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6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F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课程录制服务平台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6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1.内置LCD屏，显示设备运行状态、参数信息、硬盘容量、音频状态、资源通道录制状态、文件拷贝进度。设备具备≥4个物理按键，具备一键录制、停止、直播以及一键拷贝录制文件的能力。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3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5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D8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798B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2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录播导播控制终端</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8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英寸电容式触摸屏，一体化硬件设计，具有录制功能、导播模式、直播、画面切换、开关机≥5大模块，实现开始、暂停、结束录制、设置手动导播或者自动导播、控制开启或关闭直播、切换画面、控制主机的开机或关机多种功能，易用易维护安全性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2.录制功能：支持开始、暂停、结束录制功能。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3.导播模式：支持设置手动导播或者自动导播功能；支持≥8个通道画面进行切换导播。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4.直播：控制开启或者关闭直播功能；</w:t>
            </w: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A93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9D38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DD2BC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2AB9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0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41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特写摄像机</w:t>
            </w:r>
          </w:p>
        </w:tc>
        <w:tc>
          <w:tcPr>
            <w:tcW w:w="2976" w:type="dxa"/>
            <w:tcBorders>
              <w:top w:val="single" w:color="000000" w:sz="4" w:space="0"/>
              <w:left w:val="single" w:color="000000" w:sz="4" w:space="0"/>
              <w:bottom w:val="single" w:color="auto" w:sz="4" w:space="0"/>
              <w:right w:val="single" w:color="auto" w:sz="4" w:space="0"/>
            </w:tcBorders>
            <w:shd w:val="clear" w:color="auto" w:fill="auto"/>
            <w:vAlign w:val="center"/>
          </w:tcPr>
          <w:p w14:paraId="13D4B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1.高清摄像机具备≥20倍光学变倍镜头，并支持≥16倍数字变焦；1/2.8英寸、≥207万有效像素的高品质HD CMOS传感器。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2.镜头焦距f4.42mm ~ 88.5mm, 光圈系数F1.8 ~ F2.8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3.支持1080P60，1080P59.94，1080P50，1080I60，1080I59.94，1080I50，1080P30，1080P29.97，1080P25，720P60，720P59.94，720P50分辨率，支持输出帧率≥60帧/秒。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4.支持HDMI、SDI、USB、网络四路视频同时输出。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5.支持RS232和RS485串口，可对摄像机进行控制；支持预置位数量≥255个，预置位精度：≤0.1°。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6.水平视场角：60.7°～3.36°；支持水平转动范围：-170°～+170°，垂直转动范围：-30°～+90°，水平转动速度范围：水平：1.7° ~ 100°/s，俯仰：1.7° ~ 69.9°/s。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7.支持先进的2D、3D降噪技术。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8.内置AI技术和行人重识别技术，实现自动识别目标人形并跟踪、自动框选功能。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9.支持AAC音频编码，音质更佳，带宽占用更小。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10.支持PoE供电。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11.具备≥1路HDMI输出接口、≥1路3G-SDI输出接口、≥1路USB3.0输出接口，具备≥1路3.5mm音频输入接口和≥1路3.5mm音频输出接口。</w:t>
            </w:r>
          </w:p>
        </w:tc>
        <w:tc>
          <w:tcPr>
            <w:tcW w:w="832" w:type="dxa"/>
            <w:tcBorders>
              <w:top w:val="single" w:color="auto" w:sz="4" w:space="0"/>
              <w:left w:val="single" w:color="auto" w:sz="4" w:space="0"/>
              <w:bottom w:val="single" w:color="auto" w:sz="4" w:space="0"/>
              <w:right w:val="single" w:color="000000" w:sz="4" w:space="0"/>
            </w:tcBorders>
            <w:shd w:val="clear" w:color="auto" w:fill="auto"/>
            <w:vAlign w:val="center"/>
          </w:tcPr>
          <w:p w14:paraId="0B03A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32" w:type="dxa"/>
            <w:tcBorders>
              <w:top w:val="single" w:color="auto" w:sz="4" w:space="0"/>
              <w:left w:val="single" w:color="000000" w:sz="4" w:space="0"/>
              <w:bottom w:val="single" w:color="auto" w:sz="4" w:space="0"/>
              <w:right w:val="single" w:color="000000" w:sz="4" w:space="0"/>
            </w:tcBorders>
            <w:shd w:val="clear" w:color="auto" w:fill="auto"/>
            <w:vAlign w:val="center"/>
          </w:tcPr>
          <w:p w14:paraId="21050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auto" w:sz="4" w:space="0"/>
              <w:left w:val="single" w:color="000000" w:sz="4" w:space="0"/>
              <w:bottom w:val="single" w:color="auto" w:sz="4" w:space="0"/>
              <w:right w:val="single" w:color="auto" w:sz="4" w:space="0"/>
            </w:tcBorders>
            <w:shd w:val="clear" w:color="auto" w:fill="auto"/>
            <w:vAlign w:val="center"/>
          </w:tcPr>
          <w:p w14:paraId="085BE89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2376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D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33" w:type="dxa"/>
            <w:tcBorders>
              <w:top w:val="single" w:color="000000" w:sz="4" w:space="0"/>
              <w:left w:val="single" w:color="000000" w:sz="4" w:space="0"/>
              <w:bottom w:val="single" w:color="000000" w:sz="4" w:space="0"/>
              <w:right w:val="single" w:color="auto" w:sz="4" w:space="0"/>
            </w:tcBorders>
            <w:shd w:val="clear" w:color="auto" w:fill="auto"/>
            <w:vAlign w:val="center"/>
          </w:tcPr>
          <w:p w14:paraId="1DD19D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教师全景摄像机</w:t>
            </w:r>
          </w:p>
        </w:tc>
        <w:tc>
          <w:tcPr>
            <w:tcW w:w="2976" w:type="dxa"/>
            <w:tcBorders>
              <w:top w:val="single" w:color="auto" w:sz="4" w:space="0"/>
              <w:left w:val="single" w:color="auto" w:sz="4" w:space="0"/>
              <w:bottom w:val="single" w:color="auto" w:sz="4" w:space="0"/>
              <w:right w:val="single" w:color="000000" w:sz="4" w:space="0"/>
            </w:tcBorders>
            <w:shd w:val="clear" w:color="auto" w:fill="auto"/>
            <w:vAlign w:val="center"/>
          </w:tcPr>
          <w:p w14:paraId="52535A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1.配置4K Sensor和4K镜头，实现高清电子云台效果。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2.内置领先的图像识别和跟踪算法。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3.全自动对焦无畸变镜头，广角视场≥44°，同时支持EPTZ。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4.CMOS图像传感器可有效降低在低照度情况下的图像噪声，同时应用2D和3D降噪算法，图像信噪比≥55dB。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5.支持PoE一线通功能，电源、视频、音频、控制三线合一。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6.支持交织模式，可实现单摄像头同时输出全景和特写信号，实现一机双镜效果。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7.支持≥3840x2160@30fps分辨率编码网络流输出，并向下兼容。</w:t>
            </w:r>
          </w:p>
        </w:tc>
        <w:tc>
          <w:tcPr>
            <w:tcW w:w="832" w:type="dxa"/>
            <w:tcBorders>
              <w:top w:val="single" w:color="auto" w:sz="4" w:space="0"/>
              <w:left w:val="single" w:color="000000" w:sz="4" w:space="0"/>
              <w:bottom w:val="single" w:color="auto" w:sz="4" w:space="0"/>
              <w:right w:val="single" w:color="auto" w:sz="4" w:space="0"/>
            </w:tcBorders>
            <w:shd w:val="clear" w:color="auto" w:fill="auto"/>
            <w:vAlign w:val="center"/>
          </w:tcPr>
          <w:p w14:paraId="1B57A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auto" w:sz="4" w:space="0"/>
              <w:left w:val="single" w:color="auto" w:sz="4" w:space="0"/>
              <w:bottom w:val="single" w:color="000000" w:sz="4" w:space="0"/>
              <w:right w:val="single" w:color="000000" w:sz="4" w:space="0"/>
            </w:tcBorders>
            <w:shd w:val="clear" w:color="auto" w:fill="auto"/>
            <w:vAlign w:val="center"/>
          </w:tcPr>
          <w:p w14:paraId="0CBB2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auto" w:sz="4" w:space="0"/>
              <w:left w:val="single" w:color="000000" w:sz="4" w:space="0"/>
              <w:bottom w:val="single" w:color="000000" w:sz="4" w:space="0"/>
              <w:right w:val="single" w:color="000000" w:sz="4" w:space="0"/>
            </w:tcBorders>
            <w:shd w:val="clear" w:color="auto" w:fill="auto"/>
            <w:vAlign w:val="center"/>
          </w:tcPr>
          <w:p w14:paraId="71CAEAD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66C4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F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学生全景摄像机</w:t>
            </w:r>
          </w:p>
        </w:tc>
        <w:tc>
          <w:tcPr>
            <w:tcW w:w="2976" w:type="dxa"/>
            <w:tcBorders>
              <w:top w:val="single" w:color="auto" w:sz="4" w:space="0"/>
              <w:left w:val="single" w:color="000000" w:sz="4" w:space="0"/>
              <w:bottom w:val="single" w:color="000000" w:sz="4" w:space="0"/>
              <w:right w:val="single" w:color="000000" w:sz="4" w:space="0"/>
            </w:tcBorders>
            <w:shd w:val="clear" w:color="auto" w:fill="auto"/>
            <w:vAlign w:val="center"/>
          </w:tcPr>
          <w:p w14:paraId="76C86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1.配置4K Sensor和4K镜头，实现高清电子云台效果。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2.内置领先的图像识别和跟踪算法。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3.全自动对焦无畸变镜头，广角视场≥95°，同时支持EPTZ。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4.CMOS图像传感器可有效降低在低照度情况下的图像噪声，同时应用2D和3D降噪算法，图像信噪比≥55dB。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5.支持PoE一线通功能，电源、视频、音频、控制三线合一。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6.支持交织模式，可实现单摄像头同时输出全景和特写信号，实现一机双镜效果。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7.支持≥3840x2160@30fps分辨率编码网络流输出，并向下兼容。</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15B65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199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5DEB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F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三、音频系统</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42A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2976" w:type="dxa"/>
            <w:tcBorders>
              <w:top w:val="single" w:color="000000" w:sz="4" w:space="0"/>
              <w:left w:val="nil"/>
              <w:bottom w:val="single" w:color="000000" w:sz="4" w:space="0"/>
              <w:right w:val="single" w:color="000000" w:sz="4" w:space="0"/>
            </w:tcBorders>
            <w:shd w:val="clear" w:color="auto" w:fill="auto"/>
            <w:vAlign w:val="center"/>
          </w:tcPr>
          <w:p w14:paraId="1ECB9F7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832" w:type="dxa"/>
            <w:tcBorders>
              <w:top w:val="nil"/>
              <w:left w:val="single" w:color="000000" w:sz="4" w:space="0"/>
              <w:bottom w:val="single" w:color="000000" w:sz="4" w:space="0"/>
              <w:right w:val="single" w:color="000000" w:sz="4" w:space="0"/>
            </w:tcBorders>
            <w:shd w:val="clear" w:color="auto" w:fill="auto"/>
            <w:vAlign w:val="center"/>
          </w:tcPr>
          <w:p w14:paraId="67812F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8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ADB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2DD1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9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教师拾音麦</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9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1.高灵敏度全指向性咪头，全向拾音。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2.内置专用音频信号处理功能。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3.支持48V幻象供电，平衡输出。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4.信号处理电路：专用音频信号处理电路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5.内置雷击保护、电源极性反接保护和静电保护。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6.拾音范围等同或优于：5-50㎡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9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C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715" w:type="dxa"/>
            <w:tcBorders>
              <w:top w:val="single" w:color="000000" w:sz="4" w:space="0"/>
              <w:left w:val="single" w:color="000000" w:sz="4" w:space="0"/>
              <w:bottom w:val="nil"/>
              <w:right w:val="single" w:color="000000" w:sz="4" w:space="0"/>
            </w:tcBorders>
            <w:shd w:val="clear" w:color="auto" w:fill="auto"/>
            <w:vAlign w:val="center"/>
          </w:tcPr>
          <w:p w14:paraId="7BBA564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7FE0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8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B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录播专用处理器</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C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1.工业级嵌入式架构，集成自动噪音抑制技术。具备回声消除功能，远程回声消除延迟能力有128ms，256ms，512ms。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2.具备≥8路平衡输入接口，支持差分输入，支持48V幻象供电，支持≥16段EQ处理功能；具备≥4路单声道LINE IN输入接口；具备≥4路平衡输出接口。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3.支持≥8路智能混音。支持NOMA功能，根据开启的MIC 数量自动调整系统的输出电平。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4.支持灵活的配置方式，支持通过网口、RS485接口进行软件升级和参数配置输入/输出增益、EQ、AGC、降噪等级等参数。可通过网络进行监听，软件升级和参数配置。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nil"/>
            </w:tcBorders>
            <w:shd w:val="clear" w:color="auto" w:fill="auto"/>
            <w:vAlign w:val="center"/>
          </w:tcPr>
          <w:p w14:paraId="049D0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15" w:type="dxa"/>
            <w:tcBorders>
              <w:top w:val="single" w:color="000000" w:sz="4" w:space="0"/>
              <w:left w:val="single" w:color="000000" w:sz="4" w:space="0"/>
              <w:bottom w:val="nil"/>
              <w:right w:val="single" w:color="000000" w:sz="4" w:space="0"/>
            </w:tcBorders>
            <w:shd w:val="clear" w:color="auto" w:fill="auto"/>
            <w:vAlign w:val="center"/>
          </w:tcPr>
          <w:p w14:paraId="0CBBB9A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1B9C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5D51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33" w:type="dxa"/>
            <w:tcBorders>
              <w:top w:val="single" w:color="000000" w:sz="4" w:space="0"/>
              <w:left w:val="single" w:color="000000" w:sz="4" w:space="0"/>
              <w:bottom w:val="single" w:color="auto" w:sz="4" w:space="0"/>
              <w:right w:val="single" w:color="000000" w:sz="4" w:space="0"/>
            </w:tcBorders>
            <w:shd w:val="clear" w:color="auto" w:fill="auto"/>
            <w:vAlign w:val="center"/>
          </w:tcPr>
          <w:p w14:paraId="09F65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音源采集器</w:t>
            </w:r>
          </w:p>
        </w:tc>
        <w:tc>
          <w:tcPr>
            <w:tcW w:w="2976"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01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1.具有≥1路话筒输入接口、≥1路立体声线路输入接口、≥1路线路输出接口、≥1路100V广播输入接口，≥1个麦克风音量调节旋钮，≥1个线路输入音量调节旋钮，≥2个高低音调节旋钮。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2.内置数字无线教学接收模块，可接入≥1个教学无线手持麦。音频传输基于U段的话筒无线音频传输技术，无线音频传输满足640MHz至690MHz的频率调制范围，同时具备自动扫频与对频技术功能。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3.具有输出过载、过压、短路保护功能。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4.整机配置≥1只手持式麦克风，麦克风具有≥1路3.5mm音频接口可用于接入头戴麦配件。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手持式麦克风具有OLED显示屏和物理按键，显示屏的显示内容包括但不限于频率、音量、开关麦状态、电量、功率等级参数，并且具备音量加按键、音量减按键、电源开关键，物理按键具备清晰的按压反馈，电源开关键长按开关机，短按开关静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6.手持式麦克风具有≥2种充电方式，包括但不限于座式话筒充电座触点充电和TYPE-C接口充电。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7.手持式麦克风具有智能检测麦克风状态功能，40分钟无音频输入自动关机实现省电功能。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8.红外对频技术，可实现无线麦克风自动接入系统，不会串频到其他房间或者场景。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10.具有智能扫频功能，自动选择并避开干扰频段。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11.具备远程升级功能，可实现蓝牙在线升级。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12.内置高保真扬声器，功放额定功率≥2×40W。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13.信噪比≥70dB。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14.频率响应等同或优于40Hz~20KHz(≤±3dB)。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15.谐波失真≤1%。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C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58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6592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14:paraId="6A5BF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四、观摩室</w:t>
            </w:r>
          </w:p>
        </w:tc>
        <w:tc>
          <w:tcPr>
            <w:tcW w:w="1433" w:type="dxa"/>
            <w:tcBorders>
              <w:top w:val="single" w:color="auto" w:sz="4" w:space="0"/>
              <w:left w:val="single" w:color="000000" w:sz="4" w:space="0"/>
              <w:bottom w:val="single" w:color="auto" w:sz="4" w:space="0"/>
              <w:right w:val="single" w:color="000000" w:sz="4" w:space="0"/>
            </w:tcBorders>
            <w:shd w:val="clear" w:color="auto" w:fill="auto"/>
            <w:vAlign w:val="center"/>
          </w:tcPr>
          <w:p w14:paraId="33A8639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2976" w:type="dxa"/>
            <w:tcBorders>
              <w:top w:val="single" w:color="auto" w:sz="4" w:space="0"/>
              <w:left w:val="nil"/>
              <w:bottom w:val="single" w:color="auto" w:sz="4" w:space="0"/>
              <w:right w:val="single" w:color="auto" w:sz="4" w:space="0"/>
            </w:tcBorders>
            <w:shd w:val="clear" w:color="auto" w:fill="auto"/>
            <w:vAlign w:val="center"/>
          </w:tcPr>
          <w:p w14:paraId="44577EF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620D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715D3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71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A72C1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6ACC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CF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98CE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录播导播移动端软件</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FABFA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1.支持画面预览，可查看≥6路摄像机画面和1路PGM画面。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2.支持画面布局设置，支持≥单画面、双画面、三画面、四画面等多种布局样式，可进行自由切换。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3.支持手动、自动等多种导播方式，可“一键式”开启全自动图像跟踪拍摄录制。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4.支持课堂召集功能。互动模式下，主讲课室可以通过查看历史记录直接对参加过课堂互动的教室终端发起互动功能，无需做额外配置，方便快捷。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5.支持视频点播功能，无需下载即可对录制视频文件进行播放、暂停、拖拉进度等操作。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6.配套国产电脑，无线键鼠套装一套，55英寸4K超高清全面屏一台，导播键盘一套。</w:t>
            </w:r>
          </w:p>
        </w:tc>
        <w:tc>
          <w:tcPr>
            <w:tcW w:w="832" w:type="dxa"/>
            <w:tcBorders>
              <w:top w:val="single" w:color="000000" w:sz="4" w:space="0"/>
              <w:left w:val="single" w:color="auto" w:sz="4" w:space="0"/>
              <w:bottom w:val="single" w:color="000000" w:sz="4" w:space="0"/>
              <w:right w:val="single" w:color="auto" w:sz="4" w:space="0"/>
            </w:tcBorders>
            <w:shd w:val="clear" w:color="auto" w:fill="auto"/>
            <w:vAlign w:val="center"/>
          </w:tcPr>
          <w:p w14:paraId="72BF7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auto" w:sz="4" w:space="0"/>
              <w:left w:val="single" w:color="auto" w:sz="4" w:space="0"/>
              <w:bottom w:val="single" w:color="auto" w:sz="4" w:space="0"/>
              <w:right w:val="single" w:color="000000" w:sz="4" w:space="0"/>
            </w:tcBorders>
            <w:shd w:val="clear" w:color="auto" w:fill="auto"/>
            <w:vAlign w:val="center"/>
          </w:tcPr>
          <w:p w14:paraId="227BA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套</w:t>
            </w:r>
          </w:p>
        </w:tc>
        <w:tc>
          <w:tcPr>
            <w:tcW w:w="715" w:type="dxa"/>
            <w:tcBorders>
              <w:top w:val="single" w:color="auto" w:sz="4" w:space="0"/>
              <w:left w:val="single" w:color="000000" w:sz="4" w:space="0"/>
              <w:bottom w:val="single" w:color="auto" w:sz="4" w:space="0"/>
              <w:right w:val="single" w:color="auto" w:sz="4" w:space="0"/>
            </w:tcBorders>
            <w:shd w:val="clear" w:color="auto" w:fill="auto"/>
            <w:vAlign w:val="center"/>
          </w:tcPr>
          <w:p w14:paraId="330A260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1D6D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9F3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6FBFF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音源采集器</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02AB45A">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有源音箱内置高保真扬声器，额定输出功率支持≥2×25W，支持4-8Ω输出阻抗。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2.支持≥1路话筒和≥1路立体声线路输入接口、≥1路立体声线路输出接口，带默音功能，话筒优先于线路输入。具有≥1个麦克风音量调节，≥1个线路输入音量调节，≥2个高低音调节。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3.支持≥100V广播输入接口。</w:t>
            </w:r>
          </w:p>
          <w:p w14:paraId="6DC6E72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4.有输出过载、过压、短路保护。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5.信噪比≥70dB，频率响应等同或优于40Hz~20KHz(≤±3dB)，谐波失真≤1%。</w:t>
            </w:r>
          </w:p>
        </w:tc>
        <w:tc>
          <w:tcPr>
            <w:tcW w:w="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5B3DB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107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C766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14:paraId="4FC7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287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五、其他设备</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77692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353274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c>
          <w:tcPr>
            <w:tcW w:w="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48208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F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C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u w:val="none"/>
              </w:rPr>
            </w:pPr>
          </w:p>
        </w:tc>
      </w:tr>
      <w:tr w14:paraId="5EE6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F34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8846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装修（含设备安装及布线）</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A705D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1.墙面：墙面空腔隔断，填充木工板框架造型，安装石膏板选用环保、耐火性高的材质。</w:t>
            </w:r>
          </w:p>
          <w:p w14:paraId="31492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2.地面：普通硅酸盐1:2水泥砂浆,找平，静音2*2000*20000毫米塑胶地板饰面。</w:t>
            </w:r>
          </w:p>
          <w:p w14:paraId="58E681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3.吊顶：1200*2400毫米铝制蜂窝大板吊顶。</w:t>
            </w:r>
          </w:p>
          <w:p w14:paraId="5E0B5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4.教室门：添置木制门一道。</w:t>
            </w:r>
          </w:p>
          <w:p w14:paraId="49816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5.灯光改造：按比例配置射灯和线性灯。                                                          6.教师讲台1000x1400x450毫米木作、40套600*750*450毫米课桌(包含设备的安装、调试、测试及所有线缆辅材、插线板、分配器等)。                                                         7.含设备安装及布线及机柜交换机等辅材。</w:t>
            </w:r>
          </w:p>
          <w:p w14:paraId="798F74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8.隔墙中央安装10mm超白玻璃。</w:t>
            </w:r>
          </w:p>
          <w:p w14:paraId="068B7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9.墙面维修处理：包含返碱、脱落等铲除从新批刮腻子粉两边，乳胶漆饰面等。      </w:t>
            </w:r>
          </w:p>
        </w:tc>
        <w:tc>
          <w:tcPr>
            <w:tcW w:w="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3B961B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9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C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u w:val="none"/>
                <w:lang w:val="en-US" w:eastAsia="zh-CN" w:bidi="ar"/>
              </w:rPr>
            </w:pPr>
          </w:p>
        </w:tc>
      </w:tr>
    </w:tbl>
    <w:p w14:paraId="63C7C33A">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服务期</w:t>
      </w:r>
      <w:bookmarkStart w:id="259" w:name="_Toc7027"/>
      <w:bookmarkStart w:id="260" w:name="_Toc8272"/>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60个日历日内。</w:t>
      </w:r>
    </w:p>
    <w:p w14:paraId="473423A2">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r>
        <w:rPr>
          <w:rFonts w:hint="eastAsia" w:ascii="宋体" w:hAnsi="宋体" w:eastAsia="宋体" w:cs="宋体"/>
          <w:b w:val="0"/>
          <w:bCs w:val="0"/>
          <w:color w:val="auto"/>
          <w:sz w:val="24"/>
          <w:szCs w:val="24"/>
          <w:highlight w:val="none"/>
          <w:lang w:val="en-US" w:eastAsia="zh-CN"/>
        </w:rPr>
        <w:t>软件服务1年，货物3年。</w:t>
      </w:r>
    </w:p>
    <w:p w14:paraId="4466718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r>
        <w:rPr>
          <w:rFonts w:hint="eastAsia" w:asciiTheme="minorEastAsia" w:hAnsiTheme="minorEastAsia" w:eastAsiaTheme="minorEastAsia" w:cstheme="minorEastAsia"/>
          <w:color w:val="auto"/>
          <w:sz w:val="24"/>
          <w:szCs w:val="24"/>
        </w:rPr>
        <w:t>甲方在签订本合同后</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乙方为甲方开具等额发票十</w:t>
      </w: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lang w:val="en-US" w:eastAsia="zh-CN"/>
        </w:rPr>
        <w:t>工作</w:t>
      </w:r>
      <w:r>
        <w:rPr>
          <w:rFonts w:hint="eastAsia" w:asciiTheme="minorEastAsia" w:hAnsiTheme="minorEastAsia" w:eastAsiaTheme="minorEastAsia" w:cstheme="minorEastAsia"/>
          <w:color w:val="auto"/>
          <w:sz w:val="24"/>
          <w:szCs w:val="24"/>
        </w:rPr>
        <w:t>日内，向乙方支付合同价款的40%；在乙方安装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装修、</w:t>
      </w:r>
      <w:r>
        <w:rPr>
          <w:rFonts w:hint="eastAsia" w:asciiTheme="minorEastAsia" w:hAnsiTheme="minorEastAsia" w:eastAsiaTheme="minorEastAsia" w:cstheme="minorEastAsia"/>
          <w:color w:val="auto"/>
          <w:sz w:val="24"/>
          <w:szCs w:val="24"/>
        </w:rPr>
        <w:t>调试完毕试运行</w:t>
      </w:r>
      <w:r>
        <w:rPr>
          <w:rFonts w:hint="eastAsia" w:asciiTheme="minorEastAsia" w:hAnsiTheme="minorEastAsia" w:eastAsiaTheme="minorEastAsia" w:cstheme="minorEastAsia"/>
          <w:color w:val="auto"/>
          <w:sz w:val="24"/>
          <w:szCs w:val="24"/>
          <w:lang w:val="en-US" w:eastAsia="zh-CN"/>
        </w:rPr>
        <w:t>正常</w:t>
      </w:r>
      <w:r>
        <w:rPr>
          <w:rFonts w:hint="eastAsia" w:asciiTheme="minorEastAsia" w:hAnsiTheme="minorEastAsia" w:eastAsiaTheme="minorEastAsia" w:cstheme="minorEastAsia"/>
          <w:color w:val="auto"/>
          <w:sz w:val="24"/>
          <w:szCs w:val="24"/>
        </w:rPr>
        <w:t>并经甲方初步验收合格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凭乙方出具等额发票后</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val="en-US" w:eastAsia="zh-CN"/>
        </w:rPr>
        <w:t>个工作</w:t>
      </w:r>
      <w:r>
        <w:rPr>
          <w:rFonts w:hint="eastAsia" w:asciiTheme="minorEastAsia" w:hAnsiTheme="minorEastAsia" w:eastAsiaTheme="minorEastAsia" w:cstheme="minorEastAsia"/>
          <w:color w:val="auto"/>
          <w:sz w:val="24"/>
          <w:szCs w:val="24"/>
        </w:rPr>
        <w:t>日内，甲方支付价款的40%；初步验收合格试运行一个月后，进行整体验收合格，整体验收合格后凭乙方出具等额发票后，支付剩余20%价款</w:t>
      </w:r>
      <w:r>
        <w:rPr>
          <w:rFonts w:hint="eastAsia" w:ascii="宋体" w:hAnsi="宋体" w:eastAsia="宋体" w:cs="宋体"/>
          <w:b/>
          <w:bCs/>
          <w:color w:val="auto"/>
          <w:sz w:val="24"/>
          <w:szCs w:val="24"/>
          <w:highlight w:val="none"/>
          <w:lang w:val="en-US" w:eastAsia="zh-CN"/>
        </w:rPr>
        <w:t>。</w:t>
      </w:r>
    </w:p>
    <w:p w14:paraId="42162D32">
      <w:pPr>
        <w:pStyle w:val="11"/>
        <w:spacing w:line="360" w:lineRule="auto"/>
        <w:outlineLvl w:val="0"/>
        <w:rPr>
          <w:rFonts w:hint="eastAsia" w:ascii="宋体" w:hAnsi="宋体" w:eastAsia="宋体" w:cs="宋体"/>
          <w:b/>
          <w:bCs/>
          <w:color w:val="auto"/>
          <w:kern w:val="2"/>
          <w:sz w:val="32"/>
          <w:szCs w:val="32"/>
          <w:highlight w:val="none"/>
          <w:lang w:val="zh-CN" w:eastAsia="zh-CN" w:bidi="ar-SA"/>
        </w:rPr>
      </w:pPr>
    </w:p>
    <w:bookmarkEnd w:id="259"/>
    <w:bookmarkEnd w:id="260"/>
    <w:p w14:paraId="5CFBBD5D">
      <w:pPr>
        <w:spacing w:after="0"/>
        <w:ind w:right="162"/>
        <w:jc w:val="both"/>
        <w:rPr>
          <w:rFonts w:hint="eastAsia" w:asciiTheme="minorEastAsia" w:hAnsiTheme="minorEastAsia" w:eastAsiaTheme="minorEastAsia" w:cstheme="minorEastAsia"/>
          <w:color w:val="auto"/>
          <w:sz w:val="44"/>
          <w:szCs w:val="44"/>
        </w:rPr>
      </w:pPr>
    </w:p>
    <w:p w14:paraId="1A15A43E">
      <w:pPr>
        <w:spacing w:after="0"/>
        <w:ind w:right="162"/>
        <w:jc w:val="center"/>
        <w:rPr>
          <w:rFonts w:hint="eastAsia" w:asciiTheme="minorEastAsia" w:hAnsiTheme="minorEastAsia" w:eastAsiaTheme="minorEastAsia" w:cstheme="minorEastAsia"/>
          <w:color w:val="auto"/>
          <w:sz w:val="44"/>
          <w:szCs w:val="44"/>
        </w:rPr>
      </w:pPr>
    </w:p>
    <w:p w14:paraId="7361A522">
      <w:pPr>
        <w:spacing w:after="0"/>
        <w:ind w:right="162"/>
        <w:jc w:val="center"/>
        <w:rPr>
          <w:rFonts w:hint="eastAsia" w:asciiTheme="minorEastAsia" w:hAnsiTheme="minorEastAsia" w:eastAsiaTheme="minorEastAsia" w:cstheme="minorEastAsia"/>
          <w:color w:val="auto"/>
          <w:sz w:val="44"/>
          <w:szCs w:val="44"/>
        </w:rPr>
      </w:pPr>
    </w:p>
    <w:p w14:paraId="5F7F0898">
      <w:pPr>
        <w:spacing w:after="0"/>
        <w:ind w:right="162"/>
        <w:jc w:val="center"/>
        <w:rPr>
          <w:rFonts w:hint="eastAsia" w:asciiTheme="minorEastAsia" w:hAnsiTheme="minorEastAsia" w:eastAsiaTheme="minorEastAsia" w:cstheme="minorEastAsia"/>
          <w:color w:val="auto"/>
          <w:sz w:val="44"/>
          <w:szCs w:val="44"/>
        </w:rPr>
      </w:pPr>
    </w:p>
    <w:p w14:paraId="3BFA3E61">
      <w:pPr>
        <w:tabs>
          <w:tab w:val="left" w:pos="7704"/>
        </w:tabs>
        <w:spacing w:after="0"/>
        <w:ind w:right="162"/>
        <w:jc w:val="center"/>
        <w:rPr>
          <w:rFonts w:hint="eastAsia" w:asciiTheme="minorEastAsia" w:hAnsiTheme="minorEastAsia" w:eastAsiaTheme="minorEastAsia" w:cstheme="minorEastAsia"/>
          <w:b/>
          <w:bCs/>
          <w:color w:val="auto"/>
          <w:kern w:val="2"/>
          <w:sz w:val="52"/>
          <w:szCs w:val="52"/>
          <w:lang w:val="en-US" w:eastAsia="zh-CN" w:bidi="ar-SA"/>
        </w:rPr>
      </w:pPr>
      <w:r>
        <w:rPr>
          <w:rFonts w:hint="eastAsia" w:asciiTheme="minorEastAsia" w:hAnsiTheme="minorEastAsia" w:eastAsiaTheme="minorEastAsia" w:cstheme="minorEastAsia"/>
          <w:b/>
          <w:bCs/>
          <w:color w:val="auto"/>
          <w:kern w:val="2"/>
          <w:sz w:val="52"/>
          <w:szCs w:val="52"/>
          <w:lang w:val="en-US" w:eastAsia="zh-CN" w:bidi="ar-SA"/>
        </w:rPr>
        <w:t>市委党校智慧化校园建设</w:t>
      </w:r>
    </w:p>
    <w:p w14:paraId="77AABDDF">
      <w:pPr>
        <w:tabs>
          <w:tab w:val="left" w:pos="7704"/>
        </w:tabs>
        <w:spacing w:after="0"/>
        <w:ind w:right="162"/>
        <w:jc w:val="center"/>
        <w:rPr>
          <w:rFonts w:hint="eastAsia" w:asciiTheme="minorEastAsia" w:hAnsiTheme="minorEastAsia" w:eastAsiaTheme="minorEastAsia" w:cstheme="minorEastAsia"/>
          <w:b/>
          <w:bCs/>
          <w:color w:val="auto"/>
          <w:sz w:val="52"/>
          <w:szCs w:val="52"/>
        </w:rPr>
      </w:pPr>
      <w:r>
        <w:rPr>
          <w:rFonts w:hint="eastAsia" w:asciiTheme="minorEastAsia" w:hAnsiTheme="minorEastAsia" w:eastAsiaTheme="minorEastAsia" w:cstheme="minorEastAsia"/>
          <w:b/>
          <w:bCs/>
          <w:color w:val="auto"/>
          <w:kern w:val="2"/>
          <w:sz w:val="52"/>
          <w:szCs w:val="52"/>
          <w:lang w:val="en-US" w:eastAsia="zh-CN" w:bidi="ar-SA"/>
        </w:rPr>
        <w:t>项目</w:t>
      </w:r>
      <w:r>
        <w:rPr>
          <w:rFonts w:hint="eastAsia" w:asciiTheme="minorEastAsia" w:hAnsiTheme="minorEastAsia" w:eastAsiaTheme="minorEastAsia" w:cstheme="minorEastAsia"/>
          <w:b/>
          <w:bCs/>
          <w:color w:val="auto"/>
          <w:sz w:val="52"/>
          <w:szCs w:val="52"/>
        </w:rPr>
        <w:t>合同</w:t>
      </w:r>
    </w:p>
    <w:p w14:paraId="1F2B2239">
      <w:pPr>
        <w:spacing w:after="0"/>
        <w:ind w:right="162"/>
        <w:jc w:val="center"/>
        <w:rPr>
          <w:rFonts w:hint="eastAsia" w:asciiTheme="minorEastAsia" w:hAnsiTheme="minorEastAsia" w:eastAsiaTheme="minorEastAsia" w:cstheme="minorEastAsia"/>
          <w:color w:val="auto"/>
          <w:sz w:val="28"/>
          <w:szCs w:val="28"/>
        </w:rPr>
      </w:pPr>
    </w:p>
    <w:p w14:paraId="62CE07F0">
      <w:pPr>
        <w:spacing w:after="0"/>
        <w:ind w:right="162"/>
        <w:jc w:val="center"/>
        <w:rPr>
          <w:rFonts w:hint="eastAsia" w:asciiTheme="minorEastAsia" w:hAnsiTheme="minorEastAsia" w:eastAsiaTheme="minorEastAsia" w:cstheme="minorEastAsia"/>
          <w:color w:val="auto"/>
          <w:sz w:val="28"/>
          <w:szCs w:val="28"/>
        </w:rPr>
      </w:pPr>
    </w:p>
    <w:p w14:paraId="2C2518ED">
      <w:pPr>
        <w:spacing w:after="0"/>
        <w:ind w:right="162"/>
        <w:jc w:val="center"/>
        <w:rPr>
          <w:rFonts w:hint="eastAsia" w:asciiTheme="minorEastAsia" w:hAnsiTheme="minorEastAsia" w:eastAsiaTheme="minorEastAsia" w:cstheme="minorEastAsia"/>
          <w:color w:val="auto"/>
          <w:sz w:val="28"/>
          <w:szCs w:val="28"/>
        </w:rPr>
      </w:pPr>
    </w:p>
    <w:p w14:paraId="272F96C5">
      <w:pPr>
        <w:tabs>
          <w:tab w:val="center" w:pos="2524"/>
          <w:tab w:val="center" w:pos="6928"/>
        </w:tabs>
        <w:spacing w:after="0"/>
        <w:jc w:val="center"/>
        <w:rPr>
          <w:rFonts w:hint="eastAsia" w:asciiTheme="minorEastAsia" w:hAnsiTheme="minorEastAsia" w:eastAsiaTheme="minorEastAsia" w:cstheme="minorEastAsia"/>
          <w:color w:val="auto"/>
          <w:sz w:val="28"/>
          <w:szCs w:val="28"/>
        </w:rPr>
      </w:pPr>
    </w:p>
    <w:p w14:paraId="02FFD237">
      <w:pPr>
        <w:pStyle w:val="44"/>
        <w:rPr>
          <w:rFonts w:hint="eastAsia" w:asciiTheme="minorEastAsia" w:hAnsiTheme="minorEastAsia" w:eastAsiaTheme="minorEastAsia" w:cstheme="minorEastAsia"/>
          <w:color w:val="auto"/>
          <w:sz w:val="28"/>
          <w:szCs w:val="28"/>
        </w:rPr>
      </w:pPr>
    </w:p>
    <w:p w14:paraId="2194654B">
      <w:pPr>
        <w:pStyle w:val="44"/>
        <w:rPr>
          <w:rFonts w:hint="eastAsia" w:asciiTheme="minorEastAsia" w:hAnsiTheme="minorEastAsia" w:eastAsiaTheme="minorEastAsia" w:cstheme="minorEastAsia"/>
          <w:color w:val="auto"/>
          <w:sz w:val="28"/>
          <w:szCs w:val="28"/>
        </w:rPr>
      </w:pPr>
    </w:p>
    <w:p w14:paraId="646BF1BE">
      <w:pPr>
        <w:pStyle w:val="44"/>
        <w:rPr>
          <w:rFonts w:hint="eastAsia" w:asciiTheme="minorEastAsia" w:hAnsiTheme="minorEastAsia" w:eastAsiaTheme="minorEastAsia" w:cstheme="minorEastAsia"/>
          <w:color w:val="auto"/>
          <w:sz w:val="28"/>
          <w:szCs w:val="28"/>
        </w:rPr>
      </w:pPr>
    </w:p>
    <w:p w14:paraId="265531FF">
      <w:pPr>
        <w:pStyle w:val="44"/>
        <w:rPr>
          <w:rFonts w:hint="eastAsia" w:asciiTheme="minorEastAsia" w:hAnsiTheme="minorEastAsia" w:eastAsiaTheme="minorEastAsia" w:cstheme="minorEastAsia"/>
          <w:color w:val="auto"/>
          <w:sz w:val="28"/>
          <w:szCs w:val="28"/>
        </w:rPr>
      </w:pPr>
    </w:p>
    <w:p w14:paraId="0D1BA69F">
      <w:pPr>
        <w:pStyle w:val="44"/>
        <w:rPr>
          <w:rFonts w:hint="eastAsia" w:asciiTheme="minorEastAsia" w:hAnsiTheme="minorEastAsia" w:eastAsiaTheme="minorEastAsia" w:cstheme="minorEastAsia"/>
          <w:color w:val="auto"/>
          <w:sz w:val="28"/>
          <w:szCs w:val="28"/>
        </w:rPr>
      </w:pPr>
    </w:p>
    <w:p w14:paraId="6BB36DF6">
      <w:pPr>
        <w:pStyle w:val="44"/>
        <w:rPr>
          <w:rFonts w:hint="eastAsia" w:asciiTheme="minorEastAsia" w:hAnsiTheme="minorEastAsia" w:eastAsiaTheme="minorEastAsia" w:cstheme="minorEastAsia"/>
          <w:color w:val="auto"/>
          <w:sz w:val="28"/>
          <w:szCs w:val="28"/>
        </w:rPr>
      </w:pPr>
    </w:p>
    <w:p w14:paraId="33E5CB4F">
      <w:pPr>
        <w:pStyle w:val="44"/>
        <w:rPr>
          <w:rFonts w:hint="eastAsia" w:asciiTheme="minorEastAsia" w:hAnsiTheme="minorEastAsia" w:eastAsiaTheme="minorEastAsia" w:cstheme="minorEastAsia"/>
          <w:color w:val="auto"/>
          <w:sz w:val="28"/>
          <w:szCs w:val="28"/>
        </w:rPr>
      </w:pPr>
    </w:p>
    <w:p w14:paraId="7F73D7E2">
      <w:pPr>
        <w:pStyle w:val="44"/>
        <w:rPr>
          <w:rFonts w:hint="eastAsia" w:asciiTheme="minorEastAsia" w:hAnsiTheme="minorEastAsia" w:eastAsiaTheme="minorEastAsia" w:cstheme="minorEastAsia"/>
          <w:color w:val="auto"/>
          <w:sz w:val="28"/>
          <w:szCs w:val="28"/>
        </w:rPr>
      </w:pPr>
    </w:p>
    <w:p w14:paraId="55C2B247">
      <w:pPr>
        <w:pStyle w:val="44"/>
        <w:rPr>
          <w:rFonts w:hint="eastAsia" w:asciiTheme="minorEastAsia" w:hAnsiTheme="minorEastAsia" w:eastAsiaTheme="minorEastAsia" w:cstheme="minorEastAsia"/>
          <w:color w:val="auto"/>
          <w:sz w:val="28"/>
          <w:szCs w:val="28"/>
        </w:rPr>
      </w:pPr>
    </w:p>
    <w:p w14:paraId="6060C96A">
      <w:pPr>
        <w:pStyle w:val="44"/>
        <w:rPr>
          <w:rFonts w:hint="eastAsia" w:asciiTheme="minorEastAsia" w:hAnsiTheme="minorEastAsia" w:eastAsiaTheme="minorEastAsia" w:cstheme="minorEastAsia"/>
          <w:color w:val="auto"/>
          <w:sz w:val="28"/>
          <w:szCs w:val="28"/>
        </w:rPr>
      </w:pPr>
    </w:p>
    <w:p w14:paraId="29347735">
      <w:pPr>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w:t>
      </w:r>
      <w:r>
        <w:rPr>
          <w:rFonts w:hint="eastAsia" w:asciiTheme="minorEastAsia" w:hAnsiTheme="minorEastAsia" w:eastAsiaTheme="minorEastAsia" w:cstheme="minorEastAsia"/>
          <w:color w:val="auto"/>
          <w:sz w:val="28"/>
          <w:szCs w:val="28"/>
          <w:lang w:val="en-US" w:eastAsia="zh-CN"/>
        </w:rPr>
        <w:t>人</w:t>
      </w:r>
      <w:r>
        <w:rPr>
          <w:rFonts w:hint="eastAsia" w:asciiTheme="minorEastAsia" w:hAnsiTheme="minorEastAsia" w:eastAsiaTheme="minorEastAsia" w:cstheme="minorEastAsia"/>
          <w:color w:val="auto"/>
          <w:sz w:val="28"/>
          <w:szCs w:val="28"/>
        </w:rPr>
        <w:t>（甲方）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中共安康市委党校（安康市行政学院）</w:t>
      </w:r>
      <w:r>
        <w:rPr>
          <w:rFonts w:hint="eastAsia" w:asciiTheme="minorEastAsia" w:hAnsiTheme="minorEastAsia" w:eastAsiaTheme="minorEastAsia" w:cstheme="minorEastAsia"/>
          <w:color w:val="auto"/>
          <w:sz w:val="28"/>
          <w:szCs w:val="28"/>
        </w:rPr>
        <w:t xml:space="preserve">    </w:t>
      </w:r>
    </w:p>
    <w:p w14:paraId="28E06E33">
      <w:pPr>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（乙方）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 xml:space="preserve">                 </w:t>
      </w:r>
    </w:p>
    <w:p w14:paraId="665347FC">
      <w:pPr>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签订时间</w:t>
      </w:r>
      <w:r>
        <w:rPr>
          <w:rFonts w:hint="eastAsia" w:asciiTheme="minorEastAsia" w:hAnsiTheme="minorEastAsia" w:eastAsiaTheme="minorEastAsia" w:cstheme="minorEastAsia"/>
          <w:color w:val="auto"/>
          <w:sz w:val="28"/>
          <w:szCs w:val="28"/>
          <w:lang w:val="en-US" w:eastAsia="zh-CN"/>
        </w:rPr>
        <w:t xml:space="preserve"> ： </w:t>
      </w:r>
      <w:r>
        <w:rPr>
          <w:rFonts w:hint="eastAsia" w:asciiTheme="minorEastAsia" w:hAnsiTheme="minorEastAsia" w:eastAsiaTheme="minorEastAsia" w:cstheme="minorEastAsia"/>
          <w:color w:val="auto"/>
          <w:sz w:val="28"/>
          <w:szCs w:val="28"/>
        </w:rPr>
        <w:t>2025年  月   日</w:t>
      </w:r>
    </w:p>
    <w:p w14:paraId="7CD0B701">
      <w:pPr>
        <w:spacing w:after="0"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签订地点</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：陕西省安康市</w:t>
      </w:r>
      <w:r>
        <w:rPr>
          <w:rFonts w:hint="eastAsia" w:asciiTheme="minorEastAsia" w:hAnsiTheme="minorEastAsia" w:eastAsiaTheme="minorEastAsia" w:cstheme="minorEastAsia"/>
          <w:color w:val="auto"/>
          <w:sz w:val="28"/>
          <w:szCs w:val="28"/>
        </w:rPr>
        <w:t xml:space="preserve">          </w:t>
      </w:r>
    </w:p>
    <w:p w14:paraId="4A3C2455">
      <w:pPr>
        <w:spacing w:after="0"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8"/>
          <w:szCs w:val="28"/>
        </w:rPr>
        <w:br w:type="page"/>
      </w:r>
    </w:p>
    <w:p w14:paraId="31E4A5F5">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甲方的</w:t>
      </w:r>
      <w:r>
        <w:rPr>
          <w:rFonts w:hint="eastAsia" w:asciiTheme="minorEastAsia" w:hAnsiTheme="minorEastAsia" w:eastAsiaTheme="minorEastAsia" w:cstheme="minorEastAsia"/>
          <w:color w:val="auto"/>
          <w:sz w:val="24"/>
          <w:szCs w:val="24"/>
        </w:rPr>
        <w:t>智慧化校园建设项目</w:t>
      </w:r>
      <w:r>
        <w:rPr>
          <w:rFonts w:hint="eastAsia" w:asciiTheme="minorEastAsia" w:hAnsiTheme="minorEastAsia" w:eastAsiaTheme="minorEastAsia" w:cstheme="minorEastAsia"/>
          <w:color w:val="auto"/>
          <w:sz w:val="24"/>
          <w:szCs w:val="24"/>
          <w:lang w:val="en-US" w:eastAsia="zh-CN"/>
        </w:rPr>
        <w:t>经过政府采购法定程序，确定乙方为成交（中标）单位，</w:t>
      </w:r>
      <w:r>
        <w:rPr>
          <w:rFonts w:hint="eastAsia" w:asciiTheme="minorEastAsia" w:hAnsiTheme="minorEastAsia" w:eastAsiaTheme="minorEastAsia" w:cstheme="minorEastAsia"/>
          <w:color w:val="auto"/>
          <w:sz w:val="24"/>
          <w:szCs w:val="24"/>
        </w:rPr>
        <w:t>甲乙双方经过</w:t>
      </w:r>
      <w:r>
        <w:rPr>
          <w:rFonts w:hint="eastAsia" w:asciiTheme="minorEastAsia" w:hAnsiTheme="minorEastAsia" w:eastAsiaTheme="minorEastAsia" w:cstheme="minorEastAsia"/>
          <w:color w:val="auto"/>
          <w:sz w:val="24"/>
          <w:szCs w:val="24"/>
          <w:lang w:val="en-US" w:eastAsia="zh-CN"/>
        </w:rPr>
        <w:t>友好</w:t>
      </w:r>
      <w:r>
        <w:rPr>
          <w:rFonts w:hint="eastAsia" w:asciiTheme="minorEastAsia" w:hAnsiTheme="minorEastAsia" w:eastAsiaTheme="minorEastAsia" w:cstheme="minorEastAsia"/>
          <w:color w:val="auto"/>
          <w:sz w:val="24"/>
          <w:szCs w:val="24"/>
        </w:rPr>
        <w:t>协商，根据《</w:t>
      </w:r>
      <w:r>
        <w:rPr>
          <w:rFonts w:hint="eastAsia" w:asciiTheme="minorEastAsia" w:hAnsiTheme="minorEastAsia" w:eastAsiaTheme="minorEastAsia" w:cstheme="minorEastAsia"/>
          <w:color w:val="auto"/>
          <w:sz w:val="24"/>
          <w:szCs w:val="24"/>
          <w:lang w:bidi="ar"/>
        </w:rPr>
        <w:t>中华人民共和国民法典</w:t>
      </w:r>
      <w:r>
        <w:rPr>
          <w:rFonts w:hint="eastAsia" w:asciiTheme="minorEastAsia" w:hAnsiTheme="minorEastAsia" w:eastAsiaTheme="minorEastAsia" w:cstheme="minorEastAsia"/>
          <w:color w:val="auto"/>
          <w:sz w:val="24"/>
          <w:szCs w:val="24"/>
        </w:rPr>
        <w:t>》及国家有关法律和行政法规，遵循平等、自愿和诚实信用的原则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就市委党校智慧化校园建设项目</w:t>
      </w:r>
      <w:r>
        <w:rPr>
          <w:rFonts w:hint="eastAsia" w:asciiTheme="minorEastAsia" w:hAnsiTheme="minorEastAsia" w:eastAsiaTheme="minorEastAsia" w:cstheme="minorEastAsia"/>
          <w:color w:val="auto"/>
          <w:sz w:val="24"/>
          <w:szCs w:val="24"/>
        </w:rPr>
        <w:t>达成如下协议，双方共同恪守。</w:t>
      </w:r>
    </w:p>
    <w:p w14:paraId="2293249C">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第一条 合同性质及定义</w:t>
      </w:r>
    </w:p>
    <w:p w14:paraId="532186F5">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本合同属于系统</w:t>
      </w:r>
      <w:r>
        <w:rPr>
          <w:rFonts w:hint="eastAsia" w:asciiTheme="minorEastAsia" w:hAnsiTheme="minorEastAsia" w:eastAsiaTheme="minorEastAsia" w:cstheme="minorEastAsia"/>
          <w:color w:val="auto"/>
          <w:sz w:val="24"/>
          <w:szCs w:val="24"/>
          <w:lang w:val="en-US" w:eastAsia="zh-CN"/>
        </w:rPr>
        <w:t>集成建设</w:t>
      </w:r>
      <w:r>
        <w:rPr>
          <w:rFonts w:hint="eastAsia" w:asciiTheme="minorEastAsia" w:hAnsiTheme="minorEastAsia" w:eastAsiaTheme="minorEastAsia" w:cstheme="minorEastAsia"/>
          <w:color w:val="auto"/>
          <w:sz w:val="24"/>
          <w:szCs w:val="24"/>
        </w:rPr>
        <w:t>合同。</w:t>
      </w:r>
    </w:p>
    <w:p w14:paraId="11BD6BAF">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除非本合同的条款或者内容中另有约定，下列名词具有如下意义</w:t>
      </w:r>
    </w:p>
    <w:p w14:paraId="2D5ACC9C">
      <w:pPr>
        <w:pStyle w:val="37"/>
        <w:numPr>
          <w:ilvl w:val="1"/>
          <w:numId w:val="6"/>
        </w:numPr>
        <w:spacing w:after="0" w:line="360" w:lineRule="auto"/>
        <w:ind w:left="458" w:leftChars="218"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知识产权</w:t>
      </w:r>
    </w:p>
    <w:p w14:paraId="4F8A087E">
      <w:pPr>
        <w:pStyle w:val="37"/>
        <w:numPr>
          <w:ilvl w:val="0"/>
          <w:numId w:val="0"/>
        </w:num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指依据中国有关法律和国际条约规定权利人所享有的专利权、版权（著作权）、商标权、商业信誉和商业秘密权。</w:t>
      </w:r>
    </w:p>
    <w:p w14:paraId="0AEC9DF4">
      <w:pPr>
        <w:pStyle w:val="37"/>
        <w:numPr>
          <w:ilvl w:val="1"/>
          <w:numId w:val="0"/>
        </w:numPr>
        <w:spacing w:after="0" w:line="360" w:lineRule="auto"/>
        <w:ind w:left="458" w:leftChars="218"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、补充协议及附件</w:t>
      </w:r>
      <w:r>
        <w:rPr>
          <w:rFonts w:hint="eastAsia" w:asciiTheme="minorEastAsia" w:hAnsiTheme="minorEastAsia" w:eastAsiaTheme="minorEastAsia" w:cstheme="minorEastAsia"/>
          <w:color w:val="auto"/>
          <w:sz w:val="24"/>
          <w:szCs w:val="24"/>
          <w:highlight w:val="yellow"/>
        </w:rPr>
        <w:br w:type="textWrapping"/>
      </w:r>
      <w:r>
        <w:rPr>
          <w:rFonts w:hint="eastAsia" w:asciiTheme="minorEastAsia" w:hAnsiTheme="minorEastAsia" w:eastAsiaTheme="minorEastAsia" w:cstheme="minorEastAsia"/>
          <w:color w:val="auto"/>
          <w:sz w:val="24"/>
          <w:szCs w:val="24"/>
        </w:rPr>
        <w:t>指主合同的补救条款或附件合同等，与主合同具有同等的法律效力。</w:t>
      </w:r>
    </w:p>
    <w:p w14:paraId="61B94B5C">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第二条 合同内容及要求</w:t>
      </w:r>
    </w:p>
    <w:p w14:paraId="7427A246">
      <w:pPr>
        <w:spacing w:after="0" w:line="360" w:lineRule="auto"/>
        <w:ind w:left="458" w:leftChars="218" w:firstLine="0" w:firstLineChars="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2.1货品名称</w:t>
      </w:r>
      <w:r>
        <w:rPr>
          <w:rFonts w:hint="eastAsia" w:asciiTheme="minorEastAsia" w:hAnsiTheme="minorEastAsia" w:eastAsiaTheme="minorEastAsia" w:cstheme="minorEastAsia"/>
          <w:color w:val="auto"/>
          <w:sz w:val="24"/>
          <w:szCs w:val="24"/>
          <w:highlight w:val="yellow"/>
        </w:rPr>
        <w:br w:type="textWrapping"/>
      </w:r>
      <w:r>
        <w:rPr>
          <w:rFonts w:hint="eastAsia" w:asciiTheme="minorEastAsia" w:hAnsiTheme="minorEastAsia" w:eastAsiaTheme="minorEastAsia" w:cstheme="minorEastAsia"/>
          <w:color w:val="auto"/>
          <w:sz w:val="24"/>
          <w:szCs w:val="24"/>
          <w:lang w:val="en-US" w:eastAsia="zh-CN"/>
        </w:rPr>
        <w:t>智慧校园</w:t>
      </w:r>
      <w:r>
        <w:rPr>
          <w:rFonts w:hint="eastAsia" w:asciiTheme="minorEastAsia" w:hAnsiTheme="minorEastAsia" w:eastAsiaTheme="minorEastAsia" w:cstheme="minorEastAsia"/>
          <w:color w:val="auto"/>
          <w:sz w:val="24"/>
          <w:szCs w:val="24"/>
        </w:rPr>
        <w:t>系统</w:t>
      </w:r>
      <w:r>
        <w:rPr>
          <w:rFonts w:hint="eastAsia" w:asciiTheme="minorEastAsia" w:hAnsiTheme="minorEastAsia" w:eastAsiaTheme="minorEastAsia" w:cstheme="minorEastAsia"/>
          <w:color w:val="auto"/>
          <w:sz w:val="24"/>
          <w:szCs w:val="24"/>
          <w:lang w:val="en-US" w:eastAsia="zh-CN"/>
        </w:rPr>
        <w:t>以及精品录播教室，详见</w:t>
      </w:r>
      <w:r>
        <w:rPr>
          <w:rFonts w:hint="eastAsia" w:asciiTheme="minorEastAsia" w:hAnsiTheme="minorEastAsia" w:cstheme="minorEastAsia"/>
          <w:color w:val="auto"/>
          <w:sz w:val="24"/>
          <w:szCs w:val="24"/>
          <w:lang w:val="en-US" w:eastAsia="zh-CN"/>
        </w:rPr>
        <w:t>竞争性磋商文件</w:t>
      </w:r>
      <w:r>
        <w:rPr>
          <w:rFonts w:hint="eastAsia" w:asciiTheme="minorEastAsia" w:hAnsiTheme="minorEastAsia" w:eastAsiaTheme="minorEastAsia" w:cstheme="minorEastAsia"/>
          <w:color w:val="auto"/>
          <w:sz w:val="24"/>
          <w:szCs w:val="24"/>
          <w:lang w:val="en-US" w:eastAsia="zh-CN"/>
        </w:rPr>
        <w:t>。</w:t>
      </w:r>
    </w:p>
    <w:p w14:paraId="7F5E3E9B">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第三条 合同价款及支付方式</w:t>
      </w:r>
    </w:p>
    <w:p w14:paraId="7B9E7D5D">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3.1 合同总价款为人民币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元，大写</w:t>
      </w:r>
      <w:r>
        <w:rPr>
          <w:rFonts w:hint="eastAsia" w:asciiTheme="minorEastAsia" w:hAnsiTheme="minorEastAsia" w:eastAsiaTheme="minorEastAsia" w:cstheme="minorEastAsia"/>
          <w:color w:val="auto"/>
          <w:sz w:val="24"/>
          <w:szCs w:val="24"/>
          <w:u w:val="single"/>
          <w:lang w:val="en-US" w:eastAsia="zh-CN"/>
        </w:rPr>
        <w:t xml:space="preserve">       元</w:t>
      </w:r>
      <w:r>
        <w:rPr>
          <w:rFonts w:hint="eastAsia" w:asciiTheme="minorEastAsia" w:hAnsiTheme="minorEastAsia" w:eastAsiaTheme="minorEastAsia" w:cstheme="minorEastAsia"/>
          <w:color w:val="auto"/>
          <w:sz w:val="24"/>
          <w:szCs w:val="24"/>
        </w:rPr>
        <w:t>整（含税）。</w:t>
      </w:r>
      <w:r>
        <w:rPr>
          <w:rFonts w:hint="eastAsia" w:asciiTheme="minorEastAsia" w:hAnsiTheme="minorEastAsia" w:eastAsiaTheme="minorEastAsia" w:cstheme="minorEastAsia"/>
          <w:color w:val="auto"/>
          <w:sz w:val="24"/>
          <w:szCs w:val="24"/>
          <w:lang w:val="en-US" w:eastAsia="zh-CN"/>
        </w:rPr>
        <w:t>实行固定总价包干，</w:t>
      </w:r>
      <w:r>
        <w:rPr>
          <w:rFonts w:hint="eastAsia" w:asciiTheme="minorEastAsia" w:hAnsiTheme="minorEastAsia" w:eastAsiaTheme="minorEastAsia" w:cstheme="minorEastAsia"/>
          <w:color w:val="auto"/>
          <w:sz w:val="24"/>
          <w:szCs w:val="24"/>
        </w:rPr>
        <w:t>合同价包括但不限于产品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硬件产品和软件产品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费、 安装</w:t>
      </w:r>
      <w:r>
        <w:rPr>
          <w:rFonts w:hint="eastAsia" w:asciiTheme="minorEastAsia" w:hAnsiTheme="minorEastAsia" w:eastAsiaTheme="minorEastAsia" w:cstheme="minorEastAsia"/>
          <w:color w:val="auto"/>
          <w:sz w:val="24"/>
          <w:szCs w:val="24"/>
          <w:lang w:val="en-US" w:eastAsia="zh-CN"/>
        </w:rPr>
        <w:t>费、</w:t>
      </w:r>
      <w:r>
        <w:rPr>
          <w:rFonts w:hint="eastAsia" w:asciiTheme="minorEastAsia" w:hAnsiTheme="minorEastAsia" w:eastAsiaTheme="minorEastAsia" w:cstheme="minorEastAsia"/>
          <w:color w:val="auto"/>
          <w:sz w:val="24"/>
          <w:szCs w:val="24"/>
        </w:rPr>
        <w:t>调试费、运杂费(含保险)、仓储保管费、人工费、材料费、垃圾清运费</w:t>
      </w:r>
      <w:r>
        <w:rPr>
          <w:rFonts w:hint="eastAsia" w:asciiTheme="minorEastAsia" w:hAnsiTheme="minorEastAsia" w:eastAsiaTheme="minorEastAsia" w:cstheme="minorEastAsia"/>
          <w:color w:val="auto"/>
          <w:sz w:val="24"/>
          <w:szCs w:val="24"/>
          <w:lang w:eastAsia="zh-CN"/>
        </w:rPr>
        <w:t>直至</w:t>
      </w:r>
      <w:r>
        <w:rPr>
          <w:rFonts w:hint="eastAsia" w:asciiTheme="minorEastAsia" w:hAnsiTheme="minorEastAsia" w:eastAsiaTheme="minorEastAsia" w:cstheme="minorEastAsia"/>
          <w:color w:val="auto"/>
          <w:sz w:val="24"/>
          <w:szCs w:val="24"/>
        </w:rPr>
        <w:t>交钥匙工程的所有手续费、质保期内的维保费、培训费、技术咨询等其他一切相关费用。不受市场价变化的影响。合同价格为含税价，乙方</w:t>
      </w:r>
      <w:r>
        <w:rPr>
          <w:rFonts w:hint="eastAsia" w:asciiTheme="minorEastAsia" w:hAnsiTheme="minorEastAsia" w:eastAsiaTheme="minorEastAsia" w:cstheme="minorEastAsia"/>
          <w:color w:val="auto"/>
          <w:sz w:val="24"/>
          <w:szCs w:val="24"/>
          <w:lang w:val="en-US" w:eastAsia="zh-CN"/>
        </w:rPr>
        <w:t>供应本项目</w:t>
      </w:r>
      <w:r>
        <w:rPr>
          <w:rFonts w:hint="eastAsia" w:asciiTheme="minorEastAsia" w:hAnsiTheme="minorEastAsia" w:eastAsiaTheme="minorEastAsia" w:cstheme="minorEastAsia"/>
          <w:color w:val="auto"/>
          <w:sz w:val="24"/>
          <w:szCs w:val="24"/>
        </w:rPr>
        <w:t>所发生的一切税费等都已包含于合同价款中。</w:t>
      </w:r>
    </w:p>
    <w:p w14:paraId="75DC651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3.2</w:t>
      </w:r>
      <w:r>
        <w:rPr>
          <w:rFonts w:hint="eastAsia" w:asciiTheme="minorEastAsia" w:hAnsiTheme="minorEastAsia" w:eastAsiaTheme="minorEastAsia" w:cstheme="minorEastAsia"/>
          <w:color w:val="auto"/>
          <w:sz w:val="24"/>
          <w:szCs w:val="24"/>
        </w:rPr>
        <w:t>甲方在签订本合同后</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乙方为甲方开具等额发票十</w:t>
      </w: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lang w:val="en-US" w:eastAsia="zh-CN"/>
        </w:rPr>
        <w:t>工作</w:t>
      </w:r>
      <w:r>
        <w:rPr>
          <w:rFonts w:hint="eastAsia" w:asciiTheme="minorEastAsia" w:hAnsiTheme="minorEastAsia" w:eastAsiaTheme="minorEastAsia" w:cstheme="minorEastAsia"/>
          <w:color w:val="auto"/>
          <w:sz w:val="24"/>
          <w:szCs w:val="24"/>
        </w:rPr>
        <w:t>日内，向乙方支付合同价款的40%，即人民币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大写</w:t>
      </w:r>
      <w:r>
        <w:rPr>
          <w:rFonts w:hint="eastAsia" w:asciiTheme="minorEastAsia" w:hAnsiTheme="minorEastAsia" w:eastAsiaTheme="minorEastAsia" w:cstheme="minorEastAsia"/>
          <w:color w:val="auto"/>
          <w:sz w:val="24"/>
          <w:szCs w:val="24"/>
          <w:u w:val="single"/>
          <w:lang w:val="en-US" w:eastAsia="zh-CN"/>
        </w:rPr>
        <w:t xml:space="preserve">       元</w:t>
      </w:r>
      <w:r>
        <w:rPr>
          <w:rFonts w:hint="eastAsia" w:asciiTheme="minorEastAsia" w:hAnsiTheme="minorEastAsia" w:eastAsiaTheme="minorEastAsia" w:cstheme="minorEastAsia"/>
          <w:color w:val="auto"/>
          <w:sz w:val="24"/>
          <w:szCs w:val="24"/>
          <w:u w:val="none"/>
        </w:rPr>
        <w:t>整</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rPr>
        <w:t>；在乙方安装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装修、</w:t>
      </w:r>
      <w:r>
        <w:rPr>
          <w:rFonts w:hint="eastAsia" w:asciiTheme="minorEastAsia" w:hAnsiTheme="minorEastAsia" w:eastAsiaTheme="minorEastAsia" w:cstheme="minorEastAsia"/>
          <w:color w:val="auto"/>
          <w:sz w:val="24"/>
          <w:szCs w:val="24"/>
        </w:rPr>
        <w:t>调试完毕试运行</w:t>
      </w:r>
      <w:r>
        <w:rPr>
          <w:rFonts w:hint="eastAsia" w:asciiTheme="minorEastAsia" w:hAnsiTheme="minorEastAsia" w:eastAsiaTheme="minorEastAsia" w:cstheme="minorEastAsia"/>
          <w:color w:val="auto"/>
          <w:sz w:val="24"/>
          <w:szCs w:val="24"/>
          <w:lang w:val="en-US" w:eastAsia="zh-CN"/>
        </w:rPr>
        <w:t>正常</w:t>
      </w:r>
      <w:r>
        <w:rPr>
          <w:rFonts w:hint="eastAsia" w:asciiTheme="minorEastAsia" w:hAnsiTheme="minorEastAsia" w:eastAsiaTheme="minorEastAsia" w:cstheme="minorEastAsia"/>
          <w:color w:val="auto"/>
          <w:sz w:val="24"/>
          <w:szCs w:val="24"/>
        </w:rPr>
        <w:t>并经甲方初步验收合格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凭乙方出具等额发票后</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val="en-US" w:eastAsia="zh-CN"/>
        </w:rPr>
        <w:t>个工作</w:t>
      </w:r>
      <w:r>
        <w:rPr>
          <w:rFonts w:hint="eastAsia" w:asciiTheme="minorEastAsia" w:hAnsiTheme="minorEastAsia" w:eastAsiaTheme="minorEastAsia" w:cstheme="minorEastAsia"/>
          <w:color w:val="auto"/>
          <w:sz w:val="24"/>
          <w:szCs w:val="24"/>
        </w:rPr>
        <w:t>日内，甲方支付价款的40%，即人民币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w:t>
      </w:r>
      <w:r>
        <w:rPr>
          <w:rFonts w:hint="eastAsia" w:asciiTheme="minorEastAsia" w:hAnsiTheme="minorEastAsia" w:eastAsiaTheme="minorEastAsia" w:cstheme="minorEastAsia"/>
          <w:color w:val="auto"/>
          <w:sz w:val="24"/>
          <w:szCs w:val="24"/>
          <w:u w:val="none"/>
        </w:rPr>
        <w:t>整</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rPr>
        <w:t>；初步验收合格试运行一个月后，进行整体验收合格，整体验收合格后凭乙方出具等额发票后，支付剩余20%价款，即人民币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大写</w:t>
      </w:r>
      <w:r>
        <w:rPr>
          <w:rFonts w:hint="eastAsia" w:asciiTheme="minorEastAsia" w:hAnsiTheme="minorEastAsia" w:eastAsiaTheme="minorEastAsia" w:cstheme="minorEastAsia"/>
          <w:color w:val="auto"/>
          <w:sz w:val="24"/>
          <w:szCs w:val="24"/>
          <w:u w:val="single"/>
          <w:lang w:val="en-US" w:eastAsia="zh-CN"/>
        </w:rPr>
        <w:t xml:space="preserve">       元</w:t>
      </w:r>
      <w:r>
        <w:rPr>
          <w:rFonts w:hint="eastAsia" w:asciiTheme="minorEastAsia" w:hAnsiTheme="minorEastAsia" w:eastAsiaTheme="minorEastAsia" w:cstheme="minorEastAsia"/>
          <w:color w:val="auto"/>
          <w:sz w:val="24"/>
          <w:szCs w:val="24"/>
          <w:u w:val="none"/>
        </w:rPr>
        <w:t>整</w:t>
      </w:r>
      <w:r>
        <w:rPr>
          <w:rFonts w:hint="eastAsia" w:asciiTheme="minorEastAsia" w:hAnsiTheme="minorEastAsia" w:eastAsiaTheme="minorEastAsia" w:cstheme="minorEastAsia"/>
          <w:color w:val="auto"/>
          <w:sz w:val="24"/>
          <w:szCs w:val="24"/>
          <w:u w:val="none"/>
          <w:lang w:eastAsia="zh-CN"/>
        </w:rPr>
        <w:t>）。</w:t>
      </w:r>
    </w:p>
    <w:p w14:paraId="15E85EA9">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 乙方在甲方办理以上付款的支付手续前，为甲方开具相应</w:t>
      </w:r>
      <w:r>
        <w:rPr>
          <w:rFonts w:hint="eastAsia" w:asciiTheme="minorEastAsia" w:hAnsiTheme="minorEastAsia" w:eastAsiaTheme="minorEastAsia" w:cstheme="minorEastAsia"/>
          <w:color w:val="auto"/>
          <w:sz w:val="24"/>
          <w:szCs w:val="24"/>
          <w:lang w:val="en-US" w:eastAsia="zh-CN"/>
        </w:rPr>
        <w:t>付款</w:t>
      </w:r>
      <w:r>
        <w:rPr>
          <w:rFonts w:hint="eastAsia" w:asciiTheme="minorEastAsia" w:hAnsiTheme="minorEastAsia" w:eastAsiaTheme="minorEastAsia" w:cstheme="minorEastAsia"/>
          <w:color w:val="auto"/>
          <w:sz w:val="24"/>
          <w:szCs w:val="24"/>
        </w:rPr>
        <w:t>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税率</w:t>
      </w:r>
      <w:r>
        <w:rPr>
          <w:rFonts w:hint="eastAsia" w:asciiTheme="minorEastAsia" w:hAnsiTheme="minorEastAsia" w:eastAsiaTheme="minorEastAsia" w:cstheme="minorEastAsia"/>
          <w:color w:val="auto"/>
          <w:sz w:val="24"/>
          <w:szCs w:val="24"/>
          <w:lang w:val="en-US" w:eastAsia="zh-CN"/>
        </w:rPr>
        <w:t>为</w:t>
      </w:r>
      <w:r>
        <w:rPr>
          <w:rFonts w:hint="eastAsia" w:asciiTheme="minorEastAsia" w:hAnsiTheme="minorEastAsia" w:eastAsiaTheme="minorEastAsia" w:cstheme="minorEastAsia"/>
          <w:color w:val="auto"/>
          <w:sz w:val="24"/>
          <w:szCs w:val="24"/>
        </w:rPr>
        <w:t>13%的增值税专用发票。</w:t>
      </w:r>
    </w:p>
    <w:p w14:paraId="18137053">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3.3乙方的收款信息</w:t>
      </w:r>
    </w:p>
    <w:p w14:paraId="3AC51E04">
      <w:pPr>
        <w:spacing w:after="0"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户名：</w:t>
      </w:r>
      <w:r>
        <w:rPr>
          <w:rFonts w:hint="eastAsia" w:asciiTheme="minorEastAsia" w:hAnsiTheme="minorEastAsia" w:eastAsiaTheme="minorEastAsia" w:cstheme="minorEastAsia"/>
          <w:color w:val="auto"/>
          <w:sz w:val="24"/>
          <w:szCs w:val="24"/>
          <w:u w:val="single"/>
          <w:lang w:val="en-US" w:eastAsia="zh-CN"/>
        </w:rPr>
        <w:t xml:space="preserve">                                 </w:t>
      </w:r>
    </w:p>
    <w:p w14:paraId="0BBF2E44">
      <w:pPr>
        <w:spacing w:after="0"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开户行：</w:t>
      </w:r>
      <w:r>
        <w:rPr>
          <w:rFonts w:hint="eastAsia" w:asciiTheme="minorEastAsia" w:hAnsiTheme="minorEastAsia" w:eastAsiaTheme="minorEastAsia" w:cstheme="minorEastAsia"/>
          <w:color w:val="auto"/>
          <w:sz w:val="24"/>
          <w:szCs w:val="24"/>
          <w:u w:val="single"/>
          <w:lang w:val="en-US" w:eastAsia="zh-CN"/>
        </w:rPr>
        <w:t xml:space="preserve">                               </w:t>
      </w:r>
    </w:p>
    <w:p w14:paraId="4BBE4573">
      <w:pPr>
        <w:spacing w:after="0" w:line="360" w:lineRule="auto"/>
        <w:ind w:firstLine="480" w:firstLineChars="200"/>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账号：</w:t>
      </w:r>
      <w:r>
        <w:rPr>
          <w:rFonts w:hint="eastAsia" w:asciiTheme="minorEastAsia" w:hAnsiTheme="minorEastAsia" w:eastAsiaTheme="minorEastAsia" w:cstheme="minorEastAsia"/>
          <w:color w:val="auto"/>
          <w:sz w:val="24"/>
          <w:szCs w:val="24"/>
          <w:u w:val="single"/>
          <w:lang w:val="en-US" w:eastAsia="zh-CN"/>
        </w:rPr>
        <w:t xml:space="preserve">                                 </w:t>
      </w:r>
    </w:p>
    <w:p w14:paraId="77D16525">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第四条 合同执行</w:t>
      </w:r>
    </w:p>
    <w:p w14:paraId="3EAB266F">
      <w:pPr>
        <w:spacing w:after="0" w:line="360" w:lineRule="auto"/>
        <w:ind w:firstLine="480" w:firstLineChars="200"/>
        <w:rPr>
          <w:rFonts w:hint="eastAsia" w:asciiTheme="minorEastAsia" w:hAnsiTheme="minorEastAsia" w:eastAsiaTheme="minorEastAsia" w:cstheme="minorEastAsia"/>
          <w:color w:val="auto"/>
          <w:sz w:val="24"/>
          <w:szCs w:val="24"/>
        </w:rPr>
      </w:pPr>
      <w:bookmarkStart w:id="261" w:name="_Hlk181193568"/>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乙方在签订合同后，</w:t>
      </w:r>
      <w:r>
        <w:rPr>
          <w:rFonts w:hint="eastAsia" w:asciiTheme="minorEastAsia" w:hAnsiTheme="minorEastAsia" w:eastAsiaTheme="minorEastAsia" w:cstheme="minorEastAsia"/>
          <w:color w:val="auto"/>
          <w:sz w:val="24"/>
          <w:szCs w:val="24"/>
          <w:lang w:val="en-US" w:eastAsia="zh-CN"/>
        </w:rPr>
        <w:t>立即进行项目的实施</w:t>
      </w:r>
      <w:r>
        <w:rPr>
          <w:rFonts w:hint="eastAsia" w:asciiTheme="minorEastAsia" w:hAnsiTheme="minorEastAsia" w:eastAsiaTheme="minorEastAsia" w:cstheme="minorEastAsia"/>
          <w:color w:val="auto"/>
          <w:sz w:val="24"/>
          <w:szCs w:val="24"/>
        </w:rPr>
        <w:t>。</w:t>
      </w:r>
    </w:p>
    <w:p w14:paraId="760C28E0">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乙方应在</w:t>
      </w:r>
      <w:r>
        <w:rPr>
          <w:rFonts w:hint="eastAsia" w:asciiTheme="minorEastAsia" w:hAnsiTheme="minorEastAsia" w:eastAsiaTheme="minorEastAsia" w:cstheme="minorEastAsia"/>
          <w:color w:val="auto"/>
          <w:sz w:val="24"/>
          <w:szCs w:val="24"/>
          <w:lang w:val="en-US" w:eastAsia="zh-CN"/>
        </w:rPr>
        <w:t>合同签订</w:t>
      </w:r>
      <w:r>
        <w:rPr>
          <w:rFonts w:hint="eastAsia" w:asciiTheme="minorEastAsia" w:hAnsiTheme="minorEastAsia" w:eastAsiaTheme="minorEastAsia" w:cstheme="minorEastAsia"/>
          <w:color w:val="auto"/>
          <w:sz w:val="24"/>
          <w:szCs w:val="24"/>
        </w:rPr>
        <w:t>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个日历日内，完成系统的部署</w:t>
      </w:r>
      <w:r>
        <w:rPr>
          <w:rFonts w:hint="eastAsia" w:asciiTheme="minorEastAsia" w:hAnsiTheme="minorEastAsia" w:eastAsiaTheme="minorEastAsia" w:cstheme="minorEastAsia"/>
          <w:color w:val="auto"/>
          <w:sz w:val="24"/>
          <w:szCs w:val="24"/>
          <w:lang w:eastAsia="zh-CN"/>
        </w:rPr>
        <w:t>。</w:t>
      </w:r>
    </w:p>
    <w:p w14:paraId="213E2605">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 包装、运输、设备交付、设备安装与调试、装修及人员培训、验收</w:t>
      </w:r>
    </w:p>
    <w:p w14:paraId="3D06E6F1">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4.2.1.1 乙方负责办理将货物、材料运抵甲方指定交货地点的一切运输事项，完成交货工作。</w:t>
      </w:r>
    </w:p>
    <w:p w14:paraId="49FD1515">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4.2.1.2乙方应选择运输风险小、运费低、距离短的运输路线。运杂费一次包括在总价内，包括生产厂到交货验收现场所需的装卸、运输（含保险费）、现场保管费、二次倒运费、吊装费等费用。乙方须提供货物、材料运至合同规定的最终目的地所需要的包装，以防止货物在转运中损坏。应采取防潮、防晒、防锈、防腐蚀、防震及防止其他损坏的必要保护措施，从而保护货物能够经受多次搬运、装卸及长途运输。乙方应承担由于其包装或防护措施不妥而引起的货物、材料损坏和丢失等任何损失造成的责任或费用。</w:t>
      </w:r>
    </w:p>
    <w:p w14:paraId="5021553C">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4.2.1.3设备、材料的初验：甲方应自收到设备、材料之日起2工作日内对设备、材料进行初步验收。配套的全套中文技术资料一套在甲方对设备、材料进行初步验收时，乙方须一并提供。</w:t>
      </w:r>
    </w:p>
    <w:p w14:paraId="737EC1CC">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4.2.1.4供应商应向采购人提供关于设备、材料的全套中文技术资料一套，其费用包括在合同价格中: 包括完整的产品操作使用手册、说明书和维护、修理技术文件， 图纸（线路图、原理图等）、保修卡等；制造厂的检验、测试报告、检验合格证书，质量保证书等文件；合同中要求的其他文件资料；</w:t>
      </w:r>
    </w:p>
    <w:p w14:paraId="0418EC79">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4.2.1.5安装期：交货后 20个日内完成安装调试工作。</w:t>
      </w:r>
    </w:p>
    <w:p w14:paraId="419AB04B">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4.2.1.6装修期：附带装修工程实行包工包料、包工期、包质量、包安全文明施工的施工承包。乙方应在交货后 30个日内完成装修工作，并做到场地清洁。</w:t>
      </w:r>
    </w:p>
    <w:p w14:paraId="1A4B78FA">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4.2.1.7乙方应加强安全管理，对安装调试、装修、整改等合同实施过程中的安全负责，如发生人身伤亡、财产损失的，由乙方自行负责解决并承担全部法律责任。</w:t>
      </w:r>
    </w:p>
    <w:p w14:paraId="40D8E867">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4.2.1.8乙方给甲方人员进行免费培训，直至甲方人员掌握本项目的操作技能为止。</w:t>
      </w:r>
    </w:p>
    <w:p w14:paraId="31EE8E38">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4.2.1.9乙方应在项目结束交付时，向甲方交付相关技术文档和使用手册等资料。</w:t>
      </w:r>
    </w:p>
    <w:p w14:paraId="7ABDCFFB">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乙方应在</w:t>
      </w:r>
      <w:r>
        <w:rPr>
          <w:rFonts w:hint="eastAsia" w:asciiTheme="minorEastAsia" w:hAnsiTheme="minorEastAsia" w:eastAsiaTheme="minorEastAsia" w:cstheme="minorEastAsia"/>
          <w:color w:val="auto"/>
          <w:sz w:val="24"/>
          <w:szCs w:val="24"/>
          <w:lang w:val="en-US" w:eastAsia="zh-CN"/>
        </w:rPr>
        <w:t>合同签订</w:t>
      </w:r>
      <w:r>
        <w:rPr>
          <w:rFonts w:hint="eastAsia" w:asciiTheme="minorEastAsia" w:hAnsiTheme="minorEastAsia" w:eastAsiaTheme="minorEastAsia" w:cstheme="minorEastAsia"/>
          <w:color w:val="auto"/>
          <w:sz w:val="24"/>
          <w:szCs w:val="24"/>
        </w:rPr>
        <w:t>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60</w:t>
      </w:r>
      <w:r>
        <w:rPr>
          <w:rFonts w:hint="eastAsia" w:asciiTheme="minorEastAsia" w:hAnsiTheme="minorEastAsia" w:eastAsiaTheme="minorEastAsia" w:cstheme="minorEastAsia"/>
          <w:color w:val="auto"/>
          <w:sz w:val="24"/>
          <w:szCs w:val="24"/>
        </w:rPr>
        <w:t>个日历日内，完成</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的交付，在乙方</w:t>
      </w:r>
      <w:r>
        <w:rPr>
          <w:rFonts w:hint="eastAsia" w:asciiTheme="minorEastAsia" w:hAnsiTheme="minorEastAsia" w:eastAsiaTheme="minorEastAsia" w:cstheme="minorEastAsia"/>
          <w:color w:val="auto"/>
          <w:sz w:val="24"/>
          <w:szCs w:val="24"/>
          <w:lang w:val="en-US" w:eastAsia="zh-CN"/>
        </w:rPr>
        <w:t>装修、</w:t>
      </w:r>
      <w:r>
        <w:rPr>
          <w:rFonts w:hint="eastAsia" w:asciiTheme="minorEastAsia" w:hAnsiTheme="minorEastAsia" w:eastAsiaTheme="minorEastAsia" w:cstheme="minorEastAsia"/>
          <w:color w:val="auto"/>
          <w:sz w:val="24"/>
          <w:szCs w:val="24"/>
        </w:rPr>
        <w:t>安装调试完成</w:t>
      </w:r>
      <w:r>
        <w:rPr>
          <w:rFonts w:hint="eastAsia" w:asciiTheme="minorEastAsia" w:hAnsiTheme="minorEastAsia" w:eastAsiaTheme="minorEastAsia" w:cstheme="minorEastAsia"/>
          <w:color w:val="auto"/>
          <w:sz w:val="24"/>
          <w:szCs w:val="24"/>
          <w:lang w:val="en-US" w:eastAsia="zh-CN"/>
        </w:rPr>
        <w:t>且试运行正常</w:t>
      </w:r>
      <w:r>
        <w:rPr>
          <w:rFonts w:hint="eastAsia" w:asciiTheme="minorEastAsia" w:hAnsiTheme="minorEastAsia" w:eastAsiaTheme="minorEastAsia" w:cstheme="minorEastAsia"/>
          <w:color w:val="auto"/>
          <w:sz w:val="24"/>
          <w:szCs w:val="24"/>
        </w:rPr>
        <w:t>后，甲方进行</w:t>
      </w:r>
      <w:r>
        <w:rPr>
          <w:rFonts w:hint="eastAsia" w:asciiTheme="minorEastAsia" w:hAnsiTheme="minorEastAsia" w:eastAsiaTheme="minorEastAsia" w:cstheme="minorEastAsia"/>
          <w:color w:val="auto"/>
          <w:sz w:val="24"/>
          <w:szCs w:val="24"/>
          <w:lang w:val="en-US" w:eastAsia="zh-CN"/>
        </w:rPr>
        <w:t>项目的初步</w:t>
      </w:r>
      <w:r>
        <w:rPr>
          <w:rFonts w:hint="eastAsia" w:asciiTheme="minorEastAsia" w:hAnsiTheme="minorEastAsia" w:eastAsiaTheme="minorEastAsia" w:cstheme="minorEastAsia"/>
          <w:color w:val="auto"/>
          <w:sz w:val="24"/>
          <w:szCs w:val="24"/>
        </w:rPr>
        <w:t>验收</w:t>
      </w:r>
      <w:r>
        <w:rPr>
          <w:rFonts w:hint="eastAsia" w:asciiTheme="minorEastAsia" w:hAnsiTheme="minorEastAsia" w:eastAsiaTheme="minorEastAsia" w:cstheme="minorEastAsia"/>
          <w:color w:val="auto"/>
          <w:sz w:val="24"/>
          <w:szCs w:val="24"/>
          <w:lang w:eastAsia="zh-CN"/>
        </w:rPr>
        <w:t>，初步验收合格</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lang w:eastAsia="zh-CN"/>
        </w:rPr>
        <w:t>甲乙双方在初步验收合格单上签字确认；</w:t>
      </w:r>
      <w:r>
        <w:rPr>
          <w:rFonts w:hint="eastAsia" w:asciiTheme="minorEastAsia" w:hAnsiTheme="minorEastAsia" w:eastAsiaTheme="minorEastAsia" w:cstheme="minorEastAsia"/>
          <w:color w:val="auto"/>
          <w:sz w:val="24"/>
          <w:szCs w:val="24"/>
          <w:lang w:val="en-US" w:eastAsia="zh-CN"/>
        </w:rPr>
        <w:t>自</w:t>
      </w:r>
      <w:r>
        <w:rPr>
          <w:rFonts w:hint="eastAsia" w:asciiTheme="minorEastAsia" w:hAnsiTheme="minorEastAsia" w:eastAsiaTheme="minorEastAsia" w:cstheme="minorEastAsia"/>
          <w:color w:val="auto"/>
          <w:sz w:val="24"/>
          <w:szCs w:val="24"/>
          <w:lang w:eastAsia="zh-CN"/>
        </w:rPr>
        <w:t>初步验收合格</w:t>
      </w:r>
      <w:r>
        <w:rPr>
          <w:rFonts w:hint="eastAsia" w:asciiTheme="minorEastAsia" w:hAnsiTheme="minorEastAsia" w:eastAsiaTheme="minorEastAsia" w:cstheme="minorEastAsia"/>
          <w:color w:val="auto"/>
          <w:sz w:val="24"/>
          <w:szCs w:val="24"/>
          <w:lang w:val="en-US" w:eastAsia="zh-CN"/>
        </w:rPr>
        <w:t>之日起试运行</w:t>
      </w:r>
      <w:r>
        <w:rPr>
          <w:rFonts w:hint="eastAsia" w:asciiTheme="minorEastAsia" w:hAnsiTheme="minorEastAsia" w:eastAsiaTheme="minorEastAsia" w:cstheme="minorEastAsia"/>
          <w:color w:val="auto"/>
          <w:sz w:val="24"/>
          <w:szCs w:val="24"/>
        </w:rPr>
        <w:t>一个月后，进行</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整体验收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项目整体</w:t>
      </w:r>
      <w:r>
        <w:rPr>
          <w:rFonts w:hint="eastAsia" w:asciiTheme="minorEastAsia" w:hAnsiTheme="minorEastAsia" w:eastAsiaTheme="minorEastAsia" w:cstheme="minorEastAsia"/>
          <w:color w:val="auto"/>
          <w:sz w:val="24"/>
          <w:szCs w:val="24"/>
        </w:rPr>
        <w:t>验收合格后</w:t>
      </w:r>
      <w:r>
        <w:rPr>
          <w:rFonts w:hint="eastAsia" w:asciiTheme="minorEastAsia" w:hAnsiTheme="minorEastAsia" w:eastAsiaTheme="minorEastAsia" w:cstheme="minorEastAsia"/>
          <w:color w:val="auto"/>
          <w:sz w:val="24"/>
          <w:szCs w:val="24"/>
          <w:lang w:eastAsia="zh-CN"/>
        </w:rPr>
        <w:t>，甲乙双方</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val="en-US" w:eastAsia="zh-CN"/>
        </w:rPr>
        <w:t>整体</w:t>
      </w:r>
      <w:r>
        <w:rPr>
          <w:rFonts w:hint="eastAsia" w:asciiTheme="minorEastAsia" w:hAnsiTheme="minorEastAsia" w:eastAsiaTheme="minorEastAsia" w:cstheme="minorEastAsia"/>
          <w:color w:val="auto"/>
          <w:sz w:val="24"/>
          <w:szCs w:val="24"/>
        </w:rPr>
        <w:t>验收单上签字确认。</w:t>
      </w:r>
    </w:p>
    <w:p w14:paraId="6FC025B4">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.1采购人对项目进行</w:t>
      </w:r>
      <w:r>
        <w:rPr>
          <w:rFonts w:hint="eastAsia" w:asciiTheme="minorEastAsia" w:hAnsiTheme="minorEastAsia" w:eastAsiaTheme="minorEastAsia" w:cstheme="minorEastAsia"/>
          <w:color w:val="auto"/>
          <w:sz w:val="24"/>
          <w:szCs w:val="24"/>
          <w:lang w:val="en-US" w:eastAsia="zh-CN"/>
        </w:rPr>
        <w:t>初步验收和</w:t>
      </w:r>
      <w:r>
        <w:rPr>
          <w:rFonts w:hint="eastAsia" w:asciiTheme="minorEastAsia" w:hAnsiTheme="minorEastAsia" w:eastAsiaTheme="minorEastAsia" w:cstheme="minorEastAsia"/>
          <w:color w:val="auto"/>
          <w:sz w:val="24"/>
          <w:szCs w:val="24"/>
        </w:rPr>
        <w:t>整体验收，供应商协助配合。</w:t>
      </w:r>
      <w:r>
        <w:rPr>
          <w:rFonts w:hint="eastAsia" w:asciiTheme="minorEastAsia" w:hAnsiTheme="minorEastAsia" w:eastAsiaTheme="minorEastAsia" w:cstheme="minorEastAsia"/>
          <w:color w:val="auto"/>
          <w:sz w:val="24"/>
          <w:szCs w:val="24"/>
          <w:lang w:val="en-US" w:eastAsia="zh-CN"/>
        </w:rPr>
        <w:t>初步验收</w:t>
      </w:r>
      <w:r>
        <w:rPr>
          <w:rFonts w:hint="eastAsia" w:asciiTheme="minorEastAsia" w:hAnsiTheme="minorEastAsia" w:eastAsiaTheme="minorEastAsia" w:cstheme="minorEastAsia"/>
          <w:color w:val="auto"/>
          <w:sz w:val="24"/>
          <w:szCs w:val="24"/>
        </w:rPr>
        <w:t>内容包括确认产品的产地、规格、型号和数量，对其产品技术指标、性能参数、 样式、颜色以及质量是否达到现行国家有关验收规范“合格”标准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是否按照采购人要求安装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装修</w:t>
      </w:r>
      <w:r>
        <w:rPr>
          <w:rFonts w:hint="eastAsia" w:asciiTheme="minorEastAsia" w:hAnsiTheme="minorEastAsia" w:eastAsiaTheme="minorEastAsia" w:cstheme="minorEastAsia"/>
          <w:color w:val="auto"/>
          <w:sz w:val="24"/>
          <w:szCs w:val="24"/>
        </w:rPr>
        <w:t>到位</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是否按照采购人要求进行调试和提供相关培训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是否在规定时间内安装</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装修</w:t>
      </w:r>
      <w:r>
        <w:rPr>
          <w:rFonts w:hint="eastAsia" w:asciiTheme="minorEastAsia" w:hAnsiTheme="minorEastAsia" w:eastAsiaTheme="minorEastAsia" w:cstheme="minorEastAsia"/>
          <w:color w:val="auto"/>
          <w:sz w:val="24"/>
          <w:szCs w:val="24"/>
        </w:rPr>
        <w:t>完毕</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所有产品的配套技术资料是否完好无损等进行逐项检查。</w:t>
      </w:r>
      <w:r>
        <w:rPr>
          <w:rFonts w:hint="eastAsia" w:asciiTheme="minorEastAsia" w:hAnsiTheme="minorEastAsia" w:eastAsiaTheme="minorEastAsia" w:cstheme="minorEastAsia"/>
          <w:color w:val="auto"/>
          <w:sz w:val="24"/>
          <w:szCs w:val="24"/>
          <w:lang w:val="en-US" w:eastAsia="zh-CN"/>
        </w:rPr>
        <w:t>初步</w:t>
      </w:r>
      <w:r>
        <w:rPr>
          <w:rFonts w:hint="eastAsia" w:asciiTheme="minorEastAsia" w:hAnsiTheme="minorEastAsia" w:eastAsiaTheme="minorEastAsia" w:cstheme="minorEastAsia"/>
          <w:color w:val="auto"/>
          <w:sz w:val="24"/>
          <w:szCs w:val="24"/>
        </w:rPr>
        <w:t>验收合格的，甲乙双方在</w:t>
      </w:r>
      <w:r>
        <w:rPr>
          <w:rFonts w:hint="eastAsia" w:asciiTheme="minorEastAsia" w:hAnsiTheme="minorEastAsia" w:eastAsiaTheme="minorEastAsia" w:cstheme="minorEastAsia"/>
          <w:color w:val="auto"/>
          <w:sz w:val="24"/>
          <w:szCs w:val="24"/>
          <w:lang w:val="en-US" w:eastAsia="zh-CN"/>
        </w:rPr>
        <w:t>初步</w:t>
      </w:r>
      <w:r>
        <w:rPr>
          <w:rFonts w:hint="eastAsia" w:asciiTheme="minorEastAsia" w:hAnsiTheme="minorEastAsia" w:eastAsiaTheme="minorEastAsia" w:cstheme="minorEastAsia"/>
          <w:color w:val="auto"/>
          <w:sz w:val="24"/>
          <w:szCs w:val="24"/>
        </w:rPr>
        <w:t>验收合格单上签字确认。试运行一个月后，进行项目整体验收，</w:t>
      </w:r>
      <w:r>
        <w:rPr>
          <w:rFonts w:hint="eastAsia" w:asciiTheme="minorEastAsia" w:hAnsiTheme="minorEastAsia" w:eastAsiaTheme="minorEastAsia" w:cstheme="minorEastAsia"/>
          <w:color w:val="auto"/>
          <w:sz w:val="24"/>
          <w:szCs w:val="24"/>
          <w:lang w:val="en-US" w:eastAsia="zh-CN"/>
        </w:rPr>
        <w:t>主要验收系统的稳定性和安全性、适用性等指标，且项目不存在任何质量问题，能够正常运行，经整体验收合格的，甲乙双方在项目整体验收合格单上签字确认。</w:t>
      </w:r>
    </w:p>
    <w:p w14:paraId="25D38CE9">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4.3.2</w:t>
      </w:r>
      <w:r>
        <w:rPr>
          <w:rFonts w:hint="eastAsia" w:asciiTheme="minorEastAsia" w:hAnsiTheme="minorEastAsia" w:eastAsiaTheme="minorEastAsia" w:cstheme="minorEastAsia"/>
          <w:color w:val="auto"/>
          <w:sz w:val="24"/>
          <w:szCs w:val="24"/>
        </w:rPr>
        <w:t>验收依据：</w:t>
      </w:r>
    </w:p>
    <w:p w14:paraId="44AC0A8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（1）本合同体系、</w:t>
      </w:r>
      <w:r>
        <w:rPr>
          <w:rFonts w:hint="eastAsia" w:asciiTheme="minorEastAsia" w:hAnsiTheme="minorEastAsia" w:eastAsiaTheme="minorEastAsia" w:cstheme="minorEastAsia"/>
          <w:color w:val="auto"/>
          <w:sz w:val="24"/>
          <w:szCs w:val="24"/>
          <w:lang w:val="en-US" w:eastAsia="zh-CN"/>
        </w:rPr>
        <w:t>政府采购文件（或者</w:t>
      </w:r>
      <w:r>
        <w:rPr>
          <w:rFonts w:hint="eastAsia" w:asciiTheme="minorEastAsia" w:hAnsi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政府采购响应文件（或者</w:t>
      </w:r>
      <w:r>
        <w:rPr>
          <w:rFonts w:hint="eastAsia" w:asciiTheme="minorEastAsia" w:hAnsiTheme="minorEastAsia" w:eastAsiaTheme="minorEastAsia" w:cstheme="minorEastAsia"/>
          <w:color w:val="auto"/>
          <w:sz w:val="24"/>
          <w:szCs w:val="24"/>
        </w:rPr>
        <w:t>投标文件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B62CE36">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（2）国内相应的标准、规范。</w:t>
      </w:r>
    </w:p>
    <w:p w14:paraId="2E072102">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（3）注明品名、数量、规格和原产地或生产厂家的产品验收清单</w:t>
      </w:r>
      <w:r>
        <w:rPr>
          <w:rFonts w:hint="eastAsia" w:asciiTheme="minorEastAsia" w:hAnsiTheme="minorEastAsia" w:eastAsiaTheme="minorEastAsia" w:cstheme="minorEastAsia"/>
          <w:color w:val="auto"/>
          <w:sz w:val="24"/>
          <w:szCs w:val="24"/>
          <w:lang w:val="en-US" w:eastAsia="zh-CN"/>
        </w:rPr>
        <w:t>和装修工程清单</w:t>
      </w:r>
      <w:r>
        <w:rPr>
          <w:rFonts w:hint="eastAsia" w:asciiTheme="minorEastAsia" w:hAnsiTheme="minorEastAsia" w:eastAsiaTheme="minorEastAsia" w:cstheme="minorEastAsia"/>
          <w:color w:val="auto"/>
          <w:sz w:val="24"/>
          <w:szCs w:val="24"/>
          <w:lang w:eastAsia="zh-CN"/>
        </w:rPr>
        <w:t>。</w:t>
      </w:r>
    </w:p>
    <w:p w14:paraId="43C4EC6D">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4.3.3</w:t>
      </w:r>
      <w:r>
        <w:rPr>
          <w:rFonts w:hint="eastAsia" w:asciiTheme="minorEastAsia" w:hAnsiTheme="minorEastAsia" w:eastAsiaTheme="minorEastAsia" w:cstheme="minorEastAsia"/>
          <w:color w:val="auto"/>
          <w:sz w:val="24"/>
          <w:szCs w:val="24"/>
        </w:rPr>
        <w:t>所验产品</w:t>
      </w:r>
      <w:r>
        <w:rPr>
          <w:rFonts w:hint="eastAsia" w:asciiTheme="minorEastAsia" w:hAnsiTheme="minorEastAsia" w:eastAsiaTheme="minorEastAsia" w:cstheme="minorEastAsia"/>
          <w:color w:val="auto"/>
          <w:sz w:val="24"/>
          <w:szCs w:val="24"/>
          <w:lang w:val="en-US" w:eastAsia="zh-CN"/>
        </w:rPr>
        <w:t>及附带装修工程</w:t>
      </w:r>
      <w:r>
        <w:rPr>
          <w:rFonts w:hint="eastAsia" w:asciiTheme="minorEastAsia" w:hAnsiTheme="minorEastAsia" w:eastAsiaTheme="minorEastAsia" w:cstheme="minorEastAsia"/>
          <w:color w:val="auto"/>
          <w:sz w:val="24"/>
          <w:szCs w:val="24"/>
        </w:rPr>
        <w:t>的指标、性能参数通过验收达不到政府采购文件（或者</w:t>
      </w:r>
      <w:r>
        <w:rPr>
          <w:rFonts w:hint="eastAsia" w:asciiTheme="minorEastAsia" w:hAnsi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）要求和政府采购响应文件（或者投标文件）承诺的，或在使用中发现采购人不能容忍的缺陷等，将视为产品</w:t>
      </w:r>
      <w:r>
        <w:rPr>
          <w:rFonts w:hint="eastAsia" w:asciiTheme="minorEastAsia" w:hAnsiTheme="minorEastAsia" w:eastAsiaTheme="minorEastAsia" w:cstheme="minorEastAsia"/>
          <w:color w:val="auto"/>
          <w:sz w:val="24"/>
          <w:szCs w:val="24"/>
          <w:lang w:val="en-US" w:eastAsia="zh-CN"/>
        </w:rPr>
        <w:t>及工程</w:t>
      </w:r>
      <w:r>
        <w:rPr>
          <w:rFonts w:hint="eastAsia" w:asciiTheme="minorEastAsia" w:hAnsiTheme="minorEastAsia" w:eastAsiaTheme="minorEastAsia" w:cstheme="minorEastAsia"/>
          <w:color w:val="auto"/>
          <w:sz w:val="24"/>
          <w:szCs w:val="24"/>
        </w:rPr>
        <w:t>验收不合格，供应商应无条件免费更换或退货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整改</w:t>
      </w:r>
      <w:r>
        <w:rPr>
          <w:rFonts w:hint="eastAsia" w:asciiTheme="minorEastAsia" w:hAnsiTheme="minorEastAsia" w:eastAsiaTheme="minorEastAsia" w:cstheme="minorEastAsia"/>
          <w:color w:val="auto"/>
          <w:sz w:val="24"/>
          <w:szCs w:val="24"/>
        </w:rPr>
        <w:t>。</w:t>
      </w:r>
    </w:p>
    <w:p w14:paraId="1F872294">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4.4</w:t>
      </w:r>
      <w:r>
        <w:rPr>
          <w:rFonts w:hint="eastAsia" w:asciiTheme="minorEastAsia" w:hAnsiTheme="minorEastAsia" w:eastAsiaTheme="minorEastAsia" w:cstheme="minorEastAsia"/>
          <w:color w:val="auto"/>
          <w:sz w:val="24"/>
          <w:szCs w:val="24"/>
        </w:rPr>
        <w:t>若发现供应商有弄虚作假的，在</w:t>
      </w:r>
      <w:r>
        <w:rPr>
          <w:rFonts w:hint="eastAsia" w:asciiTheme="minorEastAsia" w:hAnsiTheme="minorEastAsia" w:eastAsiaTheme="minorEastAsia" w:cstheme="minorEastAsia"/>
          <w:color w:val="auto"/>
          <w:sz w:val="24"/>
          <w:szCs w:val="24"/>
          <w:lang w:val="en-US" w:eastAsia="zh-CN"/>
        </w:rPr>
        <w:t>政府采购响应（或者</w:t>
      </w:r>
      <w:r>
        <w:rPr>
          <w:rFonts w:hint="eastAsia" w:asciiTheme="minorEastAsia" w:hAnsiTheme="minorEastAsia" w:eastAsiaTheme="minorEastAsia" w:cstheme="minorEastAsia"/>
          <w:color w:val="auto"/>
          <w:sz w:val="24"/>
          <w:szCs w:val="24"/>
        </w:rPr>
        <w:t>投标）阶段故意或随意夸大产品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材料</w:t>
      </w:r>
      <w:r>
        <w:rPr>
          <w:rFonts w:hint="eastAsia" w:asciiTheme="minorEastAsia" w:hAnsiTheme="minorEastAsia" w:eastAsiaTheme="minorEastAsia" w:cstheme="minorEastAsia"/>
          <w:color w:val="auto"/>
          <w:sz w:val="24"/>
          <w:szCs w:val="24"/>
        </w:rPr>
        <w:t>技术性能，供应商应无条件退货，并赔偿采购人相应的损失。</w:t>
      </w:r>
    </w:p>
    <w:p w14:paraId="31B17771">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4.6甲、乙双方对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470EAEF7">
      <w:pPr>
        <w:pStyle w:val="37"/>
        <w:numPr>
          <w:ilvl w:val="0"/>
          <w:numId w:val="7"/>
        </w:numPr>
        <w:spacing w:after="0" w:line="360" w:lineRule="auto"/>
        <w:ind w:left="458" w:leftChars="218"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验收</w:t>
      </w:r>
      <w:r>
        <w:rPr>
          <w:rFonts w:hint="eastAsia" w:asciiTheme="minorEastAsia" w:hAnsiTheme="minorEastAsia" w:eastAsiaTheme="minorEastAsia" w:cstheme="minorEastAsia"/>
          <w:color w:val="auto"/>
          <w:sz w:val="24"/>
          <w:szCs w:val="24"/>
          <w:lang w:val="en-US" w:eastAsia="zh-CN"/>
        </w:rPr>
        <w:t>方式</w:t>
      </w:r>
      <w:r>
        <w:rPr>
          <w:rFonts w:hint="eastAsia" w:asciiTheme="minorEastAsia" w:hAnsiTheme="minorEastAsia" w:eastAsiaTheme="minorEastAsia" w:cstheme="minorEastAsia"/>
          <w:color w:val="auto"/>
          <w:sz w:val="24"/>
          <w:szCs w:val="24"/>
          <w:highlight w:val="yellow"/>
        </w:rPr>
        <w:br w:type="textWrapping"/>
      </w:r>
      <w:r>
        <w:rPr>
          <w:rFonts w:hint="eastAsia" w:asciiTheme="minorEastAsia" w:hAnsiTheme="minorEastAsia" w:eastAsiaTheme="minorEastAsia" w:cstheme="minorEastAsia"/>
          <w:color w:val="auto"/>
          <w:sz w:val="24"/>
          <w:szCs w:val="24"/>
        </w:rPr>
        <w:t>甲方组织项目验收，乙方提供的智慧校园系统、精品录播教室、附带装修工程</w:t>
      </w:r>
      <w:r>
        <w:rPr>
          <w:rFonts w:hint="eastAsia" w:asciiTheme="minorEastAsia" w:hAnsiTheme="minorEastAsia" w:eastAsia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rPr>
        <w:t>符</w:t>
      </w:r>
    </w:p>
    <w:p w14:paraId="29EA2090">
      <w:pPr>
        <w:pStyle w:val="37"/>
        <w:numPr>
          <w:ilvl w:val="0"/>
          <w:numId w:val="0"/>
        </w:numPr>
        <w:spacing w:after="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合甲方的要求，</w:t>
      </w:r>
      <w:r>
        <w:rPr>
          <w:rFonts w:hint="eastAsia" w:asciiTheme="minorEastAsia" w:hAnsiTheme="minorEastAsia" w:eastAsiaTheme="minorEastAsia" w:cstheme="minorEastAsia"/>
          <w:color w:val="auto"/>
          <w:sz w:val="24"/>
          <w:szCs w:val="24"/>
          <w:lang w:val="en-US" w:eastAsia="zh-CN"/>
        </w:rPr>
        <w:t>验收方式采取乙方先自检，自检合格后，提请甲方进行项目初步验收；自初步验收合格之日起试运行一个月后，提请甲方进行项目整体验收；甲方进行初步验收和整体验收可以聘请专家参与验收。</w:t>
      </w:r>
      <w:r>
        <w:rPr>
          <w:rFonts w:hint="eastAsia" w:asciiTheme="minorEastAsia" w:hAnsiTheme="minorEastAsia" w:eastAsiaTheme="minorEastAsia" w:cstheme="minorEastAsia"/>
          <w:color w:val="auto"/>
          <w:sz w:val="24"/>
          <w:szCs w:val="24"/>
        </w:rPr>
        <w:t>若</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未通过</w:t>
      </w:r>
      <w:r>
        <w:rPr>
          <w:rFonts w:hint="eastAsia" w:asciiTheme="minorEastAsia" w:hAnsiTheme="minorEastAsia" w:eastAsiaTheme="minorEastAsia" w:cstheme="minorEastAsia"/>
          <w:color w:val="auto"/>
          <w:sz w:val="24"/>
          <w:szCs w:val="24"/>
          <w:lang w:val="en-US" w:eastAsia="zh-CN"/>
        </w:rPr>
        <w:t>初步</w:t>
      </w:r>
      <w:r>
        <w:rPr>
          <w:rFonts w:hint="eastAsia" w:asciiTheme="minorEastAsia" w:hAnsiTheme="minorEastAsia" w:eastAsiaTheme="minorEastAsia" w:cstheme="minorEastAsia"/>
          <w:color w:val="auto"/>
          <w:sz w:val="24"/>
          <w:szCs w:val="24"/>
        </w:rPr>
        <w:t>验收</w:t>
      </w:r>
      <w:r>
        <w:rPr>
          <w:rFonts w:hint="eastAsia" w:asciiTheme="minorEastAsia" w:hAnsiTheme="minorEastAsia" w:eastAsiaTheme="minorEastAsia" w:cstheme="minorEastAsia"/>
          <w:color w:val="auto"/>
          <w:sz w:val="24"/>
          <w:szCs w:val="24"/>
          <w:lang w:val="en-US" w:eastAsia="zh-CN"/>
        </w:rPr>
        <w:t>或者整体验收的</w:t>
      </w:r>
      <w:r>
        <w:rPr>
          <w:rFonts w:hint="eastAsia" w:asciiTheme="minorEastAsia" w:hAnsiTheme="minorEastAsia" w:eastAsiaTheme="minorEastAsia" w:cstheme="minorEastAsia"/>
          <w:color w:val="auto"/>
          <w:sz w:val="24"/>
          <w:szCs w:val="24"/>
        </w:rPr>
        <w:t>，乙方应无条件根据甲方的反馈进行整改，直至通过验收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三次整改仍不能初步验收或者整体验收的，甲方有权解除合同，并追究乙方的违约责任和赔偿责任</w:t>
      </w:r>
      <w:r>
        <w:rPr>
          <w:rFonts w:hint="eastAsia" w:asciiTheme="minorEastAsia" w:hAnsiTheme="minorEastAsia" w:eastAsiaTheme="minorEastAsia" w:cstheme="minorEastAsia"/>
          <w:color w:val="auto"/>
          <w:sz w:val="24"/>
          <w:szCs w:val="24"/>
        </w:rPr>
        <w:t>。</w:t>
      </w:r>
    </w:p>
    <w:p w14:paraId="76390FF4">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知识产权</w:t>
      </w:r>
    </w:p>
    <w:bookmarkEnd w:id="261"/>
    <w:p w14:paraId="750E7586">
      <w:pPr>
        <w:spacing w:after="0"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6.1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2"/>
          <w:sz w:val="24"/>
          <w:szCs w:val="24"/>
          <w:lang w:val="en-US" w:eastAsia="zh-CN" w:bidi="ar-SA"/>
        </w:rPr>
        <w:t>本合同项下的智慧校园系统的知识产权归甲方所有。</w:t>
      </w:r>
    </w:p>
    <w:p w14:paraId="6EC9B232">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甲方的权利及义务</w:t>
      </w:r>
      <w:r>
        <w:rPr>
          <w:rFonts w:hint="eastAsia" w:asciiTheme="minorEastAsia" w:hAnsiTheme="minorEastAsia" w:eastAsiaTheme="minorEastAsia" w:cstheme="minorEastAsia"/>
          <w:color w:val="auto"/>
          <w:sz w:val="24"/>
          <w:szCs w:val="24"/>
          <w:highlight w:val="yellow"/>
        </w:rPr>
        <w:br w:type="textWrapping"/>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7.1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甲方负责向乙方提供</w:t>
      </w:r>
      <w:r>
        <w:rPr>
          <w:rFonts w:hint="eastAsia" w:asciiTheme="minorEastAsia" w:hAnsiTheme="minorEastAsia" w:eastAsiaTheme="minorEastAsia" w:cstheme="minorEastAsia"/>
          <w:color w:val="auto"/>
          <w:sz w:val="24"/>
          <w:szCs w:val="24"/>
          <w:lang w:val="en-US" w:eastAsia="zh-CN"/>
        </w:rPr>
        <w:t>项目开发建设</w:t>
      </w:r>
      <w:r>
        <w:rPr>
          <w:rFonts w:hint="eastAsia" w:asciiTheme="minorEastAsia" w:hAnsiTheme="minorEastAsia" w:eastAsiaTheme="minorEastAsia" w:cstheme="minorEastAsia"/>
          <w:color w:val="auto"/>
          <w:sz w:val="24"/>
          <w:szCs w:val="24"/>
        </w:rPr>
        <w:t>所需要的有关资料，并</w:t>
      </w:r>
      <w:r>
        <w:rPr>
          <w:rFonts w:hint="eastAsia" w:asciiTheme="minorEastAsia" w:hAnsiTheme="minorEastAsia" w:eastAsiaTheme="minorEastAsia" w:cstheme="minorEastAsia"/>
          <w:color w:val="auto"/>
          <w:sz w:val="24"/>
          <w:szCs w:val="24"/>
          <w:lang w:val="en-US" w:eastAsia="zh-CN"/>
        </w:rPr>
        <w:t>为</w:t>
      </w:r>
      <w:r>
        <w:rPr>
          <w:rFonts w:hint="eastAsia" w:asciiTheme="minorEastAsia" w:hAnsiTheme="minorEastAsia" w:eastAsiaTheme="minorEastAsia" w:cstheme="minorEastAsia"/>
          <w:color w:val="auto"/>
          <w:sz w:val="24"/>
          <w:szCs w:val="24"/>
        </w:rPr>
        <w:t>乙方的施工及安装调试、相关培训等工作</w:t>
      </w:r>
      <w:r>
        <w:rPr>
          <w:rFonts w:hint="eastAsia" w:asciiTheme="minorEastAsia" w:hAnsiTheme="minorEastAsia" w:eastAsiaTheme="minorEastAsia" w:cstheme="minorEastAsia"/>
          <w:color w:val="auto"/>
          <w:sz w:val="24"/>
          <w:szCs w:val="24"/>
          <w:lang w:val="en-US" w:eastAsia="zh-CN"/>
        </w:rPr>
        <w:t>提供便利</w:t>
      </w:r>
      <w:r>
        <w:rPr>
          <w:rFonts w:hint="eastAsia" w:asciiTheme="minorEastAsia" w:hAnsiTheme="minorEastAsia" w:eastAsiaTheme="minorEastAsia" w:cstheme="minorEastAsia"/>
          <w:color w:val="auto"/>
          <w:sz w:val="24"/>
          <w:szCs w:val="24"/>
        </w:rPr>
        <w:t>；</w:t>
      </w:r>
    </w:p>
    <w:p w14:paraId="4161599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甲方应定期做好系统数据备份，并对备份数据进行妥善保管；</w:t>
      </w:r>
    </w:p>
    <w:p w14:paraId="0892201C">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7.3 甲方有权对</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开发建设</w:t>
      </w:r>
      <w:r>
        <w:rPr>
          <w:rFonts w:hint="eastAsia" w:asciiTheme="minorEastAsia" w:hAnsiTheme="minorEastAsia" w:eastAsiaTheme="minorEastAsia" w:cstheme="minorEastAsia"/>
          <w:color w:val="auto"/>
          <w:sz w:val="24"/>
          <w:szCs w:val="24"/>
        </w:rPr>
        <w:t>进度、质量、成果等进行监督和检查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要求整改</w:t>
      </w:r>
      <w:r>
        <w:rPr>
          <w:rFonts w:hint="eastAsia" w:asciiTheme="minorEastAsia" w:hAnsiTheme="minorEastAsia" w:eastAsiaTheme="minorEastAsia" w:cstheme="minorEastAsia"/>
          <w:color w:val="auto"/>
          <w:sz w:val="24"/>
          <w:szCs w:val="24"/>
        </w:rPr>
        <w:t>。</w:t>
      </w:r>
    </w:p>
    <w:p w14:paraId="529B2D90">
      <w:pPr>
        <w:spacing w:after="0" w:line="360" w:lineRule="auto"/>
        <w:ind w:left="698" w:leftChars="218" w:hanging="240" w:hanging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第八条 乙方的权利与义务</w:t>
      </w:r>
    </w:p>
    <w:p w14:paraId="68599657">
      <w:pPr>
        <w:spacing w:after="0" w:line="360" w:lineRule="auto"/>
        <w:ind w:left="698" w:leftChars="218" w:hanging="240" w:hanging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8.1</w:t>
      </w:r>
      <w:r>
        <w:rPr>
          <w:rFonts w:hint="eastAsia" w:asciiTheme="minorEastAsia" w:hAnsiTheme="minorEastAsia" w:eastAsiaTheme="minorEastAsia" w:cstheme="minorEastAsia"/>
          <w:color w:val="auto"/>
          <w:sz w:val="24"/>
          <w:szCs w:val="24"/>
          <w:lang w:val="en-US" w:eastAsia="zh-CN"/>
        </w:rPr>
        <w:t xml:space="preserve"> 乙方应组建一支技术力量优良、具有从事同类项目经验、具有相应资质、符合</w:t>
      </w:r>
    </w:p>
    <w:p w14:paraId="48965E30">
      <w:pPr>
        <w:spacing w:after="0"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要求的工作团队，在合同约定的时间内完成服务内容确定的工作任务，使工作成果达到合同规定的要求。乙方工作团队人员的名单及基本信息应报甲方备案，便于乙方进入甲方院内开展项目工作；乙方应安排具有类似项目统筹管理和领导经验，能全程负责本项目各项工作的组织、实施、统筹协调，保障项目顺利实施的项目负责人一名，乙方确定本项目负责人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，电话是</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。项目实施中原则上不允许更换项目负责人，因特殊情况确需更换的，需报甲方同意。项目负责人不按要求履职的，采购人有权要求更换项目负责人。</w:t>
      </w:r>
    </w:p>
    <w:p w14:paraId="64AF9BB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8.2</w:t>
      </w:r>
      <w:r>
        <w:rPr>
          <w:rFonts w:hint="eastAsia" w:asciiTheme="minorEastAsia" w:hAnsiTheme="minorEastAsia" w:eastAsiaTheme="minorEastAsia" w:cstheme="minorEastAsia"/>
          <w:color w:val="auto"/>
          <w:sz w:val="24"/>
          <w:szCs w:val="24"/>
        </w:rPr>
        <w:t>乙方有义务为甲方操作人员进行免费的系统操作培训；</w:t>
      </w:r>
    </w:p>
    <w:p w14:paraId="43608870">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乙方要对甲方提供的用于系统初始化的管理信息系统、业务、生产有关资料和数据信息保密；</w:t>
      </w:r>
    </w:p>
    <w:p w14:paraId="1ADF07CC">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 乙方应按照甲方的要求，认真履行</w:t>
      </w:r>
      <w:r>
        <w:rPr>
          <w:rFonts w:hint="eastAsia" w:asciiTheme="minorEastAsia" w:hAnsiTheme="minorEastAsia" w:eastAsiaTheme="minorEastAsia" w:cstheme="minorEastAsia"/>
          <w:color w:val="auto"/>
          <w:sz w:val="24"/>
          <w:szCs w:val="24"/>
          <w:lang w:val="en-US" w:eastAsia="zh-CN"/>
        </w:rPr>
        <w:t>开发建设</w:t>
      </w:r>
      <w:r>
        <w:rPr>
          <w:rFonts w:hint="eastAsia" w:asciiTheme="minorEastAsia" w:hAnsiTheme="minorEastAsia" w:eastAsiaTheme="minorEastAsia" w:cstheme="minorEastAsia"/>
          <w:color w:val="auto"/>
          <w:sz w:val="24"/>
          <w:szCs w:val="24"/>
        </w:rPr>
        <w:t>职责，按时向甲方交付</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，并保证</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的质量、成果。</w:t>
      </w:r>
    </w:p>
    <w:p w14:paraId="34C4CBAC">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8.4 乙方应遵守国家有关法律法规，保证</w:t>
      </w:r>
      <w:r>
        <w:rPr>
          <w:rFonts w:hint="eastAsia" w:asciiTheme="minorEastAsia" w:hAnsiTheme="minorEastAsia" w:eastAsiaTheme="minorEastAsia" w:cstheme="minorEastAsia"/>
          <w:color w:val="auto"/>
          <w:sz w:val="24"/>
          <w:szCs w:val="24"/>
          <w:lang w:val="en-US" w:eastAsia="zh-CN"/>
        </w:rPr>
        <w:t>项目开发建设</w:t>
      </w:r>
      <w:r>
        <w:rPr>
          <w:rFonts w:hint="eastAsia" w:asciiTheme="minorEastAsia" w:hAnsiTheme="minorEastAsia" w:eastAsiaTheme="minorEastAsia" w:cstheme="minorEastAsia"/>
          <w:color w:val="auto"/>
          <w:sz w:val="24"/>
          <w:szCs w:val="24"/>
        </w:rPr>
        <w:t>过程中不侵犯任何第三方的知识产权。</w:t>
      </w:r>
    </w:p>
    <w:p w14:paraId="38B76C47">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8.5 乙方须严格遵守安全管理等方面的相关法律、法规，乙方是项目安全管理的第一责任人，应加强现场安全管理和人员安全教育培训，采取有效措施确保人员的操作安全、现场安全、用电安全、消防安全等安全事项，自行负责履约过程中人身安全、财产安全、环境安全等一切安全问题，并为本项目员工购买社会保险和商业保险，如在履约过程中，因乙方人员所产生的一切安全责任、安全事故和其他事故的责任和损失（包括导致的甲方罚款）由乙方自行承担 ,与甲方无任何关系。如果导致甲方被罚款的，甲方有权要求乙方承担罚款的赔偿责任。</w:t>
      </w:r>
    </w:p>
    <w:p w14:paraId="54C63E22">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质量保证和权利保证</w:t>
      </w:r>
    </w:p>
    <w:p w14:paraId="1D7147D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1质量标准：产品规格参数详见</w:t>
      </w:r>
      <w:r>
        <w:rPr>
          <w:rFonts w:hint="eastAsia" w:asciiTheme="minorEastAsia" w:hAnsiTheme="minorEastAsia" w:cstheme="minorEastAsia"/>
          <w:color w:val="auto"/>
          <w:sz w:val="24"/>
          <w:szCs w:val="24"/>
          <w:lang w:val="en-US" w:eastAsia="zh-CN"/>
        </w:rPr>
        <w:t>竞争性磋商文件</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竞争性磋商文件</w:t>
      </w:r>
      <w:r>
        <w:rPr>
          <w:rFonts w:hint="eastAsia" w:asciiTheme="minorEastAsia" w:hAnsiTheme="minorEastAsia" w:eastAsiaTheme="minorEastAsia" w:cstheme="minorEastAsia"/>
          <w:color w:val="auto"/>
          <w:sz w:val="24"/>
          <w:szCs w:val="24"/>
        </w:rPr>
        <w:t>与合同具有同等法律效力。</w:t>
      </w:r>
    </w:p>
    <w:p w14:paraId="220FAA5E">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2质量保证：</w:t>
      </w:r>
    </w:p>
    <w:p w14:paraId="4A803E02">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9.2.1</w:t>
      </w:r>
      <w:r>
        <w:rPr>
          <w:rFonts w:hint="eastAsia" w:asciiTheme="minorEastAsia" w:hAnsiTheme="minorEastAsia" w:eastAsiaTheme="minorEastAsia" w:cstheme="minorEastAsia"/>
          <w:color w:val="auto"/>
          <w:sz w:val="24"/>
          <w:szCs w:val="24"/>
        </w:rPr>
        <w:t>供应商提供的产品及材料必须保证质量可靠，为市场最新或主流产品，进货渠道正常，配置合理齐全，应满足甲方的要求，所供产品工艺质量应严格按国家最新发布的规范标准执行，如发生质量问题由供应商承担全部责任。乙方应保证所有产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材料</w:t>
      </w:r>
      <w:r>
        <w:rPr>
          <w:rFonts w:hint="eastAsia" w:asciiTheme="minorEastAsia" w:hAnsiTheme="minorEastAsia" w:eastAsiaTheme="minorEastAsia" w:cstheme="minorEastAsia"/>
          <w:color w:val="auto"/>
          <w:sz w:val="24"/>
          <w:szCs w:val="24"/>
        </w:rPr>
        <w:t>包括配套包装和配套的技术资料在内完好无损，如有缺漏、 损坏，由供应商负责调换、补齐或赔偿。</w:t>
      </w:r>
    </w:p>
    <w:p w14:paraId="5C42342F">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乙方保证所</w:t>
      </w:r>
      <w:r>
        <w:rPr>
          <w:rFonts w:hint="eastAsia" w:asciiTheme="minorEastAsia" w:hAnsiTheme="minorEastAsia" w:eastAsiaTheme="minorEastAsia" w:cstheme="minorEastAsia"/>
          <w:color w:val="auto"/>
          <w:sz w:val="24"/>
          <w:szCs w:val="24"/>
          <w:lang w:val="en-US" w:eastAsia="zh-CN"/>
        </w:rPr>
        <w:t>开发建设</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val="en-US" w:eastAsia="zh-CN"/>
        </w:rPr>
        <w:t>智慧校园系统、精品录播教室、附带装修工程</w:t>
      </w:r>
      <w:r>
        <w:rPr>
          <w:rFonts w:hint="eastAsia" w:asciiTheme="minorEastAsia" w:hAnsiTheme="minorEastAsia" w:eastAsiaTheme="minorEastAsia" w:cstheme="minorEastAsia"/>
          <w:color w:val="auto"/>
          <w:sz w:val="24"/>
          <w:szCs w:val="24"/>
        </w:rPr>
        <w:t>符合甲方的需求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符合国家标准和行业标准，并确保系统的稳定性和安全性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适用性。</w:t>
      </w:r>
    </w:p>
    <w:p w14:paraId="5B9E5CB5">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自整体验收合格之日起乙方</w:t>
      </w:r>
      <w:r>
        <w:rPr>
          <w:rFonts w:hint="eastAsia" w:asciiTheme="minorEastAsia" w:hAnsiTheme="minorEastAsia" w:eastAsiaTheme="minorEastAsia" w:cstheme="minorEastAsia"/>
          <w:color w:val="auto"/>
          <w:sz w:val="24"/>
          <w:szCs w:val="24"/>
        </w:rPr>
        <w:t>提供质保一年，质保范围是因系统</w:t>
      </w:r>
      <w:r>
        <w:rPr>
          <w:rFonts w:hint="eastAsia" w:asciiTheme="minorEastAsia" w:hAnsiTheme="minorEastAsia" w:eastAsiaTheme="minorEastAsia" w:cstheme="minorEastAsia"/>
          <w:color w:val="auto"/>
          <w:sz w:val="24"/>
          <w:szCs w:val="24"/>
          <w:lang w:val="en-US" w:eastAsia="zh-CN"/>
        </w:rPr>
        <w:t>或者硬件、软件、附带装修工程</w:t>
      </w:r>
      <w:r>
        <w:rPr>
          <w:rFonts w:hint="eastAsia" w:asciiTheme="minorEastAsia" w:hAnsiTheme="minorEastAsia" w:eastAsiaTheme="minorEastAsia" w:cstheme="minorEastAsia"/>
          <w:color w:val="auto"/>
          <w:sz w:val="24"/>
          <w:szCs w:val="24"/>
        </w:rPr>
        <w:t>自身存在质量问题在质保期内进行免费修复或者更换。</w:t>
      </w:r>
    </w:p>
    <w:p w14:paraId="755936CA">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9.2.4  服务承诺与技术支持</w:t>
      </w:r>
    </w:p>
    <w:p w14:paraId="39A569D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9.2.4.</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供应商在项目</w:t>
      </w:r>
      <w:r>
        <w:rPr>
          <w:rFonts w:hint="eastAsia" w:asciiTheme="minorEastAsia" w:hAnsiTheme="minorEastAsia" w:eastAsiaTheme="minorEastAsia" w:cstheme="minorEastAsia"/>
          <w:color w:val="auto"/>
          <w:sz w:val="24"/>
          <w:szCs w:val="24"/>
        </w:rPr>
        <w:t>交付时，能够提供对采购方人员现场操作培训、指导服务以及后期的技术咨询服务。</w:t>
      </w:r>
    </w:p>
    <w:p w14:paraId="50B4E03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9.2.4.</w:t>
      </w:r>
      <w:r>
        <w:rPr>
          <w:rFonts w:hint="eastAsia" w:asciiTheme="minorEastAsia" w:hAnsiTheme="minorEastAsia" w:eastAsiaTheme="minorEastAsia" w:cstheme="minorEastAsia"/>
          <w:color w:val="auto"/>
          <w:sz w:val="24"/>
          <w:szCs w:val="24"/>
        </w:rPr>
        <w:t>2供应商在接到维修通知要求后若需上门维修，维修人员需在 24 小时内到达现场，遇到紧急突发事件远程无法解决，应在 12 小时内到达现场并排除故障，修理费用由供应商负责。</w:t>
      </w:r>
    </w:p>
    <w:p w14:paraId="26ED0CF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9.2.4.</w:t>
      </w:r>
      <w:r>
        <w:rPr>
          <w:rFonts w:hint="eastAsia" w:asciiTheme="minorEastAsia" w:hAnsiTheme="minorEastAsia" w:eastAsiaTheme="minorEastAsia" w:cstheme="minorEastAsia"/>
          <w:color w:val="auto"/>
          <w:sz w:val="24"/>
          <w:szCs w:val="24"/>
        </w:rPr>
        <w:t>3供应商应对所供产品应终身免费提供技术咨询，且能够及时提供设备后期维修及易损件供应服务；所提供的服务内容应严格按国家最新发布的规范标准执行，符合采购人理念及要求，如发生质量问题由供应商承担全部责任。</w:t>
      </w:r>
    </w:p>
    <w:p w14:paraId="1A17FD7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9.2.4.4</w:t>
      </w:r>
      <w:r>
        <w:rPr>
          <w:rFonts w:hint="eastAsia" w:asciiTheme="minorEastAsia" w:hAnsiTheme="minorEastAsia" w:eastAsiaTheme="minorEastAsia" w:cstheme="minorEastAsia"/>
          <w:color w:val="auto"/>
          <w:sz w:val="24"/>
          <w:szCs w:val="24"/>
        </w:rPr>
        <w:t>供应商应全面实际履行在投标（</w:t>
      </w:r>
      <w:r>
        <w:rPr>
          <w:rFonts w:hint="eastAsia" w:asciiTheme="minorEastAsia" w:hAnsiTheme="minorEastAsia" w:eastAsiaTheme="minorEastAsia" w:cstheme="minorEastAsia"/>
          <w:color w:val="auto"/>
          <w:sz w:val="24"/>
          <w:szCs w:val="24"/>
          <w:lang w:val="en-US" w:eastAsia="zh-CN"/>
        </w:rPr>
        <w:t>政府采购响应</w:t>
      </w:r>
      <w:r>
        <w:rPr>
          <w:rFonts w:hint="eastAsia" w:asciiTheme="minorEastAsia" w:hAnsiTheme="minorEastAsia" w:eastAsiaTheme="minorEastAsia" w:cstheme="minorEastAsia"/>
          <w:color w:val="auto"/>
          <w:sz w:val="24"/>
          <w:szCs w:val="24"/>
        </w:rPr>
        <w:t>）阶段的全部承诺。</w:t>
      </w:r>
    </w:p>
    <w:p w14:paraId="5F75D849">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3权利保证：供应商应对所供</w:t>
      </w:r>
      <w:r>
        <w:rPr>
          <w:rFonts w:hint="eastAsia" w:asciiTheme="minorEastAsia" w:hAnsiTheme="minorEastAsia" w:eastAsiaTheme="minorEastAsia" w:cstheme="minorEastAsia"/>
          <w:color w:val="auto"/>
          <w:sz w:val="24"/>
          <w:szCs w:val="24"/>
          <w:lang w:val="en-US" w:eastAsia="zh-CN"/>
        </w:rPr>
        <w:t>硬件和软件</w:t>
      </w:r>
      <w:r>
        <w:rPr>
          <w:rFonts w:hint="eastAsia" w:asciiTheme="minorEastAsia" w:hAnsiTheme="minorEastAsia" w:eastAsiaTheme="minorEastAsia" w:cstheme="minorEastAsia"/>
          <w:color w:val="auto"/>
          <w:sz w:val="24"/>
          <w:szCs w:val="24"/>
        </w:rPr>
        <w:t>产品具有或已取得合法知识产权，供应商应保证所供产品及服务不会出现因第三方提出侵犯其专利权、商标权或</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知识产权而引发的法律或经济纠纷，否则由供应商负责解决并承担全部法律责任：如因此影响到采购人的正常使用，采购人有权单方解除本合同，供应商应无条件向采购人退回已收取的全部合同价款，给采购人造成损失的，由供应商一并赔偿。</w:t>
      </w:r>
    </w:p>
    <w:p w14:paraId="693041F8">
      <w:pPr>
        <w:pStyle w:val="37"/>
        <w:spacing w:after="0"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违约责任</w:t>
      </w:r>
    </w:p>
    <w:p w14:paraId="2A7C2330">
      <w:pPr>
        <w:pStyle w:val="37"/>
        <w:spacing w:after="0"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若乙方未能按时交付项目（因甲方原因或不可抗力导致的延误除外），每逾期一日，应按合同总金额的</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向甲方支付违约金，违约金累计总额不超过合同总金额的 10%。若逾期超过 [30] 个日历日，甲方有权解除合同，乙方应退还已收款项并按合同总额的 10% 支付违约金，若违约金不足以弥补甲方损失（如另行采购的差价、教学延误损失等），乙方还应赔偿不足部分</w:t>
      </w:r>
      <w:r>
        <w:rPr>
          <w:rFonts w:hint="eastAsia" w:asciiTheme="minorEastAsia" w:hAnsiTheme="minorEastAsia" w:eastAsiaTheme="minorEastAsia" w:cstheme="minorEastAsia"/>
          <w:color w:val="auto"/>
          <w:sz w:val="24"/>
          <w:szCs w:val="24"/>
          <w:lang w:val="en-US" w:eastAsia="zh-CN"/>
        </w:rPr>
        <w:t>的损失</w:t>
      </w:r>
      <w:r>
        <w:rPr>
          <w:rFonts w:hint="eastAsia" w:asciiTheme="minorEastAsia" w:hAnsiTheme="minorEastAsia" w:eastAsiaTheme="minorEastAsia" w:cstheme="minorEastAsia"/>
          <w:color w:val="auto"/>
          <w:sz w:val="24"/>
          <w:szCs w:val="24"/>
        </w:rPr>
        <w:t>。</w:t>
      </w:r>
    </w:p>
    <w:p w14:paraId="1298F4D7">
      <w:pPr>
        <w:pStyle w:val="37"/>
        <w:spacing w:after="0"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 若乙方违反本合同其他约定（如未按约定提供培训、技术文档，泄露甲方数据，侵犯第三方知识产权等），按以下标准承担违约责任：（1）若违约行为未对甲方造成实际损失，乙方应在甲方通知后[3]个工作日内整改，并按合同总额的 5% 支付违约金；（2）若违约行为导致甲方产生实际损失（如数据泄露导致的赔偿、系统无法使用导致的教学损失等），乙方应赔偿甲方全部损失，并按合同总额的 10% 支付违约金；（3）若乙方的违约行为导致合同目的无法实现（如系统无法达到约定功能、存在重大安全隐患等），甲方有权解除合同，乙方应退还已收款项并按合同总额的 20% 支付违约金。</w:t>
      </w:r>
    </w:p>
    <w:p w14:paraId="6D92A4F3">
      <w:pPr>
        <w:pStyle w:val="37"/>
        <w:spacing w:after="0" w:line="360" w:lineRule="auto"/>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10.3</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甲方必须按合同约定的时间支付乙方合同款项，未按时足额支付合同款项的，乙方可向甲方</w:t>
      </w:r>
      <w:r>
        <w:rPr>
          <w:rFonts w:hint="eastAsia" w:asciiTheme="minorEastAsia" w:hAnsiTheme="minorEastAsia" w:eastAsiaTheme="minorEastAsia" w:cstheme="minorEastAsia"/>
          <w:color w:val="auto"/>
          <w:sz w:val="24"/>
          <w:szCs w:val="24"/>
          <w:lang w:eastAsia="zh-CN"/>
        </w:rPr>
        <w:t>发出</w:t>
      </w:r>
      <w:r>
        <w:rPr>
          <w:rFonts w:hint="eastAsia" w:asciiTheme="minorEastAsia" w:hAnsiTheme="minorEastAsia" w:eastAsiaTheme="minorEastAsia" w:cstheme="minorEastAsia"/>
          <w:color w:val="auto"/>
          <w:sz w:val="24"/>
          <w:szCs w:val="24"/>
        </w:rPr>
        <w:t>催收通知，在甲方收到催收通知后1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日内仍未支付的，甲方</w:t>
      </w:r>
      <w:r>
        <w:rPr>
          <w:rFonts w:hint="eastAsia" w:asciiTheme="minorEastAsia" w:hAnsiTheme="minorEastAsia" w:eastAsiaTheme="minorEastAsia" w:cstheme="minorEastAsia"/>
          <w:color w:val="auto"/>
          <w:sz w:val="24"/>
          <w:szCs w:val="24"/>
          <w:lang w:val="en-US" w:eastAsia="zh-CN"/>
        </w:rPr>
        <w:t>以该期应付款项为基数</w:t>
      </w:r>
      <w:r>
        <w:rPr>
          <w:rFonts w:hint="eastAsia" w:asciiTheme="minorEastAsia" w:hAnsiTheme="minorEastAsia" w:eastAsiaTheme="minorEastAsia" w:cstheme="minorEastAsia"/>
          <w:color w:val="auto"/>
          <w:sz w:val="24"/>
          <w:szCs w:val="24"/>
        </w:rPr>
        <w:t>向乙方支付逾期付款的利息损失（按照合同订立时1年期贷款市场报价利率计算）</w:t>
      </w:r>
      <w:r>
        <w:rPr>
          <w:rFonts w:hint="eastAsia" w:asciiTheme="minorEastAsia" w:hAnsiTheme="minorEastAsia" w:eastAsiaTheme="minorEastAsia" w:cstheme="minorEastAsia"/>
          <w:color w:val="auto"/>
          <w:sz w:val="24"/>
          <w:szCs w:val="24"/>
          <w:lang w:eastAsia="zh-CN"/>
        </w:rPr>
        <w:t>。</w:t>
      </w:r>
    </w:p>
    <w:p w14:paraId="31AD38B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不可抗力</w:t>
      </w:r>
    </w:p>
    <w:p w14:paraId="47743EF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双方由于不可抗力，如天灾、政府命令或限制、瘟疫、火灾、水灾、地震或其它任何非协议双方能控制的类似原因，直接或间接造成的任何延迟或无法履行本合同全部或部分条款时，另一方不得提出索赔要求。</w:t>
      </w:r>
    </w:p>
    <w:p w14:paraId="47C86F10">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第十二条 争议解决 </w:t>
      </w:r>
    </w:p>
    <w:p w14:paraId="5020A484">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 本合同在履行过程中发生的争议，由双方当事人友好协商解决或者请求调解解决；协商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调解</w:t>
      </w:r>
      <w:r>
        <w:rPr>
          <w:rFonts w:hint="eastAsia" w:asciiTheme="minorEastAsia" w:hAnsiTheme="minorEastAsia" w:eastAsiaTheme="minorEastAsia" w:cstheme="minorEastAsia"/>
          <w:color w:val="auto"/>
          <w:sz w:val="24"/>
          <w:szCs w:val="24"/>
        </w:rPr>
        <w:t>不成的，任何一方均有权向甲方所在地人民法院提起诉讼。</w:t>
      </w:r>
    </w:p>
    <w:p w14:paraId="71523D8C">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 诉讼费用（包括案件受理费、保全费、律师费、差旅费等）由败诉方承担，若双方均有责任，按责任比例分担。</w:t>
      </w:r>
    </w:p>
    <w:p w14:paraId="6B313EE6">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 争议解决期间，除争议事项外，双方应继续履行本合同其他条款，确保项目正常运行（如乙方仍需提供质保服务，甲方仍需支付无争议的款项等），不得因争议擅自</w:t>
      </w:r>
      <w:r>
        <w:rPr>
          <w:rFonts w:hint="eastAsia" w:asciiTheme="minorEastAsia" w:hAnsiTheme="minorEastAsia" w:eastAsiaTheme="minorEastAsia" w:cstheme="minorEastAsia"/>
          <w:color w:val="auto"/>
          <w:sz w:val="24"/>
          <w:szCs w:val="24"/>
          <w:lang w:val="en-US" w:eastAsia="zh-CN"/>
        </w:rPr>
        <w:t>终止</w:t>
      </w:r>
      <w:r>
        <w:rPr>
          <w:rFonts w:hint="eastAsia" w:asciiTheme="minorEastAsia" w:hAnsiTheme="minorEastAsia" w:eastAsiaTheme="minorEastAsia" w:cstheme="minorEastAsia"/>
          <w:color w:val="auto"/>
          <w:sz w:val="24"/>
          <w:szCs w:val="24"/>
        </w:rPr>
        <w:t>合同履行。</w:t>
      </w:r>
    </w:p>
    <w:p w14:paraId="5B88EE47">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第十三条 </w:t>
      </w:r>
      <w:r>
        <w:rPr>
          <w:rFonts w:hint="eastAsia" w:asciiTheme="minorEastAsia" w:hAnsiTheme="minorEastAsia" w:eastAsiaTheme="minorEastAsia" w:cstheme="minorEastAsia"/>
          <w:color w:val="auto"/>
          <w:sz w:val="24"/>
          <w:szCs w:val="24"/>
          <w:lang w:val="en-US" w:eastAsia="zh-CN"/>
        </w:rPr>
        <w:t>合同体系与</w:t>
      </w:r>
      <w:r>
        <w:rPr>
          <w:rFonts w:hint="eastAsia" w:asciiTheme="minorEastAsia" w:hAnsiTheme="minorEastAsia" w:eastAsiaTheme="minorEastAsia" w:cstheme="minorEastAsia"/>
          <w:color w:val="auto"/>
          <w:sz w:val="24"/>
          <w:szCs w:val="24"/>
        </w:rPr>
        <w:t>合同生效</w:t>
      </w:r>
    </w:p>
    <w:p w14:paraId="1AAF5996">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13.1合同体系</w:t>
      </w:r>
    </w:p>
    <w:p w14:paraId="0B947760">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下列文件构成本合同的组成部分：</w:t>
      </w:r>
    </w:p>
    <w:p w14:paraId="211E0655">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1</w:t>
      </w:r>
      <w:r>
        <w:rPr>
          <w:rFonts w:hint="default" w:asciiTheme="minorEastAsia" w:hAnsiTheme="minorEastAsia" w:eastAsiaTheme="minorEastAsia" w:cstheme="minorEastAsia"/>
          <w:color w:val="auto"/>
          <w:sz w:val="24"/>
          <w:szCs w:val="24"/>
          <w:lang w:val="en-US" w:eastAsia="zh-CN"/>
        </w:rPr>
        <w:t>）政府采购文件（或者</w:t>
      </w:r>
      <w:r>
        <w:rPr>
          <w:rFonts w:hint="eastAsia" w:asciiTheme="minorEastAsia" w:hAnsiTheme="minorEastAsia" w:cstheme="minorEastAsia"/>
          <w:color w:val="auto"/>
          <w:sz w:val="24"/>
          <w:szCs w:val="24"/>
          <w:lang w:val="en-US" w:eastAsia="zh-CN"/>
        </w:rPr>
        <w:t>磋商文件</w:t>
      </w:r>
      <w:r>
        <w:rPr>
          <w:rFonts w:hint="default" w:asciiTheme="minorEastAsia" w:hAnsiTheme="minorEastAsia" w:eastAsiaTheme="minorEastAsia" w:cstheme="minorEastAsia"/>
          <w:color w:val="auto"/>
          <w:sz w:val="24"/>
          <w:szCs w:val="24"/>
          <w:lang w:val="en-US" w:eastAsia="zh-CN"/>
        </w:rPr>
        <w:t>）</w:t>
      </w:r>
    </w:p>
    <w:p w14:paraId="69914E81">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2</w:t>
      </w:r>
      <w:r>
        <w:rPr>
          <w:rFonts w:hint="default" w:asciiTheme="minorEastAsia" w:hAnsiTheme="minorEastAsia" w:eastAsiaTheme="minorEastAsia" w:cstheme="minorEastAsia"/>
          <w:color w:val="auto"/>
          <w:sz w:val="24"/>
          <w:szCs w:val="24"/>
          <w:lang w:val="en-US" w:eastAsia="zh-CN"/>
        </w:rPr>
        <w:t>）乙方的政府采购响应文件（或者</w:t>
      </w:r>
      <w:r>
        <w:rPr>
          <w:rFonts w:hint="eastAsia" w:asciiTheme="minorEastAsia" w:hAnsiTheme="minorEastAsia" w:eastAsiaTheme="minorEastAsia" w:cstheme="minorEastAsia"/>
          <w:color w:val="auto"/>
          <w:sz w:val="24"/>
          <w:szCs w:val="24"/>
          <w:lang w:val="en-US" w:eastAsia="zh-CN"/>
        </w:rPr>
        <w:t>投标</w:t>
      </w:r>
      <w:r>
        <w:rPr>
          <w:rFonts w:hint="default" w:asciiTheme="minorEastAsia" w:hAnsiTheme="minorEastAsia" w:eastAsiaTheme="minorEastAsia" w:cstheme="minorEastAsia"/>
          <w:color w:val="auto"/>
          <w:sz w:val="24"/>
          <w:szCs w:val="24"/>
          <w:lang w:val="en-US" w:eastAsia="zh-CN"/>
        </w:rPr>
        <w:t>文件）</w:t>
      </w:r>
    </w:p>
    <w:p w14:paraId="486EC78B">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3</w:t>
      </w:r>
      <w:r>
        <w:rPr>
          <w:rFonts w:hint="default" w:asciiTheme="minorEastAsia" w:hAnsiTheme="minorEastAsia" w:eastAsiaTheme="minorEastAsia" w:cstheme="minorEastAsia"/>
          <w:color w:val="auto"/>
          <w:sz w:val="24"/>
          <w:szCs w:val="24"/>
          <w:lang w:val="en-US" w:eastAsia="zh-CN"/>
        </w:rPr>
        <w:t>）乙方在投标</w:t>
      </w:r>
      <w:r>
        <w:rPr>
          <w:rFonts w:hint="eastAsia" w:asciiTheme="minorEastAsia" w:hAnsiTheme="minorEastAsia" w:eastAsiaTheme="minorEastAsia" w:cstheme="minorEastAsia"/>
          <w:color w:val="auto"/>
          <w:sz w:val="24"/>
          <w:szCs w:val="24"/>
          <w:lang w:val="en-US" w:eastAsia="zh-CN"/>
        </w:rPr>
        <w:t>或者响应</w:t>
      </w:r>
      <w:r>
        <w:rPr>
          <w:rFonts w:hint="default" w:asciiTheme="minorEastAsia" w:hAnsiTheme="minorEastAsia" w:eastAsiaTheme="minorEastAsia" w:cstheme="minorEastAsia"/>
          <w:color w:val="auto"/>
          <w:sz w:val="24"/>
          <w:szCs w:val="24"/>
          <w:lang w:val="en-US" w:eastAsia="zh-CN"/>
        </w:rPr>
        <w:t>时的书面承诺和服务标准</w:t>
      </w:r>
    </w:p>
    <w:p w14:paraId="64279ECD">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4</w:t>
      </w:r>
      <w:r>
        <w:rPr>
          <w:rFonts w:hint="default" w:asciiTheme="minorEastAsia" w:hAnsiTheme="minorEastAsia" w:eastAsiaTheme="minorEastAsia" w:cstheme="minorEastAsia"/>
          <w:color w:val="auto"/>
          <w:sz w:val="24"/>
          <w:szCs w:val="24"/>
          <w:lang w:val="en-US" w:eastAsia="zh-CN"/>
        </w:rPr>
        <w:t>）成交通知书（或者中标通知书）</w:t>
      </w:r>
    </w:p>
    <w:p w14:paraId="16332340">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5</w:t>
      </w:r>
      <w:r>
        <w:rPr>
          <w:rFonts w:hint="default" w:asciiTheme="minorEastAsia" w:hAnsiTheme="minorEastAsia" w:eastAsiaTheme="minorEastAsia" w:cstheme="minorEastAsia"/>
          <w:color w:val="auto"/>
          <w:sz w:val="24"/>
          <w:szCs w:val="24"/>
          <w:lang w:val="en-US" w:eastAsia="zh-CN"/>
        </w:rPr>
        <w:t>）本合同</w:t>
      </w:r>
    </w:p>
    <w:p w14:paraId="19D9F555">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6</w:t>
      </w: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甲乙双方就</w:t>
      </w:r>
      <w:r>
        <w:rPr>
          <w:rFonts w:hint="default" w:asciiTheme="minorEastAsia" w:hAnsiTheme="minorEastAsia" w:eastAsiaTheme="minorEastAsia" w:cstheme="minorEastAsia"/>
          <w:color w:val="auto"/>
          <w:sz w:val="24"/>
          <w:szCs w:val="24"/>
          <w:lang w:val="en-US" w:eastAsia="zh-CN"/>
        </w:rPr>
        <w:t>未尽事宜</w:t>
      </w:r>
      <w:r>
        <w:rPr>
          <w:rFonts w:hint="eastAsia" w:asciiTheme="minorEastAsia" w:hAnsiTheme="minorEastAsia" w:eastAsiaTheme="minorEastAsia" w:cstheme="minorEastAsia"/>
          <w:color w:val="auto"/>
          <w:sz w:val="24"/>
          <w:szCs w:val="24"/>
          <w:lang w:val="en-US" w:eastAsia="zh-CN"/>
        </w:rPr>
        <w:t>签订的</w:t>
      </w:r>
      <w:r>
        <w:rPr>
          <w:rFonts w:hint="default" w:asciiTheme="minorEastAsia" w:hAnsiTheme="minorEastAsia" w:eastAsiaTheme="minorEastAsia" w:cstheme="minorEastAsia"/>
          <w:color w:val="auto"/>
          <w:sz w:val="24"/>
          <w:szCs w:val="24"/>
          <w:lang w:val="en-US" w:eastAsia="zh-CN"/>
        </w:rPr>
        <w:t>合同补充条款或补充协议</w:t>
      </w:r>
    </w:p>
    <w:p w14:paraId="71B954F4">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7</w:t>
      </w:r>
      <w:r>
        <w:rPr>
          <w:rFonts w:hint="default" w:asciiTheme="minorEastAsia" w:hAnsiTheme="minorEastAsia" w:eastAsiaTheme="minorEastAsia" w:cstheme="minorEastAsia"/>
          <w:color w:val="auto"/>
          <w:sz w:val="24"/>
          <w:szCs w:val="24"/>
          <w:lang w:val="en-US" w:eastAsia="zh-CN"/>
        </w:rPr>
        <w:t>）国家、陕西省和行业制定的相应的标准和规范</w:t>
      </w:r>
    </w:p>
    <w:p w14:paraId="6FAD9E35">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（8）详细功能模块参数或者技术协议</w:t>
      </w:r>
    </w:p>
    <w:p w14:paraId="1AEFF358">
      <w:pPr>
        <w:spacing w:after="0"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上述文件将相互补充，甲乙双方必须予以遵守执行。</w:t>
      </w:r>
    </w:p>
    <w:p w14:paraId="21D0242C">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13.2通知与送达</w:t>
      </w:r>
    </w:p>
    <w:p w14:paraId="0E3E958D">
      <w:pPr>
        <w:spacing w:after="0"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为便于甲乙双方的日常联络和沟通，甲乙双方确认，甲方的联系人是</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；乙方的联系人是</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甲乙各方联系人注明的微信、短信、电子信箱等电子地址以及本合同甲乙双方所列地址视为日常联络和工作送达的有效地址。通过上述方式发送的通知，自发送成功之日起视为送达。乙方联络人发生地址变更的，应及时书面告知甲方，在书面通知收到前，甲方视原送达地址继续有效。任何一方变更本合同所示的联系人及联系方式，应提前5日书面通知对方。因地址变更未通知导致送达失败的，视为送达成功日以原地址投邮时间为准。 甲乙双方及日常联系人均应禁止通过微信、短信、电子信箱等电子方式或者其他所禁止的方式发送涉密信息、文件。</w:t>
      </w:r>
    </w:p>
    <w:p w14:paraId="54440412">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13.3本</w:t>
      </w:r>
      <w:r>
        <w:rPr>
          <w:rFonts w:hint="eastAsia" w:asciiTheme="minorEastAsia" w:hAnsiTheme="minorEastAsia" w:eastAsiaTheme="minorEastAsia" w:cstheme="minorEastAsia"/>
          <w:color w:val="auto"/>
          <w:sz w:val="24"/>
          <w:szCs w:val="24"/>
        </w:rPr>
        <w:t>合同一式肆份，甲乙双方各执贰份，经双方签字并盖章后生效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具有同等法律效力</w:t>
      </w:r>
      <w:r>
        <w:rPr>
          <w:rFonts w:hint="eastAsia" w:asciiTheme="minorEastAsia" w:hAnsiTheme="minorEastAsia" w:eastAsiaTheme="minorEastAsia" w:cstheme="minorEastAsia"/>
          <w:color w:val="auto"/>
          <w:sz w:val="24"/>
          <w:szCs w:val="24"/>
        </w:rPr>
        <w:t>。</w:t>
      </w:r>
    </w:p>
    <w:p w14:paraId="025CB048">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甲方（盖章）</w:t>
      </w:r>
      <w:r>
        <w:rPr>
          <w:rFonts w:hint="eastAsia" w:asciiTheme="minorEastAsia" w:hAnsiTheme="minorEastAsia" w:eastAsiaTheme="minorEastAsia" w:cstheme="minorEastAsia"/>
          <w:color w:val="auto"/>
          <w:sz w:val="24"/>
          <w:szCs w:val="24"/>
          <w:lang w:eastAsia="zh-CN"/>
        </w:rPr>
        <w:t>：</w:t>
      </w:r>
    </w:p>
    <w:p w14:paraId="7B4705B8">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代表人（签字）</w:t>
      </w:r>
      <w:r>
        <w:rPr>
          <w:rFonts w:hint="eastAsia" w:asciiTheme="minorEastAsia" w:hAnsiTheme="minorEastAsia" w:eastAsiaTheme="minorEastAsia" w:cstheme="minorEastAsia"/>
          <w:color w:val="auto"/>
          <w:sz w:val="24"/>
          <w:szCs w:val="24"/>
          <w:lang w:eastAsia="zh-CN"/>
        </w:rPr>
        <w:t>：</w:t>
      </w:r>
    </w:p>
    <w:p w14:paraId="1ADD463B">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通讯地址</w:t>
      </w:r>
      <w:r>
        <w:rPr>
          <w:rFonts w:hint="eastAsia" w:asciiTheme="minorEastAsia" w:hAnsiTheme="minorEastAsia" w:eastAsiaTheme="minorEastAsia" w:cstheme="minorEastAsia"/>
          <w:color w:val="auto"/>
          <w:sz w:val="24"/>
          <w:szCs w:val="24"/>
          <w:lang w:eastAsia="zh-CN"/>
        </w:rPr>
        <w:t>：</w:t>
      </w:r>
    </w:p>
    <w:p w14:paraId="5B682D23">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邮编</w:t>
      </w:r>
      <w:r>
        <w:rPr>
          <w:rFonts w:hint="eastAsia" w:asciiTheme="minorEastAsia" w:hAnsiTheme="minorEastAsia" w:eastAsiaTheme="minorEastAsia" w:cstheme="minorEastAsia"/>
          <w:color w:val="auto"/>
          <w:sz w:val="24"/>
          <w:szCs w:val="24"/>
          <w:lang w:eastAsia="zh-CN"/>
        </w:rPr>
        <w:t>：</w:t>
      </w:r>
    </w:p>
    <w:p w14:paraId="37BC9C14">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年  月   日</w:t>
      </w:r>
    </w:p>
    <w:p w14:paraId="049306B8">
      <w:pPr>
        <w:spacing w:after="0" w:line="360" w:lineRule="auto"/>
        <w:rPr>
          <w:rFonts w:hint="eastAsia" w:asciiTheme="minorEastAsia" w:hAnsiTheme="minorEastAsia" w:eastAsiaTheme="minorEastAsia" w:cstheme="minorEastAsia"/>
          <w:color w:val="auto"/>
          <w:sz w:val="24"/>
          <w:szCs w:val="24"/>
        </w:rPr>
      </w:pPr>
    </w:p>
    <w:p w14:paraId="72A9D742">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乙方（盖章）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14:paraId="4155BA2A">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法定代表人（签字）</w:t>
      </w:r>
      <w:r>
        <w:rPr>
          <w:rFonts w:hint="eastAsia" w:asciiTheme="minorEastAsia" w:hAnsiTheme="minorEastAsia" w:eastAsiaTheme="minorEastAsia" w:cstheme="minorEastAsia"/>
          <w:color w:val="auto"/>
          <w:sz w:val="24"/>
          <w:szCs w:val="24"/>
          <w:lang w:eastAsia="zh-CN"/>
        </w:rPr>
        <w:t>：</w:t>
      </w:r>
    </w:p>
    <w:p w14:paraId="6169E992">
      <w:pPr>
        <w:spacing w:after="0"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通讯地址</w:t>
      </w:r>
      <w:r>
        <w:rPr>
          <w:rFonts w:hint="eastAsia" w:asciiTheme="minorEastAsia" w:hAnsiTheme="minorEastAsia" w:eastAsiaTheme="minorEastAsia" w:cstheme="minorEastAsia"/>
          <w:color w:val="auto"/>
          <w:sz w:val="24"/>
          <w:szCs w:val="24"/>
          <w:lang w:eastAsia="zh-CN"/>
        </w:rPr>
        <w:t>：</w:t>
      </w:r>
    </w:p>
    <w:p w14:paraId="70CC088F">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w:t>
      </w:r>
      <w:r>
        <w:rPr>
          <w:rFonts w:hint="eastAsia" w:asciiTheme="minorEastAsia" w:hAnsiTheme="minorEastAsia" w:eastAsiaTheme="minorEastAsia" w:cstheme="minorEastAsia"/>
          <w:color w:val="auto"/>
          <w:sz w:val="24"/>
          <w:szCs w:val="24"/>
          <w:lang w:eastAsia="zh-CN"/>
        </w:rPr>
        <w:t>：</w:t>
      </w:r>
    </w:p>
    <w:p w14:paraId="272C3C08">
      <w:pPr>
        <w:spacing w:after="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p w14:paraId="3D138E21">
      <w:pPr>
        <w:pStyle w:val="11"/>
        <w:spacing w:before="78" w:line="449" w:lineRule="auto"/>
        <w:ind w:left="5" w:right="107" w:firstLine="500"/>
        <w:rPr>
          <w:rFonts w:hint="eastAsia" w:ascii="宋体" w:hAnsi="宋体" w:eastAsia="宋体" w:cs="宋体"/>
          <w:color w:val="auto"/>
          <w:sz w:val="24"/>
          <w:szCs w:val="24"/>
        </w:rPr>
        <w:sectPr>
          <w:headerReference r:id="rId5" w:type="default"/>
          <w:footerReference r:id="rId6" w:type="default"/>
          <w:pgSz w:w="11906" w:h="16840"/>
          <w:pgMar w:top="1244" w:right="1523" w:bottom="803" w:left="1437" w:header="0" w:footer="634" w:gutter="0"/>
          <w:pgNumType w:fmt="decimal"/>
          <w:cols w:space="720" w:num="1"/>
        </w:sectPr>
      </w:pPr>
      <w:r>
        <w:rPr>
          <w:rFonts w:hint="eastAsia" w:ascii="宋体" w:hAnsi="宋体" w:eastAsia="宋体" w:cs="宋体"/>
          <w:b/>
          <w:bCs/>
          <w:color w:val="auto"/>
          <w:spacing w:val="-5"/>
          <w:sz w:val="24"/>
          <w:szCs w:val="24"/>
        </w:rPr>
        <w:t>（注：本合同作为合同的基本格式，不作为最终合同，甲方有权在签订合同时对合同的相关条款及内容做进一步的细化。）</w:t>
      </w:r>
    </w:p>
    <w:p w14:paraId="07AD96E1">
      <w:pPr>
        <w:jc w:val="center"/>
        <w:outlineLvl w:val="0"/>
        <w:rPr>
          <w:rFonts w:hint="eastAsia" w:ascii="宋体" w:hAnsi="宋体" w:eastAsia="宋体" w:cs="宋体"/>
          <w:b/>
          <w:bCs/>
          <w:color w:val="auto"/>
          <w:kern w:val="2"/>
          <w:sz w:val="32"/>
          <w:szCs w:val="32"/>
          <w:lang w:val="zh-CN" w:eastAsia="zh-CN" w:bidi="ar-SA"/>
        </w:rPr>
      </w:pPr>
      <w:bookmarkStart w:id="262" w:name="_Toc28463"/>
      <w:bookmarkStart w:id="263" w:name="_Toc27016"/>
      <w:bookmarkStart w:id="264" w:name="_Toc24000"/>
      <w:bookmarkStart w:id="265" w:name="_Toc4874"/>
      <w:bookmarkStart w:id="266" w:name="_Toc29716"/>
      <w:bookmarkStart w:id="267" w:name="_Toc26155"/>
      <w:bookmarkStart w:id="268" w:name="_Toc8625"/>
      <w:bookmarkStart w:id="269" w:name="_Toc36034975"/>
    </w:p>
    <w:p w14:paraId="130364B5">
      <w:pPr>
        <w:jc w:val="center"/>
        <w:outlineLvl w:val="0"/>
        <w:rPr>
          <w:rFonts w:hint="eastAsia" w:ascii="宋体" w:hAnsi="宋体" w:eastAsia="宋体" w:cs="宋体"/>
          <w:color w:val="auto"/>
          <w:lang w:val="zh-CN"/>
        </w:rPr>
      </w:pPr>
      <w:r>
        <w:rPr>
          <w:rFonts w:hint="eastAsia" w:ascii="宋体" w:hAnsi="宋体" w:eastAsia="宋体" w:cs="宋体"/>
          <w:b/>
          <w:bCs/>
          <w:color w:val="auto"/>
          <w:kern w:val="2"/>
          <w:sz w:val="32"/>
          <w:szCs w:val="32"/>
          <w:lang w:val="zh-CN" w:eastAsia="zh-CN" w:bidi="ar-SA"/>
        </w:rPr>
        <w:t>第</w:t>
      </w:r>
      <w:r>
        <w:rPr>
          <w:rFonts w:hint="eastAsia" w:ascii="宋体" w:hAnsi="宋体" w:eastAsia="宋体" w:cs="宋体"/>
          <w:b/>
          <w:bCs/>
          <w:color w:val="auto"/>
          <w:kern w:val="2"/>
          <w:sz w:val="32"/>
          <w:szCs w:val="32"/>
          <w:lang w:val="en-US" w:eastAsia="zh-CN" w:bidi="ar-SA"/>
        </w:rPr>
        <w:t>五</w:t>
      </w:r>
      <w:r>
        <w:rPr>
          <w:rFonts w:hint="eastAsia" w:ascii="宋体" w:hAnsi="宋体" w:eastAsia="宋体" w:cs="宋体"/>
          <w:b/>
          <w:bCs/>
          <w:color w:val="auto"/>
          <w:kern w:val="2"/>
          <w:sz w:val="32"/>
          <w:szCs w:val="32"/>
          <w:lang w:val="zh-CN" w:eastAsia="zh-CN" w:bidi="ar-SA"/>
        </w:rPr>
        <w:t>部分 响应文件格式</w:t>
      </w:r>
      <w:bookmarkEnd w:id="262"/>
      <w:bookmarkEnd w:id="263"/>
      <w:bookmarkEnd w:id="264"/>
      <w:bookmarkEnd w:id="265"/>
      <w:bookmarkEnd w:id="266"/>
      <w:bookmarkEnd w:id="267"/>
      <w:bookmarkEnd w:id="268"/>
      <w:bookmarkEnd w:id="269"/>
    </w:p>
    <w:p w14:paraId="077AF64B">
      <w:pPr>
        <w:tabs>
          <w:tab w:val="left" w:pos="5670"/>
        </w:tabs>
        <w:autoSpaceDE w:val="0"/>
        <w:autoSpaceDN w:val="0"/>
        <w:adjustRightInd w:val="0"/>
        <w:snapToGrid w:val="0"/>
        <w:spacing w:line="360" w:lineRule="auto"/>
        <w:ind w:firstLine="300"/>
        <w:rPr>
          <w:rFonts w:hint="eastAsia" w:ascii="宋体" w:hAnsi="宋体" w:eastAsia="宋体" w:cs="宋体"/>
          <w:b/>
          <w:bCs/>
          <w:color w:val="auto"/>
          <w:sz w:val="32"/>
          <w:szCs w:val="32"/>
          <w:lang w:val="zh-CN"/>
        </w:rPr>
      </w:pPr>
    </w:p>
    <w:p w14:paraId="33492B7E">
      <w:pPr>
        <w:tabs>
          <w:tab w:val="left" w:pos="5670"/>
        </w:tabs>
        <w:autoSpaceDE w:val="0"/>
        <w:autoSpaceDN w:val="0"/>
        <w:adjustRightInd w:val="0"/>
        <w:snapToGrid w:val="0"/>
        <w:spacing w:line="360" w:lineRule="auto"/>
        <w:ind w:firstLine="30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政府采购项目</w:t>
      </w:r>
    </w:p>
    <w:p w14:paraId="4F3DC3DC">
      <w:pPr>
        <w:tabs>
          <w:tab w:val="left" w:pos="5670"/>
        </w:tabs>
        <w:autoSpaceDE w:val="0"/>
        <w:autoSpaceDN w:val="0"/>
        <w:adjustRightInd w:val="0"/>
        <w:snapToGrid w:val="0"/>
        <w:spacing w:line="360" w:lineRule="auto"/>
        <w:ind w:firstLine="30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CN"/>
        </w:rPr>
        <w:t>项目编号：</w:t>
      </w:r>
      <w:r>
        <w:rPr>
          <w:rFonts w:hint="eastAsia" w:ascii="宋体" w:hAnsi="宋体" w:eastAsia="宋体" w:cs="宋体"/>
          <w:b/>
          <w:bCs/>
          <w:color w:val="auto"/>
          <w:sz w:val="32"/>
          <w:szCs w:val="32"/>
          <w:lang w:val="en-US" w:eastAsia="zh-CN"/>
        </w:rPr>
        <w:t>ZCPC-2025-079</w:t>
      </w:r>
    </w:p>
    <w:p w14:paraId="144446E8">
      <w:pPr>
        <w:tabs>
          <w:tab w:val="left" w:pos="5670"/>
        </w:tabs>
        <w:autoSpaceDE w:val="0"/>
        <w:autoSpaceDN w:val="0"/>
        <w:adjustRightInd w:val="0"/>
        <w:snapToGrid w:val="0"/>
        <w:spacing w:line="360" w:lineRule="auto"/>
        <w:ind w:firstLine="300"/>
        <w:rPr>
          <w:rFonts w:hint="eastAsia" w:ascii="宋体" w:hAnsi="宋体" w:eastAsia="宋体" w:cs="宋体"/>
          <w:color w:val="auto"/>
        </w:rPr>
      </w:pPr>
    </w:p>
    <w:p w14:paraId="45B41B6B">
      <w:pPr>
        <w:rPr>
          <w:rFonts w:hint="eastAsia" w:ascii="宋体" w:hAnsi="宋体" w:eastAsia="宋体" w:cs="宋体"/>
          <w:color w:val="auto"/>
        </w:rPr>
      </w:pPr>
    </w:p>
    <w:p w14:paraId="65BB9C06">
      <w:pPr>
        <w:tabs>
          <w:tab w:val="left" w:pos="5670"/>
        </w:tabs>
        <w:autoSpaceDE w:val="0"/>
        <w:autoSpaceDN w:val="0"/>
        <w:adjustRightInd w:val="0"/>
        <w:snapToGrid w:val="0"/>
        <w:spacing w:line="360" w:lineRule="auto"/>
        <w:ind w:firstLine="300"/>
        <w:rPr>
          <w:rFonts w:hint="eastAsia" w:ascii="宋体" w:hAnsi="宋体" w:eastAsia="宋体" w:cs="宋体"/>
          <w:color w:val="auto"/>
        </w:rPr>
      </w:pPr>
    </w:p>
    <w:p w14:paraId="1D75F1F4">
      <w:pPr>
        <w:pStyle w:val="11"/>
        <w:rPr>
          <w:rFonts w:hint="eastAsia" w:ascii="宋体" w:hAnsi="宋体" w:eastAsia="宋体" w:cs="宋体"/>
          <w:color w:val="auto"/>
        </w:rPr>
      </w:pPr>
    </w:p>
    <w:p w14:paraId="74E9D3E0">
      <w:pPr>
        <w:tabs>
          <w:tab w:val="left" w:pos="5670"/>
        </w:tabs>
        <w:autoSpaceDE w:val="0"/>
        <w:autoSpaceDN w:val="0"/>
        <w:adjustRightInd w:val="0"/>
        <w:snapToGrid w:val="0"/>
        <w:spacing w:line="360" w:lineRule="auto"/>
        <w:ind w:firstLine="300"/>
        <w:rPr>
          <w:rFonts w:hint="eastAsia" w:ascii="宋体" w:hAnsi="宋体" w:eastAsia="宋体" w:cs="宋体"/>
          <w:color w:val="auto"/>
        </w:rPr>
      </w:pPr>
    </w:p>
    <w:p w14:paraId="0601D5A3">
      <w:pPr>
        <w:pStyle w:val="16"/>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highlight w:val="none"/>
          <w:lang w:eastAsia="zh-CN"/>
        </w:rPr>
        <w:t>市委党校智慧校园软件项目建设</w:t>
      </w:r>
    </w:p>
    <w:p w14:paraId="6136E00A">
      <w:pPr>
        <w:pStyle w:val="16"/>
        <w:rPr>
          <w:rFonts w:hint="eastAsia" w:ascii="宋体" w:hAnsi="宋体" w:eastAsia="宋体" w:cs="宋体"/>
          <w:color w:val="auto"/>
        </w:rPr>
      </w:pPr>
    </w:p>
    <w:p w14:paraId="75CD8A55">
      <w:pPr>
        <w:rPr>
          <w:rFonts w:hint="eastAsia" w:ascii="宋体" w:hAnsi="宋体" w:eastAsia="宋体" w:cs="宋体"/>
          <w:color w:val="auto"/>
        </w:rPr>
      </w:pPr>
    </w:p>
    <w:p w14:paraId="57E3F09D">
      <w:pPr>
        <w:pStyle w:val="11"/>
        <w:rPr>
          <w:rFonts w:hint="eastAsia" w:ascii="宋体" w:hAnsi="宋体" w:eastAsia="宋体" w:cs="宋体"/>
          <w:color w:val="auto"/>
        </w:rPr>
      </w:pPr>
    </w:p>
    <w:p w14:paraId="14A36411">
      <w:pPr>
        <w:pStyle w:val="11"/>
        <w:rPr>
          <w:rFonts w:hint="eastAsia" w:ascii="宋体" w:hAnsi="宋体" w:eastAsia="宋体" w:cs="宋体"/>
          <w:color w:val="auto"/>
        </w:rPr>
      </w:pPr>
    </w:p>
    <w:p w14:paraId="35E39F09">
      <w:pPr>
        <w:outlineLvl w:val="9"/>
        <w:rPr>
          <w:rFonts w:hint="eastAsia" w:ascii="宋体" w:hAnsi="宋体" w:eastAsia="宋体" w:cs="宋体"/>
          <w:color w:val="auto"/>
        </w:rPr>
      </w:pPr>
    </w:p>
    <w:p w14:paraId="30268003">
      <w:pPr>
        <w:spacing w:line="360" w:lineRule="auto"/>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响</w:t>
      </w:r>
      <w:r>
        <w:rPr>
          <w:rFonts w:hint="eastAsia" w:ascii="宋体" w:hAnsi="宋体" w:eastAsia="宋体" w:cs="宋体"/>
          <w:b/>
          <w:color w:val="auto"/>
          <w:kern w:val="0"/>
          <w:sz w:val="44"/>
          <w:szCs w:val="44"/>
          <w:lang w:val="en-US" w:eastAsia="zh-CN"/>
        </w:rPr>
        <w:t xml:space="preserve"> </w:t>
      </w:r>
      <w:r>
        <w:rPr>
          <w:rFonts w:hint="eastAsia" w:ascii="宋体" w:hAnsi="宋体" w:eastAsia="宋体" w:cs="宋体"/>
          <w:b/>
          <w:color w:val="auto"/>
          <w:kern w:val="0"/>
          <w:sz w:val="44"/>
          <w:szCs w:val="44"/>
        </w:rPr>
        <w:t>应</w:t>
      </w:r>
      <w:r>
        <w:rPr>
          <w:rFonts w:hint="eastAsia" w:ascii="宋体" w:hAnsi="宋体" w:eastAsia="宋体" w:cs="宋体"/>
          <w:b/>
          <w:color w:val="auto"/>
          <w:kern w:val="0"/>
          <w:sz w:val="44"/>
          <w:szCs w:val="44"/>
          <w:lang w:val="en-US" w:eastAsia="zh-CN"/>
        </w:rPr>
        <w:t xml:space="preserve"> </w:t>
      </w:r>
      <w:r>
        <w:rPr>
          <w:rFonts w:hint="eastAsia" w:ascii="宋体" w:hAnsi="宋体" w:eastAsia="宋体" w:cs="宋体"/>
          <w:b/>
          <w:color w:val="auto"/>
          <w:kern w:val="0"/>
          <w:sz w:val="44"/>
          <w:szCs w:val="44"/>
        </w:rPr>
        <w:t>文</w:t>
      </w:r>
      <w:r>
        <w:rPr>
          <w:rFonts w:hint="eastAsia" w:ascii="宋体" w:hAnsi="宋体" w:eastAsia="宋体" w:cs="宋体"/>
          <w:b/>
          <w:color w:val="auto"/>
          <w:kern w:val="0"/>
          <w:sz w:val="44"/>
          <w:szCs w:val="44"/>
          <w:lang w:val="en-US" w:eastAsia="zh-CN"/>
        </w:rPr>
        <w:t xml:space="preserve"> </w:t>
      </w:r>
      <w:r>
        <w:rPr>
          <w:rFonts w:hint="eastAsia" w:ascii="宋体" w:hAnsi="宋体" w:eastAsia="宋体" w:cs="宋体"/>
          <w:b/>
          <w:color w:val="auto"/>
          <w:kern w:val="0"/>
          <w:sz w:val="44"/>
          <w:szCs w:val="44"/>
        </w:rPr>
        <w:t>件</w:t>
      </w:r>
    </w:p>
    <w:p w14:paraId="763D3CFE">
      <w:pPr>
        <w:pStyle w:val="11"/>
        <w:jc w:val="center"/>
        <w:rPr>
          <w:rFonts w:hint="eastAsia" w:ascii="宋体" w:hAnsi="宋体" w:eastAsia="宋体" w:cs="宋体"/>
          <w:color w:val="auto"/>
        </w:rPr>
      </w:pPr>
      <w:r>
        <w:rPr>
          <w:rFonts w:hint="eastAsia" w:ascii="宋体" w:hAnsi="宋体" w:eastAsia="宋体" w:cs="宋体"/>
          <w:color w:val="auto"/>
          <w:sz w:val="32"/>
          <w:szCs w:val="32"/>
        </w:rPr>
        <w:t>(格式)</w:t>
      </w:r>
    </w:p>
    <w:p w14:paraId="68E22940">
      <w:pPr>
        <w:spacing w:line="480" w:lineRule="auto"/>
        <w:rPr>
          <w:rFonts w:hint="eastAsia" w:ascii="宋体" w:hAnsi="宋体" w:eastAsia="宋体" w:cs="宋体"/>
          <w:b/>
          <w:bCs/>
          <w:color w:val="auto"/>
          <w:sz w:val="32"/>
          <w:szCs w:val="32"/>
        </w:rPr>
      </w:pPr>
    </w:p>
    <w:p w14:paraId="796CAF5C">
      <w:pPr>
        <w:rPr>
          <w:rFonts w:hint="eastAsia" w:ascii="宋体" w:hAnsi="宋体" w:eastAsia="宋体" w:cs="宋体"/>
          <w:color w:val="auto"/>
        </w:rPr>
      </w:pPr>
    </w:p>
    <w:p w14:paraId="262DD94E">
      <w:pPr>
        <w:pStyle w:val="11"/>
        <w:rPr>
          <w:rFonts w:hint="eastAsia" w:ascii="宋体" w:hAnsi="宋体" w:eastAsia="宋体" w:cs="宋体"/>
          <w:color w:val="auto"/>
        </w:rPr>
      </w:pPr>
    </w:p>
    <w:p w14:paraId="40D1E890">
      <w:pPr>
        <w:pStyle w:val="11"/>
        <w:rPr>
          <w:rFonts w:hint="eastAsia" w:ascii="宋体" w:hAnsi="宋体" w:eastAsia="宋体" w:cs="宋体"/>
          <w:color w:val="auto"/>
        </w:rPr>
      </w:pPr>
    </w:p>
    <w:p w14:paraId="62E465AB">
      <w:pPr>
        <w:rPr>
          <w:rFonts w:hint="eastAsia" w:ascii="宋体" w:hAnsi="宋体" w:eastAsia="宋体" w:cs="宋体"/>
          <w:color w:val="auto"/>
        </w:rPr>
      </w:pPr>
    </w:p>
    <w:p w14:paraId="657DA6BF">
      <w:pPr>
        <w:spacing w:line="360" w:lineRule="auto"/>
        <w:ind w:left="420" w:leftChars="200" w:firstLine="556" w:firstLineChars="265"/>
        <w:rPr>
          <w:rFonts w:hint="eastAsia" w:ascii="宋体" w:hAnsi="宋体" w:eastAsia="宋体" w:cs="宋体"/>
          <w:color w:val="auto"/>
          <w:highlight w:val="yellow"/>
        </w:rPr>
      </w:pPr>
    </w:p>
    <w:p w14:paraId="1B1222D0">
      <w:pPr>
        <w:spacing w:line="360" w:lineRule="auto"/>
        <w:ind w:left="420" w:leftChars="200" w:firstLine="851" w:firstLineChars="265"/>
        <w:rPr>
          <w:rFonts w:hint="eastAsia" w:ascii="宋体" w:hAnsi="宋体" w:eastAsia="宋体" w:cs="宋体"/>
          <w:b/>
          <w:bCs/>
          <w:color w:val="auto"/>
          <w:sz w:val="32"/>
          <w:szCs w:val="32"/>
        </w:rPr>
      </w:pPr>
      <w:r>
        <w:rPr>
          <w:rFonts w:hint="eastAsia" w:ascii="宋体" w:hAnsi="宋体" w:eastAsia="宋体" w:cs="宋体"/>
          <w:b/>
          <w:bCs/>
          <w:color w:val="auto"/>
          <w:sz w:val="32"/>
          <w:szCs w:val="32"/>
        </w:rPr>
        <w:t>供应商</w:t>
      </w:r>
      <w:r>
        <w:rPr>
          <w:rFonts w:hint="eastAsia" w:ascii="宋体" w:hAnsi="宋体" w:eastAsia="宋体" w:cs="宋体"/>
          <w:b/>
          <w:bCs/>
          <w:color w:val="auto"/>
          <w:sz w:val="32"/>
          <w:szCs w:val="32"/>
          <w:lang w:val="en-US" w:eastAsia="zh-CN"/>
        </w:rPr>
        <w:t>名称</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6E4E9F24">
      <w:pPr>
        <w:spacing w:line="360" w:lineRule="auto"/>
        <w:ind w:firstLine="1285" w:firstLineChars="400"/>
        <w:rPr>
          <w:rFonts w:hint="eastAsia" w:ascii="宋体" w:hAnsi="宋体" w:eastAsia="宋体" w:cs="宋体"/>
          <w:b/>
          <w:bCs/>
          <w:color w:val="auto"/>
          <w:sz w:val="32"/>
          <w:szCs w:val="32"/>
        </w:rPr>
      </w:pPr>
      <w:r>
        <w:rPr>
          <w:rFonts w:hint="eastAsia" w:ascii="宋体" w:hAnsi="宋体" w:eastAsia="宋体" w:cs="宋体"/>
          <w:b/>
          <w:color w:val="auto"/>
          <w:sz w:val="32"/>
        </w:rPr>
        <w:t>法定代表人或授权代表：</w:t>
      </w:r>
      <w:r>
        <w:rPr>
          <w:rFonts w:hint="eastAsia" w:ascii="宋体" w:hAnsi="宋体" w:eastAsia="宋体" w:cs="宋体"/>
          <w:b/>
          <w:color w:val="auto"/>
          <w:sz w:val="32"/>
          <w:u w:val="single"/>
        </w:rPr>
        <w:t xml:space="preserve">           </w:t>
      </w:r>
      <w:r>
        <w:rPr>
          <w:rFonts w:hint="eastAsia" w:ascii="宋体" w:hAnsi="宋体" w:eastAsia="宋体" w:cs="宋体"/>
          <w:b/>
          <w:bCs/>
          <w:color w:val="auto"/>
          <w:sz w:val="32"/>
          <w:szCs w:val="32"/>
        </w:rPr>
        <w:t>（签字</w:t>
      </w:r>
      <w:r>
        <w:rPr>
          <w:rFonts w:hint="eastAsia" w:ascii="宋体" w:hAnsi="宋体" w:eastAsia="宋体" w:cs="宋体"/>
          <w:b/>
          <w:bCs/>
          <w:color w:val="auto"/>
          <w:sz w:val="32"/>
          <w:szCs w:val="32"/>
          <w:lang w:val="en-US" w:eastAsia="zh-CN"/>
        </w:rPr>
        <w:t>或盖章</w:t>
      </w:r>
      <w:r>
        <w:rPr>
          <w:rFonts w:hint="eastAsia" w:ascii="宋体" w:hAnsi="宋体" w:eastAsia="宋体" w:cs="宋体"/>
          <w:b/>
          <w:bCs/>
          <w:color w:val="auto"/>
          <w:sz w:val="32"/>
          <w:szCs w:val="32"/>
        </w:rPr>
        <w:t>）</w:t>
      </w:r>
    </w:p>
    <w:p w14:paraId="1635708A">
      <w:pPr>
        <w:pStyle w:val="11"/>
        <w:rPr>
          <w:rFonts w:hint="eastAsia" w:ascii="宋体" w:hAnsi="宋体" w:eastAsia="宋体" w:cs="宋体"/>
          <w:color w:val="auto"/>
          <w:sz w:val="24"/>
          <w:szCs w:val="24"/>
          <w:lang w:val="zh-CN"/>
        </w:rPr>
      </w:pPr>
      <w:r>
        <w:rPr>
          <w:rFonts w:hint="eastAsia" w:ascii="宋体" w:hAnsi="宋体" w:eastAsia="宋体" w:cs="宋体"/>
          <w:b/>
          <w:bCs/>
          <w:color w:val="auto"/>
          <w:sz w:val="32"/>
          <w:szCs w:val="32"/>
        </w:rPr>
        <w:t>日    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4DE469E9">
      <w:pPr>
        <w:rPr>
          <w:rFonts w:hint="eastAsia" w:ascii="宋体" w:hAnsi="宋体" w:eastAsia="宋体" w:cs="宋体"/>
          <w:color w:val="auto"/>
          <w:lang w:val="zh-CN"/>
        </w:rPr>
      </w:pPr>
    </w:p>
    <w:p w14:paraId="3C0D003D">
      <w:pPr>
        <w:pStyle w:val="11"/>
        <w:rPr>
          <w:rFonts w:hint="eastAsia" w:ascii="宋体" w:hAnsi="宋体" w:eastAsia="宋体" w:cs="宋体"/>
          <w:color w:val="auto"/>
          <w:sz w:val="24"/>
          <w:szCs w:val="24"/>
          <w:lang w:val="zh-CN"/>
        </w:rPr>
      </w:pPr>
    </w:p>
    <w:p w14:paraId="7EFC5E11">
      <w:pPr>
        <w:rPr>
          <w:rFonts w:hint="eastAsia" w:ascii="宋体" w:hAnsi="宋体" w:eastAsia="宋体" w:cs="宋体"/>
          <w:color w:val="auto"/>
          <w:lang w:val="zh-CN"/>
        </w:rPr>
      </w:pPr>
    </w:p>
    <w:p w14:paraId="1A154DFC">
      <w:pPr>
        <w:rPr>
          <w:rFonts w:hint="eastAsia" w:ascii="宋体" w:hAnsi="宋体" w:eastAsia="宋体" w:cs="宋体"/>
          <w:color w:val="auto"/>
          <w:lang w:val="en-US" w:eastAsia="zh-CN"/>
        </w:rPr>
      </w:pPr>
    </w:p>
    <w:p w14:paraId="4D2D6B41">
      <w:pPr>
        <w:bidi w:val="0"/>
        <w:rPr>
          <w:rFonts w:hint="eastAsia" w:ascii="宋体" w:hAnsi="宋体" w:eastAsia="宋体" w:cs="宋体"/>
          <w:color w:val="auto"/>
          <w:lang w:val="en-US" w:eastAsia="zh-CN"/>
        </w:rPr>
      </w:pPr>
    </w:p>
    <w:p w14:paraId="01C19645">
      <w:pPr>
        <w:bidi w:val="0"/>
        <w:rPr>
          <w:rFonts w:hint="eastAsia" w:ascii="宋体" w:hAnsi="宋体" w:eastAsia="宋体" w:cs="宋体"/>
          <w:color w:val="auto"/>
          <w:lang w:val="en-US" w:eastAsia="zh-CN"/>
        </w:rPr>
      </w:pPr>
    </w:p>
    <w:p w14:paraId="7CF21781">
      <w:pPr>
        <w:autoSpaceDE w:val="0"/>
        <w:autoSpaceDN w:val="0"/>
        <w:adjustRightInd w:val="0"/>
        <w:spacing w:line="360" w:lineRule="auto"/>
        <w:jc w:val="center"/>
        <w:rPr>
          <w:rFonts w:hint="eastAsia" w:ascii="宋体" w:hAnsi="宋体" w:eastAsia="宋体" w:cs="宋体"/>
          <w:b/>
          <w:bCs/>
          <w:color w:val="auto"/>
          <w:sz w:val="44"/>
          <w:szCs w:val="44"/>
          <w:lang w:val="zh-CN"/>
        </w:rPr>
      </w:pPr>
    </w:p>
    <w:p w14:paraId="19A501FA">
      <w:pPr>
        <w:autoSpaceDE w:val="0"/>
        <w:autoSpaceDN w:val="0"/>
        <w:adjustRightInd w:val="0"/>
        <w:spacing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5B550C91">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rPr>
        <w:t>一、 响应函 ……………………………………………页码</w:t>
      </w:r>
    </w:p>
    <w:p w14:paraId="034B9149">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二、 </w:t>
      </w:r>
      <w:r>
        <w:rPr>
          <w:rFonts w:hint="eastAsia" w:ascii="宋体" w:hAnsi="宋体" w:eastAsia="宋体" w:cs="宋体"/>
          <w:b/>
          <w:color w:val="auto"/>
          <w:sz w:val="28"/>
          <w:szCs w:val="28"/>
          <w:lang w:val="en-US" w:eastAsia="zh-CN"/>
        </w:rPr>
        <w:t>第一次</w:t>
      </w:r>
      <w:r>
        <w:rPr>
          <w:rFonts w:hint="eastAsia" w:ascii="宋体" w:hAnsi="宋体" w:eastAsia="宋体" w:cs="宋体"/>
          <w:b/>
          <w:color w:val="auto"/>
          <w:sz w:val="28"/>
          <w:szCs w:val="28"/>
        </w:rPr>
        <w:t>磋商报价表 ………………………………………</w:t>
      </w:r>
    </w:p>
    <w:p w14:paraId="0FBBEA1D">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三、 </w:t>
      </w:r>
      <w:r>
        <w:rPr>
          <w:rFonts w:hint="eastAsia" w:ascii="宋体" w:hAnsi="宋体" w:eastAsia="宋体" w:cs="宋体"/>
          <w:b/>
          <w:color w:val="auto"/>
          <w:sz w:val="28"/>
          <w:szCs w:val="28"/>
          <w:lang w:val="zh-CN"/>
        </w:rPr>
        <w:t>费用组成明细表</w:t>
      </w:r>
      <w:r>
        <w:rPr>
          <w:rFonts w:hint="eastAsia" w:ascii="宋体" w:hAnsi="宋体" w:eastAsia="宋体" w:cs="宋体"/>
          <w:b/>
          <w:color w:val="auto"/>
          <w:sz w:val="28"/>
          <w:szCs w:val="28"/>
        </w:rPr>
        <w:t xml:space="preserve"> ………………………………………</w:t>
      </w:r>
    </w:p>
    <w:p w14:paraId="066DC889">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 供应商资格证明文件 …………………………………</w:t>
      </w:r>
    </w:p>
    <w:p w14:paraId="35B330BC">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商务</w:t>
      </w:r>
      <w:r>
        <w:rPr>
          <w:rFonts w:hint="eastAsia" w:ascii="宋体" w:hAnsi="宋体" w:eastAsia="宋体" w:cs="宋体"/>
          <w:b/>
          <w:color w:val="auto"/>
          <w:sz w:val="28"/>
          <w:szCs w:val="28"/>
        </w:rPr>
        <w:t>条款偏离</w:t>
      </w:r>
      <w:r>
        <w:rPr>
          <w:rFonts w:hint="eastAsia" w:ascii="宋体" w:hAnsi="宋体" w:eastAsia="宋体" w:cs="宋体"/>
          <w:b/>
          <w:color w:val="auto"/>
          <w:sz w:val="28"/>
          <w:szCs w:val="28"/>
          <w:lang w:eastAsia="zh-CN"/>
        </w:rPr>
        <w:t>表</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w:t>
      </w:r>
    </w:p>
    <w:p w14:paraId="1847723F">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lang w:val="zh-CN" w:eastAsia="zh-CN"/>
        </w:rPr>
        <w:t>、</w:t>
      </w:r>
      <w:r>
        <w:rPr>
          <w:rFonts w:hint="eastAsia" w:ascii="宋体" w:hAnsi="宋体" w:eastAsia="宋体" w:cs="宋体"/>
          <w:b/>
          <w:color w:val="auto"/>
          <w:sz w:val="28"/>
          <w:szCs w:val="28"/>
          <w:lang w:val="en-US" w:eastAsia="zh-CN"/>
        </w:rPr>
        <w:t xml:space="preserve"> 技术</w:t>
      </w:r>
      <w:r>
        <w:rPr>
          <w:rFonts w:hint="eastAsia" w:ascii="宋体" w:hAnsi="宋体" w:eastAsia="宋体" w:cs="宋体"/>
          <w:b/>
          <w:color w:val="auto"/>
          <w:sz w:val="28"/>
          <w:szCs w:val="28"/>
          <w:lang w:val="zh-CN" w:eastAsia="zh-CN"/>
        </w:rPr>
        <w:t>条款偏离表</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w:t>
      </w:r>
    </w:p>
    <w:p w14:paraId="1D911944">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 响应方案说</w:t>
      </w:r>
      <w:r>
        <w:rPr>
          <w:rFonts w:hint="eastAsia" w:ascii="宋体" w:hAnsi="宋体" w:eastAsia="宋体" w:cs="宋体"/>
          <w:b/>
          <w:color w:val="auto"/>
          <w:sz w:val="28"/>
          <w:szCs w:val="28"/>
          <w:lang w:val="en-US" w:eastAsia="zh-CN"/>
        </w:rPr>
        <w:t>明</w:t>
      </w:r>
      <w:r>
        <w:rPr>
          <w:rFonts w:hint="eastAsia" w:ascii="宋体" w:hAnsi="宋体" w:eastAsia="宋体" w:cs="宋体"/>
          <w:b/>
          <w:color w:val="auto"/>
          <w:sz w:val="28"/>
          <w:szCs w:val="28"/>
        </w:rPr>
        <w:t>……………………………………………</w:t>
      </w:r>
    </w:p>
    <w:p w14:paraId="78F828DF">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业绩的有关证明材料</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w:t>
      </w:r>
    </w:p>
    <w:p w14:paraId="1332E3B5">
      <w:pPr>
        <w:spacing w:before="120" w:beforeLines="50" w:line="560" w:lineRule="exact"/>
        <w:ind w:firstLine="461" w:firstLineChars="164"/>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 xml:space="preserve">拒绝政府采购领域商业贿赂承诺书 </w:t>
      </w:r>
      <w:r>
        <w:rPr>
          <w:rFonts w:hint="eastAsia" w:ascii="宋体" w:hAnsi="宋体" w:eastAsia="宋体" w:cs="宋体"/>
          <w:b/>
          <w:color w:val="auto"/>
          <w:sz w:val="28"/>
          <w:szCs w:val="28"/>
        </w:rPr>
        <w:t>…………………</w:t>
      </w:r>
    </w:p>
    <w:p w14:paraId="08302380">
      <w:pPr>
        <w:spacing w:before="120" w:beforeLines="50" w:line="560" w:lineRule="exact"/>
        <w:ind w:firstLine="461" w:firstLineChars="164"/>
        <w:rPr>
          <w:rFonts w:hint="eastAsia" w:ascii="宋体" w:hAnsi="宋体" w:eastAsia="宋体" w:cs="宋体"/>
          <w:color w:val="auto"/>
          <w:lang w:val="en-US" w:eastAsia="zh-CN"/>
        </w:rPr>
      </w:pPr>
      <w:r>
        <w:rPr>
          <w:rFonts w:hint="eastAsia" w:ascii="宋体" w:hAnsi="宋体" w:eastAsia="宋体" w:cs="宋体"/>
          <w:b/>
          <w:color w:val="auto"/>
          <w:sz w:val="28"/>
          <w:szCs w:val="28"/>
          <w:lang w:val="en-US" w:eastAsia="zh-CN"/>
        </w:rPr>
        <w:t>十</w:t>
      </w:r>
      <w:r>
        <w:rPr>
          <w:rFonts w:hint="eastAsia" w:ascii="宋体" w:hAnsi="宋体" w:eastAsia="宋体" w:cs="宋体"/>
          <w:b/>
          <w:color w:val="auto"/>
          <w:sz w:val="28"/>
          <w:szCs w:val="28"/>
        </w:rPr>
        <w:t>、 供应商认为有必要补充说明的事项</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w:t>
      </w:r>
    </w:p>
    <w:p w14:paraId="083DB173">
      <w:pPr>
        <w:bidi w:val="0"/>
        <w:rPr>
          <w:rFonts w:hint="eastAsia" w:ascii="宋体" w:hAnsi="宋体" w:eastAsia="宋体" w:cs="宋体"/>
          <w:color w:val="auto"/>
          <w:lang w:val="zh-CN" w:eastAsia="zh-CN"/>
        </w:rPr>
      </w:pPr>
    </w:p>
    <w:p w14:paraId="158B0957">
      <w:pPr>
        <w:autoSpaceDE w:val="0"/>
        <w:autoSpaceDN w:val="0"/>
        <w:adjustRightInd w:val="0"/>
        <w:snapToGrid w:val="0"/>
        <w:spacing w:line="360" w:lineRule="auto"/>
        <w:jc w:val="center"/>
        <w:outlineLvl w:val="9"/>
        <w:rPr>
          <w:rFonts w:hint="eastAsia" w:ascii="宋体" w:hAnsi="宋体" w:eastAsia="宋体" w:cs="宋体"/>
          <w:b/>
          <w:bCs/>
          <w:color w:val="auto"/>
          <w:kern w:val="2"/>
          <w:sz w:val="32"/>
          <w:szCs w:val="32"/>
          <w:lang w:val="zh-CN" w:eastAsia="zh-CN" w:bidi="ar-SA"/>
        </w:rPr>
      </w:pPr>
    </w:p>
    <w:p w14:paraId="07440346">
      <w:pPr>
        <w:pStyle w:val="11"/>
        <w:rPr>
          <w:rFonts w:hint="eastAsia" w:ascii="宋体" w:hAnsi="宋体" w:eastAsia="宋体" w:cs="宋体"/>
          <w:b/>
          <w:bCs/>
          <w:color w:val="auto"/>
          <w:kern w:val="2"/>
          <w:sz w:val="32"/>
          <w:szCs w:val="32"/>
          <w:lang w:val="zh-CN" w:eastAsia="zh-CN" w:bidi="ar-SA"/>
        </w:rPr>
      </w:pPr>
    </w:p>
    <w:p w14:paraId="6C7927B9">
      <w:pPr>
        <w:rPr>
          <w:rFonts w:hint="eastAsia" w:ascii="宋体" w:hAnsi="宋体" w:eastAsia="宋体" w:cs="宋体"/>
          <w:b/>
          <w:bCs/>
          <w:color w:val="auto"/>
          <w:kern w:val="2"/>
          <w:sz w:val="32"/>
          <w:szCs w:val="32"/>
          <w:lang w:val="zh-CN" w:eastAsia="zh-CN" w:bidi="ar-SA"/>
        </w:rPr>
      </w:pPr>
    </w:p>
    <w:p w14:paraId="6EB14FF7">
      <w:pPr>
        <w:pStyle w:val="11"/>
        <w:rPr>
          <w:rFonts w:hint="eastAsia" w:ascii="宋体" w:hAnsi="宋体" w:eastAsia="宋体" w:cs="宋体"/>
          <w:b/>
          <w:bCs/>
          <w:color w:val="auto"/>
          <w:kern w:val="2"/>
          <w:sz w:val="32"/>
          <w:szCs w:val="32"/>
          <w:lang w:val="zh-CN" w:eastAsia="zh-CN" w:bidi="ar-SA"/>
        </w:rPr>
      </w:pPr>
    </w:p>
    <w:p w14:paraId="20A2DD76">
      <w:pPr>
        <w:rPr>
          <w:rFonts w:hint="eastAsia" w:ascii="宋体" w:hAnsi="宋体" w:eastAsia="宋体" w:cs="宋体"/>
          <w:b/>
          <w:bCs/>
          <w:color w:val="auto"/>
          <w:kern w:val="2"/>
          <w:sz w:val="32"/>
          <w:szCs w:val="32"/>
          <w:lang w:val="zh-CN" w:eastAsia="zh-CN" w:bidi="ar-SA"/>
        </w:rPr>
      </w:pPr>
    </w:p>
    <w:p w14:paraId="10BAA0D7">
      <w:pPr>
        <w:pStyle w:val="11"/>
        <w:rPr>
          <w:rFonts w:hint="eastAsia" w:ascii="宋体" w:hAnsi="宋体" w:eastAsia="宋体" w:cs="宋体"/>
          <w:b/>
          <w:bCs/>
          <w:color w:val="auto"/>
          <w:kern w:val="2"/>
          <w:sz w:val="32"/>
          <w:szCs w:val="32"/>
          <w:lang w:val="zh-CN" w:eastAsia="zh-CN" w:bidi="ar-SA"/>
        </w:rPr>
      </w:pPr>
    </w:p>
    <w:p w14:paraId="2B4BB22E">
      <w:pPr>
        <w:rPr>
          <w:rFonts w:hint="eastAsia" w:ascii="宋体" w:hAnsi="宋体" w:eastAsia="宋体" w:cs="宋体"/>
          <w:b/>
          <w:bCs/>
          <w:color w:val="auto"/>
          <w:kern w:val="2"/>
          <w:sz w:val="32"/>
          <w:szCs w:val="32"/>
          <w:lang w:val="zh-CN" w:eastAsia="zh-CN" w:bidi="ar-SA"/>
        </w:rPr>
      </w:pPr>
    </w:p>
    <w:p w14:paraId="52D5E820">
      <w:pPr>
        <w:pStyle w:val="11"/>
        <w:rPr>
          <w:rFonts w:hint="eastAsia" w:ascii="宋体" w:hAnsi="宋体" w:eastAsia="宋体" w:cs="宋体"/>
          <w:b/>
          <w:bCs/>
          <w:color w:val="auto"/>
          <w:kern w:val="2"/>
          <w:sz w:val="32"/>
          <w:szCs w:val="32"/>
          <w:lang w:val="zh-CN" w:eastAsia="zh-CN" w:bidi="ar-SA"/>
        </w:rPr>
      </w:pPr>
    </w:p>
    <w:p w14:paraId="6369C5D6">
      <w:pPr>
        <w:rPr>
          <w:rFonts w:hint="eastAsia" w:ascii="宋体" w:hAnsi="宋体" w:eastAsia="宋体" w:cs="宋体"/>
          <w:b/>
          <w:bCs/>
          <w:color w:val="auto"/>
          <w:kern w:val="2"/>
          <w:sz w:val="32"/>
          <w:szCs w:val="32"/>
          <w:lang w:val="zh-CN" w:eastAsia="zh-CN" w:bidi="ar-SA"/>
        </w:rPr>
      </w:pPr>
    </w:p>
    <w:p w14:paraId="0A2301C6">
      <w:pPr>
        <w:pStyle w:val="11"/>
        <w:rPr>
          <w:rFonts w:hint="eastAsia" w:ascii="宋体" w:hAnsi="宋体" w:eastAsia="宋体" w:cs="宋体"/>
          <w:b/>
          <w:bCs/>
          <w:color w:val="auto"/>
          <w:kern w:val="2"/>
          <w:sz w:val="32"/>
          <w:szCs w:val="32"/>
          <w:lang w:val="zh-CN" w:eastAsia="zh-CN" w:bidi="ar-SA"/>
        </w:rPr>
      </w:pPr>
    </w:p>
    <w:p w14:paraId="3AB45C80">
      <w:pPr>
        <w:rPr>
          <w:rFonts w:hint="eastAsia" w:ascii="宋体" w:hAnsi="宋体" w:eastAsia="宋体" w:cs="宋体"/>
          <w:b/>
          <w:bCs/>
          <w:color w:val="auto"/>
          <w:kern w:val="2"/>
          <w:sz w:val="32"/>
          <w:szCs w:val="32"/>
          <w:lang w:val="zh-CN" w:eastAsia="zh-CN" w:bidi="ar-SA"/>
        </w:rPr>
      </w:pPr>
    </w:p>
    <w:p w14:paraId="2B499274">
      <w:pPr>
        <w:pStyle w:val="16"/>
        <w:rPr>
          <w:rFonts w:hint="eastAsia" w:ascii="宋体" w:hAnsi="宋体" w:eastAsia="宋体" w:cs="宋体"/>
          <w:b/>
          <w:bCs/>
          <w:color w:val="auto"/>
          <w:kern w:val="2"/>
          <w:sz w:val="32"/>
          <w:szCs w:val="32"/>
          <w:lang w:val="zh-CN" w:eastAsia="zh-CN" w:bidi="ar-SA"/>
        </w:rPr>
      </w:pPr>
    </w:p>
    <w:p w14:paraId="01FDF138">
      <w:pPr>
        <w:pStyle w:val="11"/>
        <w:rPr>
          <w:rFonts w:hint="eastAsia" w:ascii="宋体" w:hAnsi="宋体" w:eastAsia="宋体" w:cs="宋体"/>
          <w:color w:val="auto"/>
          <w:lang w:val="zh-CN" w:eastAsia="zh-CN"/>
        </w:rPr>
      </w:pPr>
    </w:p>
    <w:p w14:paraId="12C3EFB5">
      <w:pPr>
        <w:rPr>
          <w:rFonts w:hint="eastAsia" w:ascii="宋体" w:hAnsi="宋体" w:eastAsia="宋体" w:cs="宋体"/>
          <w:b/>
          <w:bCs/>
          <w:color w:val="auto"/>
          <w:kern w:val="2"/>
          <w:sz w:val="32"/>
          <w:szCs w:val="32"/>
          <w:lang w:val="zh-CN" w:eastAsia="zh-CN" w:bidi="ar-SA"/>
        </w:rPr>
      </w:pPr>
    </w:p>
    <w:p w14:paraId="1E3949C0">
      <w:pPr>
        <w:autoSpaceDE w:val="0"/>
        <w:autoSpaceDN w:val="0"/>
        <w:adjustRightInd w:val="0"/>
        <w:snapToGrid w:val="0"/>
        <w:spacing w:line="360" w:lineRule="auto"/>
        <w:jc w:val="center"/>
        <w:outlineLvl w:val="9"/>
        <w:rPr>
          <w:rFonts w:hint="eastAsia" w:ascii="宋体" w:hAnsi="宋体" w:eastAsia="宋体" w:cs="宋体"/>
          <w:b/>
          <w:bCs/>
          <w:color w:val="auto"/>
          <w:kern w:val="2"/>
          <w:sz w:val="32"/>
          <w:szCs w:val="32"/>
          <w:lang w:val="zh-CN" w:eastAsia="zh-CN" w:bidi="ar-SA"/>
        </w:rPr>
      </w:pPr>
    </w:p>
    <w:p w14:paraId="4AEB5B86">
      <w:pPr>
        <w:autoSpaceDE w:val="0"/>
        <w:autoSpaceDN w:val="0"/>
        <w:adjustRightInd w:val="0"/>
        <w:snapToGrid w:val="0"/>
        <w:spacing w:line="360" w:lineRule="auto"/>
        <w:jc w:val="center"/>
        <w:outlineLvl w:val="9"/>
        <w:rPr>
          <w:rFonts w:hint="eastAsia" w:ascii="宋体" w:hAnsi="宋体" w:eastAsia="宋体" w:cs="宋体"/>
          <w:b/>
          <w:bCs/>
          <w:color w:val="auto"/>
          <w:kern w:val="2"/>
          <w:sz w:val="32"/>
          <w:szCs w:val="32"/>
          <w:lang w:val="zh-CN" w:eastAsia="zh-CN" w:bidi="ar-SA"/>
        </w:rPr>
      </w:pPr>
      <w:r>
        <w:rPr>
          <w:rFonts w:hint="eastAsia" w:ascii="宋体" w:hAnsi="宋体" w:eastAsia="宋体" w:cs="宋体"/>
          <w:b/>
          <w:bCs/>
          <w:color w:val="auto"/>
          <w:kern w:val="2"/>
          <w:sz w:val="32"/>
          <w:szCs w:val="32"/>
          <w:lang w:val="zh-CN" w:eastAsia="zh-CN" w:bidi="ar-SA"/>
        </w:rPr>
        <w:t>一、响应函</w:t>
      </w:r>
    </w:p>
    <w:p w14:paraId="57C4C87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 xml:space="preserve">     （采购人名称）    ：</w:t>
      </w:r>
    </w:p>
    <w:p w14:paraId="6FFCD59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我单位收到贵公司关于</w:t>
      </w:r>
      <w:r>
        <w:rPr>
          <w:rFonts w:hint="eastAsia" w:ascii="宋体" w:hAnsi="宋体" w:eastAsia="宋体" w:cs="宋体"/>
          <w:color w:val="auto"/>
          <w:sz w:val="24"/>
          <w:szCs w:val="24"/>
          <w:u w:val="single"/>
          <w:lang w:eastAsia="zh-CN"/>
        </w:rPr>
        <w:t>市委党校智慧校园软件项目建设</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u w:val="single"/>
          <w:lang w:val="en-US" w:eastAsia="zh-CN"/>
        </w:rPr>
        <w:t>ZCPC-2025-079</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磋商文件，经详细研究，我们决定参加本次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活动。为此，我方郑重声明以下诸点，并负法律责任。</w:t>
      </w:r>
    </w:p>
    <w:p w14:paraId="5CB5C5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一、愿意按照磋商文件中的一切要求，向采购人提供所需</w:t>
      </w:r>
      <w:r>
        <w:rPr>
          <w:rFonts w:hint="eastAsia" w:ascii="宋体" w:hAnsi="宋体" w:eastAsia="宋体" w:cs="宋体"/>
          <w:color w:val="auto"/>
          <w:sz w:val="24"/>
          <w:szCs w:val="24"/>
          <w:lang w:eastAsia="zh-CN"/>
        </w:rPr>
        <w:t>货物及相应服务</w:t>
      </w:r>
      <w:r>
        <w:rPr>
          <w:rFonts w:hint="eastAsia" w:ascii="宋体" w:hAnsi="宋体" w:eastAsia="宋体" w:cs="宋体"/>
          <w:color w:val="auto"/>
          <w:sz w:val="24"/>
          <w:szCs w:val="24"/>
        </w:rPr>
        <w:t>。</w:t>
      </w:r>
    </w:p>
    <w:p w14:paraId="2898409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二、按磋商文件的规定，我公司的首次磋商报价为：人民币（大写）：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元），并对其后的磋商报价负法律责任。</w:t>
      </w:r>
    </w:p>
    <w:p w14:paraId="5BAF19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三、我方保证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提供的数据和材料真实、准确。否则，愿承担相关的法律责任。</w:t>
      </w:r>
    </w:p>
    <w:p w14:paraId="10E828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四、我方已详细阅读了磋商文件，完全理解并放弃提出含糊不清或易形成歧义的表述和资料。</w:t>
      </w:r>
    </w:p>
    <w:p w14:paraId="3AA1C33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五、我方愿意向贵方提供任何与本次磋商有关的数据、情况和技术资料，若贵方需要，我方愿意提供我方做出的一切承诺的证明材料。</w:t>
      </w:r>
    </w:p>
    <w:p w14:paraId="793336C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六、我方</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有效期为</w:t>
      </w:r>
      <w:r>
        <w:rPr>
          <w:rFonts w:hint="eastAsia" w:ascii="宋体" w:hAnsi="宋体" w:eastAsia="宋体" w:cs="宋体"/>
          <w:color w:val="auto"/>
          <w:sz w:val="24"/>
          <w:szCs w:val="24"/>
          <w:lang w:eastAsia="zh-CN"/>
        </w:rPr>
        <w:t>自响应文件递交截止之日起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个日历日，磋商后在规定的</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有效期内撤回</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，我们愿接受政府采购的有关处罚决定。</w:t>
      </w:r>
    </w:p>
    <w:p w14:paraId="14B80A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七、我方承诺遵守《中华人民共和国政府采购法》及其实施条例的有关规定，保证在获得成交资格后：</w:t>
      </w:r>
    </w:p>
    <w:p w14:paraId="380B7B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（1）按照磋商文件确定的事项签订合同，履行双方所签订的合同，并承担合同规定的责任和义务；</w:t>
      </w:r>
    </w:p>
    <w:p w14:paraId="1EE8F16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（2）我方保证在</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公告发布后</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个工作日内按规定和标准向贵方缴纳</w:t>
      </w:r>
      <w:r>
        <w:rPr>
          <w:rFonts w:hint="eastAsia" w:ascii="宋体" w:hAnsi="宋体" w:eastAsia="宋体" w:cs="宋体"/>
          <w:b/>
          <w:bCs/>
          <w:color w:val="auto"/>
          <w:sz w:val="24"/>
          <w:szCs w:val="24"/>
          <w:lang w:val="en-US" w:eastAsia="zh-CN"/>
        </w:rPr>
        <w:t>招标代理</w:t>
      </w:r>
      <w:r>
        <w:rPr>
          <w:rFonts w:hint="eastAsia" w:ascii="宋体" w:hAnsi="宋体" w:eastAsia="宋体" w:cs="宋体"/>
          <w:b/>
          <w:bCs/>
          <w:color w:val="auto"/>
          <w:sz w:val="24"/>
          <w:szCs w:val="24"/>
        </w:rPr>
        <w:t>服务费；</w:t>
      </w:r>
    </w:p>
    <w:p w14:paraId="65CCC73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有效期延长至合同履行完毕。</w:t>
      </w:r>
    </w:p>
    <w:p w14:paraId="6ADBF0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八、我方完全理解最低报价不是成交的唯一条件，并尊重磋商小组的评评审结论和</w:t>
      </w:r>
      <w:r>
        <w:rPr>
          <w:rFonts w:hint="eastAsia" w:ascii="宋体" w:hAnsi="宋体" w:eastAsia="宋体" w:cs="宋体"/>
          <w:color w:val="auto"/>
          <w:sz w:val="24"/>
          <w:szCs w:val="24"/>
          <w:lang w:val="en-US" w:eastAsia="zh-CN"/>
        </w:rPr>
        <w:t>定标</w:t>
      </w:r>
      <w:r>
        <w:rPr>
          <w:rFonts w:hint="eastAsia" w:ascii="宋体" w:hAnsi="宋体" w:eastAsia="宋体" w:cs="宋体"/>
          <w:color w:val="auto"/>
          <w:sz w:val="24"/>
          <w:szCs w:val="24"/>
        </w:rPr>
        <w:t>结果。</w:t>
      </w:r>
    </w:p>
    <w:p w14:paraId="11C13E8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九、一旦我方成交,我方同意与使用单位签订保密协议。</w:t>
      </w:r>
    </w:p>
    <w:p w14:paraId="398178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十、有关于本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的函电，请按下列地址联系</w:t>
      </w:r>
      <w:r>
        <w:rPr>
          <w:rFonts w:hint="eastAsia" w:ascii="宋体" w:hAnsi="宋体" w:eastAsia="宋体" w:cs="宋体"/>
          <w:color w:val="auto"/>
          <w:sz w:val="24"/>
          <w:szCs w:val="24"/>
          <w:lang w:eastAsia="zh-CN"/>
        </w:rPr>
        <w:t>：</w:t>
      </w:r>
    </w:p>
    <w:p w14:paraId="1F7B8D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名</w:t>
      </w:r>
      <w:r>
        <w:rPr>
          <w:rFonts w:hint="eastAsia" w:ascii="宋体" w:hAnsi="宋体" w:eastAsia="宋体" w:cs="宋体"/>
          <w:color w:val="auto"/>
          <w:sz w:val="24"/>
          <w:szCs w:val="24"/>
        </w:rPr>
        <w:t>称（</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章）：</w:t>
      </w:r>
      <w:r>
        <w:rPr>
          <w:rFonts w:hint="eastAsia" w:ascii="宋体" w:hAnsi="宋体" w:eastAsia="宋体" w:cs="宋体"/>
          <w:b/>
          <w:color w:val="auto"/>
          <w:sz w:val="24"/>
          <w:szCs w:val="24"/>
          <w:u w:val="single"/>
        </w:rPr>
        <w:t xml:space="preserve">                                </w:t>
      </w:r>
    </w:p>
    <w:p w14:paraId="3655D0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rPr>
        <w:t xml:space="preserve">                     </w:t>
      </w:r>
    </w:p>
    <w:p w14:paraId="4E9287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b/>
          <w:color w:val="auto"/>
          <w:sz w:val="24"/>
          <w:szCs w:val="24"/>
          <w:u w:val="single"/>
        </w:rPr>
        <w:t xml:space="preserve">                                          </w:t>
      </w:r>
    </w:p>
    <w:p w14:paraId="19871D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b/>
          <w:color w:val="auto"/>
          <w:sz w:val="24"/>
          <w:szCs w:val="24"/>
          <w:u w:val="single"/>
        </w:rPr>
        <w:t xml:space="preserve">                                          </w:t>
      </w:r>
    </w:p>
    <w:p w14:paraId="586EABB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b/>
          <w:color w:val="auto"/>
          <w:sz w:val="24"/>
          <w:szCs w:val="24"/>
          <w:u w:val="single"/>
        </w:rPr>
        <w:t xml:space="preserve">                                          </w:t>
      </w:r>
    </w:p>
    <w:p w14:paraId="6D2F5D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b/>
          <w:color w:val="auto"/>
          <w:sz w:val="24"/>
          <w:szCs w:val="24"/>
          <w:u w:val="single"/>
        </w:rPr>
        <w:t xml:space="preserve">                                          </w:t>
      </w:r>
    </w:p>
    <w:p w14:paraId="549E3F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b/>
          <w:color w:val="auto"/>
          <w:sz w:val="24"/>
          <w:szCs w:val="24"/>
          <w:u w:val="single"/>
        </w:rPr>
        <w:t xml:space="preserve">                                          </w:t>
      </w:r>
    </w:p>
    <w:p w14:paraId="3F4F5C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    编：</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rPr>
        <w:t xml:space="preserve">                  </w:t>
      </w:r>
    </w:p>
    <w:p w14:paraId="78CEE6D1">
      <w:pPr>
        <w:autoSpaceDE w:val="0"/>
        <w:autoSpaceDN w:val="0"/>
        <w:adjustRightInd w:val="0"/>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A1C097D">
      <w:pPr>
        <w:pStyle w:val="16"/>
        <w:spacing w:line="360" w:lineRule="auto"/>
        <w:ind w:firstLine="480" w:firstLineChars="200"/>
        <w:rPr>
          <w:rFonts w:hint="eastAsia" w:ascii="宋体" w:hAnsi="宋体" w:eastAsia="宋体" w:cs="宋体"/>
          <w:color w:val="auto"/>
          <w:sz w:val="24"/>
          <w:szCs w:val="24"/>
        </w:rPr>
      </w:pPr>
    </w:p>
    <w:p w14:paraId="5609FBD3">
      <w:pPr>
        <w:autoSpaceDE w:val="0"/>
        <w:autoSpaceDN w:val="0"/>
        <w:adjustRightIn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说明：除可填报项目外对本</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函的任何修改将被视为非实质性响应投标从而导致该投标被拒绝</w:t>
      </w:r>
      <w:r>
        <w:rPr>
          <w:rFonts w:hint="eastAsia" w:ascii="宋体" w:hAnsi="宋体" w:eastAsia="宋体" w:cs="宋体"/>
          <w:color w:val="auto"/>
          <w:sz w:val="24"/>
          <w:szCs w:val="24"/>
          <w:lang w:eastAsia="zh-CN"/>
        </w:rPr>
        <w:t>。</w:t>
      </w:r>
    </w:p>
    <w:p w14:paraId="15A2F9B9">
      <w:pPr>
        <w:pStyle w:val="11"/>
        <w:rPr>
          <w:rFonts w:hint="eastAsia" w:ascii="宋体" w:hAnsi="宋体" w:eastAsia="宋体" w:cs="宋体"/>
          <w:color w:val="auto"/>
          <w:sz w:val="24"/>
          <w:szCs w:val="24"/>
          <w:lang w:eastAsia="zh-CN"/>
        </w:rPr>
      </w:pPr>
    </w:p>
    <w:p w14:paraId="413E5E5F">
      <w:pPr>
        <w:rPr>
          <w:rFonts w:hint="eastAsia" w:ascii="宋体" w:hAnsi="宋体" w:eastAsia="宋体" w:cs="宋体"/>
          <w:color w:val="auto"/>
          <w:sz w:val="24"/>
          <w:szCs w:val="24"/>
          <w:lang w:eastAsia="zh-CN"/>
        </w:rPr>
      </w:pPr>
    </w:p>
    <w:p w14:paraId="42CFFC59">
      <w:pPr>
        <w:pStyle w:val="11"/>
        <w:rPr>
          <w:rFonts w:hint="eastAsia" w:ascii="宋体" w:hAnsi="宋体" w:eastAsia="宋体" w:cs="宋体"/>
          <w:color w:val="auto"/>
          <w:sz w:val="24"/>
          <w:szCs w:val="24"/>
          <w:lang w:eastAsia="zh-CN"/>
        </w:rPr>
      </w:pPr>
    </w:p>
    <w:p w14:paraId="76D7CA0B">
      <w:pPr>
        <w:rPr>
          <w:rFonts w:hint="eastAsia" w:ascii="宋体" w:hAnsi="宋体" w:eastAsia="宋体" w:cs="宋体"/>
          <w:color w:val="auto"/>
          <w:sz w:val="24"/>
          <w:szCs w:val="24"/>
          <w:lang w:eastAsia="zh-CN"/>
        </w:rPr>
      </w:pPr>
    </w:p>
    <w:p w14:paraId="785F1266">
      <w:pPr>
        <w:pStyle w:val="11"/>
        <w:rPr>
          <w:rFonts w:hint="eastAsia" w:ascii="宋体" w:hAnsi="宋体" w:eastAsia="宋体" w:cs="宋体"/>
          <w:color w:val="auto"/>
          <w:sz w:val="24"/>
          <w:szCs w:val="24"/>
          <w:lang w:eastAsia="zh-CN"/>
        </w:rPr>
      </w:pPr>
    </w:p>
    <w:p w14:paraId="7DB6957A">
      <w:pPr>
        <w:rPr>
          <w:rFonts w:hint="eastAsia" w:ascii="宋体" w:hAnsi="宋体" w:eastAsia="宋体" w:cs="宋体"/>
          <w:color w:val="auto"/>
          <w:sz w:val="24"/>
          <w:szCs w:val="24"/>
          <w:lang w:eastAsia="zh-CN"/>
        </w:rPr>
      </w:pPr>
    </w:p>
    <w:p w14:paraId="4DA9433A">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F83F3C2">
      <w:pPr>
        <w:pStyle w:val="15"/>
        <w:rPr>
          <w:rFonts w:hint="eastAsia"/>
          <w:color w:val="auto"/>
          <w:lang w:eastAsia="zh-CN"/>
        </w:rPr>
      </w:pPr>
    </w:p>
    <w:p w14:paraId="3F88B07E">
      <w:pPr>
        <w:rPr>
          <w:rFonts w:hint="eastAsia" w:ascii="宋体" w:hAnsi="宋体" w:eastAsia="宋体" w:cs="宋体"/>
          <w:color w:val="auto"/>
          <w:sz w:val="24"/>
          <w:szCs w:val="24"/>
          <w:lang w:eastAsia="zh-CN"/>
        </w:rPr>
      </w:pPr>
    </w:p>
    <w:p w14:paraId="44AC06A4">
      <w:pPr>
        <w:autoSpaceDE w:val="0"/>
        <w:autoSpaceDN w:val="0"/>
        <w:adjustRightInd w:val="0"/>
        <w:snapToGrid w:val="0"/>
        <w:spacing w:line="360" w:lineRule="auto"/>
        <w:jc w:val="center"/>
        <w:outlineLvl w:val="9"/>
        <w:rPr>
          <w:rFonts w:hint="eastAsia" w:ascii="宋体" w:hAnsi="宋体" w:eastAsia="宋体" w:cs="宋体"/>
          <w:b/>
          <w:bCs/>
          <w:color w:val="auto"/>
          <w:kern w:val="2"/>
          <w:sz w:val="32"/>
          <w:szCs w:val="32"/>
          <w:lang w:val="zh-CN" w:eastAsia="zh-CN" w:bidi="ar-SA"/>
        </w:rPr>
      </w:pPr>
      <w:r>
        <w:rPr>
          <w:rFonts w:hint="eastAsia" w:ascii="宋体" w:hAnsi="宋体" w:eastAsia="宋体" w:cs="宋体"/>
          <w:b/>
          <w:bCs/>
          <w:color w:val="auto"/>
          <w:kern w:val="2"/>
          <w:sz w:val="32"/>
          <w:szCs w:val="32"/>
          <w:lang w:val="zh-CN" w:eastAsia="zh-CN" w:bidi="ar-SA"/>
        </w:rPr>
        <w:t xml:space="preserve">二、第一次磋商报价表  </w:t>
      </w:r>
    </w:p>
    <w:tbl>
      <w:tblPr>
        <w:tblStyle w:val="2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1324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7048164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146" w:type="dxa"/>
            <w:noWrap w:val="0"/>
            <w:vAlign w:val="center"/>
          </w:tcPr>
          <w:p w14:paraId="7938669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39F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686138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146" w:type="dxa"/>
            <w:noWrap w:val="0"/>
            <w:vAlign w:val="center"/>
          </w:tcPr>
          <w:p w14:paraId="5A89EDB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FDD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172C2A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报价</w:t>
            </w:r>
          </w:p>
          <w:p w14:paraId="41C2C42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6146" w:type="dxa"/>
            <w:noWrap w:val="0"/>
            <w:vAlign w:val="center"/>
          </w:tcPr>
          <w:p w14:paraId="0A72B787">
            <w:pPr>
              <w:keepNext w:val="0"/>
              <w:keepLines w:val="0"/>
              <w:suppressLineNumbers w:val="0"/>
              <w:spacing w:before="0" w:beforeAutospacing="0" w:after="0" w:afterAutospacing="0"/>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p>
          <w:p w14:paraId="4EC3970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p w14:paraId="689CE334">
            <w:pPr>
              <w:keepNext w:val="0"/>
              <w:keepLines w:val="0"/>
              <w:suppressLineNumbers w:val="0"/>
              <w:spacing w:before="0" w:beforeAutospacing="0" w:after="0" w:afterAutospacing="0"/>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小写</w:t>
            </w:r>
            <w:r>
              <w:rPr>
                <w:rFonts w:hint="eastAsia" w:ascii="宋体" w:hAnsi="宋体" w:eastAsia="宋体" w:cs="宋体"/>
                <w:color w:val="auto"/>
                <w:sz w:val="24"/>
                <w:szCs w:val="24"/>
                <w:lang w:eastAsia="zh-CN"/>
              </w:rPr>
              <w:t>：</w:t>
            </w:r>
          </w:p>
        </w:tc>
      </w:tr>
      <w:tr w14:paraId="388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1F4324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质保期</w:t>
            </w:r>
          </w:p>
        </w:tc>
        <w:tc>
          <w:tcPr>
            <w:tcW w:w="6146" w:type="dxa"/>
            <w:noWrap w:val="0"/>
            <w:vAlign w:val="center"/>
          </w:tcPr>
          <w:p w14:paraId="6F4232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p>
        </w:tc>
      </w:tr>
      <w:tr w14:paraId="1E9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76A44BC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服务期</w:t>
            </w:r>
          </w:p>
        </w:tc>
        <w:tc>
          <w:tcPr>
            <w:tcW w:w="6146" w:type="dxa"/>
            <w:noWrap w:val="0"/>
            <w:vAlign w:val="center"/>
          </w:tcPr>
          <w:p w14:paraId="01D0EC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p>
        </w:tc>
      </w:tr>
      <w:tr w14:paraId="6E7A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1E9C3DB7">
            <w:pPr>
              <w:keepNext w:val="0"/>
              <w:keepLines w:val="0"/>
              <w:widowControl/>
              <w:suppressLineNumbers w:val="0"/>
              <w:spacing w:before="0" w:beforeAutospacing="0" w:after="0" w:afterAutospacing="0" w:line="240" w:lineRule="auto"/>
              <w:ind w:left="640" w:right="0" w:hanging="480" w:hanging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14:paraId="4C4EB695">
            <w:pPr>
              <w:keepNext w:val="0"/>
              <w:keepLines w:val="0"/>
              <w:widowControl/>
              <w:suppressLineNumbers w:val="0"/>
              <w:spacing w:before="0" w:beforeAutospacing="0" w:after="0" w:afterAutospacing="0" w:line="240" w:lineRule="auto"/>
              <w:ind w:left="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1、磋商报价以元为单位，大小写不一致时，以大写为准。</w:t>
            </w:r>
          </w:p>
          <w:p w14:paraId="21CD81E2">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2、除可填报项目外对本第一次磋商报价表的任何修改将被视为非实质性响应从而导致该投标被拒绝。</w:t>
            </w:r>
          </w:p>
        </w:tc>
      </w:tr>
    </w:tbl>
    <w:p w14:paraId="23240C43">
      <w:pPr>
        <w:widowControl/>
        <w:spacing w:line="360" w:lineRule="auto"/>
        <w:ind w:firstLine="480" w:firstLineChars="200"/>
        <w:rPr>
          <w:rFonts w:hint="eastAsia" w:ascii="宋体" w:hAnsi="宋体" w:eastAsia="宋体" w:cs="宋体"/>
          <w:bCs/>
          <w:color w:val="auto"/>
          <w:kern w:val="0"/>
          <w:sz w:val="24"/>
          <w:szCs w:val="24"/>
        </w:rPr>
      </w:pPr>
    </w:p>
    <w:p w14:paraId="1C0FD887">
      <w:pPr>
        <w:spacing w:line="360" w:lineRule="auto"/>
        <w:ind w:firstLine="1920" w:firstLineChars="800"/>
        <w:rPr>
          <w:rFonts w:hint="eastAsia" w:ascii="宋体" w:hAnsi="宋体" w:eastAsia="宋体" w:cs="宋体"/>
          <w:color w:val="auto"/>
          <w:sz w:val="24"/>
          <w:szCs w:val="24"/>
        </w:rPr>
      </w:pPr>
    </w:p>
    <w:p w14:paraId="5236F43D">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7D9C827">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E42FED4">
      <w:pPr>
        <w:ind w:firstLine="2160" w:firstLineChars="9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9F3844D">
      <w:pPr>
        <w:pStyle w:val="11"/>
        <w:rPr>
          <w:rFonts w:hint="eastAsia" w:ascii="宋体" w:hAnsi="宋体" w:eastAsia="宋体" w:cs="宋体"/>
          <w:color w:val="auto"/>
          <w:sz w:val="24"/>
          <w:szCs w:val="24"/>
          <w:lang w:eastAsia="zh-CN"/>
        </w:rPr>
      </w:pPr>
    </w:p>
    <w:p w14:paraId="433EAB79">
      <w:pPr>
        <w:rPr>
          <w:rFonts w:hint="eastAsia" w:ascii="宋体" w:hAnsi="宋体" w:eastAsia="宋体" w:cs="宋体"/>
          <w:color w:val="auto"/>
          <w:sz w:val="24"/>
          <w:szCs w:val="24"/>
          <w:lang w:eastAsia="zh-CN"/>
        </w:rPr>
      </w:pPr>
    </w:p>
    <w:p w14:paraId="46AFF1A7">
      <w:pPr>
        <w:pStyle w:val="11"/>
        <w:rPr>
          <w:rFonts w:hint="eastAsia" w:ascii="宋体" w:hAnsi="宋体" w:eastAsia="宋体" w:cs="宋体"/>
          <w:color w:val="auto"/>
          <w:sz w:val="24"/>
          <w:szCs w:val="24"/>
          <w:lang w:eastAsia="zh-CN"/>
        </w:rPr>
      </w:pPr>
    </w:p>
    <w:p w14:paraId="558A19AB">
      <w:pPr>
        <w:pStyle w:val="11"/>
        <w:rPr>
          <w:rFonts w:hint="eastAsia" w:ascii="宋体" w:hAnsi="宋体" w:eastAsia="宋体" w:cs="宋体"/>
          <w:color w:val="auto"/>
          <w:sz w:val="24"/>
          <w:szCs w:val="24"/>
          <w:lang w:eastAsia="zh-CN"/>
        </w:rPr>
      </w:pPr>
    </w:p>
    <w:p w14:paraId="79BE654C">
      <w:pPr>
        <w:pStyle w:val="11"/>
        <w:rPr>
          <w:rFonts w:hint="eastAsia" w:ascii="宋体" w:hAnsi="宋体" w:eastAsia="宋体" w:cs="宋体"/>
          <w:color w:val="auto"/>
          <w:sz w:val="24"/>
          <w:szCs w:val="24"/>
          <w:lang w:eastAsia="zh-CN"/>
        </w:rPr>
      </w:pPr>
    </w:p>
    <w:p w14:paraId="0DA0E4F0">
      <w:pPr>
        <w:pStyle w:val="11"/>
        <w:rPr>
          <w:rFonts w:hint="eastAsia" w:ascii="宋体" w:hAnsi="宋体" w:eastAsia="宋体" w:cs="宋体"/>
          <w:color w:val="auto"/>
          <w:sz w:val="24"/>
          <w:szCs w:val="24"/>
          <w:lang w:eastAsia="zh-CN"/>
        </w:rPr>
      </w:pPr>
    </w:p>
    <w:p w14:paraId="6B59B7E0">
      <w:pPr>
        <w:pStyle w:val="11"/>
        <w:rPr>
          <w:rFonts w:hint="eastAsia" w:ascii="宋体" w:hAnsi="宋体" w:eastAsia="宋体" w:cs="宋体"/>
          <w:color w:val="auto"/>
          <w:sz w:val="24"/>
          <w:szCs w:val="24"/>
          <w:lang w:eastAsia="zh-CN"/>
        </w:rPr>
      </w:pPr>
    </w:p>
    <w:p w14:paraId="3DD2ADD3">
      <w:pPr>
        <w:rPr>
          <w:rFonts w:hint="eastAsia" w:ascii="宋体" w:hAnsi="宋体" w:eastAsia="宋体" w:cs="宋体"/>
          <w:color w:val="auto"/>
          <w:sz w:val="24"/>
          <w:szCs w:val="24"/>
          <w:lang w:eastAsia="zh-CN"/>
        </w:rPr>
      </w:pPr>
    </w:p>
    <w:p w14:paraId="35DD361A">
      <w:pPr>
        <w:pStyle w:val="33"/>
        <w:rPr>
          <w:rFonts w:hint="eastAsia" w:ascii="宋体" w:hAnsi="宋体" w:eastAsia="宋体" w:cs="宋体"/>
          <w:color w:val="auto"/>
          <w:sz w:val="24"/>
          <w:szCs w:val="24"/>
          <w:lang w:eastAsia="zh-CN"/>
        </w:rPr>
      </w:pPr>
    </w:p>
    <w:p w14:paraId="462DEA8A">
      <w:pPr>
        <w:pStyle w:val="33"/>
        <w:rPr>
          <w:rFonts w:hint="eastAsia" w:ascii="宋体" w:hAnsi="宋体" w:eastAsia="宋体" w:cs="宋体"/>
          <w:color w:val="auto"/>
          <w:sz w:val="24"/>
          <w:szCs w:val="24"/>
          <w:lang w:eastAsia="zh-CN"/>
        </w:rPr>
      </w:pPr>
    </w:p>
    <w:p w14:paraId="73AAAB19">
      <w:pPr>
        <w:pStyle w:val="33"/>
        <w:rPr>
          <w:rFonts w:hint="eastAsia" w:ascii="宋体" w:hAnsi="宋体" w:eastAsia="宋体" w:cs="宋体"/>
          <w:color w:val="auto"/>
          <w:sz w:val="24"/>
          <w:szCs w:val="24"/>
          <w:lang w:eastAsia="zh-CN"/>
        </w:rPr>
      </w:pPr>
    </w:p>
    <w:p w14:paraId="110F3420">
      <w:pPr>
        <w:pStyle w:val="11"/>
        <w:rPr>
          <w:rFonts w:hint="eastAsia" w:ascii="宋体" w:hAnsi="宋体" w:eastAsia="宋体" w:cs="宋体"/>
          <w:color w:val="auto"/>
          <w:sz w:val="24"/>
          <w:szCs w:val="24"/>
          <w:lang w:eastAsia="zh-CN"/>
        </w:rPr>
      </w:pPr>
    </w:p>
    <w:p w14:paraId="48114E26">
      <w:pPr>
        <w:adjustRightInd w:val="0"/>
        <w:snapToGrid w:val="0"/>
        <w:spacing w:line="360" w:lineRule="auto"/>
        <w:ind w:left="420" w:leftChars="200"/>
        <w:jc w:val="center"/>
        <w:rPr>
          <w:rFonts w:hint="eastAsia" w:ascii="宋体" w:hAnsi="宋体" w:eastAsia="宋体" w:cs="宋体"/>
          <w:color w:val="auto"/>
          <w:sz w:val="32"/>
          <w:szCs w:val="32"/>
        </w:rPr>
      </w:pPr>
      <w:bookmarkStart w:id="270" w:name="_Toc28486"/>
      <w:r>
        <w:rPr>
          <w:rFonts w:hint="eastAsia" w:ascii="宋体" w:hAnsi="宋体" w:eastAsia="宋体" w:cs="宋体"/>
          <w:b/>
          <w:bCs/>
          <w:color w:val="auto"/>
          <w:kern w:val="2"/>
          <w:sz w:val="32"/>
          <w:szCs w:val="32"/>
          <w:lang w:val="zh-CN" w:eastAsia="zh-CN" w:bidi="ar-SA"/>
        </w:rPr>
        <w:t>三、费用组成明细表</w:t>
      </w:r>
      <w:bookmarkEnd w:id="270"/>
    </w:p>
    <w:p w14:paraId="0C27AAE2">
      <w:pPr>
        <w:pStyle w:val="23"/>
        <w:adjustRightInd w:val="0"/>
        <w:snapToGrid w:val="0"/>
        <w:spacing w:line="360" w:lineRule="auto"/>
        <w:ind w:firstLine="640" w:firstLineChars="200"/>
        <w:rPr>
          <w:rFonts w:hint="eastAsia" w:ascii="宋体" w:hAnsi="宋体" w:eastAsia="宋体" w:cs="宋体"/>
          <w:color w:val="auto"/>
          <w:sz w:val="32"/>
          <w:szCs w:val="32"/>
        </w:rPr>
      </w:pPr>
    </w:p>
    <w:p w14:paraId="03A0FA2D">
      <w:pPr>
        <w:pStyle w:val="23"/>
        <w:adjustRightInd w:val="0"/>
        <w:snapToGrid w:val="0"/>
        <w:spacing w:line="360" w:lineRule="auto"/>
        <w:ind w:firstLine="480" w:firstLineChars="200"/>
        <w:jc w:val="left"/>
        <w:rPr>
          <w:rFonts w:hint="eastAsia" w:ascii="宋体" w:hAnsi="宋体" w:eastAsia="宋体" w:cs="宋体"/>
          <w:b/>
          <w:color w:val="auto"/>
          <w:sz w:val="44"/>
          <w:szCs w:val="44"/>
        </w:rPr>
      </w:pPr>
      <w:r>
        <w:rPr>
          <w:rFonts w:hint="eastAsia" w:ascii="宋体" w:hAnsi="宋体" w:eastAsia="宋体" w:cs="宋体"/>
          <w:color w:val="auto"/>
          <w:kern w:val="2"/>
          <w:sz w:val="24"/>
          <w:szCs w:val="24"/>
          <w:lang w:val="en-US" w:eastAsia="zh-CN" w:bidi="ar-SA"/>
        </w:rPr>
        <w:t>说明：对磋商报价组成进行详细说明，各供应商自行填写。最终磋商报价后，各供应商提供的费用组成明细表中各项报价执行同比例下浮原则。</w:t>
      </w:r>
    </w:p>
    <w:p w14:paraId="479EAE57">
      <w:pPr>
        <w:spacing w:line="360" w:lineRule="auto"/>
        <w:rPr>
          <w:rFonts w:hint="eastAsia" w:ascii="宋体" w:hAnsi="宋体" w:eastAsia="宋体" w:cs="宋体"/>
          <w:color w:val="auto"/>
          <w:sz w:val="32"/>
          <w:szCs w:val="32"/>
        </w:rPr>
      </w:pPr>
    </w:p>
    <w:p w14:paraId="2A52ED3D">
      <w:pPr>
        <w:pStyle w:val="11"/>
        <w:rPr>
          <w:rFonts w:hint="eastAsia" w:ascii="宋体" w:hAnsi="宋体" w:eastAsia="宋体" w:cs="宋体"/>
          <w:color w:val="auto"/>
          <w:sz w:val="32"/>
          <w:szCs w:val="32"/>
        </w:rPr>
      </w:pPr>
    </w:p>
    <w:p w14:paraId="21D88F24">
      <w:pPr>
        <w:rPr>
          <w:rFonts w:hint="eastAsia" w:ascii="宋体" w:hAnsi="宋体" w:eastAsia="宋体" w:cs="宋体"/>
          <w:color w:val="auto"/>
          <w:sz w:val="32"/>
          <w:szCs w:val="32"/>
        </w:rPr>
      </w:pPr>
    </w:p>
    <w:p w14:paraId="639A90C2">
      <w:pPr>
        <w:pStyle w:val="11"/>
        <w:rPr>
          <w:rFonts w:hint="eastAsia" w:ascii="宋体" w:hAnsi="宋体" w:eastAsia="宋体" w:cs="宋体"/>
          <w:color w:val="auto"/>
          <w:sz w:val="32"/>
          <w:szCs w:val="32"/>
        </w:rPr>
      </w:pPr>
    </w:p>
    <w:p w14:paraId="1B145A4A">
      <w:pPr>
        <w:rPr>
          <w:rFonts w:hint="eastAsia" w:ascii="宋体" w:hAnsi="宋体" w:eastAsia="宋体" w:cs="宋体"/>
          <w:color w:val="auto"/>
        </w:rPr>
      </w:pPr>
    </w:p>
    <w:p w14:paraId="0B832132">
      <w:pPr>
        <w:spacing w:line="360" w:lineRule="auto"/>
        <w:ind w:firstLine="2560" w:firstLineChars="800"/>
        <w:rPr>
          <w:rFonts w:hint="eastAsia" w:ascii="宋体" w:hAnsi="宋体" w:eastAsia="宋体" w:cs="宋体"/>
          <w:color w:val="auto"/>
          <w:sz w:val="32"/>
        </w:rPr>
      </w:pPr>
    </w:p>
    <w:p w14:paraId="217960F6">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101471">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CC37810">
      <w:pPr>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6690450">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7E042C3B">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5EB3A3BA">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6D9F7817">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194C9224">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4425E7D5">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7FD7D124">
      <w:pPr>
        <w:pStyle w:val="11"/>
        <w:rPr>
          <w:rFonts w:hint="eastAsia" w:ascii="宋体" w:hAnsi="宋体" w:eastAsia="宋体" w:cs="宋体"/>
          <w:b/>
          <w:bCs/>
          <w:color w:val="auto"/>
          <w:kern w:val="2"/>
          <w:sz w:val="32"/>
          <w:szCs w:val="32"/>
          <w:lang w:val="en-US" w:eastAsia="zh-CN" w:bidi="ar-SA"/>
        </w:rPr>
      </w:pPr>
    </w:p>
    <w:p w14:paraId="352D7DB4">
      <w:pPr>
        <w:rPr>
          <w:rFonts w:hint="eastAsia" w:ascii="宋体" w:hAnsi="宋体" w:eastAsia="宋体" w:cs="宋体"/>
          <w:color w:val="auto"/>
          <w:lang w:val="en-US" w:eastAsia="zh-CN"/>
        </w:rPr>
      </w:pPr>
    </w:p>
    <w:p w14:paraId="0355CBD7">
      <w:pPr>
        <w:autoSpaceDE w:val="0"/>
        <w:autoSpaceDN w:val="0"/>
        <w:adjustRightInd w:val="0"/>
        <w:spacing w:line="360" w:lineRule="auto"/>
        <w:jc w:val="center"/>
        <w:rPr>
          <w:rFonts w:hint="eastAsia" w:ascii="宋体" w:hAnsi="宋体" w:eastAsia="宋体" w:cs="宋体"/>
          <w:b/>
          <w:bCs/>
          <w:color w:val="auto"/>
          <w:kern w:val="2"/>
          <w:sz w:val="32"/>
          <w:szCs w:val="32"/>
          <w:lang w:val="en-US" w:eastAsia="zh-CN" w:bidi="ar-SA"/>
        </w:rPr>
      </w:pPr>
    </w:p>
    <w:p w14:paraId="0D92A9EC">
      <w:pPr>
        <w:pStyle w:val="33"/>
        <w:rPr>
          <w:rFonts w:hint="eastAsia" w:ascii="宋体" w:hAnsi="宋体" w:eastAsia="宋体" w:cs="宋体"/>
          <w:b/>
          <w:bCs/>
          <w:color w:val="auto"/>
          <w:kern w:val="2"/>
          <w:sz w:val="32"/>
          <w:szCs w:val="32"/>
          <w:lang w:val="en-US" w:eastAsia="zh-CN" w:bidi="ar-SA"/>
        </w:rPr>
      </w:pPr>
    </w:p>
    <w:p w14:paraId="5ED978C1">
      <w:pPr>
        <w:pStyle w:val="33"/>
        <w:rPr>
          <w:rFonts w:hint="eastAsia" w:ascii="宋体" w:hAnsi="宋体" w:eastAsia="宋体" w:cs="宋体"/>
          <w:b/>
          <w:bCs/>
          <w:color w:val="auto"/>
          <w:kern w:val="2"/>
          <w:sz w:val="32"/>
          <w:szCs w:val="32"/>
          <w:lang w:val="en-US" w:eastAsia="zh-CN" w:bidi="ar-SA"/>
        </w:rPr>
      </w:pPr>
    </w:p>
    <w:p w14:paraId="75D870DC">
      <w:pPr>
        <w:pStyle w:val="33"/>
        <w:rPr>
          <w:rFonts w:hint="eastAsia" w:ascii="宋体" w:hAnsi="宋体" w:eastAsia="宋体" w:cs="宋体"/>
          <w:b/>
          <w:bCs/>
          <w:color w:val="auto"/>
          <w:kern w:val="2"/>
          <w:sz w:val="32"/>
          <w:szCs w:val="32"/>
          <w:lang w:val="en-US" w:eastAsia="zh-CN" w:bidi="ar-SA"/>
        </w:rPr>
      </w:pPr>
    </w:p>
    <w:p w14:paraId="6A637AAA">
      <w:pP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br w:type="page"/>
      </w:r>
    </w:p>
    <w:p w14:paraId="6FFC983E">
      <w:pPr>
        <w:autoSpaceDE w:val="0"/>
        <w:autoSpaceDN w:val="0"/>
        <w:adjustRightInd w:val="0"/>
        <w:spacing w:line="360" w:lineRule="auto"/>
        <w:jc w:val="center"/>
        <w:rPr>
          <w:rFonts w:hint="eastAsia" w:ascii="宋体" w:hAnsi="宋体" w:eastAsia="宋体" w:cs="宋体"/>
          <w:b/>
          <w:color w:val="auto"/>
          <w:sz w:val="44"/>
          <w:szCs w:val="44"/>
        </w:rPr>
      </w:pPr>
      <w:bookmarkStart w:id="271" w:name="OLE_LINK7"/>
      <w:r>
        <w:rPr>
          <w:rFonts w:hint="eastAsia" w:ascii="宋体" w:hAnsi="宋体" w:eastAsia="宋体" w:cs="宋体"/>
          <w:b/>
          <w:bCs/>
          <w:color w:val="auto"/>
          <w:kern w:val="2"/>
          <w:sz w:val="32"/>
          <w:szCs w:val="32"/>
          <w:lang w:val="en-US" w:eastAsia="zh-CN" w:bidi="ar-SA"/>
        </w:rPr>
        <w:t>四</w:t>
      </w:r>
      <w:r>
        <w:rPr>
          <w:rFonts w:hint="eastAsia" w:ascii="宋体" w:hAnsi="宋体" w:eastAsia="宋体" w:cs="宋体"/>
          <w:b/>
          <w:bCs/>
          <w:color w:val="auto"/>
          <w:kern w:val="2"/>
          <w:sz w:val="32"/>
          <w:szCs w:val="32"/>
          <w:lang w:val="zh-CN" w:eastAsia="zh-CN" w:bidi="ar-SA"/>
        </w:rPr>
        <w:t>、供应商资格证明文件</w:t>
      </w:r>
    </w:p>
    <w:p w14:paraId="509BD18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基本资格条件：符合《中华人民共和国政府采购法》第二十二条的规定</w:t>
      </w:r>
      <w:r>
        <w:rPr>
          <w:rFonts w:hint="eastAsia" w:ascii="宋体" w:hAnsi="宋体" w:eastAsia="宋体" w:cs="宋体"/>
          <w:color w:val="auto"/>
          <w:sz w:val="24"/>
          <w:szCs w:val="24"/>
        </w:rPr>
        <w:t>，并提供下列材料</w:t>
      </w:r>
      <w:r>
        <w:rPr>
          <w:rFonts w:hint="eastAsia" w:ascii="宋体" w:hAnsi="宋体" w:eastAsia="宋体" w:cs="宋体"/>
          <w:b w:val="0"/>
          <w:bCs w:val="0"/>
          <w:color w:val="auto"/>
          <w:sz w:val="24"/>
          <w:szCs w:val="24"/>
        </w:rPr>
        <w:t>：</w:t>
      </w:r>
    </w:p>
    <w:p w14:paraId="523D26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（1）提供供应商合法注册的法人或其他组织的营业执照等证明文件或自然人的身份证明；</w:t>
      </w:r>
    </w:p>
    <w:p w14:paraId="686CE58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提供具有</w:t>
      </w:r>
      <w:r>
        <w:rPr>
          <w:rFonts w:hint="eastAsia" w:ascii="宋体" w:hAnsi="宋体" w:eastAsia="宋体" w:cs="宋体"/>
          <w:color w:val="auto"/>
          <w:sz w:val="24"/>
          <w:szCs w:val="24"/>
          <w:lang w:val="en-US" w:eastAsia="zh-CN"/>
        </w:rPr>
        <w:t>经</w:t>
      </w:r>
      <w:r>
        <w:rPr>
          <w:rFonts w:hint="eastAsia" w:ascii="宋体" w:hAnsi="宋体" w:eastAsia="宋体" w:cs="宋体"/>
          <w:color w:val="auto"/>
          <w:sz w:val="24"/>
          <w:szCs w:val="24"/>
        </w:rPr>
        <w:t>审计资质单位出具的</w:t>
      </w:r>
      <w:r>
        <w:rPr>
          <w:rFonts w:hint="eastAsia" w:ascii="宋体" w:hAnsi="宋体" w:eastAsia="宋体" w:cs="宋体"/>
          <w:color w:val="auto"/>
          <w:sz w:val="24"/>
          <w:szCs w:val="24"/>
          <w:lang w:val="en-US" w:eastAsia="zh-CN"/>
        </w:rPr>
        <w:t>2024年度财务报告</w:t>
      </w:r>
      <w:r>
        <w:rPr>
          <w:rFonts w:hint="eastAsia" w:ascii="宋体" w:hAnsi="宋体" w:eastAsia="宋体" w:cs="宋体"/>
          <w:color w:val="auto"/>
          <w:sz w:val="24"/>
          <w:szCs w:val="24"/>
        </w:rPr>
        <w:t>或</w:t>
      </w:r>
      <w:r>
        <w:rPr>
          <w:rFonts w:hint="eastAsia" w:ascii="宋体" w:hAnsi="宋体" w:eastAsia="宋体" w:cs="宋体"/>
          <w:color w:val="auto"/>
          <w:sz w:val="24"/>
          <w:szCs w:val="24"/>
          <w:lang w:val="en-US" w:eastAsia="zh-CN"/>
        </w:rPr>
        <w:t>供应商开</w:t>
      </w:r>
      <w:r>
        <w:rPr>
          <w:rFonts w:hint="eastAsia" w:ascii="宋体" w:hAnsi="宋体" w:eastAsia="宋体" w:cs="宋体"/>
          <w:color w:val="auto"/>
          <w:sz w:val="24"/>
          <w:szCs w:val="24"/>
        </w:rPr>
        <w:t>户银行</w:t>
      </w:r>
      <w:r>
        <w:rPr>
          <w:rFonts w:hint="eastAsia" w:ascii="宋体" w:hAnsi="宋体" w:eastAsia="宋体" w:cs="宋体"/>
          <w:color w:val="auto"/>
          <w:sz w:val="24"/>
          <w:szCs w:val="24"/>
          <w:lang w:val="en-US" w:eastAsia="zh-CN"/>
        </w:rPr>
        <w:t>近6</w:t>
      </w:r>
      <w:r>
        <w:rPr>
          <w:rFonts w:hint="eastAsia" w:ascii="宋体" w:hAnsi="宋体" w:eastAsia="宋体" w:cs="宋体"/>
          <w:color w:val="auto"/>
          <w:sz w:val="24"/>
          <w:szCs w:val="24"/>
        </w:rPr>
        <w:t>个月内其出具的资信证明；</w:t>
      </w:r>
    </w:p>
    <w:p w14:paraId="24B6FB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（3）依法缴纳税收和社会保障资金：提供开标截止时间前6个月内任意时段已缴纳的纳税证明或完税证明（包含增值税、企业所得税至少一种）</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已缴存的社会保障资金缴费证明或参保证明；</w:t>
      </w:r>
    </w:p>
    <w:p w14:paraId="76622C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（4）提供具有履行本合同所必需的设备和专业技术能力的书面声明；</w:t>
      </w:r>
    </w:p>
    <w:p w14:paraId="06E3902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（5）提供参加政</w:t>
      </w:r>
      <w:r>
        <w:rPr>
          <w:rFonts w:hint="eastAsia" w:ascii="宋体" w:hAnsi="宋体" w:eastAsia="宋体" w:cs="宋体"/>
          <w:color w:val="auto"/>
          <w:sz w:val="24"/>
          <w:szCs w:val="24"/>
          <w:highlight w:val="none"/>
        </w:rPr>
        <w:t>府采购活动前3年内在经营活动中没有重大违法记录的书面声明。</w:t>
      </w:r>
    </w:p>
    <w:p w14:paraId="60ED3529">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lang w:val="zh-CN"/>
        </w:rPr>
        <w:t>落实政府采购政策需满足的资格要求：</w:t>
      </w:r>
    </w:p>
    <w:p w14:paraId="759739E5">
      <w:pPr>
        <w:pStyle w:val="46"/>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w:t>
      </w:r>
      <w:r>
        <w:rPr>
          <w:rFonts w:hint="eastAsia" w:ascii="宋体" w:hAnsi="宋体" w:eastAsia="宋体" w:cs="宋体"/>
          <w:color w:val="auto"/>
          <w:sz w:val="24"/>
          <w:szCs w:val="24"/>
          <w:lang w:val="en-US" w:eastAsia="zh-CN"/>
        </w:rPr>
        <w:t>(10)符合国务院有关部门根据企业从业人员、营业收入、资产总额等指标制定的中小企业划型标准（工信部联企业〔2011〕300号）；(11)国家统计局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0807E9A0">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78B7301A">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市委党校智慧校园软件项目建设</w:t>
      </w:r>
      <w:r>
        <w:rPr>
          <w:rFonts w:hint="eastAsia" w:ascii="宋体" w:hAnsi="宋体" w:eastAsia="宋体" w:cs="宋体"/>
          <w:color w:val="auto"/>
          <w:sz w:val="24"/>
          <w:szCs w:val="24"/>
        </w:rPr>
        <w:t>)特定资格要求如下:</w:t>
      </w:r>
    </w:p>
    <w:p w14:paraId="15FF90A1">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（1）法定代表人直接参加磋商的，须提供法定代表人身份证明(法定代表人身份证原件备查）；法定代表人授权代表参加磋商的，须提供法定代表人授权委托书(授权代表身份证原件备查）；</w:t>
      </w:r>
    </w:p>
    <w:p w14:paraId="5E1D419C">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（2）符合《财政部关于在政府采购活动中查询及使用信用记录有关问题的通知》（财库【2016】125号）文件中信用查询的要求。 </w:t>
      </w:r>
    </w:p>
    <w:p w14:paraId="012A40AF">
      <w:pPr>
        <w:pStyle w:val="4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（3）控股、管理关系：单位负责人为同一人或者存在控股、管理关系的不同供应商，不得同时参加本项目采购项目；</w:t>
      </w:r>
    </w:p>
    <w:p w14:paraId="2CD0B09C">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en-US" w:eastAsia="zh-CN"/>
        </w:rPr>
        <w:t>（4）联合体投标：本项目不接受联合体投标</w:t>
      </w:r>
    </w:p>
    <w:p w14:paraId="18E875B0">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采购代理机构将在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递交截止日当天资格审查阶段</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中国政府采购网（www.ccgp.gov.cn）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政府采购严重违法失信行为记录名单</w:t>
      </w:r>
      <w:r>
        <w:rPr>
          <w:rFonts w:hint="eastAsia" w:ascii="宋体" w:hAnsi="宋体" w:eastAsia="宋体" w:cs="宋体"/>
          <w:color w:val="auto"/>
          <w:kern w:val="0"/>
          <w:sz w:val="24"/>
          <w:szCs w:val="24"/>
          <w:highlight w:val="none"/>
          <w:lang w:eastAsia="zh-CN"/>
        </w:rPr>
        <w:t>栏和【</w:t>
      </w:r>
      <w:r>
        <w:rPr>
          <w:rFonts w:hint="eastAsia" w:ascii="宋体" w:hAnsi="宋体" w:eastAsia="宋体" w:cs="宋体"/>
          <w:color w:val="auto"/>
          <w:kern w:val="0"/>
          <w:sz w:val="24"/>
          <w:szCs w:val="24"/>
          <w:highlight w:val="none"/>
        </w:rPr>
        <w:t>信用中国”网站（www.creditchina.gov.cn）</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失信被执行人、重大税收违法失信主体</w:t>
      </w:r>
      <w:r>
        <w:rPr>
          <w:rFonts w:hint="eastAsia" w:ascii="宋体" w:hAnsi="宋体" w:eastAsia="宋体" w:cs="宋体"/>
          <w:color w:val="auto"/>
          <w:kern w:val="0"/>
          <w:sz w:val="24"/>
          <w:szCs w:val="24"/>
          <w:highlight w:val="none"/>
          <w:lang w:eastAsia="zh-CN"/>
        </w:rPr>
        <w:t>栏</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各供应商</w:t>
      </w:r>
      <w:r>
        <w:rPr>
          <w:rFonts w:hint="eastAsia" w:ascii="宋体" w:hAnsi="宋体" w:eastAsia="宋体" w:cs="宋体"/>
          <w:color w:val="auto"/>
          <w:kern w:val="0"/>
          <w:sz w:val="24"/>
          <w:szCs w:val="24"/>
          <w:highlight w:val="none"/>
        </w:rPr>
        <w:t>的信用情况进行查询，并将网页截图附在评审资料中（如相关失信记录已失效，</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需提供相关证明资料，若没有则此项不需要提供）。</w:t>
      </w:r>
    </w:p>
    <w:p w14:paraId="16C2D5AD">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备注</w:t>
      </w:r>
      <w:r>
        <w:rPr>
          <w:rFonts w:hint="eastAsia" w:ascii="宋体" w:hAnsi="宋体" w:eastAsia="宋体" w:cs="宋体"/>
          <w:b w:val="0"/>
          <w:bCs w:val="0"/>
          <w:color w:val="auto"/>
          <w:sz w:val="24"/>
          <w:szCs w:val="24"/>
        </w:rPr>
        <w:t>：</w:t>
      </w:r>
    </w:p>
    <w:p w14:paraId="67908B2B">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（1）以上为供应商必备资格要求，资格证明文件无效或缺项响应文件按无效</w:t>
      </w:r>
      <w:r>
        <w:rPr>
          <w:rFonts w:hint="eastAsia" w:ascii="宋体" w:hAnsi="宋体" w:eastAsia="宋体" w:cs="宋体"/>
          <w:b w:val="0"/>
          <w:bCs w:val="0"/>
          <w:color w:val="auto"/>
          <w:sz w:val="24"/>
          <w:szCs w:val="24"/>
          <w:highlight w:val="none"/>
        </w:rPr>
        <w:t>响应文件处理。</w:t>
      </w:r>
    </w:p>
    <w:p w14:paraId="3C434844">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highlight w:val="none"/>
        </w:rPr>
        <w:t>分支机构参与投标时，须提供分支机构</w:t>
      </w:r>
      <w:r>
        <w:rPr>
          <w:rFonts w:hint="eastAsia" w:ascii="宋体" w:hAnsi="宋体" w:eastAsia="宋体" w:cs="宋体"/>
          <w:b w:val="0"/>
          <w:bCs w:val="0"/>
          <w:color w:val="auto"/>
          <w:sz w:val="24"/>
          <w:szCs w:val="24"/>
          <w:highlight w:val="none"/>
          <w:lang w:eastAsia="zh-CN"/>
        </w:rPr>
        <w:t>符合</w:t>
      </w:r>
      <w:r>
        <w:rPr>
          <w:rFonts w:hint="eastAsia" w:ascii="宋体" w:hAnsi="宋体" w:eastAsia="宋体" w:cs="宋体"/>
          <w:b w:val="0"/>
          <w:bCs w:val="0"/>
          <w:color w:val="auto"/>
          <w:sz w:val="24"/>
          <w:szCs w:val="24"/>
          <w:highlight w:val="none"/>
        </w:rPr>
        <w:t>资格要求</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证明文件。</w:t>
      </w:r>
    </w:p>
    <w:p w14:paraId="7CF2F0C1">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书面声明、法定代表人身份证明和法定代表人授权委托书应按磋商文件给定的格式填写，响应文件中必须附原件，其他资格证明文件提供复印件并加盖供应商公章。</w:t>
      </w:r>
    </w:p>
    <w:p w14:paraId="43C17E37">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）依法免税或不需要缴纳社会保障资金的供</w:t>
      </w:r>
      <w:r>
        <w:rPr>
          <w:rFonts w:hint="eastAsia" w:ascii="宋体" w:hAnsi="宋体" w:eastAsia="宋体" w:cs="宋体"/>
          <w:b w:val="0"/>
          <w:bCs w:val="0"/>
          <w:color w:val="auto"/>
          <w:sz w:val="24"/>
          <w:szCs w:val="24"/>
        </w:rPr>
        <w:t>应商</w:t>
      </w:r>
      <w:r>
        <w:rPr>
          <w:rFonts w:hint="eastAsia" w:ascii="宋体" w:hAnsi="宋体" w:eastAsia="宋体" w:cs="宋体"/>
          <w:b w:val="0"/>
          <w:bCs w:val="0"/>
          <w:color w:val="auto"/>
          <w:sz w:val="24"/>
          <w:szCs w:val="24"/>
          <w:lang w:eastAsia="zh-CN"/>
        </w:rPr>
        <w:t>须</w:t>
      </w:r>
      <w:r>
        <w:rPr>
          <w:rFonts w:hint="eastAsia" w:ascii="宋体" w:hAnsi="宋体" w:eastAsia="宋体" w:cs="宋体"/>
          <w:b w:val="0"/>
          <w:bCs w:val="0"/>
          <w:color w:val="auto"/>
          <w:sz w:val="24"/>
          <w:szCs w:val="24"/>
        </w:rPr>
        <w:t>提供相应证明文件。</w:t>
      </w:r>
    </w:p>
    <w:p w14:paraId="0D931B2E">
      <w:pPr>
        <w:adjustRightInd w:val="0"/>
        <w:snapToGrid w:val="0"/>
        <w:spacing w:line="360" w:lineRule="auto"/>
        <w:rPr>
          <w:rFonts w:hint="eastAsia" w:ascii="宋体" w:hAnsi="宋体" w:eastAsia="宋体" w:cs="宋体"/>
          <w:b/>
          <w:color w:val="auto"/>
          <w:sz w:val="28"/>
          <w:szCs w:val="28"/>
        </w:rPr>
      </w:pPr>
    </w:p>
    <w:p w14:paraId="5EEF9677">
      <w:pPr>
        <w:adjustRightInd w:val="0"/>
        <w:snapToGrid w:val="0"/>
        <w:spacing w:line="360" w:lineRule="auto"/>
        <w:rPr>
          <w:rFonts w:hint="eastAsia" w:ascii="宋体" w:hAnsi="宋体" w:eastAsia="宋体" w:cs="宋体"/>
          <w:b/>
          <w:color w:val="auto"/>
          <w:sz w:val="28"/>
          <w:szCs w:val="28"/>
        </w:rPr>
      </w:pPr>
    </w:p>
    <w:p w14:paraId="5CB4BD6B">
      <w:pPr>
        <w:adjustRightInd w:val="0"/>
        <w:snapToGrid w:val="0"/>
        <w:spacing w:line="360" w:lineRule="auto"/>
        <w:rPr>
          <w:rFonts w:hint="eastAsia" w:ascii="宋体" w:hAnsi="宋体" w:eastAsia="宋体" w:cs="宋体"/>
          <w:b/>
          <w:color w:val="auto"/>
          <w:sz w:val="28"/>
          <w:szCs w:val="28"/>
        </w:rPr>
      </w:pPr>
    </w:p>
    <w:p w14:paraId="2F920665">
      <w:pPr>
        <w:adjustRightInd w:val="0"/>
        <w:snapToGrid w:val="0"/>
        <w:spacing w:line="360" w:lineRule="auto"/>
        <w:rPr>
          <w:rFonts w:hint="eastAsia" w:ascii="宋体" w:hAnsi="宋体" w:eastAsia="宋体" w:cs="宋体"/>
          <w:b/>
          <w:color w:val="auto"/>
          <w:sz w:val="28"/>
          <w:szCs w:val="28"/>
        </w:rPr>
      </w:pPr>
    </w:p>
    <w:p w14:paraId="4ED4ED87">
      <w:pPr>
        <w:pStyle w:val="33"/>
        <w:rPr>
          <w:rFonts w:hint="eastAsia" w:ascii="宋体" w:hAnsi="宋体" w:eastAsia="宋体" w:cs="宋体"/>
          <w:b/>
          <w:color w:val="auto"/>
          <w:sz w:val="28"/>
          <w:szCs w:val="28"/>
        </w:rPr>
      </w:pPr>
    </w:p>
    <w:p w14:paraId="65C6AD2E">
      <w:pPr>
        <w:pStyle w:val="33"/>
        <w:rPr>
          <w:rFonts w:hint="eastAsia" w:ascii="宋体" w:hAnsi="宋体" w:eastAsia="宋体" w:cs="宋体"/>
          <w:b/>
          <w:color w:val="auto"/>
          <w:sz w:val="28"/>
          <w:szCs w:val="28"/>
        </w:rPr>
      </w:pPr>
    </w:p>
    <w:p w14:paraId="123C996C">
      <w:pPr>
        <w:pStyle w:val="33"/>
        <w:rPr>
          <w:rFonts w:hint="eastAsia" w:ascii="宋体" w:hAnsi="宋体" w:eastAsia="宋体" w:cs="宋体"/>
          <w:b/>
          <w:color w:val="auto"/>
          <w:sz w:val="28"/>
          <w:szCs w:val="28"/>
        </w:rPr>
      </w:pPr>
    </w:p>
    <w:p w14:paraId="01E2CA79">
      <w:pPr>
        <w:pStyle w:val="33"/>
        <w:rPr>
          <w:rFonts w:hint="eastAsia" w:ascii="宋体" w:hAnsi="宋体" w:eastAsia="宋体" w:cs="宋体"/>
          <w:b/>
          <w:color w:val="auto"/>
          <w:sz w:val="28"/>
          <w:szCs w:val="28"/>
        </w:rPr>
      </w:pPr>
    </w:p>
    <w:p w14:paraId="2449BB04">
      <w:pPr>
        <w:pStyle w:val="33"/>
        <w:rPr>
          <w:rFonts w:hint="eastAsia" w:ascii="宋体" w:hAnsi="宋体" w:eastAsia="宋体" w:cs="宋体"/>
          <w:b/>
          <w:color w:val="auto"/>
          <w:sz w:val="28"/>
          <w:szCs w:val="28"/>
        </w:rPr>
      </w:pPr>
    </w:p>
    <w:p w14:paraId="093E281A">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附1：</w:t>
      </w:r>
    </w:p>
    <w:p w14:paraId="3BADED3C">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履行合同所必需的设备和专业技术能力的书面声明</w:t>
      </w:r>
    </w:p>
    <w:p w14:paraId="720EB0F7">
      <w:pPr>
        <w:spacing w:line="360" w:lineRule="auto"/>
        <w:rPr>
          <w:rFonts w:hint="eastAsia" w:ascii="宋体" w:hAnsi="宋体" w:eastAsia="宋体" w:cs="宋体"/>
          <w:color w:val="auto"/>
          <w:spacing w:val="4"/>
          <w:sz w:val="24"/>
          <w:szCs w:val="24"/>
          <w:u w:val="single"/>
        </w:rPr>
      </w:pPr>
    </w:p>
    <w:p w14:paraId="716C39A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（采购人名称）：</w:t>
      </w:r>
    </w:p>
    <w:p w14:paraId="24E5E5C4">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u w:val="single"/>
        </w:rPr>
        <w:t xml:space="preserve">      （供应商名称）    </w:t>
      </w:r>
      <w:r>
        <w:rPr>
          <w:rFonts w:hint="eastAsia" w:ascii="宋体" w:hAnsi="宋体" w:eastAsia="宋体" w:cs="宋体"/>
          <w:color w:val="auto"/>
          <w:spacing w:val="4"/>
          <w:sz w:val="24"/>
          <w:szCs w:val="24"/>
        </w:rPr>
        <w:t xml:space="preserve"> 于</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日在中华人民共和国境内</w:t>
      </w:r>
      <w:r>
        <w:rPr>
          <w:rFonts w:hint="eastAsia" w:ascii="宋体" w:hAnsi="宋体" w:eastAsia="宋体" w:cs="宋体"/>
          <w:color w:val="auto"/>
          <w:spacing w:val="4"/>
          <w:sz w:val="24"/>
          <w:szCs w:val="24"/>
          <w:u w:val="single"/>
        </w:rPr>
        <w:t xml:space="preserve">               （详细注册地址）     </w:t>
      </w:r>
      <w:r>
        <w:rPr>
          <w:rFonts w:hint="eastAsia" w:ascii="宋体" w:hAnsi="宋体" w:eastAsia="宋体" w:cs="宋体"/>
          <w:color w:val="auto"/>
          <w:spacing w:val="4"/>
          <w:sz w:val="24"/>
          <w:szCs w:val="24"/>
        </w:rPr>
        <w:t>合法注册并经营，公司主营业务为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，营业（生产经营）面积为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 xml:space="preserve"> ，现有员工数量为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，本公司郑重承诺，具有履行本合同所必需的设备和专业技术能力。</w:t>
      </w:r>
      <w:r>
        <w:rPr>
          <w:rFonts w:hint="eastAsia" w:ascii="宋体" w:hAnsi="宋体" w:eastAsia="宋体" w:cs="宋体"/>
          <w:color w:val="auto"/>
          <w:sz w:val="24"/>
          <w:szCs w:val="24"/>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，我方将无条件地退出本项目的采购活动，并遵照《政府采购法》有关"提供虚假材料的规定"接受处罚。</w:t>
      </w:r>
    </w:p>
    <w:p w14:paraId="3E2306C8">
      <w:pPr>
        <w:pStyle w:val="16"/>
        <w:rPr>
          <w:rFonts w:hint="eastAsia" w:ascii="宋体" w:hAnsi="宋体" w:eastAsia="宋体" w:cs="宋体"/>
          <w:color w:val="auto"/>
          <w:lang w:eastAsia="zh-CN"/>
        </w:rPr>
      </w:pPr>
    </w:p>
    <w:p w14:paraId="2F328FBF">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7547B90">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46A1185">
      <w:pPr>
        <w:spacing w:line="360" w:lineRule="auto"/>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F562B6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6"/>
          <w:sz w:val="24"/>
          <w:szCs w:val="24"/>
          <w:lang w:eastAsia="zh-CN"/>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附2</w:t>
      </w:r>
      <w:r>
        <w:rPr>
          <w:rFonts w:hint="eastAsia" w:ascii="宋体" w:hAnsi="宋体" w:eastAsia="宋体" w:cs="宋体"/>
          <w:b/>
          <w:color w:val="auto"/>
          <w:sz w:val="24"/>
          <w:szCs w:val="24"/>
          <w:lang w:eastAsia="zh-CN"/>
        </w:rPr>
        <w:t>：</w:t>
      </w:r>
    </w:p>
    <w:p w14:paraId="6C446F1B">
      <w:pPr>
        <w:autoSpaceDE w:val="0"/>
        <w:autoSpaceDN w:val="0"/>
        <w:adjustRightIn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pacing w:val="-6"/>
          <w:sz w:val="24"/>
          <w:szCs w:val="24"/>
        </w:rPr>
        <w:t>参加政府采购活动前</w:t>
      </w:r>
      <w:r>
        <w:rPr>
          <w:rFonts w:hint="eastAsia" w:ascii="宋体" w:hAnsi="宋体" w:eastAsia="宋体" w:cs="宋体"/>
          <w:b/>
          <w:color w:val="auto"/>
          <w:spacing w:val="-6"/>
          <w:sz w:val="24"/>
          <w:szCs w:val="24"/>
          <w:lang w:val="en-US" w:eastAsia="zh-CN"/>
        </w:rPr>
        <w:t>3</w:t>
      </w:r>
      <w:r>
        <w:rPr>
          <w:rFonts w:hint="eastAsia" w:ascii="宋体" w:hAnsi="宋体" w:eastAsia="宋体" w:cs="宋体"/>
          <w:b/>
          <w:color w:val="auto"/>
          <w:spacing w:val="-6"/>
          <w:sz w:val="24"/>
          <w:szCs w:val="24"/>
        </w:rPr>
        <w:t>年内无重大违法记录的书面声明</w:t>
      </w:r>
    </w:p>
    <w:p w14:paraId="0EA54ABD">
      <w:pPr>
        <w:snapToGrid w:val="0"/>
        <w:spacing w:line="360" w:lineRule="auto"/>
        <w:ind w:firstLine="480" w:firstLineChars="200"/>
        <w:rPr>
          <w:rFonts w:hint="eastAsia" w:ascii="宋体" w:hAnsi="宋体" w:eastAsia="宋体" w:cs="宋体"/>
          <w:color w:val="auto"/>
          <w:sz w:val="24"/>
          <w:szCs w:val="24"/>
        </w:rPr>
      </w:pPr>
    </w:p>
    <w:p w14:paraId="5323E8A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 xml:space="preserve">     （采购人名称）    ：</w:t>
      </w:r>
    </w:p>
    <w:p w14:paraId="30A5E5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 xml:space="preserve"> 我方_______________（供应商名称）郑重声明在参加本次政府采购活动前3年内的经营活动没有重大违法记录。如</w:t>
      </w:r>
      <w:r>
        <w:rPr>
          <w:rFonts w:hint="eastAsia" w:ascii="宋体" w:hAnsi="宋体" w:eastAsia="宋体" w:cs="宋体"/>
          <w:color w:val="auto"/>
          <w:sz w:val="24"/>
          <w:szCs w:val="24"/>
          <w:highlight w:val="none"/>
        </w:rPr>
        <w:t>有虚假，我方将无条件地退出本项目的采购活动，并遵照</w:t>
      </w:r>
      <w:r>
        <w:rPr>
          <w:rFonts w:hint="eastAsia" w:ascii="宋体" w:hAnsi="宋体" w:eastAsia="宋体" w:cs="宋体"/>
          <w:color w:val="auto"/>
          <w:sz w:val="24"/>
          <w:szCs w:val="24"/>
        </w:rPr>
        <w:t>《中华人民共和国政府采购法》</w:t>
      </w:r>
      <w:r>
        <w:rPr>
          <w:rFonts w:hint="eastAsia" w:ascii="宋体" w:hAnsi="宋体" w:eastAsia="宋体" w:cs="宋体"/>
          <w:color w:val="auto"/>
          <w:sz w:val="24"/>
          <w:szCs w:val="24"/>
          <w:highlight w:val="none"/>
        </w:rPr>
        <w:t>有关"提供虚假材料的规定"接受处罚。</w:t>
      </w:r>
    </w:p>
    <w:p w14:paraId="6C75F6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14:paraId="1121BFF0">
      <w:pPr>
        <w:pStyle w:val="11"/>
        <w:rPr>
          <w:rFonts w:hint="eastAsia" w:ascii="宋体" w:hAnsi="宋体" w:eastAsia="宋体" w:cs="宋体"/>
          <w:color w:val="auto"/>
          <w:sz w:val="24"/>
          <w:szCs w:val="24"/>
          <w:highlight w:val="none"/>
        </w:rPr>
      </w:pPr>
    </w:p>
    <w:p w14:paraId="13136882">
      <w:pPr>
        <w:pStyle w:val="11"/>
        <w:rPr>
          <w:rFonts w:hint="eastAsia" w:ascii="宋体" w:hAnsi="宋体" w:eastAsia="宋体" w:cs="宋体"/>
          <w:color w:val="auto"/>
          <w:sz w:val="24"/>
          <w:szCs w:val="24"/>
          <w:highlight w:val="none"/>
        </w:rPr>
      </w:pPr>
    </w:p>
    <w:p w14:paraId="08276311">
      <w:pPr>
        <w:rPr>
          <w:rFonts w:hint="eastAsia" w:ascii="宋体" w:hAnsi="宋体" w:eastAsia="宋体" w:cs="宋体"/>
          <w:color w:val="auto"/>
          <w:sz w:val="24"/>
          <w:szCs w:val="24"/>
          <w:highlight w:val="none"/>
        </w:rPr>
      </w:pPr>
    </w:p>
    <w:p w14:paraId="67DF3CBB">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0F73BCCF">
      <w:pPr>
        <w:spacing w:line="360" w:lineRule="auto"/>
        <w:ind w:firstLine="2160" w:firstLineChars="900"/>
        <w:rPr>
          <w:rFonts w:hint="eastAsia" w:ascii="宋体" w:hAnsi="宋体" w:eastAsia="宋体" w:cs="宋体"/>
          <w:color w:val="auto"/>
          <w:sz w:val="24"/>
          <w:szCs w:val="24"/>
          <w:highlight w:val="none"/>
        </w:rPr>
      </w:pPr>
      <w:bookmarkStart w:id="272" w:name="_Toc495681260"/>
      <w:bookmarkStart w:id="273" w:name="_Toc495681541"/>
      <w:bookmarkStart w:id="274" w:name="_Toc495909105"/>
      <w:bookmarkStart w:id="275" w:name="_Toc495671271"/>
      <w:bookmarkStart w:id="276" w:name="_Toc495908056"/>
      <w:bookmarkStart w:id="277" w:name="_Toc495681414"/>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C75983">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法定代表人或授权代表（</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E07D8B8">
      <w:pPr>
        <w:spacing w:line="360" w:lineRule="auto"/>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18204CC">
      <w:pPr>
        <w:adjustRightInd w:val="0"/>
        <w:snapToGrid w:val="0"/>
        <w:spacing w:line="360" w:lineRule="auto"/>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br w:type="page"/>
      </w:r>
      <w:r>
        <w:rPr>
          <w:rFonts w:hint="eastAsia" w:ascii="宋体" w:hAnsi="宋体" w:eastAsia="宋体" w:cs="宋体"/>
          <w:b/>
          <w:color w:val="auto"/>
          <w:sz w:val="24"/>
          <w:szCs w:val="24"/>
          <w:lang w:eastAsia="zh-CN"/>
        </w:rPr>
        <w:t>附</w:t>
      </w:r>
      <w:r>
        <w:rPr>
          <w:rFonts w:hint="eastAsia" w:ascii="宋体" w:hAnsi="宋体" w:eastAsia="宋体" w:cs="宋体"/>
          <w:b/>
          <w:color w:val="auto"/>
          <w:sz w:val="24"/>
          <w:szCs w:val="24"/>
          <w:lang w:val="en-US" w:eastAsia="zh-CN"/>
        </w:rPr>
        <w:t>3：</w:t>
      </w:r>
    </w:p>
    <w:p w14:paraId="55539D79">
      <w:pPr>
        <w:adjustRightInd w:val="0"/>
        <w:snapToGrid w:val="0"/>
        <w:spacing w:line="360" w:lineRule="auto"/>
        <w:jc w:val="center"/>
        <w:rPr>
          <w:rFonts w:hint="eastAsia" w:ascii="宋体" w:hAnsi="宋体" w:eastAsia="宋体" w:cs="宋体"/>
          <w:color w:val="auto"/>
          <w:sz w:val="28"/>
          <w:szCs w:val="28"/>
          <w:highlight w:val="none"/>
          <w:lang w:val="zh-CN"/>
        </w:rPr>
      </w:pPr>
      <w:r>
        <w:rPr>
          <w:rFonts w:hint="eastAsia" w:ascii="宋体" w:hAnsi="宋体" w:eastAsia="宋体" w:cs="宋体"/>
          <w:b/>
          <w:color w:val="auto"/>
          <w:spacing w:val="6"/>
          <w:sz w:val="24"/>
          <w:szCs w:val="24"/>
          <w:lang w:val="zh-CN"/>
        </w:rPr>
        <w:t>中小企业声明函（服务）</w:t>
      </w:r>
    </w:p>
    <w:p w14:paraId="1ED11039">
      <w:pPr>
        <w:spacing w:line="360" w:lineRule="auto"/>
        <w:ind w:firstLine="504" w:firstLineChars="200"/>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zh-CN"/>
        </w:rPr>
        <w:t>本公司（联合体）郑重声明，根据《政府采购促进中小企业发展管理办法》（财库﹝2020﹞46号）的规定，本公司（联合体）参加</w:t>
      </w:r>
      <w:r>
        <w:rPr>
          <w:rFonts w:hint="eastAsia" w:ascii="宋体" w:hAnsi="宋体" w:eastAsia="宋体" w:cs="宋体"/>
          <w:color w:val="auto"/>
          <w:spacing w:val="6"/>
          <w:sz w:val="24"/>
          <w:szCs w:val="24"/>
          <w:u w:val="single"/>
          <w:lang w:val="zh-CN"/>
        </w:rPr>
        <w:t>（单位名称）</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lang w:val="zh-CN"/>
        </w:rPr>
        <w:t>的</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u w:val="single"/>
          <w:lang w:val="zh-CN"/>
        </w:rPr>
        <w:t>（项目名称）</w:t>
      </w:r>
      <w:r>
        <w:rPr>
          <w:rFonts w:hint="eastAsia" w:ascii="宋体" w:hAnsi="宋体" w:eastAsia="宋体" w:cs="宋体"/>
          <w:color w:val="auto"/>
          <w:spacing w:val="6"/>
          <w:sz w:val="24"/>
          <w:szCs w:val="24"/>
          <w:lang w:val="zh-CN"/>
        </w:rPr>
        <w:t>采购活动，服务全部由符合政策要求的中小企业承接。相关企业（含联合体中的中小企业、签订分包意向协议的中小企业）的具体情况如下：</w:t>
      </w:r>
    </w:p>
    <w:p w14:paraId="4E58C136">
      <w:pPr>
        <w:spacing w:line="360" w:lineRule="auto"/>
        <w:ind w:firstLine="504" w:firstLineChars="200"/>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zh-CN"/>
        </w:rPr>
        <w:t>（标的名称）</w:t>
      </w:r>
      <w:r>
        <w:rPr>
          <w:rFonts w:hint="eastAsia" w:ascii="宋体" w:hAnsi="宋体" w:eastAsia="宋体" w:cs="宋体"/>
          <w:color w:val="auto"/>
          <w:spacing w:val="6"/>
          <w:sz w:val="24"/>
          <w:szCs w:val="24"/>
          <w:lang w:val="zh-CN"/>
        </w:rPr>
        <w:t>，属于</w:t>
      </w:r>
      <w:r>
        <w:rPr>
          <w:rFonts w:hint="eastAsia" w:ascii="宋体" w:hAnsi="宋体" w:eastAsia="宋体" w:cs="宋体"/>
          <w:color w:val="auto"/>
          <w:spacing w:val="6"/>
          <w:sz w:val="24"/>
          <w:szCs w:val="24"/>
          <w:u w:val="single"/>
          <w:lang w:val="zh-CN" w:eastAsia="zh-CN"/>
        </w:rPr>
        <w:t>软件和信息技术服务业</w:t>
      </w:r>
      <w:r>
        <w:rPr>
          <w:rFonts w:hint="eastAsia" w:ascii="宋体" w:hAnsi="宋体" w:eastAsia="宋体" w:cs="宋体"/>
          <w:color w:val="auto"/>
          <w:spacing w:val="6"/>
          <w:sz w:val="24"/>
          <w:szCs w:val="24"/>
          <w:u w:val="none"/>
          <w:lang w:val="en-US" w:eastAsia="zh-CN"/>
        </w:rPr>
        <w:t>，</w:t>
      </w:r>
      <w:r>
        <w:rPr>
          <w:rFonts w:hint="eastAsia" w:ascii="宋体" w:hAnsi="宋体" w:eastAsia="宋体" w:cs="宋体"/>
          <w:color w:val="auto"/>
          <w:spacing w:val="6"/>
          <w:sz w:val="24"/>
          <w:szCs w:val="24"/>
          <w:lang w:val="zh-CN"/>
        </w:rPr>
        <w:t>承接企业为</w:t>
      </w:r>
      <w:r>
        <w:rPr>
          <w:rFonts w:hint="eastAsia" w:ascii="宋体" w:hAnsi="宋体" w:eastAsia="宋体" w:cs="宋体"/>
          <w:color w:val="auto"/>
          <w:spacing w:val="6"/>
          <w:sz w:val="24"/>
          <w:szCs w:val="24"/>
          <w:u w:val="single"/>
          <w:lang w:val="zh-CN"/>
        </w:rPr>
        <w:t>（企业名称）</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lang w:val="zh-CN"/>
        </w:rPr>
        <w:t>，从业人员</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lang w:val="zh-CN"/>
        </w:rPr>
        <w:t>人，营业收入为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lang w:val="zh-CN"/>
        </w:rPr>
        <w:t>万元，资产总额为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lang w:val="zh-CN"/>
        </w:rPr>
        <w:t>万元，属于</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lang w:val="zh-CN"/>
        </w:rPr>
        <w:t xml:space="preserve">中型企业、 小型企业、微型企业）； </w:t>
      </w:r>
    </w:p>
    <w:p w14:paraId="087ECF7D">
      <w:pPr>
        <w:spacing w:line="360" w:lineRule="auto"/>
        <w:ind w:firstLine="504" w:firstLineChars="200"/>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zh-CN"/>
        </w:rPr>
        <w:t>以上企业，不属于大企业的分支机构，不存在控股股东为大企业的情形，也不存在与大企业的负责人为同一人的情形。</w:t>
      </w:r>
    </w:p>
    <w:p w14:paraId="490B2528">
      <w:pPr>
        <w:spacing w:line="360" w:lineRule="auto"/>
        <w:ind w:firstLine="504" w:firstLineChars="200"/>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zh-CN"/>
        </w:rPr>
        <w:t xml:space="preserve">本企业对上述声明内容的真实性负责。如有虚假，将依法承担相应责任。 </w:t>
      </w:r>
    </w:p>
    <w:p w14:paraId="1B10A420">
      <w:pPr>
        <w:spacing w:line="360" w:lineRule="auto"/>
        <w:ind w:firstLine="504" w:firstLineChars="200"/>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p>
    <w:p w14:paraId="2709477E">
      <w:pPr>
        <w:spacing w:line="360" w:lineRule="auto"/>
        <w:ind w:firstLine="4536" w:firstLineChars="1800"/>
        <w:rPr>
          <w:rFonts w:hint="eastAsia" w:ascii="宋体" w:hAnsi="宋体" w:eastAsia="宋体" w:cs="宋体"/>
          <w:color w:val="auto"/>
          <w:spacing w:val="6"/>
          <w:sz w:val="24"/>
          <w:szCs w:val="24"/>
          <w:lang w:val="zh-CN"/>
        </w:rPr>
      </w:pPr>
      <w:r>
        <w:rPr>
          <w:rFonts w:hint="eastAsia" w:ascii="宋体" w:hAnsi="宋体" w:eastAsia="宋体" w:cs="宋体"/>
          <w:color w:val="auto"/>
          <w:spacing w:val="6"/>
          <w:sz w:val="24"/>
          <w:szCs w:val="24"/>
          <w:lang w:val="zh-CN"/>
        </w:rPr>
        <w:t xml:space="preserve">企业名称（盖章）： </w:t>
      </w:r>
    </w:p>
    <w:p w14:paraId="4DC59B0B">
      <w:pPr>
        <w:spacing w:line="360" w:lineRule="auto"/>
        <w:ind w:firstLine="504" w:firstLineChars="200"/>
        <w:jc w:val="left"/>
        <w:rPr>
          <w:rFonts w:hint="eastAsia" w:ascii="宋体" w:hAnsi="宋体" w:eastAsia="宋体" w:cs="宋体"/>
          <w:color w:val="auto"/>
          <w:spacing w:val="6"/>
          <w:sz w:val="24"/>
          <w:szCs w:val="24"/>
        </w:rPr>
        <w:sectPr>
          <w:footerReference r:id="rId7"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decimal" w:start="49"/>
          <w:cols w:space="720" w:num="1"/>
          <w:rtlGutter w:val="1"/>
          <w:docGrid w:linePitch="312" w:charSpace="0"/>
        </w:sect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lang w:val="zh-CN"/>
        </w:rPr>
        <w:t xml:space="preserve">日 </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zh-CN"/>
        </w:rPr>
        <w:t>期：</w:t>
      </w:r>
    </w:p>
    <w:p w14:paraId="618C875B">
      <w:pPr>
        <w:adjustRightInd w:val="0"/>
        <w:snapToGrid w:val="0"/>
        <w:spacing w:line="360" w:lineRule="auto"/>
        <w:jc w:val="center"/>
        <w:rPr>
          <w:rFonts w:hint="eastAsia" w:ascii="宋体" w:hAnsi="宋体" w:eastAsia="宋体" w:cs="宋体"/>
          <w:b/>
          <w:color w:val="auto"/>
          <w:spacing w:val="6"/>
          <w:sz w:val="24"/>
          <w:szCs w:val="24"/>
          <w:lang w:val="zh-CN"/>
        </w:rPr>
      </w:pPr>
    </w:p>
    <w:p w14:paraId="68C5AD19">
      <w:pPr>
        <w:adjustRightInd w:val="0"/>
        <w:snapToGrid w:val="0"/>
        <w:spacing w:line="360" w:lineRule="auto"/>
        <w:jc w:val="center"/>
        <w:rPr>
          <w:rFonts w:hint="eastAsia" w:ascii="宋体" w:hAnsi="宋体" w:eastAsia="宋体" w:cs="宋体"/>
          <w:b/>
          <w:color w:val="auto"/>
          <w:spacing w:val="6"/>
          <w:sz w:val="24"/>
          <w:szCs w:val="24"/>
          <w:lang w:val="zh-CN"/>
        </w:rPr>
      </w:pPr>
      <w:r>
        <w:rPr>
          <w:rFonts w:hint="eastAsia" w:ascii="宋体" w:hAnsi="宋体" w:eastAsia="宋体" w:cs="宋体"/>
          <w:b/>
          <w:color w:val="auto"/>
          <w:spacing w:val="6"/>
          <w:sz w:val="24"/>
          <w:szCs w:val="24"/>
          <w:lang w:val="zh-CN"/>
        </w:rPr>
        <w:t>残疾人福利性单位声明函（如适用）（格式）</w:t>
      </w:r>
    </w:p>
    <w:p w14:paraId="2D1559B4">
      <w:pPr>
        <w:spacing w:line="588" w:lineRule="exact"/>
        <w:rPr>
          <w:rFonts w:hint="eastAsia" w:ascii="宋体" w:hAnsi="宋体" w:eastAsia="宋体" w:cs="宋体"/>
          <w:b/>
          <w:color w:val="auto"/>
          <w:spacing w:val="6"/>
          <w:sz w:val="24"/>
          <w:szCs w:val="24"/>
        </w:rPr>
      </w:pPr>
    </w:p>
    <w:p w14:paraId="50ADAE2A">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本单位郑重声明，根据《财政部民政部中国残疾人联合会关于促进残疾人就业政府采购政策的通知》（财库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14:paraId="020A891F">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50857BBC">
      <w:pPr>
        <w:spacing w:line="360" w:lineRule="auto"/>
        <w:ind w:firstLine="504" w:firstLineChars="200"/>
        <w:rPr>
          <w:rFonts w:hint="eastAsia" w:ascii="宋体" w:hAnsi="宋体" w:eastAsia="宋体" w:cs="宋体"/>
          <w:color w:val="auto"/>
          <w:spacing w:val="6"/>
          <w:sz w:val="24"/>
          <w:szCs w:val="24"/>
        </w:rPr>
      </w:pPr>
    </w:p>
    <w:p w14:paraId="5CF7A30B">
      <w:pPr>
        <w:spacing w:line="360" w:lineRule="auto"/>
        <w:ind w:firstLine="2016" w:firstLineChars="800"/>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名称（盖章）：</w:t>
      </w:r>
    </w:p>
    <w:p w14:paraId="36DEB9D5">
      <w:pPr>
        <w:tabs>
          <w:tab w:val="left" w:pos="4860"/>
        </w:tabs>
        <w:spacing w:line="360" w:lineRule="auto"/>
        <w:ind w:right="1560" w:firstLine="504" w:firstLineChars="20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                 日期：    年   月  日</w:t>
      </w:r>
    </w:p>
    <w:p w14:paraId="49195A20">
      <w:pPr>
        <w:adjustRightInd w:val="0"/>
        <w:snapToGrid w:val="0"/>
        <w:spacing w:line="360" w:lineRule="auto"/>
        <w:rPr>
          <w:rFonts w:hint="eastAsia" w:ascii="宋体" w:hAnsi="宋体" w:eastAsia="宋体" w:cs="宋体"/>
          <w:b/>
          <w:color w:val="auto"/>
          <w:sz w:val="24"/>
          <w:szCs w:val="24"/>
        </w:rPr>
      </w:pPr>
    </w:p>
    <w:p w14:paraId="679B8DC8">
      <w:pPr>
        <w:adjustRightInd w:val="0"/>
        <w:snapToGrid w:val="0"/>
        <w:spacing w:line="36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说明：未按上述要求提供、填写的，评审时不予以考虑。</w:t>
      </w:r>
    </w:p>
    <w:p w14:paraId="730B6B2A">
      <w:pPr>
        <w:pStyle w:val="40"/>
        <w:spacing w:line="400" w:lineRule="exact"/>
        <w:rPr>
          <w:rFonts w:hint="eastAsia" w:ascii="宋体" w:hAnsi="宋体" w:eastAsia="宋体" w:cs="宋体"/>
          <w:color w:val="auto"/>
          <w:sz w:val="24"/>
          <w:szCs w:val="24"/>
        </w:rPr>
      </w:pPr>
    </w:p>
    <w:p w14:paraId="5E4A92CF">
      <w:pPr>
        <w:pStyle w:val="40"/>
        <w:spacing w:line="400" w:lineRule="exact"/>
        <w:rPr>
          <w:rFonts w:hint="eastAsia" w:ascii="宋体" w:hAnsi="宋体" w:eastAsia="宋体" w:cs="宋体"/>
          <w:color w:val="auto"/>
          <w:sz w:val="24"/>
          <w:szCs w:val="24"/>
        </w:rPr>
      </w:pPr>
    </w:p>
    <w:p w14:paraId="27E9D246">
      <w:pPr>
        <w:spacing w:line="588" w:lineRule="exact"/>
        <w:jc w:val="center"/>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rPr>
        <w:br w:type="page"/>
      </w:r>
    </w:p>
    <w:p w14:paraId="110A2552">
      <w:pPr>
        <w:spacing w:line="588" w:lineRule="exact"/>
        <w:jc w:val="center"/>
        <w:rPr>
          <w:rFonts w:hint="eastAsia" w:ascii="宋体" w:hAnsi="宋体" w:eastAsia="宋体" w:cs="宋体"/>
          <w:b/>
          <w:color w:val="auto"/>
          <w:spacing w:val="6"/>
          <w:sz w:val="24"/>
          <w:szCs w:val="24"/>
        </w:rPr>
      </w:pPr>
      <w:r>
        <w:rPr>
          <w:rFonts w:hint="eastAsia" w:ascii="宋体" w:hAnsi="宋体" w:eastAsia="宋体" w:cs="宋体"/>
          <w:b/>
          <w:color w:val="auto"/>
          <w:spacing w:val="6"/>
          <w:sz w:val="24"/>
          <w:szCs w:val="24"/>
          <w:lang w:val="zh-CN"/>
        </w:rPr>
        <w:t>监狱、戒毒企业声明函（如适用）（格式）</w:t>
      </w:r>
    </w:p>
    <w:p w14:paraId="077F608C">
      <w:pPr>
        <w:pStyle w:val="16"/>
        <w:rPr>
          <w:rFonts w:hint="eastAsia" w:ascii="宋体" w:hAnsi="宋体" w:eastAsia="宋体" w:cs="宋体"/>
          <w:color w:val="auto"/>
          <w:sz w:val="24"/>
          <w:szCs w:val="24"/>
        </w:rPr>
      </w:pPr>
    </w:p>
    <w:p w14:paraId="7B47B319">
      <w:pPr>
        <w:spacing w:line="360" w:lineRule="auto"/>
        <w:ind w:firstLine="480"/>
        <w:rPr>
          <w:rFonts w:hint="eastAsia" w:ascii="宋体" w:hAnsi="宋体" w:eastAsia="宋体" w:cs="宋体"/>
          <w:color w:val="auto"/>
          <w:sz w:val="24"/>
          <w:szCs w:val="24"/>
        </w:rPr>
      </w:pPr>
    </w:p>
    <w:p w14:paraId="0630F33A">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本单位郑重声明，根据《财政部司法部关于政府采购支持监狱企业发展有关问题的通知》（财库〔2014〕68号）的规定，本单位为符合条件的监狱、戒毒企业，且本单位参加的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0E0ADFE5">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192D695F">
      <w:pPr>
        <w:spacing w:line="360" w:lineRule="auto"/>
        <w:ind w:firstLine="480"/>
        <w:rPr>
          <w:rFonts w:hint="eastAsia" w:ascii="宋体" w:hAnsi="宋体" w:eastAsia="宋体" w:cs="宋体"/>
          <w:color w:val="auto"/>
          <w:sz w:val="24"/>
          <w:szCs w:val="24"/>
        </w:rPr>
      </w:pPr>
    </w:p>
    <w:p w14:paraId="5E0705F7">
      <w:pPr>
        <w:spacing w:line="360" w:lineRule="auto"/>
        <w:ind w:firstLine="2016" w:firstLineChars="800"/>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名称（盖章）：</w:t>
      </w:r>
    </w:p>
    <w:p w14:paraId="0DC4A14F">
      <w:pPr>
        <w:tabs>
          <w:tab w:val="left" w:pos="4860"/>
        </w:tabs>
        <w:spacing w:line="360" w:lineRule="auto"/>
        <w:ind w:right="1560" w:firstLine="504" w:firstLineChars="200"/>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                 日期：    年   月  日</w:t>
      </w:r>
    </w:p>
    <w:p w14:paraId="7C7E0933">
      <w:pPr>
        <w:tabs>
          <w:tab w:val="left" w:pos="4860"/>
        </w:tabs>
        <w:spacing w:line="360" w:lineRule="auto"/>
        <w:ind w:right="1560" w:firstLine="480" w:firstLineChars="200"/>
        <w:jc w:val="center"/>
        <w:rPr>
          <w:rFonts w:hint="eastAsia" w:ascii="宋体" w:hAnsi="宋体" w:eastAsia="宋体" w:cs="宋体"/>
          <w:color w:val="auto"/>
          <w:sz w:val="24"/>
          <w:szCs w:val="24"/>
        </w:rPr>
      </w:pPr>
    </w:p>
    <w:p w14:paraId="12817EC0">
      <w:pPr>
        <w:pStyle w:val="16"/>
        <w:tabs>
          <w:tab w:val="center" w:pos="4140"/>
          <w:tab w:val="right" w:pos="8300"/>
          <w:tab w:val="clear" w:pos="4153"/>
          <w:tab w:val="clear" w:pos="8306"/>
        </w:tabs>
        <w:spacing w:line="56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备注：未按上述要求提供、填写的，评审时不予以考虑。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提供的《监狱、戒毒企业声明函》必须真实有效，</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应当提供由省级以上监狱管理局、戒毒管理局(含新疆生产建设兵团)出具的属于监狱企业的证明文件。</w:t>
      </w:r>
    </w:p>
    <w:p w14:paraId="059059B9">
      <w:pPr>
        <w:adjustRightInd w:val="0"/>
        <w:snapToGrid w:val="0"/>
        <w:spacing w:line="360" w:lineRule="auto"/>
        <w:rPr>
          <w:rFonts w:hint="eastAsia" w:ascii="宋体" w:hAnsi="宋体" w:eastAsia="宋体" w:cs="宋体"/>
          <w:color w:val="auto"/>
          <w:sz w:val="24"/>
          <w:szCs w:val="24"/>
          <w:lang w:val="zh-CN"/>
        </w:rPr>
      </w:pPr>
    </w:p>
    <w:bookmarkEnd w:id="272"/>
    <w:bookmarkEnd w:id="273"/>
    <w:bookmarkEnd w:id="274"/>
    <w:bookmarkEnd w:id="275"/>
    <w:bookmarkEnd w:id="276"/>
    <w:bookmarkEnd w:id="277"/>
    <w:p w14:paraId="3EAF6474">
      <w:pPr>
        <w:adjustRightInd w:val="0"/>
        <w:snapToGrid w:val="0"/>
        <w:spacing w:line="360" w:lineRule="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val="zh-CN"/>
        </w:rPr>
        <w:br w:type="page"/>
      </w:r>
      <w:r>
        <w:rPr>
          <w:rFonts w:hint="eastAsia" w:ascii="宋体" w:hAnsi="宋体" w:eastAsia="宋体" w:cs="宋体"/>
          <w:b/>
          <w:color w:val="auto"/>
          <w:sz w:val="24"/>
          <w:szCs w:val="24"/>
        </w:rPr>
        <w:t>附</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w:t>
      </w:r>
    </w:p>
    <w:p w14:paraId="56D054D2">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法定代表人身份证明/法定代表人授权</w:t>
      </w:r>
      <w:r>
        <w:rPr>
          <w:rFonts w:hint="eastAsia" w:ascii="宋体" w:hAnsi="宋体" w:eastAsia="宋体" w:cs="宋体"/>
          <w:b/>
          <w:color w:val="auto"/>
          <w:sz w:val="24"/>
          <w:szCs w:val="24"/>
          <w:lang w:val="en-US" w:eastAsia="zh-CN"/>
        </w:rPr>
        <w:t>委托</w:t>
      </w:r>
      <w:r>
        <w:rPr>
          <w:rFonts w:hint="eastAsia" w:ascii="宋体" w:hAnsi="宋体" w:eastAsia="宋体" w:cs="宋体"/>
          <w:b/>
          <w:color w:val="auto"/>
          <w:sz w:val="24"/>
          <w:szCs w:val="24"/>
        </w:rPr>
        <w:t>书</w:t>
      </w:r>
    </w:p>
    <w:p w14:paraId="64B8DD3A">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（1）法定代表人身份证明</w:t>
      </w:r>
    </w:p>
    <w:p w14:paraId="79E2E89A">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2F9DC8EC">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统一社会信用代码：</w:t>
      </w:r>
      <w:r>
        <w:rPr>
          <w:rFonts w:hint="eastAsia" w:ascii="宋体" w:hAnsi="宋体" w:eastAsia="宋体" w:cs="宋体"/>
          <w:color w:val="auto"/>
          <w:kern w:val="0"/>
          <w:sz w:val="24"/>
          <w:szCs w:val="24"/>
          <w:u w:val="single"/>
        </w:rPr>
        <w:t xml:space="preserve">                                  </w:t>
      </w:r>
    </w:p>
    <w:p w14:paraId="7D0D05B0">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07A683EE">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日；经营期限：</w:t>
      </w:r>
      <w:r>
        <w:rPr>
          <w:rFonts w:hint="eastAsia" w:ascii="宋体" w:hAnsi="宋体" w:eastAsia="宋体" w:cs="宋体"/>
          <w:color w:val="auto"/>
          <w:kern w:val="0"/>
          <w:sz w:val="24"/>
          <w:szCs w:val="24"/>
          <w:u w:val="single"/>
        </w:rPr>
        <w:t xml:space="preserve">                  </w:t>
      </w:r>
    </w:p>
    <w:p w14:paraId="6BD600FE">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2D116631">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名称）的法定代表人。</w:t>
      </w:r>
    </w:p>
    <w:p w14:paraId="1EBCDBAF">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54A55E9C">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tbl>
      <w:tblPr>
        <w:tblStyle w:val="25"/>
        <w:tblW w:w="0" w:type="auto"/>
        <w:jc w:val="center"/>
        <w:tblLayout w:type="fixed"/>
        <w:tblCellMar>
          <w:top w:w="0" w:type="dxa"/>
          <w:left w:w="108" w:type="dxa"/>
          <w:bottom w:w="0" w:type="dxa"/>
          <w:right w:w="108" w:type="dxa"/>
        </w:tblCellMar>
      </w:tblPr>
      <w:tblGrid>
        <w:gridCol w:w="4549"/>
      </w:tblGrid>
      <w:tr w14:paraId="1D6605A9">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6F98D9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法定代表人身份证复印件</w:t>
            </w:r>
          </w:p>
          <w:p w14:paraId="25C893B6">
            <w:pPr>
              <w:keepNext w:val="0"/>
              <w:keepLines w:val="0"/>
              <w:suppressLineNumbers w:val="0"/>
              <w:adjustRightInd w:val="0"/>
              <w:snapToGrid w:val="0"/>
              <w:spacing w:before="0" w:beforeAutospacing="0" w:after="0" w:afterAutospacing="0" w:line="348" w:lineRule="auto"/>
              <w:ind w:left="0" w:right="0"/>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（正反两面）</w:t>
            </w:r>
          </w:p>
        </w:tc>
      </w:tr>
    </w:tbl>
    <w:p w14:paraId="52024CA7">
      <w:pPr>
        <w:spacing w:line="360" w:lineRule="auto"/>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说明：仅限法定代表人参加磋商时提供。</w:t>
      </w:r>
    </w:p>
    <w:p w14:paraId="52578912">
      <w:pPr>
        <w:spacing w:line="360" w:lineRule="auto"/>
        <w:ind w:firstLine="1920" w:firstLineChars="8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F7F4042">
      <w:pPr>
        <w:adjustRightInd w:val="0"/>
        <w:snapToGrid w:val="0"/>
        <w:spacing w:line="360" w:lineRule="auto"/>
        <w:ind w:firstLine="1920" w:firstLineChars="800"/>
        <w:rPr>
          <w:rFonts w:hint="eastAsia" w:ascii="宋体" w:hAnsi="宋体" w:eastAsia="宋体" w:cs="宋体"/>
          <w:b/>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894EFAD">
      <w:pPr>
        <w:adjustRightInd w:val="0"/>
        <w:snapToGrid w:val="0"/>
        <w:spacing w:line="360" w:lineRule="auto"/>
        <w:jc w:val="center"/>
        <w:rPr>
          <w:rFonts w:hint="eastAsia" w:ascii="宋体" w:hAnsi="宋体" w:eastAsia="宋体" w:cs="宋体"/>
          <w:color w:val="auto"/>
          <w:sz w:val="24"/>
          <w:szCs w:val="24"/>
          <w:u w:val="single"/>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（2）法定代表人授权</w:t>
      </w:r>
      <w:r>
        <w:rPr>
          <w:rFonts w:hint="eastAsia" w:ascii="宋体" w:hAnsi="宋体" w:eastAsia="宋体" w:cs="宋体"/>
          <w:b/>
          <w:color w:val="auto"/>
          <w:sz w:val="24"/>
          <w:szCs w:val="24"/>
          <w:lang w:val="en-US" w:eastAsia="zh-CN"/>
        </w:rPr>
        <w:t>委托</w:t>
      </w:r>
      <w:r>
        <w:rPr>
          <w:rFonts w:hint="eastAsia" w:ascii="宋体" w:hAnsi="宋体" w:eastAsia="宋体" w:cs="宋体"/>
          <w:b/>
          <w:color w:val="auto"/>
          <w:sz w:val="24"/>
          <w:szCs w:val="24"/>
        </w:rPr>
        <w:t>书</w:t>
      </w:r>
    </w:p>
    <w:p w14:paraId="370E9DD9">
      <w:pP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（采购人名称）    ：</w:t>
      </w:r>
    </w:p>
    <w:p w14:paraId="4803FE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注册于</w:t>
      </w:r>
      <w:r>
        <w:rPr>
          <w:rFonts w:hint="eastAsia" w:ascii="宋体" w:hAnsi="宋体" w:eastAsia="宋体" w:cs="宋体"/>
          <w:color w:val="auto"/>
          <w:sz w:val="24"/>
          <w:szCs w:val="24"/>
          <w:u w:val="single"/>
          <w:lang w:val="zh-CN"/>
        </w:rPr>
        <w:t xml:space="preserve">      （工商行政管理局名称）</w:t>
      </w:r>
      <w:r>
        <w:rPr>
          <w:rFonts w:hint="eastAsia" w:ascii="宋体" w:hAnsi="宋体" w:eastAsia="宋体" w:cs="宋体"/>
          <w:color w:val="auto"/>
          <w:sz w:val="24"/>
          <w:szCs w:val="24"/>
          <w:lang w:val="zh-CN"/>
        </w:rPr>
        <w:t>之</w:t>
      </w:r>
      <w:r>
        <w:rPr>
          <w:rFonts w:hint="eastAsia" w:ascii="宋体" w:hAnsi="宋体" w:eastAsia="宋体" w:cs="宋体"/>
          <w:color w:val="auto"/>
          <w:sz w:val="24"/>
          <w:szCs w:val="24"/>
          <w:u w:val="single"/>
          <w:lang w:val="zh-CN"/>
        </w:rPr>
        <w:t xml:space="preserve">     （供应商全称）</w:t>
      </w:r>
      <w:r>
        <w:rPr>
          <w:rFonts w:hint="eastAsia" w:ascii="宋体" w:hAnsi="宋体" w:eastAsia="宋体" w:cs="宋体"/>
          <w:color w:val="auto"/>
          <w:sz w:val="24"/>
          <w:szCs w:val="24"/>
          <w:lang w:val="zh-CN"/>
        </w:rPr>
        <w:t>的法定代表人</w:t>
      </w:r>
      <w:r>
        <w:rPr>
          <w:rFonts w:hint="eastAsia" w:ascii="宋体" w:hAnsi="宋体" w:eastAsia="宋体" w:cs="宋体"/>
          <w:color w:val="auto"/>
          <w:sz w:val="24"/>
          <w:szCs w:val="24"/>
          <w:u w:val="single"/>
          <w:lang w:val="zh-CN"/>
        </w:rPr>
        <w:t xml:space="preserve">      （姓名）</w:t>
      </w:r>
      <w:r>
        <w:rPr>
          <w:rFonts w:hint="eastAsia" w:ascii="宋体" w:hAnsi="宋体" w:eastAsia="宋体" w:cs="宋体"/>
          <w:color w:val="auto"/>
          <w:sz w:val="24"/>
          <w:szCs w:val="24"/>
          <w:lang w:val="zh-CN"/>
        </w:rPr>
        <w:t>授权</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授权代表</w:t>
      </w:r>
      <w:r>
        <w:rPr>
          <w:rFonts w:hint="eastAsia" w:ascii="宋体" w:hAnsi="宋体" w:eastAsia="宋体" w:cs="宋体"/>
          <w:color w:val="auto"/>
          <w:sz w:val="24"/>
          <w:szCs w:val="24"/>
          <w:u w:val="single"/>
          <w:lang w:val="zh-CN"/>
        </w:rPr>
        <w:t>姓名）</w:t>
      </w:r>
      <w:r>
        <w:rPr>
          <w:rFonts w:hint="eastAsia" w:ascii="宋体" w:hAnsi="宋体" w:eastAsia="宋体" w:cs="宋体"/>
          <w:color w:val="auto"/>
          <w:sz w:val="24"/>
          <w:szCs w:val="24"/>
        </w:rPr>
        <w:t>为我方合法</w:t>
      </w:r>
      <w:r>
        <w:rPr>
          <w:rFonts w:hint="eastAsia" w:ascii="宋体" w:hAnsi="宋体" w:eastAsia="宋体" w:cs="宋体"/>
          <w:color w:val="auto"/>
          <w:sz w:val="24"/>
          <w:szCs w:val="24"/>
          <w:lang w:val="en-US" w:eastAsia="zh-CN"/>
        </w:rPr>
        <w:t>委托代理人</w:t>
      </w:r>
      <w:r>
        <w:rPr>
          <w:rFonts w:hint="eastAsia" w:ascii="宋体" w:hAnsi="宋体" w:eastAsia="宋体" w:cs="宋体"/>
          <w:color w:val="auto"/>
          <w:sz w:val="24"/>
          <w:szCs w:val="24"/>
        </w:rPr>
        <w:t>。代理人根据授权，以我方名义签署、澄清、说明、递交、撤回、修改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、签订合同和处理有关事宜，其法律后果由我方承担。</w:t>
      </w:r>
    </w:p>
    <w:p w14:paraId="0F543D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6299C258">
      <w:pPr>
        <w:autoSpaceDE w:val="0"/>
        <w:autoSpaceDN w:val="0"/>
        <w:adjustRightInd w:val="0"/>
        <w:spacing w:line="360" w:lineRule="auto"/>
        <w:ind w:firstLine="63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w:t>
      </w:r>
      <w:r>
        <w:rPr>
          <w:rFonts w:hint="eastAsia" w:ascii="宋体" w:hAnsi="宋体" w:eastAsia="宋体" w:cs="宋体"/>
          <w:color w:val="auto"/>
          <w:sz w:val="24"/>
          <w:szCs w:val="24"/>
          <w:highlight w:val="none"/>
        </w:rPr>
        <w:t>本授权</w:t>
      </w:r>
      <w:r>
        <w:rPr>
          <w:rFonts w:hint="eastAsia" w:ascii="宋体" w:hAnsi="宋体" w:eastAsia="宋体" w:cs="宋体"/>
          <w:color w:val="auto"/>
          <w:sz w:val="24"/>
          <w:szCs w:val="24"/>
          <w:highlight w:val="none"/>
          <w:lang w:eastAsia="zh-CN"/>
        </w:rPr>
        <w:t>委托</w:t>
      </w:r>
      <w:r>
        <w:rPr>
          <w:rFonts w:hint="eastAsia" w:ascii="宋体" w:hAnsi="宋体" w:eastAsia="宋体" w:cs="宋体"/>
          <w:color w:val="auto"/>
          <w:sz w:val="24"/>
          <w:szCs w:val="24"/>
          <w:highlight w:val="none"/>
        </w:rPr>
        <w:t>书</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签发之日起</w:t>
      </w:r>
      <w:r>
        <w:rPr>
          <w:rFonts w:hint="eastAsia" w:ascii="宋体" w:hAnsi="宋体" w:eastAsia="宋体" w:cs="宋体"/>
          <w:color w:val="auto"/>
          <w:sz w:val="24"/>
          <w:szCs w:val="24"/>
          <w:highlight w:val="none"/>
          <w:lang w:eastAsia="zh-CN"/>
        </w:rPr>
        <w:t>生效，授权委托书有效期自投标有效期</w:t>
      </w:r>
      <w:r>
        <w:rPr>
          <w:rFonts w:hint="eastAsia" w:ascii="宋体" w:hAnsi="宋体" w:eastAsia="宋体" w:cs="宋体"/>
          <w:color w:val="auto"/>
          <w:sz w:val="24"/>
          <w:szCs w:val="24"/>
          <w:highlight w:val="none"/>
          <w:lang w:val="en-US" w:eastAsia="zh-CN"/>
        </w:rPr>
        <w:t>届满之日起</w:t>
      </w:r>
      <w:r>
        <w:rPr>
          <w:rFonts w:hint="eastAsia" w:ascii="宋体" w:hAnsi="宋体" w:eastAsia="宋体" w:cs="宋体"/>
          <w:color w:val="auto"/>
          <w:sz w:val="24"/>
          <w:szCs w:val="24"/>
          <w:highlight w:val="none"/>
          <w:lang w:val="zh-CN"/>
        </w:rPr>
        <w:t>失效，仅限授权代表参加投标时提供。</w:t>
      </w:r>
    </w:p>
    <w:p w14:paraId="19678B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章）</w:t>
      </w:r>
    </w:p>
    <w:p w14:paraId="742BEF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818F8F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687E6F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授权代表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      字）</w:t>
      </w:r>
    </w:p>
    <w:p w14:paraId="52426997">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087FBA12">
      <w:pPr>
        <w:spacing w:line="360" w:lineRule="auto"/>
        <w:ind w:firstLine="4080" w:firstLineChars="17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5A22A02">
      <w:pPr>
        <w:numPr>
          <w:ins w:id="0" w:author="admin" w:date="2018-10-15T16:11:00Z"/>
        </w:numPr>
        <w:spacing w:line="480" w:lineRule="auto"/>
        <w:ind w:firstLine="420"/>
        <w:rPr>
          <w:rFonts w:hint="eastAsia" w:ascii="宋体" w:hAnsi="宋体" w:eastAsia="宋体" w:cs="宋体"/>
          <w:bCs/>
          <w:color w:val="auto"/>
          <w:sz w:val="24"/>
          <w:szCs w:val="24"/>
        </w:rPr>
      </w:pPr>
      <w:r>
        <w:rPr>
          <w:rFonts w:hint="eastAsia" w:ascii="宋体" w:hAnsi="宋体" w:eastAsia="宋体" w:cs="宋体"/>
          <w:bCs/>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30EC8">
                            <w:pPr>
                              <w:jc w:val="center"/>
                              <w:rPr>
                                <w:rFonts w:hint="eastAsia" w:ascii="黑体" w:eastAsia="黑体"/>
                                <w:sz w:val="32"/>
                                <w:szCs w:val="32"/>
                              </w:rPr>
                            </w:pPr>
                          </w:p>
                          <w:p w14:paraId="68B90FD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37A225E3">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60288;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75D30EC8">
                      <w:pPr>
                        <w:jc w:val="center"/>
                        <w:rPr>
                          <w:rFonts w:hint="eastAsia" w:ascii="黑体" w:eastAsia="黑体"/>
                          <w:sz w:val="32"/>
                          <w:szCs w:val="32"/>
                        </w:rPr>
                      </w:pPr>
                    </w:p>
                    <w:p w14:paraId="68B90FD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37A225E3">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宋体" w:hAnsi="宋体" w:eastAsia="宋体" w:cs="宋体"/>
          <w:bCs/>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C5E75">
                            <w:pPr>
                              <w:jc w:val="center"/>
                              <w:rPr>
                                <w:rFonts w:hint="eastAsia" w:ascii="黑体" w:eastAsia="黑体"/>
                                <w:sz w:val="32"/>
                                <w:szCs w:val="32"/>
                              </w:rPr>
                            </w:pPr>
                          </w:p>
                          <w:p w14:paraId="5404045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44F0818A">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1312;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635C5E75">
                      <w:pPr>
                        <w:jc w:val="center"/>
                        <w:rPr>
                          <w:rFonts w:hint="eastAsia" w:ascii="黑体" w:eastAsia="黑体"/>
                          <w:sz w:val="32"/>
                          <w:szCs w:val="32"/>
                        </w:rPr>
                      </w:pPr>
                    </w:p>
                    <w:p w14:paraId="5404045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44F0818A">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760A1B34">
      <w:pPr>
        <w:spacing w:line="480" w:lineRule="auto"/>
        <w:ind w:firstLine="420"/>
        <w:rPr>
          <w:rFonts w:hint="eastAsia" w:ascii="宋体" w:hAnsi="宋体" w:eastAsia="宋体" w:cs="宋体"/>
          <w:bCs/>
          <w:color w:val="auto"/>
          <w:sz w:val="24"/>
          <w:szCs w:val="24"/>
        </w:rPr>
      </w:pPr>
    </w:p>
    <w:p w14:paraId="33CAD054">
      <w:pPr>
        <w:spacing w:line="480" w:lineRule="auto"/>
        <w:ind w:firstLine="420"/>
        <w:rPr>
          <w:rFonts w:hint="eastAsia" w:ascii="宋体" w:hAnsi="宋体" w:eastAsia="宋体" w:cs="宋体"/>
          <w:bCs/>
          <w:color w:val="auto"/>
          <w:sz w:val="24"/>
          <w:szCs w:val="24"/>
        </w:rPr>
      </w:pPr>
    </w:p>
    <w:p w14:paraId="19FCEA87">
      <w:pPr>
        <w:adjustRightInd w:val="0"/>
        <w:snapToGrid w:val="0"/>
        <w:spacing w:line="360" w:lineRule="auto"/>
        <w:jc w:val="both"/>
        <w:rPr>
          <w:rFonts w:hint="eastAsia" w:ascii="宋体" w:hAnsi="宋体" w:eastAsia="宋体" w:cs="宋体"/>
          <w:color w:val="auto"/>
          <w:sz w:val="24"/>
          <w:szCs w:val="24"/>
          <w:lang w:val="en-US" w:eastAsia="zh-CN"/>
        </w:rPr>
      </w:pPr>
      <w:bookmarkStart w:id="278" w:name="_Toc15159"/>
      <w:bookmarkStart w:id="279" w:name="_Toc29876"/>
      <w:bookmarkStart w:id="280" w:name="_Toc14440"/>
      <w:r>
        <w:rPr>
          <w:rFonts w:hint="eastAsia" w:ascii="宋体" w:hAnsi="宋体" w:eastAsia="宋体" w:cs="宋体"/>
          <w:b/>
          <w:bCs/>
          <w:color w:val="auto"/>
          <w:kern w:val="2"/>
          <w:sz w:val="24"/>
          <w:szCs w:val="24"/>
          <w:lang w:val="zh-CN" w:eastAsia="zh-CN" w:bidi="ar-SA"/>
        </w:rPr>
        <w:br w:type="page"/>
      </w:r>
      <w:r>
        <w:rPr>
          <w:rFonts w:hint="eastAsia" w:ascii="宋体" w:hAnsi="宋体" w:eastAsia="宋体" w:cs="宋体"/>
          <w:b/>
          <w:color w:val="auto"/>
          <w:sz w:val="24"/>
          <w:szCs w:val="24"/>
        </w:rPr>
        <w:t>附</w:t>
      </w:r>
      <w:r>
        <w:rPr>
          <w:rFonts w:hint="eastAsia" w:ascii="宋体" w:hAnsi="宋体" w:eastAsia="宋体" w:cs="宋体"/>
          <w:b/>
          <w:color w:val="auto"/>
          <w:sz w:val="24"/>
          <w:szCs w:val="24"/>
          <w:lang w:val="en-US" w:eastAsia="zh-CN"/>
        </w:rPr>
        <w:t>5：</w:t>
      </w:r>
    </w:p>
    <w:p w14:paraId="2F346201">
      <w:pPr>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供应商关系关联</w:t>
      </w:r>
      <w:r>
        <w:rPr>
          <w:rFonts w:hint="eastAsia" w:ascii="宋体" w:hAnsi="宋体" w:eastAsia="宋体" w:cs="宋体"/>
          <w:b/>
          <w:bCs/>
          <w:color w:val="auto"/>
          <w:sz w:val="24"/>
          <w:szCs w:val="24"/>
          <w:highlight w:val="none"/>
          <w:lang w:eastAsia="zh-CN"/>
        </w:rPr>
        <w:t>声明</w:t>
      </w:r>
    </w:p>
    <w:p w14:paraId="46F167B2">
      <w:pPr>
        <w:spacing w:line="540" w:lineRule="exact"/>
        <w:ind w:right="-197"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74A9819B">
      <w:pPr>
        <w:spacing w:line="540" w:lineRule="exact"/>
        <w:ind w:right="-197" w:rightChars="-94"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eastAsia="zh-CN"/>
        </w:rPr>
        <w:t>单位作为</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的供应商，在此郑重声明</w:t>
      </w:r>
      <w:r>
        <w:rPr>
          <w:rFonts w:hint="eastAsia" w:ascii="宋体" w:hAnsi="宋体" w:eastAsia="宋体" w:cs="宋体"/>
          <w:color w:val="auto"/>
          <w:sz w:val="24"/>
          <w:szCs w:val="24"/>
          <w:highlight w:val="none"/>
          <w:lang w:eastAsia="zh-CN"/>
        </w:rPr>
        <w:t>：</w:t>
      </w:r>
    </w:p>
    <w:p w14:paraId="7F994664">
      <w:pPr>
        <w:spacing w:line="540" w:lineRule="exact"/>
        <w:ind w:right="-197" w:rightChars="-94"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一、在本次采购活动中</w:t>
      </w:r>
      <w:r>
        <w:rPr>
          <w:rFonts w:hint="eastAsia" w:ascii="宋体" w:hAnsi="宋体" w:eastAsia="宋体" w:cs="宋体"/>
          <w:color w:val="auto"/>
          <w:sz w:val="24"/>
          <w:szCs w:val="24"/>
          <w:highlight w:val="none"/>
          <w:u w:val="single"/>
          <w:lang w:eastAsia="zh-CN"/>
        </w:rPr>
        <w:t xml:space="preserve">   （填“存在”或“不存在”）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与参加本项目其它供应商负责人为同一人，或有控股、管理等关联关系。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847"/>
      </w:tblGrid>
      <w:tr w14:paraId="36F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76" w:type="dxa"/>
            <w:gridSpan w:val="2"/>
            <w:shd w:val="clear" w:color="auto" w:fill="EEECE1"/>
            <w:noWrap w:val="0"/>
            <w:vAlign w:val="center"/>
          </w:tcPr>
          <w:p w14:paraId="31D267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直接控股、管理关系证明</w:t>
            </w:r>
          </w:p>
        </w:tc>
      </w:tr>
      <w:tr w14:paraId="7D22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3D7C6D6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控股关系</w:t>
            </w:r>
          </w:p>
        </w:tc>
        <w:tc>
          <w:tcPr>
            <w:tcW w:w="7923" w:type="dxa"/>
            <w:noWrap w:val="0"/>
            <w:vAlign w:val="center"/>
          </w:tcPr>
          <w:p w14:paraId="480F9F3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我单位管理的具有独立法人的下属单位：</w:t>
            </w:r>
            <w:r>
              <w:rPr>
                <w:rFonts w:hint="eastAsia" w:ascii="宋体" w:hAnsi="宋体" w:eastAsia="宋体" w:cs="宋体"/>
                <w:color w:val="auto"/>
                <w:kern w:val="0"/>
                <w:sz w:val="24"/>
                <w:szCs w:val="24"/>
                <w:highlight w:val="none"/>
                <w:u w:val="single"/>
                <w:vertAlign w:val="baseline"/>
                <w:lang w:val="en-US" w:eastAsia="zh-CN" w:bidi="ar"/>
              </w:rPr>
              <w:t xml:space="preserve">      (没有填“无”)</w:t>
            </w:r>
            <w:r>
              <w:rPr>
                <w:rFonts w:hint="eastAsia" w:ascii="宋体" w:hAnsi="宋体" w:eastAsia="宋体" w:cs="宋体"/>
                <w:color w:val="auto"/>
                <w:kern w:val="0"/>
                <w:sz w:val="24"/>
                <w:szCs w:val="24"/>
                <w:highlight w:val="none"/>
                <w:vertAlign w:val="baseline"/>
                <w:lang w:val="en-US" w:eastAsia="zh-CN" w:bidi="ar"/>
              </w:rPr>
              <w:t>。</w:t>
            </w:r>
          </w:p>
          <w:p w14:paraId="5E436A6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我单位的上级管理单位：</w:t>
            </w:r>
            <w:r>
              <w:rPr>
                <w:rFonts w:hint="eastAsia" w:ascii="宋体" w:hAnsi="宋体" w:eastAsia="宋体" w:cs="宋体"/>
                <w:color w:val="auto"/>
                <w:kern w:val="0"/>
                <w:sz w:val="24"/>
                <w:szCs w:val="24"/>
                <w:highlight w:val="none"/>
                <w:u w:val="single"/>
                <w:vertAlign w:val="baseline"/>
                <w:lang w:val="en-US" w:eastAsia="zh-CN" w:bidi="ar"/>
              </w:rPr>
              <w:t xml:space="preserve">             (没有填“无”)</w:t>
            </w:r>
            <w:r>
              <w:rPr>
                <w:rFonts w:hint="eastAsia" w:ascii="宋体" w:hAnsi="宋体" w:eastAsia="宋体" w:cs="宋体"/>
                <w:color w:val="auto"/>
                <w:kern w:val="0"/>
                <w:sz w:val="24"/>
                <w:szCs w:val="24"/>
                <w:highlight w:val="none"/>
                <w:vertAlign w:val="baseline"/>
                <w:lang w:val="en-US" w:eastAsia="zh-CN" w:bidi="ar"/>
              </w:rPr>
              <w:t>。</w:t>
            </w:r>
          </w:p>
        </w:tc>
      </w:tr>
      <w:tr w14:paraId="56F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4F33F54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管理关系</w:t>
            </w:r>
          </w:p>
        </w:tc>
        <w:tc>
          <w:tcPr>
            <w:tcW w:w="7923" w:type="dxa"/>
            <w:noWrap w:val="0"/>
            <w:vAlign w:val="center"/>
          </w:tcPr>
          <w:p w14:paraId="09E0149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我单位控股的单位：</w:t>
            </w:r>
            <w:r>
              <w:rPr>
                <w:rFonts w:hint="eastAsia" w:ascii="宋体" w:hAnsi="宋体" w:eastAsia="宋体" w:cs="宋体"/>
                <w:color w:val="auto"/>
                <w:kern w:val="0"/>
                <w:sz w:val="24"/>
                <w:szCs w:val="24"/>
                <w:highlight w:val="none"/>
                <w:u w:val="single"/>
                <w:vertAlign w:val="baseline"/>
                <w:lang w:val="en-US" w:eastAsia="zh-CN" w:bidi="ar"/>
              </w:rPr>
              <w:t xml:space="preserve">          (没有填“无”) </w:t>
            </w:r>
            <w:r>
              <w:rPr>
                <w:rFonts w:hint="eastAsia" w:ascii="宋体" w:hAnsi="宋体" w:eastAsia="宋体" w:cs="宋体"/>
                <w:color w:val="auto"/>
                <w:kern w:val="0"/>
                <w:sz w:val="24"/>
                <w:szCs w:val="24"/>
                <w:highlight w:val="none"/>
                <w:vertAlign w:val="baseline"/>
                <w:lang w:val="en-US" w:eastAsia="zh-CN" w:bidi="ar"/>
              </w:rPr>
              <w:t>。</w:t>
            </w:r>
          </w:p>
          <w:p w14:paraId="593BDB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我单位被</w:t>
            </w:r>
            <w:r>
              <w:rPr>
                <w:rFonts w:hint="eastAsia" w:ascii="宋体" w:hAnsi="宋体" w:eastAsia="宋体" w:cs="宋体"/>
                <w:color w:val="auto"/>
                <w:kern w:val="0"/>
                <w:sz w:val="24"/>
                <w:szCs w:val="24"/>
                <w:highlight w:val="none"/>
                <w:u w:val="single"/>
                <w:vertAlign w:val="baseline"/>
                <w:lang w:val="en-US" w:eastAsia="zh-CN" w:bidi="ar"/>
              </w:rPr>
              <w:t xml:space="preserve">   （有填控股单位全称，没有填“/”）  </w:t>
            </w:r>
            <w:r>
              <w:rPr>
                <w:rFonts w:hint="eastAsia" w:ascii="宋体" w:hAnsi="宋体" w:eastAsia="宋体" w:cs="宋体"/>
                <w:color w:val="auto"/>
                <w:kern w:val="0"/>
                <w:sz w:val="24"/>
                <w:szCs w:val="24"/>
                <w:highlight w:val="none"/>
                <w:vertAlign w:val="baseline"/>
                <w:lang w:val="en-US" w:eastAsia="zh-CN" w:bidi="ar"/>
              </w:rPr>
              <w:t>单位控股。</w:t>
            </w:r>
          </w:p>
        </w:tc>
      </w:tr>
    </w:tbl>
    <w:p w14:paraId="227BDAC2">
      <w:pPr>
        <w:spacing w:line="540" w:lineRule="exact"/>
        <w:ind w:right="-197" w:rightChars="-94"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，我方将无条件地退出本项目的采购活动，并遵照《政府采购法》有关"提供虚假材料的规定"接受处罚。</w:t>
      </w:r>
    </w:p>
    <w:p w14:paraId="1AC77925">
      <w:pPr>
        <w:spacing w:line="540" w:lineRule="exact"/>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14:paraId="6169570A">
      <w:pPr>
        <w:spacing w:line="240" w:lineRule="auto"/>
        <w:ind w:firstLine="1920" w:firstLineChars="800"/>
        <w:rPr>
          <w:rFonts w:hint="eastAsia" w:ascii="宋体" w:hAnsi="宋体" w:eastAsia="宋体" w:cs="宋体"/>
          <w:color w:val="auto"/>
          <w:sz w:val="24"/>
          <w:szCs w:val="24"/>
          <w:highlight w:val="none"/>
        </w:rPr>
      </w:pPr>
    </w:p>
    <w:p w14:paraId="1803EB03">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1F7FF8">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法定代表人或授权代表（签字或盖章）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26997D9">
      <w:pPr>
        <w:spacing w:line="360" w:lineRule="auto"/>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AF4F8CE">
      <w:pPr>
        <w:keepNext w:val="0"/>
        <w:keepLines w:val="0"/>
        <w:widowControl/>
        <w:suppressLineNumbers w:val="0"/>
        <w:jc w:val="both"/>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sz w:val="24"/>
          <w:szCs w:val="24"/>
          <w:u w:val="single"/>
        </w:rPr>
        <w:br w:type="page"/>
      </w:r>
      <w:r>
        <w:rPr>
          <w:rFonts w:hint="eastAsia" w:ascii="宋体" w:hAnsi="宋体" w:eastAsia="宋体" w:cs="宋体"/>
          <w:b/>
          <w:color w:val="auto"/>
          <w:sz w:val="24"/>
          <w:szCs w:val="24"/>
        </w:rPr>
        <w:t>附</w:t>
      </w:r>
      <w:r>
        <w:rPr>
          <w:rFonts w:hint="eastAsia" w:ascii="宋体" w:hAnsi="宋体" w:eastAsia="宋体" w:cs="宋体"/>
          <w:b/>
          <w:color w:val="auto"/>
          <w:sz w:val="24"/>
          <w:szCs w:val="24"/>
          <w:lang w:val="en-US" w:eastAsia="zh-CN"/>
        </w:rPr>
        <w:t>6：</w:t>
      </w:r>
    </w:p>
    <w:p w14:paraId="1B171CE5">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非联合体不分包投标声明</w:t>
      </w:r>
    </w:p>
    <w:p w14:paraId="49505C4A">
      <w:pPr>
        <w:spacing w:line="540" w:lineRule="exact"/>
        <w:ind w:right="-197"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E00206E">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eastAsia="zh-CN"/>
        </w:rPr>
        <w:t>单位作为</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 xml:space="preserve">的供应商，在此郑重声明本项目为非联合体投标，本项目实施过程由本单位独立承担。 </w:t>
      </w:r>
    </w:p>
    <w:p w14:paraId="5F3A169C">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本单位对上述声明的真实性负责。如有虚假，将依法承担相应责任。 </w:t>
      </w:r>
    </w:p>
    <w:p w14:paraId="6A90882C">
      <w:pPr>
        <w:spacing w:line="360" w:lineRule="auto"/>
        <w:ind w:firstLine="2160" w:firstLineChars="900"/>
        <w:rPr>
          <w:rFonts w:hint="eastAsia" w:ascii="宋体" w:hAnsi="宋体" w:eastAsia="宋体" w:cs="宋体"/>
          <w:color w:val="auto"/>
          <w:sz w:val="24"/>
          <w:szCs w:val="24"/>
          <w:highlight w:val="none"/>
        </w:rPr>
      </w:pPr>
    </w:p>
    <w:p w14:paraId="4D40222B">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8D6167A">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法定代表人或授权代表（签字或盖章）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 xml:space="preserve">           </w:t>
      </w:r>
    </w:p>
    <w:p w14:paraId="717263D7">
      <w:pPr>
        <w:spacing w:line="360" w:lineRule="auto"/>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bookmarkEnd w:id="271"/>
    <w:p w14:paraId="69980829">
      <w:pPr>
        <w:autoSpaceDE w:val="0"/>
        <w:autoSpaceDN w:val="0"/>
        <w:adjustRightInd w:val="0"/>
        <w:spacing w:line="360" w:lineRule="auto"/>
        <w:ind w:firstLine="482" w:firstLineChars="200"/>
        <w:jc w:val="center"/>
        <w:outlineLvl w:val="9"/>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br w:type="page"/>
      </w:r>
      <w:r>
        <w:rPr>
          <w:rFonts w:hint="eastAsia" w:ascii="宋体" w:hAnsi="宋体" w:eastAsia="宋体" w:cs="宋体"/>
          <w:b/>
          <w:bCs/>
          <w:color w:val="auto"/>
          <w:kern w:val="2"/>
          <w:sz w:val="32"/>
          <w:szCs w:val="32"/>
          <w:lang w:val="zh-CN" w:eastAsia="zh-CN" w:bidi="ar-SA"/>
        </w:rPr>
        <w:t>五、</w:t>
      </w:r>
      <w:r>
        <w:rPr>
          <w:rFonts w:hint="eastAsia" w:ascii="宋体" w:hAnsi="宋体" w:eastAsia="宋体" w:cs="宋体"/>
          <w:b/>
          <w:bCs/>
          <w:color w:val="auto"/>
          <w:kern w:val="2"/>
          <w:sz w:val="32"/>
          <w:szCs w:val="32"/>
          <w:lang w:val="en-US" w:eastAsia="zh-CN" w:bidi="ar-SA"/>
        </w:rPr>
        <w:t>商务</w:t>
      </w:r>
      <w:r>
        <w:rPr>
          <w:rFonts w:hint="eastAsia" w:ascii="宋体" w:hAnsi="宋体" w:eastAsia="宋体" w:cs="宋体"/>
          <w:b/>
          <w:bCs/>
          <w:color w:val="auto"/>
          <w:kern w:val="2"/>
          <w:sz w:val="32"/>
          <w:szCs w:val="32"/>
          <w:lang w:val="zh-CN" w:eastAsia="zh-CN" w:bidi="ar-SA"/>
        </w:rPr>
        <w:t>条款偏离表</w:t>
      </w:r>
      <w:bookmarkEnd w:id="278"/>
      <w:bookmarkEnd w:id="279"/>
      <w:bookmarkEnd w:id="28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4186B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7EA847CB">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45" w:type="dxa"/>
            <w:noWrap w:val="0"/>
            <w:vAlign w:val="center"/>
          </w:tcPr>
          <w:p w14:paraId="6DE87FC3">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磋商文件</w:t>
            </w:r>
          </w:p>
          <w:p w14:paraId="1B803F13">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商务</w:t>
            </w:r>
            <w:r>
              <w:rPr>
                <w:rFonts w:hint="eastAsia" w:ascii="宋体" w:hAnsi="宋体" w:eastAsia="宋体" w:cs="宋体"/>
                <w:b/>
                <w:bCs/>
                <w:color w:val="auto"/>
                <w:sz w:val="24"/>
                <w:szCs w:val="24"/>
              </w:rPr>
              <w:t>条款要求</w:t>
            </w:r>
          </w:p>
        </w:tc>
        <w:tc>
          <w:tcPr>
            <w:tcW w:w="3140" w:type="dxa"/>
            <w:noWrap w:val="0"/>
            <w:vAlign w:val="center"/>
          </w:tcPr>
          <w:p w14:paraId="4C663010">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w:t>
            </w:r>
          </w:p>
          <w:p w14:paraId="30437655">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商务</w:t>
            </w:r>
            <w:r>
              <w:rPr>
                <w:rFonts w:hint="eastAsia" w:ascii="宋体" w:hAnsi="宋体" w:eastAsia="宋体" w:cs="宋体"/>
                <w:b/>
                <w:bCs/>
                <w:color w:val="auto"/>
                <w:sz w:val="24"/>
                <w:szCs w:val="24"/>
              </w:rPr>
              <w:t>条款响应</w:t>
            </w:r>
          </w:p>
        </w:tc>
        <w:tc>
          <w:tcPr>
            <w:tcW w:w="2519" w:type="dxa"/>
            <w:noWrap w:val="0"/>
            <w:vAlign w:val="center"/>
          </w:tcPr>
          <w:p w14:paraId="6FE235EB">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w:t>
            </w:r>
          </w:p>
          <w:p w14:paraId="438E0AD4">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及其影响</w:t>
            </w:r>
          </w:p>
        </w:tc>
      </w:tr>
      <w:tr w14:paraId="44AC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497CA1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79F9A7B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2AB9581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350FC527">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186B1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12F14C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0F64979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49CB50A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13AED703">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19D20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BB0807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33FE814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77D3C57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5831322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2671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A1AF80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4C49407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13FC5F3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27CA965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0ADFE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19922004">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24D05AB0">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2FD8FD3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5CF71B8D">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bl>
    <w:p w14:paraId="121A320C">
      <w:pPr>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6F10D73">
      <w:pPr>
        <w:numPr>
          <w:ins w:id="1" w:author="admin" w:date="2018-10-15T16:10:00Z"/>
        </w:numPr>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1、本表只填写响应文件中与磋商文件有偏离（包括正偏离和负偏离）的内容，响应文件中</w:t>
      </w: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条款响应与磋商文件要求完全一致的，不用在此表中列出，但必须提交空白表（需签字盖章）。</w:t>
      </w:r>
    </w:p>
    <w:p w14:paraId="3186FA1A">
      <w:pPr>
        <w:tabs>
          <w:tab w:val="left" w:pos="7665"/>
        </w:tabs>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2、供应商必须据实填写，不得虚假响应，否则将取消其磋商或成交资格，并按有关规定进处罚。</w:t>
      </w:r>
    </w:p>
    <w:p w14:paraId="7264FF9D">
      <w:pPr>
        <w:spacing w:line="360" w:lineRule="auto"/>
        <w:ind w:firstLine="1920" w:firstLineChars="800"/>
        <w:rPr>
          <w:rFonts w:hint="eastAsia" w:ascii="宋体" w:hAnsi="宋体" w:eastAsia="宋体" w:cs="宋体"/>
          <w:color w:val="auto"/>
          <w:sz w:val="24"/>
          <w:szCs w:val="24"/>
        </w:rPr>
      </w:pPr>
    </w:p>
    <w:p w14:paraId="54075A31">
      <w:pPr>
        <w:spacing w:line="360" w:lineRule="auto"/>
        <w:ind w:firstLine="1920" w:firstLineChars="800"/>
        <w:rPr>
          <w:rFonts w:hint="eastAsia" w:ascii="宋体" w:hAnsi="宋体" w:eastAsia="宋体" w:cs="宋体"/>
          <w:color w:val="auto"/>
          <w:sz w:val="24"/>
          <w:szCs w:val="24"/>
        </w:rPr>
      </w:pPr>
    </w:p>
    <w:p w14:paraId="5BB935C5">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8D91BED">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F15F96E">
      <w:pPr>
        <w:pStyle w:val="11"/>
        <w:ind w:firstLine="2160" w:firstLineChars="900"/>
        <w:jc w:val="both"/>
        <w:rPr>
          <w:rFonts w:hint="eastAsia" w:ascii="宋体" w:hAnsi="宋体" w:eastAsia="宋体" w:cs="宋体"/>
          <w:color w:val="auto"/>
          <w:sz w:val="28"/>
          <w:szCs w:val="28"/>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8"/>
          <w:szCs w:val="28"/>
          <w:u w:val="single"/>
        </w:rPr>
        <w:t xml:space="preserve">   </w:t>
      </w:r>
    </w:p>
    <w:p w14:paraId="0D372DB5">
      <w:pPr>
        <w:rPr>
          <w:rFonts w:hint="eastAsia" w:ascii="宋体" w:hAnsi="宋体" w:eastAsia="宋体" w:cs="宋体"/>
          <w:color w:val="auto"/>
          <w:sz w:val="28"/>
          <w:szCs w:val="28"/>
          <w:u w:val="single"/>
        </w:rPr>
      </w:pPr>
    </w:p>
    <w:p w14:paraId="5735B33C">
      <w:pPr>
        <w:pStyle w:val="11"/>
        <w:rPr>
          <w:rFonts w:hint="eastAsia" w:ascii="宋体" w:hAnsi="宋体" w:eastAsia="宋体" w:cs="宋体"/>
          <w:color w:val="auto"/>
          <w:sz w:val="28"/>
          <w:szCs w:val="28"/>
          <w:u w:val="single"/>
        </w:rPr>
      </w:pPr>
    </w:p>
    <w:p w14:paraId="4282D19E">
      <w:pPr>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br w:type="page"/>
      </w:r>
    </w:p>
    <w:p w14:paraId="2A3A50AC">
      <w:pPr>
        <w:autoSpaceDE w:val="0"/>
        <w:autoSpaceDN w:val="0"/>
        <w:adjustRightInd w:val="0"/>
        <w:spacing w:line="360" w:lineRule="auto"/>
        <w:ind w:firstLine="643" w:firstLineChars="200"/>
        <w:jc w:val="center"/>
        <w:outlineLvl w:val="9"/>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zh-CN" w:eastAsia="zh-CN" w:bidi="ar-SA"/>
        </w:rPr>
        <w:t>、</w:t>
      </w:r>
      <w:r>
        <w:rPr>
          <w:rFonts w:hint="eastAsia" w:ascii="宋体" w:hAnsi="宋体" w:eastAsia="宋体" w:cs="宋体"/>
          <w:b/>
          <w:bCs/>
          <w:color w:val="auto"/>
          <w:kern w:val="2"/>
          <w:sz w:val="32"/>
          <w:szCs w:val="32"/>
          <w:lang w:val="en-US" w:eastAsia="zh-CN" w:bidi="ar-SA"/>
        </w:rPr>
        <w:t>技术</w:t>
      </w:r>
      <w:r>
        <w:rPr>
          <w:rFonts w:hint="eastAsia" w:ascii="宋体" w:hAnsi="宋体" w:eastAsia="宋体" w:cs="宋体"/>
          <w:b/>
          <w:bCs/>
          <w:color w:val="auto"/>
          <w:kern w:val="2"/>
          <w:sz w:val="32"/>
          <w:szCs w:val="32"/>
          <w:lang w:val="zh-CN" w:eastAsia="zh-CN" w:bidi="ar-SA"/>
        </w:rPr>
        <w:t>条款偏离表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1AC45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39736D6D">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45" w:type="dxa"/>
            <w:noWrap w:val="0"/>
            <w:vAlign w:val="center"/>
          </w:tcPr>
          <w:p w14:paraId="440C962E">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磋商文件</w:t>
            </w:r>
          </w:p>
          <w:p w14:paraId="4277D78B">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w:t>
            </w:r>
            <w:r>
              <w:rPr>
                <w:rFonts w:hint="eastAsia" w:ascii="宋体" w:hAnsi="宋体" w:eastAsia="宋体" w:cs="宋体"/>
                <w:b/>
                <w:bCs/>
                <w:color w:val="auto"/>
                <w:sz w:val="24"/>
                <w:szCs w:val="24"/>
              </w:rPr>
              <w:t>条款要求</w:t>
            </w:r>
          </w:p>
        </w:tc>
        <w:tc>
          <w:tcPr>
            <w:tcW w:w="3140" w:type="dxa"/>
            <w:noWrap w:val="0"/>
            <w:vAlign w:val="center"/>
          </w:tcPr>
          <w:p w14:paraId="13A0C972">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w:t>
            </w:r>
          </w:p>
          <w:p w14:paraId="411DCDFD">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w:t>
            </w:r>
            <w:r>
              <w:rPr>
                <w:rFonts w:hint="eastAsia" w:ascii="宋体" w:hAnsi="宋体" w:eastAsia="宋体" w:cs="宋体"/>
                <w:b/>
                <w:bCs/>
                <w:color w:val="auto"/>
                <w:sz w:val="24"/>
                <w:szCs w:val="24"/>
              </w:rPr>
              <w:t>条款响应</w:t>
            </w:r>
          </w:p>
        </w:tc>
        <w:tc>
          <w:tcPr>
            <w:tcW w:w="2519" w:type="dxa"/>
            <w:noWrap w:val="0"/>
            <w:vAlign w:val="center"/>
          </w:tcPr>
          <w:p w14:paraId="48DB0DBF">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w:t>
            </w:r>
          </w:p>
          <w:p w14:paraId="097199C4">
            <w:pPr>
              <w:keepNext w:val="0"/>
              <w:keepLines w:val="0"/>
              <w:suppressLineNumbers w:val="0"/>
              <w:adjustRightInd w:val="0"/>
              <w:snapToGrid w:val="0"/>
              <w:spacing w:before="0" w:beforeAutospacing="0" w:after="0" w:afterAutospacing="0"/>
              <w:ind w:left="0" w:right="2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及其影响</w:t>
            </w:r>
          </w:p>
        </w:tc>
      </w:tr>
      <w:tr w14:paraId="5C506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C11D81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28C90E02">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0077D8B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55796D8B">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3E9F3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5B1B8796">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674A931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7A5AE42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78B6F80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429BC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8C8D1F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7632D8F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7642B749">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5FC1E5EF">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532D5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15FD2A1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4A0AD55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07A53C9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326E5B1C">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r w14:paraId="2F1F9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A0AFCA5">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745" w:type="dxa"/>
            <w:noWrap w:val="0"/>
            <w:vAlign w:val="top"/>
          </w:tcPr>
          <w:p w14:paraId="10D9AB9A">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3140" w:type="dxa"/>
            <w:noWrap w:val="0"/>
            <w:vAlign w:val="top"/>
          </w:tcPr>
          <w:p w14:paraId="2343BF68">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c>
          <w:tcPr>
            <w:tcW w:w="2519" w:type="dxa"/>
            <w:noWrap w:val="0"/>
            <w:vAlign w:val="top"/>
          </w:tcPr>
          <w:p w14:paraId="6A786DAE">
            <w:pPr>
              <w:keepNext w:val="0"/>
              <w:keepLines w:val="0"/>
              <w:suppressLineNumbers w:val="0"/>
              <w:adjustRightInd w:val="0"/>
              <w:snapToGrid w:val="0"/>
              <w:spacing w:before="0" w:beforeAutospacing="0" w:after="0" w:afterAutospacing="0" w:line="360" w:lineRule="auto"/>
              <w:ind w:left="0" w:right="24"/>
              <w:rPr>
                <w:rFonts w:hint="eastAsia" w:ascii="宋体" w:hAnsi="宋体" w:eastAsia="宋体" w:cs="宋体"/>
                <w:bCs/>
                <w:color w:val="auto"/>
                <w:sz w:val="24"/>
                <w:szCs w:val="24"/>
              </w:rPr>
            </w:pPr>
          </w:p>
        </w:tc>
      </w:tr>
    </w:tbl>
    <w:p w14:paraId="5375EED5">
      <w:pPr>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3A42C49">
      <w:pPr>
        <w:numPr>
          <w:ins w:id="2" w:author="admin" w:date="2018-10-15T16:10:00Z"/>
        </w:numPr>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1、本表只填写响应文件中与磋商文件有偏离（包括正偏离和负偏离）的内容，响应文件中</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条款响应与磋商文件要求完全一致的，不用在此表中列出，但必须提交空白表（需签字盖章）。</w:t>
      </w:r>
    </w:p>
    <w:p w14:paraId="4DD40DCB">
      <w:pPr>
        <w:tabs>
          <w:tab w:val="left" w:pos="7665"/>
        </w:tabs>
        <w:spacing w:line="540" w:lineRule="exact"/>
        <w:ind w:right="-197" w:rightChars="-9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2、供应商必须据实填写，不得虚假响应，否则将取消其磋商或成交资格，并按有关规定进处罚。</w:t>
      </w:r>
    </w:p>
    <w:p w14:paraId="5FCAE607">
      <w:pPr>
        <w:spacing w:line="360" w:lineRule="auto"/>
        <w:ind w:firstLine="1920" w:firstLineChars="800"/>
        <w:rPr>
          <w:rFonts w:hint="eastAsia" w:ascii="宋体" w:hAnsi="宋体" w:eastAsia="宋体" w:cs="宋体"/>
          <w:color w:val="auto"/>
          <w:sz w:val="24"/>
          <w:szCs w:val="24"/>
        </w:rPr>
      </w:pPr>
    </w:p>
    <w:p w14:paraId="7D8BF84F">
      <w:pPr>
        <w:spacing w:line="360" w:lineRule="auto"/>
        <w:ind w:firstLine="1920" w:firstLineChars="800"/>
        <w:rPr>
          <w:rFonts w:hint="eastAsia" w:ascii="宋体" w:hAnsi="宋体" w:eastAsia="宋体" w:cs="宋体"/>
          <w:color w:val="auto"/>
          <w:sz w:val="24"/>
          <w:szCs w:val="24"/>
        </w:rPr>
      </w:pPr>
    </w:p>
    <w:p w14:paraId="4BD5F4B9">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BAE76FA">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法定代表人或授权代表（签字或盖章）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95AC198">
      <w:pPr>
        <w:pStyle w:val="11"/>
        <w:ind w:firstLine="2160" w:firstLineChars="900"/>
        <w:jc w:val="both"/>
        <w:rPr>
          <w:rFonts w:hint="eastAsia" w:ascii="宋体" w:hAnsi="宋体" w:eastAsia="宋体" w:cs="宋体"/>
          <w:color w:val="auto"/>
          <w:sz w:val="28"/>
          <w:szCs w:val="28"/>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8"/>
          <w:szCs w:val="28"/>
          <w:u w:val="single"/>
        </w:rPr>
        <w:t xml:space="preserve">   </w:t>
      </w:r>
    </w:p>
    <w:p w14:paraId="16EAFF8F">
      <w:pPr>
        <w:rPr>
          <w:rFonts w:hint="eastAsia" w:ascii="宋体" w:hAnsi="宋体" w:eastAsia="宋体" w:cs="宋体"/>
          <w:color w:val="auto"/>
          <w:sz w:val="28"/>
          <w:szCs w:val="28"/>
          <w:u w:val="single"/>
        </w:rPr>
      </w:pPr>
    </w:p>
    <w:p w14:paraId="585ABA40">
      <w:pPr>
        <w:pStyle w:val="11"/>
        <w:rPr>
          <w:rFonts w:hint="eastAsia" w:ascii="宋体" w:hAnsi="宋体" w:eastAsia="宋体" w:cs="宋体"/>
          <w:color w:val="auto"/>
          <w:sz w:val="28"/>
          <w:szCs w:val="28"/>
          <w:u w:val="single"/>
        </w:rPr>
      </w:pPr>
    </w:p>
    <w:p w14:paraId="6D6873E3">
      <w:pPr>
        <w:rPr>
          <w:rFonts w:hint="eastAsia" w:ascii="宋体" w:hAnsi="宋体" w:eastAsia="宋体" w:cs="宋体"/>
          <w:color w:val="auto"/>
          <w:sz w:val="28"/>
          <w:szCs w:val="28"/>
          <w:u w:val="single"/>
        </w:rPr>
      </w:pPr>
    </w:p>
    <w:p w14:paraId="6B122A25">
      <w:pPr>
        <w:rPr>
          <w:rFonts w:hint="eastAsia" w:ascii="宋体" w:hAnsi="宋体" w:eastAsia="宋体" w:cs="宋体"/>
          <w:color w:val="auto"/>
          <w:sz w:val="28"/>
          <w:szCs w:val="28"/>
          <w:u w:val="single"/>
        </w:rPr>
      </w:pPr>
    </w:p>
    <w:p w14:paraId="36BCD8D6">
      <w:pPr>
        <w:pStyle w:val="11"/>
        <w:rPr>
          <w:rFonts w:hint="eastAsia" w:ascii="宋体" w:hAnsi="宋体" w:eastAsia="宋体" w:cs="宋体"/>
          <w:color w:val="auto"/>
          <w:sz w:val="28"/>
          <w:szCs w:val="28"/>
          <w:u w:val="single"/>
        </w:rPr>
      </w:pPr>
    </w:p>
    <w:p w14:paraId="05CEE3E4">
      <w:pPr>
        <w:pStyle w:val="41"/>
        <w:ind w:left="0" w:leftChars="0" w:firstLine="0" w:firstLineChars="0"/>
        <w:jc w:val="center"/>
        <w:rPr>
          <w:rFonts w:hint="eastAsia" w:ascii="宋体" w:hAnsi="宋体" w:eastAsia="宋体" w:cs="宋体"/>
          <w:b/>
          <w:bCs/>
          <w:color w:val="auto"/>
          <w:sz w:val="44"/>
          <w:szCs w:val="44"/>
        </w:rPr>
      </w:pPr>
      <w:bookmarkStart w:id="281" w:name="_Toc2876"/>
      <w:bookmarkStart w:id="282" w:name="_Toc511298215"/>
      <w:bookmarkStart w:id="283" w:name="_Toc495909094"/>
      <w:bookmarkStart w:id="284" w:name="_Toc495908045"/>
      <w:bookmarkStart w:id="285" w:name="_Toc495681403"/>
      <w:bookmarkStart w:id="286" w:name="_Toc495681249"/>
      <w:bookmarkStart w:id="287" w:name="_Toc495681530"/>
      <w:bookmarkStart w:id="288" w:name="_Toc23840"/>
      <w:r>
        <w:rPr>
          <w:rFonts w:hint="eastAsia" w:ascii="宋体" w:hAnsi="宋体" w:eastAsia="宋体" w:cs="宋体"/>
          <w:b/>
          <w:bCs/>
          <w:color w:val="auto"/>
          <w:kern w:val="2"/>
          <w:sz w:val="32"/>
          <w:szCs w:val="32"/>
          <w:lang w:val="en-US" w:eastAsia="zh-CN" w:bidi="ar-SA"/>
        </w:rPr>
        <w:t>七</w:t>
      </w:r>
      <w:r>
        <w:rPr>
          <w:rFonts w:hint="eastAsia" w:ascii="宋体" w:hAnsi="宋体" w:eastAsia="宋体" w:cs="宋体"/>
          <w:b/>
          <w:bCs/>
          <w:color w:val="auto"/>
          <w:kern w:val="2"/>
          <w:sz w:val="32"/>
          <w:szCs w:val="32"/>
          <w:lang w:val="zh-CN" w:eastAsia="zh-CN" w:bidi="ar-SA"/>
        </w:rPr>
        <w:t>、响应方案说明</w:t>
      </w:r>
      <w:bookmarkEnd w:id="281"/>
      <w:bookmarkEnd w:id="282"/>
    </w:p>
    <w:p w14:paraId="14719115">
      <w:pPr>
        <w:pStyle w:val="41"/>
        <w:ind w:firstLine="640"/>
        <w:rPr>
          <w:rFonts w:hint="eastAsia" w:ascii="宋体" w:hAnsi="宋体" w:eastAsia="宋体" w:cs="宋体"/>
          <w:color w:val="auto"/>
          <w:sz w:val="32"/>
          <w:szCs w:val="32"/>
        </w:rPr>
      </w:pPr>
    </w:p>
    <w:p w14:paraId="229B6BEB">
      <w:pPr>
        <w:pStyle w:val="41"/>
        <w:ind w:firstLine="640"/>
        <w:rPr>
          <w:rFonts w:hint="eastAsia" w:ascii="宋体" w:hAnsi="宋体" w:eastAsia="宋体" w:cs="宋体"/>
          <w:color w:val="auto"/>
          <w:sz w:val="24"/>
          <w:szCs w:val="24"/>
        </w:rPr>
      </w:pPr>
      <w:r>
        <w:rPr>
          <w:rFonts w:hint="eastAsia" w:ascii="宋体" w:hAnsi="宋体" w:eastAsia="宋体" w:cs="宋体"/>
          <w:color w:val="auto"/>
          <w:sz w:val="24"/>
          <w:szCs w:val="24"/>
        </w:rPr>
        <w:t>格式自定，参照磋商文件第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部分《评审方法和程序》各条款的要求，结合第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部分《采购内容及技术要求》编制响应方案。</w:t>
      </w:r>
    </w:p>
    <w:bookmarkEnd w:id="283"/>
    <w:bookmarkEnd w:id="284"/>
    <w:bookmarkEnd w:id="285"/>
    <w:bookmarkEnd w:id="286"/>
    <w:bookmarkEnd w:id="287"/>
    <w:p w14:paraId="08684D31">
      <w:pPr>
        <w:adjustRightInd w:val="0"/>
        <w:snapToGrid w:val="0"/>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28"/>
          <w:szCs w:val="28"/>
        </w:rPr>
        <w:br w:type="page"/>
      </w:r>
      <w:r>
        <w:rPr>
          <w:rFonts w:hint="eastAsia" w:ascii="宋体" w:hAnsi="宋体" w:eastAsia="宋体" w:cs="宋体"/>
          <w:b/>
          <w:bCs/>
          <w:color w:val="auto"/>
          <w:kern w:val="2"/>
          <w:sz w:val="32"/>
          <w:szCs w:val="32"/>
          <w:lang w:val="en-US" w:eastAsia="zh-CN" w:bidi="ar-SA"/>
        </w:rPr>
        <w:t>八</w:t>
      </w:r>
      <w:r>
        <w:rPr>
          <w:rFonts w:hint="eastAsia" w:ascii="宋体" w:hAnsi="宋体" w:eastAsia="宋体" w:cs="宋体"/>
          <w:b/>
          <w:bCs/>
          <w:color w:val="auto"/>
          <w:kern w:val="2"/>
          <w:sz w:val="32"/>
          <w:szCs w:val="32"/>
          <w:lang w:val="zh-CN" w:eastAsia="zh-CN" w:bidi="ar-SA"/>
        </w:rPr>
        <w:t>、业绩的有关证明材料</w:t>
      </w:r>
      <w:bookmarkEnd w:id="288"/>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3E5C1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3349AE4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885" w:type="dxa"/>
            <w:noWrap w:val="0"/>
            <w:vAlign w:val="center"/>
          </w:tcPr>
          <w:p w14:paraId="5048B15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w:t>
            </w:r>
          </w:p>
          <w:p w14:paraId="6E1392E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签订时间</w:t>
            </w:r>
          </w:p>
        </w:tc>
        <w:tc>
          <w:tcPr>
            <w:tcW w:w="2933" w:type="dxa"/>
            <w:noWrap w:val="0"/>
            <w:vAlign w:val="center"/>
          </w:tcPr>
          <w:p w14:paraId="1C1AEE0A">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用户名称</w:t>
            </w:r>
          </w:p>
        </w:tc>
        <w:tc>
          <w:tcPr>
            <w:tcW w:w="1710" w:type="dxa"/>
            <w:noWrap w:val="0"/>
            <w:vAlign w:val="center"/>
          </w:tcPr>
          <w:p w14:paraId="0EF18A7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710" w:type="dxa"/>
            <w:noWrap w:val="0"/>
            <w:vAlign w:val="center"/>
          </w:tcPr>
          <w:p w14:paraId="77D8B28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w:t>
            </w:r>
          </w:p>
          <w:p w14:paraId="3443E8B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金额</w:t>
            </w:r>
          </w:p>
        </w:tc>
      </w:tr>
      <w:tr w14:paraId="2A58C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3B9DA51A">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1D95CB76">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5751716A">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2459A3CC">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3FD64C91">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28779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57DA6CA">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36335B68">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3B7E8F18">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5F7A32E5">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73C2C362">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68250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914F71B">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777A11C9">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1D78397C">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6334F5E9">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60888DAB">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719D3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22F36BD7">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21830A8E">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468662CB">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533E2510">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575BD855">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3C07E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8166F32">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2526383B">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4C0728DE">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1A5C48F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3F11506C">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0FF1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C9016B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732F3900">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75B6E0C7">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5C2AC062">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7BA5C372">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5D896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5566224">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038F0EB9">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01DEF12B">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36128BC6">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7E152C27">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r w14:paraId="4E1E6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013E199">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885" w:type="dxa"/>
            <w:noWrap w:val="0"/>
            <w:vAlign w:val="top"/>
          </w:tcPr>
          <w:p w14:paraId="078C54D7">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2933" w:type="dxa"/>
            <w:noWrap w:val="0"/>
            <w:vAlign w:val="top"/>
          </w:tcPr>
          <w:p w14:paraId="7E896E53">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0D4A1DCA">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c>
          <w:tcPr>
            <w:tcW w:w="1710" w:type="dxa"/>
            <w:noWrap w:val="0"/>
            <w:vAlign w:val="top"/>
          </w:tcPr>
          <w:p w14:paraId="47474812">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p>
        </w:tc>
      </w:tr>
    </w:tbl>
    <w:p w14:paraId="37955930">
      <w:pPr>
        <w:autoSpaceDE w:val="0"/>
        <w:autoSpaceDN w:val="0"/>
        <w:adjustRightInd w:val="0"/>
        <w:spacing w:line="62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w:t>
      </w:r>
    </w:p>
    <w:p w14:paraId="53D6DE3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本表后附合同复印件加盖公章，合同签订时间及金额以合同中体现的内容为准。</w:t>
      </w:r>
    </w:p>
    <w:p w14:paraId="6AE2894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供应商应如实列出以上情况，如有隐瞒，一经查实将导致其响应文件被拒绝。</w:t>
      </w:r>
    </w:p>
    <w:p w14:paraId="757152C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未按上述要求提供、填写的，评审时不予以考虑。</w:t>
      </w:r>
    </w:p>
    <w:p w14:paraId="28C6644F">
      <w:pPr>
        <w:spacing w:line="360" w:lineRule="auto"/>
        <w:ind w:firstLine="1920" w:firstLineChars="800"/>
        <w:rPr>
          <w:rFonts w:hint="eastAsia" w:ascii="宋体" w:hAnsi="宋体" w:eastAsia="宋体" w:cs="宋体"/>
          <w:color w:val="auto"/>
          <w:sz w:val="24"/>
          <w:szCs w:val="24"/>
          <w:highlight w:val="none"/>
        </w:rPr>
      </w:pPr>
    </w:p>
    <w:p w14:paraId="1EF8517A">
      <w:pPr>
        <w:adjustRightInd w:val="0"/>
        <w:snapToGrid w:val="0"/>
        <w:spacing w:line="360" w:lineRule="auto"/>
        <w:jc w:val="center"/>
        <w:rPr>
          <w:rFonts w:hint="eastAsia" w:ascii="宋体" w:hAnsi="宋体" w:eastAsia="宋体" w:cs="宋体"/>
          <w:b/>
          <w:bCs/>
          <w:color w:val="auto"/>
          <w:kern w:val="2"/>
          <w:sz w:val="32"/>
          <w:szCs w:val="32"/>
          <w:lang w:val="zh-CN" w:eastAsia="zh-CN" w:bidi="ar-SA"/>
        </w:rPr>
      </w:pPr>
      <w:r>
        <w:rPr>
          <w:rFonts w:hint="eastAsia" w:ascii="宋体" w:hAnsi="宋体" w:eastAsia="宋体" w:cs="宋体"/>
          <w:color w:val="auto"/>
          <w:sz w:val="24"/>
          <w:szCs w:val="24"/>
          <w:highlight w:val="none"/>
        </w:rPr>
        <w:br w:type="page"/>
      </w:r>
      <w:bookmarkStart w:id="289" w:name="OLE_LINK8"/>
      <w:r>
        <w:rPr>
          <w:rFonts w:hint="eastAsia" w:ascii="宋体" w:hAnsi="宋体" w:eastAsia="宋体" w:cs="宋体"/>
          <w:b/>
          <w:bCs/>
          <w:color w:val="auto"/>
          <w:kern w:val="2"/>
          <w:sz w:val="32"/>
          <w:szCs w:val="32"/>
          <w:lang w:val="en-US" w:eastAsia="zh-CN" w:bidi="ar-SA"/>
        </w:rPr>
        <w:t>九</w:t>
      </w:r>
      <w:r>
        <w:rPr>
          <w:rFonts w:hint="eastAsia" w:ascii="宋体" w:hAnsi="宋体" w:eastAsia="宋体" w:cs="宋体"/>
          <w:b/>
          <w:bCs/>
          <w:color w:val="auto"/>
          <w:kern w:val="2"/>
          <w:sz w:val="32"/>
          <w:szCs w:val="32"/>
          <w:lang w:val="zh-CN" w:eastAsia="zh-CN" w:bidi="ar-SA"/>
        </w:rPr>
        <w:t>、供应商拒绝政府采购领域商业贿赂承诺书</w:t>
      </w:r>
    </w:p>
    <w:p w14:paraId="6DA2C997">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为响应党中央、国务院关于治理政府采购领域商业贿赂行为的号召，我公司在此庄严承诺：</w:t>
      </w:r>
    </w:p>
    <w:p w14:paraId="5EF48E15">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一、在参与政府采购活动中遵纪守法、诚信经营、公平竞标。</w:t>
      </w:r>
    </w:p>
    <w:p w14:paraId="403F76E0">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二、不向政府采购人、采购代理机构和政府采购评审专家进行任何形式的商业贿赂以谋取交易机会。</w:t>
      </w:r>
    </w:p>
    <w:p w14:paraId="0B89A5EC">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三、不向政府采购代理机构和采购人提供虚假资质证明文件或采用虚假应标方式参与政府采购市场竞争并谋取成交。</w:t>
      </w:r>
    </w:p>
    <w:p w14:paraId="54B2DA5E">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四、不采取“围标、陪标”等商业欺诈手段获得政府采购订单。</w:t>
      </w:r>
    </w:p>
    <w:p w14:paraId="41D42BBB">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五、不采取不正当手段诋毁、排挤其他供应商。</w:t>
      </w:r>
    </w:p>
    <w:p w14:paraId="61F6CC87">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六、不在提供货物和服务时“偷梁换柱、以次充好”损害采购人的合法权益。</w:t>
      </w:r>
    </w:p>
    <w:p w14:paraId="46368848">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七、不与采购人、采购代理机构、政府采购评审专家或其它供应商恶意串通，进行质疑和投诉，维护政府采购市场秩序。</w:t>
      </w:r>
    </w:p>
    <w:p w14:paraId="715DCA68">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八、尊重和接受政府采购监督管理部门的监督和政府采购代理机构招标采购要求，承担因违约行为给采购人造成的损失。</w:t>
      </w:r>
    </w:p>
    <w:p w14:paraId="064E08B1">
      <w:pPr>
        <w:autoSpaceDE w:val="0"/>
        <w:autoSpaceDN w:val="0"/>
        <w:adjustRightInd w:val="0"/>
        <w:spacing w:line="60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九、不发生其他有悖于政府采购公开、公平、公正和诚信原则的行为。                                    </w:t>
      </w:r>
    </w:p>
    <w:p w14:paraId="7381CBA1">
      <w:pPr>
        <w:spacing w:line="360" w:lineRule="auto"/>
        <w:ind w:firstLine="1920" w:firstLineChars="800"/>
        <w:rPr>
          <w:rFonts w:hint="eastAsia" w:ascii="宋体" w:hAnsi="宋体" w:eastAsia="宋体" w:cs="宋体"/>
          <w:color w:val="auto"/>
          <w:sz w:val="24"/>
          <w:szCs w:val="24"/>
          <w:highlight w:val="none"/>
        </w:rPr>
      </w:pPr>
    </w:p>
    <w:p w14:paraId="5D25D944">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D4FA24">
      <w:pPr>
        <w:spacing w:line="360" w:lineRule="auto"/>
        <w:ind w:firstLine="2160" w:firstLineChars="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8C194E">
      <w:pPr>
        <w:spacing w:line="360" w:lineRule="auto"/>
        <w:ind w:firstLine="2160" w:firstLine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bookmarkEnd w:id="289"/>
    </w:p>
    <w:p w14:paraId="7BF34467">
      <w:pPr>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u w:val="single"/>
        </w:rPr>
        <w:br w:type="page"/>
      </w:r>
      <w:r>
        <w:rPr>
          <w:rFonts w:hint="eastAsia" w:ascii="宋体" w:hAnsi="宋体" w:eastAsia="宋体" w:cs="宋体"/>
          <w:b/>
          <w:bCs/>
          <w:color w:val="auto"/>
          <w:kern w:val="2"/>
          <w:sz w:val="32"/>
          <w:szCs w:val="32"/>
          <w:highlight w:val="none"/>
          <w:lang w:val="en-US" w:eastAsia="zh-CN" w:bidi="ar-SA"/>
        </w:rPr>
        <w:t>十</w:t>
      </w:r>
      <w:r>
        <w:rPr>
          <w:rFonts w:hint="eastAsia" w:ascii="宋体" w:hAnsi="宋体" w:eastAsia="宋体" w:cs="宋体"/>
          <w:b/>
          <w:bCs/>
          <w:color w:val="auto"/>
          <w:kern w:val="2"/>
          <w:sz w:val="32"/>
          <w:szCs w:val="32"/>
          <w:highlight w:val="none"/>
          <w:lang w:val="zh-CN" w:eastAsia="zh-CN" w:bidi="ar-SA"/>
        </w:rPr>
        <w:t>、供应商认为有必要补充说明的事项</w:t>
      </w: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68F7C7-88E3-4B36-AA9A-92A3D8711F29}"/>
  </w:font>
  <w:font w:name="黑体">
    <w:panose1 w:val="02010609060101010101"/>
    <w:charset w:val="86"/>
    <w:family w:val="auto"/>
    <w:pitch w:val="default"/>
    <w:sig w:usb0="800002BF" w:usb1="38CF7CFA" w:usb2="00000016" w:usb3="00000000" w:csb0="00040001" w:csb1="00000000"/>
    <w:embedRegular r:id="rId2" w:fontKey="{1651A209-BB3D-41D5-A710-6B0A03E69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4FECED0-D591-4CFF-B071-859FA5C61A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A44A">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A342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8DA342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9E57">
    <w:pPr>
      <w:spacing w:line="184" w:lineRule="auto"/>
      <w:ind w:left="4444"/>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AD11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D7AD11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9D58">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113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DCB113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63A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D305">
    <w:pPr>
      <w:pStyle w:val="1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4800D"/>
    <w:multiLevelType w:val="singleLevel"/>
    <w:tmpl w:val="D0A4800D"/>
    <w:lvl w:ilvl="0" w:tentative="0">
      <w:start w:val="3"/>
      <w:numFmt w:val="chineseCounting"/>
      <w:suff w:val="nothing"/>
      <w:lvlText w:val="%1、"/>
      <w:lvlJc w:val="left"/>
      <w:rPr>
        <w:rFonts w:hint="eastAsia"/>
      </w:rPr>
    </w:lvl>
  </w:abstractNum>
  <w:abstractNum w:abstractNumId="1">
    <w:nsid w:val="F0501DBC"/>
    <w:multiLevelType w:val="singleLevel"/>
    <w:tmpl w:val="F0501DBC"/>
    <w:lvl w:ilvl="0" w:tentative="0">
      <w:start w:val="1"/>
      <w:numFmt w:val="chineseCounting"/>
      <w:suff w:val="nothing"/>
      <w:lvlText w:val="%1、"/>
      <w:lvlJc w:val="left"/>
      <w:rPr>
        <w:rFonts w:hint="eastAsia"/>
      </w:rPr>
    </w:lvl>
  </w:abstractNum>
  <w:abstractNum w:abstractNumId="2">
    <w:nsid w:val="29314BC8"/>
    <w:multiLevelType w:val="singleLevel"/>
    <w:tmpl w:val="29314BC8"/>
    <w:lvl w:ilvl="0" w:tentative="0">
      <w:start w:val="1"/>
      <w:numFmt w:val="decimal"/>
      <w:lvlText w:val="%1."/>
      <w:lvlJc w:val="left"/>
      <w:pPr>
        <w:tabs>
          <w:tab w:val="left" w:pos="312"/>
        </w:tabs>
      </w:pPr>
    </w:lvl>
  </w:abstractNum>
  <w:abstractNum w:abstractNumId="3">
    <w:nsid w:val="2C72FAB9"/>
    <w:multiLevelType w:val="multilevel"/>
    <w:tmpl w:val="2C72FAB9"/>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4">
    <w:nsid w:val="4EA7A3D9"/>
    <w:multiLevelType w:val="singleLevel"/>
    <w:tmpl w:val="4EA7A3D9"/>
    <w:lvl w:ilvl="0" w:tentative="0">
      <w:start w:val="1"/>
      <w:numFmt w:val="decimal"/>
      <w:lvlText w:val="%1."/>
      <w:lvlJc w:val="left"/>
      <w:pPr>
        <w:tabs>
          <w:tab w:val="left" w:pos="312"/>
        </w:tabs>
      </w:pPr>
    </w:lvl>
  </w:abstractNum>
  <w:abstractNum w:abstractNumId="5">
    <w:nsid w:val="79DDF1E4"/>
    <w:multiLevelType w:val="singleLevel"/>
    <w:tmpl w:val="79DDF1E4"/>
    <w:lvl w:ilvl="0" w:tentative="0">
      <w:start w:val="1"/>
      <w:numFmt w:val="decimal"/>
      <w:lvlText w:val="%1."/>
      <w:lvlJc w:val="left"/>
      <w:pPr>
        <w:tabs>
          <w:tab w:val="left" w:pos="312"/>
        </w:tabs>
      </w:pPr>
    </w:lvl>
  </w:abstractNum>
  <w:abstractNum w:abstractNumId="6">
    <w:nsid w:val="7E51E011"/>
    <w:multiLevelType w:val="singleLevel"/>
    <w:tmpl w:val="7E51E011"/>
    <w:lvl w:ilvl="0" w:tentative="0">
      <w:start w:val="5"/>
      <w:numFmt w:val="chineseCounting"/>
      <w:suff w:val="space"/>
      <w:lvlText w:val="第%1条"/>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zZjNDRjZDAxM2YzZDI2MmFlZjFlOTgzNzk0MGUifQ=="/>
  </w:docVars>
  <w:rsids>
    <w:rsidRoot w:val="04425736"/>
    <w:rsid w:val="00D83F85"/>
    <w:rsid w:val="00DB33DA"/>
    <w:rsid w:val="00DF26AB"/>
    <w:rsid w:val="011A5127"/>
    <w:rsid w:val="01254F0B"/>
    <w:rsid w:val="0187483D"/>
    <w:rsid w:val="029B180B"/>
    <w:rsid w:val="02A81B3F"/>
    <w:rsid w:val="02BF15A4"/>
    <w:rsid w:val="03182E99"/>
    <w:rsid w:val="031B1A2A"/>
    <w:rsid w:val="03F0199C"/>
    <w:rsid w:val="04425736"/>
    <w:rsid w:val="048209F9"/>
    <w:rsid w:val="04D16E90"/>
    <w:rsid w:val="04DD24E0"/>
    <w:rsid w:val="04F73E4E"/>
    <w:rsid w:val="051061DD"/>
    <w:rsid w:val="05545379"/>
    <w:rsid w:val="057A2C1A"/>
    <w:rsid w:val="05845725"/>
    <w:rsid w:val="05D23E37"/>
    <w:rsid w:val="060223FC"/>
    <w:rsid w:val="0635691E"/>
    <w:rsid w:val="06BD70AD"/>
    <w:rsid w:val="06CC7B9C"/>
    <w:rsid w:val="06E674E3"/>
    <w:rsid w:val="07295D68"/>
    <w:rsid w:val="072B2DAF"/>
    <w:rsid w:val="07347FFB"/>
    <w:rsid w:val="07643926"/>
    <w:rsid w:val="07F54551"/>
    <w:rsid w:val="08C75AEE"/>
    <w:rsid w:val="08EC6A2A"/>
    <w:rsid w:val="09120D2B"/>
    <w:rsid w:val="09363922"/>
    <w:rsid w:val="09FB077D"/>
    <w:rsid w:val="0A5851E2"/>
    <w:rsid w:val="0A7C40CF"/>
    <w:rsid w:val="0A943317"/>
    <w:rsid w:val="0B0D380B"/>
    <w:rsid w:val="0B4E04A0"/>
    <w:rsid w:val="0B5E763D"/>
    <w:rsid w:val="0B631A7D"/>
    <w:rsid w:val="0B990BFB"/>
    <w:rsid w:val="0BAC60A0"/>
    <w:rsid w:val="0BC54485"/>
    <w:rsid w:val="0BD976A4"/>
    <w:rsid w:val="0BE01DA1"/>
    <w:rsid w:val="0C683F43"/>
    <w:rsid w:val="0D1D1EB5"/>
    <w:rsid w:val="0D6E6DC9"/>
    <w:rsid w:val="0DA33F9D"/>
    <w:rsid w:val="0DD11667"/>
    <w:rsid w:val="0DEF5214"/>
    <w:rsid w:val="0E35096D"/>
    <w:rsid w:val="0E3D648A"/>
    <w:rsid w:val="0E4D3028"/>
    <w:rsid w:val="0E844A8D"/>
    <w:rsid w:val="0F9811B3"/>
    <w:rsid w:val="10731E18"/>
    <w:rsid w:val="11127147"/>
    <w:rsid w:val="113F222E"/>
    <w:rsid w:val="11A54867"/>
    <w:rsid w:val="11CD0A75"/>
    <w:rsid w:val="129678DE"/>
    <w:rsid w:val="12A73712"/>
    <w:rsid w:val="12F346EF"/>
    <w:rsid w:val="12FA1330"/>
    <w:rsid w:val="14463BFD"/>
    <w:rsid w:val="14545CC0"/>
    <w:rsid w:val="1491543F"/>
    <w:rsid w:val="14CA6FAE"/>
    <w:rsid w:val="14DF3FA4"/>
    <w:rsid w:val="14E76440"/>
    <w:rsid w:val="150926C4"/>
    <w:rsid w:val="150C5ECE"/>
    <w:rsid w:val="15153C4E"/>
    <w:rsid w:val="151D53EF"/>
    <w:rsid w:val="15A05265"/>
    <w:rsid w:val="17041DF5"/>
    <w:rsid w:val="17286CD0"/>
    <w:rsid w:val="174A07CA"/>
    <w:rsid w:val="17504CDA"/>
    <w:rsid w:val="1768334D"/>
    <w:rsid w:val="17C01B3C"/>
    <w:rsid w:val="182A608C"/>
    <w:rsid w:val="191D3D9B"/>
    <w:rsid w:val="194F2343"/>
    <w:rsid w:val="19A70056"/>
    <w:rsid w:val="19A759A9"/>
    <w:rsid w:val="1A332204"/>
    <w:rsid w:val="1A4F0E47"/>
    <w:rsid w:val="1AD11A1D"/>
    <w:rsid w:val="1AF247E3"/>
    <w:rsid w:val="1BA60487"/>
    <w:rsid w:val="1BCB698C"/>
    <w:rsid w:val="1BE0686F"/>
    <w:rsid w:val="1C171C6E"/>
    <w:rsid w:val="1C954963"/>
    <w:rsid w:val="1CBE798B"/>
    <w:rsid w:val="1D091942"/>
    <w:rsid w:val="1D1823BB"/>
    <w:rsid w:val="1DD94623"/>
    <w:rsid w:val="1E024B28"/>
    <w:rsid w:val="1E036392"/>
    <w:rsid w:val="1E822B95"/>
    <w:rsid w:val="1EC8729A"/>
    <w:rsid w:val="1FDA782B"/>
    <w:rsid w:val="20850C89"/>
    <w:rsid w:val="20E83ABC"/>
    <w:rsid w:val="211A38AD"/>
    <w:rsid w:val="212E7BB2"/>
    <w:rsid w:val="219F63D1"/>
    <w:rsid w:val="21A621B6"/>
    <w:rsid w:val="21AA3516"/>
    <w:rsid w:val="221B61BB"/>
    <w:rsid w:val="22455592"/>
    <w:rsid w:val="22AF61A1"/>
    <w:rsid w:val="22E04EF3"/>
    <w:rsid w:val="238B4600"/>
    <w:rsid w:val="23A33334"/>
    <w:rsid w:val="23AC1C26"/>
    <w:rsid w:val="247034F6"/>
    <w:rsid w:val="256F76F4"/>
    <w:rsid w:val="266D4ED1"/>
    <w:rsid w:val="27353194"/>
    <w:rsid w:val="27981334"/>
    <w:rsid w:val="27FF30B0"/>
    <w:rsid w:val="2A81356F"/>
    <w:rsid w:val="2A9D2740"/>
    <w:rsid w:val="2AEF34E2"/>
    <w:rsid w:val="2B28102B"/>
    <w:rsid w:val="2B857210"/>
    <w:rsid w:val="2B8D7BC8"/>
    <w:rsid w:val="2BC27697"/>
    <w:rsid w:val="2C8E59C0"/>
    <w:rsid w:val="2CB63A29"/>
    <w:rsid w:val="2CCD5A31"/>
    <w:rsid w:val="2D2C496F"/>
    <w:rsid w:val="2D9E7E85"/>
    <w:rsid w:val="2DCC49F2"/>
    <w:rsid w:val="2DCF2E13"/>
    <w:rsid w:val="2E346BCB"/>
    <w:rsid w:val="2E796FC8"/>
    <w:rsid w:val="2EBE25FD"/>
    <w:rsid w:val="2EFF5247"/>
    <w:rsid w:val="2F20218A"/>
    <w:rsid w:val="30D867E1"/>
    <w:rsid w:val="3177433A"/>
    <w:rsid w:val="31F42822"/>
    <w:rsid w:val="320B7BD7"/>
    <w:rsid w:val="320C33AE"/>
    <w:rsid w:val="32FB1484"/>
    <w:rsid w:val="33000107"/>
    <w:rsid w:val="33244748"/>
    <w:rsid w:val="334212F0"/>
    <w:rsid w:val="343D03F7"/>
    <w:rsid w:val="34403A44"/>
    <w:rsid w:val="34DF325D"/>
    <w:rsid w:val="34E56399"/>
    <w:rsid w:val="354B7D17"/>
    <w:rsid w:val="356C2617"/>
    <w:rsid w:val="35EA015B"/>
    <w:rsid w:val="36676609"/>
    <w:rsid w:val="36794FEB"/>
    <w:rsid w:val="36897DF2"/>
    <w:rsid w:val="36FE3F92"/>
    <w:rsid w:val="370E6E9D"/>
    <w:rsid w:val="37542889"/>
    <w:rsid w:val="37DF7067"/>
    <w:rsid w:val="38217669"/>
    <w:rsid w:val="383727CD"/>
    <w:rsid w:val="3881462B"/>
    <w:rsid w:val="38B56F92"/>
    <w:rsid w:val="390B0AC4"/>
    <w:rsid w:val="392274DB"/>
    <w:rsid w:val="3A5320BE"/>
    <w:rsid w:val="3A7765C8"/>
    <w:rsid w:val="3ADC25F5"/>
    <w:rsid w:val="3AF03860"/>
    <w:rsid w:val="3B3918BD"/>
    <w:rsid w:val="3B3B31B7"/>
    <w:rsid w:val="3B9E00AB"/>
    <w:rsid w:val="3BBA245E"/>
    <w:rsid w:val="3C0F402B"/>
    <w:rsid w:val="3E364A87"/>
    <w:rsid w:val="3E433514"/>
    <w:rsid w:val="3E726EF0"/>
    <w:rsid w:val="3EF93B58"/>
    <w:rsid w:val="400A45F9"/>
    <w:rsid w:val="405E2C3F"/>
    <w:rsid w:val="40D06ED1"/>
    <w:rsid w:val="411B721D"/>
    <w:rsid w:val="412721E8"/>
    <w:rsid w:val="415A7E7E"/>
    <w:rsid w:val="42AB62B5"/>
    <w:rsid w:val="456D282E"/>
    <w:rsid w:val="45C36283"/>
    <w:rsid w:val="45C4456A"/>
    <w:rsid w:val="460A6BD0"/>
    <w:rsid w:val="460D4A38"/>
    <w:rsid w:val="469F51DC"/>
    <w:rsid w:val="4733065F"/>
    <w:rsid w:val="4736774E"/>
    <w:rsid w:val="47C46543"/>
    <w:rsid w:val="48651841"/>
    <w:rsid w:val="48CF03A2"/>
    <w:rsid w:val="48E44E8E"/>
    <w:rsid w:val="49537472"/>
    <w:rsid w:val="49B54134"/>
    <w:rsid w:val="4A8C13C1"/>
    <w:rsid w:val="4BED3CA4"/>
    <w:rsid w:val="4C0D3F3A"/>
    <w:rsid w:val="4C1F5D58"/>
    <w:rsid w:val="4C2063BD"/>
    <w:rsid w:val="4C371778"/>
    <w:rsid w:val="4C455C43"/>
    <w:rsid w:val="4C662D85"/>
    <w:rsid w:val="4CA7715A"/>
    <w:rsid w:val="4D2E5886"/>
    <w:rsid w:val="4D4260FC"/>
    <w:rsid w:val="4D710BC6"/>
    <w:rsid w:val="4D97768D"/>
    <w:rsid w:val="4E7F2EFD"/>
    <w:rsid w:val="4EA604F0"/>
    <w:rsid w:val="4EB40E09"/>
    <w:rsid w:val="4F501413"/>
    <w:rsid w:val="4FE64355"/>
    <w:rsid w:val="4FEB149C"/>
    <w:rsid w:val="501E197C"/>
    <w:rsid w:val="50D70E34"/>
    <w:rsid w:val="51505F79"/>
    <w:rsid w:val="516D25B4"/>
    <w:rsid w:val="51786173"/>
    <w:rsid w:val="517D066C"/>
    <w:rsid w:val="51B360F6"/>
    <w:rsid w:val="51BD61D1"/>
    <w:rsid w:val="52276B28"/>
    <w:rsid w:val="522B3DE7"/>
    <w:rsid w:val="539C2D37"/>
    <w:rsid w:val="541D3002"/>
    <w:rsid w:val="54420E47"/>
    <w:rsid w:val="544B3BC9"/>
    <w:rsid w:val="5504364B"/>
    <w:rsid w:val="558E2409"/>
    <w:rsid w:val="55E97640"/>
    <w:rsid w:val="56233F5F"/>
    <w:rsid w:val="56404F20"/>
    <w:rsid w:val="56973683"/>
    <w:rsid w:val="56A74B28"/>
    <w:rsid w:val="56C6764C"/>
    <w:rsid w:val="56D13F81"/>
    <w:rsid w:val="57A43780"/>
    <w:rsid w:val="580746F5"/>
    <w:rsid w:val="58920A2D"/>
    <w:rsid w:val="59BD2B7E"/>
    <w:rsid w:val="5A15323E"/>
    <w:rsid w:val="5B687259"/>
    <w:rsid w:val="5BD62264"/>
    <w:rsid w:val="5BE03648"/>
    <w:rsid w:val="5C934482"/>
    <w:rsid w:val="5D9E1657"/>
    <w:rsid w:val="5DB435DB"/>
    <w:rsid w:val="5DE00D83"/>
    <w:rsid w:val="5DF63906"/>
    <w:rsid w:val="5E3C6B86"/>
    <w:rsid w:val="5E49171A"/>
    <w:rsid w:val="5E522ABE"/>
    <w:rsid w:val="5EB36643"/>
    <w:rsid w:val="5F471E39"/>
    <w:rsid w:val="5FD912CE"/>
    <w:rsid w:val="604F450B"/>
    <w:rsid w:val="610D2429"/>
    <w:rsid w:val="62511C2E"/>
    <w:rsid w:val="62995234"/>
    <w:rsid w:val="63224191"/>
    <w:rsid w:val="633B16F7"/>
    <w:rsid w:val="636D6C13"/>
    <w:rsid w:val="64014F88"/>
    <w:rsid w:val="64E52EE9"/>
    <w:rsid w:val="651A70AD"/>
    <w:rsid w:val="65E33470"/>
    <w:rsid w:val="66402D0B"/>
    <w:rsid w:val="66C55CDB"/>
    <w:rsid w:val="67430B7A"/>
    <w:rsid w:val="674F5770"/>
    <w:rsid w:val="67616BD8"/>
    <w:rsid w:val="67FF36CF"/>
    <w:rsid w:val="6841155D"/>
    <w:rsid w:val="685878BE"/>
    <w:rsid w:val="68E72403"/>
    <w:rsid w:val="691E132B"/>
    <w:rsid w:val="696625EB"/>
    <w:rsid w:val="6ACB4032"/>
    <w:rsid w:val="6B5C6FEE"/>
    <w:rsid w:val="6B78462D"/>
    <w:rsid w:val="6BA3123E"/>
    <w:rsid w:val="6C447CAF"/>
    <w:rsid w:val="6E781A51"/>
    <w:rsid w:val="6EE74EDF"/>
    <w:rsid w:val="700417EE"/>
    <w:rsid w:val="704A0DB1"/>
    <w:rsid w:val="70757FF6"/>
    <w:rsid w:val="71E3524A"/>
    <w:rsid w:val="72873175"/>
    <w:rsid w:val="73200793"/>
    <w:rsid w:val="733401DC"/>
    <w:rsid w:val="73376795"/>
    <w:rsid w:val="73D0517B"/>
    <w:rsid w:val="73D239B1"/>
    <w:rsid w:val="73EB6B4D"/>
    <w:rsid w:val="74525137"/>
    <w:rsid w:val="758231A9"/>
    <w:rsid w:val="75AD2D24"/>
    <w:rsid w:val="75F42669"/>
    <w:rsid w:val="76753598"/>
    <w:rsid w:val="770D0823"/>
    <w:rsid w:val="773048C9"/>
    <w:rsid w:val="7791376B"/>
    <w:rsid w:val="78016A91"/>
    <w:rsid w:val="78A94391"/>
    <w:rsid w:val="78F128DD"/>
    <w:rsid w:val="79BA3169"/>
    <w:rsid w:val="79F521A7"/>
    <w:rsid w:val="7A1A08CD"/>
    <w:rsid w:val="7A7001A1"/>
    <w:rsid w:val="7AD523F0"/>
    <w:rsid w:val="7B6B1B82"/>
    <w:rsid w:val="7C501917"/>
    <w:rsid w:val="7D4168D5"/>
    <w:rsid w:val="7D61347E"/>
    <w:rsid w:val="7DB94772"/>
    <w:rsid w:val="7E2626E3"/>
    <w:rsid w:val="7E584AB3"/>
    <w:rsid w:val="7EC550D4"/>
    <w:rsid w:val="7ED93E46"/>
    <w:rsid w:val="7F231268"/>
    <w:rsid w:val="7FCC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8"/>
    <w:autoRedefine/>
    <w:qFormat/>
    <w:uiPriority w:val="0"/>
    <w:pPr>
      <w:keepNext/>
      <w:widowControl w:val="0"/>
      <w:jc w:val="center"/>
      <w:outlineLvl w:val="0"/>
    </w:pPr>
    <w:rPr>
      <w:rFonts w:ascii="黑体" w:eastAsia="黑体"/>
      <w:sz w:val="28"/>
    </w:rPr>
  </w:style>
  <w:style w:type="paragraph" w:styleId="3">
    <w:name w:val="heading 2"/>
    <w:basedOn w:val="1"/>
    <w:next w:val="1"/>
    <w:autoRedefine/>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4">
    <w:name w:val="heading 3"/>
    <w:basedOn w:val="1"/>
    <w:next w:val="1"/>
    <w:autoRedefine/>
    <w:qFormat/>
    <w:uiPriority w:val="0"/>
    <w:pPr>
      <w:keepNext/>
      <w:keepLines/>
      <w:spacing w:before="260" w:after="260" w:line="412" w:lineRule="auto"/>
      <w:outlineLvl w:val="2"/>
    </w:pPr>
    <w:rPr>
      <w:b/>
      <w:sz w:val="32"/>
      <w:szCs w:val="20"/>
    </w:rPr>
  </w:style>
  <w:style w:type="paragraph" w:styleId="5">
    <w:name w:val="heading 4"/>
    <w:basedOn w:val="1"/>
    <w:next w:val="1"/>
    <w:autoRedefine/>
    <w:qFormat/>
    <w:uiPriority w:val="0"/>
    <w:pPr>
      <w:keepNext/>
      <w:spacing w:line="600" w:lineRule="exact"/>
      <w:jc w:val="center"/>
      <w:outlineLvl w:val="3"/>
    </w:pPr>
    <w:rPr>
      <w:rFonts w:ascii="楷体_GB2312" w:hAnsi="Times New Roman" w:eastAsia="楷体_GB2312" w:cs="Times New Roman"/>
      <w:sz w:val="32"/>
    </w:rPr>
  </w:style>
  <w:style w:type="paragraph" w:styleId="6">
    <w:name w:val="heading 5"/>
    <w:basedOn w:val="1"/>
    <w:next w:val="1"/>
    <w:autoRedefine/>
    <w:qFormat/>
    <w:uiPriority w:val="1"/>
    <w:pPr>
      <w:ind w:left="580"/>
      <w:outlineLvl w:val="4"/>
    </w:pPr>
    <w:rPr>
      <w:rFonts w:ascii="楷体" w:hAnsi="楷体" w:eastAsia="楷体" w:cs="楷体"/>
      <w:sz w:val="28"/>
      <w:szCs w:val="28"/>
      <w:lang w:val="zh-CN" w:eastAsia="zh-CN" w:bidi="zh-CN"/>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autoRedefine/>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qFormat/>
    <w:uiPriority w:val="0"/>
    <w:pPr>
      <w:jc w:val="center"/>
    </w:pPr>
  </w:style>
  <w:style w:type="paragraph" w:styleId="12">
    <w:name w:val="Body Text Indent"/>
    <w:basedOn w:val="1"/>
    <w:autoRedefine/>
    <w:qFormat/>
    <w:uiPriority w:val="0"/>
    <w:pPr>
      <w:spacing w:line="360" w:lineRule="auto"/>
      <w:ind w:firstLine="420" w:firstLineChars="200"/>
    </w:pPr>
  </w:style>
  <w:style w:type="paragraph" w:styleId="13">
    <w:name w:val="Block Text"/>
    <w:basedOn w:val="1"/>
    <w:next w:val="14"/>
    <w:autoRedefine/>
    <w:qFormat/>
    <w:uiPriority w:val="99"/>
    <w:pPr>
      <w:spacing w:after="120" w:line="240" w:lineRule="auto"/>
      <w:ind w:left="1440" w:leftChars="700" w:right="1440" w:rightChars="700"/>
    </w:pPr>
    <w:rPr>
      <w:rFonts w:ascii="Calibri" w:hAnsi="Calibri"/>
      <w:szCs w:val="22"/>
    </w:rPr>
  </w:style>
  <w:style w:type="paragraph" w:styleId="14">
    <w:name w:val="Plain Text"/>
    <w:basedOn w:val="1"/>
    <w:autoRedefine/>
    <w:qFormat/>
    <w:uiPriority w:val="0"/>
    <w:rPr>
      <w:rFonts w:ascii="Times New Roman" w:hAnsi="Courier New" w:eastAsia="宋体" w:cs="Times New Roman"/>
      <w:kern w:val="2"/>
      <w:sz w:val="21"/>
    </w:rPr>
  </w:style>
  <w:style w:type="paragraph" w:styleId="15">
    <w:name w:val="toc 8"/>
    <w:basedOn w:val="1"/>
    <w:next w:val="1"/>
    <w:autoRedefine/>
    <w:qFormat/>
    <w:uiPriority w:val="39"/>
    <w:pPr>
      <w:ind w:left="2940" w:leftChars="14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toc 9"/>
    <w:basedOn w:val="1"/>
    <w:next w:val="1"/>
    <w:autoRedefine/>
    <w:qFormat/>
    <w:uiPriority w:val="0"/>
    <w:pPr>
      <w:wordWrap w:val="0"/>
      <w:ind w:left="2975"/>
    </w:pPr>
    <w:rPr>
      <w:rFonts w:ascii="Times New Roman" w:hAnsi="Times New Roman"/>
    </w:rPr>
  </w:style>
  <w:style w:type="paragraph" w:styleId="21">
    <w:name w:val="Body Text 2"/>
    <w:basedOn w:val="1"/>
    <w:autoRedefine/>
    <w:qFormat/>
    <w:uiPriority w:val="0"/>
    <w:rPr>
      <w:rFonts w:ascii="楷体_GB2312" w:hAnsi="Copperplate Gothic Bold" w:eastAsia="楷体_GB2312"/>
      <w:sz w:val="28"/>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1"/>
    <w:next w:val="1"/>
    <w:autoRedefine/>
    <w:unhideWhenUsed/>
    <w:qFormat/>
    <w:uiPriority w:val="99"/>
    <w:pPr>
      <w:ind w:firstLine="420" w:firstLineChars="100"/>
    </w:pPr>
    <w:rPr>
      <w:szCs w:val="24"/>
    </w:rPr>
  </w:style>
  <w:style w:type="paragraph" w:styleId="24">
    <w:name w:val="Body Text First Indent 2"/>
    <w:basedOn w:val="12"/>
    <w:autoRedefine/>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26">
    <w:name w:val="Table Grid"/>
    <w:basedOn w:val="25"/>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28">
    <w:name w:val="Strong"/>
    <w:basedOn w:val="27"/>
    <w:autoRedefine/>
    <w:qFormat/>
    <w:uiPriority w:val="0"/>
    <w:rPr>
      <w:b/>
    </w:rPr>
  </w:style>
  <w:style w:type="character" w:styleId="29">
    <w:name w:val="Hyperlink"/>
    <w:autoRedefine/>
    <w:qFormat/>
    <w:uiPriority w:val="99"/>
    <w:rPr>
      <w:rFonts w:hint="eastAsia" w:ascii="宋体" w:hAnsi="宋体" w:eastAsia="宋体" w:cs="宋体"/>
      <w:color w:val="000000"/>
      <w:sz w:val="18"/>
      <w:szCs w:val="18"/>
      <w:u w:val="none"/>
    </w:rPr>
  </w:style>
  <w:style w:type="paragraph" w:customStyle="1" w:styleId="30">
    <w:name w:val="BodyText1I"/>
    <w:basedOn w:val="31"/>
    <w:autoRedefine/>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1">
    <w:name w:val="BodyText"/>
    <w:basedOn w:val="1"/>
    <w:autoRedefine/>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customStyle="1" w:styleId="32">
    <w:name w:val="TOC 标题1"/>
    <w:basedOn w:val="2"/>
    <w:next w:val="1"/>
    <w:autoRedefine/>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33">
    <w:name w:val="列出段落1"/>
    <w:basedOn w:val="1"/>
    <w:autoRedefine/>
    <w:qFormat/>
    <w:uiPriority w:val="0"/>
    <w:pPr>
      <w:ind w:firstLine="420" w:firstLineChars="200"/>
    </w:pPr>
  </w:style>
  <w:style w:type="paragraph" w:customStyle="1" w:styleId="34">
    <w:name w:val="Table Paragraph"/>
    <w:basedOn w:val="1"/>
    <w:autoRedefine/>
    <w:qFormat/>
    <w:uiPriority w:val="0"/>
    <w:rPr>
      <w:rFonts w:ascii="宋体" w:hAnsi="宋体" w:eastAsia="宋体" w:cs="宋体"/>
      <w:lang w:val="zh-CN" w:bidi="zh-CN"/>
    </w:rPr>
  </w:style>
  <w:style w:type="paragraph" w:customStyle="1" w:styleId="35">
    <w:name w:val="p15"/>
    <w:basedOn w:val="1"/>
    <w:autoRedefine/>
    <w:qFormat/>
    <w:uiPriority w:val="99"/>
    <w:rPr>
      <w:rFonts w:ascii="Times New Roman" w:hAnsi="Times New Roman"/>
      <w:sz w:val="20"/>
      <w:szCs w:val="21"/>
    </w:rPr>
  </w:style>
  <w:style w:type="paragraph" w:customStyle="1" w:styleId="36">
    <w:name w:val="4"/>
    <w:basedOn w:val="1"/>
    <w:next w:val="37"/>
    <w:autoRedefine/>
    <w:qFormat/>
    <w:uiPriority w:val="34"/>
    <w:pPr>
      <w:ind w:firstLine="420" w:firstLineChars="200"/>
    </w:pPr>
  </w:style>
  <w:style w:type="paragraph" w:customStyle="1" w:styleId="37">
    <w:name w:val="List Paragraph"/>
    <w:basedOn w:val="1"/>
    <w:autoRedefine/>
    <w:qFormat/>
    <w:uiPriority w:val="0"/>
    <w:pPr>
      <w:ind w:firstLine="200" w:firstLineChars="200"/>
    </w:pPr>
    <w:rPr>
      <w:szCs w:val="24"/>
    </w:rPr>
  </w:style>
  <w:style w:type="character" w:customStyle="1" w:styleId="38">
    <w:name w:val="标题 1 Char"/>
    <w:link w:val="2"/>
    <w:autoRedefine/>
    <w:qFormat/>
    <w:uiPriority w:val="0"/>
    <w:rPr>
      <w:rFonts w:ascii="黑体" w:eastAsia="黑体"/>
      <w:sz w:val="28"/>
    </w:rPr>
  </w:style>
  <w:style w:type="paragraph" w:customStyle="1" w:styleId="39">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0">
    <w:name w:val="Char1"/>
    <w:basedOn w:val="1"/>
    <w:autoRedefine/>
    <w:qFormat/>
    <w:uiPriority w:val="0"/>
    <w:rPr>
      <w:szCs w:val="21"/>
    </w:rPr>
  </w:style>
  <w:style w:type="paragraph" w:customStyle="1" w:styleId="41">
    <w:name w:val="正文自定"/>
    <w:basedOn w:val="1"/>
    <w:autoRedefine/>
    <w:qFormat/>
    <w:uiPriority w:val="0"/>
    <w:pPr>
      <w:tabs>
        <w:tab w:val="left" w:pos="7665"/>
      </w:tabs>
      <w:spacing w:line="360" w:lineRule="auto"/>
      <w:ind w:firstLine="480" w:firstLineChars="200"/>
    </w:pPr>
    <w:rPr>
      <w:rFonts w:ascii="宋体" w:hAnsi="宋体"/>
      <w:sz w:val="24"/>
      <w:szCs w:val="24"/>
    </w:rPr>
  </w:style>
  <w:style w:type="character" w:customStyle="1" w:styleId="42">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43">
    <w:name w:val="NormalIndent"/>
    <w:basedOn w:val="1"/>
    <w:autoRedefine/>
    <w:qFormat/>
    <w:uiPriority w:val="0"/>
    <w:pPr>
      <w:ind w:firstLine="420"/>
      <w:jc w:val="both"/>
      <w:textAlignment w:val="baseline"/>
    </w:pPr>
    <w:rPr>
      <w:kern w:val="2"/>
      <w:sz w:val="21"/>
      <w:szCs w:val="21"/>
      <w:lang w:val="en-US" w:eastAsia="zh-CN" w:bidi="ar-SA"/>
    </w:rPr>
  </w:style>
  <w:style w:type="paragraph" w:customStyle="1" w:styleId="44">
    <w:name w:val="Char"/>
    <w:basedOn w:val="1"/>
    <w:autoRedefine/>
    <w:qFormat/>
    <w:uiPriority w:val="0"/>
    <w:rPr>
      <w:rFonts w:eastAsia="仿宋_GB2312"/>
      <w:sz w:val="28"/>
    </w:rPr>
  </w:style>
  <w:style w:type="paragraph" w:customStyle="1" w:styleId="45">
    <w:name w:val="title12"/>
    <w:basedOn w:val="1"/>
    <w:autoRedefine/>
    <w:qFormat/>
    <w:uiPriority w:val="0"/>
    <w:pPr>
      <w:spacing w:before="150"/>
      <w:jc w:val="left"/>
    </w:pPr>
    <w:rPr>
      <w:rFonts w:ascii="Calibri" w:hAnsi="Calibri"/>
      <w:b/>
      <w:kern w:val="0"/>
      <w:sz w:val="22"/>
      <w:szCs w:val="22"/>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character" w:customStyle="1" w:styleId="47">
    <w:name w:val="font121"/>
    <w:basedOn w:val="27"/>
    <w:qFormat/>
    <w:uiPriority w:val="0"/>
    <w:rPr>
      <w:rFonts w:ascii="宋体" w:hAnsi="宋体" w:eastAsia="宋体" w:cs="宋体"/>
      <w:color w:val="000000"/>
      <w:sz w:val="20"/>
      <w:szCs w:val="20"/>
      <w:u w:val="none"/>
    </w:rPr>
  </w:style>
  <w:style w:type="character" w:customStyle="1" w:styleId="48">
    <w:name w:val="font81"/>
    <w:basedOn w:val="27"/>
    <w:qFormat/>
    <w:uiPriority w:val="0"/>
    <w:rPr>
      <w:rFonts w:hint="eastAsia" w:ascii="宋体" w:hAnsi="宋体" w:eastAsia="宋体" w:cs="宋体"/>
      <w:color w:val="000000"/>
      <w:sz w:val="20"/>
      <w:szCs w:val="20"/>
      <w:u w:val="none"/>
    </w:rPr>
  </w:style>
  <w:style w:type="paragraph" w:customStyle="1" w:styleId="49">
    <w:name w:val="表格"/>
    <w:basedOn w:val="1"/>
    <w:qFormat/>
    <w:uiPriority w:val="0"/>
    <w:pPr>
      <w:spacing w:line="240" w:lineRule="auto"/>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10653</Words>
  <Characters>11404</Characters>
  <Lines>1</Lines>
  <Paragraphs>1</Paragraphs>
  <TotalTime>3</TotalTime>
  <ScaleCrop>false</ScaleCrop>
  <LinksUpToDate>false</LinksUpToDate>
  <CharactersWithSpaces>11591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2023-04-11T02:03:00Z</dcterms:created>
  <dc:creator>无留念</dc:creator>
  <cp:lastModifiedBy>啾啾</cp:lastModifiedBy>
  <dcterms:modified xsi:type="dcterms:W3CDTF">2025-11-25T09:17:33Z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57BBD21831154E0DAE6328CD279133C0_13</vt:lpwstr>
  </property>
  <property fmtid="{D5CDD505-2E9C-101B-9397-08002B2CF9AE}" pid="4" name="KSOTemplateDocerSaveRecord">
    <vt:lpwstr>eyJoZGlkIjoiMmE4OWVmYjBmM2NkNjA3Mzk2YjI0NGQzY2JjNGEwNDgiLCJ1c2VySWQiOiIyNzA4NDYzNjIifQ==</vt:lpwstr>
  </property>
</Properties>
</file>