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7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采购需求</w:t>
      </w:r>
    </w:p>
    <w:p w14:paraId="30052B5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项目概况</w:t>
      </w:r>
    </w:p>
    <w:p w14:paraId="04AF7A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杜陵生态林位于杜邑遗址公园东南侧，区域内林木茂密分布多个墓园和大量坟坎，冬春季极易因引燃干草枯木引发较大火情，威胁周围园林企业和村庄。本次火灾防控服务项目旨在于防火期内林下、坟坎周边火灾隐患清理。暂估工程量2396亩。</w:t>
      </w:r>
    </w:p>
    <w:p w14:paraId="70EA72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二、工程内容</w:t>
      </w:r>
    </w:p>
    <w:p w14:paraId="0C2DB7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1、甲方指定范围内全部荒草、灌木、枯枝落叶等可燃物品的割除和清理。</w:t>
      </w:r>
    </w:p>
    <w:p w14:paraId="30053A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2、割除清理的杂草、灌木、枯枝落叶等物品须进行无害化处理，不得随意堆放或焚烧处置。</w:t>
      </w:r>
    </w:p>
    <w:p w14:paraId="1A8610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3、施工期间持续开展林区火灾巡查防控工作，杜绝火灾事故发生。</w:t>
      </w:r>
    </w:p>
    <w:p w14:paraId="6D6BE17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三、工期：365日历天</w:t>
      </w:r>
    </w:p>
    <w:p w14:paraId="38E2AB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四、质量要求和验收标准</w:t>
      </w:r>
    </w:p>
    <w:p w14:paraId="4F6A59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1、杂草、灌木等砍除桩距地高度不超过10cm。</w:t>
      </w:r>
    </w:p>
    <w:p w14:paraId="1E60B6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2、树木、围墙、围网上无藤蔓、荒草等各类悬挂物。</w:t>
      </w:r>
    </w:p>
    <w:p w14:paraId="738F19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3、清理产物须日产日清，严禁在林间堆放过夜。</w:t>
      </w:r>
    </w:p>
    <w:p w14:paraId="212311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4、清理区域内有陪葬墓封土的，封土底部围栏内外10m范围内可燃物品须清除干净。</w:t>
      </w:r>
    </w:p>
    <w:p w14:paraId="39B37C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7" w:firstLineChars="228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5、施工期间清理区域无火灾事故发生。</w:t>
      </w:r>
    </w:p>
    <w:p w14:paraId="389C2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8" w:firstLineChars="228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2025-12-11T08:30:33Z</dcterms:created>
  <dc:creator>Administrator</dc:creator>
  <cp:lastModifiedBy>℡Autism ミ</cp:lastModifiedBy>
  <dcterms:modified xsi:type="dcterms:W3CDTF">2025-12-11T08:36:50Z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eyJoZGlkIjoiYmNkNDJhZjM5ZWRlYTdkODYwZmY4YjRmMjA1YzUzZDUiLCJ1c2VySWQiOiIzODE5MDc1NjQifQ==</vt:lpwstr>
  </property>
  <property fmtid="{D5CDD505-2E9C-101B-9397-08002B2CF9AE}" pid="4" name="ICV">
    <vt:lpwstr>94CE12026633454282182DF3DFC9CE33_12</vt:lpwstr>
  </property>
</Properties>
</file>